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cs="仿宋_GB2312"/>
          <w:b/>
          <w:color w:val="auto"/>
          <w:sz w:val="24"/>
          <w:highlight w:val="none"/>
        </w:rPr>
      </w:pPr>
      <w:bookmarkStart w:id="417" w:name="_GoBack"/>
      <w:bookmarkEnd w:id="417"/>
    </w:p>
    <w:p>
      <w:pPr>
        <w:spacing w:line="360" w:lineRule="auto"/>
        <w:jc w:val="both"/>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adjustRightInd/>
        <w:spacing w:line="360" w:lineRule="auto"/>
        <w:jc w:val="center"/>
        <w:rPr>
          <w:rFonts w:hint="eastAsia" w:ascii="仿宋_GB2312" w:hAnsi="仿宋" w:eastAsia="仿宋_GB2312" w:cs="仿宋_GB2312"/>
          <w:color w:val="auto"/>
          <w:sz w:val="48"/>
          <w:szCs w:val="48"/>
          <w:highlight w:val="none"/>
          <w:lang w:eastAsia="zh-CN"/>
        </w:rPr>
      </w:pPr>
      <w:r>
        <w:rPr>
          <w:rFonts w:hint="eastAsia" w:ascii="仿宋_GB2312" w:hAnsi="仿宋" w:eastAsia="仿宋_GB2312" w:cs="仿宋_GB2312"/>
          <w:color w:val="auto"/>
          <w:sz w:val="48"/>
          <w:szCs w:val="48"/>
          <w:highlight w:val="none"/>
          <w:lang w:eastAsia="zh-CN"/>
        </w:rPr>
        <w:t>杭州技师学院</w:t>
      </w:r>
    </w:p>
    <w:p>
      <w:pPr>
        <w:adjustRightInd/>
        <w:spacing w:line="360" w:lineRule="auto"/>
        <w:jc w:val="center"/>
        <w:rPr>
          <w:rFonts w:hint="eastAsia" w:ascii="仿宋_GB2312" w:hAnsi="仿宋" w:eastAsia="仿宋_GB2312" w:cs="仿宋_GB2312"/>
          <w:color w:val="auto"/>
          <w:sz w:val="48"/>
          <w:szCs w:val="48"/>
          <w:highlight w:val="none"/>
          <w:lang w:eastAsia="zh-CN"/>
        </w:rPr>
      </w:pPr>
      <w:r>
        <w:rPr>
          <w:rFonts w:hint="eastAsia" w:ascii="仿宋_GB2312" w:hAnsi="仿宋" w:eastAsia="仿宋_GB2312" w:cs="仿宋_GB2312"/>
          <w:color w:val="auto"/>
          <w:sz w:val="48"/>
          <w:szCs w:val="48"/>
          <w:highlight w:val="none"/>
          <w:lang w:eastAsia="zh-CN"/>
        </w:rPr>
        <w:t>2022年物业服务采购项目</w:t>
      </w:r>
    </w:p>
    <w:p>
      <w:pPr>
        <w:adjustRightInd/>
        <w:spacing w:line="360" w:lineRule="auto"/>
        <w:jc w:val="center"/>
        <w:rPr>
          <w:rFonts w:ascii="仿宋_GB2312" w:hAnsi="仿宋" w:eastAsia="仿宋_GB2312" w:cs="仿宋_GB2312"/>
          <w:b/>
          <w:color w:val="auto"/>
          <w:sz w:val="72"/>
          <w:szCs w:val="72"/>
          <w:highlight w:val="none"/>
        </w:rPr>
      </w:pPr>
      <w:r>
        <w:rPr>
          <w:rFonts w:hint="eastAsia" w:ascii="仿宋_GB2312" w:hAnsi="仿宋" w:eastAsia="仿宋_GB2312" w:cs="仿宋_GB2312"/>
          <w:b/>
          <w:color w:val="auto"/>
          <w:sz w:val="72"/>
          <w:szCs w:val="72"/>
          <w:highlight w:val="none"/>
        </w:rPr>
        <w:t>招标文件</w:t>
      </w:r>
    </w:p>
    <w:p>
      <w:pPr>
        <w:adjustRightInd/>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（电子招投标）</w:t>
      </w:r>
    </w:p>
    <w:p>
      <w:pPr>
        <w:snapToGrid w:val="0"/>
        <w:spacing w:line="360" w:lineRule="auto"/>
        <w:jc w:val="center"/>
        <w:rPr>
          <w:rFonts w:hint="eastAsia" w:ascii="仿宋_GB2312" w:hAnsi="仿宋" w:eastAsia="仿宋_GB2312" w:cs="仿宋_GB2312"/>
          <w:color w:val="auto"/>
          <w:sz w:val="30"/>
          <w:szCs w:val="30"/>
          <w:highlight w:val="none"/>
        </w:rPr>
      </w:pPr>
    </w:p>
    <w:p>
      <w:pPr>
        <w:snapToGrid w:val="0"/>
        <w:spacing w:line="360" w:lineRule="auto"/>
        <w:jc w:val="center"/>
        <w:rPr>
          <w:rFonts w:hint="eastAsia" w:ascii="仿宋_GB2312" w:hAnsi="仿宋" w:eastAsia="仿宋_GB2312" w:cs="仿宋_GB2312"/>
          <w:color w:val="auto"/>
          <w:sz w:val="30"/>
          <w:szCs w:val="30"/>
          <w:highlight w:val="none"/>
          <w:lang w:eastAsia="zh-CN"/>
        </w:rPr>
      </w:pPr>
      <w:r>
        <w:rPr>
          <w:rFonts w:hint="eastAsia" w:ascii="仿宋_GB2312" w:hAnsi="仿宋" w:eastAsia="仿宋_GB2312" w:cs="仿宋_GB2312"/>
          <w:color w:val="auto"/>
          <w:sz w:val="30"/>
          <w:szCs w:val="30"/>
          <w:highlight w:val="none"/>
        </w:rPr>
        <w:t>编号:</w:t>
      </w:r>
      <w:r>
        <w:rPr>
          <w:rFonts w:hint="eastAsia" w:ascii="仿宋_GB2312" w:hAnsi="仿宋" w:eastAsia="仿宋_GB2312" w:cs="仿宋_GB2312"/>
          <w:color w:val="auto"/>
          <w:sz w:val="30"/>
          <w:szCs w:val="30"/>
          <w:highlight w:val="none"/>
          <w:lang w:eastAsia="zh-CN"/>
        </w:rPr>
        <w:t>HZZFCG-2021-184</w:t>
      </w:r>
    </w:p>
    <w:p>
      <w:pPr>
        <w:adjustRightInd/>
        <w:spacing w:line="360" w:lineRule="auto"/>
        <w:rPr>
          <w:rFonts w:ascii="仿宋_GB2312" w:hAnsi="仿宋" w:eastAsia="仿宋_GB2312" w:cs="仿宋_GB2312"/>
          <w:color w:val="auto"/>
          <w:sz w:val="28"/>
          <w:szCs w:val="20"/>
          <w:highlight w:val="none"/>
        </w:rPr>
      </w:pPr>
    </w:p>
    <w:p>
      <w:pPr>
        <w:spacing w:line="360" w:lineRule="auto"/>
        <w:jc w:val="center"/>
        <w:rPr>
          <w:rFonts w:ascii="仿宋_GB2312" w:hAnsi="仿宋" w:eastAsia="仿宋_GB2312" w:cs="仿宋_GB2312"/>
          <w:b/>
          <w:color w:val="auto"/>
          <w:sz w:val="44"/>
          <w:szCs w:val="44"/>
          <w:highlight w:val="none"/>
        </w:rPr>
      </w:pPr>
    </w:p>
    <w:p>
      <w:pPr>
        <w:spacing w:line="360" w:lineRule="auto"/>
        <w:jc w:val="center"/>
        <w:rPr>
          <w:rFonts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spacing w:line="360" w:lineRule="auto"/>
        <w:jc w:val="center"/>
        <w:rPr>
          <w:rFonts w:ascii="仿宋_GB2312" w:hAnsi="仿宋" w:eastAsia="仿宋_GB2312" w:cs="仿宋_GB2312"/>
          <w:color w:val="auto"/>
          <w:sz w:val="24"/>
          <w:highlight w:val="none"/>
        </w:rPr>
      </w:pPr>
    </w:p>
    <w:p>
      <w:pPr>
        <w:spacing w:line="360" w:lineRule="auto"/>
        <w:jc w:val="center"/>
        <w:rPr>
          <w:rFonts w:ascii="仿宋_GB2312" w:hAnsi="仿宋" w:eastAsia="仿宋_GB2312" w:cs="仿宋_GB2312"/>
          <w:color w:val="auto"/>
          <w:sz w:val="24"/>
          <w:highlight w:val="none"/>
        </w:rPr>
      </w:pPr>
    </w:p>
    <w:p>
      <w:pPr>
        <w:spacing w:line="360" w:lineRule="auto"/>
        <w:jc w:val="center"/>
        <w:rPr>
          <w:rFonts w:ascii="仿宋_GB2312" w:hAnsi="仿宋" w:eastAsia="仿宋_GB2312" w:cs="仿宋_GB2312"/>
          <w:color w:val="auto"/>
          <w:sz w:val="24"/>
          <w:highlight w:val="none"/>
        </w:rPr>
      </w:pPr>
    </w:p>
    <w:p>
      <w:pPr>
        <w:spacing w:line="360" w:lineRule="auto"/>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24"/>
          <w:highlight w:val="none"/>
        </w:rPr>
        <w:t xml:space="preserve">                                      </w:t>
      </w:r>
    </w:p>
    <w:p>
      <w:pPr>
        <w:snapToGrid w:val="0"/>
        <w:spacing w:line="360" w:lineRule="auto"/>
        <w:jc w:val="center"/>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lang w:eastAsia="zh-CN"/>
        </w:rPr>
        <w:t>杭州技师学院</w:t>
      </w:r>
    </w:p>
    <w:p>
      <w:pPr>
        <w:spacing w:line="360" w:lineRule="auto"/>
        <w:jc w:val="center"/>
        <w:rPr>
          <w:rFonts w:ascii="仿宋_GB2312" w:hAnsi="仿宋"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杭州市公共资源交易中心（杭州市政府采购中心）</w:t>
      </w:r>
    </w:p>
    <w:p>
      <w:pPr>
        <w:snapToGrid w:val="0"/>
        <w:spacing w:line="360" w:lineRule="auto"/>
        <w:jc w:val="center"/>
        <w:rPr>
          <w:rFonts w:ascii="仿宋_GB2312" w:hAnsi="仿宋"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 w:eastAsia="仿宋_GB2312" w:cs="仿宋_GB2312"/>
          <w:bCs/>
          <w:color w:val="auto"/>
          <w:sz w:val="32"/>
          <w:szCs w:val="32"/>
          <w:highlight w:val="none"/>
        </w:rPr>
        <w:t>二</w:t>
      </w:r>
      <w:r>
        <w:rPr>
          <w:rFonts w:hint="eastAsia" w:ascii="宋体" w:hAnsi="宋体" w:cs="宋体"/>
          <w:bCs/>
          <w:color w:val="auto"/>
          <w:sz w:val="32"/>
          <w:szCs w:val="32"/>
          <w:highlight w:val="none"/>
        </w:rPr>
        <w:t>一</w:t>
      </w:r>
      <w:r>
        <w:rPr>
          <w:rFonts w:hint="eastAsia" w:ascii="仿宋_GB2312" w:hAnsi="仿宋" w:eastAsia="仿宋_GB2312" w:cs="仿宋_GB2312"/>
          <w:bCs/>
          <w:color w:val="auto"/>
          <w:sz w:val="32"/>
          <w:szCs w:val="32"/>
          <w:highlight w:val="none"/>
        </w:rPr>
        <w:t>年</w:t>
      </w:r>
      <w:r>
        <w:rPr>
          <w:rFonts w:hint="eastAsia" w:ascii="仿宋_GB2312" w:hAnsi="仿宋" w:eastAsia="仿宋_GB2312" w:cs="仿宋_GB2312"/>
          <w:bCs/>
          <w:color w:val="auto"/>
          <w:sz w:val="32"/>
          <w:szCs w:val="32"/>
          <w:highlight w:val="none"/>
          <w:lang w:eastAsia="zh-CN"/>
        </w:rPr>
        <w:t>十二</w:t>
      </w:r>
      <w:r>
        <w:rPr>
          <w:rFonts w:hint="eastAsia" w:ascii="仿宋_GB2312" w:hAnsi="仿宋" w:eastAsia="仿宋_GB2312" w:cs="仿宋_GB2312"/>
          <w:bCs/>
          <w:color w:val="auto"/>
          <w:sz w:val="32"/>
          <w:szCs w:val="32"/>
          <w:highlight w:val="none"/>
        </w:rPr>
        <w:t>月</w:t>
      </w:r>
      <w:r>
        <w:rPr>
          <w:rFonts w:hint="eastAsia" w:ascii="仿宋_GB2312" w:hAnsi="仿宋" w:eastAsia="仿宋_GB2312" w:cs="仿宋_GB2312"/>
          <w:bCs/>
          <w:color w:val="auto"/>
          <w:sz w:val="32"/>
          <w:szCs w:val="32"/>
          <w:highlight w:val="none"/>
          <w:lang w:eastAsia="zh-CN"/>
        </w:rPr>
        <w:t>二</w:t>
      </w:r>
      <w:r>
        <w:rPr>
          <w:rFonts w:hint="eastAsia" w:ascii="仿宋_GB2312" w:hAnsi="仿宋" w:eastAsia="仿宋_GB2312" w:cs="仿宋_GB2312"/>
          <w:bCs/>
          <w:color w:val="auto"/>
          <w:sz w:val="32"/>
          <w:szCs w:val="32"/>
          <w:highlight w:val="none"/>
        </w:rPr>
        <w:t>日</w:t>
      </w:r>
    </w:p>
    <w:p>
      <w:pPr>
        <w:spacing w:line="360" w:lineRule="auto"/>
        <w:jc w:val="center"/>
        <w:rPr>
          <w:rFonts w:ascii="仿宋_GB2312" w:hAnsi="仿宋" w:eastAsia="仿宋_GB2312" w:cs="仿宋_GB2312"/>
          <w:b/>
          <w:color w:val="auto"/>
          <w:sz w:val="48"/>
          <w:szCs w:val="48"/>
          <w:highlight w:val="none"/>
        </w:rPr>
      </w:pPr>
      <w:r>
        <w:rPr>
          <w:rFonts w:hint="eastAsia" w:ascii="仿宋_GB2312" w:hAnsi="仿宋" w:eastAsia="仿宋_GB2312" w:cs="仿宋_GB2312"/>
          <w:color w:val="auto"/>
          <w:sz w:val="24"/>
          <w:highlight w:val="none"/>
        </w:rPr>
        <w:br w:type="page"/>
      </w:r>
      <w:bookmarkStart w:id="0" w:name="_Hlt67893495"/>
      <w:bookmarkEnd w:id="0"/>
      <w:r>
        <w:rPr>
          <w:rFonts w:hint="eastAsia" w:ascii="仿宋_GB2312" w:hAnsi="仿宋" w:eastAsia="仿宋_GB2312" w:cs="仿宋_GB2312"/>
          <w:b/>
          <w:color w:val="auto"/>
          <w:sz w:val="48"/>
          <w:szCs w:val="48"/>
          <w:highlight w:val="none"/>
        </w:rPr>
        <w:t>目  录</w:t>
      </w:r>
    </w:p>
    <w:p>
      <w:pPr>
        <w:spacing w:line="360" w:lineRule="auto"/>
        <w:rPr>
          <w:rFonts w:ascii="仿宋_GB2312" w:hAnsi="仿宋" w:eastAsia="仿宋_GB2312" w:cs="仿宋_GB2312"/>
          <w:color w:val="auto"/>
          <w:sz w:val="32"/>
          <w:szCs w:val="32"/>
          <w:highlight w:val="none"/>
        </w:rPr>
      </w:pPr>
    </w:p>
    <w:p>
      <w:pPr>
        <w:spacing w:line="360" w:lineRule="auto"/>
        <w:rPr>
          <w:rFonts w:ascii="仿宋_GB2312" w:hAnsi="仿宋" w:eastAsia="仿宋_GB2312" w:cs="仿宋_GB2312"/>
          <w:color w:val="auto"/>
          <w:sz w:val="32"/>
          <w:szCs w:val="32"/>
          <w:highlight w:val="none"/>
        </w:rPr>
      </w:pP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第一部分      招标公告</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第二部分      投标人须知</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第三部分      采购需求</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第四部分      评标方法及评分标准</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第五部分      拟签订的合同文本</w:t>
      </w:r>
    </w:p>
    <w:p>
      <w:pPr>
        <w:spacing w:line="360" w:lineRule="auto"/>
        <w:ind w:firstLine="1280" w:firstLineChars="4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第六部分      应提交的有关格式范例</w:t>
      </w:r>
    </w:p>
    <w:p>
      <w:pPr>
        <w:spacing w:line="360" w:lineRule="auto"/>
        <w:ind w:firstLine="549" w:firstLineChars="229"/>
        <w:rPr>
          <w:rFonts w:ascii="仿宋_GB2312" w:hAnsi="仿宋" w:eastAsia="仿宋_GB2312" w:cs="仿宋_GB2312"/>
          <w:color w:val="auto"/>
          <w:sz w:val="24"/>
          <w:highlight w:val="none"/>
        </w:rPr>
      </w:pPr>
      <w:bookmarkStart w:id="1" w:name="_Hlt91233176"/>
      <w:bookmarkEnd w:id="1"/>
      <w:bookmarkStart w:id="2" w:name="_Toc91899869"/>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p>
      <w:pPr>
        <w:spacing w:line="360" w:lineRule="auto"/>
        <w:ind w:firstLine="549" w:firstLineChars="229"/>
        <w:rPr>
          <w:rFonts w:ascii="仿宋_GB2312" w:hAnsi="仿宋" w:eastAsia="仿宋_GB2312" w:cs="仿宋_GB2312"/>
          <w:color w:val="auto"/>
          <w:sz w:val="24"/>
          <w:highlight w:val="none"/>
        </w:rPr>
      </w:pPr>
    </w:p>
    <w:bookmarkEnd w:id="2"/>
    <w:p>
      <w:pPr>
        <w:adjustRightInd/>
        <w:spacing w:line="360" w:lineRule="auto"/>
        <w:jc w:val="center"/>
        <w:outlineLvl w:val="0"/>
        <w:rPr>
          <w:rFonts w:ascii="仿宋_GB2312" w:hAnsi="仿宋" w:eastAsia="仿宋_GB2312" w:cs="仿宋_GB2312"/>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ascii="仿宋_GB2312" w:hAnsi="仿宋" w:eastAsia="仿宋_GB2312" w:cs="仿宋_GB2312"/>
          <w:b/>
          <w:color w:val="auto"/>
          <w:sz w:val="36"/>
          <w:szCs w:val="20"/>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杭州技师学院2022年物业服务采购项目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5"/>
          <w:rFonts w:hint="eastAsia" w:ascii="仿宋_GB2312" w:hAnsi="仿宋" w:eastAsia="仿宋_GB2312" w:cs="Times New Roman"/>
          <w:snapToGrid/>
          <w:color w:val="auto"/>
          <w:kern w:val="2"/>
          <w:sz w:val="24"/>
          <w:szCs w:val="24"/>
          <w:highlight w:val="none"/>
        </w:rPr>
        <w:t>https://www.zcygov.cn/）获取（下载）招标文件，并于2021年</w:t>
      </w:r>
      <w:r>
        <w:rPr>
          <w:rStyle w:val="75"/>
          <w:rFonts w:hint="eastAsia" w:ascii="仿宋_GB2312" w:hAnsi="仿宋" w:eastAsia="仿宋_GB2312" w:cs="Times New Roman"/>
          <w:snapToGrid/>
          <w:color w:val="auto"/>
          <w:kern w:val="2"/>
          <w:sz w:val="24"/>
          <w:szCs w:val="24"/>
          <w:highlight w:val="none"/>
        </w:rPr>
        <w:fldChar w:fldCharType="end"/>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分00秒</w:t>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一、项目基本情况                                            </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HZZFCG-2021-184</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杭州技师学院2022年物业服务采购项目</w:t>
      </w:r>
    </w:p>
    <w:p>
      <w:pPr>
        <w:spacing w:line="360" w:lineRule="auto"/>
        <w:rPr>
          <w:rFonts w:hint="default" w:ascii="仿宋" w:hAnsi="仿宋" w:eastAsia="仿宋"/>
          <w:b w:val="0"/>
          <w:bCs w:val="0"/>
          <w:color w:val="auto"/>
          <w:sz w:val="24"/>
          <w:highlight w:val="none"/>
          <w:lang w:val="en-US" w:eastAsia="zh-CN"/>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 xml:space="preserve"> 预算金额（元）：</w:t>
      </w:r>
      <w:r>
        <w:rPr>
          <w:rFonts w:hint="eastAsia" w:ascii="仿宋" w:hAnsi="仿宋" w:eastAsia="仿宋"/>
          <w:color w:val="auto"/>
          <w:sz w:val="24"/>
          <w:highlight w:val="none"/>
          <w:lang w:val="en-US" w:eastAsia="zh-CN"/>
        </w:rPr>
        <w:t>26730000.00</w:t>
      </w:r>
      <w:r>
        <w:rPr>
          <w:rFonts w:hint="eastAsia" w:ascii="仿宋" w:hAnsi="仿宋" w:eastAsia="仿宋"/>
          <w:b w:val="0"/>
          <w:bCs w:val="0"/>
          <w:color w:val="auto"/>
          <w:sz w:val="24"/>
          <w:highlight w:val="none"/>
          <w:lang w:val="en-US" w:eastAsia="zh-CN"/>
        </w:rPr>
        <w:t>（两年总预算</w:t>
      </w:r>
      <w:r>
        <w:rPr>
          <w:rFonts w:hint="eastAsia" w:ascii="仿宋" w:hAnsi="仿宋" w:eastAsia="仿宋"/>
          <w:b w:val="0"/>
          <w:bCs w:val="0"/>
          <w:color w:val="auto"/>
          <w:sz w:val="24"/>
          <w:highlight w:val="none"/>
          <w:lang w:eastAsia="zh-CN"/>
        </w:rPr>
        <w:t>2022</w:t>
      </w:r>
      <w:r>
        <w:rPr>
          <w:rFonts w:hint="eastAsia" w:ascii="仿宋" w:hAnsi="仿宋" w:eastAsia="仿宋"/>
          <w:b w:val="0"/>
          <w:bCs w:val="0"/>
          <w:color w:val="auto"/>
          <w:sz w:val="24"/>
          <w:highlight w:val="none"/>
        </w:rPr>
        <w:t>年</w:t>
      </w:r>
      <w:r>
        <w:rPr>
          <w:rFonts w:hint="eastAsia" w:ascii="仿宋" w:hAnsi="仿宋" w:eastAsia="仿宋"/>
          <w:b w:val="0"/>
          <w:bCs w:val="0"/>
          <w:color w:val="auto"/>
          <w:sz w:val="24"/>
          <w:highlight w:val="none"/>
          <w:lang w:val="en-US" w:eastAsia="zh-CN"/>
        </w:rPr>
        <w:t>1</w:t>
      </w:r>
      <w:r>
        <w:rPr>
          <w:rFonts w:hint="eastAsia" w:ascii="仿宋" w:hAnsi="仿宋" w:eastAsia="仿宋"/>
          <w:b w:val="0"/>
          <w:bCs w:val="0"/>
          <w:color w:val="auto"/>
          <w:sz w:val="24"/>
          <w:highlight w:val="none"/>
        </w:rPr>
        <w:t>月1日起</w:t>
      </w:r>
      <w:r>
        <w:rPr>
          <w:rFonts w:hint="eastAsia" w:ascii="仿宋" w:hAnsi="仿宋" w:eastAsia="仿宋"/>
          <w:b w:val="0"/>
          <w:bCs w:val="0"/>
          <w:color w:val="auto"/>
          <w:sz w:val="24"/>
          <w:highlight w:val="none"/>
          <w:lang w:eastAsia="zh-CN"/>
        </w:rPr>
        <w:t>202</w:t>
      </w:r>
      <w:r>
        <w:rPr>
          <w:rFonts w:hint="eastAsia" w:ascii="仿宋" w:hAnsi="仿宋" w:eastAsia="仿宋"/>
          <w:b w:val="0"/>
          <w:bCs w:val="0"/>
          <w:color w:val="auto"/>
          <w:sz w:val="24"/>
          <w:highlight w:val="none"/>
          <w:lang w:val="en-US" w:eastAsia="zh-CN"/>
        </w:rPr>
        <w:t>3</w:t>
      </w:r>
      <w:r>
        <w:rPr>
          <w:rFonts w:hint="eastAsia" w:ascii="仿宋" w:hAnsi="仿宋" w:eastAsia="仿宋"/>
          <w:b w:val="0"/>
          <w:bCs w:val="0"/>
          <w:color w:val="auto"/>
          <w:sz w:val="24"/>
          <w:highlight w:val="none"/>
        </w:rPr>
        <w:t>年12月31日</w:t>
      </w:r>
      <w:r>
        <w:rPr>
          <w:rFonts w:hint="eastAsia" w:ascii="仿宋" w:hAnsi="仿宋" w:eastAsia="仿宋"/>
          <w:b w:val="0"/>
          <w:bCs w:val="0"/>
          <w:color w:val="auto"/>
          <w:sz w:val="24"/>
          <w:highlight w:val="none"/>
          <w:lang w:val="en-US" w:eastAsia="zh-CN"/>
        </w:rPr>
        <w:t>）</w:t>
      </w:r>
    </w:p>
    <w:p>
      <w:pPr>
        <w:spacing w:line="360" w:lineRule="auto"/>
        <w:ind w:firstLine="480"/>
        <w:rPr>
          <w:rFonts w:hint="default" w:ascii="仿宋" w:hAnsi="仿宋" w:eastAsia="仿宋"/>
          <w:color w:val="auto"/>
          <w:sz w:val="24"/>
          <w:highlight w:val="none"/>
          <w:lang w:val="en-US" w:eastAsia="zh-CN"/>
        </w:rPr>
      </w:pPr>
      <w:r>
        <w:rPr>
          <w:rFonts w:hint="eastAsia" w:ascii="仿宋" w:hAnsi="仿宋" w:eastAsia="仿宋"/>
          <w:b/>
          <w:bCs/>
          <w:color w:val="auto"/>
          <w:sz w:val="24"/>
          <w:highlight w:val="none"/>
        </w:rPr>
        <w:t>最高限价（元）</w:t>
      </w:r>
      <w:r>
        <w:rPr>
          <w:rFonts w:hint="eastAsia" w:ascii="仿宋" w:hAnsi="仿宋" w:eastAsia="仿宋"/>
          <w:b/>
          <w:bCs/>
          <w:color w:val="auto"/>
          <w:sz w:val="24"/>
          <w:highlight w:val="none"/>
          <w:lang w:eastAsia="zh-CN"/>
        </w:rPr>
        <w:t>：</w:t>
      </w:r>
      <w:r>
        <w:rPr>
          <w:rFonts w:hint="eastAsia" w:ascii="仿宋" w:hAnsi="仿宋" w:eastAsia="仿宋"/>
          <w:color w:val="auto"/>
          <w:sz w:val="24"/>
          <w:highlight w:val="none"/>
        </w:rPr>
        <w:t>1336</w:t>
      </w:r>
      <w:r>
        <w:rPr>
          <w:rFonts w:hint="eastAsia" w:ascii="仿宋" w:hAnsi="仿宋" w:eastAsia="仿宋"/>
          <w:color w:val="auto"/>
          <w:sz w:val="24"/>
          <w:highlight w:val="none"/>
          <w:lang w:val="en-US" w:eastAsia="zh-CN"/>
        </w:rPr>
        <w:t>5000.00元/年</w:t>
      </w:r>
    </w:p>
    <w:p>
      <w:pPr>
        <w:spacing w:line="360" w:lineRule="auto"/>
        <w:ind w:firstLine="482" w:firstLineChars="200"/>
        <w:rPr>
          <w:rFonts w:ascii="仿宋_GB2312" w:hAnsi="仿宋" w:eastAsia="仿宋_GB2312" w:cs="Helvetica"/>
          <w:color w:val="auto"/>
          <w:kern w:val="0"/>
          <w:highlight w:val="none"/>
        </w:rPr>
      </w:pPr>
      <w:r>
        <w:rPr>
          <w:rFonts w:hint="eastAsia" w:ascii="仿宋_GB2312" w:hAnsi="仿宋" w:eastAsia="仿宋_GB2312"/>
          <w:b/>
          <w:color w:val="auto"/>
          <w:sz w:val="24"/>
          <w:highlight w:val="none"/>
        </w:rPr>
        <w:t>采购需求：</w:t>
      </w:r>
      <w:r>
        <w:rPr>
          <w:rFonts w:hint="eastAsia" w:ascii="仿宋" w:hAnsi="仿宋" w:eastAsia="仿宋" w:cs="仿宋"/>
          <w:bCs/>
          <w:color w:val="auto"/>
          <w:sz w:val="24"/>
          <w:highlight w:val="none"/>
        </w:rPr>
        <w:t>杭州技师学院位于杭州市桐庐县桐君街道君山村坞泥口，学校占地面积约535亩，建筑面积159749.78平方米，绿化养护总面积约106458平方米(含足球场7140平方米) ，校本部在校生4500人左右，教职工500余人。主要建筑物有教学楼3幢、实训楼5幢、学生公寓楼7幢、食堂、图书楼、模具实习中心、普车实训中心、数控实训中心、通用航空培训中心及机库、学生活动中心、体育馆、培训楼、行政楼各1幢、行政楼地下室有人防工程1处、实训楼1地下室有消防控制室1处、校内有变电房4处、发电机房3处、核心机房2个、南、北校门收发传达室各1个、通航中心交接处及桥洞和通航中心连接新校区需各设岗亭1处。另外，有400米田径场和足球场各1个、篮球场4处、羽毛球场3处、排球场和网球场各1处、驾驶训练场1处、水泵房1个、污水处理站1个、消控室1个、地下停车库1处、室外停车棚4处共54个停车位和室外停车场200多个停车位。物业具体内容共有：学校收发、传达、保安、秩序管理和消防、监控设施维护；学校办公、环境卫生管理；学生宿舍、校史馆、体育馆、田径场、球场管理维护；绿化管理养护；实训教学设备维护（机床、举升机、空压机、焊机、外形修复机打磨机、烤漆房等）、供电设备管理维护；给排水设备运行维护；空调系统运行维护；学校网络设施（计算机、监控、广播、电子屏、电话、电视网络）、多媒体设备（含教室、会议室、报告厅、运动场、体育馆等音响）、校园一卡通设施维护；房屋、道路及设施设备的零星维修及零星安装；电梯运行管理及维护；医务室管理；**室管理；校园雕塑、亮灯工程、净水设备、停车棚、太阳能设备、景观湖、河道等的管理及维护；会务服务和采购人交办的其他服务管理工作等。本次采购共一个标项，不得拆标。具体内容和相关要求详见招标文件。</w:t>
      </w:r>
    </w:p>
    <w:p>
      <w:pPr>
        <w:spacing w:line="360" w:lineRule="auto"/>
        <w:ind w:firstLine="482" w:firstLineChars="200"/>
        <w:rPr>
          <w:rFonts w:ascii="仿宋" w:hAnsi="仿宋" w:eastAsia="仿宋"/>
          <w:color w:val="auto"/>
          <w:sz w:val="24"/>
          <w:highlight w:val="none"/>
        </w:rPr>
      </w:pPr>
      <w:r>
        <w:rPr>
          <w:rFonts w:hint="eastAsia" w:ascii="仿宋_GB2312" w:hAnsi="仿宋" w:eastAsia="仿宋_GB2312"/>
          <w:b/>
          <w:color w:val="auto"/>
          <w:sz w:val="24"/>
          <w:highlight w:val="none"/>
        </w:rPr>
        <w:t>合同履约期限：</w:t>
      </w:r>
      <w:r>
        <w:rPr>
          <w:rFonts w:hint="eastAsia" w:ascii="仿宋" w:hAnsi="仿宋" w:eastAsia="仿宋"/>
          <w:b/>
          <w:bCs/>
          <w:color w:val="auto"/>
          <w:sz w:val="24"/>
          <w:highlight w:val="none"/>
        </w:rPr>
        <w:t>自</w:t>
      </w:r>
      <w:r>
        <w:rPr>
          <w:rFonts w:hint="eastAsia" w:ascii="仿宋" w:hAnsi="仿宋" w:eastAsia="仿宋"/>
          <w:b/>
          <w:bCs/>
          <w:color w:val="auto"/>
          <w:sz w:val="24"/>
          <w:highlight w:val="none"/>
          <w:lang w:eastAsia="zh-CN"/>
        </w:rPr>
        <w:t>2022</w:t>
      </w:r>
      <w:r>
        <w:rPr>
          <w:rFonts w:hint="eastAsia" w:ascii="仿宋" w:hAnsi="仿宋" w:eastAsia="仿宋"/>
          <w:b/>
          <w:bCs/>
          <w:color w:val="auto"/>
          <w:sz w:val="24"/>
          <w:highlight w:val="none"/>
        </w:rPr>
        <w:t>年</w:t>
      </w:r>
      <w:r>
        <w:rPr>
          <w:rFonts w:hint="eastAsia" w:ascii="仿宋" w:hAnsi="仿宋" w:eastAsia="仿宋"/>
          <w:b/>
          <w:bCs/>
          <w:color w:val="auto"/>
          <w:sz w:val="24"/>
          <w:highlight w:val="none"/>
          <w:lang w:val="en-US" w:eastAsia="zh-CN"/>
        </w:rPr>
        <w:t>1</w:t>
      </w:r>
      <w:r>
        <w:rPr>
          <w:rFonts w:hint="eastAsia" w:ascii="仿宋" w:hAnsi="仿宋" w:eastAsia="仿宋"/>
          <w:b/>
          <w:bCs/>
          <w:color w:val="auto"/>
          <w:sz w:val="24"/>
          <w:highlight w:val="none"/>
        </w:rPr>
        <w:t>月1日起</w:t>
      </w:r>
      <w:r>
        <w:rPr>
          <w:rFonts w:hint="eastAsia" w:ascii="仿宋" w:hAnsi="仿宋" w:eastAsia="仿宋"/>
          <w:b/>
          <w:bCs/>
          <w:color w:val="auto"/>
          <w:sz w:val="24"/>
          <w:highlight w:val="none"/>
          <w:lang w:eastAsia="zh-CN"/>
        </w:rPr>
        <w:t>202</w:t>
      </w:r>
      <w:r>
        <w:rPr>
          <w:rFonts w:hint="eastAsia" w:ascii="仿宋" w:hAnsi="仿宋" w:eastAsia="仿宋"/>
          <w:b/>
          <w:bCs/>
          <w:color w:val="auto"/>
          <w:sz w:val="24"/>
          <w:highlight w:val="none"/>
          <w:lang w:val="en-US" w:eastAsia="zh-CN"/>
        </w:rPr>
        <w:t>2</w:t>
      </w:r>
      <w:r>
        <w:rPr>
          <w:rFonts w:hint="eastAsia" w:ascii="仿宋" w:hAnsi="仿宋" w:eastAsia="仿宋"/>
          <w:b/>
          <w:bCs/>
          <w:color w:val="auto"/>
          <w:sz w:val="24"/>
          <w:highlight w:val="none"/>
        </w:rPr>
        <w:t>年12月31日。合同期满，采购人有权要求供应商延续提供1-2个月的服务，费用标准按原合同规定执行。</w:t>
      </w:r>
      <w:r>
        <w:rPr>
          <w:rFonts w:hint="eastAsia" w:ascii="仿宋" w:hAnsi="仿宋" w:eastAsia="仿宋"/>
          <w:b/>
          <w:bCs/>
          <w:color w:val="auto"/>
          <w:sz w:val="24"/>
          <w:highlight w:val="none"/>
          <w:lang w:val="en-US" w:eastAsia="zh-CN"/>
        </w:rPr>
        <w:t>在中标有效期内</w:t>
      </w:r>
      <w:r>
        <w:rPr>
          <w:rFonts w:hint="eastAsia" w:ascii="仿宋" w:hAnsi="仿宋" w:eastAsia="仿宋"/>
          <w:b/>
          <w:bCs/>
          <w:color w:val="auto"/>
          <w:sz w:val="24"/>
          <w:highlight w:val="none"/>
        </w:rPr>
        <w:t>，供应商能严格履行合同，通过采购人的考核，可以续签合同，物业费标准根据财政等部门的规定调整，但续签不超过</w:t>
      </w:r>
      <w:r>
        <w:rPr>
          <w:rFonts w:hint="eastAsia" w:ascii="仿宋" w:hAnsi="仿宋" w:eastAsia="仿宋"/>
          <w:b/>
          <w:bCs/>
          <w:color w:val="auto"/>
          <w:sz w:val="24"/>
          <w:highlight w:val="none"/>
          <w:lang w:val="en-US" w:eastAsia="zh-CN"/>
        </w:rPr>
        <w:t>1</w:t>
      </w:r>
      <w:r>
        <w:rPr>
          <w:rFonts w:hint="eastAsia" w:ascii="仿宋" w:hAnsi="仿宋" w:eastAsia="仿宋"/>
          <w:b/>
          <w:bCs/>
          <w:color w:val="auto"/>
          <w:sz w:val="24"/>
          <w:highlight w:val="none"/>
        </w:rPr>
        <w:t>年。</w:t>
      </w:r>
    </w:p>
    <w:p>
      <w:pP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本项目（否）接受联合体投标。</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1.满足《中华人民共和国政府采购法》第二十二条规定；</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2.落实政府采购政策需满足的资格要求：</w:t>
      </w:r>
      <w:r>
        <w:rPr>
          <w:rFonts w:hint="eastAsia" w:ascii="仿宋" w:hAnsi="仿宋" w:eastAsia="仿宋"/>
          <w:color w:val="auto"/>
          <w:sz w:val="24"/>
          <w:highlight w:val="none"/>
        </w:rPr>
        <w:t>本项目属于专门面向中小企业采购的项目,供应商应为中、小、微型企业，监狱企业、残疾人福利性单位</w:t>
      </w:r>
      <w:r>
        <w:rPr>
          <w:rFonts w:hint="eastAsia"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3.本项目的特定资格要求：无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三、获取招标文件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rPr>
        <w:t>/至2021年</w:t>
      </w:r>
      <w:r>
        <w:rPr>
          <w:rFonts w:hint="eastAsia" w:ascii="仿宋_GB2312" w:hAnsi="仿宋" w:eastAsia="仿宋_GB2312"/>
          <w:color w:val="auto"/>
          <w:sz w:val="24"/>
          <w:highlight w:val="none"/>
          <w:lang w:val="en-US" w:eastAsia="zh-CN"/>
        </w:rPr>
        <w:t>12</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23</w:t>
      </w:r>
      <w:r>
        <w:rPr>
          <w:rFonts w:hint="eastAsia" w:ascii="仿宋_GB2312" w:hAnsi="仿宋" w:eastAsia="仿宋_GB2312"/>
          <w:color w:val="auto"/>
          <w:sz w:val="24"/>
          <w:highlight w:val="none"/>
        </w:rPr>
        <w:t>日 ，每天上午00:00至12:00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 xml:space="preserve">政采云平台（https://www.zcygov.cn/）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hint="eastAsia" w:ascii="仿宋_GB2312" w:hAnsi="仿宋" w:eastAsia="仿宋_GB2312"/>
          <w:color w:val="auto"/>
          <w:sz w:val="24"/>
          <w:highlight w:val="none"/>
        </w:rPr>
        <w:t xml:space="preserve">0 </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none"/>
        </w:rPr>
        <w:t>2021年</w:t>
      </w:r>
      <w:r>
        <w:rPr>
          <w:rFonts w:hint="eastAsia" w:ascii="仿宋_GB2312" w:hAnsi="仿宋" w:eastAsia="仿宋_GB2312"/>
          <w:color w:val="auto"/>
          <w:sz w:val="24"/>
          <w:highlight w:val="none"/>
          <w:u w:val="none"/>
          <w:lang w:val="en-US" w:eastAsia="zh-CN"/>
        </w:rPr>
        <w:t>12</w:t>
      </w:r>
      <w:r>
        <w:rPr>
          <w:rFonts w:hint="eastAsia" w:ascii="仿宋_GB2312" w:hAnsi="仿宋" w:eastAsia="仿宋_GB2312"/>
          <w:color w:val="auto"/>
          <w:sz w:val="24"/>
          <w:highlight w:val="none"/>
          <w:u w:val="none"/>
        </w:rPr>
        <w:t>月</w:t>
      </w:r>
      <w:r>
        <w:rPr>
          <w:rFonts w:hint="eastAsia" w:ascii="仿宋_GB2312" w:hAnsi="仿宋" w:eastAsia="仿宋_GB2312"/>
          <w:color w:val="auto"/>
          <w:sz w:val="24"/>
          <w:highlight w:val="none"/>
          <w:u w:val="none"/>
          <w:lang w:val="en-US" w:eastAsia="zh-CN"/>
        </w:rPr>
        <w:t>23</w:t>
      </w:r>
      <w:r>
        <w:rPr>
          <w:rFonts w:hint="eastAsia" w:ascii="仿宋_GB2312" w:hAnsi="仿宋" w:eastAsia="仿宋_GB2312"/>
          <w:color w:val="auto"/>
          <w:sz w:val="24"/>
          <w:highlight w:val="none"/>
          <w:u w:val="none"/>
        </w:rPr>
        <w:t>日</w:t>
      </w:r>
      <w:r>
        <w:rPr>
          <w:rFonts w:hint="eastAsia" w:ascii="仿宋_GB2312" w:hAnsi="仿宋" w:eastAsia="仿宋_GB2312"/>
          <w:color w:val="auto"/>
          <w:sz w:val="24"/>
          <w:highlight w:val="none"/>
          <w:u w:val="none"/>
          <w:lang w:val="en-US" w:eastAsia="zh-CN"/>
        </w:rPr>
        <w:t>9</w:t>
      </w:r>
      <w:r>
        <w:rPr>
          <w:rFonts w:hint="eastAsia" w:ascii="仿宋_GB2312" w:hAnsi="仿宋" w:eastAsia="仿宋_GB2312"/>
          <w:color w:val="auto"/>
          <w:sz w:val="24"/>
          <w:highlight w:val="none"/>
          <w:u w:val="none"/>
        </w:rPr>
        <w:t>点</w:t>
      </w:r>
      <w:r>
        <w:rPr>
          <w:rFonts w:hint="eastAsia" w:ascii="仿宋_GB2312" w:hAnsi="仿宋" w:eastAsia="仿宋_GB2312"/>
          <w:color w:val="auto"/>
          <w:sz w:val="24"/>
          <w:highlight w:val="none"/>
          <w:u w:val="none"/>
          <w:lang w:val="en-US" w:eastAsia="zh-CN"/>
        </w:rPr>
        <w:t>30</w:t>
      </w:r>
      <w:r>
        <w:rPr>
          <w:rFonts w:hint="eastAsia" w:ascii="仿宋_GB2312" w:hAnsi="仿宋" w:eastAsia="仿宋_GB2312"/>
          <w:color w:val="auto"/>
          <w:sz w:val="24"/>
          <w:highlight w:val="none"/>
          <w:u w:val="none"/>
        </w:rPr>
        <w:t>分00秒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 xml:space="preserve">政采云平台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none"/>
        </w:rPr>
        <w:t>2021年</w:t>
      </w:r>
      <w:r>
        <w:rPr>
          <w:rFonts w:hint="eastAsia" w:ascii="仿宋_GB2312" w:hAnsi="仿宋" w:eastAsia="仿宋_GB2312"/>
          <w:color w:val="auto"/>
          <w:sz w:val="24"/>
          <w:highlight w:val="none"/>
          <w:u w:val="none"/>
          <w:lang w:val="en-US" w:eastAsia="zh-CN"/>
        </w:rPr>
        <w:t>12</w:t>
      </w:r>
      <w:r>
        <w:rPr>
          <w:rFonts w:hint="eastAsia" w:ascii="仿宋_GB2312" w:hAnsi="仿宋" w:eastAsia="仿宋_GB2312"/>
          <w:color w:val="auto"/>
          <w:sz w:val="24"/>
          <w:highlight w:val="none"/>
          <w:u w:val="none"/>
        </w:rPr>
        <w:t>月</w:t>
      </w:r>
      <w:r>
        <w:rPr>
          <w:rFonts w:hint="eastAsia" w:ascii="仿宋_GB2312" w:hAnsi="仿宋" w:eastAsia="仿宋_GB2312"/>
          <w:color w:val="auto"/>
          <w:sz w:val="24"/>
          <w:highlight w:val="none"/>
          <w:u w:val="none"/>
          <w:lang w:val="en-US" w:eastAsia="zh-CN"/>
        </w:rPr>
        <w:t>23</w:t>
      </w:r>
      <w:r>
        <w:rPr>
          <w:rFonts w:hint="eastAsia" w:ascii="仿宋_GB2312" w:hAnsi="仿宋" w:eastAsia="仿宋_GB2312"/>
          <w:color w:val="auto"/>
          <w:sz w:val="24"/>
          <w:highlight w:val="none"/>
          <w:u w:val="none"/>
        </w:rPr>
        <w:t>日</w:t>
      </w:r>
      <w:r>
        <w:rPr>
          <w:rFonts w:hint="eastAsia" w:ascii="仿宋_GB2312" w:hAnsi="仿宋" w:eastAsia="仿宋_GB2312"/>
          <w:color w:val="auto"/>
          <w:sz w:val="24"/>
          <w:highlight w:val="none"/>
          <w:u w:val="none"/>
          <w:lang w:val="en-US" w:eastAsia="zh-CN"/>
        </w:rPr>
        <w:t>9</w:t>
      </w:r>
      <w:r>
        <w:rPr>
          <w:rFonts w:hint="eastAsia" w:ascii="仿宋_GB2312" w:hAnsi="仿宋" w:eastAsia="仿宋_GB2312"/>
          <w:color w:val="auto"/>
          <w:sz w:val="24"/>
          <w:highlight w:val="none"/>
          <w:u w:val="none"/>
        </w:rPr>
        <w:t>点</w:t>
      </w:r>
      <w:r>
        <w:rPr>
          <w:rFonts w:hint="eastAsia" w:ascii="仿宋_GB2312" w:hAnsi="仿宋" w:eastAsia="仿宋_GB2312"/>
          <w:color w:val="auto"/>
          <w:sz w:val="24"/>
          <w:highlight w:val="none"/>
          <w:u w:val="none"/>
          <w:lang w:val="en-US" w:eastAsia="zh-CN"/>
        </w:rPr>
        <w:t>30</w:t>
      </w:r>
      <w:r>
        <w:rPr>
          <w:rFonts w:hint="eastAsia" w:ascii="仿宋_GB2312" w:hAnsi="仿宋" w:eastAsia="仿宋_GB2312"/>
          <w:color w:val="auto"/>
          <w:sz w:val="24"/>
          <w:highlight w:val="none"/>
          <w:u w:val="none"/>
        </w:rPr>
        <w:t>分00秒</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w:t>
      </w:r>
      <w:r>
        <w:rPr>
          <w:rFonts w:hint="eastAsia" w:ascii="仿宋_GB2312" w:hAnsi="仿宋" w:eastAsia="仿宋_GB2312"/>
          <w:color w:val="auto"/>
          <w:sz w:val="24"/>
          <w:highlight w:val="none"/>
        </w:rPr>
        <w:t xml:space="preserve">杭州市公共资源交易中心第四开标室[杭州市之江路925号（临江金座2号楼）三楼]  </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五、公告期限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r>
        <w:rPr>
          <w:rFonts w:hint="eastAsia" w:ascii="仿宋_GB2312" w:hAnsi="仿宋" w:eastAsia="仿宋_GB2312" w:cs="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1.采购人信息</w:t>
      </w:r>
    </w:p>
    <w:p>
      <w:pPr>
        <w:spacing w:line="360" w:lineRule="auto"/>
        <w:rPr>
          <w:rFonts w:ascii="仿宋" w:hAnsi="仿宋" w:eastAsia="仿宋"/>
          <w:color w:val="auto"/>
          <w:sz w:val="24"/>
          <w:highlight w:val="none"/>
        </w:rPr>
      </w:pPr>
      <w:r>
        <w:rPr>
          <w:rFonts w:hint="eastAsia" w:ascii="仿宋_GB2312" w:hAnsi="仿宋" w:eastAsia="仿宋_GB2312"/>
          <w:color w:val="auto"/>
          <w:sz w:val="24"/>
          <w:highlight w:val="none"/>
        </w:rPr>
        <w:t xml:space="preserve">    </w:t>
      </w:r>
      <w:r>
        <w:rPr>
          <w:rFonts w:hint="eastAsia" w:ascii="仿宋" w:hAnsi="仿宋" w:eastAsia="仿宋"/>
          <w:color w:val="auto"/>
          <w:sz w:val="24"/>
          <w:highlight w:val="none"/>
        </w:rPr>
        <w:t>名    称： 杭州技师学院（杭州交通高级技工学校）</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地    址：浙江省杭州市桐庐县桐君街道坞泥口</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传    真：/</w:t>
      </w:r>
    </w:p>
    <w:p>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 xml:space="preserve">    项目联系人（询问）：</w:t>
      </w:r>
      <w:r>
        <w:rPr>
          <w:rFonts w:hint="eastAsia" w:ascii="仿宋" w:hAnsi="仿宋" w:eastAsia="仿宋"/>
          <w:color w:val="auto"/>
          <w:sz w:val="24"/>
          <w:highlight w:val="none"/>
          <w:lang w:eastAsia="zh-CN"/>
        </w:rPr>
        <w:t>方老师</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项目联系方式（询问）：</w:t>
      </w:r>
      <w:r>
        <w:rPr>
          <w:rFonts w:ascii="仿宋" w:hAnsi="仿宋" w:eastAsia="仿宋"/>
          <w:color w:val="auto"/>
          <w:sz w:val="24"/>
          <w:highlight w:val="none"/>
        </w:rPr>
        <w:t>0571</w:t>
      </w:r>
      <w:r>
        <w:rPr>
          <w:rFonts w:hint="eastAsia" w:ascii="仿宋" w:hAnsi="仿宋" w:eastAsia="仿宋"/>
          <w:color w:val="auto"/>
          <w:sz w:val="24"/>
          <w:highlight w:val="none"/>
        </w:rPr>
        <w:t>-64619309</w:t>
      </w:r>
    </w:p>
    <w:p>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 xml:space="preserve">    质疑联系人：项</w:t>
      </w:r>
      <w:r>
        <w:rPr>
          <w:rFonts w:hint="eastAsia" w:ascii="仿宋" w:hAnsi="仿宋" w:eastAsia="仿宋"/>
          <w:color w:val="auto"/>
          <w:sz w:val="24"/>
          <w:highlight w:val="none"/>
          <w:lang w:val="en-US" w:eastAsia="zh-CN"/>
        </w:rPr>
        <w:t>老师</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    质疑联系方式：</w:t>
      </w:r>
      <w:r>
        <w:rPr>
          <w:rFonts w:ascii="仿宋" w:hAnsi="仿宋" w:eastAsia="仿宋"/>
          <w:color w:val="auto"/>
          <w:sz w:val="24"/>
          <w:highlight w:val="none"/>
        </w:rPr>
        <w:t>0571</w:t>
      </w:r>
      <w:r>
        <w:rPr>
          <w:rFonts w:hint="eastAsia" w:ascii="仿宋" w:hAnsi="仿宋" w:eastAsia="仿宋"/>
          <w:color w:val="auto"/>
          <w:sz w:val="24"/>
          <w:highlight w:val="none"/>
        </w:rPr>
        <w:t>-64619830</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2.采购代理机构信息</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称：杭州市公共资源交易中心（杭州市政府</w:t>
      </w:r>
      <w:r>
        <w:rPr>
          <w:rFonts w:hint="eastAsia" w:ascii="仿宋_GB2312" w:hAnsi="仿宋" w:eastAsia="仿宋_GB2312"/>
          <w:color w:val="auto"/>
          <w:sz w:val="24"/>
          <w:highlight w:val="none"/>
        </w:rPr>
        <w:t xml:space="preserve">采购中心、杭州市建设工程交易中心）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址：浙江杭州上城区之江路925号临江金座2号楼</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eastAsia="zh-CN"/>
        </w:rPr>
        <w:t>陈星宇</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项目联系方式（询问）：0571-85085082、85085572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质疑联系人：滕菲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质疑联系方式：0571-85085</w:t>
      </w:r>
      <w:r>
        <w:rPr>
          <w:rFonts w:hint="eastAsia" w:ascii="仿宋_GB2312" w:hAnsi="仿宋" w:eastAsia="仿宋_GB2312"/>
          <w:color w:val="auto"/>
          <w:sz w:val="24"/>
          <w:highlight w:val="none"/>
          <w:lang w:val="en-US" w:eastAsia="zh-CN"/>
        </w:rPr>
        <w:t>388</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称：杭州市财政局政府采购监管处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址：杭州市中河中路152号617办公室 </w:t>
      </w:r>
    </w:p>
    <w:p>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传    真：0571-87715261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联系人 ：吕先生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监督投诉电话：0571-87715261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CA问题联系电话（人工）：汇信CA 400-888-4636；天谷CA 400-087-8198。</w:t>
      </w:r>
    </w:p>
    <w:p>
      <w:pPr>
        <w:pStyle w:val="32"/>
        <w:spacing w:line="360" w:lineRule="auto"/>
        <w:ind w:firstLine="472" w:firstLineChars="196"/>
        <w:rPr>
          <w:rFonts w:ascii="仿宋_GB2312" w:hAnsi="仿宋" w:eastAsia="仿宋_GB2312" w:cs="仿宋_GB2312"/>
          <w:b/>
          <w:color w:val="auto"/>
          <w:sz w:val="24"/>
          <w:szCs w:val="24"/>
          <w:highlight w:val="none"/>
        </w:rPr>
      </w:pPr>
    </w:p>
    <w:p>
      <w:pPr>
        <w:spacing w:line="360" w:lineRule="auto"/>
        <w:ind w:firstLine="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pPr>
        <w:spacing w:line="360" w:lineRule="auto"/>
        <w:ind w:firstLine="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杭州市公共资源交易中心（杭州市政府采购中心）</w:t>
      </w:r>
    </w:p>
    <w:p>
      <w:pPr>
        <w:pStyle w:val="32"/>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二○二一年</w:t>
      </w:r>
      <w:r>
        <w:rPr>
          <w:rFonts w:hint="eastAsia" w:ascii="仿宋_GB2312" w:hAnsi="仿宋" w:eastAsia="仿宋_GB2312" w:cs="仿宋_GB2312"/>
          <w:color w:val="auto"/>
          <w:sz w:val="24"/>
          <w:szCs w:val="24"/>
          <w:highlight w:val="none"/>
          <w:lang w:eastAsia="zh-CN"/>
        </w:rPr>
        <w:t>十二</w:t>
      </w:r>
      <w:r>
        <w:rPr>
          <w:rFonts w:hint="eastAsia" w:ascii="仿宋_GB2312" w:hAnsi="仿宋" w:eastAsia="仿宋_GB2312" w:cs="仿宋_GB2312"/>
          <w:color w:val="auto"/>
          <w:sz w:val="24"/>
          <w:szCs w:val="24"/>
          <w:highlight w:val="none"/>
        </w:rPr>
        <w:t>月</w:t>
      </w:r>
      <w:r>
        <w:rPr>
          <w:rFonts w:hint="eastAsia" w:ascii="仿宋_GB2312" w:hAnsi="仿宋" w:eastAsia="仿宋_GB2312" w:cs="仿宋_GB2312"/>
          <w:color w:val="auto"/>
          <w:sz w:val="24"/>
          <w:szCs w:val="24"/>
          <w:highlight w:val="none"/>
          <w:lang w:eastAsia="zh-CN"/>
        </w:rPr>
        <w:t>三</w:t>
      </w:r>
      <w:r>
        <w:rPr>
          <w:rFonts w:hint="eastAsia" w:ascii="仿宋_GB2312" w:hAnsi="仿宋" w:eastAsia="仿宋_GB2312" w:cs="仿宋_GB2312"/>
          <w:color w:val="auto"/>
          <w:sz w:val="24"/>
          <w:szCs w:val="24"/>
          <w:highlight w:val="none"/>
        </w:rPr>
        <w:t>日</w:t>
      </w:r>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r>
        <w:rPr>
          <w:rFonts w:hint="eastAsia" w:ascii="仿宋_GB2312" w:hAnsi="仿宋" w:eastAsia="仿宋_GB2312" w:cs="仿宋_GB2312"/>
          <w:b/>
          <w:color w:val="auto"/>
          <w:sz w:val="36"/>
          <w:szCs w:val="20"/>
          <w:highlight w:val="none"/>
        </w:rPr>
        <w:t>第二部分</w:t>
      </w:r>
      <w:bookmarkEnd w:id="7"/>
      <w:r>
        <w:rPr>
          <w:rFonts w:hint="eastAsia" w:ascii="仿宋_GB2312" w:hAnsi="仿宋" w:eastAsia="仿宋_GB2312" w:cs="仿宋_GB2312"/>
          <w:b/>
          <w:color w:val="auto"/>
          <w:sz w:val="36"/>
          <w:szCs w:val="20"/>
          <w:highlight w:val="none"/>
        </w:rPr>
        <w:t xml:space="preserve"> 投标人须知</w:t>
      </w:r>
      <w:bookmarkEnd w:id="8"/>
    </w:p>
    <w:p>
      <w:pPr>
        <w:snapToGrid w:val="0"/>
        <w:spacing w:line="360" w:lineRule="auto"/>
        <w:jc w:val="center"/>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color w:val="auto"/>
                <w:kern w:val="0"/>
                <w:sz w:val="24"/>
                <w:highlight w:val="none"/>
                <w:lang w:val="zh-CN"/>
              </w:rPr>
              <w:t>有关本项目建设所需的</w:t>
            </w:r>
            <w:r>
              <w:rPr>
                <w:rFonts w:hint="eastAsia" w:ascii="仿宋_GB2312" w:hAnsi="仿宋" w:eastAsia="仿宋_GB2312"/>
                <w:color w:val="auto"/>
                <w:sz w:val="24"/>
                <w:highlight w:val="none"/>
              </w:rPr>
              <w:t>人工成本费用、维修费用、物耗费用、添置费用、能耗费用、管理酬金、税费</w:t>
            </w:r>
            <w:r>
              <w:rPr>
                <w:rFonts w:hint="eastAsia" w:ascii="仿宋_GB2312" w:hAnsi="仿宋" w:eastAsia="仿宋_GB2312"/>
                <w:color w:val="auto"/>
                <w:kern w:val="0"/>
                <w:sz w:val="24"/>
                <w:highlight w:val="none"/>
                <w:lang w:val="zh-CN"/>
              </w:rPr>
              <w:t>等费用均计入报价。</w:t>
            </w:r>
            <w:r>
              <w:rPr>
                <w:rFonts w:hint="eastAsia" w:ascii="仿宋_GB2312" w:hAnsi="仿宋" w:eastAsia="仿宋_GB2312"/>
                <w:color w:val="auto"/>
                <w:sz w:val="24"/>
                <w:highlight w:val="none"/>
              </w:rPr>
              <w:t>《投标（开标）一览表》是报价的唯一载体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。提醒：验收时检测费用（如果有）由采购人承担，不包含在投标总价中。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投标报价高于本项目采购预算或者最高限价的;</w:t>
            </w:r>
          </w:p>
          <w:p>
            <w:pPr>
              <w:spacing w:line="360" w:lineRule="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color w:val="auto"/>
                <w:sz w:val="24"/>
                <w:szCs w:val="21"/>
                <w:highlight w:val="none"/>
              </w:rPr>
              <w:t>;</w:t>
            </w:r>
          </w:p>
          <w:p>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b/>
                <w:color w:val="auto"/>
                <w:sz w:val="24"/>
                <w:highlight w:val="none"/>
              </w:rPr>
              <w:t>▲《投标（开标）一览表》填写不完整或字迹不能辨认或有漏项的；</w:t>
            </w:r>
          </w:p>
          <w:p>
            <w:pPr>
              <w:spacing w:line="360" w:lineRule="auto"/>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0"/>
              </w:numPr>
              <w:adjustRightInd/>
              <w:snapToGrid w:val="0"/>
              <w:spacing w:line="360" w:lineRule="auto"/>
              <w:ind w:leftChars="0"/>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采购人在部分项目明细表中已注明是否允许分包。</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（1）资格证明文件：见招标文件第二部分</w:t>
            </w:r>
            <w:r>
              <w:rPr>
                <w:rFonts w:hint="eastAsia" w:ascii="仿宋_GB2312" w:hAnsi="仿宋" w:eastAsia="仿宋_GB2312" w:cs="仿宋_GB2312"/>
                <w:color w:val="auto"/>
                <w:sz w:val="24"/>
                <w:highlight w:val="none"/>
              </w:rPr>
              <w:t>11.1。</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s="仿宋_GB2312"/>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360" w:lineRule="auto"/>
              <w:rPr>
                <w:rFonts w:ascii="仿宋_GB2312" w:hAnsi="仿宋" w:eastAsia="仿宋_GB2312"/>
                <w:color w:val="auto"/>
                <w:sz w:val="24"/>
                <w:szCs w:val="20"/>
                <w:highlight w:val="none"/>
              </w:rPr>
            </w:pPr>
            <w:r>
              <w:rPr>
                <w:rFonts w:hint="eastAsia" w:ascii="仿宋_GB2312" w:hAnsi="仿宋" w:eastAsia="仿宋_GB2312"/>
                <w:color w:val="auto"/>
                <w:sz w:val="24"/>
                <w:highlight w:val="none"/>
                <w:lang w:val="en-US" w:eastAsia="zh-CN"/>
              </w:rPr>
              <w:t>2021</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lang w:val="en-US" w:eastAsia="zh-CN"/>
              </w:rPr>
              <w:t>12</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10</w:t>
            </w:r>
            <w:r>
              <w:rPr>
                <w:rFonts w:hint="eastAsia" w:ascii="仿宋_GB2312" w:hAnsi="仿宋" w:eastAsia="仿宋_GB2312"/>
                <w:color w:val="auto"/>
                <w:sz w:val="24"/>
                <w:highlight w:val="none"/>
              </w:rPr>
              <w:t>日</w:t>
            </w:r>
            <w:r>
              <w:rPr>
                <w:rFonts w:hint="eastAsia" w:ascii="仿宋" w:hAnsi="仿宋" w:eastAsia="仿宋"/>
                <w:color w:val="auto"/>
                <w:sz w:val="24"/>
                <w:highlight w:val="none"/>
              </w:rPr>
              <w:t>上午9:30开始；地点：杭州技师学院（浙江省杭州市桐庐县桐君街道坞泥口）；联系人：</w:t>
            </w:r>
            <w:r>
              <w:rPr>
                <w:rFonts w:hint="eastAsia" w:ascii="仿宋" w:hAnsi="仿宋" w:eastAsia="仿宋"/>
                <w:color w:val="auto"/>
                <w:sz w:val="24"/>
                <w:highlight w:val="none"/>
                <w:lang w:val="en-US" w:eastAsia="zh-CN"/>
              </w:rPr>
              <w:t>方强</w:t>
            </w:r>
            <w:r>
              <w:rPr>
                <w:rFonts w:hint="eastAsia" w:ascii="仿宋" w:hAnsi="仿宋" w:eastAsia="仿宋"/>
                <w:color w:val="auto"/>
                <w:sz w:val="24"/>
                <w:highlight w:val="none"/>
              </w:rPr>
              <w:t>，联系电话：</w:t>
            </w:r>
            <w:r>
              <w:rPr>
                <w:rFonts w:ascii="仿宋" w:hAnsi="仿宋" w:eastAsia="仿宋"/>
                <w:color w:val="auto"/>
                <w:sz w:val="24"/>
                <w:highlight w:val="none"/>
              </w:rPr>
              <w:t>0571</w:t>
            </w:r>
            <w:r>
              <w:rPr>
                <w:rFonts w:hint="eastAsia" w:ascii="仿宋" w:hAnsi="仿宋" w:eastAsia="仿宋"/>
                <w:color w:val="auto"/>
                <w:sz w:val="24"/>
                <w:highlight w:val="none"/>
              </w:rPr>
              <w:t>-64619309。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widowControl/>
              <w:spacing w:before="100" w:beforeAutospacing="1" w:after="240" w:line="360" w:lineRule="auto"/>
              <w:jc w:val="both"/>
              <w:rPr>
                <w:rFonts w:ascii="仿宋_GB2312" w:hAnsi="仿宋" w:eastAsia="仿宋_GB2312"/>
                <w:b/>
                <w:color w:val="auto"/>
                <w:sz w:val="24"/>
                <w:highlight w:val="none"/>
              </w:rPr>
            </w:pPr>
            <w:r>
              <w:rPr>
                <w:rFonts w:hint="eastAsia" w:ascii="仿宋_GB2312" w:hAnsi="仿宋" w:eastAsia="仿宋_GB2312"/>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360" w:lineRule="auto"/>
              <w:jc w:val="both"/>
              <w:rPr>
                <w:rFonts w:ascii="仿宋_GB2312" w:hAnsi="仿宋" w:eastAsia="仿宋_GB2312" w:cs="仿宋_GB2312"/>
                <w:b/>
                <w:snapToGrid/>
                <w:color w:val="auto"/>
                <w:kern w:val="0"/>
                <w:sz w:val="24"/>
                <w:szCs w:val="20"/>
                <w:highlight w:val="none"/>
                <w:lang w:val="zh-CN"/>
              </w:rPr>
            </w:pPr>
            <w:r>
              <w:rPr>
                <w:rFonts w:hint="eastAsia" w:ascii="仿宋_GB2312" w:hAnsi="仿宋" w:eastAsia="仿宋_GB2312"/>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both"/>
              <w:rPr>
                <w:rFonts w:ascii="仿宋_GB2312" w:hAnsi="仿宋" w:eastAsia="仿宋_GB2312"/>
                <w:color w:val="auto"/>
                <w:sz w:val="24"/>
                <w:highlight w:val="none"/>
              </w:rPr>
            </w:pP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采购标的：</w:t>
            </w:r>
            <w:r>
              <w:rPr>
                <w:rFonts w:hint="eastAsia" w:ascii="仿宋_GB2312" w:hAnsi="仿宋" w:eastAsia="仿宋_GB2312"/>
                <w:color w:val="auto"/>
                <w:sz w:val="24"/>
                <w:highlight w:val="none"/>
                <w:u w:val="single"/>
              </w:rPr>
              <w:t>物业管理服务</w:t>
            </w:r>
            <w:r>
              <w:rPr>
                <w:rFonts w:hint="eastAsia" w:ascii="仿宋_GB2312" w:hAnsi="仿宋" w:eastAsia="仿宋_GB2312"/>
                <w:color w:val="auto"/>
                <w:sz w:val="24"/>
                <w:highlight w:val="none"/>
              </w:rPr>
              <w:t>，所属行业：</w:t>
            </w:r>
            <w:r>
              <w:rPr>
                <w:rFonts w:hint="eastAsia" w:ascii="仿宋_GB2312" w:hAnsi="仿宋" w:eastAsia="仿宋_GB2312"/>
                <w:color w:val="auto"/>
                <w:sz w:val="24"/>
                <w:highlight w:val="none"/>
                <w:u w:val="single"/>
              </w:rPr>
              <w:t>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是否适宜中小企业情况</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根据《政府采购促进中小企业发展管理办法》财库〔</w:t>
            </w:r>
            <w:r>
              <w:rPr>
                <w:rFonts w:ascii="仿宋_GB2312" w:hAnsi="仿宋" w:eastAsia="仿宋_GB2312"/>
                <w:color w:val="auto"/>
                <w:sz w:val="24"/>
                <w:highlight w:val="none"/>
              </w:rPr>
              <w:t>2020〕46号</w:t>
            </w:r>
            <w:r>
              <w:rPr>
                <w:rFonts w:hint="eastAsia" w:ascii="仿宋_GB2312" w:hAnsi="仿宋" w:eastAsia="仿宋_GB2312"/>
                <w:color w:val="auto"/>
                <w:sz w:val="24"/>
                <w:highlight w:val="none"/>
              </w:rPr>
              <w:t>文件的规定，本项目</w:t>
            </w:r>
            <w:r>
              <w:rPr>
                <w:rFonts w:hint="eastAsia" w:ascii="仿宋_GB2312" w:hAnsi="仿宋" w:eastAsia="仿宋_GB2312"/>
                <w:color w:val="auto"/>
                <w:sz w:val="24"/>
                <w:highlight w:val="none"/>
                <w:u w:val="single"/>
              </w:rPr>
              <w:t>预留份额专门面向中小企业</w:t>
            </w:r>
            <w:r>
              <w:rPr>
                <w:rFonts w:hint="eastAsia" w:ascii="仿宋_GB2312" w:hAnsi="仿宋" w:eastAsia="仿宋_GB2312"/>
                <w:color w:val="auto"/>
                <w:sz w:val="24"/>
                <w:highlight w:val="none"/>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snapToGrid w:val="0"/>
        <w:spacing w:line="360" w:lineRule="auto"/>
        <w:jc w:val="center"/>
        <w:rPr>
          <w:rFonts w:ascii="仿宋_GB2312" w:hAnsi="仿宋" w:eastAsia="仿宋_GB2312" w:cs="仿宋_GB2312"/>
          <w:b/>
          <w:color w:val="auto"/>
          <w:sz w:val="32"/>
          <w:szCs w:val="20"/>
          <w:highlight w:val="none"/>
        </w:rPr>
      </w:pP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bookmarkEnd w:id="9"/>
    </w:p>
    <w:p>
      <w:pPr>
        <w:snapToGrid w:val="0"/>
        <w:spacing w:line="360" w:lineRule="auto"/>
        <w:ind w:firstLine="361" w:firstLineChars="150"/>
        <w:jc w:val="left"/>
        <w:outlineLvl w:val="1"/>
        <w:rPr>
          <w:rFonts w:ascii="仿宋_GB2312" w:hAnsi="仿宋" w:eastAsia="仿宋_GB2312"/>
          <w:b/>
          <w:color w:val="auto"/>
          <w:sz w:val="24"/>
          <w:highlight w:val="none"/>
        </w:rPr>
      </w:pPr>
      <w:r>
        <w:rPr>
          <w:rFonts w:hint="eastAsia" w:ascii="仿宋_GB2312" w:hAnsi="仿宋" w:eastAsia="仿宋_GB2312"/>
          <w:b/>
          <w:color w:val="auto"/>
          <w:sz w:val="24"/>
          <w:highlight w:val="none"/>
        </w:rPr>
        <w:t>1. 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2.1 “采购人”系指招标公告中载明的本项目的采购人。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2.2 “采购机构”系指招标公告中载明的本项目的采购机构。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2.3 “投标人”系指是指响应招标、参加投标竞争的法人、其他组织或者自然人。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2.7 “▲” 系指实质性要求条款，“★”系产品采购项目中单一产品或核心产品。</w:t>
      </w:r>
    </w:p>
    <w:p>
      <w:pPr>
        <w:spacing w:line="360" w:lineRule="auto"/>
        <w:ind w:firstLine="241" w:firstLineChars="100"/>
        <w:rPr>
          <w:rFonts w:ascii="仿宋_GB2312" w:hAnsi="仿宋" w:eastAsia="仿宋_GB2312"/>
          <w:b/>
          <w:color w:val="auto"/>
          <w:sz w:val="24"/>
          <w:highlight w:val="none"/>
        </w:rPr>
      </w:pPr>
      <w:r>
        <w:rPr>
          <w:rFonts w:hint="eastAsia" w:ascii="仿宋_GB2312" w:hAnsi="仿宋" w:eastAsia="仿宋_GB2312"/>
          <w:b/>
          <w:color w:val="auto"/>
          <w:sz w:val="24"/>
          <w:highlight w:val="none"/>
        </w:rPr>
        <w:t>3.</w:t>
      </w:r>
      <w:r>
        <w:rPr>
          <w:rFonts w:hint="eastAsia"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highlight w:val="none"/>
        </w:rPr>
        <w:t>3.2 节能环保要求</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120" w:firstLineChars="50"/>
        <w:rPr>
          <w:rFonts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hAnsi="仿宋" w:eastAsia="仿宋_GB2312"/>
          <w:bCs/>
          <w:color w:val="auto"/>
          <w:sz w:val="24"/>
          <w:highlight w:val="none"/>
        </w:rPr>
        <w:t>支持中小企业发展</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3.3.1中小企业</w:t>
      </w:r>
      <w:r>
        <w:rPr>
          <w:rFonts w:ascii="仿宋_GB2312" w:hAnsi="仿宋" w:eastAsia="仿宋_GB2312"/>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10 %的扣除，用扣除后的价格参与评审。</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w:t>
      </w:r>
      <w:r>
        <w:rPr>
          <w:rFonts w:hint="eastAsia" w:ascii="仿宋_GB2312" w:hAnsi="仿宋" w:eastAsia="仿宋_GB2312"/>
          <w:color w:val="auto"/>
          <w:sz w:val="24"/>
          <w:highlight w:val="none"/>
        </w:rPr>
        <w:t>符合《关于促进残疾人就业政府采购政策的通知》（财库〔</w:t>
      </w:r>
      <w:r>
        <w:rPr>
          <w:rFonts w:ascii="仿宋_GB2312" w:hAnsi="仿宋" w:eastAsia="仿宋_GB2312"/>
          <w:color w:val="auto"/>
          <w:sz w:val="24"/>
          <w:highlight w:val="none"/>
        </w:rPr>
        <w:t>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符合《关于政府采购支持监狱企业发展有关问题的通知》（财库</w:t>
      </w:r>
      <w:r>
        <w:rPr>
          <w:rFonts w:ascii="仿宋_GB2312" w:hAnsi="仿宋" w:eastAsia="仿宋_GB2312"/>
          <w:color w:val="auto"/>
          <w:sz w:val="24"/>
          <w:highlight w:val="none"/>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w:t>
      </w:r>
      <w:r>
        <w:rPr>
          <w:rFonts w:hint="eastAsia" w:ascii="仿宋_GB2312" w:hAnsi="仿宋" w:eastAsia="仿宋_GB2312"/>
          <w:color w:val="auto"/>
          <w:sz w:val="24"/>
          <w:highlight w:val="none"/>
        </w:rPr>
        <w:t>可享受</w:t>
      </w:r>
      <w:r>
        <w:rPr>
          <w:rFonts w:hint="eastAsia" w:ascii="仿宋_GB2312" w:hAnsi="宋体" w:eastAsia="仿宋_GB2312" w:cs="宋体"/>
          <w:color w:val="auto"/>
          <w:kern w:val="0"/>
          <w:sz w:val="24"/>
          <w:highlight w:val="none"/>
        </w:rPr>
        <w:t>中小企业扶持政策</w:t>
      </w:r>
      <w:r>
        <w:rPr>
          <w:rFonts w:hint="eastAsia" w:ascii="仿宋_GB2312" w:hAnsi="仿宋" w:eastAsia="仿宋_GB2312"/>
          <w:color w:val="auto"/>
          <w:sz w:val="24"/>
          <w:highlight w:val="none"/>
        </w:rPr>
        <w:t>的投标人应按照招标文件格式要求提供《中小企业声明函》。</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3.3.8</w:t>
      </w:r>
      <w:r>
        <w:rPr>
          <w:rFonts w:hint="eastAsia" w:ascii="仿宋_GB2312" w:hAnsi="仿宋" w:eastAsia="仿宋_GB2312"/>
          <w:color w:val="auto"/>
          <w:sz w:val="24"/>
          <w:highlight w:val="none"/>
        </w:rPr>
        <w:t>中小企业</w:t>
      </w:r>
      <w:r>
        <w:rPr>
          <w:rFonts w:ascii="仿宋_GB2312" w:hAnsi="仿宋" w:eastAsia="仿宋_GB2312"/>
          <w:color w:val="auto"/>
          <w:sz w:val="24"/>
          <w:highlight w:val="none"/>
        </w:rPr>
        <w:t>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b/>
          <w:color w:val="auto"/>
          <w:sz w:val="24"/>
          <w:highlight w:val="none"/>
        </w:rPr>
      </w:pPr>
      <w:r>
        <w:rPr>
          <w:rFonts w:hint="eastAsia" w:ascii="仿宋_GB2312" w:hAnsi="仿宋" w:eastAsia="仿宋_GB2312"/>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color w:val="auto"/>
          <w:sz w:val="24"/>
          <w:highlight w:val="none"/>
        </w:rPr>
        <w:cr/>
      </w:r>
      <w:r>
        <w:rPr>
          <w:rFonts w:hint="eastAsia" w:ascii="仿宋_GB2312" w:hAnsi="仿宋" w:eastAsia="仿宋_GB2312"/>
          <w:b/>
          <w:color w:val="auto"/>
          <w:sz w:val="24"/>
          <w:highlight w:val="none"/>
        </w:rPr>
        <w:t>4. 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4.1供应商询问</w:t>
      </w:r>
    </w:p>
    <w:p>
      <w:pPr>
        <w:pStyle w:val="32"/>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w:t>
      </w:r>
      <w:r>
        <w:rPr>
          <w:rFonts w:hint="eastAsia" w:ascii="仿宋_GB2312" w:hAnsi="仿宋" w:eastAsia="仿宋_GB2312"/>
          <w:color w:val="auto"/>
          <w:sz w:val="24"/>
          <w:highlight w:val="none"/>
        </w:rPr>
        <w:t>.1提出质疑的供应商应当是参与所质疑项目采购活动的供应商。潜在供应商已依法获取其可质疑的采购文件的，可以对该文件提出质疑。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w:t>
      </w:r>
      <w:r>
        <w:rPr>
          <w:rFonts w:hint="eastAsia" w:ascii="仿宋_GB2312" w:hAnsi="仿宋" w:eastAsia="仿宋_GB2312"/>
          <w:color w:val="auto"/>
          <w:sz w:val="24"/>
          <w:highlight w:val="none"/>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ascii="仿宋_GB2312" w:hAnsi="仿宋" w:eastAsia="仿宋_GB2312"/>
          <w:snapToGrid/>
          <w:color w:val="auto"/>
          <w:kern w:val="2"/>
          <w:sz w:val="24"/>
          <w:highlight w:val="none"/>
        </w:rPr>
      </w:pPr>
      <w:r>
        <w:rPr>
          <w:rFonts w:hint="eastAsia" w:ascii="仿宋_GB2312" w:hAnsi="仿宋" w:eastAsia="仿宋_GB2312"/>
          <w:snapToGrid/>
          <w:color w:val="auto"/>
          <w:kern w:val="2"/>
          <w:sz w:val="24"/>
          <w:highlight w:val="none"/>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pStyle w:val="32"/>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32"/>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4.2.2.3对采购结果提出质疑的，质疑期限自采购结果公告期限届满之日起计算。对采购结果提出质疑的，采购机构负责答复。</w:t>
      </w:r>
    </w:p>
    <w:p>
      <w:pPr>
        <w:pStyle w:val="32"/>
        <w:snapToGrid w:val="0"/>
        <w:spacing w:line="360" w:lineRule="auto"/>
        <w:ind w:firstLine="480" w:firstLineChars="200"/>
        <w:contextualSpacing/>
        <w:rPr>
          <w:rFonts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655"/>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4.2.3.1</w:t>
      </w:r>
      <w:r>
        <w:rPr>
          <w:rFonts w:hint="eastAsia" w:ascii="仿宋_GB2312" w:hAnsi="仿宋" w:eastAsia="仿宋_GB2312" w:cs="Arial"/>
          <w:snapToGrid w:val="0"/>
          <w:color w:val="auto"/>
          <w:kern w:val="2"/>
          <w:szCs w:val="21"/>
          <w:highlight w:val="none"/>
        </w:rPr>
        <w:t>供应商的姓名或者名称、地址、邮编、联系人及联系电话；</w:t>
      </w:r>
    </w:p>
    <w:p>
      <w:pPr>
        <w:pStyle w:val="655"/>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4.2.3.2</w:t>
      </w:r>
      <w:r>
        <w:rPr>
          <w:rFonts w:hint="eastAsia" w:ascii="仿宋_GB2312" w:hAnsi="仿宋" w:eastAsia="仿宋_GB2312" w:cs="Arial"/>
          <w:snapToGrid w:val="0"/>
          <w:color w:val="auto"/>
          <w:kern w:val="2"/>
          <w:szCs w:val="21"/>
          <w:highlight w:val="none"/>
        </w:rPr>
        <w:t>质疑项目的名称、编号；</w:t>
      </w:r>
    </w:p>
    <w:p>
      <w:pPr>
        <w:pStyle w:val="655"/>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4.2.3.3</w:t>
      </w:r>
      <w:r>
        <w:rPr>
          <w:rFonts w:hint="eastAsia" w:ascii="仿宋_GB2312" w:hAnsi="仿宋" w:eastAsia="仿宋_GB2312" w:cs="Arial"/>
          <w:snapToGrid w:val="0"/>
          <w:color w:val="auto"/>
          <w:kern w:val="2"/>
          <w:szCs w:val="21"/>
          <w:highlight w:val="none"/>
        </w:rPr>
        <w:t>具体、明确的质疑事项和与质疑事项相关的请求；</w:t>
      </w:r>
    </w:p>
    <w:p>
      <w:pPr>
        <w:pStyle w:val="655"/>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4.2.3.4</w:t>
      </w:r>
      <w:r>
        <w:rPr>
          <w:rFonts w:hint="eastAsia" w:ascii="仿宋_GB2312" w:hAnsi="仿宋" w:eastAsia="仿宋_GB2312" w:cs="Arial"/>
          <w:snapToGrid w:val="0"/>
          <w:color w:val="auto"/>
          <w:kern w:val="2"/>
          <w:szCs w:val="21"/>
          <w:highlight w:val="none"/>
        </w:rPr>
        <w:t>事实依据；</w:t>
      </w:r>
    </w:p>
    <w:p>
      <w:pPr>
        <w:pStyle w:val="655"/>
        <w:shd w:val="clear" w:color="auto" w:fill="FFFFFF"/>
        <w:snapToGrid w:val="0"/>
        <w:spacing w:after="240" w:afterAutospacing="0" w:line="360" w:lineRule="auto"/>
        <w:contextualSpacing/>
        <w:rPr>
          <w:rFonts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4.2.3.5</w:t>
      </w:r>
      <w:r>
        <w:rPr>
          <w:rFonts w:hint="eastAsia" w:ascii="仿宋_GB2312" w:hAnsi="仿宋" w:eastAsia="仿宋_GB2312" w:cs="Arial"/>
          <w:snapToGrid w:val="0"/>
          <w:color w:val="auto"/>
          <w:kern w:val="2"/>
          <w:szCs w:val="21"/>
          <w:highlight w:val="none"/>
        </w:rPr>
        <w:t>必要的法律依据；</w:t>
      </w:r>
    </w:p>
    <w:p>
      <w:pPr>
        <w:pStyle w:val="655"/>
        <w:shd w:val="clear" w:color="auto" w:fill="FFFFFF"/>
        <w:snapToGrid w:val="0"/>
        <w:spacing w:after="240" w:afterAutospacing="0" w:line="360" w:lineRule="auto"/>
        <w:ind w:firstLine="480"/>
        <w:contextualSpacing/>
        <w:rPr>
          <w:rFonts w:ascii="仿宋_GB2312" w:hAnsi="仿宋" w:eastAsia="仿宋_GB2312" w:cs="Arial"/>
          <w:snapToGrid w:val="0"/>
          <w:color w:val="auto"/>
          <w:kern w:val="2"/>
          <w:szCs w:val="21"/>
          <w:highlight w:val="none"/>
        </w:rPr>
      </w:pPr>
      <w:r>
        <w:rPr>
          <w:rFonts w:hint="eastAsia" w:ascii="仿宋_GB2312" w:hAnsi="仿宋" w:eastAsia="仿宋_GB2312" w:cs="微软雅黑"/>
          <w:color w:val="auto"/>
          <w:highlight w:val="none"/>
          <w:lang w:val="zh-CN"/>
        </w:rPr>
        <w:t>4.2.3.6</w:t>
      </w:r>
      <w:r>
        <w:rPr>
          <w:rFonts w:hint="eastAsia" w:ascii="仿宋_GB2312" w:hAnsi="仿宋" w:eastAsia="仿宋_GB2312" w:cs="Arial"/>
          <w:snapToGrid w:val="0"/>
          <w:color w:val="auto"/>
          <w:kern w:val="2"/>
          <w:szCs w:val="21"/>
          <w:highlight w:val="none"/>
        </w:rPr>
        <w:t>提出质疑的日期。</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质疑函范本及制作说明详见附件2。</w:t>
      </w:r>
    </w:p>
    <w:p>
      <w:pPr>
        <w:pStyle w:val="655"/>
        <w:shd w:val="clear" w:color="auto" w:fill="FFFFFF"/>
        <w:snapToGrid w:val="0"/>
        <w:spacing w:after="240" w:afterAutospacing="0" w:line="360" w:lineRule="auto"/>
        <w:ind w:firstLine="480"/>
        <w:contextualSpacing/>
        <w:rPr>
          <w:rFonts w:hint="eastAsia" w:ascii="仿宋_GB2312" w:hAnsi="仿宋" w:eastAsia="仿宋_GB2312"/>
          <w:color w:val="auto"/>
          <w:highlight w:val="none"/>
          <w:lang w:eastAsia="zh-CN"/>
        </w:rPr>
      </w:pPr>
      <w:r>
        <w:rPr>
          <w:rFonts w:hint="eastAsia" w:ascii="仿宋_GB2312" w:hAnsi="仿宋" w:eastAsia="仿宋_GB2312" w:cs="微软雅黑"/>
          <w:color w:val="auto"/>
          <w:highlight w:val="none"/>
          <w:lang w:val="zh-CN"/>
        </w:rPr>
        <w:t>4.2</w:t>
      </w:r>
      <w:r>
        <w:rPr>
          <w:rFonts w:hint="eastAsia" w:ascii="仿宋_GB2312" w:hAnsi="仿宋" w:eastAsia="仿宋_GB2312"/>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仿宋_GB2312" w:hAnsi="仿宋" w:eastAsia="仿宋_GB2312"/>
          <w:color w:val="auto"/>
          <w:highlight w:val="none"/>
          <w:lang w:eastAsia="zh-CN"/>
        </w:rPr>
        <w:t>，</w:t>
      </w:r>
      <w:r>
        <w:rPr>
          <w:rFonts w:hint="eastAsia" w:ascii="仿宋_GB2312" w:hAnsi="仿宋" w:eastAsia="仿宋_GB2312"/>
          <w:color w:val="auto"/>
          <w:highlight w:val="none"/>
        </w:rPr>
        <w:t>采购人或者采购机构在质疑回复后5个工作日内，在浙江政府采购网的“其他公告”栏目公开质疑答复，答复内容应当完整。质疑函作为附件上传</w:t>
      </w:r>
      <w:r>
        <w:rPr>
          <w:rFonts w:hint="eastAsia" w:ascii="仿宋_GB2312" w:hAnsi="仿宋" w:eastAsia="仿宋_GB2312"/>
          <w:color w:val="auto"/>
          <w:highlight w:val="none"/>
          <w:lang w:eastAsia="zh-CN"/>
        </w:rPr>
        <w:t>。</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s="微软雅黑"/>
          <w:color w:val="auto"/>
          <w:highlight w:val="none"/>
          <w:lang w:val="zh-CN"/>
        </w:rPr>
        <w:t>4.2</w:t>
      </w:r>
      <w:r>
        <w:rPr>
          <w:rFonts w:hint="eastAsia" w:ascii="仿宋_GB2312" w:hAnsi="仿宋" w:eastAsia="仿宋_GB2312"/>
          <w:color w:val="auto"/>
          <w:highlight w:val="none"/>
        </w:rPr>
        <w:t>.5询问或者质疑事项可能影响采购结果的，采购人应当暂停签订合同，已经签订合同的，应当中止履行合同。</w:t>
      </w:r>
    </w:p>
    <w:p>
      <w:pPr>
        <w:pStyle w:val="655"/>
        <w:shd w:val="clear" w:color="auto" w:fill="FFFFFF"/>
        <w:snapToGrid w:val="0"/>
        <w:spacing w:after="240" w:afterAutospacing="0" w:line="360" w:lineRule="auto"/>
        <w:ind w:firstLine="480"/>
        <w:contextualSpacing/>
        <w:rPr>
          <w:rFonts w:ascii="仿宋_GB2312" w:hAnsi="仿宋" w:eastAsia="仿宋_GB2312" w:cs="微软雅黑"/>
          <w:color w:val="auto"/>
          <w:highlight w:val="none"/>
          <w:lang w:val="zh-CN"/>
        </w:rPr>
      </w:pPr>
      <w:r>
        <w:rPr>
          <w:rFonts w:hint="eastAsia" w:ascii="仿宋_GB2312" w:hAnsi="仿宋" w:eastAsia="仿宋_GB2312" w:cs="微软雅黑"/>
          <w:color w:val="auto"/>
          <w:highlight w:val="none"/>
          <w:lang w:val="zh-CN"/>
        </w:rPr>
        <w:t>4.3供应商投诉</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w:t>
      </w:r>
      <w:r>
        <w:rPr>
          <w:rFonts w:hint="eastAsia"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4.3.3供应商投诉应当有明确的请求和必要的证明材料。</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4.3.5 以联合体形式参加政府采购活动的，其投诉应当由组成联合体的所有供应商共同提出。</w:t>
      </w:r>
    </w:p>
    <w:p>
      <w:pPr>
        <w:pStyle w:val="655"/>
        <w:shd w:val="clear" w:color="auto" w:fill="FFFFFF"/>
        <w:snapToGrid w:val="0"/>
        <w:spacing w:after="240" w:afterAutospacing="0" w:line="360" w:lineRule="auto"/>
        <w:ind w:firstLine="48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投诉书范本及制作说明详见附件3。</w:t>
      </w:r>
    </w:p>
    <w:p>
      <w:pPr>
        <w:pStyle w:val="23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bookmarkStart w:id="10" w:name="_Hlt74729768"/>
      <w:bookmarkEnd w:id="10"/>
      <w:bookmarkStart w:id="11" w:name="_Hlt68072990"/>
      <w:bookmarkEnd w:id="11"/>
      <w:bookmarkStart w:id="12" w:name="_Hlt68057669"/>
      <w:bookmarkEnd w:id="12"/>
      <w:bookmarkStart w:id="13" w:name="_Hlt74714665"/>
      <w:bookmarkEnd w:id="13"/>
      <w:bookmarkStart w:id="14" w:name="_Hlt74730295"/>
      <w:bookmarkEnd w:id="14"/>
      <w:bookmarkStart w:id="15" w:name="_Hlt75236290"/>
      <w:bookmarkEnd w:id="15"/>
      <w:bookmarkStart w:id="16" w:name="_Hlt74707468"/>
      <w:bookmarkEnd w:id="16"/>
      <w:bookmarkStart w:id="17" w:name="_Toc91899879"/>
      <w:r>
        <w:rPr>
          <w:rFonts w:hint="eastAsia" w:ascii="仿宋_GB2312" w:hAnsi="仿宋" w:eastAsia="仿宋_GB2312" w:cs="仿宋_GB2312"/>
          <w:b/>
          <w:color w:val="auto"/>
          <w:sz w:val="32"/>
          <w:szCs w:val="20"/>
          <w:highlight w:val="none"/>
        </w:rPr>
        <w:t>二、招标文件</w:t>
      </w:r>
      <w:bookmarkEnd w:id="17"/>
      <w:r>
        <w:rPr>
          <w:rFonts w:hint="eastAsia" w:ascii="仿宋_GB2312" w:hAnsi="仿宋" w:eastAsia="仿宋_GB2312" w:cs="仿宋_GB2312"/>
          <w:b/>
          <w:color w:val="auto"/>
          <w:sz w:val="32"/>
          <w:szCs w:val="20"/>
          <w:highlight w:val="none"/>
        </w:rPr>
        <w:t>的构成、澄清、修改</w:t>
      </w:r>
    </w:p>
    <w:p>
      <w:pPr>
        <w:pStyle w:val="32"/>
        <w:spacing w:line="360" w:lineRule="auto"/>
        <w:rPr>
          <w:rFonts w:ascii="仿宋_GB2312" w:hAnsi="仿宋" w:eastAsia="仿宋_GB2312" w:cs="仿宋_GB2312"/>
          <w:b/>
          <w:color w:val="auto"/>
          <w:sz w:val="24"/>
          <w:szCs w:val="24"/>
          <w:highlight w:val="none"/>
        </w:rPr>
      </w:pPr>
      <w:bookmarkStart w:id="18" w:name="_Toc91899880"/>
      <w:bookmarkStart w:id="19" w:name="_Hlt74730307"/>
      <w:r>
        <w:rPr>
          <w:rFonts w:hint="eastAsia" w:ascii="仿宋_GB2312" w:hAnsi="仿宋" w:eastAsia="仿宋_GB2312" w:cs="仿宋_GB2312"/>
          <w:b/>
          <w:color w:val="auto"/>
          <w:sz w:val="24"/>
          <w:szCs w:val="24"/>
          <w:highlight w:val="none"/>
        </w:rPr>
        <w:t>5．招标文件的构成</w:t>
      </w:r>
      <w:bookmarkEnd w:id="18"/>
    </w:p>
    <w:bookmarkEnd w:id="19"/>
    <w:p>
      <w:pPr>
        <w:pStyle w:val="32"/>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5.1 招标文件包括下列文件及附件</w:t>
      </w:r>
    </w:p>
    <w:p>
      <w:pPr>
        <w:pStyle w:val="32"/>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第一部分 招标公告</w:t>
      </w:r>
    </w:p>
    <w:p>
      <w:pPr>
        <w:pStyle w:val="32"/>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第二部分 投标人须知</w:t>
      </w:r>
    </w:p>
    <w:p>
      <w:pPr>
        <w:pStyle w:val="32"/>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第三部分 采购需求</w:t>
      </w:r>
    </w:p>
    <w:p>
      <w:pPr>
        <w:pStyle w:val="32"/>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第四部分 评标方法及评分标准</w:t>
      </w:r>
    </w:p>
    <w:p>
      <w:pPr>
        <w:pStyle w:val="32"/>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第五部分 拟签订的合同文本</w:t>
      </w:r>
    </w:p>
    <w:p>
      <w:pPr>
        <w:pStyle w:val="32"/>
        <w:numPr>
          <w:ilvl w:val="0"/>
          <w:numId w:val="5"/>
        </w:numPr>
        <w:spacing w:line="360" w:lineRule="auto"/>
        <w:ind w:left="839"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第六部分 应提交的有关格式范例</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6. 招标文件的澄清、修改</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6.1已获取招标文件的潜在投标人，若有问题需要澄清，应于投标截止时间前，以书面形式向采购机构提出。</w:t>
      </w:r>
    </w:p>
    <w:p>
      <w:pPr>
        <w:pStyle w:val="238"/>
        <w:snapToGrid w:val="0"/>
        <w:spacing w:before="0"/>
        <w:ind w:firstLine="480"/>
        <w:rPr>
          <w:rFonts w:ascii="仿宋_GB2312" w:hAnsi="仿宋" w:eastAsia="仿宋_GB2312"/>
          <w:color w:val="auto"/>
          <w:highlight w:val="none"/>
        </w:rPr>
      </w:pPr>
      <w:r>
        <w:rPr>
          <w:rFonts w:hint="eastAsia" w:ascii="仿宋_GB2312" w:hAnsi="仿宋" w:eastAsia="仿宋_GB2312"/>
          <w:color w:val="auto"/>
          <w:highlight w:val="none"/>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szCs w:val="21"/>
          <w:highlight w:val="none"/>
        </w:rPr>
        <w:t>投标文件未按招标文件的澄清、修改的内容编制，又不符合实质性要求的，投标无效。</w:t>
      </w:r>
    </w:p>
    <w:p>
      <w:pPr>
        <w:pStyle w:val="23"/>
        <w:rPr>
          <w:rFonts w:ascii="仿宋_GB2312" w:hAnsi="仿宋" w:eastAsia="仿宋_GB2312" w:cs="仿宋_GB2312"/>
          <w:color w:val="auto"/>
          <w:sz w:val="18"/>
          <w:szCs w:val="18"/>
          <w:highlight w:val="none"/>
          <w:lang w:val="en-US"/>
        </w:rPr>
      </w:pPr>
      <w:r>
        <w:rPr>
          <w:rFonts w:hint="eastAsia"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bookmarkStart w:id="20" w:name="_Hlt75236011"/>
      <w:bookmarkEnd w:id="20"/>
      <w:bookmarkStart w:id="21" w:name="_Toc91899884"/>
      <w:r>
        <w:rPr>
          <w:rFonts w:hint="eastAsia" w:ascii="仿宋_GB2312" w:hAnsi="仿宋" w:eastAsia="仿宋_GB2312" w:cs="仿宋_GB2312"/>
          <w:b/>
          <w:color w:val="auto"/>
          <w:sz w:val="30"/>
          <w:szCs w:val="20"/>
          <w:highlight w:val="none"/>
        </w:rPr>
        <w:t>三、投标</w:t>
      </w:r>
      <w:bookmarkEnd w:id="21"/>
    </w:p>
    <w:p>
      <w:pPr>
        <w:pStyle w:val="32"/>
        <w:spacing w:line="360" w:lineRule="auto"/>
        <w:rPr>
          <w:rFonts w:ascii="仿宋_GB2312" w:hAnsi="仿宋" w:eastAsia="仿宋_GB2312" w:cs="仿宋_GB2312"/>
          <w:b/>
          <w:color w:val="auto"/>
          <w:sz w:val="24"/>
          <w:szCs w:val="24"/>
          <w:highlight w:val="none"/>
        </w:rPr>
      </w:pPr>
      <w:bookmarkStart w:id="22" w:name="_Toc91899892"/>
      <w:bookmarkStart w:id="23" w:name="_Toc86216991"/>
      <w:r>
        <w:rPr>
          <w:rFonts w:hint="eastAsia" w:ascii="仿宋_GB2312" w:hAnsi="仿宋" w:eastAsia="仿宋_GB2312" w:cs="仿宋_GB2312"/>
          <w:b/>
          <w:color w:val="auto"/>
          <w:sz w:val="24"/>
          <w:szCs w:val="24"/>
          <w:highlight w:val="none"/>
        </w:rPr>
        <w:t>7. 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采购人组织潜在投标人现场考察或者召开开标前答疑会的，潜在投标人按前附表的规定参加现场考察或者开标前答疑会。</w:t>
      </w:r>
      <w:r>
        <w:rPr>
          <w:rFonts w:hint="eastAsia" w:ascii="仿宋_GB2312" w:hAnsi="仿宋" w:eastAsia="仿宋_GB2312"/>
          <w:b/>
          <w:color w:val="auto"/>
          <w:sz w:val="24"/>
          <w:szCs w:val="24"/>
          <w:highlight w:val="none"/>
        </w:rPr>
        <w:t>采购人不单独或分别组织只有一个供应商参加的现场考察和答疑会。</w:t>
      </w:r>
    </w:p>
    <w:p>
      <w:pPr>
        <w:pStyle w:val="32"/>
        <w:spacing w:line="360" w:lineRule="auto"/>
        <w:rPr>
          <w:rFonts w:ascii="仿宋_GB2312" w:hAnsi="仿宋" w:eastAsia="仿宋_GB2312" w:cs="仿宋_GB2312"/>
          <w:b/>
          <w:color w:val="auto"/>
          <w:szCs w:val="24"/>
          <w:highlight w:val="none"/>
        </w:rPr>
      </w:pPr>
      <w:r>
        <w:rPr>
          <w:rFonts w:hint="eastAsia" w:ascii="仿宋_GB2312" w:hAnsi="仿宋" w:eastAsia="仿宋_GB2312"/>
          <w:b/>
          <w:color w:val="auto"/>
          <w:kern w:val="28"/>
          <w:sz w:val="24"/>
          <w:szCs w:val="24"/>
          <w:highlight w:val="none"/>
        </w:rPr>
        <w:t>9.投标保证金</w:t>
      </w:r>
    </w:p>
    <w:p>
      <w:pPr>
        <w:pStyle w:val="1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本项目不需要交纳投标保证金。</w:t>
      </w:r>
    </w:p>
    <w:p>
      <w:pPr>
        <w:pStyle w:val="32"/>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10. 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11. 投标文件的组成</w:t>
      </w:r>
    </w:p>
    <w:p>
      <w:pPr>
        <w:pStyle w:val="32"/>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投标文件应当包括以下主要内容：</w:t>
      </w:r>
      <w:r>
        <w:rPr>
          <w:rFonts w:hint="eastAsia" w:ascii="仿宋_GB2312" w:hAnsi="仿宋" w:eastAsia="仿宋_GB2312" w:cs="仿宋_GB2312"/>
          <w:b/>
          <w:color w:val="auto"/>
          <w:sz w:val="24"/>
          <w:szCs w:val="24"/>
          <w:highlight w:val="none"/>
        </w:rPr>
        <w:t>资格文件、报价文件、商务技术文件</w:t>
      </w:r>
      <w:r>
        <w:rPr>
          <w:rFonts w:hint="eastAsia" w:ascii="仿宋_GB2312" w:hAnsi="仿宋" w:eastAsia="仿宋_GB2312" w:cs="仿宋_GB2312"/>
          <w:color w:val="auto"/>
          <w:sz w:val="24"/>
          <w:szCs w:val="24"/>
          <w:highlight w:val="none"/>
        </w:rPr>
        <w:t>。投标文件应当对招标文件提出的要求和条件作出明确响应。</w:t>
      </w:r>
    </w:p>
    <w:p>
      <w:pPr>
        <w:snapToGrid w:val="0"/>
        <w:spacing w:line="360" w:lineRule="auto"/>
        <w:ind w:firstLine="480" w:firstLineChars="200"/>
        <w:rPr>
          <w:rFonts w:ascii="仿宋_GB2312" w:hAnsi="仿宋" w:eastAsia="仿宋_GB2312" w:cs="仿宋_GB2312"/>
          <w:b/>
          <w:color w:val="auto"/>
          <w:kern w:val="0"/>
          <w:sz w:val="24"/>
          <w:highlight w:val="none"/>
        </w:rPr>
      </w:pPr>
      <w:r>
        <w:rPr>
          <w:rFonts w:hint="eastAsia"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应包括以下内容（均需使用电子签名）：</w:t>
      </w:r>
      <w:r>
        <w:rPr>
          <w:rFonts w:hint="eastAsia" w:ascii="仿宋_GB2312" w:hAnsi="仿宋" w:eastAsia="仿宋_GB2312" w:cs="仿宋_GB2312"/>
          <w:color w:val="auto"/>
          <w:kern w:val="0"/>
          <w:sz w:val="24"/>
          <w:highlight w:val="none"/>
        </w:rPr>
        <w:t>证明其符合《中华人民共和国政府采购法》</w:t>
      </w:r>
      <w:r>
        <w:rPr>
          <w:rFonts w:hint="eastAsia" w:ascii="仿宋_GB2312" w:hAnsi="仿宋" w:eastAsia="仿宋_GB2312" w:cs="Arial"/>
          <w:color w:val="auto"/>
          <w:kern w:val="0"/>
          <w:sz w:val="24"/>
          <w:highlight w:val="none"/>
        </w:rPr>
        <w:t>规定的供应商基本条件和采购项目对供应商的特定条件</w:t>
      </w:r>
      <w:r>
        <w:rPr>
          <w:rFonts w:hint="eastAsia" w:ascii="仿宋_GB2312" w:hAnsi="仿宋" w:eastAsia="仿宋_GB2312" w:cs="仿宋_GB2312"/>
          <w:color w:val="auto"/>
          <w:sz w:val="24"/>
          <w:highlight w:val="none"/>
        </w:rPr>
        <w:t>（如果项目要求）</w:t>
      </w:r>
      <w:r>
        <w:rPr>
          <w:rFonts w:hint="eastAsia" w:ascii="仿宋_GB2312" w:hAnsi="仿宋" w:eastAsia="仿宋_GB2312" w:cs="仿宋_GB2312"/>
          <w:color w:val="auto"/>
          <w:kern w:val="0"/>
          <w:sz w:val="24"/>
          <w:highlight w:val="none"/>
        </w:rPr>
        <w:t>的有关资格证明文件。</w:t>
      </w:r>
      <w:r>
        <w:rPr>
          <w:rFonts w:hint="eastAsia" w:ascii="仿宋_GB2312" w:hAnsi="仿宋" w:eastAsia="仿宋_GB2312" w:cs="仿宋_GB2312"/>
          <w:b/>
          <w:color w:val="auto"/>
          <w:kern w:val="0"/>
          <w:sz w:val="24"/>
          <w:highlight w:val="none"/>
        </w:rPr>
        <w:t>（以联合体形式进行政府采购的，参加联合体的供应商均应当提供）</w:t>
      </w:r>
    </w:p>
    <w:p>
      <w:pPr>
        <w:pStyle w:val="32"/>
        <w:spacing w:line="360" w:lineRule="auto"/>
        <w:ind w:firstLine="480" w:firstLineChars="200"/>
        <w:rPr>
          <w:rFonts w:hint="eastAsia" w:ascii="仿宋_GB2312" w:hAnsi="仿宋" w:eastAsia="仿宋_GB2312"/>
          <w:color w:val="auto"/>
          <w:sz w:val="24"/>
          <w:highlight w:val="none"/>
        </w:rPr>
      </w:pPr>
      <w:bookmarkStart w:id="24" w:name="_Hlt68072998"/>
      <w:bookmarkEnd w:id="24"/>
      <w:bookmarkStart w:id="25" w:name="_Hlt68403820"/>
      <w:bookmarkEnd w:id="25"/>
      <w:bookmarkStart w:id="26" w:name="_Hlt68073093"/>
      <w:bookmarkEnd w:id="26"/>
      <w:r>
        <w:rPr>
          <w:rFonts w:hint="eastAsia" w:ascii="仿宋_GB2312" w:hAnsi="仿宋" w:eastAsia="仿宋_GB2312" w:cs="仿宋_GB2312"/>
          <w:color w:val="auto"/>
          <w:sz w:val="24"/>
          <w:highlight w:val="none"/>
        </w:rPr>
        <w:t>11.1.1</w:t>
      </w:r>
      <w:r>
        <w:rPr>
          <w:rFonts w:hint="eastAsia" w:ascii="仿宋_GB2312" w:hAnsi="仿宋" w:eastAsia="仿宋_GB2312"/>
          <w:color w:val="auto"/>
          <w:sz w:val="24"/>
          <w:highlight w:val="none"/>
        </w:rPr>
        <w:t>营业执照(或事业法人登记证或其他工商等登记证明材料)复印件（投标人为自然人的，提供</w:t>
      </w:r>
      <w:r>
        <w:rPr>
          <w:rFonts w:hint="eastAsia" w:ascii="仿宋_GB2312" w:hAnsi="Helvetica"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p>
    <w:p>
      <w:pPr>
        <w:pStyle w:val="32"/>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11.1.2</w:t>
      </w:r>
      <w:r>
        <w:rPr>
          <w:rFonts w:hint="eastAsia" w:ascii="仿宋_GB2312" w:hAnsi="仿宋" w:eastAsia="仿宋_GB2312"/>
          <w:color w:val="auto"/>
          <w:sz w:val="24"/>
          <w:highlight w:val="none"/>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 w:eastAsia="仿宋_GB2312" w:cs="仿宋_GB2312"/>
          <w:b/>
          <w:color w:val="auto"/>
          <w:sz w:val="24"/>
          <w:highlight w:val="none"/>
        </w:rPr>
        <w:t>投标文件中法人授权书所载内容与本项目内容有异的，投标无效</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11.1.3</w:t>
      </w:r>
      <w:r>
        <w:rPr>
          <w:rFonts w:hint="eastAsia" w:ascii="仿宋_GB2312" w:hAnsi="仿宋" w:eastAsia="仿宋_GB2312"/>
          <w:color w:val="auto"/>
          <w:sz w:val="24"/>
          <w:highlight w:val="none"/>
        </w:rPr>
        <w:t>授权代表的身份证（复印件）；</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11.1.4符合参与政府采购活动的资格条件并且没有税收缴纳、社会保障等方面的失信记录的承诺函；</w:t>
      </w:r>
    </w:p>
    <w:p>
      <w:pPr>
        <w:pStyle w:val="32"/>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11.1.5具有履行合同所必需的设备和专业技术能力的承诺函；</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11.1.6参加政府采购活动前三年内，在经营活动中没有重大违法记录的声明；</w:t>
      </w:r>
    </w:p>
    <w:p>
      <w:pPr>
        <w:spacing w:line="360" w:lineRule="auto"/>
        <w:ind w:firstLine="480" w:firstLineChars="200"/>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highlight w:val="none"/>
        </w:rPr>
        <w:t>11.1.7</w:t>
      </w:r>
      <w:r>
        <w:rPr>
          <w:rFonts w:hint="eastAsia" w:ascii="仿宋_GB2312" w:hAnsi="仿宋" w:eastAsia="仿宋_GB2312" w:cs="仿宋_GB2312"/>
          <w:color w:val="auto"/>
          <w:sz w:val="24"/>
          <w:szCs w:val="20"/>
          <w:highlight w:val="none"/>
        </w:rPr>
        <w:t xml:space="preserve">具有良好商业信誉的特别声明； </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11.1.8符合特定资格条件（如果项目要求）的有关证明材料（复印件）；</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11.1.9以联合体形式投标的，提供联合体协议；本项目不接受联合体投标或者投标人不以联合体形式投标的，则不需要提供。</w:t>
      </w:r>
    </w:p>
    <w:p>
      <w:pPr>
        <w:pStyle w:val="32"/>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szCs w:val="24"/>
          <w:highlight w:val="none"/>
        </w:rPr>
        <w:t>11.</w:t>
      </w:r>
      <w:r>
        <w:rPr>
          <w:rFonts w:hint="eastAsia" w:ascii="仿宋_GB2312" w:hAnsi="仿宋" w:eastAsia="仿宋_GB2312" w:cs="仿宋_GB2312"/>
          <w:color w:val="auto"/>
          <w:sz w:val="24"/>
          <w:szCs w:val="24"/>
          <w:highlight w:val="none"/>
          <w:lang w:val="en-US" w:eastAsia="zh-CN"/>
        </w:rPr>
        <w:t>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en-US" w:eastAsia="zh-CN"/>
        </w:rPr>
        <w:t>10</w:t>
      </w:r>
      <w:r>
        <w:rPr>
          <w:rFonts w:hint="eastAsia" w:ascii="仿宋_GB2312" w:hAnsi="仿宋" w:eastAsia="仿宋_GB2312" w:cs="仿宋_GB2312"/>
          <w:color w:val="auto"/>
          <w:sz w:val="24"/>
          <w:szCs w:val="24"/>
          <w:highlight w:val="none"/>
        </w:rPr>
        <w:t>中小企业声明函。</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hint="eastAsia" w:ascii="仿宋_GB2312" w:hAnsi="仿宋" w:eastAsia="仿宋_GB2312" w:cs="仿宋_GB2312"/>
          <w:color w:val="auto"/>
          <w:kern w:val="0"/>
          <w:sz w:val="24"/>
          <w:highlight w:val="none"/>
          <w:lang w:val="zh-CN"/>
        </w:rPr>
        <w:t xml:space="preserve">11.2 </w:t>
      </w:r>
      <w:r>
        <w:rPr>
          <w:rFonts w:hint="eastAsia" w:ascii="仿宋_GB2312" w:hAnsi="仿宋" w:eastAsia="仿宋_GB2312" w:cs="仿宋_GB2312"/>
          <w:color w:val="auto"/>
          <w:sz w:val="24"/>
          <w:highlight w:val="none"/>
        </w:rPr>
        <w:t>投标人的</w:t>
      </w:r>
      <w:r>
        <w:rPr>
          <w:rFonts w:hint="eastAsia" w:ascii="仿宋_GB2312" w:hAnsi="仿宋" w:eastAsia="仿宋_GB2312" w:cs="仿宋_GB2312"/>
          <w:b/>
          <w:color w:val="auto"/>
          <w:sz w:val="24"/>
          <w:highlight w:val="none"/>
        </w:rPr>
        <w:t>报价文件</w:t>
      </w:r>
      <w:r>
        <w:rPr>
          <w:rFonts w:hint="eastAsia" w:ascii="仿宋_GB2312" w:hAnsi="仿宋" w:eastAsia="仿宋_GB2312" w:cs="仿宋_GB2312"/>
          <w:color w:val="auto"/>
          <w:sz w:val="24"/>
          <w:highlight w:val="none"/>
        </w:rPr>
        <w:t>应包括以下内容（均需使用电子签名）：</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11.2.1</w:t>
      </w:r>
      <w:r>
        <w:rPr>
          <w:rFonts w:hint="eastAsia" w:ascii="仿宋_GB2312" w:hAnsi="仿宋" w:eastAsia="仿宋_GB2312" w:cs="仿宋_GB2312"/>
          <w:color w:val="auto"/>
          <w:kern w:val="0"/>
          <w:sz w:val="24"/>
          <w:highlight w:val="none"/>
        </w:rPr>
        <w:t>投标响应函</w:t>
      </w:r>
      <w:r>
        <w:rPr>
          <w:rFonts w:hint="eastAsia" w:ascii="仿宋_GB2312" w:hAnsi="仿宋" w:eastAsia="仿宋_GB2312" w:cs="仿宋_GB2312"/>
          <w:color w:val="auto"/>
          <w:sz w:val="24"/>
          <w:highlight w:val="none"/>
        </w:rPr>
        <w:t>；</w:t>
      </w:r>
    </w:p>
    <w:p>
      <w:pPr>
        <w:pStyle w:val="32"/>
        <w:snapToGrid w:val="0"/>
        <w:spacing w:line="360" w:lineRule="auto"/>
        <w:ind w:firstLine="480" w:firstLineChars="20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11.2.2投标(开标)一览表；</w:t>
      </w:r>
    </w:p>
    <w:p>
      <w:pPr>
        <w:pStyle w:val="32"/>
        <w:spacing w:line="360" w:lineRule="auto"/>
        <w:ind w:firstLine="480" w:firstLineChars="200"/>
        <w:rPr>
          <w:rFonts w:ascii="仿宋_GB2312" w:hAnsi="仿宋" w:eastAsia="仿宋_GB2312" w:cs="仿宋_GB2312"/>
          <w:color w:val="auto"/>
          <w:sz w:val="24"/>
          <w:szCs w:val="24"/>
          <w:highlight w:val="none"/>
          <w:lang w:val="zh-CN"/>
        </w:rPr>
      </w:pPr>
      <w:r>
        <w:rPr>
          <w:rFonts w:hint="eastAsia" w:ascii="仿宋_GB2312" w:hAnsi="仿宋" w:eastAsia="仿宋_GB2312" w:cs="仿宋_GB2312"/>
          <w:color w:val="auto"/>
          <w:kern w:val="0"/>
          <w:sz w:val="24"/>
          <w:szCs w:val="24"/>
          <w:highlight w:val="none"/>
          <w:lang w:val="zh-CN"/>
        </w:rPr>
        <w:t>11.3  投标人的</w:t>
      </w:r>
      <w:r>
        <w:rPr>
          <w:rFonts w:hint="eastAsia" w:ascii="仿宋_GB2312" w:hAnsi="仿宋" w:eastAsia="仿宋_GB2312" w:cs="仿宋_GB2312"/>
          <w:b/>
          <w:color w:val="auto"/>
          <w:sz w:val="24"/>
          <w:szCs w:val="24"/>
          <w:highlight w:val="none"/>
        </w:rPr>
        <w:t>商务技术</w:t>
      </w:r>
      <w:r>
        <w:rPr>
          <w:rFonts w:hint="eastAsia" w:ascii="仿宋_GB2312" w:hAnsi="仿宋" w:eastAsia="仿宋_GB2312" w:cs="仿宋_GB2312"/>
          <w:b/>
          <w:color w:val="auto"/>
          <w:kern w:val="0"/>
          <w:sz w:val="24"/>
          <w:szCs w:val="24"/>
          <w:highlight w:val="none"/>
          <w:lang w:val="zh-CN"/>
        </w:rPr>
        <w:t>文件应</w:t>
      </w:r>
      <w:r>
        <w:rPr>
          <w:rFonts w:hint="eastAsia" w:ascii="仿宋_GB2312" w:hAnsi="仿宋" w:eastAsia="仿宋_GB2312" w:cs="仿宋_GB2312"/>
          <w:color w:val="auto"/>
          <w:kern w:val="0"/>
          <w:sz w:val="24"/>
          <w:szCs w:val="24"/>
          <w:highlight w:val="none"/>
          <w:lang w:val="zh-CN"/>
        </w:rPr>
        <w:t>包括以下内容</w:t>
      </w:r>
      <w:r>
        <w:rPr>
          <w:rFonts w:hint="eastAsia" w:ascii="仿宋_GB2312" w:hAnsi="仿宋" w:eastAsia="仿宋_GB2312" w:cs="仿宋_GB2312"/>
          <w:color w:val="auto"/>
          <w:sz w:val="24"/>
          <w:szCs w:val="24"/>
          <w:highlight w:val="none"/>
        </w:rPr>
        <w:t>（均需使用电子签名）</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sz w:val="24"/>
          <w:szCs w:val="24"/>
          <w:highlight w:val="none"/>
          <w:lang w:val="zh-CN"/>
        </w:rPr>
        <w:t xml:space="preserve"> </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11.3.1</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w:t>
      </w:r>
    </w:p>
    <w:p>
      <w:pPr>
        <w:pStyle w:val="32"/>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lang w:val="zh-CN"/>
        </w:rPr>
        <w:t>11.3.2</w:t>
      </w:r>
      <w:r>
        <w:rPr>
          <w:rFonts w:hint="eastAsia" w:ascii="仿宋_GB2312" w:hAnsi="仿宋" w:eastAsia="仿宋_GB2312"/>
          <w:color w:val="auto"/>
          <w:sz w:val="24"/>
          <w:highlight w:val="none"/>
        </w:rPr>
        <w:t>如以联合体形式参加政府采购活动的，</w:t>
      </w:r>
      <w:r>
        <w:rPr>
          <w:rFonts w:hint="eastAsia" w:ascii="仿宋_GB2312" w:hAnsi="仿宋" w:eastAsia="仿宋_GB2312"/>
          <w:color w:val="auto"/>
          <w:sz w:val="24"/>
          <w:szCs w:val="24"/>
          <w:highlight w:val="none"/>
        </w:rPr>
        <w:t>联合体各方应当指定牵头人，授权其代表所有联合体成员负责投标和合同实施阶段的主办、协调工作，并应当向采购机构提交由所有联合体成员各方签署的授权书，同时</w:t>
      </w:r>
      <w:r>
        <w:rPr>
          <w:rFonts w:hint="eastAsia" w:ascii="仿宋_GB2312" w:hAnsi="仿宋" w:eastAsia="仿宋_GB2312"/>
          <w:color w:val="auto"/>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_GB2312" w:hAnsi="仿宋" w:eastAsia="仿宋_GB2312"/>
          <w:b/>
          <w:color w:val="auto"/>
          <w:sz w:val="24"/>
          <w:highlight w:val="none"/>
        </w:rPr>
        <w:t>▲如以联合体形式参加政府采购活动的，联合体协议不符合招标文件规定的联合体协议要求的，投标无效。</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11.3.3</w:t>
      </w:r>
      <w:r>
        <w:rPr>
          <w:rFonts w:hint="eastAsia" w:ascii="仿宋_GB2312" w:hAnsi="仿宋" w:eastAsia="仿宋_GB2312" w:cs="仿宋_GB2312"/>
          <w:color w:val="auto"/>
          <w:sz w:val="24"/>
          <w:highlight w:val="none"/>
        </w:rPr>
        <w:t>资信文件：</w:t>
      </w:r>
      <w:r>
        <w:rPr>
          <w:rFonts w:hint="eastAsia" w:ascii="仿宋_GB2312" w:hAnsi="仿宋" w:eastAsia="仿宋_GB2312" w:cs="仿宋_GB2312"/>
          <w:color w:val="auto"/>
          <w:kern w:val="0"/>
          <w:sz w:val="24"/>
          <w:szCs w:val="20"/>
          <w:highlight w:val="none"/>
        </w:rPr>
        <w:t>见投标须知前附表所述；</w:t>
      </w:r>
    </w:p>
    <w:p>
      <w:pPr>
        <w:pStyle w:val="238"/>
        <w:snapToGrid w:val="0"/>
        <w:spacing w:before="0"/>
        <w:ind w:firstLine="480"/>
        <w:rPr>
          <w:rFonts w:ascii="仿宋_GB2312" w:hAnsi="仿宋" w:eastAsia="仿宋_GB2312"/>
          <w:color w:val="auto"/>
          <w:kern w:val="0"/>
          <w:highlight w:val="none"/>
          <w:lang w:val="zh-CN"/>
        </w:rPr>
      </w:pPr>
      <w:r>
        <w:rPr>
          <w:rFonts w:hint="eastAsia" w:ascii="仿宋_GB2312" w:hAnsi="仿宋" w:eastAsia="仿宋_GB2312" w:cs="仿宋_GB2312"/>
          <w:color w:val="auto"/>
          <w:highlight w:val="none"/>
          <w:lang w:val="zh-CN"/>
        </w:rPr>
        <w:t>11.3.4</w:t>
      </w:r>
      <w:r>
        <w:rPr>
          <w:rFonts w:hint="eastAsia" w:ascii="仿宋_GB2312" w:hAnsi="仿宋" w:eastAsia="仿宋_GB2312" w:cs="宋体"/>
          <w:color w:val="auto"/>
          <w:kern w:val="0"/>
          <w:highlight w:val="none"/>
        </w:rPr>
        <w:t>投标截止时间前三年投标人的主要业绩证明材料即</w:t>
      </w:r>
      <w:r>
        <w:rPr>
          <w:rFonts w:hint="eastAsia" w:ascii="仿宋_GB2312" w:hAnsi="仿宋" w:eastAsia="仿宋_GB2312"/>
          <w:color w:val="auto"/>
          <w:highlight w:val="none"/>
          <w:lang w:val="zh-CN"/>
        </w:rPr>
        <w:t>合同</w:t>
      </w:r>
      <w:r>
        <w:rPr>
          <w:rFonts w:hint="eastAsia" w:ascii="仿宋_GB2312" w:hAnsi="仿宋" w:eastAsia="仿宋_GB2312"/>
          <w:color w:val="auto"/>
          <w:highlight w:val="none"/>
        </w:rPr>
        <w:t>和用户验收报告</w:t>
      </w:r>
      <w:r>
        <w:rPr>
          <w:rFonts w:hint="eastAsia" w:ascii="仿宋_GB2312" w:hAnsi="仿宋" w:eastAsia="仿宋_GB2312"/>
          <w:color w:val="auto"/>
          <w:szCs w:val="24"/>
          <w:highlight w:val="none"/>
        </w:rPr>
        <w:t>（</w:t>
      </w:r>
      <w:r>
        <w:rPr>
          <w:rFonts w:hint="eastAsia" w:ascii="仿宋_GB2312" w:hAnsi="仿宋" w:eastAsia="仿宋_GB2312" w:cs="Arial"/>
          <w:color w:val="auto"/>
          <w:highlight w:val="none"/>
        </w:rPr>
        <w:t>联合体投标的，联合体各方</w:t>
      </w:r>
      <w:r>
        <w:rPr>
          <w:rFonts w:hint="eastAsia" w:ascii="仿宋_GB2312" w:hAnsi="仿宋" w:eastAsia="仿宋_GB2312" w:cs="Helvetica"/>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 w:eastAsia="仿宋_GB2312"/>
          <w:color w:val="auto"/>
          <w:szCs w:val="24"/>
          <w:highlight w:val="none"/>
        </w:rPr>
        <w:t>)</w:t>
      </w:r>
      <w:r>
        <w:rPr>
          <w:rFonts w:hint="eastAsia" w:ascii="仿宋_GB2312" w:hAnsi="仿宋" w:eastAsia="仿宋_GB2312" w:cs="宋体"/>
          <w:color w:val="auto"/>
          <w:kern w:val="0"/>
          <w:highlight w:val="none"/>
        </w:rPr>
        <w:t>；</w:t>
      </w:r>
    </w:p>
    <w:p>
      <w:pPr>
        <w:snapToGrid w:val="0"/>
        <w:spacing w:line="360" w:lineRule="auto"/>
        <w:ind w:firstLine="540" w:firstLineChars="22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11.3.5</w:t>
      </w:r>
      <w:r>
        <w:rPr>
          <w:rFonts w:hint="eastAsia" w:ascii="仿宋_GB2312" w:hAnsi="仿宋" w:eastAsia="仿宋_GB2312" w:cs="仿宋_GB2312"/>
          <w:color w:val="auto"/>
          <w:kern w:val="0"/>
          <w:sz w:val="24"/>
          <w:highlight w:val="none"/>
          <w:lang w:val="zh-CN"/>
        </w:rPr>
        <w:t>投标人认为需要的其他商务文件或说明；</w:t>
      </w:r>
      <w:r>
        <w:rPr>
          <w:rFonts w:hint="eastAsia" w:ascii="仿宋_GB2312" w:hAnsi="仿宋" w:eastAsia="仿宋_GB2312" w:cs="仿宋_GB2312"/>
          <w:color w:val="auto"/>
          <w:sz w:val="24"/>
          <w:highlight w:val="none"/>
        </w:rPr>
        <w:t xml:space="preserve"> </w:t>
      </w:r>
    </w:p>
    <w:p>
      <w:pPr>
        <w:snapToGrid w:val="0"/>
        <w:spacing w:line="360" w:lineRule="auto"/>
        <w:ind w:firstLine="600" w:firstLineChars="250"/>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sz w:val="24"/>
          <w:highlight w:val="none"/>
          <w:lang w:val="zh-CN"/>
        </w:rPr>
        <w:t>11.3.6</w:t>
      </w:r>
      <w:r>
        <w:rPr>
          <w:rFonts w:hint="eastAsia" w:ascii="仿宋_GB2312" w:hAnsi="仿宋" w:eastAsia="仿宋_GB2312"/>
          <w:color w:val="auto"/>
          <w:sz w:val="24"/>
          <w:highlight w:val="none"/>
        </w:rPr>
        <w:t>技术和服务方案，如提出</w:t>
      </w:r>
      <w:r>
        <w:rPr>
          <w:rFonts w:hint="eastAsia" w:ascii="仿宋_GB2312" w:hAnsi="仿宋" w:eastAsia="仿宋_GB2312"/>
          <w:color w:val="auto"/>
          <w:kern w:val="0"/>
          <w:sz w:val="24"/>
          <w:highlight w:val="none"/>
        </w:rPr>
        <w:t>物业管理的相关详细计划和实施措施，</w:t>
      </w:r>
      <w:r>
        <w:rPr>
          <w:rFonts w:hint="eastAsia" w:ascii="仿宋_GB2312" w:hAnsi="仿宋" w:eastAsia="仿宋_GB2312" w:cs="微软雅黑"/>
          <w:color w:val="auto"/>
          <w:sz w:val="24"/>
          <w:highlight w:val="none"/>
        </w:rPr>
        <w:t>各类应急预案及相应的措施</w:t>
      </w:r>
      <w:r>
        <w:rPr>
          <w:rFonts w:hint="eastAsia" w:ascii="仿宋_GB2312" w:hAnsi="仿宋" w:eastAsia="仿宋_GB2312"/>
          <w:color w:val="auto"/>
          <w:sz w:val="24"/>
          <w:highlight w:val="none"/>
        </w:rPr>
        <w:t>。</w:t>
      </w:r>
      <w:r>
        <w:rPr>
          <w:rFonts w:hint="eastAsia" w:ascii="仿宋_GB2312" w:hAnsi="仿宋" w:eastAsia="仿宋_GB2312"/>
          <w:b/>
          <w:color w:val="auto"/>
          <w:sz w:val="24"/>
          <w:highlight w:val="none"/>
        </w:rPr>
        <w:t>投标人根据项目</w:t>
      </w:r>
      <w:r>
        <w:rPr>
          <w:rFonts w:hint="eastAsia" w:ascii="仿宋_GB2312" w:hAnsi="仿宋" w:eastAsia="仿宋_GB2312" w:cs="微软雅黑"/>
          <w:b/>
          <w:color w:val="auto"/>
          <w:sz w:val="24"/>
          <w:highlight w:val="none"/>
        </w:rPr>
        <w:t>采购需求、评分标准等</w:t>
      </w:r>
      <w:r>
        <w:rPr>
          <w:rFonts w:hint="eastAsia" w:ascii="仿宋_GB2312" w:hAnsi="仿宋" w:eastAsia="仿宋_GB2312"/>
          <w:b/>
          <w:color w:val="auto"/>
          <w:sz w:val="24"/>
          <w:highlight w:val="none"/>
        </w:rPr>
        <w:t>提出合理的技术和服务方案</w:t>
      </w:r>
      <w:r>
        <w:rPr>
          <w:rFonts w:hint="eastAsia" w:ascii="仿宋_GB2312" w:hAnsi="仿宋" w:eastAsia="仿宋_GB2312" w:cs="仿宋_GB2312"/>
          <w:b/>
          <w:color w:val="auto"/>
          <w:kern w:val="0"/>
          <w:sz w:val="24"/>
          <w:highlight w:val="none"/>
          <w:lang w:val="zh-CN"/>
        </w:rPr>
        <w:t>；</w:t>
      </w:r>
    </w:p>
    <w:p>
      <w:pPr>
        <w:pStyle w:val="32"/>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11.3.7</w:t>
      </w:r>
      <w:r>
        <w:rPr>
          <w:rFonts w:hint="eastAsia" w:ascii="仿宋_GB2312" w:hAnsi="仿宋" w:eastAsia="仿宋_GB2312" w:cs="仿宋_GB2312"/>
          <w:color w:val="auto"/>
          <w:kern w:val="0"/>
          <w:sz w:val="24"/>
          <w:highlight w:val="none"/>
        </w:rPr>
        <w:t>技术和服务偏离说明表，</w:t>
      </w:r>
      <w:r>
        <w:rPr>
          <w:rFonts w:hint="eastAsia" w:ascii="仿宋_GB2312" w:hAnsi="仿宋" w:eastAsia="仿宋_GB2312"/>
          <w:color w:val="auto"/>
          <w:kern w:val="0"/>
          <w:sz w:val="24"/>
          <w:highlight w:val="none"/>
        </w:rPr>
        <w:t>投标人应对采购需求中所提出各项要求明确是否偏离</w:t>
      </w: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600" w:firstLineChars="250"/>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sz w:val="24"/>
          <w:highlight w:val="none"/>
          <w:lang w:val="zh-CN"/>
        </w:rPr>
        <w:t>11.3.8</w:t>
      </w:r>
      <w:r>
        <w:rPr>
          <w:rFonts w:hint="eastAsia" w:ascii="仿宋_GB2312" w:hAnsi="仿宋" w:eastAsia="仿宋_GB2312" w:cs="仿宋_GB2312"/>
          <w:color w:val="auto"/>
          <w:kern w:val="0"/>
          <w:sz w:val="24"/>
          <w:highlight w:val="none"/>
          <w:lang w:val="zh-CN"/>
        </w:rPr>
        <w:t>组织实施方案</w:t>
      </w:r>
      <w:r>
        <w:rPr>
          <w:rFonts w:hint="eastAsia" w:ascii="仿宋_GB2312" w:hAnsi="仿宋" w:eastAsia="仿宋_GB2312"/>
          <w:color w:val="auto"/>
          <w:sz w:val="24"/>
          <w:highlight w:val="none"/>
        </w:rPr>
        <w:t>，如</w:t>
      </w:r>
      <w:r>
        <w:rPr>
          <w:rFonts w:hint="eastAsia" w:ascii="仿宋_GB2312" w:hAnsi="仿宋" w:eastAsia="仿宋_GB2312" w:cs="微软雅黑"/>
          <w:color w:val="auto"/>
          <w:sz w:val="24"/>
          <w:highlight w:val="none"/>
        </w:rPr>
        <w:t>物业管理服务理念、定位、目标以及针对本项目的组织架构及管理制度、管理流程。</w:t>
      </w:r>
      <w:r>
        <w:rPr>
          <w:rFonts w:hint="eastAsia" w:ascii="仿宋_GB2312" w:hAnsi="仿宋" w:eastAsia="仿宋_GB2312"/>
          <w:b/>
          <w:color w:val="auto"/>
          <w:sz w:val="24"/>
          <w:highlight w:val="none"/>
        </w:rPr>
        <w:t>投标人根据项目</w:t>
      </w:r>
      <w:r>
        <w:rPr>
          <w:rFonts w:hint="eastAsia" w:ascii="仿宋_GB2312" w:hAnsi="仿宋" w:eastAsia="仿宋_GB2312" w:cs="微软雅黑"/>
          <w:b/>
          <w:color w:val="auto"/>
          <w:sz w:val="24"/>
          <w:highlight w:val="none"/>
        </w:rPr>
        <w:t>采购需求、评分标准等</w:t>
      </w:r>
      <w:r>
        <w:rPr>
          <w:rFonts w:hint="eastAsia" w:ascii="仿宋_GB2312" w:hAnsi="仿宋" w:eastAsia="仿宋_GB2312"/>
          <w:b/>
          <w:color w:val="auto"/>
          <w:sz w:val="24"/>
          <w:highlight w:val="none"/>
        </w:rPr>
        <w:t>提出组织实施方案</w:t>
      </w:r>
      <w:r>
        <w:rPr>
          <w:rFonts w:hint="eastAsia" w:ascii="仿宋_GB2312" w:hAnsi="仿宋" w:eastAsia="仿宋_GB2312" w:cs="仿宋_GB2312"/>
          <w:b/>
          <w:color w:val="auto"/>
          <w:kern w:val="0"/>
          <w:sz w:val="24"/>
          <w:highlight w:val="none"/>
          <w:lang w:val="zh-CN"/>
        </w:rPr>
        <w:t>；</w:t>
      </w:r>
    </w:p>
    <w:p>
      <w:pPr>
        <w:snapToGrid w:val="0"/>
        <w:spacing w:line="360" w:lineRule="auto"/>
        <w:ind w:firstLine="600" w:firstLineChars="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11.3.9</w:t>
      </w:r>
      <w:r>
        <w:rPr>
          <w:rFonts w:hint="eastAsia" w:ascii="仿宋_GB2312" w:hAnsi="仿宋" w:eastAsia="仿宋_GB2312"/>
          <w:color w:val="auto"/>
          <w:sz w:val="24"/>
          <w:highlight w:val="none"/>
        </w:rPr>
        <w:t>人员投入计划</w:t>
      </w:r>
      <w:r>
        <w:rPr>
          <w:rFonts w:hint="eastAsia" w:ascii="仿宋_GB2312" w:hAnsi="仿宋" w:eastAsia="仿宋_GB2312" w:cs="Arial"/>
          <w:snapToGrid w:val="0"/>
          <w:color w:val="auto"/>
          <w:kern w:val="0"/>
          <w:sz w:val="24"/>
          <w:highlight w:val="none"/>
        </w:rPr>
        <w:t>。主要指物业管理服务人员岗位安排明细计划：人员数量配置（重要岗位须人员详细资料，并附上有关证明材料）等</w:t>
      </w:r>
      <w:r>
        <w:rPr>
          <w:rFonts w:hint="eastAsia" w:ascii="仿宋_GB2312" w:hAnsi="仿宋" w:eastAsia="仿宋_GB2312" w:cs="仿宋_GB2312"/>
          <w:color w:val="auto"/>
          <w:kern w:val="0"/>
          <w:sz w:val="24"/>
          <w:highlight w:val="none"/>
          <w:lang w:val="zh-CN"/>
        </w:rPr>
        <w:t>；</w:t>
      </w:r>
    </w:p>
    <w:p>
      <w:pPr>
        <w:snapToGrid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11.3.10</w:t>
      </w:r>
      <w:r>
        <w:rPr>
          <w:rFonts w:hint="eastAsia" w:ascii="仿宋_GB2312" w:hAnsi="仿宋" w:eastAsia="仿宋_GB2312"/>
          <w:color w:val="auto"/>
          <w:sz w:val="24"/>
          <w:highlight w:val="none"/>
        </w:rPr>
        <w:t>材料、设备、工具等投入计划</w:t>
      </w:r>
      <w:r>
        <w:rPr>
          <w:rFonts w:hint="eastAsia" w:ascii="仿宋_GB2312" w:hAnsi="仿宋" w:eastAsia="仿宋_GB2312" w:cs="仿宋_GB2312"/>
          <w:color w:val="auto"/>
          <w:kern w:val="0"/>
          <w:sz w:val="24"/>
          <w:highlight w:val="none"/>
          <w:lang w:val="zh-CN"/>
        </w:rPr>
        <w:t>；</w:t>
      </w:r>
    </w:p>
    <w:p>
      <w:pPr>
        <w:tabs>
          <w:tab w:val="left" w:pos="0"/>
          <w:tab w:val="left" w:pos="84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11.3.11</w:t>
      </w:r>
      <w:r>
        <w:rPr>
          <w:rFonts w:hint="eastAsia" w:ascii="仿宋_GB2312" w:hAnsi="仿宋" w:eastAsia="仿宋_GB2312" w:cs="Arial"/>
          <w:snapToGrid w:val="0"/>
          <w:color w:val="auto"/>
          <w:kern w:val="0"/>
          <w:sz w:val="24"/>
          <w:highlight w:val="none"/>
        </w:rPr>
        <w:t>投标人的各项服务承诺</w:t>
      </w:r>
      <w:r>
        <w:rPr>
          <w:rFonts w:hint="eastAsia" w:ascii="仿宋_GB2312" w:hAnsi="仿宋" w:eastAsia="仿宋_GB2312" w:cs="仿宋_GB2312"/>
          <w:color w:val="auto"/>
          <w:kern w:val="0"/>
          <w:sz w:val="24"/>
          <w:highlight w:val="none"/>
          <w:lang w:val="zh-CN"/>
        </w:rPr>
        <w:t>；</w:t>
      </w:r>
    </w:p>
    <w:p>
      <w:pPr>
        <w:tabs>
          <w:tab w:val="left" w:pos="0"/>
          <w:tab w:val="left" w:pos="84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11.3.12</w:t>
      </w:r>
      <w:r>
        <w:rPr>
          <w:rFonts w:hint="eastAsia" w:ascii="仿宋_GB2312" w:hAnsi="仿宋" w:eastAsia="仿宋_GB2312" w:cs="仿宋_GB2312"/>
          <w:color w:val="auto"/>
          <w:kern w:val="0"/>
          <w:sz w:val="24"/>
          <w:highlight w:val="none"/>
          <w:lang w:val="zh-CN"/>
        </w:rPr>
        <w:t>投标人认为需要的其他技术文件或说明（如果有）；</w:t>
      </w:r>
    </w:p>
    <w:p>
      <w:pPr>
        <w:tabs>
          <w:tab w:val="left" w:pos="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11.3.13</w:t>
      </w:r>
      <w:r>
        <w:rPr>
          <w:rFonts w:hint="eastAsia" w:ascii="仿宋_GB2312" w:hAnsi="仿宋" w:eastAsia="仿宋_GB2312" w:cs="仿宋_GB2312"/>
          <w:color w:val="auto"/>
          <w:kern w:val="0"/>
          <w:sz w:val="24"/>
          <w:highlight w:val="none"/>
          <w:lang w:val="zh-CN"/>
        </w:rPr>
        <w:t>关于对招标文件商务、合同中有关条款的拒绝声明（如果有）;</w:t>
      </w:r>
    </w:p>
    <w:p>
      <w:pPr>
        <w:tabs>
          <w:tab w:val="left" w:pos="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11.3.14政府采购供应商廉洁自律承诺书；</w:t>
      </w:r>
    </w:p>
    <w:p>
      <w:pPr>
        <w:tabs>
          <w:tab w:val="left" w:pos="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11.3.15廉政承诺书。</w:t>
      </w:r>
    </w:p>
    <w:p>
      <w:pPr>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投标文件组成漏项，内容不全或内容字迹模糊辨认不清的，投标无效；</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82" w:firstLineChars="2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238"/>
        <w:snapToGrid w:val="0"/>
        <w:spacing w:before="0"/>
        <w:ind w:firstLine="0" w:firstLineChars="0"/>
        <w:outlineLvl w:val="0"/>
        <w:rPr>
          <w:rFonts w:ascii="仿宋_GB2312" w:hAnsi="仿宋" w:eastAsia="仿宋_GB2312" w:cs="仿宋_GB2312"/>
          <w:b/>
          <w:color w:val="auto"/>
          <w:szCs w:val="24"/>
          <w:highlight w:val="none"/>
        </w:rPr>
      </w:pPr>
      <w:bookmarkStart w:id="27" w:name="_Toc91899887"/>
      <w:r>
        <w:rPr>
          <w:rFonts w:hint="eastAsia" w:ascii="仿宋_GB2312" w:hAnsi="仿宋" w:eastAsia="仿宋_GB2312" w:cs="仿宋_GB2312"/>
          <w:b/>
          <w:color w:val="auto"/>
          <w:szCs w:val="24"/>
          <w:highlight w:val="none"/>
        </w:rPr>
        <w:t>12</w:t>
      </w:r>
      <w:r>
        <w:rPr>
          <w:rFonts w:hint="eastAsia"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投标文件未按规定的格式编制的，投标无效；</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bookmarkEnd w:id="27"/>
    <w:p>
      <w:pPr>
        <w:snapToGrid w:val="0"/>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13.投标文件的签署、盖章</w:t>
      </w:r>
    </w:p>
    <w:p>
      <w:pPr>
        <w:pStyle w:val="238"/>
        <w:snapToGrid w:val="0"/>
        <w:spacing w:before="0"/>
        <w:ind w:firstLine="480"/>
        <w:rPr>
          <w:rFonts w:ascii="仿宋_GB2312" w:hAnsi="仿宋" w:eastAsia="仿宋_GB2312" w:cs="仿宋_GB2312"/>
          <w:b/>
          <w:color w:val="auto"/>
          <w:highlight w:val="none"/>
        </w:rPr>
      </w:pPr>
      <w:r>
        <w:rPr>
          <w:rFonts w:hint="eastAsia"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238"/>
        <w:snapToGrid w:val="0"/>
        <w:spacing w:before="0"/>
        <w:ind w:firstLine="482"/>
        <w:rPr>
          <w:rFonts w:ascii="仿宋_GB2312" w:hAnsi="仿宋" w:eastAsia="仿宋_GB2312" w:cs="仿宋_GB2312"/>
          <w:color w:val="auto"/>
          <w:szCs w:val="24"/>
          <w:highlight w:val="none"/>
        </w:rPr>
      </w:pPr>
      <w:r>
        <w:rPr>
          <w:rFonts w:hint="eastAsia" w:ascii="仿宋_GB2312" w:hAnsi="仿宋" w:eastAsia="仿宋_GB2312" w:cs="仿宋_GB2312"/>
          <w:b/>
          <w:color w:val="auto"/>
          <w:highlight w:val="none"/>
        </w:rPr>
        <w:t>13.2</w:t>
      </w:r>
      <w:r>
        <w:rPr>
          <w:rFonts w:hint="eastAsia" w:ascii="仿宋_GB2312" w:hAnsi="仿宋" w:eastAsia="仿宋_GB2312" w:cs="仿宋_GB2312"/>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238"/>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14. 投标文件的提交、补充、修改、撤回</w:t>
      </w:r>
    </w:p>
    <w:p>
      <w:pPr>
        <w:pStyle w:val="238"/>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8"/>
        <w:spacing w:before="0"/>
        <w:ind w:firstLine="600" w:firstLineChars="25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38"/>
        <w:spacing w:before="0"/>
        <w:ind w:firstLine="480"/>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hint="eastAsia"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hint="eastAsia" w:ascii="仿宋_GB2312" w:hAnsi="仿宋" w:eastAsia="仿宋_GB2312" w:cs="仿宋_GB2312"/>
          <w:color w:val="auto"/>
          <w:sz w:val="24"/>
          <w:szCs w:val="24"/>
          <w:highlight w:val="none"/>
        </w:rPr>
        <w:t>15.2备份投标文件须在“政采云投标客户端”制作生成，并储存在</w:t>
      </w:r>
      <w:r>
        <w:rPr>
          <w:rFonts w:hint="eastAsia"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360" w:firstLineChars="15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360" w:firstLineChars="150"/>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pPr>
        <w:pStyle w:val="32"/>
        <w:spacing w:line="360" w:lineRule="auto"/>
        <w:ind w:firstLine="361" w:firstLineChars="150"/>
        <w:rPr>
          <w:rFonts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15.5投标人仅提交备份投标文件，没有在电子交易平台传输递交投标文件的，投标无效。</w:t>
      </w:r>
    </w:p>
    <w:bookmarkEnd w:id="22"/>
    <w:bookmarkEnd w:id="23"/>
    <w:p>
      <w:pPr>
        <w:pStyle w:val="238"/>
        <w:spacing w:before="0"/>
        <w:ind w:firstLine="0" w:firstLineChars="0"/>
        <w:rPr>
          <w:rFonts w:ascii="仿宋_GB2312" w:hAnsi="仿宋" w:eastAsia="仿宋_GB2312" w:cs="仿宋_GB2312"/>
          <w:b/>
          <w:color w:val="auto"/>
          <w:szCs w:val="24"/>
          <w:highlight w:val="none"/>
        </w:rPr>
      </w:pPr>
      <w:bookmarkStart w:id="28" w:name="第三部分"/>
      <w:bookmarkStart w:id="29" w:name="_Toc164416483"/>
      <w:r>
        <w:rPr>
          <w:rFonts w:hint="eastAsia" w:ascii="仿宋_GB2312" w:hAnsi="仿宋" w:eastAsia="仿宋_GB2312" w:cs="仿宋_GB2312"/>
          <w:b/>
          <w:color w:val="auto"/>
          <w:szCs w:val="24"/>
          <w:highlight w:val="none"/>
        </w:rPr>
        <w:t>16.投标文件的无效处理</w:t>
      </w:r>
    </w:p>
    <w:p>
      <w:pPr>
        <w:pStyle w:val="24"/>
        <w:spacing w:line="360" w:lineRule="auto"/>
        <w:ind w:firstLine="360"/>
        <w:rPr>
          <w:rFonts w:ascii="仿宋_GB2312" w:hAnsi="仿宋" w:eastAsia="仿宋_GB2312" w:cs="仿宋_GB2312"/>
          <w:snapToGrid w:val="0"/>
          <w:color w:val="auto"/>
          <w:sz w:val="24"/>
          <w:highlight w:val="none"/>
        </w:rPr>
      </w:pPr>
      <w:r>
        <w:rPr>
          <w:rFonts w:hint="eastAsia" w:ascii="仿宋_GB2312" w:hAnsi="仿宋" w:eastAsia="仿宋_GB2312" w:cs="仿宋_GB2312"/>
          <w:snapToGrid w:val="0"/>
          <w:color w:val="auto"/>
          <w:sz w:val="24"/>
          <w:highlight w:val="none"/>
        </w:rPr>
        <w:t>有招标文件第四部分第</w:t>
      </w:r>
      <w:r>
        <w:rPr>
          <w:rFonts w:ascii="仿宋_GB2312" w:hAnsi="仿宋" w:eastAsia="仿宋_GB2312" w:cs="仿宋_GB2312"/>
          <w:snapToGrid w:val="0"/>
          <w:color w:val="auto"/>
          <w:sz w:val="24"/>
          <w:highlight w:val="none"/>
        </w:rPr>
        <w:t>13项规定的情形之一的，投标无效</w:t>
      </w:r>
      <w:r>
        <w:rPr>
          <w:rFonts w:hint="eastAsia" w:ascii="仿宋_GB2312" w:hAnsi="仿宋" w:eastAsia="仿宋_GB2312" w:cs="仿宋_GB2312"/>
          <w:snapToGrid w:val="0"/>
          <w:color w:val="auto"/>
          <w:sz w:val="24"/>
          <w:highlight w:val="none"/>
        </w:rPr>
        <w:t>。</w:t>
      </w:r>
    </w:p>
    <w:p>
      <w:pPr>
        <w:pStyle w:val="238"/>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hint="eastAsia"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238"/>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17.2投标文件合格投递后，自投标截止日期起，在投标有效期内有效。</w:t>
      </w:r>
    </w:p>
    <w:p>
      <w:pPr>
        <w:pStyle w:val="238"/>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38"/>
        <w:spacing w:before="0"/>
        <w:ind w:firstLine="643"/>
        <w:rPr>
          <w:rFonts w:ascii="仿宋_GB2312" w:hAnsi="仿宋" w:eastAsia="仿宋_GB2312" w:cs="仿宋_GB2312"/>
          <w:b/>
          <w:color w:val="auto"/>
          <w:sz w:val="32"/>
          <w:highlight w:val="none"/>
        </w:rPr>
      </w:pPr>
      <w:bookmarkStart w:id="30" w:name="_Toc91899897"/>
    </w:p>
    <w:p>
      <w:pPr>
        <w:pStyle w:val="23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w:t>
      </w:r>
      <w:bookmarkEnd w:id="30"/>
      <w:r>
        <w:rPr>
          <w:rFonts w:hint="eastAsia" w:ascii="仿宋_GB2312" w:hAnsi="仿宋" w:eastAsia="仿宋_GB2312" w:cs="仿宋_GB2312"/>
          <w:b/>
          <w:color w:val="auto"/>
          <w:sz w:val="32"/>
          <w:highlight w:val="none"/>
        </w:rPr>
        <w:t>、资格审查与信用信息查询</w:t>
      </w:r>
    </w:p>
    <w:p>
      <w:pPr>
        <w:pStyle w:val="533"/>
        <w:spacing w:before="0" w:line="360" w:lineRule="auto"/>
        <w:ind w:left="0" w:firstLine="241" w:firstLineChars="100"/>
        <w:contextualSpacing/>
        <w:rPr>
          <w:rFonts w:ascii="仿宋_GB2312" w:hAnsi="仿宋" w:eastAsia="仿宋_GB2312"/>
          <w:color w:val="auto"/>
          <w:sz w:val="24"/>
          <w:highlight w:val="none"/>
        </w:rPr>
      </w:pPr>
      <w:r>
        <w:rPr>
          <w:rFonts w:hint="eastAsia" w:ascii="仿宋_GB2312" w:hAnsi="仿宋" w:eastAsia="仿宋_GB2312" w:cs="仿宋_GB2312"/>
          <w:b/>
          <w:color w:val="auto"/>
          <w:sz w:val="24"/>
          <w:szCs w:val="24"/>
          <w:highlight w:val="none"/>
        </w:rPr>
        <w:t>18.开标</w:t>
      </w:r>
      <w:r>
        <w:rPr>
          <w:rFonts w:hint="eastAsia" w:ascii="仿宋_GB2312" w:hAnsi="仿宋" w:eastAsia="仿宋_GB2312"/>
          <w:color w:val="auto"/>
          <w:sz w:val="24"/>
          <w:highlight w:val="none"/>
        </w:rPr>
        <w:t xml:space="preserve"> </w:t>
      </w:r>
    </w:p>
    <w:p>
      <w:pPr>
        <w:pStyle w:val="533"/>
        <w:spacing w:before="0" w:line="360" w:lineRule="auto"/>
        <w:ind w:left="0" w:firstLine="480" w:firstLineChars="2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33"/>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33"/>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19、资格审查</w:t>
      </w:r>
    </w:p>
    <w:p>
      <w:pPr>
        <w:pStyle w:val="238"/>
        <w:spacing w:before="0"/>
        <w:ind w:firstLine="48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238"/>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238"/>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w:t>
      </w:r>
      <w:r>
        <w:rPr>
          <w:rFonts w:hint="eastAsia" w:ascii="仿宋_GB2312" w:hAnsi="仿宋" w:eastAsia="仿宋_GB2312" w:cs="仿宋_GB2312"/>
          <w:color w:val="auto"/>
          <w:highlight w:val="none"/>
        </w:rPr>
        <w:t>4对未通过资格审查的投标人，采购人或采购机构告知其未通过的原因。</w:t>
      </w:r>
    </w:p>
    <w:p>
      <w:pPr>
        <w:pStyle w:val="238"/>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w:t>
      </w:r>
      <w:r>
        <w:rPr>
          <w:rFonts w:hint="eastAsia" w:ascii="仿宋_GB2312" w:hAnsi="仿宋" w:eastAsia="仿宋_GB2312" w:cs="仿宋_GB2312"/>
          <w:color w:val="auto"/>
          <w:highlight w:val="none"/>
        </w:rPr>
        <w:t>5合格投标人不足3家的，不再评标。</w:t>
      </w:r>
    </w:p>
    <w:p>
      <w:pPr>
        <w:pStyle w:val="238"/>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20、信用信息查询</w:t>
      </w:r>
    </w:p>
    <w:p>
      <w:pPr>
        <w:pStyle w:val="238"/>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38"/>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238"/>
        <w:spacing w:before="0"/>
        <w:ind w:firstLine="495"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38"/>
        <w:spacing w:before="0"/>
        <w:ind w:firstLine="480"/>
        <w:rPr>
          <w:rFonts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23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bookmarkStart w:id="31" w:name="_Hlt75236101"/>
      <w:bookmarkEnd w:id="31"/>
      <w:bookmarkStart w:id="32" w:name="_Toc91899902"/>
      <w:r>
        <w:rPr>
          <w:rFonts w:hint="eastAsia" w:ascii="仿宋_GB2312" w:hAnsi="仿宋" w:eastAsia="仿宋_GB2312" w:cs="仿宋_GB2312"/>
          <w:b/>
          <w:color w:val="auto"/>
          <w:sz w:val="36"/>
          <w:szCs w:val="36"/>
          <w:highlight w:val="none"/>
        </w:rPr>
        <w:t>五、评标</w:t>
      </w:r>
      <w:bookmarkEnd w:id="32"/>
    </w:p>
    <w:p>
      <w:pPr>
        <w:spacing w:line="360" w:lineRule="auto"/>
        <w:rPr>
          <w:rFonts w:ascii="仿宋_GB2312" w:hAnsi="仿宋" w:eastAsia="仿宋_GB2312" w:cs="仿宋_GB2312"/>
          <w:b/>
          <w:color w:val="auto"/>
          <w:sz w:val="24"/>
          <w:highlight w:val="none"/>
        </w:rPr>
      </w:pPr>
      <w:bookmarkStart w:id="33" w:name="_Toc91899903"/>
      <w:r>
        <w:rPr>
          <w:rFonts w:hint="eastAsia" w:ascii="仿宋_GB2312" w:hAnsi="仿宋" w:eastAsia="仿宋_GB2312" w:cs="仿宋_GB2312"/>
          <w:b/>
          <w:color w:val="auto"/>
          <w:sz w:val="24"/>
          <w:highlight w:val="none"/>
        </w:rPr>
        <w:t>21.</w:t>
      </w:r>
      <w:r>
        <w:rPr>
          <w:rFonts w:hint="eastAsia" w:ascii="仿宋_GB2312" w:hAnsi="仿宋"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详见招标文件第四部分“评标方法及评分标准”</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 标</w:t>
      </w:r>
    </w:p>
    <w:p>
      <w:pPr>
        <w:pStyle w:val="24"/>
        <w:spacing w:line="360" w:lineRule="auto"/>
        <w:ind w:left="0" w:leftChars="0" w:firstLine="0" w:firstLineChars="0"/>
        <w:rPr>
          <w:rFonts w:hint="eastAsia" w:ascii="仿宋_GB2312" w:hAnsi="仿宋" w:eastAsia="仿宋_GB2312" w:cs="仿宋_GB2312"/>
          <w:b/>
          <w:color w:val="auto"/>
          <w:kern w:val="2"/>
          <w:sz w:val="24"/>
          <w:szCs w:val="24"/>
          <w:highlight w:val="none"/>
          <w:lang w:val="en-US" w:eastAsia="zh-CN" w:bidi="ar-SA"/>
        </w:rPr>
      </w:pPr>
      <w:r>
        <w:rPr>
          <w:rFonts w:hint="eastAsia" w:ascii="仿宋_GB2312" w:hAnsi="仿宋" w:eastAsia="仿宋_GB2312" w:cs="仿宋_GB2312"/>
          <w:b/>
          <w:color w:val="auto"/>
          <w:kern w:val="2"/>
          <w:sz w:val="24"/>
          <w:szCs w:val="24"/>
          <w:highlight w:val="none"/>
          <w:lang w:val="en-US" w:eastAsia="zh-CN" w:bidi="ar-SA"/>
        </w:rPr>
        <w:t>22. 确定中标供应商</w:t>
      </w:r>
    </w:p>
    <w:p>
      <w:pPr>
        <w:pStyle w:val="23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采购人将自收到评审报告之日起5个工作日内通过电子交易平台在评审报告推荐的中标候选人中按顺序确定中标供应商。</w:t>
      </w:r>
    </w:p>
    <w:p>
      <w:pPr>
        <w:pStyle w:val="238"/>
        <w:snapToGrid w:val="0"/>
        <w:spacing w:before="0"/>
        <w:ind w:firstLine="0" w:firstLineChars="0"/>
        <w:rPr>
          <w:rFonts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23. 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899" w:hanging="479" w:hangingChars="199"/>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 xml:space="preserve">24. </w:t>
      </w:r>
      <w:r>
        <w:rPr>
          <w:rFonts w:hint="eastAsia" w:ascii="仿宋_GB2312" w:hAnsi="仿宋" w:eastAsia="仿宋_GB2312" w:cs="仿宋_GB2312"/>
          <w:color w:val="auto"/>
          <w:sz w:val="24"/>
          <w:highlight w:val="none"/>
        </w:rPr>
        <w:t>合同主要条款详见第五部分拟签订的合同文本。</w:t>
      </w:r>
    </w:p>
    <w:p>
      <w:pPr>
        <w:pStyle w:val="24"/>
        <w:spacing w:line="360" w:lineRule="auto"/>
        <w:ind w:left="899" w:hanging="479" w:hangingChars="199"/>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25. </w:t>
      </w:r>
      <w:r>
        <w:rPr>
          <w:rFonts w:hint="eastAsia" w:ascii="仿宋_GB2312" w:hAnsi="仿宋" w:eastAsia="仿宋_GB2312" w:cs="仿宋_GB2312"/>
          <w:b/>
          <w:color w:val="auto"/>
          <w:sz w:val="24"/>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hint="eastAsia" w:ascii="仿宋_GB2312" w:hAnsi="仿宋" w:eastAsia="仿宋_GB2312" w:cs="仿宋_GB2312"/>
          <w:color w:val="auto"/>
          <w:sz w:val="24"/>
          <w:highlight w:val="none"/>
        </w:rPr>
        <w:t>25.1</w:t>
      </w:r>
      <w:r>
        <w:rPr>
          <w:rFonts w:hint="eastAsia"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238"/>
        <w:snapToGrid w:val="0"/>
        <w:spacing w:before="0"/>
        <w:ind w:firstLine="480"/>
        <w:rPr>
          <w:rFonts w:ascii="仿宋_GB2312" w:hAnsi="仿宋" w:eastAsia="仿宋_GB2312"/>
          <w:color w:val="auto"/>
          <w:kern w:val="0"/>
          <w:highlight w:val="none"/>
        </w:rPr>
      </w:pPr>
      <w:r>
        <w:rPr>
          <w:rFonts w:hint="eastAsia"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3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4"/>
        <w:spacing w:line="360" w:lineRule="auto"/>
        <w:ind w:left="899" w:hanging="479" w:hangingChars="199"/>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26. </w:t>
      </w:r>
      <w:r>
        <w:rPr>
          <w:rFonts w:hint="eastAsia" w:ascii="仿宋_GB2312" w:hAnsi="仿宋" w:eastAsia="仿宋_GB2312" w:cs="仿宋_GB2312"/>
          <w:b/>
          <w:color w:val="auto"/>
          <w:sz w:val="24"/>
          <w:highlight w:val="none"/>
        </w:rPr>
        <w:t>履约保证金</w:t>
      </w:r>
    </w:p>
    <w:p>
      <w:pPr>
        <w:tabs>
          <w:tab w:val="left" w:pos="0"/>
        </w:tabs>
        <w:spacing w:line="360" w:lineRule="auto"/>
        <w:ind w:firstLine="480"/>
        <w:rPr>
          <w:rFonts w:ascii="仿宋_GB2312" w:hAnsi="仿宋" w:eastAsia="仿宋_GB2312"/>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。履约保证金的数额不得超过政府采购合同金额的5%。</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238"/>
        <w:snapToGrid w:val="0"/>
        <w:spacing w:before="0"/>
        <w:ind w:firstLine="0" w:firstLineChars="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w:t>
      </w:r>
      <w:r>
        <w:rPr>
          <w:rFonts w:hint="eastAsia" w:ascii="仿宋_GB2312" w:hAnsi="仿宋" w:eastAsia="仿宋_GB2312" w:cs="仿宋_GB2312"/>
          <w:b/>
          <w:color w:val="auto"/>
          <w:szCs w:val="24"/>
          <w:highlight w:val="none"/>
        </w:rPr>
        <w:t>7. 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27.1电子交易平台发生故障而无法登录访问的； </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27.2电子交易平台应用或数据库出现错误，不能进行正常操作的；</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27.3电子交易平台发现严重安全漏洞，有潜在泄密危险的；</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27.4病毒发作导致不能进行正常操作的； </w:t>
      </w:r>
    </w:p>
    <w:p>
      <w:pPr>
        <w:pStyle w:val="238"/>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27.5其他无法保证电子交易的公平、公正和安全的情况。</w:t>
      </w:r>
    </w:p>
    <w:p>
      <w:pPr>
        <w:pStyle w:val="238"/>
        <w:snapToGrid w:val="0"/>
        <w:spacing w:before="0"/>
        <w:ind w:firstLine="0" w:firstLineChars="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hint="eastAsia"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pPr>
        <w:adjustRightInd/>
        <w:spacing w:line="360" w:lineRule="auto"/>
        <w:jc w:val="center"/>
        <w:rPr>
          <w:rFonts w:ascii="仿宋_GB2312" w:hAnsi="仿宋" w:eastAsia="仿宋_GB2312" w:cs="仿宋_GB2312"/>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8"/>
    <w:bookmarkEnd w:id="29"/>
    <w:p>
      <w:pPr>
        <w:spacing w:line="360" w:lineRule="auto"/>
        <w:jc w:val="center"/>
        <w:outlineLvl w:val="0"/>
        <w:rPr>
          <w:rFonts w:ascii="仿宋_GB2312" w:hAnsi="仿宋" w:eastAsia="仿宋_GB2312" w:cs="仿宋_GB2312"/>
          <w:b/>
          <w:color w:val="auto"/>
          <w:sz w:val="36"/>
          <w:szCs w:val="36"/>
          <w:highlight w:val="none"/>
        </w:rPr>
      </w:pPr>
      <w:bookmarkStart w:id="34" w:name="第四部分"/>
      <w:r>
        <w:rPr>
          <w:rFonts w:hint="eastAsia" w:ascii="仿宋_GB2312" w:hAnsi="仿宋" w:eastAsia="仿宋_GB2312" w:cs="仿宋_GB2312"/>
          <w:b/>
          <w:color w:val="auto"/>
          <w:sz w:val="36"/>
          <w:szCs w:val="36"/>
          <w:highlight w:val="none"/>
        </w:rPr>
        <w:t>第三部分   采购需求</w:t>
      </w:r>
    </w:p>
    <w:p>
      <w:pPr>
        <w:adjustRightInd/>
        <w:spacing w:before="120" w:beforeLines="50" w:after="120" w:afterLines="50" w:line="360" w:lineRule="auto"/>
        <w:jc w:val="left"/>
        <w:outlineLvl w:val="1"/>
        <w:rPr>
          <w:rFonts w:ascii="仿宋" w:hAnsi="仿宋" w:eastAsia="仿宋"/>
          <w:b/>
          <w:bCs/>
          <w:color w:val="auto"/>
          <w:sz w:val="24"/>
          <w:highlight w:val="none"/>
        </w:rPr>
      </w:pPr>
      <w:r>
        <w:rPr>
          <w:rFonts w:hint="eastAsia" w:ascii="仿宋" w:hAnsi="仿宋" w:eastAsia="仿宋"/>
          <w:color w:val="auto"/>
          <w:sz w:val="24"/>
          <w:highlight w:val="none"/>
        </w:rPr>
        <w:t>属于实质性要求条款的，已用符号“▲”标明，否则属于非实质性要求。</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一、物业管理项目基本情况</w:t>
      </w:r>
    </w:p>
    <w:p>
      <w:pPr>
        <w:spacing w:line="360" w:lineRule="auto"/>
        <w:ind w:firstLine="600" w:firstLineChars="250"/>
        <w:rPr>
          <w:rFonts w:ascii="仿宋" w:hAnsi="仿宋" w:eastAsia="仿宋" w:cs="仿宋"/>
          <w:bCs/>
          <w:color w:val="auto"/>
          <w:sz w:val="24"/>
          <w:highlight w:val="none"/>
        </w:rPr>
      </w:pPr>
      <w:r>
        <w:rPr>
          <w:rFonts w:hint="eastAsia" w:ascii="仿宋" w:hAnsi="仿宋" w:eastAsia="仿宋" w:cs="仿宋"/>
          <w:bCs/>
          <w:color w:val="auto"/>
          <w:sz w:val="24"/>
          <w:highlight w:val="none"/>
        </w:rPr>
        <w:t>杭州技师学院位于杭州市桐庐县桐君街道君山村坞泥口，学校占地面积约535亩，建筑面积159749.78平方米，绿化养护总面积约106458平方米(含足球场7140平方米) ，校本部在校生4500人左右，教职工500余人。主要建筑物有教学楼3幢、实训楼5幢、学生公寓楼7幢、食堂、图书楼、模具实习中心、普车实训中心、数控实训中心、通用航空培训中心及机库、学生活动中心、体育馆、培训楼、行政楼各1幢、行政楼地下室有人防工程1处、实训楼1地下室有消防控制室1处、校内有变电房4处、发电机房3处、核心机房2个、南、北校门收发传达室各1个、通航中心交接处及桥洞和通航中心连接新校区需各设岗亭1处。另外，有400米田径场和足球场各1个、篮球场4处、羽毛球场3处、排球场和网球场各1处、驾驶训练场1处、水泵房1个、污水处理站1个、消控室1个、地下停车库1处、室外停车棚4处共54个停车位和室外停车场300多个停车位。</w:t>
      </w:r>
    </w:p>
    <w:p>
      <w:pPr>
        <w:spacing w:line="360" w:lineRule="auto"/>
        <w:ind w:firstLine="602" w:firstLineChars="250"/>
        <w:rPr>
          <w:rFonts w:ascii="仿宋" w:hAnsi="仿宋" w:eastAsia="仿宋" w:cs="仿宋"/>
          <w:b/>
          <w:color w:val="auto"/>
          <w:sz w:val="24"/>
          <w:highlight w:val="none"/>
        </w:rPr>
      </w:pPr>
      <w:r>
        <w:rPr>
          <w:rFonts w:hint="eastAsia" w:ascii="仿宋" w:hAnsi="仿宋" w:eastAsia="仿宋" w:cs="仿宋"/>
          <w:b/>
          <w:color w:val="auto"/>
          <w:sz w:val="24"/>
          <w:highlight w:val="none"/>
        </w:rPr>
        <w:t>二．物业管理项目及服务要求</w:t>
      </w:r>
    </w:p>
    <w:p>
      <w:pPr>
        <w:autoSpaceDE w:val="0"/>
        <w:autoSpaceDN w:val="0"/>
        <w:adjustRightInd w:val="0"/>
        <w:spacing w:line="360" w:lineRule="auto"/>
        <w:ind w:firstLine="629"/>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总体要求</w:t>
      </w:r>
    </w:p>
    <w:p>
      <w:pPr>
        <w:spacing w:line="360" w:lineRule="auto"/>
        <w:ind w:firstLine="600" w:firstLineChars="250"/>
        <w:rPr>
          <w:rFonts w:ascii="仿宋" w:hAnsi="仿宋" w:eastAsia="仿宋" w:cs="仿宋"/>
          <w:bCs/>
          <w:color w:val="auto"/>
          <w:sz w:val="24"/>
          <w:highlight w:val="none"/>
        </w:rPr>
      </w:pPr>
      <w:r>
        <w:rPr>
          <w:rFonts w:hint="eastAsia" w:ascii="仿宋" w:hAnsi="仿宋" w:eastAsia="仿宋" w:cs="仿宋"/>
          <w:bCs/>
          <w:color w:val="auto"/>
          <w:sz w:val="24"/>
          <w:highlight w:val="none"/>
        </w:rPr>
        <w:t>在管理服务合同期内，中标单位通过对杭州技师学院所属物业的维修、养护、保洁、安全保卫和管理、及校内各类设施设备搬运、场地布置等工作，保证校区内各项建筑和配套设施、用电设备等时刻处于良好的工作状态，为师生营造一个健康舒适的工作、学习和生活环境。</w:t>
      </w:r>
    </w:p>
    <w:p>
      <w:pPr>
        <w:autoSpaceDE w:val="0"/>
        <w:autoSpaceDN w:val="0"/>
        <w:adjustRightInd w:val="0"/>
        <w:spacing w:line="360" w:lineRule="auto"/>
        <w:ind w:firstLine="629"/>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服务范围</w:t>
      </w:r>
    </w:p>
    <w:p>
      <w:pPr>
        <w:autoSpaceDE w:val="0"/>
        <w:autoSpaceDN w:val="0"/>
        <w:adjustRightInd w:val="0"/>
        <w:spacing w:line="360" w:lineRule="auto"/>
        <w:ind w:firstLine="632"/>
        <w:rPr>
          <w:rFonts w:ascii="仿宋" w:hAnsi="仿宋" w:eastAsia="仿宋" w:cs="仿宋"/>
          <w:color w:val="auto"/>
          <w:sz w:val="24"/>
          <w:highlight w:val="none"/>
        </w:rPr>
      </w:pPr>
      <w:r>
        <w:rPr>
          <w:rFonts w:hint="eastAsia" w:ascii="仿宋" w:hAnsi="仿宋" w:eastAsia="仿宋" w:cs="仿宋"/>
          <w:color w:val="auto"/>
          <w:sz w:val="24"/>
          <w:highlight w:val="none"/>
        </w:rPr>
        <w:t>下述物业是指杭州技师学院校区物业（特殊说明的除外），包括但不限于所罗列的物业。</w:t>
      </w:r>
      <w:r>
        <w:rPr>
          <w:rFonts w:hint="eastAsia" w:ascii="仿宋" w:hAnsi="仿宋" w:eastAsia="仿宋" w:cs="仿宋"/>
          <w:b/>
          <w:bCs/>
          <w:color w:val="auto"/>
          <w:sz w:val="24"/>
          <w:highlight w:val="none"/>
          <w:lang w:val="zh-CN"/>
        </w:rPr>
        <w:t xml:space="preserve"> </w:t>
      </w:r>
      <w:r>
        <w:rPr>
          <w:rFonts w:hint="eastAsia" w:ascii="仿宋" w:hAnsi="仿宋" w:eastAsia="仿宋" w:cs="仿宋"/>
          <w:color w:val="auto"/>
          <w:sz w:val="24"/>
          <w:highlight w:val="none"/>
          <w:lang w:val="zh-CN"/>
        </w:rPr>
        <w:t xml:space="preserve"> </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2.1收发、传达、安保、秩序管理和消防、监控设施使用和维护；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2.2学校物业管理区域环境卫生管理；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2.3学生公寓楼、校史馆、体育运动场（馆）等场所管理维护；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2.4绿化养护管理；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2.5供电设备维护管理；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2.6实训教学设备维护；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2.7给排水设备运行维护；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2.8空调系统运行维护；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2.9学校网络设施（计算机、监控、广播、电子屏、电话、电视网络）、多媒体设备（含教室、会议室、报告厅、运动场、体育馆等）、校园一卡通设施维护；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2.10学校房屋、道路及设施设备的巡查及维护维修；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2.11电梯运行的管理及维护；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2.12办公设备的维护；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2.13校园雕塑的管理及维护；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2.14亮灯工程的管理及维护；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2.15净水设备的管理及维护；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2.16停车棚的维护；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2.17景观湖、河道的管理及维护；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2.18有害生物防治及应急消毒服务；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bCs/>
          <w:color w:val="auto"/>
          <w:sz w:val="24"/>
          <w:highlight w:val="none"/>
        </w:rPr>
        <w:t>2.19垃圾分类处理及清运服务；</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2.20太阳能设备的管理和维护；</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2.21会务服务及采购人交办的其他一些临时性服务。</w:t>
      </w:r>
    </w:p>
    <w:p>
      <w:pPr>
        <w:spacing w:line="360" w:lineRule="auto"/>
        <w:ind w:firstLine="480" w:firstLineChars="200"/>
        <w:contextualSpacing/>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w:t>
      </w:r>
      <w:r>
        <w:rPr>
          <w:rFonts w:hint="eastAsia" w:ascii="仿宋" w:hAnsi="仿宋" w:eastAsia="仿宋" w:cs="微软雅黑"/>
          <w:color w:val="auto"/>
          <w:sz w:val="24"/>
          <w:highlight w:val="none"/>
        </w:rPr>
        <w:t>物业服务服务区域内各级各类应急预案，对突发事件应急预案及相应的措施是否合理，符合采购需求，以化解各类纠纷、消防、防疫、应对极端天气（台风、暴雨、冻雪）为例，方案内容有针对性且措施有效</w:t>
      </w:r>
      <w:r>
        <w:rPr>
          <w:rFonts w:hint="eastAsia" w:ascii="仿宋" w:hAnsi="仿宋" w:eastAsia="仿宋" w:cs="微软雅黑"/>
          <w:color w:val="auto"/>
          <w:sz w:val="24"/>
          <w:highlight w:val="none"/>
          <w:lang w:eastAsia="zh-CN"/>
        </w:rPr>
        <w:t>。</w:t>
      </w:r>
    </w:p>
    <w:p>
      <w:pPr>
        <w:pStyle w:val="238"/>
        <w:spacing w:before="0" w:line="360" w:lineRule="auto"/>
        <w:ind w:firstLine="480"/>
        <w:contextualSpacing/>
        <w:rPr>
          <w:rFonts w:ascii="仿宋" w:hAnsi="仿宋" w:eastAsia="仿宋" w:cs="仿宋"/>
          <w:color w:val="auto"/>
          <w:szCs w:val="24"/>
          <w:highlight w:val="none"/>
        </w:rPr>
      </w:pPr>
      <w:r>
        <w:rPr>
          <w:rFonts w:hint="eastAsia" w:ascii="仿宋" w:hAnsi="仿宋" w:eastAsia="仿宋" w:cs="仿宋"/>
          <w:color w:val="auto"/>
          <w:szCs w:val="24"/>
          <w:highlight w:val="none"/>
        </w:rPr>
        <w:t>以上项目中，供电设备管理维护、高低配年度检测、监控维保、防雷年度检测、空调保养、电梯运行维护、实训教学相关设备</w:t>
      </w:r>
      <w:r>
        <w:rPr>
          <w:rFonts w:hint="eastAsia" w:ascii="仿宋" w:hAnsi="仿宋" w:eastAsia="仿宋" w:cs="仿宋"/>
          <w:color w:val="auto"/>
          <w:szCs w:val="24"/>
          <w:highlight w:val="none"/>
          <w:lang w:val="zh-CN"/>
        </w:rPr>
        <w:t>维护、</w:t>
      </w:r>
      <w:r>
        <w:rPr>
          <w:rFonts w:hint="eastAsia" w:ascii="仿宋" w:hAnsi="仿宋" w:eastAsia="仿宋" w:cs="仿宋"/>
          <w:color w:val="auto"/>
          <w:szCs w:val="24"/>
          <w:highlight w:val="none"/>
        </w:rPr>
        <w:t>多媒体设备维护、</w:t>
      </w:r>
      <w:r>
        <w:rPr>
          <w:rFonts w:hint="eastAsia" w:ascii="仿宋" w:hAnsi="仿宋" w:eastAsia="仿宋" w:cs="仿宋"/>
          <w:color w:val="auto"/>
          <w:szCs w:val="24"/>
          <w:highlight w:val="none"/>
          <w:lang w:val="zh-CN"/>
        </w:rPr>
        <w:t>消控室、</w:t>
      </w:r>
      <w:r>
        <w:rPr>
          <w:rFonts w:hint="eastAsia" w:ascii="仿宋" w:hAnsi="仿宋" w:eastAsia="仿宋" w:cs="仿宋"/>
          <w:color w:val="auto"/>
          <w:szCs w:val="24"/>
          <w:highlight w:val="none"/>
        </w:rPr>
        <w:t>净水设备、</w:t>
      </w:r>
      <w:r>
        <w:rPr>
          <w:rFonts w:hint="eastAsia" w:ascii="仿宋" w:hAnsi="仿宋" w:eastAsia="仿宋" w:cs="仿宋"/>
          <w:color w:val="auto"/>
          <w:szCs w:val="24"/>
          <w:highlight w:val="none"/>
          <w:lang w:val="zh-CN"/>
        </w:rPr>
        <w:t>办公设备维护、过保</w:t>
      </w:r>
      <w:r>
        <w:rPr>
          <w:rFonts w:hint="eastAsia" w:ascii="仿宋" w:hAnsi="仿宋" w:eastAsia="仿宋" w:cs="仿宋"/>
          <w:color w:val="auto"/>
          <w:szCs w:val="24"/>
          <w:highlight w:val="none"/>
        </w:rPr>
        <w:t>计算机维护、除四害、</w:t>
      </w:r>
      <w:r>
        <w:rPr>
          <w:rFonts w:hint="eastAsia" w:ascii="仿宋" w:hAnsi="仿宋" w:eastAsia="仿宋" w:cs="仿宋"/>
          <w:bCs/>
          <w:color w:val="auto"/>
          <w:szCs w:val="24"/>
          <w:highlight w:val="none"/>
        </w:rPr>
        <w:t>垃圾处理清运、</w:t>
      </w:r>
      <w:r>
        <w:rPr>
          <w:rFonts w:hint="eastAsia" w:ascii="仿宋" w:hAnsi="仿宋" w:eastAsia="仿宋" w:cs="仿宋"/>
          <w:color w:val="auto"/>
          <w:szCs w:val="24"/>
          <w:highlight w:val="none"/>
        </w:rPr>
        <w:t>太阳能设备</w:t>
      </w:r>
      <w:r>
        <w:rPr>
          <w:rFonts w:hint="eastAsia" w:ascii="仿宋" w:hAnsi="仿宋" w:eastAsia="仿宋" w:cs="仿宋"/>
          <w:color w:val="auto"/>
          <w:szCs w:val="24"/>
          <w:highlight w:val="none"/>
          <w:lang w:val="zh-CN"/>
        </w:rPr>
        <w:t>等，需要由</w:t>
      </w:r>
      <w:r>
        <w:rPr>
          <w:rFonts w:hint="eastAsia" w:ascii="仿宋" w:hAnsi="仿宋" w:eastAsia="仿宋" w:cs="仿宋"/>
          <w:color w:val="auto"/>
          <w:szCs w:val="24"/>
          <w:highlight w:val="none"/>
        </w:rPr>
        <w:t>有资质技术人员或专业单位、设施设备生产单位专项服务，**室须按辖区***要求配备人员，由中标人联系采购人经采购人许可后承办，费用包含在本次投标价中，不再另行计费。</w:t>
      </w:r>
    </w:p>
    <w:p>
      <w:pPr>
        <w:autoSpaceDE w:val="0"/>
        <w:autoSpaceDN w:val="0"/>
        <w:spacing w:line="360" w:lineRule="auto"/>
        <w:ind w:firstLine="482" w:firstLineChars="200"/>
        <w:contextualSpacing/>
        <w:rPr>
          <w:rFonts w:ascii="仿宋" w:hAnsi="仿宋" w:eastAsia="仿宋" w:cs="仿宋"/>
          <w:color w:val="auto"/>
          <w:kern w:val="0"/>
          <w:sz w:val="24"/>
          <w:highlight w:val="none"/>
          <w:lang w:val="zh-CN"/>
        </w:rPr>
      </w:pPr>
      <w:r>
        <w:rPr>
          <w:rFonts w:hint="eastAsia" w:ascii="仿宋" w:hAnsi="仿宋" w:eastAsia="仿宋" w:cs="仿宋"/>
          <w:b/>
          <w:bCs/>
          <w:color w:val="auto"/>
          <w:sz w:val="24"/>
          <w:highlight w:val="none"/>
          <w:lang w:val="zh-CN"/>
        </w:rPr>
        <w:t>3．物业管理服务内容及要求</w:t>
      </w:r>
      <w:r>
        <w:rPr>
          <w:rFonts w:hint="eastAsia" w:ascii="仿宋" w:hAnsi="仿宋" w:eastAsia="仿宋" w:cs="仿宋"/>
          <w:color w:val="auto"/>
          <w:kern w:val="0"/>
          <w:sz w:val="24"/>
          <w:highlight w:val="none"/>
          <w:lang w:val="zh-CN"/>
        </w:rPr>
        <w:t xml:space="preserve"> </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3.1收发、传达、保安、秩序管理和消防（控）、监控设施使用和维护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3.1.1收发、传达、保安、秩序管理和消防（控）、监控设施使用和维护总则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3.1.1.1服务内容：学校来人来访的通报、证件检验、登记、报刊信件快件收发等；门卫、守护和巡逻;校门、教学用房的开关门，维护公共秩序；校园体育场地开放的登记和管理等工作；处理治安及其他突发事件；负责道路交通管理、机动车和非机动车停放管理；负责防盗、防火报警、消防（控）、监控设备使用运行管理等。</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3.1.1.2服务质量标准：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(1)门卫值班。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校出入口应安排24小时值岗，建立学校收发、传达、保安、车辆、道路及公共秩序管理等制度。用语规范，礼貌待客，文明工作。严格验证、登记制度，杜绝闲杂人员进入学校，维护学校安全、正常的工作环境。对物品进出实施分类管理，实行物品进出审验制度，杜绝危险物品进入学校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(2)巡视检查。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明确巡视工作职责，规范巡视工作流程，制定相对固定的巡视路线，对重要区域、部位、设备机房进行重点巡视并记录巡视情况，及时发现和处理各种安全和事故隐患。监（消）控室应24小时有人值守看监控，保持巡更记录。在接到监控室发出的指令后，巡视人员应及时到达事发现场，采取相应措施妥善处理；如巡视中发现异常情况，应立即通知有关部门并在现场采取必要措施，随时准备启动并执行相应的应急预案。</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(3)消控、监控室值班。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消控、监控设施应保持24小时开通并值守，保持完整的监控记录，保证对学校各出入口、内部重点区域的安全监控、录像及协助布警。监控室收到火情、险情及其他异常情况报警信号后，应及时报警，并派专人赶到现场进行前期处理。监控资料应至少保持30天，有特殊要求的参照相关规定或行业标准执行。同时，确保治安电话畅通，接听及时(铃响三声内必须接听)。</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(4)停车管理。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在学校设置行车指示标志，规定车辆行驶路线，指定车辆停放区域，非机动车应实行定点停放。对进出学校的各类车辆进行管理，维护交通秩序，保证车辆有序通行、有序停放。车库应保持良好通风，无易燃、易爆等物品存放，车库内配置道闸和监视系统，地面、墙面按要求设立明显指示牌和地标。</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(5)突发事件处理。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按照要求制订物业突发事件应急预案，并将预案内容在物业办公室、监控室、机房等处张榜悬挂。在各楼层固定位置悬挂疏散示意图及引路标志，每年组织不少于1次的突发事件应急演习。当发生台风、暴雨等灾害性天气及其他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(6)消防（控）、监控设施使用和维护。</w:t>
      </w:r>
    </w:p>
    <w:p>
      <w:pPr>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定期对消防（控）、监控主机及各消防（控）、监控点的设备进行巡查，确保运行无故障；定期对室外的消防栓、消防水带、消防泵等设备进行检查，是否有埋压或损坏等情况；定期对各楼层消防栓进行检查，设施是否齐全；定期对各楼层的喷淋头、感烟探测器、感温探测器、手动报警按钮等设备进行检查，是否有遮挡或损坏等情况；定期对各楼层的灭火器进行检查更换，是否有压力不足或缺少等情况；定期对各楼层的排烟通风口、消防通道进行检查，是否有遮挡或堵塞，各楼层的疏散指示标志是否有损坏或缺少等情况；定期对各楼层应急电源的主、备电情况进行检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3.1.2收发、传达、保安、秩序管理的具体要求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3.1.2.1人员要求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保安主管需大专及以上学历，保安人员年龄女性不得超过50周岁、男性不得超过60周岁，年龄45周岁以下必须占50%，55周岁以下人员必须占90%，高中以上学历保安需达到80%以上，身体健康，工作认真负责并定期接受培训、持证上岗。</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(2)安保总人数不得少于47人，其中**室3人、消控室6人，必须配备保安主管2名负责监管、考核保安的日常工作；另学校传达室收发室必须安排1人定人定岗（工作时间8:00—17:00）。 </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(3)熟悉学校的环境，能处理和应对校区公共秩序维护工作，能正确使用各类消防（控）、物防、技防器械和设备，能够熟悉、掌握各类刑事、治安案件和各类灾害事故的应急预案。</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(4)消控室每班不少于2人，必须持消防（控）证上岗，负责消控室的值班、消防设备的故障报修等工作。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(5)上岗时佩戴统一标志，按需求穿戴统一制服（需采购人认可其款式），装备佩戴规范，仪容仪表规范整齐，当值时坐姿挺直，站岗时不倚不靠、采用跨立站岗。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(6)文明执勤，训练有素，言语规范，认真负责；要有岗位育人意识，做到教育学生要有爱心、有耐心、有恒心；配备对讲装置和其他必备的安全护卫器械。</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安保人员必须进行岗前培训，培训合格后方能上岗；每月至少进行1次在岗培训及专业技能培训，并提供相应的考核记录保证培训质量；安保人员军训不少于1次，防暴演练不少于3次、消防演练和点检每月不少于3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3.1.2.2门岗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(1)服务时间：主出入口24小时值班看守、12小时立岗，其中主入口确保双人执勤。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(2)交接班：有详细完整的交接班记录。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(3)外来人员：对外来人员询问登记，并通过对讲系统联系相关老师，决定是否放行。严禁小商贩及推销人员等无关人员进入校区。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(4)外来车辆：对进出校园的车辆严格控制，确需进入的实施证（卡）管理和登记，引导车辆有序通行、停放。</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(5)物品出门：对大型物件搬出实行确认制度、并进行记录。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(6)学生上、放学：根据学校的需要，参与学生上、放学秩序管理，及时反馈学生在校门口违纪情况。根据学校要求及规定进行晨检，并做好详细记录。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(7)值班室、出入口清洁：保持值班室、出入口环境整洁、有序、道路畅通。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(8)接警：在遇到师生报警时，通知巡逻人员五分钟内赶到现场，采取相应措施；在遇到师生需要帮助时，主动热情。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(9)按学校相关规定，做好报刊、信件和杂志、包裹等的收发，并有准确记录。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3.1.2.3巡逻岗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(1)服务时间：实行24小时巡逻。对照课表，对每节不在本班上课的教室进行门窗关闭情况检查，发现问题及时纠正并做好相关记录。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校区巡逻：手持巡更采集器，按指定路线不间断巡逻。白天巡逻需要检查学生外出上课的教室安全；晚上巡逻须安全检查，包括教室内、楼道、办公室外、校园，巡逻每2小时一次，重点部位、重点区域每1小时巡逻一次，巡逻完毕必须做好巡逻日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(3)车库（车位）巡逻：车辆行驶安全、停放有序、无可见安全隐患。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(4)消防巡查：消防设施完好无损，发现问题及时报告。</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(5)应急响应：接门岗报警通知，五分钟内赶到现场，采取相应措施。在遇到师生紧急求助时，主动热情。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(6)外来人员询问：在校园内遇见外来人员进出询问，并通过对讲系统联系门岗，确定是否正常进入，排除隐患。对外卖、可疑人员及时劝离校园。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(7)接警：接到火警、警情后五分钟内到达现场，并报学校与警方，协助采取有关措施。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(8)系统报警处理：在遇到异常情况时，五分钟内赶到现场，采取相应措施。</w:t>
      </w:r>
    </w:p>
    <w:p>
      <w:pPr>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(9)学校有四个配（变）电房、二个消控室，一个水泵房、一个污水处理房，需要每二小时巡逻检查一次，并做好记录；巡逻人员需持证上岗。（消控和高配每班各需要有2人持上岗证）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3.1.2.4监控管理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(1)服务时间：校区设有报警中心，具备录像监控、消控等技防设施，24小时开通值守，注视各设备所传达的信息。</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(2)紧急处理：报警中心接到报警信号后，及时呼叫巡逻岗赶到现场进行处理，报警中心值班人员坚守岗位，注意事态发展情况并保持与各岗位的联系。</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(3)其他帮助：接受师生求助的要求，解答相关老师的询问。</w:t>
      </w:r>
    </w:p>
    <w:p>
      <w:pPr>
        <w:autoSpaceDE w:val="0"/>
        <w:autoSpaceDN w:val="0"/>
        <w:spacing w:line="360" w:lineRule="auto"/>
        <w:ind w:firstLine="480" w:firstLineChars="200"/>
        <w:contextualSpacing/>
        <w:outlineLvl w:val="1"/>
        <w:rPr>
          <w:rFonts w:ascii="仿宋" w:hAnsi="仿宋" w:eastAsia="仿宋" w:cs="仿宋"/>
          <w:color w:val="auto"/>
          <w:sz w:val="24"/>
          <w:highlight w:val="none"/>
        </w:rPr>
      </w:pPr>
      <w:r>
        <w:rPr>
          <w:rFonts w:hint="eastAsia" w:ascii="仿宋" w:hAnsi="仿宋" w:eastAsia="仿宋" w:cs="仿宋"/>
          <w:color w:val="auto"/>
          <w:sz w:val="24"/>
          <w:highlight w:val="none"/>
        </w:rPr>
        <w:t>(4)周界报警、安防系统每周检查一次，并做好相关记录，保障系统24小时设防正常运行。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(5)应急预案和演习：报警中心控制室内悬挂火警、警情应急预案；每学期应组织不少于2次应急预案演习。</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(6)确保一卡通门禁系统及监控系统的正常工作，熟悉操作监控设备并进行日常维护，发现问题及时处理并报告总务处、学生处。</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（7）监控调取需院方同意，并负有保密职责。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（8）消控和高配每班各需要有2人持上岗证。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3.1.2.5车辆管理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(1)停车场巡查：每天不少于6次巡查，检查车辆门窗关闭情况，车辆外观，有无易燃、易爆及危险物品存放。</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(2)外来车辆停放管理：记录准确，完整可追溯，指引到位。</w:t>
      </w:r>
    </w:p>
    <w:p>
      <w:pPr>
        <w:autoSpaceDE w:val="0"/>
        <w:autoSpaceDN w:val="0"/>
        <w:spacing w:line="360" w:lineRule="auto"/>
        <w:ind w:firstLine="480" w:firstLineChars="200"/>
        <w:contextualSpacing/>
        <w:outlineLvl w:val="1"/>
        <w:rPr>
          <w:rFonts w:ascii="仿宋" w:hAnsi="仿宋" w:eastAsia="仿宋" w:cs="仿宋"/>
          <w:color w:val="auto"/>
          <w:sz w:val="24"/>
          <w:highlight w:val="none"/>
        </w:rPr>
      </w:pPr>
      <w:r>
        <w:rPr>
          <w:rFonts w:hint="eastAsia" w:ascii="仿宋" w:hAnsi="仿宋" w:eastAsia="仿宋" w:cs="仿宋"/>
          <w:color w:val="auto"/>
          <w:sz w:val="24"/>
          <w:highlight w:val="none"/>
        </w:rPr>
        <w:t>(3)校内外车辆停放管理，负责提醒老师不得在校园里随意停放。</w:t>
      </w:r>
    </w:p>
    <w:p>
      <w:pPr>
        <w:autoSpaceDE w:val="0"/>
        <w:autoSpaceDN w:val="0"/>
        <w:spacing w:line="360" w:lineRule="auto"/>
        <w:ind w:firstLine="480" w:firstLineChars="200"/>
        <w:contextualSpacing/>
        <w:outlineLvl w:val="1"/>
        <w:rPr>
          <w:rFonts w:ascii="仿宋" w:hAnsi="仿宋" w:eastAsia="仿宋" w:cs="仿宋"/>
          <w:color w:val="auto"/>
          <w:sz w:val="24"/>
          <w:highlight w:val="none"/>
        </w:rPr>
      </w:pPr>
      <w:r>
        <w:rPr>
          <w:rFonts w:hint="eastAsia" w:ascii="仿宋" w:hAnsi="仿宋" w:eastAsia="仿宋" w:cs="仿宋"/>
          <w:color w:val="auto"/>
          <w:sz w:val="24"/>
          <w:highlight w:val="none"/>
        </w:rPr>
        <w:t>(4)外来车辆原则上不进入校区，经学校相关部门批准后入内的车辆，实施证（卡）管理和登记，进校区后必须引导到指定位置停放。</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(5)负责交通事故的现场保护和报告，协助有关部门处理。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(6)其它行车管理：全年有学生在校上学期间（6:30-21:30），车辆停放整齐，环境保持清洁，进口顺畅有序。在学校内若有师生的车辆遗失或损坏，中标人应做适当赔偿。</w:t>
      </w:r>
    </w:p>
    <w:p>
      <w:pPr>
        <w:spacing w:line="360" w:lineRule="auto"/>
        <w:ind w:firstLine="470" w:firstLineChars="196"/>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3.1.2.6其他要求</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(1)学校活动需搬运物品及布置场地，必须配合，学校不额外支付费用。</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(2)大型活动：运动会、家长会、家长接待日、军训开闭式、开学、长假放假、学期放假、上级领导来人较多时等活动，需增加人手，每次为增加6人，增加人员学校不再另行支付费用。另根据用户需求，提供力所能及的帮助。</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(3)遇到台风大雨等恶劣天气需增加人员的，必须按实际情况增加，学校不额外支付相关费用。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3.1.3消防（控）、监控设施维护的具体要求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3.1.3.1监控、报警系统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(1)监控系统：保证24小时运行正常，能清楚显示出入人员的面部特征和车辆的车牌号，录像功能正常，每季调试保养，出现故障及时联系维修部门。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(2)报警安防系统：每周检查，24小时设防正常运行，每季调试保养。</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(3)监控系统的维修保养通过专业公司负责，出现故障能在24小时内修复。</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3.1.3.2消防（控）系统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(1)消防泵：启动检查每月一次并记录，运行正常，设施完好、无渗漏；一级保养，每年一次。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(2)消防栓：每月巡查一次，消防栓箱内各种配件完好。每年保养一次，表面无生锈现象，颜色一致；阀杆每半年加注润滑油，启动灵活运行正常，每半年放水检查。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(3)火警、报警功能：功能正常。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(4)探测器控制装置：每年一次试验，保证功能正常。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(5)火灾探测器：每年一次试验，完好无损，运行正常，出现问题及时清洗或更换。</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(6)消防水带：平时检查每月不少于2次，每半年全面检查一次，完好无缺，无霉变。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(7)灭火器：平时检查每月不少于2次，每年必须全面检查２次以上，发现问题及时进行整改。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(8)消防喷淋：每年保养一次，管道表面无生锈现象，颜色一致。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(9)消防仪表：每周巡查，压力正常。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(10)风机房内设备设施：每年一次全面保养，设备正常运行，无损坏现象，表面无积尘，并做好记录。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中（消）控室：24小时值班，值班人员必须持证上岗；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(12)全校灭火器更新或充粉加压、应急灯、疏散灯等材料费用在材料基金中列支。</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3.1.3.3若有设施失灵和损坏，应及时修复和更换，根据实情，绘制消防、监控设施的平面位置，以便发生情况及时到位和检查。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3.1.3.4监控系统和消防（控）系统须由中标人委托专业单位维护保养，费用均由中标人承担。</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3.2校区环境卫生管理 </w:t>
      </w:r>
    </w:p>
    <w:p>
      <w:pPr>
        <w:spacing w:line="360" w:lineRule="auto"/>
        <w:ind w:firstLine="468" w:firstLineChars="195"/>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3.2.1服务内容：做好学校各楼宇内办公室、展厅、会议室、接待室、报告厅、配电及发电机房、宿舍、餐厅、卫生间、电梯、公共实训室、一体化教室、空关教室、室内体育运动场所、大厅、走廊、通道、楼梯等室内日常保洁工作；做好校园内全部道路、室外体育运动场所、停车场（棚）、停车库、景观湖、河道、校内亭、园和“门前三包”区域等室外日常保洁工作；做好学校各楼宇屋面、外墙、窗台、门窗玻璃等保洁，同时完成校园垃圾分类、废弃物清理、消杀等保洁工作。</w:t>
      </w:r>
    </w:p>
    <w:p>
      <w:pPr>
        <w:spacing w:line="360" w:lineRule="auto"/>
        <w:ind w:firstLine="470" w:firstLineChars="196"/>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3.2.2人员要求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(1)从业人员年龄女性不得超过50周岁、男性不得超过60周岁，年龄为50周岁以下人数不得低于80%。从业人员身体健康，工作认真负责并定期接受培训。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(2)人员配备不得少于62人。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(3)上岗时佩戴统一标志，按需求穿戴统一制服，仪容仪表规范整齐。</w:t>
      </w:r>
    </w:p>
    <w:p>
      <w:pPr>
        <w:autoSpaceDE w:val="0"/>
        <w:autoSpaceDN w:val="0"/>
        <w:spacing w:line="360" w:lineRule="auto"/>
        <w:ind w:firstLine="480" w:firstLineChars="200"/>
        <w:contextualSpacing/>
        <w:outlineLvl w:val="1"/>
        <w:rPr>
          <w:rFonts w:ascii="仿宋" w:hAnsi="仿宋" w:eastAsia="仿宋" w:cs="仿宋"/>
          <w:color w:val="auto"/>
          <w:sz w:val="24"/>
          <w:highlight w:val="none"/>
        </w:rPr>
      </w:pPr>
      <w:r>
        <w:rPr>
          <w:rFonts w:hint="eastAsia" w:ascii="仿宋" w:hAnsi="仿宋" w:eastAsia="仿宋" w:cs="仿宋"/>
          <w:color w:val="auto"/>
          <w:sz w:val="24"/>
          <w:highlight w:val="none"/>
        </w:rPr>
        <w:t>(4)文明工作，训练有素，言语规范，认真负责。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保洁主管需大专（高级工）及以上学历，保洁领班需高中及以上学历，为领导办公室及各展厅服务的保洁人员需高中及以上学历，普通保洁员需初中及以上学历。另，所有保洁人员每年必须进行一次体检，获得健康证方能上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3.2.3室内保洁要求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(1)楼道地面：每日拖洗一次，全面清扫两次，巡回保洁，无积灰、污迹、垃圾，每季晶面保养不少于一次。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(2)大厅地面：每日清扫一次，巡回保洁，无灰尘、污迹、垃圾。</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(3)开关盒、表箱盖：2米以下每日擦抹一次；2米以上每周一次，无灰尘、污迹。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(4)大厅墙面：大厅墙面2米以下每日擦抹一次，2米以上每周擦拭一次，人造石每季抛光一次；其它墙面、顶面每周掸尘、去蜘蛛网至少一次。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(5)楼梯扶手、单元门、窗台：每日擦抹一次，无灰尘、污迹。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(6)天花板、公共楼道灯、单元厅吊灯：每月除尘一次，无明显积灰、虫网。</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(7)进户门：每三天擦抹一次，无明显积灰、污迹。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(8)楼道玻璃：每周清洁一次，无明显积灰、污迹，各楼宇外立面门窗玻璃及幕墙玻璃每年全面清洗一次。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(9)电梯：电梯轿厢每日擦、扫一次以上，循环保洁，无灰尘、污迹；电梯轿厢保养，每月上油保养一次，无锈蚀、无污迹；按质检部门要求，定期检验，并联系专业公司进行电梯运行维护、保养。</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(10)体育馆内篮球场、乒乓球室、台球室、舞蹈房、看台每天清洁不少于1次，无灰尘、污迹。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(11)公共卫生间每天第一次清洁工作必须在上班前做好，并且做到随脏随清，保持地面清洁、无杂物、无迹水、无毛发、无异味、下水道要畅通。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公共卫生间：门应干净、无划痕，把手要保持光亮、干净；地面、墙面四周及阴角做到无水迹、无蜘蛛网；地面无脚印，无杂物；镜子及金属部分应保持干净，无浮尘、污渍、手印、水迹、无锈斑；台面、水槽（池）干净无积垢物；大小便池无异味和积垢脏迹；天花板上无污渍、无漏水或有小水泡等现象，保持干净、清洁，完好无损；空气要保持新鲜，通风设备要清洁，确保运作正常；配备洗手液，每日检查，发现用完及时补充;玻璃、瓷砖：2米以下每日擦抹一次；2米以上每周清洁一次，无明显积灰、水渍。</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(13)新老教学楼共有200余个教室用于学生自修用；图书馆、培训楼、教学楼</w:t>
      </w:r>
      <w:r>
        <w:rPr>
          <w:rFonts w:ascii="Calibri" w:hAnsi="Calibri" w:eastAsia="仿宋" w:cs="Calibri"/>
          <w:color w:val="auto"/>
          <w:sz w:val="24"/>
          <w:highlight w:val="none"/>
        </w:rPr>
        <w:t>①②③</w:t>
      </w:r>
      <w:r>
        <w:rPr>
          <w:rFonts w:hint="eastAsia" w:ascii="仿宋" w:hAnsi="仿宋" w:eastAsia="仿宋" w:cs="仿宋"/>
          <w:color w:val="auto"/>
          <w:sz w:val="24"/>
          <w:highlight w:val="none"/>
        </w:rPr>
        <w:t>、实训楼</w:t>
      </w:r>
      <w:r>
        <w:rPr>
          <w:rFonts w:ascii="Calibri" w:hAnsi="Calibri" w:eastAsia="仿宋" w:cs="Calibri"/>
          <w:color w:val="auto"/>
          <w:sz w:val="24"/>
          <w:highlight w:val="none"/>
        </w:rPr>
        <w:t>①②③⑤⑥</w:t>
      </w:r>
      <w:r>
        <w:rPr>
          <w:rFonts w:hint="eastAsia" w:ascii="仿宋" w:hAnsi="仿宋" w:eastAsia="仿宋" w:cs="仿宋"/>
          <w:color w:val="auto"/>
          <w:sz w:val="24"/>
          <w:highlight w:val="none"/>
        </w:rPr>
        <w:t>有多个公共教室、会议室及阅览室、报告厅、多功能教室、微机教室等；行政楼有会议室、接待室、校史馆，每日打扫一次，打水一次，遇到活动，每次活动后及时进行打扫。</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(14)领导办公室：每天进行二次地面、墙面、玻璃、桌面清洁，每学期进行一次地面、墙面、玻璃等大清洁。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(15)职工办公室：每天进行一次地面、墙面、玻璃、桌面清洁，每学期进行一次地面、墙面、玻璃等大清洁。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(16)学生教室：教室内部每天的卫生由学生自己负责，但是每年寒、暑假小长假期间根据采购人安排进行地面、墙面四次大清洁，做到玻璃清洁，窗台无积灰，电风扇、电灯等设备无积灰。</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(17)学生宿舍楼：做好学生宿舍楼公共部位门厅、走廊地面、墙面、门窗、楼梯台阶、楼梯扶手、盥洗室、开水房、公共厕所、平台、空调外机板、管网等清洁工作。学生寝室内保洁在每学期结束时间进行一次清理，并对其进行消毒，卫生间、地面、墙面每学期结束进行一次大清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(18)每年清洗窗帘、纱窗1次。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(19)领导办公室及各展厅所用的保洁耗材（药剂）品牌需按学校要求购买。</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(20)晚自习期间教学楼厕所的打扫，产生的加班费用包含在总报价中。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(21)学校所有吊扇、电风扇每入夏前清洁、安全检查一次。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(22)阅览厅需要每天进行保洁。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(23)餐厅需要每天按就餐时间随时进行保洁。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(24)及时清理保洁区域内的垃圾桶、果皮箱，垃圾桶、果皮箱表面无印痕，垃圾不外漏；保洁工具摆放整齐。</w:t>
      </w:r>
    </w:p>
    <w:p>
      <w:pPr>
        <w:autoSpaceDE w:val="0"/>
        <w:autoSpaceDN w:val="0"/>
        <w:spacing w:line="360" w:lineRule="auto"/>
        <w:ind w:firstLine="480" w:firstLineChars="200"/>
        <w:contextualSpacing/>
        <w:outlineLvl w:val="1"/>
        <w:rPr>
          <w:rFonts w:ascii="仿宋" w:hAnsi="仿宋" w:eastAsia="仿宋" w:cs="仿宋"/>
          <w:color w:val="auto"/>
          <w:sz w:val="24"/>
          <w:highlight w:val="none"/>
        </w:rPr>
      </w:pPr>
      <w:r>
        <w:rPr>
          <w:rFonts w:hint="eastAsia" w:ascii="仿宋" w:hAnsi="仿宋" w:eastAsia="仿宋" w:cs="仿宋"/>
          <w:color w:val="auto"/>
          <w:sz w:val="24"/>
          <w:highlight w:val="none"/>
        </w:rPr>
        <w:t>3.2.4室外保洁要求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3.2.5.1保洁范围：校园广场、道路、停车棚、景观湖、河道、田径场、篮球场、排球场、网球场、羽毛球场、楼宇屋面、外墙面、玻璃幕墙、绿化带、果壳箱、折叠阳伞、室外凳椅、雕塑、各类宣传栏橱窗及指示牌、标志牌、路灯柱等。</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3.2.5.2保洁要求：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(1)上午8点前校内主要道路保洁清扫完毕，全天巡回保洁至下午5点。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(2)道路地面（人行道）：干净、整洁、无异物、无杂草，无有色垃圾和建筑垃圾，垃圾筒保持干净、整洁，按时收集垃圾，保证垃圾不外溢， 保持整洁干净，无卫生死角。</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(3)绿化带内的生活垃圾及时拾捡，随时保洁。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(4)栏杆：每天擦抹一次，无积尘、积水。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(5)宣传栏、橱窗及指示牌、标志牌、路灯柱：每周清洗一次，无积灰、污迹、虫网。</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(6)高杆灯2米以下部分、低杆灯、草坪灯、景观灯罩：每日清洁一次，无虫、无明显积尘；高杆灯2米以上部分每月清洁1次。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(7)果皮箱、垃圾桶：每日清洁二次，擦拭一次，周边地面无散落垃圾、明显污迹、异味。</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(8)楼宇屋面、外墙面、玻璃幕墙等每学期至少清洗一次。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(9)花坛：每天擦抹一次，无积灰、无污迹。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(10)花架：每月掸尘、除虫网一次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无积灰、无虫网。</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(11)垃圾收集：每日清理二次，日产日清。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(12)垃圾房：每天冲洗一次，无异味、无污迹。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(13)伸缩门、道闸：每日擦拭一次，无灰尘、无污迹。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(14)窨井（含集水井）每季度清理一次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内壁无粘附物、井底无沉淀物。</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(15)明沟：每周清扫一次，无明显垃圾，无堵塞。</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(16)消毒灭害：窨井、明沟、垃圾房喷洒药水，每季一次（6、7、8、9月每月喷洒一次），每年灭鼠三次，无明显蚊蝇滋生地、鼠迹。</w:t>
      </w:r>
    </w:p>
    <w:p>
      <w:pPr>
        <w:autoSpaceDE w:val="0"/>
        <w:autoSpaceDN w:val="0"/>
        <w:spacing w:line="360" w:lineRule="auto"/>
        <w:ind w:firstLine="480" w:firstLineChars="200"/>
        <w:contextualSpacing/>
        <w:outlineLvl w:val="1"/>
        <w:rPr>
          <w:rFonts w:ascii="仿宋" w:hAnsi="仿宋" w:eastAsia="仿宋" w:cs="仿宋"/>
          <w:color w:val="auto"/>
          <w:sz w:val="24"/>
          <w:highlight w:val="none"/>
        </w:rPr>
      </w:pPr>
      <w:r>
        <w:rPr>
          <w:rFonts w:hint="eastAsia" w:ascii="仿宋" w:hAnsi="仿宋" w:eastAsia="仿宋" w:cs="仿宋"/>
          <w:color w:val="auto"/>
          <w:sz w:val="24"/>
          <w:highlight w:val="none"/>
        </w:rPr>
        <w:t>(17)田径场及田径看台、篮球场、排球场、网球场、羽毛球场、等体育运动场：每日清扫二次，并巡回保洁，无明显暴露垃圾、卫生死角。</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(18)垃圾集中放在指定的区域，垃圾、废弃物做到日产日清、及时外运；化粪池及时清掏，保持常年干净，清洁，无积水、无异味。</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(19)发现保洁范围内公共设施有损坏的应及时报修。</w:t>
      </w:r>
    </w:p>
    <w:p>
      <w:pPr>
        <w:spacing w:line="360" w:lineRule="auto"/>
        <w:ind w:firstLine="542" w:firstLineChars="226"/>
        <w:contextualSpacing/>
        <w:rPr>
          <w:rFonts w:ascii="仿宋" w:hAnsi="仿宋" w:eastAsia="仿宋" w:cs="仿宋"/>
          <w:color w:val="auto"/>
          <w:sz w:val="24"/>
          <w:highlight w:val="none"/>
        </w:rPr>
      </w:pPr>
      <w:r>
        <w:rPr>
          <w:rFonts w:hint="eastAsia" w:ascii="仿宋" w:hAnsi="仿宋" w:eastAsia="仿宋" w:cs="仿宋"/>
          <w:color w:val="auto"/>
          <w:sz w:val="24"/>
          <w:highlight w:val="none"/>
        </w:rPr>
        <w:t>特别说明：校园内学生主要活动场地（如田径场、篮球场、排球场、网球场、羽毛球场等）以及主要通道、道路应全面落实卫生保洁要求。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3.2.5.3保洁标准：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要求保洁区域内整洁，无有色垃圾和建筑垃圾、无积水和淤泥、无杂物、无烟蒂、无果皮纸屑等遗弃物，无卫生死角，绿化带地面无生活垃圾，及时清理保洁区域的垃圾桶、果皮箱。</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3.2.6 教学区保洁要求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3.2.6.1保洁范围：教学楼</w:t>
      </w:r>
      <w:r>
        <w:rPr>
          <w:rFonts w:ascii="Calibri" w:hAnsi="Calibri" w:eastAsia="仿宋" w:cs="Calibri"/>
          <w:color w:val="auto"/>
          <w:sz w:val="24"/>
          <w:highlight w:val="none"/>
        </w:rPr>
        <w:t>①</w:t>
      </w:r>
      <w:r>
        <w:rPr>
          <w:rFonts w:hint="eastAsia" w:ascii="仿宋" w:hAnsi="仿宋" w:eastAsia="仿宋" w:cs="仿宋"/>
          <w:color w:val="auto"/>
          <w:sz w:val="24"/>
          <w:highlight w:val="none"/>
        </w:rPr>
        <w:t>、</w:t>
      </w:r>
      <w:r>
        <w:rPr>
          <w:rFonts w:ascii="Calibri" w:hAnsi="Calibri" w:eastAsia="仿宋" w:cs="Calibri"/>
          <w:color w:val="auto"/>
          <w:sz w:val="24"/>
          <w:highlight w:val="none"/>
        </w:rPr>
        <w:t>②</w:t>
      </w:r>
      <w:r>
        <w:rPr>
          <w:rFonts w:hint="eastAsia" w:ascii="仿宋" w:hAnsi="仿宋" w:eastAsia="仿宋" w:cs="仿宋"/>
          <w:color w:val="auto"/>
          <w:sz w:val="24"/>
          <w:highlight w:val="none"/>
        </w:rPr>
        <w:t>、</w:t>
      </w:r>
      <w:r>
        <w:rPr>
          <w:rFonts w:ascii="Calibri" w:hAnsi="Calibri" w:eastAsia="仿宋" w:cs="Calibri"/>
          <w:color w:val="auto"/>
          <w:sz w:val="24"/>
          <w:highlight w:val="none"/>
        </w:rPr>
        <w:t>③</w:t>
      </w:r>
      <w:r>
        <w:rPr>
          <w:rFonts w:hint="eastAsia" w:ascii="仿宋" w:hAnsi="仿宋" w:eastAsia="仿宋" w:cs="仿宋"/>
          <w:color w:val="auto"/>
          <w:sz w:val="24"/>
          <w:highlight w:val="none"/>
        </w:rPr>
        <w:t>，实训楼</w:t>
      </w:r>
      <w:r>
        <w:rPr>
          <w:rFonts w:ascii="Calibri" w:hAnsi="Calibri" w:eastAsia="仿宋" w:cs="Calibri"/>
          <w:color w:val="auto"/>
          <w:sz w:val="24"/>
          <w:highlight w:val="none"/>
        </w:rPr>
        <w:t>①</w:t>
      </w:r>
      <w:r>
        <w:rPr>
          <w:rFonts w:hint="eastAsia" w:ascii="仿宋" w:hAnsi="仿宋" w:eastAsia="仿宋" w:cs="仿宋"/>
          <w:color w:val="auto"/>
          <w:sz w:val="24"/>
          <w:highlight w:val="none"/>
        </w:rPr>
        <w:t>、</w:t>
      </w:r>
      <w:r>
        <w:rPr>
          <w:rFonts w:ascii="Calibri" w:hAnsi="Calibri" w:eastAsia="仿宋" w:cs="Calibri"/>
          <w:color w:val="auto"/>
          <w:sz w:val="24"/>
          <w:highlight w:val="none"/>
        </w:rPr>
        <w:t>②</w:t>
      </w:r>
      <w:r>
        <w:rPr>
          <w:rFonts w:hint="eastAsia" w:ascii="仿宋" w:hAnsi="仿宋" w:eastAsia="仿宋" w:cs="仿宋"/>
          <w:color w:val="auto"/>
          <w:sz w:val="24"/>
          <w:highlight w:val="none"/>
        </w:rPr>
        <w:t>、</w:t>
      </w:r>
      <w:r>
        <w:rPr>
          <w:rFonts w:ascii="Calibri" w:hAnsi="Calibri" w:eastAsia="仿宋" w:cs="Calibri"/>
          <w:color w:val="auto"/>
          <w:sz w:val="24"/>
          <w:highlight w:val="none"/>
        </w:rPr>
        <w:t>③</w:t>
      </w:r>
      <w:r>
        <w:rPr>
          <w:rFonts w:hint="eastAsia" w:ascii="Calibri" w:hAnsi="Calibri" w:eastAsia="仿宋" w:cs="Calibri"/>
          <w:color w:val="auto"/>
          <w:sz w:val="24"/>
          <w:highlight w:val="none"/>
        </w:rPr>
        <w:t>、</w:t>
      </w:r>
      <w:r>
        <w:rPr>
          <w:rFonts w:ascii="Calibri" w:hAnsi="Calibri" w:eastAsia="仿宋" w:cs="Calibri"/>
          <w:color w:val="auto"/>
          <w:sz w:val="24"/>
          <w:highlight w:val="none"/>
        </w:rPr>
        <w:t>⑤</w:t>
      </w:r>
      <w:r>
        <w:rPr>
          <w:rFonts w:hint="eastAsia" w:ascii="Calibri" w:hAnsi="Calibri" w:eastAsia="仿宋" w:cs="Calibri"/>
          <w:color w:val="auto"/>
          <w:sz w:val="24"/>
          <w:highlight w:val="none"/>
        </w:rPr>
        <w:t>、</w:t>
      </w:r>
      <w:r>
        <w:rPr>
          <w:rFonts w:ascii="Calibri" w:hAnsi="Calibri" w:eastAsia="仿宋" w:cs="Calibri"/>
          <w:color w:val="auto"/>
          <w:sz w:val="24"/>
          <w:highlight w:val="none"/>
        </w:rPr>
        <w:t>⑥</w:t>
      </w:r>
      <w:r>
        <w:rPr>
          <w:rFonts w:hint="eastAsia" w:ascii="仿宋" w:hAnsi="仿宋" w:eastAsia="仿宋" w:cs="仿宋"/>
          <w:color w:val="auto"/>
          <w:sz w:val="24"/>
          <w:highlight w:val="none"/>
        </w:rPr>
        <w:t>，基础楼、培训楼，图书馆、体育馆、行政楼、通用航空培训中心、体育馆内篮球场、乒乓球室、台球室、舞蹈房的地胶、地板。</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3.2.6.2保洁要求：</w:t>
      </w:r>
    </w:p>
    <w:p>
      <w:pPr>
        <w:spacing w:line="360" w:lineRule="auto"/>
        <w:ind w:firstLine="542" w:firstLineChars="226"/>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走道、楼梯道等公共区域至少每天清扫2次，并巡回保洁；楼梯扶手、窗台至少每天保洁1次；墙面、顶面每周掸尘、去蜘蛛网至少1次；窗玻璃每学期保洁至少1次。地面无垃圾、积渍；墙面、玻璃门、窗干净，无污垢；无蜘蛛网、无积尘。</w:t>
      </w:r>
    </w:p>
    <w:p>
      <w:pPr>
        <w:spacing w:line="360" w:lineRule="auto"/>
        <w:ind w:firstLine="542" w:firstLineChars="226"/>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(2)公共卫生间应及时清扫并巡回保洁。地面、墙面瓷砖无明显污垢、积水；台面、水槽（池）干净无积垢物；大小便池无异味和积垢脏迹。</w:t>
      </w:r>
    </w:p>
    <w:p>
      <w:pPr>
        <w:spacing w:line="360" w:lineRule="auto"/>
        <w:ind w:firstLine="542" w:firstLineChars="226"/>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(3)按学校要求，及时对教学楼内所有空关教室的卫生进行打扫，做到地面无垃圾、积渍；墙面无积尘，无蜘蛛网，无手印；门窗干净。</w:t>
      </w:r>
    </w:p>
    <w:p>
      <w:pPr>
        <w:spacing w:line="360" w:lineRule="auto"/>
        <w:ind w:firstLine="542" w:firstLineChars="226"/>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(4)体育馆一楼的篮球馆、台球室，二楼的舞蹈房、三楼的乒乓球室、台球室地胶、地板每天拖一次。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3.2.6.3保洁标准：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要求保洁区域内整洁，无积水、杂物、废纸、烟蒂、无果皮纸屑等遗弃物，无卫生死角，及时清理保洁区域的垃圾桶、果皮箱。</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3.2.7其它工作要求</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(1)学校活动及考试期间搬运课桌椅、讲台、台阶。</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(2)学校楼房房顶每学期至少清扫1次，以保证雨水管道畅通，鱼塘水面垃圾需要经常清理，以保证水面无漂浮物。</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(3)教师值班室（6间），每周打扫、清洗1次。包括地面、床、阳台、卫生间等卫生。</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(4)会议室、接待室、报告厅及校车头（座）套每学期清洗2次。</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(5)学校学生公共浴室每周清扫2次。</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(6)报告厅内每日清洁1次；每学期至少2次清洗坐椅头（座）套。</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(7)图书馆内地面始终保持清洁。</w:t>
      </w:r>
    </w:p>
    <w:p>
      <w:pPr>
        <w:tabs>
          <w:tab w:val="left" w:pos="319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(8)教室清毒喷洒药水视学校情况而定，下班后、晚上消毒的加班费须包含在投标总价中。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(9)还需负责每学期结束后教室、办公室、公共区域的彻底清理。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(10)院领导办公室、会议室、接待室等负责纯净水的搬运及清洗，依用水量而定。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(11)学校各项大型活动期间的加班工作，加班费须包含在投标总价中。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(12)期中、期末考试期间公用教室的卫生打扫和开门。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(13)全年应做好校园内公共区域的消毒喷洒、除四害以及门前三包等相关工作。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(14)做好除学生公寓楼外的所有公共卫生间的保洁工作，做到公共</w:t>
      </w:r>
      <w:r>
        <w:rPr>
          <w:rFonts w:hint="eastAsia"/>
          <w:color w:val="auto"/>
          <w:highlight w:val="none"/>
        </w:rPr>
        <w:fldChar w:fldCharType="begin"/>
      </w:r>
      <w:r>
        <w:rPr>
          <w:color w:val="auto"/>
          <w:highlight w:val="none"/>
        </w:rPr>
        <w:instrText xml:space="preserve"> HYPERLINK "http://www.so.com/s?q=%E5%8D%AB%E7%94%9F%E9%97%B4&amp;ie=utf-8&amp;src=internal_wenda_recommend_textn"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卫生间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无</w:t>
      </w:r>
      <w:r>
        <w:rPr>
          <w:rFonts w:hint="eastAsia"/>
          <w:color w:val="auto"/>
          <w:highlight w:val="none"/>
        </w:rPr>
        <w:fldChar w:fldCharType="begin"/>
      </w:r>
      <w:r>
        <w:rPr>
          <w:color w:val="auto"/>
          <w:highlight w:val="none"/>
        </w:rPr>
        <w:instrText xml:space="preserve"> HYPERLINK "http://www.so.com/s?q=%E5%BC%82%E5%91%B3&amp;ie=utf-8&amp;src=internal_wenda_recommend_textn"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异味</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color w:val="auto"/>
          <w:highlight w:val="none"/>
        </w:rPr>
        <w:fldChar w:fldCharType="begin"/>
      </w:r>
      <w:r>
        <w:rPr>
          <w:color w:val="auto"/>
          <w:highlight w:val="none"/>
        </w:rPr>
        <w:instrText xml:space="preserve"> HYPERLINK "http://www.so.com/s?q=%E5%A2%99%E9%9D%A2&amp;ie=utf-8&amp;src=internal_wenda_recommend_textn"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墙面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、顶面、</w:t>
      </w:r>
      <w:r>
        <w:rPr>
          <w:rFonts w:hint="eastAsia"/>
          <w:color w:val="auto"/>
          <w:highlight w:val="none"/>
        </w:rPr>
        <w:fldChar w:fldCharType="begin"/>
      </w:r>
      <w:r>
        <w:rPr>
          <w:color w:val="auto"/>
          <w:highlight w:val="none"/>
        </w:rPr>
        <w:instrText xml:space="preserve"> HYPERLINK "http://www.so.com/s?q=%E9%9A%94%E6%9D%BF&amp;ie=utf-8&amp;src=internal_wenda_recommend_textn"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隔板</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等及其附属物无</w:t>
      </w:r>
      <w:r>
        <w:rPr>
          <w:rFonts w:hint="eastAsia"/>
          <w:color w:val="auto"/>
          <w:highlight w:val="none"/>
        </w:rPr>
        <w:fldChar w:fldCharType="begin"/>
      </w:r>
      <w:r>
        <w:rPr>
          <w:color w:val="auto"/>
          <w:highlight w:val="none"/>
        </w:rPr>
        <w:instrText xml:space="preserve"> HYPERLINK "http://www.so.com/s?q=%E7%81%B0%E5%B0%98&amp;ie=utf-8&amp;src=internal_wenda_recommend_textn"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灰尘</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color w:val="auto"/>
          <w:highlight w:val="none"/>
        </w:rPr>
        <w:fldChar w:fldCharType="begin"/>
      </w:r>
      <w:r>
        <w:rPr>
          <w:color w:val="auto"/>
          <w:highlight w:val="none"/>
        </w:rPr>
        <w:instrText xml:space="preserve"> HYPERLINK "http://www.so.com/s?q=%E4%BE%BF%E6%B1%A0&amp;ie=utf-8&amp;src=internal_wenda_recommend_textn"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便池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内外表面无</w:t>
      </w:r>
      <w:r>
        <w:rPr>
          <w:rFonts w:hint="eastAsia"/>
          <w:color w:val="auto"/>
          <w:highlight w:val="none"/>
        </w:rPr>
        <w:fldChar w:fldCharType="begin"/>
      </w:r>
      <w:r>
        <w:rPr>
          <w:color w:val="auto"/>
          <w:highlight w:val="none"/>
        </w:rPr>
        <w:instrText xml:space="preserve"> HYPERLINK "http://www.so.com/s?q=%E6%B1%A1%E8%BF%B9&amp;ie=utf-8&amp;src=internal_wenda_recommend_textn"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污迹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color w:val="auto"/>
          <w:highlight w:val="none"/>
        </w:rPr>
        <w:fldChar w:fldCharType="begin"/>
      </w:r>
      <w:r>
        <w:rPr>
          <w:color w:val="auto"/>
          <w:highlight w:val="none"/>
        </w:rPr>
        <w:instrText xml:space="preserve"> HYPERLINK "http://www.so.com/s?q=%E5%B0%8F%E4%BE%BF%E6%B1%A0&amp;ie=utf-8&amp;src=internal_wenda_recommend_textn"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小便池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无烟头等</w:t>
      </w:r>
      <w:r>
        <w:rPr>
          <w:rFonts w:hint="eastAsia"/>
          <w:color w:val="auto"/>
          <w:highlight w:val="none"/>
        </w:rPr>
        <w:fldChar w:fldCharType="begin"/>
      </w:r>
      <w:r>
        <w:rPr>
          <w:color w:val="auto"/>
          <w:highlight w:val="none"/>
        </w:rPr>
        <w:instrText xml:space="preserve"> HYPERLINK "http://www.so.com/s?q=%E6%9D%82%E7%89%A9&amp;ie=utf-8&amp;src=internal_wenda_recommend_textn"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杂物</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color w:val="auto"/>
          <w:highlight w:val="none"/>
        </w:rPr>
        <w:fldChar w:fldCharType="begin"/>
      </w:r>
      <w:r>
        <w:rPr>
          <w:color w:val="auto"/>
          <w:highlight w:val="none"/>
        </w:rPr>
        <w:instrText xml:space="preserve"> HYPERLINK "http://www.so.com/s?q=%E5%8F%B0%E9%9D%A2&amp;ie=utf-8&amp;src=internal_wenda_recommend_textn"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台面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color w:val="auto"/>
          <w:highlight w:val="none"/>
        </w:rPr>
        <w:fldChar w:fldCharType="begin"/>
      </w:r>
      <w:r>
        <w:rPr>
          <w:color w:val="auto"/>
          <w:highlight w:val="none"/>
        </w:rPr>
        <w:instrText xml:space="preserve"> HYPERLINK "http://www.so.com/s?q=%E9%95%9C%E9%9D%A2&amp;ie=utf-8&amp;src=internal_wenda_recommend_textn"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镜面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无</w:t>
      </w:r>
      <w:r>
        <w:rPr>
          <w:rFonts w:hint="eastAsia"/>
          <w:color w:val="auto"/>
          <w:highlight w:val="none"/>
        </w:rPr>
        <w:fldChar w:fldCharType="begin"/>
      </w:r>
      <w:r>
        <w:rPr>
          <w:color w:val="auto"/>
          <w:highlight w:val="none"/>
        </w:rPr>
        <w:instrText xml:space="preserve"> HYPERLINK "http://www.so.com/s?q=%E6%B0%B4%E8%BF%B9&amp;ie=utf-8&amp;src=internal_wenda_recommend_textn"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水迹</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、无污迹、无灰尘，</w:t>
      </w:r>
      <w:r>
        <w:rPr>
          <w:rFonts w:hint="eastAsia"/>
          <w:color w:val="auto"/>
          <w:highlight w:val="none"/>
        </w:rPr>
        <w:fldChar w:fldCharType="begin"/>
      </w:r>
      <w:r>
        <w:rPr>
          <w:color w:val="auto"/>
          <w:highlight w:val="none"/>
        </w:rPr>
        <w:instrText xml:space="preserve"> HYPERLINK "http://www.so.com/s?q=%E4%B8%8D%E9%94%88%E9%92%A2&amp;ie=utf-8&amp;src=internal_wenda_recommend_textn"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不锈钢</w:t>
      </w:r>
      <w:r>
        <w:rPr>
          <w:rFonts w:hint="eastAsia" w:ascii="仿宋" w:hAnsi="仿宋" w:eastAsia="仿宋" w:cs="仿宋"/>
          <w:color w:val="auto"/>
          <w:sz w:val="24"/>
          <w:highlight w:val="none"/>
        </w:rPr>
        <w:fldChar w:fldCharType="end"/>
      </w:r>
      <w:r>
        <w:rPr>
          <w:color w:val="auto"/>
          <w:highlight w:val="none"/>
        </w:rPr>
        <w:fldChar w:fldCharType="begin"/>
      </w:r>
      <w:r>
        <w:rPr>
          <w:color w:val="auto"/>
          <w:highlight w:val="none"/>
        </w:rPr>
        <w:instrText xml:space="preserve"> HYPERLINK "http://www.so.com/s?q=%E5%85%89%E4%BA%AE&amp;ie=utf-8&amp;src=internal_wenda_recommend_textn" \t "https://wenda.so.com/q/_blank" </w:instrText>
      </w:r>
      <w:r>
        <w:rPr>
          <w:color w:val="auto"/>
          <w:highlight w:val="none"/>
        </w:rPr>
        <w:fldChar w:fldCharType="separate"/>
      </w:r>
      <w:r>
        <w:rPr>
          <w:rFonts w:hint="eastAsia" w:ascii="仿宋" w:hAnsi="仿宋" w:eastAsia="仿宋" w:cs="仿宋"/>
          <w:color w:val="auto"/>
          <w:sz w:val="24"/>
          <w:highlight w:val="none"/>
        </w:rPr>
        <w:t>光亮</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无</w:t>
      </w:r>
      <w:r>
        <w:rPr>
          <w:rFonts w:hint="eastAsia"/>
          <w:color w:val="auto"/>
          <w:highlight w:val="none"/>
        </w:rPr>
        <w:fldChar w:fldCharType="begin"/>
      </w:r>
      <w:r>
        <w:rPr>
          <w:color w:val="auto"/>
          <w:highlight w:val="none"/>
        </w:rPr>
        <w:instrText xml:space="preserve"> HYPERLINK "http://www.so.com/s?q=%E6%B0%B4%E6%B8%8D&amp;ie=utf-8&amp;src=internal_wenda_recommend_textn" \t "https://wenda.so.com/q/_blank" </w:instrText>
      </w:r>
      <w:r>
        <w:rPr>
          <w:rFonts w:hint="eastAsia"/>
          <w:color w:val="auto"/>
          <w:highlight w:val="none"/>
        </w:rPr>
        <w:fldChar w:fldCharType="separate"/>
      </w:r>
      <w:r>
        <w:rPr>
          <w:rFonts w:hint="eastAsia" w:ascii="仿宋" w:hAnsi="仿宋" w:eastAsia="仿宋" w:cs="仿宋"/>
          <w:color w:val="auto"/>
          <w:sz w:val="24"/>
          <w:highlight w:val="none"/>
        </w:rPr>
        <w:t>水渍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等。同时还要负责为洗手池提供洗手液，小便池提供卫生香球，除此之外，还需负责为行政楼内的卫生间提供熏香。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(15)遵守学校的规章制度，配合学校总务处临时交付的工作。</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(16)做到分类后的垃圾日产日清。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(17)报价中需包括垃圾的处理费、清运人工费及化粪池的清掏、清运费。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(18)日常保洁工作所需的相关劳动服务工具、专业工具由中标人包干。</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3.3 学生公寓楼、校史馆、体育运动场（馆）等场所管理维护。</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3.3.1概况：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学生公寓楼有7幢，共737个房间，每间住6人，其中，1幢为女生公寓楼，1幢为混合公寓楼，5幢为男生公寓楼；设7个公寓管理点，住校人数4000余人。有校史馆2间、室内体育馆1处、</w:t>
      </w:r>
      <w:r>
        <w:rPr>
          <w:rFonts w:hint="eastAsia" w:ascii="仿宋" w:hAnsi="仿宋" w:eastAsia="仿宋" w:cs="仿宋"/>
          <w:bCs/>
          <w:color w:val="auto"/>
          <w:sz w:val="24"/>
          <w:highlight w:val="none"/>
        </w:rPr>
        <w:t>400米田径场和足球场各1个、篮球场4处、羽毛球场3处、排球场和网球场各1处。</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3.3.2人员要求：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宿舍管理部</w:t>
      </w:r>
      <w:r>
        <w:rPr>
          <w:rFonts w:hint="eastAsia" w:ascii="仿宋" w:hAnsi="仿宋" w:eastAsia="仿宋" w:cs="仿宋"/>
          <w:color w:val="auto"/>
          <w:kern w:val="0"/>
          <w:sz w:val="24"/>
          <w:highlight w:val="none"/>
        </w:rPr>
        <w:t>综合部长要求本科（技师）及以上学历，</w:t>
      </w:r>
      <w:r>
        <w:rPr>
          <w:rFonts w:hint="eastAsia" w:ascii="仿宋" w:hAnsi="仿宋" w:eastAsia="仿宋" w:cs="仿宋"/>
          <w:color w:val="auto"/>
          <w:sz w:val="24"/>
          <w:highlight w:val="none"/>
        </w:rPr>
        <w:t>宿舍楼长及学生管理辅导员要求大专及以上学历，宿管员要求高中及以上学历，从业人员年龄女性不得超过50周岁、男性不得超过60周岁，年龄为50周岁以下人数不得低于80%(经学校同意可适当放宽年龄要求)。身体健康，工作认真负责并定期接受培训，宿管部人数不得少于32人。</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3.3.3工作要求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(1)总体要求：营造“安全、文明、卫生、有序”的学生住宿、运动氛围，加强学生的安全意识教育，切实保障学生的人身及财物安全。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(2)要求具有一定的管理经验，有岗位育人的意识，对学生有爱心、有耐心。管理工作文明礼貌、语言规范。</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(3)上岗时佩戴统一标志，统一着装，仪容仪表规范整齐。</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(4)宿管员应服从学生处、系部的管理。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（5）宿舍管理暑假期间，可休息20天；学生未到校期间，白天都上班。（具体根据学校实际情况协商决定）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（6）宿舍管理寒假期间，上课时与平时周一至周五一样，休息天与平时周六一样。（具体根据学校实际情况协商决定）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（7）寝室管理特别要求：宿管员值班必须24小时在门岗，任何时间内，宿管员不能脱岗。宿管在配合卫生检查时，须保证门岗值班人员。</w:t>
      </w:r>
    </w:p>
    <w:p>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3.3.4学生公寓楼托管服务内容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3.3.4.1具体包括：</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(1)学生公寓楼值班服务。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(2)学生公寓楼卫生管理。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(3)学生公寓的学生管理。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(4)学生公寓的安全管理。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(5)学生公寓卫生检查。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3.3.4.2服务时间：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(1)白天：上午8：30—下午16：30，中午不休息，无双休日；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(2)晚上：下午16：30—第二天上午8：30。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(3)有寒暑假，暑假休息可20天、寒假休息可10天。（具体根据学校实际情况协商决定）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3.3.4.3学校宿管上班时间、地点、职责：</w:t>
      </w:r>
    </w:p>
    <w:tbl>
      <w:tblPr>
        <w:tblStyle w:val="62"/>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84"/>
        <w:gridCol w:w="3357"/>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1284" w:type="dxa"/>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地点</w:t>
            </w:r>
          </w:p>
        </w:tc>
        <w:tc>
          <w:tcPr>
            <w:tcW w:w="3357" w:type="dxa"/>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职责</w:t>
            </w:r>
          </w:p>
        </w:tc>
        <w:tc>
          <w:tcPr>
            <w:tcW w:w="3027" w:type="dxa"/>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16：30—18：00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各单元</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16：30准时到岗，保证学生寝室内学生秩序、安全；须进行楼层与寝室的巡视，了解学生回寝室后的情况，督促学生打开水。</w:t>
            </w:r>
          </w:p>
        </w:tc>
        <w:tc>
          <w:tcPr>
            <w:tcW w:w="302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做好周日学生点到和假期留校学生的签到工作，上交返校报到情况给系部值班教师；</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17：50督促学生按时离开寝室，按时上课；</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认真做好本单元的各项工作，不窜岗。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18：00—20：30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各单元</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单元内值班；检查寝室内水电、通风；对有突发情况回寝室学生进行管理；每天20：20—21：20单元门口迎候学生回寝室。</w:t>
            </w:r>
          </w:p>
        </w:tc>
        <w:tc>
          <w:tcPr>
            <w:tcW w:w="302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认真做好本单元的各项工作，不窜岗，发现不文明或违反校纪校规的行为及时制止并向值班教师反映。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20：30—21：30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各单元</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逐一检查学生晚自修后回寝室情况，清点、核对寝室学生人数，有问题立即通报当晚系部值周教师。督促学生洗漱、就寝；维持好学生秩序；卫生检查督促；</w:t>
            </w:r>
          </w:p>
        </w:tc>
        <w:tc>
          <w:tcPr>
            <w:tcW w:w="3027" w:type="dxa"/>
            <w:noWrap w:val="0"/>
            <w:vAlign w:val="center"/>
          </w:tcPr>
          <w:p>
            <w:pPr>
              <w:spacing w:line="360" w:lineRule="auto"/>
              <w:contextualSpacing/>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21：30—22：30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各单元</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检查督促学生就寝情况；按照作息时间表规定熄灯后杜绝喧哗、吵闹等情况发生，宿管员须巡楼至22：30（巡至少3次），督促学生按时就寝，查看学生就寝情况。</w:t>
            </w:r>
          </w:p>
        </w:tc>
        <w:tc>
          <w:tcPr>
            <w:tcW w:w="3027" w:type="dxa"/>
            <w:noWrap w:val="0"/>
            <w:vAlign w:val="center"/>
          </w:tcPr>
          <w:p>
            <w:pPr>
              <w:spacing w:line="360" w:lineRule="auto"/>
              <w:contextualSpacing/>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22：30—5：50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各单元</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对学生就寝后出现的讲话、使用手机、玩游戏机、起床活动等违反校级校规情况要进行管理。不定期在晚间（指深夜和凌晨）对学生寝室进行抽查。遇学生生病等突发事件要及时与值周教师、医务室联系。</w:t>
            </w:r>
          </w:p>
        </w:tc>
        <w:tc>
          <w:tcPr>
            <w:tcW w:w="302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不定期抽查学生夜间就寝情况；特殊日子不少于5次检查；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6：00—7：00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各单元</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督促学生起床并做好电源控制</w:t>
            </w:r>
          </w:p>
        </w:tc>
        <w:tc>
          <w:tcPr>
            <w:tcW w:w="3027" w:type="dxa"/>
            <w:noWrap w:val="0"/>
            <w:vAlign w:val="center"/>
          </w:tcPr>
          <w:p>
            <w:pPr>
              <w:spacing w:line="360" w:lineRule="auto"/>
              <w:contextualSpacing/>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7：30—10：00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各单元</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检查寝室卫生、打分，并汇总、登记，报系部、学生处；前一天检查情况写在公示栏上。</w:t>
            </w:r>
          </w:p>
        </w:tc>
        <w:tc>
          <w:tcPr>
            <w:tcW w:w="302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督促学生按时离开寝室，按时上课。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10：00—16：30</w:t>
            </w:r>
          </w:p>
        </w:tc>
        <w:tc>
          <w:tcPr>
            <w:tcW w:w="1284"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值周寝室</w:t>
            </w:r>
          </w:p>
        </w:tc>
        <w:tc>
          <w:tcPr>
            <w:tcW w:w="335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10：00准时到各单元值班室上岗，做好全部单元的日常管理工作。白天所有与单元、寝室相关的工作由值班宿管员完成。遇突发情况要及时处理。</w:t>
            </w:r>
          </w:p>
        </w:tc>
        <w:tc>
          <w:tcPr>
            <w:tcW w:w="3027" w:type="dxa"/>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宿管员值班必须24小时在门岗，不得擅自离开。</w:t>
            </w:r>
          </w:p>
        </w:tc>
      </w:tr>
    </w:tbl>
    <w:p>
      <w:pPr>
        <w:spacing w:line="360" w:lineRule="auto"/>
        <w:ind w:firstLine="480" w:firstLineChars="200"/>
        <w:contextualSpacing/>
        <w:rPr>
          <w:rFonts w:ascii="仿宋" w:hAnsi="仿宋" w:eastAsia="仿宋" w:cs="仿宋"/>
          <w:color w:val="auto"/>
          <w:sz w:val="24"/>
          <w:highlight w:val="none"/>
        </w:rPr>
      </w:pP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3.3.4.4服务内容：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(1)学生公寓楼服务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①公寓楼各大门进出人员的管理。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②公寓钥匙的保管和借用服务，公共场所、通道门钥匙的管理。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③做好门厅秩序管理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④学生公寓7S管理卫生检查、公告。</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(3)学生公寓的学生管理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①白班人员，每天中午进行学生宿舍卫生检查，督促学生保持宿舍内卫生。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②实行查房制度，每天早上及下午学生离开宿舍后，对所有宿舍进行检查，防止学生无故滞留。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③对发现管理区域内、管理时段内违反学校相关管理制度的学生，及时报学校研究处理。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④每天2次常规的楼区巡视工作，了解、掌握住校学生的动态，预防各类偶发事件的发生。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⑤晚班人员应负责晚就寝巡查。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⑥要特别注意学生身体、心理、言行的变化，及时与学生交流，及时与学生处、班主任沟通；要十分注意学生过激行为、群体性行为，及时制止、及时汇报。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⑦认真及时填写《杭州技师学院宿管交接班记录》等相关台账。</w:t>
      </w:r>
    </w:p>
    <w:p>
      <w:pPr>
        <w:pStyle w:val="24"/>
        <w:spacing w:line="360" w:lineRule="auto"/>
        <w:contextualSpacing/>
        <w:rPr>
          <w:rFonts w:ascii="仿宋" w:hAnsi="仿宋" w:eastAsia="仿宋" w:cs="仿宋"/>
          <w:color w:val="auto"/>
          <w:highlight w:val="none"/>
        </w:rPr>
      </w:pPr>
      <w:r>
        <w:rPr>
          <w:rFonts w:hint="eastAsia" w:ascii="仿宋" w:hAnsi="仿宋" w:eastAsia="仿宋" w:cs="仿宋"/>
          <w:color w:val="auto"/>
          <w:highlight w:val="none"/>
        </w:rPr>
        <w:t>⑧对卫生优秀及较差的寝室要及时表扬或批评，并配合作好宣传、引导、教育工作。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(4)学生公寓的安全管理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①来访或公务人员实行登记管理。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②实行上课时间学生进楼验证（请假条）、登记制度。</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 定期开展学生公寓安全检查，发现问题及时处置并上报。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④ 熟知公寓内消防设施配置情况，熟练掌握消防器材的使用；定期检查消防器材设施有无缺损，发现问题及时报修；保持消防通道的畅通。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⑤杜绝学生宿舍违章用电、吸烟、火灾等重大隐患。宿管员不得在单元值班室烧制食物。一旦发生异常情况，应迅速反馈学校及相关部门，并采取必要的处理措施。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⑥切实杜绝打架、斗殴、喝酒等隐患，一旦发生异常情况，应迅速反馈学校及相关部门，并采取必要的处理措施。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⑦未经允许，不得让异常人员进入公寓楼。若有异常情况，应及时反馈保卫部门，并采取必要的处理措施。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⑧具备各项应急预案，发生问题及时响应。</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⑨宣传有关法律、消防知识，提高学生安全防范意识，共建和谐校园。</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⑩聘用员工履行合法用工手续。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(5)特别强调：投标人应针对上述服务内容和管理内容和要求，应确保人员到位，所聘用的员工要履行合法用工手续，并有健康证明，所聘用人员应服从学校学管部门的管理。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3.3.4.5学校常规活动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(1)学校寒暑假、节假日学生需要补课、住宿，宿管员需要加班。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(2)暑期军训期间，宿管员进行晚间管理。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(3)每个学期开学前做好单元宿舍的卫生工作。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(4)以上工作，人员费用须包含在投标总价中。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3.3.4.6其他事项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(1)除上述工作常规外，若遇特殊情况和特别任务，由学生处或相关部门另行安排工作，宿管员须积极协助完成。宿管员产生费用由物管承担。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(2)所派遣的宿管员须经由学校面试认可，方可上岗。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(3)所派遣的宿管员须保证能连续工作一学年及以上。</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(4)宿管员在工作期内出现下述情况，学校可以提出清退：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①工作出现严重失误，导致严重后果，此类情况出现一次即可清退；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②一个学期工作出现差错累计三次以上（含三次）。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校宿管员的工作内容具有特殊性、工作时间长、包括春节、国庆等国定假日、民族节日等休息天比较少，每周六、周日还须协助晚自修管理；以上情况，已在工资的差异性中体现；不再另行计算加班费。投标人应充分考虑。</w:t>
      </w:r>
    </w:p>
    <w:p>
      <w:pPr>
        <w:spacing w:line="360" w:lineRule="auto"/>
        <w:ind w:firstLine="470" w:firstLineChars="196"/>
        <w:contextualSpacing/>
        <w:rPr>
          <w:rFonts w:ascii="仿宋" w:hAnsi="仿宋" w:eastAsia="仿宋" w:cs="仿宋"/>
          <w:color w:val="auto"/>
          <w:sz w:val="24"/>
          <w:highlight w:val="none"/>
        </w:rPr>
      </w:pPr>
      <w:r>
        <w:rPr>
          <w:rFonts w:hint="eastAsia" w:ascii="仿宋" w:hAnsi="仿宋" w:eastAsia="仿宋" w:cs="仿宋"/>
          <w:color w:val="auto"/>
          <w:sz w:val="24"/>
          <w:highlight w:val="none"/>
        </w:rPr>
        <w:t>(6)节假日除了完成日常管理工作以外，宿管员还需在各单元巡视各宿舍不少于4次，检查学生在寝室内是否安全文明休息，指导学生处理好生活琐事。敦促学生进行一周一次的大扫除，定期检查卫生并及时登记、及时反馈。</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(7)节假日晚上（17：50-20：30）协助值班教师管理学生的晚自修。</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color w:val="auto"/>
          <w:sz w:val="24"/>
          <w:highlight w:val="none"/>
        </w:rPr>
        <w:t>(8)其它工作：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bCs/>
          <w:color w:val="auto"/>
          <w:sz w:val="24"/>
          <w:highlight w:val="none"/>
        </w:rPr>
        <w:t>①</w:t>
      </w:r>
      <w:r>
        <w:rPr>
          <w:rFonts w:hint="eastAsia" w:ascii="仿宋" w:hAnsi="仿宋" w:eastAsia="仿宋" w:cs="仿宋"/>
          <w:color w:val="auto"/>
          <w:sz w:val="24"/>
          <w:highlight w:val="none"/>
        </w:rPr>
        <w:t>协助学校教师做好学生安全返校、离校工作。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bCs/>
          <w:color w:val="auto"/>
          <w:sz w:val="24"/>
          <w:highlight w:val="none"/>
        </w:rPr>
        <w:t>②协助教师做好“7S”管理工作。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3 \* GB3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val="zh-CN"/>
        </w:rPr>
        <w:t>③</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在学校规定的特殊期间（主要是后半夜）要不定期到宿舍检查学生是否违反相关的规定。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bCs/>
          <w:color w:val="auto"/>
          <w:sz w:val="24"/>
          <w:highlight w:val="none"/>
        </w:rPr>
        <w:fldChar w:fldCharType="begin"/>
      </w:r>
      <w:r>
        <w:rPr>
          <w:rFonts w:hint="eastAsia" w:ascii="仿宋" w:hAnsi="仿宋" w:eastAsia="仿宋" w:cs="仿宋"/>
          <w:bCs/>
          <w:color w:val="auto"/>
          <w:sz w:val="24"/>
          <w:highlight w:val="none"/>
        </w:rPr>
        <w:instrText xml:space="preserve"> = 4 \* GB3 </w:instrText>
      </w:r>
      <w:r>
        <w:rPr>
          <w:rFonts w:hint="eastAsia" w:ascii="仿宋" w:hAnsi="仿宋" w:eastAsia="仿宋" w:cs="仿宋"/>
          <w:bCs/>
          <w:color w:val="auto"/>
          <w:sz w:val="24"/>
          <w:highlight w:val="none"/>
        </w:rPr>
        <w:fldChar w:fldCharType="separate"/>
      </w:r>
      <w:r>
        <w:rPr>
          <w:rFonts w:hint="eastAsia" w:ascii="仿宋" w:hAnsi="仿宋" w:eastAsia="仿宋" w:cs="仿宋"/>
          <w:bCs/>
          <w:color w:val="auto"/>
          <w:sz w:val="24"/>
          <w:highlight w:val="none"/>
          <w:lang w:val="zh-CN"/>
        </w:rPr>
        <w:t>④</w:t>
      </w:r>
      <w:r>
        <w:rPr>
          <w:rFonts w:hint="eastAsia" w:ascii="仿宋" w:hAnsi="仿宋" w:eastAsia="仿宋" w:cs="仿宋"/>
          <w:bCs/>
          <w:color w:val="auto"/>
          <w:sz w:val="24"/>
          <w:highlight w:val="none"/>
        </w:rPr>
        <w:fldChar w:fldCharType="end"/>
      </w:r>
      <w:r>
        <w:rPr>
          <w:rFonts w:hint="eastAsia" w:ascii="仿宋" w:hAnsi="仿宋" w:eastAsia="仿宋" w:cs="仿宋"/>
          <w:color w:val="auto"/>
          <w:sz w:val="24"/>
          <w:highlight w:val="none"/>
        </w:rPr>
        <w:t>完成管理部门临时性任务。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3.3.4.7安全要求</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(1)宿管员不得在宿舍内烧食物。</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(2)杜绝学生公寓内违章用电、吸烟、火灾等重大隐患。一旦发生非常情况，应迅速反馈学校及相关部门，并采取必要的处理措施。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(3)切实杜绝打架、斗殴等隐患，一旦发生突发情况，应迅速反馈学校及相关部门，并采取必要的处理措施。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(4)未经允许，不得让非校外人员进入公寓楼。若有异常情况，应及时反馈学生处保卫部门，并采取必要的处理措施。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(5)明确疏散引导员，确保消防疏散通道畅通，严禁上锁。</w:t>
      </w:r>
    </w:p>
    <w:p>
      <w:pPr>
        <w:tabs>
          <w:tab w:val="left" w:pos="315"/>
          <w:tab w:val="left" w:pos="945"/>
          <w:tab w:val="left" w:pos="3360"/>
        </w:tabs>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3.3.5　校史馆、体育运动场（馆）等场所管理服务内容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3.3.5.1具体包括：</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(1)校史馆管理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(2)体育运动场所值班服务。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(3)体育运动场所卫生管理。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(4)体育运动场所的学生管理。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(5)体育运动场所的安全管理。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3.3.5.2服务时间：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(1)校史馆：8：00—17：00，中午不休息，无双休日；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(2)体育馆：8：00—21：30，中午不休息，无双休日；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(3)田径场、篮球场、排球场、网球场、羽毛球场：5：00—21：00。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(4)有寒暑假，暑假休息可20天、寒假休息可10天。（具体根据学校实际情况协商决定）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3.3.5.3人员配备：</w:t>
      </w:r>
    </w:p>
    <w:p>
      <w:pPr>
        <w:spacing w:line="360" w:lineRule="auto"/>
        <w:ind w:firstLine="470" w:firstLineChars="196"/>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(1)场馆管理员</w:t>
      </w:r>
      <w:r>
        <w:rPr>
          <w:rFonts w:hint="eastAsia" w:ascii="仿宋" w:hAnsi="仿宋" w:eastAsia="仿宋" w:cs="仿宋"/>
          <w:bCs/>
          <w:color w:val="auto"/>
          <w:sz w:val="24"/>
          <w:highlight w:val="none"/>
        </w:rPr>
        <w:t>由会务人员负责。</w:t>
      </w:r>
      <w:r>
        <w:rPr>
          <w:rFonts w:hint="eastAsia" w:ascii="仿宋" w:hAnsi="仿宋" w:eastAsia="仿宋" w:cs="仿宋"/>
          <w:color w:val="auto"/>
          <w:sz w:val="24"/>
          <w:highlight w:val="none"/>
        </w:rPr>
        <w:t>其中 ,校史管管理员兼保洁员需具有高中以上学历，口齿清楚，说话流利，能讲标准普通话，具备一定的讲解能力，具备基本的电脑操作技能，身体健康，能吃苦耐劳。</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(2)校史馆管理员应服从校办的领导；体育场馆管理员应服从基础部的领导。</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3.3.5.4工作要求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(1)场馆值班服务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①根据场馆管理规定做好进出人员的管理。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②根据服务时间做好场馆的开、关门及钥匙的管理。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(2)场馆卫生管理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①保持地面、跑道、球场清洁，无垃圾、杂草，垃圾筒及时清空、外观干净。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②门窗干净无积尘，玻璃明亮无尘。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③墙面无张贴物、无积尘、无蜘蛛网。</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④楼梯台阶清洁，楼梯扶手干净。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⑤公共厕所干净，水槽内外洁净。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⑥厕所大小便池无积垢，隔板干净。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⑦场馆所有公共通道、梯道、门厅、平台、管网等无灰尘、无积水、无污染，无堆积物，以上公共场所及门、窗、玻璃、顶棚等无蜘蛛网。</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(3)场馆的学生管理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①按场馆管理规定做好学生进出场馆管理，督促学生保持场馆卫生。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②对发现管理区域内有违反学校相关管理制度的学生，及时报学校处理。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③要特别注意学生身体、心理、言行的变化，及时与学生交流，及时与学生处、系部、班主任沟通；注意学生过激行为、群体性行为，及时制止、及时汇报。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④认真及时填写每天记录。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(4)场馆的安全管理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①做好进出场馆人员登记管理；体育课做好班级情况记录。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②定期开展场馆安全检查，发现问题及时处置或上报。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③熟知场馆内消防设施配置情况，熟练掌握消防器材的使用；定期（每月不少于1次）检查消防器材设施有无缺损，发现问题及时报修；保持消防通道的畅通。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④切实杜绝打架、斗殴等隐患，一旦发生异常情况，应迅速反馈学校及相关部门，并采取必要的处理措施。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⑤未经允许，不得让异常人员进入场馆，并及时反馈保卫部门，采取必要的处理措施。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⑥具备各项应急预案，发生问题及时响应。</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⑦宣传有关法律、消防知识，提高学生安全防范意识，共建和谐校园。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⑧聘用员工履行合法用工手续。</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3.4．绿化管理养护</w:t>
      </w:r>
    </w:p>
    <w:p>
      <w:pPr>
        <w:tabs>
          <w:tab w:val="left" w:pos="315"/>
          <w:tab w:val="left" w:pos="945"/>
          <w:tab w:val="left" w:pos="3360"/>
        </w:tabs>
        <w:spacing w:line="360" w:lineRule="auto"/>
        <w:ind w:firstLine="470" w:firstLineChars="196"/>
        <w:contextualSpacing/>
        <w:rPr>
          <w:rFonts w:ascii="仿宋" w:hAnsi="仿宋" w:eastAsia="仿宋" w:cs="仿宋"/>
          <w:color w:val="auto"/>
          <w:sz w:val="24"/>
          <w:highlight w:val="none"/>
        </w:rPr>
      </w:pPr>
      <w:r>
        <w:rPr>
          <w:rFonts w:hint="eastAsia" w:ascii="仿宋" w:hAnsi="仿宋" w:eastAsia="仿宋" w:cs="仿宋"/>
          <w:color w:val="auto"/>
          <w:sz w:val="24"/>
          <w:highlight w:val="none"/>
        </w:rPr>
        <w:t>3.4.1绿化养护范围：</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学校树木、花草、色块等的日常养护和管理，学校绿地的养护管理、室内外摆花和会议摆花等。全校绿地养护总面积约</w:t>
      </w:r>
      <w:r>
        <w:rPr>
          <w:rFonts w:hint="eastAsia" w:ascii="仿宋" w:hAnsi="仿宋" w:eastAsia="仿宋" w:cs="仿宋"/>
          <w:color w:val="auto"/>
          <w:kern w:val="0"/>
          <w:sz w:val="24"/>
          <w:highlight w:val="none"/>
        </w:rPr>
        <w:t>106458</w:t>
      </w:r>
      <w:r>
        <w:rPr>
          <w:rFonts w:hint="eastAsia" w:ascii="仿宋" w:hAnsi="仿宋" w:eastAsia="仿宋" w:cs="仿宋"/>
          <w:color w:val="auto"/>
          <w:sz w:val="24"/>
          <w:highlight w:val="none"/>
        </w:rPr>
        <w:t>平方米。</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3.4.2人员要求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绿化主管需园林专业大专（高级工）及以上学历，绿化技师需具备园林技师职称，其他绿化工作人员需高中及以上学历，从业人员年龄女性不得超过50周岁、男性不得超过60周岁，年龄为50周岁以下人数不得低于80%(由学校推荐的人员可适当放宽年龄要求)，身体健康，工作认真负责并定期接受培训。</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(2)人员配备：总人数不少于20人。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(3)具有绿化养护专业知识和技能。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(4)上岗时佩戴统一标志，按需求穿戴统一制服，仪容仪表规范整齐。</w:t>
      </w:r>
    </w:p>
    <w:p>
      <w:pPr>
        <w:tabs>
          <w:tab w:val="left" w:pos="315"/>
          <w:tab w:val="left" w:pos="945"/>
          <w:tab w:val="left" w:pos="3360"/>
        </w:tabs>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(5)文明工作，训练有素，言语规范，吃苦耐劳，认真负责。</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3.4.3绿化养护要求：</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3.4.3.1 养护标准： </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(1)草坪。草皮修剪每年至少6次，确保美观。每年按时播种冬草1次，积极养护保证播种后长势良好，夏天高温时做好草坪防晒降温工作。保持常年翠绿，生长茂盛，无空秃，无杂草、无干枯坏死和病虫侵害。</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(2)树木和色块。植株修剪及时，做到枝叶紧密、圆整，无脱节、无枯枝。及时防治、灭病虫害，主要病虫害发生率低于5%，无倾斜、缺枝、空档。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(3)花坛和花景。做好花草种植工作，及时清除枯萎的花蒂、黄叶、杂草、垃圾，做好病虫害防治。花坛和花景做到造型新颖、色彩鲜艳、植物长势好。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(4)学校的门庭花草摆放，保持常年鲜艳，重大节日或学校重大活动花草摆放应美观大方。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(5)操场和校园周边的树枝应及时修剪，草地修整。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(6)花木的浇水等工作。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(7)学校活动时盆花、绿色植物的搬运。</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(8)满足有关会议摆花的要求。</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(9)负责校园及办公室盆花、绿色植物的养护。</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(10)负责花房管理，做好绿色植物养护、播种、迁插等工作，为学校增加盆栽。</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(11)每年冬季到来前做好树木防冻工作；</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(12)负责花坛修改及长势和美观不理想花坛的设计及整改；</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3.4.3.2树木成活率标准： </w:t>
      </w:r>
    </w:p>
    <w:p>
      <w:pPr>
        <w:tabs>
          <w:tab w:val="left" w:pos="315"/>
          <w:tab w:val="left" w:pos="945"/>
          <w:tab w:val="left" w:pos="3360"/>
        </w:tabs>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树木成活率98%以上；树木保存率100%。 </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3.4.3.3卫生标准： </w:t>
      </w:r>
    </w:p>
    <w:p>
      <w:pPr>
        <w:tabs>
          <w:tab w:val="left" w:pos="315"/>
          <w:tab w:val="left" w:pos="945"/>
          <w:tab w:val="left" w:pos="3360"/>
        </w:tabs>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绿地整洁，地面卫生，无垃圾杂物，无堆物堆料、搭棚、侵占等现象；枯枝、落叶及时清扫干净；设施基本完好，无明显人为损坏，对违法行为能及时发现和处理；绿化生产垃圾能及时清运。</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3.4.3.4管理标准：</w:t>
      </w:r>
    </w:p>
    <w:p>
      <w:pPr>
        <w:tabs>
          <w:tab w:val="left" w:pos="315"/>
          <w:tab w:val="left" w:pos="945"/>
          <w:tab w:val="left" w:pos="3360"/>
        </w:tabs>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(1)每月提供月度养护计划及安排表。</w:t>
      </w:r>
    </w:p>
    <w:p>
      <w:pPr>
        <w:tabs>
          <w:tab w:val="left" w:pos="315"/>
          <w:tab w:val="left" w:pos="945"/>
          <w:tab w:val="left" w:pos="3360"/>
        </w:tabs>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(2)绿地管理制度全面落实，档案资料完整、详尽，工作人员挂牌上岗。 </w:t>
      </w:r>
    </w:p>
    <w:p>
      <w:pPr>
        <w:tabs>
          <w:tab w:val="left" w:pos="315"/>
          <w:tab w:val="left" w:pos="945"/>
          <w:tab w:val="left" w:pos="3360"/>
        </w:tabs>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(3)无违章占绿、无违法建设。 </w:t>
      </w:r>
    </w:p>
    <w:p>
      <w:pPr>
        <w:tabs>
          <w:tab w:val="left" w:pos="315"/>
          <w:tab w:val="left" w:pos="945"/>
          <w:tab w:val="left" w:pos="3360"/>
        </w:tabs>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(4)秩序良好，无乱堆乱放、晾晒衣物现象。 </w:t>
      </w:r>
    </w:p>
    <w:p>
      <w:pPr>
        <w:tabs>
          <w:tab w:val="left" w:pos="315"/>
          <w:tab w:val="left" w:pos="945"/>
          <w:tab w:val="left" w:pos="3360"/>
        </w:tabs>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(5)有防台、抗雪预案及措施，对危树及时采取修枝、加固或申报更换等措施，遇灾害性天气及时组织进行抢扶。 </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(6)灌溉：适期、适量的灌溉，夏季灌溉早晚进行，冬季灌溉中午进行。</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(7)排水：暴雨后排除树木周围的积水。</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(8)中耕除草：选在晴朗或初晴天气，且土壤不过分潮湿的时候进行。</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(9)施肥：休眠期，需施基肥，生长期施追肥。</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(10)整形修剪：春、夏季开花的花木，应在花后及时修剪；秋季开花的花木和一般树木，应在休眠期进行。</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(11)防护设施：预防台风和大雪。</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(12)田径场、门前广场、网球场周围绿地(草坪)，冬夏各播籽一次，保持一年四季常绿，保证成活率95%以上。日常养护人工费用由中标人包干，材料费在室外绿化维护费中列支。</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3.4.3.5草花、盆花摆放要求：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草花摆放</w:t>
      </w:r>
      <w:r>
        <w:rPr>
          <w:rFonts w:hint="eastAsia" w:ascii="仿宋" w:hAnsi="仿宋" w:eastAsia="仿宋" w:cs="仿宋"/>
          <w:color w:val="auto"/>
          <w:sz w:val="24"/>
          <w:highlight w:val="none"/>
        </w:rPr>
        <w:t>（每季5000盆，一年四季全年20000盆）。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盆花摆放以观叶、观花、观果及盆景类植物，要求株形美观，适于室内摆放，具有较高的观赏价值，造型较好，无病虫害植株（每次200盆，一月更换一次，有专人负责）。摆放地点：行政楼、基础楼、教学楼、实训楼、食堂、学生公寓楼、体育馆、培训楼等各楼宇内公共区域及办公室、教室、宿舍、报告厅、会议室、接待室、展厅、校史室、阅览室、训练场管理用房等。</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3.5供电设备管理维护</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3.5.1供电设备管理维护的总则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3.5.1.1服务内容：对学校供电系统高、低压电器设备、发电设备、电线电缆及各照明、电扇等电气装置等设备进行日常管理和维修，保障安全、正常运行。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3.5.1.2服务质量标准：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(1)建立严格的高配供电室岗位责任制，高低配交接班制度、高低配室操作规程制度、高配倒闸操作制度、工作票制度、高低配及维修巡回检查等制度。</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(2)按照规定周期对变配电设备设施进行检查、维护、清洁，并做好记录，确保高(低)压变(配)电柜操作运行正常，各计量检测表计显示正常。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(3)变(配)电柜直流操作系统、低压配电柜运行正常，蓄电池组充、放电量稳定，符合工作要求，各类表计显示正常。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(4)功率因素自动补偿电容器(组)运行正常，自动切换准确可靠。</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(5)变(配)电系统联络自切正常。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(6)发电设备运行正常。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(7)通过有效的管理措施及技术措施，积极开展节能管理工作。</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3.5.2供电设备管理维护的具体要求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3.5.2.1人员要求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(1)资格：男性，必须具备人社部门核发的上岗证，熟练掌握水、电设备的维修技能。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(2)熟悉和热爱学校的工作性质和工作环境，必须确保能够在晚间、节假日期间的正常供电。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(3)性格热情、积极肯干，有责任心，能善于与学生沟通并作风正派。</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(4)从业人员年龄女性不得超过50周岁、男性不得超过60周岁，年龄为55周岁以下人数不得低于80%。。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3.5.2.2供电系统管理维护要求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(1)供电运行和维修人员必须持证上岗。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(2)严格执行用电安全规范，严格对变电房进行规范化管理，确保学校每天24小时的供电质量与安全稳定，保障用电设备正常运转、供电线路的安全可靠性，确保用电安全。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(3)熟知校园供电系统组成情况，配电设备标识清楚完好，配电开关控制范围标识清晰、准确。</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sz w:val="24"/>
          <w:highlight w:val="none"/>
        </w:rPr>
        <w:t>(4)确保供电线路的安全性、可靠性、标准性，严格执行规范化操作制度，及时上交巡查、检测报告。确保校园、校舍、道路、楼道、走廊、围墙照明、指示灯具、线路等公共用电设备完好无损，</w:t>
      </w:r>
      <w:r>
        <w:rPr>
          <w:rFonts w:hint="eastAsia" w:ascii="仿宋" w:hAnsi="仿宋" w:eastAsia="仿宋" w:cs="仿宋"/>
          <w:color w:val="auto"/>
          <w:kern w:val="0"/>
          <w:sz w:val="24"/>
          <w:highlight w:val="none"/>
        </w:rPr>
        <w:t>严格遵守安全操作规程、规章制度，防止发生安全事故。</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对学校重点用电单位：核心机房、交换器设备、消防监控中心、水泵房、食堂、培训中心、各教学楼、各实训楼、各办公室等，实行重点监控、严格管理，确保供电质量，稳定而不中断。定期检查配电设备三相负载平衡情况，杜绝因电压不平衡、不稳定、频繁跳闸等影响用电设备正常运转、甚至引起烧毁设备的事故发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kern w:val="0"/>
          <w:sz w:val="24"/>
          <w:highlight w:val="none"/>
        </w:rPr>
        <w:t>(6)在气候环境恶劣情况下：雷电、暴雨、台风、大雪等情况必需加强安全防范及巡查，</w:t>
      </w:r>
      <w:r>
        <w:rPr>
          <w:rFonts w:hint="eastAsia" w:ascii="仿宋" w:hAnsi="仿宋" w:eastAsia="仿宋" w:cs="仿宋"/>
          <w:color w:val="auto"/>
          <w:sz w:val="24"/>
          <w:highlight w:val="none"/>
        </w:rPr>
        <w:t>确保线路安装的可靠、用电设备的安全。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(7)对电扇、吊灯、空调、以及挂吊安装的用电设备：必须定期进行安全检查，确保安装可靠，无磨损、松动、老化等安全隐患出现。</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(8)确保学校培训考试、重要会议、重大比赛等大型活动时的照明等发电、用电设备的正常运转，在活动期间做好相关设备运行的值守工作。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(9)各分电表箱、配电箱、配电柜及每层管线分线盒：无积尘，接头无松动、无焦痕现象；每季清洁一次，主要用电线路的绝缘状况，每半年测试一次，绝缘良好。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(10)总配电箱：每年保养，无积尘，接头无松动现象，严格遵守安全用电规章标准。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(11)配电室维护保养工作。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(12)设备出现故障时，维修人员应在接到报修后5分钟内到达现场，设备零修合格率达到100%，一般性维修不过夜。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(12)避雷系统和高低配系统要确保设备完好、有效、安全，定期维护。按市、县政府防雷办要求，每年由中标人委托专业单位年检并出具检测报告，费用均由物业公司承担。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(13)对变电房、配电房、水泵房、空调机房等各电表箱、配电箱、配电柜：保持清洁整齐、无积尘，接头无松动、打火、发热、焦味等安全隐患现象；保持清洁无污染、无腐蚀、无发黑积炭等接触性差的状况，测试三相平蘅状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(14)检查后需要记录的项目：教室插板器每月一次记录；校园路灯检查记录；水泵、配电房、污水处理房等检查记录。其他容易发生问题的部位记录及处理意见，落实情况。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3.5.2.3其他</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(1)除保证校园范围内的用电之外，还必须保证学校存量房用电；</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(2)根据杭州市政府的相关规定，做好节能工作，杜绝“长明灯”现象。</w:t>
      </w:r>
    </w:p>
    <w:p>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★学院专变及专变配套设备代运维通过内控招标，已于2020年10月与</w:t>
      </w:r>
      <w:r>
        <w:rPr>
          <w:rFonts w:hint="eastAsia" w:ascii="仿宋" w:hAnsi="仿宋" w:eastAsia="仿宋" w:cs="仿宋"/>
          <w:b/>
          <w:bCs/>
          <w:color w:val="auto"/>
          <w:kern w:val="0"/>
          <w:sz w:val="24"/>
          <w:highlight w:val="none"/>
        </w:rPr>
        <w:t>桐庐电力开发有限公司</w:t>
      </w:r>
      <w:r>
        <w:rPr>
          <w:rFonts w:hint="eastAsia" w:ascii="仿宋" w:hAnsi="仿宋" w:eastAsia="仿宋" w:cs="仿宋"/>
          <w:b/>
          <w:bCs/>
          <w:color w:val="auto"/>
          <w:sz w:val="24"/>
          <w:highlight w:val="none"/>
        </w:rPr>
        <w:t>签订了3年代运维合同，合同约定维保费用5.4万元/年，由学院中标物业公司支付费用。</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3.6实训室教学设备的管理和维护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3.6.1 服务内容 </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对学校实训室实训设备机床（普车2</w:t>
      </w:r>
      <w:r>
        <w:rPr>
          <w:rFonts w:ascii="仿宋" w:hAnsi="仿宋" w:eastAsia="仿宋" w:cs="仿宋"/>
          <w:color w:val="auto"/>
          <w:sz w:val="24"/>
          <w:highlight w:val="none"/>
        </w:rPr>
        <w:t>7</w:t>
      </w:r>
      <w:r>
        <w:rPr>
          <w:rFonts w:hint="eastAsia" w:ascii="仿宋" w:hAnsi="仿宋" w:eastAsia="仿宋" w:cs="仿宋"/>
          <w:color w:val="auto"/>
          <w:sz w:val="24"/>
          <w:highlight w:val="none"/>
        </w:rPr>
        <w:t>台、数控车床19台、数控铣床4台、炮塔铣床7台、普通铣床1台、加工中心9台、车铣中心1台（Vturn-A20Y（tx g rh o 第一年为质保内）、五轴机床2台（永骏VMC650第一年为质保内）、平面磨床1台、外圆磨床1台、摇臂钻床1台、锯床1台、牛头刨床1台、数控中走丝线切割6台、电火花成型机6台、激光雕刻机1台、数控雕铣机1台）、砂轮机10台、锯床1台、机电</w:t>
      </w:r>
      <w:r>
        <w:rPr>
          <w:rFonts w:ascii="仿宋" w:hAnsi="仿宋" w:eastAsia="仿宋" w:cs="仿宋"/>
          <w:color w:val="auto"/>
          <w:sz w:val="24"/>
          <w:highlight w:val="none"/>
        </w:rPr>
        <w:t>电气类台架</w:t>
      </w:r>
      <w:r>
        <w:rPr>
          <w:rFonts w:hint="eastAsia" w:ascii="仿宋" w:hAnsi="仿宋" w:eastAsia="仿宋" w:cs="仿宋"/>
          <w:color w:val="auto"/>
          <w:sz w:val="24"/>
          <w:highlight w:val="none"/>
        </w:rPr>
        <w:t>100台、折弯机2台、卷板机2台、数控折弯机（HS1303（质保内））、剪板机（4X2500剪板机）、举升机101台、扒胎机10台、动平衡机10台、四轮定位仪20台、铝焊机（12台）、空压机(8台)、气体保护焊机（35台）、电阻点焊机（14台）、外形修复机（30台）、打磨机（20台）、气动式打磨机（20把）、烤漆房（8间）剪板机（1台）等设备进行定期检查、维护和维修，保障安全、正常运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3.6.2人员要求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(1)必须由持相应资格上岗证的专业技术人员从事相应设备的检查、维护工作，也可委托专业维护单位、维护人员进行维护作业。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(2)从业人员年龄女性不超过50周岁、男性不超过60周岁。</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3.6.3教学设备的管理和检查维护内容及具体要求</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3.6.3.1机床检查维护项目及内容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（1）数控车床、数控铣床、加工中心（五轴数控机床（DMU50）2</w:t>
      </w:r>
      <w:r>
        <w:rPr>
          <w:rFonts w:ascii="仿宋" w:hAnsi="仿宋" w:eastAsia="仿宋" w:cs="仿宋"/>
          <w:color w:val="auto"/>
          <w:sz w:val="24"/>
          <w:highlight w:val="none"/>
        </w:rPr>
        <w:t>02</w:t>
      </w:r>
      <w:r>
        <w:rPr>
          <w:rFonts w:hint="eastAsia" w:ascii="仿宋" w:hAnsi="仿宋" w:eastAsia="仿宋" w:cs="仿宋"/>
          <w:color w:val="auto"/>
          <w:sz w:val="24"/>
          <w:highlight w:val="none"/>
        </w:rPr>
        <w:t>1</w:t>
      </w:r>
      <w:r>
        <w:rPr>
          <w:rFonts w:ascii="仿宋" w:hAnsi="仿宋" w:eastAsia="仿宋" w:cs="仿宋"/>
          <w:color w:val="auto"/>
          <w:sz w:val="24"/>
          <w:highlight w:val="none"/>
        </w:rPr>
        <w:t>年</w:t>
      </w:r>
      <w:r>
        <w:rPr>
          <w:rFonts w:hint="eastAsia" w:ascii="仿宋" w:hAnsi="仿宋" w:eastAsia="仿宋" w:cs="仿宋"/>
          <w:color w:val="auto"/>
          <w:sz w:val="24"/>
          <w:highlight w:val="none"/>
        </w:rPr>
        <w:t>不用定期检查、维护和维修，2022年开始定期检查、维护和维修）等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每年至少进行一次大保养维护：检查、调整各传动零部件，修复或更换磨损件；检查导轨面，要求无油污、去毛刺、整修伤痕、去除锈渍、调整间隙；检测机械静动态精度、定位精度做以调整；液压、气动及润滑，清洗换油（齿轮油、导轨油、主轴油、液压油），排除泄漏；检查调整液压、气动及润滑系统，修复或更换磨损件；更换油线、油毡，修复润滑装置，达到油窗清晰、油路畅通、装置安全；精度上检查、调整、修复精度，达到产品工艺要求；电器上检修电器及电器控制系统，拆检电机，达到内外整洁，安全可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每季度1次保养项目：主轴鼻端内孔锥度面清洗、电气箱后防尘网清洁、冷却液水箱及滤油网清洁、润滑油箱吸入口油网清洗；主轴平皮带检测是否过松、油压主压力、齿轮油、三点组合润滑油检查；操作面板信号灯检查，切削液过滤网润滑油液位检查后必要时更换；更换切削液，擦拭机床的外表及罩、盖、附件，达到内外清洁、无锈蚀；</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每月1次</w:t>
      </w:r>
      <w:r>
        <w:rPr>
          <w:rFonts w:ascii="仿宋" w:hAnsi="仿宋" w:eastAsia="仿宋" w:cs="仿宋"/>
          <w:color w:val="auto"/>
          <w:sz w:val="24"/>
          <w:highlight w:val="none"/>
        </w:rPr>
        <w:t>对机床各重要部位进行检查</w:t>
      </w:r>
      <w:r>
        <w:rPr>
          <w:rFonts w:hint="eastAsia" w:ascii="仿宋" w:hAnsi="仿宋" w:eastAsia="仿宋" w:cs="仿宋"/>
          <w:color w:val="auto"/>
          <w:sz w:val="24"/>
          <w:highlight w:val="none"/>
        </w:rPr>
        <w:t>保养</w:t>
      </w:r>
      <w:r>
        <w:rPr>
          <w:rFonts w:ascii="仿宋" w:hAnsi="仿宋" w:eastAsia="仿宋" w:cs="仿宋"/>
          <w:color w:val="auto"/>
          <w:sz w:val="24"/>
          <w:highlight w:val="none"/>
        </w:rPr>
        <w:t>（液压系统、导轨润滑系统、中央闭式循环系统、切削水系统是否足够）</w:t>
      </w:r>
      <w:r>
        <w:rPr>
          <w:rFonts w:hint="eastAsia" w:ascii="仿宋" w:hAnsi="仿宋" w:eastAsia="仿宋" w:cs="仿宋"/>
          <w:color w:val="auto"/>
          <w:sz w:val="24"/>
          <w:highlight w:val="none"/>
        </w:rPr>
        <w:t>，检查补齐各螺钉、螺母，刀架有无松动，尾座能否正常使用；</w:t>
      </w:r>
    </w:p>
    <w:p>
      <w:pPr>
        <w:spacing w:line="360" w:lineRule="auto"/>
        <w:ind w:firstLine="482" w:firstLineChars="200"/>
        <w:contextualSpacing/>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注：数控车床、铣床、加工中心等数控类机床设备保养具体要求参照数控车床、加工中心保养要求执行（附后）。</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(2)普通车床</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定期做好清洗、检查、润滑、调整工作，确保每年至少进行一次维护、保养。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定期检查机床的床头箱、刀架及拖板、挂轮箱、尾座、走刀箱溜板箱、电器。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做好检查并调整工作，使主要几何精度能达到出厂标准或满足生产工艺要求。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要定期更换液压油和冷却液。</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定期检查和更换必要的磨损件，定期检查疏通油路。</w:t>
      </w:r>
    </w:p>
    <w:p>
      <w:pPr>
        <w:spacing w:line="360" w:lineRule="auto"/>
        <w:contextualSpacing/>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注：普通铣床、刨床等普通机床设备保养要求参照普通车床保养要求执行（附后）。</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).线切割机床</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检查电源开关、控制电路功能是否正常，工件是否适合机床加工范围；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检查高频电源、电压、变频速度跟踪调节；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检查加工电流步进电机进给状态；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检查机床传动部件是否正常，更换润滑油；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检查液压系统是否正常；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⑥</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更换运丝导轮、轴承；</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7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⑦</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升级编程软件；</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4</w:t>
      </w:r>
      <w:r>
        <w:rPr>
          <w:rFonts w:hint="eastAsia" w:ascii="仿宋" w:hAnsi="仿宋" w:eastAsia="仿宋" w:cs="仿宋"/>
          <w:color w:val="auto"/>
          <w:sz w:val="24"/>
          <w:highlight w:val="none"/>
        </w:rPr>
        <w:t>)电火花成型机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检查工作液系统过滤器的滤芯，如果出现堵塞时要及时更换；</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检查油泵电路、油泵管道及过滤装置，润滑油是否充足，管路有无堵塞；</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检查和清理电器柜以及电器柜进出线处粉尘；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检查、清理电器柜内强电盘、伺服单元、主轴单元浮尘；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检查主轴电机电路、主轴传动装置，主轴风扇是否正常运转；</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⑥</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检查强电盘上的继电器动作是否正常，放电电容、放电电阻是否正常，必要时更换。</w:t>
      </w:r>
    </w:p>
    <w:p>
      <w:pPr>
        <w:spacing w:line="360" w:lineRule="auto"/>
        <w:ind w:firstLine="480" w:firstLineChars="200"/>
        <w:contextualSpacing/>
        <w:rPr>
          <w:rFonts w:ascii="仿宋" w:hAnsi="仿宋" w:eastAsia="仿宋" w:cs="仿宋"/>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二级保养项目及规范</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普通车床二级保养项目：</w:t>
      </w:r>
    </w:p>
    <w:tbl>
      <w:tblPr>
        <w:tblStyle w:val="62"/>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17"/>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top"/>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序号</w:t>
            </w:r>
          </w:p>
        </w:tc>
        <w:tc>
          <w:tcPr>
            <w:tcW w:w="1517" w:type="dxa"/>
            <w:noWrap w:val="0"/>
            <w:vAlign w:val="top"/>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保养部位</w:t>
            </w:r>
          </w:p>
        </w:tc>
        <w:tc>
          <w:tcPr>
            <w:tcW w:w="7467" w:type="dxa"/>
            <w:noWrap w:val="0"/>
            <w:vAlign w:val="top"/>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车头箱</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1.清洗滤油器。</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2.检查主轴螺母有无松动，定位螺钉调整适宜。</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3.检查调整摩擦片间隙及制动器。</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4.检查传动齿轮有无错位和松动。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走刀箱</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1.清洗各部位挂轮架。</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2.检查、调整挂轮间隙。</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3.检查轴套，应无松动拉毛。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刀架拖板</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1.清洗刀架，高速保小拖板镶条间隙。</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2.清洗、调整中小拖板丝杠螺母间隙。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尾架</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1.清洗丝杠、套筒。</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2.检查修光套筒外表面及锥孔毛刺、伤痕。</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3.清洗、调整刹紧机构。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润滑</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1.清洗油线、油毡、保证油孔、油路畅通。</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2.油质、油量要符合要求，油杯齐全、油标明亮。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冷却</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1.清洗冷却泵，过滤器，冷却槽，水管，水阀，消除泄露。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电器</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2.清扫电动机，电器箱上的灰尘，油污。</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3.检查各电器原件触点，要求性能良好安全可靠检查，紧固接零装置。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整机</w:t>
            </w:r>
          </w:p>
        </w:tc>
        <w:tc>
          <w:tcPr>
            <w:tcW w:w="7467" w:type="dxa"/>
            <w:noWrap w:val="0"/>
            <w:vAlign w:val="center"/>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1.水平调整。</w:t>
            </w:r>
          </w:p>
        </w:tc>
      </w:tr>
    </w:tbl>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数控车床二级保养项目：</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15"/>
        <w:gridCol w:w="7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序号</w:t>
            </w:r>
          </w:p>
        </w:tc>
        <w:tc>
          <w:tcPr>
            <w:tcW w:w="1515" w:type="dxa"/>
            <w:noWrap w:val="0"/>
            <w:vAlign w:val="top"/>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保养部位</w:t>
            </w:r>
          </w:p>
        </w:tc>
        <w:tc>
          <w:tcPr>
            <w:tcW w:w="7499" w:type="dxa"/>
            <w:noWrap w:val="0"/>
            <w:vAlign w:val="top"/>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w:t>
            </w:r>
          </w:p>
        </w:tc>
        <w:tc>
          <w:tcPr>
            <w:tcW w:w="1515" w:type="dxa"/>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车头箱</w:t>
            </w:r>
          </w:p>
        </w:tc>
        <w:tc>
          <w:tcPr>
            <w:tcW w:w="7499" w:type="dxa"/>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1.清洗主轴箱。 </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2.检查传动系统，修复或更换磨损零件。 </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3.调整主轴轴向间隙。 </w:t>
            </w:r>
          </w:p>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4.清除主轴锥孔毛刺，以符合精度要求。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2</w:t>
            </w:r>
          </w:p>
        </w:tc>
        <w:tc>
          <w:tcPr>
            <w:tcW w:w="1515"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走刀箱</w:t>
            </w:r>
          </w:p>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挂轮架</w:t>
            </w:r>
          </w:p>
        </w:tc>
        <w:tc>
          <w:tcPr>
            <w:tcW w:w="7499" w:type="dxa"/>
            <w:noWrap w:val="0"/>
            <w:vAlign w:val="center"/>
          </w:tcPr>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1.检查、修复或更换磨损零件。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3</w:t>
            </w:r>
          </w:p>
        </w:tc>
        <w:tc>
          <w:tcPr>
            <w:tcW w:w="1515"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刀架</w:t>
            </w:r>
          </w:p>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拖板</w:t>
            </w:r>
          </w:p>
        </w:tc>
        <w:tc>
          <w:tcPr>
            <w:tcW w:w="7499"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1.清洗刀架及拖板。 </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2.检查、修复或更换磨损零件。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4</w:t>
            </w:r>
          </w:p>
        </w:tc>
        <w:tc>
          <w:tcPr>
            <w:tcW w:w="151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溜板箱</w:t>
            </w:r>
          </w:p>
        </w:tc>
        <w:tc>
          <w:tcPr>
            <w:tcW w:w="7499"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1.清洗溜板箱。 </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2.调整开合螺母间隙。 </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3.检查、修复或更换磨损零件。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5</w:t>
            </w:r>
          </w:p>
        </w:tc>
        <w:tc>
          <w:tcPr>
            <w:tcW w:w="151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尾架</w:t>
            </w:r>
          </w:p>
        </w:tc>
        <w:tc>
          <w:tcPr>
            <w:tcW w:w="7499"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1.检查、修复尾架套筒维度。 </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2.检查、修复或更换磨损零件。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6</w:t>
            </w:r>
          </w:p>
        </w:tc>
        <w:tc>
          <w:tcPr>
            <w:tcW w:w="151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润滑</w:t>
            </w:r>
          </w:p>
        </w:tc>
        <w:tc>
          <w:tcPr>
            <w:tcW w:w="7499" w:type="dxa"/>
            <w:noWrap w:val="0"/>
            <w:vAlign w:val="center"/>
          </w:tcPr>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1.清洗油池，更换润滑油。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515"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电器</w:t>
            </w:r>
          </w:p>
        </w:tc>
        <w:tc>
          <w:tcPr>
            <w:tcW w:w="7499"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1.清洗电动机轴承。 </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2.检修、整理电器箱，应符合设备完好标准要求。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515"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精度</w:t>
            </w:r>
          </w:p>
        </w:tc>
        <w:tc>
          <w:tcPr>
            <w:tcW w:w="7499"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1.校正机床水平，检查、调整、修复。 </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2.调整数控尺寸和实际尺寸的误差，调整电流、电压在规定范围内。 </w:t>
            </w:r>
          </w:p>
        </w:tc>
      </w:tr>
    </w:tbl>
    <w:p>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数控加工中心二级保养项目：</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16"/>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序号</w:t>
            </w:r>
          </w:p>
        </w:tc>
        <w:tc>
          <w:tcPr>
            <w:tcW w:w="1516" w:type="dxa"/>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保养部位</w:t>
            </w:r>
          </w:p>
        </w:tc>
        <w:tc>
          <w:tcPr>
            <w:tcW w:w="7483" w:type="dxa"/>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w:t>
            </w:r>
          </w:p>
        </w:tc>
        <w:tc>
          <w:tcPr>
            <w:tcW w:w="1516"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润滑单元</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1.注油机的工作状况，电机运转、打油压力等。</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2.各分配器的出油状况，拧开各油嘴看出油量。</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3.各导轨的供油状况，拧开油嘴看出油量及导轨油膜。</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4.各轴丝杆的供油状况。</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5.主轴润滑。</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6.检查线性滑块的供油状况。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2</w:t>
            </w:r>
          </w:p>
        </w:tc>
        <w:tc>
          <w:tcPr>
            <w:tcW w:w="1516"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液压单元</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1.检查液压系统的工作状况，电机运转、供油压力、油冷机工作。</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2.清洗油路的滤芯。</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3.检查执行电磁阀功能。</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4.检查是否漏油。</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5.清洗外观。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3</w:t>
            </w:r>
          </w:p>
        </w:tc>
        <w:tc>
          <w:tcPr>
            <w:tcW w:w="1516"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气压单元</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1.清洗三联组合的过滤原件，对油雾器的检查、清洗及调整。</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2.检查各气动元件的执行状况。</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3.清洗外观。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4</w:t>
            </w:r>
          </w:p>
        </w:tc>
        <w:tc>
          <w:tcPr>
            <w:tcW w:w="1516"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排屑机</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1.检查电机的运行状况（正、反转）。</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2.链条是否断裂。</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3.检查减速机构中链条的磨损状况。</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4.清洗外观。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5</w:t>
            </w:r>
          </w:p>
        </w:tc>
        <w:tc>
          <w:tcPr>
            <w:tcW w:w="1516"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冷却单元</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1.检查电机运转状况。</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2.管路的出水、漏水状况。</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3.检查过滤装置是否破损及清洗。</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4.清洗外观。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6</w:t>
            </w:r>
          </w:p>
        </w:tc>
        <w:tc>
          <w:tcPr>
            <w:tcW w:w="1516"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电器单元</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1.检查伺服放大器风扇的运转状况及清洗。</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2.检查热交换器/空调的运转状况及清洗。</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3.检查操作面板各按键功能，如工作灯是否正常、主轴运行状况、三轴运行状况等。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7</w:t>
            </w:r>
          </w:p>
        </w:tc>
        <w:tc>
          <w:tcPr>
            <w:tcW w:w="1516" w:type="dxa"/>
            <w:noWrap w:val="0"/>
            <w:vAlign w:val="center"/>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设备卫生</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1.设备的外观，钣金内外的灰尘，油污清理。</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2.清理机床、防护罩内外的铁屑。</w:t>
            </w:r>
          </w:p>
          <w:p>
            <w:pPr>
              <w:widowControl/>
              <w:spacing w:line="360" w:lineRule="auto"/>
              <w:jc w:val="lef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3.对工作台的铁屑、油污清理。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516"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精度检测</w:t>
            </w:r>
          </w:p>
        </w:tc>
        <w:tc>
          <w:tcPr>
            <w:tcW w:w="7483" w:type="dxa"/>
            <w:noWrap w:val="0"/>
            <w:vAlign w:val="center"/>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1．机床水平校正，静态精度检测。</w:t>
            </w:r>
          </w:p>
        </w:tc>
      </w:tr>
    </w:tbl>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一级保养项目及规范</w:t>
      </w:r>
    </w:p>
    <w:p>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数控车床一级保养项目：</w:t>
      </w:r>
    </w:p>
    <w:tbl>
      <w:tblPr>
        <w:tblStyle w:val="6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17"/>
        <w:gridCol w:w="3099"/>
        <w:gridCol w:w="255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top"/>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517" w:type="dxa"/>
            <w:noWrap w:val="0"/>
            <w:vAlign w:val="top"/>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保养部位</w:t>
            </w:r>
          </w:p>
        </w:tc>
        <w:tc>
          <w:tcPr>
            <w:tcW w:w="5649" w:type="dxa"/>
            <w:gridSpan w:val="2"/>
            <w:noWrap w:val="0"/>
            <w:vAlign w:val="top"/>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工序</w:t>
            </w:r>
          </w:p>
        </w:tc>
        <w:tc>
          <w:tcPr>
            <w:tcW w:w="1419" w:type="dxa"/>
            <w:noWrap w:val="0"/>
            <w:vAlign w:val="top"/>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外观保养</w:t>
            </w:r>
          </w:p>
        </w:tc>
        <w:tc>
          <w:tcPr>
            <w:tcW w:w="5649" w:type="dxa"/>
            <w:gridSpan w:val="2"/>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1.清除机床表面黄袍、污渍、油渍。</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2.清理机床轨道油渍杂质。</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3.检查手柄、螺钉、螺帽是否松动。</w:t>
            </w:r>
          </w:p>
        </w:tc>
        <w:tc>
          <w:tcPr>
            <w:tcW w:w="1419" w:type="dxa"/>
            <w:noWrap w:val="0"/>
            <w:vAlign w:val="top"/>
          </w:tcPr>
          <w:p>
            <w:pPr>
              <w:widowControl/>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冷却系统保养</w:t>
            </w:r>
          </w:p>
        </w:tc>
        <w:tc>
          <w:tcPr>
            <w:tcW w:w="5649" w:type="dxa"/>
            <w:gridSpan w:val="2"/>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1.检查机床水管是否破损并及时更换。</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2.检查机床水泵是否漏电。</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3.清理清洗水槽污油、杂质铁屑。</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4.检查切削液(测量浓度检查PH值)。</w:t>
            </w:r>
          </w:p>
        </w:tc>
        <w:tc>
          <w:tcPr>
            <w:tcW w:w="1419" w:type="dxa"/>
            <w:noWrap w:val="0"/>
            <w:vAlign w:val="top"/>
          </w:tcPr>
          <w:p>
            <w:pPr>
              <w:widowControl/>
              <w:spacing w:line="360" w:lineRule="auto"/>
              <w:jc w:val="center"/>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润滑气路    系统保养</w:t>
            </w:r>
          </w:p>
        </w:tc>
        <w:tc>
          <w:tcPr>
            <w:tcW w:w="5649" w:type="dxa"/>
            <w:gridSpan w:val="2"/>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1.检查润滑系统压力，清洗润滑系统储油槽、过滤网，疏通油路更换润滑油。</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2.检查气路系统，清洁空气过滤网，检查气管是否泄漏及时更换气管。</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3.油脂润滑部位加注，符合标准润滑脂。</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4.检查液压系统，清洁过滤器，清洗油箱，更换或过滤液压油，检查油封是否破损及时更换油封。</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5.检查、维修润滑油泵。</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6.检查维修润滑系统 修复或更换磨损零件。</w:t>
            </w:r>
          </w:p>
        </w:tc>
        <w:tc>
          <w:tcPr>
            <w:tcW w:w="1419" w:type="dxa"/>
            <w:noWrap w:val="0"/>
            <w:vAlign w:val="top"/>
          </w:tcPr>
          <w:p>
            <w:pPr>
              <w:spacing w:line="360" w:lineRule="auto"/>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电器系统保养</w:t>
            </w:r>
          </w:p>
        </w:tc>
        <w:tc>
          <w:tcPr>
            <w:tcW w:w="5649" w:type="dxa"/>
            <w:gridSpan w:val="2"/>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1.清洁散热电机风扇叶片。</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2.清洁散热风扇、空气过网，清洁散热装置。</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3.清洁控制柜内电气元件，检查接线端的是否紧固。</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4.清洁操作面板内部电气元件、电路板、风扇，检查插接件是否紧固。</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5.检查并保养伺服电机。</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6.检查各电器、接触器，必要时更换，清洁数控系统和伺服系统的积尘。</w:t>
            </w:r>
          </w:p>
        </w:tc>
        <w:tc>
          <w:tcPr>
            <w:tcW w:w="1419" w:type="dxa"/>
            <w:noWrap w:val="0"/>
            <w:vAlign w:val="top"/>
          </w:tcPr>
          <w:p>
            <w:pPr>
              <w:spacing w:line="360" w:lineRule="auto"/>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机械系统</w:t>
            </w:r>
          </w:p>
        </w:tc>
        <w:tc>
          <w:tcPr>
            <w:tcW w:w="5649" w:type="dxa"/>
            <w:gridSpan w:val="2"/>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1.检查、调整主轴间隙，检查定位螺丝适当调整。</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2.检查刀架调整中小托板间隙，清洗刀架各油孔毡垫，检查 调整夹具状态。</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3.清洗丝杆，调整丝杆轴向窜动量，保养丝杆轴承。</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4.拆洗尾座清除锥孔毛次。</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5.调整齿轮间隙、齿轮啮合、修复或更换磨损零件。</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6.检查、校正，并恢复电动刀架定位精度。</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7.检查、调整丝杆并恢复精度，必要时更换，检查调整丝杆轴承更换润滑脂。</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8.检查、调整尾座顶尖和头架高度同心度。</w:t>
            </w:r>
          </w:p>
        </w:tc>
        <w:tc>
          <w:tcPr>
            <w:tcW w:w="1419" w:type="dxa"/>
            <w:noWrap w:val="0"/>
            <w:vAlign w:val="top"/>
          </w:tcPr>
          <w:p>
            <w:pPr>
              <w:spacing w:line="360" w:lineRule="auto"/>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精度</w:t>
            </w:r>
          </w:p>
        </w:tc>
        <w:tc>
          <w:tcPr>
            <w:tcW w:w="5649" w:type="dxa"/>
            <w:gridSpan w:val="2"/>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1.检查数控系统工作情况，试车从低速到高速运转，变速灵活，运转正常。</w:t>
            </w:r>
          </w:p>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2.校正机床水平、检查、调整、修复精度，精度符合完好设备标准。</w:t>
            </w:r>
          </w:p>
        </w:tc>
        <w:tc>
          <w:tcPr>
            <w:tcW w:w="1419" w:type="dxa"/>
            <w:noWrap w:val="0"/>
            <w:vAlign w:val="top"/>
          </w:tcPr>
          <w:p>
            <w:pPr>
              <w:spacing w:line="360" w:lineRule="auto"/>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517" w:type="dxa"/>
            <w:noWrap w:val="0"/>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c>
          <w:tcPr>
            <w:tcW w:w="5649" w:type="dxa"/>
            <w:gridSpan w:val="2"/>
            <w:noWrap w:val="0"/>
            <w:vAlign w:val="top"/>
          </w:tcPr>
          <w:p>
            <w:pPr>
              <w:widowControl/>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1检查各行程限位，联锁装置是否安全可靠，检查装置是否整齐，检查插件是否牢靠。</w:t>
            </w:r>
          </w:p>
        </w:tc>
        <w:tc>
          <w:tcPr>
            <w:tcW w:w="1419" w:type="dxa"/>
            <w:noWrap w:val="0"/>
            <w:vAlign w:val="top"/>
          </w:tcPr>
          <w:p>
            <w:pPr>
              <w:spacing w:line="360" w:lineRule="auto"/>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top"/>
          </w:tcPr>
          <w:p>
            <w:pPr>
              <w:spacing w:line="360" w:lineRule="auto"/>
              <w:jc w:val="center"/>
              <w:rPr>
                <w:rFonts w:ascii="仿宋" w:hAnsi="仿宋" w:eastAsia="仿宋" w:cs="仿宋"/>
                <w:b/>
                <w:color w:val="auto"/>
                <w:kern w:val="0"/>
                <w:sz w:val="24"/>
                <w:highlight w:val="none"/>
              </w:rPr>
            </w:pPr>
          </w:p>
        </w:tc>
        <w:tc>
          <w:tcPr>
            <w:tcW w:w="4616" w:type="dxa"/>
            <w:gridSpan w:val="2"/>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保养检查</w:t>
            </w:r>
          </w:p>
        </w:tc>
        <w:tc>
          <w:tcPr>
            <w:tcW w:w="2550" w:type="dxa"/>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合计30项</w:t>
            </w:r>
          </w:p>
        </w:tc>
        <w:tc>
          <w:tcPr>
            <w:tcW w:w="1419" w:type="dxa"/>
            <w:noWrap w:val="0"/>
            <w:vAlign w:val="top"/>
          </w:tcPr>
          <w:p>
            <w:pPr>
              <w:spacing w:line="360" w:lineRule="auto"/>
              <w:rPr>
                <w:rFonts w:ascii="仿宋" w:hAnsi="仿宋" w:eastAsia="仿宋" w:cs="仿宋"/>
                <w:b/>
                <w:color w:val="auto"/>
                <w:kern w:val="0"/>
                <w:sz w:val="24"/>
                <w:highlight w:val="none"/>
              </w:rPr>
            </w:pPr>
          </w:p>
        </w:tc>
      </w:tr>
    </w:tbl>
    <w:p>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加工中心一级保养项目：</w:t>
      </w:r>
    </w:p>
    <w:tbl>
      <w:tblPr>
        <w:tblStyle w:val="62"/>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55"/>
        <w:gridCol w:w="574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83" w:type="dxa"/>
            <w:noWrap w:val="0"/>
            <w:vAlign w:val="top"/>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序号</w:t>
            </w:r>
          </w:p>
        </w:tc>
        <w:tc>
          <w:tcPr>
            <w:tcW w:w="1355" w:type="dxa"/>
            <w:noWrap w:val="0"/>
            <w:vAlign w:val="top"/>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保养部位</w:t>
            </w:r>
          </w:p>
        </w:tc>
        <w:tc>
          <w:tcPr>
            <w:tcW w:w="5740" w:type="dxa"/>
            <w:noWrap w:val="0"/>
            <w:vAlign w:val="top"/>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工序</w:t>
            </w:r>
          </w:p>
        </w:tc>
        <w:tc>
          <w:tcPr>
            <w:tcW w:w="1434" w:type="dxa"/>
            <w:noWrap w:val="0"/>
            <w:vAlign w:val="top"/>
          </w:tcPr>
          <w:p>
            <w:pPr>
              <w:widowControl/>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外观保养</w:t>
            </w:r>
          </w:p>
        </w:tc>
        <w:tc>
          <w:tcPr>
            <w:tcW w:w="5740" w:type="dxa"/>
            <w:noWrap w:val="0"/>
            <w:vAlign w:val="top"/>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1.清除机床表面黄袍、污渍、油渍。</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2.清理机床工作台杂质。</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3.清理机床内铁销杂质。</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4.检查螺钉螺帽是否松动。</w:t>
            </w:r>
          </w:p>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5.检查操作面板上指示灯是否正常或闪烁不定。</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冷却系统保养</w:t>
            </w:r>
          </w:p>
        </w:tc>
        <w:tc>
          <w:tcPr>
            <w:tcW w:w="5740" w:type="dxa"/>
            <w:noWrap w:val="0"/>
            <w:vAlign w:val="top"/>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1.检查机床水管是否破损必要时更换。</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2.检查机床水泵是否漏电。</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3.清理清洗水槽污油杂质、铁屑。</w:t>
            </w:r>
          </w:p>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4.检查切削液。</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ind w:left="240" w:hanging="240" w:hanging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润滑、气压   </w:t>
            </w:r>
          </w:p>
          <w:p>
            <w:pPr>
              <w:spacing w:line="360" w:lineRule="auto"/>
              <w:ind w:left="240" w:hanging="240" w:hangingChars="1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系统保养</w:t>
            </w:r>
          </w:p>
        </w:tc>
        <w:tc>
          <w:tcPr>
            <w:tcW w:w="5740" w:type="dxa"/>
            <w:noWrap w:val="0"/>
            <w:vAlign w:val="top"/>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1.检查润滑系统压力，清洗润滑系统储油槽、过滤网，疏通油路更换润滑油。</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2.检查气路系统，清洁空气过滤网，检查气管是否泄漏及时更换气管。</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3.油脂润滑部位加注，符合标准润滑脂。</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4.检查液压系统，清洁过滤器，清洗油箱，更换或过滤液压油，检查油封是否破损及时更换油封。</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5.手动注油油压是否正常。</w:t>
            </w:r>
          </w:p>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6.检查清理分水器中虑出水分，保证自动干燥器正常工作 检查密封圈与缸体间隙。</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电器系统保养</w:t>
            </w:r>
          </w:p>
        </w:tc>
        <w:tc>
          <w:tcPr>
            <w:tcW w:w="5740" w:type="dxa"/>
            <w:noWrap w:val="0"/>
            <w:vAlign w:val="top"/>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1.查看散热电机风扇叶片是否破损。</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2.清洁散热风扇、空气过滤网，清洁散热装置。</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3.清洁控制柜内电气元件检查，接线端的是否紧固。</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4.清洁操作面板内部电气元件 电路板 风扇 检查各插接件是否紧固完好。</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5.检查各电气柜冷却风扇电机是否正常，检查风道过滤网是否堵塞，检查清洗通风散热装置，检查电气装置是否有异味接触螺丝是否松动。</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6.检查电刷、换向器必要维修或更换，检查和清扫测速电机和脉冲编码器。</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7.检查存储器电池必要时更换。</w:t>
            </w:r>
          </w:p>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8.检查急停按钮、自动空气开关、继电器、接触器、熔断器、伺服电机速度及控制单元、主轴电机速度及控制单元。</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ind w:left="360" w:hanging="360" w:hangingChars="15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主轴  x/y/z轴 刀库</w:t>
            </w:r>
          </w:p>
        </w:tc>
        <w:tc>
          <w:tcPr>
            <w:tcW w:w="5740" w:type="dxa"/>
            <w:noWrap w:val="0"/>
            <w:vAlign w:val="top"/>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1.检查主轴有无噪音。</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2.检查主轴前端刀塔与其他附件是否出现锯齿状、裂痕或其他损伤。</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3.检查刀柄保持主轴是否自由拆卸状态，检查刀库。</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4.检查马达之轴承有无噪音，如有异响将其更换。</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5.检查、调整互锁装置与定时器之功能是否正常。</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6.清理滑轨刮油片，如有损耗或破裂将其更换。</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7.调整主轴驱动带松紧度，无间断打滑失效现象。</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8.检查主轴脉冲发生器，手摇脉冲发生器是否正常。  </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9.检查、调整主轴刀具夹紧装置间隙，检查调整液压缸活塞的位移量。</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10.检查主轴的冷却系统是否正常，检查、调整恒温油箱 调解温度。</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11.检查刀库、刀架，检查换刀装置，检查换刀电机，检查气压驱动装置。</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12.检查主轴回换刀位置，回零点位置是否正确。</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13.检查调整主轴各电磁阀行程开关 检查刀具在机械手上锁紧是否可靠。</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14.检查、调整丝杆导轨润滑，清洗油路分配器。</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15.检查X/Y/Z轴各限位器要求性能良好，固定牢靠。</w:t>
            </w:r>
          </w:p>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16.检查调整丝杆螺母副轴间隙并进行次数补偿。</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ind w:left="360" w:hanging="360" w:hangingChars="150"/>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精度维护</w:t>
            </w:r>
          </w:p>
        </w:tc>
        <w:tc>
          <w:tcPr>
            <w:tcW w:w="5740" w:type="dxa"/>
            <w:noWrap w:val="0"/>
            <w:vAlign w:val="top"/>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1.进行机床水平和机械精度检查校正  可采用软 /硬方法。</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ind w:left="360" w:hanging="360" w:hangingChars="150"/>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CNC输出/输入</w:t>
            </w:r>
          </w:p>
        </w:tc>
        <w:tc>
          <w:tcPr>
            <w:tcW w:w="5740" w:type="dxa"/>
            <w:noWrap w:val="0"/>
            <w:vAlign w:val="top"/>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1.检查磁盘、磁带、光电阅读器、存储器等清洁、机械结构润滑良好。</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ind w:left="360" w:hanging="360" w:hangingChars="150"/>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排屑器</w:t>
            </w:r>
          </w:p>
        </w:tc>
        <w:tc>
          <w:tcPr>
            <w:tcW w:w="5740" w:type="dxa"/>
            <w:noWrap w:val="0"/>
            <w:vAlign w:val="top"/>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1.清理切屑，清理排屑器油渍，污渍是否卡堵。</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备注</w:t>
            </w:r>
          </w:p>
        </w:tc>
        <w:tc>
          <w:tcPr>
            <w:tcW w:w="5740" w:type="dxa"/>
            <w:noWrap w:val="0"/>
            <w:vAlign w:val="top"/>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1.检查各行程限位，联锁装置是否安全可靠，检查装置是否整齐 检查插件是否牢靠。</w:t>
            </w:r>
          </w:p>
        </w:tc>
        <w:tc>
          <w:tcPr>
            <w:tcW w:w="1434" w:type="dxa"/>
            <w:noWrap w:val="0"/>
            <w:vAlign w:val="top"/>
          </w:tcPr>
          <w:p>
            <w:pPr>
              <w:spacing w:line="360" w:lineRule="auto"/>
              <w:jc w:val="left"/>
              <w:rPr>
                <w:rFonts w:ascii="仿宋" w:hAnsi="仿宋" w:eastAsia="仿宋" w:cs="仿宋"/>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3" w:type="dxa"/>
            <w:noWrap w:val="0"/>
            <w:vAlign w:val="top"/>
          </w:tcPr>
          <w:p>
            <w:pPr>
              <w:spacing w:line="360" w:lineRule="auto"/>
              <w:jc w:val="left"/>
              <w:rPr>
                <w:rFonts w:ascii="仿宋" w:hAnsi="仿宋" w:eastAsia="仿宋" w:cs="仿宋"/>
                <w:b/>
                <w:color w:val="auto"/>
                <w:kern w:val="0"/>
                <w:sz w:val="24"/>
                <w:highlight w:val="none"/>
              </w:rPr>
            </w:pPr>
          </w:p>
        </w:tc>
        <w:tc>
          <w:tcPr>
            <w:tcW w:w="1355" w:type="dxa"/>
            <w:noWrap w:val="0"/>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保养检查</w:t>
            </w:r>
          </w:p>
        </w:tc>
        <w:tc>
          <w:tcPr>
            <w:tcW w:w="5740" w:type="dxa"/>
            <w:noWrap w:val="0"/>
            <w:vAlign w:val="top"/>
          </w:tcPr>
          <w:p>
            <w:pPr>
              <w:spacing w:line="360" w:lineRule="auto"/>
              <w:rPr>
                <w:rFonts w:ascii="仿宋" w:hAnsi="仿宋" w:eastAsia="仿宋" w:cs="仿宋"/>
                <w:color w:val="auto"/>
                <w:kern w:val="0"/>
                <w:sz w:val="24"/>
                <w:highlight w:val="none"/>
              </w:rPr>
            </w:pPr>
          </w:p>
        </w:tc>
        <w:tc>
          <w:tcPr>
            <w:tcW w:w="1434" w:type="dxa"/>
            <w:noWrap w:val="0"/>
            <w:vAlign w:val="top"/>
          </w:tcPr>
          <w:p>
            <w:pPr>
              <w:spacing w:line="360" w:lineRule="auto"/>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合计43项</w:t>
            </w:r>
          </w:p>
        </w:tc>
      </w:tr>
    </w:tbl>
    <w:p>
      <w:pPr>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备注：未注保养细则的设备按照二级保养标准执行</w:t>
      </w:r>
    </w:p>
    <w:p>
      <w:pPr>
        <w:spacing w:line="360" w:lineRule="auto"/>
        <w:ind w:firstLine="482" w:firstLineChars="200"/>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3.6.3.2举升机、空压机检查维护项目</w:t>
      </w:r>
    </w:p>
    <w:p>
      <w:pPr>
        <w:spacing w:line="360" w:lineRule="auto"/>
        <w:ind w:firstLine="482" w:firstLineChars="200"/>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(1)举升机维护项目</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确保每年至少进行二次</w:t>
      </w:r>
      <w:r>
        <w:rPr>
          <w:rFonts w:hint="eastAsia" w:ascii="仿宋" w:hAnsi="仿宋" w:eastAsia="仿宋" w:cs="仿宋"/>
          <w:color w:val="auto"/>
          <w:kern w:val="0"/>
          <w:sz w:val="24"/>
          <w:highlight w:val="none"/>
        </w:rPr>
        <w:t>维护、保养</w:t>
      </w:r>
      <w:r>
        <w:rPr>
          <w:rFonts w:hint="eastAsia" w:ascii="仿宋" w:hAnsi="仿宋" w:eastAsia="仿宋" w:cs="仿宋"/>
          <w:color w:val="auto"/>
          <w:sz w:val="24"/>
          <w:highlight w:val="none"/>
        </w:rPr>
        <w:t>，做到定期更换液压油。</w:t>
      </w:r>
    </w:p>
    <w:p>
      <w:pPr>
        <w:spacing w:line="360" w:lineRule="auto"/>
        <w:ind w:firstLine="480" w:firstLineChars="200"/>
        <w:contextualSpacing/>
        <w:jc w:val="left"/>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w:t>
      </w:r>
      <w:r>
        <w:rPr>
          <w:rFonts w:hint="eastAsia" w:ascii="仿宋" w:hAnsi="仿宋" w:eastAsia="仿宋" w:cs="仿宋"/>
          <w:color w:val="auto"/>
          <w:sz w:val="24"/>
          <w:highlight w:val="none"/>
          <w:shd w:val="clear" w:color="auto" w:fill="FFFFFF"/>
        </w:rPr>
        <w:t>、润滑相关部位，如</w:t>
      </w:r>
      <w:r>
        <w:rPr>
          <w:rFonts w:hint="eastAsia"/>
          <w:color w:val="auto"/>
          <w:highlight w:val="none"/>
        </w:rPr>
        <w:fldChar w:fldCharType="begin"/>
      </w:r>
      <w:r>
        <w:rPr>
          <w:color w:val="auto"/>
          <w:highlight w:val="none"/>
        </w:rPr>
        <w:instrText xml:space="preserve"> HYPERLINK "http://www.haosou.com/s?q=%E9%92%A2%E4%B8%9D%E7%BB%B3&amp;ie=utf-8&amp;src=wenda_link" \t "_blank" </w:instrText>
      </w:r>
      <w:r>
        <w:rPr>
          <w:rFonts w:hint="eastAsia"/>
          <w:color w:val="auto"/>
          <w:highlight w:val="none"/>
        </w:rPr>
        <w:fldChar w:fldCharType="separate"/>
      </w:r>
      <w:r>
        <w:rPr>
          <w:rStyle w:val="75"/>
          <w:rFonts w:hint="eastAsia" w:ascii="仿宋" w:hAnsi="仿宋" w:eastAsia="仿宋" w:cs="仿宋"/>
          <w:color w:val="auto"/>
          <w:sz w:val="24"/>
          <w:highlight w:val="none"/>
          <w:shd w:val="clear" w:color="auto" w:fill="FFFFFF"/>
        </w:rPr>
        <w:t>钢丝绳</w:t>
      </w:r>
      <w:r>
        <w:rPr>
          <w:rStyle w:val="75"/>
          <w:rFonts w:hint="eastAsia" w:ascii="仿宋" w:hAnsi="仿宋" w:eastAsia="仿宋" w:cs="仿宋"/>
          <w:color w:val="auto"/>
          <w:sz w:val="24"/>
          <w:highlight w:val="none"/>
          <w:shd w:val="clear" w:color="auto" w:fill="FFFFFF"/>
        </w:rPr>
        <w:fldChar w:fldCharType="end"/>
      </w:r>
      <w:r>
        <w:rPr>
          <w:rFonts w:hint="eastAsia" w:ascii="仿宋" w:hAnsi="仿宋" w:eastAsia="仿宋" w:cs="仿宋"/>
          <w:color w:val="auto"/>
          <w:sz w:val="24"/>
          <w:highlight w:val="none"/>
          <w:shd w:val="clear" w:color="auto" w:fill="FFFFFF"/>
        </w:rPr>
        <w:t>，销轴等 。</w:t>
      </w:r>
    </w:p>
    <w:p>
      <w:pPr>
        <w:spacing w:line="360" w:lineRule="auto"/>
        <w:ind w:firstLine="480" w:firstLineChars="200"/>
        <w:contextualSpacing/>
        <w:jc w:val="left"/>
        <w:rPr>
          <w:rFonts w:ascii="仿宋" w:hAnsi="仿宋" w:eastAsia="仿宋" w:cs="仿宋"/>
          <w:b/>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定期清洗油路及设备各部件。</w:t>
      </w:r>
      <w:r>
        <w:rPr>
          <w:rFonts w:hint="eastAsia" w:ascii="仿宋" w:hAnsi="仿宋" w:eastAsia="仿宋" w:cs="仿宋"/>
          <w:color w:val="auto"/>
          <w:sz w:val="24"/>
          <w:highlight w:val="none"/>
          <w:shd w:val="clear" w:color="auto" w:fill="FFFFFF"/>
        </w:rPr>
        <w:t xml:space="preserve"> </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定期更换胶垫。</w:t>
      </w:r>
    </w:p>
    <w:p>
      <w:pPr>
        <w:spacing w:line="360" w:lineRule="auto"/>
        <w:ind w:firstLine="482" w:firstLineChars="200"/>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(2)空压机维护项目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定期对空气压缩机进行维护和保养，做好清洗、检查、润滑、调整工作。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定期更换润滑油、空气滤芯、油滤芯、油细分离器、冷却液、传动皮带、轴承、油封、气管等。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w:t>
      </w:r>
      <w:r>
        <w:rPr>
          <w:rFonts w:hint="eastAsia"/>
          <w:color w:val="auto"/>
          <w:highlight w:val="none"/>
        </w:rPr>
        <w:fldChar w:fldCharType="begin"/>
      </w:r>
      <w:r>
        <w:rPr>
          <w:color w:val="auto"/>
          <w:highlight w:val="none"/>
        </w:rPr>
        <w:instrText xml:space="preserve"> HYPERLINK "http://www.haosou.com/s?q=%E6%B0%94%E5%8A%A8%E6%89%A7%E8%A1%8C%E6%9C%BA%E6%9E%84&amp;ie=utf-8&amp;src=wenda_link" \t "_blank" </w:instrText>
      </w:r>
      <w:r>
        <w:rPr>
          <w:rFonts w:hint="eastAsia"/>
          <w:color w:val="auto"/>
          <w:highlight w:val="none"/>
        </w:rPr>
        <w:fldChar w:fldCharType="separate"/>
      </w:r>
      <w:r>
        <w:rPr>
          <w:rStyle w:val="75"/>
          <w:rFonts w:hint="eastAsia" w:ascii="仿宋" w:hAnsi="仿宋" w:eastAsia="仿宋" w:cs="仿宋"/>
          <w:color w:val="auto"/>
          <w:sz w:val="24"/>
          <w:highlight w:val="none"/>
        </w:rPr>
        <w:t>气动执行机构</w:t>
      </w:r>
      <w:r>
        <w:rPr>
          <w:rStyle w:val="75"/>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、空气压缩系统的气密性、油气桶泄水、油位、</w:t>
      </w:r>
      <w:r>
        <w:rPr>
          <w:rFonts w:hint="eastAsia"/>
          <w:color w:val="auto"/>
          <w:highlight w:val="none"/>
        </w:rPr>
        <w:fldChar w:fldCharType="begin"/>
      </w:r>
      <w:r>
        <w:rPr>
          <w:color w:val="auto"/>
          <w:highlight w:val="none"/>
        </w:rPr>
        <w:instrText xml:space="preserve"> HYPERLINK "http://www.haosou.com/s?q=%E7%94%B5%E7%A3%81%E9%98%80&amp;ie=utf-8&amp;src=wenda_link" \t "_blank" </w:instrText>
      </w:r>
      <w:r>
        <w:rPr>
          <w:rFonts w:hint="eastAsia"/>
          <w:color w:val="auto"/>
          <w:highlight w:val="none"/>
        </w:rPr>
        <w:fldChar w:fldCharType="separate"/>
      </w:r>
      <w:r>
        <w:rPr>
          <w:rStyle w:val="75"/>
          <w:rFonts w:hint="eastAsia" w:ascii="仿宋" w:hAnsi="仿宋" w:eastAsia="仿宋" w:cs="仿宋"/>
          <w:color w:val="auto"/>
          <w:sz w:val="24"/>
          <w:highlight w:val="none"/>
        </w:rPr>
        <w:t>电磁阀</w:t>
      </w:r>
      <w:r>
        <w:rPr>
          <w:rStyle w:val="75"/>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、进气阀、各保护</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"http://www.haosou.com/s?q=%E5%8E%8B%E5%B7%AE%E5%BC%80%E5%85%B3&amp;ie=utf-8&amp;src=wenda_link" \t "_blank" </w:instrText>
      </w:r>
      <w:r>
        <w:rPr>
          <w:rFonts w:hint="eastAsia" w:ascii="仿宋" w:hAnsi="仿宋" w:eastAsia="仿宋" w:cs="仿宋"/>
          <w:color w:val="auto"/>
          <w:sz w:val="24"/>
          <w:highlight w:val="none"/>
        </w:rPr>
        <w:fldChar w:fldCharType="separate"/>
      </w:r>
      <w:r>
        <w:rPr>
          <w:rStyle w:val="75"/>
          <w:rFonts w:hint="eastAsia" w:ascii="仿宋" w:hAnsi="仿宋" w:eastAsia="仿宋" w:cs="仿宋"/>
          <w:color w:val="auto"/>
          <w:sz w:val="24"/>
          <w:highlight w:val="none"/>
        </w:rPr>
        <w:t>压差开关</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定期清洗冷却液路系统、定期清洁、更换空气滤水杯的滤芯、</w:t>
      </w:r>
      <w:r>
        <w:rPr>
          <w:rFonts w:hint="eastAsia"/>
          <w:color w:val="auto"/>
          <w:highlight w:val="none"/>
        </w:rPr>
        <w:fldChar w:fldCharType="begin"/>
      </w:r>
      <w:r>
        <w:rPr>
          <w:color w:val="auto"/>
          <w:highlight w:val="none"/>
        </w:rPr>
        <w:instrText xml:space="preserve"> HYPERLINK "http://www.haosou.com/s?q=%E6%B3%84%E6%B0%B4%E9%98%80&amp;ie=utf-8&amp;src=wenda_link" \t "_blank" </w:instrText>
      </w:r>
      <w:r>
        <w:rPr>
          <w:rFonts w:hint="eastAsia"/>
          <w:color w:val="auto"/>
          <w:highlight w:val="none"/>
        </w:rPr>
        <w:fldChar w:fldCharType="separate"/>
      </w:r>
      <w:r>
        <w:rPr>
          <w:rStyle w:val="75"/>
          <w:rFonts w:hint="eastAsia" w:ascii="仿宋" w:hAnsi="仿宋" w:eastAsia="仿宋" w:cs="仿宋"/>
          <w:color w:val="auto"/>
          <w:sz w:val="24"/>
          <w:highlight w:val="none"/>
        </w:rPr>
        <w:t>泄水阀</w:t>
      </w:r>
      <w:r>
        <w:rPr>
          <w:rStyle w:val="75"/>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滤芯、</w:t>
      </w:r>
      <w:r>
        <w:rPr>
          <w:rFonts w:hint="eastAsia"/>
          <w:color w:val="auto"/>
          <w:highlight w:val="none"/>
        </w:rPr>
        <w:fldChar w:fldCharType="begin"/>
      </w:r>
      <w:r>
        <w:rPr>
          <w:color w:val="auto"/>
          <w:highlight w:val="none"/>
        </w:rPr>
        <w:instrText xml:space="preserve"> HYPERLINK "http://www.haosou.com/s?q=%E7%A9%BA%E6%B0%94%E6%BB%A4%E6%B8%85%E5%99%A8&amp;ie=utf-8&amp;src=wenda_link" \t "_blank" </w:instrText>
      </w:r>
      <w:r>
        <w:rPr>
          <w:rFonts w:hint="eastAsia"/>
          <w:color w:val="auto"/>
          <w:highlight w:val="none"/>
        </w:rPr>
        <w:fldChar w:fldCharType="separate"/>
      </w:r>
      <w:r>
        <w:rPr>
          <w:rStyle w:val="75"/>
          <w:rFonts w:hint="eastAsia" w:ascii="仿宋" w:hAnsi="仿宋" w:eastAsia="仿宋" w:cs="仿宋"/>
          <w:color w:val="auto"/>
          <w:sz w:val="24"/>
          <w:highlight w:val="none"/>
        </w:rPr>
        <w:t>空气滤清器</w:t>
      </w:r>
      <w:r>
        <w:rPr>
          <w:rStyle w:val="75"/>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pacing w:line="360" w:lineRule="auto"/>
        <w:ind w:firstLine="482" w:firstLineChars="200"/>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3.6.3.3</w:t>
      </w:r>
      <w:r>
        <w:rPr>
          <w:rFonts w:hint="eastAsia" w:ascii="仿宋" w:hAnsi="仿宋" w:eastAsia="仿宋" w:cs="仿宋"/>
          <w:bCs/>
          <w:color w:val="auto"/>
          <w:sz w:val="24"/>
          <w:highlight w:val="none"/>
        </w:rPr>
        <w:t>焊机</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外形修复机、</w:t>
      </w:r>
      <w:r>
        <w:rPr>
          <w:rFonts w:hint="eastAsia" w:ascii="仿宋" w:hAnsi="仿宋" w:eastAsia="仿宋" w:cs="仿宋"/>
          <w:bCs/>
          <w:color w:val="auto"/>
          <w:sz w:val="24"/>
          <w:highlight w:val="none"/>
        </w:rPr>
        <w:t>打磨机、烤漆房检查等维护项目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（1）二氧化碳保护焊机</w:t>
      </w:r>
    </w:p>
    <w:p>
      <w:pPr>
        <w:pStyle w:val="932"/>
        <w:widowControl/>
        <w:tabs>
          <w:tab w:val="left" w:pos="3420"/>
        </w:tabs>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定期检查输入电源电压的变动是否在允许范围之内（在正常电压的±10℅范围内变动时允许使用），检查焊机输出电缆的连接接头是否松动。</w:t>
      </w:r>
    </w:p>
    <w:p>
      <w:pPr>
        <w:pStyle w:val="932"/>
        <w:widowControl/>
        <w:tabs>
          <w:tab w:val="left" w:pos="3420"/>
        </w:tabs>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定期对焊机内部进行清扫去尘。</w:t>
      </w:r>
    </w:p>
    <w:p>
      <w:pPr>
        <w:pStyle w:val="932"/>
        <w:widowControl/>
        <w:tabs>
          <w:tab w:val="left" w:pos="3420"/>
        </w:tabs>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③</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检查送丝轮及导丝管中是否有异物或生锈，送丝装置是否有异常的声音，检查送丝轮的槽径是否与导丝管孔径匹配。</w:t>
      </w:r>
    </w:p>
    <w:p>
      <w:pPr>
        <w:pStyle w:val="932"/>
        <w:widowControl/>
        <w:tabs>
          <w:tab w:val="left" w:pos="3420"/>
        </w:tabs>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④</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定期对送丝管进行清洁，要经常检查喷嘴中的飞溅物并及时去除。</w:t>
      </w:r>
    </w:p>
    <w:p>
      <w:pPr>
        <w:pStyle w:val="932"/>
        <w:widowControl/>
        <w:tabs>
          <w:tab w:val="left" w:pos="3420"/>
        </w:tabs>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5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⑤</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检查喷嘴、导电嘴是否损坏，及时更换。</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（2）电阻点焊机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、定期检查活动部分的间隙是否正常，有无变大或变小。确保对焊机的压力机构应灵活，夹具应牢固，气、液压系统无泄漏，接地（接零）可，靠运行正常。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断路器的接触点，电极应定期光磨，二次电路全部连接螺栓应定期紧固。冷却水温度不得超过40℃；排水量应根据温度调节。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机械部分应定期添加润滑油。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观察电极及电极握杠之间的配合是否正常，有无漏水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定期检查电磁阀的工作是否可靠，水路和气路管道有无堵塞，电气接触是否松动。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⑥</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控制设备中各个旋钮有无打滑，电子元件有无脱焊、损坏。</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（3）外形修复机</w:t>
      </w:r>
    </w:p>
    <w:p>
      <w:pPr>
        <w:pStyle w:val="654"/>
        <w:shd w:val="clear" w:color="auto" w:fill="FCFCFC"/>
        <w:spacing w:before="0" w:beforeAutospacing="0" w:after="0" w:afterAutospacing="0" w:line="360" w:lineRule="auto"/>
        <w:ind w:firstLine="480" w:firstLineChars="200"/>
        <w:contextualSpacing/>
        <w:jc w:val="both"/>
        <w:rPr>
          <w:rFonts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 1 \* GB3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①</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外形修复机必须由受过专门培训并合格的人员进行操作使用。</w:t>
      </w:r>
    </w:p>
    <w:p>
      <w:pPr>
        <w:pStyle w:val="932"/>
        <w:spacing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定期做好外形修复机主机、导线、</w:t>
      </w:r>
      <w:r>
        <w:rPr>
          <w:rFonts w:hint="eastAsia" w:ascii="仿宋" w:hAnsi="仿宋" w:eastAsia="仿宋" w:cs="仿宋"/>
          <w:color w:val="auto"/>
          <w:spacing w:val="10"/>
          <w:sz w:val="24"/>
          <w:szCs w:val="24"/>
          <w:highlight w:val="none"/>
        </w:rPr>
        <w:t>焊枪、</w:t>
      </w:r>
      <w:r>
        <w:rPr>
          <w:rFonts w:hint="eastAsia" w:ascii="仿宋" w:hAnsi="仿宋" w:eastAsia="仿宋" w:cs="仿宋"/>
          <w:color w:val="auto"/>
          <w:sz w:val="24"/>
          <w:szCs w:val="24"/>
          <w:highlight w:val="none"/>
        </w:rPr>
        <w:t>焊头等各项清洁养机工作。</w:t>
      </w:r>
    </w:p>
    <w:p>
      <w:pPr>
        <w:pStyle w:val="932"/>
        <w:spacing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③</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定期更换焊接接头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（4）打磨机、气动式打磨机</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定时检查、更换费斯托正品带有喷射流的磨垫。</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定时检查更换橡胶制动垫。</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③</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定时清理、检查CTL 36吸尘袋、发现破损及时更换。</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④</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定时清理、检查、更换CTL 36集尘器空滤。</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5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⑤</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定时检查伺服系统，及时添加费斯托专用润滑油。</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6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⑥</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每星期用压缩空气清洁IAS2适配器上的消音器，定期更换消音器。</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7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⑦</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定时用清洁的压缩空气清洁磨机机身中的吸尘管路，定期补上或更换O型圈</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⑧</w:t>
      </w:r>
      <w:r>
        <w:rPr>
          <w:rFonts w:hint="eastAsia" w:ascii="仿宋" w:hAnsi="仿宋" w:eastAsia="仿宋" w:cs="仿宋"/>
          <w:color w:val="auto"/>
          <w:sz w:val="24"/>
          <w:szCs w:val="24"/>
          <w:highlight w:val="none"/>
        </w:rPr>
        <w:t>定期检查打磨机使用工况，损坏时及时更换</w:t>
      </w:r>
    </w:p>
    <w:p>
      <w:pPr>
        <w:pStyle w:val="932"/>
        <w:widowControl/>
        <w:spacing w:line="360" w:lineRule="auto"/>
        <w:ind w:firstLine="480"/>
        <w:contextualSpacing/>
        <w:jc w:val="left"/>
        <w:rPr>
          <w:rFonts w:ascii="仿宋" w:hAnsi="仿宋" w:eastAsia="仿宋" w:cs="仿宋"/>
          <w:color w:val="auto"/>
          <w:sz w:val="24"/>
          <w:szCs w:val="24"/>
          <w:highlight w:val="none"/>
        </w:rPr>
      </w:pPr>
      <w:r>
        <w:rPr>
          <w:rFonts w:hint="eastAsia" w:ascii="仿宋" w:hAnsi="仿宋" w:eastAsia="仿宋" w:cs="仿宋"/>
          <w:color w:val="auto"/>
          <w:sz w:val="24"/>
          <w:highlight w:val="none"/>
        </w:rPr>
        <w:t>⑨</w:t>
      </w:r>
      <w:r>
        <w:rPr>
          <w:rFonts w:hint="eastAsia" w:ascii="仿宋" w:hAnsi="仿宋" w:eastAsia="仿宋" w:cs="仿宋"/>
          <w:color w:val="auto"/>
          <w:sz w:val="24"/>
          <w:szCs w:val="24"/>
          <w:highlight w:val="none"/>
        </w:rPr>
        <w:t>定期添加轮滑油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（5）烤漆房维护项目</w:t>
      </w:r>
    </w:p>
    <w:p>
      <w:pPr>
        <w:pStyle w:val="57"/>
        <w:spacing w:before="0" w:beforeAutospacing="0" w:after="0" w:afterAutospacing="0" w:line="360" w:lineRule="auto"/>
        <w:contextualSpacing/>
        <w:rPr>
          <w:rFonts w:ascii="仿宋" w:hAnsi="仿宋" w:eastAsia="仿宋" w:cs="仿宋"/>
          <w:color w:val="auto"/>
          <w:highlight w:val="none"/>
        </w:rPr>
      </w:pPr>
      <w:r>
        <w:rPr>
          <w:rStyle w:val="224"/>
          <w:rFonts w:hint="eastAsia" w:ascii="仿宋" w:hAnsi="仿宋" w:eastAsia="仿宋" w:cs="仿宋"/>
          <w:color w:val="auto"/>
          <w:highlight w:val="none"/>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 1 \* GB3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①</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定期清洁、更换顶棉、进风棉。</w:t>
      </w:r>
    </w:p>
    <w:p>
      <w:pPr>
        <w:pStyle w:val="631"/>
        <w:spacing w:line="360" w:lineRule="auto"/>
        <w:ind w:hanging="42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②</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定期清洗喷油咀、初级柴油、废油滤清器</w:t>
      </w:r>
    </w:p>
    <w:p>
      <w:pPr>
        <w:pStyle w:val="57"/>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 3 \* GB3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③</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一般使用350-450小时左右，空气过滤不清时，则需更换顶棉。</w:t>
      </w:r>
    </w:p>
    <w:p>
      <w:pPr>
        <w:pStyle w:val="57"/>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 4 \* GB3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④</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定期对排风扇及电机进行润滑保养。</w:t>
      </w:r>
    </w:p>
    <w:p>
      <w:pPr>
        <w:pStyle w:val="57"/>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 5 \* GB3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⑤</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定期检查设备电、气、油路。</w:t>
      </w:r>
    </w:p>
    <w:p>
      <w:pPr>
        <w:pStyle w:val="57"/>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 6 \* GB3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⑥</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半年一次更换活性碳、清洁风机箱、清洁风道、清洁换气门、清洁风机扇叶、清除燃烧室内外漆渍锅垢。</w:t>
      </w:r>
    </w:p>
    <w:p>
      <w:pPr>
        <w:pStyle w:val="57"/>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3.6.3.4车身校正平台、剪板机、折弯机</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确保每年至少进行二次</w:t>
      </w:r>
      <w:r>
        <w:rPr>
          <w:rFonts w:hint="eastAsia" w:ascii="仿宋" w:hAnsi="仿宋" w:eastAsia="仿宋" w:cs="仿宋"/>
          <w:color w:val="auto"/>
          <w:kern w:val="0"/>
          <w:sz w:val="24"/>
          <w:highlight w:val="none"/>
        </w:rPr>
        <w:t>维护、保养</w:t>
      </w:r>
      <w:r>
        <w:rPr>
          <w:rFonts w:hint="eastAsia" w:ascii="仿宋" w:hAnsi="仿宋" w:eastAsia="仿宋" w:cs="仿宋"/>
          <w:color w:val="auto"/>
          <w:sz w:val="24"/>
          <w:highlight w:val="none"/>
        </w:rPr>
        <w:t>，做到定期更换液压油。</w:t>
      </w:r>
    </w:p>
    <w:p>
      <w:pPr>
        <w:spacing w:line="360" w:lineRule="auto"/>
        <w:ind w:firstLine="480" w:firstLineChars="200"/>
        <w:contextualSpacing/>
        <w:jc w:val="left"/>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w:t>
      </w:r>
      <w:r>
        <w:rPr>
          <w:rFonts w:hint="eastAsia" w:ascii="仿宋" w:hAnsi="仿宋" w:eastAsia="仿宋" w:cs="仿宋"/>
          <w:color w:val="auto"/>
          <w:sz w:val="24"/>
          <w:highlight w:val="none"/>
          <w:shd w:val="clear" w:color="auto" w:fill="FFFFFF"/>
        </w:rPr>
        <w:t>、润滑相关部位，如销轴等 。</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定期清洗油路及设备各部件。</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定期检查管路部分，查看是否有漏油现象</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zh-CN"/>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定期检查设备电路部分，查看是否有烧毁现象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3.6.3.5其他</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电气类台架</w:t>
      </w:r>
      <w:r>
        <w:rPr>
          <w:rFonts w:hint="eastAsia" w:ascii="仿宋" w:hAnsi="仿宋" w:eastAsia="仿宋" w:cs="仿宋"/>
          <w:color w:val="auto"/>
          <w:sz w:val="24"/>
          <w:highlight w:val="none"/>
        </w:rPr>
        <w:t>、砂轮机、锯床、焊机、外形修复机、打磨机、烤漆房每季检查不少于一次，每年维护不少于一次；举升机、空压机扒胎机、动平衡机、四轮定位仪每季度检查维护一次。</w:t>
      </w:r>
    </w:p>
    <w:p>
      <w:pPr>
        <w:spacing w:line="360" w:lineRule="auto"/>
        <w:ind w:left="420" w:left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(2)检查维护时间一般安排在课余时间或寒暑假，不得影响正常教学任务。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 检查、维护结果两天内以书面形式反馈给系部设备管理员。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 设备急修应及时响应。</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(5)如遇大赛或大型活动，应提供技术支持，提前配合采购人准备好设备，达到比赛要求。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 全校所有实训室教学设施设备的管理和维护费用及材料费由中标人包干，大修的材料费经学校同意在物业维修材料费中列支，中标方需列出重大维修的范围、材料名称及材料价格。</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3.7给排水设备运行维护管理</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3.7.1给排水设备运行维护管理的总则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3.7.1.1服务内容：对学校室内外给排水系统的设备、设施，如水泵、水箱、给水装置、水处理设备、消火栓、管道、管件、阀门、水嘴、卫生洁具、排水管、透气管、水封设备、室外排水管及附属构筑物等进行日常养护维修，保持正常运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3.7.1.2服务质量标准：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(1)定期对给排水系统进行维护、润滑。</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每天检查一次水泵、提升泵、水箱、排水泵、阀门等，确保排水系统通畅，各种管道阀门完好，仪表显示正常，无跑、冒、滴、漏现象。由具备相应执业资格的作业人员定期对给排水系统进行全面维护保养，确保系统正常运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(3)用户末端的水压及流量满足使用要求。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(4)每季对楼宇排水总管进行检查，定期对水泵、管道进行防锈处理。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(5)定期对水泵、水质处理和消毒装置及设备控制柜进行保养。</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3.7.2给排水设备运行维护的具体要求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3.7.2.1供水系统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(1)供水设备：设施设备完好、运行正常、无渗漏、无污染；水泵：每季对润滑点加油，保证二次供水正常。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(2)泵房：</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管道每季一次除锈、油漆；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水塔、水箱、蓄水池每年定期二次清洗，二次供水水质符合国家生活用水标准；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减压阀：每年二次测压并记录，无渗漏现象；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水箱、蓄水池盖板，溢流口金属防护网：水箱、蓄水池盖板保持完好并加锁，溢流管口安装金属防护网完好；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生活水泵：进行一级保养，每年一次，保证其运行正常；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控制柜：每月检查一次，控制柜电器性能完好，运作正常。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(3)逸心湖：保持正常供水。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(4)室外水管：秋、冬季进行防冻保养，保证二次供水正常。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(5)水表箱内阀门接口及减压阀：每季检查一次，无渗漏现象。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(6)管网及闸阀：每年保养，无明显锈蚀、无渗漏。</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(7)每年在校内自来水2-3个点位取水化验2次，水质化验单报安办备案，操作人员健康合格证齐全。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(8)设备出现故障时，维修人员应在接到报修后5分钟内到达现场，零修合格率100%，一般性故障排除不过夜。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3.7.2.2排水系统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(1)污水泵、提升泵、排水泵：能正常运行，无渗漏水现象；每季一次润滑加油；一级保养每年一次。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(2)污水处理系统：每年二次全面维护保养、一次水质检测；污水处理系统正常运行，周边基本无异味和明显噪声，过滤隔栅无堵塞，污水排放符合环保要求。</w:t>
      </w:r>
    </w:p>
    <w:p>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★学院污水处理系统维护通过内控招标，已于2018年与江苏科诺环保科技有限公司签订了5年设计、改造、维保一体化合同，合同约定维保费用11.2万元/年，由学院中标物业公司支付费用。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(3)控制柜：每月检查一次，控制柜电器性能完好，运作正常。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(4)窨井、窨沟、排水沟、集水井：管道通畅，无堵塞外溢现象。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(5)排污泵、排气扇：每月试运行，运转灵活。</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3.7.2.3其他</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(1)根据国家节水相关规定，必须全年按时完成水量平衡测试要求并完成相关工作或用水节水评估并通过审核。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(2)除保证校园范围内的用水之外，还必须保证学校的存量房、宿舍空气能热水器用水；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(3)根据杭州市政府的相关规定，做好节水工作，杜绝“滴漏跑冒”现象。</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3.7.3管网系统维护管理要求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负责给、排水系统完好、畅通，维护巡查自供、消防、加压水管网系统，确保水池（箱、塔）、水泵、水位、转感器、球阀、控制柜、压力表、流量表、阀门、消防联动、报警联动、消防喷淋等运行的安全、正常，做好检测记录，随时上报。杜绝失修、失常、失误等状况，避免造成更大损失。</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(2)负责对隔油池、化粪池、污水处理池（站）、消防池、定期清掏，确保安全、畅通、可靠，及时排除堵塞、外溢、污染等现象。</w:t>
      </w:r>
    </w:p>
    <w:p>
      <w:pPr>
        <w:tabs>
          <w:tab w:val="left" w:pos="70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(3)公共雨、污水管道、房顶：保证畅通无堵，疏通每年不少于一次。</w:t>
      </w:r>
    </w:p>
    <w:p>
      <w:pPr>
        <w:tabs>
          <w:tab w:val="left" w:pos="70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(4)化粪池：保持通畅、无堵塞、无满溢，半年清掏一次。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(5)负责对地下通道、地下车库、体育馆地下层、喷泉等的排水泵定期检查测试，确保正常。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(6)确保食堂、开水房、浴室、宿舍等区域的正常供水，及时抢修排除故障，不影响学校正常生活秩序。</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(7)负责日常巡查维修：龙头、阀门、管道、冲便器、水箱、洗手池等，维护热交换器、热水管道的输水状况，稍有渗漏及时修复，杜绝爆裂事态发生。</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sz w:val="24"/>
          <w:highlight w:val="none"/>
        </w:rPr>
        <w:t>(8)做好防冻防暴措施，</w:t>
      </w:r>
      <w:r>
        <w:rPr>
          <w:rFonts w:hint="eastAsia" w:ascii="仿宋" w:hAnsi="仿宋" w:eastAsia="仿宋" w:cs="仿宋"/>
          <w:color w:val="auto"/>
          <w:kern w:val="0"/>
          <w:sz w:val="24"/>
          <w:highlight w:val="none"/>
        </w:rPr>
        <w:t>做好随时抢修的准备，将损失减低于最低程度。</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(9)熟知责任区内室外管网图纸、窨井数量分布及管道走向。</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3.8．空调系统运行维护</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3.8.1空调系统运行维护的总则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3.8.1.1概况：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全校的教学楼、实训楼、行政楼、图书馆、培训楼、考试房及候考厅、学生宿舍楼、值班室、食堂、体育馆等约985台空调进行维护保养（具体数量由中标人自行测算）；空调类型主要有分体挂机、立式柜机、吸顶式中央空调等；空调功率有1匹机、1.5匹机、2匹机、3匹机、5匹机等；空调品牌有格力、美的、海尔、华凌等，有的品牌目前已没有原厂家；空调使用时间有的1—8年不等；以现场察看为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3.8.1.2服务内容：空调系统维护服务项目包括空调主机（外机）维护、室内机维护、新风机组维护、管道系统维护、各种阀类、控制系统等维护。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3.8.1.3服务质量标准：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(1)按照工作计划对空调系统实施维护保养。</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(2)定期对空调系统进行检查，测试运行控制和安全控制功能，记录运行参数，分析运行记录。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(3)定期对空气处理单元、新风处理单元、风机盘管、滤网、加湿器、风阀、积水盘、风机表冷器进行清洗和保养，定期清理和更换空调机组的空气过滤器、冷凝水积水盘和冷凝水管道。</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(4)定期进行循环泵、空调主机、冷却风机电柜主电路螺栓紧固，测试绝缘值并做好记录。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(5)定期对空调系统主机、水泵、电机、管道、膨胀水箱、集水器、分水器进行检查保养。</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(6)通过有效的管理措施及技术措施，积极开展节能管理工作。</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3.8.2空调系统运行维护的具体要求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(1)保证全校空调的正常运转和使用，致冷和致热效果好，无噪声；</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(2)校园内所有空调每年必须清洁保养二次，其中一次为深度清洁维护。</w:t>
      </w:r>
    </w:p>
    <w:p>
      <w:pPr>
        <w:tabs>
          <w:tab w:val="left" w:pos="315"/>
          <w:tab w:val="left" w:pos="945"/>
          <w:tab w:val="left" w:pos="3360"/>
        </w:tabs>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(3)全校所有空调系统维护费用及材料费由中标人包干，压缩机更换等重大维修的材料费经学校同意在维修材料费中列支，投标方案列出重大维修的范围、材料名称及材料价格。</w:t>
      </w:r>
      <w:r>
        <w:rPr>
          <w:rFonts w:hint="eastAsia" w:ascii="仿宋" w:hAnsi="仿宋" w:eastAsia="仿宋" w:cs="仿宋"/>
          <w:b/>
          <w:color w:val="auto"/>
          <w:sz w:val="24"/>
          <w:highlight w:val="none"/>
        </w:rPr>
        <w:t>新风机组维护和保养要聘请专业公司进行，费用由物业中标商承担。</w:t>
      </w:r>
    </w:p>
    <w:p>
      <w:pPr>
        <w:spacing w:line="360" w:lineRule="auto"/>
        <w:ind w:firstLine="472" w:firstLineChars="196"/>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3.9.网络设施、多媒体设备、校园一卡通设施维护</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3.9.1网络系统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(1)保证学院各基础网络系统24小时运行正常，发现问题及时处理。</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(2)做好网络汇聚层以下的设备、线路的巡查、维修，各弱电接入间的管理及环境卫生。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(3)做好办公教学计算机等各类终端接入学校局域网。对网络线路、端口及时更新、维修。</w:t>
      </w:r>
      <w:r>
        <w:rPr>
          <w:rFonts w:hint="eastAsia" w:ascii="仿宋" w:hAnsi="仿宋" w:eastAsia="仿宋" w:cs="仿宋"/>
          <w:bCs/>
          <w:color w:val="auto"/>
          <w:sz w:val="24"/>
          <w:highlight w:val="none"/>
        </w:rPr>
        <w:t>做好政府部门内网接入维护。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 做好计算机、打印机、复印机等信息终端的维修，保证终端运行上网正常。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(5)做好广播网络系统的维护。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(6)做好电话网络系统的维护。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(7)做好监控网络系统的维护。</w:t>
      </w:r>
    </w:p>
    <w:p>
      <w:pPr>
        <w:spacing w:line="360" w:lineRule="auto"/>
        <w:ind w:firstLine="480" w:firstLineChars="200"/>
        <w:contextualSpacing/>
        <w:outlineLvl w:val="0"/>
        <w:rPr>
          <w:rFonts w:ascii="仿宋" w:hAnsi="仿宋" w:eastAsia="仿宋" w:cs="仿宋"/>
          <w:color w:val="auto"/>
          <w:sz w:val="24"/>
          <w:highlight w:val="none"/>
        </w:rPr>
      </w:pPr>
      <w:r>
        <w:rPr>
          <w:rFonts w:hint="eastAsia" w:ascii="仿宋" w:hAnsi="仿宋" w:eastAsia="仿宋" w:cs="仿宋"/>
          <w:color w:val="auto"/>
          <w:sz w:val="24"/>
          <w:highlight w:val="none"/>
        </w:rPr>
        <w:t>(8) 做好视频、电视网络系统的维护。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 做好线路更新后的图纸标注工作。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(10)人工费用包含在报价总价中，材料费在维修材料费中列支。</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3.9.2多媒体设备</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(1)保证正常的教学、会议需要，发现问题及时处理。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(2)每学期进行一次多媒体教学、电子屏、会议设备（含教室、会议室、报告厅、运动场、体育馆等音响）的维护、保养，要求联系专业公司进行。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(3)定期进行检查，对管线及时做好更新、维修，并做好记录。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(4)维护人工费用包含在报价总价中，材料费在维修材料费中列支。</w:t>
      </w:r>
    </w:p>
    <w:p>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3.9.3校园一卡通设施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(1)保证校园一卡通设施的正常运行。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(2)安保人员要熟悉一卡通门禁系统的使用和学生进出监管。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(3)发现问题及时与运营商联系，及时做好维修、处理。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(4)安排专人负责一卡通系统的运行、维护。</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(5)不得随意更改一卡通</w:t>
      </w:r>
      <w:r>
        <w:rPr>
          <w:rStyle w:val="711"/>
          <w:rFonts w:hint="default" w:ascii="仿宋" w:hAnsi="仿宋" w:eastAsia="仿宋" w:cs="仿宋"/>
          <w:color w:val="auto"/>
          <w:sz w:val="24"/>
          <w:szCs w:val="24"/>
          <w:highlight w:val="none"/>
          <w:lang w:bidi="ar"/>
        </w:rPr>
        <w:t>信息</w:t>
      </w:r>
      <w:r>
        <w:rPr>
          <w:rFonts w:hint="eastAsia" w:ascii="仿宋" w:hAnsi="仿宋" w:eastAsia="仿宋" w:cs="仿宋"/>
          <w:bCs/>
          <w:color w:val="auto"/>
          <w:sz w:val="24"/>
          <w:highlight w:val="none"/>
        </w:rPr>
        <w:t>（除非有班主任、系部审批意见）。</w:t>
      </w:r>
    </w:p>
    <w:p>
      <w:pPr>
        <w:spacing w:line="360" w:lineRule="auto"/>
        <w:ind w:firstLine="480" w:firstLineChars="200"/>
        <w:contextualSpacing/>
        <w:rPr>
          <w:rStyle w:val="711"/>
          <w:rFonts w:hint="default" w:ascii="仿宋" w:hAnsi="仿宋" w:eastAsia="仿宋" w:cs="仿宋"/>
          <w:bCs/>
          <w:color w:val="auto"/>
          <w:sz w:val="24"/>
          <w:szCs w:val="24"/>
          <w:highlight w:val="none"/>
          <w:lang w:bidi="ar"/>
        </w:rPr>
      </w:pPr>
      <w:r>
        <w:rPr>
          <w:rFonts w:hint="eastAsia" w:ascii="仿宋" w:hAnsi="仿宋" w:eastAsia="仿宋" w:cs="仿宋"/>
          <w:bCs/>
          <w:color w:val="auto"/>
          <w:sz w:val="24"/>
          <w:highlight w:val="none"/>
        </w:rPr>
        <w:t>(6)</w:t>
      </w:r>
      <w:r>
        <w:rPr>
          <w:rStyle w:val="711"/>
          <w:rFonts w:hint="default" w:ascii="仿宋" w:hAnsi="仿宋" w:eastAsia="仿宋" w:cs="仿宋"/>
          <w:bCs/>
          <w:color w:val="auto"/>
          <w:sz w:val="24"/>
          <w:szCs w:val="24"/>
          <w:highlight w:val="none"/>
          <w:lang w:bidi="ar"/>
        </w:rPr>
        <w:t>保证电子班牌网络正常运行，电源按时正常开启、关闭。</w:t>
      </w:r>
    </w:p>
    <w:p>
      <w:pPr>
        <w:tabs>
          <w:tab w:val="left" w:pos="315"/>
          <w:tab w:val="left" w:pos="945"/>
          <w:tab w:val="left" w:pos="3360"/>
        </w:tabs>
        <w:spacing w:line="360" w:lineRule="auto"/>
        <w:ind w:firstLine="472" w:firstLineChars="196"/>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3.10学校房屋、道路及设施设备的巡查及维护维修</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3.10.1服务范围：</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房屋、路面的日常维修；</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水、电设施日常维修；</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门窗、锁，课桌椅的维修；</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食堂设施设备日常维修；</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消防设施维修；</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人防设施维修；</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防雷设施维修；</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铁制设备防锈处理；</w:t>
      </w:r>
    </w:p>
    <w:p>
      <w:pPr>
        <w:numPr>
          <w:ilvl w:val="0"/>
          <w:numId w:val="9"/>
        </w:numPr>
        <w:tabs>
          <w:tab w:val="left" w:pos="315"/>
          <w:tab w:val="left" w:pos="945"/>
          <w:tab w:val="left" w:pos="3360"/>
          <w:tab w:val="clear" w:pos="312"/>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木制设施防腐处理等。</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3.10.2 原则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“热心服务”的原则：牢固树立为学校服务的意识，端正服务态度，提高服务质量，想学校之所想，急学校之所急，认真解决学校急需解决的维修问题。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“质量第一”的原则：维修管理人员必须树立“质量是企业的第一生命”的思想，遵守维修的有关规范，保证维修材料质量，加强回访，尽力减低返修率。</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3.10.3校园日常维修标准：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常零星维修项目，主要通过维修管理人员的日常巡视检查和教职工学生的随时报修两个渠道来收集。零星维修的特点是修理范围广，项目零星分散，时间紧，要求及时，具有经常性的服务性质。日常零星维修必须做到接报后及时维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常维修范围一般为所有学校建筑的室内外照明、水龙头、家具、门窗、锁、课桌椅、黑板、窗帘、路面、墙面、建筑物内外下水管道疏通、体育设施、防护设施、机械设备、地下车库相关等维修。不含处于保修期内的设施，日常维修实行及时维修承诺，配合学校做好大修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3.10.3.1房屋、道路土建及设备维修标准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时限要求：急迫性维修项目：如楼房厕浴间排污管道堵塞；室内外给水系统小修、换管；烟道堵塞等，自接到报修之时起2小时处理。除急迫性小修之外的零修项目，如房屋、道路土建、墙、地面等维护性小修，自接到报修之日起，两天内处理；一般设备如门、窗、玻璃、锁等应及时维修，确保不超过24小时，并确保零修合格率达到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(1)室内地面</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如普通水泥楼面和地面起砂空鼓、影响使用，楼面或地面的块料面层松动的,局部破损的、散水严重破损影响其功能的，应修补；木楼板损坏、松动、残缺的，应修复，如磨损过薄影响安全的，可局部拆换。质量标准：普通水泥楼面地面及散维修后应平整、光滑、接槎平顺；木质楼地面维修后应牢固、平整、拼缝严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(2)室内墙面及顶棚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如内墙及踢脚线抹灰空鼓、剥落的应修补；顶棚抹灰空鼓、剥落的应铲除修补;墙面及顶棚墙面涂胶漆破损、脱落、发霉等的应铲除修补。质量标准：修缮后的内墙面及灰顶棚应恢复原有使用功能，抹面应接槎平整、不开裂、不空鼓、不起泡、不翘边，面层与基层结合牢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(3)检修门窗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维修内容：如铝合金和木门窗框松动、门窗扇开关不灵活、脱榫、 糟朽、开焊、小五金及玻璃等缺损的应进行修补。质量标准：修后的钢木门窗应开关灵活不松动，框与墙体结合牢固，五金齐全。玻璃无破碎，玻璃装钉牢固，腻子饱满，窗纱绷紧，不露纱头。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(4)清洁屋面、采光井、雨落管等</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每年一季一次应将校内所有建筑的屋面、雨水口及室外雨水井的杂物清扫、疏通干净；对水管局部残缺、破损应予以更换。质量标准：屋面采光井应清扫干净，确保屋面落水畅通，雨落管修缮后应补齐五金配件。</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(5)屋面补漏</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维修内容：屋面局部漏水以至影响使用的属于屋面局部补漏范围。质量标准：屋面局部用防水材料补漏后应达到不再漏水。</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(6)外檐装修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维修内容：外檐抹灰及块料面层局部严重空鼓有脱落危险的，应排除险情,并进行铲除修复。质量标准：排除险情后的外檐装修，应不存在危险隐患。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(7)阳台、雨罩等结构构件</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维修内容：阳台、雨罩、梁等结构构件保护层开裂的，应封堵裂缝，防止钢筋锈蚀：保护层剥落的，应补抹。质量标准：经维修后的结构构件应不再有裂缝及露筋现象。</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(8)墙砖、面砖及路面</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维修内容：室内外墙砖、地砖、路面石材、水泥等有破损、空鼓、松动、脱落的部分，应按照原材料及规格及时修缮。质量标准：按建筑维修技术规范要求执行。</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(9)维修工要求具备水电、木工、泥工维修技术，并具备相关上岗证。</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3.10.3.2上下水系统小修标准</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(1)室内给水系统小修、局部换管</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如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(2)卫生设备</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维修内容：如卫生设备及配件残缺的应配齐，破损的应维修。质量标准：修缮后应做到给排水畅通，各部位零件齐全、灵活、有效，无跑、冒、漏、滴现象，能正常使用。</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(3)排水管道、化粪池，检查井等。</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维修内容：如排污管道堵塞，排污不畅通的应疏通；化粪池、检查井满溢或积存较多污物影响使用的应疏通或清掏，配件残缺应补齐。一季度一次对排水、排污管网进行检查疏通，并做好相应记录。 质量标准：楼房排污管道经疏通后，应达到排污管道畅通，不滴水；化粪池检查井满溢的清掏应清除全部污物，化粪池检查井局部损坏的应修好， 达到井体、池体、井圈、井盖、池盖完好。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3.10.3.3供电设施设备管理维护及小修</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服务内容：对学校供电系统高、低压电器设备、电线电缆、电气照明装置等设备进行日常管理和维修，保持正常运行。每年暑假委托专业机构进行高、低配保护性测试、高配工具绝缘测试、压力表检测等，所有费用由物业公司承担。</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(2)服务质量标准：</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①建立严格的高配供电室岗位责任制，高低配交接班制度、高低配室操作规程制度、高配倒闸操作制度、工作票制度、高低配及维修巡回检查等制度。</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②按照规定周期对变配电设备设施进行检查、维护、清洁，并做好记录，确保高（低）压变（配）电柜操作运行正常。各计量检测表计显示正常。</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③变（配）电械直流操作系统、低压配电柜运行正常，蓄电池组充、放电量稳定，符合工作要求，各类表计显示正常。</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④功率因素自动裣电容器（组）运行正常，自动切换准确可靠。</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⑤变（配）电系统联络自切正常。</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⑥应急供电系统运行正常。</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⑦通过有效的管理措施及技术措施，积极开展节能管理工作。</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⑧每天24小时有高配电工值班，专业人员应有相应的上岗证。 </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(3)小修</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①配电设施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小修内容：配电柜、配电箱、配电盘。质量标准：元器件齐全，显示正常动作可靠，接地良好；时限要求：出现故障及时处理维修。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②室内设备</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小修内容：闸具、电源插座、开关、日光灯。质量标准：正常使用；时限要求：报修后及时处理维修。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③配电线路</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小修内容：导线、支持物。质量标准：绝缘良好完整可靠；时限要求：出现故障及时处理维修。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3.10.3.4 体育设施管理维修</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(1)负责双杠、单杠、篮球架、爬杆、羽毛球架、足球门框、网球栅栏等校内所有室外体育设施的巡查并做好记录。</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(2)确保校内所有体育设施无脱焊、松动、破损、腐蚀等可能的安全隐患。</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(3)由专业人员负责学校健身房内的健身器材的维修，保证能正常使用。</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(4)对需要大修的设施及时上报大修计划及费用预算。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3.10.3.5防护设施管理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(1)负责铁栅、护栏、校门等所有室外栏杆和设备的完好无损。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(2)确保所有室外栏杆和设备无腐蚀、老化、风化等失修状况及安全隐患。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(3)记录维护巡视情况，发现需要大检修项目必须随时上报。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.6机械设备管理</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 由专业人员负责舞台机械、行车、发电机、电梯等电动设备加油、除锈、清洁的养护。</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(2)确保该设备无锈斑、失油、磨损、卡壳、异常噪音、跳动等不正常状况。</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(3)确保正常运转、完好无损，杜绝安全隐患。</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(4)及时上交维护巡查记录，随时上报大检修项目、杜绝失去保修机会而造成更大损失。</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3.10.3.</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地下车库管理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(1)负责排水沟、排水泵的运转正常，发现问题及时通报电工处理。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(2)负担单元照明、水龙头巡查更换，发现线路、管道、配电等故障问题及时通报水电工处理。</w:t>
      </w:r>
    </w:p>
    <w:p>
      <w:pPr>
        <w:spacing w:line="360" w:lineRule="auto"/>
        <w:ind w:firstLine="480" w:firstLineChars="2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(3)人防系统：每季检查一次，定期测试，每年年检一次，正常运行，表面、管架、人防设备完整无缺，卫生状况良好。</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3.10.5 校园日常维修基本要求</w:t>
      </w:r>
    </w:p>
    <w:p>
      <w:pPr>
        <w:spacing w:line="360" w:lineRule="auto"/>
        <w:ind w:firstLine="597" w:firstLineChars="249"/>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3.10.5.1木工</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(1)负责全校门窗、吊顶、扣板、隔断、橱柜、桌椅等木结构的设备设施维修。</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(2)负责全校课桌椅、讲台、橱柜、窗、玻璃、窗扣、窗帘、门、门锁、门扣、门吸等维修及财产检查。</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(3)负责全校的门、窗、锁、扣、柜、床、桌、椅等木器具的检查维修。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kern w:val="0"/>
          <w:sz w:val="24"/>
          <w:highlight w:val="none"/>
        </w:rPr>
        <w:t>(4)负责</w:t>
      </w:r>
      <w:r>
        <w:rPr>
          <w:rFonts w:hint="eastAsia" w:ascii="仿宋" w:hAnsi="仿宋" w:eastAsia="仿宋" w:cs="仿宋"/>
          <w:color w:val="auto"/>
          <w:sz w:val="24"/>
          <w:highlight w:val="none"/>
        </w:rPr>
        <w:t>基建、安装、装修、等土木施工、用料等进行质量把关、符合规范标准。协助做好质量验收、测量、结算工作。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(5)积极参与对学校开展各项活动的前期布置，配合设计制作展台、展品、展板等活动用的道具、模型器具。</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kern w:val="0"/>
          <w:sz w:val="24"/>
          <w:highlight w:val="none"/>
        </w:rPr>
        <w:t>(6)接到突发事件通报，随叫随到、迅速采取应急措施，保证设施、设备正常完好</w:t>
      </w:r>
    </w:p>
    <w:p>
      <w:pPr>
        <w:spacing w:line="360" w:lineRule="auto"/>
        <w:ind w:firstLine="597" w:firstLineChars="249"/>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3.10.5.2泥工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(1)负责全校建筑物、楼房、墙砖、地砖、路面、侧石、花坛、窨井盖、排水沟、花岗岩、踢脚线等土建设施的维修、维护，确保完好无损。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(2)负责房屋、屋顶、墙壁等龟裂、空鼓、块状脱落等类似危险情况，必须及时修整、做好防范措施根除隐患。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(3)协助木工、水电工担任起部分力所能及的维修工作,提高维修技能。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(4)对学校的基建、安装、装修、等土建结构的质量，进行质量把关、严格督促用料标准。</w:t>
      </w:r>
    </w:p>
    <w:p>
      <w:pPr>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(5)积极参与对学校开展各项活动的前期布置和结束收拾工作，以及其它杂务工作、做好安全检查工作，坚持“安全第一，预防为主”的原则性。</w:t>
      </w:r>
    </w:p>
    <w:p>
      <w:pPr>
        <w:spacing w:line="360" w:lineRule="auto"/>
        <w:ind w:firstLine="470" w:firstLineChars="196"/>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3.10.5.3房屋建筑及公用部位</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(1)玻璃门窗配件完好，门、窗开闭灵活并无异常声响。</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(2)房屋外观完好、整洁、外墙面砖、涂料、顶面粉刷层无大面积脱落，面砖、地砖平整，无大面积起壳、缺损。</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(3)路灯、楼道灯、各房间内的照明灯，亮灯率不低于95﹪，公共照明设备完好。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(4)围墙：每天巡查不少于一次，围墙完好，铁栅栏围墙表面无锈蚀。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(5)场地、步道、路面、侧石、井盖等：道路畅通，路面平整；井盖无缺损、无丢失，路面井盖不影响车辆和行人通行。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(6)休闲椅、凉亭、雕塑、景观小品、护栏：保持原有面貌，保证其安全使用。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(7)室外健身设施：发现损坏立即修复，保证器械、设施的安全使用。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(8)安全标志等：清晰完整，设施运行正常。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(9)公共雨、污水管道、房顶：保证畅通无堵，疏通每年不少于两次，屋顶檐沟每月检查。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(10)化粪池：保持通畅、无堵塞、无满溢，半年清掏一次。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(11)伸缩门、道闸：启动灵活，完好无损，正常使用，每半年保养一次。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(12)室外所有铁质护栏：每年保养一次，无明显锈迹。</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(13)标识：每年维护，确保无破损无缺失。</w:t>
      </w:r>
    </w:p>
    <w:p>
      <w:pPr>
        <w:spacing w:line="360" w:lineRule="auto"/>
        <w:ind w:firstLine="597" w:firstLineChars="249"/>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3.10.5.4其他</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(1)玻璃门窗配件完好，门、窗开闭灵活并无异常声响；门锁开启正常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(2)房屋外观完好、外墙面砖、涂料、顶面粉刷层无大面积脱落，面砖、地砖平整，无大面积壳起、空鼓、脱落、破损等安全隐患；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(3)围墙：围墙完好，铁栅栏围墙表面无脱焊、松动摇晃等可能的安全隐患。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(4)确保场地、步道、路面、侧石、井盖等：道路畅通，路面平整；井盖无缺损、无丢失，路面井盖不影响车辆和行人通行。</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(5)休闲椅、凉亭、雕塑、景观文化作品、护栏：安全坚固。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(6)室外健身设施：发现损坏立即修复，保证器械、设施的安全耐用。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(7)安全标志等：清晰完整，设施运行正常。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(8)伸缩门、道闸：启动灵活，完好无损，正常使用，每半年保养一次。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(9)围墙铁质护栏：每年保养一次，无明显锈迹。</w:t>
      </w:r>
    </w:p>
    <w:p>
      <w:pPr>
        <w:tabs>
          <w:tab w:val="left" w:pos="70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(10)标识：每年维护，确保无缺损。</w:t>
      </w:r>
    </w:p>
    <w:p>
      <w:pPr>
        <w:tabs>
          <w:tab w:val="left" w:pos="70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(11)教室课桌的维修要及时，按教务处要求进行考试开门。</w:t>
      </w:r>
    </w:p>
    <w:p>
      <w:pPr>
        <w:tabs>
          <w:tab w:val="left" w:pos="705"/>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(12)学校活动挂横幅专人负责。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(13)学校活动所用小型展板。</w:t>
      </w:r>
    </w:p>
    <w:p>
      <w:pPr>
        <w:tabs>
          <w:tab w:val="left" w:pos="315"/>
          <w:tab w:val="left" w:pos="945"/>
          <w:tab w:val="left" w:pos="3360"/>
        </w:tabs>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3.11电梯运行的管理和维护</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3.11.1概况</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学校现有电梯18台，其中，教学楼（2）1台、食堂2台、实训楼（1）1台、实训楼（2）1台、图书馆1台、培训楼1台，实训楼（3）（5）（6）共11台，品牌有新马、三洋、霍普曼、日立等。</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3.11.2要求</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(1)电梯运行维护要求联系专门公司专人负责维护，费用在电梯运行维护费中包干。</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(2)轿厢内设施完好，底坑无积水，运行环境良好，轿厢整洁，每日清洁、更换踏垫。</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(3)井道保持清洁，电梯机房通风、照明良好。</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(4)每年进行安全检测并持有有效的《安全使用许可证》，有专人（持有相关证件）对电梯运行进行管理。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(5)电梯发生故障，及时通知维修部门。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(6)发生电梯困人或其它重大事件时，物业服务人员须在五分钟内到现场应急处理，联系维修部门，等待专业技术人员到达现场进行救助。</w:t>
      </w:r>
    </w:p>
    <w:p>
      <w:pPr>
        <w:tabs>
          <w:tab w:val="left" w:pos="315"/>
          <w:tab w:val="left" w:pos="945"/>
          <w:tab w:val="left" w:pos="3360"/>
        </w:tabs>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(7)机房：无积尘、无污迹。</w:t>
      </w:r>
    </w:p>
    <w:p>
      <w:pPr>
        <w:spacing w:line="360" w:lineRule="auto"/>
        <w:ind w:firstLine="482" w:firstLineChars="200"/>
        <w:contextualSpacing/>
        <w:rPr>
          <w:rFonts w:ascii="仿宋" w:hAnsi="仿宋" w:eastAsia="仿宋" w:cs="仿宋"/>
          <w:color w:val="auto"/>
          <w:sz w:val="24"/>
          <w:highlight w:val="none"/>
        </w:rPr>
      </w:pPr>
      <w:r>
        <w:rPr>
          <w:rFonts w:hint="eastAsia" w:ascii="仿宋" w:hAnsi="仿宋" w:eastAsia="仿宋" w:cs="仿宋"/>
          <w:b/>
          <w:bCs/>
          <w:color w:val="auto"/>
          <w:sz w:val="24"/>
          <w:highlight w:val="none"/>
        </w:rPr>
        <w:t>3.12办公设备的维护</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3.12.1概况</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sz w:val="24"/>
          <w:highlight w:val="none"/>
        </w:rPr>
        <w:t>学校各部门现有学校各部门现有复印机9台、速印一体机4台、传真机5台、打印机65台、扫描仪10台，主要是惠普、联想、Ricoh、佳能、夏普、东芝等品牌。</w:t>
      </w:r>
    </w:p>
    <w:p>
      <w:pPr>
        <w:widowControl/>
        <w:spacing w:line="360" w:lineRule="auto"/>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3.12.2</w:t>
      </w:r>
      <w:r>
        <w:rPr>
          <w:rFonts w:hint="eastAsia" w:ascii="仿宋" w:hAnsi="仿宋" w:eastAsia="仿宋" w:cs="仿宋"/>
          <w:color w:val="auto"/>
          <w:sz w:val="24"/>
          <w:highlight w:val="none"/>
        </w:rPr>
        <w:t>维护</w:t>
      </w:r>
      <w:r>
        <w:rPr>
          <w:rFonts w:hint="eastAsia" w:ascii="仿宋" w:hAnsi="仿宋" w:eastAsia="仿宋" w:cs="仿宋"/>
          <w:color w:val="auto"/>
          <w:kern w:val="0"/>
          <w:sz w:val="24"/>
          <w:highlight w:val="none"/>
        </w:rPr>
        <w:t>要求</w:t>
      </w:r>
    </w:p>
    <w:p>
      <w:pPr>
        <w:widowControl/>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（1）须由专业技术人员或由专业公司负责对办公设备进行维护，确保全校所有办公设备能正常使用。维护费用在办公设备维护费中包干，超范围更换的部件从材料费中列支。</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（2）传真机、复印机、速印一体机产品每月保养一次，打印机、扫描仪产品每季度保养一次。</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（3）需建立“办公设备维护台帐”，每次提供保养服务后，需现场填写“维修保养报告”，如实反映办公设备的运转情况，并由双方签字确认。</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（4）提供办公设备保养时发现有故障隐患，需要维修或更换部件，由校方决定是否进行维修或更换部件。</w:t>
      </w:r>
    </w:p>
    <w:p>
      <w:pPr>
        <w:spacing w:line="360" w:lineRule="auto"/>
        <w:ind w:firstLine="405"/>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（5）在接到报修后4个工作小时内派技术人员上门对机器进行维修保养。如办公设备故障严重，无法在一日内修复时，须及时说明，并尽快安排修复。</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（6）部件更换可能会影响办公设备的功能、性能，在校方协商认同后进行。</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（7）提供的更换部件必须保证为与设备同品牌原装部件，如有特殊情况，需在校方认同后更换与原部件应用功能与技术指标相近的部件。</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（8）更换部件的不得高于设备的生产商在本市授权的维修（服务）中心提供的部件价格。</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（9）不应自行更换或雇佣未经校方书面同意的第三方更换或拆卸部件。</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（10）更换的部件在保修期内非人为损坏，需免费更换、维修。部件保修期为：从更换此部件起，三个月止。</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3.13校园雕塑的管理和维护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3.13.1概况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学校现有铜雕约22组,石雕约14组,不锈钢及钢板雕塑5组,分布在全校范围内。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3.13.2要求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（1）建立完善、科学的管理措施及配套维护计划，从雕塑的环境到雕塑本体，根据不同的地理环境、不同的时间段、不同的材质采取不同的养护方法。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（2）做好雕塑养护台帐，每月对所有校园雕塑进行卫生清洁2次，并时刻保持雕塑的清洁、干净。</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（3）由专业资质人员每年对铜雕、石雕、不锈钢及钢板雕塑采用专业材料养护2次，防止出现安全隐患，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（4）避免雕塑出现氧化、风化、油漆掉落等现象、保持雕塑的艺术效果。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（5）安保人员应对雕塑每天进行巡逻检查，确保雕塑的完整性。</w:t>
      </w:r>
    </w:p>
    <w:p>
      <w:pPr>
        <w:spacing w:line="360" w:lineRule="auto"/>
        <w:ind w:firstLine="472" w:firstLineChars="196"/>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3.14亮灯工程的管理和维护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3.14.1概况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学校现有高杆路灯380套，围墙灯490套，景观灯130套，“杭州技师学院”大型LDE灯1套，LED变色洗墙灯500米。分布在全校范围内。</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3.14.2要求</w:t>
      </w:r>
    </w:p>
    <w:p>
      <w:pPr>
        <w:pStyle w:val="932"/>
        <w:spacing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（1）须由专业持证人员完成操作，确保全校所有灯具能正常照明，每年对全校照明进行全面检修4次（上半年2次，下半年2次）。</w:t>
      </w:r>
    </w:p>
    <w:p>
      <w:pPr>
        <w:pStyle w:val="932"/>
        <w:spacing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（2）对不能正常照明的灯具需在24小时内维修完毕。</w:t>
      </w:r>
    </w:p>
    <w:p>
      <w:pPr>
        <w:pStyle w:val="932"/>
        <w:spacing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（3）定期做好支架防锈工作，</w:t>
      </w:r>
    </w:p>
    <w:p>
      <w:pPr>
        <w:spacing w:line="360" w:lineRule="auto"/>
        <w:ind w:firstLine="472" w:firstLineChars="196"/>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3.15净水设备的管理和维护</w:t>
      </w:r>
    </w:p>
    <w:p>
      <w:pPr>
        <w:pStyle w:val="2"/>
        <w:shd w:val="clear" w:color="auto" w:fill="FFFFFF"/>
        <w:tabs>
          <w:tab w:val="clear" w:pos="432"/>
        </w:tabs>
        <w:spacing w:before="0" w:after="0" w:line="360" w:lineRule="auto"/>
        <w:ind w:left="0" w:firstLine="480" w:firstLineChars="200"/>
        <w:contextualSpacing/>
        <w:rPr>
          <w:rFonts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3.15.1概况：学校现有净水设备31台（其中每台有5级滤芯设备），净水设备品牌为AO史密斯，其中11台从2021年12月开始进入维护计划</w:t>
      </w:r>
      <w:r>
        <w:rPr>
          <w:rFonts w:hint="eastAsia" w:ascii="仿宋" w:hAnsi="仿宋" w:eastAsia="仿宋" w:cs="仿宋"/>
          <w:color w:val="auto"/>
          <w:sz w:val="24"/>
          <w:szCs w:val="24"/>
          <w:highlight w:val="none"/>
        </w:rPr>
        <w:t>,</w:t>
      </w:r>
      <w:r>
        <w:rPr>
          <w:rFonts w:hint="eastAsia" w:ascii="仿宋" w:hAnsi="仿宋" w:eastAsia="仿宋" w:cs="仿宋"/>
          <w:b w:val="0"/>
          <w:color w:val="auto"/>
          <w:sz w:val="24"/>
          <w:szCs w:val="24"/>
          <w:highlight w:val="none"/>
        </w:rPr>
        <w:t>食堂另有大型净水装置一套。</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3.15.2要求</w:t>
      </w:r>
    </w:p>
    <w:p>
      <w:pPr>
        <w:pStyle w:val="932"/>
        <w:spacing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（1）每周由专业人员对所有净水器进行巡查检修1-2次，并做好巡检记录。</w:t>
      </w:r>
    </w:p>
    <w:p>
      <w:pPr>
        <w:pStyle w:val="932"/>
        <w:spacing w:line="360" w:lineRule="auto"/>
        <w:ind w:firstLine="480"/>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（2）每年对净水器的水质进行送样检测2次（上半年1次，下半年1次）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（3）每年需要对净水器滤芯设备进行及时更换（全年更换约2000个AO史密斯专用滤芯设备、食堂净水设备滤芯1套）。</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3.16停车棚的维护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3.16.1概况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学校现有膜布形式的停车棚5处，合计45个停车位。</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3.16.2要求</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（1）雨季、冬季来临之前指定专人对膜结构车棚常规检查和维护,确保膜面及排水设备畅通.</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（2）强风、冰雹、暴雨、大雪等恶劣天气过程中及过程后,指定专业技术人员对膜结构车棚安全检查,及时消处存在的隐患。</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（3）由专业技术人员检查膜结构车棚能否处于正常工作状态内,检查内容包括：膜面有无较大变形,膜面能否因预张力损失而松弛,膜面能否局部撕裂,膜材涂层能否剥离,衔接件能否松动等。</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（4）如遇到膜面有较大变形、膜面因预张力损失而松弛等情况,制定二次张拉方案并及时实施。</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（5）如遇膜结构局部撕裂、膜材涂层剥离的情况应及时修补。</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rPr>
        <w:t>　　（6）如遇衔接件松动的情况,及时拧紧或加固。</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（7）每年对所有停车棚的膜布顶棚清洗4次（上半年2次，下半年2次）。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（8）每年对停车棚的钢结构做防锈处理1次。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（9）做好停车棚维护台帐。</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3.17景观湖、河道、橡胶坝的管理与维护</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3.17.1概况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学校现有景观湖2个，校内河道1段（约100米长），河道橡胶坝1处。</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3.17.2要求</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（1）对景观湖、河道进行及时清理，确保无垃圾和无水草重生现象，防止水面成为蚊虫的孳生地。</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（2）对橡胶坝进行定期维护，每年汛期和根据学校需要，对橡胶坝进行及时充放水。</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（3）根据学校需要，确保景观湖水位保持在合理水位线上。</w:t>
      </w:r>
    </w:p>
    <w:p>
      <w:pPr>
        <w:spacing w:line="360" w:lineRule="auto"/>
        <w:ind w:firstLine="360" w:firstLine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（4）做好景观湖内水生植物、观赏鱼类养护，各物种的数量配比合理，形成完善的水体生态系统，水体透明度达50cm以上，水体气味清新，无异味，水质指标符合国家景观水标准。 </w:t>
      </w:r>
    </w:p>
    <w:p>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3.18有害生物防治及应急消毒服务</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3.18.1概况</w:t>
      </w:r>
    </w:p>
    <w:p>
      <w:pPr>
        <w:spacing w:line="360" w:lineRule="auto"/>
        <w:ind w:firstLine="480"/>
        <w:contextualSpacing/>
        <w:rPr>
          <w:rFonts w:ascii="仿宋" w:hAnsi="仿宋" w:eastAsia="仿宋" w:cs="仿宋"/>
          <w:b/>
          <w:bCs/>
          <w:color w:val="auto"/>
          <w:sz w:val="24"/>
          <w:highlight w:val="none"/>
        </w:rPr>
      </w:pPr>
      <w:r>
        <w:rPr>
          <w:rFonts w:hint="eastAsia" w:ascii="仿宋" w:hAnsi="仿宋" w:eastAsia="仿宋" w:cs="仿宋"/>
          <w:color w:val="auto"/>
          <w:sz w:val="24"/>
          <w:highlight w:val="none"/>
        </w:rPr>
        <w:t>学校所有的各楼宇及公共场所有害生物防治及应急消毒服务</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3.18.2要求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（1）确保防治技术服务按《有害生物防治计划书》的要求进行，且不得影响采购方的正常营业。</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（2）现场服务时，要遵守采购方的有关规章制度，做到安全操作不得影响学校的正常教学、生活。</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（3）协助采购方落实有害生物防治的综合防治措施，提出改进建议。</w:t>
      </w:r>
    </w:p>
    <w:p>
      <w:pPr>
        <w:spacing w:line="360" w:lineRule="auto"/>
        <w:ind w:left="360" w:hanging="360" w:hangingChars="15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（4）确保药械使用安全，因中标方使用的药械造成的责任，由中标方承担。</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（5）现场工作时间安排：每次的工作安排提前提供给采购方负责人，以便做好相关准备。</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（6）每年5月份——10月份是有害生物活动与繁殖高发期，中标方每月为采购方提供4次全区域的有害生物综合防治服务，每月不少于4—6工作日。</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（7）其他月份有害生物活动与繁殖趋于平稳，中标方每月为采购方提供2次全区域的有害生物综合防治服务，每月不少于2—4个工作日。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（8）应急防治服务和应急消毒服务，中标方随时到位防治。</w:t>
      </w:r>
    </w:p>
    <w:p>
      <w:pPr>
        <w:tabs>
          <w:tab w:val="left" w:pos="1684"/>
        </w:tabs>
        <w:spacing w:line="360" w:lineRule="auto"/>
        <w:ind w:firstLine="482" w:firstLineChars="200"/>
        <w:contextualSpacing/>
        <w:rPr>
          <w:rFonts w:ascii="仿宋" w:hAnsi="仿宋" w:eastAsia="仿宋" w:cs="仿宋"/>
          <w:b/>
          <w:snapToGrid w:val="0"/>
          <w:color w:val="auto"/>
          <w:kern w:val="0"/>
          <w:sz w:val="24"/>
          <w:highlight w:val="none"/>
        </w:rPr>
      </w:pPr>
      <w:r>
        <w:rPr>
          <w:rFonts w:hint="eastAsia" w:ascii="仿宋" w:hAnsi="仿宋" w:eastAsia="仿宋" w:cs="仿宋"/>
          <w:b/>
          <w:bCs/>
          <w:color w:val="auto"/>
          <w:sz w:val="24"/>
          <w:highlight w:val="none"/>
        </w:rPr>
        <w:t>3.19．垃圾分类处理及清运服务</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3.19.1概况</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学院内所产生的生活、生产垃圾清运及分类处置。</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3.19.2要求</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（1）由中标方将生活、生产垃圾，分类放入指定的垃圾桶内，并加盖封闭。</w:t>
      </w:r>
    </w:p>
    <w:p>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（2）垃圾桶内外整洁，无积垢，无吊挂垃圾，桶内垃圾不满溢，无积留污水、无恶臭，周围无撒落垃圾和堆积杂物。</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（3）垃圾处理必须做到日产日清，每天至少一次对全校垃圾桶（箱）内垃圾进行清运。每天清运时间在下午3：00（5—9月份安排在下午3:30），避免影响正常教学。</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（4）如遇上级检查、开学及毕业生离校等垃圾较多特殊情况应适当增加清运处理次数。   </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清运车辆应车容整洁，车体外部无污物、灰垢，标志应清晰；运输垃圾应密闭，在运输过程中无垃圾扬、撒、拖挂和污水滴漏；垃圾装运量应以车辆的额定荷载和有效容积为限，不得超重、超高运输；装卸垃圾应符合作业要求，不得乱倒、乱卸、乱抛垃圾。</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（6）在垃圾清运处理过程中要遵守校园交通安全规定，若损坏垃圾容器及其它公用设施应照价赔偿。</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（7）垃圾清运后，及时对垃圾桶（箱）进行清洗，确保垃圾桶无污渍，无异味。</w:t>
      </w:r>
    </w:p>
    <w:p>
      <w:pPr>
        <w:spacing w:line="360" w:lineRule="auto"/>
        <w:ind w:firstLine="48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（8）清运处理不符合要求应立即进行整改，确实做到保质保量、安全清运处理、文明清运处理。</w:t>
      </w:r>
    </w:p>
    <w:p>
      <w:pPr>
        <w:spacing w:line="360" w:lineRule="auto"/>
        <w:ind w:firstLine="48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（9）做好垃圾分类台帐。</w:t>
      </w:r>
    </w:p>
    <w:p>
      <w:pPr>
        <w:spacing w:line="360" w:lineRule="auto"/>
        <w:ind w:firstLine="472" w:firstLineChars="196"/>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3.20太阳能设备的管理和维护</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3.20.1概况</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（1）食堂太阳能情况</w:t>
      </w:r>
    </w:p>
    <w:tbl>
      <w:tblPr>
        <w:tblStyle w:val="62"/>
        <w:tblW w:w="9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69"/>
        <w:gridCol w:w="738"/>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869"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货物名称</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5750"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空气源热泵热水机组</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6台</w:t>
            </w:r>
          </w:p>
        </w:tc>
        <w:tc>
          <w:tcPr>
            <w:tcW w:w="5750" w:type="dxa"/>
            <w:noWrap w:val="0"/>
            <w:vAlign w:val="top"/>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单台额定制热量≥40KW，额定COP≥4.0。单台机组平均输入功率≤10KW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太阳能真空管集热器</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85套</w:t>
            </w:r>
          </w:p>
        </w:tc>
        <w:tc>
          <w:tcPr>
            <w:tcW w:w="5750" w:type="dxa"/>
            <w:noWrap w:val="0"/>
            <w:vAlign w:val="top"/>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规格：￠58*1800/50（含集热器支架等配件）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卧式防污垢热水循环泵</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10台</w:t>
            </w:r>
          </w:p>
        </w:tc>
        <w:tc>
          <w:tcPr>
            <w:tcW w:w="5750"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循环供热水泵功率：1.5 KW/台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卧式防污垢回水泵</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3台</w:t>
            </w:r>
          </w:p>
        </w:tc>
        <w:tc>
          <w:tcPr>
            <w:tcW w:w="5750"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循环回热水泵为知名品牌功率：0.75 KW/台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智能电控系统</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1套</w:t>
            </w:r>
          </w:p>
        </w:tc>
        <w:tc>
          <w:tcPr>
            <w:tcW w:w="5750" w:type="dxa"/>
            <w:noWrap w:val="0"/>
            <w:vAlign w:val="center"/>
          </w:tcPr>
          <w:p>
            <w:pPr>
              <w:spacing w:line="360" w:lineRule="auto"/>
              <w:contextualSpacing/>
              <w:rPr>
                <w:rFonts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不锈钢拼接式保温水箱，单个水箱容量为26吨</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2个</w:t>
            </w:r>
          </w:p>
        </w:tc>
        <w:tc>
          <w:tcPr>
            <w:tcW w:w="5750"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规格：6500*2000*2000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不锈钢拼接式储水箱，单个水箱容量为8吨</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1个</w:t>
            </w:r>
          </w:p>
        </w:tc>
        <w:tc>
          <w:tcPr>
            <w:tcW w:w="5750"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规格：2000*2000*2000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2869"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即热型电热水炉</w:t>
            </w:r>
          </w:p>
        </w:tc>
        <w:tc>
          <w:tcPr>
            <w:tcW w:w="738" w:type="dxa"/>
            <w:noWrap w:val="0"/>
            <w:vAlign w:val="center"/>
          </w:tcPr>
          <w:p>
            <w:pPr>
              <w:spacing w:line="360" w:lineRule="auto"/>
              <w:contextualSpacing/>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3台</w:t>
            </w:r>
          </w:p>
        </w:tc>
        <w:tc>
          <w:tcPr>
            <w:tcW w:w="5750" w:type="dxa"/>
            <w:noWrap w:val="0"/>
            <w:vAlign w:val="center"/>
          </w:tcPr>
          <w:p>
            <w:pPr>
              <w:spacing w:line="360" w:lineRule="auto"/>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单台功率不低于54KW</w:t>
            </w:r>
          </w:p>
        </w:tc>
      </w:tr>
    </w:tbl>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（2）培训楼太阳能情况</w:t>
      </w:r>
    </w:p>
    <w:tbl>
      <w:tblPr>
        <w:tblStyle w:val="62"/>
        <w:tblpPr w:leftFromText="180" w:rightFromText="180" w:vertAnchor="text" w:horzAnchor="page" w:tblpX="1189" w:tblpY="26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2633"/>
        <w:gridCol w:w="657"/>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空气源热泵热水机组</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2台</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单台额定制热量≥80KW，额定COP≥4.0，单台机组平均输入功率≤20KW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太阳能真空管集热器</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24套</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集热器采用联箱式全玻璃真空集热横插式模块，单个模块即热面积7.5平方米以上。规格：Φ58*1800/50（含集热器支架等配件）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卧式防污垢热水循环泵</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4台</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型号：PH-401E，额定扬程16M，额定流量6.6M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/H，输出功率：0.4KW/台；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卧式防污垢热水循环泵</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2台</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参考型号：PH-253E，额定扬程4M，额定流量11.4M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/H，输出功率：0.25KW/台；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卧式防污垢回水泵</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2台</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型号：PH-254E，额定扬程10M，额定流量3.0M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/H，输出功率：0.25KW/台；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卧式防污垢补水泵</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2台</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型号：PH-123E，额定扬程3M，额定流量8.1M</w:t>
            </w:r>
            <w:r>
              <w:rPr>
                <w:rFonts w:hint="eastAsia" w:ascii="仿宋" w:hAnsi="仿宋" w:eastAsia="仿宋" w:cs="仿宋"/>
                <w:color w:val="auto"/>
                <w:sz w:val="24"/>
                <w:highlight w:val="none"/>
                <w:vertAlign w:val="superscript"/>
              </w:rPr>
              <w:t>3</w:t>
            </w:r>
            <w:r>
              <w:rPr>
                <w:rFonts w:hint="eastAsia" w:ascii="仿宋" w:hAnsi="仿宋" w:eastAsia="仿宋" w:cs="仿宋"/>
                <w:color w:val="auto"/>
                <w:sz w:val="24"/>
                <w:highlight w:val="none"/>
              </w:rPr>
              <w:t>/H，输出功率：0.125KW/台；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不锈钢拼接式保温水箱，单个水箱容量为12吨</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1个</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夹层5CM聚胺酯发泡：环境温度5℃时，55℃水温24小时温降小于6℃.规格：3000*2000*2000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不锈钢拼接式储水箱，单个水箱容量为5吨</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1个</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规格：1500*2000*2000，自来水箱水位采用水位与自来水增压水泵联动控制。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4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即热型电热水炉</w:t>
            </w:r>
          </w:p>
        </w:tc>
        <w:tc>
          <w:tcPr>
            <w:tcW w:w="354"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1台</w:t>
            </w:r>
          </w:p>
        </w:tc>
        <w:tc>
          <w:tcPr>
            <w:tcW w:w="28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单台功率不低于45KW</w:t>
            </w:r>
          </w:p>
        </w:tc>
      </w:tr>
    </w:tbl>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3.20.2要求</w:t>
      </w:r>
    </w:p>
    <w:p>
      <w:pPr>
        <w:spacing w:line="360" w:lineRule="auto"/>
        <w:ind w:firstLine="480"/>
        <w:contextualSpacing/>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（1）确保</w:t>
      </w:r>
      <w:r>
        <w:rPr>
          <w:rFonts w:hint="eastAsia" w:ascii="仿宋" w:hAnsi="仿宋" w:eastAsia="仿宋" w:cs="仿宋"/>
          <w:color w:val="auto"/>
          <w:sz w:val="24"/>
          <w:highlight w:val="none"/>
        </w:rPr>
        <w:t>学院培训楼和食堂太阳能设备能正常运行。</w:t>
      </w:r>
    </w:p>
    <w:p>
      <w:pPr>
        <w:pStyle w:val="57"/>
        <w:shd w:val="clear" w:color="auto" w:fill="FFFFFF"/>
        <w:spacing w:before="0" w:beforeAutospacing="0" w:after="0" w:afterAutospacing="0" w:line="360" w:lineRule="auto"/>
        <w:ind w:firstLine="480" w:firstLineChars="200"/>
        <w:contextualSpacing/>
        <w:rPr>
          <w:rFonts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（2）定期进行系统排污，防止管路阻塞；并对水箱进行清洗，保证水质清洁。</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shd w:val="clear" w:color="auto" w:fill="FFFFFF"/>
        </w:rPr>
        <w:t xml:space="preserve">    （3）定期清洗真空管，清洗反射板、太阳能集热器透明盖板上的尘埃、污垢，保持设备清洁。</w:t>
      </w:r>
    </w:p>
    <w:p>
      <w:pPr>
        <w:pStyle w:val="57"/>
        <w:shd w:val="clear" w:color="auto" w:fill="FFFFFF"/>
        <w:spacing w:before="0" w:beforeAutospacing="0" w:after="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shd w:val="clear" w:color="auto" w:fill="FFFFFF"/>
        </w:rPr>
        <w:t>（4）要定期检查真空管内玻璃管是否破碎，注意检查透明盖板是否损坏，如有损坏应及时的需更。</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shd w:val="clear" w:color="auto" w:fill="FFFFFF"/>
        </w:rPr>
        <w:t xml:space="preserve">    （5）定期检查各管道、阀门、浮球阀、电磁阀、连接胶管等有无渗漏现象，如有则应及时修复。</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shd w:val="clear" w:color="auto" w:fill="FFFFFF"/>
        </w:rPr>
        <w:t xml:space="preserve">    （6）集热器的吸热涂层若有损坏或脱落应及时修复。所有支架、管路等每年涂刷一次保护漆，以防锈蚀。</w:t>
      </w:r>
    </w:p>
    <w:p>
      <w:pPr>
        <w:pStyle w:val="57"/>
        <w:shd w:val="clear" w:color="auto" w:fill="FFFFFF"/>
        <w:spacing w:before="0" w:beforeAutospacing="0" w:after="0" w:afterAutospacing="0" w:line="360" w:lineRule="auto"/>
        <w:contextualSpacing/>
        <w:rPr>
          <w:rFonts w:ascii="仿宋" w:hAnsi="仿宋" w:eastAsia="仿宋" w:cs="仿宋"/>
          <w:color w:val="auto"/>
          <w:highlight w:val="none"/>
        </w:rPr>
      </w:pPr>
      <w:r>
        <w:rPr>
          <w:rFonts w:hint="eastAsia" w:ascii="仿宋" w:hAnsi="仿宋" w:eastAsia="仿宋" w:cs="仿宋"/>
          <w:color w:val="auto"/>
          <w:highlight w:val="none"/>
          <w:shd w:val="clear" w:color="auto" w:fill="FFFFFF"/>
        </w:rPr>
        <w:t xml:space="preserve">    （7）为防止闷晒，需定期检查循环管道是否堵塞、自然循环系统中冷水供水是否充足、强制循环系统中循环泵是否正常等。</w:t>
      </w:r>
    </w:p>
    <w:p>
      <w:pPr>
        <w:pStyle w:val="57"/>
        <w:shd w:val="clear" w:color="auto" w:fill="FFFFFF"/>
        <w:spacing w:before="0" w:beforeAutospacing="0" w:after="0" w:afterAutospacing="0" w:line="360" w:lineRule="auto"/>
        <w:contextualSpacing/>
        <w:rPr>
          <w:rFonts w:ascii="仿宋" w:hAnsi="仿宋" w:eastAsia="仿宋" w:cs="仿宋"/>
          <w:color w:val="auto"/>
          <w:highlight w:val="none"/>
          <w:shd w:val="clear" w:color="auto" w:fill="FFFFFF"/>
        </w:rPr>
      </w:pPr>
      <w:r>
        <w:rPr>
          <w:rFonts w:hint="eastAsia" w:ascii="仿宋" w:hAnsi="仿宋" w:eastAsia="仿宋" w:cs="仿宋"/>
          <w:color w:val="auto"/>
          <w:highlight w:val="none"/>
        </w:rPr>
        <w:t xml:space="preserve">    （8）</w:t>
      </w:r>
      <w:r>
        <w:rPr>
          <w:rFonts w:hint="eastAsia" w:ascii="仿宋" w:hAnsi="仿宋" w:eastAsia="仿宋" w:cs="仿宋"/>
          <w:color w:val="auto"/>
          <w:highlight w:val="none"/>
          <w:shd w:val="clear" w:color="auto" w:fill="FFFFFF"/>
        </w:rPr>
        <w:t>应定期检查辅助热源装置及换热器工作正常与否，确保漏电保护装置工作可靠、</w:t>
      </w:r>
    </w:p>
    <w:p>
      <w:pPr>
        <w:pStyle w:val="57"/>
        <w:shd w:val="clear" w:color="auto" w:fill="FFFFFF"/>
        <w:spacing w:before="0" w:beforeAutospacing="0" w:after="0" w:afterAutospacing="0" w:line="360" w:lineRule="auto"/>
        <w:contextualSpacing/>
        <w:rPr>
          <w:rFonts w:ascii="仿宋" w:hAnsi="仿宋" w:eastAsia="仿宋" w:cs="仿宋"/>
          <w:b/>
          <w:bCs/>
          <w:color w:val="auto"/>
          <w:highlight w:val="none"/>
        </w:rPr>
      </w:pPr>
      <w:r>
        <w:rPr>
          <w:rFonts w:hint="eastAsia" w:ascii="仿宋" w:hAnsi="仿宋" w:eastAsia="仿宋" w:cs="仿宋"/>
          <w:color w:val="auto"/>
          <w:highlight w:val="none"/>
          <w:shd w:val="clear" w:color="auto" w:fill="FFFFFF"/>
        </w:rPr>
        <w:t xml:space="preserve">    （9）冬季气温低于0℃时平板型系统，应排空集热器内的水；安装有防冻控制系统功能的强制循环系统，则只需启动防冻系统即可，不必排空系统内的水。</w:t>
      </w:r>
    </w:p>
    <w:p>
      <w:pPr>
        <w:spacing w:line="360" w:lineRule="auto"/>
        <w:ind w:firstLine="482" w:firstLineChars="200"/>
        <w:contextualSpacing/>
        <w:rPr>
          <w:rFonts w:ascii="仿宋" w:hAnsi="仿宋" w:eastAsia="仿宋" w:cs="仿宋"/>
          <w:color w:val="auto"/>
          <w:sz w:val="24"/>
          <w:highlight w:val="none"/>
        </w:rPr>
      </w:pPr>
      <w:r>
        <w:rPr>
          <w:rFonts w:hint="eastAsia" w:ascii="仿宋" w:hAnsi="仿宋" w:eastAsia="仿宋" w:cs="仿宋"/>
          <w:b/>
          <w:bCs/>
          <w:color w:val="auto"/>
          <w:sz w:val="24"/>
          <w:highlight w:val="none"/>
        </w:rPr>
        <w:t>3.21 上述房屋、道路及水电、教学设施设备等维护相关技术人员要求</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(1)项目工程主管、维修主管、弱电主管须相关专业本科（技师）及以上学历，其他专业技术人员须相关专业大专（高级工）及以上学历，</w:t>
      </w:r>
      <w:r>
        <w:rPr>
          <w:rFonts w:hint="eastAsia" w:ascii="仿宋" w:hAnsi="仿宋" w:eastAsia="仿宋" w:cs="仿宋"/>
          <w:color w:val="auto"/>
          <w:sz w:val="24"/>
          <w:highlight w:val="none"/>
        </w:rPr>
        <w:t>从业人员年龄女性不得超过50周岁、男性不得超过60周岁，年龄为55周岁以下人数不得低于80%（由学校推荐的人员可适当放宽年龄要求)</w:t>
      </w:r>
      <w:r>
        <w:rPr>
          <w:rFonts w:hint="eastAsia" w:ascii="仿宋" w:hAnsi="仿宋" w:eastAsia="仿宋" w:cs="仿宋"/>
          <w:color w:val="auto"/>
          <w:kern w:val="0"/>
          <w:sz w:val="24"/>
          <w:highlight w:val="none"/>
        </w:rPr>
        <w:t>，身体健康，工作认真负责并定期接受培训。</w:t>
      </w:r>
    </w:p>
    <w:p>
      <w:pPr>
        <w:tabs>
          <w:tab w:val="left" w:pos="315"/>
          <w:tab w:val="left" w:pos="945"/>
          <w:tab w:val="left" w:pos="3360"/>
        </w:tabs>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(2)总人数不少于20人（含夜间值班人员），其中，主管3人，水电维修工8人、综合类维修工7人、弱电维护及管理4人，晚上17：00—次日7：30应急维修，包括水电、门窗、用电设备等维修；能确保各类维修项目得到正常实施，保证学校的教育教学活动正常开展。</w:t>
      </w:r>
    </w:p>
    <w:p>
      <w:pPr>
        <w:spacing w:line="360" w:lineRule="auto"/>
        <w:ind w:firstLine="480" w:firstLineChars="200"/>
        <w:contextualSpacing/>
        <w:rPr>
          <w:rFonts w:ascii="仿宋" w:hAnsi="仿宋" w:eastAsia="仿宋" w:cs="仿宋"/>
          <w:color w:val="auto"/>
          <w:kern w:val="0"/>
          <w:sz w:val="24"/>
          <w:highlight w:val="none"/>
        </w:rPr>
      </w:pPr>
      <w:r>
        <w:rPr>
          <w:rFonts w:hint="eastAsia" w:ascii="仿宋" w:hAnsi="仿宋" w:eastAsia="仿宋" w:cs="仿宋"/>
          <w:color w:val="auto"/>
          <w:sz w:val="24"/>
          <w:highlight w:val="none"/>
        </w:rPr>
        <w:t>(3)持证上岗，按需求穿戴统一制服，佩戴统一标志，仪容仪表规范整齐</w:t>
      </w:r>
      <w:r>
        <w:rPr>
          <w:rFonts w:hint="eastAsia" w:ascii="仿宋" w:hAnsi="仿宋" w:eastAsia="仿宋" w:cs="仿宋"/>
          <w:color w:val="auto"/>
          <w:kern w:val="0"/>
          <w:sz w:val="24"/>
          <w:highlight w:val="none"/>
        </w:rPr>
        <w:t>。</w:t>
      </w:r>
    </w:p>
    <w:p>
      <w:pPr>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kern w:val="0"/>
          <w:sz w:val="24"/>
          <w:highlight w:val="none"/>
        </w:rPr>
        <w:t>(4)文明工作，训练有素，言语规范。</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★4．物业服务人员人数核定不得少于195人</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安保服务人数47人；维修服务人数22人；绿化服务人数20人；宿管服务人数32人；保洁服务人数62人；行政管理及会务人员12人，共计195人。从业人员年龄女性不得超过50周岁、男性不得超过60周岁，破格录用有特长的专业人员须征得业主方同意方可聘用。各项目岗位及具体人员组成表如下：</w:t>
      </w:r>
    </w:p>
    <w:tbl>
      <w:tblPr>
        <w:tblStyle w:val="62"/>
        <w:tblW w:w="9900" w:type="dxa"/>
        <w:tblInd w:w="93" w:type="dxa"/>
        <w:tblLayout w:type="autofit"/>
        <w:tblCellMar>
          <w:top w:w="0" w:type="dxa"/>
          <w:left w:w="108" w:type="dxa"/>
          <w:bottom w:w="0" w:type="dxa"/>
          <w:right w:w="108" w:type="dxa"/>
        </w:tblCellMar>
      </w:tblPr>
      <w:tblGrid>
        <w:gridCol w:w="640"/>
        <w:gridCol w:w="900"/>
        <w:gridCol w:w="2080"/>
        <w:gridCol w:w="860"/>
        <w:gridCol w:w="980"/>
        <w:gridCol w:w="4440"/>
      </w:tblGrid>
      <w:tr>
        <w:tblPrEx>
          <w:tblCellMar>
            <w:top w:w="0" w:type="dxa"/>
            <w:left w:w="108" w:type="dxa"/>
            <w:bottom w:w="0" w:type="dxa"/>
            <w:right w:w="108" w:type="dxa"/>
          </w:tblCellMar>
        </w:tblPrEx>
        <w:trPr>
          <w:trHeight w:val="81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9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部门</w:t>
            </w:r>
          </w:p>
        </w:tc>
        <w:tc>
          <w:tcPr>
            <w:tcW w:w="20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岗位</w:t>
            </w:r>
          </w:p>
        </w:tc>
        <w:tc>
          <w:tcPr>
            <w:tcW w:w="86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2022年岗位测算</w:t>
            </w:r>
          </w:p>
        </w:tc>
        <w:tc>
          <w:tcPr>
            <w:tcW w:w="9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2022年各项目人数测算</w:t>
            </w:r>
          </w:p>
        </w:tc>
        <w:tc>
          <w:tcPr>
            <w:tcW w:w="444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tblPrEx>
          <w:tblCellMar>
            <w:top w:w="0" w:type="dxa"/>
            <w:left w:w="108" w:type="dxa"/>
            <w:bottom w:w="0" w:type="dxa"/>
            <w:right w:w="108" w:type="dxa"/>
          </w:tblCellMar>
        </w:tblPrEx>
        <w:trPr>
          <w:trHeight w:val="7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0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管理人员</w:t>
            </w: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经理及客服会务等</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98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项目经理1人，办公室内勤、出纳、采购3人，客服、仓管2人，会务及值班驾驶员6人</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0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保安消控**</w:t>
            </w: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保安主管</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restart"/>
            <w:tcBorders>
              <w:top w:val="nil"/>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47</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主管老校区1、新校区通航中心1</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保安队长</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共3班，每班14人（老门2人；新门2人，消控室 2人，巡逻4人，门洞岗1人，通航和新建区域大门2人，4号桥F区块1人）</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保安门岗</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巡逻</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消控</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90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保洁</w:t>
            </w: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保洁主管</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restart"/>
            <w:tcBorders>
              <w:top w:val="nil"/>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900"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保洁领班</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办公室保洁</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全院教师办公室保洁，一天2次</w:t>
            </w:r>
          </w:p>
        </w:tc>
      </w:tr>
      <w:tr>
        <w:tblPrEx>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玻璃保洁</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每天对每层楼2米以下玻璃进行轮流保洁、兼洗车服务</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图书楼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行政楼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教学楼1  </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实训楼1、宝马</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宝马培训1人、宝马以外楼层1人</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实训楼2、宝马</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宝马培训1人、宝马以外楼层1人</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体育馆</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教学楼2</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教学楼3和基础部办公楼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培训楼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实训楼3</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实训楼5、报告厅</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实训楼6</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教师值班室</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含老师值班室7间、布草仓库</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食堂保洁</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含食堂5个餐厅保洁9人（由食堂考核），食堂5支楼梯、全部卫生间、食堂下垃圾亭及垃圾桶保洁1人</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室外球场运动场</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室外外围含新校区</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物业须配备扫地车，配备2名能开电动扫地车人员</w:t>
            </w:r>
          </w:p>
        </w:tc>
      </w:tr>
      <w:tr>
        <w:tblPrEx>
          <w:tblCellMar>
            <w:top w:w="0" w:type="dxa"/>
            <w:left w:w="108" w:type="dxa"/>
            <w:bottom w:w="0" w:type="dxa"/>
            <w:right w:w="108" w:type="dxa"/>
          </w:tblCellMar>
        </w:tblPrEx>
        <w:trPr>
          <w:trHeight w:val="49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通航中心及训练场地</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7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29</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7幢学生公寓楼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980" w:type="dxa"/>
            <w:vMerge w:val="continue"/>
            <w:tcBorders>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5号楼2人、其他公寓楼各1人</w:t>
            </w:r>
          </w:p>
        </w:tc>
      </w:tr>
      <w:tr>
        <w:tblPrEx>
          <w:tblCellMar>
            <w:top w:w="0" w:type="dxa"/>
            <w:left w:w="108" w:type="dxa"/>
            <w:bottom w:w="0" w:type="dxa"/>
            <w:right w:w="108" w:type="dxa"/>
          </w:tblCellMar>
        </w:tblPrEx>
        <w:trPr>
          <w:trHeight w:val="91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30</w:t>
            </w:r>
          </w:p>
        </w:tc>
        <w:tc>
          <w:tcPr>
            <w:tcW w:w="900" w:type="dxa"/>
            <w:vMerge w:val="restart"/>
            <w:tcBorders>
              <w:top w:val="nil"/>
              <w:left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工程维修</w:t>
            </w: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项目工程主管1、维修主管1、弱电主管1</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restart"/>
            <w:tcBorders>
              <w:top w:val="nil"/>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须配备高低配电工6人，晚上值班1人（含培训楼、水泵房、净水房等管理）；团委体育馆音响、广播、会议室等音响管理1人　</w:t>
            </w:r>
          </w:p>
        </w:tc>
      </w:tr>
      <w:tr>
        <w:tblPrEx>
          <w:tblCellMar>
            <w:top w:w="0" w:type="dxa"/>
            <w:left w:w="108" w:type="dxa"/>
            <w:bottom w:w="0" w:type="dxa"/>
            <w:right w:w="108" w:type="dxa"/>
          </w:tblCellMar>
        </w:tblPrEx>
        <w:trPr>
          <w:trHeight w:val="462"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31</w:t>
            </w:r>
          </w:p>
        </w:tc>
        <w:tc>
          <w:tcPr>
            <w:tcW w:w="900"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水电维修工</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39"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900" w:type="dxa"/>
            <w:vMerge w:val="continue"/>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综合类维修工</w:t>
            </w:r>
          </w:p>
        </w:tc>
        <w:tc>
          <w:tcPr>
            <w:tcW w:w="86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single" w:color="auto" w:sz="4" w:space="0"/>
              <w:left w:val="nil"/>
              <w:bottom w:val="single" w:color="auto" w:sz="4" w:space="0"/>
              <w:right w:val="single" w:color="auto" w:sz="4" w:space="0"/>
            </w:tcBorders>
            <w:noWrap w:val="0"/>
            <w:vAlign w:val="center"/>
          </w:tcPr>
          <w:p>
            <w:pPr>
              <w:widowControl/>
              <w:spacing w:line="360" w:lineRule="auto"/>
              <w:rPr>
                <w:rFonts w:ascii="仿宋_GB2312" w:hAnsi="宋体" w:eastAsia="仿宋_GB2312" w:cs="宋体"/>
                <w:color w:val="auto"/>
                <w:kern w:val="0"/>
                <w:sz w:val="20"/>
                <w:szCs w:val="20"/>
                <w:highlight w:val="none"/>
              </w:rPr>
            </w:pPr>
            <w:r>
              <w:rPr>
                <w:rFonts w:hint="eastAsia" w:ascii="宋体" w:hAnsi="宋体" w:cs="宋体"/>
                <w:color w:val="auto"/>
                <w:kern w:val="0"/>
                <w:szCs w:val="21"/>
                <w:highlight w:val="none"/>
              </w:rPr>
              <w:t>含木工、泥工、五金、锁具等</w:t>
            </w:r>
          </w:p>
        </w:tc>
      </w:tr>
      <w:tr>
        <w:tblPrEx>
          <w:tblCellMar>
            <w:top w:w="0" w:type="dxa"/>
            <w:left w:w="108" w:type="dxa"/>
            <w:bottom w:w="0" w:type="dxa"/>
            <w:right w:w="108" w:type="dxa"/>
          </w:tblCellMar>
        </w:tblPrEx>
        <w:trPr>
          <w:trHeight w:val="392"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33</w:t>
            </w:r>
          </w:p>
        </w:tc>
        <w:tc>
          <w:tcPr>
            <w:tcW w:w="900" w:type="dxa"/>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弱电维护工</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17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34</w:t>
            </w:r>
          </w:p>
        </w:tc>
        <w:tc>
          <w:tcPr>
            <w:tcW w:w="900" w:type="dxa"/>
            <w:vMerge w:val="continue"/>
            <w:tcBorders>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广播、音响管理员</w:t>
            </w:r>
          </w:p>
        </w:tc>
        <w:tc>
          <w:tcPr>
            <w:tcW w:w="86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35</w:t>
            </w:r>
          </w:p>
        </w:tc>
        <w:tc>
          <w:tcPr>
            <w:tcW w:w="90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宿管</w:t>
            </w: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综合部长</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restart"/>
            <w:tcBorders>
              <w:top w:val="nil"/>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36</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宿管楼长</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7幢宿舍楼（1号和7号楼合1幢），每幢公寓楼每班设1名楼长。</w:t>
            </w: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37</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1号7号宿舍楼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系部要求白班1人</w:t>
            </w:r>
          </w:p>
        </w:tc>
      </w:tr>
      <w:tr>
        <w:tblPrEx>
          <w:tblCellMar>
            <w:top w:w="0" w:type="dxa"/>
            <w:left w:w="108" w:type="dxa"/>
            <w:bottom w:w="0" w:type="dxa"/>
            <w:right w:w="108" w:type="dxa"/>
          </w:tblCellMar>
        </w:tblPrEx>
        <w:trPr>
          <w:trHeight w:val="391"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38</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2号宿舍楼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39</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3号宿舍楼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40</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5号宿舍楼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系部要求白班1人</w:t>
            </w: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41</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6号宿舍楼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8号宿舍楼</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43</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学生管理（辅导员）</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四系一部各1名</w:t>
            </w: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44</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收发</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45</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卫生检查</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46</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垃圾分类管理员</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continue"/>
            <w:tcBorders>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47</w:t>
            </w:r>
          </w:p>
        </w:tc>
        <w:tc>
          <w:tcPr>
            <w:tcW w:w="90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室内外绿化养护</w:t>
            </w: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主管</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80" w:type="dxa"/>
            <w:vMerge w:val="restart"/>
            <w:tcBorders>
              <w:top w:val="nil"/>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39"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技师</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49</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室内绿化养护工</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80" w:type="dxa"/>
            <w:vMerge w:val="continue"/>
            <w:tcBorders>
              <w:left w:val="nil"/>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室内3人、室外花箱及零星草花1人、花哺房1人</w:t>
            </w:r>
          </w:p>
        </w:tc>
      </w:tr>
      <w:tr>
        <w:tblPrEx>
          <w:tblCellMar>
            <w:top w:w="0" w:type="dxa"/>
            <w:left w:w="108" w:type="dxa"/>
            <w:bottom w:w="0" w:type="dxa"/>
            <w:right w:w="108" w:type="dxa"/>
          </w:tblCellMar>
        </w:tblPrEx>
        <w:trPr>
          <w:trHeight w:val="522"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50</w:t>
            </w:r>
          </w:p>
        </w:tc>
        <w:tc>
          <w:tcPr>
            <w:tcW w:w="9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室外绿化养护工</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80" w:type="dxa"/>
            <w:vMerge w:val="continue"/>
            <w:tcBorders>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划区块责任到人</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90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p>
        </w:tc>
        <w:tc>
          <w:tcPr>
            <w:tcW w:w="208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合计</w:t>
            </w:r>
          </w:p>
        </w:tc>
        <w:tc>
          <w:tcPr>
            <w:tcW w:w="86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195</w:t>
            </w:r>
          </w:p>
        </w:tc>
        <w:tc>
          <w:tcPr>
            <w:tcW w:w="980"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195</w:t>
            </w:r>
          </w:p>
        </w:tc>
        <w:tc>
          <w:tcPr>
            <w:tcW w:w="444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bl>
    <w:p>
      <w:pPr>
        <w:spacing w:line="360" w:lineRule="auto"/>
        <w:ind w:firstLine="482" w:firstLineChars="200"/>
        <w:contextualSpacing/>
        <w:rPr>
          <w:rFonts w:ascii="仿宋" w:hAnsi="仿宋" w:eastAsia="仿宋" w:cs="仿宋"/>
          <w:b/>
          <w:color w:val="auto"/>
          <w:sz w:val="24"/>
          <w:highlight w:val="none"/>
        </w:rPr>
      </w:pP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5．管理服务应达到的各项指标</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5.1杜绝火灾责任事故，杜绝刑事案件；</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5.2办公、环境卫生、清洁率达99%；</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5.3消防设备设施完好率100%；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5.4房屋完好率100%；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5.5设备完好率100%；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5.6智能化系统运行正常率100%；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5.7零修、报修及时率100%，返修率小于1%；</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5.8服务有效投诉少于1%，处理率100%；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5.9人防设施、设备完好率100%；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5.10回访率95%，业主满意率95%。</w:t>
      </w:r>
    </w:p>
    <w:p>
      <w:pPr>
        <w:autoSpaceDE w:val="0"/>
        <w:autoSpaceDN w:val="0"/>
        <w:spacing w:line="360" w:lineRule="auto"/>
        <w:ind w:firstLine="472" w:firstLineChars="196"/>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6．其他要求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6.1投标人须具有“管理育人、服务育人”的责任，必须为师生提供优质高效的服务，配合学校开展各项教学工作，创设一流的服务，树立学校的形象，以规范合理的管理来保证各项工作的顺利进行。</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color w:val="auto"/>
          <w:sz w:val="24"/>
          <w:highlight w:val="none"/>
        </w:rPr>
        <w:t>6.2采购人不提供任何住宿，所有工作人员的住宿问题由中标人自行解决。</w:t>
      </w:r>
      <w:r>
        <w:rPr>
          <w:rFonts w:hint="eastAsia" w:ascii="仿宋" w:hAnsi="仿宋" w:eastAsia="仿宋" w:cs="仿宋"/>
          <w:bCs/>
          <w:color w:val="auto"/>
          <w:sz w:val="24"/>
          <w:highlight w:val="none"/>
        </w:rPr>
        <w:t>学校提供2间管理用房,为高配值班人员及晚上宿管免费提供值班床位。</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6.3中标人应在学校设立物业管理处，常住不少于1名项目经理，要求相关专业大专及以上（每天7—17点上班，其余时间保持电话畅通），行政、客服、会务等人员11人，要求高中及以上学历。由学校免费提供办公室、空调；各分项目按业主要求要求安排至少安排一名项目主管。每天需有夜间总值班和值班驾驶员各一人在校（时间为：17:00—次日8:00）</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6.4采购人有权推荐各类服务人员，中标人需给予学校现有员工一个月以上的试用，视具体试用情况决定是否录用，双方双向选择。在同等条件下需优先录用学校现有员工。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6.5采购人不提供任何工作设备工具，所有设备工具均由中标人提供。</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6.6根据学校的需要，除每天提供正常会务外，每年开学、成考、期中、期末、技能鉴定等考场、大型活动等会议服务，人员以女性为主，身高160ＣＭ以上，形象佳。值班驾驶员做好会务服务和晚间值班等工作。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6.7根据学校的时间安排和具体要求，每年提供开学、成考、期中、期末、技能鉴定等考场、活动服务工作，如学校需要，中标人有能力组织抽调其他工作人员来校工作。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6.8中标人须完成学校临时交给的其他任务，如临时性物品搬动等工作。</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6.9中标人员在本校的服务时出现意外伤害事故，均由中标人负责；水电工、高配工、消控须购买意外险。</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6.10中标人的工作人员须符合国家各项用工政策法律法规及杭州市政府用工标准要求，全部人员必须购买相应的劳动保险，并交学校备案，如有用工纠纷，由中标人自行解决。需要持有上岗证上岗的工种的工作人员须全部持有相应职位的资格上岗证。</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6.11为稳定学校工作人员的需要，工作人员的月工资不低于桐庐县最低工资标准，每季度由中标人向学校递交一份相关报表。</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6.12中标人应根据学校的实际情况合理调整人员做好学校的整体工作，如发生突发事件时，应整体调配人员，配合学校进行现场处理。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6.13学校对岗位设置、人员选用与日常管理具有监督权和协调权。中标人必须保证派驻学校工作人员的稳定性，如有工作人员调离，需书面通知学校相关负责人,中标人须向学校承诺保持学校服务人员稳定的具体方案。</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6.14中标人各类工作人员按岗位要求统一着装，言行规范，注意仪容、公众形象。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6.15中标人工作人员须遵守学校相关规章制度规定，如有违反或损害学校利益经教育无效，学校有拒绝中标人违规工作人员在此工作的权利。</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6.16中标人需负责各工作人员的制服、警具、劳动工具、劳保福利等。</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6.17中标人的工作人员在校内发生违法、违规行为或在操作过程中出现工伤事故，所造成一切后果及损失，由中标人负责赔偿。</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6.18由于中标人派驻学校的工作人员不尽职守的，如私拿学校、师生物品，与师生吵架、斗殴等，必须在接到采购人书面通知后3天内更换人员。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6.19中标人必须接受学校检查监督，并及时提供所有值班巡查保洁记录。</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6.20采购人每季度对物业管理公司在岗人员进行岗位综合考核，在考核合格后按季支付中标人的相应服务费。学校凭中标人开具的完税发票以支票(转帐)支付上季的服务费。</w:t>
      </w:r>
    </w:p>
    <w:p>
      <w:pPr>
        <w:spacing w:line="360" w:lineRule="auto"/>
        <w:ind w:firstLine="480" w:firstLineChars="200"/>
        <w:contextualSpacing/>
        <w:rPr>
          <w:rFonts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6.21师生问卷调查，不满意率超过10%时，采购人有权中止合同；季度考核得分低于80分，按合同约定扣除物业费，每低于1分（含）扣除当季物业人员工资费用1%。</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6.22各单项服务费用（未实际产生部分），由采购人和服务供应商协商共同安排用于学校物业服务的相关项目。</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6.23本招标文件的要求为采购人基本要求，各投标人可根据本单位实际进行调整，但不得低于上述标准。中标人可为学校提供特色服务和方案，如绿化养护如何提高技术水平，学校水电维修如何提高技术力量等。</w:t>
      </w:r>
    </w:p>
    <w:p>
      <w:pPr>
        <w:spacing w:line="360" w:lineRule="auto"/>
        <w:ind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7．管理服务费用及财务管理要求</w:t>
      </w:r>
    </w:p>
    <w:p>
      <w:pPr>
        <w:tabs>
          <w:tab w:val="left" w:pos="840"/>
        </w:tabs>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7.1</w:t>
      </w:r>
      <w:r>
        <w:rPr>
          <w:rFonts w:hint="eastAsia" w:ascii="仿宋" w:hAnsi="仿宋" w:eastAsia="仿宋" w:cs="仿宋"/>
          <w:color w:val="auto"/>
          <w:sz w:val="24"/>
          <w:highlight w:val="none"/>
        </w:rPr>
        <w:t>物业管理服务人员缺岗的，按实扣除人员工资，经采购人审核同意，扣除的费用可用于其他顶岗人员的加班或奖励或用于学校物业服务的相关项目。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snapToGrid w:val="0"/>
          <w:color w:val="auto"/>
          <w:kern w:val="0"/>
          <w:sz w:val="24"/>
          <w:highlight w:val="none"/>
        </w:rPr>
        <w:t>每月须以书面形式向采购人报告当月物业管理服务各项费用收支情况的财务报表，供采购人审核。</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7.3中标人要制定财务预算，年终要进行财务专项决算并进行财务审计，审计结果报</w:t>
      </w:r>
      <w:r>
        <w:rPr>
          <w:rFonts w:hint="eastAsia" w:ascii="仿宋" w:hAnsi="仿宋" w:eastAsia="仿宋" w:cs="仿宋"/>
          <w:snapToGrid w:val="0"/>
          <w:color w:val="auto"/>
          <w:kern w:val="0"/>
          <w:sz w:val="24"/>
          <w:highlight w:val="none"/>
        </w:rPr>
        <w:t>采购人</w:t>
      </w:r>
      <w:r>
        <w:rPr>
          <w:rFonts w:hint="eastAsia" w:ascii="仿宋" w:hAnsi="仿宋" w:eastAsia="仿宋" w:cs="仿宋"/>
          <w:color w:val="auto"/>
          <w:sz w:val="24"/>
          <w:highlight w:val="none"/>
        </w:rPr>
        <w:t>。</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7.4物业管理服务费用以签订的合同价为准，采购人分期拨付。</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bCs/>
          <w:color w:val="auto"/>
          <w:sz w:val="24"/>
          <w:highlight w:val="none"/>
        </w:rPr>
        <w:t>7.5</w:t>
      </w:r>
      <w:r>
        <w:rPr>
          <w:rFonts w:hint="eastAsia" w:ascii="仿宋" w:hAnsi="仿宋" w:eastAsia="仿宋" w:cs="仿宋"/>
          <w:color w:val="auto"/>
          <w:sz w:val="24"/>
          <w:highlight w:val="none"/>
        </w:rPr>
        <w:t>中标人需承担相关所需物业保洁消耗品和维护维修设备、工具的服务费和材料费。</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color w:val="auto"/>
          <w:sz w:val="24"/>
          <w:highlight w:val="none"/>
        </w:rPr>
        <w:t>中标人必须配置办公设备独立放置于采购人提供的办公区域内，且不能与承包区域外单位、部门或团体共用，其办公用品所需耗材应由成交人自行承担（办公设备包括电脑、打印机、复印机、扫描仪、对讲机、电话、传真机、照相机、录像机等等物品）</w:t>
      </w:r>
      <w:r>
        <w:rPr>
          <w:rFonts w:hint="eastAsia" w:ascii="仿宋" w:hAnsi="仿宋" w:eastAsia="仿宋" w:cs="仿宋"/>
          <w:bCs/>
          <w:color w:val="auto"/>
          <w:sz w:val="24"/>
          <w:highlight w:val="none"/>
        </w:rPr>
        <w:t>。</w:t>
      </w:r>
    </w:p>
    <w:p>
      <w:pPr>
        <w:spacing w:line="360" w:lineRule="auto"/>
        <w:ind w:firstLine="482" w:firstLineChars="200"/>
        <w:contextualSpacing/>
        <w:rPr>
          <w:rFonts w:ascii="仿宋" w:hAnsi="仿宋" w:eastAsia="仿宋" w:cs="仿宋"/>
          <w:color w:val="auto"/>
          <w:sz w:val="24"/>
          <w:highlight w:val="none"/>
        </w:rPr>
      </w:pPr>
      <w:r>
        <w:rPr>
          <w:rFonts w:hint="eastAsia" w:ascii="仿宋" w:hAnsi="仿宋" w:eastAsia="仿宋" w:cs="仿宋"/>
          <w:b/>
          <w:color w:val="auto"/>
          <w:sz w:val="24"/>
          <w:highlight w:val="none"/>
        </w:rPr>
        <w:t>8．服务期限</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2022年1月1日至202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年12月31日止。合同期内，中标人若没能通过采购人的季度考核，采购人报经政府采购监管部门同意重新组织招标。合同期满，经采购人考核合格，按相关文件规定要求续签服务合同。</w:t>
      </w:r>
    </w:p>
    <w:p>
      <w:pPr>
        <w:spacing w:line="360" w:lineRule="auto"/>
        <w:ind w:firstLine="482" w:firstLineChars="200"/>
        <w:contextualSpacing/>
        <w:outlineLvl w:val="0"/>
        <w:rPr>
          <w:rFonts w:ascii="仿宋" w:hAnsi="仿宋" w:eastAsia="仿宋" w:cs="仿宋"/>
          <w:snapToGrid w:val="0"/>
          <w:color w:val="auto"/>
          <w:kern w:val="0"/>
          <w:sz w:val="24"/>
          <w:highlight w:val="none"/>
        </w:rPr>
      </w:pPr>
      <w:r>
        <w:rPr>
          <w:rFonts w:hint="eastAsia" w:ascii="仿宋" w:hAnsi="仿宋" w:eastAsia="仿宋" w:cs="仿宋"/>
          <w:b/>
          <w:snapToGrid w:val="0"/>
          <w:color w:val="auto"/>
          <w:kern w:val="0"/>
          <w:sz w:val="24"/>
          <w:highlight w:val="none"/>
        </w:rPr>
        <w:t>9．相关场地提供</w:t>
      </w:r>
    </w:p>
    <w:p>
      <w:pPr>
        <w:spacing w:line="360" w:lineRule="auto"/>
        <w:ind w:firstLine="480" w:firstLineChars="200"/>
        <w:contextualSpacing/>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采购人免费提供物业管理的办公场地，但办公用品（指办公桌、电脑、打印机、对讲机、文件柜等自身使用的等办公用品）由投标人自行解决。</w:t>
      </w:r>
    </w:p>
    <w:p>
      <w:pPr>
        <w:spacing w:line="360" w:lineRule="auto"/>
        <w:ind w:firstLine="482" w:firstLineChars="200"/>
        <w:contextualSpacing/>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10．检查与考核</w:t>
      </w:r>
    </w:p>
    <w:p>
      <w:pPr>
        <w:spacing w:line="360" w:lineRule="auto"/>
        <w:ind w:firstLine="480" w:firstLineChars="200"/>
        <w:contextualSpacing/>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10.1</w:t>
      </w:r>
      <w:r>
        <w:rPr>
          <w:rFonts w:hint="eastAsia" w:ascii="仿宋" w:hAnsi="仿宋" w:eastAsia="仿宋" w:cs="仿宋"/>
          <w:color w:val="auto"/>
          <w:sz w:val="24"/>
          <w:highlight w:val="none"/>
        </w:rPr>
        <w:t>中标人</w:t>
      </w:r>
      <w:r>
        <w:rPr>
          <w:rFonts w:hint="eastAsia" w:ascii="仿宋" w:hAnsi="仿宋" w:eastAsia="仿宋" w:cs="仿宋"/>
          <w:snapToGrid w:val="0"/>
          <w:color w:val="auto"/>
          <w:kern w:val="0"/>
          <w:sz w:val="24"/>
          <w:highlight w:val="none"/>
        </w:rPr>
        <w:t>应制订具体的质量保证措施及质量保证和相关服务承诺。供应商所有的工作除应按供应商的内部流程实施外，还应接受采购人或第三方的随时检查。如因质量未达到目标，采购人有权要求其整改，同时</w:t>
      </w:r>
      <w:r>
        <w:rPr>
          <w:rFonts w:hint="eastAsia" w:ascii="仿宋" w:hAnsi="仿宋" w:eastAsia="仿宋" w:cs="仿宋"/>
          <w:color w:val="auto"/>
          <w:sz w:val="24"/>
          <w:highlight w:val="none"/>
        </w:rPr>
        <w:t>中标人</w:t>
      </w:r>
      <w:r>
        <w:rPr>
          <w:rFonts w:hint="eastAsia" w:ascii="仿宋" w:hAnsi="仿宋" w:eastAsia="仿宋" w:cs="仿宋"/>
          <w:snapToGrid w:val="0"/>
          <w:color w:val="auto"/>
          <w:kern w:val="0"/>
          <w:sz w:val="24"/>
          <w:highlight w:val="none"/>
        </w:rPr>
        <w:t>应承担责任和经济赔偿（扣款或终止合同）。</w:t>
      </w:r>
    </w:p>
    <w:p>
      <w:pPr>
        <w:spacing w:line="360" w:lineRule="auto"/>
        <w:ind w:firstLine="480" w:firstLineChars="200"/>
        <w:contextualSpacing/>
        <w:outlineLvl w:val="0"/>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10.2采购人定期和不定期地对供应商管理服务进行检查和抽查，检查记录和整改时限反馈</w:t>
      </w:r>
      <w:r>
        <w:rPr>
          <w:rFonts w:hint="eastAsia" w:ascii="仿宋" w:hAnsi="仿宋" w:eastAsia="仿宋" w:cs="仿宋"/>
          <w:color w:val="auto"/>
          <w:sz w:val="24"/>
          <w:highlight w:val="none"/>
        </w:rPr>
        <w:t>中标人</w:t>
      </w:r>
      <w:r>
        <w:rPr>
          <w:rFonts w:hint="eastAsia" w:ascii="仿宋" w:hAnsi="仿宋" w:eastAsia="仿宋" w:cs="仿宋"/>
          <w:snapToGrid w:val="0"/>
          <w:color w:val="auto"/>
          <w:kern w:val="0"/>
          <w:sz w:val="24"/>
          <w:highlight w:val="none"/>
        </w:rPr>
        <w:t>。并每季对“收发、传达、安保和秩序管理”、“校区环境卫生”、“综合维护维修”、“宿舍管理”、“绿化养护”等本招标文件规定的内容进行检查考核</w:t>
      </w:r>
      <w:r>
        <w:rPr>
          <w:rFonts w:hint="eastAsia" w:ascii="仿宋" w:hAnsi="仿宋" w:eastAsia="仿宋" w:cs="仿宋"/>
          <w:color w:val="auto"/>
          <w:sz w:val="24"/>
          <w:highlight w:val="none"/>
        </w:rPr>
        <w:t>。</w:t>
      </w:r>
    </w:p>
    <w:p>
      <w:pPr>
        <w:spacing w:line="360" w:lineRule="auto"/>
        <w:ind w:firstLine="470" w:firstLineChars="196"/>
        <w:contextualSpacing/>
        <w:rPr>
          <w:rFonts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snapToGrid w:val="0"/>
          <w:color w:val="auto"/>
          <w:kern w:val="0"/>
          <w:sz w:val="24"/>
          <w:highlight w:val="none"/>
        </w:rPr>
        <w:t>11.固定费用</w:t>
      </w:r>
      <w:r>
        <w:rPr>
          <w:rFonts w:hint="eastAsia" w:ascii="仿宋" w:hAnsi="仿宋" w:eastAsia="仿宋" w:cs="仿宋"/>
          <w:b/>
          <w:bCs/>
          <w:color w:val="auto"/>
          <w:sz w:val="24"/>
          <w:highlight w:val="none"/>
        </w:rPr>
        <w:t>明细</w:t>
      </w:r>
    </w:p>
    <w:p>
      <w:pPr>
        <w:spacing w:line="360" w:lineRule="auto"/>
        <w:ind w:firstLine="472" w:firstLineChars="196"/>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11.1各固定项目预算</w:t>
      </w:r>
      <w:r>
        <w:rPr>
          <w:rFonts w:hint="eastAsia" w:ascii="仿宋" w:hAnsi="仿宋" w:eastAsia="仿宋" w:cs="仿宋"/>
          <w:b/>
          <w:snapToGrid w:val="0"/>
          <w:color w:val="auto"/>
          <w:kern w:val="0"/>
          <w:sz w:val="24"/>
          <w:highlight w:val="none"/>
        </w:rPr>
        <w:t>费用</w:t>
      </w:r>
      <w:r>
        <w:rPr>
          <w:rFonts w:hint="eastAsia" w:ascii="仿宋" w:hAnsi="仿宋" w:eastAsia="仿宋" w:cs="仿宋"/>
          <w:b/>
          <w:bCs/>
          <w:color w:val="auto"/>
          <w:sz w:val="24"/>
          <w:highlight w:val="none"/>
        </w:rPr>
        <w:t>明细</w:t>
      </w:r>
    </w:p>
    <w:tbl>
      <w:tblPr>
        <w:tblStyle w:val="62"/>
        <w:tblW w:w="8938" w:type="dxa"/>
        <w:tblInd w:w="93" w:type="dxa"/>
        <w:tblLayout w:type="fixed"/>
        <w:tblCellMar>
          <w:top w:w="0" w:type="dxa"/>
          <w:left w:w="108" w:type="dxa"/>
          <w:bottom w:w="0" w:type="dxa"/>
          <w:right w:w="108" w:type="dxa"/>
        </w:tblCellMar>
      </w:tblPr>
      <w:tblGrid>
        <w:gridCol w:w="416"/>
        <w:gridCol w:w="6325"/>
        <w:gridCol w:w="1373"/>
        <w:gridCol w:w="824"/>
      </w:tblGrid>
      <w:tr>
        <w:tblPrEx>
          <w:tblCellMar>
            <w:top w:w="0" w:type="dxa"/>
            <w:left w:w="108" w:type="dxa"/>
            <w:bottom w:w="0" w:type="dxa"/>
            <w:right w:w="108" w:type="dxa"/>
          </w:tblCellMar>
        </w:tblPrEx>
        <w:trPr>
          <w:trHeight w:val="1440" w:hRule="atLeast"/>
        </w:trPr>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序号</w:t>
            </w:r>
          </w:p>
        </w:tc>
        <w:tc>
          <w:tcPr>
            <w:tcW w:w="632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固定项目名称及要求</w:t>
            </w:r>
          </w:p>
        </w:tc>
        <w:tc>
          <w:tcPr>
            <w:tcW w:w="1373" w:type="dxa"/>
            <w:tcBorders>
              <w:top w:val="single" w:color="auto" w:sz="4" w:space="0"/>
              <w:left w:val="nil"/>
              <w:bottom w:val="nil"/>
              <w:right w:val="single" w:color="auto" w:sz="4" w:space="0"/>
            </w:tcBorders>
            <w:noWrap/>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各单项三年来平均支出费用(含材料费、人工费、专项外包服务费等)（单位：万元）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是否允许外包</w:t>
            </w:r>
          </w:p>
        </w:tc>
      </w:tr>
      <w:tr>
        <w:tblPrEx>
          <w:tblCellMar>
            <w:top w:w="0" w:type="dxa"/>
            <w:left w:w="108" w:type="dxa"/>
            <w:bottom w:w="0" w:type="dxa"/>
            <w:right w:w="108" w:type="dxa"/>
          </w:tblCellMar>
        </w:tblPrEx>
        <w:trPr>
          <w:trHeight w:val="507"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消防（控）设施维保及材料费</w:t>
            </w:r>
          </w:p>
        </w:tc>
        <w:tc>
          <w:tcPr>
            <w:tcW w:w="137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82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1308"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保洁耗材（主要包括日常保洁工具（如拖把、扫把、玻璃刮刀等）和常用的保洁用品（如：厕纸、消毒液、洗手液、不锈钢油、全能水、静电水等）；各楼宇内所有公共场所的日常保洁用品、消毒用品以及所用保洁工具全部涵盖在保洁耗材费用）。</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102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绿化材料费（含肥料、肥土、农药、绿化机械、草籽、草皮、花草及花盆等）、机械租用费等；每年一幢楼屋面绿化美化计划：行政楼屋顶绿化、泥土、肥料、花箱玻璃钢花箱内胆需布置约55只。</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96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6325" w:type="dxa"/>
            <w:tcBorders>
              <w:top w:val="nil"/>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水电（水泵、水塔、水管网、净水设施、太阳能、笼头、冲水阀等给排水设备，电网、电表、保险、开关、插头、室内灯具等供电设备）维护、维修材料费。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72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机床、举升机、空压机、焊机、外形修复机、打磨机、烤漆房等教学设备维护、维修及材料费。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空调系统运行维护、维修及材料费（约2000台空调）。</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监控及弱电系统维护、维修及材料费（1500个监控头和机房）</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过保电脑维护、维修及材料费（约1419台）。</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音响、广播及网络、投影等维修材料费。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电视、电话及网络、校园电视台等维护、维修及材料费。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电子屏维护、维修材料费。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校园一卡通设施维护维修材料费。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1196"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学校房屋、墙面、门、道路、运动场及设施维护、维修材料费。其中，维修更换公寓楼寝室门、实训教室门约200樘（20万元）、各楼宇内墙面维修刷白（70万元）、各楼宇外墙面维修（含脚手架材料人工等）（60万）。</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电梯运行维护、维修及材料费。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复印打印机等办公设备维护、维修及材料费。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校园雕塑维护、维修材料费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食堂净水设备和各楼宇AO史密斯净水器的维护、维修及材料费.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停车棚维护、维修及材料费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19</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景观湖、河道的维护、维修材料费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生物防治服务、材料及相关费用。</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21</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垃圾清运服务。</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22</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化粪池清洁处理。</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23</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污水池和污水处理设施维护、维修及材料费。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太阳能设施设备维护、维修及材料费</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25</w:t>
            </w:r>
          </w:p>
        </w:tc>
        <w:tc>
          <w:tcPr>
            <w:tcW w:w="6325" w:type="dxa"/>
            <w:tcBorders>
              <w:top w:val="nil"/>
              <w:left w:val="nil"/>
              <w:bottom w:val="single" w:color="auto" w:sz="4" w:space="0"/>
              <w:right w:val="single" w:color="auto" w:sz="4" w:space="0"/>
            </w:tcBorders>
            <w:noWrap w:val="0"/>
            <w:vAlign w:val="center"/>
          </w:tcPr>
          <w:p>
            <w:pPr>
              <w:pStyle w:val="19"/>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变电设备外包托管费（</w:t>
            </w:r>
            <w:r>
              <w:rPr>
                <w:rFonts w:hint="eastAsia" w:ascii="仿宋" w:hAnsi="仿宋" w:eastAsia="仿宋" w:cs="仿宋"/>
                <w:color w:val="auto"/>
                <w:szCs w:val="21"/>
                <w:highlight w:val="none"/>
              </w:rPr>
              <w:t>2022年起配电房维保托管费约5.4万元/年）</w:t>
            </w:r>
          </w:p>
          <w:p>
            <w:pPr>
              <w:widowControl/>
              <w:spacing w:line="360" w:lineRule="auto"/>
              <w:rPr>
                <w:rFonts w:ascii="仿宋" w:hAnsi="仿宋" w:eastAsia="仿宋" w:cs="宋体"/>
                <w:color w:val="auto"/>
                <w:kern w:val="0"/>
                <w:sz w:val="20"/>
                <w:szCs w:val="20"/>
                <w:highlight w:val="none"/>
              </w:rPr>
            </w:pPr>
            <w:r>
              <w:rPr>
                <w:rFonts w:hint="eastAsia" w:ascii="仿宋" w:hAnsi="仿宋" w:eastAsia="仿宋" w:cs="仿宋"/>
                <w:color w:val="auto"/>
                <w:kern w:val="0"/>
                <w:szCs w:val="21"/>
                <w:highlight w:val="none"/>
              </w:rPr>
              <w:t>、发电机等供电设备维护材料费及发电机用柴油等。</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26</w:t>
            </w:r>
          </w:p>
        </w:tc>
        <w:tc>
          <w:tcPr>
            <w:tcW w:w="6325" w:type="dxa"/>
            <w:tcBorders>
              <w:top w:val="nil"/>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食堂油烟管道清理、下水道清理。</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27</w:t>
            </w:r>
          </w:p>
        </w:tc>
        <w:tc>
          <w:tcPr>
            <w:tcW w:w="6325" w:type="dxa"/>
            <w:tcBorders>
              <w:top w:val="nil"/>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医务固体废物处置</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24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28</w:t>
            </w:r>
          </w:p>
        </w:tc>
        <w:tc>
          <w:tcPr>
            <w:tcW w:w="6325" w:type="dxa"/>
            <w:tcBorders>
              <w:top w:val="nil"/>
              <w:left w:val="nil"/>
              <w:bottom w:val="single" w:color="auto" w:sz="4" w:space="0"/>
              <w:right w:val="single" w:color="auto" w:sz="4" w:space="0"/>
            </w:tcBorders>
            <w:noWrap/>
            <w:vAlign w:val="center"/>
          </w:tcPr>
          <w:p>
            <w:pPr>
              <w:widowControl/>
              <w:spacing w:line="360" w:lineRule="auto"/>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防雷检测及维修</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732"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29</w:t>
            </w:r>
          </w:p>
        </w:tc>
        <w:tc>
          <w:tcPr>
            <w:tcW w:w="6325" w:type="dxa"/>
            <w:tcBorders>
              <w:top w:val="nil"/>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每年一次全校各楼高处玻璃窗和玻璃幕墙、外墙、实训基地户外铭牌等清洗，约2.5万平方米（含高空作业费、保险费等全部费用）。</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允许</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w:t>
            </w:r>
          </w:p>
        </w:tc>
        <w:tc>
          <w:tcPr>
            <w:tcW w:w="6325" w:type="dxa"/>
            <w:tcBorders>
              <w:top w:val="nil"/>
              <w:left w:val="nil"/>
              <w:bottom w:val="single" w:color="auto" w:sz="4" w:space="0"/>
              <w:right w:val="single" w:color="auto" w:sz="4" w:space="0"/>
            </w:tcBorders>
            <w:noWrap/>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Ｆ区块蓝球场地胶共6片，500平方米/片（修8ＭＭ厚），计划每年维修更新2片。</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31</w:t>
            </w:r>
          </w:p>
        </w:tc>
        <w:tc>
          <w:tcPr>
            <w:tcW w:w="6325" w:type="dxa"/>
            <w:tcBorders>
              <w:top w:val="nil"/>
              <w:left w:val="nil"/>
              <w:bottom w:val="single" w:color="auto" w:sz="4" w:space="0"/>
              <w:right w:val="single" w:color="auto" w:sz="4" w:space="0"/>
            </w:tcBorders>
            <w:noWrap w:val="0"/>
            <w:vAlign w:val="center"/>
          </w:tcPr>
          <w:p>
            <w:pPr>
              <w:widowControl/>
              <w:spacing w:line="360" w:lineRule="auto"/>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其他维护、抢修及维修材料费（含家具、五金、铁器、木器刷漆维护等）</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r>
        <w:tblPrEx>
          <w:tblCellMar>
            <w:top w:w="0" w:type="dxa"/>
            <w:left w:w="108" w:type="dxa"/>
            <w:bottom w:w="0" w:type="dxa"/>
            <w:right w:w="108" w:type="dxa"/>
          </w:tblCellMar>
        </w:tblPrEx>
        <w:trPr>
          <w:trHeight w:val="480" w:hRule="atLeast"/>
        </w:trPr>
        <w:tc>
          <w:tcPr>
            <w:tcW w:w="41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p>
        </w:tc>
        <w:tc>
          <w:tcPr>
            <w:tcW w:w="6325" w:type="dxa"/>
            <w:tcBorders>
              <w:top w:val="nil"/>
              <w:left w:val="nil"/>
              <w:bottom w:val="single" w:color="auto" w:sz="4" w:space="0"/>
              <w:right w:val="single" w:color="auto" w:sz="4" w:space="0"/>
            </w:tcBorders>
            <w:noWrap w:val="0"/>
            <w:vAlign w:val="center"/>
          </w:tcPr>
          <w:p>
            <w:pPr>
              <w:widowControl/>
              <w:spacing w:line="360" w:lineRule="auto"/>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合计</w:t>
            </w:r>
          </w:p>
        </w:tc>
        <w:tc>
          <w:tcPr>
            <w:tcW w:w="1373" w:type="dxa"/>
            <w:tcBorders>
              <w:top w:val="nil"/>
              <w:left w:val="nil"/>
              <w:bottom w:val="single" w:color="auto" w:sz="4" w:space="0"/>
              <w:right w:val="single" w:color="auto" w:sz="4" w:space="0"/>
            </w:tcBorders>
            <w:noWrap w:val="0"/>
            <w:vAlign w:val="center"/>
          </w:tcPr>
          <w:p>
            <w:pPr>
              <w:widowControl/>
              <w:spacing w:line="360" w:lineRule="auto"/>
              <w:jc w:val="center"/>
              <w:textAlignment w:val="center"/>
              <w:rPr>
                <w:rFonts w:ascii="仿宋" w:hAnsi="仿宋" w:eastAsia="仿宋" w:cs="宋体"/>
                <w:color w:val="auto"/>
                <w:kern w:val="0"/>
                <w:sz w:val="20"/>
                <w:szCs w:val="20"/>
                <w:highlight w:val="none"/>
              </w:rPr>
            </w:pPr>
            <w:r>
              <w:rPr>
                <w:rFonts w:hint="eastAsia" w:ascii="仿宋" w:hAnsi="仿宋" w:eastAsia="仿宋" w:cs="仿宋"/>
                <w:color w:val="auto"/>
                <w:kern w:val="0"/>
                <w:sz w:val="20"/>
                <w:szCs w:val="20"/>
                <w:highlight w:val="none"/>
                <w:lang w:bidi="ar"/>
              </w:rPr>
              <w:t>440</w:t>
            </w:r>
          </w:p>
        </w:tc>
        <w:tc>
          <w:tcPr>
            <w:tcW w:w="824" w:type="dxa"/>
            <w:tcBorders>
              <w:top w:val="nil"/>
              <w:left w:val="nil"/>
              <w:bottom w:val="single" w:color="auto" w:sz="4" w:space="0"/>
              <w:right w:val="single" w:color="auto" w:sz="4" w:space="0"/>
            </w:tcBorders>
            <w:noWrap w:val="0"/>
            <w:vAlign w:val="center"/>
          </w:tcPr>
          <w:p>
            <w:pPr>
              <w:widowControl/>
              <w:spacing w:line="360" w:lineRule="auto"/>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r>
    </w:tbl>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11.2说明</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（1）以上各单项费用仅供各潜在投标单位参考；</w:t>
      </w:r>
    </w:p>
    <w:p>
      <w:pPr>
        <w:spacing w:line="360" w:lineRule="auto"/>
        <w:ind w:firstLine="470" w:firstLineChars="196"/>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★(2)以上表中各项目的管理维护、维修费及</w:t>
      </w:r>
      <w:r>
        <w:rPr>
          <w:rFonts w:hint="eastAsia" w:ascii="仿宋" w:hAnsi="仿宋" w:eastAsia="仿宋" w:cs="仿宋"/>
          <w:color w:val="auto"/>
          <w:sz w:val="24"/>
          <w:highlight w:val="none"/>
        </w:rPr>
        <w:t>材料费均由中标人负责，相关费用均包含在投标总价中，投标人须对投标固定项目报价有实质性响应，特殊材料外。</w:t>
      </w:r>
    </w:p>
    <w:p>
      <w:pPr>
        <w:spacing w:line="360" w:lineRule="auto"/>
        <w:ind w:firstLine="470" w:firstLineChars="196"/>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(3)中标人应承诺与采购人共同管理维修材料等，每次维修材料采购前材料的品牌、质量和数量须经采购人认可方可进行采购。每月底交采购人维修材料费用清单供监督确认。中标人应配合采购人做好维修工作。如费用超支，中标人自行负担。</w:t>
      </w:r>
    </w:p>
    <w:p>
      <w:pPr>
        <w:spacing w:line="360" w:lineRule="auto"/>
        <w:ind w:firstLine="470" w:firstLineChars="196"/>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(4)专业设施设备维修材料必须使用原厂件。</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(5)维修材料采购应经采购人确认后实施。</w:t>
      </w:r>
    </w:p>
    <w:p>
      <w:pPr>
        <w:spacing w:line="360" w:lineRule="auto"/>
        <w:ind w:firstLine="480" w:firstLineChars="200"/>
        <w:contextualSpacing/>
        <w:rPr>
          <w:rFonts w:ascii="仿宋" w:hAnsi="仿宋" w:eastAsia="仿宋" w:cs="仿宋"/>
          <w:bCs/>
          <w:color w:val="auto"/>
          <w:sz w:val="24"/>
          <w:highlight w:val="none"/>
        </w:rPr>
      </w:pPr>
      <w:r>
        <w:rPr>
          <w:rFonts w:hint="eastAsia" w:ascii="仿宋" w:hAnsi="仿宋" w:eastAsia="仿宋" w:cs="仿宋"/>
          <w:bCs/>
          <w:color w:val="auto"/>
          <w:sz w:val="24"/>
          <w:highlight w:val="none"/>
        </w:rPr>
        <w:t>带★的投标单位为必须响应项目</w:t>
      </w:r>
    </w:p>
    <w:p>
      <w:pPr>
        <w:spacing w:line="360" w:lineRule="auto"/>
        <w:ind w:firstLine="475" w:firstLineChars="197"/>
        <w:rPr>
          <w:rFonts w:ascii="仿宋" w:hAnsi="仿宋" w:eastAsia="仿宋" w:cs="仿宋"/>
          <w:b/>
          <w:color w:val="auto"/>
          <w:sz w:val="24"/>
          <w:highlight w:val="none"/>
        </w:rPr>
      </w:pPr>
      <w:r>
        <w:rPr>
          <w:rFonts w:hint="eastAsia" w:ascii="仿宋" w:hAnsi="仿宋" w:eastAsia="仿宋" w:cs="仿宋"/>
          <w:b/>
          <w:color w:val="auto"/>
          <w:sz w:val="24"/>
          <w:highlight w:val="none"/>
        </w:rPr>
        <w:t>12.合格的投标人应具备的资格要求：</w:t>
      </w:r>
    </w:p>
    <w:p>
      <w:pPr>
        <w:spacing w:line="360" w:lineRule="auto"/>
        <w:rPr>
          <w:rFonts w:ascii="仿宋_GB2312" w:eastAsia="仿宋_GB2312"/>
          <w:color w:val="auto"/>
          <w:highlight w:val="none"/>
        </w:rPr>
      </w:pPr>
      <w:r>
        <w:rPr>
          <w:rFonts w:hint="eastAsia" w:ascii="仿宋" w:hAnsi="仿宋" w:eastAsia="仿宋" w:cs="仿宋"/>
          <w:color w:val="auto"/>
          <w:sz w:val="24"/>
          <w:highlight w:val="none"/>
        </w:rPr>
        <w:t>12.1基本资格条件：符合《中华人民共和国政府采购法》第二十二条的规定</w:t>
      </w:r>
    </w:p>
    <w:p>
      <w:pPr>
        <w:widowControl/>
        <w:adjustRightInd/>
        <w:jc w:val="left"/>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br w:type="page"/>
      </w:r>
    </w:p>
    <w:p>
      <w:pPr>
        <w:adjustRightInd/>
        <w:spacing w:line="36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 xml:space="preserve">第四部分   </w:t>
      </w:r>
      <w:bookmarkStart w:id="35" w:name="_Toc184313285"/>
      <w:bookmarkEnd w:id="35"/>
      <w:bookmarkStart w:id="36" w:name="_Toc184310293"/>
      <w:bookmarkEnd w:id="36"/>
      <w:bookmarkStart w:id="37" w:name="_Toc184313282"/>
      <w:bookmarkEnd w:id="37"/>
      <w:bookmarkStart w:id="38" w:name="_Toc184314448"/>
      <w:bookmarkEnd w:id="38"/>
      <w:bookmarkStart w:id="39" w:name="_Toc184308085"/>
      <w:bookmarkEnd w:id="39"/>
      <w:bookmarkStart w:id="40" w:name="_Toc184308072"/>
      <w:bookmarkEnd w:id="40"/>
      <w:bookmarkStart w:id="41" w:name="_Toc184314481"/>
      <w:bookmarkEnd w:id="41"/>
      <w:bookmarkStart w:id="42" w:name="_Toc184308057"/>
      <w:bookmarkEnd w:id="42"/>
      <w:bookmarkStart w:id="43" w:name="_Toc184310322"/>
      <w:bookmarkEnd w:id="43"/>
      <w:bookmarkStart w:id="44" w:name="_Toc184308070"/>
      <w:bookmarkEnd w:id="44"/>
      <w:bookmarkStart w:id="45" w:name="_Toc184310319"/>
      <w:bookmarkEnd w:id="45"/>
      <w:bookmarkStart w:id="46" w:name="_Toc184313275"/>
      <w:bookmarkEnd w:id="46"/>
      <w:bookmarkStart w:id="47" w:name="_Toc184310316"/>
      <w:bookmarkEnd w:id="47"/>
      <w:bookmarkStart w:id="48" w:name="_Toc184308050"/>
      <w:bookmarkEnd w:id="48"/>
      <w:bookmarkStart w:id="49" w:name="_Toc184308075"/>
      <w:bookmarkEnd w:id="49"/>
      <w:bookmarkStart w:id="50" w:name="_Toc184314482"/>
      <w:bookmarkEnd w:id="50"/>
      <w:bookmarkStart w:id="51" w:name="_Toc184312132"/>
      <w:bookmarkEnd w:id="51"/>
      <w:bookmarkStart w:id="52" w:name="_Toc184314445"/>
      <w:bookmarkEnd w:id="52"/>
      <w:bookmarkStart w:id="53" w:name="_Toc184314473"/>
      <w:bookmarkEnd w:id="53"/>
      <w:bookmarkStart w:id="54" w:name="_Toc184314430"/>
      <w:bookmarkEnd w:id="54"/>
      <w:bookmarkStart w:id="55" w:name="_Toc184308081"/>
      <w:bookmarkEnd w:id="55"/>
      <w:bookmarkStart w:id="56" w:name="_Toc184314428"/>
      <w:bookmarkEnd w:id="56"/>
      <w:bookmarkStart w:id="57" w:name="_Toc184308060"/>
      <w:bookmarkEnd w:id="57"/>
      <w:bookmarkStart w:id="58" w:name="_Toc184314413"/>
      <w:bookmarkEnd w:id="58"/>
      <w:bookmarkStart w:id="59" w:name="_Toc184312101"/>
      <w:bookmarkEnd w:id="59"/>
      <w:bookmarkStart w:id="60" w:name="_Toc184313265"/>
      <w:bookmarkEnd w:id="60"/>
      <w:bookmarkStart w:id="61" w:name="_Toc184314456"/>
      <w:bookmarkEnd w:id="61"/>
      <w:bookmarkStart w:id="62" w:name="_Toc184313301"/>
      <w:bookmarkEnd w:id="62"/>
      <w:bookmarkStart w:id="63" w:name="_Toc184312099"/>
      <w:bookmarkEnd w:id="63"/>
      <w:bookmarkStart w:id="64" w:name="_Toc184308106"/>
      <w:bookmarkEnd w:id="64"/>
      <w:bookmarkStart w:id="65" w:name="_Toc184312134"/>
      <w:bookmarkEnd w:id="65"/>
      <w:bookmarkStart w:id="66" w:name="_Toc184313272"/>
      <w:bookmarkEnd w:id="66"/>
      <w:bookmarkStart w:id="67" w:name="_Toc184312130"/>
      <w:bookmarkEnd w:id="67"/>
      <w:bookmarkStart w:id="68" w:name="_Toc184312087"/>
      <w:bookmarkEnd w:id="68"/>
      <w:bookmarkStart w:id="69" w:name="_Toc184310287"/>
      <w:bookmarkEnd w:id="69"/>
      <w:bookmarkStart w:id="70" w:name="_Toc184313248"/>
      <w:bookmarkEnd w:id="70"/>
      <w:bookmarkStart w:id="71" w:name="_Toc184310312"/>
      <w:bookmarkEnd w:id="71"/>
      <w:bookmarkStart w:id="72" w:name="_Toc184310307"/>
      <w:bookmarkEnd w:id="72"/>
      <w:bookmarkStart w:id="73" w:name="_Toc184310292"/>
      <w:bookmarkEnd w:id="73"/>
      <w:bookmarkStart w:id="74" w:name="_Toc184313258"/>
      <w:bookmarkEnd w:id="74"/>
      <w:bookmarkStart w:id="75" w:name="_Toc184308073"/>
      <w:bookmarkEnd w:id="75"/>
      <w:bookmarkStart w:id="76" w:name="_Toc184310309"/>
      <w:bookmarkEnd w:id="76"/>
      <w:bookmarkStart w:id="77" w:name="_Toc184312067"/>
      <w:bookmarkEnd w:id="77"/>
      <w:bookmarkStart w:id="78" w:name="_Toc184314452"/>
      <w:bookmarkEnd w:id="78"/>
      <w:bookmarkStart w:id="79" w:name="_Toc184314429"/>
      <w:bookmarkEnd w:id="79"/>
      <w:bookmarkStart w:id="80" w:name="_Toc184313287"/>
      <w:bookmarkEnd w:id="80"/>
      <w:bookmarkStart w:id="81" w:name="_Toc184314457"/>
      <w:bookmarkEnd w:id="81"/>
      <w:bookmarkStart w:id="82" w:name="_Toc184313286"/>
      <w:bookmarkEnd w:id="82"/>
      <w:bookmarkStart w:id="83" w:name="_Toc184308076"/>
      <w:bookmarkEnd w:id="83"/>
      <w:bookmarkStart w:id="84" w:name="_Toc184313279"/>
      <w:bookmarkEnd w:id="84"/>
      <w:bookmarkStart w:id="85" w:name="_Toc184314479"/>
      <w:bookmarkEnd w:id="85"/>
      <w:bookmarkStart w:id="86" w:name="_Toc184314464"/>
      <w:bookmarkEnd w:id="86"/>
      <w:bookmarkStart w:id="87" w:name="_Toc184314441"/>
      <w:bookmarkEnd w:id="87"/>
      <w:bookmarkStart w:id="88" w:name="_Toc184313293"/>
      <w:bookmarkEnd w:id="88"/>
      <w:bookmarkStart w:id="89" w:name="_Toc184314449"/>
      <w:bookmarkEnd w:id="89"/>
      <w:bookmarkStart w:id="90" w:name="_Toc184312117"/>
      <w:bookmarkEnd w:id="90"/>
      <w:bookmarkStart w:id="91" w:name="_Toc184313257"/>
      <w:bookmarkEnd w:id="91"/>
      <w:bookmarkStart w:id="92" w:name="_Toc184310306"/>
      <w:bookmarkEnd w:id="92"/>
      <w:bookmarkStart w:id="93" w:name="_Toc184310343"/>
      <w:bookmarkEnd w:id="93"/>
      <w:bookmarkStart w:id="94" w:name="_Toc184313307"/>
      <w:bookmarkEnd w:id="94"/>
      <w:bookmarkStart w:id="95" w:name="_Toc184308044"/>
      <w:bookmarkEnd w:id="95"/>
      <w:bookmarkStart w:id="96" w:name="_Toc184314467"/>
      <w:bookmarkEnd w:id="96"/>
      <w:bookmarkStart w:id="97" w:name="_Toc184313242"/>
      <w:bookmarkEnd w:id="97"/>
      <w:bookmarkStart w:id="98" w:name="_Toc184310298"/>
      <w:bookmarkEnd w:id="98"/>
      <w:bookmarkStart w:id="99" w:name="_Toc184310310"/>
      <w:bookmarkEnd w:id="99"/>
      <w:bookmarkStart w:id="100" w:name="_Toc184313276"/>
      <w:bookmarkEnd w:id="100"/>
      <w:bookmarkStart w:id="101" w:name="_Toc184310330"/>
      <w:bookmarkEnd w:id="101"/>
      <w:bookmarkStart w:id="102" w:name="_Toc184308104"/>
      <w:bookmarkEnd w:id="102"/>
      <w:bookmarkStart w:id="103" w:name="_Toc184308093"/>
      <w:bookmarkEnd w:id="103"/>
      <w:bookmarkStart w:id="104" w:name="_Toc184310327"/>
      <w:bookmarkEnd w:id="104"/>
      <w:bookmarkStart w:id="105" w:name="_Toc184313261"/>
      <w:bookmarkEnd w:id="105"/>
      <w:bookmarkStart w:id="106" w:name="_Toc184312091"/>
      <w:bookmarkEnd w:id="106"/>
      <w:bookmarkStart w:id="107" w:name="_Toc184310341"/>
      <w:bookmarkEnd w:id="107"/>
      <w:bookmarkStart w:id="108" w:name="_Toc184310299"/>
      <w:bookmarkEnd w:id="108"/>
      <w:bookmarkStart w:id="109" w:name="_Toc184308098"/>
      <w:bookmarkEnd w:id="109"/>
      <w:bookmarkStart w:id="110" w:name="_Toc184310326"/>
      <w:bookmarkEnd w:id="110"/>
      <w:bookmarkStart w:id="111" w:name="_Toc184314477"/>
      <w:bookmarkEnd w:id="111"/>
      <w:bookmarkStart w:id="112" w:name="_Toc184314440"/>
      <w:bookmarkEnd w:id="112"/>
      <w:bookmarkStart w:id="113" w:name="_Toc184312079"/>
      <w:bookmarkEnd w:id="113"/>
      <w:bookmarkStart w:id="114" w:name="_Toc184310281"/>
      <w:bookmarkEnd w:id="114"/>
      <w:bookmarkStart w:id="115" w:name="_Toc184313253"/>
      <w:bookmarkEnd w:id="115"/>
      <w:bookmarkStart w:id="116" w:name="_Toc184312109"/>
      <w:bookmarkEnd w:id="116"/>
      <w:bookmarkStart w:id="117" w:name="_Toc184312121"/>
      <w:bookmarkEnd w:id="117"/>
      <w:bookmarkStart w:id="118" w:name="_Toc184310303"/>
      <w:bookmarkEnd w:id="118"/>
      <w:bookmarkStart w:id="119" w:name="_Toc184312113"/>
      <w:bookmarkEnd w:id="119"/>
      <w:bookmarkStart w:id="120" w:name="_Toc184312119"/>
      <w:bookmarkEnd w:id="120"/>
      <w:bookmarkStart w:id="121" w:name="_Toc184312080"/>
      <w:bookmarkEnd w:id="121"/>
      <w:bookmarkStart w:id="122" w:name="_Toc184313309"/>
      <w:bookmarkEnd w:id="122"/>
      <w:bookmarkStart w:id="123" w:name="_Toc184310336"/>
      <w:bookmarkEnd w:id="123"/>
      <w:bookmarkStart w:id="124" w:name="_Toc184314465"/>
      <w:bookmarkEnd w:id="124"/>
      <w:bookmarkStart w:id="125" w:name="_Toc184313274"/>
      <w:bookmarkEnd w:id="125"/>
      <w:bookmarkStart w:id="126" w:name="_Toc184310308"/>
      <w:bookmarkEnd w:id="126"/>
      <w:bookmarkStart w:id="127" w:name="_Toc184313299"/>
      <w:bookmarkEnd w:id="127"/>
      <w:bookmarkStart w:id="128" w:name="_Toc184310321"/>
      <w:bookmarkEnd w:id="128"/>
      <w:bookmarkStart w:id="129" w:name="_Toc184312070"/>
      <w:bookmarkEnd w:id="129"/>
      <w:bookmarkStart w:id="130" w:name="_Toc184308092"/>
      <w:bookmarkEnd w:id="130"/>
      <w:bookmarkStart w:id="131" w:name="_Toc184313290"/>
      <w:bookmarkEnd w:id="131"/>
      <w:bookmarkStart w:id="132" w:name="_Toc184314417"/>
      <w:bookmarkEnd w:id="132"/>
      <w:bookmarkStart w:id="133" w:name="_Toc184314461"/>
      <w:bookmarkEnd w:id="133"/>
      <w:bookmarkStart w:id="134" w:name="_Toc184312069"/>
      <w:bookmarkEnd w:id="134"/>
      <w:bookmarkStart w:id="135" w:name="_Toc184313281"/>
      <w:bookmarkEnd w:id="135"/>
      <w:bookmarkStart w:id="136" w:name="_Toc184310301"/>
      <w:bookmarkEnd w:id="136"/>
      <w:bookmarkStart w:id="137" w:name="_Toc184308041"/>
      <w:bookmarkEnd w:id="137"/>
      <w:bookmarkStart w:id="138" w:name="_Toc184312084"/>
      <w:bookmarkEnd w:id="138"/>
      <w:bookmarkStart w:id="139" w:name="_Toc184313283"/>
      <w:bookmarkEnd w:id="139"/>
      <w:bookmarkStart w:id="140" w:name="_Toc184313294"/>
      <w:bookmarkEnd w:id="140"/>
      <w:bookmarkStart w:id="141" w:name="_Toc184308064"/>
      <w:bookmarkEnd w:id="141"/>
      <w:bookmarkStart w:id="142" w:name="_Toc184312092"/>
      <w:bookmarkEnd w:id="142"/>
      <w:bookmarkStart w:id="143" w:name="_Toc184314455"/>
      <w:bookmarkEnd w:id="143"/>
      <w:bookmarkStart w:id="144" w:name="_Toc184314427"/>
      <w:bookmarkEnd w:id="144"/>
      <w:bookmarkStart w:id="145" w:name="_Toc184313305"/>
      <w:bookmarkEnd w:id="145"/>
      <w:bookmarkStart w:id="146" w:name="_Toc184312122"/>
      <w:bookmarkEnd w:id="146"/>
      <w:bookmarkStart w:id="147" w:name="_Toc184308037"/>
      <w:bookmarkEnd w:id="147"/>
      <w:bookmarkStart w:id="148" w:name="_Toc184314470"/>
      <w:bookmarkEnd w:id="148"/>
      <w:bookmarkStart w:id="149" w:name="_Toc184310278"/>
      <w:bookmarkEnd w:id="149"/>
      <w:bookmarkStart w:id="150" w:name="_Toc184308068"/>
      <w:bookmarkEnd w:id="150"/>
      <w:bookmarkStart w:id="151" w:name="_Toc184308059"/>
      <w:bookmarkEnd w:id="151"/>
      <w:bookmarkStart w:id="152" w:name="_Toc184310314"/>
      <w:bookmarkEnd w:id="152"/>
      <w:bookmarkStart w:id="153" w:name="_Toc184314463"/>
      <w:bookmarkEnd w:id="153"/>
      <w:bookmarkStart w:id="154" w:name="_Toc184308095"/>
      <w:bookmarkEnd w:id="154"/>
      <w:bookmarkStart w:id="155" w:name="_Toc184310332"/>
      <w:bookmarkEnd w:id="155"/>
      <w:bookmarkStart w:id="156" w:name="_Toc184308091"/>
      <w:bookmarkEnd w:id="156"/>
      <w:bookmarkStart w:id="157" w:name="_Toc184314439"/>
      <w:bookmarkEnd w:id="157"/>
      <w:bookmarkStart w:id="158" w:name="_Toc184314412"/>
      <w:bookmarkEnd w:id="158"/>
      <w:bookmarkStart w:id="159" w:name="_Toc184312095"/>
      <w:bookmarkEnd w:id="159"/>
      <w:bookmarkStart w:id="160" w:name="_Toc184308045"/>
      <w:bookmarkEnd w:id="160"/>
      <w:bookmarkStart w:id="161" w:name="_Toc184313306"/>
      <w:bookmarkEnd w:id="161"/>
      <w:bookmarkStart w:id="162" w:name="_Toc184312128"/>
      <w:bookmarkEnd w:id="162"/>
      <w:bookmarkStart w:id="163" w:name="_Toc184310300"/>
      <w:bookmarkEnd w:id="163"/>
      <w:bookmarkStart w:id="164" w:name="_Toc184314466"/>
      <w:bookmarkEnd w:id="164"/>
      <w:bookmarkStart w:id="165" w:name="_Toc184310282"/>
      <w:bookmarkEnd w:id="165"/>
      <w:bookmarkStart w:id="166" w:name="_Toc184312076"/>
      <w:bookmarkEnd w:id="166"/>
      <w:bookmarkStart w:id="167" w:name="_Toc184310339"/>
      <w:bookmarkEnd w:id="167"/>
      <w:bookmarkStart w:id="168" w:name="_Toc184308090"/>
      <w:bookmarkEnd w:id="168"/>
      <w:bookmarkStart w:id="169" w:name="_Toc184314468"/>
      <w:bookmarkEnd w:id="169"/>
      <w:bookmarkStart w:id="170" w:name="_Toc184312111"/>
      <w:bookmarkEnd w:id="170"/>
      <w:bookmarkStart w:id="171" w:name="_Toc184313295"/>
      <w:bookmarkEnd w:id="171"/>
      <w:bookmarkStart w:id="172" w:name="_Toc184313302"/>
      <w:bookmarkEnd w:id="172"/>
      <w:bookmarkStart w:id="173" w:name="_Toc184313298"/>
      <w:bookmarkEnd w:id="173"/>
      <w:bookmarkStart w:id="174" w:name="_Toc184313296"/>
      <w:bookmarkEnd w:id="174"/>
      <w:bookmarkStart w:id="175" w:name="_Toc184308066"/>
      <w:bookmarkEnd w:id="175"/>
      <w:bookmarkStart w:id="176" w:name="_Toc184310325"/>
      <w:bookmarkEnd w:id="176"/>
      <w:bookmarkStart w:id="177" w:name="_Toc184308061"/>
      <w:bookmarkEnd w:id="177"/>
      <w:bookmarkStart w:id="178" w:name="_Toc184310328"/>
      <w:bookmarkEnd w:id="178"/>
      <w:bookmarkStart w:id="179" w:name="_Toc184314414"/>
      <w:bookmarkEnd w:id="179"/>
      <w:bookmarkStart w:id="180" w:name="_Toc184308065"/>
      <w:bookmarkEnd w:id="180"/>
      <w:bookmarkStart w:id="181" w:name="_Toc184313243"/>
      <w:bookmarkEnd w:id="181"/>
      <w:bookmarkStart w:id="182" w:name="_Toc184312123"/>
      <w:bookmarkEnd w:id="182"/>
      <w:bookmarkStart w:id="183" w:name="_Toc184314443"/>
      <w:bookmarkEnd w:id="183"/>
      <w:bookmarkStart w:id="184" w:name="_Toc184312124"/>
      <w:bookmarkEnd w:id="184"/>
      <w:bookmarkStart w:id="185" w:name="_Toc184310334"/>
      <w:bookmarkEnd w:id="185"/>
      <w:bookmarkStart w:id="186" w:name="_Toc184312089"/>
      <w:bookmarkEnd w:id="186"/>
      <w:bookmarkStart w:id="187" w:name="_Toc184312073"/>
      <w:bookmarkEnd w:id="187"/>
      <w:bookmarkStart w:id="188" w:name="_Toc184308097"/>
      <w:bookmarkEnd w:id="188"/>
      <w:bookmarkStart w:id="189" w:name="_Toc184310331"/>
      <w:bookmarkEnd w:id="189"/>
      <w:bookmarkStart w:id="190" w:name="_Toc184310280"/>
      <w:bookmarkEnd w:id="190"/>
      <w:bookmarkStart w:id="191" w:name="_Toc184312136"/>
      <w:bookmarkEnd w:id="191"/>
      <w:bookmarkStart w:id="192" w:name="_Toc184314462"/>
      <w:bookmarkEnd w:id="192"/>
      <w:bookmarkStart w:id="193" w:name="_Toc184313241"/>
      <w:bookmarkEnd w:id="193"/>
      <w:bookmarkStart w:id="194" w:name="_Toc184314411"/>
      <w:bookmarkEnd w:id="194"/>
      <w:bookmarkStart w:id="195" w:name="_Toc184312125"/>
      <w:bookmarkEnd w:id="195"/>
      <w:bookmarkStart w:id="196" w:name="_Toc184308049"/>
      <w:bookmarkEnd w:id="196"/>
      <w:bookmarkStart w:id="197" w:name="_Toc184310274"/>
      <w:bookmarkEnd w:id="197"/>
      <w:bookmarkStart w:id="198" w:name="_Toc184314447"/>
      <w:bookmarkEnd w:id="198"/>
      <w:bookmarkStart w:id="199" w:name="_Toc184308043"/>
      <w:bookmarkEnd w:id="199"/>
      <w:bookmarkStart w:id="200" w:name="_Toc184312103"/>
      <w:bookmarkEnd w:id="200"/>
      <w:bookmarkStart w:id="201" w:name="_Toc184312072"/>
      <w:bookmarkEnd w:id="201"/>
      <w:bookmarkStart w:id="202" w:name="_Toc184313267"/>
      <w:bookmarkEnd w:id="202"/>
      <w:bookmarkStart w:id="203" w:name="_Toc184312127"/>
      <w:bookmarkEnd w:id="203"/>
      <w:bookmarkStart w:id="204" w:name="_Toc184308107"/>
      <w:bookmarkEnd w:id="204"/>
      <w:bookmarkStart w:id="205" w:name="_Toc184313268"/>
      <w:bookmarkEnd w:id="205"/>
      <w:bookmarkStart w:id="206" w:name="_Toc184310333"/>
      <w:bookmarkEnd w:id="206"/>
      <w:bookmarkStart w:id="207" w:name="_Toc184313245"/>
      <w:bookmarkEnd w:id="207"/>
      <w:bookmarkStart w:id="208" w:name="_Toc184314425"/>
      <w:bookmarkEnd w:id="208"/>
      <w:bookmarkStart w:id="209" w:name="_Toc184314469"/>
      <w:bookmarkEnd w:id="209"/>
      <w:bookmarkStart w:id="210" w:name="_Toc184312085"/>
      <w:bookmarkEnd w:id="210"/>
      <w:bookmarkStart w:id="211" w:name="_Toc184310277"/>
      <w:bookmarkEnd w:id="211"/>
      <w:bookmarkStart w:id="212" w:name="_Toc184314410"/>
      <w:bookmarkEnd w:id="212"/>
      <w:bookmarkStart w:id="213" w:name="_Toc184308096"/>
      <w:bookmarkEnd w:id="213"/>
      <w:bookmarkStart w:id="214" w:name="_Toc184310342"/>
      <w:bookmarkEnd w:id="214"/>
      <w:bookmarkStart w:id="215" w:name="_Toc184314438"/>
      <w:bookmarkEnd w:id="215"/>
      <w:bookmarkStart w:id="216" w:name="_Toc184308074"/>
      <w:bookmarkEnd w:id="216"/>
      <w:bookmarkStart w:id="217" w:name="_Toc184313266"/>
      <w:bookmarkEnd w:id="217"/>
      <w:bookmarkStart w:id="218" w:name="_Toc184312138"/>
      <w:bookmarkEnd w:id="218"/>
      <w:bookmarkStart w:id="219" w:name="_Toc184308099"/>
      <w:bookmarkEnd w:id="219"/>
      <w:bookmarkStart w:id="220" w:name="_Toc184310279"/>
      <w:bookmarkEnd w:id="220"/>
      <w:bookmarkStart w:id="221" w:name="_Toc184312112"/>
      <w:bookmarkEnd w:id="221"/>
      <w:bookmarkStart w:id="222" w:name="_Toc184314478"/>
      <w:bookmarkEnd w:id="222"/>
      <w:bookmarkStart w:id="223" w:name="_Toc184314476"/>
      <w:bookmarkEnd w:id="223"/>
      <w:bookmarkStart w:id="224" w:name="_Toc184310272"/>
      <w:bookmarkEnd w:id="224"/>
      <w:bookmarkStart w:id="225" w:name="_Toc184314431"/>
      <w:bookmarkEnd w:id="225"/>
      <w:bookmarkStart w:id="226" w:name="_Toc184312098"/>
      <w:bookmarkEnd w:id="226"/>
      <w:bookmarkStart w:id="227" w:name="_Toc184314435"/>
      <w:bookmarkEnd w:id="227"/>
      <w:bookmarkStart w:id="228" w:name="_Toc184313310"/>
      <w:bookmarkEnd w:id="228"/>
      <w:bookmarkStart w:id="229" w:name="_Toc184312105"/>
      <w:bookmarkEnd w:id="229"/>
      <w:bookmarkStart w:id="230" w:name="_Toc184308062"/>
      <w:bookmarkEnd w:id="230"/>
      <w:bookmarkStart w:id="231" w:name="_Toc184310315"/>
      <w:bookmarkEnd w:id="231"/>
      <w:bookmarkStart w:id="232" w:name="_Toc184310304"/>
      <w:bookmarkEnd w:id="232"/>
      <w:bookmarkStart w:id="233" w:name="_Toc184312129"/>
      <w:bookmarkEnd w:id="233"/>
      <w:bookmarkStart w:id="234" w:name="_Toc184312100"/>
      <w:bookmarkEnd w:id="234"/>
      <w:bookmarkStart w:id="235" w:name="_Toc184308079"/>
      <w:bookmarkEnd w:id="235"/>
      <w:bookmarkStart w:id="236" w:name="_Toc184312133"/>
      <w:bookmarkEnd w:id="236"/>
      <w:bookmarkStart w:id="237" w:name="_Toc184313256"/>
      <w:bookmarkEnd w:id="237"/>
      <w:bookmarkStart w:id="238" w:name="_Toc184310338"/>
      <w:bookmarkEnd w:id="238"/>
      <w:bookmarkStart w:id="239" w:name="_Toc184310323"/>
      <w:bookmarkEnd w:id="239"/>
      <w:bookmarkStart w:id="240" w:name="_Toc184312088"/>
      <w:bookmarkEnd w:id="240"/>
      <w:bookmarkStart w:id="241" w:name="_Toc184308038"/>
      <w:bookmarkEnd w:id="241"/>
      <w:bookmarkStart w:id="242" w:name="_Toc184314460"/>
      <w:bookmarkEnd w:id="242"/>
      <w:bookmarkStart w:id="243" w:name="_Toc184310340"/>
      <w:bookmarkEnd w:id="243"/>
      <w:bookmarkStart w:id="244" w:name="_Toc184314475"/>
      <w:bookmarkEnd w:id="244"/>
      <w:bookmarkStart w:id="245" w:name="_Toc184313273"/>
      <w:bookmarkEnd w:id="245"/>
      <w:bookmarkStart w:id="246" w:name="_Toc184310335"/>
      <w:bookmarkEnd w:id="246"/>
      <w:bookmarkStart w:id="247" w:name="_Toc184312068"/>
      <w:bookmarkEnd w:id="247"/>
      <w:bookmarkStart w:id="248" w:name="_Toc184312102"/>
      <w:bookmarkEnd w:id="248"/>
      <w:bookmarkStart w:id="249" w:name="_Toc184314446"/>
      <w:bookmarkEnd w:id="249"/>
      <w:bookmarkStart w:id="250" w:name="_Toc184310297"/>
      <w:bookmarkEnd w:id="250"/>
      <w:bookmarkStart w:id="251" w:name="_Toc184310318"/>
      <w:bookmarkEnd w:id="251"/>
      <w:bookmarkStart w:id="252" w:name="_Toc184308046"/>
      <w:bookmarkEnd w:id="252"/>
      <w:bookmarkStart w:id="253" w:name="_Toc184314434"/>
      <w:bookmarkEnd w:id="253"/>
      <w:bookmarkStart w:id="254" w:name="_Toc184312106"/>
      <w:bookmarkEnd w:id="254"/>
      <w:bookmarkStart w:id="255" w:name="_Toc184312110"/>
      <w:bookmarkEnd w:id="255"/>
      <w:bookmarkStart w:id="256" w:name="_Toc184308071"/>
      <w:bookmarkEnd w:id="256"/>
      <w:bookmarkStart w:id="257" w:name="_Toc184312118"/>
      <w:bookmarkEnd w:id="257"/>
      <w:bookmarkStart w:id="258" w:name="_Toc184313255"/>
      <w:bookmarkEnd w:id="258"/>
      <w:bookmarkStart w:id="259" w:name="_Toc184313292"/>
      <w:bookmarkEnd w:id="259"/>
      <w:bookmarkStart w:id="260" w:name="_Toc184310295"/>
      <w:bookmarkEnd w:id="260"/>
      <w:bookmarkStart w:id="261" w:name="_Toc184308103"/>
      <w:bookmarkEnd w:id="261"/>
      <w:bookmarkStart w:id="262" w:name="_Toc184314433"/>
      <w:bookmarkEnd w:id="262"/>
      <w:bookmarkStart w:id="263" w:name="_Toc184312077"/>
      <w:bookmarkEnd w:id="263"/>
      <w:bookmarkStart w:id="264" w:name="_Toc184314426"/>
      <w:bookmarkEnd w:id="264"/>
      <w:bookmarkStart w:id="265" w:name="_Toc184310291"/>
      <w:bookmarkEnd w:id="265"/>
      <w:bookmarkStart w:id="266" w:name="_Toc184310288"/>
      <w:bookmarkEnd w:id="266"/>
      <w:bookmarkStart w:id="267" w:name="_Toc184310273"/>
      <w:bookmarkEnd w:id="267"/>
      <w:bookmarkStart w:id="268" w:name="_Toc184314454"/>
      <w:bookmarkEnd w:id="268"/>
      <w:bookmarkStart w:id="269" w:name="_Toc184313254"/>
      <w:bookmarkEnd w:id="269"/>
      <w:bookmarkStart w:id="270" w:name="_Toc184308080"/>
      <w:bookmarkEnd w:id="270"/>
      <w:bookmarkStart w:id="271" w:name="_Toc184308058"/>
      <w:bookmarkEnd w:id="271"/>
      <w:bookmarkStart w:id="272" w:name="_Toc184313304"/>
      <w:bookmarkEnd w:id="272"/>
      <w:bookmarkStart w:id="273" w:name="_Toc184310344"/>
      <w:bookmarkEnd w:id="273"/>
      <w:bookmarkStart w:id="274" w:name="_Toc184314432"/>
      <w:bookmarkEnd w:id="274"/>
      <w:bookmarkStart w:id="275" w:name="_Toc184312090"/>
      <w:bookmarkEnd w:id="275"/>
      <w:bookmarkStart w:id="276" w:name="_Toc184313284"/>
      <w:bookmarkEnd w:id="276"/>
      <w:bookmarkStart w:id="277" w:name="_Toc184312083"/>
      <w:bookmarkEnd w:id="277"/>
      <w:bookmarkStart w:id="278" w:name="_Toc184308053"/>
      <w:bookmarkEnd w:id="278"/>
      <w:bookmarkStart w:id="279" w:name="_Toc184313259"/>
      <w:bookmarkEnd w:id="279"/>
      <w:bookmarkStart w:id="280" w:name="_Toc184314459"/>
      <w:bookmarkEnd w:id="280"/>
      <w:bookmarkStart w:id="281" w:name="_Toc184313303"/>
      <w:bookmarkEnd w:id="281"/>
      <w:bookmarkStart w:id="282" w:name="_Toc184312086"/>
      <w:bookmarkEnd w:id="282"/>
      <w:bookmarkStart w:id="283" w:name="_Toc184312074"/>
      <w:bookmarkEnd w:id="283"/>
      <w:bookmarkStart w:id="284" w:name="_Toc184310283"/>
      <w:bookmarkEnd w:id="284"/>
      <w:bookmarkStart w:id="285" w:name="_Toc184313250"/>
      <w:bookmarkEnd w:id="285"/>
      <w:bookmarkStart w:id="286" w:name="_Toc184308036"/>
      <w:bookmarkEnd w:id="286"/>
      <w:bookmarkStart w:id="287" w:name="_Toc184308054"/>
      <w:bookmarkEnd w:id="287"/>
      <w:bookmarkStart w:id="288" w:name="_Toc184308094"/>
      <w:bookmarkEnd w:id="288"/>
      <w:bookmarkStart w:id="289" w:name="_Toc184313264"/>
      <w:bookmarkEnd w:id="289"/>
      <w:bookmarkStart w:id="290" w:name="_Toc184312139"/>
      <w:bookmarkEnd w:id="290"/>
      <w:bookmarkStart w:id="291" w:name="_Toc184312071"/>
      <w:bookmarkEnd w:id="291"/>
      <w:bookmarkStart w:id="292" w:name="_Toc184312131"/>
      <w:bookmarkEnd w:id="292"/>
      <w:bookmarkStart w:id="293" w:name="_Toc184312114"/>
      <w:bookmarkEnd w:id="293"/>
      <w:bookmarkStart w:id="294" w:name="_Toc184310313"/>
      <w:bookmarkEnd w:id="294"/>
      <w:bookmarkStart w:id="295" w:name="_Toc184313251"/>
      <w:bookmarkEnd w:id="295"/>
      <w:bookmarkStart w:id="296" w:name="_Toc184314474"/>
      <w:bookmarkEnd w:id="296"/>
      <w:bookmarkStart w:id="297" w:name="_Toc184310289"/>
      <w:bookmarkEnd w:id="297"/>
      <w:bookmarkStart w:id="298" w:name="_Toc184310290"/>
      <w:bookmarkEnd w:id="298"/>
      <w:bookmarkStart w:id="299" w:name="_Toc184312094"/>
      <w:bookmarkEnd w:id="299"/>
      <w:bookmarkStart w:id="300" w:name="_Toc184308101"/>
      <w:bookmarkEnd w:id="300"/>
      <w:bookmarkStart w:id="301" w:name="_Toc184308100"/>
      <w:bookmarkEnd w:id="301"/>
      <w:bookmarkStart w:id="302" w:name="_Toc184312137"/>
      <w:bookmarkEnd w:id="302"/>
      <w:bookmarkStart w:id="303" w:name="_Toc184312075"/>
      <w:bookmarkEnd w:id="303"/>
      <w:bookmarkStart w:id="304" w:name="_Toc184313270"/>
      <w:bookmarkEnd w:id="304"/>
      <w:bookmarkStart w:id="305" w:name="_Toc184313239"/>
      <w:bookmarkEnd w:id="305"/>
      <w:bookmarkStart w:id="306" w:name="_Toc184314422"/>
      <w:bookmarkEnd w:id="306"/>
      <w:bookmarkStart w:id="307" w:name="_Toc184310286"/>
      <w:bookmarkEnd w:id="307"/>
      <w:bookmarkStart w:id="308" w:name="_Toc184314444"/>
      <w:bookmarkEnd w:id="308"/>
      <w:bookmarkStart w:id="309" w:name="_Toc184312078"/>
      <w:bookmarkEnd w:id="309"/>
      <w:bookmarkStart w:id="310" w:name="_Toc184312135"/>
      <w:bookmarkEnd w:id="310"/>
      <w:bookmarkStart w:id="311" w:name="_Toc184313300"/>
      <w:bookmarkEnd w:id="311"/>
      <w:bookmarkStart w:id="312" w:name="_Toc184310285"/>
      <w:bookmarkEnd w:id="312"/>
      <w:bookmarkStart w:id="313" w:name="_Toc184308051"/>
      <w:bookmarkEnd w:id="313"/>
      <w:bookmarkStart w:id="314" w:name="_Toc184313240"/>
      <w:bookmarkEnd w:id="314"/>
      <w:bookmarkStart w:id="315" w:name="_Toc184314420"/>
      <w:bookmarkEnd w:id="315"/>
      <w:bookmarkStart w:id="316" w:name="_Toc184312108"/>
      <w:bookmarkEnd w:id="316"/>
      <w:bookmarkStart w:id="317" w:name="_Toc184313278"/>
      <w:bookmarkEnd w:id="317"/>
      <w:bookmarkStart w:id="318" w:name="_Toc184308102"/>
      <w:bookmarkEnd w:id="318"/>
      <w:bookmarkStart w:id="319" w:name="_Toc184308048"/>
      <w:bookmarkEnd w:id="319"/>
      <w:bookmarkStart w:id="320" w:name="_Toc184308108"/>
      <w:bookmarkEnd w:id="320"/>
      <w:bookmarkStart w:id="321" w:name="_Toc184314424"/>
      <w:bookmarkEnd w:id="321"/>
      <w:bookmarkStart w:id="322" w:name="_Toc184308087"/>
      <w:bookmarkEnd w:id="322"/>
      <w:bookmarkStart w:id="323" w:name="_Toc184313280"/>
      <w:bookmarkEnd w:id="323"/>
      <w:bookmarkStart w:id="324" w:name="_Toc184313277"/>
      <w:bookmarkEnd w:id="324"/>
      <w:bookmarkStart w:id="325" w:name="_Toc184313238"/>
      <w:bookmarkEnd w:id="325"/>
      <w:bookmarkStart w:id="326" w:name="_Toc184314421"/>
      <w:bookmarkEnd w:id="326"/>
      <w:bookmarkStart w:id="327" w:name="_Toc184314436"/>
      <w:bookmarkEnd w:id="327"/>
      <w:bookmarkStart w:id="328" w:name="_Toc184310337"/>
      <w:bookmarkEnd w:id="328"/>
      <w:bookmarkStart w:id="329" w:name="_Toc184308055"/>
      <w:bookmarkEnd w:id="329"/>
      <w:bookmarkStart w:id="330" w:name="_Toc184308078"/>
      <w:bookmarkEnd w:id="330"/>
      <w:bookmarkStart w:id="331" w:name="_Toc184314419"/>
      <w:bookmarkEnd w:id="331"/>
      <w:bookmarkStart w:id="332" w:name="_Toc184308052"/>
      <w:bookmarkEnd w:id="332"/>
      <w:bookmarkStart w:id="333" w:name="_Toc184308063"/>
      <w:bookmarkEnd w:id="333"/>
      <w:bookmarkStart w:id="334" w:name="_Toc184310329"/>
      <w:bookmarkEnd w:id="334"/>
      <w:bookmarkStart w:id="335" w:name="_Toc184308056"/>
      <w:bookmarkEnd w:id="335"/>
      <w:bookmarkStart w:id="336" w:name="_Toc184314423"/>
      <w:bookmarkEnd w:id="336"/>
      <w:bookmarkStart w:id="337" w:name="_Toc184308086"/>
      <w:bookmarkEnd w:id="337"/>
      <w:bookmarkStart w:id="338" w:name="_Toc184314451"/>
      <w:bookmarkEnd w:id="338"/>
      <w:bookmarkStart w:id="339" w:name="_Toc184314437"/>
      <w:bookmarkEnd w:id="339"/>
      <w:bookmarkStart w:id="340" w:name="_Toc184314453"/>
      <w:bookmarkEnd w:id="340"/>
      <w:bookmarkStart w:id="341" w:name="_Toc184310276"/>
      <w:bookmarkEnd w:id="341"/>
      <w:bookmarkStart w:id="342" w:name="_Toc184310320"/>
      <w:bookmarkEnd w:id="342"/>
      <w:bookmarkStart w:id="343" w:name="_Toc184308083"/>
      <w:bookmarkEnd w:id="343"/>
      <w:bookmarkStart w:id="344" w:name="_Toc184312093"/>
      <w:bookmarkEnd w:id="344"/>
      <w:bookmarkStart w:id="345" w:name="_Toc184313249"/>
      <w:bookmarkEnd w:id="345"/>
      <w:bookmarkStart w:id="346" w:name="_Toc184314442"/>
      <w:bookmarkEnd w:id="346"/>
      <w:bookmarkStart w:id="347" w:name="_Toc184312097"/>
      <w:bookmarkEnd w:id="347"/>
      <w:bookmarkStart w:id="348" w:name="_Toc184313252"/>
      <w:bookmarkEnd w:id="348"/>
      <w:bookmarkStart w:id="349" w:name="_Toc184310284"/>
      <w:bookmarkEnd w:id="349"/>
      <w:bookmarkStart w:id="350" w:name="_Toc184314458"/>
      <w:bookmarkEnd w:id="350"/>
      <w:bookmarkStart w:id="351" w:name="_Toc184313308"/>
      <w:bookmarkEnd w:id="351"/>
      <w:bookmarkStart w:id="352" w:name="_Toc184312081"/>
      <w:bookmarkEnd w:id="352"/>
      <w:bookmarkStart w:id="353" w:name="_Toc184310305"/>
      <w:bookmarkEnd w:id="353"/>
      <w:bookmarkStart w:id="354" w:name="_Toc184314418"/>
      <w:bookmarkEnd w:id="354"/>
      <w:bookmarkStart w:id="355" w:name="_Toc184313244"/>
      <w:bookmarkEnd w:id="355"/>
      <w:bookmarkStart w:id="356" w:name="_Toc184310317"/>
      <w:bookmarkEnd w:id="356"/>
      <w:bookmarkStart w:id="357" w:name="_Toc184310275"/>
      <w:bookmarkEnd w:id="357"/>
      <w:bookmarkStart w:id="358" w:name="_Toc184308082"/>
      <w:bookmarkEnd w:id="358"/>
      <w:bookmarkStart w:id="359" w:name="_Toc184308105"/>
      <w:bookmarkEnd w:id="359"/>
      <w:bookmarkStart w:id="360" w:name="_Toc184308069"/>
      <w:bookmarkEnd w:id="360"/>
      <w:bookmarkStart w:id="361" w:name="_Toc184308084"/>
      <w:bookmarkEnd w:id="361"/>
      <w:bookmarkStart w:id="362" w:name="_Toc184314416"/>
      <w:bookmarkEnd w:id="362"/>
      <w:bookmarkStart w:id="363" w:name="_Toc184312104"/>
      <w:bookmarkEnd w:id="363"/>
      <w:bookmarkStart w:id="364" w:name="_Toc184312115"/>
      <w:bookmarkEnd w:id="364"/>
      <w:bookmarkStart w:id="365" w:name="_Toc184308088"/>
      <w:bookmarkEnd w:id="365"/>
      <w:bookmarkStart w:id="366" w:name="_Toc184308077"/>
      <w:bookmarkEnd w:id="366"/>
      <w:bookmarkStart w:id="367" w:name="_Toc184308047"/>
      <w:bookmarkEnd w:id="367"/>
      <w:bookmarkStart w:id="368" w:name="_Toc184310324"/>
      <w:bookmarkEnd w:id="368"/>
      <w:bookmarkStart w:id="369" w:name="_Toc184313247"/>
      <w:bookmarkEnd w:id="369"/>
      <w:bookmarkStart w:id="370" w:name="_Toc184310296"/>
      <w:bookmarkEnd w:id="370"/>
      <w:bookmarkStart w:id="371" w:name="_Toc184313260"/>
      <w:bookmarkEnd w:id="371"/>
      <w:bookmarkStart w:id="372" w:name="_Toc184308039"/>
      <w:bookmarkEnd w:id="372"/>
      <w:bookmarkStart w:id="373" w:name="_Toc184312107"/>
      <w:bookmarkEnd w:id="373"/>
      <w:bookmarkStart w:id="374" w:name="_Toc184313289"/>
      <w:bookmarkEnd w:id="374"/>
      <w:bookmarkStart w:id="375" w:name="_Toc184313297"/>
      <w:bookmarkEnd w:id="375"/>
      <w:bookmarkStart w:id="376" w:name="_Toc184313246"/>
      <w:bookmarkEnd w:id="376"/>
      <w:bookmarkStart w:id="377" w:name="_Toc184313288"/>
      <w:bookmarkEnd w:id="377"/>
      <w:bookmarkStart w:id="378" w:name="_Toc184308089"/>
      <w:bookmarkEnd w:id="378"/>
      <w:bookmarkStart w:id="379" w:name="_Toc184308040"/>
      <w:bookmarkEnd w:id="379"/>
      <w:bookmarkStart w:id="380" w:name="_Toc184314472"/>
      <w:bookmarkEnd w:id="380"/>
      <w:bookmarkStart w:id="381" w:name="_Toc184313271"/>
      <w:bookmarkEnd w:id="381"/>
      <w:bookmarkStart w:id="382" w:name="_Toc184314450"/>
      <w:bookmarkEnd w:id="382"/>
      <w:bookmarkStart w:id="383" w:name="_Toc184312082"/>
      <w:bookmarkEnd w:id="383"/>
      <w:bookmarkStart w:id="384" w:name="_Toc184312096"/>
      <w:bookmarkEnd w:id="384"/>
      <w:bookmarkStart w:id="385" w:name="_Toc184312120"/>
      <w:bookmarkEnd w:id="385"/>
      <w:bookmarkStart w:id="386" w:name="_Toc184313263"/>
      <w:bookmarkEnd w:id="386"/>
      <w:bookmarkStart w:id="387" w:name="_Toc184310294"/>
      <w:bookmarkEnd w:id="387"/>
      <w:bookmarkStart w:id="388" w:name="_Toc184313291"/>
      <w:bookmarkEnd w:id="388"/>
      <w:bookmarkStart w:id="389" w:name="_Toc184308067"/>
      <w:bookmarkEnd w:id="389"/>
      <w:bookmarkStart w:id="390" w:name="_Toc184314480"/>
      <w:bookmarkEnd w:id="390"/>
      <w:bookmarkStart w:id="391" w:name="_Toc184313262"/>
      <w:bookmarkEnd w:id="391"/>
      <w:bookmarkStart w:id="392" w:name="_Toc184310311"/>
      <w:bookmarkEnd w:id="392"/>
      <w:bookmarkStart w:id="393" w:name="_Toc184314415"/>
      <w:bookmarkEnd w:id="393"/>
      <w:bookmarkStart w:id="394" w:name="_Toc184312116"/>
      <w:bookmarkEnd w:id="394"/>
      <w:bookmarkStart w:id="395" w:name="_Toc184312126"/>
      <w:bookmarkEnd w:id="395"/>
      <w:bookmarkStart w:id="396" w:name="_Toc184308042"/>
      <w:bookmarkEnd w:id="396"/>
      <w:bookmarkStart w:id="397" w:name="_Toc184313269"/>
      <w:bookmarkEnd w:id="397"/>
      <w:bookmarkStart w:id="398" w:name="_Toc184310302"/>
      <w:bookmarkEnd w:id="398"/>
      <w:bookmarkStart w:id="399" w:name="_Toc184314471"/>
      <w:bookmarkEnd w:id="399"/>
      <w:r>
        <w:rPr>
          <w:rFonts w:hint="eastAsia" w:ascii="仿宋_GB2312" w:hAnsi="仿宋" w:eastAsia="仿宋_GB2312" w:cs="仿宋_GB2312"/>
          <w:b/>
          <w:color w:val="auto"/>
          <w:sz w:val="36"/>
          <w:szCs w:val="36"/>
          <w:highlight w:val="none"/>
        </w:rPr>
        <w:t>评标方法及评分标准</w:t>
      </w:r>
    </w:p>
    <w:p>
      <w:pPr>
        <w:snapToGrid w:val="0"/>
        <w:spacing w:line="360" w:lineRule="auto"/>
        <w:ind w:firstLine="3052" w:firstLineChars="950"/>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1.综合评分法。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p>
    <w:p>
      <w:pPr>
        <w:snapToGrid w:val="0"/>
        <w:spacing w:line="360" w:lineRule="auto"/>
        <w:ind w:left="120" w:leftChars="57" w:firstLine="422" w:firstLineChars="150"/>
        <w:jc w:val="center"/>
        <w:rPr>
          <w:rFonts w:ascii="仿宋_GB2312" w:hAnsi="仿宋" w:eastAsia="仿宋_GB2312" w:cs="仿宋_GB2312"/>
          <w:b/>
          <w:color w:val="auto"/>
          <w:sz w:val="32"/>
          <w:highlight w:val="none"/>
        </w:rPr>
      </w:pPr>
      <w:r>
        <w:rPr>
          <w:rFonts w:hint="eastAsia" w:ascii="仿宋_GB2312" w:hAnsi="仿宋" w:eastAsia="仿宋_GB2312"/>
          <w:b/>
          <w:color w:val="auto"/>
          <w:sz w:val="28"/>
          <w:szCs w:val="28"/>
          <w:highlight w:val="none"/>
        </w:rPr>
        <w:t xml:space="preserve">   </w:t>
      </w:r>
      <w:r>
        <w:rPr>
          <w:rFonts w:hint="eastAsia" w:ascii="仿宋_GB2312" w:hAnsi="仿宋" w:eastAsia="仿宋_GB2312" w:cs="仿宋_GB2312"/>
          <w:b/>
          <w:color w:val="auto"/>
          <w:sz w:val="32"/>
          <w:highlight w:val="none"/>
        </w:rPr>
        <w:t>二、评标委员会的组成</w:t>
      </w:r>
    </w:p>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2.评标委员会的组成。</w:t>
      </w:r>
      <w:r>
        <w:rPr>
          <w:rFonts w:hint="eastAsia" w:ascii="仿宋_GB2312" w:hAnsi="仿宋" w:eastAsia="仿宋_GB2312" w:cs="Arial"/>
          <w:color w:val="auto"/>
          <w:kern w:val="0"/>
          <w:sz w:val="24"/>
          <w:highlight w:val="none"/>
        </w:rPr>
        <w:t>评标委员会由采购人代表和评审专家组成，成员人数为5人以上单数，其中评审专家不少于成员总数的三分之二。</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b/>
          <w:color w:val="auto"/>
          <w:kern w:val="0"/>
          <w:highlight w:val="none"/>
        </w:rPr>
        <w:t>3.评</w:t>
      </w:r>
      <w:r>
        <w:rPr>
          <w:rFonts w:hint="eastAsia" w:ascii="仿宋_GB2312" w:hAnsi="仿宋" w:eastAsia="仿宋_GB2312" w:cs="Arial"/>
          <w:b/>
          <w:color w:val="auto"/>
          <w:kern w:val="0"/>
          <w:szCs w:val="24"/>
          <w:highlight w:val="none"/>
        </w:rPr>
        <w:t>标委员会的组成人员的回避。</w:t>
      </w:r>
      <w:r>
        <w:rPr>
          <w:rFonts w:hint="eastAsia" w:ascii="仿宋_GB2312" w:hAnsi="仿宋" w:eastAsia="仿宋_GB2312" w:cs="Arial"/>
          <w:color w:val="auto"/>
          <w:kern w:val="0"/>
          <w:highlight w:val="none"/>
        </w:rPr>
        <w:t>在政府采购活动中，评标委员会的组成人员与供应商有下列利害关系之一的，应当回避：</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3.1参加采购活动前3年内与供应商存在劳动关系；</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3.2参加采购活动前3年内担任供应商的董事、监事；</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3.3参加采购活动前3年内是供应商的控股股东或者实际控制人；</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3.4与供应商的法定代表人或者负责人有夫妻、直系血亲、三代以内旁系血亲或者近姻亲关系；</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3.5与供应商有其他可能影响政府采购活动公平、公正进行的关系。</w:t>
      </w:r>
    </w:p>
    <w:p>
      <w:pPr>
        <w:snapToGrid w:val="0"/>
        <w:spacing w:line="360" w:lineRule="auto"/>
        <w:ind w:left="120" w:leftChars="57" w:firstLine="482" w:firstLineChars="150"/>
        <w:jc w:val="center"/>
        <w:rPr>
          <w:rFonts w:ascii="仿宋_GB2312" w:hAnsi="仿宋" w:eastAsia="仿宋_GB2312"/>
          <w:b/>
          <w:color w:val="auto"/>
          <w:sz w:val="32"/>
          <w:szCs w:val="32"/>
          <w:highlight w:val="none"/>
        </w:rPr>
      </w:pPr>
    </w:p>
    <w:p>
      <w:pPr>
        <w:snapToGrid w:val="0"/>
        <w:spacing w:line="360" w:lineRule="auto"/>
        <w:ind w:left="120" w:leftChars="57" w:firstLine="482" w:firstLineChars="150"/>
        <w:jc w:val="center"/>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　</w:t>
      </w:r>
      <w:r>
        <w:rPr>
          <w:rFonts w:hint="eastAsia" w:ascii="仿宋_GB2312" w:hAnsi="仿宋" w:eastAsia="仿宋_GB2312" w:cs="仿宋_GB2312"/>
          <w:b/>
          <w:color w:val="auto"/>
          <w:sz w:val="32"/>
          <w:highlight w:val="none"/>
        </w:rPr>
        <w:t>　三、评标委员会的职责</w:t>
      </w:r>
    </w:p>
    <w:p>
      <w:pPr>
        <w:pStyle w:val="238"/>
        <w:spacing w:before="0"/>
        <w:ind w:firstLine="0" w:firstLineChars="0"/>
        <w:rPr>
          <w:rFonts w:ascii="仿宋_GB2312" w:hAnsi="仿宋" w:eastAsia="仿宋_GB2312" w:cs="Arial"/>
          <w:b/>
          <w:color w:val="auto"/>
          <w:kern w:val="0"/>
          <w:szCs w:val="24"/>
          <w:highlight w:val="none"/>
        </w:rPr>
      </w:pPr>
      <w:r>
        <w:rPr>
          <w:rFonts w:hint="eastAsia" w:ascii="仿宋_GB2312" w:hAnsi="仿宋" w:eastAsia="仿宋_GB2312" w:cs="Arial"/>
          <w:b/>
          <w:color w:val="auto"/>
          <w:kern w:val="0"/>
          <w:szCs w:val="24"/>
          <w:highlight w:val="none"/>
        </w:rPr>
        <w:t>4.评标委员会负责具体评标事务，并独立履行下列职责：</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4.1审查、评价投标文件是否符合招标文件的商务、技术等实质性要求；</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4.2要求投标人对投标文件有关事项作出澄清或者说明；</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4.3对投标文件进行比较和评价；</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4.4确定中标候选人名单，以及根据采购人委托直接确定中标人；</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4.5向采购人、采购机构或者有关部门报告评标中发现的违法行为；</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4.6法律、法规、规章、招标文件等规定的其它事项。</w:t>
      </w:r>
    </w:p>
    <w:p>
      <w:pPr>
        <w:pStyle w:val="238"/>
        <w:spacing w:before="0"/>
        <w:ind w:firstLine="0" w:firstLineChars="0"/>
        <w:rPr>
          <w:rFonts w:ascii="仿宋_GB2312" w:hAnsi="仿宋" w:eastAsia="仿宋_GB2312" w:cs="Arial"/>
          <w:b/>
          <w:color w:val="auto"/>
          <w:kern w:val="0"/>
          <w:szCs w:val="24"/>
          <w:highlight w:val="none"/>
        </w:rPr>
      </w:pPr>
      <w:r>
        <w:rPr>
          <w:rFonts w:hint="eastAsia" w:ascii="仿宋_GB2312" w:hAnsi="仿宋" w:eastAsia="仿宋_GB2312" w:cs="Arial"/>
          <w:b/>
          <w:color w:val="auto"/>
          <w:kern w:val="0"/>
          <w:szCs w:val="24"/>
          <w:highlight w:val="none"/>
        </w:rPr>
        <w:t>5.评标委员会及其成员不得有下列行为：</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5.1确定参与评标至评标结束前私自接触投标人；</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5.2接受投标人提出的与投标文件不一致的澄清或者说明，《政府采购货物和服务招标投标管理办法》（财政部令第87号）第五十一条规定的情形除外；</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5.3违反评标纪律发表倾向性意见或者征询采购人的倾向性意见；</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5.4对需要专业判断的主观评审因素协商评分；</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5.5在评标过程中擅离职守，影响评标程序正常进行的；</w:t>
      </w:r>
    </w:p>
    <w:p>
      <w:pPr>
        <w:pStyle w:val="238"/>
        <w:spacing w:before="0"/>
        <w:ind w:firstLine="240" w:firstLineChars="10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5.6记录、复制或者带走任何评标资料；</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5.7其他不遵守评标纪律的行为。</w:t>
      </w:r>
    </w:p>
    <w:p>
      <w:pPr>
        <w:pStyle w:val="238"/>
        <w:spacing w:before="0"/>
        <w:ind w:firstLine="0" w:firstLineChars="0"/>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　　评标委员会成员有5.1-5.5行为之一的，其评审意见无效，并不得获取评审劳务报酬和报销异地评审差旅费。</w:t>
      </w:r>
    </w:p>
    <w:p>
      <w:pPr>
        <w:pStyle w:val="238"/>
        <w:spacing w:before="0"/>
        <w:ind w:firstLine="0" w:firstLineChars="0"/>
        <w:rPr>
          <w:rFonts w:ascii="仿宋_GB2312" w:hAnsi="仿宋" w:eastAsia="仿宋_GB2312" w:cs="Arial"/>
          <w:color w:val="auto"/>
          <w:kern w:val="0"/>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四、评审程序</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 xml:space="preserve">6.符合性审查。 </w:t>
      </w:r>
      <w:r>
        <w:rPr>
          <w:rFonts w:hint="eastAsia" w:ascii="仿宋_GB2312" w:hAnsi="仿宋" w:eastAsia="仿宋_GB2312" w:cs="Arial"/>
          <w:color w:val="auto"/>
          <w:kern w:val="0"/>
          <w:szCs w:val="24"/>
          <w:highlight w:val="none"/>
        </w:rPr>
        <w:t>评标委员会应当对符合资格的投标人的投标文件进行符合性审查，以确定其是否满足招标文件的实质性要求。符合投标无效情形的，投标无效。</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7.投标人澄清、说明或者补正。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8. 比较与评价。</w:t>
      </w:r>
      <w:r>
        <w:rPr>
          <w:rFonts w:hint="eastAsia" w:ascii="仿宋_GB2312" w:hAnsi="仿宋" w:eastAsia="仿宋_GB2312" w:cs="Arial"/>
          <w:color w:val="auto"/>
          <w:kern w:val="0"/>
          <w:szCs w:val="24"/>
          <w:highlight w:val="none"/>
        </w:rPr>
        <w:t>评标委员会应当按照评标标准，对符合性审查合格的投标文件进行商务和技术评估，综合比较与评价。</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9. 汇总（商务技术得分情况）。</w:t>
      </w:r>
      <w:r>
        <w:rPr>
          <w:rFonts w:hint="eastAsia" w:ascii="仿宋_GB2312" w:hAnsi="仿宋" w:eastAsia="仿宋_GB2312" w:cs="Arial"/>
          <w:color w:val="auto"/>
          <w:kern w:val="0"/>
          <w:szCs w:val="24"/>
          <w:highlight w:val="none"/>
        </w:rPr>
        <w:t>评标委员会各成员应当独立对每个投标人的商务和技术文件进行评价，并汇总商务技术得分情况。</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10. 报价审核。</w:t>
      </w:r>
      <w:r>
        <w:rPr>
          <w:rFonts w:hint="eastAsia" w:ascii="仿宋_GB2312" w:hAnsi="仿宋" w:eastAsia="仿宋_GB2312" w:cs="Arial"/>
          <w:color w:val="auto"/>
          <w:kern w:val="0"/>
          <w:szCs w:val="24"/>
          <w:highlight w:val="none"/>
        </w:rPr>
        <w:t>对经商务和技术评审符合采购需求的投标人的报价的合理性、准确性等进行审查核实。</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10.1评标委员会认为投标人的报价明显低于其他通过符合性审查投标人的报价，有可能影响产品质量或者不能诚信履约的，应当要求其在合理的时间内提供书面说明，必要时提交相关证明材料。</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10.2根据财政部发布的《政府采购促进中小企业发展暂行办法》规定，对于非专门面向中小企业的项目，对小型和微型企业产品的价格给予一定的扣除，用扣除后的价格参与评审。</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10.3投标价格的修正原则。投标文件报价出现前后不一致的，按照下列规定修正：</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10.3.1投标文件中开标一览表(报价表)内容与投标文件中相应内容不一致的，以开标一览表(报价表)为准;</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10.3.2大写金额和小写金额不一致的，以大写金额为准;</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10.3.3单价金额小数点或者百分比有明显错位的，以开标一览表的总价为准，并修改单价;</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10.3.4总价金额与按单价汇总金额不一致的，以单价金额计算结果为准。</w:t>
      </w:r>
    </w:p>
    <w:p>
      <w:pPr>
        <w:pStyle w:val="238"/>
        <w:spacing w:before="0"/>
        <w:ind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
          <w:bCs/>
          <w:color w:val="auto"/>
          <w:sz w:val="24"/>
          <w:highlight w:val="none"/>
        </w:rPr>
        <w:t>投标人对根据修正原则修正后的报价不确认的，投标无效。</w:t>
      </w:r>
    </w:p>
    <w:p>
      <w:pPr>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11.汇总得分。</w:t>
      </w:r>
      <w:r>
        <w:rPr>
          <w:rFonts w:hint="eastAsia" w:ascii="仿宋_GB2312" w:hAnsi="仿宋" w:eastAsia="仿宋_GB2312" w:cs="Arial"/>
          <w:color w:val="auto"/>
          <w:kern w:val="0"/>
          <w:sz w:val="24"/>
          <w:highlight w:val="none"/>
        </w:rPr>
        <w:t>评标委员会各成员应当独立对每个投标人的投标文件进行评价，并汇总每个投标人的得分。</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12.顺序排列与中标候选推荐。</w:t>
      </w:r>
    </w:p>
    <w:p>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12.1评标结果按评审后得分由高到低顺序排列。得分相同的，按投标报价由低到高顺序排列。得分且投标报价相同的并列。得分最高的投标人为排名第一的中标候选人。</w:t>
      </w:r>
    </w:p>
    <w:p>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4"/>
        <w:spacing w:line="360" w:lineRule="auto"/>
        <w:ind w:left="919" w:hanging="499" w:hangingChars="199"/>
        <w:rPr>
          <w:rFonts w:ascii="仿宋_GB2312" w:hAnsi="仿宋" w:eastAsia="仿宋_GB2312" w:cs="仿宋_GB2312"/>
          <w:color w:val="auto"/>
          <w:szCs w:val="21"/>
          <w:highlight w:val="none"/>
        </w:rPr>
      </w:pPr>
      <w:r>
        <w:rPr>
          <w:rFonts w:hint="eastAsia" w:ascii="仿宋_GB2312" w:hAnsi="仿宋" w:eastAsia="仿宋_GB2312" w:cs="仿宋_GB2312"/>
          <w:b/>
          <w:color w:val="auto"/>
          <w:spacing w:val="20"/>
          <w:highlight w:val="none"/>
        </w:rPr>
        <w:t>13.投标无效。</w:t>
      </w:r>
      <w:r>
        <w:rPr>
          <w:rFonts w:hint="eastAsia" w:ascii="仿宋_GB2312" w:hAnsi="仿宋" w:eastAsia="仿宋_GB2312" w:cs="仿宋_GB2312"/>
          <w:color w:val="auto"/>
          <w:szCs w:val="21"/>
          <w:highlight w:val="none"/>
        </w:rPr>
        <w:t>有下列情况之一的，投标无效：</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13.1</w:t>
      </w:r>
      <w:r>
        <w:rPr>
          <w:rFonts w:hint="eastAsia" w:ascii="仿宋_GB2312" w:hAnsi="仿宋" w:eastAsia="仿宋_GB2312" w:cs="仿宋_GB2312"/>
          <w:color w:val="auto"/>
          <w:sz w:val="24"/>
          <w:szCs w:val="21"/>
          <w:highlight w:val="none"/>
        </w:rPr>
        <w:t>单位负责人为同一人或者存在直接控股、管理关系的不同供应商参加同一合同项下的政府采购活动的（均无效）；</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13.2</w:t>
      </w:r>
      <w:r>
        <w:rPr>
          <w:rFonts w:hint="eastAsia" w:ascii="仿宋_GB2312" w:hAnsi="仿宋" w:eastAsia="仿宋_GB2312" w:cs="仿宋_GB2312"/>
          <w:color w:val="auto"/>
          <w:sz w:val="24"/>
          <w:szCs w:val="21"/>
          <w:highlight w:val="none"/>
        </w:rPr>
        <w:t xml:space="preserve">为采购项目提供整体设计、规范编制或者项目管理、监理、检测等服务的供应商再参加该采购项目的其他采购活动的； </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13.3</w:t>
      </w:r>
      <w:r>
        <w:rPr>
          <w:rFonts w:hint="eastAsia" w:ascii="仿宋_GB2312" w:hAnsi="仿宋" w:eastAsia="仿宋_GB2312" w:cs="仿宋_GB2312"/>
          <w:color w:val="auto"/>
          <w:sz w:val="24"/>
          <w:szCs w:val="21"/>
          <w:highlight w:val="none"/>
        </w:rPr>
        <w:t>投标人不具备招标文件中规定的资格要求的（投标人未提供有效的资格证明文件的，视为投标人不具备招标文件中规定的资格要求）；</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13.4</w:t>
      </w:r>
      <w:r>
        <w:rPr>
          <w:rFonts w:hint="eastAsia" w:ascii="仿宋_GB2312" w:hAnsi="仿宋" w:eastAsia="仿宋_GB2312" w:cs="仿宋_GB2312"/>
          <w:color w:val="auto"/>
          <w:sz w:val="24"/>
          <w:szCs w:val="21"/>
          <w:highlight w:val="none"/>
        </w:rPr>
        <w:t>如以联合体形式参加政府采购活动的，联合体协议不符合招标文件规定的联合体协议要求的；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13. 5</w:t>
      </w:r>
      <w:r>
        <w:rPr>
          <w:rFonts w:hint="eastAsia" w:ascii="仿宋_GB2312" w:hAnsi="仿宋" w:eastAsia="仿宋_GB2312" w:cs="仿宋_GB2312"/>
          <w:color w:val="auto"/>
          <w:sz w:val="24"/>
          <w:szCs w:val="21"/>
          <w:highlight w:val="none"/>
        </w:rPr>
        <w:t>投标文件未按规定的格式编制的；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13.6</w:t>
      </w:r>
      <w:r>
        <w:rPr>
          <w:rFonts w:hint="eastAsia" w:ascii="仿宋_GB2312" w:hAnsi="仿宋" w:eastAsia="仿宋_GB2312" w:cs="仿宋_GB2312"/>
          <w:color w:val="auto"/>
          <w:sz w:val="24"/>
          <w:szCs w:val="21"/>
          <w:highlight w:val="none"/>
        </w:rPr>
        <w:t>投标文件未按招标文件的澄清、修改的内容编制，又不符合实质性要求的；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13.7</w:t>
      </w:r>
      <w:r>
        <w:rPr>
          <w:rFonts w:hint="eastAsia" w:ascii="仿宋_GB2312" w:hAnsi="仿宋" w:eastAsia="仿宋_GB2312" w:cs="仿宋_GB2312"/>
          <w:color w:val="auto"/>
          <w:sz w:val="24"/>
          <w:szCs w:val="21"/>
          <w:highlight w:val="none"/>
        </w:rPr>
        <w:t>投标文件组成漏项，内容不全或内容字迹模糊辨认不清的；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13.8</w:t>
      </w:r>
      <w:r>
        <w:rPr>
          <w:rFonts w:hint="eastAsia" w:ascii="仿宋_GB2312" w:hAnsi="仿宋" w:eastAsia="仿宋_GB2312" w:cs="仿宋_GB2312"/>
          <w:color w:val="auto"/>
          <w:sz w:val="24"/>
          <w:szCs w:val="21"/>
          <w:highlight w:val="none"/>
        </w:rPr>
        <w:t>投标文件中法人授权书所载内容与本项目内容有异的；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13.9</w:t>
      </w:r>
      <w:r>
        <w:rPr>
          <w:rFonts w:hint="eastAsia" w:ascii="仿宋_GB2312" w:hAnsi="仿宋" w:eastAsia="仿宋_GB2312" w:cs="仿宋_GB2312"/>
          <w:color w:val="auto"/>
          <w:sz w:val="24"/>
          <w:szCs w:val="21"/>
          <w:highlight w:val="none"/>
        </w:rPr>
        <w:t>投标文件未按照招标文件要求签署、盖章的；</w:t>
      </w:r>
    </w:p>
    <w:p>
      <w:pPr>
        <w:spacing w:line="360" w:lineRule="auto"/>
        <w:ind w:firstLine="420" w:firstLineChars="200"/>
        <w:rPr>
          <w:rFonts w:ascii="仿宋_GB2312" w:hAnsi="仿宋" w:eastAsia="仿宋_GB2312"/>
          <w:b/>
          <w:color w:val="auto"/>
          <w:sz w:val="24"/>
          <w:highlight w:val="none"/>
        </w:rPr>
      </w:pPr>
      <w:r>
        <w:rPr>
          <w:rFonts w:hint="eastAsia" w:ascii="仿宋_GB2312" w:hAnsi="仿宋" w:eastAsia="仿宋_GB2312"/>
          <w:color w:val="auto"/>
          <w:highlight w:val="none"/>
        </w:rPr>
        <w:t>13.10</w:t>
      </w:r>
      <w:r>
        <w:rPr>
          <w:rFonts w:hint="eastAsia" w:ascii="仿宋_GB2312" w:hAnsi="仿宋" w:eastAsia="仿宋_GB2312" w:cs="仿宋_GB2312"/>
          <w:color w:val="auto"/>
          <w:sz w:val="24"/>
          <w:szCs w:val="21"/>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13.11</w:t>
      </w:r>
      <w:r>
        <w:rPr>
          <w:rFonts w:hint="eastAsia" w:ascii="仿宋_GB2312" w:hAnsi="仿宋" w:eastAsia="仿宋_GB2312" w:cs="仿宋_GB2312"/>
          <w:color w:val="auto"/>
          <w:sz w:val="24"/>
          <w:szCs w:val="21"/>
          <w:highlight w:val="none"/>
        </w:rPr>
        <w:t>投标文件含有采购人不能接受的附加条件的；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13.12</w:t>
      </w:r>
      <w:r>
        <w:rPr>
          <w:rFonts w:hint="eastAsia" w:ascii="仿宋_GB2312" w:hAnsi="仿宋" w:eastAsia="仿宋_GB2312" w:cs="仿宋_GB2312"/>
          <w:color w:val="auto"/>
          <w:sz w:val="24"/>
          <w:szCs w:val="21"/>
          <w:highlight w:val="none"/>
        </w:rPr>
        <w:t>投标文件中承诺的投标有效期少于招标文件中载明的投标有效期的；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13.13</w:t>
      </w:r>
      <w:r>
        <w:rPr>
          <w:rFonts w:hint="eastAsia" w:ascii="仿宋_GB2312" w:hAnsi="仿宋" w:eastAsia="仿宋_GB2312" w:cs="仿宋_GB2312"/>
          <w:color w:val="auto"/>
          <w:sz w:val="24"/>
          <w:szCs w:val="21"/>
          <w:highlight w:val="none"/>
        </w:rPr>
        <w:t>投标人所投内容不符合招标文件中实质性要求的；</w:t>
      </w:r>
    </w:p>
    <w:p>
      <w:pPr>
        <w:snapToGrid w:val="0"/>
        <w:spacing w:line="360" w:lineRule="auto"/>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 xml:space="preserve">    </w:t>
      </w:r>
      <w:r>
        <w:rPr>
          <w:rFonts w:hint="eastAsia" w:ascii="仿宋_GB2312" w:hAnsi="仿宋" w:eastAsia="仿宋_GB2312"/>
          <w:color w:val="auto"/>
          <w:highlight w:val="none"/>
        </w:rPr>
        <w:t>13.14</w:t>
      </w:r>
      <w:r>
        <w:rPr>
          <w:rFonts w:hint="eastAsia" w:ascii="仿宋_GB2312" w:hAnsi="仿宋" w:eastAsia="仿宋_GB2312" w:cs="仿宋_GB2312"/>
          <w:color w:val="auto"/>
          <w:sz w:val="24"/>
          <w:szCs w:val="21"/>
          <w:highlight w:val="none"/>
        </w:rPr>
        <w:t>投标文件出现不是唯一的、有选择性投标报价的;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13.15</w:t>
      </w:r>
      <w:r>
        <w:rPr>
          <w:rFonts w:hint="eastAsia" w:ascii="仿宋_GB2312" w:hAnsi="仿宋" w:eastAsia="仿宋_GB2312" w:cs="仿宋_GB2312"/>
          <w:color w:val="auto"/>
          <w:sz w:val="24"/>
          <w:szCs w:val="21"/>
          <w:highlight w:val="none"/>
        </w:rPr>
        <w:t>投标报价高于本项目采购预算或者最高限价的;</w:t>
      </w:r>
    </w:p>
    <w:p>
      <w:pPr>
        <w:spacing w:line="360" w:lineRule="auto"/>
        <w:ind w:firstLine="420" w:firstLineChars="20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13.16</w:t>
      </w:r>
      <w:r>
        <w:rPr>
          <w:rFonts w:hint="eastAsia" w:ascii="仿宋_GB2312" w:hAnsi="仿宋" w:eastAsia="仿宋_GB2312" w:cs="仿宋_GB2312"/>
          <w:color w:val="auto"/>
          <w:sz w:val="24"/>
          <w:szCs w:val="21"/>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13.17《投标（开标）一览表》填写不完整或字迹不能辨认或有漏项的；</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13.18投标人对根据修正原则修正后的报价不确认的；</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13.19投标人提供虚假材料投标的（包括但不限于以下情节）；</w:t>
      </w:r>
    </w:p>
    <w:p>
      <w:pPr>
        <w:spacing w:line="360" w:lineRule="auto"/>
        <w:ind w:firstLine="720" w:firstLineChars="3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13.19.1使用伪造、变造的许可证件；</w:t>
      </w:r>
      <w:r>
        <w:rPr>
          <w:rFonts w:hint="eastAsia" w:ascii="仿宋_GB2312" w:hAnsi="仿宋" w:eastAsia="仿宋_GB2312" w:cs="仿宋_GB2312"/>
          <w:color w:val="auto"/>
          <w:sz w:val="24"/>
          <w:szCs w:val="21"/>
          <w:highlight w:val="none"/>
        </w:rPr>
        <w:br w:type="textWrapping"/>
      </w:r>
      <w:r>
        <w:rPr>
          <w:rFonts w:hint="eastAsia" w:ascii="仿宋_GB2312" w:hAnsi="宋体" w:eastAsia="仿宋_GB2312" w:cs="宋体"/>
          <w:color w:val="auto"/>
          <w:sz w:val="24"/>
          <w:szCs w:val="21"/>
          <w:highlight w:val="none"/>
        </w:rPr>
        <w:t>  </w:t>
      </w:r>
      <w:r>
        <w:rPr>
          <w:rFonts w:hint="eastAsia" w:ascii="仿宋_GB2312" w:hAnsi="仿宋" w:eastAsia="仿宋_GB2312" w:cs="仿宋_GB2312"/>
          <w:color w:val="auto"/>
          <w:sz w:val="24"/>
          <w:szCs w:val="21"/>
          <w:highlight w:val="none"/>
        </w:rPr>
        <w:t xml:space="preserve">  13.19.2提供虚假的财务状况或者业绩；</w:t>
      </w:r>
      <w:r>
        <w:rPr>
          <w:rFonts w:hint="eastAsia" w:ascii="仿宋_GB2312" w:hAnsi="仿宋" w:eastAsia="仿宋_GB2312" w:cs="仿宋_GB2312"/>
          <w:color w:val="auto"/>
          <w:sz w:val="24"/>
          <w:szCs w:val="21"/>
          <w:highlight w:val="none"/>
        </w:rPr>
        <w:br w:type="textWrapping"/>
      </w:r>
      <w:r>
        <w:rPr>
          <w:rFonts w:hint="eastAsia" w:ascii="仿宋_GB2312" w:hAnsi="宋体" w:eastAsia="仿宋_GB2312" w:cs="宋体"/>
          <w:color w:val="auto"/>
          <w:sz w:val="24"/>
          <w:szCs w:val="21"/>
          <w:highlight w:val="none"/>
        </w:rPr>
        <w:t>  </w:t>
      </w:r>
      <w:r>
        <w:rPr>
          <w:rFonts w:hint="eastAsia" w:ascii="仿宋_GB2312" w:hAnsi="仿宋" w:eastAsia="仿宋_GB2312" w:cs="仿宋_GB2312"/>
          <w:color w:val="auto"/>
          <w:sz w:val="24"/>
          <w:szCs w:val="21"/>
          <w:highlight w:val="none"/>
        </w:rPr>
        <w:t xml:space="preserve">  13.19.3提供虚假的项目负责人或者主要技术人员简历、劳动关系证明；</w:t>
      </w:r>
      <w:r>
        <w:rPr>
          <w:rFonts w:hint="eastAsia" w:ascii="仿宋_GB2312" w:hAnsi="仿宋" w:eastAsia="仿宋_GB2312" w:cs="仿宋_GB2312"/>
          <w:color w:val="auto"/>
          <w:sz w:val="24"/>
          <w:szCs w:val="21"/>
          <w:highlight w:val="none"/>
        </w:rPr>
        <w:br w:type="textWrapping"/>
      </w:r>
      <w:r>
        <w:rPr>
          <w:rFonts w:hint="eastAsia" w:ascii="仿宋_GB2312" w:hAnsi="宋体" w:eastAsia="仿宋_GB2312" w:cs="宋体"/>
          <w:color w:val="auto"/>
          <w:sz w:val="24"/>
          <w:szCs w:val="21"/>
          <w:highlight w:val="none"/>
        </w:rPr>
        <w:t>  </w:t>
      </w:r>
      <w:r>
        <w:rPr>
          <w:rFonts w:hint="eastAsia" w:ascii="仿宋_GB2312" w:hAnsi="仿宋" w:eastAsia="仿宋_GB2312" w:cs="仿宋_GB2312"/>
          <w:color w:val="auto"/>
          <w:sz w:val="24"/>
          <w:szCs w:val="21"/>
          <w:highlight w:val="none"/>
        </w:rPr>
        <w:t xml:space="preserve">  13.19.4提供虚假的信用状况；</w:t>
      </w:r>
      <w:r>
        <w:rPr>
          <w:rFonts w:hint="eastAsia" w:ascii="仿宋_GB2312" w:hAnsi="仿宋" w:eastAsia="仿宋_GB2312" w:cs="仿宋_GB2312"/>
          <w:color w:val="auto"/>
          <w:sz w:val="24"/>
          <w:szCs w:val="21"/>
          <w:highlight w:val="none"/>
        </w:rPr>
        <w:br w:type="textWrapping"/>
      </w:r>
      <w:r>
        <w:rPr>
          <w:rFonts w:hint="eastAsia" w:ascii="仿宋_GB2312" w:hAnsi="宋体" w:eastAsia="仿宋_GB2312" w:cs="宋体"/>
          <w:color w:val="auto"/>
          <w:sz w:val="24"/>
          <w:szCs w:val="21"/>
          <w:highlight w:val="none"/>
        </w:rPr>
        <w:t> </w:t>
      </w:r>
      <w:r>
        <w:rPr>
          <w:rFonts w:hint="eastAsia" w:ascii="仿宋_GB2312" w:hAnsi="仿宋" w:eastAsia="仿宋_GB2312" w:cs="仿宋_GB2312"/>
          <w:color w:val="auto"/>
          <w:sz w:val="24"/>
          <w:szCs w:val="21"/>
          <w:highlight w:val="none"/>
        </w:rPr>
        <w:t xml:space="preserve">    13.19.5其他弄虚作假的行为。</w:t>
      </w:r>
      <w:r>
        <w:rPr>
          <w:rFonts w:hint="eastAsia" w:ascii="仿宋_GB2312" w:hAnsi="仿宋" w:eastAsia="仿宋_GB2312" w:cs="仿宋_GB2312"/>
          <w:color w:val="auto"/>
          <w:sz w:val="24"/>
          <w:szCs w:val="21"/>
          <w:highlight w:val="none"/>
        </w:rPr>
        <w:br w:type="textWrapping"/>
      </w:r>
      <w:r>
        <w:rPr>
          <w:rFonts w:hint="eastAsia" w:ascii="仿宋_GB2312" w:hAnsi="仿宋" w:eastAsia="仿宋_GB2312" w:cs="仿宋_GB2312"/>
          <w:color w:val="auto"/>
          <w:sz w:val="24"/>
          <w:szCs w:val="21"/>
          <w:highlight w:val="none"/>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525" w:firstLineChars="250"/>
        <w:rPr>
          <w:rFonts w:ascii="仿宋_GB2312" w:hAnsi="仿宋" w:eastAsia="仿宋_GB2312" w:cs="仿宋_GB2312"/>
          <w:color w:val="auto"/>
          <w:sz w:val="24"/>
          <w:szCs w:val="21"/>
          <w:highlight w:val="none"/>
        </w:rPr>
      </w:pPr>
      <w:r>
        <w:rPr>
          <w:rFonts w:hint="eastAsia" w:ascii="仿宋_GB2312" w:hAnsi="仿宋" w:eastAsia="仿宋_GB2312"/>
          <w:color w:val="auto"/>
          <w:highlight w:val="none"/>
        </w:rPr>
        <w:t>13.20.1</w:t>
      </w:r>
      <w:r>
        <w:rPr>
          <w:rFonts w:hint="eastAsia" w:ascii="仿宋_GB2312" w:hAnsi="仿宋" w:eastAsia="仿宋_GB2312" w:cs="仿宋_GB2312"/>
          <w:color w:val="auto"/>
          <w:sz w:val="24"/>
          <w:szCs w:val="21"/>
          <w:highlight w:val="none"/>
        </w:rPr>
        <w:t>供应商直接或者间接从采购人或者采购机构处获得其他供应商的相关情况并修改其投标文件或者响应文件；</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13.20.2供应商按照采购人或者采购机构的授意撤换、修改投标文件或者响应文件；</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13.20.3供应商之间协商报价、技术方案等投标文件或者响应文件的实质性内容；</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13.20.4属于同一集团、协会、商会等组织成员的供应商按照该组织要求协同参加政府采购活动；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13.20.5供应商之间事先约定由某一特定供应商中标、成交；</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13.20.6供应商之间商定部分供应商放弃参加政府采购活动或者放弃中标、成交；</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13.20.7供应商与采购人或者采购机构之间、供应商相互之间，为谋求特定供应商中标、成交或者排斥其他供应商的其他串通行为。</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13.20.8不同投标人的投标文件由同一单位或者个人编制；</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13.20.9不同投标人委托同一单位或者个人办理投标事宜；</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13.20.10不同投标人的投标文件载明的项目管理成员或者联系人员为同一人；</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13.20.11不同投标人的投标文件异常一致或者投标报价呈规律性差异；</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13.20.12不同投标人的投标文件相互混装；</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13.21投标人仅提交备份投标文件，没有在电子交易平台传输递交投标文件的，投标无效；</w:t>
      </w:r>
    </w:p>
    <w:p>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13.22法律、法规、规章（适用本市的）及省级以上规范性文件（适用本市的）规定的其他无效情形。</w:t>
      </w:r>
    </w:p>
    <w:p>
      <w:pPr>
        <w:spacing w:line="360" w:lineRule="auto"/>
        <w:ind w:firstLine="240" w:firstLineChars="100"/>
        <w:rPr>
          <w:rFonts w:ascii="仿宋_GB2312" w:hAnsi="仿宋" w:eastAsia="仿宋_GB2312" w:cs="仿宋_GB2312"/>
          <w:color w:val="auto"/>
          <w:sz w:val="24"/>
          <w:szCs w:val="21"/>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 xml:space="preserve">五、评标报告 </w:t>
      </w:r>
    </w:p>
    <w:p>
      <w:pPr>
        <w:pStyle w:val="238"/>
        <w:spacing w:before="0"/>
        <w:ind w:firstLine="0" w:firstLineChars="0"/>
        <w:rPr>
          <w:rFonts w:ascii="仿宋_GB2312" w:hAnsi="仿宋" w:eastAsia="仿宋_GB2312" w:cs="仿宋_GB2312"/>
          <w:color w:val="auto"/>
          <w:szCs w:val="24"/>
          <w:highlight w:val="none"/>
        </w:rPr>
      </w:pPr>
      <w:r>
        <w:rPr>
          <w:rFonts w:hint="eastAsia" w:ascii="仿宋_GB2312" w:hAnsi="仿宋" w:eastAsia="仿宋_GB2312" w:cs="仿宋_GB2312"/>
          <w:b/>
          <w:color w:val="auto"/>
          <w:szCs w:val="24"/>
          <w:highlight w:val="none"/>
        </w:rPr>
        <w:t>14. 评标报告与推荐中标候选人。</w:t>
      </w:r>
      <w:r>
        <w:rPr>
          <w:rFonts w:hint="eastAsia" w:ascii="仿宋_GB2312" w:hAnsi="仿宋" w:eastAsia="仿宋_GB2312" w:cs="仿宋_GB2312"/>
          <w:color w:val="auto"/>
          <w:szCs w:val="24"/>
          <w:highlight w:val="none"/>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15. 评标争议事项处理。</w:t>
      </w:r>
      <w:r>
        <w:rPr>
          <w:rFonts w:hint="eastAsia" w:ascii="仿宋_GB2312" w:hAnsi="仿宋" w:eastAsia="仿宋_GB2312"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left"/>
        <w:rPr>
          <w:rFonts w:ascii="仿宋_GB2312" w:hAnsi="仿宋" w:eastAsia="仿宋_GB2312" w:cs="仿宋_GB2312"/>
          <w:b/>
          <w:color w:val="auto"/>
          <w:sz w:val="32"/>
          <w:highlight w:val="none"/>
        </w:rPr>
      </w:pPr>
      <w:r>
        <w:rPr>
          <w:rFonts w:hint="eastAsia" w:ascii="仿宋_GB2312" w:hAnsi="仿宋" w:eastAsia="仿宋_GB2312" w:cs="宋体"/>
          <w:color w:val="auto"/>
          <w:kern w:val="0"/>
          <w:sz w:val="24"/>
          <w:highlight w:val="none"/>
        </w:rPr>
        <w:t xml:space="preserve">　                      </w:t>
      </w:r>
      <w:r>
        <w:rPr>
          <w:rFonts w:hint="eastAsia" w:ascii="仿宋_GB2312" w:hAnsi="仿宋" w:eastAsia="仿宋_GB2312" w:cs="仿宋_GB2312"/>
          <w:b/>
          <w:color w:val="auto"/>
          <w:sz w:val="32"/>
          <w:highlight w:val="none"/>
        </w:rPr>
        <w:t>六、 废标</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16.废标。</w:t>
      </w:r>
      <w:r>
        <w:rPr>
          <w:rFonts w:hint="eastAsia" w:ascii="仿宋_GB2312" w:hAnsi="仿宋" w:eastAsia="仿宋_GB2312" w:cs="仿宋_GB2312"/>
          <w:color w:val="auto"/>
          <w:sz w:val="24"/>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16.1符合专业条件的供应商或者对招标文件作实质响应的供应商不足3家的；</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16.2出现影响采购公正的违法、违规行为的；</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16.3投标人的报价均超过了采购预算，采购人不能支付的；</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16.4因重大变故，采购任务取消的。</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废标后，采购机构应当将废标理由通知所有投标人。</w:t>
      </w:r>
    </w:p>
    <w:p>
      <w:pPr>
        <w:pStyle w:val="24"/>
        <w:snapToGrid w:val="0"/>
        <w:spacing w:line="360" w:lineRule="auto"/>
        <w:rPr>
          <w:rFonts w:ascii="仿宋_GB2312" w:hAnsi="仿宋" w:eastAsia="仿宋_GB2312" w:cs="仿宋_GB2312"/>
          <w:color w:val="auto"/>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 重新组织采购</w:t>
      </w:r>
    </w:p>
    <w:p>
      <w:pPr>
        <w:pStyle w:val="24"/>
        <w:snapToGrid w:val="0"/>
        <w:spacing w:line="360" w:lineRule="auto"/>
        <w:ind w:firstLine="482"/>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17.修改招标文件，重新组织采购活动。</w:t>
      </w:r>
      <w:r>
        <w:rPr>
          <w:rFonts w:hint="eastAsia" w:ascii="仿宋_GB2312" w:hAnsi="仿宋" w:eastAsia="仿宋_GB2312" w:cs="仿宋_GB2312"/>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ascii="仿宋_GB2312" w:hAnsi="仿宋" w:eastAsia="仿宋_GB2312" w:cs="仿宋_GB2312"/>
          <w:color w:val="auto"/>
          <w:sz w:val="24"/>
          <w:highlight w:val="none"/>
        </w:rPr>
      </w:pPr>
      <w:r>
        <w:rPr>
          <w:rFonts w:hint="eastAsia" w:ascii="仿宋_GB2312" w:hAnsi="仿宋" w:eastAsia="仿宋_GB2312" w:cs="Helvetica"/>
          <w:b/>
          <w:color w:val="auto"/>
          <w:kern w:val="0"/>
          <w:sz w:val="24"/>
          <w:highlight w:val="none"/>
        </w:rPr>
        <w:t>18.重新开展采购。</w:t>
      </w:r>
      <w:r>
        <w:rPr>
          <w:rFonts w:hint="eastAsia" w:ascii="仿宋_GB2312" w:hAnsi="仿宋" w:eastAsia="仿宋_GB2312" w:cs="仿宋_GB2312"/>
          <w:color w:val="auto"/>
          <w:sz w:val="24"/>
          <w:highlight w:val="none"/>
        </w:rPr>
        <w:t>有政府采购法第七十一条、第七十二条规定的违法行为之一，影响或者可能影响中标、成交结果的，依照下列规定处理：</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18.1未确定中标或者中标人的，终止本次政府采购活动，重新开展政府采购活动。</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18.4政府采购合同已经履行，给采购人、供应商造成损失的，由责任人承担赔偿责任。</w:t>
      </w:r>
    </w:p>
    <w:p>
      <w:pPr>
        <w:pStyle w:val="24"/>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18.5政府采购当事人有其他违反政府采购法或者本条例规定的行为，经改正后仍然影响或者可能影响中标、成交结果或者依法被认定为中标、成交无效的，依照18.1-18.4规定处理。</w:t>
      </w:r>
    </w:p>
    <w:p>
      <w:pPr>
        <w:pStyle w:val="24"/>
        <w:snapToGrid w:val="0"/>
        <w:spacing w:line="360" w:lineRule="auto"/>
        <w:rPr>
          <w:rFonts w:ascii="仿宋_GB2312" w:hAnsi="仿宋" w:eastAsia="仿宋_GB2312" w:cs="仿宋_GB2312"/>
          <w:color w:val="auto"/>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八、评审过程的保密与录像</w:t>
      </w:r>
    </w:p>
    <w:p>
      <w:pPr>
        <w:widowControl/>
        <w:spacing w:line="360" w:lineRule="auto"/>
        <w:ind w:firstLine="482" w:firstLineChars="200"/>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19.保密。</w:t>
      </w:r>
      <w:r>
        <w:rPr>
          <w:rFonts w:hint="eastAsia" w:ascii="仿宋_GB2312" w:hAnsi="仿宋" w:eastAsia="仿宋_GB2312" w:cs="仿宋_GB2312"/>
          <w:color w:val="auto"/>
          <w:sz w:val="24"/>
          <w:highlight w:val="none"/>
        </w:rPr>
        <w:t>评审活动在严格保密的情况下进行。评审过程中凡是与采购响应文件评审和比较、中标人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20.录音录像。</w:t>
      </w:r>
      <w:r>
        <w:rPr>
          <w:rFonts w:hint="eastAsia" w:ascii="仿宋_GB2312" w:hAnsi="仿宋" w:eastAsia="仿宋_GB2312" w:cs="仿宋_GB2312"/>
          <w:color w:val="auto"/>
          <w:sz w:val="24"/>
          <w:highlight w:val="none"/>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九、具体评标标准</w:t>
      </w:r>
    </w:p>
    <w:p>
      <w:pPr>
        <w:autoSpaceDE w:val="0"/>
        <w:autoSpaceDN w:val="0"/>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一、本项目采用综合评分法</w:t>
      </w:r>
      <w:r>
        <w:rPr>
          <w:rFonts w:hint="eastAsia" w:ascii="仿宋_GB2312" w:hAnsi="仿宋" w:eastAsia="仿宋_GB2312"/>
          <w:color w:val="auto"/>
          <w:sz w:val="24"/>
          <w:highlight w:val="none"/>
        </w:rPr>
        <w:t>，评标委员会将对各投标人的投标报价、</w:t>
      </w:r>
      <w:r>
        <w:rPr>
          <w:rFonts w:hint="eastAsia" w:ascii="仿宋_GB2312" w:hAnsi="仿宋" w:eastAsia="仿宋_GB2312"/>
          <w:bCs/>
          <w:color w:val="auto"/>
          <w:sz w:val="24"/>
          <w:highlight w:val="none"/>
        </w:rPr>
        <w:t>技术和服务方案</w:t>
      </w:r>
      <w:r>
        <w:rPr>
          <w:rFonts w:hint="eastAsia" w:ascii="仿宋_GB2312" w:hAnsi="仿宋" w:eastAsia="仿宋_GB2312"/>
          <w:color w:val="auto"/>
          <w:sz w:val="24"/>
          <w:highlight w:val="none"/>
        </w:rPr>
        <w:t>、投标人提供的资信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_GB2312"/>
          <w:color w:val="auto"/>
          <w:sz w:val="24"/>
          <w:szCs w:val="21"/>
          <w:highlight w:val="none"/>
        </w:rPr>
        <w:t>得分且投标报价相同的并列</w:t>
      </w:r>
      <w:r>
        <w:rPr>
          <w:rFonts w:hint="eastAsia" w:ascii="仿宋_GB2312" w:hAnsi="仿宋" w:eastAsia="仿宋_GB2312"/>
          <w:color w:val="auto"/>
          <w:sz w:val="24"/>
          <w:highlight w:val="none"/>
        </w:rPr>
        <w:t xml:space="preserve">，并形成评标意见。 </w:t>
      </w:r>
    </w:p>
    <w:p>
      <w:pPr>
        <w:spacing w:line="360" w:lineRule="auto"/>
        <w:ind w:left="105" w:leftChars="50" w:firstLine="427" w:firstLineChars="178"/>
        <w:rPr>
          <w:rFonts w:ascii="仿宋_GB2312" w:hAnsi="仿宋" w:eastAsia="仿宋_GB2312"/>
          <w:b/>
          <w:color w:val="auto"/>
          <w:sz w:val="24"/>
          <w:highlight w:val="none"/>
        </w:rPr>
      </w:pPr>
      <w:r>
        <w:rPr>
          <w:rFonts w:hint="eastAsia" w:ascii="仿宋_GB2312" w:hAnsi="仿宋" w:eastAsia="仿宋_GB2312"/>
          <w:color w:val="auto"/>
          <w:sz w:val="24"/>
          <w:highlight w:val="none"/>
        </w:rPr>
        <w:t>各投标人的综合得分为：投标价格得分+</w:t>
      </w:r>
      <w:r>
        <w:rPr>
          <w:rFonts w:hint="eastAsia" w:ascii="仿宋_GB2312" w:hAnsi="仿宋" w:eastAsia="仿宋_GB2312"/>
          <w:bCs/>
          <w:color w:val="auto"/>
          <w:sz w:val="24"/>
          <w:highlight w:val="none"/>
        </w:rPr>
        <w:t>技术和服务方案</w:t>
      </w:r>
      <w:r>
        <w:rPr>
          <w:rFonts w:hint="eastAsia" w:ascii="仿宋_GB2312" w:hAnsi="仿宋" w:eastAsia="仿宋_GB2312"/>
          <w:color w:val="auto"/>
          <w:sz w:val="24"/>
          <w:highlight w:val="none"/>
        </w:rPr>
        <w:t>得分+投标人的资信和业绩情况得分之和，</w:t>
      </w:r>
      <w:r>
        <w:rPr>
          <w:rFonts w:hint="eastAsia" w:ascii="仿宋_GB2312" w:hAnsi="仿宋" w:eastAsia="仿宋_GB2312"/>
          <w:b/>
          <w:color w:val="auto"/>
          <w:sz w:val="24"/>
          <w:highlight w:val="none"/>
        </w:rPr>
        <w:t>总和为</w:t>
      </w:r>
      <w:r>
        <w:rPr>
          <w:rFonts w:hint="eastAsia" w:ascii="仿宋_GB2312" w:hAnsi="仿宋" w:eastAsia="仿宋_GB2312"/>
          <w:b/>
          <w:color w:val="auto"/>
          <w:sz w:val="24"/>
          <w:highlight w:val="none"/>
          <w:u w:val="single"/>
        </w:rPr>
        <w:t>100</w:t>
      </w:r>
      <w:r>
        <w:rPr>
          <w:rFonts w:hint="eastAsia" w:ascii="仿宋_GB2312" w:hAnsi="仿宋" w:eastAsia="仿宋_GB2312"/>
          <w:b/>
          <w:color w:val="auto"/>
          <w:sz w:val="24"/>
          <w:highlight w:val="none"/>
        </w:rPr>
        <w:t>分</w:t>
      </w:r>
      <w:r>
        <w:rPr>
          <w:rFonts w:hint="eastAsia" w:ascii="仿宋_GB2312" w:hAnsi="仿宋" w:eastAsia="仿宋_GB2312"/>
          <w:color w:val="auto"/>
          <w:sz w:val="24"/>
          <w:highlight w:val="none"/>
        </w:rPr>
        <w:t>，其中：</w:t>
      </w:r>
      <w:r>
        <w:rPr>
          <w:rFonts w:hint="eastAsia" w:ascii="仿宋_GB2312" w:hAnsi="仿宋" w:eastAsia="仿宋_GB2312"/>
          <w:b/>
          <w:color w:val="auto"/>
          <w:sz w:val="24"/>
          <w:highlight w:val="none"/>
        </w:rPr>
        <w:t>投标价格得分</w:t>
      </w:r>
      <w:r>
        <w:rPr>
          <w:rFonts w:hint="eastAsia" w:ascii="仿宋_GB2312" w:hAnsi="仿宋" w:eastAsia="仿宋_GB2312"/>
          <w:b/>
          <w:color w:val="auto"/>
          <w:sz w:val="24"/>
          <w:highlight w:val="none"/>
          <w:u w:val="single"/>
        </w:rPr>
        <w:t xml:space="preserve"> 10 </w:t>
      </w:r>
      <w:r>
        <w:rPr>
          <w:rFonts w:hint="eastAsia" w:ascii="仿宋_GB2312" w:hAnsi="仿宋" w:eastAsia="仿宋_GB2312"/>
          <w:b/>
          <w:color w:val="auto"/>
          <w:sz w:val="24"/>
          <w:highlight w:val="none"/>
        </w:rPr>
        <w:t>分，</w:t>
      </w:r>
      <w:r>
        <w:rPr>
          <w:rFonts w:hint="eastAsia" w:ascii="仿宋_GB2312" w:hAnsi="仿宋" w:eastAsia="仿宋_GB2312"/>
          <w:b/>
          <w:bCs/>
          <w:color w:val="auto"/>
          <w:sz w:val="24"/>
          <w:highlight w:val="none"/>
        </w:rPr>
        <w:t>技术和服务方案得分</w:t>
      </w:r>
      <w:r>
        <w:rPr>
          <w:rFonts w:hint="eastAsia" w:ascii="仿宋_GB2312" w:hAnsi="仿宋" w:eastAsia="仿宋_GB2312"/>
          <w:b/>
          <w:color w:val="auto"/>
          <w:sz w:val="24"/>
          <w:highlight w:val="none"/>
          <w:u w:val="single"/>
        </w:rPr>
        <w:t xml:space="preserve"> 80</w:t>
      </w:r>
      <w:r>
        <w:rPr>
          <w:rFonts w:hint="eastAsia" w:ascii="仿宋_GB2312" w:hAnsi="仿宋" w:eastAsia="仿宋_GB2312"/>
          <w:b/>
          <w:color w:val="auto"/>
          <w:sz w:val="24"/>
          <w:highlight w:val="none"/>
        </w:rPr>
        <w:t>分，投标人的资信和业绩情况得分</w:t>
      </w:r>
      <w:r>
        <w:rPr>
          <w:rFonts w:hint="eastAsia" w:ascii="仿宋_GB2312" w:hAnsi="仿宋" w:eastAsia="仿宋_GB2312"/>
          <w:b/>
          <w:color w:val="auto"/>
          <w:sz w:val="24"/>
          <w:highlight w:val="none"/>
          <w:u w:val="single"/>
        </w:rPr>
        <w:t xml:space="preserve">  10</w:t>
      </w:r>
      <w:r>
        <w:rPr>
          <w:rFonts w:hint="eastAsia" w:ascii="仿宋_GB2312" w:hAnsi="仿宋" w:eastAsia="仿宋_GB2312"/>
          <w:b/>
          <w:color w:val="auto"/>
          <w:sz w:val="24"/>
          <w:highlight w:val="none"/>
        </w:rPr>
        <w:t>分。</w:t>
      </w:r>
    </w:p>
    <w:p>
      <w:pPr>
        <w:tabs>
          <w:tab w:val="left" w:pos="0"/>
        </w:tabs>
        <w:spacing w:line="360" w:lineRule="auto"/>
        <w:ind w:firstLine="542" w:firstLineChars="225"/>
        <w:rPr>
          <w:rFonts w:ascii="仿宋_GB2312" w:hAnsi="仿宋" w:eastAsia="仿宋_GB2312"/>
          <w:color w:val="auto"/>
          <w:sz w:val="24"/>
          <w:highlight w:val="none"/>
        </w:rPr>
      </w:pPr>
      <w:r>
        <w:rPr>
          <w:rFonts w:hint="eastAsia" w:ascii="仿宋_GB2312" w:hAnsi="仿宋" w:eastAsia="仿宋_GB2312"/>
          <w:b/>
          <w:color w:val="auto"/>
          <w:sz w:val="24"/>
          <w:highlight w:val="none"/>
        </w:rPr>
        <w:t>各投标人的技术和服务方案、投标人的资信和业绩情况得分为：评标委员会各成员评分的算术平均值。各投标人的投标价格得分按投标价格评分</w:t>
      </w:r>
      <w:r>
        <w:rPr>
          <w:rFonts w:hint="eastAsia" w:ascii="仿宋_GB2312" w:hAnsi="仿宋" w:eastAsia="仿宋_GB2312" w:cs="宋体"/>
          <w:b/>
          <w:color w:val="auto"/>
          <w:kern w:val="0"/>
          <w:sz w:val="24"/>
          <w:highlight w:val="none"/>
        </w:rPr>
        <w:t>公式由采购机构计算，</w:t>
      </w:r>
      <w:r>
        <w:rPr>
          <w:rFonts w:hint="eastAsia" w:ascii="仿宋_GB2312" w:hAnsi="仿宋" w:eastAsia="仿宋_GB2312"/>
          <w:b/>
          <w:color w:val="auto"/>
          <w:sz w:val="24"/>
          <w:highlight w:val="none"/>
        </w:rPr>
        <w:t>评标委员会审核。</w:t>
      </w:r>
      <w:r>
        <w:rPr>
          <w:rFonts w:hint="eastAsia" w:ascii="仿宋_GB2312" w:hAnsi="仿宋" w:eastAsia="仿宋_GB2312"/>
          <w:color w:val="auto"/>
          <w:sz w:val="24"/>
          <w:highlight w:val="none"/>
        </w:rPr>
        <w:t>根据上述评标原则，分值安排如下：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A、投标价格（A=</w:t>
      </w:r>
      <w:r>
        <w:rPr>
          <w:rFonts w:hint="eastAsia" w:ascii="仿宋" w:hAnsi="仿宋" w:eastAsia="仿宋"/>
          <w:b/>
          <w:color w:val="auto"/>
          <w:sz w:val="24"/>
          <w:highlight w:val="none"/>
          <w:u w:val="single"/>
        </w:rPr>
        <w:t xml:space="preserve"> 10 </w:t>
      </w:r>
      <w:r>
        <w:rPr>
          <w:rFonts w:hint="eastAsia" w:ascii="仿宋" w:hAnsi="仿宋" w:eastAsia="仿宋"/>
          <w:b/>
          <w:color w:val="auto"/>
          <w:sz w:val="24"/>
          <w:highlight w:val="none"/>
        </w:rPr>
        <w:t>分）：</w:t>
      </w:r>
    </w:p>
    <w:p>
      <w:pPr>
        <w:autoSpaceDE w:val="0"/>
        <w:autoSpaceDN w:val="0"/>
        <w:spacing w:line="360" w:lineRule="auto"/>
        <w:ind w:firstLine="482"/>
        <w:rPr>
          <w:rFonts w:ascii="仿宋" w:hAnsi="仿宋" w:eastAsia="仿宋" w:cs="仿宋_GB2312"/>
          <w:color w:val="auto"/>
          <w:sz w:val="24"/>
          <w:highlight w:val="none"/>
          <w:lang w:val="zh-CN"/>
        </w:rPr>
      </w:pPr>
      <w:r>
        <w:rPr>
          <w:rFonts w:hint="eastAsia" w:ascii="仿宋" w:hAnsi="仿宋" w:eastAsia="仿宋" w:cs="仿宋_GB2312"/>
          <w:b/>
          <w:bCs/>
          <w:color w:val="auto"/>
          <w:sz w:val="24"/>
          <w:highlight w:val="none"/>
          <w:lang w:val="zh-CN"/>
        </w:rPr>
        <w:t>报价的合理性：</w:t>
      </w:r>
      <w:r>
        <w:rPr>
          <w:rFonts w:hint="eastAsia" w:ascii="仿宋" w:hAnsi="仿宋" w:eastAsia="仿宋" w:cs="仿宋_GB2312"/>
          <w:color w:val="auto"/>
          <w:sz w:val="24"/>
          <w:highlight w:val="none"/>
          <w:lang w:val="zh-CN"/>
        </w:rPr>
        <w:t>分析总报价及各个分项报价是否合理，报价范围是否完整，有否重大错漏项</w:t>
      </w:r>
      <w:r>
        <w:rPr>
          <w:rFonts w:hint="eastAsia" w:ascii="仿宋" w:hAnsi="仿宋" w:eastAsia="仿宋"/>
          <w:color w:val="auto"/>
          <w:sz w:val="24"/>
          <w:highlight w:val="none"/>
        </w:rPr>
        <w:t>，评标委员会认为投标报价出现异常时，有权要求投标人在评标期间对投标报价的详细组成和投标产品的供应渠道等事项作出解释和澄清，并确认其投标报价是否有效</w:t>
      </w:r>
      <w:r>
        <w:rPr>
          <w:rFonts w:hint="eastAsia" w:ascii="仿宋" w:hAnsi="仿宋" w:eastAsia="仿宋" w:cs="仿宋_GB2312"/>
          <w:color w:val="auto"/>
          <w:sz w:val="24"/>
          <w:highlight w:val="none"/>
          <w:lang w:val="zh-CN"/>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_GB2312"/>
          <w:color w:val="auto"/>
          <w:sz w:val="24"/>
          <w:highlight w:val="none"/>
          <w:lang w:val="zh-CN"/>
        </w:rPr>
        <w:t>报价分计算方法：根据各投标人的有效投标报价，以满足招标文件要求且有效投标价格的最低的投标报价为评标基准价，其价格分为</w:t>
      </w:r>
      <w:r>
        <w:rPr>
          <w:rFonts w:hint="eastAsia" w:ascii="仿宋" w:hAnsi="仿宋" w:eastAsia="仿宋" w:cs="仿宋_GB2312"/>
          <w:color w:val="auto"/>
          <w:sz w:val="24"/>
          <w:highlight w:val="none"/>
          <w:u w:val="single"/>
          <w:lang w:val="zh-CN"/>
        </w:rPr>
        <w:t xml:space="preserve"> 10</w:t>
      </w:r>
      <w:r>
        <w:rPr>
          <w:rFonts w:hint="eastAsia" w:ascii="仿宋" w:hAnsi="仿宋" w:eastAsia="仿宋" w:cs="仿宋_GB2312"/>
          <w:color w:val="auto"/>
          <w:sz w:val="24"/>
          <w:highlight w:val="none"/>
          <w:lang w:val="zh-CN"/>
        </w:rPr>
        <w:t>分。其他投标人的价格分统一按照下列公式计算：投标报价得分＝(评标基准价/有效投标报价)</w:t>
      </w:r>
      <w:r>
        <w:rPr>
          <w:rFonts w:hint="eastAsia" w:ascii="仿宋" w:hAnsi="仿宋" w:eastAsia="仿宋"/>
          <w:color w:val="auto"/>
          <w:sz w:val="24"/>
          <w:highlight w:val="none"/>
        </w:rPr>
        <w:t>×</w:t>
      </w:r>
      <w:r>
        <w:rPr>
          <w:rFonts w:hint="eastAsia" w:ascii="仿宋" w:hAnsi="仿宋" w:eastAsia="仿宋" w:cs="仿宋_GB2312"/>
          <w:color w:val="auto"/>
          <w:sz w:val="24"/>
          <w:highlight w:val="none"/>
          <w:lang w:val="zh-CN"/>
        </w:rPr>
        <w:t>价格权值</w:t>
      </w:r>
      <w:r>
        <w:rPr>
          <w:rFonts w:hint="eastAsia" w:ascii="仿宋" w:hAnsi="仿宋" w:eastAsia="仿宋"/>
          <w:color w:val="auto"/>
          <w:sz w:val="24"/>
          <w:highlight w:val="none"/>
        </w:rPr>
        <w:t>×</w:t>
      </w:r>
      <w:r>
        <w:rPr>
          <w:rFonts w:hint="eastAsia" w:ascii="仿宋" w:hAnsi="仿宋" w:eastAsia="仿宋" w:cs="仿宋_GB2312"/>
          <w:color w:val="auto"/>
          <w:sz w:val="24"/>
          <w:highlight w:val="none"/>
          <w:lang w:val="zh-CN"/>
        </w:rPr>
        <w:t>100(精确到小数点后二位，由采购机构当场统一计算)。</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 xml:space="preserve">B、技术和服务方案（B= </w:t>
      </w:r>
      <w:r>
        <w:rPr>
          <w:rFonts w:hint="eastAsia" w:ascii="仿宋" w:hAnsi="仿宋" w:eastAsia="仿宋" w:cs="仿宋_GB2312"/>
          <w:b/>
          <w:bCs/>
          <w:color w:val="auto"/>
          <w:sz w:val="24"/>
          <w:highlight w:val="none"/>
          <w:lang w:val="en-US" w:eastAsia="zh-CN"/>
        </w:rPr>
        <w:t>80</w:t>
      </w:r>
      <w:r>
        <w:rPr>
          <w:rFonts w:hint="eastAsia" w:ascii="仿宋" w:hAnsi="仿宋" w:eastAsia="仿宋" w:cs="仿宋_GB2312"/>
          <w:b/>
          <w:bCs/>
          <w:color w:val="auto"/>
          <w:sz w:val="24"/>
          <w:highlight w:val="none"/>
        </w:rPr>
        <w:t>分）：</w:t>
      </w:r>
      <w:r>
        <w:rPr>
          <w:rFonts w:hint="eastAsia" w:ascii="仿宋" w:hAnsi="仿宋" w:eastAsia="仿宋" w:cs="仿宋_GB2312"/>
          <w:color w:val="auto"/>
          <w:sz w:val="24"/>
          <w:highlight w:val="none"/>
        </w:rPr>
        <w:t>主要包含方案</w:t>
      </w:r>
      <w:r>
        <w:rPr>
          <w:rFonts w:hint="eastAsia" w:ascii="仿宋" w:hAnsi="仿宋" w:eastAsia="仿宋"/>
          <w:color w:val="auto"/>
          <w:sz w:val="24"/>
          <w:highlight w:val="none"/>
        </w:rPr>
        <w:t>的先进性、科学性和完整性，与需求的符合程度等情况，以及服务</w:t>
      </w:r>
      <w:r>
        <w:rPr>
          <w:rFonts w:hint="eastAsia" w:ascii="仿宋" w:hAnsi="仿宋" w:eastAsia="仿宋" w:cs="仿宋_GB2312"/>
          <w:color w:val="auto"/>
          <w:sz w:val="24"/>
          <w:highlight w:val="none"/>
        </w:rPr>
        <w:t>人员情况、对项目熟悉程度等方面的因素。</w:t>
      </w:r>
    </w:p>
    <w:p>
      <w:pPr>
        <w:snapToGrid w:val="0"/>
        <w:spacing w:line="360" w:lineRule="auto"/>
        <w:ind w:left="105" w:leftChars="50" w:firstLine="354" w:firstLineChars="147"/>
        <w:rPr>
          <w:rFonts w:ascii="仿宋" w:hAnsi="仿宋" w:eastAsia="仿宋"/>
          <w:b/>
          <w:color w:val="auto"/>
          <w:sz w:val="24"/>
          <w:highlight w:val="none"/>
        </w:rPr>
      </w:pP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）物业管理与服务方案（</w:t>
      </w:r>
      <w:r>
        <w:rPr>
          <w:rFonts w:hint="eastAsia" w:ascii="仿宋" w:hAnsi="仿宋" w:eastAsia="仿宋"/>
          <w:b/>
          <w:color w:val="auto"/>
          <w:sz w:val="24"/>
          <w:highlight w:val="none"/>
          <w:lang w:val="en-US" w:eastAsia="zh-CN"/>
        </w:rPr>
        <w:t>48</w:t>
      </w:r>
      <w:r>
        <w:rPr>
          <w:rFonts w:hint="eastAsia" w:ascii="仿宋" w:hAnsi="仿宋" w:eastAsia="仿宋"/>
          <w:b/>
          <w:color w:val="auto"/>
          <w:sz w:val="24"/>
          <w:highlight w:val="none"/>
        </w:rPr>
        <w:t>分）：</w:t>
      </w:r>
    </w:p>
    <w:p>
      <w:pPr>
        <w:spacing w:line="360" w:lineRule="auto"/>
        <w:ind w:firstLine="480" w:firstLineChars="200"/>
        <w:contextualSpacing/>
        <w:rPr>
          <w:rFonts w:ascii="仿宋" w:hAnsi="仿宋" w:eastAsia="仿宋"/>
          <w:color w:val="auto"/>
          <w:sz w:val="24"/>
          <w:highlight w:val="none"/>
        </w:rPr>
      </w:pPr>
      <w:r>
        <w:rPr>
          <w:rFonts w:hint="eastAsia" w:ascii="仿宋" w:hAnsi="仿宋" w:eastAsia="仿宋"/>
          <w:color w:val="auto"/>
          <w:sz w:val="24"/>
          <w:highlight w:val="none"/>
        </w:rPr>
        <w:t>●收发、传达、保安、秩序管理和消防（控）、监控设施使用和维护</w:t>
      </w:r>
      <w:r>
        <w:rPr>
          <w:rFonts w:hint="eastAsia" w:ascii="仿宋_GB2312" w:hAnsi="宋体" w:eastAsia="仿宋_GB2312"/>
          <w:color w:val="auto"/>
          <w:sz w:val="24"/>
          <w:highlight w:val="none"/>
        </w:rPr>
        <w:t>方案：</w:t>
      </w:r>
      <w:r>
        <w:rPr>
          <w:rFonts w:hint="eastAsia" w:ascii="仿宋" w:hAnsi="仿宋" w:eastAsia="仿宋" w:cs="仿宋"/>
          <w:color w:val="auto"/>
          <w:sz w:val="24"/>
          <w:highlight w:val="none"/>
        </w:rPr>
        <w:t>学校来人来访的通报、证件检验、登记、报刊信件快件收发等；门卫、守护和巡逻;校门、教学用房的开关门，维护公共秩序；校园体育场地开放的登记和管理等工作；处理治安及其他突发事件；负责道路交通管理、机动车和非机动车停放管理；负责防盗、防火报警、消防（控）、监控设备使用运行管理等</w:t>
      </w:r>
      <w:r>
        <w:rPr>
          <w:rFonts w:hint="eastAsia" w:ascii="仿宋" w:hAnsi="仿宋" w:eastAsia="仿宋" w:cs="仿宋"/>
          <w:color w:val="auto"/>
          <w:sz w:val="24"/>
          <w:highlight w:val="none"/>
          <w:lang w:eastAsia="zh-CN"/>
        </w:rPr>
        <w:t>，</w:t>
      </w:r>
      <w:r>
        <w:rPr>
          <w:rFonts w:hint="eastAsia" w:ascii="仿宋_GB2312" w:eastAsia="仿宋_GB2312"/>
          <w:color w:val="auto"/>
          <w:sz w:val="24"/>
          <w:highlight w:val="none"/>
          <w:lang w:eastAsia="zh-CN"/>
        </w:rPr>
        <w:t>并满足采购人的服务质量标准要求</w:t>
      </w:r>
      <w:r>
        <w:rPr>
          <w:rFonts w:hint="eastAsia" w:ascii="仿宋_GB2312" w:eastAsia="仿宋_GB2312"/>
          <w:color w:val="auto"/>
          <w:sz w:val="24"/>
          <w:highlight w:val="none"/>
        </w:rPr>
        <w:t>，每缺漏一项或者每一项不符合要求的，扣1分，扣完为止。（</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分）</w:t>
      </w:r>
    </w:p>
    <w:p>
      <w:pPr>
        <w:spacing w:line="360" w:lineRule="auto"/>
        <w:ind w:firstLine="480" w:firstLineChars="200"/>
        <w:contextualSpacing/>
        <w:rPr>
          <w:rFonts w:hint="eastAsia" w:ascii="仿宋" w:hAnsi="仿宋" w:eastAsia="仿宋"/>
          <w:color w:val="auto"/>
          <w:sz w:val="24"/>
          <w:highlight w:val="none"/>
        </w:rPr>
      </w:pPr>
      <w:r>
        <w:rPr>
          <w:rFonts w:hint="eastAsia" w:ascii="仿宋" w:hAnsi="仿宋" w:eastAsia="仿宋"/>
          <w:color w:val="auto"/>
          <w:sz w:val="24"/>
          <w:highlight w:val="none"/>
        </w:rPr>
        <w:t>●校区环境卫生管理服务方案：</w:t>
      </w:r>
      <w:r>
        <w:rPr>
          <w:rFonts w:hint="eastAsia" w:ascii="仿宋" w:hAnsi="仿宋" w:eastAsia="仿宋" w:cs="仿宋"/>
          <w:color w:val="auto"/>
          <w:sz w:val="24"/>
          <w:highlight w:val="none"/>
        </w:rPr>
        <w:t>做好学校各楼宇内办公室、展厅、会议室、接待室、报告厅、配电及发电机房、宿舍、餐厅、卫生间、电梯、公共实训室、一体化教室、空关教室、室内体育运动场所、大厅、走廊、通道、楼梯等室内日常保洁工作；做好校园内全部道路、室外体育运动场所、停车场（棚）、停车库、景观湖、河道、校内亭、园和“门前三包”区域等室外日常保洁工作；做好学校各楼宇屋面、外墙、窗台、门窗玻璃等保洁，同时完成校园垃圾分类、废弃物清理、消杀等保洁工作</w:t>
      </w:r>
      <w:r>
        <w:rPr>
          <w:rFonts w:hint="eastAsia" w:ascii="仿宋" w:hAnsi="仿宋" w:eastAsia="仿宋" w:cs="仿宋"/>
          <w:color w:val="auto"/>
          <w:sz w:val="24"/>
          <w:highlight w:val="none"/>
          <w:lang w:eastAsia="zh-CN"/>
        </w:rPr>
        <w:t>，</w:t>
      </w:r>
      <w:r>
        <w:rPr>
          <w:rFonts w:hint="eastAsia" w:ascii="仿宋_GB2312" w:eastAsia="仿宋_GB2312"/>
          <w:color w:val="auto"/>
          <w:sz w:val="24"/>
          <w:highlight w:val="none"/>
          <w:lang w:eastAsia="zh-CN"/>
        </w:rPr>
        <w:t>并满足采购人的服务质量标准要求</w:t>
      </w:r>
      <w:r>
        <w:rPr>
          <w:rFonts w:hint="eastAsia" w:ascii="仿宋_GB2312" w:eastAsia="仿宋_GB2312"/>
          <w:color w:val="auto"/>
          <w:sz w:val="24"/>
          <w:highlight w:val="none"/>
        </w:rPr>
        <w:t>，每缺漏一项或者每一项不符合要求的，扣1分，扣完为止。（</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分)</w:t>
      </w:r>
    </w:p>
    <w:p>
      <w:pPr>
        <w:spacing w:line="360" w:lineRule="auto"/>
        <w:ind w:firstLine="480" w:firstLineChars="200"/>
        <w:contextualSpacing/>
        <w:rPr>
          <w:rFonts w:hint="eastAsia" w:ascii="仿宋" w:hAnsi="仿宋" w:eastAsia="仿宋_GB2312"/>
          <w:color w:val="auto"/>
          <w:highlight w:val="none"/>
          <w:lang w:eastAsia="zh-CN"/>
        </w:rPr>
      </w:pPr>
      <w:r>
        <w:rPr>
          <w:rFonts w:hint="eastAsia" w:ascii="仿宋" w:hAnsi="仿宋" w:eastAsia="仿宋"/>
          <w:color w:val="auto"/>
          <w:sz w:val="24"/>
          <w:highlight w:val="none"/>
        </w:rPr>
        <w:t>●学生公寓楼、校史馆、体育运动场（馆）等场所管理维护</w:t>
      </w:r>
      <w:r>
        <w:rPr>
          <w:rFonts w:hint="eastAsia" w:ascii="仿宋" w:hAnsi="仿宋" w:eastAsia="仿宋"/>
          <w:color w:val="auto"/>
          <w:sz w:val="24"/>
          <w:highlight w:val="none"/>
          <w:lang w:eastAsia="zh-CN"/>
        </w:rPr>
        <w:t>方案：</w:t>
      </w:r>
      <w:r>
        <w:rPr>
          <w:rFonts w:hint="eastAsia" w:ascii="仿宋_GB2312" w:eastAsia="仿宋_GB2312"/>
          <w:color w:val="auto"/>
          <w:sz w:val="24"/>
          <w:highlight w:val="none"/>
        </w:rPr>
        <w:t>包括</w:t>
      </w:r>
      <w:r>
        <w:rPr>
          <w:rFonts w:ascii="仿宋_GB2312" w:hAnsi="宋体" w:eastAsia="仿宋_GB2312"/>
          <w:color w:val="auto"/>
          <w:sz w:val="24"/>
          <w:highlight w:val="none"/>
        </w:rPr>
        <w:fldChar w:fldCharType="begin"/>
      </w:r>
      <w:r>
        <w:rPr>
          <w:rFonts w:ascii="仿宋_GB2312" w:hAnsi="宋体" w:eastAsia="仿宋_GB2312"/>
          <w:color w:val="auto"/>
          <w:sz w:val="24"/>
          <w:highlight w:val="none"/>
        </w:rPr>
        <w:instrText xml:space="preserve"> </w:instrText>
      </w:r>
      <w:r>
        <w:rPr>
          <w:rFonts w:hint="eastAsia" w:ascii="仿宋_GB2312" w:hAnsi="宋体" w:eastAsia="仿宋_GB2312"/>
          <w:color w:val="auto"/>
          <w:sz w:val="24"/>
          <w:highlight w:val="none"/>
        </w:rPr>
        <w:instrText xml:space="preserve">= 1 \* GB3</w:instrText>
      </w:r>
      <w:r>
        <w:rPr>
          <w:rFonts w:ascii="仿宋_GB2312" w:hAnsi="宋体" w:eastAsia="仿宋_GB2312"/>
          <w:color w:val="auto"/>
          <w:sz w:val="24"/>
          <w:highlight w:val="none"/>
        </w:rPr>
        <w:instrText xml:space="preserve"> </w:instrText>
      </w:r>
      <w:r>
        <w:rPr>
          <w:rFonts w:ascii="仿宋_GB2312" w:hAnsi="宋体" w:eastAsia="仿宋_GB2312"/>
          <w:color w:val="auto"/>
          <w:sz w:val="24"/>
          <w:highlight w:val="none"/>
        </w:rPr>
        <w:fldChar w:fldCharType="separate"/>
      </w:r>
      <w:r>
        <w:rPr>
          <w:rFonts w:hint="eastAsia" w:ascii="仿宋_GB2312" w:hAnsi="宋体" w:eastAsia="仿宋_GB2312"/>
          <w:color w:val="auto"/>
          <w:sz w:val="24"/>
          <w:highlight w:val="none"/>
        </w:rPr>
        <w:t>①</w:t>
      </w:r>
      <w:r>
        <w:rPr>
          <w:rFonts w:ascii="仿宋_GB2312" w:hAnsi="宋体" w:eastAsia="仿宋_GB2312"/>
          <w:color w:val="auto"/>
          <w:sz w:val="24"/>
          <w:highlight w:val="none"/>
        </w:rPr>
        <w:fldChar w:fldCharType="end"/>
      </w:r>
      <w:r>
        <w:rPr>
          <w:rFonts w:hint="eastAsia" w:ascii="仿宋" w:hAnsi="仿宋" w:eastAsia="仿宋" w:cs="仿宋"/>
          <w:color w:val="auto"/>
          <w:sz w:val="24"/>
          <w:highlight w:val="none"/>
        </w:rPr>
        <w:t>学生公寓楼值班服务；</w:t>
      </w:r>
      <w:r>
        <w:rPr>
          <w:rFonts w:ascii="仿宋_GB2312" w:hAnsi="宋体" w:eastAsia="仿宋_GB2312"/>
          <w:color w:val="auto"/>
          <w:sz w:val="24"/>
          <w:highlight w:val="none"/>
        </w:rPr>
        <w:fldChar w:fldCharType="begin"/>
      </w:r>
      <w:r>
        <w:rPr>
          <w:rFonts w:ascii="仿宋_GB2312" w:hAnsi="宋体" w:eastAsia="仿宋_GB2312"/>
          <w:color w:val="auto"/>
          <w:sz w:val="24"/>
          <w:highlight w:val="none"/>
        </w:rPr>
        <w:instrText xml:space="preserve"> </w:instrText>
      </w:r>
      <w:r>
        <w:rPr>
          <w:rFonts w:hint="eastAsia" w:ascii="仿宋_GB2312" w:hAnsi="宋体" w:eastAsia="仿宋_GB2312"/>
          <w:color w:val="auto"/>
          <w:sz w:val="24"/>
          <w:highlight w:val="none"/>
        </w:rPr>
        <w:instrText xml:space="preserve">= 2 \* GB3</w:instrText>
      </w:r>
      <w:r>
        <w:rPr>
          <w:rFonts w:ascii="仿宋_GB2312" w:hAnsi="宋体" w:eastAsia="仿宋_GB2312"/>
          <w:color w:val="auto"/>
          <w:sz w:val="24"/>
          <w:highlight w:val="none"/>
        </w:rPr>
        <w:instrText xml:space="preserve"> </w:instrText>
      </w:r>
      <w:r>
        <w:rPr>
          <w:rFonts w:ascii="仿宋_GB2312" w:hAnsi="宋体" w:eastAsia="仿宋_GB2312"/>
          <w:color w:val="auto"/>
          <w:sz w:val="24"/>
          <w:highlight w:val="none"/>
        </w:rPr>
        <w:fldChar w:fldCharType="separate"/>
      </w:r>
      <w:r>
        <w:rPr>
          <w:rFonts w:hint="eastAsia" w:ascii="仿宋_GB2312" w:hAnsi="宋体" w:eastAsia="仿宋_GB2312"/>
          <w:color w:val="auto"/>
          <w:sz w:val="24"/>
          <w:highlight w:val="none"/>
        </w:rPr>
        <w:t>②</w:t>
      </w:r>
      <w:r>
        <w:rPr>
          <w:rFonts w:ascii="仿宋_GB2312" w:hAnsi="宋体" w:eastAsia="仿宋_GB2312"/>
          <w:color w:val="auto"/>
          <w:sz w:val="24"/>
          <w:highlight w:val="none"/>
        </w:rPr>
        <w:fldChar w:fldCharType="end"/>
      </w:r>
      <w:r>
        <w:rPr>
          <w:rFonts w:hint="eastAsia" w:ascii="仿宋" w:hAnsi="仿宋" w:eastAsia="仿宋" w:cs="仿宋"/>
          <w:color w:val="auto"/>
          <w:sz w:val="24"/>
          <w:highlight w:val="none"/>
        </w:rPr>
        <w:t>学生公寓楼卫生管理；</w:t>
      </w:r>
      <w:r>
        <w:rPr>
          <w:rFonts w:ascii="仿宋_GB2312" w:hAnsi="宋体" w:eastAsia="仿宋_GB2312"/>
          <w:color w:val="auto"/>
          <w:sz w:val="24"/>
          <w:highlight w:val="none"/>
        </w:rPr>
        <w:fldChar w:fldCharType="begin"/>
      </w:r>
      <w:r>
        <w:rPr>
          <w:rFonts w:ascii="仿宋_GB2312" w:hAnsi="宋体" w:eastAsia="仿宋_GB2312"/>
          <w:color w:val="auto"/>
          <w:sz w:val="24"/>
          <w:highlight w:val="none"/>
        </w:rPr>
        <w:instrText xml:space="preserve"> </w:instrText>
      </w:r>
      <w:r>
        <w:rPr>
          <w:rFonts w:hint="eastAsia" w:ascii="仿宋_GB2312" w:hAnsi="宋体" w:eastAsia="仿宋_GB2312"/>
          <w:color w:val="auto"/>
          <w:sz w:val="24"/>
          <w:highlight w:val="none"/>
        </w:rPr>
        <w:instrText xml:space="preserve">= 3 \* GB3</w:instrText>
      </w:r>
      <w:r>
        <w:rPr>
          <w:rFonts w:ascii="仿宋_GB2312" w:hAnsi="宋体" w:eastAsia="仿宋_GB2312"/>
          <w:color w:val="auto"/>
          <w:sz w:val="24"/>
          <w:highlight w:val="none"/>
        </w:rPr>
        <w:instrText xml:space="preserve"> </w:instrText>
      </w:r>
      <w:r>
        <w:rPr>
          <w:rFonts w:ascii="仿宋_GB2312" w:hAnsi="宋体" w:eastAsia="仿宋_GB2312"/>
          <w:color w:val="auto"/>
          <w:sz w:val="24"/>
          <w:highlight w:val="none"/>
        </w:rPr>
        <w:fldChar w:fldCharType="separate"/>
      </w:r>
      <w:r>
        <w:rPr>
          <w:rFonts w:hint="eastAsia" w:ascii="仿宋_GB2312" w:hAnsi="宋体" w:eastAsia="仿宋_GB2312"/>
          <w:color w:val="auto"/>
          <w:sz w:val="24"/>
          <w:highlight w:val="none"/>
        </w:rPr>
        <w:t>③</w:t>
      </w:r>
      <w:r>
        <w:rPr>
          <w:rFonts w:ascii="仿宋_GB2312" w:hAnsi="宋体" w:eastAsia="仿宋_GB2312"/>
          <w:color w:val="auto"/>
          <w:sz w:val="24"/>
          <w:highlight w:val="none"/>
        </w:rPr>
        <w:fldChar w:fldCharType="end"/>
      </w:r>
      <w:r>
        <w:rPr>
          <w:rFonts w:hint="eastAsia" w:ascii="仿宋" w:hAnsi="仿宋" w:eastAsia="仿宋" w:cs="仿宋"/>
          <w:color w:val="auto"/>
          <w:sz w:val="24"/>
          <w:highlight w:val="none"/>
        </w:rPr>
        <w:t>学生公寓的学生管理；</w:t>
      </w:r>
      <w:r>
        <w:rPr>
          <w:rFonts w:ascii="仿宋_GB2312" w:hAnsi="宋体" w:eastAsia="仿宋_GB2312"/>
          <w:color w:val="auto"/>
          <w:sz w:val="24"/>
          <w:highlight w:val="none"/>
        </w:rPr>
        <w:fldChar w:fldCharType="begin"/>
      </w:r>
      <w:r>
        <w:rPr>
          <w:rFonts w:ascii="仿宋_GB2312" w:hAnsi="宋体" w:eastAsia="仿宋_GB2312"/>
          <w:color w:val="auto"/>
          <w:sz w:val="24"/>
          <w:highlight w:val="none"/>
        </w:rPr>
        <w:instrText xml:space="preserve"> </w:instrText>
      </w:r>
      <w:r>
        <w:rPr>
          <w:rFonts w:hint="eastAsia" w:ascii="仿宋_GB2312" w:hAnsi="宋体" w:eastAsia="仿宋_GB2312"/>
          <w:color w:val="auto"/>
          <w:sz w:val="24"/>
          <w:highlight w:val="none"/>
        </w:rPr>
        <w:instrText xml:space="preserve">= 4 \* GB3</w:instrText>
      </w:r>
      <w:r>
        <w:rPr>
          <w:rFonts w:ascii="仿宋_GB2312" w:hAnsi="宋体" w:eastAsia="仿宋_GB2312"/>
          <w:color w:val="auto"/>
          <w:sz w:val="24"/>
          <w:highlight w:val="none"/>
        </w:rPr>
        <w:instrText xml:space="preserve"> </w:instrText>
      </w:r>
      <w:r>
        <w:rPr>
          <w:rFonts w:ascii="仿宋_GB2312" w:hAnsi="宋体" w:eastAsia="仿宋_GB2312"/>
          <w:color w:val="auto"/>
          <w:sz w:val="24"/>
          <w:highlight w:val="none"/>
        </w:rPr>
        <w:fldChar w:fldCharType="separate"/>
      </w:r>
      <w:r>
        <w:rPr>
          <w:rFonts w:hint="eastAsia" w:ascii="仿宋_GB2312" w:hAnsi="宋体" w:eastAsia="仿宋_GB2312"/>
          <w:color w:val="auto"/>
          <w:sz w:val="24"/>
          <w:highlight w:val="none"/>
        </w:rPr>
        <w:t>④</w:t>
      </w:r>
      <w:r>
        <w:rPr>
          <w:rFonts w:ascii="仿宋_GB2312" w:hAnsi="宋体" w:eastAsia="仿宋_GB2312"/>
          <w:color w:val="auto"/>
          <w:sz w:val="24"/>
          <w:highlight w:val="none"/>
        </w:rPr>
        <w:fldChar w:fldCharType="end"/>
      </w:r>
      <w:r>
        <w:rPr>
          <w:rFonts w:hint="eastAsia" w:ascii="仿宋" w:hAnsi="仿宋" w:eastAsia="仿宋" w:cs="仿宋"/>
          <w:color w:val="auto"/>
          <w:sz w:val="24"/>
          <w:highlight w:val="none"/>
        </w:rPr>
        <w:t>学生公寓的安全管理；</w:t>
      </w:r>
      <w:r>
        <w:rPr>
          <w:rFonts w:ascii="仿宋_GB2312" w:hAnsi="宋体" w:eastAsia="仿宋_GB2312"/>
          <w:color w:val="auto"/>
          <w:sz w:val="24"/>
          <w:highlight w:val="none"/>
        </w:rPr>
        <w:fldChar w:fldCharType="begin"/>
      </w:r>
      <w:r>
        <w:rPr>
          <w:rFonts w:ascii="仿宋_GB2312" w:hAnsi="宋体" w:eastAsia="仿宋_GB2312"/>
          <w:color w:val="auto"/>
          <w:sz w:val="24"/>
          <w:highlight w:val="none"/>
        </w:rPr>
        <w:instrText xml:space="preserve"> </w:instrText>
      </w:r>
      <w:r>
        <w:rPr>
          <w:rFonts w:hint="eastAsia" w:ascii="仿宋_GB2312" w:hAnsi="宋体" w:eastAsia="仿宋_GB2312"/>
          <w:color w:val="auto"/>
          <w:sz w:val="24"/>
          <w:highlight w:val="none"/>
        </w:rPr>
        <w:instrText xml:space="preserve">= 5 \* GB3</w:instrText>
      </w:r>
      <w:r>
        <w:rPr>
          <w:rFonts w:ascii="仿宋_GB2312" w:hAnsi="宋体" w:eastAsia="仿宋_GB2312"/>
          <w:color w:val="auto"/>
          <w:sz w:val="24"/>
          <w:highlight w:val="none"/>
        </w:rPr>
        <w:instrText xml:space="preserve"> </w:instrText>
      </w:r>
      <w:r>
        <w:rPr>
          <w:rFonts w:ascii="仿宋_GB2312" w:hAnsi="宋体" w:eastAsia="仿宋_GB2312"/>
          <w:color w:val="auto"/>
          <w:sz w:val="24"/>
          <w:highlight w:val="none"/>
        </w:rPr>
        <w:fldChar w:fldCharType="separate"/>
      </w:r>
      <w:r>
        <w:rPr>
          <w:rFonts w:hint="eastAsia" w:ascii="仿宋_GB2312" w:hAnsi="宋体" w:eastAsia="仿宋_GB2312"/>
          <w:color w:val="auto"/>
          <w:sz w:val="24"/>
          <w:highlight w:val="none"/>
        </w:rPr>
        <w:t>⑤</w:t>
      </w:r>
      <w:r>
        <w:rPr>
          <w:rFonts w:ascii="仿宋_GB2312" w:hAnsi="宋体" w:eastAsia="仿宋_GB2312"/>
          <w:color w:val="auto"/>
          <w:sz w:val="24"/>
          <w:highlight w:val="none"/>
        </w:rPr>
        <w:fldChar w:fldCharType="end"/>
      </w:r>
      <w:r>
        <w:rPr>
          <w:rFonts w:hint="eastAsia" w:ascii="仿宋" w:hAnsi="仿宋" w:eastAsia="仿宋" w:cs="仿宋"/>
          <w:color w:val="auto"/>
          <w:sz w:val="24"/>
          <w:highlight w:val="none"/>
        </w:rPr>
        <w:t>学生公寓卫生检查。</w:t>
      </w:r>
      <w:r>
        <w:rPr>
          <w:rFonts w:hint="eastAsia" w:ascii="仿宋_GB2312" w:hAnsi="Times New Roman" w:eastAsia="仿宋_GB2312" w:cs="Times New Roman"/>
          <w:color w:val="auto"/>
          <w:sz w:val="24"/>
          <w:highlight w:val="none"/>
          <w:lang w:eastAsia="zh-CN"/>
        </w:rPr>
        <w:t>并满足采购人工作要求，</w:t>
      </w:r>
      <w:r>
        <w:rPr>
          <w:rFonts w:hint="eastAsia" w:ascii="仿宋_GB2312" w:eastAsia="仿宋_GB2312"/>
          <w:color w:val="auto"/>
          <w:sz w:val="24"/>
          <w:highlight w:val="none"/>
        </w:rPr>
        <w:t>每缺漏一项或者每一项不符合要求的，扣</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分，扣完为止。</w:t>
      </w:r>
      <w:r>
        <w:rPr>
          <w:rFonts w:hint="eastAsia" w:ascii="仿宋_GB2312" w:hAnsi="Times New Roman" w:eastAsia="仿宋_GB2312" w:cs="Times New Roman"/>
          <w:color w:val="auto"/>
          <w:sz w:val="24"/>
          <w:highlight w:val="none"/>
        </w:rPr>
        <w:t>（5分)</w:t>
      </w:r>
      <w:r>
        <w:rPr>
          <w:rFonts w:hint="eastAsia" w:ascii="仿宋_GB2312" w:hAnsi="Times New Roman" w:eastAsia="仿宋_GB2312" w:cs="Times New Roman"/>
          <w:color w:val="auto"/>
          <w:sz w:val="24"/>
          <w:highlight w:val="none"/>
          <w:lang w:eastAsia="zh-CN"/>
        </w:rPr>
        <w:t>；</w:t>
      </w:r>
    </w:p>
    <w:p>
      <w:pPr>
        <w:spacing w:line="360" w:lineRule="auto"/>
        <w:ind w:firstLine="480" w:firstLineChars="200"/>
        <w:contextualSpacing/>
        <w:rPr>
          <w:rFonts w:hint="eastAsia" w:ascii="仿宋_GB2312" w:hAnsi="Times New Roman" w:eastAsia="仿宋_GB2312" w:cs="Times New Roman"/>
          <w:color w:val="auto"/>
          <w:sz w:val="24"/>
          <w:highlight w:val="none"/>
          <w:lang w:eastAsia="zh-CN"/>
        </w:rPr>
      </w:pPr>
      <w:r>
        <w:rPr>
          <w:rFonts w:hint="eastAsia" w:ascii="仿宋" w:hAnsi="仿宋" w:eastAsia="仿宋"/>
          <w:color w:val="auto"/>
          <w:sz w:val="24"/>
          <w:highlight w:val="none"/>
        </w:rPr>
        <w:t>●</w:t>
      </w:r>
      <w:r>
        <w:rPr>
          <w:rFonts w:hint="eastAsia" w:ascii="仿宋_GB2312" w:hAnsi="Times New Roman" w:eastAsia="仿宋_GB2312" w:cs="Times New Roman"/>
          <w:color w:val="auto"/>
          <w:sz w:val="24"/>
          <w:highlight w:val="none"/>
        </w:rPr>
        <w:t>校史馆、体育运动场（馆）等场所管理服务</w:t>
      </w:r>
      <w:r>
        <w:rPr>
          <w:rFonts w:hint="eastAsia" w:ascii="仿宋_GB2312" w:hAnsi="Times New Roman" w:eastAsia="仿宋_GB2312" w:cs="Times New Roman"/>
          <w:color w:val="auto"/>
          <w:sz w:val="24"/>
          <w:highlight w:val="none"/>
          <w:lang w:eastAsia="zh-CN"/>
        </w:rPr>
        <w:t>方案：包括①校史馆管理、②体育运动场所值班服务、③体育运动场所卫生管理、④体育运动场所的学生管理、⑤体育运动场所的安全管理，并满足采购人工作要求，每缺漏一项或者每一项不符合要求的，扣1分，扣完为止。（5分)；</w:t>
      </w:r>
    </w:p>
    <w:p>
      <w:pPr>
        <w:spacing w:line="360" w:lineRule="auto"/>
        <w:ind w:firstLine="480" w:firstLineChars="200"/>
        <w:rPr>
          <w:rFonts w:ascii="仿宋" w:hAnsi="仿宋" w:eastAsia="仿宋" w:cs="微软雅黑"/>
          <w:color w:val="auto"/>
          <w:sz w:val="24"/>
          <w:highlight w:val="none"/>
        </w:rPr>
      </w:pPr>
      <w:r>
        <w:rPr>
          <w:rFonts w:hint="eastAsia" w:ascii="仿宋" w:hAnsi="仿宋" w:eastAsia="仿宋"/>
          <w:color w:val="auto"/>
          <w:sz w:val="24"/>
          <w:highlight w:val="none"/>
        </w:rPr>
        <w:t>●绿化管理养护方案：</w:t>
      </w:r>
      <w:r>
        <w:rPr>
          <w:rFonts w:hint="eastAsia" w:ascii="仿宋" w:hAnsi="仿宋" w:eastAsia="仿宋" w:cs="仿宋"/>
          <w:color w:val="auto"/>
          <w:sz w:val="24"/>
          <w:highlight w:val="none"/>
        </w:rPr>
        <w:t>学校树木、花草、色块等的日常养护和管理，学校绿地的养护管理、室内外摆花和会议摆花等。</w:t>
      </w:r>
      <w:r>
        <w:rPr>
          <w:rFonts w:hint="eastAsia" w:ascii="仿宋" w:hAnsi="仿宋" w:eastAsia="仿宋" w:cs="仿宋"/>
          <w:color w:val="auto"/>
          <w:sz w:val="24"/>
          <w:highlight w:val="none"/>
          <w:lang w:eastAsia="zh-CN"/>
        </w:rPr>
        <w:t>并满足采购人养护要求，</w:t>
      </w:r>
      <w:r>
        <w:rPr>
          <w:rFonts w:hint="eastAsia" w:ascii="仿宋_GB2312" w:eastAsia="仿宋_GB2312"/>
          <w:color w:val="auto"/>
          <w:sz w:val="24"/>
          <w:highlight w:val="none"/>
        </w:rPr>
        <w:t>每缺漏一项或者每一项不符合要求的，扣1分，扣完为止。（</w:t>
      </w:r>
      <w:r>
        <w:rPr>
          <w:rFonts w:hint="eastAsia" w:ascii="仿宋" w:hAnsi="仿宋" w:eastAsia="仿宋" w:cs="微软雅黑"/>
          <w:color w:val="auto"/>
          <w:sz w:val="24"/>
          <w:highlight w:val="none"/>
          <w:lang w:val="en-US" w:eastAsia="zh-CN"/>
        </w:rPr>
        <w:t>5</w:t>
      </w:r>
      <w:r>
        <w:rPr>
          <w:rFonts w:hint="eastAsia" w:ascii="仿宋" w:hAnsi="仿宋" w:eastAsia="仿宋" w:cs="微软雅黑"/>
          <w:color w:val="auto"/>
          <w:sz w:val="24"/>
          <w:highlight w:val="none"/>
        </w:rPr>
        <w:t>分）</w:t>
      </w:r>
    </w:p>
    <w:p>
      <w:pPr>
        <w:snapToGrid w:val="0"/>
        <w:spacing w:line="360" w:lineRule="auto"/>
        <w:ind w:left="105" w:leftChars="50" w:firstLine="470" w:firstLineChars="196"/>
        <w:rPr>
          <w:rFonts w:ascii="仿宋_GB2312" w:eastAsia="仿宋_GB2312"/>
          <w:color w:val="auto"/>
          <w:sz w:val="24"/>
          <w:highlight w:val="none"/>
        </w:rPr>
      </w:pPr>
      <w:r>
        <w:rPr>
          <w:rFonts w:hint="eastAsia" w:ascii="仿宋_GB2312" w:eastAsia="仿宋_GB2312"/>
          <w:color w:val="auto"/>
          <w:sz w:val="24"/>
          <w:highlight w:val="none"/>
        </w:rPr>
        <w:t>●供电设备管理维护方案：</w:t>
      </w:r>
      <w:r>
        <w:rPr>
          <w:rFonts w:hint="eastAsia" w:ascii="仿宋" w:hAnsi="仿宋" w:eastAsia="仿宋" w:cs="仿宋"/>
          <w:color w:val="auto"/>
          <w:sz w:val="24"/>
          <w:highlight w:val="none"/>
        </w:rPr>
        <w:t>对学校供电系统高、低压电器设备、发电设备、电线电缆及各照明、电扇等电气装置等设备进行日常管理和维修，保障安全、正常运行</w:t>
      </w:r>
      <w:r>
        <w:rPr>
          <w:rFonts w:hint="eastAsia" w:ascii="仿宋" w:hAnsi="仿宋" w:eastAsia="仿宋" w:cs="仿宋"/>
          <w:color w:val="auto"/>
          <w:sz w:val="24"/>
          <w:highlight w:val="none"/>
          <w:lang w:eastAsia="zh-CN"/>
        </w:rPr>
        <w:t>，并满足采购人服务质量标准，</w:t>
      </w:r>
      <w:r>
        <w:rPr>
          <w:rFonts w:hint="eastAsia" w:ascii="仿宋_GB2312" w:eastAsia="仿宋_GB2312"/>
          <w:color w:val="auto"/>
          <w:sz w:val="24"/>
          <w:highlight w:val="none"/>
        </w:rPr>
        <w:t>每缺漏一项或者每一项不符合要求的，扣1分，扣完为止。（</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分）</w:t>
      </w:r>
    </w:p>
    <w:p>
      <w:pPr>
        <w:snapToGrid w:val="0"/>
        <w:spacing w:line="360" w:lineRule="auto"/>
        <w:ind w:left="105" w:leftChars="50" w:firstLine="470" w:firstLineChars="196"/>
        <w:rPr>
          <w:rFonts w:ascii="仿宋_GB2312" w:eastAsia="仿宋_GB2312"/>
          <w:b w:val="0"/>
          <w:bCs w:val="0"/>
          <w:color w:val="auto"/>
          <w:sz w:val="24"/>
          <w:highlight w:val="none"/>
        </w:rPr>
      </w:pPr>
      <w:r>
        <w:rPr>
          <w:rFonts w:hint="eastAsia" w:ascii="仿宋" w:hAnsi="仿宋" w:eastAsia="仿宋"/>
          <w:color w:val="auto"/>
          <w:sz w:val="24"/>
          <w:highlight w:val="none"/>
        </w:rPr>
        <w:t>●</w:t>
      </w:r>
      <w:r>
        <w:rPr>
          <w:rFonts w:hint="eastAsia" w:ascii="仿宋_GB2312" w:eastAsia="仿宋_GB2312"/>
          <w:bCs/>
          <w:color w:val="auto"/>
          <w:sz w:val="24"/>
          <w:highlight w:val="none"/>
        </w:rPr>
        <w:t>教学实训设备管理维护</w:t>
      </w:r>
      <w:r>
        <w:rPr>
          <w:rFonts w:hint="eastAsia" w:ascii="仿宋_GB2312" w:hAnsi="宋体" w:eastAsia="仿宋_GB2312"/>
          <w:bCs/>
          <w:color w:val="auto"/>
          <w:sz w:val="24"/>
          <w:highlight w:val="none"/>
        </w:rPr>
        <w:t>方案：</w:t>
      </w:r>
      <w:r>
        <w:rPr>
          <w:rFonts w:hint="eastAsia" w:ascii="仿宋_GB2312" w:eastAsia="仿宋_GB2312"/>
          <w:color w:val="auto"/>
          <w:sz w:val="24"/>
          <w:highlight w:val="none"/>
        </w:rPr>
        <w:t>包括对学校数控车床、数控铣床、加工中心、普通车床、举升机、气泵、空压机、焊机、外形修理机、打磨机、烤漆房教学实施设备进行日常管理和维修，保障安全、正常运行。</w:t>
      </w:r>
      <w:r>
        <w:rPr>
          <w:rFonts w:hint="eastAsia" w:ascii="仿宋_GB2312" w:eastAsia="仿宋_GB2312"/>
          <w:color w:val="auto"/>
          <w:sz w:val="24"/>
          <w:highlight w:val="none"/>
          <w:lang w:eastAsia="zh-CN"/>
        </w:rPr>
        <w:t>并满足采购</w:t>
      </w:r>
      <w:r>
        <w:rPr>
          <w:rFonts w:hint="eastAsia" w:ascii="仿宋_GB2312" w:eastAsia="仿宋_GB2312"/>
          <w:b w:val="0"/>
          <w:bCs w:val="0"/>
          <w:color w:val="auto"/>
          <w:sz w:val="24"/>
          <w:highlight w:val="none"/>
          <w:lang w:eastAsia="zh-CN"/>
        </w:rPr>
        <w:t>人对各类设备的维护要求，</w:t>
      </w:r>
      <w:r>
        <w:rPr>
          <w:rFonts w:hint="eastAsia" w:ascii="仿宋_GB2312" w:eastAsia="仿宋_GB2312"/>
          <w:b w:val="0"/>
          <w:bCs w:val="0"/>
          <w:color w:val="auto"/>
          <w:sz w:val="24"/>
          <w:highlight w:val="none"/>
        </w:rPr>
        <w:t>每缺漏一项或者每一项不符合要求的，扣1分，扣完为止。（</w:t>
      </w:r>
      <w:r>
        <w:rPr>
          <w:rFonts w:hint="eastAsia" w:ascii="仿宋_GB2312" w:eastAsia="仿宋_GB2312"/>
          <w:b w:val="0"/>
          <w:bCs w:val="0"/>
          <w:color w:val="auto"/>
          <w:sz w:val="24"/>
          <w:highlight w:val="none"/>
          <w:lang w:val="en-US" w:eastAsia="zh-CN"/>
        </w:rPr>
        <w:t>3</w:t>
      </w:r>
      <w:r>
        <w:rPr>
          <w:rFonts w:hint="eastAsia" w:ascii="仿宋_GB2312" w:eastAsia="仿宋_GB2312"/>
          <w:b w:val="0"/>
          <w:bCs w:val="0"/>
          <w:color w:val="auto"/>
          <w:sz w:val="24"/>
          <w:highlight w:val="none"/>
        </w:rPr>
        <w:t>分）</w:t>
      </w:r>
    </w:p>
    <w:p>
      <w:pPr>
        <w:spacing w:line="360" w:lineRule="auto"/>
        <w:ind w:firstLine="480" w:firstLineChars="200"/>
        <w:rPr>
          <w:rFonts w:ascii="仿宋_GB2312" w:eastAsia="仿宋_GB2312"/>
          <w:b w:val="0"/>
          <w:bCs w:val="0"/>
          <w:color w:val="auto"/>
          <w:sz w:val="24"/>
          <w:highlight w:val="none"/>
        </w:rPr>
      </w:pPr>
      <w:r>
        <w:rPr>
          <w:rFonts w:hint="eastAsia" w:ascii="仿宋" w:hAnsi="仿宋" w:eastAsia="仿宋"/>
          <w:b w:val="0"/>
          <w:bCs w:val="0"/>
          <w:color w:val="auto"/>
          <w:sz w:val="24"/>
          <w:highlight w:val="none"/>
        </w:rPr>
        <w:t>●</w:t>
      </w:r>
      <w:r>
        <w:rPr>
          <w:rFonts w:hint="eastAsia" w:ascii="仿宋_GB2312" w:eastAsia="仿宋_GB2312"/>
          <w:b w:val="0"/>
          <w:bCs w:val="0"/>
          <w:color w:val="auto"/>
          <w:sz w:val="24"/>
          <w:highlight w:val="none"/>
        </w:rPr>
        <w:t>给排水设备</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lang w:val="en-US" w:eastAsia="zh-CN"/>
        </w:rPr>
        <w:t>变频加压泵，排污泵</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运行维护管理</w:t>
      </w:r>
      <w:r>
        <w:rPr>
          <w:rFonts w:hint="eastAsia" w:ascii="仿宋_GB2312" w:hAnsi="宋体" w:eastAsia="仿宋_GB2312"/>
          <w:b w:val="0"/>
          <w:bCs w:val="0"/>
          <w:color w:val="auto"/>
          <w:sz w:val="24"/>
          <w:highlight w:val="none"/>
        </w:rPr>
        <w:t>方案：</w:t>
      </w:r>
      <w:r>
        <w:rPr>
          <w:rFonts w:hint="eastAsia" w:ascii="仿宋_GB2312" w:eastAsia="仿宋_GB2312"/>
          <w:b w:val="0"/>
          <w:bCs w:val="0"/>
          <w:color w:val="auto"/>
          <w:sz w:val="24"/>
          <w:highlight w:val="none"/>
        </w:rPr>
        <w:t>包括对学校室内外水泵房、水泵、水箱、污水处理装置、水处理设备、消火栓、管道、管件、阀门、水嘴、卫生洁具、排水管、透气管、水封设备、室外排水管及附属构筑物进行日常养护维修，保持正常运行</w:t>
      </w:r>
      <w:r>
        <w:rPr>
          <w:rFonts w:hint="eastAsia" w:ascii="仿宋_GB2312" w:eastAsia="仿宋_GB2312"/>
          <w:b w:val="0"/>
          <w:bCs w:val="0"/>
          <w:color w:val="auto"/>
          <w:sz w:val="24"/>
          <w:szCs w:val="28"/>
          <w:highlight w:val="none"/>
        </w:rPr>
        <w:t>。</w:t>
      </w:r>
      <w:r>
        <w:rPr>
          <w:rFonts w:hint="eastAsia" w:ascii="仿宋_GB2312" w:eastAsia="仿宋_GB2312"/>
          <w:b w:val="0"/>
          <w:bCs w:val="0"/>
          <w:color w:val="auto"/>
          <w:sz w:val="24"/>
          <w:szCs w:val="28"/>
          <w:highlight w:val="none"/>
          <w:lang w:eastAsia="zh-CN"/>
        </w:rPr>
        <w:t>并满足采购人服务质量标准，</w:t>
      </w:r>
      <w:r>
        <w:rPr>
          <w:rFonts w:hint="eastAsia" w:ascii="仿宋_GB2312" w:eastAsia="仿宋_GB2312"/>
          <w:b w:val="0"/>
          <w:bCs w:val="0"/>
          <w:color w:val="auto"/>
          <w:sz w:val="24"/>
          <w:highlight w:val="none"/>
        </w:rPr>
        <w:t>每缺漏一项或者每一项不符合要求的，扣1分，扣完为止。（</w:t>
      </w:r>
      <w:r>
        <w:rPr>
          <w:rFonts w:hint="eastAsia" w:ascii="仿宋_GB2312" w:eastAsia="仿宋_GB2312"/>
          <w:b w:val="0"/>
          <w:bCs w:val="0"/>
          <w:color w:val="auto"/>
          <w:sz w:val="24"/>
          <w:highlight w:val="none"/>
          <w:lang w:val="en-US" w:eastAsia="zh-CN"/>
        </w:rPr>
        <w:t>3</w:t>
      </w:r>
      <w:r>
        <w:rPr>
          <w:rFonts w:hint="eastAsia" w:ascii="仿宋_GB2312" w:eastAsia="仿宋_GB2312"/>
          <w:b w:val="0"/>
          <w:bCs w:val="0"/>
          <w:color w:val="auto"/>
          <w:sz w:val="24"/>
          <w:highlight w:val="none"/>
        </w:rPr>
        <w:t>分）</w:t>
      </w:r>
    </w:p>
    <w:p>
      <w:pPr>
        <w:snapToGrid w:val="0"/>
        <w:spacing w:line="360" w:lineRule="auto"/>
        <w:ind w:left="105" w:leftChars="50" w:firstLine="480" w:firstLineChars="200"/>
        <w:rPr>
          <w:rFonts w:ascii="仿宋_GB2312" w:eastAsia="仿宋_GB2312"/>
          <w:b w:val="0"/>
          <w:bCs w:val="0"/>
          <w:color w:val="auto"/>
          <w:sz w:val="24"/>
          <w:highlight w:val="none"/>
        </w:rPr>
      </w:pPr>
      <w:r>
        <w:rPr>
          <w:rFonts w:hint="eastAsia" w:ascii="仿宋" w:hAnsi="仿宋" w:eastAsia="仿宋"/>
          <w:b w:val="0"/>
          <w:bCs w:val="0"/>
          <w:color w:val="auto"/>
          <w:sz w:val="24"/>
          <w:highlight w:val="none"/>
        </w:rPr>
        <w:t>●</w:t>
      </w:r>
      <w:r>
        <w:rPr>
          <w:rFonts w:hint="eastAsia" w:ascii="仿宋_GB2312" w:eastAsia="仿宋_GB2312"/>
          <w:b w:val="0"/>
          <w:bCs w:val="0"/>
          <w:color w:val="auto"/>
          <w:sz w:val="24"/>
          <w:highlight w:val="none"/>
        </w:rPr>
        <w:t>空调系统运行维护方案：</w:t>
      </w:r>
      <w:r>
        <w:rPr>
          <w:rFonts w:hint="eastAsia" w:ascii="仿宋" w:hAnsi="仿宋" w:eastAsia="仿宋" w:cs="仿宋"/>
          <w:b w:val="0"/>
          <w:bCs w:val="0"/>
          <w:color w:val="auto"/>
          <w:sz w:val="24"/>
          <w:highlight w:val="none"/>
        </w:rPr>
        <w:t>空调系统维护服务项目包括空调主机（外机）维护、室内机维护、新风机组维护、管道系统维护、各种阀类、控制系统等维护。</w:t>
      </w:r>
      <w:r>
        <w:rPr>
          <w:rFonts w:hint="eastAsia" w:ascii="仿宋" w:hAnsi="仿宋" w:eastAsia="仿宋" w:cs="仿宋"/>
          <w:b w:val="0"/>
          <w:bCs w:val="0"/>
          <w:color w:val="auto"/>
          <w:sz w:val="24"/>
          <w:highlight w:val="none"/>
          <w:lang w:eastAsia="zh-CN"/>
        </w:rPr>
        <w:t>并满足采购人服务质量标准，</w:t>
      </w:r>
      <w:r>
        <w:rPr>
          <w:rFonts w:hint="eastAsia" w:ascii="仿宋_GB2312" w:eastAsia="仿宋_GB2312"/>
          <w:b w:val="0"/>
          <w:bCs w:val="0"/>
          <w:color w:val="auto"/>
          <w:sz w:val="24"/>
          <w:highlight w:val="none"/>
        </w:rPr>
        <w:t>每缺漏一项或者每一项不符合要求的，扣1分，扣完为止。（</w:t>
      </w:r>
      <w:r>
        <w:rPr>
          <w:rFonts w:hint="eastAsia" w:ascii="仿宋_GB2312" w:eastAsia="仿宋_GB2312"/>
          <w:b w:val="0"/>
          <w:bCs w:val="0"/>
          <w:color w:val="auto"/>
          <w:sz w:val="24"/>
          <w:highlight w:val="none"/>
          <w:lang w:val="en-US" w:eastAsia="zh-CN"/>
        </w:rPr>
        <w:t>3</w:t>
      </w:r>
      <w:r>
        <w:rPr>
          <w:rFonts w:hint="eastAsia" w:ascii="仿宋_GB2312" w:eastAsia="仿宋_GB2312"/>
          <w:b w:val="0"/>
          <w:bCs w:val="0"/>
          <w:color w:val="auto"/>
          <w:sz w:val="24"/>
          <w:highlight w:val="none"/>
        </w:rPr>
        <w:t>分）；</w:t>
      </w:r>
    </w:p>
    <w:p>
      <w:pPr>
        <w:spacing w:line="360" w:lineRule="auto"/>
        <w:ind w:firstLine="480" w:firstLineChars="200"/>
        <w:contextualSpacing/>
        <w:rPr>
          <w:rFonts w:ascii="仿宋_GB2312" w:eastAsia="仿宋_GB2312"/>
          <w:color w:val="auto"/>
          <w:sz w:val="24"/>
          <w:highlight w:val="none"/>
        </w:rPr>
      </w:pPr>
      <w:r>
        <w:rPr>
          <w:rFonts w:hint="eastAsia" w:ascii="仿宋" w:hAnsi="仿宋" w:eastAsia="仿宋"/>
          <w:b w:val="0"/>
          <w:bCs w:val="0"/>
          <w:color w:val="auto"/>
          <w:sz w:val="24"/>
          <w:highlight w:val="none"/>
        </w:rPr>
        <w:t>●网络设施、多媒体设备、校园一卡通设施维护</w:t>
      </w:r>
      <w:r>
        <w:rPr>
          <w:rFonts w:hint="eastAsia" w:ascii="仿宋_GB2312" w:eastAsia="仿宋_GB2312"/>
          <w:b w:val="0"/>
          <w:bCs w:val="0"/>
          <w:color w:val="auto"/>
          <w:sz w:val="24"/>
          <w:highlight w:val="none"/>
        </w:rPr>
        <w:t>方案：</w:t>
      </w:r>
      <w:r>
        <w:rPr>
          <w:rFonts w:hint="eastAsia" w:ascii="仿宋_GB2312" w:eastAsia="仿宋_GB2312"/>
          <w:b w:val="0"/>
          <w:bCs w:val="0"/>
          <w:color w:val="auto"/>
          <w:sz w:val="24"/>
          <w:highlight w:val="none"/>
          <w:lang w:eastAsia="zh-CN"/>
        </w:rPr>
        <w:t>根据招标文件，满足采购人服务需求，</w:t>
      </w:r>
      <w:r>
        <w:rPr>
          <w:rFonts w:hint="eastAsia" w:ascii="仿宋_GB2312" w:eastAsia="仿宋_GB2312"/>
          <w:color w:val="auto"/>
          <w:sz w:val="24"/>
          <w:highlight w:val="none"/>
        </w:rPr>
        <w:t>每缺漏一项或者每一项不符合要求的，扣1分，扣完为止。（</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分）。</w:t>
      </w:r>
    </w:p>
    <w:p>
      <w:pPr>
        <w:spacing w:line="360" w:lineRule="auto"/>
        <w:ind w:firstLine="480" w:firstLineChars="200"/>
        <w:contextualSpacing/>
        <w:rPr>
          <w:rFonts w:hint="eastAsia" w:ascii="仿宋_GB2312" w:eastAsia="仿宋_GB2312"/>
          <w:color w:val="auto"/>
          <w:sz w:val="24"/>
          <w:highlight w:val="none"/>
        </w:rPr>
      </w:pPr>
      <w:r>
        <w:rPr>
          <w:rFonts w:hint="eastAsia" w:ascii="仿宋" w:hAnsi="仿宋" w:eastAsia="仿宋"/>
          <w:color w:val="auto"/>
          <w:sz w:val="24"/>
          <w:highlight w:val="none"/>
        </w:rPr>
        <w:t>●学校房屋、道路及设施设备的巡查及维护维修</w:t>
      </w:r>
      <w:r>
        <w:rPr>
          <w:rFonts w:hint="eastAsia" w:ascii="仿宋_GB2312" w:hAnsi="宋体" w:eastAsia="仿宋_GB2312"/>
          <w:bCs/>
          <w:color w:val="auto"/>
          <w:sz w:val="24"/>
          <w:highlight w:val="none"/>
        </w:rPr>
        <w:t>方案：</w:t>
      </w:r>
      <w:r>
        <w:rPr>
          <w:rFonts w:hint="eastAsia" w:ascii="仿宋_GB2312" w:hAnsi="宋体" w:eastAsia="仿宋_GB2312"/>
          <w:bCs/>
          <w:color w:val="auto"/>
          <w:sz w:val="24"/>
          <w:highlight w:val="none"/>
          <w:lang w:eastAsia="zh-CN"/>
        </w:rPr>
        <w:t>满足采购人校园日常维修的标准，</w:t>
      </w:r>
      <w:r>
        <w:rPr>
          <w:rFonts w:hint="eastAsia" w:ascii="仿宋" w:hAnsi="仿宋" w:eastAsia="仿宋" w:cs="仿宋"/>
          <w:color w:val="auto"/>
          <w:sz w:val="24"/>
          <w:highlight w:val="none"/>
        </w:rPr>
        <w:t>房屋、道路土建及设备维修标准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上下水系统小修标准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供电设施设备管理维护及小修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体育设施管理维修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防护设施管理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机械设备管理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地下车库管理</w:t>
      </w:r>
      <w:r>
        <w:rPr>
          <w:rFonts w:hint="eastAsia" w:ascii="仿宋" w:hAnsi="仿宋" w:eastAsia="仿宋" w:cs="仿宋"/>
          <w:color w:val="auto"/>
          <w:sz w:val="24"/>
          <w:highlight w:val="none"/>
          <w:lang w:eastAsia="zh-CN"/>
        </w:rPr>
        <w:t>的要求，</w:t>
      </w:r>
      <w:r>
        <w:rPr>
          <w:rFonts w:hint="eastAsia" w:ascii="仿宋_GB2312" w:eastAsia="仿宋_GB2312"/>
          <w:color w:val="auto"/>
          <w:sz w:val="24"/>
          <w:highlight w:val="none"/>
        </w:rPr>
        <w:t>每缺漏一项或者每一项不符合要求的，扣1分，扣完为止。（</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分）。</w:t>
      </w:r>
    </w:p>
    <w:p>
      <w:pPr>
        <w:spacing w:line="360" w:lineRule="auto"/>
        <w:ind w:firstLine="480" w:firstLineChars="200"/>
        <w:contextualSpacing/>
        <w:rPr>
          <w:rFonts w:hint="eastAsia" w:ascii="仿宋_GB2312" w:eastAsia="仿宋_GB2312"/>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关于</w:t>
      </w:r>
      <w:r>
        <w:rPr>
          <w:rFonts w:hint="eastAsia" w:ascii="仿宋" w:hAnsi="仿宋" w:eastAsia="仿宋" w:cs="仿宋"/>
          <w:b w:val="0"/>
          <w:bCs/>
          <w:color w:val="auto"/>
          <w:sz w:val="24"/>
          <w:highlight w:val="none"/>
        </w:rPr>
        <w:t>电梯运行的管理和维护</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办公设备的维护</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校园雕塑的管理和维护</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亮灯工程的管理和维护</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净水设备的管理和维护</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停车棚的维护</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景观湖、河道、橡胶坝的管理与维护</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有害生物防治及应急消毒服务</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垃圾分类处理及清运服务</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太阳能设备的管理和维护</w:t>
      </w:r>
      <w:r>
        <w:rPr>
          <w:rFonts w:hint="eastAsia" w:ascii="仿宋" w:hAnsi="仿宋" w:eastAsia="仿宋" w:cs="仿宋"/>
          <w:b w:val="0"/>
          <w:bCs/>
          <w:color w:val="auto"/>
          <w:sz w:val="24"/>
          <w:highlight w:val="none"/>
          <w:lang w:eastAsia="zh-CN"/>
        </w:rPr>
        <w:t>的</w:t>
      </w:r>
      <w:r>
        <w:rPr>
          <w:rFonts w:hint="eastAsia" w:ascii="仿宋_GB2312" w:hAnsi="宋体" w:eastAsia="仿宋_GB2312"/>
          <w:b w:val="0"/>
          <w:bCs/>
          <w:color w:val="auto"/>
          <w:sz w:val="24"/>
          <w:highlight w:val="none"/>
        </w:rPr>
        <w:t>方案</w:t>
      </w:r>
      <w:r>
        <w:rPr>
          <w:rFonts w:hint="eastAsia" w:ascii="仿宋_GB2312" w:hAnsi="宋体" w:eastAsia="仿宋_GB2312"/>
          <w:b w:val="0"/>
          <w:bCs/>
          <w:color w:val="auto"/>
          <w:sz w:val="24"/>
          <w:highlight w:val="none"/>
          <w:lang w:eastAsia="zh-CN"/>
        </w:rPr>
        <w:t>满足采购人要求，</w:t>
      </w:r>
      <w:r>
        <w:rPr>
          <w:rFonts w:hint="eastAsia" w:ascii="仿宋_GB2312" w:eastAsia="仿宋_GB2312"/>
          <w:color w:val="auto"/>
          <w:sz w:val="24"/>
          <w:highlight w:val="none"/>
        </w:rPr>
        <w:t>缺漏一项或者每一项不符合要求的，扣1分，扣完为止。（</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分）。</w:t>
      </w:r>
    </w:p>
    <w:p>
      <w:pPr>
        <w:snapToGrid w:val="0"/>
        <w:spacing w:line="360" w:lineRule="auto"/>
        <w:ind w:left="105" w:leftChars="50" w:firstLine="354" w:firstLineChars="147"/>
        <w:rPr>
          <w:rFonts w:ascii="仿宋" w:hAnsi="仿宋" w:eastAsia="仿宋" w:cs="微软雅黑"/>
          <w:color w:val="auto"/>
          <w:sz w:val="24"/>
          <w:highlight w:val="none"/>
        </w:rPr>
      </w:pP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w:t>
      </w:r>
      <w:r>
        <w:rPr>
          <w:rFonts w:hint="eastAsia" w:ascii="仿宋" w:hAnsi="仿宋" w:eastAsia="仿宋" w:cs="微软雅黑"/>
          <w:b/>
          <w:bCs/>
          <w:color w:val="auto"/>
          <w:sz w:val="24"/>
          <w:highlight w:val="none"/>
        </w:rPr>
        <w:t>应急预案（</w:t>
      </w:r>
      <w:r>
        <w:rPr>
          <w:rFonts w:hint="eastAsia" w:ascii="仿宋" w:hAnsi="仿宋" w:eastAsia="仿宋" w:cs="微软雅黑"/>
          <w:b/>
          <w:bCs/>
          <w:color w:val="auto"/>
          <w:sz w:val="24"/>
          <w:highlight w:val="none"/>
          <w:lang w:val="en-US" w:eastAsia="zh-CN"/>
        </w:rPr>
        <w:t>2</w:t>
      </w:r>
      <w:r>
        <w:rPr>
          <w:rFonts w:hint="eastAsia" w:ascii="仿宋" w:hAnsi="仿宋" w:eastAsia="仿宋" w:cs="微软雅黑"/>
          <w:b/>
          <w:bCs/>
          <w:color w:val="auto"/>
          <w:sz w:val="24"/>
          <w:highlight w:val="none"/>
        </w:rPr>
        <w:t>分）：</w:t>
      </w:r>
      <w:r>
        <w:rPr>
          <w:rFonts w:hint="eastAsia" w:ascii="仿宋" w:hAnsi="仿宋" w:eastAsia="仿宋" w:cs="微软雅黑"/>
          <w:color w:val="auto"/>
          <w:sz w:val="24"/>
          <w:highlight w:val="none"/>
        </w:rPr>
        <w:t>物业服务服务区域内各级各类应急预案，对突发事件应急预案及相应的措施是否合理，符合采购需求，以化解各类纠纷、消防、防疫、</w:t>
      </w:r>
      <w:r>
        <w:rPr>
          <w:rFonts w:hint="eastAsia" w:ascii="仿宋" w:hAnsi="仿宋" w:eastAsia="仿宋" w:cs="微软雅黑"/>
          <w:color w:val="auto"/>
          <w:sz w:val="24"/>
          <w:highlight w:val="none"/>
          <w:lang w:val="en-US" w:eastAsia="zh-CN"/>
        </w:rPr>
        <w:t>防汛</w:t>
      </w:r>
      <w:r>
        <w:rPr>
          <w:rFonts w:hint="eastAsia" w:ascii="仿宋" w:hAnsi="仿宋" w:eastAsia="仿宋" w:cs="微软雅黑"/>
          <w:color w:val="auto"/>
          <w:sz w:val="24"/>
          <w:highlight w:val="none"/>
        </w:rPr>
        <w:t>应对极端天气（台风、暴雨、冻雪）为例，方案内容有针对性且措施有效，</w:t>
      </w:r>
      <w:r>
        <w:rPr>
          <w:rFonts w:hint="eastAsia" w:ascii="仿宋" w:hAnsi="仿宋" w:eastAsia="仿宋" w:cs="微软雅黑"/>
          <w:color w:val="auto"/>
          <w:sz w:val="24"/>
          <w:highlight w:val="none"/>
          <w:lang w:eastAsia="zh-CN"/>
        </w:rPr>
        <w:t>满足得</w:t>
      </w:r>
      <w:r>
        <w:rPr>
          <w:rFonts w:hint="eastAsia" w:ascii="仿宋" w:hAnsi="仿宋" w:eastAsia="仿宋" w:cs="微软雅黑"/>
          <w:color w:val="auto"/>
          <w:sz w:val="24"/>
          <w:highlight w:val="none"/>
          <w:lang w:val="en-US" w:eastAsia="zh-CN"/>
        </w:rPr>
        <w:t>2分，不满足不得分</w:t>
      </w:r>
      <w:r>
        <w:rPr>
          <w:rFonts w:hint="eastAsia" w:ascii="仿宋" w:hAnsi="仿宋" w:eastAsia="仿宋" w:cs="微软雅黑"/>
          <w:color w:val="auto"/>
          <w:sz w:val="24"/>
          <w:highlight w:val="none"/>
        </w:rPr>
        <w:t>，</w:t>
      </w:r>
      <w:r>
        <w:rPr>
          <w:rFonts w:hint="eastAsia" w:ascii="仿宋" w:hAnsi="仿宋" w:eastAsia="仿宋" w:cs="微软雅黑"/>
          <w:color w:val="auto"/>
          <w:sz w:val="24"/>
          <w:highlight w:val="none"/>
          <w:lang w:eastAsia="zh-CN"/>
        </w:rPr>
        <w:t>共</w:t>
      </w:r>
      <w:r>
        <w:rPr>
          <w:rFonts w:hint="eastAsia" w:ascii="仿宋" w:hAnsi="仿宋" w:eastAsia="仿宋" w:cs="微软雅黑"/>
          <w:color w:val="auto"/>
          <w:sz w:val="24"/>
          <w:highlight w:val="none"/>
          <w:lang w:val="en-US" w:eastAsia="zh-CN"/>
        </w:rPr>
        <w:t>2</w:t>
      </w:r>
      <w:r>
        <w:rPr>
          <w:rFonts w:hint="eastAsia" w:ascii="仿宋" w:hAnsi="仿宋" w:eastAsia="仿宋" w:cs="微软雅黑"/>
          <w:color w:val="auto"/>
          <w:sz w:val="24"/>
          <w:highlight w:val="none"/>
        </w:rPr>
        <w:t>分。</w:t>
      </w:r>
    </w:p>
    <w:p>
      <w:pPr>
        <w:snapToGrid w:val="0"/>
        <w:spacing w:line="360" w:lineRule="auto"/>
        <w:ind w:left="105" w:leftChars="50" w:firstLine="354" w:firstLineChars="147"/>
        <w:rPr>
          <w:rFonts w:ascii="仿宋" w:hAnsi="仿宋" w:eastAsia="仿宋"/>
          <w:b/>
          <w:color w:val="auto"/>
          <w:sz w:val="24"/>
          <w:highlight w:val="none"/>
        </w:rPr>
      </w:pP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）项目实施的人员安排情况（</w:t>
      </w:r>
      <w:r>
        <w:rPr>
          <w:rFonts w:hint="eastAsia" w:ascii="仿宋" w:hAnsi="仿宋" w:eastAsia="仿宋"/>
          <w:b/>
          <w:color w:val="auto"/>
          <w:sz w:val="24"/>
          <w:highlight w:val="none"/>
          <w:lang w:val="en-US" w:eastAsia="zh-CN"/>
        </w:rPr>
        <w:t>30</w:t>
      </w:r>
      <w:r>
        <w:rPr>
          <w:rFonts w:hint="eastAsia" w:ascii="仿宋" w:hAnsi="仿宋" w:eastAsia="仿宋"/>
          <w:b/>
          <w:color w:val="auto"/>
          <w:sz w:val="24"/>
          <w:highlight w:val="none"/>
        </w:rPr>
        <w:t xml:space="preserve">分）：注: </w:t>
      </w:r>
      <w:r>
        <w:rPr>
          <w:rFonts w:hint="eastAsia" w:ascii="仿宋" w:hAnsi="仿宋" w:eastAsia="仿宋"/>
          <w:b/>
          <w:color w:val="auto"/>
          <w:sz w:val="24"/>
          <w:highlight w:val="none"/>
          <w:lang w:eastAsia="zh-CN"/>
        </w:rPr>
        <w:t>所有主管人员需提供</w:t>
      </w:r>
      <w:r>
        <w:rPr>
          <w:rFonts w:hint="eastAsia" w:ascii="仿宋" w:hAnsi="仿宋" w:eastAsia="仿宋"/>
          <w:b/>
          <w:color w:val="auto"/>
          <w:sz w:val="24"/>
          <w:highlight w:val="none"/>
        </w:rPr>
        <w:t>在投标人单位连续6个月社保缴纳记录及其学历等相关证明材料，否则相应不得分。</w:t>
      </w:r>
    </w:p>
    <w:p>
      <w:pPr>
        <w:snapToGrid w:val="0"/>
        <w:spacing w:line="360" w:lineRule="auto"/>
        <w:ind w:left="105" w:leftChars="50" w:firstLine="352" w:firstLineChars="147"/>
        <w:rPr>
          <w:rFonts w:hint="eastAsia" w:ascii="仿宋" w:hAnsi="仿宋" w:eastAsia="仿宋"/>
          <w:bCs/>
          <w:color w:val="auto"/>
          <w:sz w:val="24"/>
          <w:highlight w:val="none"/>
        </w:rPr>
      </w:pPr>
      <w:r>
        <w:rPr>
          <w:rFonts w:hint="eastAsia" w:ascii="仿宋" w:hAnsi="仿宋" w:eastAsia="仿宋"/>
          <w:bCs/>
          <w:color w:val="auto"/>
          <w:sz w:val="24"/>
          <w:highlight w:val="none"/>
        </w:rPr>
        <w:t>●①拟任本项目负责人和安排参与项目的专业人员获得市级劳动模范称号的得</w:t>
      </w:r>
      <w:r>
        <w:rPr>
          <w:rFonts w:hint="eastAsia" w:ascii="仿宋" w:hAnsi="仿宋" w:eastAsia="仿宋"/>
          <w:bCs/>
          <w:color w:val="auto"/>
          <w:sz w:val="24"/>
          <w:highlight w:val="none"/>
          <w:lang w:val="en-US" w:eastAsia="zh-CN"/>
        </w:rPr>
        <w:t>1</w:t>
      </w:r>
      <w:r>
        <w:rPr>
          <w:rFonts w:hint="eastAsia" w:ascii="仿宋" w:hAnsi="仿宋" w:eastAsia="仿宋"/>
          <w:bCs/>
          <w:color w:val="auto"/>
          <w:sz w:val="24"/>
          <w:highlight w:val="none"/>
        </w:rPr>
        <w:t>分，获得省级劳动模范称号的得</w:t>
      </w:r>
      <w:r>
        <w:rPr>
          <w:rFonts w:hint="eastAsia" w:ascii="仿宋" w:hAnsi="仿宋" w:eastAsia="仿宋"/>
          <w:bCs/>
          <w:color w:val="auto"/>
          <w:sz w:val="24"/>
          <w:highlight w:val="none"/>
          <w:lang w:val="en-US" w:eastAsia="zh-CN"/>
        </w:rPr>
        <w:t>1.5</w:t>
      </w:r>
      <w:r>
        <w:rPr>
          <w:rFonts w:hint="eastAsia" w:ascii="仿宋" w:hAnsi="仿宋" w:eastAsia="仿宋"/>
          <w:bCs/>
          <w:color w:val="auto"/>
          <w:sz w:val="24"/>
          <w:highlight w:val="none"/>
        </w:rPr>
        <w:t>分，获得国家级五一劳动奖章的得</w:t>
      </w: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分，同一人员不重复计分，最高得</w:t>
      </w: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分。（</w:t>
      </w: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分）。</w:t>
      </w:r>
    </w:p>
    <w:p>
      <w:pPr>
        <w:snapToGrid w:val="0"/>
        <w:spacing w:line="360" w:lineRule="auto"/>
        <w:ind w:left="105" w:leftChars="50" w:firstLine="352" w:firstLineChars="147"/>
        <w:rPr>
          <w:rFonts w:hint="eastAsia" w:ascii="仿宋" w:hAnsi="仿宋" w:eastAsia="仿宋"/>
          <w:bCs/>
          <w:color w:val="auto"/>
          <w:sz w:val="24"/>
          <w:highlight w:val="none"/>
          <w:lang w:eastAsia="zh-CN"/>
        </w:rPr>
      </w:pPr>
      <w:r>
        <w:rPr>
          <w:rFonts w:hint="eastAsia" w:ascii="仿宋" w:hAnsi="仿宋" w:eastAsia="仿宋"/>
          <w:bCs/>
          <w:color w:val="auto"/>
          <w:sz w:val="24"/>
          <w:highlight w:val="none"/>
        </w:rPr>
        <w:t>●保安主管</w:t>
      </w:r>
      <w:r>
        <w:rPr>
          <w:rFonts w:hint="eastAsia" w:ascii="仿宋" w:hAnsi="仿宋" w:eastAsia="仿宋"/>
          <w:bCs/>
          <w:color w:val="auto"/>
          <w:sz w:val="24"/>
          <w:highlight w:val="none"/>
          <w:lang w:eastAsia="zh-CN"/>
        </w:rPr>
        <w:t>①</w:t>
      </w:r>
      <w:r>
        <w:rPr>
          <w:rFonts w:hint="eastAsia" w:ascii="仿宋" w:hAnsi="仿宋" w:eastAsia="仿宋"/>
          <w:bCs/>
          <w:color w:val="auto"/>
          <w:sz w:val="24"/>
          <w:highlight w:val="none"/>
        </w:rPr>
        <w:t>需大专及以上学历，</w:t>
      </w:r>
      <w:r>
        <w:rPr>
          <w:rFonts w:hint="eastAsia" w:ascii="仿宋" w:hAnsi="仿宋" w:eastAsia="仿宋"/>
          <w:bCs/>
          <w:color w:val="auto"/>
          <w:sz w:val="24"/>
          <w:highlight w:val="none"/>
          <w:lang w:eastAsia="zh-CN"/>
        </w:rPr>
        <w:t>②</w:t>
      </w:r>
      <w:r>
        <w:rPr>
          <w:rFonts w:hint="eastAsia" w:ascii="仿宋" w:hAnsi="仿宋" w:eastAsia="仿宋"/>
          <w:bCs/>
          <w:color w:val="auto"/>
          <w:sz w:val="24"/>
          <w:highlight w:val="none"/>
        </w:rPr>
        <w:t>保安人员年龄女性不得超过50周岁、男性不得超过60周岁，年龄45周岁以下必须占50%，55周岁以下人员必须占90%，</w:t>
      </w:r>
      <w:r>
        <w:rPr>
          <w:rFonts w:hint="eastAsia" w:ascii="仿宋" w:hAnsi="仿宋" w:eastAsia="仿宋"/>
          <w:bCs/>
          <w:color w:val="auto"/>
          <w:sz w:val="24"/>
          <w:highlight w:val="none"/>
          <w:lang w:eastAsia="zh-CN"/>
        </w:rPr>
        <w:t>③</w:t>
      </w:r>
      <w:r>
        <w:rPr>
          <w:rFonts w:hint="eastAsia" w:ascii="仿宋" w:hAnsi="仿宋" w:eastAsia="仿宋"/>
          <w:bCs/>
          <w:color w:val="auto"/>
          <w:sz w:val="24"/>
          <w:highlight w:val="none"/>
        </w:rPr>
        <w:t>高中以上学历保安需达到80%以上，</w:t>
      </w:r>
      <w:r>
        <w:rPr>
          <w:rFonts w:hint="eastAsia" w:ascii="仿宋" w:hAnsi="仿宋" w:eastAsia="仿宋"/>
          <w:bCs/>
          <w:color w:val="auto"/>
          <w:sz w:val="24"/>
          <w:highlight w:val="none"/>
          <w:lang w:eastAsia="zh-CN"/>
        </w:rPr>
        <w:t>④</w:t>
      </w:r>
      <w:r>
        <w:rPr>
          <w:rFonts w:hint="eastAsia" w:ascii="仿宋" w:hAnsi="仿宋" w:eastAsia="仿宋"/>
          <w:bCs/>
          <w:color w:val="auto"/>
          <w:sz w:val="24"/>
          <w:highlight w:val="none"/>
        </w:rPr>
        <w:t>安保总人数不得少于47人，其中**室3人、消控室6人</w:t>
      </w:r>
      <w:r>
        <w:rPr>
          <w:rFonts w:hint="eastAsia" w:ascii="仿宋" w:hAnsi="仿宋" w:eastAsia="仿宋"/>
          <w:bCs/>
          <w:color w:val="auto"/>
          <w:sz w:val="24"/>
          <w:highlight w:val="none"/>
          <w:lang w:val="en-US" w:eastAsia="zh-CN"/>
        </w:rPr>
        <w:t>需持证上岗</w:t>
      </w:r>
      <w:r>
        <w:rPr>
          <w:rFonts w:hint="eastAsia" w:ascii="仿宋" w:hAnsi="仿宋" w:eastAsia="仿宋"/>
          <w:bCs/>
          <w:color w:val="auto"/>
          <w:sz w:val="24"/>
          <w:highlight w:val="none"/>
        </w:rPr>
        <w:t>，必须配备保安主管2名负责监管、考核保安的日常工作</w:t>
      </w:r>
      <w:r>
        <w:rPr>
          <w:rFonts w:hint="eastAsia" w:ascii="仿宋" w:hAnsi="仿宋" w:eastAsia="仿宋"/>
          <w:bCs/>
          <w:color w:val="auto"/>
          <w:sz w:val="24"/>
          <w:highlight w:val="none"/>
          <w:lang w:eastAsia="zh-CN"/>
        </w:rPr>
        <w:t>，⑤</w:t>
      </w:r>
      <w:r>
        <w:rPr>
          <w:rFonts w:hint="eastAsia" w:ascii="仿宋" w:hAnsi="仿宋" w:eastAsia="仿宋"/>
          <w:bCs/>
          <w:color w:val="auto"/>
          <w:sz w:val="24"/>
          <w:highlight w:val="none"/>
        </w:rPr>
        <w:t>另学校传达室收发室必须安排1人定人定岗</w:t>
      </w:r>
      <w:r>
        <w:rPr>
          <w:rFonts w:hint="eastAsia" w:ascii="仿宋" w:hAnsi="仿宋" w:eastAsia="仿宋"/>
          <w:bCs/>
          <w:color w:val="auto"/>
          <w:sz w:val="24"/>
          <w:highlight w:val="none"/>
          <w:lang w:eastAsia="zh-CN"/>
        </w:rPr>
        <w:t>，满足一项得</w:t>
      </w:r>
      <w:r>
        <w:rPr>
          <w:rFonts w:hint="eastAsia" w:ascii="仿宋" w:hAnsi="仿宋" w:eastAsia="仿宋"/>
          <w:bCs/>
          <w:color w:val="auto"/>
          <w:sz w:val="24"/>
          <w:highlight w:val="none"/>
          <w:lang w:val="en-US" w:eastAsia="zh-CN"/>
        </w:rPr>
        <w:t>1分，不满足不得分，总计5分</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5</w:t>
      </w:r>
      <w:r>
        <w:rPr>
          <w:rFonts w:hint="eastAsia" w:ascii="仿宋" w:hAnsi="仿宋" w:eastAsia="仿宋"/>
          <w:bCs/>
          <w:color w:val="auto"/>
          <w:sz w:val="24"/>
          <w:highlight w:val="none"/>
        </w:rPr>
        <w:t>分）</w:t>
      </w:r>
      <w:r>
        <w:rPr>
          <w:rFonts w:hint="eastAsia" w:ascii="仿宋" w:hAnsi="仿宋" w:eastAsia="仿宋"/>
          <w:bCs/>
          <w:color w:val="auto"/>
          <w:sz w:val="24"/>
          <w:highlight w:val="none"/>
          <w:lang w:eastAsia="zh-CN"/>
        </w:rPr>
        <w:t>；</w:t>
      </w:r>
    </w:p>
    <w:p>
      <w:pPr>
        <w:snapToGrid w:val="0"/>
        <w:spacing w:line="360" w:lineRule="auto"/>
        <w:ind w:left="105" w:leftChars="50" w:firstLine="352" w:firstLineChars="147"/>
        <w:rPr>
          <w:rFonts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cs="仿宋"/>
          <w:b w:val="0"/>
          <w:bCs/>
          <w:color w:val="auto"/>
          <w:sz w:val="24"/>
          <w:highlight w:val="none"/>
        </w:rPr>
        <w:t>校区环境卫生管理</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人员配备不得少于62人</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年龄女性不得超过50周岁、男性不得超过60周岁，年龄为50周岁以下人数不得低于80%</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保洁主管需大专（高级工）及以上学历，</w:t>
      </w: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保洁领班需高中及以上学历，</w:t>
      </w:r>
      <w:r>
        <w:rPr>
          <w:rFonts w:hint="eastAsia" w:ascii="仿宋" w:hAnsi="仿宋" w:eastAsia="仿宋" w:cs="仿宋"/>
          <w:color w:val="auto"/>
          <w:sz w:val="24"/>
          <w:highlight w:val="none"/>
          <w:lang w:eastAsia="zh-CN"/>
        </w:rPr>
        <w:t>⑤</w:t>
      </w:r>
      <w:r>
        <w:rPr>
          <w:rFonts w:hint="eastAsia" w:ascii="仿宋" w:hAnsi="仿宋" w:eastAsia="仿宋" w:cs="仿宋"/>
          <w:color w:val="auto"/>
          <w:sz w:val="24"/>
          <w:highlight w:val="none"/>
        </w:rPr>
        <w:t>为领导办公室及各展厅服务的保洁人员需高中及以上学历</w:t>
      </w:r>
      <w:r>
        <w:rPr>
          <w:rFonts w:hint="eastAsia" w:ascii="仿宋" w:hAnsi="仿宋" w:eastAsia="仿宋" w:cs="仿宋"/>
          <w:color w:val="auto"/>
          <w:sz w:val="24"/>
          <w:highlight w:val="none"/>
          <w:lang w:val="en-US" w:eastAsia="zh-CN"/>
        </w:rPr>
        <w:t>需承诺签订保密协议</w:t>
      </w:r>
      <w:r>
        <w:rPr>
          <w:rFonts w:hint="eastAsia" w:ascii="仿宋" w:hAnsi="仿宋" w:eastAsia="仿宋" w:cs="仿宋"/>
          <w:color w:val="auto"/>
          <w:sz w:val="24"/>
          <w:highlight w:val="none"/>
        </w:rPr>
        <w:t>，普通保洁员需初中及以上学历。</w:t>
      </w:r>
      <w:r>
        <w:rPr>
          <w:rFonts w:hint="eastAsia" w:ascii="仿宋" w:hAnsi="仿宋" w:eastAsia="仿宋" w:cs="仿宋"/>
          <w:color w:val="auto"/>
          <w:sz w:val="24"/>
          <w:highlight w:val="none"/>
          <w:lang w:eastAsia="zh-CN"/>
        </w:rPr>
        <w:t>⑥承诺</w:t>
      </w:r>
      <w:r>
        <w:rPr>
          <w:rFonts w:hint="eastAsia" w:ascii="仿宋" w:hAnsi="仿宋" w:eastAsia="仿宋" w:cs="仿宋"/>
          <w:color w:val="auto"/>
          <w:sz w:val="24"/>
          <w:highlight w:val="none"/>
        </w:rPr>
        <w:t>所有保洁人员每年必须进行一次体检，获得健康证方能上岗。</w:t>
      </w:r>
      <w:r>
        <w:rPr>
          <w:rFonts w:hint="eastAsia" w:ascii="仿宋" w:hAnsi="仿宋" w:eastAsia="仿宋"/>
          <w:bCs/>
          <w:color w:val="auto"/>
          <w:sz w:val="24"/>
          <w:highlight w:val="none"/>
          <w:lang w:eastAsia="zh-CN"/>
        </w:rPr>
        <w:t>满足一项得</w:t>
      </w:r>
      <w:r>
        <w:rPr>
          <w:rFonts w:hint="eastAsia" w:ascii="仿宋" w:hAnsi="仿宋" w:eastAsia="仿宋"/>
          <w:bCs/>
          <w:color w:val="auto"/>
          <w:sz w:val="24"/>
          <w:highlight w:val="none"/>
          <w:lang w:val="en-US" w:eastAsia="zh-CN"/>
        </w:rPr>
        <w:t>1分，不满足不得分，总计6分</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6</w:t>
      </w:r>
      <w:r>
        <w:rPr>
          <w:rFonts w:hint="eastAsia" w:ascii="仿宋" w:hAnsi="仿宋" w:eastAsia="仿宋"/>
          <w:bCs/>
          <w:color w:val="auto"/>
          <w:sz w:val="24"/>
          <w:highlight w:val="none"/>
        </w:rPr>
        <w:t>分）</w:t>
      </w:r>
      <w:r>
        <w:rPr>
          <w:rFonts w:hint="eastAsia" w:ascii="仿宋" w:hAnsi="仿宋" w:eastAsia="仿宋"/>
          <w:bCs/>
          <w:color w:val="auto"/>
          <w:sz w:val="24"/>
          <w:highlight w:val="none"/>
          <w:lang w:eastAsia="zh-CN"/>
        </w:rPr>
        <w:t>；</w:t>
      </w:r>
    </w:p>
    <w:p>
      <w:pPr>
        <w:snapToGrid w:val="0"/>
        <w:spacing w:line="360" w:lineRule="auto"/>
        <w:ind w:left="105" w:leftChars="50" w:firstLine="352" w:firstLineChars="147"/>
        <w:rPr>
          <w:rFonts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cs="仿宋"/>
          <w:color w:val="auto"/>
          <w:sz w:val="24"/>
          <w:highlight w:val="none"/>
        </w:rPr>
        <w:t>宿舍管理部</w:t>
      </w:r>
      <w:r>
        <w:rPr>
          <w:rFonts w:hint="eastAsia" w:ascii="仿宋" w:hAnsi="仿宋" w:eastAsia="仿宋" w:cs="仿宋"/>
          <w:color w:val="auto"/>
          <w:kern w:val="0"/>
          <w:sz w:val="24"/>
          <w:highlight w:val="none"/>
        </w:rPr>
        <w:t>综合部长要求</w:t>
      </w:r>
      <w:r>
        <w:rPr>
          <w:rFonts w:hint="eastAsia" w:ascii="仿宋" w:hAnsi="仿宋" w:eastAsia="仿宋" w:cs="仿宋"/>
          <w:color w:val="auto"/>
          <w:kern w:val="0"/>
          <w:sz w:val="24"/>
          <w:highlight w:val="none"/>
          <w:lang w:eastAsia="zh-CN"/>
        </w:rPr>
        <w:t>①</w:t>
      </w:r>
      <w:r>
        <w:rPr>
          <w:rFonts w:hint="eastAsia" w:ascii="仿宋" w:hAnsi="仿宋" w:eastAsia="仿宋" w:cs="仿宋"/>
          <w:color w:val="auto"/>
          <w:kern w:val="0"/>
          <w:sz w:val="24"/>
          <w:highlight w:val="none"/>
        </w:rPr>
        <w:t>本科（技师）及以上学历，</w:t>
      </w:r>
      <w:r>
        <w:rPr>
          <w:rFonts w:hint="eastAsia" w:ascii="仿宋" w:hAnsi="仿宋" w:eastAsia="仿宋" w:cs="仿宋"/>
          <w:color w:val="auto"/>
          <w:kern w:val="0"/>
          <w:sz w:val="24"/>
          <w:highlight w:val="none"/>
          <w:lang w:eastAsia="zh-CN"/>
        </w:rPr>
        <w:t>②</w:t>
      </w:r>
      <w:r>
        <w:rPr>
          <w:rFonts w:hint="eastAsia" w:ascii="仿宋" w:hAnsi="仿宋" w:eastAsia="仿宋" w:cs="仿宋"/>
          <w:color w:val="auto"/>
          <w:sz w:val="24"/>
          <w:highlight w:val="none"/>
        </w:rPr>
        <w:t>宿舍楼长及学生管理辅导员要求大专及以上学历，</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宿管员要求高中及以上学历，</w:t>
      </w: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从业人员年龄女性不得超过50周岁、男性不得超过60周岁，年龄为50周岁以下人数不得低于80%(经学校同意可适当放宽年龄要求)。</w:t>
      </w:r>
      <w:r>
        <w:rPr>
          <w:rFonts w:hint="eastAsia" w:ascii="仿宋" w:hAnsi="仿宋" w:eastAsia="仿宋" w:cs="仿宋"/>
          <w:color w:val="auto"/>
          <w:sz w:val="24"/>
          <w:highlight w:val="none"/>
          <w:lang w:eastAsia="zh-CN"/>
        </w:rPr>
        <w:t>⑤</w:t>
      </w:r>
      <w:r>
        <w:rPr>
          <w:rFonts w:hint="eastAsia" w:ascii="仿宋" w:hAnsi="仿宋" w:eastAsia="仿宋" w:cs="仿宋"/>
          <w:color w:val="auto"/>
          <w:sz w:val="24"/>
          <w:highlight w:val="none"/>
        </w:rPr>
        <w:t>宿管部人数不得少于32人。</w:t>
      </w:r>
      <w:r>
        <w:rPr>
          <w:rFonts w:hint="eastAsia" w:ascii="仿宋" w:hAnsi="仿宋" w:eastAsia="仿宋"/>
          <w:bCs/>
          <w:color w:val="auto"/>
          <w:sz w:val="24"/>
          <w:highlight w:val="none"/>
          <w:lang w:eastAsia="zh-CN"/>
        </w:rPr>
        <w:t>满足一项得</w:t>
      </w:r>
      <w:r>
        <w:rPr>
          <w:rFonts w:hint="eastAsia" w:ascii="仿宋" w:hAnsi="仿宋" w:eastAsia="仿宋"/>
          <w:bCs/>
          <w:color w:val="auto"/>
          <w:sz w:val="24"/>
          <w:highlight w:val="none"/>
          <w:lang w:val="en-US" w:eastAsia="zh-CN"/>
        </w:rPr>
        <w:t>1分，不满足不得分，总计5分</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5</w:t>
      </w:r>
      <w:r>
        <w:rPr>
          <w:rFonts w:hint="eastAsia" w:ascii="仿宋" w:hAnsi="仿宋" w:eastAsia="仿宋"/>
          <w:bCs/>
          <w:color w:val="auto"/>
          <w:sz w:val="24"/>
          <w:highlight w:val="none"/>
        </w:rPr>
        <w:t>分）</w:t>
      </w:r>
      <w:r>
        <w:rPr>
          <w:rFonts w:hint="eastAsia" w:ascii="仿宋" w:hAnsi="仿宋" w:eastAsia="仿宋"/>
          <w:bCs/>
          <w:color w:val="auto"/>
          <w:sz w:val="24"/>
          <w:highlight w:val="none"/>
          <w:lang w:eastAsia="zh-CN"/>
        </w:rPr>
        <w:t>；</w:t>
      </w:r>
    </w:p>
    <w:p>
      <w:pPr>
        <w:snapToGrid w:val="0"/>
        <w:spacing w:line="360" w:lineRule="auto"/>
        <w:ind w:left="105" w:leftChars="50" w:firstLine="352" w:firstLineChars="147"/>
        <w:rPr>
          <w:rFonts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eastAsia="zh-CN"/>
        </w:rPr>
        <w:t>①绿化管理</w:t>
      </w:r>
      <w:r>
        <w:rPr>
          <w:rFonts w:hint="eastAsia" w:ascii="仿宋" w:hAnsi="仿宋" w:eastAsia="仿宋" w:cs="仿宋"/>
          <w:color w:val="auto"/>
          <w:sz w:val="24"/>
          <w:highlight w:val="none"/>
        </w:rPr>
        <w:t>总人数不少于20人</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绿化主管需园林专业大专（高级工）及以上学历，</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绿化技师需具备园林技师职称，</w:t>
      </w: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其他绿化工作人员需高中及以上学历，</w:t>
      </w:r>
      <w:r>
        <w:rPr>
          <w:rFonts w:hint="eastAsia" w:ascii="仿宋" w:hAnsi="仿宋" w:eastAsia="仿宋" w:cs="仿宋"/>
          <w:color w:val="auto"/>
          <w:sz w:val="24"/>
          <w:highlight w:val="none"/>
          <w:lang w:eastAsia="zh-CN"/>
        </w:rPr>
        <w:t>⑤</w:t>
      </w:r>
      <w:r>
        <w:rPr>
          <w:rFonts w:hint="eastAsia" w:ascii="仿宋" w:hAnsi="仿宋" w:eastAsia="仿宋" w:cs="仿宋"/>
          <w:color w:val="auto"/>
          <w:sz w:val="24"/>
          <w:highlight w:val="none"/>
        </w:rPr>
        <w:t>从业人员年龄女性不得超过50周岁、男性不得超过60周岁，年龄为50周岁以下人数不得低于80%(由学校推荐的人员可适当放宽年龄要求)</w:t>
      </w:r>
      <w:r>
        <w:rPr>
          <w:rFonts w:hint="eastAsia" w:ascii="仿宋" w:hAnsi="仿宋" w:eastAsia="仿宋" w:cs="仿宋"/>
          <w:color w:val="auto"/>
          <w:sz w:val="24"/>
          <w:highlight w:val="none"/>
          <w:lang w:eastAsia="zh-CN"/>
        </w:rPr>
        <w:t>，</w:t>
      </w:r>
      <w:r>
        <w:rPr>
          <w:rFonts w:hint="eastAsia" w:ascii="仿宋" w:hAnsi="仿宋" w:eastAsia="仿宋"/>
          <w:bCs/>
          <w:color w:val="auto"/>
          <w:sz w:val="24"/>
          <w:highlight w:val="none"/>
          <w:lang w:eastAsia="zh-CN"/>
        </w:rPr>
        <w:t>满足一项得</w:t>
      </w:r>
      <w:r>
        <w:rPr>
          <w:rFonts w:hint="eastAsia" w:ascii="仿宋" w:hAnsi="仿宋" w:eastAsia="仿宋"/>
          <w:bCs/>
          <w:color w:val="auto"/>
          <w:sz w:val="24"/>
          <w:highlight w:val="none"/>
          <w:lang w:val="en-US" w:eastAsia="zh-CN"/>
        </w:rPr>
        <w:t>1分，不满足不得分，总计5分</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5</w:t>
      </w:r>
      <w:r>
        <w:rPr>
          <w:rFonts w:hint="eastAsia" w:ascii="仿宋" w:hAnsi="仿宋" w:eastAsia="仿宋"/>
          <w:bCs/>
          <w:color w:val="auto"/>
          <w:sz w:val="24"/>
          <w:highlight w:val="none"/>
        </w:rPr>
        <w:t>分）</w:t>
      </w:r>
      <w:r>
        <w:rPr>
          <w:rFonts w:hint="eastAsia" w:ascii="仿宋" w:hAnsi="仿宋" w:eastAsia="仿宋"/>
          <w:bCs/>
          <w:color w:val="auto"/>
          <w:sz w:val="24"/>
          <w:highlight w:val="none"/>
          <w:lang w:eastAsia="zh-CN"/>
        </w:rPr>
        <w:t>；</w:t>
      </w:r>
    </w:p>
    <w:p>
      <w:pPr>
        <w:snapToGrid w:val="0"/>
        <w:spacing w:line="360" w:lineRule="auto"/>
        <w:ind w:left="105" w:leftChars="50" w:firstLine="352" w:firstLineChars="147"/>
        <w:rPr>
          <w:rFonts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cs="仿宋"/>
          <w:b w:val="0"/>
          <w:bCs/>
          <w:color w:val="auto"/>
          <w:sz w:val="24"/>
          <w:highlight w:val="none"/>
        </w:rPr>
        <w:t>供电设备管理人员</w:t>
      </w:r>
      <w:r>
        <w:rPr>
          <w:rFonts w:hint="eastAsia" w:ascii="仿宋" w:hAnsi="仿宋" w:eastAsia="仿宋" w:cs="仿宋"/>
          <w:b w:val="0"/>
          <w:bCs/>
          <w:color w:val="auto"/>
          <w:sz w:val="24"/>
          <w:highlight w:val="none"/>
          <w:lang w:eastAsia="zh-CN"/>
        </w:rPr>
        <w:t>①</w:t>
      </w:r>
      <w:r>
        <w:rPr>
          <w:rFonts w:hint="eastAsia" w:ascii="仿宋" w:hAnsi="仿宋" w:eastAsia="仿宋" w:cs="仿宋"/>
          <w:color w:val="auto"/>
          <w:sz w:val="24"/>
          <w:highlight w:val="none"/>
        </w:rPr>
        <w:t>要求男性，必须具备人社部门核发的上岗证，熟练掌握水、电设备的维修技能。</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从业人员年龄女性不得超过50周岁、男性不得超过60周岁，年龄为55周岁以下人数不得低于80%。</w:t>
      </w:r>
      <w:r>
        <w:rPr>
          <w:rFonts w:hint="eastAsia" w:ascii="仿宋" w:hAnsi="仿宋" w:eastAsia="仿宋" w:cs="仿宋"/>
          <w:color w:val="auto"/>
          <w:sz w:val="24"/>
          <w:highlight w:val="none"/>
          <w:lang w:eastAsia="zh-CN"/>
        </w:rPr>
        <w:t>③</w:t>
      </w:r>
      <w:r>
        <w:rPr>
          <w:rFonts w:hint="eastAsia" w:ascii="仿宋" w:hAnsi="仿宋" w:eastAsia="仿宋" w:cs="仿宋"/>
          <w:color w:val="auto"/>
          <w:sz w:val="24"/>
          <w:highlight w:val="none"/>
        </w:rPr>
        <w:t>实训室教学设备</w:t>
      </w:r>
      <w:r>
        <w:rPr>
          <w:rFonts w:hint="eastAsia" w:ascii="仿宋" w:hAnsi="仿宋" w:eastAsia="仿宋" w:cs="仿宋"/>
          <w:color w:val="auto"/>
          <w:sz w:val="24"/>
          <w:highlight w:val="none"/>
          <w:lang w:eastAsia="zh-CN"/>
        </w:rPr>
        <w:t>管理人员</w:t>
      </w:r>
      <w:r>
        <w:rPr>
          <w:rFonts w:hint="eastAsia" w:ascii="仿宋" w:hAnsi="仿宋" w:eastAsia="仿宋" w:cs="仿宋"/>
          <w:color w:val="auto"/>
          <w:sz w:val="24"/>
          <w:highlight w:val="none"/>
        </w:rPr>
        <w:t>必须由持相应资格上岗证的专业技术人员从事相应设备的检查、维护工作，也可委托专业维护单位、维护人员进行维护作业。</w:t>
      </w:r>
      <w:r>
        <w:rPr>
          <w:rFonts w:hint="eastAsia" w:ascii="仿宋" w:hAnsi="仿宋" w:eastAsia="仿宋" w:cs="仿宋"/>
          <w:color w:val="auto"/>
          <w:sz w:val="24"/>
          <w:highlight w:val="none"/>
          <w:lang w:eastAsia="zh-CN"/>
        </w:rPr>
        <w:t>④</w:t>
      </w:r>
      <w:r>
        <w:rPr>
          <w:rFonts w:hint="eastAsia" w:ascii="仿宋" w:hAnsi="仿宋" w:eastAsia="仿宋" w:cs="仿宋"/>
          <w:color w:val="auto"/>
          <w:sz w:val="24"/>
          <w:highlight w:val="none"/>
        </w:rPr>
        <w:t>从业人员年龄女性不超过50周岁、男性不超过60周岁。</w:t>
      </w:r>
      <w:r>
        <w:rPr>
          <w:rFonts w:hint="eastAsia" w:ascii="仿宋" w:hAnsi="仿宋" w:eastAsia="仿宋"/>
          <w:bCs/>
          <w:color w:val="auto"/>
          <w:sz w:val="24"/>
          <w:highlight w:val="none"/>
          <w:lang w:eastAsia="zh-CN"/>
        </w:rPr>
        <w:t>满足一项得</w:t>
      </w:r>
      <w:r>
        <w:rPr>
          <w:rFonts w:hint="eastAsia" w:ascii="仿宋" w:hAnsi="仿宋" w:eastAsia="仿宋"/>
          <w:bCs/>
          <w:color w:val="auto"/>
          <w:sz w:val="24"/>
          <w:highlight w:val="none"/>
          <w:lang w:val="en-US" w:eastAsia="zh-CN"/>
        </w:rPr>
        <w:t>1分，不满足不得分，总计4分</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4</w:t>
      </w:r>
      <w:r>
        <w:rPr>
          <w:rFonts w:hint="eastAsia" w:ascii="仿宋" w:hAnsi="仿宋" w:eastAsia="仿宋"/>
          <w:bCs/>
          <w:color w:val="auto"/>
          <w:sz w:val="24"/>
          <w:highlight w:val="none"/>
        </w:rPr>
        <w:t>分）</w:t>
      </w:r>
      <w:r>
        <w:rPr>
          <w:rFonts w:hint="eastAsia" w:ascii="仿宋" w:hAnsi="仿宋" w:eastAsia="仿宋"/>
          <w:bCs/>
          <w:color w:val="auto"/>
          <w:sz w:val="24"/>
          <w:highlight w:val="none"/>
          <w:lang w:eastAsia="zh-CN"/>
        </w:rPr>
        <w:t>；</w:t>
      </w:r>
    </w:p>
    <w:p>
      <w:pPr>
        <w:snapToGrid w:val="0"/>
        <w:spacing w:line="360" w:lineRule="auto"/>
        <w:ind w:left="105" w:leftChars="50" w:firstLine="352" w:firstLineChars="147"/>
        <w:rPr>
          <w:rFonts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eastAsia="zh-CN"/>
        </w:rPr>
        <w:t>①</w:t>
      </w:r>
      <w:r>
        <w:rPr>
          <w:rFonts w:hint="eastAsia" w:ascii="仿宋" w:hAnsi="仿宋" w:eastAsia="仿宋" w:cs="仿宋"/>
          <w:color w:val="auto"/>
          <w:kern w:val="0"/>
          <w:sz w:val="24"/>
          <w:highlight w:val="none"/>
        </w:rPr>
        <w:t>项目工程主管、维修主管、弱电主管须相关专业本科（技师）及以上学历，其他专业技术人员须相关专业大专（高级工）及以上学历，</w:t>
      </w:r>
      <w:r>
        <w:rPr>
          <w:rFonts w:hint="eastAsia" w:ascii="仿宋" w:hAnsi="仿宋" w:eastAsia="仿宋" w:cs="仿宋"/>
          <w:color w:val="auto"/>
          <w:kern w:val="0"/>
          <w:sz w:val="24"/>
          <w:highlight w:val="none"/>
          <w:lang w:eastAsia="zh-CN"/>
        </w:rPr>
        <w:t>②</w:t>
      </w:r>
      <w:r>
        <w:rPr>
          <w:rFonts w:hint="eastAsia" w:ascii="仿宋" w:hAnsi="仿宋" w:eastAsia="仿宋" w:cs="仿宋"/>
          <w:color w:val="auto"/>
          <w:sz w:val="24"/>
          <w:highlight w:val="none"/>
        </w:rPr>
        <w:t>从业人员年龄女性不得超过50周岁、男性不得超过60周岁，年龄为55周岁以下人数不得低于80%（由学校推荐的人员可适当放宽年龄要求)</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eastAsia="zh-CN"/>
        </w:rPr>
        <w:t>③</w:t>
      </w:r>
      <w:r>
        <w:rPr>
          <w:rFonts w:hint="eastAsia" w:ascii="仿宋" w:hAnsi="仿宋" w:eastAsia="仿宋" w:cs="仿宋"/>
          <w:color w:val="auto"/>
          <w:sz w:val="24"/>
          <w:highlight w:val="none"/>
        </w:rPr>
        <w:t>总人数不少于20人（含夜间值班人员），其中，主管3人，水电维修工8人、综合类维修工7人、弱电维护及管理4人，晚上17：00—次日7：30应急维修，包括水电、门窗、用电设备等维修；</w:t>
      </w:r>
      <w:r>
        <w:rPr>
          <w:rFonts w:hint="eastAsia" w:ascii="仿宋" w:hAnsi="仿宋" w:eastAsia="仿宋"/>
          <w:bCs/>
          <w:color w:val="auto"/>
          <w:sz w:val="24"/>
          <w:highlight w:val="none"/>
          <w:lang w:eastAsia="zh-CN"/>
        </w:rPr>
        <w:t>满足一项得</w:t>
      </w:r>
      <w:r>
        <w:rPr>
          <w:rFonts w:hint="eastAsia" w:ascii="仿宋" w:hAnsi="仿宋" w:eastAsia="仿宋"/>
          <w:bCs/>
          <w:color w:val="auto"/>
          <w:sz w:val="24"/>
          <w:highlight w:val="none"/>
          <w:lang w:val="en-US" w:eastAsia="zh-CN"/>
        </w:rPr>
        <w:t>1分，不满足不得分，总计3分</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3</w:t>
      </w:r>
      <w:r>
        <w:rPr>
          <w:rFonts w:hint="eastAsia" w:ascii="仿宋" w:hAnsi="仿宋" w:eastAsia="仿宋"/>
          <w:bCs/>
          <w:color w:val="auto"/>
          <w:sz w:val="24"/>
          <w:highlight w:val="none"/>
        </w:rPr>
        <w:t>分）</w:t>
      </w:r>
      <w:r>
        <w:rPr>
          <w:rFonts w:hint="eastAsia" w:ascii="仿宋" w:hAnsi="仿宋" w:eastAsia="仿宋"/>
          <w:bCs/>
          <w:color w:val="auto"/>
          <w:sz w:val="24"/>
          <w:highlight w:val="none"/>
          <w:lang w:eastAsia="zh-CN"/>
        </w:rPr>
        <w:t>；</w:t>
      </w:r>
    </w:p>
    <w:p>
      <w:pPr>
        <w:snapToGrid w:val="0"/>
        <w:spacing w:line="360" w:lineRule="auto"/>
        <w:ind w:left="105" w:leftChars="50" w:firstLine="354" w:firstLineChars="147"/>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C、投标人的资信和业绩情况（C=</w:t>
      </w:r>
      <w:r>
        <w:rPr>
          <w:rFonts w:hint="eastAsia" w:ascii="仿宋" w:hAnsi="仿宋" w:eastAsia="仿宋" w:cs="仿宋_GB2312"/>
          <w:b/>
          <w:color w:val="auto"/>
          <w:sz w:val="24"/>
          <w:highlight w:val="none"/>
          <w:u w:val="single"/>
        </w:rPr>
        <w:t xml:space="preserve"> </w:t>
      </w:r>
      <w:r>
        <w:rPr>
          <w:rFonts w:hint="eastAsia" w:ascii="仿宋" w:hAnsi="仿宋" w:eastAsia="仿宋" w:cs="仿宋_GB2312"/>
          <w:b/>
          <w:color w:val="auto"/>
          <w:sz w:val="24"/>
          <w:highlight w:val="none"/>
          <w:u w:val="single"/>
          <w:lang w:val="en-US" w:eastAsia="zh-CN"/>
        </w:rPr>
        <w:t>10</w:t>
      </w:r>
      <w:r>
        <w:rPr>
          <w:rFonts w:hint="eastAsia" w:ascii="仿宋" w:hAnsi="仿宋" w:eastAsia="仿宋" w:cs="仿宋_GB2312"/>
          <w:b/>
          <w:bCs/>
          <w:color w:val="auto"/>
          <w:sz w:val="24"/>
          <w:highlight w:val="none"/>
        </w:rPr>
        <w:t>分）：主要包含投标人资质及类似项目经验等方面的因素。评审要点为：</w:t>
      </w:r>
    </w:p>
    <w:p>
      <w:pPr>
        <w:spacing w:line="360" w:lineRule="auto"/>
        <w:ind w:firstLine="590" w:firstLineChars="245"/>
        <w:rPr>
          <w:rFonts w:ascii="仿宋" w:hAnsi="仿宋" w:eastAsia="仿宋" w:cs="Wingdings"/>
          <w:b/>
          <w:color w:val="auto"/>
          <w:sz w:val="24"/>
          <w:highlight w:val="none"/>
        </w:rPr>
      </w:pPr>
      <w:r>
        <w:rPr>
          <w:rFonts w:hint="eastAsia" w:ascii="仿宋" w:hAnsi="仿宋" w:eastAsia="仿宋" w:cs="Wingdings"/>
          <w:b/>
          <w:color w:val="auto"/>
          <w:sz w:val="24"/>
          <w:highlight w:val="none"/>
        </w:rPr>
        <w:t>（1）投标人的资质（</w:t>
      </w:r>
      <w:r>
        <w:rPr>
          <w:rFonts w:hint="eastAsia" w:ascii="仿宋" w:hAnsi="仿宋" w:eastAsia="仿宋" w:cs="Wingdings"/>
          <w:b/>
          <w:color w:val="auto"/>
          <w:sz w:val="24"/>
          <w:highlight w:val="none"/>
          <w:lang w:val="en-US" w:eastAsia="zh-CN"/>
        </w:rPr>
        <w:t>5</w:t>
      </w:r>
      <w:r>
        <w:rPr>
          <w:rFonts w:hint="eastAsia" w:ascii="仿宋" w:hAnsi="仿宋" w:eastAsia="仿宋" w:cs="Wingdings"/>
          <w:b/>
          <w:color w:val="auto"/>
          <w:sz w:val="24"/>
          <w:highlight w:val="none"/>
        </w:rPr>
        <w:t>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●投标人获得的</w:t>
      </w:r>
      <w:r>
        <w:rPr>
          <w:rFonts w:hint="eastAsia" w:ascii="仿宋" w:hAnsi="仿宋" w:eastAsia="仿宋"/>
          <w:color w:val="auto"/>
          <w:sz w:val="24"/>
          <w:highlight w:val="none"/>
          <w:lang w:val="en-US" w:eastAsia="zh-CN"/>
        </w:rPr>
        <w:t>在有效期内的</w:t>
      </w:r>
      <w:r>
        <w:rPr>
          <w:rFonts w:hint="eastAsia" w:ascii="仿宋" w:hAnsi="仿宋" w:eastAsia="仿宋"/>
          <w:color w:val="auto"/>
          <w:sz w:val="24"/>
          <w:highlight w:val="none"/>
        </w:rPr>
        <w:t>质量管理体系、环境管理体系、职业健康安全管理体系，</w:t>
      </w:r>
      <w:r>
        <w:rPr>
          <w:rFonts w:hint="eastAsia" w:ascii="仿宋" w:hAnsi="仿宋" w:eastAsia="仿宋"/>
          <w:b w:val="0"/>
          <w:bCs w:val="0"/>
          <w:color w:val="auto"/>
          <w:sz w:val="24"/>
          <w:highlight w:val="none"/>
          <w:lang w:val="en-US" w:eastAsia="zh-CN"/>
        </w:rPr>
        <w:t>信息安全管理体系、能源管理体系、反贿赂管理体系认证，均需提供扫描件，最高5分，每少提供一份扣1分。</w:t>
      </w:r>
      <w:r>
        <w:rPr>
          <w:rFonts w:hint="eastAsia" w:ascii="仿宋" w:hAnsi="仿宋" w:eastAsia="仿宋"/>
          <w:color w:val="auto"/>
          <w:sz w:val="24"/>
          <w:highlight w:val="none"/>
          <w:lang w:val="en-US" w:eastAsia="zh-CN"/>
        </w:rPr>
        <w:t>（提供证书原件扫描件，全国认证认可信息公共服务平台</w:t>
      </w:r>
      <w:r>
        <w:rPr>
          <w:rFonts w:hint="eastAsia" w:ascii="仿宋" w:hAnsi="仿宋" w:eastAsia="仿宋"/>
          <w:color w:val="auto"/>
          <w:sz w:val="24"/>
          <w:highlight w:val="none"/>
          <w:lang w:val="en-US" w:eastAsia="zh-CN"/>
        </w:rPr>
        <w:fldChar w:fldCharType="begin"/>
      </w:r>
      <w:r>
        <w:rPr>
          <w:rFonts w:hint="eastAsia" w:ascii="仿宋" w:hAnsi="仿宋" w:eastAsia="仿宋"/>
          <w:color w:val="auto"/>
          <w:sz w:val="24"/>
          <w:highlight w:val="none"/>
          <w:lang w:val="en-US" w:eastAsia="zh-CN"/>
        </w:rPr>
        <w:instrText xml:space="preserve"> HYPERLINK "http://cx.cnca.cn/CertECloud/result/skipResultList" </w:instrText>
      </w:r>
      <w:r>
        <w:rPr>
          <w:rFonts w:hint="eastAsia" w:ascii="仿宋" w:hAnsi="仿宋" w:eastAsia="仿宋"/>
          <w:color w:val="auto"/>
          <w:sz w:val="24"/>
          <w:highlight w:val="none"/>
          <w:lang w:val="en-US" w:eastAsia="zh-CN"/>
        </w:rPr>
        <w:fldChar w:fldCharType="separate"/>
      </w:r>
      <w:r>
        <w:rPr>
          <w:rFonts w:hint="eastAsia" w:ascii="仿宋" w:hAnsi="仿宋" w:eastAsia="仿宋"/>
          <w:color w:val="auto"/>
          <w:sz w:val="24"/>
          <w:highlight w:val="none"/>
          <w:lang w:val="en-US" w:eastAsia="zh-CN"/>
        </w:rPr>
        <w:t>http://cx.cnca.cn/CertECloud/result/skipResultList</w:t>
      </w:r>
      <w:r>
        <w:rPr>
          <w:rFonts w:hint="eastAsia" w:ascii="仿宋" w:hAnsi="仿宋" w:eastAsia="仿宋"/>
          <w:color w:val="auto"/>
          <w:sz w:val="24"/>
          <w:highlight w:val="none"/>
          <w:lang w:val="en-US" w:eastAsia="zh-CN"/>
        </w:rPr>
        <w:fldChar w:fldCharType="end"/>
      </w:r>
      <w:r>
        <w:rPr>
          <w:rFonts w:hint="eastAsia" w:ascii="仿宋" w:hAnsi="仿宋" w:eastAsia="仿宋"/>
          <w:color w:val="auto"/>
          <w:sz w:val="24"/>
          <w:highlight w:val="none"/>
          <w:lang w:val="en-US" w:eastAsia="zh-CN"/>
        </w:rPr>
        <w:t>可查。）（5分）</w:t>
      </w:r>
    </w:p>
    <w:p>
      <w:pPr>
        <w:snapToGrid w:val="0"/>
        <w:spacing w:line="360" w:lineRule="auto"/>
        <w:ind w:left="105" w:leftChars="50" w:firstLine="354" w:firstLineChars="147"/>
        <w:rPr>
          <w:rFonts w:ascii="仿宋_GB2312" w:hAnsi="仿宋" w:eastAsia="仿宋_GB2312"/>
          <w:color w:val="auto"/>
          <w:sz w:val="24"/>
          <w:highlight w:val="none"/>
        </w:rPr>
      </w:pPr>
      <w:r>
        <w:rPr>
          <w:rFonts w:hint="eastAsia" w:ascii="仿宋" w:hAnsi="仿宋" w:eastAsia="仿宋"/>
          <w:b/>
          <w:color w:val="auto"/>
          <w:sz w:val="24"/>
          <w:highlight w:val="none"/>
        </w:rPr>
        <w:t>（2）投标人类似项目建设的案例（</w:t>
      </w:r>
      <w:r>
        <w:rPr>
          <w:rFonts w:hint="eastAsia" w:ascii="仿宋" w:hAnsi="仿宋" w:eastAsia="仿宋"/>
          <w:b/>
          <w:color w:val="auto"/>
          <w:sz w:val="24"/>
          <w:highlight w:val="none"/>
          <w:u w:val="single"/>
        </w:rPr>
        <w:t xml:space="preserve"> 5</w:t>
      </w:r>
      <w:r>
        <w:rPr>
          <w:rFonts w:hint="eastAsia" w:ascii="仿宋" w:hAnsi="仿宋" w:eastAsia="仿宋"/>
          <w:b/>
          <w:color w:val="auto"/>
          <w:sz w:val="24"/>
          <w:highlight w:val="none"/>
        </w:rPr>
        <w:t>分）：</w:t>
      </w:r>
      <w:r>
        <w:rPr>
          <w:rFonts w:hint="eastAsia" w:ascii="仿宋" w:hAnsi="仿宋" w:eastAsia="仿宋"/>
          <w:b w:val="0"/>
          <w:bCs w:val="0"/>
          <w:color w:val="auto"/>
          <w:sz w:val="24"/>
          <w:highlight w:val="none"/>
          <w:lang w:val="en-US" w:eastAsia="zh-CN"/>
        </w:rPr>
        <w:t>2019年01月01日后</w:t>
      </w:r>
      <w:r>
        <w:rPr>
          <w:rFonts w:hint="eastAsia" w:ascii="仿宋" w:hAnsi="仿宋" w:eastAsia="仿宋"/>
          <w:color w:val="auto"/>
          <w:sz w:val="24"/>
          <w:highlight w:val="none"/>
        </w:rPr>
        <w:t>成功承担过的类似物业服务项目情况，根据合同和用户验收报告（或用户其他反馈材料）项目实例证明。类似物业服务项目（至少包含保安、保洁、绿化、设备设施维护服务、宿舍管理等内容）已实施的项目案例，</w:t>
      </w:r>
      <w:r>
        <w:rPr>
          <w:rFonts w:hint="eastAsia" w:ascii="仿宋" w:hAnsi="仿宋" w:eastAsia="仿宋"/>
          <w:b w:val="0"/>
          <w:bCs w:val="0"/>
          <w:color w:val="auto"/>
          <w:sz w:val="24"/>
          <w:highlight w:val="none"/>
        </w:rPr>
        <w:t>每一个案例得</w:t>
      </w:r>
      <w:r>
        <w:rPr>
          <w:rFonts w:hint="eastAsia" w:ascii="仿宋" w:hAnsi="仿宋" w:eastAsia="仿宋"/>
          <w:b w:val="0"/>
          <w:bCs w:val="0"/>
          <w:color w:val="auto"/>
          <w:sz w:val="24"/>
          <w:highlight w:val="none"/>
          <w:lang w:val="en-US" w:eastAsia="zh-CN"/>
        </w:rPr>
        <w:t>1</w:t>
      </w:r>
      <w:r>
        <w:rPr>
          <w:rFonts w:hint="eastAsia" w:ascii="仿宋" w:hAnsi="仿宋" w:eastAsia="仿宋"/>
          <w:b w:val="0"/>
          <w:bCs w:val="0"/>
          <w:color w:val="auto"/>
          <w:sz w:val="24"/>
          <w:highlight w:val="none"/>
        </w:rPr>
        <w:t>分，</w:t>
      </w:r>
      <w:r>
        <w:rPr>
          <w:rFonts w:hint="eastAsia" w:ascii="仿宋" w:hAnsi="仿宋" w:eastAsia="仿宋"/>
          <w:color w:val="auto"/>
          <w:sz w:val="24"/>
          <w:highlight w:val="none"/>
        </w:rPr>
        <w:t>最高5分；未按要求提供完整材料的，不得分；一个单位分年度多次签订的案例，计入1个案例；同一个项目，分两期或以上建设完成的，计入1个案例。</w:t>
      </w: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原件备查，采购机构在项目评审直至合同签订、履约期间，有权要求投标人出具投标文件中的合同和用户验收报告，予以确认其的真实性和有效性，如出现与事实不符等情况，将根据有关规定以“提供虚假材料谋取中标（成交）”予以处理</w:t>
      </w:r>
      <w:r>
        <w:rPr>
          <w:rFonts w:hint="eastAsia" w:ascii="仿宋" w:hAnsi="仿宋" w:eastAsia="仿宋" w:cs="仿宋_GB2312"/>
          <w:color w:val="auto"/>
          <w:sz w:val="24"/>
          <w:highlight w:val="none"/>
        </w:rPr>
        <w:t>】，是否有良好的工作业绩和履约记录</w:t>
      </w:r>
      <w:r>
        <w:rPr>
          <w:rFonts w:hint="eastAsia" w:ascii="仿宋" w:hAnsi="仿宋" w:eastAsia="仿宋" w:cs="仿宋_GB2312"/>
          <w:color w:val="auto"/>
          <w:sz w:val="24"/>
          <w:highlight w:val="none"/>
          <w:lang w:val="zh-CN"/>
        </w:rPr>
        <w:t>等情况</w:t>
      </w:r>
      <w:r>
        <w:rPr>
          <w:rFonts w:hint="eastAsia" w:ascii="仿宋" w:hAnsi="仿宋" w:eastAsia="仿宋" w:cs="仿宋_GB2312"/>
          <w:color w:val="auto"/>
          <w:sz w:val="24"/>
          <w:highlight w:val="none"/>
        </w:rPr>
        <w:t>；</w:t>
      </w:r>
      <w:r>
        <w:rPr>
          <w:rFonts w:hint="eastAsia" w:ascii="仿宋" w:hAnsi="仿宋" w:eastAsia="仿宋" w:cs="仿宋_GB2312"/>
          <w:b/>
          <w:color w:val="auto"/>
          <w:kern w:val="0"/>
          <w:sz w:val="24"/>
          <w:highlight w:val="none"/>
        </w:rPr>
        <w:t>以分包方式履行政府采购合同的，还需提供该项目采购方同意分包的证明材料;</w:t>
      </w:r>
      <w:r>
        <w:rPr>
          <w:rFonts w:hint="eastAsia" w:ascii="仿宋" w:hAnsi="仿宋" w:eastAsia="仿宋" w:cs="仿宋_GB2312"/>
          <w:b/>
          <w:color w:val="auto"/>
          <w:sz w:val="24"/>
          <w:highlight w:val="none"/>
        </w:rPr>
        <w:t>如投标人提供的合同复印件等实施项目证明材料与投标主体无关或违规转包分包的，评标委员会将进行扣分直至认定投标无效</w:t>
      </w:r>
      <w:r>
        <w:rPr>
          <w:rFonts w:hint="eastAsia" w:ascii="仿宋" w:hAnsi="仿宋" w:eastAsia="仿宋" w:cs="Arial"/>
          <w:b/>
          <w:snapToGrid w:val="0"/>
          <w:color w:val="auto"/>
          <w:kern w:val="0"/>
          <w:sz w:val="24"/>
          <w:szCs w:val="21"/>
          <w:highlight w:val="none"/>
        </w:rPr>
        <w:t>。</w:t>
      </w:r>
    </w:p>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综合得分=A+B+C。精确到小数点后二位。</w:t>
      </w:r>
    </w:p>
    <w:p>
      <w:pPr>
        <w:widowControl/>
        <w:adjustRightInd/>
        <w:jc w:val="left"/>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br w:type="page"/>
      </w:r>
    </w:p>
    <w:p>
      <w:pPr>
        <w:spacing w:line="360" w:lineRule="auto"/>
        <w:ind w:left="720" w:leftChars="343" w:firstLine="1446" w:firstLineChars="4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 拟签订的合同文本</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根据《中华人民共和国政府采购法》和《中华人民共和国</w:t>
      </w:r>
      <w:r>
        <w:rPr>
          <w:rFonts w:hint="eastAsia" w:ascii="仿宋" w:hAnsi="仿宋" w:eastAsia="仿宋"/>
          <w:color w:val="auto"/>
          <w:sz w:val="24"/>
          <w:highlight w:val="none"/>
          <w:lang w:eastAsia="zh-CN"/>
        </w:rPr>
        <w:t>民法典</w:t>
      </w:r>
      <w:r>
        <w:rPr>
          <w:rFonts w:hint="eastAsia" w:ascii="仿宋" w:hAnsi="仿宋" w:eastAsia="仿宋"/>
          <w:color w:val="auto"/>
          <w:sz w:val="24"/>
          <w:highlight w:val="none"/>
        </w:rPr>
        <w:t>》、地方有关物业管理法律、法规和政策，在平等、自愿、协商一致的基础上，就采购人委托中标人（</w:t>
      </w:r>
      <w:r>
        <w:rPr>
          <w:rFonts w:hint="eastAsia" w:ascii="仿宋" w:hAnsi="仿宋" w:eastAsia="仿宋" w:cs="仿宋_GB2312"/>
          <w:color w:val="auto"/>
          <w:kern w:val="0"/>
          <w:sz w:val="24"/>
          <w:highlight w:val="none"/>
          <w:lang w:val="zh-CN"/>
        </w:rPr>
        <w:t>经评审最终确定的</w:t>
      </w:r>
      <w:r>
        <w:rPr>
          <w:rFonts w:hint="eastAsia" w:ascii="仿宋" w:hAnsi="仿宋" w:eastAsia="仿宋"/>
          <w:color w:val="auto"/>
          <w:sz w:val="24"/>
          <w:highlight w:val="none"/>
        </w:rPr>
        <w:t>成交供应商）对（杭州市市民中心区域二物业管理服务采购项目）实行专业化、一体化的物业管理订立本合同。</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第一条 定义</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s="仿宋_GB2312"/>
          <w:color w:val="auto"/>
          <w:kern w:val="0"/>
          <w:sz w:val="24"/>
          <w:highlight w:val="none"/>
          <w:lang w:val="zh-CN"/>
        </w:rPr>
        <w:t>合同”</w:t>
      </w:r>
      <w:r>
        <w:rPr>
          <w:rFonts w:hint="eastAsia" w:ascii="仿宋" w:hAnsi="仿宋" w:eastAsia="仿宋"/>
          <w:color w:val="auto"/>
          <w:sz w:val="24"/>
          <w:highlight w:val="none"/>
        </w:rPr>
        <w:t>即由采购人、</w:t>
      </w:r>
      <w:r>
        <w:rPr>
          <w:rFonts w:hint="eastAsia" w:ascii="仿宋" w:hAnsi="仿宋" w:eastAsia="仿宋" w:cs="仿宋_GB2312"/>
          <w:color w:val="auto"/>
          <w:kern w:val="0"/>
          <w:sz w:val="24"/>
          <w:highlight w:val="none"/>
          <w:lang w:val="zh-CN"/>
        </w:rPr>
        <w:t>中标人</w:t>
      </w:r>
      <w:r>
        <w:rPr>
          <w:rFonts w:hint="eastAsia" w:ascii="仿宋" w:hAnsi="仿宋" w:eastAsia="仿宋"/>
          <w:color w:val="auto"/>
          <w:sz w:val="24"/>
          <w:highlight w:val="none"/>
        </w:rPr>
        <w:t>共同签订的合同格式中的文件，包括所有的附件、附录和组成合同部分的所有其他文件。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合同将由采购人杭州技师学院（杭州交通高级技工学校）（以下简称甲方）与经评审最终确定的中标人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（以下简称乙方）结合本项目具体情况协商后签订</w:t>
      </w:r>
      <w:r>
        <w:rPr>
          <w:rFonts w:hint="eastAsia" w:ascii="仿宋" w:hAnsi="仿宋" w:eastAsia="仿宋" w:cs="仿宋_GB2312"/>
          <w:color w:val="auto"/>
          <w:kern w:val="0"/>
          <w:sz w:val="24"/>
          <w:highlight w:val="none"/>
          <w:lang w:val="zh-CN"/>
        </w:rPr>
        <w:t>。以下为甲方提出涉及乙方的主要条款，乙方在投标文件中应对其进行确认或拒绝。如乙方在其投标文件中未做拒绝或提出修改要求的，甲方将视作认同</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 “合同价格”系指根据合同规定，在乙方全面正确地履行合同义务时，甲方应支付给乙方的款项。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 “管理服务” 系指乙方按投标文件规定，结合本项目的设施配置及本物业使用性质特点，提出物业管理服务定位、目标，为甲方提供优质的物业服务。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 “现场”系指将要提供物业管理与服务的地点。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 “验收”系指甲方依据国家有关规定接受合同所依据的程序和条件。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第二条 适用范围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本合同条款适用与本次采购活动。项目实施范围详见附件——投标文件和投标文件及补充文件、承诺书等。</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第三条 物业基本情况</w:t>
      </w:r>
    </w:p>
    <w:p>
      <w:pPr>
        <w:snapToGrid w:val="0"/>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olor w:val="auto"/>
          <w:sz w:val="24"/>
          <w:highlight w:val="none"/>
        </w:rPr>
        <w:t>物业名称：</w:t>
      </w:r>
      <w:r>
        <w:rPr>
          <w:rFonts w:hint="eastAsia" w:ascii="仿宋" w:hAnsi="仿宋" w:eastAsia="仿宋"/>
          <w:color w:val="auto"/>
          <w:sz w:val="24"/>
          <w:highlight w:val="none"/>
        </w:rPr>
        <w:softHyphen/>
      </w:r>
      <w:r>
        <w:rPr>
          <w:rFonts w:hint="eastAsia" w:ascii="仿宋" w:hAnsi="仿宋" w:eastAsia="仿宋"/>
          <w:color w:val="auto"/>
          <w:sz w:val="24"/>
          <w:highlight w:val="none"/>
        </w:rPr>
        <w:softHyphen/>
      </w:r>
      <w:r>
        <w:rPr>
          <w:rFonts w:hint="eastAsia" w:ascii="仿宋" w:hAnsi="仿宋" w:eastAsia="仿宋"/>
          <w:color w:val="auto"/>
          <w:sz w:val="24"/>
          <w:highlight w:val="none"/>
        </w:rPr>
        <w:t xml:space="preserve"> </w:t>
      </w:r>
      <w:r>
        <w:rPr>
          <w:rFonts w:hint="eastAsia" w:ascii="仿宋" w:hAnsi="仿宋" w:eastAsia="仿宋" w:cs="宋体"/>
          <w:color w:val="auto"/>
          <w:sz w:val="24"/>
          <w:highlight w:val="none"/>
          <w:u w:val="single"/>
        </w:rPr>
        <w:t>___________________________</w:t>
      </w:r>
    </w:p>
    <w:p>
      <w:pPr>
        <w:snapToGrid w:val="0"/>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olor w:val="auto"/>
          <w:sz w:val="24"/>
          <w:highlight w:val="none"/>
        </w:rPr>
        <w:t>物业类型：</w:t>
      </w:r>
      <w:r>
        <w:rPr>
          <w:rFonts w:hint="eastAsia" w:ascii="仿宋" w:hAnsi="仿宋" w:eastAsia="仿宋"/>
          <w:color w:val="auto"/>
          <w:sz w:val="24"/>
          <w:highlight w:val="none"/>
        </w:rPr>
        <w:softHyphen/>
      </w:r>
      <w:r>
        <w:rPr>
          <w:rFonts w:hint="eastAsia" w:ascii="仿宋" w:hAnsi="仿宋" w:eastAsia="仿宋"/>
          <w:color w:val="auto"/>
          <w:sz w:val="24"/>
          <w:highlight w:val="none"/>
        </w:rPr>
        <w:softHyphen/>
      </w:r>
      <w:r>
        <w:rPr>
          <w:rFonts w:hint="eastAsia" w:ascii="仿宋" w:hAnsi="仿宋" w:eastAsia="仿宋"/>
          <w:color w:val="auto"/>
          <w:sz w:val="24"/>
          <w:highlight w:val="none"/>
        </w:rPr>
        <w:t xml:space="preserve"> </w:t>
      </w:r>
      <w:r>
        <w:rPr>
          <w:rFonts w:hint="eastAsia" w:ascii="仿宋" w:hAnsi="仿宋" w:eastAsia="仿宋" w:cs="宋体"/>
          <w:color w:val="auto"/>
          <w:sz w:val="24"/>
          <w:highlight w:val="none"/>
          <w:u w:val="single"/>
        </w:rPr>
        <w:t>___________________________</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坐落位置：</w:t>
      </w:r>
      <w:r>
        <w:rPr>
          <w:rFonts w:hint="eastAsia" w:ascii="仿宋" w:hAnsi="仿宋" w:eastAsia="仿宋"/>
          <w:color w:val="auto"/>
          <w:sz w:val="24"/>
          <w:highlight w:val="none"/>
        </w:rPr>
        <w:softHyphen/>
      </w:r>
      <w:r>
        <w:rPr>
          <w:rFonts w:hint="eastAsia" w:ascii="仿宋" w:hAnsi="仿宋" w:eastAsia="仿宋"/>
          <w:color w:val="auto"/>
          <w:sz w:val="24"/>
          <w:highlight w:val="none"/>
        </w:rPr>
        <w:softHyphen/>
      </w:r>
      <w:r>
        <w:rPr>
          <w:rFonts w:hint="eastAsia" w:ascii="仿宋" w:hAnsi="仿宋" w:eastAsia="仿宋"/>
          <w:color w:val="auto"/>
          <w:sz w:val="24"/>
          <w:highlight w:val="none"/>
        </w:rPr>
        <w:t xml:space="preserve"> </w:t>
      </w:r>
      <w:r>
        <w:rPr>
          <w:rFonts w:hint="eastAsia" w:ascii="仿宋" w:hAnsi="仿宋" w:eastAsia="仿宋" w:cs="宋体"/>
          <w:color w:val="auto"/>
          <w:sz w:val="24"/>
          <w:highlight w:val="none"/>
          <w:u w:val="single"/>
        </w:rPr>
        <w:t>__________</w:t>
      </w:r>
      <w:r>
        <w:rPr>
          <w:rFonts w:hint="eastAsia" w:ascii="仿宋" w:hAnsi="仿宋" w:eastAsia="仿宋"/>
          <w:color w:val="auto"/>
          <w:sz w:val="24"/>
          <w:highlight w:val="none"/>
        </w:rPr>
        <w:t>区/县</w:t>
      </w:r>
      <w:r>
        <w:rPr>
          <w:rFonts w:hint="eastAsia" w:ascii="仿宋" w:hAnsi="仿宋" w:eastAsia="仿宋" w:cs="宋体"/>
          <w:color w:val="auto"/>
          <w:sz w:val="24"/>
          <w:highlight w:val="none"/>
          <w:u w:val="single"/>
        </w:rPr>
        <w:t>__________</w:t>
      </w:r>
      <w:r>
        <w:rPr>
          <w:rFonts w:hint="eastAsia" w:ascii="仿宋" w:hAnsi="仿宋" w:eastAsia="仿宋"/>
          <w:color w:val="auto"/>
          <w:sz w:val="24"/>
          <w:highlight w:val="none"/>
        </w:rPr>
        <w:t>乡/镇路</w:t>
      </w:r>
      <w:r>
        <w:rPr>
          <w:rFonts w:hint="eastAsia" w:ascii="仿宋" w:hAnsi="仿宋" w:eastAsia="仿宋" w:cs="宋体"/>
          <w:color w:val="auto"/>
          <w:sz w:val="24"/>
          <w:highlight w:val="none"/>
          <w:u w:val="single"/>
        </w:rPr>
        <w:t>__________</w:t>
      </w:r>
      <w:r>
        <w:rPr>
          <w:rFonts w:hint="eastAsia" w:ascii="仿宋" w:hAnsi="仿宋" w:eastAsia="仿宋"/>
          <w:color w:val="auto"/>
          <w:sz w:val="24"/>
          <w:highlight w:val="none"/>
        </w:rPr>
        <w:t>弄</w:t>
      </w:r>
      <w:r>
        <w:rPr>
          <w:rFonts w:hint="eastAsia" w:ascii="仿宋" w:hAnsi="仿宋" w:eastAsia="仿宋" w:cs="宋体"/>
          <w:color w:val="auto"/>
          <w:sz w:val="24"/>
          <w:highlight w:val="none"/>
          <w:u w:val="single"/>
        </w:rPr>
        <w:t>__________</w:t>
      </w:r>
      <w:r>
        <w:rPr>
          <w:rFonts w:hint="eastAsia" w:ascii="仿宋" w:hAnsi="仿宋" w:eastAsia="仿宋"/>
          <w:color w:val="auto"/>
          <w:sz w:val="24"/>
          <w:highlight w:val="none"/>
        </w:rPr>
        <w:t>号</w:t>
      </w:r>
    </w:p>
    <w:p>
      <w:pPr>
        <w:snapToGrid w:val="0"/>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olor w:val="auto"/>
          <w:sz w:val="24"/>
          <w:highlight w:val="none"/>
        </w:rPr>
        <w:t>物业管理范围（附规划平面图）：</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第四条</w:t>
      </w:r>
      <w:r>
        <w:rPr>
          <w:rFonts w:hint="eastAsia" w:ascii="仿宋" w:hAnsi="仿宋" w:eastAsia="仿宋"/>
          <w:color w:val="auto"/>
          <w:sz w:val="24"/>
          <w:highlight w:val="none"/>
        </w:rPr>
        <w:t xml:space="preserve"> </w:t>
      </w:r>
      <w:r>
        <w:rPr>
          <w:rFonts w:hint="eastAsia" w:ascii="仿宋" w:hAnsi="仿宋" w:eastAsia="仿宋"/>
          <w:b/>
          <w:color w:val="auto"/>
          <w:sz w:val="24"/>
          <w:highlight w:val="none"/>
        </w:rPr>
        <w:t>委托管理事项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列入本次综合物业管理的范围为：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（具体内容详见招标文件）。</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第五条</w:t>
      </w:r>
      <w:r>
        <w:rPr>
          <w:rFonts w:hint="eastAsia" w:ascii="仿宋" w:hAnsi="仿宋" w:eastAsia="仿宋"/>
          <w:color w:val="auto"/>
          <w:sz w:val="24"/>
          <w:highlight w:val="none"/>
        </w:rPr>
        <w:t xml:space="preserve"> </w:t>
      </w:r>
      <w:r>
        <w:rPr>
          <w:rFonts w:hint="eastAsia" w:ascii="仿宋" w:hAnsi="仿宋" w:eastAsia="仿宋"/>
          <w:b/>
          <w:color w:val="auto"/>
          <w:sz w:val="24"/>
          <w:highlight w:val="none"/>
        </w:rPr>
        <w:t>合同期限</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   年  月  日至   年  月  日，为期 年。合同期满，乙方应根据采购人的要求延续提供1-2个月的服务，费用标准按原合同规定执行。合同期内，乙方能严格履行合同，通过甲方的考核，可以续签合同，但续签不超过</w:t>
      </w:r>
      <w:r>
        <w:rPr>
          <w:rFonts w:hint="eastAsia" w:ascii="仿宋" w:hAnsi="仿宋" w:eastAsia="仿宋"/>
          <w:color w:val="auto"/>
          <w:sz w:val="24"/>
          <w:highlight w:val="none"/>
          <w:lang w:eastAsia="zh-CN"/>
        </w:rPr>
        <w:t>一</w:t>
      </w:r>
      <w:r>
        <w:rPr>
          <w:rFonts w:hint="eastAsia" w:ascii="仿宋" w:hAnsi="仿宋" w:eastAsia="仿宋"/>
          <w:color w:val="auto"/>
          <w:sz w:val="24"/>
          <w:highlight w:val="none"/>
        </w:rPr>
        <w:t>年。</w:t>
      </w:r>
    </w:p>
    <w:p>
      <w:pPr>
        <w:snapToGrid w:val="0"/>
        <w:spacing w:line="360" w:lineRule="auto"/>
        <w:ind w:firstLine="482" w:firstLineChars="200"/>
        <w:rPr>
          <w:rFonts w:ascii="仿宋" w:hAnsi="仿宋" w:eastAsia="仿宋" w:cs="Arial"/>
          <w:b/>
          <w:snapToGrid w:val="0"/>
          <w:color w:val="auto"/>
          <w:kern w:val="0"/>
          <w:sz w:val="24"/>
          <w:highlight w:val="none"/>
        </w:rPr>
      </w:pPr>
      <w:r>
        <w:rPr>
          <w:rFonts w:hint="eastAsia" w:ascii="仿宋" w:hAnsi="仿宋" w:eastAsia="仿宋"/>
          <w:b/>
          <w:color w:val="auto"/>
          <w:sz w:val="24"/>
          <w:highlight w:val="none"/>
        </w:rPr>
        <w:t>第六条</w:t>
      </w:r>
      <w:r>
        <w:rPr>
          <w:rFonts w:hint="eastAsia" w:ascii="仿宋" w:hAnsi="仿宋" w:eastAsia="仿宋"/>
          <w:color w:val="auto"/>
          <w:sz w:val="24"/>
          <w:highlight w:val="none"/>
        </w:rPr>
        <w:t xml:space="preserve"> </w:t>
      </w:r>
      <w:r>
        <w:rPr>
          <w:rFonts w:hint="eastAsia" w:ascii="仿宋" w:hAnsi="仿宋" w:eastAsia="仿宋" w:cs="Arial"/>
          <w:b/>
          <w:snapToGrid w:val="0"/>
          <w:color w:val="auto"/>
          <w:kern w:val="0"/>
          <w:sz w:val="24"/>
          <w:highlight w:val="none"/>
        </w:rPr>
        <w:t>物业装备、耗材的使用</w:t>
      </w:r>
    </w:p>
    <w:p>
      <w:pPr>
        <w:snapToGrid w:val="0"/>
        <w:spacing w:line="360" w:lineRule="auto"/>
        <w:ind w:firstLine="480" w:firstLineChars="200"/>
        <w:rPr>
          <w:rFonts w:ascii="仿宋" w:hAnsi="仿宋" w:eastAsia="仿宋"/>
          <w:bCs/>
          <w:color w:val="auto"/>
          <w:sz w:val="24"/>
          <w:highlight w:val="none"/>
        </w:rPr>
      </w:pPr>
      <w:r>
        <w:rPr>
          <w:rFonts w:hint="eastAsia" w:ascii="仿宋" w:hAnsi="仿宋" w:eastAsia="仿宋" w:cs="Arial"/>
          <w:snapToGrid w:val="0"/>
          <w:color w:val="auto"/>
          <w:kern w:val="0"/>
          <w:sz w:val="24"/>
          <w:highlight w:val="none"/>
        </w:rPr>
        <w:t>甲方免费提供物业管理的办公场地，但办公用品（指办公桌、电脑、打印机、对讲机、文件柜等自身使用的等办公用品）由乙方自行解决</w:t>
      </w:r>
      <w:r>
        <w:rPr>
          <w:rFonts w:hint="eastAsia" w:ascii="仿宋" w:hAnsi="仿宋" w:eastAsia="仿宋"/>
          <w:bCs/>
          <w:color w:val="auto"/>
          <w:sz w:val="24"/>
          <w:highlight w:val="none"/>
        </w:rPr>
        <w:t>。</w:t>
      </w:r>
    </w:p>
    <w:p>
      <w:pPr>
        <w:snapToGrid w:val="0"/>
        <w:spacing w:line="360" w:lineRule="auto"/>
        <w:ind w:firstLine="482" w:firstLineChars="200"/>
        <w:rPr>
          <w:rFonts w:ascii="仿宋" w:hAnsi="仿宋" w:eastAsia="仿宋" w:cs="Arial"/>
          <w:snapToGrid w:val="0"/>
          <w:color w:val="auto"/>
          <w:kern w:val="0"/>
          <w:sz w:val="24"/>
          <w:highlight w:val="none"/>
        </w:rPr>
      </w:pPr>
      <w:r>
        <w:rPr>
          <w:rFonts w:hint="eastAsia" w:ascii="仿宋" w:hAnsi="仿宋" w:eastAsia="仿宋"/>
          <w:b/>
          <w:color w:val="auto"/>
          <w:sz w:val="24"/>
          <w:highlight w:val="none"/>
        </w:rPr>
        <w:t>第七条</w:t>
      </w:r>
      <w:r>
        <w:rPr>
          <w:rFonts w:hint="eastAsia" w:ascii="仿宋" w:hAnsi="仿宋" w:eastAsia="仿宋"/>
          <w:color w:val="auto"/>
          <w:sz w:val="24"/>
          <w:highlight w:val="none"/>
        </w:rPr>
        <w:t xml:space="preserve"> </w:t>
      </w:r>
      <w:r>
        <w:rPr>
          <w:rFonts w:hint="eastAsia" w:ascii="仿宋" w:hAnsi="仿宋" w:eastAsia="仿宋" w:cs="Arial"/>
          <w:b/>
          <w:snapToGrid w:val="0"/>
          <w:color w:val="auto"/>
          <w:kern w:val="0"/>
          <w:sz w:val="24"/>
          <w:highlight w:val="none"/>
        </w:rPr>
        <w:t>物业管理收费</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本合同期内物业管理服务费为</w:t>
      </w:r>
      <w:r>
        <w:rPr>
          <w:rFonts w:hint="eastAsia" w:ascii="仿宋" w:hAnsi="仿宋" w:eastAsia="仿宋" w:cs="仿宋_GB2312"/>
          <w:color w:val="auto"/>
          <w:kern w:val="0"/>
          <w:sz w:val="24"/>
          <w:highlight w:val="none"/>
          <w:lang w:val="zh-CN"/>
        </w:rPr>
        <w:t>人民币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元）</w:t>
      </w:r>
      <w:r>
        <w:rPr>
          <w:rFonts w:hint="eastAsia" w:ascii="仿宋" w:hAnsi="仿宋" w:eastAsia="仿宋" w:cs="Arial"/>
          <w:snapToGrid w:val="0"/>
          <w:color w:val="auto"/>
          <w:kern w:val="0"/>
          <w:sz w:val="24"/>
          <w:highlight w:val="none"/>
        </w:rPr>
        <w:t>。采用包干制，除本合同明确约定可以另行收取的费用外，所有物业管理及服务费用均包括在内，乙方不得另行向甲方或使用人收取任何费用。</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物业管理服务费成本监审：</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乙方承诺，接受甲方主管部门实施的物业管理服务费成本监审，并遵守以下原则：</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1．合法性原则。计入定价成本的费用符合有关法律、行政法律和国家统一会计制度的规定；</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2．相关性原则。计入定价成本的费用为与物业服务直接相关或间接相关的费用；</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3．对应性原则。计入定价成本的费用与物业服务内容及服务标准相对应；</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4．合理性原则。与物业服务定价成本各项费用的主要技术、经济指标均符合行业标准或者社会公允水平。</w:t>
      </w:r>
    </w:p>
    <w:p>
      <w:pPr>
        <w:pStyle w:val="238"/>
        <w:snapToGrid w:val="0"/>
        <w:spacing w:before="0"/>
        <w:ind w:firstLine="482"/>
        <w:rPr>
          <w:rFonts w:ascii="仿宋" w:hAnsi="仿宋" w:eastAsia="仿宋"/>
          <w:b/>
          <w:color w:val="auto"/>
          <w:szCs w:val="24"/>
          <w:highlight w:val="none"/>
        </w:rPr>
      </w:pPr>
      <w:r>
        <w:rPr>
          <w:rFonts w:hint="eastAsia" w:ascii="仿宋" w:hAnsi="仿宋" w:eastAsia="仿宋"/>
          <w:b/>
          <w:color w:val="auto"/>
          <w:szCs w:val="24"/>
          <w:highlight w:val="none"/>
        </w:rPr>
        <w:t>第八条</w:t>
      </w:r>
      <w:r>
        <w:rPr>
          <w:rFonts w:hint="eastAsia" w:ascii="仿宋" w:hAnsi="仿宋" w:eastAsia="仿宋"/>
          <w:color w:val="auto"/>
          <w:szCs w:val="24"/>
          <w:highlight w:val="none"/>
        </w:rPr>
        <w:t xml:space="preserve"> </w:t>
      </w:r>
      <w:r>
        <w:rPr>
          <w:rFonts w:hint="eastAsia" w:ascii="仿宋" w:hAnsi="仿宋" w:eastAsia="仿宋"/>
          <w:b/>
          <w:color w:val="auto"/>
          <w:szCs w:val="24"/>
          <w:highlight w:val="none"/>
        </w:rPr>
        <w:t>费用结算方式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乙方进场服务并通过甲方考核后，甲方凭供应商开具的正规发票和甲方认可的各项记录复印件，每季度支付一次,其中5%在甲方考核完毕后支付。</w:t>
      </w:r>
    </w:p>
    <w:p>
      <w:pPr>
        <w:snapToGrid w:val="0"/>
        <w:spacing w:line="360" w:lineRule="auto"/>
        <w:ind w:firstLine="482" w:firstLineChars="200"/>
        <w:rPr>
          <w:rFonts w:ascii="仿宋" w:hAnsi="仿宋" w:eastAsia="仿宋" w:cs="Arial"/>
          <w:snapToGrid w:val="0"/>
          <w:color w:val="auto"/>
          <w:kern w:val="0"/>
          <w:sz w:val="24"/>
          <w:highlight w:val="none"/>
        </w:rPr>
      </w:pPr>
      <w:r>
        <w:rPr>
          <w:rFonts w:hint="eastAsia" w:ascii="仿宋" w:hAnsi="仿宋" w:eastAsia="仿宋"/>
          <w:b/>
          <w:color w:val="auto"/>
          <w:sz w:val="24"/>
          <w:highlight w:val="none"/>
        </w:rPr>
        <w:t>第九条</w:t>
      </w:r>
      <w:r>
        <w:rPr>
          <w:rFonts w:hint="eastAsia" w:ascii="仿宋" w:hAnsi="仿宋" w:eastAsia="仿宋"/>
          <w:color w:val="auto"/>
          <w:sz w:val="24"/>
          <w:highlight w:val="none"/>
        </w:rPr>
        <w:t xml:space="preserve"> </w:t>
      </w:r>
      <w:r>
        <w:rPr>
          <w:rFonts w:hint="eastAsia" w:ascii="仿宋" w:hAnsi="仿宋" w:eastAsia="仿宋" w:cs="Arial"/>
          <w:b/>
          <w:snapToGrid w:val="0"/>
          <w:color w:val="auto"/>
          <w:kern w:val="0"/>
          <w:sz w:val="24"/>
          <w:highlight w:val="none"/>
        </w:rPr>
        <w:t>履约保证金</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1. </w:t>
      </w:r>
      <w:r>
        <w:rPr>
          <w:rFonts w:hint="eastAsia" w:ascii="仿宋" w:hAnsi="仿宋" w:eastAsia="仿宋"/>
          <w:color w:val="auto"/>
          <w:sz w:val="24"/>
          <w:highlight w:val="none"/>
        </w:rPr>
        <w:t>签订合同后3个工作日内，</w:t>
      </w:r>
      <w:r>
        <w:rPr>
          <w:rFonts w:hint="eastAsia" w:ascii="仿宋" w:hAnsi="仿宋" w:eastAsia="仿宋" w:cs="Arial"/>
          <w:snapToGrid w:val="0"/>
          <w:color w:val="auto"/>
          <w:kern w:val="0"/>
          <w:sz w:val="24"/>
          <w:highlight w:val="none"/>
        </w:rPr>
        <w:t>乙方</w:t>
      </w:r>
      <w:r>
        <w:rPr>
          <w:rFonts w:hint="eastAsia" w:ascii="仿宋" w:hAnsi="仿宋" w:eastAsia="仿宋"/>
          <w:color w:val="auto"/>
          <w:sz w:val="24"/>
          <w:highlight w:val="none"/>
        </w:rPr>
        <w:t>须向</w:t>
      </w:r>
      <w:r>
        <w:rPr>
          <w:rFonts w:hint="eastAsia" w:ascii="仿宋" w:hAnsi="仿宋" w:eastAsia="仿宋" w:cs="Arial"/>
          <w:snapToGrid w:val="0"/>
          <w:color w:val="auto"/>
          <w:kern w:val="0"/>
          <w:sz w:val="24"/>
          <w:highlight w:val="none"/>
        </w:rPr>
        <w:t>甲方</w:t>
      </w:r>
      <w:r>
        <w:rPr>
          <w:rFonts w:hint="eastAsia" w:ascii="仿宋" w:hAnsi="仿宋" w:eastAsia="仿宋"/>
          <w:color w:val="auto"/>
          <w:sz w:val="24"/>
          <w:highlight w:val="none"/>
        </w:rPr>
        <w:t>交纳相当于合同总额5%的履约保证金。</w:t>
      </w:r>
      <w:r>
        <w:rPr>
          <w:rFonts w:hint="eastAsia" w:ascii="仿宋" w:hAnsi="仿宋" w:eastAsia="仿宋" w:cs="Arial"/>
          <w:snapToGrid w:val="0"/>
          <w:color w:val="auto"/>
          <w:kern w:val="0"/>
          <w:sz w:val="24"/>
          <w:highlight w:val="none"/>
        </w:rPr>
        <w:t>以保证乙方遵守本合同的一切条款、条件和承诺，该保证金在甲方的规定存续期间不计息。</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 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 甲方认为乙方在服务期内没有涉及甲方的应付而未付金额或违约行为，甲方在服务期满后或提前终止承包后一个月内全额退还履约保证金，否则，甲方将在扣除乙方应付金额或违约金后退还保证金余额。</w:t>
      </w:r>
    </w:p>
    <w:p>
      <w:pPr>
        <w:snapToGrid w:val="0"/>
        <w:spacing w:line="360" w:lineRule="auto"/>
        <w:ind w:firstLine="482" w:firstLineChars="200"/>
        <w:rPr>
          <w:rFonts w:ascii="仿宋" w:hAnsi="仿宋" w:eastAsia="仿宋" w:cs="Arial"/>
          <w:snapToGrid w:val="0"/>
          <w:color w:val="auto"/>
          <w:kern w:val="0"/>
          <w:sz w:val="24"/>
          <w:highlight w:val="none"/>
        </w:rPr>
      </w:pPr>
      <w:r>
        <w:rPr>
          <w:rFonts w:hint="eastAsia" w:ascii="仿宋" w:hAnsi="仿宋" w:eastAsia="仿宋"/>
          <w:b/>
          <w:color w:val="auto"/>
          <w:sz w:val="24"/>
          <w:highlight w:val="none"/>
        </w:rPr>
        <w:t>第十条</w:t>
      </w:r>
      <w:r>
        <w:rPr>
          <w:rFonts w:hint="eastAsia" w:ascii="仿宋" w:hAnsi="仿宋" w:eastAsia="仿宋"/>
          <w:color w:val="auto"/>
          <w:sz w:val="24"/>
          <w:highlight w:val="none"/>
        </w:rPr>
        <w:t xml:space="preserve"> </w:t>
      </w:r>
      <w:r>
        <w:rPr>
          <w:rFonts w:hint="eastAsia" w:ascii="仿宋" w:hAnsi="仿宋" w:eastAsia="仿宋" w:cs="Arial"/>
          <w:b/>
          <w:snapToGrid w:val="0"/>
          <w:color w:val="auto"/>
          <w:kern w:val="0"/>
          <w:sz w:val="24"/>
          <w:highlight w:val="none"/>
        </w:rPr>
        <w:t>物业管理服务质量要求</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乙方须按下列约定，实现目标管理，如双方认为需要进一步细化的，可以通过附件形式进行进一步明确。</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乙方根据楼层分布和采购需求每日需安排一定数量的保洁人员进行清理，除每日甲方下班时间后对办公楼进行全面清理外，保洁人员在工作时间随时清理垃圾，尘土，保持办公环境的整洁，乙方保证保洁人员工作规范，作风优良；</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2．甲方工作人员及其他物业使用人可随时组织进行对乙方物业服务的综合考评；</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 投标文件规定的其他内容。</w:t>
      </w:r>
    </w:p>
    <w:p>
      <w:pPr>
        <w:snapToGrid w:val="0"/>
        <w:spacing w:line="360" w:lineRule="auto"/>
        <w:ind w:firstLine="482" w:firstLineChars="200"/>
        <w:jc w:val="left"/>
        <w:rPr>
          <w:rFonts w:ascii="仿宋" w:hAnsi="仿宋" w:eastAsia="仿宋" w:cs="Arial"/>
          <w:snapToGrid w:val="0"/>
          <w:color w:val="auto"/>
          <w:kern w:val="0"/>
          <w:sz w:val="24"/>
          <w:highlight w:val="none"/>
        </w:rPr>
      </w:pPr>
      <w:r>
        <w:rPr>
          <w:rFonts w:hint="eastAsia" w:ascii="仿宋" w:hAnsi="仿宋" w:eastAsia="仿宋"/>
          <w:b/>
          <w:color w:val="auto"/>
          <w:sz w:val="24"/>
          <w:highlight w:val="none"/>
        </w:rPr>
        <w:t>第十一条</w:t>
      </w:r>
      <w:r>
        <w:rPr>
          <w:rFonts w:hint="eastAsia" w:ascii="仿宋" w:hAnsi="仿宋" w:eastAsia="仿宋"/>
          <w:color w:val="auto"/>
          <w:sz w:val="24"/>
          <w:highlight w:val="none"/>
        </w:rPr>
        <w:t xml:space="preserve"> </w:t>
      </w:r>
      <w:r>
        <w:rPr>
          <w:rFonts w:hint="eastAsia" w:ascii="仿宋" w:hAnsi="仿宋" w:eastAsia="仿宋" w:cs="Arial"/>
          <w:b/>
          <w:snapToGrid w:val="0"/>
          <w:color w:val="auto"/>
          <w:kern w:val="0"/>
          <w:sz w:val="24"/>
          <w:highlight w:val="none"/>
        </w:rPr>
        <w:t>经营制约</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 乙方不得以甲方的名义从事任何经济活动，且由此发生的一切债权、债务与甲方无关。</w:t>
      </w:r>
    </w:p>
    <w:p>
      <w:pPr>
        <w:snapToGrid w:val="0"/>
        <w:spacing w:line="360" w:lineRule="auto"/>
        <w:ind w:firstLine="482" w:firstLineChars="200"/>
        <w:rPr>
          <w:rFonts w:ascii="仿宋" w:hAnsi="仿宋" w:eastAsia="仿宋" w:cs="Arial"/>
          <w:snapToGrid w:val="0"/>
          <w:color w:val="auto"/>
          <w:kern w:val="0"/>
          <w:sz w:val="24"/>
          <w:highlight w:val="none"/>
        </w:rPr>
      </w:pPr>
      <w:r>
        <w:rPr>
          <w:rFonts w:hint="eastAsia" w:ascii="仿宋" w:hAnsi="仿宋" w:eastAsia="仿宋"/>
          <w:b/>
          <w:color w:val="auto"/>
          <w:sz w:val="24"/>
          <w:highlight w:val="none"/>
        </w:rPr>
        <w:t>第十二条</w:t>
      </w:r>
      <w:r>
        <w:rPr>
          <w:rFonts w:hint="eastAsia" w:ascii="仿宋" w:hAnsi="仿宋" w:eastAsia="仿宋"/>
          <w:color w:val="auto"/>
          <w:sz w:val="24"/>
          <w:highlight w:val="none"/>
        </w:rPr>
        <w:t xml:space="preserve"> </w:t>
      </w:r>
      <w:r>
        <w:rPr>
          <w:rFonts w:hint="eastAsia" w:ascii="仿宋" w:hAnsi="仿宋" w:eastAsia="仿宋" w:cs="Arial"/>
          <w:b/>
          <w:snapToGrid w:val="0"/>
          <w:color w:val="auto"/>
          <w:kern w:val="0"/>
          <w:sz w:val="24"/>
          <w:highlight w:val="none"/>
        </w:rPr>
        <w:t>乙方对甲方作出如下承诺</w:t>
      </w:r>
      <w:r>
        <w:rPr>
          <w:rFonts w:hint="eastAsia" w:ascii="仿宋" w:hAnsi="仿宋" w:eastAsia="仿宋" w:cs="Arial"/>
          <w:snapToGrid w:val="0"/>
          <w:color w:val="auto"/>
          <w:kern w:val="0"/>
          <w:sz w:val="24"/>
          <w:highlight w:val="none"/>
        </w:rPr>
        <w:t>：</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 乙方应允许甲方或其授权的人员对承包区域内各项服务质量控制进行检查，有关费用由乙方承担。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 在承包区域的各项服务，其工作时间必须满足甲方的工作要求，包括星期天及公众假期。如遇特殊情况，甲方可要求乙方调整工作时间直至全天二十四小时工作。</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4. 乙方必须聘请(或指定)一位经理(项目总负责人)，全权代表乙方与甲方保持密切联系并保证承包区域服务工作。根据综合考评或工作情况，甲方有权要求乙方在一个星期内更换经理（项目总负责人）、相关骨干人员。</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5. 为承包区域的服务工作配备承诺的人员及人员数量（</w:t>
      </w:r>
      <w:r>
        <w:rPr>
          <w:rFonts w:hint="eastAsia" w:ascii="仿宋" w:hAnsi="仿宋" w:eastAsia="仿宋" w:cs="Arial"/>
          <w:i/>
          <w:snapToGrid w:val="0"/>
          <w:color w:val="auto"/>
          <w:kern w:val="0"/>
          <w:sz w:val="24"/>
          <w:highlight w:val="none"/>
          <w:u w:val="single"/>
        </w:rPr>
        <w:t xml:space="preserve">        </w:t>
      </w:r>
      <w:r>
        <w:rPr>
          <w:rFonts w:hint="eastAsia" w:ascii="仿宋" w:hAnsi="仿宋" w:eastAsia="仿宋" w:cs="Arial"/>
          <w:snapToGrid w:val="0"/>
          <w:color w:val="auto"/>
          <w:kern w:val="0"/>
          <w:sz w:val="24"/>
          <w:highlight w:val="none"/>
        </w:rPr>
        <w:t xml:space="preserve"> ），甲方不定期抽查乙方投入的人员数量，如果抽查时发现乙方投入的人员数量少于合同约定的数量，甲方可以按缺少人数每人    元/次累计扣除当季度合同款。乙方聘用的工作人员必须符合劳动部门有关用工规定，并经乙方相关专业考核合格后持证上岗，甲方有权进行审核，该类费用开支由乙方负担。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7. 乙方工作人员上岗穿着由甲方确认的制服及甲方许可的装饰物品，费用和制作均由乙方负担。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8. 乙方必须出具或办妥法律及甲方规定的与承包区域经营业务有关的执照和许可证，方可从事经营并在经营中遵守一切有关条例和规定，自行缴纳有关税、费。</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9. 乙方必须确保为甲方提供优质、高效的专业服务，并根据甲方要求改变不满意的服务状况，接受有关部门监督与检查。同时，乙方自觉参加甲方认为有助提高甲方形象的宣传活动。</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11. 乙方在承包区域因作业所需增加机械、电力设备及设施应征得甲方同意，并聘请有资格的承造商进行安装、保养并将施工安装保养记录手册和图，交由甲方备案。</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12. </w:t>
      </w:r>
      <w:r>
        <w:rPr>
          <w:rFonts w:hint="eastAsia" w:ascii="仿宋" w:hAnsi="仿宋" w:eastAsia="仿宋" w:cs="Arial"/>
          <w:b/>
          <w:snapToGrid w:val="0"/>
          <w:color w:val="auto"/>
          <w:kern w:val="0"/>
          <w:sz w:val="24"/>
          <w:highlight w:val="none"/>
        </w:rPr>
        <w:t>禁止事项</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12.1乙方不得以任何理由向甲方工作人员支付小费或赠送实物，违者将终止合同。乙方人员也不得以任何形式向行政大楼内相关人员索取小费或钱物等。</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12.2不得在承包区域住宿或从事非法活动，也不得从事有损甲方利益的活动，同时不允许在承包区域对甲方经营活动进行滋扰性的行为。</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12.3除经甲方批准进行必要的维修工程外，乙方不得损毁承包区域原有的设施和装潢，不得更改已铺设的电缆、电线等电力装置。同时，也不得安装任何可能造成电缆负载过大的电器设备，以免无线电受干扰。</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12.4未获甲方书面同意，乙方任何时候都不能在承包区域存放易燃物品、挥发性大或气味浓烈的液体等。</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13. </w:t>
      </w:r>
      <w:r>
        <w:rPr>
          <w:rFonts w:hint="eastAsia" w:ascii="仿宋" w:hAnsi="仿宋" w:eastAsia="仿宋" w:cs="Arial"/>
          <w:b/>
          <w:snapToGrid w:val="0"/>
          <w:color w:val="auto"/>
          <w:kern w:val="0"/>
          <w:sz w:val="24"/>
          <w:highlight w:val="none"/>
        </w:rPr>
        <w:t>保险</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13.1第三者责任保险</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乙方应对乙方人员以及第三方全权负责(如乙方应投保第三责任险)，在乙方的责任区内由于乙方原因导致自己员工或第三方的事故由乙方负责，甲方不承担任何责任。</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13.2员工人身意外</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在承包期内，乙方所有人员的事故由乙方自行全权负责(如乙方应对其员工投保人身意外险)，以保证甲方在乙方工作人员索赔时不受任何责任的约束。</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13.3其他保险及费用</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乙方须按《劳动合同法》和政府有关各部门规定为全体服务人员交纳所有相关的社会保险及其他相关费用。乙方对此全权负责。</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14. 乙方及其员工遵守行政大楼内的一切行政管理、消防安全等规定和制度，保证承包区域的消防设施能正常使用，消防通道畅通，同时承担违规责任。</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15. 遇突发事件或安全检查时，乙方必须配合有关部门执行任务，并指定专职人员协助工作，直至完成。</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16. 乙方保证在承包期满当天下午五时前撤离现场。</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17. 乙方须积极配合甲方对其进行的物业服务综合考评。</w:t>
      </w:r>
    </w:p>
    <w:p>
      <w:pPr>
        <w:snapToGrid w:val="0"/>
        <w:spacing w:line="360" w:lineRule="auto"/>
        <w:ind w:firstLine="482" w:firstLineChars="200"/>
        <w:rPr>
          <w:rFonts w:ascii="仿宋" w:hAnsi="仿宋" w:eastAsia="仿宋" w:cs="Arial"/>
          <w:b/>
          <w:snapToGrid w:val="0"/>
          <w:color w:val="auto"/>
          <w:kern w:val="0"/>
          <w:sz w:val="24"/>
          <w:highlight w:val="none"/>
        </w:rPr>
      </w:pPr>
      <w:r>
        <w:rPr>
          <w:rFonts w:hint="eastAsia" w:ascii="仿宋" w:hAnsi="仿宋" w:eastAsia="仿宋"/>
          <w:b/>
          <w:color w:val="auto"/>
          <w:sz w:val="24"/>
          <w:highlight w:val="none"/>
        </w:rPr>
        <w:t>第十三条</w:t>
      </w:r>
      <w:r>
        <w:rPr>
          <w:rFonts w:hint="eastAsia" w:ascii="仿宋" w:hAnsi="仿宋" w:eastAsia="仿宋"/>
          <w:color w:val="auto"/>
          <w:sz w:val="24"/>
          <w:highlight w:val="none"/>
        </w:rPr>
        <w:t xml:space="preserve"> </w:t>
      </w:r>
      <w:r>
        <w:rPr>
          <w:rFonts w:hint="eastAsia" w:ascii="仿宋" w:hAnsi="仿宋" w:eastAsia="仿宋" w:cs="Arial"/>
          <w:b/>
          <w:snapToGrid w:val="0"/>
          <w:color w:val="auto"/>
          <w:kern w:val="0"/>
          <w:sz w:val="24"/>
          <w:highlight w:val="none"/>
        </w:rPr>
        <w:t>甲方对乙方作出如下承诺：</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1、甲方在职权范围内保证乙方的正常经营不受干扰。</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s="Arial"/>
          <w:snapToGrid w:val="0"/>
          <w:color w:val="auto"/>
          <w:kern w:val="0"/>
          <w:sz w:val="24"/>
          <w:highlight w:val="none"/>
        </w:rPr>
        <w:t>2、保证乙方的员工按规定正常进入承包区域开展服务工作。</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 xml:space="preserve">第十四条 </w:t>
      </w:r>
      <w:r>
        <w:rPr>
          <w:rFonts w:hint="eastAsia" w:ascii="仿宋" w:hAnsi="仿宋" w:eastAsia="仿宋" w:cs="Arial"/>
          <w:b/>
          <w:snapToGrid w:val="0"/>
          <w:color w:val="auto"/>
          <w:kern w:val="0"/>
          <w:sz w:val="24"/>
          <w:highlight w:val="none"/>
        </w:rPr>
        <w:t>合同生效和终止</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1. </w:t>
      </w:r>
      <w:r>
        <w:rPr>
          <w:rFonts w:hint="eastAsia" w:ascii="仿宋" w:hAnsi="仿宋" w:eastAsia="仿宋"/>
          <w:color w:val="auto"/>
          <w:sz w:val="24"/>
          <w:highlight w:val="none"/>
        </w:rPr>
        <w:t>本合同经甲乙双方法定代表人或其委托人签字盖章，由乙方向甲方缴纳8%履约保证金，</w:t>
      </w:r>
      <w:r>
        <w:rPr>
          <w:rFonts w:hint="eastAsia" w:ascii="仿宋" w:hAnsi="仿宋" w:eastAsia="仿宋" w:cs="仿宋_GB2312"/>
          <w:color w:val="auto"/>
          <w:sz w:val="24"/>
          <w:highlight w:val="none"/>
        </w:rPr>
        <w:t>经</w:t>
      </w:r>
      <w:r>
        <w:rPr>
          <w:rFonts w:hint="eastAsia" w:ascii="仿宋" w:hAnsi="仿宋" w:eastAsia="仿宋"/>
          <w:color w:val="auto"/>
          <w:sz w:val="24"/>
          <w:highlight w:val="none"/>
          <w:lang w:val="zh-CN"/>
        </w:rPr>
        <w:t>采购监管部门备案后生效</w:t>
      </w:r>
      <w:r>
        <w:rPr>
          <w:rFonts w:hint="eastAsia" w:ascii="仿宋" w:hAnsi="仿宋" w:eastAsia="仿宋" w:cs="Arial"/>
          <w:snapToGrid w:val="0"/>
          <w:color w:val="auto"/>
          <w:kern w:val="0"/>
          <w:sz w:val="24"/>
          <w:highlight w:val="none"/>
        </w:rPr>
        <w:t>。</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2. </w:t>
      </w:r>
      <w:r>
        <w:rPr>
          <w:rFonts w:hint="eastAsia" w:ascii="仿宋" w:hAnsi="仿宋" w:eastAsia="仿宋" w:cs="Arial"/>
          <w:b/>
          <w:snapToGrid w:val="0"/>
          <w:color w:val="auto"/>
          <w:kern w:val="0"/>
          <w:sz w:val="24"/>
          <w:highlight w:val="none"/>
        </w:rPr>
        <w:t>终止</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w:t>
      </w:r>
      <w:r>
        <w:rPr>
          <w:rFonts w:hint="eastAsia" w:ascii="仿宋" w:hAnsi="仿宋" w:eastAsia="仿宋" w:cs="Arial"/>
          <w:b/>
          <w:snapToGrid w:val="0"/>
          <w:color w:val="auto"/>
          <w:kern w:val="0"/>
          <w:sz w:val="24"/>
          <w:highlight w:val="none"/>
        </w:rPr>
        <w:t>提前终止</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2.1.1如果甲方在服务期内无理由终止合同，甲方须提前一个月向乙方发出书面通知终止承包，甲方支付给乙方月度承包服务款二倍金额的赔偿金。</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2.1.2因乙方在服务期内超过两次物业服务综合考评未达标，甲方可以单方面终止承包，且乙方须支付给甲方月度承包服务款二倍金额的赔偿金。</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2.1.3如甲方发现乙方出现转租、转让、抵押承包等情况，甲方可以单方面终止承包，且乙方须支付给甲方月度承包服务款二倍金额的赔偿金。</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2.1.4如果乙方在服务期内无理由终止合同，乙方须提前三个月向甲方发出书面通知终止承包，乙方须支付给甲方月度承包服务款二倍金额的赔偿金；如果乙方在服务期内突然无理由终止合同，未提前三个月向采购人发出书面通知终止承包，乙方须支付给甲方月度承包服务款三倍金额的赔偿金。</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2.1.5如果乙方在服务期内由于乙方原因造成重大责任事故或安全事故，甲方可以单方面终止承包，且乙方须赔偿给甲方造成的经济损失，并须支付给甲方月度承包服务款五倍金额的赔偿金。</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2.1.6提前终止承包期早于月底最后一天，应视为月底最后一天期满，此条适用于上述2.1.1、2.1.2、2.1.3、2.1.4、2.1.5五条。</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2.1.7乙方未能履行合同和遵守有关规定，在甲方发出书面警告后一周内乙方仍无采取补救措施，甲方可立即终止承包。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2.1.8乙方破产清处、重组及兼并等事实发生，或被债权人接管经营，甲方不必通知乙方即可终止承包。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2.2 </w:t>
      </w:r>
      <w:r>
        <w:rPr>
          <w:rFonts w:hint="eastAsia" w:ascii="仿宋" w:hAnsi="仿宋" w:eastAsia="仿宋" w:cs="Arial"/>
          <w:b/>
          <w:snapToGrid w:val="0"/>
          <w:color w:val="auto"/>
          <w:kern w:val="0"/>
          <w:sz w:val="24"/>
          <w:highlight w:val="none"/>
        </w:rPr>
        <w:t>协议终止</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经双方协商同意，可在任何时候终止承包。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2.3 </w:t>
      </w:r>
      <w:r>
        <w:rPr>
          <w:rFonts w:hint="eastAsia" w:ascii="仿宋" w:hAnsi="仿宋" w:eastAsia="仿宋" w:cs="Arial"/>
          <w:b/>
          <w:snapToGrid w:val="0"/>
          <w:color w:val="auto"/>
          <w:kern w:val="0"/>
          <w:sz w:val="24"/>
          <w:highlight w:val="none"/>
        </w:rPr>
        <w:t>自然终止</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合同规定的承包服务期满，承包自然终止。在承包服务期内乙方服务通过甲方有关评分标准并得到甲方认可</w:t>
      </w:r>
      <w:r>
        <w:rPr>
          <w:rFonts w:hint="eastAsia" w:ascii="仿宋" w:hAnsi="仿宋" w:eastAsia="仿宋"/>
          <w:color w:val="auto"/>
          <w:sz w:val="24"/>
          <w:highlight w:val="none"/>
        </w:rPr>
        <w:t>，</w:t>
      </w:r>
      <w:r>
        <w:rPr>
          <w:rFonts w:hint="eastAsia" w:ascii="仿宋" w:hAnsi="仿宋" w:eastAsia="仿宋" w:cs="Arial"/>
          <w:snapToGrid w:val="0"/>
          <w:color w:val="auto"/>
          <w:kern w:val="0"/>
          <w:sz w:val="24"/>
          <w:highlight w:val="none"/>
        </w:rPr>
        <w:t>双方可协商在下一年度续约。</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3. </w:t>
      </w:r>
      <w:r>
        <w:rPr>
          <w:rFonts w:hint="eastAsia" w:ascii="仿宋" w:hAnsi="仿宋" w:eastAsia="仿宋" w:cs="Arial"/>
          <w:b/>
          <w:snapToGrid w:val="0"/>
          <w:color w:val="auto"/>
          <w:kern w:val="0"/>
          <w:sz w:val="24"/>
          <w:highlight w:val="none"/>
        </w:rPr>
        <w:t>承包终止后果</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3.1终止承包，不影响根据合同规定进行的赔偿、补偿，也不影响履约保证金的效力。</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3.2上述2.1.6、2.1.7二条的终止，乙方的履约保证金作为违约金支付给甲方。</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3.3承包终止时，双方应进行结算，甲方同时进行乙方承包区域设施、设备状况检查并要求乙方三天内将乙方物品撤离承包区域，否则甲方将代理处理，乙方支付甲方代理费及10%的手续费。</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4. </w:t>
      </w:r>
      <w:r>
        <w:rPr>
          <w:rFonts w:hint="eastAsia" w:ascii="仿宋" w:hAnsi="仿宋" w:eastAsia="仿宋" w:cs="Arial"/>
          <w:b/>
          <w:snapToGrid w:val="0"/>
          <w:color w:val="auto"/>
          <w:kern w:val="0"/>
          <w:sz w:val="24"/>
          <w:highlight w:val="none"/>
        </w:rPr>
        <w:t>不放弃权利</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甲方接受乙方的服务，但不放弃对乙方违约行为进行追究的权利；同时，若甲方对乙方某一违约行为放弃进行追究的权利，但不放弃对乙方其他违约行为进行追究的权利。</w:t>
      </w:r>
    </w:p>
    <w:p>
      <w:pPr>
        <w:snapToGrid w:val="0"/>
        <w:spacing w:line="360" w:lineRule="auto"/>
        <w:ind w:firstLine="482" w:firstLineChars="200"/>
        <w:rPr>
          <w:rFonts w:ascii="仿宋" w:hAnsi="仿宋" w:eastAsia="仿宋" w:cs="Arial"/>
          <w:b/>
          <w:snapToGrid w:val="0"/>
          <w:color w:val="auto"/>
          <w:kern w:val="0"/>
          <w:sz w:val="24"/>
          <w:highlight w:val="none"/>
        </w:rPr>
      </w:pPr>
      <w:r>
        <w:rPr>
          <w:rFonts w:hint="eastAsia" w:ascii="仿宋" w:hAnsi="仿宋" w:eastAsia="仿宋"/>
          <w:b/>
          <w:color w:val="auto"/>
          <w:sz w:val="24"/>
          <w:highlight w:val="none"/>
        </w:rPr>
        <w:t xml:space="preserve">第十五条 </w:t>
      </w:r>
      <w:r>
        <w:rPr>
          <w:rFonts w:hint="eastAsia" w:ascii="仿宋" w:hAnsi="仿宋" w:eastAsia="仿宋" w:cs="Arial"/>
          <w:b/>
          <w:snapToGrid w:val="0"/>
          <w:color w:val="auto"/>
          <w:kern w:val="0"/>
          <w:sz w:val="24"/>
          <w:highlight w:val="none"/>
        </w:rPr>
        <w:t>双方权利义务</w:t>
      </w:r>
    </w:p>
    <w:p>
      <w:pPr>
        <w:snapToGrid w:val="0"/>
        <w:spacing w:line="360" w:lineRule="auto"/>
        <w:ind w:firstLine="482" w:firstLineChars="200"/>
        <w:rPr>
          <w:rFonts w:ascii="仿宋" w:hAnsi="仿宋" w:eastAsia="仿宋" w:cs="Arial"/>
          <w:b/>
          <w:snapToGrid w:val="0"/>
          <w:color w:val="auto"/>
          <w:kern w:val="0"/>
          <w:sz w:val="24"/>
          <w:highlight w:val="none"/>
        </w:rPr>
      </w:pPr>
      <w:r>
        <w:rPr>
          <w:rFonts w:hint="eastAsia" w:ascii="仿宋" w:hAnsi="仿宋" w:eastAsia="仿宋" w:cs="Arial"/>
          <w:b/>
          <w:snapToGrid w:val="0"/>
          <w:color w:val="auto"/>
          <w:kern w:val="0"/>
          <w:sz w:val="24"/>
          <w:highlight w:val="none"/>
        </w:rPr>
        <w:t>1. 甲方权利义务</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（1）代表和维护产权人、使用人的合法权益；</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（2）审定乙方拟定的物业管理制度；</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（3）检查监督乙方管理工作的实施及制度的执行情况；</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（4）审定乙方提出的物业管理服务年度计划、财务预算及决算；</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（5）负责收集、整理物业管理所需全部图纸、档案、资料，根据管理需要向乙方提供房屋相关资料和设备、设施的安装、使用和维护保养技术资料；</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（6）按期支付物业管理费用；</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（7）在不可预见的情况下，如发生煤气泄漏、漏电、火灾、救助人命、协助公安机关执行任务等突发事件的，甲方应积极配合乙方采取必要的紧急避险措施。</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（8）提供乙方所需的办公用房。</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line="360" w:lineRule="auto"/>
        <w:ind w:firstLine="482" w:firstLineChars="200"/>
        <w:rPr>
          <w:rFonts w:ascii="仿宋" w:hAnsi="仿宋" w:eastAsia="仿宋" w:cs="Arial"/>
          <w:b/>
          <w:snapToGrid w:val="0"/>
          <w:color w:val="auto"/>
          <w:kern w:val="0"/>
          <w:sz w:val="24"/>
          <w:highlight w:val="none"/>
        </w:rPr>
      </w:pPr>
      <w:r>
        <w:rPr>
          <w:rFonts w:hint="eastAsia" w:ascii="仿宋" w:hAnsi="仿宋" w:eastAsia="仿宋" w:cs="Arial"/>
          <w:b/>
          <w:snapToGrid w:val="0"/>
          <w:color w:val="auto"/>
          <w:kern w:val="0"/>
          <w:sz w:val="24"/>
          <w:highlight w:val="none"/>
        </w:rPr>
        <w:t>2.  乙方权利义务</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olor w:val="auto"/>
          <w:sz w:val="24"/>
          <w:highlight w:val="none"/>
        </w:rPr>
        <w:t>（1）乙方</w:t>
      </w:r>
      <w:r>
        <w:rPr>
          <w:rFonts w:hint="eastAsia" w:ascii="仿宋" w:hAnsi="仿宋" w:eastAsia="仿宋"/>
          <w:color w:val="auto"/>
          <w:kern w:val="0"/>
          <w:sz w:val="24"/>
          <w:highlight w:val="none"/>
          <w:lang w:val="zh-CN"/>
        </w:rPr>
        <w:t>应为杭州市政府采购注册供应商</w:t>
      </w:r>
      <w:r>
        <w:rPr>
          <w:rFonts w:hint="eastAsia" w:ascii="仿宋" w:hAnsi="仿宋" w:eastAsia="仿宋"/>
          <w:color w:val="auto"/>
          <w:kern w:val="0"/>
          <w:sz w:val="24"/>
          <w:highlight w:val="none"/>
        </w:rPr>
        <w:t>，</w:t>
      </w:r>
      <w:r>
        <w:rPr>
          <w:rFonts w:hint="eastAsia" w:ascii="仿宋" w:hAnsi="仿宋" w:eastAsia="仿宋"/>
          <w:color w:val="auto"/>
          <w:kern w:val="0"/>
          <w:sz w:val="24"/>
          <w:highlight w:val="none"/>
          <w:lang w:val="zh-CN"/>
        </w:rPr>
        <w:t>如尚未注册</w:t>
      </w:r>
      <w:r>
        <w:rPr>
          <w:rFonts w:hint="eastAsia" w:ascii="仿宋" w:hAnsi="仿宋" w:eastAsia="仿宋"/>
          <w:color w:val="auto"/>
          <w:kern w:val="0"/>
          <w:sz w:val="24"/>
          <w:highlight w:val="none"/>
        </w:rPr>
        <w:t>，</w:t>
      </w:r>
      <w:r>
        <w:rPr>
          <w:rFonts w:hint="eastAsia" w:ascii="仿宋" w:hAnsi="仿宋" w:eastAsia="仿宋"/>
          <w:color w:val="auto"/>
          <w:kern w:val="0"/>
          <w:sz w:val="24"/>
          <w:highlight w:val="none"/>
          <w:lang w:val="zh-CN"/>
        </w:rPr>
        <w:t>应在签订合同前</w:t>
      </w:r>
      <w:r>
        <w:rPr>
          <w:rFonts w:hint="eastAsia" w:ascii="仿宋" w:hAnsi="仿宋" w:eastAsia="仿宋"/>
          <w:color w:val="auto"/>
          <w:kern w:val="0"/>
          <w:sz w:val="24"/>
          <w:highlight w:val="none"/>
        </w:rPr>
        <w:t>，</w:t>
      </w:r>
      <w:r>
        <w:rPr>
          <w:rFonts w:hint="eastAsia" w:ascii="仿宋" w:hAnsi="仿宋" w:eastAsia="仿宋"/>
          <w:color w:val="auto"/>
          <w:kern w:val="0"/>
          <w:sz w:val="24"/>
          <w:highlight w:val="none"/>
          <w:lang w:val="zh-CN"/>
        </w:rPr>
        <w:t>登陆杭州市政府采购网</w:t>
      </w:r>
      <w:r>
        <w:rPr>
          <w:rFonts w:hint="eastAsia" w:ascii="仿宋" w:hAnsi="仿宋" w:eastAsia="仿宋"/>
          <w:color w:val="auto"/>
          <w:sz w:val="24"/>
          <w:highlight w:val="none"/>
        </w:rPr>
        <w:t>（</w:t>
      </w:r>
      <w:r>
        <w:rPr>
          <w:color w:val="auto"/>
          <w:highlight w:val="none"/>
        </w:rPr>
        <w:fldChar w:fldCharType="begin"/>
      </w:r>
      <w:r>
        <w:rPr>
          <w:color w:val="auto"/>
          <w:highlight w:val="none"/>
        </w:rPr>
        <w:instrText xml:space="preserve"> HYPERLINK "http://cg.hzft.gov.cn" </w:instrText>
      </w:r>
      <w:r>
        <w:rPr>
          <w:color w:val="auto"/>
          <w:highlight w:val="none"/>
        </w:rPr>
        <w:fldChar w:fldCharType="separate"/>
      </w:r>
      <w:r>
        <w:rPr>
          <w:rStyle w:val="75"/>
          <w:rFonts w:hint="eastAsia" w:ascii="仿宋" w:hAnsi="仿宋" w:eastAsia="仿宋"/>
          <w:color w:val="auto"/>
          <w:sz w:val="24"/>
          <w:highlight w:val="none"/>
        </w:rPr>
        <w:t>http://cg.hzft.gov.cn</w:t>
      </w:r>
      <w:r>
        <w:rPr>
          <w:rStyle w:val="75"/>
          <w:rFonts w:hint="eastAsia" w:ascii="仿宋" w:hAnsi="仿宋" w:eastAsia="仿宋"/>
          <w:color w:val="auto"/>
          <w:sz w:val="24"/>
          <w:highlight w:val="none"/>
        </w:rPr>
        <w:fldChar w:fldCharType="end"/>
      </w:r>
      <w:r>
        <w:rPr>
          <w:rFonts w:hint="eastAsia" w:ascii="仿宋" w:hAnsi="仿宋" w:eastAsia="仿宋"/>
          <w:color w:val="auto"/>
          <w:sz w:val="24"/>
          <w:highlight w:val="none"/>
        </w:rPr>
        <w:t>）</w:t>
      </w:r>
      <w:r>
        <w:rPr>
          <w:rFonts w:hint="eastAsia" w:ascii="仿宋" w:hAnsi="仿宋" w:eastAsia="仿宋"/>
          <w:color w:val="auto"/>
          <w:kern w:val="0"/>
          <w:sz w:val="24"/>
          <w:highlight w:val="none"/>
          <w:lang w:val="zh-CN"/>
        </w:rPr>
        <w:t>进行注册并将书面资料提交采购机构复核备案。</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（2）根据有关法律法规、投标文件及本合同的约定，制订物业管理制度、方案，根据甲方核定的物业管理制度、方案自主开展物业日常管理服务活动；</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（3）按甲方要求及时如实向甲方报告物业管理服务实施情况；</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（4）征得甲方同意可选聘专营公司承担本物业的专项管理业务，但不得将本物业的管理责任转让给第三方；</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（5）负责编制年度计划、方案，经双方议定后由乙方组织实施；</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（6）向甲方工作人员和其他使用人告知物业使用的有关规定，并负责监督；</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（7）建立、妥善保管和正确使用本物业相关的管理档案，并负责及时记载有关变更情况；</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（8）对本物业的公用设施不得擅自占用和改变使用功能；</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（9）因乙方在管理中的过错或违反本合同的约定进行管理造成甲方或第三人损失的，乙方应依法承担赔偿责任；</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（10）乙方自行承担办公桌、电脑、打印机、文件柜等自身使用的办公用品，自行承担所有人员服装费用，但服装样式需经过甲方认可，办公、生活用水、电、通讯费用由乙方自行承担。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（11）本合同终止时，乙方必须向甲方移交全部管理用房及物业管理的全部档案资料，确保移交的资料和设备、设施完好无缺。</w:t>
      </w:r>
    </w:p>
    <w:p>
      <w:pPr>
        <w:snapToGrid w:val="0"/>
        <w:spacing w:line="360" w:lineRule="auto"/>
        <w:ind w:firstLine="482" w:firstLineChars="200"/>
        <w:rPr>
          <w:rFonts w:ascii="仿宋" w:hAnsi="仿宋" w:eastAsia="仿宋" w:cs="Arial"/>
          <w:snapToGrid w:val="0"/>
          <w:color w:val="auto"/>
          <w:kern w:val="0"/>
          <w:sz w:val="24"/>
          <w:highlight w:val="none"/>
        </w:rPr>
      </w:pPr>
      <w:r>
        <w:rPr>
          <w:rFonts w:hint="eastAsia" w:ascii="仿宋" w:hAnsi="仿宋" w:eastAsia="仿宋"/>
          <w:b/>
          <w:color w:val="auto"/>
          <w:sz w:val="24"/>
          <w:highlight w:val="none"/>
        </w:rPr>
        <w:t xml:space="preserve">第十六条 </w:t>
      </w:r>
      <w:r>
        <w:rPr>
          <w:rFonts w:hint="eastAsia" w:ascii="仿宋" w:hAnsi="仿宋" w:eastAsia="仿宋" w:cs="Arial"/>
          <w:b/>
          <w:snapToGrid w:val="0"/>
          <w:color w:val="auto"/>
          <w:kern w:val="0"/>
          <w:sz w:val="24"/>
          <w:highlight w:val="none"/>
        </w:rPr>
        <w:t>乙方的人员配置</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1.  </w:t>
      </w:r>
      <w:r>
        <w:rPr>
          <w:rFonts w:hint="eastAsia" w:ascii="仿宋" w:hAnsi="仿宋" w:eastAsia="仿宋" w:cs="Arial"/>
          <w:b/>
          <w:snapToGrid w:val="0"/>
          <w:color w:val="auto"/>
          <w:kern w:val="0"/>
          <w:sz w:val="24"/>
          <w:highlight w:val="none"/>
        </w:rPr>
        <w:t>乙方的人员配置</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 xml:space="preserve">1.1乙方的项目总负责人             ，身份证号码：                     </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1.2乙方必须采取措施，确保乙方人员稳定，特别是骨干人员。骨干人员变动须经甲方同意，其他人员变动须甲方备案。</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1.3乙方项目总负责人及部门负责人须及时与甲方沟通，第一时间报告重大、紧急事件；每月须向甲方汇报上月工作情况，并提供相关报告。</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w:t>
      </w:r>
      <w:r>
        <w:rPr>
          <w:rFonts w:hint="eastAsia" w:ascii="仿宋" w:hAnsi="仿宋" w:eastAsia="仿宋" w:cs="Arial"/>
          <w:b/>
          <w:snapToGrid w:val="0"/>
          <w:color w:val="auto"/>
          <w:kern w:val="0"/>
          <w:sz w:val="24"/>
          <w:highlight w:val="none"/>
        </w:rPr>
        <w:t xml:space="preserve"> 物业人员要求</w:t>
      </w:r>
      <w:r>
        <w:rPr>
          <w:rFonts w:hint="eastAsia" w:ascii="仿宋" w:hAnsi="仿宋" w:eastAsia="仿宋" w:cs="Arial"/>
          <w:snapToGrid w:val="0"/>
          <w:color w:val="auto"/>
          <w:kern w:val="0"/>
          <w:sz w:val="24"/>
          <w:highlight w:val="none"/>
        </w:rPr>
        <w:t>：</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（1）所有相关人员的配备须获得相关主管部门认证的，须配证并持证上岗，且根据不同岗位统一着装。</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（2）所有相关人员要求政治上可靠，身体素质好，无不良行为记录。</w:t>
      </w:r>
    </w:p>
    <w:p>
      <w:pPr>
        <w:snapToGrid w:val="0"/>
        <w:spacing w:line="360" w:lineRule="auto"/>
        <w:ind w:firstLine="480" w:firstLineChars="200"/>
        <w:rPr>
          <w:rFonts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（3）重要岗位人员必须由甲方人事部门考核、政治审查通过方可录用。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s="Arial"/>
          <w:snapToGrid w:val="0"/>
          <w:color w:val="auto"/>
          <w:kern w:val="0"/>
          <w:sz w:val="24"/>
          <w:highlight w:val="none"/>
        </w:rPr>
        <w:t>（4）为提高物业管理水平，所有物业人员还需进行宾馆礼仪的培训。除乙方对服务人员的培训外，需接受甲方对服务人员的集中进行培训，培训费用由乙方承担。</w:t>
      </w:r>
    </w:p>
    <w:p>
      <w:pPr>
        <w:autoSpaceDE w:val="0"/>
        <w:autoSpaceDN w:val="0"/>
        <w:snapToGrid w:val="0"/>
        <w:spacing w:line="360" w:lineRule="auto"/>
        <w:ind w:firstLine="482" w:firstLineChars="200"/>
        <w:jc w:val="left"/>
        <w:rPr>
          <w:rFonts w:ascii="仿宋" w:hAnsi="仿宋" w:eastAsia="仿宋"/>
          <w:b/>
          <w:color w:val="auto"/>
          <w:kern w:val="0"/>
          <w:sz w:val="24"/>
          <w:highlight w:val="none"/>
          <w:lang w:val="zh-CN"/>
        </w:rPr>
      </w:pPr>
      <w:r>
        <w:rPr>
          <w:rFonts w:hint="eastAsia" w:ascii="仿宋" w:hAnsi="仿宋" w:eastAsia="仿宋"/>
          <w:b/>
          <w:color w:val="auto"/>
          <w:sz w:val="24"/>
          <w:highlight w:val="none"/>
        </w:rPr>
        <w:t xml:space="preserve">第十七条 </w:t>
      </w:r>
      <w:r>
        <w:rPr>
          <w:rFonts w:hint="eastAsia" w:ascii="仿宋" w:hAnsi="仿宋" w:eastAsia="仿宋"/>
          <w:b/>
          <w:color w:val="auto"/>
          <w:kern w:val="0"/>
          <w:sz w:val="24"/>
          <w:highlight w:val="none"/>
          <w:lang w:val="zh-CN"/>
        </w:rPr>
        <w:t>争议处理</w:t>
      </w:r>
    </w:p>
    <w:p>
      <w:pPr>
        <w:autoSpaceDE w:val="0"/>
        <w:autoSpaceDN w:val="0"/>
        <w:snapToGrid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sz w:val="24"/>
          <w:highlight w:val="none"/>
        </w:rPr>
        <w:t>1．</w:t>
      </w:r>
      <w:r>
        <w:rPr>
          <w:rFonts w:hint="eastAsia" w:ascii="仿宋" w:hAnsi="仿宋" w:eastAsia="仿宋"/>
          <w:color w:val="auto"/>
          <w:kern w:val="0"/>
          <w:sz w:val="24"/>
          <w:highlight w:val="none"/>
          <w:lang w:val="zh-CN"/>
        </w:rPr>
        <w:t>合同在履行过程中发生争议时，甲方与乙方及时协商解决。协商不成时，提请杭州仲裁委员会根据仲裁规则仲裁。</w:t>
      </w:r>
    </w:p>
    <w:p>
      <w:pPr>
        <w:snapToGrid w:val="0"/>
        <w:spacing w:line="360" w:lineRule="auto"/>
        <w:ind w:firstLine="480" w:firstLineChars="200"/>
        <w:rPr>
          <w:rFonts w:ascii="仿宋" w:hAnsi="仿宋" w:eastAsia="仿宋"/>
          <w:b/>
          <w:color w:val="auto"/>
          <w:kern w:val="0"/>
          <w:sz w:val="24"/>
          <w:highlight w:val="none"/>
          <w:lang w:val="zh-CN"/>
        </w:rPr>
      </w:pPr>
      <w:r>
        <w:rPr>
          <w:rFonts w:hint="eastAsia" w:ascii="仿宋" w:hAnsi="仿宋" w:eastAsia="仿宋"/>
          <w:color w:val="auto"/>
          <w:sz w:val="24"/>
          <w:highlight w:val="none"/>
        </w:rPr>
        <w:t>2．</w:t>
      </w:r>
      <w:r>
        <w:rPr>
          <w:rFonts w:hint="eastAsia" w:ascii="仿宋" w:hAnsi="仿宋" w:eastAsia="仿宋"/>
          <w:color w:val="auto"/>
          <w:kern w:val="0"/>
          <w:sz w:val="24"/>
          <w:highlight w:val="none"/>
          <w:lang w:val="zh-CN"/>
        </w:rPr>
        <w:t>对于因违反或终止合同而引起的损失、损害的赔偿，由甲方与乙方友好协商解决，经协商仍未能达成一致的，提交杭州仲裁委员会仲裁。</w:t>
      </w:r>
    </w:p>
    <w:p>
      <w:pPr>
        <w:autoSpaceDE w:val="0"/>
        <w:autoSpaceDN w:val="0"/>
        <w:snapToGrid w:val="0"/>
        <w:spacing w:line="360" w:lineRule="auto"/>
        <w:ind w:firstLine="482" w:firstLineChars="200"/>
        <w:jc w:val="left"/>
        <w:rPr>
          <w:rFonts w:ascii="仿宋" w:hAnsi="仿宋" w:eastAsia="仿宋"/>
          <w:b/>
          <w:color w:val="auto"/>
          <w:kern w:val="0"/>
          <w:sz w:val="24"/>
          <w:highlight w:val="none"/>
          <w:lang w:val="zh-CN"/>
        </w:rPr>
      </w:pPr>
      <w:r>
        <w:rPr>
          <w:rFonts w:hint="eastAsia" w:ascii="仿宋" w:hAnsi="仿宋" w:eastAsia="仿宋"/>
          <w:b/>
          <w:color w:val="auto"/>
          <w:sz w:val="24"/>
          <w:highlight w:val="none"/>
        </w:rPr>
        <w:t xml:space="preserve">第十八条 </w:t>
      </w:r>
      <w:r>
        <w:rPr>
          <w:rFonts w:hint="eastAsia" w:ascii="仿宋" w:hAnsi="仿宋" w:eastAsia="仿宋"/>
          <w:b/>
          <w:color w:val="auto"/>
          <w:kern w:val="0"/>
          <w:sz w:val="24"/>
          <w:highlight w:val="none"/>
          <w:lang w:val="zh-CN"/>
        </w:rPr>
        <w:t>其他</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sz w:val="24"/>
          <w:highlight w:val="none"/>
        </w:rPr>
        <w:t>1．</w:t>
      </w:r>
      <w:r>
        <w:rPr>
          <w:rFonts w:hint="eastAsia" w:ascii="仿宋" w:hAnsi="仿宋" w:eastAsia="仿宋"/>
          <w:color w:val="auto"/>
          <w:kern w:val="0"/>
          <w:sz w:val="24"/>
          <w:highlight w:val="none"/>
          <w:lang w:val="zh-CN"/>
        </w:rPr>
        <w:t>本合同（□是  □否）为可融资合同，关于中小企业信用融资事项可登陆杭州市政府采购网（http://cg.hzft.gov.cn）“中小企业信用融资”专栏进行查询。</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sz w:val="24"/>
          <w:highlight w:val="none"/>
        </w:rPr>
        <w:t>2．</w:t>
      </w:r>
      <w:r>
        <w:rPr>
          <w:rFonts w:hint="eastAsia" w:ascii="仿宋" w:hAnsi="仿宋" w:eastAsia="仿宋"/>
          <w:color w:val="auto"/>
          <w:kern w:val="0"/>
          <w:sz w:val="24"/>
          <w:highlight w:val="none"/>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sz w:val="24"/>
          <w:highlight w:val="none"/>
        </w:rPr>
        <w:t>3．</w:t>
      </w:r>
      <w:r>
        <w:rPr>
          <w:rFonts w:hint="eastAsia" w:ascii="仿宋" w:hAnsi="仿宋" w:eastAsia="仿宋"/>
          <w:color w:val="auto"/>
          <w:kern w:val="0"/>
          <w:sz w:val="24"/>
          <w:highlight w:val="none"/>
          <w:lang w:val="zh-CN"/>
        </w:rPr>
        <w:t>乙方不得参与可能与合同规定的与甲方的利益相冲突的任何活动。</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sz w:val="24"/>
          <w:highlight w:val="none"/>
        </w:rPr>
        <w:t>4．</w:t>
      </w:r>
      <w:r>
        <w:rPr>
          <w:rFonts w:hint="eastAsia" w:ascii="仿宋" w:hAnsi="仿宋" w:eastAsia="仿宋"/>
          <w:color w:val="auto"/>
          <w:kern w:val="0"/>
          <w:sz w:val="24"/>
          <w:highlight w:val="none"/>
          <w:lang w:val="zh-CN"/>
        </w:rPr>
        <w:t>乙方人员在甲方场地工作时，应遵守甲方相关规章、制度。</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6．合同履行期内甲乙双方均不得随意变更或解除合同。合同若有未尽事宜，需经双方共同协商，订立补充协议，补充协议与本合同有同等法律效力。</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7．投标文件（编号：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8．本合同一式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份，甲方执</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份、乙方执</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9．适用法律：本合同应按照中华人民共和国的法律进行解释。</w:t>
      </w:r>
    </w:p>
    <w:p>
      <w:pPr>
        <w:snapToGrid w:val="0"/>
        <w:spacing w:line="360" w:lineRule="auto"/>
        <w:ind w:firstLine="480" w:firstLineChars="200"/>
        <w:rPr>
          <w:rFonts w:ascii="仿宋" w:hAnsi="仿宋" w:eastAsia="仿宋"/>
          <w:color w:val="auto"/>
          <w:sz w:val="24"/>
          <w:highlight w:val="none"/>
        </w:rPr>
      </w:pPr>
    </w:p>
    <w:p>
      <w:pPr>
        <w:snapToGrid w:val="0"/>
        <w:spacing w:line="360" w:lineRule="auto"/>
        <w:ind w:firstLine="480" w:firstLineChars="200"/>
        <w:rPr>
          <w:rFonts w:ascii="仿宋" w:hAnsi="仿宋" w:eastAsia="仿宋"/>
          <w:color w:val="auto"/>
          <w:sz w:val="24"/>
          <w:highlight w:val="none"/>
        </w:rPr>
      </w:pP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甲方（盖章）：                             乙方（盖章）：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法定代表人或受委托人（签字）：             法定代表人或受委托人（签字）：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联系人：                                  联系人：</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地址：                                    地址：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电话和传真：                              电话传真：</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开户银行：                                开户银行：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帐号：                                    帐号：                                           </w:t>
      </w:r>
    </w:p>
    <w:p>
      <w:pPr>
        <w:snapToGrid w:val="0"/>
        <w:spacing w:line="360" w:lineRule="auto"/>
        <w:ind w:firstLine="480" w:firstLineChars="200"/>
        <w:rPr>
          <w:rFonts w:ascii="仿宋" w:hAnsi="仿宋" w:eastAsia="仿宋"/>
          <w:color w:val="auto"/>
          <w:sz w:val="24"/>
          <w:highlight w:val="none"/>
        </w:rPr>
      </w:pPr>
    </w:p>
    <w:p>
      <w:pPr>
        <w:snapToGrid w:val="0"/>
        <w:spacing w:line="360" w:lineRule="auto"/>
        <w:ind w:firstLine="480" w:firstLineChars="200"/>
        <w:rPr>
          <w:rFonts w:ascii="仿宋" w:hAnsi="仿宋" w:eastAsia="仿宋"/>
          <w:color w:val="auto"/>
          <w:sz w:val="24"/>
          <w:highlight w:val="none"/>
        </w:rPr>
      </w:pPr>
    </w:p>
    <w:p>
      <w:pPr>
        <w:snapToGrid w:val="0"/>
        <w:spacing w:line="360" w:lineRule="auto"/>
        <w:ind w:firstLine="480" w:firstLineChars="200"/>
        <w:rPr>
          <w:rFonts w:ascii="仿宋" w:hAnsi="仿宋" w:eastAsia="仿宋"/>
          <w:color w:val="auto"/>
          <w:sz w:val="24"/>
          <w:highlight w:val="none"/>
        </w:rPr>
      </w:pPr>
    </w:p>
    <w:p>
      <w:pPr>
        <w:snapToGrid w:val="0"/>
        <w:spacing w:line="360" w:lineRule="auto"/>
        <w:ind w:right="1920"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 xml:space="preserve">                                   签 约 地 点：</w:t>
      </w:r>
    </w:p>
    <w:p>
      <w:pPr>
        <w:pStyle w:val="58"/>
        <w:snapToGrid w:val="0"/>
        <w:spacing w:line="360" w:lineRule="auto"/>
        <w:ind w:firstLine="480" w:firstLineChars="200"/>
        <w:rPr>
          <w:rFonts w:ascii="仿宋" w:hAnsi="仿宋" w:eastAsia="仿宋"/>
          <w:color w:val="auto"/>
          <w:szCs w:val="24"/>
          <w:highlight w:val="none"/>
        </w:rPr>
      </w:pPr>
      <w:r>
        <w:rPr>
          <w:rFonts w:hint="eastAsia" w:ascii="仿宋" w:hAnsi="仿宋" w:eastAsia="仿宋"/>
          <w:b w:val="0"/>
          <w:color w:val="auto"/>
          <w:szCs w:val="24"/>
          <w:highlight w:val="none"/>
        </w:rPr>
        <w:t xml:space="preserve">                               签约日期：</w:t>
      </w:r>
      <w:r>
        <w:rPr>
          <w:rFonts w:hint="eastAsia" w:ascii="仿宋" w:hAnsi="仿宋" w:eastAsia="仿宋"/>
          <w:b w:val="0"/>
          <w:color w:val="auto"/>
          <w:szCs w:val="24"/>
          <w:highlight w:val="none"/>
          <w:lang w:eastAsia="zh-CN"/>
        </w:rPr>
        <w:t xml:space="preserve"> </w:t>
      </w:r>
      <w:r>
        <w:rPr>
          <w:rFonts w:hint="eastAsia" w:ascii="仿宋" w:hAnsi="仿宋" w:eastAsia="仿宋"/>
          <w:b w:val="0"/>
          <w:color w:val="auto"/>
          <w:szCs w:val="24"/>
          <w:highlight w:val="none"/>
        </w:rPr>
        <w:t>年   月    日</w:t>
      </w:r>
    </w:p>
    <w:bookmarkEnd w:id="34"/>
    <w:p>
      <w:pPr>
        <w:snapToGrid w:val="0"/>
        <w:spacing w:line="360" w:lineRule="auto"/>
        <w:jc w:val="center"/>
        <w:rPr>
          <w:rFonts w:ascii="仿宋_GB2312" w:hAnsi="仿宋" w:eastAsia="仿宋_GB2312" w:cs="仿宋_GB2312"/>
          <w:b/>
          <w:color w:val="auto"/>
          <w:sz w:val="36"/>
          <w:szCs w:val="20"/>
          <w:highlight w:val="none"/>
        </w:rPr>
      </w:pPr>
      <w:bookmarkStart w:id="400" w:name="第五部分"/>
      <w:bookmarkStart w:id="401" w:name="_Toc86217003"/>
      <w:r>
        <w:rPr>
          <w:rFonts w:hint="eastAsia" w:ascii="仿宋_GB2312" w:hAnsi="仿宋" w:eastAsia="仿宋_GB2312" w:cs="仿宋_GB2312"/>
          <w:b/>
          <w:color w:val="auto"/>
          <w:sz w:val="36"/>
          <w:szCs w:val="20"/>
          <w:highlight w:val="none"/>
        </w:rPr>
        <w:t>第六部分</w:t>
      </w:r>
      <w:bookmarkEnd w:id="400"/>
      <w:r>
        <w:rPr>
          <w:rFonts w:hint="eastAsia" w:ascii="仿宋_GB2312" w:hAnsi="仿宋" w:eastAsia="仿宋_GB2312" w:cs="仿宋_GB2312"/>
          <w:b/>
          <w:color w:val="auto"/>
          <w:sz w:val="36"/>
          <w:szCs w:val="20"/>
          <w:highlight w:val="none"/>
        </w:rPr>
        <w:t xml:space="preserve"> </w:t>
      </w:r>
      <w:bookmarkEnd w:id="401"/>
      <w:r>
        <w:rPr>
          <w:rFonts w:hint="eastAsia" w:ascii="仿宋_GB2312" w:hAnsi="仿宋" w:eastAsia="仿宋_GB2312" w:cs="仿宋_GB2312"/>
          <w:b/>
          <w:color w:val="auto"/>
          <w:sz w:val="36"/>
          <w:szCs w:val="20"/>
          <w:highlight w:val="none"/>
        </w:rPr>
        <w:t>应提交的有关格式范例</w:t>
      </w:r>
    </w:p>
    <w:p>
      <w:pPr>
        <w:spacing w:line="360" w:lineRule="auto"/>
        <w:ind w:firstLine="480" w:firstLineChars="200"/>
        <w:outlineLvl w:val="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投标人按照以下格式编制投标文件。</w:t>
      </w:r>
    </w:p>
    <w:p>
      <w:pPr>
        <w:spacing w:line="360" w:lineRule="auto"/>
        <w:jc w:val="center"/>
        <w:outlineLvl w:val="0"/>
        <w:rPr>
          <w:rFonts w:ascii="仿宋_GB2312" w:hAnsi="仿宋" w:eastAsia="仿宋_GB2312" w:cs="仿宋_GB2312"/>
          <w:color w:val="auto"/>
          <w:sz w:val="36"/>
          <w:szCs w:val="36"/>
          <w:highlight w:val="none"/>
          <w:lang w:val="zh-CN"/>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color w:val="auto"/>
          <w:sz w:val="36"/>
          <w:szCs w:val="36"/>
          <w:highlight w:val="none"/>
          <w:lang w:val="zh-CN"/>
        </w:rPr>
        <w:t xml:space="preserve"> </w:t>
      </w: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（2）法人授权书 ……………………………………………………………………（页码）</w:t>
      </w:r>
    </w:p>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（3）授权代表的身份证（复印件）………………………………………………（页码）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（4）符合参与政府采购活动的资格条件并且没有税收缴纳、社会保障等方面的失信记录的承诺函……………………………………………………………………………（页码）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（5）具有履行合同所必需的设备和专业技术能力的承诺函………………………（页码）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（6）参加政府采购活动前三年内，在经营活动中没有重大违法记录的声明</w:t>
      </w:r>
      <w:r>
        <w:rPr>
          <w:rFonts w:hint="eastAsia" w:ascii="仿宋_GB2312" w:hAnsi="仿宋" w:eastAsia="仿宋_GB2312" w:cs="仿宋_GB2312"/>
          <w:color w:val="auto"/>
          <w:kern w:val="0"/>
          <w:sz w:val="24"/>
          <w:highlight w:val="none"/>
        </w:rPr>
        <w:t xml:space="preserve"> …（页码）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（7）具有良好商业信誉特别声明</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w:t>
      </w:r>
      <w:r>
        <w:rPr>
          <w:rFonts w:hint="eastAsia" w:ascii="仿宋_GB2312" w:hAnsi="仿宋" w:eastAsia="仿宋_GB2312" w:cs="仿宋_GB2312"/>
          <w:color w:val="auto"/>
          <w:sz w:val="24"/>
          <w:highlight w:val="none"/>
        </w:rPr>
        <w:t>符合特定资格条件（如果项目要求）的有关证明材料（复印件）</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（9）</w:t>
      </w: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highlight w:val="none"/>
        </w:rPr>
        <w:t>…………………………………………………（页码）</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en-US" w:eastAsia="zh-CN"/>
        </w:rPr>
        <w:t>10</w:t>
      </w:r>
      <w:r>
        <w:rPr>
          <w:rFonts w:hint="eastAsia" w:ascii="仿宋_GB2312" w:hAnsi="仿宋" w:eastAsia="仿宋_GB2312" w:cs="仿宋_GB2312"/>
          <w:color w:val="auto"/>
          <w:kern w:val="0"/>
          <w:sz w:val="24"/>
          <w:highlight w:val="none"/>
        </w:rPr>
        <w:t>）中小企业声明函…………………………………………………………………（页码）</w:t>
      </w:r>
    </w:p>
    <w:p>
      <w:pPr>
        <w:snapToGrid w:val="0"/>
        <w:spacing w:line="360" w:lineRule="auto"/>
        <w:rPr>
          <w:rFonts w:hint="eastAsia" w:ascii="仿宋_GB2312" w:hAnsi="仿宋" w:eastAsia="仿宋_GB2312" w:cs="仿宋_GB2312"/>
          <w:color w:val="auto"/>
          <w:kern w:val="0"/>
          <w:sz w:val="24"/>
          <w:highlight w:val="none"/>
        </w:rPr>
      </w:pPr>
    </w:p>
    <w:p>
      <w:pPr>
        <w:snapToGrid w:val="0"/>
        <w:spacing w:line="360" w:lineRule="auto"/>
        <w:rPr>
          <w:rFonts w:ascii="仿宋_GB2312" w:hAnsi="仿宋" w:eastAsia="仿宋_GB2312" w:cs="仿宋_GB2312"/>
          <w:color w:val="auto"/>
          <w:kern w:val="0"/>
          <w:sz w:val="24"/>
          <w:highlight w:val="none"/>
        </w:rPr>
      </w:pPr>
    </w:p>
    <w:p>
      <w:pPr>
        <w:snapToGrid w:val="0"/>
        <w:spacing w:line="360" w:lineRule="auto"/>
        <w:rPr>
          <w:rFonts w:ascii="仿宋_GB2312" w:hAnsi="仿宋" w:eastAsia="仿宋_GB2312" w:cs="仿宋_GB2312"/>
          <w:color w:val="auto"/>
          <w:kern w:val="0"/>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lang w:val="zh-CN"/>
        </w:rPr>
        <w:t>一、营业执照(或事业法人登记证或其他工商等登记证明材料)复印件（投标人为自然人的，须提供自然人的身份证明）</w:t>
      </w: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color w:val="auto"/>
          <w:sz w:val="30"/>
          <w:szCs w:val="30"/>
          <w:highlight w:val="none"/>
        </w:rPr>
      </w:pP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ind w:firstLine="2570" w:firstLineChars="800"/>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二、法人授权书</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兹委派我公司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先生/女士(其在本公司的职务是：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)，代表我公司全权处理</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kern w:val="0"/>
          <w:sz w:val="24"/>
          <w:highlight w:val="none"/>
          <w:lang w:val="zh-CN"/>
        </w:rPr>
        <w:t>【招标编号：HZZFCG-2021-184】政府采购投标的一切事项，若中标则全权代表本公司签订相关合同，并负责处理合同履行等事宜。</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签发日期：  年  月   日</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r>
        <w:rPr>
          <w:rFonts w:hint="eastAsia" w:ascii="仿宋_GB2312" w:hAnsi="仿宋" w:eastAsia="仿宋_GB2312" w:cs="仿宋_GB2312"/>
          <w:b/>
          <w:color w:val="auto"/>
          <w:kern w:val="0"/>
          <w:sz w:val="32"/>
          <w:szCs w:val="32"/>
          <w:highlight w:val="none"/>
          <w:lang w:val="zh-CN"/>
        </w:rPr>
        <w:t xml:space="preserve">   联合体投标授权书（适用联合体投标）</w:t>
      </w:r>
    </w:p>
    <w:p>
      <w:pPr>
        <w:snapToGrid w:val="0"/>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（扫描件加盖上传公司电子签名）</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)；……，代表本联合体全权处理</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kern w:val="0"/>
          <w:sz w:val="24"/>
          <w:highlight w:val="none"/>
          <w:lang w:val="zh-CN"/>
        </w:rPr>
        <w:t>【招标编号：HZZFCG-2021-184】政府采购投标的一切事项，若中标则全权代表本联合体签订相关合同，并负责处理合同履行等事宜。</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单位：          （公章或电子签名）单位：          （公章或电子签名）</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pacing w:line="360" w:lineRule="auto"/>
        <w:rPr>
          <w:rFonts w:ascii="仿宋_GB2312" w:hAnsi="仿宋" w:eastAsia="仿宋_GB2312" w:cs="仿宋_GB2312"/>
          <w:color w:val="auto"/>
          <w:sz w:val="28"/>
          <w:szCs w:val="28"/>
          <w:highlight w:val="none"/>
        </w:rPr>
      </w:pPr>
    </w:p>
    <w:p>
      <w:pPr>
        <w:spacing w:line="360" w:lineRule="auto"/>
        <w:rPr>
          <w:rFonts w:ascii="仿宋_GB2312" w:hAnsi="仿宋" w:eastAsia="仿宋_GB2312" w:cs="仿宋_GB2312"/>
          <w:color w:val="auto"/>
          <w:sz w:val="28"/>
          <w:szCs w:val="28"/>
          <w:highlight w:val="none"/>
        </w:rPr>
      </w:pP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b/>
          <w:bCs/>
          <w:color w:val="auto"/>
          <w:sz w:val="30"/>
          <w:szCs w:val="30"/>
          <w:highlight w:val="none"/>
        </w:rPr>
        <w:br w:type="page"/>
      </w:r>
      <w:r>
        <w:rPr>
          <w:rFonts w:hint="eastAsia" w:ascii="仿宋_GB2312" w:hAnsi="仿宋" w:eastAsia="仿宋_GB2312" w:cs="仿宋_GB2312"/>
          <w:b/>
          <w:bCs/>
          <w:color w:val="auto"/>
          <w:sz w:val="30"/>
          <w:szCs w:val="30"/>
          <w:highlight w:val="none"/>
        </w:rPr>
        <w:t>三、</w:t>
      </w:r>
      <w:r>
        <w:rPr>
          <w:rFonts w:hint="eastAsia" w:ascii="仿宋_GB2312" w:hAnsi="仿宋" w:eastAsia="仿宋_GB2312" w:cs="仿宋_GB2312"/>
          <w:b/>
          <w:color w:val="auto"/>
          <w:sz w:val="30"/>
          <w:szCs w:val="30"/>
          <w:highlight w:val="none"/>
        </w:rPr>
        <w:t>授权代表的身份证（复印件）</w:t>
      </w:r>
    </w:p>
    <w:p>
      <w:pPr>
        <w:pStyle w:val="65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65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                                 反面：</w:t>
            </w:r>
          </w:p>
          <w:p>
            <w:pPr>
              <w:pStyle w:val="658"/>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color w:val="auto"/>
          <w:kern w:val="0"/>
          <w:sz w:val="24"/>
          <w:highlight w:val="none"/>
          <w:lang w:val="zh-CN"/>
        </w:rPr>
      </w:pPr>
    </w:p>
    <w:p>
      <w:pPr>
        <w:spacing w:line="360" w:lineRule="auto"/>
        <w:jc w:val="center"/>
        <w:rPr>
          <w:rFonts w:ascii="仿宋_GB2312" w:hAnsi="仿宋" w:eastAsia="仿宋_GB2312" w:cs="仿宋_GB2312"/>
          <w:b/>
          <w:color w:val="auto"/>
          <w:sz w:val="30"/>
          <w:szCs w:val="30"/>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四、</w:t>
      </w:r>
      <w:r>
        <w:rPr>
          <w:rFonts w:hint="eastAsia" w:ascii="仿宋_GB2312" w:hAnsi="仿宋" w:eastAsia="仿宋_GB2312" w:cs="仿宋_GB2312"/>
          <w:b/>
          <w:color w:val="auto"/>
          <w:kern w:val="0"/>
          <w:sz w:val="32"/>
          <w:szCs w:val="32"/>
          <w:highlight w:val="none"/>
        </w:rPr>
        <w:t>符合参与政府采购活动的资格条件并且没有税收缴纳、社会保障等方面的失信记录的承诺函</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我方郑重承诺，我方符合参与</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kern w:val="0"/>
          <w:sz w:val="24"/>
          <w:highlight w:val="none"/>
          <w:lang w:val="zh-CN"/>
        </w:rPr>
        <w:t>【招标编号：HZZFCG-2021-184】</w:t>
      </w:r>
      <w:r>
        <w:rPr>
          <w:rFonts w:hint="eastAsia" w:ascii="仿宋_GB2312" w:hAnsi="仿宋" w:eastAsia="仿宋_GB2312" w:cs="仿宋_GB2312"/>
          <w:color w:val="auto"/>
          <w:sz w:val="24"/>
          <w:highlight w:val="none"/>
        </w:rPr>
        <w:t>政府采购活动的资格条件并且没有税收缴纳、社会保障等方面的失信记录。</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r>
        <w:rPr>
          <w:rFonts w:hint="eastAsia" w:ascii="仿宋_GB2312" w:hAnsi="仿宋" w:eastAsia="仿宋_GB2312" w:cs="仿宋_GB2312"/>
          <w:b/>
          <w:color w:val="auto"/>
          <w:kern w:val="0"/>
          <w:sz w:val="32"/>
          <w:szCs w:val="32"/>
          <w:highlight w:val="none"/>
        </w:rPr>
        <w:t>五、具有履行合同所必需的设备和专业技术能力的承诺函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我方郑重承诺，我方具有履行</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lang w:eastAsia="zh-CN"/>
        </w:rPr>
        <w:t>HZZFCG-2021-184</w:t>
      </w:r>
      <w:r>
        <w:rPr>
          <w:rFonts w:hint="eastAsia" w:ascii="仿宋_GB2312" w:hAnsi="仿宋" w:eastAsia="仿宋_GB2312" w:cs="仿宋_GB2312"/>
          <w:color w:val="auto"/>
          <w:sz w:val="24"/>
          <w:highlight w:val="none"/>
        </w:rPr>
        <w:t>】合同所必需的设备和专业技术能力。如中标，我方将保证合同顺利履行。</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p>
    <w:p>
      <w:pPr>
        <w:spacing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六、参加政府采购活动前三年内，在经营活动中</w:t>
      </w: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没有重大违法记录的声明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我方</w:t>
      </w:r>
      <w:r>
        <w:rPr>
          <w:rFonts w:hint="eastAsia" w:ascii="仿宋_GB2312" w:hAnsi="仿宋" w:eastAsia="仿宋_GB2312" w:cs="仿宋_GB2312"/>
          <w:color w:val="auto"/>
          <w:sz w:val="24"/>
          <w:highlight w:val="none"/>
        </w:rPr>
        <w:t>声明投标截止时间前三年，在</w:t>
      </w:r>
      <w:r>
        <w:rPr>
          <w:rFonts w:hint="eastAsia" w:ascii="仿宋_GB2312" w:hAnsi="仿宋" w:eastAsia="仿宋_GB2312" w:cs="仿宋_GB2312"/>
          <w:color w:val="auto"/>
          <w:kern w:val="0"/>
          <w:sz w:val="24"/>
          <w:highlight w:val="none"/>
        </w:rPr>
        <w:t>经营活动中</w:t>
      </w:r>
      <w:r>
        <w:rPr>
          <w:rFonts w:hint="eastAsia" w:ascii="仿宋_GB2312" w:hAnsi="仿宋" w:eastAsia="仿宋_GB2312" w:cs="仿宋_GB2312"/>
          <w:color w:val="auto"/>
          <w:sz w:val="24"/>
          <w:highlight w:val="none"/>
        </w:rPr>
        <w:t xml:space="preserve">没有重大违法记录。 </w:t>
      </w: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5160" w:firstLineChars="2150"/>
        <w:rPr>
          <w:rFonts w:ascii="仿宋_GB2312" w:hAnsi="仿宋" w:eastAsia="仿宋_GB2312" w:cs="仿宋_GB2312"/>
          <w:color w:val="auto"/>
          <w:kern w:val="0"/>
          <w:sz w:val="24"/>
          <w:highlight w:val="none"/>
          <w:lang w:val="zh-CN"/>
        </w:rPr>
      </w:pPr>
    </w:p>
    <w:p>
      <w:pPr>
        <w:snapToGrid w:val="0"/>
        <w:spacing w:line="360" w:lineRule="auto"/>
        <w:ind w:firstLine="1606" w:firstLineChars="500"/>
        <w:rPr>
          <w:rFonts w:ascii="仿宋_GB2312" w:hAnsi="仿宋" w:eastAsia="仿宋_GB2312" w:cs="仿宋_GB2312"/>
          <w:b/>
          <w:color w:val="auto"/>
          <w:kern w:val="0"/>
          <w:sz w:val="32"/>
          <w:szCs w:val="32"/>
          <w:highlight w:val="none"/>
        </w:rPr>
      </w:pPr>
    </w:p>
    <w:p>
      <w:pPr>
        <w:snapToGrid w:val="0"/>
        <w:spacing w:line="360" w:lineRule="auto"/>
        <w:ind w:firstLine="1606" w:firstLineChars="5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七、具有良好商业信誉特别声明</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48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rPr>
        <w:t>截至投标截止时间，我方具有良好的商业信誉，不存在下列情形（包括但不限于）。否则，我方将承担在资格审查时不被通过的后果。</w:t>
      </w:r>
    </w:p>
    <w:p>
      <w:pPr>
        <w:pStyle w:val="238"/>
        <w:spacing w:before="0"/>
        <w:ind w:firstLine="495" w:firstLineChars="0"/>
        <w:rPr>
          <w:rFonts w:ascii="仿宋_GB2312" w:hAnsi="仿宋" w:eastAsia="仿宋_GB2312"/>
          <w:color w:val="auto"/>
          <w:highlight w:val="none"/>
        </w:rPr>
      </w:pPr>
      <w:r>
        <w:rPr>
          <w:rFonts w:hint="eastAsia" w:ascii="仿宋_GB2312" w:hAnsi="仿宋" w:eastAsia="仿宋_GB2312"/>
          <w:color w:val="auto"/>
          <w:highlight w:val="none"/>
        </w:rPr>
        <w:t>1</w:t>
      </w:r>
      <w:r>
        <w:rPr>
          <w:rFonts w:hint="eastAsia" w:ascii="仿宋_GB2312" w:hAnsi="仿宋" w:eastAsia="仿宋_GB2312" w:cs="仿宋_GB2312"/>
          <w:b/>
          <w:color w:val="auto"/>
          <w:szCs w:val="24"/>
          <w:highlight w:val="none"/>
        </w:rPr>
        <w:t>、</w:t>
      </w:r>
      <w:r>
        <w:rPr>
          <w:rFonts w:hint="eastAsia" w:ascii="仿宋_GB2312" w:hAnsi="仿宋" w:eastAsia="仿宋_GB2312"/>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color w:val="auto"/>
          <w:sz w:val="24"/>
          <w:highlight w:val="none"/>
        </w:rPr>
      </w:pPr>
    </w:p>
    <w:p>
      <w:pPr>
        <w:snapToGrid w:val="0"/>
        <w:spacing w:line="360" w:lineRule="auto"/>
        <w:ind w:firstLine="4680" w:firstLineChars="19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ascii="仿宋_GB2312" w:hAnsi="仿宋" w:eastAsia="仿宋_GB2312" w:cs="仿宋_GB2312"/>
          <w:b/>
          <w:color w:val="auto"/>
          <w:sz w:val="30"/>
          <w:szCs w:val="30"/>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八、特定资格条件要求的资质文件（复印件）</w:t>
      </w:r>
    </w:p>
    <w:p>
      <w:pPr>
        <w:widowControl/>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widowControl/>
        <w:spacing w:line="360" w:lineRule="auto"/>
        <w:ind w:firstLine="480" w:firstLineChars="200"/>
        <w:jc w:val="left"/>
        <w:rPr>
          <w:rFonts w:ascii="仿宋_GB2312" w:hAnsi="仿宋" w:eastAsia="仿宋_GB2312" w:cs="仿宋_GB2312"/>
          <w:color w:val="auto"/>
          <w:sz w:val="24"/>
          <w:highlight w:val="none"/>
        </w:rPr>
      </w:pPr>
    </w:p>
    <w:p>
      <w:pPr>
        <w:snapToGrid w:val="0"/>
        <w:spacing w:before="50" w:after="50"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sz w:val="32"/>
          <w:szCs w:val="32"/>
          <w:highlight w:val="none"/>
        </w:rPr>
        <w:t>九</w:t>
      </w:r>
      <w:r>
        <w:rPr>
          <w:rFonts w:hint="eastAsia" w:ascii="仿宋_GB2312" w:hAnsi="仿宋" w:eastAsia="仿宋_GB2312" w:cs="仿宋_GB2312"/>
          <w:b/>
          <w:color w:val="auto"/>
          <w:sz w:val="30"/>
          <w:szCs w:val="30"/>
          <w:highlight w:val="none"/>
        </w:rPr>
        <w:t>、联合体协议（扫描件加盖上传公司电子签名）</w:t>
      </w:r>
    </w:p>
    <w:p>
      <w:pPr>
        <w:widowControl/>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乙方：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各方经协商一致，决定组成一个联合体，以一个投标人的身份就</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lang w:eastAsia="zh-CN"/>
        </w:rPr>
        <w:t>HZZFCG-2021-184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 xml:space="preserve">共同投标。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Arial"/>
          <w:color w:val="auto"/>
          <w:sz w:val="24"/>
          <w:highlight w:val="none"/>
        </w:rPr>
        <w:t>指定</w:t>
      </w:r>
      <w:r>
        <w:rPr>
          <w:rFonts w:hint="eastAsia" w:ascii="仿宋_GB2312" w:hAnsi="仿宋" w:eastAsia="仿宋_GB2312"/>
          <w:color w:val="auto"/>
          <w:highlight w:val="none"/>
          <w:u w:val="single"/>
        </w:rPr>
        <w:t xml:space="preserve">   </w:t>
      </w:r>
      <w:r>
        <w:rPr>
          <w:rFonts w:hint="eastAsia" w:ascii="仿宋_GB2312" w:hAnsi="仿宋" w:eastAsia="仿宋_GB2312" w:cs="Arial"/>
          <w:color w:val="auto"/>
          <w:sz w:val="24"/>
          <w:highlight w:val="none"/>
        </w:rPr>
        <w:t>方牵头人，代表所有联合体成员负责投标和合同实施阶段的主办、协调工作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三、本次联合投标中，分工如下：甲方承担的工作和义务为：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；乙方承担的工作和义务为：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甲方单位：        （公章或电子签名）   乙方单位：    （公章或电子签名）</w:t>
      </w:r>
    </w:p>
    <w:p>
      <w:pPr>
        <w:widowControl/>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firstLine="3614" w:firstLineChars="1000"/>
        <w:rPr>
          <w:rFonts w:ascii="仿宋_GB2312" w:hAnsi="仿宋" w:eastAsia="仿宋_GB2312" w:cs="仿宋_GB2312"/>
          <w:b/>
          <w:color w:val="auto"/>
          <w:kern w:val="0"/>
          <w:sz w:val="36"/>
          <w:szCs w:val="36"/>
          <w:highlight w:val="none"/>
        </w:rPr>
      </w:pPr>
    </w:p>
    <w:p>
      <w:pPr>
        <w:pStyle w:val="636"/>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p>
    <w:p>
      <w:pPr>
        <w:pStyle w:val="636"/>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p>
    <w:p>
      <w:pPr>
        <w:pStyle w:val="63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lang w:eastAsia="zh-CN"/>
        </w:rPr>
        <w:t>十</w:t>
      </w:r>
      <w:r>
        <w:rPr>
          <w:rFonts w:hint="eastAsia" w:ascii="仿宋_GB2312" w:hAnsi="仿宋" w:eastAsia="仿宋_GB2312" w:cs="仿宋_GB2312"/>
          <w:color w:val="auto"/>
          <w:kern w:val="2"/>
          <w:sz w:val="32"/>
          <w:szCs w:val="32"/>
          <w:highlight w:val="none"/>
        </w:rPr>
        <w:t>、中小企业声明函</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 xml:space="preserve">（标的名称） </w:t>
      </w:r>
      <w:r>
        <w:rPr>
          <w:rFonts w:hint="eastAsia"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万元，属于 </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 xml:space="preserve"> ；</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520"/>
        <w:jc w:val="center"/>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 xml:space="preserve">                                     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注：</w:t>
      </w:r>
      <w:r>
        <w:rPr>
          <w:rFonts w:hint="eastAsia" w:ascii="仿宋_GB2312" w:hAnsi="仿宋" w:eastAsia="仿宋_GB2312"/>
          <w:b/>
          <w:color w:val="auto"/>
          <w:sz w:val="24"/>
          <w:highlight w:val="none"/>
        </w:rPr>
        <w:t>投标人提供的中小企业声明函与实际情况不符的，不可享受政策优惠。</w:t>
      </w:r>
      <w:r>
        <w:rPr>
          <w:rFonts w:hint="eastAsia"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ascii="仿宋_GB2312" w:hAnsi="仿宋" w:eastAsia="仿宋_GB2312" w:cs="仿宋_GB2312"/>
          <w:color w:val="auto"/>
          <w:sz w:val="36"/>
          <w:szCs w:val="36"/>
          <w:highlight w:val="none"/>
        </w:rPr>
        <w:sectPr>
          <w:pgSz w:w="11906" w:h="16838"/>
          <w:pgMar w:top="1247" w:right="1418" w:bottom="1276" w:left="1418" w:header="851" w:footer="992" w:gutter="0"/>
          <w:cols w:space="720" w:num="1"/>
          <w:titlePg/>
          <w:docGrid w:linePitch="312" w:charSpace="0"/>
        </w:sectPr>
      </w:pPr>
    </w:p>
    <w:p>
      <w:pPr>
        <w:snapToGrid w:val="0"/>
        <w:spacing w:line="360" w:lineRule="auto"/>
        <w:ind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（1）投标响应函……………………………………………………（页码）</w:t>
      </w:r>
    </w:p>
    <w:p>
      <w:pPr>
        <w:spacing w:line="360" w:lineRule="auto"/>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（2）投标（开标）一览表…………………………………………（页码）</w:t>
      </w: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pacing w:line="360" w:lineRule="auto"/>
        <w:ind w:left="2" w:firstLine="480" w:firstLineChars="200"/>
        <w:rPr>
          <w:rFonts w:ascii="仿宋_GB2312" w:hAnsi="仿宋" w:eastAsia="仿宋_GB2312" w:cs="仿宋_GB2312"/>
          <w:color w:val="auto"/>
          <w:sz w:val="24"/>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一、投标响应</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(投标人全称)授权</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(全权代表姓名)</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(职务、职称)为全权代表，参加贵方组织的</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lang w:eastAsia="zh-CN"/>
        </w:rPr>
        <w:t>HZZFCG-2021-184</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1、我方同意在投标人</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(1)具有独立承担民事责任的能力；</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(2)遵守国家法律、行政法规，具有良好的信誉和商业道德；</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(3)具有履行合同的能力和良好的履行合同记录；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(4)良好的资金、财务状况；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(6)没有违反政府采购法规、政策的记录；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(7)没有发生重大经济纠纷和走私犯罪记录。</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3、我方中标后拟在中标后将</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工作分包，分包承担主体是</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，我方承诺分包承担主体具备相应资质条件</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，且不再次分包。（不再将工作进行分包或本项目不允许分包的，下划线处填写“/”。）</w:t>
      </w:r>
    </w:p>
    <w:p>
      <w:pPr>
        <w:pStyle w:val="32"/>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4、提供</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规定的全部投标文件</w:t>
      </w:r>
      <w:r>
        <w:rPr>
          <w:rFonts w:hint="eastAsia" w:ascii="仿宋_GB2312" w:hAnsi="仿宋" w:eastAsia="仿宋_GB2312" w:cs="仿宋_GB2312"/>
          <w:color w:val="auto"/>
          <w:kern w:val="44"/>
          <w:sz w:val="24"/>
          <w:highlight w:val="none"/>
        </w:rPr>
        <w:t>。</w:t>
      </w:r>
      <w:r>
        <w:rPr>
          <w:rFonts w:hint="eastAsia" w:ascii="仿宋_GB2312" w:hAnsi="仿宋" w:eastAsia="仿宋_GB2312" w:cs="仿宋_GB2312"/>
          <w:color w:val="auto"/>
          <w:sz w:val="24"/>
          <w:highlight w:val="none"/>
        </w:rPr>
        <w:t>具体内容为：</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(1)投标(开标)一览表；</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(2)投标</w:t>
      </w:r>
      <w:r>
        <w:rPr>
          <w:rFonts w:hint="eastAsia" w:ascii="仿宋_GB2312" w:hAnsi="仿宋" w:eastAsia="仿宋_GB2312" w:cs="仿宋_GB2312"/>
          <w:color w:val="auto"/>
          <w:kern w:val="0"/>
          <w:sz w:val="24"/>
          <w:highlight w:val="none"/>
          <w:lang w:val="zh-CN"/>
        </w:rPr>
        <w:t>技术文件和</w:t>
      </w:r>
      <w:r>
        <w:rPr>
          <w:rFonts w:hint="eastAsia" w:ascii="仿宋_GB2312" w:hAnsi="仿宋" w:eastAsia="仿宋_GB2312" w:cs="仿宋_GB2312"/>
          <w:color w:val="auto"/>
          <w:sz w:val="24"/>
          <w:highlight w:val="none"/>
          <w:lang w:val="zh-CN"/>
        </w:rPr>
        <w:t>商务文件</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要求投标人提交的全部文件；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(6)保证遵守招标文件中的其他有关规定。</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5、我方承诺投标有效期从提交投标文件的截止之日起</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6、我方完全理解贵方不一定要接受最低价的投标。</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a)提供虚假材料谋取中标、成交的；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b)采取不正当手段诋毁、排挤其他供应商的；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c)与采购人、其它供应商或者采购机构恶意串通的；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d)向采购人、采购机构行贿或者提供其他不正当利益的；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e)在招标采购过程中与采购人进行协商谈判的；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f)拒绝有关部门监督检查或提供虚假情况的。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供应商有前款第a)至e)项情形之一的，中标、成交无效。</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投标人名称（电子签名）：                          </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联系电话： </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联系地址：</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邮政编码：</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传真号码：</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b/>
          <w:color w:val="auto"/>
          <w:kern w:val="0"/>
          <w:sz w:val="24"/>
          <w:highlight w:val="none"/>
          <w:lang w:val="zh-CN"/>
        </w:rPr>
        <w:t>注：未按照本投标响应函要求填报的将被视为非实质性响应投标，从而可能导致该投标被拒绝。</w:t>
      </w:r>
    </w:p>
    <w:p>
      <w:pPr>
        <w:pStyle w:val="63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63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二、投标(开标)一览表</w:t>
      </w:r>
    </w:p>
    <w:p>
      <w:pPr>
        <w:snapToGrid w:val="0"/>
        <w:spacing w:line="360" w:lineRule="auto"/>
        <w:rPr>
          <w:rFonts w:ascii="仿宋_GB2312" w:hAnsi="仿宋" w:eastAsia="仿宋_GB2312" w:cs="仿宋_GB2312"/>
          <w:color w:val="auto"/>
          <w:kern w:val="0"/>
          <w:sz w:val="24"/>
          <w:highlight w:val="none"/>
        </w:rPr>
      </w:pPr>
      <w:bookmarkStart w:id="402" w:name="_Toc86217005"/>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sz w:val="24"/>
          <w:highlight w:val="none"/>
          <w:lang w:eastAsia="zh-CN"/>
        </w:rPr>
        <w:t>HZZFCG-2021-184</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投标(开标)一览表(单位均为人民币元)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953"/>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4"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5953"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701" w:type="dxa"/>
            <w:noWrap w:val="0"/>
            <w:vAlign w:val="top"/>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1843"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850"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993"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992"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1701" w:type="dxa"/>
            <w:noWrap w:val="0"/>
            <w:vAlign w:val="center"/>
          </w:tcPr>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投标报价所包含的服务要求（年限）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5953" w:type="dxa"/>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人工费</w:t>
            </w:r>
          </w:p>
        </w:tc>
        <w:tc>
          <w:tcPr>
            <w:tcW w:w="1701"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850"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pacing w:line="360" w:lineRule="auto"/>
              <w:jc w:val="center"/>
              <w:rPr>
                <w:rFonts w:ascii="仿宋_GB2312" w:hAnsi="仿宋" w:eastAsia="仿宋_GB2312" w:cs="仿宋_GB2312"/>
                <w:color w:val="auto"/>
                <w:sz w:val="24"/>
                <w:highlight w:val="none"/>
              </w:rPr>
            </w:pPr>
          </w:p>
        </w:tc>
        <w:tc>
          <w:tcPr>
            <w:tcW w:w="992" w:type="dxa"/>
            <w:noWrap w:val="0"/>
            <w:vAlign w:val="center"/>
          </w:tcPr>
          <w:p>
            <w:pPr>
              <w:spacing w:line="360" w:lineRule="auto"/>
              <w:jc w:val="center"/>
              <w:rPr>
                <w:rFonts w:ascii="仿宋_GB2312" w:hAnsi="仿宋" w:eastAsia="仿宋_GB2312" w:cs="仿宋_GB2312"/>
                <w:color w:val="auto"/>
                <w:sz w:val="24"/>
                <w:highlight w:val="none"/>
              </w:rPr>
            </w:pPr>
          </w:p>
        </w:tc>
        <w:tc>
          <w:tcPr>
            <w:tcW w:w="1701"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5953" w:type="dxa"/>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材料费</w:t>
            </w:r>
          </w:p>
        </w:tc>
        <w:tc>
          <w:tcPr>
            <w:tcW w:w="1701"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850"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pacing w:line="360" w:lineRule="auto"/>
              <w:jc w:val="center"/>
              <w:rPr>
                <w:rFonts w:ascii="仿宋_GB2312" w:hAnsi="仿宋" w:eastAsia="仿宋_GB2312" w:cs="仿宋_GB2312"/>
                <w:color w:val="auto"/>
                <w:sz w:val="24"/>
                <w:highlight w:val="none"/>
              </w:rPr>
            </w:pPr>
          </w:p>
        </w:tc>
        <w:tc>
          <w:tcPr>
            <w:tcW w:w="992" w:type="dxa"/>
            <w:noWrap w:val="0"/>
            <w:vAlign w:val="center"/>
          </w:tcPr>
          <w:p>
            <w:pPr>
              <w:spacing w:line="360" w:lineRule="auto"/>
              <w:jc w:val="center"/>
              <w:rPr>
                <w:rFonts w:ascii="仿宋_GB2312" w:hAnsi="仿宋" w:eastAsia="仿宋_GB2312" w:cs="仿宋_GB2312"/>
                <w:color w:val="auto"/>
                <w:sz w:val="24"/>
                <w:highlight w:val="none"/>
              </w:rPr>
            </w:pPr>
          </w:p>
        </w:tc>
        <w:tc>
          <w:tcPr>
            <w:tcW w:w="1701"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5953" w:type="dxa"/>
            <w:noWrap w:val="0"/>
            <w:vAlign w:val="center"/>
          </w:tcPr>
          <w:p>
            <w:pPr>
              <w:snapToGrid w:val="0"/>
              <w:spacing w:line="360"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其他费用</w:t>
            </w:r>
          </w:p>
        </w:tc>
        <w:tc>
          <w:tcPr>
            <w:tcW w:w="1701"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850"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pacing w:line="360" w:lineRule="auto"/>
              <w:jc w:val="center"/>
              <w:rPr>
                <w:rFonts w:ascii="仿宋_GB2312" w:hAnsi="仿宋" w:eastAsia="仿宋_GB2312" w:cs="仿宋_GB2312"/>
                <w:color w:val="auto"/>
                <w:sz w:val="24"/>
                <w:highlight w:val="none"/>
              </w:rPr>
            </w:pPr>
          </w:p>
        </w:tc>
        <w:tc>
          <w:tcPr>
            <w:tcW w:w="992" w:type="dxa"/>
            <w:noWrap w:val="0"/>
            <w:vAlign w:val="center"/>
          </w:tcPr>
          <w:p>
            <w:pPr>
              <w:spacing w:line="360" w:lineRule="auto"/>
              <w:jc w:val="center"/>
              <w:rPr>
                <w:rFonts w:ascii="仿宋_GB2312" w:hAnsi="仿宋" w:eastAsia="仿宋_GB2312" w:cs="仿宋_GB2312"/>
                <w:color w:val="auto"/>
                <w:sz w:val="24"/>
                <w:highlight w:val="none"/>
              </w:rPr>
            </w:pPr>
          </w:p>
        </w:tc>
        <w:tc>
          <w:tcPr>
            <w:tcW w:w="1701"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31"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4536" w:type="dxa"/>
            <w:gridSpan w:val="4"/>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31"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4536" w:type="dxa"/>
            <w:gridSpan w:val="4"/>
            <w:noWrap w:val="0"/>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1、投标人需按本表格式填写，不得自行更改。</w:t>
      </w:r>
    </w:p>
    <w:p>
      <w:pPr>
        <w:snapToGrid w:val="0"/>
        <w:spacing w:line="360" w:lineRule="auto"/>
        <w:ind w:left="48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2、有关本项目实施所涉及的一切费用（详见前附表）均计入报价。</w:t>
      </w:r>
      <w:r>
        <w:rPr>
          <w:rFonts w:hint="eastAsia" w:ascii="仿宋_GB2312" w:hAnsi="仿宋" w:eastAsia="仿宋_GB2312"/>
          <w:color w:val="auto"/>
          <w:sz w:val="24"/>
          <w:highlight w:val="none"/>
        </w:rPr>
        <w:t>▲</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4、特别提示：采购机构将对项目名称和项目编号，中标供应商名称、地址和中标金额，主要中标标的的名称、规格型号、数量、单价、服务要求等予以公示。</w:t>
      </w:r>
    </w:p>
    <w:p>
      <w:pPr>
        <w:spacing w:line="360" w:lineRule="auto"/>
        <w:ind w:firstLine="482" w:firstLineChars="200"/>
        <w:rPr>
          <w:rFonts w:ascii="仿宋_GB2312" w:hAnsi="仿宋" w:eastAsia="仿宋_GB2312" w:cs="仿宋_GB2312"/>
          <w:color w:val="auto"/>
          <w:kern w:val="0"/>
          <w:sz w:val="24"/>
          <w:szCs w:val="22"/>
          <w:highlight w:val="none"/>
          <w:lang w:val="zh-CN"/>
        </w:rPr>
      </w:pPr>
      <w:r>
        <w:rPr>
          <w:rFonts w:hint="eastAsia" w:ascii="仿宋_GB2312" w:hAnsi="仿宋" w:eastAsia="仿宋_GB2312" w:cs="仿宋_GB2312"/>
          <w:b/>
          <w:color w:val="auto"/>
          <w:kern w:val="0"/>
          <w:sz w:val="24"/>
          <w:szCs w:val="22"/>
          <w:highlight w:val="none"/>
          <w:lang w:val="zh-CN"/>
        </w:rPr>
        <w:t>5、</w:t>
      </w:r>
      <w:r>
        <w:rPr>
          <w:rFonts w:ascii="仿宋_GB2312" w:hAnsi="仿宋" w:eastAsia="仿宋_GB2312"/>
          <w:b/>
          <w:color w:val="auto"/>
          <w:sz w:val="24"/>
          <w:highlight w:val="none"/>
        </w:rPr>
        <w:t>特别说明：</w:t>
      </w:r>
      <w:r>
        <w:rPr>
          <w:rFonts w:ascii="仿宋" w:hAnsi="仿宋" w:eastAsia="仿宋" w:cs="仿宋"/>
          <w:b/>
          <w:color w:val="auto"/>
          <w:sz w:val="24"/>
          <w:highlight w:val="none"/>
        </w:rPr>
        <w:t>202</w:t>
      </w:r>
      <w:r>
        <w:rPr>
          <w:rFonts w:hint="eastAsia" w:ascii="仿宋" w:hAnsi="仿宋" w:eastAsia="仿宋" w:cs="仿宋"/>
          <w:b/>
          <w:color w:val="auto"/>
          <w:sz w:val="24"/>
          <w:highlight w:val="none"/>
          <w:lang w:val="en-US" w:eastAsia="zh-CN"/>
        </w:rPr>
        <w:t>2</w:t>
      </w:r>
      <w:r>
        <w:rPr>
          <w:rFonts w:ascii="仿宋" w:hAnsi="仿宋" w:eastAsia="仿宋" w:cs="仿宋"/>
          <w:b/>
          <w:color w:val="auto"/>
          <w:sz w:val="24"/>
          <w:highlight w:val="none"/>
        </w:rPr>
        <w:t>年1月1日至本项目中标人合同签订之日</w:t>
      </w:r>
      <w:r>
        <w:rPr>
          <w:rFonts w:hint="eastAsia" w:ascii="仿宋_GB2312" w:hAnsi="仿宋" w:eastAsia="仿宋_GB2312"/>
          <w:b/>
          <w:color w:val="auto"/>
          <w:sz w:val="24"/>
          <w:highlight w:val="none"/>
        </w:rPr>
        <w:t>为本项目空档期，空档期内</w:t>
      </w:r>
      <w:r>
        <w:rPr>
          <w:rFonts w:hint="eastAsia" w:ascii="仿宋" w:hAnsi="仿宋" w:eastAsia="仿宋" w:cs="仿宋"/>
          <w:b/>
          <w:color w:val="auto"/>
          <w:sz w:val="24"/>
          <w:highlight w:val="none"/>
        </w:rPr>
        <w:t>由原中标人根据</w:t>
      </w:r>
      <w:r>
        <w:rPr>
          <w:rFonts w:ascii="仿宋" w:hAnsi="仿宋" w:eastAsia="仿宋" w:cs="仿宋"/>
          <w:b/>
          <w:color w:val="auto"/>
          <w:sz w:val="24"/>
          <w:highlight w:val="none"/>
        </w:rPr>
        <w:t>2021年需求提供服务，空档期发生的费用由中标人在合同签订后，根据202</w:t>
      </w:r>
      <w:r>
        <w:rPr>
          <w:rFonts w:hint="eastAsia" w:ascii="仿宋" w:hAnsi="仿宋" w:eastAsia="仿宋" w:cs="仿宋"/>
          <w:b/>
          <w:color w:val="auto"/>
          <w:sz w:val="24"/>
          <w:highlight w:val="none"/>
          <w:lang w:val="en-US" w:eastAsia="zh-CN"/>
        </w:rPr>
        <w:t>2</w:t>
      </w:r>
      <w:r>
        <w:rPr>
          <w:rFonts w:ascii="仿宋" w:hAnsi="仿宋" w:eastAsia="仿宋" w:cs="仿宋"/>
          <w:b/>
          <w:color w:val="auto"/>
          <w:sz w:val="24"/>
          <w:highlight w:val="none"/>
        </w:rPr>
        <w:t>年中标价及实际服务时间，支付给原供应商。</w:t>
      </w:r>
      <w:r>
        <w:rPr>
          <w:rFonts w:hint="eastAsia" w:ascii="仿宋_GB2312" w:hAnsi="仿宋" w:eastAsia="仿宋_GB2312"/>
          <w:b/>
          <w:color w:val="auto"/>
          <w:sz w:val="24"/>
          <w:highlight w:val="none"/>
          <w:u w:val="single"/>
        </w:rPr>
        <w:t>与原供应商的结算费用包含在投标报价中。</w:t>
      </w:r>
    </w:p>
    <w:p>
      <w:pPr>
        <w:spacing w:line="360" w:lineRule="auto"/>
        <w:ind w:firstLine="480" w:firstLineChars="200"/>
        <w:rPr>
          <w:rFonts w:ascii="仿宋_GB2312" w:hAnsi="仿宋" w:eastAsia="仿宋_GB2312" w:cs="仿宋_GB2312"/>
          <w:color w:val="auto"/>
          <w:kern w:val="0"/>
          <w:sz w:val="24"/>
          <w:highlight w:val="none"/>
          <w:u w:val="singl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ascii="仿宋_GB2312" w:hAnsi="仿宋" w:eastAsia="仿宋_GB2312"/>
          <w:b/>
          <w:color w:val="auto"/>
          <w:kern w:val="0"/>
          <w:sz w:val="24"/>
          <w:highlight w:val="none"/>
        </w:rPr>
      </w:pPr>
    </w:p>
    <w:p>
      <w:pPr>
        <w:spacing w:line="360" w:lineRule="auto"/>
        <w:ind w:right="960" w:firstLine="10440" w:firstLineChars="43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p>
    <w:p>
      <w:pPr>
        <w:spacing w:line="360" w:lineRule="auto"/>
        <w:ind w:right="48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bookmarkEnd w:id="402"/>
    <w:p>
      <w:pPr>
        <w:spacing w:line="360" w:lineRule="auto"/>
        <w:jc w:val="center"/>
        <w:outlineLvl w:val="0"/>
        <w:rPr>
          <w:rFonts w:ascii="仿宋_GB2312" w:hAnsi="仿宋" w:eastAsia="仿宋_GB2312" w:cs="仿宋_GB2312"/>
          <w:color w:val="auto"/>
          <w:sz w:val="36"/>
          <w:szCs w:val="36"/>
          <w:highlight w:val="none"/>
          <w:lang w:val="zh-CN"/>
        </w:rPr>
        <w:sectPr>
          <w:pgSz w:w="16838" w:h="11906" w:orient="landscape"/>
          <w:pgMar w:top="1418" w:right="1276" w:bottom="1418" w:left="1247"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color w:val="auto"/>
          <w:sz w:val="36"/>
          <w:szCs w:val="36"/>
          <w:highlight w:val="none"/>
          <w:lang w:val="zh-CN"/>
        </w:rPr>
        <w:t xml:space="preserve"> </w:t>
      </w: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pStyle w:val="439"/>
        <w:spacing w:line="360" w:lineRule="auto"/>
        <w:rPr>
          <w:rFonts w:cs="仿宋_GB2312"/>
          <w:color w:val="auto"/>
          <w:highlight w:val="none"/>
        </w:rPr>
      </w:pPr>
      <w:r>
        <w:rPr>
          <w:rFonts w:hint="eastAsia" w:cs="仿宋_GB2312"/>
          <w:color w:val="auto"/>
          <w:highlight w:val="none"/>
        </w:rPr>
        <w:t>（1）营业执照(或事业法人登记证或其他工商等登记证明材料)复印件（投标人为 然人的，提供自然人的身份证明）………………………………………………（页码）</w:t>
      </w:r>
    </w:p>
    <w:p>
      <w:pPr>
        <w:pStyle w:val="439"/>
        <w:spacing w:line="360" w:lineRule="auto"/>
        <w:rPr>
          <w:rFonts w:cs="仿宋_GB2312"/>
          <w:color w:val="auto"/>
          <w:highlight w:val="none"/>
        </w:rPr>
      </w:pPr>
      <w:r>
        <w:rPr>
          <w:rFonts w:hint="eastAsia" w:cs="仿宋_GB2312"/>
          <w:color w:val="auto"/>
          <w:highlight w:val="none"/>
        </w:rPr>
        <w:t>（2）联合体协议</w:t>
      </w:r>
      <w:r>
        <w:rPr>
          <w:rFonts w:hint="eastAsia" w:cs="仿宋_GB2312"/>
          <w:color w:val="auto"/>
          <w:highlight w:val="none"/>
          <w:lang w:val="zh-CN"/>
        </w:rPr>
        <w:t>… ………………………</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pPr>
        <w:pStyle w:val="439"/>
        <w:spacing w:line="360" w:lineRule="auto"/>
        <w:rPr>
          <w:rFonts w:cs="仿宋_GB2312"/>
          <w:color w:val="auto"/>
          <w:highlight w:val="none"/>
        </w:rPr>
      </w:pPr>
      <w:r>
        <w:rPr>
          <w:rFonts w:hint="eastAsia" w:cs="仿宋_GB2312"/>
          <w:color w:val="auto"/>
          <w:highlight w:val="none"/>
        </w:rPr>
        <w:t>（3）资信文件复印件（如果要求提供） …………………………………（页码）</w:t>
      </w:r>
    </w:p>
    <w:p>
      <w:pPr>
        <w:pStyle w:val="439"/>
        <w:spacing w:line="360" w:lineRule="auto"/>
        <w:rPr>
          <w:rFonts w:cs="仿宋_GB2312"/>
          <w:color w:val="auto"/>
          <w:highlight w:val="none"/>
        </w:rPr>
      </w:pPr>
      <w:r>
        <w:rPr>
          <w:rFonts w:hint="eastAsia" w:cs="仿宋_GB2312"/>
          <w:color w:val="auto"/>
          <w:highlight w:val="none"/>
        </w:rPr>
        <w:t>（4）</w:t>
      </w:r>
      <w:r>
        <w:rPr>
          <w:rFonts w:hint="eastAsia" w:cs="仿宋_GB2312"/>
          <w:color w:val="auto"/>
          <w:highlight w:val="none"/>
          <w:lang w:val="zh-CN"/>
        </w:rPr>
        <w:t>主要业绩证明… ………………</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pPr>
        <w:pStyle w:val="439"/>
        <w:spacing w:line="360" w:lineRule="auto"/>
        <w:rPr>
          <w:rFonts w:cs="仿宋_GB2312"/>
          <w:color w:val="auto"/>
          <w:highlight w:val="none"/>
        </w:rPr>
      </w:pPr>
      <w:bookmarkStart w:id="403" w:name="OLE_LINK6"/>
      <w:bookmarkStart w:id="404" w:name="OLE_LINK7"/>
      <w:bookmarkStart w:id="405" w:name="OLE_LINK5"/>
      <w:r>
        <w:rPr>
          <w:rFonts w:hint="eastAsia" w:cs="仿宋_GB2312"/>
          <w:color w:val="auto"/>
          <w:highlight w:val="none"/>
        </w:rPr>
        <w:t>（5）其他商务文件或说明</w:t>
      </w:r>
      <w:r>
        <w:rPr>
          <w:rFonts w:hint="eastAsia" w:cs="仿宋_GB2312"/>
          <w:color w:val="auto"/>
          <w:highlight w:val="none"/>
          <w:lang w:val="zh-CN"/>
        </w:rPr>
        <w:t xml:space="preserve"> …………</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bookmarkEnd w:id="403"/>
      <w:bookmarkEnd w:id="404"/>
    </w:p>
    <w:bookmarkEnd w:id="405"/>
    <w:p>
      <w:pPr>
        <w:spacing w:line="360" w:lineRule="auto"/>
        <w:ind w:firstLine="480" w:firstLineChars="200"/>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（6）技术和服务方案………………</w:t>
      </w:r>
      <w:r>
        <w:rPr>
          <w:rFonts w:hint="eastAsia" w:ascii="仿宋_GB2312" w:hAnsi="仿宋" w:eastAsia="仿宋_GB2312" w:cs="仿宋_GB2312"/>
          <w:color w:val="auto"/>
          <w:highlight w:val="none"/>
        </w:rPr>
        <w:t>……………</w:t>
      </w:r>
      <w:r>
        <w:rPr>
          <w:rFonts w:hint="eastAsia" w:ascii="仿宋_GB2312" w:hAnsi="仿宋" w:eastAsia="仿宋_GB2312" w:cs="仿宋_GB2312"/>
          <w:color w:val="auto"/>
          <w:kern w:val="0"/>
          <w:sz w:val="24"/>
          <w:highlight w:val="none"/>
        </w:rPr>
        <w:t>……………………………（页码）</w:t>
      </w:r>
    </w:p>
    <w:p>
      <w:pPr>
        <w:spacing w:line="360" w:lineRule="auto"/>
        <w:ind w:firstLine="480" w:firstLineChars="200"/>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（7）技术和服务偏离说明表………</w:t>
      </w:r>
      <w:r>
        <w:rPr>
          <w:rFonts w:hint="eastAsia" w:ascii="仿宋_GB2312" w:hAnsi="仿宋" w:eastAsia="仿宋_GB2312" w:cs="仿宋_GB2312"/>
          <w:color w:val="auto"/>
          <w:highlight w:val="none"/>
        </w:rPr>
        <w:t>…………</w:t>
      </w:r>
      <w:r>
        <w:rPr>
          <w:rFonts w:hint="eastAsia" w:ascii="仿宋_GB2312" w:hAnsi="仿宋" w:eastAsia="仿宋_GB2312" w:cs="仿宋_GB2312"/>
          <w:color w:val="auto"/>
          <w:kern w:val="0"/>
          <w:sz w:val="24"/>
          <w:highlight w:val="none"/>
        </w:rPr>
        <w:t>………………………………（页码）</w:t>
      </w:r>
    </w:p>
    <w:p>
      <w:pPr>
        <w:spacing w:line="360" w:lineRule="auto"/>
        <w:ind w:firstLine="480" w:firstLineChars="200"/>
        <w:outlineLvl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（8）组织实施方案……………………</w:t>
      </w:r>
      <w:r>
        <w:rPr>
          <w:rFonts w:hint="eastAsia" w:ascii="仿宋_GB2312" w:hAnsi="仿宋" w:eastAsia="仿宋_GB2312" w:cs="仿宋_GB2312"/>
          <w:color w:val="auto"/>
          <w:highlight w:val="none"/>
        </w:rPr>
        <w:t>………</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（9）</w:t>
      </w:r>
      <w:r>
        <w:rPr>
          <w:rFonts w:hint="eastAsia" w:ascii="仿宋_GB2312" w:hAnsi="仿宋" w:eastAsia="仿宋_GB2312" w:cs="微软雅黑"/>
          <w:color w:val="auto"/>
          <w:sz w:val="24"/>
          <w:highlight w:val="none"/>
        </w:rPr>
        <w:t xml:space="preserve">人员投入计划 </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（10）</w:t>
      </w:r>
      <w:r>
        <w:rPr>
          <w:rFonts w:hint="eastAsia" w:ascii="仿宋_GB2312" w:hAnsi="仿宋" w:eastAsia="仿宋_GB2312"/>
          <w:color w:val="auto"/>
          <w:sz w:val="24"/>
          <w:highlight w:val="none"/>
        </w:rPr>
        <w:t xml:space="preserve">材料、设备、工具等投入计划  </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（11）</w:t>
      </w:r>
      <w:r>
        <w:rPr>
          <w:rFonts w:hint="eastAsia" w:ascii="仿宋_GB2312" w:hAnsi="仿宋" w:eastAsia="仿宋_GB2312" w:cs="Arial"/>
          <w:snapToGrid w:val="0"/>
          <w:color w:val="auto"/>
          <w:kern w:val="0"/>
          <w:sz w:val="24"/>
          <w:highlight w:val="none"/>
        </w:rPr>
        <w:t xml:space="preserve">投标人的各项服务承诺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highlight w:val="none"/>
        </w:rPr>
        <w:t>……</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rPr>
        <w:t>（12）投标人</w:t>
      </w:r>
      <w:r>
        <w:rPr>
          <w:rFonts w:hint="eastAsia" w:ascii="仿宋_GB2312" w:hAnsi="仿宋" w:eastAsia="仿宋_GB2312" w:cs="仿宋_GB2312"/>
          <w:color w:val="auto"/>
          <w:kern w:val="0"/>
          <w:sz w:val="24"/>
          <w:highlight w:val="none"/>
          <w:lang w:val="zh-CN"/>
        </w:rPr>
        <w:t>认为需要的其他技术文件或说明……………………………</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（13）</w:t>
      </w:r>
      <w:r>
        <w:rPr>
          <w:rFonts w:hint="eastAsia" w:ascii="仿宋_GB2312" w:hAnsi="仿宋" w:eastAsia="仿宋_GB2312" w:cs="仿宋_GB2312"/>
          <w:color w:val="auto"/>
          <w:kern w:val="0"/>
          <w:sz w:val="24"/>
          <w:highlight w:val="none"/>
          <w:lang w:val="zh-CN"/>
        </w:rPr>
        <w:t>关于对招标文件中商务、合同有关条款的拒绝声明…</w:t>
      </w:r>
      <w:r>
        <w:rPr>
          <w:rFonts w:hint="eastAsia" w:ascii="仿宋_GB2312" w:hAnsi="仿宋" w:eastAsia="仿宋_GB2312" w:cs="仿宋_GB2312"/>
          <w:color w:val="auto"/>
          <w:highlight w:val="none"/>
        </w:rPr>
        <w:t>………</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rPr>
        <w:t>（页码）</w:t>
      </w:r>
    </w:p>
    <w:p>
      <w:pPr>
        <w:tabs>
          <w:tab w:val="left" w:pos="0"/>
        </w:tabs>
        <w:autoSpaceDE w:val="0"/>
        <w:autoSpaceDN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（14）</w:t>
      </w:r>
      <w:r>
        <w:rPr>
          <w:rFonts w:hint="eastAsia" w:ascii="仿宋_GB2312" w:hAnsi="仿宋" w:eastAsia="仿宋_GB2312" w:cs="仿宋_GB2312"/>
          <w:color w:val="auto"/>
          <w:kern w:val="0"/>
          <w:sz w:val="24"/>
          <w:highlight w:val="none"/>
          <w:lang w:val="zh-CN"/>
        </w:rPr>
        <w:t>政府采购供应商廉洁自律承诺书………………………………………</w:t>
      </w:r>
      <w:r>
        <w:rPr>
          <w:rFonts w:hint="eastAsia" w:ascii="仿宋_GB2312" w:hAnsi="仿宋" w:eastAsia="仿宋_GB2312" w:cs="仿宋_GB2312"/>
          <w:color w:val="auto"/>
          <w:kern w:val="0"/>
          <w:sz w:val="24"/>
          <w:highlight w:val="none"/>
        </w:rPr>
        <w:t>（页码）</w:t>
      </w:r>
    </w:p>
    <w:p>
      <w:pPr>
        <w:tabs>
          <w:tab w:val="left" w:pos="0"/>
        </w:tabs>
        <w:autoSpaceDE w:val="0"/>
        <w:autoSpaceDN w:val="0"/>
        <w:spacing w:line="360" w:lineRule="auto"/>
        <w:ind w:firstLine="480" w:firstLineChars="200"/>
        <w:rPr>
          <w:rFonts w:ascii="Arial" w:hAnsi="Arial" w:eastAsia="黑体" w:cs="Arial"/>
          <w:snapToGrid w:val="0"/>
          <w:color w:val="auto"/>
          <w:kern w:val="0"/>
          <w:szCs w:val="21"/>
          <w:highlight w:val="none"/>
        </w:rPr>
      </w:pPr>
      <w:r>
        <w:rPr>
          <w:rFonts w:hint="eastAsia" w:ascii="仿宋_GB2312" w:hAnsi="仿宋" w:eastAsia="仿宋_GB2312" w:cs="仿宋_GB2312"/>
          <w:color w:val="auto"/>
          <w:kern w:val="0"/>
          <w:sz w:val="24"/>
          <w:highlight w:val="none"/>
        </w:rPr>
        <w:t>（15）</w:t>
      </w:r>
      <w:r>
        <w:rPr>
          <w:rFonts w:hint="eastAsia" w:ascii="仿宋_GB2312" w:hAnsi="仿宋" w:eastAsia="仿宋_GB2312" w:cs="仿宋_GB2312"/>
          <w:color w:val="auto"/>
          <w:kern w:val="0"/>
          <w:sz w:val="24"/>
          <w:highlight w:val="none"/>
          <w:lang w:val="zh-CN"/>
        </w:rPr>
        <w:t>廉政承诺书………………………………………………………………</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ascii="仿宋_GB2312" w:hAnsi="仿宋" w:eastAsia="仿宋_GB2312" w:cs="仿宋_GB2312"/>
          <w:color w:val="auto"/>
          <w:kern w:val="0"/>
          <w:sz w:val="24"/>
          <w:highlight w:val="none"/>
        </w:rPr>
      </w:pPr>
    </w:p>
    <w:p>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注：以上目录是基本格式要求，各投标人可根据自身情况进一步细化。</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pPr>
        <w:snapToGrid w:val="0"/>
        <w:spacing w:line="360" w:lineRule="auto"/>
        <w:jc w:val="center"/>
        <w:rPr>
          <w:rFonts w:ascii="仿宋_GB2312" w:hAnsi="仿宋" w:eastAsia="仿宋_GB2312" w:cs="仿宋_GB2312"/>
          <w:b/>
          <w:color w:val="auto"/>
          <w:kern w:val="0"/>
          <w:sz w:val="32"/>
          <w:szCs w:val="32"/>
          <w:highlight w:val="none"/>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投标人名称(电子签名)：                              </w:t>
      </w:r>
    </w:p>
    <w:p>
      <w:pPr>
        <w:snapToGrid w:val="0"/>
        <w:spacing w:line="360" w:lineRule="auto"/>
        <w:ind w:firstLine="1440" w:firstLineChars="600"/>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sz w:val="30"/>
          <w:szCs w:val="30"/>
          <w:highlight w:val="none"/>
        </w:rPr>
        <w:t>二、联合体协议（扫描件加盖上传公司电子签名）</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乙方：</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各方经协商一致，决定组成一个联合体，以一个投标人的身份就杭州市公共资源交易中心组织实施的</w:t>
      </w:r>
      <w:r>
        <w:rPr>
          <w:rFonts w:hint="eastAsia" w:ascii="仿宋_GB2312" w:hAnsi="仿宋" w:eastAsia="仿宋_GB2312" w:cs="仿宋_GB2312"/>
          <w:color w:val="auto"/>
          <w:sz w:val="24"/>
          <w:highlight w:val="none"/>
          <w:lang w:eastAsia="zh-CN"/>
        </w:rPr>
        <w:t>杭州技师学院2022年物业服务采购项目</w:t>
      </w:r>
      <w:r>
        <w:rPr>
          <w:rFonts w:hint="eastAsia" w:ascii="仿宋_GB2312" w:hAnsi="仿宋" w:eastAsia="仿宋_GB2312" w:cs="仿宋_GB2312"/>
          <w:color w:val="auto"/>
          <w:kern w:val="0"/>
          <w:sz w:val="24"/>
          <w:highlight w:val="none"/>
          <w:lang w:val="zh-CN"/>
        </w:rPr>
        <w:t>【招标编号：HZZFCG-2021-184】共同投标。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Arial"/>
          <w:color w:val="auto"/>
          <w:sz w:val="24"/>
          <w:highlight w:val="none"/>
        </w:rPr>
        <w:t>指定</w:t>
      </w:r>
      <w:r>
        <w:rPr>
          <w:rFonts w:hint="eastAsia" w:ascii="仿宋_GB2312" w:hAnsi="仿宋" w:eastAsia="仿宋_GB2312"/>
          <w:color w:val="auto"/>
          <w:highlight w:val="none"/>
          <w:u w:val="single"/>
        </w:rPr>
        <w:t xml:space="preserve">   </w:t>
      </w:r>
      <w:r>
        <w:rPr>
          <w:rFonts w:hint="eastAsia" w:ascii="仿宋_GB2312" w:hAnsi="仿宋" w:eastAsia="仿宋_GB2312" w:cs="Arial"/>
          <w:color w:val="auto"/>
          <w:sz w:val="24"/>
          <w:highlight w:val="none"/>
        </w:rPr>
        <w:t>方牵头人，代表所有联合体成员负责投标和合同实施阶段的主办、协调工作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三、本次联合投标中，分工如下：甲方承担的工作和义务为：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；乙方承担的工作和义务为：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甲方单位：      （公章或电子签名）     乙方单位：   （公章或电子签名）</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right="480"/>
        <w:jc w:val="center"/>
        <w:rPr>
          <w:rFonts w:ascii="仿宋_GB2312" w:hAnsi="仿宋" w:eastAsia="仿宋_GB2312" w:cs="仿宋_GB2312"/>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三、资信文件复印件（如果要求提供）</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spacing w:line="360" w:lineRule="auto"/>
        <w:jc w:val="center"/>
        <w:rPr>
          <w:rFonts w:ascii="仿宋_GB2312" w:hAnsi="仿宋" w:eastAsia="仿宋_GB2312" w:cs="仿宋_GB2312"/>
          <w:b/>
          <w:bCs/>
          <w:color w:val="auto"/>
          <w:sz w:val="32"/>
          <w:szCs w:val="32"/>
          <w:highlight w:val="none"/>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四、</w:t>
      </w:r>
      <w:r>
        <w:rPr>
          <w:rFonts w:hint="eastAsia" w:ascii="仿宋_GB2312" w:hAnsi="仿宋" w:eastAsia="仿宋_GB2312" w:cs="仿宋_GB2312"/>
          <w:b/>
          <w:color w:val="auto"/>
          <w:kern w:val="0"/>
          <w:sz w:val="32"/>
          <w:szCs w:val="32"/>
          <w:highlight w:val="none"/>
          <w:lang w:val="zh-CN"/>
        </w:rPr>
        <w:t>主要业绩证明</w:t>
      </w:r>
    </w:p>
    <w:p>
      <w:pPr>
        <w:autoSpaceDE w:val="0"/>
        <w:autoSpaceDN w:val="0"/>
        <w:spacing w:line="360" w:lineRule="auto"/>
        <w:ind w:firstLine="4560" w:firstLineChars="1900"/>
        <w:rPr>
          <w:rFonts w:ascii="仿宋_GB2312" w:hAnsi="仿宋" w:eastAsia="仿宋_GB2312" w:cs="仿宋_GB2312"/>
          <w:color w:val="auto"/>
          <w:kern w:val="0"/>
          <w:sz w:val="24"/>
          <w:highlight w:val="none"/>
        </w:rPr>
      </w:pPr>
    </w:p>
    <w:p>
      <w:pPr>
        <w:autoSpaceDE w:val="0"/>
        <w:autoSpaceDN w:val="0"/>
        <w:spacing w:line="360" w:lineRule="auto"/>
        <w:ind w:firstLine="4560" w:firstLineChars="19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日期：  年  月   日</w:t>
      </w:r>
    </w:p>
    <w:p>
      <w:pPr>
        <w:spacing w:line="360" w:lineRule="auto"/>
        <w:rPr>
          <w:rFonts w:ascii="仿宋_GB2312" w:hAnsi="仿宋" w:eastAsia="仿宋_GB2312" w:cs="仿宋_GB2312"/>
          <w:color w:val="auto"/>
          <w:kern w:val="0"/>
          <w:sz w:val="24"/>
          <w:highlight w:val="none"/>
        </w:rPr>
      </w:pPr>
    </w:p>
    <w:p>
      <w:pPr>
        <w:spacing w:line="360" w:lineRule="auto"/>
        <w:rPr>
          <w:rFonts w:ascii="仿宋_GB2312" w:hAnsi="仿宋" w:eastAsia="仿宋_GB2312" w:cs="仿宋_GB2312"/>
          <w:color w:val="auto"/>
          <w:kern w:val="0"/>
          <w:sz w:val="24"/>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五、</w:t>
      </w:r>
      <w:bookmarkStart w:id="406" w:name="OLE_LINK16"/>
      <w:bookmarkStart w:id="407" w:name="OLE_LINK17"/>
      <w:r>
        <w:rPr>
          <w:rFonts w:hint="eastAsia" w:ascii="仿宋_GB2312" w:hAnsi="仿宋" w:eastAsia="仿宋_GB2312" w:cs="仿宋_GB2312"/>
          <w:b/>
          <w:bCs/>
          <w:color w:val="auto"/>
          <w:sz w:val="32"/>
          <w:szCs w:val="32"/>
          <w:highlight w:val="none"/>
        </w:rPr>
        <w:t>其他商务文件或说明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bookmarkStart w:id="408" w:name="OLE_LINK10"/>
      <w:bookmarkStart w:id="409" w:name="OLE_LINK11"/>
      <w:r>
        <w:rPr>
          <w:rFonts w:hint="eastAsia" w:ascii="仿宋_GB2312" w:hAnsi="仿宋" w:eastAsia="仿宋_GB2312" w:cs="仿宋_GB2312"/>
          <w:color w:val="auto"/>
          <w:sz w:val="24"/>
          <w:highlight w:val="none"/>
        </w:rPr>
        <w:t>其他商务文件或说明由投标人根据采购需求自行编制</w:t>
      </w:r>
      <w:bookmarkEnd w:id="408"/>
      <w:bookmarkEnd w:id="409"/>
      <w:r>
        <w:rPr>
          <w:rFonts w:hint="eastAsia" w:ascii="仿宋_GB2312" w:hAnsi="仿宋" w:eastAsia="仿宋_GB2312" w:cs="仿宋_GB2312"/>
          <w:color w:val="auto"/>
          <w:sz w:val="24"/>
          <w:highlight w:val="none"/>
        </w:rPr>
        <w:t>）</w:t>
      </w:r>
    </w:p>
    <w:bookmarkEnd w:id="406"/>
    <w:bookmarkEnd w:id="407"/>
    <w:p>
      <w:pPr>
        <w:spacing w:line="360" w:lineRule="auto"/>
        <w:jc w:val="center"/>
        <w:rPr>
          <w:rFonts w:ascii="仿宋_GB2312" w:hAnsi="仿宋" w:eastAsia="仿宋_GB2312" w:cs="仿宋_GB2312"/>
          <w:color w:val="auto"/>
          <w:sz w:val="24"/>
          <w:highlight w:val="none"/>
        </w:rPr>
      </w:pPr>
    </w:p>
    <w:p>
      <w:pPr>
        <w:autoSpaceDE w:val="0"/>
        <w:autoSpaceDN w:val="0"/>
        <w:spacing w:line="360" w:lineRule="auto"/>
        <w:ind w:firstLine="4800" w:firstLineChars="20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autoSpaceDE w:val="0"/>
        <w:autoSpaceDN w:val="0"/>
        <w:spacing w:line="360" w:lineRule="auto"/>
        <w:rPr>
          <w:rFonts w:ascii="仿宋_GB2312" w:hAnsi="仿宋" w:eastAsia="仿宋_GB2312" w:cs="仿宋_GB2312"/>
          <w:color w:val="auto"/>
          <w:kern w:val="0"/>
          <w:sz w:val="24"/>
          <w:highlight w:val="none"/>
          <w:lang w:val="zh-CN"/>
        </w:rPr>
      </w:pPr>
    </w:p>
    <w:p>
      <w:pPr>
        <w:autoSpaceDE w:val="0"/>
        <w:autoSpaceDN w:val="0"/>
        <w:spacing w:line="360" w:lineRule="auto"/>
        <w:rPr>
          <w:rFonts w:ascii="仿宋_GB2312" w:hAnsi="仿宋" w:eastAsia="仿宋_GB2312" w:cs="仿宋_GB2312"/>
          <w:color w:val="auto"/>
          <w:kern w:val="0"/>
          <w:sz w:val="24"/>
          <w:highlight w:val="none"/>
          <w:lang w:val="zh-CN"/>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color w:val="auto"/>
          <w:sz w:val="32"/>
          <w:szCs w:val="32"/>
          <w:highlight w:val="none"/>
        </w:rPr>
        <w:t>六</w:t>
      </w:r>
      <w:r>
        <w:rPr>
          <w:rFonts w:hint="eastAsia" w:ascii="仿宋_GB2312" w:hAnsi="仿宋" w:eastAsia="仿宋_GB2312" w:cs="仿宋_GB2312"/>
          <w:b/>
          <w:bCs/>
          <w:color w:val="auto"/>
          <w:sz w:val="32"/>
          <w:szCs w:val="32"/>
          <w:highlight w:val="none"/>
        </w:rPr>
        <w:t>、技术和服务方案</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p>
    <w:p>
      <w:pPr>
        <w:autoSpaceDE w:val="0"/>
        <w:autoSpaceDN w:val="0"/>
        <w:spacing w:line="360" w:lineRule="auto"/>
        <w:ind w:firstLine="4560" w:firstLineChars="19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供应商名称（电子签名）：                       </w:t>
      </w:r>
    </w:p>
    <w:p>
      <w:pPr>
        <w:autoSpaceDE w:val="0"/>
        <w:autoSpaceDN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                                      日期：   年  月   日</w:t>
      </w:r>
    </w:p>
    <w:p>
      <w:pPr>
        <w:widowControl/>
        <w:adjustRightInd/>
        <w:jc w:val="left"/>
        <w:rPr>
          <w:rFonts w:ascii="仿宋_GB2312" w:hAnsi="仿宋" w:eastAsia="仿宋_GB2312" w:cs="仿宋_GB2312"/>
          <w:b/>
          <w:bCs/>
          <w:color w:val="auto"/>
          <w:sz w:val="32"/>
          <w:szCs w:val="32"/>
          <w:highlight w:val="none"/>
        </w:rPr>
      </w:pPr>
      <w:r>
        <w:rPr>
          <w:rFonts w:ascii="仿宋_GB2312" w:hAnsi="仿宋" w:eastAsia="仿宋_GB2312" w:cs="仿宋_GB2312"/>
          <w:b/>
          <w:bCs/>
          <w:color w:val="auto"/>
          <w:sz w:val="32"/>
          <w:szCs w:val="32"/>
          <w:highlight w:val="none"/>
        </w:rPr>
        <w:br w:type="page"/>
      </w: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七、技术和服务偏离说明表</w:t>
      </w:r>
    </w:p>
    <w:p>
      <w:pPr>
        <w:spacing w:line="360" w:lineRule="auto"/>
        <w:jc w:val="center"/>
        <w:rPr>
          <w:rFonts w:ascii="仿宋_GB2312" w:hAnsi="仿宋" w:eastAsia="仿宋_GB2312" w:cs="仿宋_GB2312"/>
          <w:b/>
          <w:bCs/>
          <w:color w:val="auto"/>
          <w:sz w:val="18"/>
          <w:szCs w:val="18"/>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_GB2312" w:hAnsi="仿宋" w:eastAsia="仿宋_GB2312" w:cs="仿宋_GB2312"/>
                <w:color w:val="auto"/>
                <w:sz w:val="24"/>
                <w:highlight w:val="none"/>
              </w:rPr>
            </w:pPr>
          </w:p>
        </w:tc>
      </w:tr>
    </w:tbl>
    <w:p>
      <w:pPr>
        <w:autoSpaceDE w:val="0"/>
        <w:autoSpaceDN w:val="0"/>
        <w:spacing w:line="360" w:lineRule="auto"/>
        <w:ind w:firstLine="5040" w:firstLineChars="2100"/>
        <w:rPr>
          <w:rFonts w:ascii="仿宋_GB2312" w:hAnsi="仿宋" w:eastAsia="仿宋_GB2312" w:cs="仿宋_GB2312"/>
          <w:color w:val="auto"/>
          <w:kern w:val="0"/>
          <w:sz w:val="24"/>
          <w:highlight w:val="none"/>
          <w:lang w:val="zh-CN"/>
        </w:rPr>
      </w:pPr>
    </w:p>
    <w:p>
      <w:pPr>
        <w:autoSpaceDE w:val="0"/>
        <w:autoSpaceDN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w:t>
      </w: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6"/>
          <w:szCs w:val="36"/>
          <w:highlight w:val="none"/>
          <w:lang w:val="zh-CN"/>
        </w:rPr>
      </w:pPr>
      <w:r>
        <w:rPr>
          <w:rFonts w:hint="eastAsia" w:ascii="仿宋_GB2312" w:hAnsi="仿宋" w:eastAsia="仿宋_GB2312" w:cs="仿宋_GB2312"/>
          <w:b/>
          <w:bCs/>
          <w:color w:val="auto"/>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auto"/>
          <w:kern w:val="0"/>
          <w:sz w:val="32"/>
          <w:szCs w:val="32"/>
          <w:highlight w:val="none"/>
          <w:lang w:val="zh-CN"/>
        </w:rPr>
      </w:pPr>
      <w:r>
        <w:rPr>
          <w:rFonts w:hint="eastAsia" w:ascii="仿宋_GB2312" w:hAnsi="仿宋" w:eastAsia="仿宋_GB2312" w:cs="仿宋_GB2312"/>
          <w:b/>
          <w:bCs/>
          <w:color w:val="auto"/>
          <w:kern w:val="0"/>
          <w:sz w:val="32"/>
          <w:szCs w:val="32"/>
          <w:highlight w:val="none"/>
          <w:lang w:val="zh-CN"/>
        </w:rPr>
        <w:t>八、组织实施方案</w:t>
      </w:r>
    </w:p>
    <w:p>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color w:val="auto"/>
          <w:kern w:val="0"/>
          <w:sz w:val="24"/>
          <w:highlight w:val="none"/>
          <w:lang w:val="zh-CN"/>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九、人员投入计划</w:t>
      </w:r>
    </w:p>
    <w:p>
      <w:pPr>
        <w:autoSpaceDE w:val="0"/>
        <w:autoSpaceDN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（由投标人根据采购需求及招标文件要求编制）</w:t>
      </w:r>
    </w:p>
    <w:p>
      <w:pPr>
        <w:autoSpaceDE w:val="0"/>
        <w:autoSpaceDN w:val="0"/>
        <w:spacing w:line="360" w:lineRule="auto"/>
        <w:ind w:firstLine="4440" w:firstLineChars="1850"/>
        <w:rPr>
          <w:rFonts w:ascii="仿宋_GB2312" w:hAnsi="仿宋" w:eastAsia="仿宋_GB2312" w:cs="仿宋_GB2312"/>
          <w:color w:val="auto"/>
          <w:kern w:val="0"/>
          <w:sz w:val="24"/>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十、材料、设备、工具等投入计划</w:t>
      </w:r>
    </w:p>
    <w:p>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bCs/>
          <w:color w:val="auto"/>
          <w:sz w:val="32"/>
          <w:szCs w:val="32"/>
          <w:highlight w:val="none"/>
        </w:rPr>
        <w:t>十一、</w:t>
      </w:r>
      <w:r>
        <w:rPr>
          <w:rFonts w:hint="eastAsia" w:ascii="仿宋_GB2312" w:hAnsi="仿宋" w:eastAsia="仿宋_GB2312" w:cs="仿宋_GB2312"/>
          <w:b/>
          <w:color w:val="auto"/>
          <w:kern w:val="0"/>
          <w:sz w:val="32"/>
          <w:szCs w:val="32"/>
          <w:highlight w:val="none"/>
          <w:lang w:val="zh-CN"/>
        </w:rPr>
        <w:t>投标人的各项服务承诺</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spacing w:line="360" w:lineRule="auto"/>
        <w:jc w:val="center"/>
        <w:rPr>
          <w:rFonts w:ascii="仿宋_GB2312" w:hAnsi="仿宋" w:eastAsia="仿宋_GB2312" w:cs="仿宋_GB2312"/>
          <w:color w:val="auto"/>
          <w:sz w:val="18"/>
          <w:szCs w:val="18"/>
          <w:highlight w:val="none"/>
        </w:rPr>
      </w:pPr>
    </w:p>
    <w:p>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ascii="仿宋_GB2312" w:hAnsi="仿宋" w:eastAsia="仿宋_GB2312" w:cs="仿宋_GB2312"/>
          <w:b/>
          <w:bCs/>
          <w:color w:val="auto"/>
          <w:sz w:val="18"/>
          <w:szCs w:val="18"/>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p>
    <w:p>
      <w:pPr>
        <w:spacing w:line="360" w:lineRule="auto"/>
        <w:jc w:val="center"/>
        <w:rPr>
          <w:rFonts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十二、投标人认为需要的其他技术文件或说明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jc w:val="center"/>
        <w:rPr>
          <w:rFonts w:ascii="仿宋_GB2312" w:hAnsi="仿宋" w:eastAsia="仿宋_GB2312" w:cs="仿宋_GB2312"/>
          <w:color w:val="auto"/>
          <w:sz w:val="24"/>
          <w:highlight w:val="none"/>
        </w:rPr>
      </w:pPr>
    </w:p>
    <w:p>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ascii="仿宋_GB2312" w:hAnsi="仿宋" w:eastAsia="仿宋_GB2312" w:cs="仿宋_GB2312"/>
          <w:b/>
          <w:bCs/>
          <w:color w:val="auto"/>
          <w:sz w:val="30"/>
          <w:szCs w:val="30"/>
          <w:highlight w:val="none"/>
        </w:rPr>
      </w:pPr>
    </w:p>
    <w:p>
      <w:pPr>
        <w:spacing w:line="360" w:lineRule="auto"/>
        <w:jc w:val="center"/>
        <w:rPr>
          <w:rFonts w:ascii="仿宋_GB2312" w:hAnsi="仿宋" w:eastAsia="仿宋_GB2312" w:cs="仿宋_GB2312"/>
          <w:b/>
          <w:bCs/>
          <w:color w:val="auto"/>
          <w:sz w:val="30"/>
          <w:szCs w:val="30"/>
          <w:highlight w:val="none"/>
        </w:rPr>
      </w:pPr>
    </w:p>
    <w:p>
      <w:pPr>
        <w:spacing w:line="360" w:lineRule="auto"/>
        <w:jc w:val="center"/>
        <w:rPr>
          <w:rFonts w:ascii="仿宋_GB2312" w:hAnsi="仿宋" w:eastAsia="仿宋_GB2312" w:cs="仿宋_GB2312"/>
          <w:b/>
          <w:bCs/>
          <w:color w:val="auto"/>
          <w:sz w:val="30"/>
          <w:szCs w:val="30"/>
          <w:highlight w:val="none"/>
        </w:rPr>
      </w:pPr>
    </w:p>
    <w:p>
      <w:pPr>
        <w:spacing w:line="360" w:lineRule="auto"/>
        <w:jc w:val="center"/>
        <w:rPr>
          <w:rFonts w:ascii="仿宋_GB2312" w:hAnsi="仿宋" w:eastAsia="仿宋_GB2312" w:cs="仿宋_GB2312"/>
          <w:b/>
          <w:bCs/>
          <w:color w:val="auto"/>
          <w:sz w:val="30"/>
          <w:szCs w:val="30"/>
          <w:highlight w:val="none"/>
        </w:rPr>
      </w:pPr>
    </w:p>
    <w:p>
      <w:pPr>
        <w:spacing w:line="360" w:lineRule="auto"/>
        <w:jc w:val="center"/>
        <w:rPr>
          <w:rFonts w:ascii="仿宋_GB2312" w:hAnsi="仿宋" w:eastAsia="仿宋_GB2312" w:cs="仿宋_GB2312"/>
          <w:b/>
          <w:color w:val="auto"/>
          <w:kern w:val="0"/>
          <w:sz w:val="30"/>
          <w:szCs w:val="30"/>
          <w:highlight w:val="none"/>
          <w:lang w:val="zh-CN"/>
        </w:rPr>
      </w:pPr>
      <w:r>
        <w:rPr>
          <w:rFonts w:hint="eastAsia" w:ascii="仿宋_GB2312" w:hAnsi="仿宋" w:eastAsia="仿宋_GB2312" w:cs="仿宋_GB2312"/>
          <w:b/>
          <w:bCs/>
          <w:color w:val="auto"/>
          <w:sz w:val="30"/>
          <w:szCs w:val="30"/>
          <w:highlight w:val="none"/>
        </w:rPr>
        <w:t>十三、关于</w:t>
      </w:r>
      <w:r>
        <w:rPr>
          <w:rFonts w:hint="eastAsia" w:ascii="仿宋_GB2312" w:hAnsi="仿宋" w:eastAsia="仿宋_GB2312" w:cs="仿宋_GB2312"/>
          <w:b/>
          <w:color w:val="auto"/>
          <w:kern w:val="0"/>
          <w:sz w:val="30"/>
          <w:szCs w:val="30"/>
          <w:highlight w:val="none"/>
          <w:lang w:val="zh-CN"/>
        </w:rPr>
        <w:t>对招标文件中有关商务、合同条款的拒绝声明</w:t>
      </w:r>
    </w:p>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rPr>
          <w:rFonts w:ascii="仿宋_GB2312" w:hAnsi="仿宋" w:eastAsia="仿宋_GB2312" w:cs="仿宋_GB2312"/>
          <w:color w:val="auto"/>
          <w:sz w:val="24"/>
          <w:highlight w:val="none"/>
        </w:rPr>
      </w:pPr>
    </w:p>
    <w:p>
      <w:pPr>
        <w:autoSpaceDE w:val="0"/>
        <w:autoSpaceDN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_GB2312" w:hAnsi="仿宋" w:eastAsia="仿宋_GB2312" w:cs="仿宋_GB2312"/>
          <w:b/>
          <w:bCs/>
          <w:color w:val="auto"/>
          <w:sz w:val="24"/>
          <w:highlight w:val="none"/>
        </w:rPr>
      </w:pPr>
    </w:p>
    <w:p>
      <w:pPr>
        <w:tabs>
          <w:tab w:val="left" w:pos="0"/>
        </w:tabs>
        <w:autoSpaceDE w:val="0"/>
        <w:autoSpaceDN w:val="0"/>
        <w:spacing w:line="360" w:lineRule="auto"/>
        <w:ind w:firstLine="2108" w:firstLineChars="7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108" w:firstLineChars="7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108" w:firstLineChars="7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108" w:firstLineChars="700"/>
        <w:rPr>
          <w:rFonts w:ascii="仿宋_GB2312" w:hAnsi="仿宋" w:eastAsia="仿宋_GB2312" w:cs="仿宋_GB2312"/>
          <w:b/>
          <w:bCs/>
          <w:color w:val="auto"/>
          <w:sz w:val="30"/>
          <w:szCs w:val="30"/>
          <w:highlight w:val="none"/>
        </w:rPr>
      </w:pPr>
      <w:r>
        <w:rPr>
          <w:rFonts w:hint="eastAsia" w:ascii="仿宋_GB2312" w:hAnsi="仿宋" w:eastAsia="仿宋_GB2312" w:cs="仿宋_GB2312"/>
          <w:b/>
          <w:bCs/>
          <w:color w:val="auto"/>
          <w:sz w:val="30"/>
          <w:szCs w:val="30"/>
          <w:highlight w:val="none"/>
        </w:rPr>
        <w:t>十四、政府采购供应商廉洁自律承诺书</w:t>
      </w:r>
    </w:p>
    <w:p>
      <w:pPr>
        <w:spacing w:line="360" w:lineRule="auto"/>
        <w:jc w:val="center"/>
        <w:rPr>
          <w:rFonts w:ascii="仿宋_GB2312" w:hAnsi="仿宋" w:eastAsia="仿宋_GB2312" w:cs="仿宋_GB2312"/>
          <w:color w:val="auto"/>
          <w:sz w:val="24"/>
          <w:highlight w:val="none"/>
        </w:rPr>
      </w:pPr>
      <w:r>
        <w:rPr>
          <w:rFonts w:hint="eastAsia" w:ascii="宋体" w:hAnsi="宋体" w:cs="宋体"/>
          <w:color w:val="auto"/>
          <w:sz w:val="24"/>
          <w:highlight w:val="none"/>
        </w:rPr>
        <w:t> </w:t>
      </w:r>
    </w:p>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p>
    <w:p>
      <w:pPr>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本单位合法参加</w:t>
      </w:r>
      <w:r>
        <w:rPr>
          <w:rFonts w:hint="eastAsia" w:ascii="仿宋_GB2312" w:hAnsi="仿宋" w:eastAsia="仿宋_GB2312"/>
          <w:color w:val="auto"/>
          <w:sz w:val="24"/>
          <w:highlight w:val="none"/>
          <w:lang w:eastAsia="zh-CN"/>
        </w:rPr>
        <w:t>杭州技师学院2022年物业服务采购项目</w:t>
      </w:r>
      <w:r>
        <w:rPr>
          <w:rFonts w:hint="eastAsia" w:ascii="仿宋_GB2312" w:hAnsi="仿宋" w:eastAsia="仿宋_GB2312" w:cs="仿宋_GB2312"/>
          <w:color w:val="auto"/>
          <w:sz w:val="24"/>
          <w:highlight w:val="none"/>
        </w:rPr>
        <w:t>【编号：</w:t>
      </w:r>
      <w:r>
        <w:rPr>
          <w:rFonts w:hint="eastAsia" w:ascii="仿宋_GB2312" w:hAnsi="仿宋" w:eastAsia="仿宋_GB2312" w:cs="仿宋_GB2312"/>
          <w:color w:val="auto"/>
          <w:sz w:val="24"/>
          <w:highlight w:val="none"/>
          <w:lang w:eastAsia="zh-CN"/>
        </w:rPr>
        <w:t>HZZFCG-2021-184</w:t>
      </w:r>
      <w:r>
        <w:rPr>
          <w:rFonts w:hint="eastAsia" w:ascii="仿宋_GB2312" w:hAnsi="仿宋" w:eastAsia="仿宋_GB2312" w:cs="仿宋_GB2312"/>
          <w:color w:val="auto"/>
          <w:sz w:val="24"/>
          <w:highlight w:val="none"/>
        </w:rPr>
        <w:t>】政府采购活动，就有关廉洁自律和公平竞争事项郑重声明如下：</w:t>
      </w:r>
    </w:p>
    <w:p>
      <w:pPr>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一、本单位与采购人之间不存在利害关系，不存在行贿、串通等违法行为。</w:t>
      </w:r>
    </w:p>
    <w:p>
      <w:pPr>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二、本单位与其他当事人之间不存在直接控股、管理关系等情况，不存在法定的不允许投标情形，不存在行贿、串通等违法行为。</w:t>
      </w:r>
    </w:p>
    <w:p>
      <w:pPr>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三、本单位清楚知道并严格遵守政府采购法律法规、政策文件和相关纪律。</w:t>
      </w:r>
    </w:p>
    <w:p>
      <w:pPr>
        <w:autoSpaceDE w:val="0"/>
        <w:autoSpaceDN w:val="0"/>
        <w:spacing w:line="360" w:lineRule="auto"/>
        <w:ind w:firstLine="5040" w:firstLineChars="21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投标人名称（电子签名）：</w:t>
      </w:r>
    </w:p>
    <w:p>
      <w:pPr>
        <w:autoSpaceDE w:val="0"/>
        <w:autoSpaceDN w:val="0"/>
        <w:spacing w:line="360" w:lineRule="auto"/>
        <w:ind w:right="960"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tabs>
          <w:tab w:val="left" w:pos="0"/>
        </w:tabs>
        <w:autoSpaceDE w:val="0"/>
        <w:autoSpaceDN w:val="0"/>
        <w:spacing w:line="360" w:lineRule="auto"/>
        <w:ind w:firstLine="2409" w:firstLineChars="8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409" w:firstLineChars="8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409" w:firstLineChars="800"/>
        <w:rPr>
          <w:rFonts w:ascii="仿宋_GB2312" w:hAnsi="仿宋" w:eastAsia="仿宋_GB2312" w:cs="仿宋_GB2312"/>
          <w:b/>
          <w:bCs/>
          <w:color w:val="auto"/>
          <w:sz w:val="30"/>
          <w:szCs w:val="30"/>
          <w:highlight w:val="none"/>
        </w:rPr>
      </w:pPr>
    </w:p>
    <w:p>
      <w:pPr>
        <w:tabs>
          <w:tab w:val="left" w:pos="0"/>
        </w:tabs>
        <w:autoSpaceDE w:val="0"/>
        <w:autoSpaceDN w:val="0"/>
        <w:spacing w:line="360" w:lineRule="auto"/>
        <w:jc w:val="center"/>
        <w:rPr>
          <w:rFonts w:ascii="仿宋_GB2312" w:hAnsi="仿宋" w:eastAsia="仿宋_GB2312" w:cs="仿宋_GB2312"/>
          <w:b/>
          <w:bCs/>
          <w:color w:val="auto"/>
          <w:sz w:val="30"/>
          <w:szCs w:val="30"/>
          <w:highlight w:val="none"/>
        </w:rPr>
      </w:pPr>
      <w:r>
        <w:rPr>
          <w:rFonts w:hint="eastAsia" w:ascii="仿宋_GB2312" w:hAnsi="仿宋" w:eastAsia="仿宋_GB2312" w:cs="仿宋_GB2312"/>
          <w:b/>
          <w:bCs/>
          <w:color w:val="auto"/>
          <w:sz w:val="30"/>
          <w:szCs w:val="30"/>
          <w:highlight w:val="none"/>
        </w:rPr>
        <w:br w:type="page"/>
      </w:r>
      <w:r>
        <w:rPr>
          <w:rFonts w:hint="eastAsia" w:ascii="仿宋_GB2312" w:hAnsi="仿宋" w:eastAsia="仿宋_GB2312" w:cs="仿宋_GB2312"/>
          <w:b/>
          <w:bCs/>
          <w:color w:val="auto"/>
          <w:sz w:val="30"/>
          <w:szCs w:val="30"/>
          <w:highlight w:val="none"/>
        </w:rPr>
        <w:t>十五、廉政承诺书</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eastAsia="zh-CN"/>
        </w:rPr>
        <w:t>杭州技师学院</w:t>
      </w:r>
      <w:r>
        <w:rPr>
          <w:rFonts w:hint="eastAsia"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ascii="仿宋_GB2312" w:hAnsi="仿宋" w:eastAsia="仿宋_GB2312" w:cs="仿宋_GB2312"/>
          <w:b/>
          <w:color w:val="auto"/>
          <w:sz w:val="32"/>
          <w:szCs w:val="32"/>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一、适用对象</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在浙江政府采购网注册入库，并取得杭州市政府采购合同的杭州市内中小企业供应商。</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二、相关信息获取方式</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请登陆杭州市政府采购网“中小企业信用融资”模块，查看信用融资政策文件及各相关银行服务方案。</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三、申请方式和步骤</w:t>
      </w:r>
    </w:p>
    <w:p>
      <w:pPr>
        <w:spacing w:line="360" w:lineRule="auto"/>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（一）“云采贷”融资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1、供应商先与银行对接，办理融资前期手续；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2、供应商中标后，登陆“中小企业信用融资”模块测算授信额度，并向银行发出融资申请；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3、银行线上审批通过后，办理放贷手续。</w:t>
      </w:r>
    </w:p>
    <w:p>
      <w:pPr>
        <w:spacing w:line="360" w:lineRule="auto"/>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（二）一般融资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1、供应商先与银行对接，办理融资前期手续；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2、供应商中标后，登陆杭州市政府采购网“中小企业信用融资”模块，向相关合作银行发出融资申请；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3、银行在“中小企业信用融资”模块受理申请；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4、银行、供应商线下办理审批、放贷事宜。</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四、注意事项</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1、供应商需确保政府采购合同的收款银行与融资银行一致。</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2、请各采购单位积极支持和配合政府采购信用融资工作，在合同备案环节仔细核对收款银行、账号信息等内容，一旦录入将无法修改。</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3、技术服务热线：87210880；如有业务问题可与各合作银行联系</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2"/>
        <w:keepNext w:val="0"/>
        <w:keepLines w:val="0"/>
        <w:pageBreakBefore/>
        <w:widowControl/>
        <w:numPr>
          <w:ilvl w:val="0"/>
          <w:numId w:val="0"/>
        </w:numPr>
        <w:spacing w:before="100" w:beforeAutospacing="1" w:after="100" w:afterAutospacing="1" w:line="360" w:lineRule="auto"/>
        <w:ind w:left="1290" w:firstLine="3092" w:firstLineChars="700"/>
        <w:rPr>
          <w:rFonts w:ascii="仿宋_GB2312" w:hAnsi="仿宋" w:eastAsia="仿宋_GB2312"/>
          <w:color w:val="auto"/>
          <w:highlight w:val="none"/>
        </w:rPr>
      </w:pPr>
      <w:bookmarkStart w:id="410" w:name="_Toc465665161"/>
      <w:r>
        <w:rPr>
          <w:rFonts w:hint="eastAsia" w:ascii="仿宋_GB2312" w:hAnsi="仿宋" w:eastAsia="仿宋_GB2312"/>
          <w:color w:val="auto"/>
          <w:highlight w:val="none"/>
        </w:rPr>
        <w:t>附件</w:t>
      </w:r>
      <w:bookmarkEnd w:id="410"/>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附件1：</w:t>
      </w:r>
    </w:p>
    <w:p>
      <w:pPr>
        <w:spacing w:line="360" w:lineRule="auto"/>
        <w:jc w:val="center"/>
        <w:rPr>
          <w:rFonts w:ascii="仿宋_GB2312" w:hAnsi="仿宋" w:eastAsia="仿宋_GB2312"/>
          <w:b/>
          <w:color w:val="auto"/>
          <w:spacing w:val="6"/>
          <w:sz w:val="32"/>
          <w:szCs w:val="32"/>
          <w:highlight w:val="none"/>
        </w:rPr>
      </w:pPr>
      <w:bookmarkStart w:id="411" w:name="OLE_LINK14"/>
      <w:bookmarkStart w:id="412" w:name="OLE_LINK13"/>
      <w:r>
        <w:rPr>
          <w:rFonts w:hint="eastAsia" w:ascii="仿宋_GB2312" w:hAnsi="仿宋" w:eastAsia="仿宋_GB2312"/>
          <w:b/>
          <w:color w:val="auto"/>
          <w:spacing w:val="6"/>
          <w:sz w:val="32"/>
          <w:szCs w:val="32"/>
          <w:highlight w:val="none"/>
        </w:rPr>
        <w:t>残疾人福利性单位声明函</w:t>
      </w:r>
    </w:p>
    <w:bookmarkEnd w:id="411"/>
    <w:bookmarkEnd w:id="412"/>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  期：</w:t>
      </w:r>
      <w:r>
        <w:rPr>
          <w:rFonts w:hint="eastAsia" w:ascii="仿宋_GB2312" w:hAnsi="仿宋" w:eastAsia="仿宋_GB2312" w:cs="仿宋_GB2312"/>
          <w:color w:val="auto"/>
          <w:kern w:val="0"/>
          <w:sz w:val="24"/>
          <w:highlight w:val="none"/>
          <w:lang w:val="zh-CN"/>
        </w:rPr>
        <w:t xml:space="preserve">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地址： </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质疑事项1：</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hint="eastAsia"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法定代表人/主要负责人：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被投诉人1：</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日,向</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采购人/代理机构</w:t>
      </w:r>
      <w:r>
        <w:rPr>
          <w:rFonts w:hint="eastAsia" w:ascii="仿宋_GB2312" w:hAnsi="仿宋" w:eastAsia="仿宋_GB2312"/>
          <w:color w:val="auto"/>
          <w:sz w:val="24"/>
          <w:highlight w:val="none"/>
        </w:rPr>
        <w:t>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日,就质疑事项作出了答复/没有在法定期限内作出答复。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 1：</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hint="eastAsia"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hint="eastAsia"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仿宋_GB2312"/>
          <w:b/>
          <w:color w:val="auto"/>
          <w:sz w:val="24"/>
          <w:highlight w:val="none"/>
        </w:rPr>
      </w:pPr>
      <w:r>
        <w:rPr>
          <w:rFonts w:hint="eastAsia"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_GB2312" w:hAnsi="仿宋" w:eastAsia="仿宋_GB2312"/>
          <w:color w:val="auto"/>
          <w:highlight w:val="none"/>
        </w:rPr>
      </w:pPr>
      <w:r>
        <w:rPr>
          <w:rFonts w:ascii="仿宋_GB2312" w:hAnsi="仿宋" w:eastAsia="仿宋_GB2312"/>
          <w:color w:val="auto"/>
          <w:highlight w:val="none"/>
        </w:rPr>
        <w:br w:type="page"/>
      </w:r>
    </w:p>
    <w:p>
      <w:pPr>
        <w:autoSpaceDE w:val="0"/>
        <w:autoSpaceDN w:val="0"/>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附件4：</w:t>
      </w:r>
    </w:p>
    <w:p>
      <w:pPr>
        <w:autoSpaceDE w:val="0"/>
        <w:autoSpaceDN w:val="0"/>
        <w:jc w:val="center"/>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业务专用章使用说明函</w:t>
      </w:r>
    </w:p>
    <w:p>
      <w:pPr>
        <w:autoSpaceDE w:val="0"/>
        <w:autoSpaceDN w:val="0"/>
        <w:jc w:val="center"/>
        <w:rPr>
          <w:rFonts w:ascii="仿宋_GB2312" w:hAnsi="仿宋" w:eastAsia="仿宋_GB2312"/>
          <w:b/>
          <w:bCs/>
          <w:color w:val="auto"/>
          <w:sz w:val="32"/>
          <w:szCs w:val="32"/>
          <w:highlight w:val="none"/>
        </w:rPr>
      </w:pP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lang w:eastAsia="zh-CN"/>
        </w:rPr>
        <w:t>杭州技师学院</w:t>
      </w:r>
      <w:r>
        <w:rPr>
          <w:rFonts w:hint="eastAsia" w:ascii="仿宋_GB2312" w:hAnsi="仿宋" w:eastAsia="仿宋_GB2312" w:cs="仿宋_GB2312"/>
          <w:color w:val="auto"/>
          <w:sz w:val="24"/>
          <w:highlight w:val="none"/>
        </w:rPr>
        <w:t>、杭州市公共资源交易中心（杭州市政府采购中心）：</w:t>
      </w:r>
    </w:p>
    <w:p>
      <w:pPr>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仿宋_GB2312"/>
          <w:color w:val="auto"/>
          <w:kern w:val="0"/>
          <w:sz w:val="24"/>
          <w:highlight w:val="none"/>
          <w:lang w:val="zh-CN"/>
        </w:rPr>
        <w:t>我方</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(投标人全称)</w:t>
      </w:r>
      <w:r>
        <w:rPr>
          <w:rFonts w:hint="eastAsia" w:ascii="仿宋_GB2312" w:hAnsi="仿宋" w:eastAsia="仿宋_GB2312"/>
          <w:color w:val="auto"/>
          <w:sz w:val="24"/>
          <w:highlight w:val="none"/>
        </w:rPr>
        <w:t>是中华人民共和国依法登记注册的合法企业，</w:t>
      </w:r>
      <w:r>
        <w:rPr>
          <w:rFonts w:hint="eastAsia" w:ascii="仿宋_GB2312" w:hAnsi="仿宋" w:eastAsia="仿宋_GB2312" w:cs="宋体"/>
          <w:bCs/>
          <w:color w:val="auto"/>
          <w:sz w:val="24"/>
          <w:highlight w:val="none"/>
        </w:rPr>
        <w:t>在参加</w:t>
      </w:r>
      <w:r>
        <w:rPr>
          <w:rFonts w:hint="eastAsia" w:ascii="仿宋_GB2312" w:hAnsi="仿宋" w:eastAsia="仿宋_GB2312" w:cs="仿宋_GB2312"/>
          <w:color w:val="auto"/>
          <w:sz w:val="24"/>
          <w:highlight w:val="none"/>
        </w:rPr>
        <w:t>贵方组织的</w:t>
      </w:r>
      <w:r>
        <w:rPr>
          <w:rFonts w:hint="eastAsia" w:ascii="仿宋_GB2312" w:hAnsi="仿宋" w:eastAsia="仿宋_GB2312"/>
          <w:color w:val="auto"/>
          <w:sz w:val="24"/>
          <w:highlight w:val="none"/>
          <w:lang w:eastAsia="zh-CN"/>
        </w:rPr>
        <w:t>杭州技师学院2022年物业服务采购项目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s="仿宋_GB2312"/>
          <w:color w:val="auto"/>
          <w:sz w:val="24"/>
          <w:highlight w:val="none"/>
          <w:lang w:eastAsia="zh-CN"/>
        </w:rPr>
        <w:t>HZZFCG-2021-184</w:t>
      </w:r>
      <w:r>
        <w:rPr>
          <w:rFonts w:hint="eastAsia" w:ascii="仿宋_GB2312" w:hAnsi="仿宋" w:eastAsia="仿宋_GB2312" w:cs="仿宋_GB2312"/>
          <w:color w:val="auto"/>
          <w:sz w:val="24"/>
          <w:highlight w:val="none"/>
        </w:rPr>
        <w:t>】</w:t>
      </w:r>
      <w:r>
        <w:rPr>
          <w:rFonts w:hint="eastAsia" w:ascii="仿宋_GB2312" w:hAnsi="仿宋" w:eastAsia="仿宋_GB2312" w:cs="宋体"/>
          <w:bCs/>
          <w:color w:val="auto"/>
          <w:sz w:val="24"/>
          <w:highlight w:val="none"/>
        </w:rPr>
        <w:t>投标活动中作如下说明：</w:t>
      </w:r>
      <w:r>
        <w:rPr>
          <w:rFonts w:hint="eastAsia" w:ascii="仿宋_GB2312" w:hAnsi="仿宋" w:eastAsia="仿宋_GB2312" w:cs="宋体"/>
          <w:color w:val="auto"/>
          <w:sz w:val="24"/>
          <w:highlight w:val="none"/>
        </w:rPr>
        <w:t>我方所使用的“</w:t>
      </w:r>
      <w:r>
        <w:rPr>
          <w:rFonts w:hint="eastAsia" w:ascii="仿宋_GB2312" w:hAnsi="仿宋" w:eastAsia="仿宋_GB2312" w:cs="仿宋_GB2312"/>
          <w:color w:val="auto"/>
          <w:sz w:val="24"/>
          <w:highlight w:val="none"/>
        </w:rPr>
        <w:t>XX</w:t>
      </w:r>
      <w:r>
        <w:rPr>
          <w:rFonts w:hint="eastAsia" w:ascii="仿宋_GB2312" w:hAnsi="仿宋" w:eastAsia="仿宋_GB2312" w:cs="宋体"/>
          <w:color w:val="auto"/>
          <w:sz w:val="24"/>
          <w:highlight w:val="none"/>
        </w:rPr>
        <w:t>专用章”与法定名称章具有同等的法律效力，对使用“</w:t>
      </w:r>
      <w:r>
        <w:rPr>
          <w:rFonts w:hint="eastAsia" w:ascii="仿宋_GB2312" w:hAnsi="仿宋" w:eastAsia="仿宋_GB2312" w:cs="仿宋_GB2312"/>
          <w:color w:val="auto"/>
          <w:sz w:val="24"/>
          <w:highlight w:val="none"/>
        </w:rPr>
        <w:t>XX</w:t>
      </w:r>
      <w:r>
        <w:rPr>
          <w:rFonts w:hint="eastAsia" w:ascii="仿宋_GB2312" w:hAnsi="仿宋" w:eastAsia="仿宋_GB2312" w:cs="宋体"/>
          <w:color w:val="auto"/>
          <w:sz w:val="24"/>
          <w:highlight w:val="none"/>
        </w:rPr>
        <w:t xml:space="preserve">专用章”的行为予以完全承认，并愿意承担相应责任。   </w:t>
      </w:r>
    </w:p>
    <w:p>
      <w:pPr>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特此说明。</w:t>
      </w:r>
    </w:p>
    <w:p>
      <w:pPr>
        <w:spacing w:line="360" w:lineRule="auto"/>
        <w:ind w:firstLine="494"/>
        <w:rPr>
          <w:rFonts w:ascii="仿宋_GB2312" w:hAnsi="仿宋" w:eastAsia="仿宋_GB2312" w:cs="宋体"/>
          <w:color w:val="auto"/>
          <w:sz w:val="24"/>
          <w:highlight w:val="none"/>
        </w:rPr>
      </w:pPr>
    </w:p>
    <w:p>
      <w:pPr>
        <w:spacing w:line="360" w:lineRule="auto"/>
        <w:ind w:firstLine="494"/>
        <w:rPr>
          <w:rFonts w:ascii="仿宋_GB2312" w:hAnsi="仿宋" w:eastAsia="仿宋_GB2312" w:cs="宋体"/>
          <w:color w:val="auto"/>
          <w:sz w:val="24"/>
          <w:highlight w:val="none"/>
        </w:rPr>
      </w:pPr>
    </w:p>
    <w:p>
      <w:pPr>
        <w:spacing w:line="360" w:lineRule="auto"/>
        <w:ind w:firstLine="494"/>
        <w:rPr>
          <w:rFonts w:ascii="仿宋_GB2312" w:hAnsi="仿宋" w:eastAsia="仿宋_GB2312" w:cs="宋体"/>
          <w:color w:val="auto"/>
          <w:sz w:val="24"/>
          <w:highlight w:val="none"/>
        </w:rPr>
      </w:pPr>
    </w:p>
    <w:p>
      <w:pPr>
        <w:spacing w:line="360" w:lineRule="auto"/>
        <w:ind w:firstLine="494"/>
        <w:rPr>
          <w:rFonts w:ascii="仿宋_GB2312" w:hAnsi="仿宋" w:eastAsia="仿宋_GB2312" w:cs="宋体"/>
          <w:color w:val="auto"/>
          <w:sz w:val="24"/>
          <w:highlight w:val="none"/>
        </w:rPr>
      </w:pPr>
    </w:p>
    <w:p>
      <w:pPr>
        <w:spacing w:line="360" w:lineRule="auto"/>
        <w:ind w:right="482" w:firstLine="4080" w:firstLineChars="17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投标单位（法定名称章）：</w:t>
      </w:r>
    </w:p>
    <w:p>
      <w:pPr>
        <w:spacing w:line="360" w:lineRule="auto"/>
        <w:ind w:right="482" w:firstLine="4080" w:firstLineChars="17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日期：       年     月     日</w:t>
      </w:r>
    </w:p>
    <w:p>
      <w:pPr>
        <w:rPr>
          <w:rFonts w:ascii="仿宋_GB2312" w:hAnsi="仿宋" w:eastAsia="仿宋_GB2312" w:cs="宋体"/>
          <w:color w:val="auto"/>
          <w:sz w:val="24"/>
          <w:highlight w:val="none"/>
        </w:rPr>
      </w:pPr>
      <w:r>
        <w:rPr>
          <w:rFonts w:hint="eastAsia" w:ascii="仿宋_GB2312" w:hAnsi="仿宋" w:eastAsia="仿宋_GB2312" w:cs="宋体"/>
          <w:b/>
          <w:bCs/>
          <w:color w:val="auto"/>
          <w:sz w:val="24"/>
          <w:highlight w:val="none"/>
        </w:rPr>
        <w:t>附：</w:t>
      </w:r>
    </w:p>
    <w:p>
      <w:pPr>
        <w:spacing w:line="360" w:lineRule="auto"/>
        <w:rPr>
          <w:rFonts w:ascii="仿宋_GB2312" w:hAnsi="仿宋" w:eastAsia="仿宋_GB2312"/>
          <w:bCs/>
          <w:color w:val="auto"/>
          <w:sz w:val="24"/>
          <w:highlight w:val="none"/>
        </w:rPr>
      </w:pPr>
      <w:r>
        <w:rPr>
          <w:rFonts w:hint="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MGo3qjgCAAB+BAAADgAAAGRycy9lMm9Eb2MueG1srVTB jtMwEL0j8Q+W7zRtaLts1HS1alWEtMBKCx/gOk5jYXvM2G26/AwSNz6Cz0H8BhOnLd2Fwx7IIfJk xs/vvRlndrW3hu0UBg2u5KPBkDPlJFTabUr+8cPqxSvOQhSuEgacKvm9Cvxq/vzZrPWFyqEBUylk BOJC0fqSNzH6IsuCbJQVYQBeOUrWgFZECnGTVShaQrcmy4fDadYCVh5BqhDo67JP8gMiPgUQ6lpL tQS5tcrFHhWVEZEkhUb7wOeJbV0rGd/XdVCRmZKT0pjedAit1907m89EsUHhGy0PFMRTKDzSZIV2 dOgJaimiYFvUf0FZLREC1HEgwWa9kOQIqRgNH3lz1wivkhayOviT6eH/wcp3u1tkuip5zpkTlhr+ 6+v3nz++sbzzpvWhoJI7f4uduuBvQH4KzMGiEW6jrhGhbZSoiNGoq88ebOiCQFvZun0LFUGLbYRk 075G2wGSAWyfunF/6obaRybpY34xHI+nE84k5fJ88nI6mqQzRHHc7jHE1wos6xYlR2p3ghe7mxA7 OqI4liT6YHS10sakADfrhUG2EzQaq/Qc0MN5mXGsLfnlJJ8k5Ae5cA4xTM+/IKyOdGOMtiTjvMi4 jodKU3rge3Ssd34N1T25h9CPLV1aWjSAXzhraWRLHj5vBSrOzBtHHbgcjcfdjKdgPLnIKcDzzPo8 I5wkqJJHzvrlIvb3YutRbxo6aZQUO7imrtU6+dnx61kdek1jmWw+XKFu7s/jVPXntzH/DV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KkEAABbQ29u dGVudF9UeXBlc10ueG1sUEsBAhQACgAAAAAAh07iQAAAAAAAAAAAAAAAAAYAAAAAAAAAAAAQAAAA iwMAAF9yZWxzL1BLAQIUABQAAAAIAIdO4kCKFGY80QAAAJQBAAALAAAAAAAAAAEAIAAAAK8DAABf cmVscy8ucmVsc1BLAQIUAAoAAAAAAIdO4kAAAAAAAAAAAAAAAAAEAAAAAAAAAAAAEAAAAAAAAABk cnMvUEsBAhQAFAAAAAgAh07iQPWQDz/YAAAACgEAAA8AAAAAAAAAAQAgAAAAIgAAAGRycy9kb3du cmV2LnhtbFBLAQIUABQAAAAIAIdO4kAwajeqOAIAAH4EAAAOAAAAAAAAAAEAIAAAACcBAABkcnMv ZTJvRG9jLnhtbFBLBQYAAAAABgAGAFkBAADRBQAAAAA= ">
                <v:fill on="t" focussize="0,0"/>
                <v:stroke color="#000000" miterlimit="2" joinstyle="miter"/>
                <v:imagedata o:title=""/>
                <o:lock v:ext="edit" aspectratio="f"/>
              </v:rect>
            </w:pict>
          </mc:Fallback>
        </mc:AlternateContent>
      </w:r>
      <w:r>
        <w:rPr>
          <w:rFonts w:hint="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Mq0s6DcCAAB+BAAADgAAAGRycy9lMm9Eb2MueG1srVTB jtMwEL0j8Q+W7zRtaLu0arpatSpCWmClhQ9wHaexsD1m7DYtP4PEjY/gcxC/wcRpS3fhsAdyiDyZ 8fN7b8aZXe+tYTuFQYMr+KDX50w5CaV2m4J//LB68YqzEIUrhQGnCn5QgV/Pnz+bNX6qcqjBlAoZ gbgwbXzB6xj9NMuCrJUVoQdeOUpWgFZECnGTlSgaQrcmy/v9cdYAlh5BqhDo67JL8iMiPgUQqkpL tQS5tcrFDhWVEZEkhVr7wOeJbVUpGd9XVVCRmYKT0pjedAit1+07m8/EdIPC11oeKYinUHikyQrt 6NAz1FJEwbao/4KyWiIEqGJPgs06IckRUjHoP/LmvhZeJS1kdfBn08P/g5XvdnfIdEmTwJkTlhr+ 6+v3nz++sUHrTePDlEru/R226oK/BfkpMAeLWriNukGEplaiJEapPnuwoQ0CbWXr5i2UBC22EZJN +wptC0gGsH3qxuHcDbWPTNLHfDy8moyoUZJyeT56OR6MWk6ZmJ62ewzxtQLL2kXBkdqd4MXuNsSu 9FSS6IPR5UobkwLcrBcG2U7QaKzSc0QPl2XGsabgk1E+SsgPcuESop+ef0FYHenGGG1JxmWRcS0P lab0yPfkWOf8GsoDuYfQjS1dWlrUgF84a2hkCx4+bwUqzswbRx2YDIbDdsZTMBxd5RTgZWZ9mRFO ElTBI2fdchG7e7H1qDc1nTRIih3cUNcqnfxs+XWsqA9tQGOZOnK8Qu3cX8ap6s9vY/4b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qAQAAFtDb250 ZW50X1R5cGVzXS54bWxQSwECFAAKAAAAAACHTuJAAAAAAAAAAAAAAAAABgAAAAAAAAAAABAAAACK AwAAX3JlbHMvUEsBAhQAFAAAAAgAh07iQIoUZjzRAAAAlAEAAAsAAAAAAAAAAQAgAAAArgMAAF9y ZWxzLy5yZWxzUEsBAhQACgAAAAAAh07iQAAAAAAAAAAAAAAAAAQAAAAAAAAAAAAQAAAAAAAAAGRy cy9QSwECFAAUAAAACACHTuJAGYxHptgAAAAKAQAADwAAAAAAAAABACAAAAAiAAAAZHJzL2Rvd25y ZXYueG1sUEsBAhQAFAAAAAgAh07iQDKtLOg3AgAAfgQAAA4AAAAAAAAAAQAgAAAAJwEAAGRycy9l Mm9Eb2MueG1sUEsFBgAAAAAGAAYAWQEAANAFAAAAAA== ">
                <v:fill on="t" focussize="0,0"/>
                <v:stroke color="#000000" miterlimit="2" joinstyle="miter"/>
                <v:imagedata o:title=""/>
                <o:lock v:ext="edit" aspectratio="f"/>
              </v:rect>
            </w:pict>
          </mc:Fallback>
        </mc:AlternateContent>
      </w:r>
      <w:r>
        <w:rPr>
          <w:rFonts w:hint="eastAsia" w:ascii="仿宋_GB2312" w:hAnsi="仿宋" w:eastAsia="仿宋_GB2312" w:cs="宋体"/>
          <w:color w:val="auto"/>
          <w:sz w:val="24"/>
          <w:highlight w:val="none"/>
        </w:rPr>
        <w:t>投标单位法定名称章（印模）                投标单位“</w:t>
      </w:r>
      <w:r>
        <w:rPr>
          <w:rFonts w:hint="eastAsia" w:ascii="仿宋_GB2312" w:hAnsi="仿宋" w:eastAsia="仿宋_GB2312" w:cs="仿宋_GB2312"/>
          <w:color w:val="auto"/>
          <w:sz w:val="24"/>
          <w:highlight w:val="none"/>
        </w:rPr>
        <w:t>XX</w:t>
      </w:r>
      <w:r>
        <w:rPr>
          <w:rFonts w:hint="eastAsia" w:ascii="仿宋_GB2312" w:hAnsi="仿宋" w:eastAsia="仿宋_GB2312" w:cs="宋体"/>
          <w:color w:val="auto"/>
          <w:sz w:val="24"/>
          <w:highlight w:val="none"/>
        </w:rPr>
        <w:t>专用章”（印模）</w:t>
      </w:r>
    </w:p>
    <w:p>
      <w:pPr>
        <w:widowControl/>
        <w:spacing w:line="360" w:lineRule="auto"/>
        <w:ind w:firstLine="480" w:firstLineChars="200"/>
        <w:jc w:val="left"/>
        <w:rPr>
          <w:rFonts w:ascii="仿宋_GB2312" w:hAnsi="仿宋" w:eastAsia="仿宋_GB2312" w:cs="宋体"/>
          <w:color w:val="auto"/>
          <w:kern w:val="0"/>
          <w:sz w:val="24"/>
          <w:highlight w:val="none"/>
        </w:rPr>
      </w:pPr>
    </w:p>
    <w:p>
      <w:pPr>
        <w:snapToGrid w:val="0"/>
        <w:spacing w:line="360" w:lineRule="auto"/>
        <w:jc w:val="center"/>
        <w:rPr>
          <w:rFonts w:ascii="仿宋_GB2312" w:hAnsi="仿宋" w:eastAsia="仿宋_GB2312" w:cs="仿宋_GB2312"/>
          <w:b/>
          <w:color w:val="auto"/>
          <w:sz w:val="24"/>
          <w:highlight w:val="none"/>
        </w:rPr>
      </w:pPr>
    </w:p>
    <w:p>
      <w:pPr>
        <w:rPr>
          <w:rFonts w:ascii="仿宋_GB2312" w:hAnsi="仿宋" w:eastAsia="仿宋_GB2312"/>
          <w:color w:val="auto"/>
          <w:highlight w:val="none"/>
        </w:rPr>
      </w:pPr>
    </w:p>
    <w:sectPr>
      <w:headerReference r:id="rId15" w:type="first"/>
      <w:footerReference r:id="rId18" w:type="first"/>
      <w:headerReference r:id="rId14" w:type="default"/>
      <w:footerReference r:id="rId16" w:type="default"/>
      <w:footerReference r:id="rId17"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宋体"/>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Lucida Sans Unicode"/>
    <w:panose1 w:val="00000000000000000000"/>
    <w:charset w:val="B1"/>
    <w:family w:val="swiss"/>
    <w:pitch w:val="default"/>
    <w:sig w:usb0="00000000" w:usb1="00000000" w:usb2="00000000" w:usb3="00000000" w:csb0="000001FB"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utura Hv">
    <w:altName w:val="Lucida Sans Unicode"/>
    <w:panose1 w:val="00000000000000000000"/>
    <w:charset w:val="B1"/>
    <w:family w:val="swiss"/>
    <w:pitch w:val="default"/>
    <w:sig w:usb0="00000000" w:usb1="00000000" w:usb2="00000000" w:usb3="00000000" w:csb0="000001FB" w:csb1="00000000"/>
  </w:font>
  <w:font w:name="Arial Unicode MS">
    <w:altName w:val="宋体"/>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71"/>
      </w:rPr>
    </w:pPr>
    <w:r>
      <w:fldChar w:fldCharType="begin"/>
    </w:r>
    <w:r>
      <w:rPr>
        <w:rStyle w:val="71"/>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413" w:name="_Toc164085800"/>
    <w:bookmarkStart w:id="414" w:name="_Toc131845147"/>
    <w:bookmarkStart w:id="415" w:name="_Toc91899912"/>
    <w:bookmarkStart w:id="416" w:name="_Toc36110187"/>
    <w:r>
      <w:rPr>
        <w:rFonts w:hint="eastAsia" w:ascii="仿宋_GB2312" w:eastAsia="仿宋_GB2312"/>
        <w:kern w:val="0"/>
        <w:szCs w:val="21"/>
      </w:rPr>
      <w:t xml:space="preserve"> 页</w:t>
    </w:r>
    <w:bookmarkEnd w:id="413"/>
    <w:bookmarkEnd w:id="414"/>
    <w:bookmarkEnd w:id="415"/>
    <w:bookmarkEnd w:id="41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37D75"/>
    <w:multiLevelType w:val="singleLevel"/>
    <w:tmpl w:val="F5F37D75"/>
    <w:lvl w:ilvl="0" w:tentative="0">
      <w:start w:val="1"/>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5"/>
      <w:lvlText w:val=""/>
      <w:lvlJc w:val="left"/>
      <w:pPr>
        <w:tabs>
          <w:tab w:val="left" w:pos="2520"/>
        </w:tabs>
        <w:ind w:left="2520" w:hanging="420"/>
      </w:pPr>
      <w:rPr>
        <w:rFonts w:hint="default" w:ascii="Wingdings" w:hAnsi="Wingdings"/>
      </w:rPr>
    </w:lvl>
    <w:lvl w:ilvl="5" w:tentative="0">
      <w:start w:val="1"/>
      <w:numFmt w:val="bullet"/>
      <w:pStyle w:val="495"/>
      <w:lvlText w:val=""/>
      <w:lvlJc w:val="left"/>
      <w:pPr>
        <w:tabs>
          <w:tab w:val="left" w:pos="2940"/>
        </w:tabs>
        <w:ind w:left="2940" w:hanging="420"/>
      </w:pPr>
      <w:rPr>
        <w:rFonts w:hint="default" w:ascii="Wingdings" w:hAnsi="Wingdings"/>
      </w:rPr>
    </w:lvl>
    <w:lvl w:ilvl="6" w:tentative="0">
      <w:start w:val="1"/>
      <w:numFmt w:val="bullet"/>
      <w:pStyle w:val="494"/>
      <w:lvlText w:val=""/>
      <w:lvlJc w:val="left"/>
      <w:pPr>
        <w:tabs>
          <w:tab w:val="left" w:pos="3360"/>
        </w:tabs>
        <w:ind w:left="3360" w:hanging="420"/>
      </w:pPr>
      <w:rPr>
        <w:rFonts w:hint="default" w:ascii="Wingdings" w:hAnsi="Wingdings"/>
      </w:rPr>
    </w:lvl>
    <w:lvl w:ilvl="7" w:tentative="0">
      <w:start w:val="1"/>
      <w:numFmt w:val="bullet"/>
      <w:pStyle w:val="575"/>
      <w:lvlText w:val=""/>
      <w:lvlJc w:val="left"/>
      <w:pPr>
        <w:tabs>
          <w:tab w:val="left" w:pos="3780"/>
        </w:tabs>
        <w:ind w:left="3780" w:hanging="420"/>
      </w:pPr>
      <w:rPr>
        <w:rFonts w:hint="default" w:ascii="Wingdings" w:hAnsi="Wingdings"/>
      </w:rPr>
    </w:lvl>
    <w:lvl w:ilvl="8" w:tentative="0">
      <w:start w:val="1"/>
      <w:numFmt w:val="bullet"/>
      <w:pStyle w:val="5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1F3D51"/>
    <w:multiLevelType w:val="multilevel"/>
    <w:tmpl w:val="011F3D51"/>
    <w:lvl w:ilvl="0" w:tentative="0">
      <w:start w:val="1"/>
      <w:numFmt w:val="decimal"/>
      <w:pStyle w:val="861"/>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62"/>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578B3BD2"/>
    <w:multiLevelType w:val="multilevel"/>
    <w:tmpl w:val="578B3BD2"/>
    <w:lvl w:ilvl="0" w:tentative="0">
      <w:start w:val="1"/>
      <w:numFmt w:val="decimal"/>
      <w:pStyle w:val="506"/>
      <w:lvlText w:val="%1"/>
      <w:lvlJc w:val="left"/>
      <w:pPr>
        <w:tabs>
          <w:tab w:val="left" w:pos="480"/>
        </w:tabs>
        <w:ind w:left="480" w:hanging="480"/>
      </w:pPr>
      <w:rPr>
        <w:rFonts w:hint="eastAsia"/>
        <w:sz w:val="44"/>
        <w:szCs w:val="44"/>
      </w:rPr>
    </w:lvl>
    <w:lvl w:ilvl="1" w:tentative="0">
      <w:start w:val="1"/>
      <w:numFmt w:val="decimal"/>
      <w:pStyle w:val="48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9"/>
      <w:lvlText w:val="%1.%2.%3.%4.%5"/>
      <w:lvlJc w:val="left"/>
      <w:pPr>
        <w:tabs>
          <w:tab w:val="left" w:pos="1080"/>
        </w:tabs>
        <w:ind w:left="1080" w:hanging="1080"/>
      </w:pPr>
      <w:rPr>
        <w:rFonts w:hint="default"/>
      </w:rPr>
    </w:lvl>
    <w:lvl w:ilvl="5" w:tentative="0">
      <w:start w:val="1"/>
      <w:numFmt w:val="decimal"/>
      <w:pStyle w:val="44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50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E265E1C"/>
    <w:multiLevelType w:val="multilevel"/>
    <w:tmpl w:val="7E265E1C"/>
    <w:lvl w:ilvl="0" w:tentative="0">
      <w:start w:val="1"/>
      <w:numFmt w:val="decimal"/>
      <w:pStyle w:val="22"/>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8"/>
  </w:num>
  <w:num w:numId="5">
    <w:abstractNumId w:val="2"/>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6D"/>
    <w:rsid w:val="00001695"/>
    <w:rsid w:val="000130F0"/>
    <w:rsid w:val="000167E6"/>
    <w:rsid w:val="00025DBB"/>
    <w:rsid w:val="00027A2E"/>
    <w:rsid w:val="0003054B"/>
    <w:rsid w:val="00035BA0"/>
    <w:rsid w:val="00037856"/>
    <w:rsid w:val="00041933"/>
    <w:rsid w:val="00042C27"/>
    <w:rsid w:val="00062E9F"/>
    <w:rsid w:val="00062EF9"/>
    <w:rsid w:val="00065721"/>
    <w:rsid w:val="00075A9B"/>
    <w:rsid w:val="00083A58"/>
    <w:rsid w:val="00086C68"/>
    <w:rsid w:val="0009477E"/>
    <w:rsid w:val="000A17D9"/>
    <w:rsid w:val="000A4D71"/>
    <w:rsid w:val="000B157B"/>
    <w:rsid w:val="000C446D"/>
    <w:rsid w:val="000C557D"/>
    <w:rsid w:val="000C7CC4"/>
    <w:rsid w:val="000D67D9"/>
    <w:rsid w:val="000D768A"/>
    <w:rsid w:val="000E0908"/>
    <w:rsid w:val="000F65A9"/>
    <w:rsid w:val="000F7CBC"/>
    <w:rsid w:val="00103F7F"/>
    <w:rsid w:val="00113817"/>
    <w:rsid w:val="00144817"/>
    <w:rsid w:val="00152259"/>
    <w:rsid w:val="00175C09"/>
    <w:rsid w:val="001833FB"/>
    <w:rsid w:val="00184501"/>
    <w:rsid w:val="00184578"/>
    <w:rsid w:val="001877C2"/>
    <w:rsid w:val="00192151"/>
    <w:rsid w:val="00196903"/>
    <w:rsid w:val="00196DCD"/>
    <w:rsid w:val="001B43D8"/>
    <w:rsid w:val="001C5834"/>
    <w:rsid w:val="001E1549"/>
    <w:rsid w:val="0021050E"/>
    <w:rsid w:val="00225EC9"/>
    <w:rsid w:val="00240A98"/>
    <w:rsid w:val="00247AB0"/>
    <w:rsid w:val="002543B3"/>
    <w:rsid w:val="00263F04"/>
    <w:rsid w:val="00264FDC"/>
    <w:rsid w:val="0026627C"/>
    <w:rsid w:val="002709A4"/>
    <w:rsid w:val="002716C3"/>
    <w:rsid w:val="002728D9"/>
    <w:rsid w:val="00282234"/>
    <w:rsid w:val="0028351F"/>
    <w:rsid w:val="00295D8F"/>
    <w:rsid w:val="002A4EB3"/>
    <w:rsid w:val="002B12AC"/>
    <w:rsid w:val="002B43B3"/>
    <w:rsid w:val="002C751B"/>
    <w:rsid w:val="002D2C0A"/>
    <w:rsid w:val="002D3D77"/>
    <w:rsid w:val="002E250C"/>
    <w:rsid w:val="002F3656"/>
    <w:rsid w:val="002F7ED2"/>
    <w:rsid w:val="00311B21"/>
    <w:rsid w:val="00316610"/>
    <w:rsid w:val="00326065"/>
    <w:rsid w:val="00351AE6"/>
    <w:rsid w:val="00352D79"/>
    <w:rsid w:val="003717D4"/>
    <w:rsid w:val="00372EBF"/>
    <w:rsid w:val="00373270"/>
    <w:rsid w:val="00373762"/>
    <w:rsid w:val="00373AAF"/>
    <w:rsid w:val="00375901"/>
    <w:rsid w:val="00381347"/>
    <w:rsid w:val="0038747C"/>
    <w:rsid w:val="0039781F"/>
    <w:rsid w:val="003A35AF"/>
    <w:rsid w:val="003B29B7"/>
    <w:rsid w:val="003B6ABC"/>
    <w:rsid w:val="003C092B"/>
    <w:rsid w:val="003C6CF3"/>
    <w:rsid w:val="003C7F9E"/>
    <w:rsid w:val="003E00ED"/>
    <w:rsid w:val="003E3D66"/>
    <w:rsid w:val="003E513D"/>
    <w:rsid w:val="003E6090"/>
    <w:rsid w:val="003F38C2"/>
    <w:rsid w:val="00402EC8"/>
    <w:rsid w:val="00415EDE"/>
    <w:rsid w:val="004179E3"/>
    <w:rsid w:val="00420010"/>
    <w:rsid w:val="00422FB2"/>
    <w:rsid w:val="004240C2"/>
    <w:rsid w:val="00426A1E"/>
    <w:rsid w:val="004450A2"/>
    <w:rsid w:val="00460EED"/>
    <w:rsid w:val="0046307F"/>
    <w:rsid w:val="00465147"/>
    <w:rsid w:val="004737B8"/>
    <w:rsid w:val="00493E7D"/>
    <w:rsid w:val="00497B31"/>
    <w:rsid w:val="004A0144"/>
    <w:rsid w:val="004A0650"/>
    <w:rsid w:val="004B0F6C"/>
    <w:rsid w:val="004B1F5E"/>
    <w:rsid w:val="004B4AE5"/>
    <w:rsid w:val="004B4CCF"/>
    <w:rsid w:val="004C1A80"/>
    <w:rsid w:val="004D049D"/>
    <w:rsid w:val="004E45C9"/>
    <w:rsid w:val="005038C3"/>
    <w:rsid w:val="00504E19"/>
    <w:rsid w:val="0050521A"/>
    <w:rsid w:val="00517C54"/>
    <w:rsid w:val="00521562"/>
    <w:rsid w:val="00527181"/>
    <w:rsid w:val="005327EA"/>
    <w:rsid w:val="00541BDD"/>
    <w:rsid w:val="00550BDB"/>
    <w:rsid w:val="00557072"/>
    <w:rsid w:val="00565E00"/>
    <w:rsid w:val="00566459"/>
    <w:rsid w:val="00566CFF"/>
    <w:rsid w:val="00573C3B"/>
    <w:rsid w:val="0057464A"/>
    <w:rsid w:val="0058241A"/>
    <w:rsid w:val="005855B7"/>
    <w:rsid w:val="00591833"/>
    <w:rsid w:val="005A7DA7"/>
    <w:rsid w:val="005C0CEF"/>
    <w:rsid w:val="005D2AF5"/>
    <w:rsid w:val="005D6C63"/>
    <w:rsid w:val="005E2331"/>
    <w:rsid w:val="005E4983"/>
    <w:rsid w:val="005E6F5D"/>
    <w:rsid w:val="005F7C70"/>
    <w:rsid w:val="006020B4"/>
    <w:rsid w:val="00603DDF"/>
    <w:rsid w:val="006230D0"/>
    <w:rsid w:val="00625126"/>
    <w:rsid w:val="00633880"/>
    <w:rsid w:val="0064439D"/>
    <w:rsid w:val="00667292"/>
    <w:rsid w:val="00672951"/>
    <w:rsid w:val="006860B8"/>
    <w:rsid w:val="006B04A0"/>
    <w:rsid w:val="006C46FF"/>
    <w:rsid w:val="006C7E77"/>
    <w:rsid w:val="006D4B49"/>
    <w:rsid w:val="006D6E9B"/>
    <w:rsid w:val="006E00B8"/>
    <w:rsid w:val="006E0242"/>
    <w:rsid w:val="006E034D"/>
    <w:rsid w:val="006F58A4"/>
    <w:rsid w:val="006F5FF5"/>
    <w:rsid w:val="00701423"/>
    <w:rsid w:val="007059BB"/>
    <w:rsid w:val="00716258"/>
    <w:rsid w:val="007232A6"/>
    <w:rsid w:val="00746FFF"/>
    <w:rsid w:val="00753B0E"/>
    <w:rsid w:val="00761014"/>
    <w:rsid w:val="0076596A"/>
    <w:rsid w:val="00766C31"/>
    <w:rsid w:val="0077717F"/>
    <w:rsid w:val="00777C72"/>
    <w:rsid w:val="007831EF"/>
    <w:rsid w:val="0079192C"/>
    <w:rsid w:val="00794239"/>
    <w:rsid w:val="007A1C86"/>
    <w:rsid w:val="007A463D"/>
    <w:rsid w:val="007C0B33"/>
    <w:rsid w:val="007C3BBE"/>
    <w:rsid w:val="007C5FFE"/>
    <w:rsid w:val="007D3006"/>
    <w:rsid w:val="007E588B"/>
    <w:rsid w:val="007F21C6"/>
    <w:rsid w:val="00800EC8"/>
    <w:rsid w:val="0080170E"/>
    <w:rsid w:val="00806F78"/>
    <w:rsid w:val="00815AFA"/>
    <w:rsid w:val="00822E9A"/>
    <w:rsid w:val="00827A1E"/>
    <w:rsid w:val="008370B5"/>
    <w:rsid w:val="0085062E"/>
    <w:rsid w:val="00873041"/>
    <w:rsid w:val="00880D7D"/>
    <w:rsid w:val="00881349"/>
    <w:rsid w:val="00882445"/>
    <w:rsid w:val="00882EB6"/>
    <w:rsid w:val="00883D37"/>
    <w:rsid w:val="00894C8C"/>
    <w:rsid w:val="00896F50"/>
    <w:rsid w:val="008A1377"/>
    <w:rsid w:val="008A5E2E"/>
    <w:rsid w:val="008B0DD8"/>
    <w:rsid w:val="008C4F60"/>
    <w:rsid w:val="008D3CB3"/>
    <w:rsid w:val="008E418C"/>
    <w:rsid w:val="008F0792"/>
    <w:rsid w:val="00900D6D"/>
    <w:rsid w:val="009033FA"/>
    <w:rsid w:val="00911502"/>
    <w:rsid w:val="00916181"/>
    <w:rsid w:val="009348E0"/>
    <w:rsid w:val="0093502B"/>
    <w:rsid w:val="00952E94"/>
    <w:rsid w:val="00963C32"/>
    <w:rsid w:val="00972690"/>
    <w:rsid w:val="00973384"/>
    <w:rsid w:val="0097438A"/>
    <w:rsid w:val="00984391"/>
    <w:rsid w:val="00987912"/>
    <w:rsid w:val="00994040"/>
    <w:rsid w:val="009A2856"/>
    <w:rsid w:val="009B1EE2"/>
    <w:rsid w:val="009B6465"/>
    <w:rsid w:val="009C73D1"/>
    <w:rsid w:val="009D679B"/>
    <w:rsid w:val="00A00BBF"/>
    <w:rsid w:val="00A00E32"/>
    <w:rsid w:val="00A01623"/>
    <w:rsid w:val="00A01709"/>
    <w:rsid w:val="00A0520A"/>
    <w:rsid w:val="00A240B8"/>
    <w:rsid w:val="00A241F4"/>
    <w:rsid w:val="00A27D88"/>
    <w:rsid w:val="00A3040C"/>
    <w:rsid w:val="00A327F9"/>
    <w:rsid w:val="00A33877"/>
    <w:rsid w:val="00A355D3"/>
    <w:rsid w:val="00A7586B"/>
    <w:rsid w:val="00A75901"/>
    <w:rsid w:val="00A838A1"/>
    <w:rsid w:val="00A84BAD"/>
    <w:rsid w:val="00A8627D"/>
    <w:rsid w:val="00A90D1F"/>
    <w:rsid w:val="00A976F3"/>
    <w:rsid w:val="00A977E7"/>
    <w:rsid w:val="00AA0095"/>
    <w:rsid w:val="00AA372C"/>
    <w:rsid w:val="00AA6889"/>
    <w:rsid w:val="00AB32EB"/>
    <w:rsid w:val="00AB559F"/>
    <w:rsid w:val="00AC07B2"/>
    <w:rsid w:val="00AC5222"/>
    <w:rsid w:val="00AC6FDF"/>
    <w:rsid w:val="00AD159B"/>
    <w:rsid w:val="00AD3E46"/>
    <w:rsid w:val="00AE0BDE"/>
    <w:rsid w:val="00AE433F"/>
    <w:rsid w:val="00AE5880"/>
    <w:rsid w:val="00AE7969"/>
    <w:rsid w:val="00AF087B"/>
    <w:rsid w:val="00AF09B7"/>
    <w:rsid w:val="00AF6D16"/>
    <w:rsid w:val="00B012E8"/>
    <w:rsid w:val="00B01BE7"/>
    <w:rsid w:val="00B23B75"/>
    <w:rsid w:val="00B324F8"/>
    <w:rsid w:val="00B33713"/>
    <w:rsid w:val="00B3684F"/>
    <w:rsid w:val="00B41EAD"/>
    <w:rsid w:val="00B42DB4"/>
    <w:rsid w:val="00B46D87"/>
    <w:rsid w:val="00B54DDF"/>
    <w:rsid w:val="00B614BE"/>
    <w:rsid w:val="00B64327"/>
    <w:rsid w:val="00B705F5"/>
    <w:rsid w:val="00B72B15"/>
    <w:rsid w:val="00B80D0E"/>
    <w:rsid w:val="00B86346"/>
    <w:rsid w:val="00B9519E"/>
    <w:rsid w:val="00B95292"/>
    <w:rsid w:val="00BA07EE"/>
    <w:rsid w:val="00BA1CF1"/>
    <w:rsid w:val="00BB3C8A"/>
    <w:rsid w:val="00BB42FC"/>
    <w:rsid w:val="00BC5F6F"/>
    <w:rsid w:val="00BD51BB"/>
    <w:rsid w:val="00BD7610"/>
    <w:rsid w:val="00BE49A5"/>
    <w:rsid w:val="00BF76E4"/>
    <w:rsid w:val="00C00511"/>
    <w:rsid w:val="00C017ED"/>
    <w:rsid w:val="00C01C83"/>
    <w:rsid w:val="00C13DB5"/>
    <w:rsid w:val="00C14F1D"/>
    <w:rsid w:val="00C15095"/>
    <w:rsid w:val="00C2213C"/>
    <w:rsid w:val="00C22186"/>
    <w:rsid w:val="00C228DA"/>
    <w:rsid w:val="00C301C1"/>
    <w:rsid w:val="00C30F9C"/>
    <w:rsid w:val="00C31A53"/>
    <w:rsid w:val="00C31C77"/>
    <w:rsid w:val="00C33737"/>
    <w:rsid w:val="00C40457"/>
    <w:rsid w:val="00C471EF"/>
    <w:rsid w:val="00C6294A"/>
    <w:rsid w:val="00C64DCA"/>
    <w:rsid w:val="00C66902"/>
    <w:rsid w:val="00C94CBB"/>
    <w:rsid w:val="00CA4BFD"/>
    <w:rsid w:val="00CA5430"/>
    <w:rsid w:val="00CD04CA"/>
    <w:rsid w:val="00CD15BA"/>
    <w:rsid w:val="00CD7750"/>
    <w:rsid w:val="00CF0878"/>
    <w:rsid w:val="00D0501C"/>
    <w:rsid w:val="00D1001F"/>
    <w:rsid w:val="00D12375"/>
    <w:rsid w:val="00D1295A"/>
    <w:rsid w:val="00D1477C"/>
    <w:rsid w:val="00D248EE"/>
    <w:rsid w:val="00D33021"/>
    <w:rsid w:val="00D37DCE"/>
    <w:rsid w:val="00D435FA"/>
    <w:rsid w:val="00D43737"/>
    <w:rsid w:val="00D65802"/>
    <w:rsid w:val="00D7255F"/>
    <w:rsid w:val="00D728E3"/>
    <w:rsid w:val="00D72DF2"/>
    <w:rsid w:val="00D742C1"/>
    <w:rsid w:val="00D804FE"/>
    <w:rsid w:val="00D8169B"/>
    <w:rsid w:val="00D81EB6"/>
    <w:rsid w:val="00D86535"/>
    <w:rsid w:val="00D911D0"/>
    <w:rsid w:val="00DE577B"/>
    <w:rsid w:val="00DF5FA0"/>
    <w:rsid w:val="00DF6C98"/>
    <w:rsid w:val="00E01018"/>
    <w:rsid w:val="00E01C98"/>
    <w:rsid w:val="00E27E88"/>
    <w:rsid w:val="00E335C7"/>
    <w:rsid w:val="00E36E22"/>
    <w:rsid w:val="00E43342"/>
    <w:rsid w:val="00E43A46"/>
    <w:rsid w:val="00E474CF"/>
    <w:rsid w:val="00E52599"/>
    <w:rsid w:val="00E5428B"/>
    <w:rsid w:val="00E6534B"/>
    <w:rsid w:val="00E70756"/>
    <w:rsid w:val="00E71AF1"/>
    <w:rsid w:val="00EA2504"/>
    <w:rsid w:val="00EC18A1"/>
    <w:rsid w:val="00EC1AB7"/>
    <w:rsid w:val="00EC72C5"/>
    <w:rsid w:val="00EE4408"/>
    <w:rsid w:val="00EE59E5"/>
    <w:rsid w:val="00EF14E0"/>
    <w:rsid w:val="00EF3800"/>
    <w:rsid w:val="00F00CB0"/>
    <w:rsid w:val="00F108C0"/>
    <w:rsid w:val="00F26B2D"/>
    <w:rsid w:val="00F37F1D"/>
    <w:rsid w:val="00F60FF4"/>
    <w:rsid w:val="00F6743E"/>
    <w:rsid w:val="00F67AB6"/>
    <w:rsid w:val="00F72D40"/>
    <w:rsid w:val="00F84446"/>
    <w:rsid w:val="00F90C33"/>
    <w:rsid w:val="00F91EC8"/>
    <w:rsid w:val="00FB124F"/>
    <w:rsid w:val="00FC6103"/>
    <w:rsid w:val="00FE58D7"/>
    <w:rsid w:val="00FF0AE0"/>
    <w:rsid w:val="00FF17BF"/>
    <w:rsid w:val="00FF3CF9"/>
    <w:rsid w:val="00FF67C4"/>
    <w:rsid w:val="046142BB"/>
    <w:rsid w:val="0BCB12D1"/>
    <w:rsid w:val="10232F66"/>
    <w:rsid w:val="118F2F35"/>
    <w:rsid w:val="13DE7DBF"/>
    <w:rsid w:val="14561478"/>
    <w:rsid w:val="18B011EB"/>
    <w:rsid w:val="20FE1F77"/>
    <w:rsid w:val="26403A0C"/>
    <w:rsid w:val="28C4622F"/>
    <w:rsid w:val="298C0634"/>
    <w:rsid w:val="2A6E4744"/>
    <w:rsid w:val="2B0D4729"/>
    <w:rsid w:val="2B6C2396"/>
    <w:rsid w:val="34A23E85"/>
    <w:rsid w:val="355E7F20"/>
    <w:rsid w:val="3F4940F4"/>
    <w:rsid w:val="3F634B1A"/>
    <w:rsid w:val="44F04825"/>
    <w:rsid w:val="45E706D6"/>
    <w:rsid w:val="4C4B0E46"/>
    <w:rsid w:val="547473F3"/>
    <w:rsid w:val="54B87033"/>
    <w:rsid w:val="60593EA6"/>
    <w:rsid w:val="693901BD"/>
    <w:rsid w:val="69435CBC"/>
    <w:rsid w:val="7C5920E8"/>
    <w:rsid w:val="7FE23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79"/>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80"/>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81"/>
    <w:qFormat/>
    <w:uiPriority w:val="0"/>
    <w:pPr>
      <w:keepNext/>
      <w:keepLines/>
      <w:numPr>
        <w:ilvl w:val="3"/>
        <w:numId w:val="1"/>
      </w:numPr>
      <w:spacing w:before="280" w:after="290" w:line="376" w:lineRule="auto"/>
      <w:outlineLvl w:val="3"/>
    </w:pPr>
    <w:rPr>
      <w:rFonts w:ascii="Arial" w:hAnsi="Arial" w:eastAsia="黑体"/>
      <w:b/>
      <w:bCs/>
      <w:sz w:val="28"/>
      <w:szCs w:val="28"/>
      <w:lang w:val="zh-CN" w:eastAsia="zh-CN"/>
    </w:rPr>
  </w:style>
  <w:style w:type="paragraph" w:styleId="6">
    <w:name w:val="heading 5"/>
    <w:basedOn w:val="1"/>
    <w:next w:val="1"/>
    <w:link w:val="82"/>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83"/>
    <w:qFormat/>
    <w:uiPriority w:val="0"/>
    <w:pPr>
      <w:keepNext/>
      <w:keepLines/>
      <w:numPr>
        <w:ilvl w:val="5"/>
        <w:numId w:val="1"/>
      </w:numPr>
      <w:spacing w:before="240" w:after="64" w:line="320" w:lineRule="auto"/>
      <w:outlineLvl w:val="5"/>
    </w:pPr>
    <w:rPr>
      <w:rFonts w:ascii="Arial" w:hAnsi="Arial" w:eastAsia="黑体"/>
      <w:b/>
      <w:bCs/>
      <w:sz w:val="24"/>
      <w:lang w:val="zh-CN" w:eastAsia="zh-CN"/>
    </w:rPr>
  </w:style>
  <w:style w:type="paragraph" w:styleId="8">
    <w:name w:val="heading 7"/>
    <w:basedOn w:val="1"/>
    <w:next w:val="1"/>
    <w:link w:val="84"/>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85"/>
    <w:qFormat/>
    <w:uiPriority w:val="0"/>
    <w:pPr>
      <w:keepNext/>
      <w:keepLines/>
      <w:numPr>
        <w:ilvl w:val="7"/>
        <w:numId w:val="1"/>
      </w:numPr>
      <w:spacing w:before="240" w:after="64" w:line="320" w:lineRule="auto"/>
      <w:outlineLvl w:val="7"/>
    </w:pPr>
    <w:rPr>
      <w:rFonts w:ascii="Arial" w:hAnsi="Arial" w:eastAsia="黑体"/>
      <w:sz w:val="24"/>
      <w:lang w:val="zh-CN" w:eastAsia="zh-CN"/>
    </w:rPr>
  </w:style>
  <w:style w:type="paragraph" w:styleId="10">
    <w:name w:val="heading 9"/>
    <w:basedOn w:val="1"/>
    <w:next w:val="1"/>
    <w:link w:val="86"/>
    <w:qFormat/>
    <w:uiPriority w:val="0"/>
    <w:pPr>
      <w:keepNext/>
      <w:keepLines/>
      <w:numPr>
        <w:ilvl w:val="8"/>
        <w:numId w:val="1"/>
      </w:numPr>
      <w:spacing w:before="240" w:after="64" w:line="320" w:lineRule="auto"/>
      <w:outlineLvl w:val="8"/>
    </w:pPr>
    <w:rPr>
      <w:rFonts w:ascii="Arial" w:hAnsi="Arial" w:eastAsia="黑体"/>
      <w:szCs w:val="21"/>
      <w:lang w:val="zh-CN" w:eastAsia="zh-CN"/>
    </w:rPr>
  </w:style>
  <w:style w:type="character" w:default="1" w:styleId="69">
    <w:name w:val="Default Paragraph Font"/>
    <w:unhideWhenUsed/>
    <w:qFormat/>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7"/>
    <w:qFormat/>
    <w:uiPriority w:val="0"/>
    <w:pPr>
      <w:widowControl/>
      <w:snapToGrid w:val="0"/>
      <w:spacing w:line="480" w:lineRule="exact"/>
      <w:ind w:firstLine="567"/>
    </w:pPr>
    <w:rPr>
      <w:rFonts w:ascii="宋体" w:hAnsi="Calibri" w:cs="Times New Roman"/>
      <w:snapToGrid w:val="0"/>
      <w:color w:val="000000"/>
      <w:kern w:val="28"/>
      <w:sz w:val="28"/>
      <w:szCs w:val="22"/>
    </w:rPr>
  </w:style>
  <w:style w:type="paragraph" w:styleId="16">
    <w:name w:val="caption"/>
    <w:basedOn w:val="1"/>
    <w:next w:val="1"/>
    <w:link w:val="88"/>
    <w:qFormat/>
    <w:uiPriority w:val="0"/>
    <w:rPr>
      <w:b/>
      <w:sz w:val="28"/>
      <w:szCs w:val="20"/>
      <w:lang w:val="zh-CN" w:eastAsia="zh-CN"/>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rPr>
      <w:lang w:val="zh-CN" w:eastAsia="zh-CN"/>
    </w:rPr>
  </w:style>
  <w:style w:type="paragraph" w:styleId="19">
    <w:name w:val="annotation text"/>
    <w:basedOn w:val="1"/>
    <w:link w:val="90"/>
    <w:unhideWhenUsed/>
    <w:qFormat/>
    <w:uiPriority w:val="99"/>
    <w:pPr>
      <w:jc w:val="left"/>
    </w:pPr>
  </w:style>
  <w:style w:type="paragraph" w:styleId="20">
    <w:name w:val="Salutation"/>
    <w:basedOn w:val="1"/>
    <w:next w:val="1"/>
    <w:link w:val="91"/>
    <w:qFormat/>
    <w:uiPriority w:val="0"/>
    <w:rPr>
      <w:rFonts w:ascii="仿宋_GB2312" w:hAnsi="Calibri" w:eastAsia="仿宋_GB2312" w:cs="Times New Roman"/>
      <w:sz w:val="28"/>
      <w:szCs w:val="22"/>
    </w:rPr>
  </w:style>
  <w:style w:type="paragraph" w:styleId="21">
    <w:name w:val="Body Text 3"/>
    <w:basedOn w:val="1"/>
    <w:link w:val="92"/>
    <w:qFormat/>
    <w:uiPriority w:val="0"/>
    <w:pPr>
      <w:jc w:val="center"/>
    </w:pPr>
    <w:rPr>
      <w:rFonts w:ascii="Calibri" w:hAnsi="Calibri" w:eastAsia="宋体" w:cs="Times New Roman"/>
      <w:szCs w:val="22"/>
    </w:rPr>
  </w:style>
  <w:style w:type="paragraph" w:styleId="22">
    <w:name w:val="List Bullet 3"/>
    <w:basedOn w:val="1"/>
    <w:unhideWhenUsed/>
    <w:qFormat/>
    <w:uiPriority w:val="0"/>
    <w:pPr>
      <w:numPr>
        <w:ilvl w:val="0"/>
        <w:numId w:val="4"/>
      </w:numPr>
      <w:snapToGrid w:val="0"/>
      <w:spacing w:line="360" w:lineRule="auto"/>
      <w:ind w:right="238"/>
      <w:contextualSpacing/>
    </w:pPr>
    <w:rPr>
      <w:sz w:val="24"/>
    </w:rPr>
  </w:style>
  <w:style w:type="paragraph" w:styleId="23">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4"/>
    <w:unhideWhenUsed/>
    <w:qFormat/>
    <w:uiPriority w:val="0"/>
    <w:pPr>
      <w:spacing w:after="120"/>
      <w:ind w:left="420" w:leftChars="200"/>
    </w:p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eastAsia="宋体" w:cs="Times New Roman"/>
      <w:i/>
      <w:iCs/>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6"/>
    <w:qFormat/>
    <w:uiPriority w:val="0"/>
    <w:rPr>
      <w:rFonts w:ascii="宋体" w:hAnsi="Courier New" w:cs="Arial"/>
      <w:snapToGrid w:val="0"/>
      <w:szCs w:val="21"/>
    </w:rPr>
  </w:style>
  <w:style w:type="paragraph" w:styleId="33">
    <w:name w:val="List Number 4"/>
    <w:basedOn w:val="1"/>
    <w:qFormat/>
    <w:uiPriority w:val="0"/>
    <w:pPr>
      <w:numPr>
        <w:ilvl w:val="0"/>
        <w:numId w:val="5"/>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hAnsi="Calibri" w:eastAsia="宋体" w:cs="Times New Roman"/>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hAnsi="Calibri" w:eastAsia="宋体" w:cs="Times New Roman"/>
      <w:sz w:val="28"/>
      <w:szCs w:val="22"/>
    </w:rPr>
  </w:style>
  <w:style w:type="paragraph" w:styleId="37">
    <w:name w:val="Balloon Text"/>
    <w:basedOn w:val="1"/>
    <w:link w:val="99"/>
    <w:qFormat/>
    <w:uiPriority w:val="0"/>
    <w:rPr>
      <w:rFonts w:ascii="Calibri" w:hAnsi="Calibri" w:eastAsia="宋体" w:cs="Times New Roman"/>
      <w:sz w:val="18"/>
      <w:szCs w:val="18"/>
    </w:rPr>
  </w:style>
  <w:style w:type="paragraph" w:styleId="38">
    <w:name w:val="footer"/>
    <w:basedOn w:val="1"/>
    <w:link w:val="100"/>
    <w:unhideWhenUsed/>
    <w:qFormat/>
    <w:uiPriority w:val="0"/>
    <w:pPr>
      <w:tabs>
        <w:tab w:val="center" w:pos="4153"/>
        <w:tab w:val="right" w:pos="8306"/>
      </w:tabs>
      <w:snapToGrid w:val="0"/>
      <w:jc w:val="left"/>
    </w:pPr>
    <w:rPr>
      <w:sz w:val="18"/>
      <w:szCs w:val="18"/>
    </w:rPr>
  </w:style>
  <w:style w:type="paragraph" w:styleId="39">
    <w:name w:val="header"/>
    <w:basedOn w:val="1"/>
    <w:link w:val="10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2"/>
    <w:qFormat/>
    <w:uiPriority w:val="0"/>
    <w:pPr>
      <w:spacing w:after="600" w:line="312" w:lineRule="atLeast"/>
      <w:jc w:val="center"/>
      <w:textAlignment w:val="baseline"/>
    </w:pPr>
    <w:rPr>
      <w:rFonts w:ascii="Calibri" w:hAnsi="Calibri" w:eastAsia="仿宋_GB2312" w:cs="Times New Roman"/>
      <w:sz w:val="24"/>
      <w:szCs w:val="22"/>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104"/>
    <w:qFormat/>
    <w:uiPriority w:val="0"/>
    <w:pPr>
      <w:adjustRightInd/>
      <w:snapToGrid/>
      <w:spacing w:before="60" w:after="60" w:line="300" w:lineRule="exact"/>
      <w:ind w:firstLine="0"/>
    </w:pPr>
    <w:rPr>
      <w:rFonts w:ascii="Calibri" w:eastAsia="宋体"/>
      <w:snapToGrid/>
      <w:color w:val="0000FF"/>
      <w:kern w:val="2"/>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05"/>
    <w:qFormat/>
    <w:uiPriority w:val="0"/>
    <w:pPr>
      <w:spacing w:line="360" w:lineRule="auto"/>
      <w:ind w:firstLine="420"/>
    </w:pPr>
    <w:rPr>
      <w:rFonts w:ascii="Calibri" w:hAnsi="Calibri" w:eastAsia="宋体" w:cs="Times New Roman"/>
      <w:sz w:val="24"/>
      <w:szCs w:val="22"/>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link w:val="106"/>
    <w:qFormat/>
    <w:uiPriority w:val="0"/>
    <w:pPr>
      <w:spacing w:after="120" w:line="480" w:lineRule="auto"/>
    </w:pPr>
    <w:rPr>
      <w:lang w:val="zh-CN" w:eastAsia="zh-CN"/>
    </w:rPr>
  </w:style>
  <w:style w:type="paragraph" w:styleId="55">
    <w:name w:val="List 4"/>
    <w:basedOn w:val="1"/>
    <w:unhideWhenUsed/>
    <w:qFormat/>
    <w:uiPriority w:val="0"/>
    <w:pPr>
      <w:adjustRightInd/>
      <w:ind w:left="100" w:leftChars="600" w:hanging="200" w:hangingChars="200"/>
    </w:pPr>
    <w:rPr>
      <w:sz w:val="28"/>
    </w:r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szCs w:val="22"/>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0"/>
    <w:pPr>
      <w:widowControl/>
      <w:overflowPunct w:val="0"/>
      <w:autoSpaceDE w:val="0"/>
      <w:autoSpaceDN w:val="0"/>
      <w:jc w:val="center"/>
      <w:textAlignment w:val="baseline"/>
    </w:pPr>
    <w:rPr>
      <w:b/>
      <w:kern w:val="0"/>
      <w:sz w:val="24"/>
      <w:szCs w:val="20"/>
      <w:lang w:val="en-GB" w:eastAsia="zh-CN"/>
    </w:rPr>
  </w:style>
  <w:style w:type="paragraph" w:styleId="59">
    <w:name w:val="annotation subject"/>
    <w:basedOn w:val="19"/>
    <w:next w:val="19"/>
    <w:link w:val="109"/>
    <w:qFormat/>
    <w:uiPriority w:val="0"/>
    <w:rPr>
      <w:b/>
      <w:bCs/>
      <w:lang w:val="zh-CN" w:eastAsia="zh-CN"/>
    </w:rPr>
  </w:style>
  <w:style w:type="paragraph" w:styleId="60">
    <w:name w:val="Body Text First Indent"/>
    <w:basedOn w:val="23"/>
    <w:link w:val="110"/>
    <w:qFormat/>
    <w:uiPriority w:val="0"/>
    <w:pPr>
      <w:ind w:firstLine="420"/>
    </w:pPr>
    <w:rPr>
      <w:rFonts w:hAnsi="Calibri" w:eastAsia="宋体" w:cs="Times New Roman"/>
      <w:snapToGrid/>
      <w:szCs w:val="22"/>
    </w:rPr>
  </w:style>
  <w:style w:type="paragraph" w:styleId="61">
    <w:name w:val="Body Text First Indent 2"/>
    <w:basedOn w:val="24"/>
    <w:link w:val="111"/>
    <w:qFormat/>
    <w:uiPriority w:val="0"/>
    <w:pPr>
      <w:adjustRightInd/>
      <w:ind w:firstLine="210" w:firstLineChars="200"/>
    </w:pPr>
    <w:rPr>
      <w:rFonts w:ascii="宋体" w:hAnsi="宋体" w:eastAsia="宋体" w:cs="Times New Roman"/>
    </w:rPr>
  </w:style>
  <w:style w:type="table" w:styleId="63">
    <w:name w:val="Table Grid"/>
    <w:basedOn w:val="62"/>
    <w:qFormat/>
    <w:uiPriority w:val="0"/>
    <w:pPr>
      <w:widowControl w:val="0"/>
      <w:jc w:val="both"/>
    </w:pPr>
    <w:rPr>
      <w:rFonts w:ascii="Times New Roman" w:hAnsi="Times New Roman" w:eastAsia="宋体" w:cs="Times New Roman"/>
      <w:kern w:val="0"/>
      <w:sz w:val="20"/>
      <w:szCs w:val="20"/>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kern w:val="0"/>
      <w:sz w:val="20"/>
      <w:szCs w:val="20"/>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kern w:val="0"/>
      <w:sz w:val="20"/>
      <w:szCs w:val="20"/>
    </w:r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kern w:val="0"/>
      <w:sz w:val="20"/>
      <w:szCs w:val="20"/>
    </w:r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kern w:val="0"/>
      <w:sz w:val="20"/>
      <w:szCs w:val="20"/>
    </w:r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kern w:val="0"/>
      <w:sz w:val="20"/>
      <w:szCs w:val="20"/>
    </w:r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character" w:customStyle="1" w:styleId="78">
    <w:name w:val="标题 1 Char"/>
    <w:basedOn w:val="69"/>
    <w:link w:val="2"/>
    <w:qFormat/>
    <w:uiPriority w:val="0"/>
    <w:rPr>
      <w:rFonts w:ascii="Times New Roman" w:hAnsi="Times New Roman" w:eastAsia="宋体" w:cs="Times New Roman"/>
      <w:b/>
      <w:bCs/>
      <w:kern w:val="44"/>
      <w:sz w:val="44"/>
      <w:szCs w:val="44"/>
      <w:lang w:val="zh-CN" w:eastAsia="zh-CN"/>
    </w:rPr>
  </w:style>
  <w:style w:type="character" w:customStyle="1" w:styleId="79">
    <w:name w:val="标题 2 Char"/>
    <w:basedOn w:val="69"/>
    <w:link w:val="3"/>
    <w:qFormat/>
    <w:uiPriority w:val="0"/>
    <w:rPr>
      <w:rFonts w:ascii="仿宋_GB2312" w:hAnsi="仿宋" w:eastAsia="仿宋_GB2312" w:cs="Times New Roman"/>
      <w:b/>
      <w:bCs/>
      <w:sz w:val="32"/>
      <w:szCs w:val="32"/>
      <w:lang w:val="zh-CN"/>
    </w:rPr>
  </w:style>
  <w:style w:type="character" w:customStyle="1" w:styleId="80">
    <w:name w:val="标题 3 Char"/>
    <w:basedOn w:val="69"/>
    <w:link w:val="4"/>
    <w:qFormat/>
    <w:uiPriority w:val="0"/>
    <w:rPr>
      <w:rFonts w:ascii="Times New Roman" w:hAnsi="Times New Roman" w:eastAsia="宋体" w:cs="Times New Roman"/>
      <w:b/>
      <w:bCs/>
      <w:sz w:val="32"/>
      <w:szCs w:val="32"/>
    </w:rPr>
  </w:style>
  <w:style w:type="character" w:customStyle="1" w:styleId="81">
    <w:name w:val="标题 4 Char"/>
    <w:basedOn w:val="69"/>
    <w:link w:val="5"/>
    <w:qFormat/>
    <w:uiPriority w:val="0"/>
    <w:rPr>
      <w:rFonts w:ascii="Arial" w:hAnsi="Arial" w:eastAsia="黑体" w:cs="Times New Roman"/>
      <w:b/>
      <w:bCs/>
      <w:sz w:val="28"/>
      <w:szCs w:val="28"/>
      <w:lang w:val="zh-CN" w:eastAsia="zh-CN"/>
    </w:rPr>
  </w:style>
  <w:style w:type="character" w:customStyle="1" w:styleId="82">
    <w:name w:val="标题 5 Char"/>
    <w:basedOn w:val="69"/>
    <w:link w:val="6"/>
    <w:qFormat/>
    <w:uiPriority w:val="0"/>
    <w:rPr>
      <w:rFonts w:ascii="Times New Roman" w:hAnsi="Times New Roman" w:eastAsia="宋体" w:cs="Times New Roman"/>
      <w:b/>
      <w:bCs/>
      <w:sz w:val="28"/>
      <w:szCs w:val="28"/>
      <w:lang w:val="zh-CN" w:eastAsia="zh-CN"/>
    </w:rPr>
  </w:style>
  <w:style w:type="character" w:customStyle="1" w:styleId="83">
    <w:name w:val="标题 6 Char"/>
    <w:basedOn w:val="69"/>
    <w:link w:val="7"/>
    <w:qFormat/>
    <w:uiPriority w:val="0"/>
    <w:rPr>
      <w:rFonts w:ascii="Arial" w:hAnsi="Arial" w:eastAsia="黑体" w:cs="Times New Roman"/>
      <w:b/>
      <w:bCs/>
      <w:sz w:val="24"/>
      <w:szCs w:val="24"/>
      <w:lang w:val="zh-CN" w:eastAsia="zh-CN"/>
    </w:rPr>
  </w:style>
  <w:style w:type="character" w:customStyle="1" w:styleId="84">
    <w:name w:val="标题 7 Char"/>
    <w:basedOn w:val="69"/>
    <w:link w:val="8"/>
    <w:qFormat/>
    <w:uiPriority w:val="0"/>
    <w:rPr>
      <w:rFonts w:ascii="Times New Roman" w:hAnsi="Times New Roman" w:eastAsia="宋体" w:cs="Times New Roman"/>
      <w:b/>
      <w:bCs/>
      <w:sz w:val="24"/>
      <w:szCs w:val="24"/>
      <w:lang w:val="zh-CN" w:eastAsia="zh-CN"/>
    </w:rPr>
  </w:style>
  <w:style w:type="character" w:customStyle="1" w:styleId="85">
    <w:name w:val="标题 8 Char"/>
    <w:basedOn w:val="69"/>
    <w:link w:val="9"/>
    <w:qFormat/>
    <w:uiPriority w:val="0"/>
    <w:rPr>
      <w:rFonts w:ascii="Arial" w:hAnsi="Arial" w:eastAsia="黑体" w:cs="Times New Roman"/>
      <w:sz w:val="24"/>
      <w:szCs w:val="24"/>
      <w:lang w:val="zh-CN" w:eastAsia="zh-CN"/>
    </w:rPr>
  </w:style>
  <w:style w:type="character" w:customStyle="1" w:styleId="86">
    <w:name w:val="标题 9 Char"/>
    <w:basedOn w:val="69"/>
    <w:link w:val="10"/>
    <w:qFormat/>
    <w:uiPriority w:val="0"/>
    <w:rPr>
      <w:rFonts w:ascii="Arial" w:hAnsi="Arial" w:eastAsia="黑体" w:cs="Times New Roman"/>
      <w:szCs w:val="21"/>
      <w:lang w:val="zh-CN" w:eastAsia="zh-CN"/>
    </w:rPr>
  </w:style>
  <w:style w:type="character" w:customStyle="1" w:styleId="87">
    <w:name w:val="正文缩进 Char2"/>
    <w:link w:val="15"/>
    <w:qFormat/>
    <w:uiPriority w:val="0"/>
    <w:rPr>
      <w:rFonts w:ascii="宋体" w:eastAsia="宋体"/>
      <w:snapToGrid w:val="0"/>
      <w:color w:val="000000"/>
      <w:kern w:val="28"/>
      <w:sz w:val="28"/>
    </w:rPr>
  </w:style>
  <w:style w:type="character" w:customStyle="1" w:styleId="88">
    <w:name w:val="题注 Char"/>
    <w:link w:val="16"/>
    <w:qFormat/>
    <w:uiPriority w:val="0"/>
    <w:rPr>
      <w:rFonts w:ascii="Times New Roman" w:hAnsi="Times New Roman" w:eastAsia="宋体" w:cs="Times New Roman"/>
      <w:b/>
      <w:sz w:val="28"/>
      <w:szCs w:val="20"/>
      <w:lang w:val="zh-CN" w:eastAsia="zh-CN"/>
    </w:rPr>
  </w:style>
  <w:style w:type="character" w:customStyle="1" w:styleId="89">
    <w:name w:val="文档结构图 Char1"/>
    <w:basedOn w:val="69"/>
    <w:link w:val="18"/>
    <w:qFormat/>
    <w:uiPriority w:val="0"/>
    <w:rPr>
      <w:rFonts w:ascii="Times New Roman" w:hAnsi="Times New Roman" w:eastAsia="宋体" w:cs="Times New Roman"/>
      <w:szCs w:val="24"/>
      <w:shd w:val="clear" w:color="auto" w:fill="000080"/>
      <w:lang w:val="zh-CN" w:eastAsia="zh-CN"/>
    </w:rPr>
  </w:style>
  <w:style w:type="character" w:customStyle="1" w:styleId="90">
    <w:name w:val="批注文字 Char2"/>
    <w:basedOn w:val="69"/>
    <w:link w:val="19"/>
    <w:qFormat/>
    <w:uiPriority w:val="99"/>
    <w:rPr>
      <w:rFonts w:ascii="Times New Roman" w:hAnsi="Times New Roman" w:eastAsia="宋体" w:cs="Times New Roman"/>
      <w:szCs w:val="24"/>
    </w:rPr>
  </w:style>
  <w:style w:type="character" w:customStyle="1" w:styleId="91">
    <w:name w:val="称呼 Char"/>
    <w:link w:val="20"/>
    <w:qFormat/>
    <w:uiPriority w:val="0"/>
    <w:rPr>
      <w:rFonts w:ascii="仿宋_GB2312" w:eastAsia="仿宋_GB2312"/>
      <w:sz w:val="28"/>
    </w:rPr>
  </w:style>
  <w:style w:type="character" w:customStyle="1" w:styleId="92">
    <w:name w:val="正文文本 3 Char"/>
    <w:link w:val="21"/>
    <w:qFormat/>
    <w:uiPriority w:val="0"/>
  </w:style>
  <w:style w:type="character" w:customStyle="1" w:styleId="93">
    <w:name w:val="正文文本 Char1"/>
    <w:link w:val="23"/>
    <w:qFormat/>
    <w:uiPriority w:val="0"/>
    <w:rPr>
      <w:rFonts w:ascii="宋体" w:hAnsi="Arial" w:eastAsia="宋体" w:cs="Arial"/>
      <w:snapToGrid w:val="0"/>
      <w:sz w:val="24"/>
      <w:szCs w:val="21"/>
      <w:lang w:val="zh-CN"/>
    </w:rPr>
  </w:style>
  <w:style w:type="character" w:customStyle="1" w:styleId="94">
    <w:name w:val="正文文本缩进 Char2"/>
    <w:basedOn w:val="69"/>
    <w:link w:val="24"/>
    <w:qFormat/>
    <w:uiPriority w:val="0"/>
    <w:rPr>
      <w:rFonts w:ascii="Times New Roman" w:hAnsi="Times New Roman" w:eastAsia="宋体" w:cs="Times New Roman"/>
      <w:szCs w:val="24"/>
    </w:rPr>
  </w:style>
  <w:style w:type="character" w:customStyle="1" w:styleId="95">
    <w:name w:val="HTML 地址 Char"/>
    <w:link w:val="29"/>
    <w:qFormat/>
    <w:uiPriority w:val="0"/>
    <w:rPr>
      <w:rFonts w:ascii="宋体" w:hAnsi="宋体"/>
      <w:i/>
      <w:iCs/>
      <w:sz w:val="24"/>
      <w:szCs w:val="24"/>
    </w:rPr>
  </w:style>
  <w:style w:type="character" w:customStyle="1" w:styleId="96">
    <w:name w:val="纯文本 Char"/>
    <w:link w:val="32"/>
    <w:qFormat/>
    <w:uiPriority w:val="0"/>
    <w:rPr>
      <w:rFonts w:ascii="宋体" w:hAnsi="Courier New" w:eastAsia="宋体" w:cs="Arial"/>
      <w:snapToGrid w:val="0"/>
      <w:szCs w:val="21"/>
    </w:rPr>
  </w:style>
  <w:style w:type="character" w:customStyle="1" w:styleId="97">
    <w:name w:val="日期 Char"/>
    <w:link w:val="35"/>
    <w:qFormat/>
    <w:uiPriority w:val="0"/>
    <w:rPr>
      <w:rFonts w:ascii="宋体"/>
      <w:sz w:val="24"/>
      <w:szCs w:val="21"/>
      <w:lang w:val="zh-CN"/>
    </w:rPr>
  </w:style>
  <w:style w:type="character" w:customStyle="1" w:styleId="98">
    <w:name w:val="正文文本缩进 2 Char"/>
    <w:link w:val="36"/>
    <w:qFormat/>
    <w:uiPriority w:val="0"/>
    <w:rPr>
      <w:rFonts w:ascii="宋体"/>
      <w:sz w:val="28"/>
    </w:rPr>
  </w:style>
  <w:style w:type="character" w:customStyle="1" w:styleId="99">
    <w:name w:val="批注框文本 Char"/>
    <w:link w:val="37"/>
    <w:qFormat/>
    <w:uiPriority w:val="0"/>
    <w:rPr>
      <w:sz w:val="18"/>
      <w:szCs w:val="18"/>
    </w:rPr>
  </w:style>
  <w:style w:type="character" w:customStyle="1" w:styleId="100">
    <w:name w:val="页脚 Char"/>
    <w:basedOn w:val="69"/>
    <w:link w:val="38"/>
    <w:qFormat/>
    <w:uiPriority w:val="0"/>
    <w:rPr>
      <w:sz w:val="18"/>
      <w:szCs w:val="18"/>
    </w:rPr>
  </w:style>
  <w:style w:type="character" w:customStyle="1" w:styleId="101">
    <w:name w:val="页眉 Char"/>
    <w:basedOn w:val="69"/>
    <w:link w:val="39"/>
    <w:qFormat/>
    <w:uiPriority w:val="0"/>
    <w:rPr>
      <w:sz w:val="18"/>
      <w:szCs w:val="18"/>
    </w:rPr>
  </w:style>
  <w:style w:type="character" w:customStyle="1" w:styleId="102">
    <w:name w:val="签名 Char"/>
    <w:link w:val="40"/>
    <w:qFormat/>
    <w:uiPriority w:val="0"/>
    <w:rPr>
      <w:rFonts w:eastAsia="仿宋_GB2312"/>
      <w:sz w:val="24"/>
    </w:rPr>
  </w:style>
  <w:style w:type="character" w:customStyle="1" w:styleId="103">
    <w:name w:val="副标题 Char"/>
    <w:link w:val="45"/>
    <w:qFormat/>
    <w:uiPriority w:val="0"/>
    <w:rPr>
      <w:rFonts w:ascii="Arial" w:hAnsi="Arial" w:eastAsia="隶书"/>
      <w:b/>
      <w:bCs/>
      <w:kern w:val="28"/>
      <w:sz w:val="44"/>
      <w:szCs w:val="32"/>
    </w:rPr>
  </w:style>
  <w:style w:type="character" w:customStyle="1" w:styleId="104">
    <w:name w:val="脚注文本 Char"/>
    <w:link w:val="48"/>
    <w:qFormat/>
    <w:uiPriority w:val="0"/>
    <w:rPr>
      <w:color w:val="0000FF"/>
    </w:rPr>
  </w:style>
  <w:style w:type="character" w:customStyle="1" w:styleId="105">
    <w:name w:val="正文文本缩进 3 Char"/>
    <w:link w:val="51"/>
    <w:qFormat/>
    <w:uiPriority w:val="0"/>
    <w:rPr>
      <w:sz w:val="24"/>
    </w:rPr>
  </w:style>
  <w:style w:type="character" w:customStyle="1" w:styleId="106">
    <w:name w:val="正文文本 2 Char1"/>
    <w:basedOn w:val="69"/>
    <w:link w:val="54"/>
    <w:qFormat/>
    <w:uiPriority w:val="0"/>
    <w:rPr>
      <w:rFonts w:ascii="Times New Roman" w:hAnsi="Times New Roman" w:eastAsia="宋体" w:cs="Times New Roman"/>
      <w:szCs w:val="24"/>
      <w:lang w:val="zh-CN" w:eastAsia="zh-CN"/>
    </w:rPr>
  </w:style>
  <w:style w:type="character" w:customStyle="1" w:styleId="107">
    <w:name w:val="HTML 预设格式 Char"/>
    <w:link w:val="56"/>
    <w:qFormat/>
    <w:uiPriority w:val="0"/>
    <w:rPr>
      <w:rFonts w:ascii="黑体" w:hAnsi="Courier New" w:eastAsia="黑体"/>
    </w:rPr>
  </w:style>
  <w:style w:type="character" w:customStyle="1" w:styleId="108">
    <w:name w:val="标题 Char1"/>
    <w:basedOn w:val="69"/>
    <w:link w:val="58"/>
    <w:qFormat/>
    <w:uiPriority w:val="0"/>
    <w:rPr>
      <w:rFonts w:ascii="Times New Roman" w:hAnsi="Times New Roman" w:eastAsia="宋体" w:cs="Times New Roman"/>
      <w:b/>
      <w:kern w:val="0"/>
      <w:sz w:val="24"/>
      <w:szCs w:val="20"/>
      <w:lang w:val="en-GB" w:eastAsia="zh-CN"/>
    </w:rPr>
  </w:style>
  <w:style w:type="character" w:customStyle="1" w:styleId="109">
    <w:name w:val="批注主题 Char1"/>
    <w:basedOn w:val="90"/>
    <w:link w:val="59"/>
    <w:qFormat/>
    <w:uiPriority w:val="0"/>
    <w:rPr>
      <w:rFonts w:ascii="Times New Roman" w:hAnsi="Times New Roman" w:eastAsia="宋体" w:cs="Times New Roman"/>
      <w:b/>
      <w:bCs/>
      <w:szCs w:val="24"/>
      <w:lang w:val="zh-CN" w:eastAsia="zh-CN"/>
    </w:rPr>
  </w:style>
  <w:style w:type="character" w:customStyle="1" w:styleId="110">
    <w:name w:val="正文首行缩进 Char"/>
    <w:link w:val="60"/>
    <w:qFormat/>
    <w:uiPriority w:val="0"/>
    <w:rPr>
      <w:rFonts w:ascii="宋体"/>
      <w:sz w:val="24"/>
      <w:lang w:val="zh-CN"/>
    </w:rPr>
  </w:style>
  <w:style w:type="character" w:customStyle="1" w:styleId="111">
    <w:name w:val="正文首行缩进 2 Char"/>
    <w:link w:val="61"/>
    <w:qFormat/>
    <w:uiPriority w:val="0"/>
    <w:rPr>
      <w:rFonts w:ascii="宋体" w:hAnsi="宋体"/>
      <w:szCs w:val="24"/>
    </w:rPr>
  </w:style>
  <w:style w:type="character" w:customStyle="1" w:styleId="112">
    <w:name w:val="solutionfonts"/>
    <w:qFormat/>
    <w:uiPriority w:val="0"/>
  </w:style>
  <w:style w:type="character" w:customStyle="1" w:styleId="113">
    <w:name w:val="Font Style82"/>
    <w:qFormat/>
    <w:uiPriority w:val="99"/>
    <w:rPr>
      <w:rFonts w:ascii="宋体" w:eastAsia="宋体" w:cs="宋体"/>
      <w:color w:val="000000"/>
      <w:sz w:val="14"/>
      <w:szCs w:val="14"/>
    </w:rPr>
  </w:style>
  <w:style w:type="character" w:customStyle="1" w:styleId="114">
    <w:name w:val="此正文 Char"/>
    <w:link w:val="115"/>
    <w:qFormat/>
    <w:uiPriority w:val="0"/>
    <w:rPr>
      <w:sz w:val="24"/>
      <w:szCs w:val="24"/>
    </w:rPr>
  </w:style>
  <w:style w:type="paragraph" w:customStyle="1" w:styleId="115">
    <w:name w:val="此正文"/>
    <w:basedOn w:val="1"/>
    <w:link w:val="114"/>
    <w:qFormat/>
    <w:uiPriority w:val="0"/>
    <w:pPr>
      <w:adjustRightInd/>
      <w:spacing w:line="360" w:lineRule="auto"/>
      <w:ind w:firstLine="200" w:firstLineChars="200"/>
    </w:pPr>
    <w:rPr>
      <w:rFonts w:ascii="Calibri" w:hAnsi="Calibri" w:eastAsia="宋体" w:cs="Times New Roman"/>
      <w:sz w:val="24"/>
    </w:rPr>
  </w:style>
  <w:style w:type="character" w:customStyle="1" w:styleId="116">
    <w:name w:val="Char Char10"/>
    <w:semiHidden/>
    <w:qFormat/>
    <w:uiPriority w:val="0"/>
    <w:rPr>
      <w:rFonts w:ascii="宋体" w:hAnsi="宋体"/>
      <w:kern w:val="2"/>
      <w:sz w:val="21"/>
      <w:szCs w:val="24"/>
      <w:lang w:val="en-US" w:eastAsia="zh-CN"/>
    </w:rPr>
  </w:style>
  <w:style w:type="character" w:customStyle="1" w:styleId="117">
    <w:name w:val="h Char Char"/>
    <w:qFormat/>
    <w:uiPriority w:val="0"/>
    <w:rPr>
      <w:rFonts w:eastAsia="宋体"/>
      <w:kern w:val="2"/>
      <w:sz w:val="18"/>
      <w:lang w:val="en-US" w:eastAsia="zh-CN" w:bidi="ar-SA"/>
    </w:rPr>
  </w:style>
  <w:style w:type="character" w:customStyle="1" w:styleId="118">
    <w:name w:val="Bold"/>
    <w:qFormat/>
    <w:uiPriority w:val="0"/>
    <w:rPr>
      <w:rFonts w:ascii="Arial" w:hAnsi="Arial" w:eastAsia="黑体" w:cs="Times New Roman"/>
      <w:b/>
      <w:kern w:val="2"/>
      <w:sz w:val="32"/>
      <w:szCs w:val="32"/>
      <w:lang w:val="en-US" w:eastAsia="zh-CN" w:bidi="ar-SA"/>
    </w:rPr>
  </w:style>
  <w:style w:type="character" w:customStyle="1" w:styleId="119">
    <w:name w:val="Ò³Ã¼ Char Char"/>
    <w:qFormat/>
    <w:uiPriority w:val="0"/>
    <w:rPr>
      <w:rFonts w:eastAsia="宋体"/>
      <w:kern w:val="2"/>
      <w:sz w:val="18"/>
      <w:lang w:val="en-US" w:eastAsia="zh-CN" w:bidi="ar-SA"/>
    </w:rPr>
  </w:style>
  <w:style w:type="character" w:customStyle="1" w:styleId="120">
    <w:name w:val="标准正文格式 Char"/>
    <w:qFormat/>
    <w:uiPriority w:val="0"/>
    <w:rPr>
      <w:rFonts w:ascii="宋体" w:eastAsia="仿宋_GB2312" w:cs="宋体"/>
      <w:color w:val="000000"/>
      <w:sz w:val="24"/>
      <w:lang w:val="en-US" w:eastAsia="zh-CN" w:bidi="ar-SA"/>
    </w:rPr>
  </w:style>
  <w:style w:type="character" w:customStyle="1" w:styleId="121">
    <w:name w:val="Char Char8"/>
    <w:qFormat/>
    <w:uiPriority w:val="0"/>
    <w:rPr>
      <w:rFonts w:eastAsia="宋体"/>
      <w:b/>
      <w:sz w:val="24"/>
      <w:lang w:val="en-GB" w:eastAsia="zh-CN"/>
    </w:rPr>
  </w:style>
  <w:style w:type="character" w:customStyle="1" w:styleId="122">
    <w:name w:val="No Spacing Char"/>
    <w:link w:val="123"/>
    <w:qFormat/>
    <w:uiPriority w:val="1"/>
    <w:rPr>
      <w:rFonts w:ascii="Calibri" w:hAnsi="Calibri"/>
      <w:sz w:val="22"/>
    </w:rPr>
  </w:style>
  <w:style w:type="paragraph" w:customStyle="1" w:styleId="123">
    <w:name w:val="无间隔1"/>
    <w:link w:val="122"/>
    <w:qFormat/>
    <w:uiPriority w:val="1"/>
    <w:rPr>
      <w:rFonts w:ascii="Calibri" w:hAnsi="Calibri" w:eastAsia="宋体" w:cs="Times New Roman"/>
      <w:kern w:val="2"/>
      <w:sz w:val="22"/>
      <w:szCs w:val="22"/>
      <w:lang w:val="en-US" w:eastAsia="zh-CN" w:bidi="ar-SA"/>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highlight1"/>
    <w:qFormat/>
    <w:uiPriority w:val="0"/>
    <w:rPr>
      <w:rFonts w:ascii="仿宋_GB2312" w:eastAsia="微软雅黑"/>
      <w:b/>
      <w:kern w:val="2"/>
      <w:sz w:val="23"/>
      <w:szCs w:val="23"/>
      <w:lang w:val="en-US" w:eastAsia="zh-CN" w:bidi="ar-SA"/>
    </w:rPr>
  </w:style>
  <w:style w:type="character" w:customStyle="1" w:styleId="126">
    <w:name w:val="ca-131"/>
    <w:qFormat/>
    <w:uiPriority w:val="0"/>
    <w:rPr>
      <w:rFonts w:hint="eastAsia" w:ascii="仿宋_GB2312" w:eastAsia="仿宋_GB2312"/>
      <w:b/>
      <w:bCs/>
      <w:color w:val="000000"/>
      <w:spacing w:val="-20"/>
      <w:sz w:val="24"/>
      <w:szCs w:val="24"/>
    </w:rPr>
  </w:style>
  <w:style w:type="character" w:customStyle="1" w:styleId="127">
    <w:name w:val="h3 Char"/>
    <w:qFormat/>
    <w:uiPriority w:val="0"/>
    <w:rPr>
      <w:rFonts w:eastAsia="宋体"/>
      <w:b/>
      <w:kern w:val="2"/>
      <w:sz w:val="32"/>
      <w:lang w:val="en-US" w:eastAsia="zh-CN" w:bidi="ar-SA"/>
    </w:rPr>
  </w:style>
  <w:style w:type="character" w:customStyle="1" w:styleId="128">
    <w:name w:val="Char Char12"/>
    <w:qFormat/>
    <w:uiPriority w:val="0"/>
    <w:rPr>
      <w:rFonts w:ascii="仿宋_GB2312" w:eastAsia="仿宋_GB2312"/>
      <w:b/>
      <w:bCs/>
      <w:kern w:val="2"/>
      <w:sz w:val="24"/>
      <w:szCs w:val="24"/>
      <w:lang w:val="zh-CN" w:eastAsia="zh-CN" w:bidi="ar-SA"/>
    </w:rPr>
  </w:style>
  <w:style w:type="character" w:customStyle="1" w:styleId="129">
    <w:name w:val="Comment Text Char"/>
    <w:qFormat/>
    <w:locked/>
    <w:uiPriority w:val="0"/>
    <w:rPr>
      <w:rFonts w:ascii="宋体" w:hAnsi="宋体" w:eastAsia="宋体"/>
      <w:kern w:val="2"/>
      <w:sz w:val="24"/>
      <w:lang w:val="en-US" w:eastAsia="zh-CN" w:bidi="ar-SA"/>
    </w:rPr>
  </w:style>
  <w:style w:type="character" w:customStyle="1" w:styleId="130">
    <w:name w:val="批注文字 Char"/>
    <w:qFormat/>
    <w:uiPriority w:val="99"/>
    <w:rPr>
      <w:kern w:val="2"/>
      <w:sz w:val="21"/>
      <w:szCs w:val="24"/>
    </w:rPr>
  </w:style>
  <w:style w:type="character" w:customStyle="1" w:styleId="131">
    <w:name w:val="仿宋正文 Char"/>
    <w:link w:val="132"/>
    <w:qFormat/>
    <w:uiPriority w:val="0"/>
    <w:rPr>
      <w:rFonts w:ascii="仿宋_GB2312" w:eastAsia="仿宋_GB2312"/>
      <w:sz w:val="24"/>
    </w:rPr>
  </w:style>
  <w:style w:type="paragraph" w:customStyle="1" w:styleId="132">
    <w:name w:val="仿宋正文"/>
    <w:basedOn w:val="1"/>
    <w:link w:val="131"/>
    <w:qFormat/>
    <w:uiPriority w:val="0"/>
    <w:pPr>
      <w:adjustRightInd/>
      <w:spacing w:line="360" w:lineRule="auto"/>
      <w:ind w:firstLine="480" w:firstLineChars="200"/>
    </w:pPr>
    <w:rPr>
      <w:rFonts w:ascii="仿宋_GB2312" w:hAnsi="Calibri" w:eastAsia="仿宋_GB2312" w:cs="Times New Roman"/>
      <w:sz w:val="24"/>
      <w:szCs w:val="22"/>
    </w:rPr>
  </w:style>
  <w:style w:type="character" w:customStyle="1" w:styleId="133">
    <w:name w:val="style91"/>
    <w:qFormat/>
    <w:uiPriority w:val="0"/>
    <w:rPr>
      <w:color w:val="333333"/>
    </w:rPr>
  </w:style>
  <w:style w:type="character" w:customStyle="1" w:styleId="134">
    <w:name w:val="Char Char4"/>
    <w:qFormat/>
    <w:uiPriority w:val="0"/>
    <w:rPr>
      <w:rFonts w:eastAsia="宋体"/>
      <w:b/>
      <w:sz w:val="24"/>
      <w:lang w:val="en-GB" w:eastAsia="zh-CN" w:bidi="ar-SA"/>
    </w:rPr>
  </w:style>
  <w:style w:type="character" w:customStyle="1" w:styleId="135">
    <w:name w:val="Char Char2"/>
    <w:qFormat/>
    <w:uiPriority w:val="0"/>
    <w:rPr>
      <w:rFonts w:eastAsia="宋体"/>
      <w:b/>
      <w:bCs/>
      <w:kern w:val="2"/>
      <w:sz w:val="21"/>
      <w:szCs w:val="24"/>
      <w:lang w:val="en-US" w:eastAsia="zh-CN" w:bidi="ar-SA"/>
    </w:rPr>
  </w:style>
  <w:style w:type="character" w:customStyle="1" w:styleId="136">
    <w:name w:val="正文 项目2 Char"/>
    <w:basedOn w:val="137"/>
    <w:qFormat/>
    <w:uiPriority w:val="0"/>
    <w:rPr>
      <w:rFonts w:ascii="仿宋_GB2312" w:hAnsi="仿宋_GB2312" w:eastAsia="仿宋_GB2312"/>
      <w:kern w:val="2"/>
      <w:sz w:val="24"/>
      <w:lang w:bidi="ar-SA"/>
    </w:rPr>
  </w:style>
  <w:style w:type="character" w:customStyle="1" w:styleId="137">
    <w:name w:val="正文 项目 Char"/>
    <w:qFormat/>
    <w:uiPriority w:val="0"/>
    <w:rPr>
      <w:rFonts w:ascii="仿宋_GB2312" w:hAnsi="仿宋_GB2312" w:eastAsia="仿宋_GB2312"/>
      <w:kern w:val="2"/>
      <w:sz w:val="24"/>
      <w:lang w:bidi="ar-SA"/>
    </w:rPr>
  </w:style>
  <w:style w:type="character" w:customStyle="1" w:styleId="138">
    <w:name w:val="页眉 Char1"/>
    <w:qFormat/>
    <w:uiPriority w:val="0"/>
    <w:rPr>
      <w:rFonts w:eastAsia="宋体"/>
      <w:kern w:val="2"/>
      <w:sz w:val="18"/>
      <w:szCs w:val="18"/>
      <w:lang w:val="en-US" w:eastAsia="zh-CN" w:bidi="ar-SA"/>
    </w:rPr>
  </w:style>
  <w:style w:type="character" w:customStyle="1" w:styleId="139">
    <w:name w:val="正文文本缩进 Char1"/>
    <w:qFormat/>
    <w:uiPriority w:val="0"/>
    <w:rPr>
      <w:rFonts w:ascii="宋体" w:hAnsi="宋体"/>
      <w:kern w:val="2"/>
      <w:sz w:val="24"/>
      <w:szCs w:val="24"/>
    </w:rPr>
  </w:style>
  <w:style w:type="character" w:customStyle="1" w:styleId="140">
    <w:name w:val="big1"/>
    <w:qFormat/>
    <w:uiPriority w:val="0"/>
    <w:rPr>
      <w:rFonts w:hint="eastAsia" w:ascii="宋体" w:hAnsi="宋体" w:eastAsia="宋体"/>
      <w:color w:val="333333"/>
      <w:sz w:val="22"/>
      <w:szCs w:val="22"/>
    </w:rPr>
  </w:style>
  <w:style w:type="character" w:customStyle="1" w:styleId="141">
    <w:name w:val="h Char Char1"/>
    <w:qFormat/>
    <w:uiPriority w:val="0"/>
    <w:rPr>
      <w:rFonts w:eastAsia="宋体"/>
      <w:kern w:val="2"/>
      <w:sz w:val="18"/>
      <w:szCs w:val="18"/>
      <w:lang w:val="en-US" w:eastAsia="zh-CN" w:bidi="ar-SA"/>
    </w:rPr>
  </w:style>
  <w:style w:type="character" w:customStyle="1" w:styleId="142">
    <w:name w:val="样式8 Char"/>
    <w:qFormat/>
    <w:uiPriority w:val="0"/>
    <w:rPr>
      <w:rFonts w:ascii="仿宋_GB2312" w:hAnsi="宋体" w:eastAsia="仿宋_GB2312"/>
      <w:b/>
      <w:bCs/>
      <w:kern w:val="2"/>
      <w:sz w:val="24"/>
      <w:szCs w:val="24"/>
    </w:rPr>
  </w:style>
  <w:style w:type="character" w:customStyle="1" w:styleId="143">
    <w:name w:val="页脚 Char1"/>
    <w:qFormat/>
    <w:uiPriority w:val="0"/>
    <w:rPr>
      <w:rFonts w:eastAsia="宋体"/>
      <w:kern w:val="2"/>
      <w:sz w:val="18"/>
      <w:szCs w:val="18"/>
      <w:lang w:val="en-US" w:eastAsia="zh-CN" w:bidi="ar-SA"/>
    </w:rPr>
  </w:style>
  <w:style w:type="character" w:customStyle="1" w:styleId="144">
    <w:name w:val="myp11"/>
    <w:qFormat/>
    <w:uiPriority w:val="0"/>
    <w:rPr>
      <w:rFonts w:ascii="仿宋_GB2312" w:eastAsia="微软雅黑"/>
      <w:b/>
      <w:kern w:val="2"/>
      <w:sz w:val="32"/>
      <w:szCs w:val="32"/>
      <w:lang w:val="en-US" w:eastAsia="zh-CN" w:bidi="ar-SA"/>
    </w:rPr>
  </w:style>
  <w:style w:type="character" w:customStyle="1" w:styleId="145">
    <w:name w:val="正文文本 2 Char"/>
    <w:qFormat/>
    <w:uiPriority w:val="0"/>
    <w:rPr>
      <w:rFonts w:eastAsia="宋体"/>
      <w:kern w:val="2"/>
      <w:sz w:val="21"/>
      <w:szCs w:val="24"/>
      <w:lang w:val="en-US" w:eastAsia="zh-CN" w:bidi="ar-SA"/>
    </w:rPr>
  </w:style>
  <w:style w:type="character" w:customStyle="1" w:styleId="146">
    <w:name w:val="tw4winTerm"/>
    <w:qFormat/>
    <w:uiPriority w:val="0"/>
    <w:rPr>
      <w:color w:val="0000FF"/>
    </w:rPr>
  </w:style>
  <w:style w:type="character" w:customStyle="1" w:styleId="147">
    <w:name w:val="标题 2 Char Char"/>
    <w:qFormat/>
    <w:uiPriority w:val="0"/>
    <w:rPr>
      <w:rFonts w:ascii="楷体_GB2312" w:hAnsi="Arial" w:eastAsia="楷体_GB2312"/>
      <w:b/>
      <w:bCs/>
      <w:kern w:val="2"/>
      <w:sz w:val="24"/>
      <w:szCs w:val="32"/>
      <w:lang w:val="en-US" w:eastAsia="zh-CN" w:bidi="ar-SA"/>
    </w:rPr>
  </w:style>
  <w:style w:type="character" w:customStyle="1" w:styleId="148">
    <w:name w:val="hei16b1"/>
    <w:qFormat/>
    <w:uiPriority w:val="0"/>
    <w:rPr>
      <w:rFonts w:hint="default" w:ascii="Arial" w:hAnsi="Arial" w:cs="Arial"/>
      <w:b/>
      <w:bCs/>
      <w:color w:val="000000"/>
      <w:sz w:val="24"/>
      <w:szCs w:val="24"/>
    </w:rPr>
  </w:style>
  <w:style w:type="character" w:customStyle="1" w:styleId="149">
    <w:name w:val="Heading 7 Char"/>
    <w:qFormat/>
    <w:locked/>
    <w:uiPriority w:val="0"/>
    <w:rPr>
      <w:rFonts w:ascii="宋体" w:hAnsi="宋体" w:eastAsia="宋体"/>
      <w:b/>
      <w:bCs/>
      <w:kern w:val="2"/>
      <w:sz w:val="24"/>
      <w:szCs w:val="24"/>
      <w:lang w:val="en-US" w:eastAsia="zh-CN" w:bidi="ar-SA"/>
    </w:rPr>
  </w:style>
  <w:style w:type="character" w:customStyle="1" w:styleId="150">
    <w:name w:val="Char Char6"/>
    <w:qFormat/>
    <w:uiPriority w:val="0"/>
    <w:rPr>
      <w:rFonts w:eastAsia="宋体"/>
      <w:kern w:val="2"/>
      <w:sz w:val="21"/>
      <w:szCs w:val="24"/>
      <w:lang w:val="en-US" w:eastAsia="zh-CN" w:bidi="ar-SA"/>
    </w:rPr>
  </w:style>
  <w:style w:type="character" w:customStyle="1" w:styleId="151">
    <w:name w:val="哈哈正文 Char"/>
    <w:link w:val="152"/>
    <w:qFormat/>
    <w:uiPriority w:val="0"/>
    <w:rPr>
      <w:rFonts w:ascii="宋体" w:hAnsi="宋体" w:eastAsia="宋体"/>
      <w:sz w:val="24"/>
    </w:rPr>
  </w:style>
  <w:style w:type="paragraph" w:customStyle="1" w:styleId="152">
    <w:name w:val="哈哈正文"/>
    <w:basedOn w:val="1"/>
    <w:link w:val="151"/>
    <w:qFormat/>
    <w:uiPriority w:val="0"/>
    <w:pPr>
      <w:adjustRightInd/>
      <w:spacing w:line="360" w:lineRule="auto"/>
      <w:ind w:firstLine="200" w:firstLineChars="200"/>
    </w:pPr>
    <w:rPr>
      <w:rFonts w:ascii="宋体" w:hAnsi="宋体" w:cs="Times New Roman"/>
      <w:sz w:val="24"/>
      <w:szCs w:val="22"/>
    </w:rPr>
  </w:style>
  <w:style w:type="character" w:customStyle="1" w:styleId="153">
    <w:name w:val="pt141"/>
    <w:qFormat/>
    <w:uiPriority w:val="0"/>
    <w:rPr>
      <w:color w:val="330066"/>
      <w:sz w:val="22"/>
      <w:szCs w:val="22"/>
    </w:rPr>
  </w:style>
  <w:style w:type="character" w:customStyle="1" w:styleId="154">
    <w:name w:val="普通文字 Char3"/>
    <w:qFormat/>
    <w:uiPriority w:val="0"/>
    <w:rPr>
      <w:rFonts w:ascii="宋体" w:hAnsi="Courier New" w:eastAsia="宋体"/>
      <w:kern w:val="2"/>
      <w:sz w:val="21"/>
      <w:lang w:val="en-US" w:eastAsia="zh-CN" w:bidi="ar-SA"/>
    </w:rPr>
  </w:style>
  <w:style w:type="character" w:customStyle="1" w:styleId="15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6">
    <w:name w:val="正文2 Char"/>
    <w:qFormat/>
    <w:uiPriority w:val="0"/>
    <w:rPr>
      <w:rFonts w:eastAsia="宋体"/>
      <w:kern w:val="2"/>
      <w:sz w:val="24"/>
      <w:lang w:val="en-US" w:eastAsia="zh-CN" w:bidi="ar-SA"/>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ader Char"/>
    <w:qFormat/>
    <w:locked/>
    <w:uiPriority w:val="0"/>
    <w:rPr>
      <w:rFonts w:eastAsia="宋体"/>
      <w:kern w:val="2"/>
      <w:sz w:val="18"/>
      <w:szCs w:val="18"/>
      <w:lang w:val="en-US" w:eastAsia="zh-CN" w:bidi="ar-SA"/>
    </w:rPr>
  </w:style>
  <w:style w:type="character" w:customStyle="1" w:styleId="159">
    <w:name w:val="Footer-Even Char1"/>
    <w:qFormat/>
    <w:uiPriority w:val="0"/>
    <w:rPr>
      <w:rFonts w:eastAsia="宋体"/>
      <w:kern w:val="2"/>
      <w:sz w:val="18"/>
      <w:szCs w:val="18"/>
      <w:lang w:val="en-US" w:eastAsia="zh-CN" w:bidi="ar-SA"/>
    </w:rPr>
  </w:style>
  <w:style w:type="character" w:customStyle="1" w:styleId="160">
    <w:name w:val="unnamed31"/>
    <w:qFormat/>
    <w:uiPriority w:val="0"/>
    <w:rPr>
      <w:rFonts w:ascii="Tahoma" w:hAnsi="Tahoma" w:eastAsia="宋体"/>
      <w:b/>
      <w:kern w:val="2"/>
      <w:sz w:val="24"/>
      <w:szCs w:val="32"/>
      <w:u w:val="none"/>
      <w:lang w:val="en-US" w:eastAsia="zh-CN" w:bidi="ar-SA"/>
    </w:rPr>
  </w:style>
  <w:style w:type="character" w:customStyle="1" w:styleId="161">
    <w:name w:val="纯文本 Char Char Char"/>
    <w:qFormat/>
    <w:uiPriority w:val="0"/>
    <w:rPr>
      <w:rFonts w:ascii="宋体" w:hAnsi="Courier New" w:eastAsia="宋体"/>
      <w:kern w:val="2"/>
      <w:sz w:val="21"/>
      <w:lang w:val="en-US" w:eastAsia="zh-CN" w:bidi="ar-SA"/>
    </w:rPr>
  </w:style>
  <w:style w:type="character" w:customStyle="1" w:styleId="162">
    <w:name w:val="Body Text(ch) Char Char"/>
    <w:qFormat/>
    <w:uiPriority w:val="0"/>
    <w:rPr>
      <w:rFonts w:ascii="宋体"/>
      <w:kern w:val="2"/>
      <w:sz w:val="24"/>
      <w:szCs w:val="21"/>
      <w:lang w:val="zh-CN"/>
    </w:rPr>
  </w:style>
  <w:style w:type="character" w:customStyle="1" w:styleId="163">
    <w:name w:val="插图说明 Char"/>
    <w:qFormat/>
    <w:uiPriority w:val="0"/>
    <w:rPr>
      <w:rFonts w:eastAsia="黑体"/>
      <w:sz w:val="24"/>
      <w:lang w:val="en-US" w:eastAsia="zh-CN"/>
    </w:rPr>
  </w:style>
  <w:style w:type="character" w:customStyle="1" w:styleId="164">
    <w:name w:val="tw4winExternal"/>
    <w:qFormat/>
    <w:uiPriority w:val="0"/>
    <w:rPr>
      <w:rFonts w:ascii="Courier New" w:hAnsi="Courier New" w:cs="Courier New"/>
      <w:color w:val="808080"/>
      <w:lang w:val="en-US" w:eastAsia="zh-CN"/>
    </w:rPr>
  </w:style>
  <w:style w:type="character" w:customStyle="1" w:styleId="165">
    <w:name w:val="font21"/>
    <w:qFormat/>
    <w:uiPriority w:val="0"/>
    <w:rPr>
      <w:rFonts w:hint="eastAsia" w:ascii="宋体" w:hAnsi="宋体" w:eastAsia="宋体"/>
      <w:kern w:val="2"/>
      <w:sz w:val="28"/>
      <w:szCs w:val="28"/>
      <w:lang w:val="en-US" w:eastAsia="zh-CN" w:bidi="ar-SA"/>
    </w:rPr>
  </w:style>
  <w:style w:type="character" w:customStyle="1" w:styleId="166">
    <w:name w:val="标书正文格式 Char"/>
    <w:qFormat/>
    <w:uiPriority w:val="0"/>
    <w:rPr>
      <w:rFonts w:eastAsia="楷体_GB2312"/>
      <w:kern w:val="2"/>
      <w:sz w:val="24"/>
      <w:szCs w:val="24"/>
      <w:lang w:bidi="ar-SA"/>
    </w:rPr>
  </w:style>
  <w:style w:type="character" w:customStyle="1" w:styleId="167">
    <w:name w:val="javascript"/>
    <w:qFormat/>
    <w:uiPriority w:val="0"/>
  </w:style>
  <w:style w:type="character" w:customStyle="1" w:styleId="168">
    <w:name w:val="Balloon Text Char"/>
    <w:qFormat/>
    <w:locked/>
    <w:uiPriority w:val="0"/>
    <w:rPr>
      <w:rFonts w:eastAsia="宋体"/>
      <w:kern w:val="2"/>
      <w:sz w:val="18"/>
      <w:szCs w:val="18"/>
      <w:lang w:val="en-US" w:eastAsia="zh-CN" w:bidi="ar-SA"/>
    </w:rPr>
  </w:style>
  <w:style w:type="character" w:customStyle="1" w:styleId="169">
    <w:name w:val="Char Char5"/>
    <w:uiPriority w:val="0"/>
    <w:rPr>
      <w:rFonts w:ascii="宋体" w:hAnsi="Courier New" w:eastAsia="宋体"/>
      <w:kern w:val="2"/>
      <w:sz w:val="21"/>
      <w:lang w:val="en-US" w:eastAsia="zh-CN"/>
    </w:rPr>
  </w:style>
  <w:style w:type="character" w:customStyle="1" w:styleId="170">
    <w:name w:val="Char Char"/>
    <w:uiPriority w:val="0"/>
    <w:rPr>
      <w:rFonts w:ascii="宋体" w:hAnsi="Courier New" w:eastAsia="宋体"/>
      <w:kern w:val="2"/>
      <w:sz w:val="21"/>
      <w:lang w:val="en-US" w:eastAsia="zh-CN" w:bidi="ar-SA"/>
    </w:rPr>
  </w:style>
  <w:style w:type="character" w:customStyle="1" w:styleId="171">
    <w:name w:val="mdeck"/>
    <w:qFormat/>
    <w:uiPriority w:val="0"/>
    <w:rPr>
      <w:rFonts w:ascii="仿宋_GB2312" w:eastAsia="微软雅黑"/>
      <w:b/>
      <w:kern w:val="2"/>
      <w:sz w:val="32"/>
      <w:szCs w:val="32"/>
      <w:lang w:val="en-US" w:eastAsia="zh-CN" w:bidi="ar-SA"/>
    </w:rPr>
  </w:style>
  <w:style w:type="character" w:customStyle="1" w:styleId="172">
    <w:name w:val="content"/>
    <w:qFormat/>
    <w:uiPriority w:val="0"/>
  </w:style>
  <w:style w:type="character" w:customStyle="1" w:styleId="173">
    <w:name w:val="Char Char3"/>
    <w:uiPriority w:val="0"/>
    <w:rPr>
      <w:rFonts w:eastAsia="宋体"/>
      <w:kern w:val="2"/>
      <w:sz w:val="21"/>
      <w:szCs w:val="24"/>
      <w:lang w:val="en-US" w:eastAsia="zh-CN" w:bidi="ar-SA"/>
    </w:rPr>
  </w:style>
  <w:style w:type="character" w:customStyle="1" w:styleId="174">
    <w:name w:val="Char Char811"/>
    <w:uiPriority w:val="0"/>
    <w:rPr>
      <w:rFonts w:eastAsia="宋体"/>
      <w:b/>
      <w:sz w:val="24"/>
      <w:lang w:val="en-GB" w:eastAsia="zh-CN"/>
    </w:rPr>
  </w:style>
  <w:style w:type="character" w:customStyle="1" w:styleId="175">
    <w:name w:val="b11_01b Char"/>
    <w:link w:val="176"/>
    <w:qFormat/>
    <w:uiPriority w:val="0"/>
    <w:rPr>
      <w:rFonts w:ascii="Verdana" w:hAnsi="Verdana"/>
      <w:b/>
      <w:bCs/>
      <w:color w:val="4A82CA"/>
      <w:sz w:val="17"/>
      <w:szCs w:val="17"/>
    </w:rPr>
  </w:style>
  <w:style w:type="paragraph" w:customStyle="1" w:styleId="176">
    <w:name w:val="b11_01b"/>
    <w:basedOn w:val="1"/>
    <w:next w:val="1"/>
    <w:link w:val="175"/>
    <w:qFormat/>
    <w:uiPriority w:val="0"/>
    <w:pPr>
      <w:widowControl/>
      <w:adjustRightInd/>
      <w:spacing w:before="100" w:beforeAutospacing="1" w:after="100" w:afterAutospacing="1" w:line="384" w:lineRule="auto"/>
      <w:jc w:val="left"/>
    </w:pPr>
    <w:rPr>
      <w:rFonts w:ascii="Verdana" w:hAnsi="Verdana" w:eastAsia="宋体" w:cs="Times New Roman"/>
      <w:b/>
      <w:bCs/>
      <w:color w:val="4A82CA"/>
      <w:sz w:val="17"/>
      <w:szCs w:val="17"/>
    </w:rPr>
  </w:style>
  <w:style w:type="character" w:customStyle="1" w:styleId="177">
    <w:name w:val="标题4-dyf Char"/>
    <w:link w:val="178"/>
    <w:qFormat/>
    <w:uiPriority w:val="0"/>
    <w:rPr>
      <w:rFonts w:ascii="Cambria" w:hAnsi="Cambria"/>
      <w:b/>
      <w:bCs/>
      <w:color w:val="000000"/>
      <w:szCs w:val="21"/>
    </w:rPr>
  </w:style>
  <w:style w:type="paragraph" w:customStyle="1" w:styleId="178">
    <w:name w:val="标题4-dyf"/>
    <w:basedOn w:val="5"/>
    <w:link w:val="177"/>
    <w:qFormat/>
    <w:uiPriority w:val="0"/>
    <w:pPr>
      <w:numPr>
        <w:ilvl w:val="0"/>
        <w:numId w:val="0"/>
      </w:numPr>
      <w:tabs>
        <w:tab w:val="left" w:pos="851"/>
      </w:tabs>
      <w:adjustRightInd/>
      <w:spacing w:line="376" w:lineRule="atLeast"/>
      <w:ind w:left="851" w:hanging="851"/>
    </w:pPr>
    <w:rPr>
      <w:rFonts w:ascii="Cambria" w:hAnsi="Cambria" w:eastAsia="宋体" w:cs="Times New Roman"/>
      <w:color w:val="000000"/>
      <w:sz w:val="21"/>
      <w:szCs w:val="21"/>
      <w:lang w:val="en-US" w:eastAsia="zh-CN"/>
    </w:rPr>
  </w:style>
  <w:style w:type="character" w:customStyle="1" w:styleId="179">
    <w:name w:val="批注主题 Char"/>
    <w:uiPriority w:val="0"/>
    <w:rPr>
      <w:rFonts w:eastAsia="宋体"/>
      <w:b/>
      <w:bCs/>
      <w:kern w:val="2"/>
      <w:sz w:val="21"/>
      <w:szCs w:val="24"/>
      <w:lang w:val="en-US" w:eastAsia="zh-CN" w:bidi="ar-SA"/>
    </w:rPr>
  </w:style>
  <w:style w:type="character" w:customStyle="1" w:styleId="180">
    <w:name w:val="标题 3 Char2"/>
    <w:qFormat/>
    <w:uiPriority w:val="0"/>
    <w:rPr>
      <w:rFonts w:eastAsia="宋体"/>
      <w:b/>
      <w:bCs/>
      <w:kern w:val="2"/>
      <w:sz w:val="32"/>
      <w:szCs w:val="32"/>
      <w:lang w:val="en-US" w:eastAsia="zh-CN" w:bidi="ar-SA"/>
    </w:rPr>
  </w:style>
  <w:style w:type="character" w:customStyle="1" w:styleId="181">
    <w:name w:val="gray6"/>
    <w:basedOn w:val="69"/>
    <w:qFormat/>
    <w:uiPriority w:val="0"/>
    <w:rPr>
      <w:rFonts w:ascii="Arial" w:hAnsi="Arial" w:eastAsia="黑体" w:cs="Arial"/>
      <w:snapToGrid w:val="0"/>
      <w:kern w:val="0"/>
      <w:szCs w:val="21"/>
    </w:rPr>
  </w:style>
  <w:style w:type="character" w:customStyle="1" w:styleId="182">
    <w:name w:val="正文首行缩进两字 Char"/>
    <w:qFormat/>
    <w:uiPriority w:val="0"/>
    <w:rPr>
      <w:sz w:val="24"/>
      <w:szCs w:val="24"/>
      <w:lang w:val="en-US" w:eastAsia="zh-CN" w:bidi="ar-SA"/>
    </w:rPr>
  </w:style>
  <w:style w:type="character" w:customStyle="1" w:styleId="183">
    <w:name w:val="Char Char511"/>
    <w:qFormat/>
    <w:uiPriority w:val="0"/>
    <w:rPr>
      <w:rFonts w:ascii="宋体" w:hAnsi="Courier New" w:eastAsia="宋体"/>
      <w:kern w:val="2"/>
      <w:sz w:val="21"/>
      <w:lang w:val="en-US" w:eastAsia="zh-CN"/>
    </w:rPr>
  </w:style>
  <w:style w:type="character" w:customStyle="1" w:styleId="184">
    <w:name w:val="带编号样式 Char"/>
    <w:qFormat/>
    <w:uiPriority w:val="0"/>
    <w:rPr>
      <w:rFonts w:ascii="仿宋_GB2312" w:eastAsia="仿宋_GB2312"/>
      <w:color w:val="000000"/>
      <w:sz w:val="24"/>
      <w:lang w:bidi="ar-SA"/>
    </w:rPr>
  </w:style>
  <w:style w:type="character" w:customStyle="1" w:styleId="185">
    <w:name w:val="Footer-Even Char"/>
    <w:qFormat/>
    <w:uiPriority w:val="0"/>
    <w:rPr>
      <w:rFonts w:eastAsia="宋体"/>
      <w:kern w:val="2"/>
      <w:sz w:val="18"/>
      <w:lang w:val="en-US" w:eastAsia="zh-CN" w:bidi="ar-SA"/>
    </w:rPr>
  </w:style>
  <w:style w:type="character" w:customStyle="1" w:styleId="186">
    <w:name w:val="样式4 Char"/>
    <w:qFormat/>
    <w:uiPriority w:val="0"/>
    <w:rPr>
      <w:rFonts w:ascii="仿宋_GB2312" w:hAnsi="仿宋" w:eastAsia="仿宋_GB2312"/>
      <w:b/>
      <w:kern w:val="2"/>
      <w:sz w:val="32"/>
      <w:szCs w:val="32"/>
      <w:lang w:bidi="ar-SA"/>
    </w:rPr>
  </w:style>
  <w:style w:type="character" w:customStyle="1" w:styleId="187">
    <w:name w:val="样式 标题 4h4H4Fab-4T5Ref Heading 1rh1Heading sqlsect 1.2.3.... Char"/>
    <w:link w:val="188"/>
    <w:qFormat/>
    <w:uiPriority w:val="0"/>
    <w:rPr>
      <w:rFonts w:ascii="微软雅黑" w:hAnsi="微软雅黑" w:eastAsia="微软雅黑"/>
      <w:b/>
      <w:bCs/>
      <w:sz w:val="24"/>
      <w:szCs w:val="28"/>
    </w:rPr>
  </w:style>
  <w:style w:type="paragraph" w:customStyle="1" w:styleId="188">
    <w:name w:val="样式 标题 4h4H4Fab-4T5Ref Heading 1rh1Heading sqlsect 1.2.3...."/>
    <w:basedOn w:val="5"/>
    <w:link w:val="187"/>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cs="Times New Roman"/>
      <w:sz w:val="24"/>
      <w:lang w:val="en-US" w:eastAsia="zh-CN"/>
    </w:rPr>
  </w:style>
  <w:style w:type="character" w:customStyle="1" w:styleId="189">
    <w:name w:val="dandyren_title1"/>
    <w:qFormat/>
    <w:uiPriority w:val="0"/>
    <w:rPr>
      <w:b/>
      <w:bCs/>
      <w:color w:val="FF6633"/>
      <w:sz w:val="18"/>
      <w:szCs w:val="18"/>
    </w:rPr>
  </w:style>
  <w:style w:type="character" w:customStyle="1" w:styleId="190">
    <w:name w:val="普通文字 Char Char1"/>
    <w:qFormat/>
    <w:uiPriority w:val="0"/>
    <w:rPr>
      <w:rFonts w:ascii="宋体" w:hAnsi="Courier New"/>
      <w:kern w:val="2"/>
      <w:sz w:val="21"/>
    </w:rPr>
  </w:style>
  <w:style w:type="character" w:customStyle="1" w:styleId="191">
    <w:name w:val="PI Char"/>
    <w:qFormat/>
    <w:uiPriority w:val="0"/>
    <w:rPr>
      <w:rFonts w:ascii="宋体" w:hAnsi="宋体" w:eastAsia="宋体"/>
      <w:kern w:val="2"/>
      <w:sz w:val="24"/>
      <w:szCs w:val="24"/>
      <w:lang w:val="en-US" w:eastAsia="zh-CN" w:bidi="ar-SA"/>
    </w:rPr>
  </w:style>
  <w:style w:type="character" w:customStyle="1" w:styleId="192">
    <w:name w:val="Char Char11"/>
    <w:locked/>
    <w:uiPriority w:val="0"/>
    <w:rPr>
      <w:rFonts w:ascii="宋体" w:hAnsi="宋体" w:eastAsia="宋体"/>
      <w:b/>
      <w:kern w:val="2"/>
      <w:sz w:val="24"/>
      <w:szCs w:val="24"/>
      <w:lang w:val="en-US" w:eastAsia="zh-CN" w:bidi="ar-SA"/>
    </w:rPr>
  </w:style>
  <w:style w:type="character" w:customStyle="1" w:styleId="19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4">
    <w:name w:val="Document Map Char"/>
    <w:qFormat/>
    <w:locked/>
    <w:uiPriority w:val="0"/>
    <w:rPr>
      <w:rFonts w:eastAsia="宋体"/>
      <w:kern w:val="2"/>
      <w:sz w:val="21"/>
      <w:szCs w:val="24"/>
      <w:lang w:val="en-US" w:eastAsia="zh-CN" w:bidi="ar-SA"/>
    </w:rPr>
  </w:style>
  <w:style w:type="character" w:customStyle="1" w:styleId="195">
    <w:name w:val="正文文本缩进 Char"/>
    <w:qFormat/>
    <w:uiPriority w:val="0"/>
    <w:rPr>
      <w:rFonts w:ascii="宋体" w:hAnsi="宋体"/>
      <w:kern w:val="2"/>
      <w:sz w:val="24"/>
      <w:szCs w:val="24"/>
    </w:rPr>
  </w:style>
  <w:style w:type="character" w:customStyle="1" w:styleId="196">
    <w:name w:val="文本正文 Char Char"/>
    <w:qFormat/>
    <w:locked/>
    <w:uiPriority w:val="0"/>
    <w:rPr>
      <w:sz w:val="24"/>
      <w:lang w:bidi="ar-SA"/>
    </w:rPr>
  </w:style>
  <w:style w:type="character" w:customStyle="1" w:styleId="197">
    <w:name w:val="样式7 Char"/>
    <w:qFormat/>
    <w:uiPriority w:val="0"/>
    <w:rPr>
      <w:rFonts w:ascii="仿宋_GB2312" w:hAnsi="仿宋" w:eastAsia="仿宋_GB2312"/>
      <w:b/>
      <w:kern w:val="2"/>
      <w:sz w:val="24"/>
      <w:szCs w:val="24"/>
    </w:rPr>
  </w:style>
  <w:style w:type="character" w:customStyle="1" w:styleId="198">
    <w:name w:val="样式3 Char"/>
    <w:basedOn w:val="199"/>
    <w:qFormat/>
    <w:uiPriority w:val="0"/>
    <w:rPr>
      <w:rFonts w:ascii="仿宋_GB2312" w:hAnsi="仿宋" w:eastAsia="仿宋_GB2312" w:cs="仿宋_GB2312"/>
      <w:sz w:val="32"/>
      <w:szCs w:val="30"/>
      <w:lang w:val="zh-CN"/>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二级标题 Char Char"/>
    <w:qFormat/>
    <w:uiPriority w:val="0"/>
    <w:rPr>
      <w:rFonts w:ascii="宋体" w:hAnsi="宋体" w:eastAsia="宋体"/>
      <w:b/>
      <w:snapToGrid w:val="0"/>
      <w:kern w:val="2"/>
      <w:sz w:val="24"/>
      <w:szCs w:val="24"/>
      <w:lang w:val="en-US" w:eastAsia="zh-CN" w:bidi="ar-SA"/>
    </w:rPr>
  </w:style>
  <w:style w:type="character" w:customStyle="1" w:styleId="201">
    <w:name w:val="Table Text Char1"/>
    <w:qFormat/>
    <w:uiPriority w:val="0"/>
    <w:rPr>
      <w:rFonts w:eastAsia="宋体"/>
      <w:sz w:val="24"/>
      <w:szCs w:val="24"/>
      <w:lang w:val="en-US" w:eastAsia="zh-CN" w:bidi="ar-SA"/>
    </w:rPr>
  </w:style>
  <w:style w:type="character" w:customStyle="1" w:styleId="202">
    <w:name w:val="shadow11"/>
    <w:qFormat/>
    <w:uiPriority w:val="0"/>
    <w:rPr>
      <w:color w:val="000000"/>
      <w:sz w:val="21"/>
    </w:rPr>
  </w:style>
  <w:style w:type="character" w:customStyle="1" w:styleId="203">
    <w:name w:val="Char Char212"/>
    <w:qFormat/>
    <w:uiPriority w:val="0"/>
    <w:rPr>
      <w:rFonts w:eastAsia="宋体"/>
      <w:b/>
      <w:bCs/>
      <w:kern w:val="2"/>
      <w:sz w:val="21"/>
      <w:szCs w:val="24"/>
      <w:lang w:val="en-US" w:eastAsia="zh-CN" w:bidi="ar-SA"/>
    </w:rPr>
  </w:style>
  <w:style w:type="character" w:customStyle="1" w:styleId="204">
    <w:name w:val="h3 Char1"/>
    <w:qFormat/>
    <w:uiPriority w:val="0"/>
    <w:rPr>
      <w:rFonts w:eastAsia="宋体"/>
      <w:b/>
      <w:bCs/>
      <w:kern w:val="2"/>
      <w:sz w:val="32"/>
      <w:szCs w:val="32"/>
      <w:lang w:bidi="ar-SA"/>
    </w:rPr>
  </w:style>
  <w:style w:type="character" w:customStyle="1" w:styleId="205">
    <w:name w:val="FA正文 Char Char"/>
    <w:qFormat/>
    <w:uiPriority w:val="0"/>
    <w:rPr>
      <w:rFonts w:hAnsi="宋体"/>
      <w:kern w:val="2"/>
      <w:sz w:val="24"/>
      <w:lang w:bidi="ar-SA"/>
    </w:rPr>
  </w:style>
  <w:style w:type="character" w:customStyle="1" w:styleId="206">
    <w:name w:val="首行缩进 Char"/>
    <w:qFormat/>
    <w:uiPriority w:val="0"/>
    <w:rPr>
      <w:rFonts w:ascii="宋体" w:eastAsia="宋体"/>
      <w:kern w:val="2"/>
      <w:sz w:val="24"/>
      <w:lang w:val="en-US" w:eastAsia="zh-CN" w:bidi="ar-SA"/>
    </w:rPr>
  </w:style>
  <w:style w:type="character" w:customStyle="1" w:styleId="207">
    <w:name w:val="Char Char7"/>
    <w:semiHidden/>
    <w:qFormat/>
    <w:uiPriority w:val="0"/>
    <w:rPr>
      <w:rFonts w:eastAsia="宋体"/>
      <w:kern w:val="2"/>
      <w:sz w:val="21"/>
      <w:szCs w:val="24"/>
      <w:lang w:val="en-US" w:eastAsia="zh-CN" w:bidi="ar-SA"/>
    </w:rPr>
  </w:style>
  <w:style w:type="character" w:customStyle="1" w:styleId="208">
    <w:name w:val="hui"/>
    <w:basedOn w:val="69"/>
    <w:qFormat/>
    <w:uiPriority w:val="0"/>
    <w:rPr>
      <w:rFonts w:ascii="Arial" w:hAnsi="Arial" w:eastAsia="黑体" w:cs="Arial"/>
      <w:snapToGrid w:val="0"/>
      <w:kern w:val="0"/>
      <w:szCs w:val="21"/>
    </w:rPr>
  </w:style>
  <w:style w:type="character" w:customStyle="1" w:styleId="209">
    <w:name w:val="正文缩进 Char"/>
    <w:qFormat/>
    <w:uiPriority w:val="0"/>
    <w:rPr>
      <w:rFonts w:eastAsia="宋体"/>
      <w:kern w:val="2"/>
      <w:sz w:val="21"/>
      <w:lang w:val="en-US" w:eastAsia="zh-CN"/>
    </w:rPr>
  </w:style>
  <w:style w:type="character" w:customStyle="1" w:styleId="210">
    <w:name w:val="正文1 Char"/>
    <w:qFormat/>
    <w:uiPriority w:val="0"/>
    <w:rPr>
      <w:rFonts w:ascii="宋体" w:eastAsia="宋体"/>
      <w:snapToGrid w:val="0"/>
      <w:color w:val="000000"/>
      <w:kern w:val="28"/>
      <w:sz w:val="28"/>
      <w:lang w:val="en-US" w:eastAsia="zh-CN" w:bidi="ar-SA"/>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message1"/>
    <w:qFormat/>
    <w:uiPriority w:val="0"/>
    <w:rPr>
      <w:rFonts w:hint="default" w:ascii="Tahoma" w:hAnsi="Tahoma" w:cs="Tahoma"/>
      <w:sz w:val="18"/>
      <w:szCs w:val="18"/>
    </w:rPr>
  </w:style>
  <w:style w:type="character" w:customStyle="1" w:styleId="213">
    <w:name w:val="Heading 2 Hidden Char"/>
    <w:qFormat/>
    <w:uiPriority w:val="0"/>
    <w:rPr>
      <w:rFonts w:ascii="仿宋_GB2312" w:eastAsia="仿宋_GB2312"/>
      <w:b/>
      <w:bCs/>
      <w:kern w:val="2"/>
      <w:sz w:val="24"/>
      <w:szCs w:val="24"/>
      <w:lang w:val="zh-CN" w:eastAsia="zh-CN" w:bidi="ar-SA"/>
    </w:rPr>
  </w:style>
  <w:style w:type="character" w:customStyle="1" w:styleId="214">
    <w:name w:val="DO_NOT_TRANSLATE"/>
    <w:qFormat/>
    <w:uiPriority w:val="0"/>
    <w:rPr>
      <w:rFonts w:ascii="Courier New" w:hAnsi="Courier New" w:cs="Courier New"/>
      <w:color w:val="800000"/>
      <w:lang w:val="en-US" w:eastAsia="zh-CN"/>
    </w:rPr>
  </w:style>
  <w:style w:type="character" w:customStyle="1" w:styleId="215">
    <w:name w:val="unnamed11"/>
    <w:qFormat/>
    <w:uiPriority w:val="0"/>
    <w:rPr>
      <w:sz w:val="20"/>
      <w:szCs w:val="20"/>
    </w:rPr>
  </w:style>
  <w:style w:type="character" w:customStyle="1" w:styleId="216">
    <w:name w:val="tw4winInternal"/>
    <w:qFormat/>
    <w:uiPriority w:val="0"/>
    <w:rPr>
      <w:rFonts w:ascii="Courier New" w:hAnsi="Courier New" w:cs="Courier New"/>
      <w:color w:val="FF0000"/>
      <w:lang w:val="en-US" w:eastAsia="zh-CN"/>
    </w:rPr>
  </w:style>
  <w:style w:type="character" w:customStyle="1" w:styleId="217">
    <w:name w:val="正文（缩进2汉字） Char"/>
    <w:link w:val="218"/>
    <w:qFormat/>
    <w:uiPriority w:val="0"/>
    <w:rPr>
      <w:rFonts w:ascii="宋体"/>
    </w:rPr>
  </w:style>
  <w:style w:type="paragraph" w:customStyle="1" w:styleId="218">
    <w:name w:val="正文（缩进2汉字）"/>
    <w:basedOn w:val="1"/>
    <w:link w:val="217"/>
    <w:qFormat/>
    <w:uiPriority w:val="0"/>
    <w:pPr>
      <w:tabs>
        <w:tab w:val="left" w:pos="525"/>
      </w:tabs>
      <w:adjustRightInd/>
      <w:spacing w:before="100" w:beforeAutospacing="1" w:after="100" w:afterAutospacing="1"/>
      <w:ind w:left="120" w:leftChars="50" w:firstLine="494" w:firstLineChars="206"/>
    </w:pPr>
    <w:rPr>
      <w:rFonts w:ascii="宋体" w:hAnsi="Calibri" w:eastAsia="宋体" w:cs="Times New Roman"/>
      <w:szCs w:val="22"/>
    </w:rPr>
  </w:style>
  <w:style w:type="character" w:customStyle="1" w:styleId="219">
    <w:name w:val="正文缩进 Char1"/>
    <w:qFormat/>
    <w:uiPriority w:val="0"/>
    <w:rPr>
      <w:rFonts w:ascii="宋体" w:eastAsia="宋体"/>
      <w:snapToGrid w:val="0"/>
      <w:color w:val="000000"/>
      <w:kern w:val="28"/>
      <w:sz w:val="28"/>
      <w:lang w:val="en-US" w:eastAsia="zh-CN" w:bidi="ar-SA"/>
    </w:rPr>
  </w:style>
  <w:style w:type="character" w:customStyle="1" w:styleId="220">
    <w:name w:val="正文文本 Char"/>
    <w:qFormat/>
    <w:uiPriority w:val="0"/>
    <w:rPr>
      <w:rFonts w:eastAsia="宋体"/>
      <w:kern w:val="2"/>
      <w:sz w:val="24"/>
      <w:szCs w:val="24"/>
      <w:lang w:val="en-US" w:eastAsia="zh-CN" w:bidi="ar-SA"/>
    </w:rPr>
  </w:style>
  <w:style w:type="character" w:customStyle="1" w:styleId="221">
    <w:name w:val="style36"/>
    <w:basedOn w:val="69"/>
    <w:qFormat/>
    <w:uiPriority w:val="0"/>
    <w:rPr>
      <w:rFonts w:ascii="Arial" w:hAnsi="Arial" w:eastAsia="黑体" w:cs="Arial"/>
      <w:snapToGrid w:val="0"/>
      <w:kern w:val="0"/>
      <w:szCs w:val="21"/>
    </w:rPr>
  </w:style>
  <w:style w:type="character" w:customStyle="1" w:styleId="222">
    <w:name w:val="hui3"/>
    <w:qFormat/>
    <w:uiPriority w:val="0"/>
    <w:rPr>
      <w:color w:val="333333"/>
    </w:rPr>
  </w:style>
  <w:style w:type="character" w:customStyle="1" w:styleId="223">
    <w:name w:val="方案正文 Char"/>
    <w:qFormat/>
    <w:uiPriority w:val="0"/>
    <w:rPr>
      <w:rFonts w:ascii="仿宋_GB2312" w:eastAsia="仿宋_GB2312"/>
      <w:b/>
      <w:color w:val="000000"/>
      <w:kern w:val="2"/>
      <w:sz w:val="24"/>
      <w:lang w:val="en-US" w:eastAsia="zh-CN" w:bidi="ar-SA"/>
    </w:rPr>
  </w:style>
  <w:style w:type="character" w:customStyle="1" w:styleId="224">
    <w:name w:val="apple-converted-space"/>
    <w:qFormat/>
    <w:uiPriority w:val="0"/>
  </w:style>
  <w:style w:type="character" w:customStyle="1" w:styleId="225">
    <w:name w:val="文档结构图 Char"/>
    <w:qFormat/>
    <w:uiPriority w:val="0"/>
    <w:rPr>
      <w:rFonts w:eastAsia="宋体"/>
      <w:kern w:val="2"/>
      <w:sz w:val="21"/>
      <w:szCs w:val="24"/>
      <w:lang w:val="en-US" w:eastAsia="zh-CN" w:bidi="ar-SA"/>
    </w:rPr>
  </w:style>
  <w:style w:type="character" w:customStyle="1" w:styleId="226">
    <w:name w:val="正文非缩进 Char3"/>
    <w:qFormat/>
    <w:uiPriority w:val="0"/>
    <w:rPr>
      <w:rFonts w:ascii="宋体" w:eastAsia="宋体"/>
      <w:snapToGrid w:val="0"/>
      <w:color w:val="000000"/>
      <w:kern w:val="28"/>
      <w:sz w:val="28"/>
      <w:lang w:val="en-US" w:eastAsia="zh-CN" w:bidi="ar-SA"/>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t21"/>
    <w:qFormat/>
    <w:uiPriority w:val="0"/>
    <w:rPr>
      <w:rFonts w:ascii="仿宋_GB2312" w:eastAsia="微软雅黑"/>
      <w:b/>
      <w:kern w:val="2"/>
      <w:sz w:val="23"/>
      <w:szCs w:val="23"/>
      <w:lang w:val="en-US" w:eastAsia="zh-CN" w:bidi="ar-SA"/>
    </w:rPr>
  </w:style>
  <w:style w:type="character" w:customStyle="1" w:styleId="229">
    <w:name w:val="副标题 Char1"/>
    <w:qFormat/>
    <w:uiPriority w:val="11"/>
    <w:rPr>
      <w:rFonts w:ascii="Cambria" w:hAnsi="Cambria" w:eastAsia="宋体" w:cs="Times New Roman"/>
      <w:b/>
      <w:bCs/>
      <w:snapToGrid w:val="0"/>
      <w:kern w:val="28"/>
      <w:sz w:val="32"/>
      <w:szCs w:val="32"/>
    </w:rPr>
  </w:style>
  <w:style w:type="character" w:customStyle="1" w:styleId="230">
    <w:name w:val="px14"/>
    <w:qFormat/>
    <w:uiPriority w:val="0"/>
    <w:rPr>
      <w:rFonts w:ascii="仿宋_GB2312" w:eastAsia="微软雅黑" w:cs="Times New Roman"/>
      <w:b/>
      <w:kern w:val="2"/>
      <w:sz w:val="32"/>
      <w:szCs w:val="32"/>
      <w:lang w:val="en-US" w:eastAsia="zh-CN" w:bidi="ar-SA"/>
    </w:rPr>
  </w:style>
  <w:style w:type="character" w:customStyle="1" w:styleId="231">
    <w:name w:val="Normal Indent Char Char"/>
    <w:qFormat/>
    <w:uiPriority w:val="0"/>
    <w:rPr>
      <w:rFonts w:eastAsia="宋体"/>
      <w:kern w:val="2"/>
      <w:sz w:val="21"/>
      <w:lang w:val="en-US" w:eastAsia="zh-CN" w:bidi="ar-SA"/>
    </w:rPr>
  </w:style>
  <w:style w:type="character" w:customStyle="1" w:styleId="232">
    <w:name w:val="f141"/>
    <w:qFormat/>
    <w:uiPriority w:val="0"/>
    <w:rPr>
      <w:rFonts w:ascii="Tahoma" w:hAnsi="Tahoma" w:eastAsia="宋体"/>
      <w:b/>
      <w:kern w:val="2"/>
      <w:sz w:val="21"/>
      <w:szCs w:val="21"/>
      <w:lang w:val="en-US" w:eastAsia="zh-CN" w:bidi="ar-SA"/>
    </w:rPr>
  </w:style>
  <w:style w:type="character" w:customStyle="1" w:styleId="233">
    <w:name w:val="myp1111"/>
    <w:qFormat/>
    <w:uiPriority w:val="0"/>
    <w:rPr>
      <w:rFonts w:hint="default" w:ascii="ˎ̥" w:hAnsi="ˎ̥"/>
      <w:color w:val="000000"/>
      <w:sz w:val="20"/>
      <w:szCs w:val="20"/>
      <w:u w:val="none"/>
    </w:rPr>
  </w:style>
  <w:style w:type="character" w:customStyle="1" w:styleId="234">
    <w:name w:val="标书1 Char"/>
    <w:qFormat/>
    <w:uiPriority w:val="0"/>
    <w:rPr>
      <w:rFonts w:eastAsia="宋体"/>
      <w:b/>
      <w:bCs/>
      <w:kern w:val="44"/>
      <w:sz w:val="44"/>
      <w:szCs w:val="44"/>
      <w:lang w:val="en-US" w:eastAsia="zh-CN" w:bidi="ar-SA"/>
    </w:rPr>
  </w:style>
  <w:style w:type="character" w:customStyle="1" w:styleId="235">
    <w:name w:val="链接"/>
    <w:qFormat/>
    <w:uiPriority w:val="0"/>
    <w:rPr>
      <w:color w:val="0000FF"/>
      <w:sz w:val="21"/>
      <w:szCs w:val="21"/>
      <w:u w:val="single"/>
    </w:rPr>
  </w:style>
  <w:style w:type="character" w:customStyle="1" w:styleId="236">
    <w:name w:val="正文首行缩进 Char Char Char Char Char Char"/>
    <w:qFormat/>
    <w:uiPriority w:val="0"/>
    <w:rPr>
      <w:rFonts w:ascii="宋体" w:eastAsia="宋体"/>
      <w:kern w:val="2"/>
      <w:sz w:val="24"/>
      <w:lang w:val="zh-CN" w:bidi="ar-SA"/>
    </w:rPr>
  </w:style>
  <w:style w:type="character" w:customStyle="1" w:styleId="237">
    <w:name w:val="正文2 Char Char"/>
    <w:link w:val="238"/>
    <w:qFormat/>
    <w:uiPriority w:val="0"/>
    <w:rPr>
      <w:rFonts w:eastAsia="宋体"/>
      <w:sz w:val="24"/>
    </w:rPr>
  </w:style>
  <w:style w:type="paragraph" w:customStyle="1" w:styleId="238">
    <w:name w:val="正文2"/>
    <w:basedOn w:val="1"/>
    <w:link w:val="237"/>
    <w:qFormat/>
    <w:uiPriority w:val="0"/>
    <w:pPr>
      <w:spacing w:before="156" w:line="360" w:lineRule="auto"/>
      <w:ind w:firstLine="510" w:firstLineChars="200"/>
    </w:pPr>
    <w:rPr>
      <w:rFonts w:ascii="Calibri" w:hAnsi="Calibri" w:cs="Times New Roman"/>
      <w:sz w:val="24"/>
      <w:szCs w:val="22"/>
    </w:rPr>
  </w:style>
  <w:style w:type="character" w:customStyle="1" w:styleId="239">
    <w:name w:val="tw4winError"/>
    <w:qFormat/>
    <w:uiPriority w:val="0"/>
    <w:rPr>
      <w:rFonts w:ascii="Courier New" w:hAnsi="Courier New" w:cs="Courier New"/>
      <w:color w:val="00FF00"/>
      <w:sz w:val="40"/>
      <w:szCs w:val="40"/>
    </w:rPr>
  </w:style>
  <w:style w:type="character" w:customStyle="1" w:styleId="240">
    <w:name w:val="正文1 Char1"/>
    <w:qFormat/>
    <w:uiPriority w:val="0"/>
    <w:rPr>
      <w:rFonts w:ascii="仿宋_GB2312" w:hAnsi="Courier New" w:eastAsia="仿宋_GB2312"/>
      <w:kern w:val="28"/>
      <w:sz w:val="24"/>
      <w:szCs w:val="24"/>
      <w:lang w:val="en-US" w:eastAsia="zh-CN"/>
    </w:rPr>
  </w:style>
  <w:style w:type="character" w:customStyle="1" w:styleId="241">
    <w:name w:val="Used by Word for text of Help footnotes Char Char"/>
    <w:qFormat/>
    <w:uiPriority w:val="0"/>
    <w:rPr>
      <w:rFonts w:ascii="Times New Roman" w:hAnsi="Times New Roman" w:eastAsia="宋体" w:cs="Times New Roman"/>
      <w:sz w:val="20"/>
      <w:szCs w:val="20"/>
    </w:rPr>
  </w:style>
  <w:style w:type="character" w:customStyle="1" w:styleId="242">
    <w:name w:val="c7 style3"/>
    <w:qFormat/>
    <w:uiPriority w:val="0"/>
  </w:style>
  <w:style w:type="character" w:customStyle="1" w:styleId="243">
    <w:name w:val="Char Char3111"/>
    <w:qFormat/>
    <w:uiPriority w:val="0"/>
    <w:rPr>
      <w:rFonts w:ascii="Times New Roman" w:hAnsi="Times New Roman" w:eastAsia="宋体" w:cs="Times New Roman"/>
      <w:b/>
      <w:kern w:val="2"/>
      <w:sz w:val="32"/>
      <w:szCs w:val="24"/>
      <w:lang w:val="en-US" w:eastAsia="zh-CN" w:bidi="ar-SA"/>
    </w:rPr>
  </w:style>
  <w:style w:type="character" w:customStyle="1" w:styleId="244">
    <w:name w:val="表正文 Char"/>
    <w:qFormat/>
    <w:uiPriority w:val="0"/>
    <w:rPr>
      <w:rFonts w:ascii="宋体" w:eastAsia="宋体"/>
      <w:snapToGrid w:val="0"/>
      <w:color w:val="000000"/>
      <w:kern w:val="28"/>
      <w:sz w:val="28"/>
      <w:lang w:val="en-US" w:eastAsia="zh-CN" w:bidi="ar-SA"/>
    </w:rPr>
  </w:style>
  <w:style w:type="character" w:customStyle="1" w:styleId="245">
    <w:name w:val="普通文字 Char1 Char"/>
    <w:qFormat/>
    <w:uiPriority w:val="0"/>
    <w:rPr>
      <w:rFonts w:ascii="宋体" w:hAnsi="Courier New" w:eastAsia="宋体"/>
      <w:kern w:val="2"/>
      <w:sz w:val="21"/>
      <w:szCs w:val="24"/>
      <w:lang w:val="en-US" w:eastAsia="zh-CN" w:bidi="ar-SA"/>
    </w:rPr>
  </w:style>
  <w:style w:type="character" w:customStyle="1" w:styleId="246">
    <w:name w:val="pt9"/>
    <w:qFormat/>
    <w:uiPriority w:val="0"/>
    <w:rPr>
      <w:rFonts w:ascii="仿宋_GB2312" w:eastAsia="微软雅黑"/>
      <w:b/>
      <w:kern w:val="2"/>
      <w:sz w:val="32"/>
      <w:szCs w:val="32"/>
      <w:lang w:val="en-US" w:eastAsia="zh-CN" w:bidi="ar-SA"/>
    </w:rPr>
  </w:style>
  <w:style w:type="character" w:customStyle="1" w:styleId="247">
    <w:name w:val="表正文 Char1"/>
    <w:qFormat/>
    <w:uiPriority w:val="0"/>
    <w:rPr>
      <w:rFonts w:ascii="宋体" w:eastAsia="宋体"/>
      <w:snapToGrid w:val="0"/>
      <w:color w:val="000000"/>
      <w:kern w:val="28"/>
      <w:sz w:val="28"/>
    </w:rPr>
  </w:style>
  <w:style w:type="character" w:customStyle="1" w:styleId="248">
    <w:name w:val="正文非缩进 Char"/>
    <w:qFormat/>
    <w:uiPriority w:val="0"/>
    <w:rPr>
      <w:rFonts w:ascii="宋体" w:eastAsia="宋体"/>
      <w:snapToGrid w:val="0"/>
      <w:color w:val="000000"/>
      <w:kern w:val="28"/>
      <w:sz w:val="28"/>
      <w:lang w:val="en-US" w:eastAsia="zh-CN" w:bidi="ar-SA"/>
    </w:rPr>
  </w:style>
  <w:style w:type="character" w:customStyle="1" w:styleId="249">
    <w:name w:val="冯广丽 Char"/>
    <w:link w:val="250"/>
    <w:qFormat/>
    <w:uiPriority w:val="0"/>
    <w:rPr>
      <w:rFonts w:ascii="宋体" w:hAnsi="宋体"/>
      <w:sz w:val="24"/>
    </w:rPr>
  </w:style>
  <w:style w:type="paragraph" w:customStyle="1" w:styleId="250">
    <w:name w:val="冯广丽"/>
    <w:basedOn w:val="1"/>
    <w:link w:val="249"/>
    <w:qFormat/>
    <w:uiPriority w:val="0"/>
    <w:pPr>
      <w:adjustRightInd/>
      <w:spacing w:line="360" w:lineRule="auto"/>
      <w:ind w:firstLine="480" w:firstLineChars="200"/>
    </w:pPr>
    <w:rPr>
      <w:rFonts w:ascii="宋体" w:hAnsi="宋体" w:eastAsia="宋体" w:cs="Times New Roman"/>
      <w:sz w:val="24"/>
      <w:szCs w:val="22"/>
    </w:rPr>
  </w:style>
  <w:style w:type="character" w:customStyle="1" w:styleId="251">
    <w:name w:val="large1"/>
    <w:qFormat/>
    <w:uiPriority w:val="0"/>
    <w:rPr>
      <w:rFonts w:hint="eastAsia" w:ascii="宋体" w:hAnsi="宋体" w:eastAsia="宋体"/>
      <w:sz w:val="21"/>
      <w:szCs w:val="21"/>
    </w:rPr>
  </w:style>
  <w:style w:type="character" w:customStyle="1" w:styleId="252">
    <w:name w:val="样式 样式 标题 4h4H4Fab-4T5Ref Heading 1rh1Heading sqlsect 1.2.3.... +... Char"/>
    <w:link w:val="253"/>
    <w:qFormat/>
    <w:uiPriority w:val="0"/>
    <w:rPr>
      <w:rFonts w:ascii="微软雅黑" w:hAnsi="微软雅黑" w:eastAsia="微软雅黑"/>
      <w:b/>
      <w:bCs/>
      <w:sz w:val="24"/>
      <w:szCs w:val="28"/>
    </w:rPr>
  </w:style>
  <w:style w:type="paragraph" w:customStyle="1" w:styleId="253">
    <w:name w:val="样式 样式 标题 4h4H4Fab-4T5Ref Heading 1rh1Heading sqlsect 1.2.3.... +..."/>
    <w:basedOn w:val="188"/>
    <w:link w:val="252"/>
    <w:qFormat/>
    <w:uiPriority w:val="0"/>
  </w:style>
  <w:style w:type="character" w:customStyle="1" w:styleId="254">
    <w:name w:val="标题 1 Char Char"/>
    <w:qFormat/>
    <w:uiPriority w:val="0"/>
    <w:rPr>
      <w:rFonts w:hint="eastAsia" w:ascii="宋体" w:hAnsi="宋体" w:eastAsia="宋体"/>
      <w:b/>
      <w:spacing w:val="-2"/>
      <w:sz w:val="24"/>
      <w:lang w:val="en-US" w:eastAsia="zh-CN" w:bidi="ar-SA"/>
    </w:rPr>
  </w:style>
  <w:style w:type="character" w:customStyle="1" w:styleId="255">
    <w:name w:val="标题 4 Char1"/>
    <w:qFormat/>
    <w:uiPriority w:val="0"/>
    <w:rPr>
      <w:rFonts w:ascii="Cambria" w:hAnsi="Cambria" w:eastAsia="宋体" w:cs="Times New Roman"/>
      <w:b/>
      <w:bCs/>
      <w:kern w:val="2"/>
      <w:sz w:val="28"/>
      <w:szCs w:val="28"/>
    </w:rPr>
  </w:style>
  <w:style w:type="character" w:customStyle="1" w:styleId="256">
    <w:name w:val="zbggmain style9"/>
    <w:qFormat/>
    <w:uiPriority w:val="0"/>
  </w:style>
  <w:style w:type="character" w:customStyle="1" w:styleId="257">
    <w:name w:val="tw4winMark"/>
    <w:qFormat/>
    <w:uiPriority w:val="0"/>
    <w:rPr>
      <w:rFonts w:ascii="Courier New" w:hAnsi="Courier New" w:cs="Courier New"/>
      <w:vanish/>
      <w:color w:val="800080"/>
      <w:sz w:val="24"/>
      <w:szCs w:val="24"/>
      <w:vertAlign w:val="subscript"/>
    </w:rPr>
  </w:style>
  <w:style w:type="character" w:customStyle="1" w:styleId="258">
    <w:name w:val="tw4winPopup"/>
    <w:qFormat/>
    <w:uiPriority w:val="0"/>
    <w:rPr>
      <w:rFonts w:ascii="Courier New" w:hAnsi="Courier New" w:cs="Courier New"/>
      <w:color w:val="008000"/>
      <w:lang w:val="en-US" w:eastAsia="zh-CN"/>
    </w:rPr>
  </w:style>
  <w:style w:type="character" w:customStyle="1" w:styleId="259">
    <w:name w:val="样式 宋体"/>
    <w:qFormat/>
    <w:uiPriority w:val="0"/>
    <w:rPr>
      <w:rFonts w:ascii="宋体" w:hAnsi="宋体"/>
      <w:sz w:val="24"/>
    </w:rPr>
  </w:style>
  <w:style w:type="character" w:customStyle="1" w:styleId="260">
    <w:name w:val="标题 Char"/>
    <w:uiPriority w:val="0"/>
    <w:rPr>
      <w:rFonts w:eastAsia="宋体"/>
      <w:b/>
      <w:sz w:val="24"/>
      <w:lang w:val="en-GB" w:eastAsia="zh-CN" w:bidi="ar-SA"/>
    </w:rPr>
  </w:style>
  <w:style w:type="character" w:customStyle="1" w:styleId="261">
    <w:name w:val="正文 编号 Char"/>
    <w:qFormat/>
    <w:uiPriority w:val="0"/>
    <w:rPr>
      <w:rFonts w:ascii="仿宋_GB2312" w:hAnsi="仿宋_GB2312" w:eastAsia="仿宋_GB2312"/>
      <w:kern w:val="2"/>
      <w:sz w:val="24"/>
      <w:lang w:bidi="ar-SA"/>
    </w:rPr>
  </w:style>
  <w:style w:type="character" w:customStyle="1" w:styleId="262">
    <w:name w:val="批注文字 Char1"/>
    <w:qFormat/>
    <w:uiPriority w:val="99"/>
    <w:rPr>
      <w:kern w:val="2"/>
      <w:sz w:val="21"/>
      <w:szCs w:val="24"/>
    </w:rPr>
  </w:style>
  <w:style w:type="character" w:customStyle="1" w:styleId="263">
    <w:name w:val="公文正文 Char"/>
    <w:qFormat/>
    <w:uiPriority w:val="0"/>
    <w:rPr>
      <w:rFonts w:ascii="仿宋_GB2312" w:eastAsia="仿宋_GB2312"/>
      <w:kern w:val="2"/>
      <w:sz w:val="24"/>
      <w:szCs w:val="24"/>
      <w:lang w:val="en-US" w:eastAsia="zh-CN" w:bidi="ar-SA"/>
    </w:rPr>
  </w:style>
  <w:style w:type="character" w:customStyle="1" w:styleId="264">
    <w:name w:val="Footer Char"/>
    <w:qFormat/>
    <w:locked/>
    <w:uiPriority w:val="0"/>
    <w:rPr>
      <w:rFonts w:eastAsia="宋体"/>
      <w:kern w:val="2"/>
      <w:sz w:val="18"/>
      <w:lang w:val="en-US" w:eastAsia="zh-CN" w:bidi="ar-SA"/>
    </w:rPr>
  </w:style>
  <w:style w:type="character" w:customStyle="1" w:styleId="265">
    <w:name w:val="Char Char411"/>
    <w:qFormat/>
    <w:uiPriority w:val="0"/>
    <w:rPr>
      <w:rFonts w:eastAsia="宋体"/>
      <w:b/>
      <w:sz w:val="24"/>
      <w:lang w:val="en-GB" w:eastAsia="zh-CN" w:bidi="ar-SA"/>
    </w:rPr>
  </w:style>
  <w:style w:type="character" w:customStyle="1" w:styleId="266">
    <w:name w:val="Char Char911"/>
    <w:qFormat/>
    <w:uiPriority w:val="0"/>
    <w:rPr>
      <w:rFonts w:eastAsia="宋体"/>
      <w:kern w:val="2"/>
      <w:sz w:val="18"/>
      <w:szCs w:val="18"/>
      <w:lang w:val="en-US" w:eastAsia="zh-CN" w:bidi="ar-SA"/>
    </w:rPr>
  </w:style>
  <w:style w:type="character" w:customStyle="1" w:styleId="267">
    <w:name w:val="列出段落 Char"/>
    <w:qFormat/>
    <w:uiPriority w:val="99"/>
    <w:rPr>
      <w:rFonts w:eastAsia="楷体_GB2312" w:cs="Lucida Sans"/>
      <w:kern w:val="2"/>
      <w:sz w:val="24"/>
      <w:szCs w:val="24"/>
      <w:lang w:val="en-US" w:eastAsia="zh-CN" w:bidi="ar-SA"/>
    </w:rPr>
  </w:style>
  <w:style w:type="character" w:customStyle="1" w:styleId="268">
    <w:name w:val="gf正文1 Char"/>
    <w:qFormat/>
    <w:uiPriority w:val="0"/>
    <w:rPr>
      <w:rFonts w:ascii="宋体" w:hAnsi="宋体" w:eastAsia="宋体" w:cs="宋体"/>
      <w:kern w:val="2"/>
      <w:sz w:val="24"/>
      <w:szCs w:val="24"/>
      <w:lang w:val="en-US" w:eastAsia="zh-CN" w:bidi="ar-SA"/>
    </w:rPr>
  </w:style>
  <w:style w:type="character" w:customStyle="1" w:styleId="269">
    <w:name w:val="标书表格字体格式 Char"/>
    <w:qFormat/>
    <w:uiPriority w:val="0"/>
    <w:rPr>
      <w:kern w:val="2"/>
      <w:sz w:val="21"/>
      <w:szCs w:val="24"/>
      <w:lang w:bidi="ar-SA"/>
    </w:rPr>
  </w:style>
  <w:style w:type="character" w:customStyle="1" w:styleId="270">
    <w:name w:val="样式6 Char"/>
    <w:qFormat/>
    <w:uiPriority w:val="0"/>
    <w:rPr>
      <w:rFonts w:ascii="仿宋_GB2312" w:hAnsi="宋体" w:eastAsia="仿宋_GB2312"/>
      <w:b/>
      <w:bCs/>
      <w:kern w:val="2"/>
      <w:sz w:val="24"/>
      <w:szCs w:val="24"/>
      <w:lang w:val="en-US" w:eastAsia="zh-CN" w:bidi="ar-SA"/>
    </w:rPr>
  </w:style>
  <w:style w:type="character" w:customStyle="1" w:styleId="271">
    <w:name w:val="冯 Char"/>
    <w:link w:val="272"/>
    <w:qFormat/>
    <w:uiPriority w:val="0"/>
    <w:rPr>
      <w:rFonts w:ascii="宋体" w:hAnsi="宋体"/>
      <w:color w:val="000000"/>
      <w:sz w:val="24"/>
      <w:szCs w:val="24"/>
    </w:rPr>
  </w:style>
  <w:style w:type="paragraph" w:customStyle="1" w:styleId="272">
    <w:name w:val="冯"/>
    <w:basedOn w:val="1"/>
    <w:link w:val="271"/>
    <w:qFormat/>
    <w:uiPriority w:val="0"/>
    <w:pPr>
      <w:widowControl/>
      <w:adjustRightInd/>
      <w:spacing w:line="360" w:lineRule="auto"/>
      <w:ind w:firstLine="480" w:firstLineChars="200"/>
    </w:pPr>
    <w:rPr>
      <w:rFonts w:ascii="宋体" w:hAnsi="宋体" w:eastAsia="宋体" w:cs="Times New Roman"/>
      <w:color w:val="000000"/>
      <w:sz w:val="24"/>
    </w:rPr>
  </w:style>
  <w:style w:type="character" w:customStyle="1" w:styleId="273">
    <w:name w:val="Ò³Ã¼ Char Char1"/>
    <w:uiPriority w:val="0"/>
    <w:rPr>
      <w:rFonts w:eastAsia="宋体"/>
      <w:kern w:val="2"/>
      <w:sz w:val="18"/>
      <w:szCs w:val="18"/>
      <w:lang w:val="en-US" w:eastAsia="zh-CN" w:bidi="ar-SA"/>
    </w:rPr>
  </w:style>
  <w:style w:type="character" w:customStyle="1" w:styleId="274">
    <w:name w:val="md"/>
    <w:basedOn w:val="69"/>
    <w:qFormat/>
    <w:uiPriority w:val="0"/>
    <w:rPr>
      <w:rFonts w:ascii="Arial" w:hAnsi="Arial" w:eastAsia="黑体" w:cs="Arial"/>
      <w:snapToGrid w:val="0"/>
      <w:kern w:val="0"/>
      <w:szCs w:val="21"/>
    </w:rPr>
  </w:style>
  <w:style w:type="character" w:customStyle="1" w:styleId="275">
    <w:name w:val="样式5 Char"/>
    <w:qFormat/>
    <w:uiPriority w:val="0"/>
    <w:rPr>
      <w:rFonts w:ascii="仿宋_GB2312" w:hAnsi="仿宋" w:eastAsia="仿宋_GB2312"/>
      <w:kern w:val="2"/>
      <w:sz w:val="24"/>
      <w:szCs w:val="24"/>
    </w:rPr>
  </w:style>
  <w:style w:type="character" w:customStyle="1" w:styleId="276">
    <w:name w:val="表格 Char Char"/>
    <w:qFormat/>
    <w:uiPriority w:val="0"/>
    <w:rPr>
      <w:rFonts w:ascii="宋体" w:hAnsi="宋体" w:eastAsia="宋体"/>
      <w:lang w:bidi="ar-SA"/>
    </w:rPr>
  </w:style>
  <w:style w:type="character" w:customStyle="1" w:styleId="277">
    <w:name w:val="font12gray1"/>
    <w:qFormat/>
    <w:uiPriority w:val="0"/>
    <w:rPr>
      <w:rFonts w:ascii="仿宋_GB2312" w:eastAsia="微软雅黑"/>
      <w:b/>
      <w:spacing w:val="300"/>
      <w:kern w:val="2"/>
      <w:sz w:val="18"/>
      <w:szCs w:val="18"/>
      <w:lang w:val="en-US" w:eastAsia="zh-CN" w:bidi="ar-SA"/>
    </w:rPr>
  </w:style>
  <w:style w:type="character" w:customStyle="1" w:styleId="278">
    <w:name w:val="txt"/>
    <w:qFormat/>
    <w:uiPriority w:val="0"/>
    <w:rPr>
      <w:rFonts w:ascii="仿宋_GB2312" w:eastAsia="微软雅黑"/>
      <w:b/>
      <w:kern w:val="2"/>
      <w:sz w:val="32"/>
      <w:szCs w:val="32"/>
      <w:lang w:val="en-US" w:eastAsia="zh-CN" w:bidi="ar-SA"/>
    </w:rPr>
  </w:style>
  <w:style w:type="character" w:customStyle="1" w:styleId="279">
    <w:name w:val="tw4winJump"/>
    <w:qFormat/>
    <w:uiPriority w:val="0"/>
    <w:rPr>
      <w:rFonts w:ascii="Courier New" w:hAnsi="Courier New" w:cs="Courier New"/>
      <w:color w:val="008080"/>
      <w:lang w:val="en-US" w:eastAsia="zh-CN"/>
    </w:rPr>
  </w:style>
  <w:style w:type="character" w:customStyle="1" w:styleId="280">
    <w:name w:val="Item List Char"/>
    <w:link w:val="281"/>
    <w:qFormat/>
    <w:uiPriority w:val="0"/>
    <w:rPr>
      <w:rFonts w:ascii="Arial"/>
      <w:bCs/>
      <w:szCs w:val="21"/>
    </w:rPr>
  </w:style>
  <w:style w:type="paragraph" w:customStyle="1" w:styleId="281">
    <w:name w:val="Item List"/>
    <w:link w:val="280"/>
    <w:qFormat/>
    <w:uiPriority w:val="0"/>
    <w:pPr>
      <w:spacing w:after="156" w:line="360" w:lineRule="auto"/>
      <w:ind w:firstLine="424" w:firstLineChars="202"/>
      <w:jc w:val="both"/>
    </w:pPr>
    <w:rPr>
      <w:rFonts w:ascii="Arial" w:hAnsi="Calibri" w:eastAsia="宋体" w:cs="Times New Roman"/>
      <w:bCs/>
      <w:kern w:val="2"/>
      <w:sz w:val="21"/>
      <w:szCs w:val="21"/>
      <w:lang w:val="en-US" w:eastAsia="zh-CN" w:bidi="ar-SA"/>
    </w:rPr>
  </w:style>
  <w:style w:type="character" w:customStyle="1" w:styleId="282">
    <w:name w:val="Char Char1211"/>
    <w:qFormat/>
    <w:uiPriority w:val="0"/>
    <w:rPr>
      <w:rFonts w:ascii="仿宋_GB2312" w:eastAsia="仿宋_GB2312"/>
      <w:b/>
      <w:bCs/>
      <w:kern w:val="2"/>
      <w:sz w:val="24"/>
      <w:szCs w:val="24"/>
      <w:lang w:val="zh-CN" w:eastAsia="zh-CN" w:bidi="ar-SA"/>
    </w:rPr>
  </w:style>
  <w:style w:type="character" w:customStyle="1" w:styleId="283">
    <w:name w:val="签名 Char1"/>
    <w:basedOn w:val="69"/>
    <w:qFormat/>
    <w:uiPriority w:val="99"/>
    <w:rPr>
      <w:rFonts w:ascii="Times New Roman" w:hAnsi="Times New Roman" w:eastAsia="宋体" w:cs="Times New Roman"/>
      <w:szCs w:val="24"/>
    </w:rPr>
  </w:style>
  <w:style w:type="character" w:customStyle="1" w:styleId="284">
    <w:name w:val="HTML 预设格式 Char1"/>
    <w:basedOn w:val="69"/>
    <w:qFormat/>
    <w:uiPriority w:val="99"/>
    <w:rPr>
      <w:rFonts w:ascii="Courier New" w:hAnsi="Courier New" w:eastAsia="宋体" w:cs="Courier New"/>
      <w:sz w:val="20"/>
      <w:szCs w:val="20"/>
    </w:rPr>
  </w:style>
  <w:style w:type="character" w:customStyle="1" w:styleId="285">
    <w:name w:val="副标题 Char2"/>
    <w:basedOn w:val="69"/>
    <w:qFormat/>
    <w:uiPriority w:val="0"/>
    <w:rPr>
      <w:rFonts w:ascii="Cambria" w:hAnsi="Cambria" w:eastAsia="宋体" w:cs="Times New Roman"/>
      <w:b/>
      <w:bCs/>
      <w:kern w:val="28"/>
      <w:sz w:val="32"/>
      <w:szCs w:val="32"/>
    </w:rPr>
  </w:style>
  <w:style w:type="character" w:customStyle="1" w:styleId="286">
    <w:name w:val="纯文本 Char1"/>
    <w:basedOn w:val="69"/>
    <w:link w:val="287"/>
    <w:qFormat/>
    <w:uiPriority w:val="99"/>
    <w:rPr>
      <w:rFonts w:ascii="宋体" w:hAnsi="Courier New" w:eastAsia="宋体" w:cs="Courier New"/>
      <w:szCs w:val="21"/>
    </w:rPr>
  </w:style>
  <w:style w:type="paragraph" w:customStyle="1" w:styleId="287">
    <w:name w:val="纯文本1"/>
    <w:basedOn w:val="1"/>
    <w:link w:val="286"/>
    <w:qFormat/>
    <w:uiPriority w:val="0"/>
    <w:pPr>
      <w:adjustRightInd/>
    </w:pPr>
    <w:rPr>
      <w:rFonts w:ascii="宋体" w:hAnsi="Courier New" w:cs="Courier New"/>
      <w:szCs w:val="21"/>
    </w:rPr>
  </w:style>
  <w:style w:type="character" w:customStyle="1" w:styleId="288">
    <w:name w:val="HTML 地址 Char1"/>
    <w:basedOn w:val="69"/>
    <w:qFormat/>
    <w:uiPriority w:val="99"/>
    <w:rPr>
      <w:rFonts w:ascii="Times New Roman" w:hAnsi="Times New Roman" w:eastAsia="宋体" w:cs="Times New Roman"/>
      <w:i/>
      <w:iCs/>
      <w:szCs w:val="24"/>
    </w:rPr>
  </w:style>
  <w:style w:type="character" w:customStyle="1" w:styleId="289">
    <w:name w:val="正文文本缩进 3 Char1"/>
    <w:basedOn w:val="69"/>
    <w:semiHidden/>
    <w:qFormat/>
    <w:uiPriority w:val="99"/>
    <w:rPr>
      <w:rFonts w:ascii="Times New Roman" w:hAnsi="Times New Roman" w:eastAsia="宋体" w:cs="Times New Roman"/>
      <w:sz w:val="16"/>
      <w:szCs w:val="16"/>
    </w:rPr>
  </w:style>
  <w:style w:type="character" w:customStyle="1" w:styleId="290">
    <w:name w:val="正文文本 3 Char1"/>
    <w:basedOn w:val="69"/>
    <w:semiHidden/>
    <w:qFormat/>
    <w:uiPriority w:val="99"/>
    <w:rPr>
      <w:rFonts w:ascii="Times New Roman" w:hAnsi="Times New Roman" w:eastAsia="宋体" w:cs="Times New Roman"/>
      <w:sz w:val="16"/>
      <w:szCs w:val="16"/>
    </w:rPr>
  </w:style>
  <w:style w:type="character" w:customStyle="1" w:styleId="291">
    <w:name w:val="脚注文本 Char1"/>
    <w:basedOn w:val="69"/>
    <w:qFormat/>
    <w:uiPriority w:val="99"/>
    <w:rPr>
      <w:rFonts w:ascii="Times New Roman" w:hAnsi="Times New Roman" w:eastAsia="宋体" w:cs="Times New Roman"/>
      <w:sz w:val="18"/>
      <w:szCs w:val="18"/>
    </w:rPr>
  </w:style>
  <w:style w:type="character" w:customStyle="1" w:styleId="292">
    <w:name w:val="正文首行缩进 2 Char1"/>
    <w:basedOn w:val="94"/>
    <w:qFormat/>
    <w:uiPriority w:val="99"/>
    <w:rPr>
      <w:rFonts w:ascii="Times New Roman" w:hAnsi="Times New Roman" w:eastAsia="宋体" w:cs="Times New Roman"/>
      <w:szCs w:val="24"/>
    </w:rPr>
  </w:style>
  <w:style w:type="character" w:customStyle="1" w:styleId="293">
    <w:name w:val="日期 Char1"/>
    <w:basedOn w:val="69"/>
    <w:semiHidden/>
    <w:qFormat/>
    <w:uiPriority w:val="99"/>
    <w:rPr>
      <w:rFonts w:ascii="Times New Roman" w:hAnsi="Times New Roman" w:eastAsia="宋体" w:cs="Times New Roman"/>
      <w:szCs w:val="24"/>
    </w:rPr>
  </w:style>
  <w:style w:type="character" w:customStyle="1" w:styleId="294">
    <w:name w:val="称呼 Char1"/>
    <w:basedOn w:val="69"/>
    <w:qFormat/>
    <w:uiPriority w:val="99"/>
    <w:rPr>
      <w:rFonts w:ascii="Times New Roman" w:hAnsi="Times New Roman" w:eastAsia="宋体" w:cs="Times New Roman"/>
      <w:szCs w:val="24"/>
    </w:rPr>
  </w:style>
  <w:style w:type="character" w:customStyle="1" w:styleId="295">
    <w:name w:val="正文文本 Char2"/>
    <w:basedOn w:val="69"/>
    <w:semiHidden/>
    <w:qFormat/>
    <w:uiPriority w:val="99"/>
    <w:rPr>
      <w:rFonts w:ascii="Times New Roman" w:hAnsi="Times New Roman" w:eastAsia="宋体" w:cs="Times New Roman"/>
      <w:szCs w:val="24"/>
    </w:rPr>
  </w:style>
  <w:style w:type="character" w:customStyle="1" w:styleId="296">
    <w:name w:val="正文首行缩进 Char1"/>
    <w:basedOn w:val="295"/>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6"/>
    <w:qFormat/>
    <w:uiPriority w:val="0"/>
    <w:pPr>
      <w:spacing w:after="120" w:line="480" w:lineRule="auto"/>
      <w:ind w:left="420" w:leftChars="200"/>
    </w:pPr>
    <w:rPr>
      <w:sz w:val="24"/>
      <w:szCs w:val="20"/>
    </w:rPr>
  </w:style>
  <w:style w:type="paragraph" w:customStyle="1" w:styleId="302">
    <w:name w:val="Char Char1"/>
    <w:basedOn w:val="1"/>
    <w:qFormat/>
    <w:uiPriority w:val="0"/>
    <w:pPr>
      <w:widowControl/>
      <w:spacing w:after="160" w:line="240" w:lineRule="exact"/>
      <w:jc w:val="left"/>
    </w:pPr>
    <w:rPr>
      <w:rFonts w:eastAsia="仿宋_GB2312"/>
      <w:sz w:val="28"/>
    </w:rPr>
  </w:style>
  <w:style w:type="paragraph" w:customStyle="1" w:styleId="30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0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8"/>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rPr>
      <w:rFonts w:ascii="仿宋_GB2312" w:eastAsia="仿宋_GB2312"/>
      <w:b/>
      <w:sz w:val="32"/>
      <w:szCs w:val="20"/>
    </w:rPr>
  </w:style>
  <w:style w:type="paragraph" w:customStyle="1" w:styleId="3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30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szCs w:val="20"/>
      <w:lang w:val="en-US" w:eastAsia="zh-CN" w:bidi="ar-SA"/>
    </w:rPr>
  </w:style>
  <w:style w:type="paragraph" w:customStyle="1" w:styleId="313">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1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rPr>
      <w:rFonts w:eastAsia="仿宋_GB2312"/>
      <w:sz w:val="28"/>
      <w:szCs w:val="20"/>
    </w:rPr>
  </w:style>
  <w:style w:type="paragraph" w:customStyle="1" w:styleId="3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17">
    <w:name w:val="模板普通正文"/>
    <w:basedOn w:val="24"/>
    <w:qFormat/>
    <w:uiPriority w:val="0"/>
    <w:pPr>
      <w:adjustRightInd/>
      <w:spacing w:before="156" w:beforeLines="50" w:after="10" w:line="360" w:lineRule="auto"/>
      <w:ind w:left="0" w:leftChars="0" w:firstLine="175" w:firstLineChars="175"/>
      <w:jc w:val="left"/>
    </w:pPr>
    <w:rPr>
      <w:sz w:val="24"/>
      <w:lang w:val="zh-CN" w:eastAsia="zh-CN"/>
    </w:rPr>
  </w:style>
  <w:style w:type="paragraph" w:customStyle="1" w:styleId="318">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320">
    <w:name w:val="Char3"/>
    <w:basedOn w:val="1"/>
    <w:qFormat/>
    <w:uiPriority w:val="0"/>
    <w:pPr>
      <w:adjustRightInd/>
    </w:pPr>
    <w:rPr>
      <w:rFonts w:ascii="仿宋_GB2312" w:eastAsia="仿宋_GB2312"/>
      <w:b/>
      <w:sz w:val="32"/>
      <w:szCs w:val="32"/>
    </w:rPr>
  </w:style>
  <w:style w:type="paragraph" w:customStyle="1" w:styleId="321">
    <w:name w:val="默认段落字体 Para Char"/>
    <w:basedOn w:val="1"/>
    <w:qFormat/>
    <w:uiPriority w:val="0"/>
    <w:rPr>
      <w:rFonts w:ascii="Tahoma" w:hAnsi="Tahoma"/>
      <w:sz w:val="24"/>
      <w:szCs w:val="20"/>
    </w:rPr>
  </w:style>
  <w:style w:type="paragraph" w:customStyle="1" w:styleId="32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3">
    <w:name w:val="Char Char Char Char Char Char Char Char Char Char Char Char1 Char"/>
    <w:basedOn w:val="1"/>
    <w:qFormat/>
    <w:uiPriority w:val="0"/>
    <w:rPr>
      <w:rFonts w:ascii="Tahoma" w:hAnsi="Tahoma"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2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2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spacing w:line="360" w:lineRule="auto"/>
    </w:pPr>
    <w:rPr>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3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1">
    <w:name w:val="左对齐表格文字"/>
    <w:basedOn w:val="1"/>
    <w:qFormat/>
    <w:uiPriority w:val="0"/>
    <w:pPr>
      <w:adjustRightInd/>
      <w:ind w:firstLine="200" w:firstLineChars="200"/>
      <w:jc w:val="right"/>
    </w:pPr>
  </w:style>
  <w:style w:type="paragraph" w:customStyle="1" w:styleId="332">
    <w:name w:val="Char311"/>
    <w:basedOn w:val="1"/>
    <w:qFormat/>
    <w:uiPriority w:val="0"/>
    <w:pPr>
      <w:adjustRightInd/>
      <w:ind w:firstLine="200" w:firstLineChars="200"/>
    </w:pPr>
    <w:rPr>
      <w:rFonts w:ascii="Tahoma" w:hAnsi="Tahoma"/>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3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38">
    <w:name w:val="MM Topic 3"/>
    <w:basedOn w:val="4"/>
    <w:qFormat/>
    <w:uiPriority w:val="0"/>
    <w:pPr>
      <w:numPr>
        <w:numId w:val="5"/>
      </w:numPr>
      <w:tabs>
        <w:tab w:val="left" w:pos="1680"/>
      </w:tabs>
      <w:adjustRightInd/>
    </w:pPr>
  </w:style>
  <w:style w:type="paragraph" w:customStyle="1" w:styleId="339">
    <w:name w:val="Normal0"/>
    <w:qFormat/>
    <w:uiPriority w:val="0"/>
    <w:rPr>
      <w:rFonts w:ascii="Times New Roman" w:hAnsi="Times New Roman" w:eastAsia="宋体" w:cs="Times New Roman"/>
      <w:kern w:val="0"/>
      <w:sz w:val="20"/>
      <w:szCs w:val="20"/>
      <w:lang w:val="en-US" w:eastAsia="en-US" w:bidi="ar-SA"/>
    </w:rPr>
  </w:style>
  <w:style w:type="paragraph" w:customStyle="1" w:styleId="340">
    <w:name w:val="Char Char Char Char Char Char Char"/>
    <w:basedOn w:val="1"/>
    <w:qFormat/>
    <w:uiPriority w:val="0"/>
    <w:rPr>
      <w:rFonts w:ascii="仿宋_GB2312" w:eastAsia="仿宋_GB2312"/>
      <w:b/>
      <w:sz w:val="32"/>
      <w:szCs w:val="32"/>
    </w:rPr>
  </w:style>
  <w:style w:type="paragraph" w:customStyle="1" w:styleId="34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7">
    <w:name w:val="Char2"/>
    <w:basedOn w:val="1"/>
    <w:qFormat/>
    <w:uiPriority w:val="0"/>
    <w:rPr>
      <w:rFonts w:ascii="仿宋_GB2312" w:eastAsia="仿宋_GB2312"/>
      <w:b/>
      <w:sz w:val="32"/>
      <w:szCs w:val="32"/>
    </w:rPr>
  </w:style>
  <w:style w:type="paragraph" w:customStyle="1" w:styleId="34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4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50">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54">
    <w:name w:val="Char Char Char"/>
    <w:basedOn w:val="1"/>
    <w:qFormat/>
    <w:uiPriority w:val="0"/>
    <w:rPr>
      <w:rFonts w:ascii="Tahoma" w:hAnsi="Tahoma"/>
      <w:sz w:val="24"/>
      <w:szCs w:val="20"/>
    </w:rPr>
  </w:style>
  <w:style w:type="paragraph" w:customStyle="1" w:styleId="355">
    <w:name w:val="MM Topic 4"/>
    <w:basedOn w:val="5"/>
    <w:qFormat/>
    <w:uiPriority w:val="0"/>
    <w:pPr>
      <w:numPr>
        <w:numId w:val="5"/>
      </w:numPr>
      <w:tabs>
        <w:tab w:val="left" w:pos="2100"/>
      </w:tabs>
      <w:adjustRightInd/>
    </w:pPr>
    <w:rPr>
      <w:lang w:val="en-US"/>
    </w:rPr>
  </w:style>
  <w:style w:type="paragraph" w:customStyle="1" w:styleId="356">
    <w:name w:val="标准小四"/>
    <w:basedOn w:val="1"/>
    <w:qFormat/>
    <w:uiPriority w:val="0"/>
    <w:pPr>
      <w:spacing w:line="360" w:lineRule="auto"/>
      <w:ind w:firstLine="480" w:firstLineChars="200"/>
    </w:pPr>
    <w:rPr>
      <w:rFonts w:ascii="Arial" w:hAnsi="Arial"/>
      <w:sz w:val="24"/>
      <w:szCs w:val="21"/>
    </w:rPr>
  </w:style>
  <w:style w:type="paragraph" w:customStyle="1" w:styleId="357">
    <w:name w:val="MM Topic 2"/>
    <w:basedOn w:val="3"/>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uiPriority w:val="0"/>
    <w:pPr>
      <w:adjustRightInd/>
      <w:spacing w:line="360" w:lineRule="auto"/>
    </w:pPr>
    <w:rPr>
      <w:rFonts w:ascii="宋体" w:hAnsi="宋体" w:cs="宋体"/>
      <w:color w:val="000000"/>
      <w:szCs w:val="20"/>
    </w:rPr>
  </w:style>
  <w:style w:type="paragraph" w:customStyle="1" w:styleId="36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2">
    <w:name w:val="Char Char11 Char Char Char Char Char Char Char Char Char11"/>
    <w:basedOn w:val="1"/>
    <w:qFormat/>
    <w:uiPriority w:val="0"/>
    <w:pPr>
      <w:spacing w:line="360" w:lineRule="auto"/>
    </w:pPr>
    <w:rPr>
      <w:szCs w:val="20"/>
    </w:rPr>
  </w:style>
  <w:style w:type="paragraph" w:customStyle="1" w:styleId="363">
    <w:name w:val="Char Char Char Char Char Char Char Char Char Char Char1 Char"/>
    <w:basedOn w:val="1"/>
    <w:qFormat/>
    <w:uiPriority w:val="0"/>
    <w:pPr>
      <w:adjustRightInd/>
    </w:pPr>
    <w:rPr>
      <w:rFonts w:ascii="Tahoma" w:hAnsi="Tahoma"/>
      <w:sz w:val="24"/>
    </w:rPr>
  </w:style>
  <w:style w:type="paragraph" w:customStyle="1" w:styleId="3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7">
    <w:name w:val="Char"/>
    <w:basedOn w:val="1"/>
    <w:qFormat/>
    <w:uiPriority w:val="0"/>
    <w:rPr>
      <w:rFonts w:ascii="仿宋_GB2312" w:eastAsia="仿宋_GB2312"/>
      <w:b/>
      <w:sz w:val="32"/>
      <w:szCs w:val="32"/>
    </w:rPr>
  </w:style>
  <w:style w:type="paragraph" w:customStyle="1" w:styleId="368">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4"/>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eastAsia="zh-CN"/>
    </w:rPr>
  </w:style>
  <w:style w:type="paragraph" w:customStyle="1" w:styleId="370">
    <w:name w:val="TOC 标题1"/>
    <w:basedOn w:val="2"/>
    <w:next w:val="1"/>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adjustRightInd/>
      <w:spacing w:after="160" w:line="240" w:lineRule="exact"/>
      <w:jc w:val="left"/>
    </w:pPr>
    <w:rPr>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4">
    <w:name w:val="正文1"/>
    <w:basedOn w:val="31"/>
    <w:link w:val="375"/>
    <w:qFormat/>
    <w:uiPriority w:val="0"/>
    <w:pPr>
      <w:ind w:left="0" w:leftChars="0" w:firstLine="480" w:firstLineChars="200"/>
    </w:pPr>
    <w:rPr>
      <w:rFonts w:ascii="仿宋_GB2312" w:hAnsi="Courier New" w:eastAsia="仿宋_GB2312"/>
      <w:kern w:val="28"/>
      <w:sz w:val="24"/>
    </w:rPr>
  </w:style>
  <w:style w:type="character" w:customStyle="1" w:styleId="375">
    <w:name w:val="正文1 Char Char"/>
    <w:link w:val="374"/>
    <w:qFormat/>
    <w:locked/>
    <w:uiPriority w:val="0"/>
    <w:rPr>
      <w:rFonts w:ascii="仿宋_GB2312" w:hAnsi="Courier New" w:eastAsia="仿宋_GB2312" w:cs="Times New Roman"/>
      <w:kern w:val="28"/>
      <w:sz w:val="24"/>
      <w:szCs w:val="24"/>
    </w:rPr>
  </w:style>
  <w:style w:type="paragraph" w:customStyle="1" w:styleId="3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7">
    <w:name w:val="段"/>
    <w:link w:val="378"/>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78">
    <w:name w:val="段 Char"/>
    <w:link w:val="377"/>
    <w:qFormat/>
    <w:locked/>
    <w:uiPriority w:val="0"/>
    <w:rPr>
      <w:rFonts w:ascii="宋体" w:hAnsi="Times New Roman" w:eastAsia="宋体" w:cs="Times New Roman"/>
      <w:kern w:val="0"/>
      <w:szCs w:val="20"/>
    </w:rPr>
  </w:style>
  <w:style w:type="paragraph" w:customStyle="1" w:styleId="379">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380">
    <w:name w:val="样式 正文文本缩进 + 左侧:  2 字符 首行缩进:  2 字符"/>
    <w:basedOn w:val="24"/>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eastAsia="zh-CN"/>
    </w:rPr>
  </w:style>
  <w:style w:type="paragraph" w:customStyle="1" w:styleId="38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8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3">
    <w:name w:val="Char Char1 Char Char1 Char Char1"/>
    <w:basedOn w:val="1"/>
    <w:qFormat/>
    <w:uiPriority w:val="0"/>
    <w:pPr>
      <w:tabs>
        <w:tab w:val="left" w:pos="840"/>
      </w:tabs>
      <w:ind w:left="840" w:hanging="420"/>
    </w:pPr>
    <w:rPr>
      <w:rFonts w:ascii="Tahoma" w:hAnsi="Tahoma"/>
      <w:sz w:val="24"/>
    </w:rPr>
  </w:style>
  <w:style w:type="paragraph" w:customStyle="1" w:styleId="38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85">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386">
    <w:name w:val="默认段落字体 Para Char Char Char Char"/>
    <w:basedOn w:val="1"/>
    <w:qFormat/>
    <w:uiPriority w:val="0"/>
    <w:pPr>
      <w:spacing w:line="360" w:lineRule="auto"/>
    </w:pPr>
    <w:rPr>
      <w:szCs w:val="20"/>
    </w:rPr>
  </w:style>
  <w:style w:type="paragraph" w:customStyle="1" w:styleId="387">
    <w:name w:val="公文正文"/>
    <w:basedOn w:val="1"/>
    <w:link w:val="388"/>
    <w:qFormat/>
    <w:uiPriority w:val="0"/>
    <w:pPr>
      <w:adjustRightInd/>
      <w:spacing w:before="156" w:line="360" w:lineRule="auto"/>
      <w:ind w:firstLine="360" w:firstLineChars="200"/>
    </w:pPr>
    <w:rPr>
      <w:rFonts w:ascii="仿宋_GB2312" w:eastAsia="仿宋_GB2312"/>
      <w:sz w:val="24"/>
      <w:lang w:val="zh-CN" w:eastAsia="zh-CN"/>
    </w:rPr>
  </w:style>
  <w:style w:type="character" w:customStyle="1" w:styleId="388">
    <w:name w:val="公文正文 Char Char"/>
    <w:link w:val="387"/>
    <w:qFormat/>
    <w:uiPriority w:val="0"/>
    <w:rPr>
      <w:rFonts w:ascii="仿宋_GB2312" w:hAnsi="Times New Roman" w:eastAsia="仿宋_GB2312" w:cs="Times New Roman"/>
      <w:sz w:val="24"/>
      <w:szCs w:val="24"/>
      <w:lang w:val="zh-CN" w:eastAsia="zh-CN"/>
    </w:rPr>
  </w:style>
  <w:style w:type="paragraph" w:customStyle="1" w:styleId="389">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39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2">
    <w:name w:val="正文21"/>
    <w:basedOn w:val="1"/>
    <w:qFormat/>
    <w:uiPriority w:val="0"/>
    <w:pPr>
      <w:adjustRightInd/>
      <w:spacing w:before="156" w:line="360" w:lineRule="auto"/>
      <w:ind w:firstLine="510" w:firstLineChars="200"/>
    </w:pPr>
    <w:rPr>
      <w:sz w:val="24"/>
      <w:szCs w:val="20"/>
    </w:rPr>
  </w:style>
  <w:style w:type="paragraph" w:customStyle="1" w:styleId="393">
    <w:name w:val="列出段落2"/>
    <w:basedOn w:val="1"/>
    <w:qFormat/>
    <w:uiPriority w:val="0"/>
    <w:pPr>
      <w:adjustRightInd/>
      <w:ind w:firstLine="420" w:firstLineChars="200"/>
    </w:pPr>
    <w:rPr>
      <w:rFonts w:ascii="宋体" w:hAnsi="宋体"/>
      <w:sz w:val="24"/>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8">
    <w:name w:val="Char Char1 Char Char Char Char Char Char11"/>
    <w:basedOn w:val="1"/>
    <w:qFormat/>
    <w:uiPriority w:val="0"/>
    <w:rPr>
      <w:rFonts w:ascii="仿宋_GB2312" w:eastAsia="仿宋_GB2312"/>
      <w:b/>
      <w:sz w:val="32"/>
      <w:szCs w:val="20"/>
    </w:rPr>
  </w:style>
  <w:style w:type="paragraph" w:customStyle="1" w:styleId="3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0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0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02">
    <w:name w:val="正文（首行缩进2字符）"/>
    <w:basedOn w:val="1"/>
    <w:qFormat/>
    <w:uiPriority w:val="0"/>
    <w:pPr>
      <w:adjustRightInd/>
      <w:spacing w:line="360" w:lineRule="auto"/>
      <w:ind w:firstLine="480" w:firstLineChars="200"/>
    </w:pPr>
    <w:rPr>
      <w:sz w:val="24"/>
      <w:szCs w:val="20"/>
    </w:rPr>
  </w:style>
  <w:style w:type="paragraph" w:customStyle="1" w:styleId="403">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404">
    <w:name w:val="表文字"/>
    <w:qFormat/>
    <w:uiPriority w:val="0"/>
    <w:rPr>
      <w:rFonts w:ascii="宋体" w:hAnsi="Times New Roman" w:eastAsia="宋体" w:cs="Times New Roman"/>
      <w:kern w:val="2"/>
      <w:sz w:val="20"/>
      <w:szCs w:val="20"/>
      <w:lang w:val="en-US" w:eastAsia="zh-CN" w:bidi="ar-SA"/>
    </w:rPr>
  </w:style>
  <w:style w:type="paragraph" w:customStyle="1" w:styleId="40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数字标题5"/>
    <w:basedOn w:val="6"/>
    <w:next w:val="1"/>
    <w:qFormat/>
    <w:uiPriority w:val="0"/>
    <w:pPr>
      <w:numPr>
        <w:numId w:val="6"/>
      </w:numPr>
      <w:tabs>
        <w:tab w:val="left" w:pos="1080"/>
      </w:tabs>
    </w:pPr>
  </w:style>
  <w:style w:type="paragraph" w:customStyle="1" w:styleId="410">
    <w:name w:val="Char1111"/>
    <w:basedOn w:val="1"/>
    <w:qFormat/>
    <w:uiPriority w:val="0"/>
    <w:rPr>
      <w:rFonts w:ascii="仿宋_GB2312" w:eastAsia="仿宋_GB2312"/>
      <w:b/>
      <w:sz w:val="32"/>
      <w:szCs w:val="32"/>
    </w:rPr>
  </w:style>
  <w:style w:type="paragraph" w:customStyle="1" w:styleId="41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1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1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414">
    <w:name w:val="Char Char11 Char Char Char"/>
    <w:basedOn w:val="1"/>
    <w:qFormat/>
    <w:uiPriority w:val="0"/>
    <w:pPr>
      <w:spacing w:line="360" w:lineRule="auto"/>
    </w:pPr>
    <w:rPr>
      <w:szCs w:val="20"/>
    </w:rPr>
  </w:style>
  <w:style w:type="paragraph" w:customStyle="1" w:styleId="41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16">
    <w:name w:val="Char Char1111"/>
    <w:basedOn w:val="1"/>
    <w:qFormat/>
    <w:uiPriority w:val="0"/>
    <w:pPr>
      <w:spacing w:line="360" w:lineRule="auto"/>
    </w:pPr>
    <w:rPr>
      <w:szCs w:val="20"/>
    </w:rPr>
  </w:style>
  <w:style w:type="paragraph" w:customStyle="1" w:styleId="417">
    <w:name w:val="文档正文"/>
    <w:basedOn w:val="1"/>
    <w:qFormat/>
    <w:uiPriority w:val="0"/>
    <w:pPr>
      <w:spacing w:line="480" w:lineRule="atLeast"/>
      <w:ind w:firstLine="567"/>
      <w:textAlignment w:val="baseline"/>
    </w:pPr>
    <w:rPr>
      <w:kern w:val="0"/>
      <w:sz w:val="24"/>
      <w:szCs w:val="20"/>
    </w:rPr>
  </w:style>
  <w:style w:type="paragraph" w:customStyle="1" w:styleId="41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1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20">
    <w:name w:val="Char1 Char Char Char3"/>
    <w:basedOn w:val="1"/>
    <w:qFormat/>
    <w:uiPriority w:val="0"/>
    <w:pPr>
      <w:adjustRightInd/>
      <w:ind w:firstLine="200" w:firstLineChars="200"/>
    </w:pPr>
    <w:rPr>
      <w:rFonts w:ascii="Tahoma" w:hAnsi="Tahoma"/>
      <w:sz w:val="24"/>
      <w:szCs w:val="20"/>
    </w:rPr>
  </w:style>
  <w:style w:type="paragraph" w:customStyle="1" w:styleId="42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23">
    <w:name w:val="Char2 Char Char Char"/>
    <w:basedOn w:val="1"/>
    <w:qFormat/>
    <w:uiPriority w:val="0"/>
    <w:rPr>
      <w:rFonts w:ascii="仿宋_GB2312" w:eastAsia="仿宋_GB2312"/>
      <w:b/>
      <w:sz w:val="32"/>
      <w:szCs w:val="32"/>
    </w:rPr>
  </w:style>
  <w:style w:type="paragraph" w:customStyle="1" w:styleId="42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25">
    <w:name w:val="MM Topic 5"/>
    <w:basedOn w:val="6"/>
    <w:qFormat/>
    <w:uiPriority w:val="0"/>
    <w:pPr>
      <w:numPr>
        <w:numId w:val="5"/>
      </w:numPr>
      <w:tabs>
        <w:tab w:val="left" w:pos="2520"/>
      </w:tabs>
      <w:adjustRightInd/>
    </w:pPr>
  </w:style>
  <w:style w:type="paragraph" w:customStyle="1" w:styleId="4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29">
    <w:name w:val="Char1 Char Char Char2"/>
    <w:basedOn w:val="1"/>
    <w:qFormat/>
    <w:uiPriority w:val="0"/>
    <w:pPr>
      <w:adjustRightInd/>
      <w:ind w:firstLine="200" w:firstLineChars="200"/>
    </w:pPr>
    <w:rPr>
      <w:rFonts w:ascii="Tahoma" w:hAnsi="Tahoma"/>
      <w:sz w:val="24"/>
      <w:szCs w:val="20"/>
    </w:rPr>
  </w:style>
  <w:style w:type="paragraph" w:customStyle="1" w:styleId="43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31">
    <w:name w:val="Char1 Char Char Char"/>
    <w:basedOn w:val="1"/>
    <w:qFormat/>
    <w:uiPriority w:val="0"/>
    <w:rPr>
      <w:rFonts w:ascii="Tahoma" w:hAnsi="Tahoma"/>
      <w:sz w:val="24"/>
      <w:szCs w:val="20"/>
    </w:rPr>
  </w:style>
  <w:style w:type="paragraph" w:customStyle="1" w:styleId="43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34">
    <w:name w:val="Char Char Char Char Char Char Char11"/>
    <w:basedOn w:val="1"/>
    <w:qFormat/>
    <w:uiPriority w:val="0"/>
    <w:rPr>
      <w:rFonts w:ascii="仿宋_GB2312" w:eastAsia="仿宋_GB2312"/>
      <w:b/>
      <w:sz w:val="32"/>
      <w:szCs w:val="32"/>
    </w:rPr>
  </w:style>
  <w:style w:type="paragraph" w:customStyle="1" w:styleId="435">
    <w:name w:val="Char2 Char Char Char11"/>
    <w:basedOn w:val="1"/>
    <w:qFormat/>
    <w:uiPriority w:val="0"/>
    <w:rPr>
      <w:rFonts w:ascii="仿宋_GB2312" w:eastAsia="仿宋_GB2312"/>
      <w:b/>
      <w:sz w:val="32"/>
      <w:szCs w:val="32"/>
    </w:rPr>
  </w:style>
  <w:style w:type="paragraph" w:customStyle="1" w:styleId="43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37">
    <w:name w:val="0"/>
    <w:basedOn w:val="1"/>
    <w:qFormat/>
    <w:uiPriority w:val="0"/>
    <w:pPr>
      <w:widowControl/>
    </w:pPr>
    <w:rPr>
      <w:kern w:val="0"/>
      <w:sz w:val="24"/>
      <w:szCs w:val="20"/>
    </w:rPr>
  </w:style>
  <w:style w:type="paragraph" w:customStyle="1" w:styleId="43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1">
    <w:name w:val="默认段落字体 Para Char Char Char1 Char"/>
    <w:basedOn w:val="1"/>
    <w:qFormat/>
    <w:uiPriority w:val="0"/>
    <w:pPr>
      <w:spacing w:line="240" w:lineRule="atLeast"/>
      <w:ind w:left="420" w:firstLine="420"/>
    </w:pPr>
    <w:rPr>
      <w:sz w:val="24"/>
    </w:rPr>
  </w:style>
  <w:style w:type="paragraph" w:customStyle="1" w:styleId="442">
    <w:name w:val="样式 正文文本缩进 + 段前: 2 字符"/>
    <w:basedOn w:val="1"/>
    <w:qFormat/>
    <w:uiPriority w:val="0"/>
    <w:pPr>
      <w:adjustRightInd/>
      <w:ind w:left="420" w:leftChars="200"/>
      <w:jc w:val="left"/>
    </w:pPr>
    <w:rPr>
      <w:sz w:val="28"/>
      <w:szCs w:val="20"/>
      <w:lang w:eastAsia="zh-TW"/>
    </w:rPr>
  </w:style>
  <w:style w:type="paragraph" w:customStyle="1" w:styleId="443">
    <w:name w:val="标书标题2"/>
    <w:basedOn w:val="3"/>
    <w:qFormat/>
    <w:uiPriority w:val="0"/>
    <w:pPr>
      <w:keepLines w:val="0"/>
      <w:widowControl/>
      <w:numPr>
        <w:ilvl w:val="0"/>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4">
    <w:name w:val="表格"/>
    <w:basedOn w:val="1"/>
    <w:qFormat/>
    <w:uiPriority w:val="0"/>
    <w:pPr>
      <w:snapToGrid w:val="0"/>
      <w:ind w:firstLine="42" w:firstLineChars="21"/>
    </w:pPr>
    <w:rPr>
      <w:rFonts w:ascii="宋体" w:hAnsi="宋体"/>
      <w:kern w:val="0"/>
      <w:sz w:val="20"/>
      <w:szCs w:val="20"/>
    </w:rPr>
  </w:style>
  <w:style w:type="paragraph" w:customStyle="1" w:styleId="4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46">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7">
    <w:name w:val="数字标题6"/>
    <w:basedOn w:val="7"/>
    <w:next w:val="1"/>
    <w:qFormat/>
    <w:uiPriority w:val="0"/>
    <w:pPr>
      <w:numPr>
        <w:numId w:val="6"/>
      </w:numPr>
      <w:tabs>
        <w:tab w:val="left" w:pos="1080"/>
      </w:tabs>
    </w:pPr>
    <w:rPr>
      <w:rFonts w:ascii="Times New Roman" w:hAnsi="Times New Roman" w:eastAsia="宋体"/>
      <w:i/>
    </w:rPr>
  </w:style>
  <w:style w:type="paragraph" w:customStyle="1" w:styleId="44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49">
    <w:name w:val="P1"/>
    <w:basedOn w:val="1"/>
    <w:qFormat/>
    <w:uiPriority w:val="0"/>
    <w:pPr>
      <w:adjustRightInd/>
      <w:spacing w:line="288" w:lineRule="auto"/>
      <w:ind w:firstLine="425" w:firstLineChars="200"/>
    </w:pPr>
  </w:style>
  <w:style w:type="paragraph" w:customStyle="1" w:styleId="4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正文文字 2"/>
    <w:basedOn w:val="453"/>
    <w:next w:val="453"/>
    <w:qFormat/>
    <w:uiPriority w:val="0"/>
    <w:rPr>
      <w:rFonts w:ascii="宋体" w:eastAsia="宋体"/>
      <w:color w:val="auto"/>
    </w:rPr>
  </w:style>
  <w:style w:type="paragraph" w:customStyle="1" w:styleId="453">
    <w:name w:val="Default"/>
    <w:link w:val="454"/>
    <w:qFormat/>
    <w:uiPriority w:val="0"/>
    <w:pPr>
      <w:widowControl w:val="0"/>
      <w:autoSpaceDE w:val="0"/>
      <w:autoSpaceDN w:val="0"/>
      <w:adjustRightInd w:val="0"/>
    </w:pPr>
    <w:rPr>
      <w:rFonts w:ascii="仿宋_GB2312" w:hAnsi="Times New Roman" w:eastAsia="仿宋_GB2312" w:cs="Times New Roman"/>
      <w:color w:val="000000"/>
      <w:kern w:val="0"/>
      <w:sz w:val="24"/>
      <w:szCs w:val="24"/>
      <w:lang w:val="en-US" w:eastAsia="zh-CN" w:bidi="ar-SA"/>
    </w:rPr>
  </w:style>
  <w:style w:type="character" w:customStyle="1" w:styleId="454">
    <w:name w:val="Default Char"/>
    <w:link w:val="453"/>
    <w:qFormat/>
    <w:uiPriority w:val="0"/>
    <w:rPr>
      <w:rFonts w:ascii="仿宋_GB2312" w:hAnsi="Times New Roman" w:eastAsia="仿宋_GB2312" w:cs="Times New Roman"/>
      <w:color w:val="000000"/>
      <w:kern w:val="0"/>
      <w:sz w:val="24"/>
      <w:szCs w:val="24"/>
    </w:rPr>
  </w:style>
  <w:style w:type="paragraph" w:customStyle="1" w:styleId="4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56">
    <w:name w:val="Char Char4 Char Char"/>
    <w:basedOn w:val="1"/>
    <w:qFormat/>
    <w:uiPriority w:val="0"/>
    <w:pPr>
      <w:widowControl/>
      <w:adjustRightInd/>
      <w:spacing w:after="160" w:line="240" w:lineRule="exact"/>
      <w:jc w:val="left"/>
    </w:pPr>
  </w:style>
  <w:style w:type="paragraph" w:customStyle="1" w:styleId="457">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8">
    <w:name w:val="_Style 12"/>
    <w:basedOn w:val="18"/>
    <w:qFormat/>
    <w:uiPriority w:val="0"/>
    <w:pPr>
      <w:snapToGrid w:val="0"/>
      <w:spacing w:line="360" w:lineRule="auto"/>
    </w:pPr>
  </w:style>
  <w:style w:type="paragraph" w:customStyle="1" w:styleId="45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60">
    <w:name w:val="Char Char1 Char11"/>
    <w:basedOn w:val="1"/>
    <w:qFormat/>
    <w:uiPriority w:val="0"/>
    <w:rPr>
      <w:rFonts w:ascii="仿宋_GB2312" w:eastAsia="仿宋_GB2312"/>
      <w:b/>
      <w:sz w:val="32"/>
      <w:szCs w:val="32"/>
    </w:rPr>
  </w:style>
  <w:style w:type="paragraph" w:customStyle="1" w:styleId="461">
    <w:name w:val="Char2 Char Char"/>
    <w:basedOn w:val="1"/>
    <w:qFormat/>
    <w:uiPriority w:val="0"/>
    <w:pPr>
      <w:adjustRightInd/>
    </w:pPr>
    <w:rPr>
      <w:rFonts w:ascii="Tahoma" w:hAnsi="Tahoma"/>
      <w:sz w:val="24"/>
      <w:szCs w:val="20"/>
    </w:rPr>
  </w:style>
  <w:style w:type="paragraph" w:customStyle="1" w:styleId="462">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MM Empty"/>
    <w:basedOn w:val="1"/>
    <w:qFormat/>
    <w:uiPriority w:val="0"/>
    <w:pPr>
      <w:adjustRightInd/>
    </w:pPr>
  </w:style>
  <w:style w:type="paragraph" w:customStyle="1" w:styleId="464">
    <w:name w:val="正文表标题"/>
    <w:next w:val="377"/>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46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2 Char Char11"/>
    <w:basedOn w:val="1"/>
    <w:qFormat/>
    <w:uiPriority w:val="0"/>
    <w:pPr>
      <w:adjustRightInd/>
    </w:pPr>
    <w:rPr>
      <w:rFonts w:ascii="Tahoma" w:hAnsi="Tahoma"/>
      <w:sz w:val="24"/>
      <w:szCs w:val="20"/>
    </w:rPr>
  </w:style>
  <w:style w:type="paragraph" w:customStyle="1" w:styleId="469">
    <w:name w:val="数字标题3"/>
    <w:basedOn w:val="4"/>
    <w:next w:val="1"/>
    <w:qFormat/>
    <w:uiPriority w:val="0"/>
    <w:pPr>
      <w:numPr>
        <w:ilvl w:val="0"/>
        <w:numId w:val="0"/>
      </w:numPr>
      <w:spacing w:line="240" w:lineRule="auto"/>
    </w:pPr>
    <w:rPr>
      <w:sz w:val="28"/>
      <w:szCs w:val="28"/>
    </w:rPr>
  </w:style>
  <w:style w:type="paragraph" w:customStyle="1" w:styleId="470">
    <w:name w:val="彩色列表 - 强调文字颜色 12"/>
    <w:basedOn w:val="1"/>
    <w:qFormat/>
    <w:uiPriority w:val="0"/>
    <w:pPr>
      <w:adjustRightInd/>
      <w:ind w:firstLine="420" w:firstLineChars="200"/>
    </w:pPr>
    <w:rPr>
      <w:rFonts w:ascii="Calibri" w:hAnsi="Calibri"/>
      <w:szCs w:val="22"/>
    </w:rPr>
  </w:style>
  <w:style w:type="paragraph" w:customStyle="1" w:styleId="47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7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73">
    <w:name w:val="正文（标题三）"/>
    <w:basedOn w:val="1"/>
    <w:qFormat/>
    <w:uiPriority w:val="0"/>
    <w:pPr>
      <w:spacing w:line="360" w:lineRule="auto"/>
      <w:ind w:firstLine="200" w:firstLineChars="200"/>
    </w:pPr>
    <w:rPr>
      <w:sz w:val="24"/>
    </w:rPr>
  </w:style>
  <w:style w:type="paragraph" w:customStyle="1" w:styleId="474">
    <w:name w:val="Char Char Char1 Char"/>
    <w:basedOn w:val="1"/>
    <w:qFormat/>
    <w:uiPriority w:val="0"/>
    <w:rPr>
      <w:szCs w:val="20"/>
    </w:rPr>
  </w:style>
  <w:style w:type="paragraph" w:customStyle="1" w:styleId="47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6">
    <w:name w:val="正文文字缩进项目"/>
    <w:basedOn w:val="24"/>
    <w:qFormat/>
    <w:uiPriority w:val="0"/>
    <w:pPr>
      <w:tabs>
        <w:tab w:val="left" w:pos="840"/>
      </w:tabs>
      <w:adjustRightInd/>
      <w:ind w:left="0" w:leftChars="0" w:hanging="420"/>
    </w:pPr>
    <w:rPr>
      <w:rFonts w:ascii="Tahoma" w:hAnsi="Tahoma"/>
      <w:sz w:val="22"/>
      <w:szCs w:val="20"/>
      <w:lang w:val="zh-CN" w:eastAsia="zh-CN"/>
    </w:rPr>
  </w:style>
  <w:style w:type="paragraph" w:customStyle="1" w:styleId="477">
    <w:name w:val="标题五"/>
    <w:basedOn w:val="1"/>
    <w:qFormat/>
    <w:uiPriority w:val="0"/>
    <w:pPr>
      <w:adjustRightInd/>
      <w:spacing w:before="156" w:beforeLines="50" w:line="360" w:lineRule="auto"/>
    </w:pPr>
    <w:rPr>
      <w:b/>
      <w:sz w:val="24"/>
    </w:rPr>
  </w:style>
  <w:style w:type="paragraph" w:customStyle="1" w:styleId="478">
    <w:name w:val="Char Char Char Char Char Char Char Char Char Char Char Char1 Char11"/>
    <w:basedOn w:val="1"/>
    <w:qFormat/>
    <w:uiPriority w:val="0"/>
    <w:rPr>
      <w:rFonts w:ascii="Tahoma" w:hAnsi="Tahoma" w:cs="仿宋_GB2312"/>
      <w:sz w:val="24"/>
      <w:szCs w:val="20"/>
    </w:rPr>
  </w:style>
  <w:style w:type="paragraph" w:customStyle="1" w:styleId="479">
    <w:name w:val="Bulleted List"/>
    <w:basedOn w:val="1"/>
    <w:qFormat/>
    <w:uiPriority w:val="0"/>
    <w:pPr>
      <w:tabs>
        <w:tab w:val="left" w:pos="1260"/>
      </w:tabs>
      <w:adjustRightInd/>
      <w:ind w:left="1260" w:hanging="420"/>
    </w:pPr>
  </w:style>
  <w:style w:type="paragraph" w:customStyle="1" w:styleId="480">
    <w:name w:val="Char Char1 Char Char Char"/>
    <w:basedOn w:val="1"/>
    <w:qFormat/>
    <w:uiPriority w:val="0"/>
    <w:rPr>
      <w:rFonts w:ascii="仿宋_GB2312" w:eastAsia="仿宋_GB2312"/>
      <w:b/>
      <w:sz w:val="32"/>
      <w:szCs w:val="20"/>
    </w:rPr>
  </w:style>
  <w:style w:type="paragraph" w:customStyle="1" w:styleId="48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82">
    <w:name w:val="数字标题2"/>
    <w:basedOn w:val="3"/>
    <w:next w:val="1"/>
    <w:qFormat/>
    <w:uiPriority w:val="0"/>
    <w:pPr>
      <w:numPr>
        <w:ilvl w:val="1"/>
        <w:numId w:val="6"/>
      </w:numPr>
    </w:pPr>
    <w:rPr>
      <w:rFonts w:ascii="Times New Roman" w:eastAsia="宋体"/>
      <w:i/>
      <w:sz w:val="36"/>
      <w:szCs w:val="36"/>
      <w:lang w:val="en-US"/>
    </w:rPr>
  </w:style>
  <w:style w:type="paragraph" w:customStyle="1" w:styleId="483">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84">
    <w:name w:val="Char21"/>
    <w:basedOn w:val="1"/>
    <w:qFormat/>
    <w:uiPriority w:val="0"/>
    <w:pPr>
      <w:adjustRightInd/>
      <w:ind w:firstLine="200" w:firstLineChars="200"/>
    </w:pPr>
    <w:rPr>
      <w:rFonts w:ascii="仿宋_GB2312" w:eastAsia="仿宋_GB2312"/>
      <w:b/>
      <w:sz w:val="32"/>
      <w:szCs w:val="32"/>
    </w:rPr>
  </w:style>
  <w:style w:type="paragraph" w:customStyle="1" w:styleId="48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1">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93">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494">
    <w:name w:val="五级条标题"/>
    <w:basedOn w:val="495"/>
    <w:next w:val="377"/>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95">
    <w:name w:val="四级条标题"/>
    <w:basedOn w:val="496"/>
    <w:next w:val="377"/>
    <w:qFormat/>
    <w:uiPriority w:val="0"/>
    <w:pPr>
      <w:numPr>
        <w:ilvl w:val="5"/>
        <w:numId w:val="5"/>
      </w:numPr>
      <w:tabs>
        <w:tab w:val="left" w:pos="1260"/>
        <w:tab w:val="left" w:pos="1680"/>
        <w:tab w:val="left" w:pos="2100"/>
        <w:tab w:val="left" w:pos="2520"/>
      </w:tabs>
      <w:outlineLvl w:val="5"/>
    </w:pPr>
  </w:style>
  <w:style w:type="paragraph" w:customStyle="1" w:styleId="496">
    <w:name w:val="三级条标题"/>
    <w:basedOn w:val="497"/>
    <w:next w:val="377"/>
    <w:qFormat/>
    <w:uiPriority w:val="0"/>
    <w:pPr>
      <w:tabs>
        <w:tab w:val="left" w:pos="1260"/>
        <w:tab w:val="left" w:pos="1680"/>
        <w:tab w:val="left" w:pos="2100"/>
        <w:tab w:val="left" w:pos="2520"/>
      </w:tabs>
      <w:ind w:left="2520"/>
      <w:outlineLvl w:val="4"/>
    </w:pPr>
  </w:style>
  <w:style w:type="paragraph" w:customStyle="1" w:styleId="497">
    <w:name w:val="二级条标题"/>
    <w:basedOn w:val="498"/>
    <w:next w:val="377"/>
    <w:qFormat/>
    <w:uiPriority w:val="0"/>
    <w:pPr>
      <w:tabs>
        <w:tab w:val="left" w:pos="1260"/>
        <w:tab w:val="left" w:pos="1680"/>
        <w:tab w:val="left" w:pos="2100"/>
      </w:tabs>
      <w:ind w:left="0"/>
      <w:outlineLvl w:val="3"/>
    </w:pPr>
  </w:style>
  <w:style w:type="paragraph" w:customStyle="1" w:styleId="498">
    <w:name w:val="一级条标题"/>
    <w:basedOn w:val="499"/>
    <w:next w:val="377"/>
    <w:qFormat/>
    <w:uiPriority w:val="0"/>
    <w:pPr>
      <w:tabs>
        <w:tab w:val="left" w:pos="1260"/>
        <w:tab w:val="left" w:pos="1680"/>
      </w:tabs>
      <w:spacing w:before="0" w:beforeLines="0" w:after="0" w:afterLines="0"/>
      <w:ind w:left="1680"/>
      <w:outlineLvl w:val="2"/>
    </w:pPr>
  </w:style>
  <w:style w:type="paragraph" w:customStyle="1" w:styleId="499">
    <w:name w:val="章标题"/>
    <w:next w:val="377"/>
    <w:qFormat/>
    <w:uiPriority w:val="0"/>
    <w:pPr>
      <w:tabs>
        <w:tab w:val="left" w:pos="1260"/>
      </w:tabs>
      <w:spacing w:before="156" w:beforeLines="50" w:after="156"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00">
    <w:name w:val="数字标题4"/>
    <w:basedOn w:val="5"/>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501">
    <w:name w:val="普通正文"/>
    <w:basedOn w:val="1"/>
    <w:link w:val="502"/>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character" w:customStyle="1" w:styleId="502">
    <w:name w:val="普通正文 Char Char"/>
    <w:link w:val="501"/>
    <w:qFormat/>
    <w:locked/>
    <w:uiPriority w:val="0"/>
    <w:rPr>
      <w:rFonts w:ascii="Arial" w:hAnsi="Arial" w:eastAsia="宋体" w:cs="Times New Roman"/>
      <w:kern w:val="0"/>
      <w:sz w:val="24"/>
      <w:szCs w:val="24"/>
    </w:rPr>
  </w:style>
  <w:style w:type="paragraph" w:customStyle="1" w:styleId="503">
    <w:name w:val="样式 标题 22h2L1 Heading 2H2sect 1.2H21sect 1.21H22sect 1.2..."/>
    <w:basedOn w:val="3"/>
    <w:next w:val="1"/>
    <w:qFormat/>
    <w:uiPriority w:val="0"/>
    <w:pPr>
      <w:numPr>
        <w:ilvl w:val="0"/>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50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06">
    <w:name w:val="数字标题1"/>
    <w:basedOn w:val="2"/>
    <w:next w:val="1"/>
    <w:qFormat/>
    <w:uiPriority w:val="0"/>
    <w:pPr>
      <w:numPr>
        <w:numId w:val="6"/>
      </w:numPr>
      <w:tabs>
        <w:tab w:val="left" w:pos="480"/>
      </w:tabs>
    </w:pPr>
  </w:style>
  <w:style w:type="paragraph" w:customStyle="1" w:styleId="507">
    <w:name w:val="正文 项目2"/>
    <w:basedOn w:val="405"/>
    <w:qFormat/>
    <w:uiPriority w:val="0"/>
    <w:pPr>
      <w:numPr>
        <w:ilvl w:val="0"/>
        <w:numId w:val="7"/>
      </w:numPr>
      <w:tabs>
        <w:tab w:val="clear" w:pos="840"/>
      </w:tabs>
      <w:spacing w:after="0"/>
    </w:pPr>
  </w:style>
  <w:style w:type="paragraph" w:customStyle="1" w:styleId="50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09">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1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513">
    <w:name w:val="Char Char Char1 Char11"/>
    <w:basedOn w:val="1"/>
    <w:qFormat/>
    <w:uiPriority w:val="0"/>
    <w:rPr>
      <w:szCs w:val="20"/>
    </w:rPr>
  </w:style>
  <w:style w:type="paragraph" w:customStyle="1" w:styleId="514">
    <w:name w:val="Char1 Char Char Char4"/>
    <w:basedOn w:val="1"/>
    <w:qFormat/>
    <w:uiPriority w:val="0"/>
    <w:pPr>
      <w:adjustRightInd/>
      <w:ind w:firstLine="200" w:firstLineChars="200"/>
    </w:pPr>
    <w:rPr>
      <w:rFonts w:ascii="Tahoma" w:hAnsi="Tahoma"/>
      <w:sz w:val="24"/>
      <w:szCs w:val="20"/>
    </w:rPr>
  </w:style>
  <w:style w:type="paragraph" w:customStyle="1" w:styleId="515">
    <w:name w:val="TOC Heading"/>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5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样式1"/>
    <w:basedOn w:val="1"/>
    <w:link w:val="519"/>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519">
    <w:name w:val="样式1 Char"/>
    <w:link w:val="518"/>
    <w:locked/>
    <w:uiPriority w:val="0"/>
    <w:rPr>
      <w:rFonts w:ascii="宋体" w:hAnsi="宋体" w:eastAsia="宋体" w:cs="Times New Roman"/>
      <w:kern w:val="0"/>
      <w:sz w:val="24"/>
      <w:szCs w:val="20"/>
    </w:rPr>
  </w:style>
  <w:style w:type="paragraph" w:customStyle="1" w:styleId="52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22">
    <w:name w:val="style25"/>
    <w:basedOn w:val="1"/>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24">
    <w:name w:val="Char Char11 Char Char Char11"/>
    <w:basedOn w:val="1"/>
    <w:qFormat/>
    <w:uiPriority w:val="0"/>
    <w:pPr>
      <w:spacing w:line="360" w:lineRule="auto"/>
    </w:pPr>
    <w:rPr>
      <w:szCs w:val="20"/>
    </w:rPr>
  </w:style>
  <w:style w:type="paragraph" w:customStyle="1" w:styleId="525">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2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27">
    <w:name w:val="Char Char Char Char Char Char Char Char"/>
    <w:basedOn w:val="1"/>
    <w:qFormat/>
    <w:uiPriority w:val="0"/>
    <w:pPr>
      <w:tabs>
        <w:tab w:val="left" w:pos="360"/>
      </w:tabs>
    </w:pPr>
    <w:rPr>
      <w:sz w:val="24"/>
      <w:szCs w:val="20"/>
    </w:rPr>
  </w:style>
  <w:style w:type="paragraph" w:customStyle="1" w:styleId="528">
    <w:name w:val="表格（小）"/>
    <w:basedOn w:val="1"/>
    <w:qFormat/>
    <w:uiPriority w:val="0"/>
    <w:pPr>
      <w:adjustRightInd/>
      <w:snapToGrid w:val="0"/>
      <w:spacing w:line="300" w:lineRule="auto"/>
    </w:pPr>
    <w:rPr>
      <w:rFonts w:eastAsia="仿宋"/>
      <w:szCs w:val="21"/>
    </w:rPr>
  </w:style>
  <w:style w:type="paragraph" w:customStyle="1" w:styleId="52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30">
    <w:name w:val="样式"/>
    <w:basedOn w:val="1"/>
    <w:uiPriority w:val="0"/>
    <w:pPr>
      <w:autoSpaceDE w:val="0"/>
      <w:autoSpaceDN w:val="0"/>
      <w:snapToGrid w:val="0"/>
      <w:spacing w:before="120" w:after="120" w:line="360" w:lineRule="auto"/>
    </w:pPr>
    <w:rPr>
      <w:rFonts w:ascii="宋体"/>
      <w:sz w:val="24"/>
      <w:szCs w:val="20"/>
    </w:rPr>
  </w:style>
  <w:style w:type="paragraph" w:customStyle="1" w:styleId="531">
    <w:name w:val="List Paragraph1"/>
    <w:basedOn w:val="1"/>
    <w:qFormat/>
    <w:uiPriority w:val="34"/>
    <w:pPr>
      <w:spacing w:line="360" w:lineRule="auto"/>
      <w:ind w:firstLine="200" w:firstLineChars="200"/>
    </w:pPr>
    <w:rPr>
      <w:rFonts w:eastAsia="楷体_GB2312" w:cs="Lucida Sans"/>
      <w:sz w:val="24"/>
    </w:rPr>
  </w:style>
  <w:style w:type="paragraph" w:customStyle="1" w:styleId="5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5">
    <w:name w:val="Table Text"/>
    <w:basedOn w:val="1"/>
    <w:link w:val="536"/>
    <w:qFormat/>
    <w:uiPriority w:val="0"/>
    <w:pPr>
      <w:widowControl/>
      <w:spacing w:before="60" w:after="60"/>
      <w:jc w:val="left"/>
    </w:pPr>
    <w:rPr>
      <w:kern w:val="0"/>
      <w:sz w:val="24"/>
      <w:lang w:val="zh-CN" w:eastAsia="zh-CN"/>
    </w:rPr>
  </w:style>
  <w:style w:type="character" w:customStyle="1" w:styleId="536">
    <w:name w:val="Table Text Char"/>
    <w:link w:val="535"/>
    <w:qFormat/>
    <w:uiPriority w:val="0"/>
    <w:rPr>
      <w:rFonts w:ascii="Times New Roman" w:hAnsi="Times New Roman" w:eastAsia="宋体" w:cs="Times New Roman"/>
      <w:kern w:val="0"/>
      <w:sz w:val="24"/>
      <w:szCs w:val="24"/>
      <w:lang w:val="zh-CN" w:eastAsia="zh-CN"/>
    </w:rPr>
  </w:style>
  <w:style w:type="paragraph" w:customStyle="1" w:styleId="537">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8">
    <w:name w:val="Char231"/>
    <w:basedOn w:val="1"/>
    <w:qFormat/>
    <w:uiPriority w:val="0"/>
    <w:rPr>
      <w:rFonts w:ascii="仿宋_GB2312" w:eastAsia="仿宋_GB2312"/>
      <w:b/>
      <w:sz w:val="32"/>
      <w:szCs w:val="32"/>
    </w:rPr>
  </w:style>
  <w:style w:type="paragraph" w:styleId="539">
    <w:name w:val="List Paragraph"/>
    <w:basedOn w:val="1"/>
    <w:qFormat/>
    <w:uiPriority w:val="99"/>
    <w:pPr>
      <w:spacing w:line="360" w:lineRule="auto"/>
      <w:ind w:firstLine="200" w:firstLineChars="200"/>
    </w:pPr>
    <w:rPr>
      <w:rFonts w:eastAsia="楷体_GB2312" w:cs="Lucida Sans"/>
      <w:sz w:val="24"/>
    </w:rPr>
  </w:style>
  <w:style w:type="paragraph" w:customStyle="1" w:styleId="540">
    <w:name w:val="Char Char Char Char Char Char Char Char11"/>
    <w:basedOn w:val="1"/>
    <w:qFormat/>
    <w:uiPriority w:val="0"/>
    <w:pPr>
      <w:tabs>
        <w:tab w:val="left" w:pos="360"/>
      </w:tabs>
    </w:pPr>
    <w:rPr>
      <w:sz w:val="24"/>
      <w:szCs w:val="20"/>
    </w:rPr>
  </w:style>
  <w:style w:type="paragraph" w:customStyle="1" w:styleId="541">
    <w:name w:val="xl41"/>
    <w:basedOn w:val="1"/>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4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43">
    <w:name w:val="样式 标题 1Level 1 HeadPIM 1Section Headh1l11Heading 0Datash..."/>
    <w:basedOn w:val="2"/>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4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45">
    <w:name w:val="样式 标题 1 + 黑色 段前: 0.5 行 段后: 0.5 行1"/>
    <w:basedOn w:val="2"/>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46">
    <w:name w:val="WW-正文文字缩进 2"/>
    <w:basedOn w:val="1"/>
    <w:qFormat/>
    <w:uiPriority w:val="0"/>
    <w:pPr>
      <w:suppressAutoHyphens/>
      <w:adjustRightInd/>
      <w:ind w:firstLine="420"/>
    </w:pPr>
    <w:rPr>
      <w:kern w:val="1"/>
      <w:szCs w:val="20"/>
    </w:rPr>
  </w:style>
  <w:style w:type="paragraph" w:customStyle="1" w:styleId="54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49">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50">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51">
    <w:name w:val="四号　首行缩进"/>
    <w:basedOn w:val="1"/>
    <w:qFormat/>
    <w:uiPriority w:val="0"/>
    <w:pPr>
      <w:adjustRightInd/>
      <w:spacing w:line="360" w:lineRule="auto"/>
    </w:pPr>
    <w:rPr>
      <w:rFonts w:ascii="宋体" w:hAnsi="宋体"/>
      <w:szCs w:val="20"/>
    </w:rPr>
  </w:style>
  <w:style w:type="paragraph" w:customStyle="1" w:styleId="552">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553">
    <w:name w:val="bullet"/>
    <w:basedOn w:val="1"/>
    <w:qFormat/>
    <w:uiPriority w:val="0"/>
    <w:pPr>
      <w:tabs>
        <w:tab w:val="left" w:pos="840"/>
      </w:tabs>
      <w:adjustRightInd/>
      <w:ind w:left="840" w:hanging="420"/>
    </w:pPr>
  </w:style>
  <w:style w:type="paragraph" w:customStyle="1" w:styleId="55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6">
    <w:name w:val="单元格居中"/>
    <w:basedOn w:val="1"/>
    <w:qFormat/>
    <w:uiPriority w:val="0"/>
    <w:pPr>
      <w:adjustRightInd/>
      <w:spacing w:line="360" w:lineRule="auto"/>
      <w:jc w:val="center"/>
    </w:pPr>
    <w:rPr>
      <w:sz w:val="24"/>
    </w:rPr>
  </w:style>
  <w:style w:type="paragraph" w:customStyle="1" w:styleId="55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58">
    <w:name w:val="Char Char13"/>
    <w:basedOn w:val="1"/>
    <w:qFormat/>
    <w:uiPriority w:val="0"/>
    <w:pPr>
      <w:spacing w:line="360" w:lineRule="auto"/>
    </w:pPr>
    <w:rPr>
      <w:rFonts w:ascii="Tahoma" w:hAnsi="Tahoma"/>
      <w:sz w:val="24"/>
      <w:szCs w:val="20"/>
    </w:rPr>
  </w:style>
  <w:style w:type="paragraph" w:customStyle="1" w:styleId="55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60">
    <w:name w:val="main"/>
    <w:basedOn w:val="1"/>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61">
    <w:name w:val="Char3 Char Char Char11"/>
    <w:basedOn w:val="1"/>
    <w:qFormat/>
    <w:uiPriority w:val="0"/>
    <w:pPr>
      <w:widowControl/>
      <w:adjustRightInd/>
      <w:spacing w:after="160" w:line="240" w:lineRule="exact"/>
      <w:jc w:val="left"/>
    </w:pPr>
    <w:rPr>
      <w:szCs w:val="20"/>
    </w:rPr>
  </w:style>
  <w:style w:type="paragraph" w:customStyle="1" w:styleId="562">
    <w:name w:val="Char Char Char Char Char Char Char Char Char Char"/>
    <w:basedOn w:val="1"/>
    <w:qFormat/>
    <w:uiPriority w:val="0"/>
    <w:rPr>
      <w:rFonts w:ascii="仿宋_GB2312" w:eastAsia="仿宋_GB2312"/>
      <w:b/>
      <w:sz w:val="32"/>
      <w:szCs w:val="32"/>
    </w:rPr>
  </w:style>
  <w:style w:type="paragraph" w:customStyle="1" w:styleId="56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64">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565">
    <w:name w:val="EB_表格"/>
    <w:basedOn w:val="1"/>
    <w:qFormat/>
    <w:uiPriority w:val="0"/>
    <w:pPr>
      <w:adjustRightInd/>
      <w:spacing w:line="300" w:lineRule="auto"/>
      <w:jc w:val="center"/>
    </w:pPr>
  </w:style>
  <w:style w:type="paragraph" w:customStyle="1" w:styleId="566">
    <w:name w:val="Char41"/>
    <w:basedOn w:val="1"/>
    <w:qFormat/>
    <w:uiPriority w:val="0"/>
    <w:rPr>
      <w:rFonts w:ascii="仿宋_GB2312" w:eastAsia="仿宋_GB2312"/>
      <w:b/>
      <w:sz w:val="32"/>
      <w:szCs w:val="32"/>
    </w:rPr>
  </w:style>
  <w:style w:type="paragraph" w:customStyle="1" w:styleId="5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68">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69">
    <w:name w:val="font6"/>
    <w:basedOn w:val="1"/>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70">
    <w:name w:val="表格题注"/>
    <w:next w:val="1"/>
    <w:uiPriority w:val="0"/>
    <w:pPr>
      <w:keepLines/>
      <w:numPr>
        <w:ilvl w:val="8"/>
        <w:numId w:val="5"/>
      </w:numPr>
      <w:spacing w:before="312" w:beforeLines="100"/>
      <w:ind w:left="1089" w:hanging="369"/>
      <w:jc w:val="center"/>
    </w:pPr>
    <w:rPr>
      <w:rFonts w:ascii="Arial" w:hAnsi="Arial" w:eastAsia="宋体" w:cs="Times New Roman"/>
      <w:kern w:val="0"/>
      <w:sz w:val="18"/>
      <w:szCs w:val="18"/>
      <w:lang w:val="en-US" w:eastAsia="zh-CN" w:bidi="ar-SA"/>
    </w:rPr>
  </w:style>
  <w:style w:type="paragraph" w:customStyle="1" w:styleId="571">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572">
    <w:name w:val="MM Topic 1"/>
    <w:basedOn w:val="2"/>
    <w:qFormat/>
    <w:uiPriority w:val="0"/>
    <w:pPr>
      <w:numPr>
        <w:ilvl w:val="0"/>
        <w:numId w:val="0"/>
      </w:numPr>
      <w:tabs>
        <w:tab w:val="left" w:pos="840"/>
      </w:tabs>
      <w:adjustRightInd/>
      <w:ind w:left="840" w:hanging="420"/>
    </w:pPr>
  </w:style>
  <w:style w:type="paragraph" w:customStyle="1" w:styleId="57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7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75">
    <w:name w:val="插图题注"/>
    <w:next w:val="1"/>
    <w:qFormat/>
    <w:uiPriority w:val="0"/>
    <w:pPr>
      <w:numPr>
        <w:ilvl w:val="7"/>
        <w:numId w:val="5"/>
      </w:numPr>
      <w:spacing w:after="312" w:afterLines="100"/>
      <w:ind w:left="1089" w:hanging="369"/>
      <w:jc w:val="center"/>
    </w:pPr>
    <w:rPr>
      <w:rFonts w:ascii="Arial" w:hAnsi="Arial" w:eastAsia="宋体" w:cs="Times New Roman"/>
      <w:kern w:val="0"/>
      <w:sz w:val="18"/>
      <w:szCs w:val="18"/>
      <w:lang w:val="en-US" w:eastAsia="zh-CN" w:bidi="ar-SA"/>
    </w:rPr>
  </w:style>
  <w:style w:type="paragraph" w:customStyle="1" w:styleId="576">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577">
    <w:name w:val="列表内容"/>
    <w:basedOn w:val="1"/>
    <w:next w:val="1"/>
    <w:qFormat/>
    <w:uiPriority w:val="0"/>
    <w:pPr>
      <w:widowControl/>
      <w:tabs>
        <w:tab w:val="left" w:pos="840"/>
      </w:tabs>
      <w:ind w:left="840" w:hanging="420"/>
      <w:jc w:val="left"/>
    </w:pPr>
    <w:rPr>
      <w:kern w:val="0"/>
      <w:sz w:val="18"/>
    </w:rPr>
  </w:style>
  <w:style w:type="paragraph" w:customStyle="1" w:styleId="57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81">
    <w:name w:val="Char1 Char Char Char1"/>
    <w:basedOn w:val="1"/>
    <w:qFormat/>
    <w:uiPriority w:val="0"/>
    <w:pPr>
      <w:adjustRightInd/>
      <w:ind w:firstLine="200" w:firstLineChars="200"/>
    </w:pPr>
    <w:rPr>
      <w:rFonts w:ascii="Tahoma" w:hAnsi="Tahoma"/>
      <w:sz w:val="24"/>
      <w:szCs w:val="20"/>
    </w:rPr>
  </w:style>
  <w:style w:type="paragraph" w:customStyle="1" w:styleId="582">
    <w:name w:val="图中文字"/>
    <w:basedOn w:val="1"/>
    <w:qFormat/>
    <w:uiPriority w:val="0"/>
    <w:pPr>
      <w:snapToGrid w:val="0"/>
      <w:spacing w:line="0" w:lineRule="atLeast"/>
      <w:ind w:firstLine="200" w:firstLineChars="200"/>
      <w:jc w:val="center"/>
    </w:pPr>
    <w:rPr>
      <w:sz w:val="24"/>
      <w:szCs w:val="20"/>
    </w:rPr>
  </w:style>
  <w:style w:type="paragraph" w:customStyle="1" w:styleId="583">
    <w:name w:val="正文段"/>
    <w:basedOn w:val="1"/>
    <w:link w:val="584"/>
    <w:qFormat/>
    <w:uiPriority w:val="0"/>
    <w:pPr>
      <w:widowControl/>
      <w:snapToGrid w:val="0"/>
      <w:spacing w:after="156" w:afterLines="50"/>
      <w:ind w:firstLine="200" w:firstLineChars="200"/>
    </w:pPr>
    <w:rPr>
      <w:kern w:val="0"/>
      <w:sz w:val="24"/>
      <w:szCs w:val="20"/>
      <w:lang w:val="zh-CN" w:eastAsia="zh-CN"/>
    </w:rPr>
  </w:style>
  <w:style w:type="character" w:customStyle="1" w:styleId="584">
    <w:name w:val="正文段 Char"/>
    <w:link w:val="583"/>
    <w:qFormat/>
    <w:uiPriority w:val="0"/>
    <w:rPr>
      <w:rFonts w:ascii="Times New Roman" w:hAnsi="Times New Roman" w:eastAsia="宋体" w:cs="Times New Roman"/>
      <w:kern w:val="0"/>
      <w:sz w:val="24"/>
      <w:szCs w:val="20"/>
      <w:lang w:val="zh-CN" w:eastAsia="zh-CN"/>
    </w:rPr>
  </w:style>
  <w:style w:type="paragraph" w:customStyle="1" w:styleId="58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样式 样式2 + 左侧:  1 字符 右侧:  1 字符"/>
    <w:basedOn w:val="52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89">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9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1">
    <w:name w:val="Char Char Char Char Char Char Char Char Char Char11"/>
    <w:basedOn w:val="1"/>
    <w:qFormat/>
    <w:uiPriority w:val="0"/>
    <w:rPr>
      <w:rFonts w:ascii="仿宋_GB2312" w:eastAsia="仿宋_GB2312"/>
      <w:b/>
      <w:sz w:val="32"/>
      <w:szCs w:val="32"/>
    </w:rPr>
  </w:style>
  <w:style w:type="paragraph" w:customStyle="1" w:styleId="592">
    <w:name w:val="注释"/>
    <w:basedOn w:val="1"/>
    <w:qFormat/>
    <w:uiPriority w:val="0"/>
    <w:pPr>
      <w:adjustRightInd/>
      <w:spacing w:line="360" w:lineRule="auto"/>
      <w:ind w:firstLine="480"/>
    </w:pPr>
    <w:rPr>
      <w:sz w:val="24"/>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9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96">
    <w:name w:val="正文 首行缩进:  2 字符 Char"/>
    <w:basedOn w:val="1"/>
    <w:qFormat/>
    <w:uiPriority w:val="0"/>
    <w:pPr>
      <w:adjustRightInd/>
      <w:spacing w:line="360" w:lineRule="auto"/>
      <w:ind w:firstLine="480"/>
    </w:pPr>
    <w:rPr>
      <w:rFonts w:cs="宋体"/>
      <w:sz w:val="24"/>
      <w:szCs w:val="20"/>
    </w:rPr>
  </w:style>
  <w:style w:type="paragraph" w:customStyle="1" w:styleId="59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8">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600">
    <w:name w:val="样式7"/>
    <w:basedOn w:val="401"/>
    <w:next w:val="1"/>
    <w:qFormat/>
    <w:uiPriority w:val="0"/>
    <w:pPr>
      <w:spacing w:after="156" w:afterLines="50"/>
      <w:jc w:val="left"/>
      <w:outlineLvl w:val="3"/>
    </w:pPr>
    <w:rPr>
      <w:sz w:val="24"/>
      <w:szCs w:val="24"/>
    </w:rPr>
  </w:style>
  <w:style w:type="paragraph" w:customStyle="1" w:styleId="601">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2">
    <w:name w:val="单元格左对齐"/>
    <w:basedOn w:val="1"/>
    <w:uiPriority w:val="0"/>
    <w:pPr>
      <w:adjustRightInd/>
      <w:spacing w:line="360" w:lineRule="auto"/>
    </w:pPr>
    <w:rPr>
      <w:sz w:val="24"/>
    </w:rPr>
  </w:style>
  <w:style w:type="paragraph" w:customStyle="1" w:styleId="603">
    <w:name w:val="Char Char1 Char Char Char11"/>
    <w:basedOn w:val="1"/>
    <w:uiPriority w:val="0"/>
    <w:rPr>
      <w:rFonts w:ascii="仿宋_GB2312" w:eastAsia="仿宋_GB2312"/>
      <w:b/>
      <w:sz w:val="32"/>
      <w:szCs w:val="32"/>
    </w:rPr>
  </w:style>
  <w:style w:type="paragraph" w:customStyle="1" w:styleId="60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5">
    <w:name w:val="样式 标题 1章节第一层h1H"/>
    <w:basedOn w:val="2"/>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606">
    <w:name w:val="正文文字表格居中"/>
    <w:basedOn w:val="1"/>
    <w:next w:val="54"/>
    <w:qFormat/>
    <w:uiPriority w:val="0"/>
    <w:pPr>
      <w:snapToGrid w:val="0"/>
      <w:spacing w:line="360" w:lineRule="auto"/>
    </w:pPr>
    <w:rPr>
      <w:rFonts w:ascii="宋体"/>
      <w:b/>
      <w:sz w:val="24"/>
      <w:szCs w:val="20"/>
    </w:rPr>
  </w:style>
  <w:style w:type="paragraph" w:customStyle="1" w:styleId="60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09">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610">
    <w:name w:val="Thf"/>
    <w:basedOn w:val="550"/>
    <w:qFormat/>
    <w:uiPriority w:val="0"/>
    <w:pPr>
      <w:ind w:left="0"/>
    </w:pPr>
  </w:style>
  <w:style w:type="paragraph" w:customStyle="1" w:styleId="611">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2">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613">
    <w:name w:val="Char19"/>
    <w:basedOn w:val="1"/>
    <w:uiPriority w:val="0"/>
    <w:pPr>
      <w:adjustRightInd/>
    </w:pPr>
    <w:rPr>
      <w:szCs w:val="20"/>
    </w:rPr>
  </w:style>
  <w:style w:type="paragraph" w:customStyle="1" w:styleId="614">
    <w:name w:val="目录标题"/>
    <w:basedOn w:val="1"/>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15">
    <w:name w:val="样式3"/>
    <w:basedOn w:val="520"/>
    <w:qFormat/>
    <w:uiPriority w:val="0"/>
    <w:pPr>
      <w:spacing w:before="312" w:beforeLines="100"/>
      <w:jc w:val="left"/>
    </w:pPr>
  </w:style>
  <w:style w:type="paragraph" w:customStyle="1" w:styleId="616">
    <w:name w:val="首行缩进"/>
    <w:basedOn w:val="1"/>
    <w:qFormat/>
    <w:uiPriority w:val="0"/>
    <w:pPr>
      <w:spacing w:line="360" w:lineRule="auto"/>
      <w:ind w:firstLine="480" w:firstLineChars="200"/>
    </w:pPr>
    <w:rPr>
      <w:rFonts w:ascii="宋体"/>
      <w:sz w:val="24"/>
      <w:szCs w:val="20"/>
    </w:rPr>
  </w:style>
  <w:style w:type="paragraph" w:customStyle="1" w:styleId="61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9">
    <w:name w:val="样式 标题 4PIM 4H4h4bulletblbbH41H42H43H44H45H46H47H48...1"/>
    <w:basedOn w:val="5"/>
    <w:qFormat/>
    <w:uiPriority w:val="0"/>
    <w:pPr>
      <w:widowControl/>
      <w:jc w:val="left"/>
    </w:pPr>
    <w:rPr>
      <w:rFonts w:cs="宋体"/>
      <w:sz w:val="24"/>
      <w:szCs w:val="20"/>
    </w:rPr>
  </w:style>
  <w:style w:type="paragraph" w:customStyle="1" w:styleId="620">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21">
    <w:name w:val="样式 正文缩进 + 首行缩进:  2 字符"/>
    <w:basedOn w:val="15"/>
    <w:link w:val="622"/>
    <w:uiPriority w:val="0"/>
    <w:pPr>
      <w:widowControl w:val="0"/>
      <w:adjustRightInd/>
      <w:snapToGrid/>
      <w:spacing w:line="360" w:lineRule="auto"/>
      <w:ind w:firstLine="200" w:firstLineChars="200"/>
    </w:pPr>
    <w:rPr>
      <w:rFonts w:ascii="Times New Roman"/>
      <w:snapToGrid/>
      <w:color w:val="auto"/>
      <w:kern w:val="2"/>
      <w:sz w:val="24"/>
      <w:lang w:val="zh-CN" w:eastAsia="zh-CN"/>
    </w:rPr>
  </w:style>
  <w:style w:type="character" w:customStyle="1" w:styleId="622">
    <w:name w:val="样式 正文缩进 + 首行缩进:  2 字符 Char Char"/>
    <w:link w:val="621"/>
    <w:uiPriority w:val="0"/>
    <w:rPr>
      <w:rFonts w:ascii="Times New Roman" w:eastAsia="宋体"/>
      <w:sz w:val="24"/>
      <w:lang w:val="zh-CN" w:eastAsia="zh-CN"/>
    </w:rPr>
  </w:style>
  <w:style w:type="paragraph" w:customStyle="1" w:styleId="623">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62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62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26">
    <w:name w:val="正文文本 21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2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2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31">
    <w:name w:val="p0"/>
    <w:basedOn w:val="1"/>
    <w:qFormat/>
    <w:uiPriority w:val="0"/>
    <w:pPr>
      <w:widowControl/>
      <w:adjustRightInd/>
    </w:pPr>
    <w:rPr>
      <w:kern w:val="0"/>
      <w:szCs w:val="21"/>
    </w:rPr>
  </w:style>
  <w:style w:type="paragraph" w:customStyle="1" w:styleId="632">
    <w:name w:val="Revision"/>
    <w:qFormat/>
    <w:uiPriority w:val="0"/>
    <w:rPr>
      <w:rFonts w:ascii="Times New Roman" w:hAnsi="Times New Roman" w:eastAsia="宋体" w:cs="Times New Roman"/>
      <w:kern w:val="2"/>
      <w:sz w:val="21"/>
      <w:szCs w:val="20"/>
      <w:lang w:val="en-US" w:eastAsia="zh-CN" w:bidi="ar-SA"/>
    </w:rPr>
  </w:style>
  <w:style w:type="paragraph" w:customStyle="1" w:styleId="633">
    <w:name w:val="gf正文1"/>
    <w:basedOn w:val="1"/>
    <w:link w:val="634"/>
    <w:qFormat/>
    <w:uiPriority w:val="0"/>
    <w:pPr>
      <w:tabs>
        <w:tab w:val="left" w:pos="3240"/>
        <w:tab w:val="left" w:pos="3960"/>
      </w:tabs>
      <w:snapToGrid w:val="0"/>
      <w:spacing w:line="360" w:lineRule="auto"/>
      <w:ind w:firstLine="480" w:firstLineChars="200"/>
    </w:pPr>
    <w:rPr>
      <w:rFonts w:ascii="宋体" w:hAnsi="宋体"/>
      <w:sz w:val="24"/>
      <w:lang w:val="zh-CN" w:eastAsia="zh-CN"/>
    </w:rPr>
  </w:style>
  <w:style w:type="character" w:customStyle="1" w:styleId="634">
    <w:name w:val="gf正文1 Char Char"/>
    <w:link w:val="633"/>
    <w:qFormat/>
    <w:uiPriority w:val="0"/>
    <w:rPr>
      <w:rFonts w:ascii="宋体" w:hAnsi="宋体" w:eastAsia="宋体" w:cs="Times New Roman"/>
      <w:sz w:val="24"/>
      <w:szCs w:val="24"/>
      <w:lang w:val="zh-CN" w:eastAsia="zh-CN"/>
    </w:rPr>
  </w:style>
  <w:style w:type="paragraph" w:customStyle="1" w:styleId="63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6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7">
    <w:name w:val="Char Char14"/>
    <w:basedOn w:val="1"/>
    <w:qFormat/>
    <w:uiPriority w:val="0"/>
    <w:pPr>
      <w:widowControl/>
      <w:spacing w:after="160" w:line="240" w:lineRule="exact"/>
      <w:jc w:val="left"/>
    </w:pPr>
    <w:rPr>
      <w:rFonts w:eastAsia="仿宋_GB2312"/>
      <w:sz w:val="28"/>
    </w:rPr>
  </w:style>
  <w:style w:type="paragraph" w:customStyle="1" w:styleId="63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9">
    <w:name w:val="FA正文"/>
    <w:basedOn w:val="1"/>
    <w:qFormat/>
    <w:uiPriority w:val="0"/>
    <w:pPr>
      <w:spacing w:line="360" w:lineRule="auto"/>
      <w:ind w:firstLine="480" w:firstLineChars="200"/>
    </w:pPr>
    <w:rPr>
      <w:rFonts w:hAnsi="宋体"/>
      <w:sz w:val="24"/>
      <w:szCs w:val="20"/>
    </w:rPr>
  </w:style>
  <w:style w:type="paragraph" w:customStyle="1" w:styleId="640">
    <w:name w:val="CM14"/>
    <w:basedOn w:val="453"/>
    <w:next w:val="453"/>
    <w:qFormat/>
    <w:uiPriority w:val="0"/>
    <w:pPr>
      <w:spacing w:after="68"/>
    </w:pPr>
    <w:rPr>
      <w:rFonts w:ascii="FHLHE E+ Futura Bk" w:eastAsia="FHLHE E+ Futura Bk"/>
      <w:color w:val="auto"/>
    </w:rPr>
  </w:style>
  <w:style w:type="paragraph" w:customStyle="1" w:styleId="641">
    <w:name w:val="Char Char Char Char2"/>
    <w:basedOn w:val="1"/>
    <w:uiPriority w:val="0"/>
    <w:rPr>
      <w:rFonts w:ascii="Tahoma" w:hAnsi="Tahoma"/>
      <w:sz w:val="24"/>
      <w:szCs w:val="20"/>
    </w:rPr>
  </w:style>
  <w:style w:type="paragraph" w:customStyle="1" w:styleId="64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43">
    <w:name w:val="样式1 + (中宋体"/>
    <w:basedOn w:val="5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44">
    <w:name w:val="标准正文"/>
    <w:basedOn w:val="1"/>
    <w:link w:val="645"/>
    <w:qFormat/>
    <w:uiPriority w:val="0"/>
    <w:pPr>
      <w:tabs>
        <w:tab w:val="left" w:pos="780"/>
      </w:tabs>
      <w:adjustRightInd/>
      <w:spacing w:line="360" w:lineRule="auto"/>
      <w:ind w:left="200" w:leftChars="200" w:firstLine="200" w:firstLineChars="200"/>
    </w:pPr>
    <w:rPr>
      <w:sz w:val="24"/>
    </w:rPr>
  </w:style>
  <w:style w:type="character" w:customStyle="1" w:styleId="645">
    <w:name w:val="标准正文 Char"/>
    <w:link w:val="644"/>
    <w:qFormat/>
    <w:uiPriority w:val="0"/>
    <w:rPr>
      <w:rFonts w:ascii="Times New Roman" w:hAnsi="Times New Roman" w:eastAsia="宋体" w:cs="Times New Roman"/>
      <w:sz w:val="24"/>
      <w:szCs w:val="24"/>
    </w:rPr>
  </w:style>
  <w:style w:type="paragraph" w:customStyle="1" w:styleId="646">
    <w:name w:val="Char Char11 Char Char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647">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64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50">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651">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53">
    <w:name w:val="Char1 Char Char Char5"/>
    <w:basedOn w:val="1"/>
    <w:qFormat/>
    <w:uiPriority w:val="0"/>
    <w:pPr>
      <w:adjustRightInd/>
      <w:ind w:firstLine="200" w:firstLineChars="200"/>
    </w:pPr>
    <w:rPr>
      <w:rFonts w:ascii="Tahoma" w:hAnsi="Tahoma"/>
      <w:sz w:val="24"/>
      <w:szCs w:val="20"/>
    </w:rPr>
  </w:style>
  <w:style w:type="paragraph" w:customStyle="1" w:styleId="6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纯文本_0_0"/>
    <w:basedOn w:val="657"/>
    <w:link w:val="659"/>
    <w:qFormat/>
    <w:uiPriority w:val="0"/>
    <w:rPr>
      <w:rFonts w:ascii="宋体" w:hAnsi="Courier New"/>
      <w:szCs w:val="21"/>
    </w:rPr>
  </w:style>
  <w:style w:type="character" w:customStyle="1" w:styleId="659">
    <w:name w:val="纯文本 Char_0"/>
    <w:link w:val="658"/>
    <w:uiPriority w:val="0"/>
    <w:rPr>
      <w:rFonts w:ascii="宋体" w:hAnsi="Courier New" w:eastAsia="宋体" w:cs="Times New Roman"/>
      <w:szCs w:val="21"/>
      <w:lang w:val="en-US" w:eastAsia="zh-CN"/>
    </w:rPr>
  </w:style>
  <w:style w:type="paragraph" w:customStyle="1" w:styleId="660">
    <w:name w:val="索引 11"/>
    <w:basedOn w:val="1"/>
    <w:next w:val="1"/>
    <w:qFormat/>
    <w:uiPriority w:val="0"/>
    <w:pPr>
      <w:adjustRightInd/>
      <w:spacing w:line="360" w:lineRule="auto"/>
    </w:pPr>
    <w:rPr>
      <w:rFonts w:ascii="仿宋_GB2312" w:eastAsia="仿宋_GB2312"/>
      <w:sz w:val="24"/>
      <w:szCs w:val="20"/>
    </w:rPr>
  </w:style>
  <w:style w:type="character" w:customStyle="1" w:styleId="661">
    <w:name w:val="Char Char34"/>
    <w:qFormat/>
    <w:uiPriority w:val="6"/>
    <w:rPr>
      <w:b/>
      <w:kern w:val="1"/>
      <w:sz w:val="28"/>
      <w:szCs w:val="28"/>
    </w:rPr>
  </w:style>
  <w:style w:type="character" w:customStyle="1" w:styleId="662">
    <w:name w:val="Char Char22"/>
    <w:uiPriority w:val="6"/>
    <w:rPr>
      <w:rFonts w:ascii="宋体" w:hAnsi="宋体"/>
      <w:kern w:val="1"/>
      <w:sz w:val="24"/>
      <w:szCs w:val="24"/>
    </w:rPr>
  </w:style>
  <w:style w:type="character" w:customStyle="1" w:styleId="663">
    <w:name w:val="Char Char141"/>
    <w:qFormat/>
    <w:uiPriority w:val="0"/>
    <w:rPr>
      <w:rFonts w:ascii="黑体" w:hAnsi="黑体" w:eastAsia="黑体"/>
    </w:rPr>
  </w:style>
  <w:style w:type="character" w:customStyle="1" w:styleId="664">
    <w:name w:val="Char Char61"/>
    <w:qFormat/>
    <w:uiPriority w:val="6"/>
    <w:rPr>
      <w:rFonts w:eastAsia="宋体"/>
      <w:kern w:val="2"/>
      <w:sz w:val="21"/>
      <w:szCs w:val="24"/>
      <w:lang w:val="en-US" w:eastAsia="zh-CN" w:bidi="ar-SA"/>
    </w:rPr>
  </w:style>
  <w:style w:type="character" w:customStyle="1" w:styleId="665">
    <w:name w:val="Char Char24"/>
    <w:qFormat/>
    <w:uiPriority w:val="6"/>
    <w:rPr>
      <w:kern w:val="1"/>
      <w:sz w:val="21"/>
    </w:rPr>
  </w:style>
  <w:style w:type="character" w:customStyle="1" w:styleId="666">
    <w:name w:val="Heading 1 Char"/>
    <w:qFormat/>
    <w:uiPriority w:val="6"/>
    <w:rPr>
      <w:rFonts w:ascii="Times New Roman" w:hAnsi="Times New Roman" w:eastAsia="黑体" w:cs="Times New Roman"/>
      <w:b/>
      <w:kern w:val="0"/>
      <w:sz w:val="24"/>
      <w:szCs w:val="24"/>
    </w:rPr>
  </w:style>
  <w:style w:type="character" w:customStyle="1" w:styleId="667">
    <w:name w:val="Char Char19"/>
    <w:qFormat/>
    <w:uiPriority w:val="0"/>
    <w:rPr>
      <w:rFonts w:ascii="宋体" w:hAnsi="宋体"/>
      <w:i/>
      <w:sz w:val="24"/>
      <w:szCs w:val="24"/>
    </w:rPr>
  </w:style>
  <w:style w:type="character" w:customStyle="1" w:styleId="668">
    <w:name w:val="纯文本 Char2"/>
    <w:semiHidden/>
    <w:qFormat/>
    <w:uiPriority w:val="99"/>
    <w:rPr>
      <w:rFonts w:ascii="宋体" w:hAnsi="Courier New" w:eastAsia="宋体" w:cs="Courier New"/>
    </w:rPr>
  </w:style>
  <w:style w:type="character" w:customStyle="1" w:styleId="669">
    <w:name w:val="Char Char32"/>
    <w:qFormat/>
    <w:uiPriority w:val="6"/>
    <w:rPr>
      <w:b/>
      <w:kern w:val="1"/>
      <w:sz w:val="24"/>
      <w:szCs w:val="24"/>
    </w:rPr>
  </w:style>
  <w:style w:type="character" w:customStyle="1" w:styleId="670">
    <w:name w:val="Char Char36"/>
    <w:qFormat/>
    <w:uiPriority w:val="6"/>
    <w:rPr>
      <w:rFonts w:ascii="仿宋_GB2312" w:hAnsi="仿宋_GB2312" w:eastAsia="仿宋_GB2312" w:cs="Arial"/>
      <w:b/>
      <w:kern w:val="1"/>
      <w:sz w:val="32"/>
      <w:szCs w:val="32"/>
      <w:lang w:val="zh-CN" w:eastAsia="zh-CN" w:bidi="ar-SA"/>
    </w:rPr>
  </w:style>
  <w:style w:type="character" w:customStyle="1" w:styleId="671">
    <w:name w:val="Char Char101"/>
    <w:uiPriority w:val="6"/>
    <w:rPr>
      <w:rFonts w:ascii="宋体" w:hAnsi="宋体"/>
      <w:kern w:val="2"/>
      <w:sz w:val="21"/>
      <w:szCs w:val="24"/>
      <w:lang w:val="en-US" w:eastAsia="zh-CN"/>
    </w:rPr>
  </w:style>
  <w:style w:type="character" w:customStyle="1" w:styleId="672">
    <w:name w:val="Char Char17"/>
    <w:qFormat/>
    <w:uiPriority w:val="0"/>
    <w:rPr>
      <w:rFonts w:eastAsia="仿宋_GB2312"/>
      <w:sz w:val="24"/>
    </w:rPr>
  </w:style>
  <w:style w:type="character" w:customStyle="1" w:styleId="673">
    <w:name w:val="Char Char121"/>
    <w:qFormat/>
    <w:uiPriority w:val="6"/>
    <w:rPr>
      <w:rFonts w:ascii="仿宋_GB2312" w:eastAsia="仿宋_GB2312"/>
      <w:b/>
      <w:bCs/>
      <w:kern w:val="2"/>
      <w:sz w:val="24"/>
      <w:szCs w:val="24"/>
      <w:lang w:val="zh-CN" w:eastAsia="zh-CN" w:bidi="ar-SA"/>
    </w:rPr>
  </w:style>
  <w:style w:type="character" w:customStyle="1" w:styleId="674">
    <w:name w:val="Char Char91"/>
    <w:qFormat/>
    <w:uiPriority w:val="0"/>
    <w:rPr>
      <w:rFonts w:eastAsia="宋体"/>
      <w:kern w:val="2"/>
      <w:sz w:val="18"/>
      <w:szCs w:val="18"/>
      <w:lang w:val="en-US" w:eastAsia="zh-CN" w:bidi="ar-SA"/>
    </w:rPr>
  </w:style>
  <w:style w:type="character" w:customStyle="1" w:styleId="675">
    <w:name w:val="param-name"/>
    <w:uiPriority w:val="99"/>
    <w:rPr>
      <w:rFonts w:ascii="Arial" w:hAnsi="Arial" w:eastAsia="黑体" w:cs="Arial"/>
      <w:snapToGrid/>
      <w:kern w:val="0"/>
      <w:szCs w:val="21"/>
    </w:rPr>
  </w:style>
  <w:style w:type="character" w:customStyle="1" w:styleId="676">
    <w:name w:val="Char Char31"/>
    <w:uiPriority w:val="6"/>
    <w:rPr>
      <w:rFonts w:ascii="Arial" w:hAnsi="Arial" w:eastAsia="黑体"/>
      <w:kern w:val="1"/>
      <w:sz w:val="24"/>
      <w:szCs w:val="24"/>
    </w:rPr>
  </w:style>
  <w:style w:type="character" w:customStyle="1" w:styleId="677">
    <w:name w:val="Char Char27"/>
    <w:qFormat/>
    <w:uiPriority w:val="6"/>
    <w:rPr>
      <w:rFonts w:ascii="宋体" w:hAnsi="宋体" w:eastAsia="宋体"/>
      <w:color w:val="000000"/>
      <w:kern w:val="1"/>
      <w:sz w:val="28"/>
      <w:lang w:val="en-US" w:eastAsia="zh-CN" w:bidi="ar-SA"/>
    </w:rPr>
  </w:style>
  <w:style w:type="character" w:customStyle="1" w:styleId="678">
    <w:name w:val="Char Char16"/>
    <w:qFormat/>
    <w:uiPriority w:val="6"/>
    <w:rPr>
      <w:kern w:val="1"/>
      <w:sz w:val="18"/>
      <w:szCs w:val="18"/>
    </w:rPr>
  </w:style>
  <w:style w:type="character" w:customStyle="1" w:styleId="679">
    <w:name w:val="页眉 Char2"/>
    <w:uiPriority w:val="0"/>
    <w:rPr>
      <w:kern w:val="2"/>
      <w:sz w:val="18"/>
      <w:szCs w:val="18"/>
    </w:rPr>
  </w:style>
  <w:style w:type="character" w:customStyle="1" w:styleId="680">
    <w:name w:val="表格名称[858D7CFB-ED40-4347-BF05-701D383B685F]"/>
    <w:link w:val="681"/>
    <w:uiPriority w:val="0"/>
    <w:rPr>
      <w:sz w:val="32"/>
    </w:rPr>
  </w:style>
  <w:style w:type="paragraph" w:customStyle="1" w:styleId="681">
    <w:name w:val="表格名称"/>
    <w:basedOn w:val="3"/>
    <w:link w:val="680"/>
    <w:qFormat/>
    <w:uiPriority w:val="0"/>
    <w:pPr>
      <w:numPr>
        <w:ilvl w:val="0"/>
        <w:numId w:val="0"/>
      </w:numPr>
      <w:snapToGrid w:val="0"/>
      <w:spacing w:before="240" w:after="240" w:line="240" w:lineRule="auto"/>
      <w:jc w:val="center"/>
    </w:pPr>
    <w:rPr>
      <w:rFonts w:ascii="Calibri" w:hAnsi="Calibri" w:eastAsia="宋体" w:cs="Times New Roman"/>
      <w:b w:val="0"/>
      <w:bCs w:val="0"/>
      <w:szCs w:val="22"/>
      <w:lang w:val="en-US"/>
    </w:rPr>
  </w:style>
  <w:style w:type="character" w:customStyle="1" w:styleId="682">
    <w:name w:val="Char Char41"/>
    <w:qFormat/>
    <w:uiPriority w:val="0"/>
    <w:rPr>
      <w:rFonts w:eastAsia="宋体"/>
      <w:b/>
      <w:sz w:val="24"/>
      <w:lang w:val="en-GB" w:eastAsia="zh-CN" w:bidi="ar-SA"/>
    </w:rPr>
  </w:style>
  <w:style w:type="character" w:customStyle="1" w:styleId="683">
    <w:name w:val="Char Char29"/>
    <w:qFormat/>
    <w:uiPriority w:val="6"/>
    <w:rPr>
      <w:rFonts w:ascii="Arial" w:hAnsi="Arial" w:eastAsia="微软雅黑"/>
      <w:b/>
      <w:kern w:val="1"/>
      <w:sz w:val="44"/>
      <w:szCs w:val="32"/>
      <w:lang w:val="en-US" w:eastAsia="zh-CN" w:bidi="ar-SA"/>
    </w:rPr>
  </w:style>
  <w:style w:type="character" w:customStyle="1" w:styleId="684">
    <w:name w:val="Char Char211"/>
    <w:qFormat/>
    <w:uiPriority w:val="0"/>
    <w:rPr>
      <w:rFonts w:eastAsia="宋体"/>
      <w:b/>
      <w:bCs/>
      <w:kern w:val="2"/>
      <w:sz w:val="21"/>
      <w:szCs w:val="24"/>
      <w:lang w:val="en-US" w:eastAsia="zh-CN" w:bidi="ar-SA"/>
    </w:rPr>
  </w:style>
  <w:style w:type="character" w:customStyle="1" w:styleId="685">
    <w:name w:val="Char Char131"/>
    <w:qFormat/>
    <w:uiPriority w:val="0"/>
    <w:rPr>
      <w:rFonts w:ascii="宋体" w:hAnsi="宋体"/>
      <w:kern w:val="1"/>
      <w:sz w:val="21"/>
      <w:szCs w:val="24"/>
    </w:rPr>
  </w:style>
  <w:style w:type="character" w:customStyle="1" w:styleId="686">
    <w:name w:val="Char Char33"/>
    <w:qFormat/>
    <w:uiPriority w:val="6"/>
    <w:rPr>
      <w:rFonts w:ascii="Arial" w:hAnsi="Arial" w:eastAsia="黑体"/>
      <w:b/>
      <w:kern w:val="1"/>
      <w:sz w:val="24"/>
      <w:szCs w:val="24"/>
    </w:rPr>
  </w:style>
  <w:style w:type="character" w:customStyle="1" w:styleId="687">
    <w:name w:val="正文说明 Char"/>
    <w:link w:val="688"/>
    <w:qFormat/>
    <w:uiPriority w:val="0"/>
    <w:rPr>
      <w:sz w:val="24"/>
      <w:szCs w:val="24"/>
    </w:rPr>
  </w:style>
  <w:style w:type="paragraph" w:customStyle="1" w:styleId="688">
    <w:name w:val="正文说明"/>
    <w:basedOn w:val="1"/>
    <w:link w:val="687"/>
    <w:qFormat/>
    <w:uiPriority w:val="0"/>
    <w:pPr>
      <w:adjustRightInd/>
      <w:spacing w:line="360" w:lineRule="auto"/>
    </w:pPr>
    <w:rPr>
      <w:rFonts w:ascii="Calibri" w:hAnsi="Calibri" w:eastAsia="宋体" w:cs="Times New Roman"/>
      <w:sz w:val="24"/>
    </w:rPr>
  </w:style>
  <w:style w:type="character" w:customStyle="1" w:styleId="689">
    <w:name w:val="页脚 Char2"/>
    <w:locked/>
    <w:uiPriority w:val="0"/>
    <w:rPr>
      <w:kern w:val="2"/>
      <w:sz w:val="18"/>
      <w:szCs w:val="18"/>
    </w:rPr>
  </w:style>
  <w:style w:type="character" w:customStyle="1" w:styleId="690">
    <w:name w:val="Char Char711"/>
    <w:qFormat/>
    <w:uiPriority w:val="0"/>
    <w:rPr>
      <w:rFonts w:eastAsia="宋体"/>
      <w:kern w:val="2"/>
      <w:sz w:val="21"/>
      <w:szCs w:val="24"/>
      <w:lang w:val="en-US" w:eastAsia="zh-CN" w:bidi="ar-SA"/>
    </w:rPr>
  </w:style>
  <w:style w:type="character" w:customStyle="1" w:styleId="691">
    <w:name w:val="Char Char21"/>
    <w:qFormat/>
    <w:uiPriority w:val="6"/>
    <w:rPr>
      <w:rFonts w:ascii="宋体" w:hAnsi="宋体"/>
      <w:kern w:val="1"/>
      <w:sz w:val="24"/>
      <w:szCs w:val="21"/>
      <w:lang w:val="zh-CN"/>
    </w:rPr>
  </w:style>
  <w:style w:type="character" w:customStyle="1" w:styleId="692">
    <w:name w:val="Char Char281"/>
    <w:qFormat/>
    <w:uiPriority w:val="6"/>
    <w:rPr>
      <w:rFonts w:ascii="仿宋_GB2312" w:hAnsi="仿宋_GB2312" w:eastAsia="仿宋_GB2312"/>
      <w:kern w:val="1"/>
      <w:sz w:val="28"/>
    </w:rPr>
  </w:style>
  <w:style w:type="character" w:customStyle="1" w:styleId="693">
    <w:name w:val="Char Char30"/>
    <w:qFormat/>
    <w:uiPriority w:val="6"/>
    <w:rPr>
      <w:rFonts w:ascii="Arial" w:hAnsi="Arial" w:eastAsia="黑体"/>
      <w:kern w:val="1"/>
      <w:sz w:val="21"/>
      <w:szCs w:val="21"/>
    </w:rPr>
  </w:style>
  <w:style w:type="character" w:customStyle="1" w:styleId="694">
    <w:name w:val="question-title2"/>
    <w:uiPriority w:val="6"/>
    <w:rPr>
      <w:rFonts w:ascii="Arial" w:hAnsi="Arial" w:eastAsia="黑体" w:cs="Arial"/>
      <w:snapToGrid/>
      <w:kern w:val="0"/>
      <w:szCs w:val="21"/>
    </w:rPr>
  </w:style>
  <w:style w:type="character" w:customStyle="1" w:styleId="695">
    <w:name w:val="Char Char20"/>
    <w:qFormat/>
    <w:uiPriority w:val="6"/>
    <w:rPr>
      <w:kern w:val="1"/>
      <w:sz w:val="24"/>
    </w:rPr>
  </w:style>
  <w:style w:type="character" w:customStyle="1" w:styleId="696">
    <w:name w:val="Char Char311"/>
    <w:qFormat/>
    <w:uiPriority w:val="0"/>
    <w:rPr>
      <w:rFonts w:eastAsia="宋体"/>
      <w:kern w:val="2"/>
      <w:sz w:val="21"/>
      <w:szCs w:val="24"/>
      <w:lang w:val="en-US" w:eastAsia="zh-CN" w:bidi="ar-SA"/>
    </w:rPr>
  </w:style>
  <w:style w:type="character" w:customStyle="1" w:styleId="697">
    <w:name w:val="Char Char15"/>
    <w:qFormat/>
    <w:uiPriority w:val="0"/>
    <w:rPr>
      <w:rFonts w:ascii="宋体" w:hAnsi="宋体"/>
      <w:kern w:val="1"/>
      <w:sz w:val="21"/>
    </w:rPr>
  </w:style>
  <w:style w:type="character" w:customStyle="1" w:styleId="698">
    <w:name w:val="Char Char26"/>
    <w:uiPriority w:val="6"/>
    <w:rPr>
      <w:kern w:val="1"/>
      <w:sz w:val="21"/>
      <w:szCs w:val="24"/>
    </w:rPr>
  </w:style>
  <w:style w:type="character" w:customStyle="1" w:styleId="699">
    <w:name w:val="Char Char51"/>
    <w:qFormat/>
    <w:uiPriority w:val="0"/>
    <w:rPr>
      <w:rFonts w:ascii="宋体" w:hAnsi="Courier New" w:eastAsia="宋体"/>
      <w:kern w:val="2"/>
      <w:sz w:val="21"/>
      <w:lang w:val="en-US" w:eastAsia="zh-CN"/>
    </w:rPr>
  </w:style>
  <w:style w:type="character" w:customStyle="1" w:styleId="700">
    <w:name w:val="Char Char71"/>
    <w:semiHidden/>
    <w:qFormat/>
    <w:uiPriority w:val="0"/>
    <w:rPr>
      <w:rFonts w:eastAsia="宋体"/>
      <w:kern w:val="2"/>
      <w:sz w:val="21"/>
      <w:szCs w:val="24"/>
      <w:lang w:val="en-US" w:eastAsia="zh-CN" w:bidi="ar-SA"/>
    </w:rPr>
  </w:style>
  <w:style w:type="character" w:customStyle="1" w:styleId="701">
    <w:name w:val="Char Char18"/>
    <w:qFormat/>
    <w:uiPriority w:val="0"/>
    <w:rPr>
      <w:rFonts w:ascii="宋体" w:hAnsi="宋体"/>
      <w:sz w:val="28"/>
    </w:rPr>
  </w:style>
  <w:style w:type="character" w:customStyle="1" w:styleId="702">
    <w:name w:val="Char Char81"/>
    <w:qFormat/>
    <w:uiPriority w:val="6"/>
    <w:rPr>
      <w:rFonts w:eastAsia="宋体"/>
      <w:b/>
      <w:sz w:val="24"/>
      <w:lang w:val="en-GB" w:eastAsia="zh-CN"/>
    </w:rPr>
  </w:style>
  <w:style w:type="character" w:customStyle="1" w:styleId="703">
    <w:name w:val="Char Char37"/>
    <w:uiPriority w:val="6"/>
    <w:rPr>
      <w:b/>
      <w:kern w:val="1"/>
      <w:sz w:val="44"/>
      <w:szCs w:val="44"/>
    </w:rPr>
  </w:style>
  <w:style w:type="character" w:customStyle="1" w:styleId="704">
    <w:name w:val="Char Char102"/>
    <w:semiHidden/>
    <w:qFormat/>
    <w:uiPriority w:val="0"/>
    <w:rPr>
      <w:rFonts w:ascii="宋体" w:hAnsi="宋体"/>
      <w:kern w:val="2"/>
      <w:sz w:val="21"/>
      <w:szCs w:val="24"/>
      <w:lang w:val="en-US" w:eastAsia="zh-CN"/>
    </w:rPr>
  </w:style>
  <w:style w:type="character" w:customStyle="1" w:styleId="705">
    <w:name w:val="Char Char23"/>
    <w:qFormat/>
    <w:uiPriority w:val="6"/>
    <w:rPr>
      <w:color w:val="0000FF"/>
      <w:sz w:val="21"/>
    </w:rPr>
  </w:style>
  <w:style w:type="character" w:customStyle="1" w:styleId="706">
    <w:name w:val="Char Char25"/>
    <w:qFormat/>
    <w:uiPriority w:val="6"/>
    <w:rPr>
      <w:rFonts w:ascii="宋体" w:hAnsi="宋体"/>
      <w:kern w:val="1"/>
      <w:sz w:val="24"/>
      <w:lang w:val="zh-CN"/>
    </w:rPr>
  </w:style>
  <w:style w:type="character" w:customStyle="1" w:styleId="707">
    <w:name w:val="Char Char35"/>
    <w:uiPriority w:val="6"/>
    <w:rPr>
      <w:rFonts w:ascii="Arial" w:hAnsi="Arial" w:eastAsia="黑体"/>
      <w:b/>
      <w:kern w:val="1"/>
      <w:sz w:val="28"/>
      <w:szCs w:val="28"/>
      <w:lang w:val="zh-CN"/>
    </w:rPr>
  </w:style>
  <w:style w:type="character" w:customStyle="1" w:styleId="708">
    <w:name w:val="font81"/>
    <w:qFormat/>
    <w:uiPriority w:val="0"/>
    <w:rPr>
      <w:rFonts w:ascii="微软雅黑" w:hAnsi="微软雅黑" w:eastAsia="微软雅黑" w:cs="微软雅黑"/>
      <w:color w:val="000000"/>
      <w:sz w:val="20"/>
      <w:szCs w:val="20"/>
      <w:u w:val="none"/>
    </w:rPr>
  </w:style>
  <w:style w:type="character" w:customStyle="1" w:styleId="709">
    <w:name w:val="font51"/>
    <w:qFormat/>
    <w:uiPriority w:val="0"/>
    <w:rPr>
      <w:rFonts w:hint="eastAsia" w:ascii="仿宋" w:hAnsi="仿宋" w:eastAsia="仿宋" w:cs="仿宋"/>
      <w:color w:val="000000"/>
      <w:sz w:val="20"/>
      <w:szCs w:val="20"/>
      <w:u w:val="none"/>
    </w:rPr>
  </w:style>
  <w:style w:type="character" w:customStyle="1" w:styleId="710">
    <w:name w:val="font31"/>
    <w:qFormat/>
    <w:uiPriority w:val="0"/>
    <w:rPr>
      <w:rFonts w:hint="eastAsia" w:ascii="仿宋" w:hAnsi="仿宋" w:eastAsia="仿宋" w:cs="仿宋"/>
      <w:color w:val="000000"/>
      <w:sz w:val="20"/>
      <w:szCs w:val="20"/>
      <w:u w:val="none"/>
    </w:rPr>
  </w:style>
  <w:style w:type="character" w:customStyle="1" w:styleId="711">
    <w:name w:val="font01"/>
    <w:qFormat/>
    <w:uiPriority w:val="0"/>
    <w:rPr>
      <w:rFonts w:hint="eastAsia" w:ascii="微软雅黑" w:hAnsi="微软雅黑" w:eastAsia="微软雅黑" w:cs="微软雅黑"/>
      <w:color w:val="000000"/>
      <w:sz w:val="20"/>
      <w:szCs w:val="20"/>
      <w:u w:val="none"/>
    </w:rPr>
  </w:style>
  <w:style w:type="character" w:customStyle="1" w:styleId="712">
    <w:name w:val="font61"/>
    <w:uiPriority w:val="0"/>
    <w:rPr>
      <w:rFonts w:hint="eastAsia" w:ascii="仿宋" w:hAnsi="仿宋" w:eastAsia="仿宋" w:cs="仿宋"/>
      <w:color w:val="000000"/>
      <w:sz w:val="20"/>
      <w:szCs w:val="20"/>
      <w:u w:val="none"/>
    </w:rPr>
  </w:style>
  <w:style w:type="paragraph" w:customStyle="1" w:styleId="71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14">
    <w:name w:val="Char Char Char Char Char Char Char1"/>
    <w:basedOn w:val="1"/>
    <w:qFormat/>
    <w:uiPriority w:val="6"/>
    <w:rPr>
      <w:rFonts w:ascii="仿宋_GB2312" w:eastAsia="仿宋_GB2312"/>
      <w:b/>
      <w:sz w:val="32"/>
      <w:szCs w:val="32"/>
    </w:rPr>
  </w:style>
  <w:style w:type="paragraph" w:customStyle="1" w:styleId="715">
    <w:name w:val="TOC 标题11"/>
    <w:basedOn w:val="2"/>
    <w:next w:val="1"/>
    <w:unhideWhenUsed/>
    <w:qFormat/>
    <w:uiPriority w:val="4"/>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716">
    <w:name w:val="Char Char1 Char Char Char Char Char Char1"/>
    <w:basedOn w:val="1"/>
    <w:uiPriority w:val="0"/>
    <w:rPr>
      <w:rFonts w:ascii="仿宋_GB2312" w:eastAsia="仿宋_GB2312"/>
      <w:b/>
      <w:sz w:val="32"/>
      <w:szCs w:val="20"/>
    </w:rPr>
  </w:style>
  <w:style w:type="paragraph" w:customStyle="1" w:styleId="7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7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9">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1">
    <w:name w:val="Char23"/>
    <w:basedOn w:val="1"/>
    <w:qFormat/>
    <w:uiPriority w:val="0"/>
    <w:rPr>
      <w:rFonts w:ascii="仿宋_GB2312" w:eastAsia="仿宋_GB2312"/>
      <w:b/>
      <w:sz w:val="32"/>
      <w:szCs w:val="32"/>
    </w:rPr>
  </w:style>
  <w:style w:type="paragraph" w:customStyle="1" w:styleId="7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23">
    <w:name w:val="正文 New New New New"/>
    <w:uiPriority w:val="2"/>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5">
    <w:name w:val="Char111"/>
    <w:basedOn w:val="1"/>
    <w:qFormat/>
    <w:uiPriority w:val="0"/>
    <w:rPr>
      <w:rFonts w:ascii="仿宋_GB2312" w:eastAsia="仿宋_GB2312"/>
      <w:b/>
      <w:sz w:val="32"/>
      <w:szCs w:val="32"/>
    </w:rPr>
  </w:style>
  <w:style w:type="paragraph" w:customStyle="1" w:styleId="72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2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28">
    <w:name w:val="Char Char11 Char Char Char Char Char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729">
    <w:name w:val="Char2 Char Char1"/>
    <w:basedOn w:val="1"/>
    <w:qFormat/>
    <w:uiPriority w:val="6"/>
    <w:pPr>
      <w:adjustRightInd/>
    </w:pPr>
    <w:rPr>
      <w:rFonts w:ascii="Tahoma" w:hAnsi="Tahoma"/>
      <w:sz w:val="24"/>
      <w:szCs w:val="20"/>
    </w:rPr>
  </w:style>
  <w:style w:type="paragraph" w:customStyle="1" w:styleId="7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2">
    <w:name w:val="xl80"/>
    <w:basedOn w:val="1"/>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3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73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35">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736">
    <w:name w:val="列出段落5"/>
    <w:basedOn w:val="1"/>
    <w:qFormat/>
    <w:uiPriority w:val="0"/>
    <w:pPr>
      <w:spacing w:line="360" w:lineRule="auto"/>
      <w:ind w:firstLine="200" w:firstLineChars="200"/>
    </w:pPr>
    <w:rPr>
      <w:rFonts w:eastAsia="楷体_GB2312" w:cs="Lucida Sans"/>
      <w:sz w:val="24"/>
    </w:rPr>
  </w:style>
  <w:style w:type="paragraph" w:customStyle="1" w:styleId="737">
    <w:name w:val="Char Char11 Char Char Char1"/>
    <w:basedOn w:val="1"/>
    <w:uiPriority w:val="6"/>
    <w:pPr>
      <w:spacing w:line="360" w:lineRule="auto"/>
    </w:pPr>
    <w:rPr>
      <w:szCs w:val="20"/>
    </w:rPr>
  </w:style>
  <w:style w:type="paragraph" w:customStyle="1" w:styleId="738">
    <w:name w:val="Char Char Char Char11"/>
    <w:basedOn w:val="1"/>
    <w:qFormat/>
    <w:uiPriority w:val="0"/>
    <w:rPr>
      <w:rFonts w:ascii="Tahoma" w:hAnsi="Tahoma"/>
      <w:sz w:val="24"/>
      <w:szCs w:val="20"/>
    </w:rPr>
  </w:style>
  <w:style w:type="paragraph" w:customStyle="1" w:styleId="7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4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xl6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3">
    <w:name w:val="Char Char Char Char Char Char Char Char Char Char1"/>
    <w:basedOn w:val="1"/>
    <w:qFormat/>
    <w:uiPriority w:val="0"/>
    <w:rPr>
      <w:rFonts w:ascii="仿宋_GB2312" w:eastAsia="仿宋_GB2312"/>
      <w:b/>
      <w:sz w:val="32"/>
      <w:szCs w:val="32"/>
    </w:rPr>
  </w:style>
  <w:style w:type="paragraph" w:customStyle="1" w:styleId="744">
    <w:name w:val="Char Char11 Char Char Char Char Char Char Char Char Char1"/>
    <w:basedOn w:val="1"/>
    <w:qFormat/>
    <w:uiPriority w:val="6"/>
    <w:pPr>
      <w:spacing w:line="360" w:lineRule="auto"/>
    </w:pPr>
    <w:rPr>
      <w:szCs w:val="20"/>
    </w:rPr>
  </w:style>
  <w:style w:type="paragraph" w:customStyle="1" w:styleId="745">
    <w:name w:val="Char Char110"/>
    <w:basedOn w:val="1"/>
    <w:uiPriority w:val="6"/>
    <w:pPr>
      <w:spacing w:line="360" w:lineRule="auto"/>
    </w:pPr>
    <w:rPr>
      <w:rFonts w:ascii="Tahoma" w:hAnsi="Tahoma"/>
      <w:sz w:val="24"/>
      <w:szCs w:val="20"/>
    </w:rPr>
  </w:style>
  <w:style w:type="paragraph" w:customStyle="1" w:styleId="7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9">
    <w:name w:val="Char31"/>
    <w:basedOn w:val="1"/>
    <w:uiPriority w:val="0"/>
    <w:pPr>
      <w:adjustRightInd/>
    </w:pPr>
    <w:rPr>
      <w:rFonts w:ascii="仿宋_GB2312" w:eastAsia="仿宋_GB2312"/>
      <w:b/>
      <w:sz w:val="32"/>
      <w:szCs w:val="32"/>
    </w:rPr>
  </w:style>
  <w:style w:type="paragraph" w:customStyle="1" w:styleId="75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51">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53">
    <w:name w:val="修订2"/>
    <w:qFormat/>
    <w:uiPriority w:val="0"/>
    <w:rPr>
      <w:rFonts w:ascii="Times New Roman" w:hAnsi="Times New Roman" w:eastAsia="宋体" w:cs="Times New Roman"/>
      <w:kern w:val="2"/>
      <w:sz w:val="21"/>
      <w:szCs w:val="20"/>
      <w:lang w:val="en-US" w:eastAsia="zh-CN" w:bidi="ar-SA"/>
    </w:rPr>
  </w:style>
  <w:style w:type="paragraph" w:customStyle="1" w:styleId="75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5">
    <w:name w:val="Char Char112"/>
    <w:basedOn w:val="1"/>
    <w:qFormat/>
    <w:uiPriority w:val="6"/>
    <w:pPr>
      <w:widowControl/>
      <w:spacing w:after="160" w:line="240" w:lineRule="exact"/>
      <w:jc w:val="left"/>
    </w:pPr>
    <w:rPr>
      <w:rFonts w:eastAsia="仿宋_GB2312"/>
      <w:sz w:val="28"/>
    </w:rPr>
  </w:style>
  <w:style w:type="paragraph" w:customStyle="1" w:styleId="756">
    <w:name w:val="Char5"/>
    <w:basedOn w:val="1"/>
    <w:uiPriority w:val="0"/>
    <w:rPr>
      <w:rFonts w:ascii="仿宋_GB2312" w:eastAsia="仿宋_GB2312"/>
      <w:b/>
      <w:sz w:val="32"/>
      <w:szCs w:val="32"/>
    </w:rPr>
  </w:style>
  <w:style w:type="paragraph" w:customStyle="1" w:styleId="75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8">
    <w:name w:val="Char Char Char Char Char Char Char Char Char Char Char Char1 Char1"/>
    <w:basedOn w:val="1"/>
    <w:qFormat/>
    <w:uiPriority w:val="6"/>
    <w:rPr>
      <w:rFonts w:ascii="Tahoma" w:hAnsi="Tahoma" w:cs="仿宋_GB2312"/>
      <w:sz w:val="24"/>
      <w:szCs w:val="20"/>
    </w:rPr>
  </w:style>
  <w:style w:type="paragraph" w:customStyle="1" w:styleId="759">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60">
    <w:name w:val="Body Text 2*"/>
    <w:basedOn w:val="1"/>
    <w:uiPriority w:val="6"/>
    <w:pPr>
      <w:widowControl/>
      <w:adjustRightInd/>
      <w:ind w:left="720" w:hanging="720"/>
    </w:pPr>
    <w:rPr>
      <w:color w:val="000000"/>
      <w:kern w:val="0"/>
      <w:sz w:val="24"/>
      <w:szCs w:val="20"/>
      <w:lang w:val="en-GB"/>
    </w:rPr>
  </w:style>
  <w:style w:type="paragraph" w:customStyle="1" w:styleId="761">
    <w:name w:val="样式 左侧:  0.85 厘米"/>
    <w:basedOn w:val="1"/>
    <w:qFormat/>
    <w:uiPriority w:val="2"/>
    <w:pPr>
      <w:adjustRightInd/>
      <w:spacing w:line="360" w:lineRule="auto"/>
    </w:pPr>
    <w:rPr>
      <w:rFonts w:cs="宋体"/>
      <w:sz w:val="24"/>
      <w:szCs w:val="20"/>
    </w:rPr>
  </w:style>
  <w:style w:type="paragraph" w:customStyle="1" w:styleId="76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6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764">
    <w:name w:val="Char Char111"/>
    <w:basedOn w:val="1"/>
    <w:qFormat/>
    <w:uiPriority w:val="0"/>
    <w:pPr>
      <w:spacing w:line="360" w:lineRule="auto"/>
    </w:pPr>
    <w:rPr>
      <w:szCs w:val="20"/>
    </w:rPr>
  </w:style>
  <w:style w:type="paragraph" w:customStyle="1" w:styleId="765">
    <w:name w:val="List Paragraph*"/>
    <w:basedOn w:val="1"/>
    <w:uiPriority w:val="7"/>
    <w:pPr>
      <w:adjustRightInd/>
      <w:spacing w:line="360" w:lineRule="auto"/>
      <w:ind w:firstLine="420"/>
    </w:pPr>
    <w:rPr>
      <w:rFonts w:ascii="Calibri" w:hAnsi="Calibri" w:cs="Calibri"/>
      <w:color w:val="000000"/>
      <w:kern w:val="1"/>
      <w:sz w:val="24"/>
      <w:szCs w:val="22"/>
    </w:rPr>
  </w:style>
  <w:style w:type="paragraph" w:customStyle="1" w:styleId="7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6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6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69">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71">
    <w:name w:val="Char Char1 Char Char Char1"/>
    <w:basedOn w:val="1"/>
    <w:qFormat/>
    <w:uiPriority w:val="6"/>
    <w:rPr>
      <w:rFonts w:ascii="仿宋_GB2312" w:eastAsia="仿宋_GB2312"/>
      <w:b/>
      <w:sz w:val="32"/>
      <w:szCs w:val="20"/>
    </w:rPr>
  </w:style>
  <w:style w:type="paragraph" w:customStyle="1" w:styleId="7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74">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7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7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0">
    <w:name w:val="Plain Text1"/>
    <w:basedOn w:val="1"/>
    <w:qFormat/>
    <w:uiPriority w:val="7"/>
    <w:pPr>
      <w:adjustRightInd/>
    </w:pPr>
    <w:rPr>
      <w:rFonts w:ascii="宋体" w:hAnsi="Courier New"/>
    </w:rPr>
  </w:style>
  <w:style w:type="paragraph" w:customStyle="1" w:styleId="78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83">
    <w:name w:val="表内文字"/>
    <w:basedOn w:val="1"/>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Char Char Char1 Char1"/>
    <w:basedOn w:val="1"/>
    <w:qFormat/>
    <w:uiPriority w:val="6"/>
    <w:rPr>
      <w:szCs w:val="20"/>
    </w:rPr>
  </w:style>
  <w:style w:type="paragraph" w:customStyle="1" w:styleId="78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6">
    <w:name w:val="Char3 Char Char Char1"/>
    <w:basedOn w:val="1"/>
    <w:qFormat/>
    <w:uiPriority w:val="6"/>
    <w:pPr>
      <w:widowControl/>
      <w:adjustRightInd/>
      <w:spacing w:after="160" w:line="240" w:lineRule="exact"/>
      <w:jc w:val="left"/>
    </w:pPr>
    <w:rPr>
      <w:szCs w:val="20"/>
    </w:rPr>
  </w:style>
  <w:style w:type="paragraph" w:customStyle="1" w:styleId="787">
    <w:name w:val="Char Char Char Char Char Char Char Char1"/>
    <w:basedOn w:val="1"/>
    <w:uiPriority w:val="0"/>
    <w:pPr>
      <w:tabs>
        <w:tab w:val="left" w:pos="360"/>
      </w:tabs>
    </w:pPr>
    <w:rPr>
      <w:sz w:val="24"/>
      <w:szCs w:val="20"/>
    </w:rPr>
  </w:style>
  <w:style w:type="paragraph" w:customStyle="1" w:styleId="788">
    <w:name w:val="Char2 Char Char Char1"/>
    <w:basedOn w:val="1"/>
    <w:qFormat/>
    <w:uiPriority w:val="6"/>
    <w:rPr>
      <w:rFonts w:ascii="仿宋_GB2312" w:eastAsia="仿宋_GB2312"/>
      <w:b/>
      <w:sz w:val="32"/>
      <w:szCs w:val="32"/>
    </w:rPr>
  </w:style>
  <w:style w:type="paragraph" w:customStyle="1" w:styleId="7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9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9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character" w:customStyle="1" w:styleId="793">
    <w:name w:val="正文样式 Char"/>
    <w:link w:val="794"/>
    <w:uiPriority w:val="0"/>
    <w:rPr>
      <w:rFonts w:ascii="Calibri" w:hAnsi="Calibri"/>
      <w:sz w:val="24"/>
      <w:szCs w:val="24"/>
    </w:rPr>
  </w:style>
  <w:style w:type="paragraph" w:customStyle="1" w:styleId="794">
    <w:name w:val="正文样式"/>
    <w:basedOn w:val="1"/>
    <w:link w:val="793"/>
    <w:qFormat/>
    <w:uiPriority w:val="0"/>
    <w:pPr>
      <w:adjustRightInd/>
      <w:spacing w:line="360" w:lineRule="auto"/>
      <w:ind w:firstLine="480" w:firstLineChars="200"/>
    </w:pPr>
    <w:rPr>
      <w:rFonts w:ascii="Calibri" w:hAnsi="Calibri" w:eastAsia="宋体" w:cs="Times New Roman"/>
      <w:sz w:val="24"/>
    </w:rPr>
  </w:style>
  <w:style w:type="character" w:customStyle="1" w:styleId="795">
    <w:name w:val="表正文 Char3"/>
    <w:qFormat/>
    <w:uiPriority w:val="0"/>
    <w:rPr>
      <w:rFonts w:eastAsia="宋体"/>
    </w:rPr>
  </w:style>
  <w:style w:type="character" w:customStyle="1" w:styleId="796">
    <w:name w:val="h Char1"/>
    <w:uiPriority w:val="0"/>
    <w:rPr>
      <w:sz w:val="18"/>
      <w:szCs w:val="18"/>
    </w:rPr>
  </w:style>
  <w:style w:type="character" w:customStyle="1" w:styleId="797">
    <w:name w:val="Char Char161"/>
    <w:qFormat/>
    <w:uiPriority w:val="0"/>
    <w:rPr>
      <w:rFonts w:eastAsia="宋体"/>
      <w:b/>
      <w:kern w:val="2"/>
      <w:sz w:val="32"/>
      <w:lang w:val="en-US" w:eastAsia="zh-CN"/>
    </w:rPr>
  </w:style>
  <w:style w:type="character" w:customStyle="1" w:styleId="798">
    <w:name w:val="编号，小四 Char"/>
    <w:link w:val="799"/>
    <w:qFormat/>
    <w:uiPriority w:val="0"/>
    <w:rPr>
      <w:rFonts w:ascii="Arial" w:hAnsi="Arial"/>
      <w:sz w:val="24"/>
    </w:rPr>
  </w:style>
  <w:style w:type="paragraph" w:customStyle="1" w:styleId="799">
    <w:name w:val="编号，小四"/>
    <w:basedOn w:val="1"/>
    <w:link w:val="798"/>
    <w:qFormat/>
    <w:uiPriority w:val="0"/>
    <w:pPr>
      <w:tabs>
        <w:tab w:val="left" w:pos="432"/>
      </w:tabs>
      <w:adjustRightInd/>
      <w:spacing w:line="360" w:lineRule="auto"/>
      <w:ind w:left="432" w:hanging="432"/>
    </w:pPr>
    <w:rPr>
      <w:rFonts w:ascii="Arial" w:hAnsi="Arial" w:eastAsia="宋体" w:cs="Times New Roman"/>
      <w:sz w:val="24"/>
      <w:szCs w:val="22"/>
    </w:rPr>
  </w:style>
  <w:style w:type="character" w:customStyle="1" w:styleId="800">
    <w:name w:val="段落 Char Char"/>
    <w:link w:val="801"/>
    <w:qFormat/>
    <w:uiPriority w:val="0"/>
    <w:rPr>
      <w:rFonts w:ascii="宋体" w:hAnsi="宋体"/>
      <w:sz w:val="24"/>
    </w:rPr>
  </w:style>
  <w:style w:type="paragraph" w:customStyle="1" w:styleId="801">
    <w:name w:val="段落"/>
    <w:basedOn w:val="1"/>
    <w:link w:val="800"/>
    <w:qFormat/>
    <w:uiPriority w:val="0"/>
    <w:pPr>
      <w:adjustRightInd/>
      <w:spacing w:line="360" w:lineRule="auto"/>
      <w:ind w:firstLine="480" w:firstLineChars="200"/>
    </w:pPr>
    <w:rPr>
      <w:rFonts w:ascii="宋体" w:hAnsi="宋体" w:eastAsia="宋体" w:cs="Times New Roman"/>
      <w:sz w:val="24"/>
      <w:szCs w:val="22"/>
    </w:rPr>
  </w:style>
  <w:style w:type="character" w:customStyle="1" w:styleId="802">
    <w:name w:val="maywed421"/>
    <w:uiPriority w:val="0"/>
    <w:rPr>
      <w:color w:val="366FB6"/>
      <w:u w:val="none"/>
    </w:rPr>
  </w:style>
  <w:style w:type="character" w:customStyle="1" w:styleId="803">
    <w:name w:val="哈哈正文 Char Char"/>
    <w:qFormat/>
    <w:uiPriority w:val="0"/>
    <w:rPr>
      <w:rFonts w:ascii="宋体" w:hAnsi="宋体" w:eastAsia="宋体" w:cs="宋体"/>
      <w:kern w:val="2"/>
      <w:sz w:val="24"/>
      <w:lang w:val="en-US" w:eastAsia="zh-CN" w:bidi="ar-SA"/>
    </w:rPr>
  </w:style>
  <w:style w:type="character" w:customStyle="1" w:styleId="804">
    <w:name w:val="font11"/>
    <w:qFormat/>
    <w:uiPriority w:val="0"/>
    <w:rPr>
      <w:rFonts w:hint="default" w:ascii="Times New Roman" w:hAnsi="Times New Roman" w:cs="Times New Roman"/>
      <w:color w:val="000000"/>
      <w:sz w:val="22"/>
      <w:szCs w:val="22"/>
      <w:u w:val="none"/>
    </w:rPr>
  </w:style>
  <w:style w:type="character" w:customStyle="1" w:styleId="805">
    <w:name w:val="font41"/>
    <w:qFormat/>
    <w:uiPriority w:val="0"/>
    <w:rPr>
      <w:rFonts w:hint="eastAsia" w:ascii="仿宋_GB2312" w:eastAsia="仿宋_GB2312" w:cs="仿宋_GB2312"/>
      <w:color w:val="000000"/>
      <w:sz w:val="22"/>
      <w:szCs w:val="22"/>
      <w:u w:val="none"/>
    </w:rPr>
  </w:style>
  <w:style w:type="character" w:customStyle="1" w:styleId="806">
    <w:name w:val="5正文 Char"/>
    <w:link w:val="807"/>
    <w:qFormat/>
    <w:uiPriority w:val="0"/>
    <w:rPr>
      <w:rFonts w:ascii="仿宋_GB2312" w:hAnsi="微软雅黑" w:eastAsia="仿宋_GB2312"/>
      <w:sz w:val="28"/>
      <w:szCs w:val="21"/>
    </w:rPr>
  </w:style>
  <w:style w:type="paragraph" w:customStyle="1" w:styleId="807">
    <w:name w:val="5正文"/>
    <w:basedOn w:val="1"/>
    <w:link w:val="806"/>
    <w:qFormat/>
    <w:uiPriority w:val="0"/>
    <w:pPr>
      <w:adjustRightInd/>
      <w:spacing w:line="360" w:lineRule="auto"/>
      <w:ind w:firstLine="566" w:firstLineChars="202"/>
      <w:jc w:val="left"/>
    </w:pPr>
    <w:rPr>
      <w:rFonts w:ascii="仿宋_GB2312" w:hAnsi="微软雅黑" w:eastAsia="仿宋_GB2312" w:cs="Times New Roman"/>
      <w:sz w:val="28"/>
      <w:szCs w:val="21"/>
    </w:rPr>
  </w:style>
  <w:style w:type="character" w:customStyle="1" w:styleId="808">
    <w:name w:val="正文缩进 字符"/>
    <w:uiPriority w:val="0"/>
    <w:rPr>
      <w:rFonts w:ascii="宋体" w:eastAsia="宋体"/>
      <w:snapToGrid w:val="0"/>
      <w:color w:val="000000"/>
      <w:kern w:val="28"/>
      <w:sz w:val="28"/>
      <w:lang w:val="en-US" w:eastAsia="zh-CN" w:bidi="ar-SA"/>
    </w:rPr>
  </w:style>
  <w:style w:type="character" w:customStyle="1" w:styleId="809">
    <w:name w:val="U_正文 Char"/>
    <w:link w:val="810"/>
    <w:qFormat/>
    <w:uiPriority w:val="0"/>
    <w:rPr>
      <w:sz w:val="24"/>
      <w:szCs w:val="24"/>
    </w:rPr>
  </w:style>
  <w:style w:type="paragraph" w:customStyle="1" w:styleId="810">
    <w:name w:val="U_正文"/>
    <w:basedOn w:val="1"/>
    <w:link w:val="809"/>
    <w:qFormat/>
    <w:uiPriority w:val="0"/>
    <w:pPr>
      <w:adjustRightInd/>
      <w:spacing w:beforeLines="20" w:afterLines="20" w:line="300" w:lineRule="auto"/>
      <w:ind w:firstLine="200" w:firstLineChars="200"/>
    </w:pPr>
    <w:rPr>
      <w:rFonts w:ascii="Calibri" w:hAnsi="Calibri" w:eastAsia="宋体" w:cs="Times New Roman"/>
      <w:sz w:val="24"/>
    </w:rPr>
  </w:style>
  <w:style w:type="paragraph" w:customStyle="1" w:styleId="811">
    <w:name w:val="标题2"/>
    <w:basedOn w:val="3"/>
    <w:next w:val="1"/>
    <w:qFormat/>
    <w:uiPriority w:val="0"/>
    <w:pPr>
      <w:numPr>
        <w:ilvl w:val="0"/>
        <w:numId w:val="0"/>
      </w:numPr>
      <w:tabs>
        <w:tab w:val="left" w:pos="578"/>
        <w:tab w:val="left" w:pos="900"/>
        <w:tab w:val="left" w:pos="1440"/>
      </w:tabs>
      <w:ind w:left="1440" w:hanging="360"/>
    </w:pPr>
    <w:rPr>
      <w:rFonts w:ascii="仿宋" w:eastAsia="仿宋" w:cs="宋体"/>
      <w:bCs w:val="0"/>
      <w:szCs w:val="28"/>
    </w:rPr>
  </w:style>
  <w:style w:type="paragraph" w:customStyle="1" w:styleId="812">
    <w:name w:val="_Style 8"/>
    <w:basedOn w:val="1"/>
    <w:qFormat/>
    <w:uiPriority w:val="34"/>
    <w:pPr>
      <w:adjustRightInd/>
      <w:ind w:firstLine="420" w:firstLineChars="200"/>
    </w:pPr>
    <w:rPr>
      <w:rFonts w:eastAsia="仿宋_GB2312"/>
      <w:sz w:val="28"/>
    </w:rPr>
  </w:style>
  <w:style w:type="paragraph" w:customStyle="1" w:styleId="81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4">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_Style 11"/>
    <w:basedOn w:val="1"/>
    <w:qFormat/>
    <w:uiPriority w:val="34"/>
    <w:pPr>
      <w:adjustRightInd/>
      <w:ind w:firstLine="420" w:firstLineChars="200"/>
    </w:pPr>
    <w:rPr>
      <w:rFonts w:eastAsia="仿宋_GB2312"/>
      <w:sz w:val="28"/>
    </w:rPr>
  </w:style>
  <w:style w:type="paragraph" w:customStyle="1" w:styleId="81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18">
    <w:name w:val="标题3"/>
    <w:basedOn w:val="4"/>
    <w:next w:val="51"/>
    <w:qFormat/>
    <w:uiPriority w:val="0"/>
    <w:pPr>
      <w:tabs>
        <w:tab w:val="clear" w:pos="900"/>
      </w:tabs>
      <w:spacing w:after="0" w:line="360" w:lineRule="auto"/>
    </w:pPr>
    <w:rPr>
      <w:rFonts w:ascii="仿宋" w:hAnsi="仿宋" w:eastAsia="仿宋" w:cs="仿宋"/>
    </w:rPr>
  </w:style>
  <w:style w:type="paragraph" w:customStyle="1" w:styleId="819">
    <w:name w:val="_正文段落"/>
    <w:basedOn w:val="1"/>
    <w:qFormat/>
    <w:uiPriority w:val="0"/>
    <w:pPr>
      <w:adjustRightInd/>
      <w:ind w:firstLine="560"/>
    </w:pPr>
    <w:rPr>
      <w:rFonts w:ascii="仿宋_GB2312" w:hAnsi="仿宋" w:eastAsia="仿宋_GB2312"/>
      <w:kern w:val="0"/>
      <w:sz w:val="28"/>
      <w:szCs w:val="28"/>
    </w:rPr>
  </w:style>
  <w:style w:type="paragraph" w:customStyle="1" w:styleId="82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21">
    <w:name w:val="_Style 5"/>
    <w:basedOn w:val="1"/>
    <w:qFormat/>
    <w:uiPriority w:val="34"/>
    <w:pPr>
      <w:adjustRightInd/>
      <w:ind w:firstLine="420" w:firstLineChars="200"/>
    </w:pPr>
    <w:rPr>
      <w:rFonts w:eastAsia="仿宋_GB2312"/>
      <w:sz w:val="28"/>
    </w:rPr>
  </w:style>
  <w:style w:type="paragraph" w:customStyle="1" w:styleId="822">
    <w:name w:val="_Style 3"/>
    <w:basedOn w:val="1"/>
    <w:qFormat/>
    <w:uiPriority w:val="34"/>
    <w:pPr>
      <w:adjustRightInd/>
      <w:ind w:firstLine="420" w:firstLineChars="200"/>
    </w:pPr>
    <w:rPr>
      <w:rFonts w:eastAsia="仿宋_GB2312"/>
      <w:sz w:val="28"/>
    </w:rPr>
  </w:style>
  <w:style w:type="paragraph" w:customStyle="1" w:styleId="823">
    <w:name w:val="_Style 6"/>
    <w:basedOn w:val="1"/>
    <w:qFormat/>
    <w:uiPriority w:val="34"/>
    <w:pPr>
      <w:adjustRightInd/>
      <w:ind w:firstLine="420" w:firstLineChars="200"/>
    </w:pPr>
    <w:rPr>
      <w:rFonts w:eastAsia="仿宋_GB2312"/>
      <w:sz w:val="28"/>
    </w:rPr>
  </w:style>
  <w:style w:type="paragraph" w:customStyle="1" w:styleId="824">
    <w:name w:val="_Style 1"/>
    <w:basedOn w:val="1"/>
    <w:qFormat/>
    <w:uiPriority w:val="34"/>
    <w:pPr>
      <w:adjustRightInd/>
      <w:ind w:firstLine="420" w:firstLineChars="200"/>
    </w:pPr>
    <w:rPr>
      <w:rFonts w:eastAsia="仿宋_GB2312"/>
      <w:sz w:val="28"/>
    </w:rPr>
  </w:style>
  <w:style w:type="paragraph" w:customStyle="1" w:styleId="825">
    <w:name w:val="样式 标题 2 + 四号"/>
    <w:basedOn w:val="3"/>
    <w:qFormat/>
    <w:uiPriority w:val="0"/>
    <w:pPr>
      <w:numPr>
        <w:ilvl w:val="0"/>
        <w:numId w:val="0"/>
      </w:numPr>
      <w:spacing w:before="120" w:after="120"/>
      <w:jc w:val="both"/>
    </w:pPr>
    <w:rPr>
      <w:rFonts w:ascii="宋体" w:hAnsi="Arial" w:eastAsia="宋体"/>
      <w:sz w:val="28"/>
      <w:lang w:val="en-US"/>
    </w:rPr>
  </w:style>
  <w:style w:type="paragraph" w:customStyle="1" w:styleId="82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2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28">
    <w:name w:val="正文1.25"/>
    <w:basedOn w:val="1"/>
    <w:qFormat/>
    <w:uiPriority w:val="0"/>
    <w:pPr>
      <w:adjustRightInd/>
      <w:spacing w:line="300" w:lineRule="auto"/>
      <w:ind w:firstLine="480" w:firstLineChars="200"/>
    </w:pPr>
    <w:rPr>
      <w:sz w:val="24"/>
      <w:szCs w:val="20"/>
    </w:rPr>
  </w:style>
  <w:style w:type="paragraph" w:customStyle="1" w:styleId="829">
    <w:name w:val="U_编号2"/>
    <w:basedOn w:val="1"/>
    <w:qFormat/>
    <w:uiPriority w:val="0"/>
    <w:pPr>
      <w:tabs>
        <w:tab w:val="left" w:pos="785"/>
      </w:tabs>
      <w:adjustRightInd/>
      <w:spacing w:beforeLines="10" w:afterLines="10" w:line="300" w:lineRule="auto"/>
    </w:pPr>
    <w:rPr>
      <w:sz w:val="24"/>
    </w:rPr>
  </w:style>
  <w:style w:type="paragraph" w:customStyle="1" w:styleId="830">
    <w:name w:val="列表1"/>
    <w:basedOn w:val="1"/>
    <w:next w:val="539"/>
    <w:link w:val="831"/>
    <w:qFormat/>
    <w:uiPriority w:val="0"/>
    <w:pPr>
      <w:widowControl/>
      <w:adjustRightInd/>
      <w:spacing w:after="200" w:line="360" w:lineRule="auto"/>
      <w:ind w:left="720" w:firstLine="200" w:firstLineChars="200"/>
      <w:jc w:val="left"/>
    </w:pPr>
    <w:rPr>
      <w:rFonts w:ascii="Calibri" w:hAnsi="Calibri"/>
      <w:kern w:val="0"/>
      <w:sz w:val="24"/>
      <w:szCs w:val="20"/>
      <w:lang w:val="zh-CN" w:eastAsia="en-US"/>
    </w:rPr>
  </w:style>
  <w:style w:type="character" w:customStyle="1" w:styleId="831">
    <w:name w:val="列出段落 Char1"/>
    <w:link w:val="830"/>
    <w:uiPriority w:val="0"/>
    <w:rPr>
      <w:rFonts w:ascii="Calibri" w:hAnsi="Calibri" w:eastAsia="宋体" w:cs="Times New Roman"/>
      <w:kern w:val="0"/>
      <w:sz w:val="24"/>
      <w:szCs w:val="20"/>
      <w:lang w:val="zh-CN" w:eastAsia="en-US"/>
    </w:rPr>
  </w:style>
  <w:style w:type="character" w:customStyle="1" w:styleId="832">
    <w:name w:val="正文首行缩进 Char Char Char Char Char Char1"/>
    <w:uiPriority w:val="0"/>
    <w:rPr>
      <w:rFonts w:ascii="宋体" w:eastAsia="宋体"/>
      <w:kern w:val="2"/>
      <w:sz w:val="24"/>
      <w:szCs w:val="24"/>
      <w:lang w:val="zh-CN" w:bidi="ar-SA"/>
    </w:rPr>
  </w:style>
  <w:style w:type="character" w:customStyle="1" w:styleId="833">
    <w:name w:val="正文首行缩进 Char Char Char Char Char"/>
    <w:uiPriority w:val="0"/>
    <w:rPr>
      <w:rFonts w:ascii="宋体"/>
      <w:kern w:val="2"/>
      <w:sz w:val="24"/>
      <w:lang w:val="zh-CN"/>
    </w:rPr>
  </w:style>
  <w:style w:type="character" w:customStyle="1" w:styleId="834">
    <w:name w:val="Used by Word for text of Help footnotes Char Char1"/>
    <w:uiPriority w:val="0"/>
    <w:rPr>
      <w:color w:val="0000FF"/>
      <w:sz w:val="21"/>
    </w:rPr>
  </w:style>
  <w:style w:type="character" w:customStyle="1" w:styleId="835">
    <w:name w:val="H5 Char"/>
    <w:uiPriority w:val="0"/>
    <w:rPr>
      <w:b/>
      <w:bCs/>
      <w:kern w:val="2"/>
      <w:sz w:val="28"/>
      <w:szCs w:val="28"/>
    </w:rPr>
  </w:style>
  <w:style w:type="character" w:customStyle="1" w:styleId="836">
    <w:name w:val="正文缩进 Char3"/>
    <w:uiPriority w:val="0"/>
    <w:rPr>
      <w:rFonts w:ascii="宋体" w:eastAsia="宋体"/>
      <w:snapToGrid w:val="0"/>
      <w:color w:val="000000"/>
      <w:kern w:val="28"/>
      <w:sz w:val="28"/>
      <w:lang w:val="en-US" w:eastAsia="zh-CN" w:bidi="ar-SA"/>
    </w:rPr>
  </w:style>
  <w:style w:type="character" w:customStyle="1" w:styleId="837">
    <w:name w:val="表名 Char"/>
    <w:uiPriority w:val="0"/>
    <w:rPr>
      <w:rFonts w:eastAsia="宋体"/>
      <w:b/>
      <w:bCs/>
      <w:kern w:val="2"/>
      <w:sz w:val="24"/>
      <w:szCs w:val="24"/>
      <w:lang w:val="en-US" w:eastAsia="zh-CN" w:bidi="ar-SA"/>
    </w:rPr>
  </w:style>
  <w:style w:type="character" w:customStyle="1" w:styleId="838">
    <w:name w:val="图名 Char"/>
    <w:qFormat/>
    <w:uiPriority w:val="0"/>
    <w:rPr>
      <w:rFonts w:ascii="Arial" w:hAnsi="Arial" w:eastAsia="黑体"/>
      <w:kern w:val="2"/>
      <w:sz w:val="24"/>
      <w:szCs w:val="24"/>
      <w:lang w:val="en-US" w:eastAsia="zh-CN" w:bidi="ar-SA"/>
    </w:rPr>
  </w:style>
  <w:style w:type="character" w:customStyle="1" w:styleId="839">
    <w:name w:val="PI Char1"/>
    <w:qFormat/>
    <w:uiPriority w:val="0"/>
    <w:rPr>
      <w:rFonts w:ascii="宋体" w:hAnsi="宋体"/>
      <w:kern w:val="2"/>
      <w:sz w:val="24"/>
      <w:szCs w:val="24"/>
    </w:rPr>
  </w:style>
  <w:style w:type="character" w:customStyle="1" w:styleId="840">
    <w:name w:val="H6 Char"/>
    <w:qFormat/>
    <w:uiPriority w:val="0"/>
    <w:rPr>
      <w:rFonts w:ascii="Arial" w:hAnsi="Arial" w:eastAsia="黑体"/>
      <w:b/>
      <w:bCs/>
      <w:kern w:val="2"/>
      <w:sz w:val="24"/>
      <w:szCs w:val="24"/>
    </w:rPr>
  </w:style>
  <w:style w:type="character" w:customStyle="1" w:styleId="841">
    <w:name w:val="标书1 Char1"/>
    <w:qFormat/>
    <w:uiPriority w:val="0"/>
    <w:rPr>
      <w:rFonts w:eastAsia="宋体"/>
      <w:b/>
      <w:bCs/>
      <w:kern w:val="44"/>
      <w:sz w:val="44"/>
      <w:szCs w:val="44"/>
      <w:lang w:val="en-US" w:eastAsia="zh-CN" w:bidi="ar-SA"/>
    </w:rPr>
  </w:style>
  <w:style w:type="character" w:customStyle="1" w:styleId="842">
    <w:name w:val="h4 Char"/>
    <w:qFormat/>
    <w:uiPriority w:val="0"/>
    <w:rPr>
      <w:rFonts w:ascii="Arial" w:hAnsi="Arial" w:eastAsia="黑体"/>
      <w:b/>
      <w:bCs/>
      <w:kern w:val="2"/>
      <w:sz w:val="28"/>
      <w:szCs w:val="28"/>
      <w:lang w:val="zh-CN" w:eastAsia="zh-CN" w:bidi="ar-SA"/>
    </w:rPr>
  </w:style>
  <w:style w:type="character" w:customStyle="1" w:styleId="8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44">
    <w:name w:val="未用 Char"/>
    <w:qFormat/>
    <w:uiPriority w:val="0"/>
    <w:rPr>
      <w:rFonts w:ascii="Arial" w:hAnsi="Arial" w:eastAsia="黑体"/>
      <w:kern w:val="2"/>
      <w:sz w:val="21"/>
      <w:szCs w:val="21"/>
      <w:lang w:val="en-US" w:eastAsia="zh-CN" w:bidi="ar-SA"/>
    </w:rPr>
  </w:style>
  <w:style w:type="character" w:customStyle="1" w:styleId="845">
    <w:name w:val="正文文字缩进 2 Char Char"/>
    <w:qFormat/>
    <w:uiPriority w:val="0"/>
    <w:rPr>
      <w:rFonts w:ascii="宋体"/>
      <w:sz w:val="28"/>
    </w:rPr>
  </w:style>
  <w:style w:type="paragraph" w:customStyle="1" w:styleId="846">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847">
    <w:name w:val="Char Char Char 字元 字元"/>
    <w:basedOn w:val="1"/>
    <w:qFormat/>
    <w:uiPriority w:val="0"/>
    <w:pPr>
      <w:adjustRightInd/>
      <w:spacing w:line="360" w:lineRule="auto"/>
      <w:ind w:firstLine="200" w:firstLineChars="200"/>
    </w:pPr>
    <w:rPr>
      <w:szCs w:val="20"/>
    </w:rPr>
  </w:style>
  <w:style w:type="paragraph" w:customStyle="1" w:styleId="848">
    <w:name w:val="五级无标题条"/>
    <w:basedOn w:val="1"/>
    <w:qFormat/>
    <w:uiPriority w:val="0"/>
    <w:pPr>
      <w:adjustRightInd/>
    </w:pPr>
  </w:style>
  <w:style w:type="paragraph" w:customStyle="1" w:styleId="84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5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51">
    <w:name w:val="中文标题 3"/>
    <w:basedOn w:val="24"/>
    <w:qFormat/>
    <w:uiPriority w:val="0"/>
    <w:pPr>
      <w:adjustRightInd/>
      <w:spacing w:before="100" w:beforeAutospacing="1" w:after="100" w:afterAutospacing="1" w:line="360" w:lineRule="auto"/>
      <w:ind w:left="0" w:leftChars="0" w:firstLine="482"/>
    </w:pPr>
    <w:rPr>
      <w:rFonts w:eastAsia="楷体_GB2312"/>
      <w:kern w:val="28"/>
      <w:sz w:val="24"/>
      <w:lang w:val="zh-CN" w:eastAsia="zh-CN"/>
    </w:rPr>
  </w:style>
  <w:style w:type="paragraph" w:customStyle="1" w:styleId="85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53">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54">
    <w:name w:val="表格非标题文字"/>
    <w:link w:val="85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5">
    <w:name w:val="表格非标题文字 Char"/>
    <w:link w:val="854"/>
    <w:qFormat/>
    <w:uiPriority w:val="0"/>
    <w:rPr>
      <w:rFonts w:ascii="Futura Bk" w:hAnsi="Futura Bk" w:eastAsia="宋体" w:cs="Times New Roman"/>
      <w:sz w:val="18"/>
      <w:szCs w:val="21"/>
    </w:rPr>
  </w:style>
  <w:style w:type="character" w:customStyle="1" w:styleId="856">
    <w:name w:val="页眉 字符"/>
    <w:qFormat/>
    <w:uiPriority w:val="99"/>
    <w:rPr>
      <w:kern w:val="2"/>
      <w:sz w:val="18"/>
      <w:szCs w:val="18"/>
    </w:rPr>
  </w:style>
  <w:style w:type="character" w:customStyle="1" w:styleId="857">
    <w:name w:val="页脚 字符"/>
    <w:qFormat/>
    <w:uiPriority w:val="99"/>
    <w:rPr>
      <w:kern w:val="2"/>
      <w:sz w:val="18"/>
      <w:szCs w:val="18"/>
    </w:rPr>
  </w:style>
  <w:style w:type="character" w:customStyle="1" w:styleId="858">
    <w:name w:val="列表段落 字符"/>
    <w:qFormat/>
    <w:uiPriority w:val="34"/>
  </w:style>
  <w:style w:type="paragraph" w:customStyle="1" w:styleId="859">
    <w:name w:val="列表段落1"/>
    <w:basedOn w:val="1"/>
    <w:qFormat/>
    <w:uiPriority w:val="34"/>
    <w:pPr>
      <w:adjustRightInd/>
      <w:ind w:right="238" w:firstLine="420"/>
    </w:pPr>
    <w:rPr>
      <w:rFonts w:ascii="Calibri" w:hAnsi="Calibri"/>
      <w:sz w:val="24"/>
    </w:rPr>
  </w:style>
  <w:style w:type="character" w:customStyle="1" w:styleId="860">
    <w:name w:val="标题 2 字符"/>
    <w:qFormat/>
    <w:uiPriority w:val="9"/>
    <w:rPr>
      <w:rFonts w:ascii="仿宋_GB2312" w:hAnsi="Times New Roman" w:eastAsia="仿宋_GB2312" w:cs="Times New Roman"/>
      <w:b/>
      <w:kern w:val="2"/>
      <w:sz w:val="24"/>
      <w:lang w:val="zh-CN"/>
    </w:rPr>
  </w:style>
  <w:style w:type="paragraph" w:customStyle="1" w:styleId="861">
    <w:name w:val="样式 标题 3h33rd level3BOD 0H3l3CTHeading 3 - oldLevel 3 He..."/>
    <w:basedOn w:val="4"/>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eastAsia="zh-CN"/>
    </w:rPr>
  </w:style>
  <w:style w:type="paragraph" w:customStyle="1" w:styleId="862">
    <w:name w:val="4级标题"/>
    <w:basedOn w:val="539"/>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63">
    <w:name w:val="3级"/>
    <w:basedOn w:val="861"/>
    <w:link w:val="864"/>
    <w:qFormat/>
    <w:uiPriority w:val="0"/>
    <w:pPr>
      <w:ind w:left="0" w:right="466" w:firstLine="288"/>
    </w:pPr>
    <w:rPr>
      <w:rFonts w:hAnsi="宋体"/>
    </w:rPr>
  </w:style>
  <w:style w:type="character" w:customStyle="1" w:styleId="864">
    <w:name w:val="3级 Char"/>
    <w:link w:val="863"/>
    <w:qFormat/>
    <w:uiPriority w:val="0"/>
    <w:rPr>
      <w:rFonts w:ascii="宋体" w:hAnsi="宋体" w:eastAsia="宋体" w:cs="Times New Roman"/>
      <w:b/>
      <w:bCs/>
      <w:snapToGrid w:val="0"/>
      <w:kern w:val="0"/>
      <w:sz w:val="28"/>
      <w:szCs w:val="20"/>
      <w:lang w:val="zh-CN" w:eastAsia="zh-CN"/>
    </w:rPr>
  </w:style>
  <w:style w:type="character" w:customStyle="1" w:styleId="865">
    <w:name w:val="标题 3 字符"/>
    <w:qFormat/>
    <w:uiPriority w:val="9"/>
    <w:rPr>
      <w:b/>
      <w:bCs/>
      <w:kern w:val="2"/>
      <w:sz w:val="32"/>
      <w:szCs w:val="32"/>
    </w:rPr>
  </w:style>
  <w:style w:type="character" w:customStyle="1" w:styleId="866">
    <w:name w:val="标题 4 字符"/>
    <w:qFormat/>
    <w:uiPriority w:val="9"/>
    <w:rPr>
      <w:rFonts w:ascii="等线 Light" w:hAnsi="等线 Light" w:eastAsia="等线 Light" w:cs="Times New Roman"/>
      <w:b/>
      <w:bCs/>
      <w:snapToGrid/>
      <w:kern w:val="0"/>
      <w:sz w:val="28"/>
      <w:szCs w:val="28"/>
    </w:rPr>
  </w:style>
  <w:style w:type="character" w:customStyle="1" w:styleId="867">
    <w:name w:val="标题 1 字符"/>
    <w:qFormat/>
    <w:uiPriority w:val="9"/>
    <w:rPr>
      <w:rFonts w:ascii="Arial" w:hAnsi="Arial" w:eastAsia="黑体" w:cs="Arial"/>
      <w:b/>
      <w:bCs/>
      <w:snapToGrid/>
      <w:kern w:val="44"/>
      <w:sz w:val="44"/>
      <w:szCs w:val="44"/>
    </w:rPr>
  </w:style>
  <w:style w:type="character" w:customStyle="1" w:styleId="868">
    <w:name w:val="批注文字 字符"/>
    <w:qFormat/>
    <w:uiPriority w:val="0"/>
    <w:rPr>
      <w:rFonts w:ascii="Arial" w:hAnsi="Arial" w:eastAsia="黑体" w:cs="Arial"/>
      <w:snapToGrid/>
      <w:kern w:val="0"/>
      <w:szCs w:val="21"/>
    </w:rPr>
  </w:style>
  <w:style w:type="character" w:customStyle="1" w:styleId="869">
    <w:name w:val="批注框文本 字符"/>
    <w:semiHidden/>
    <w:qFormat/>
    <w:uiPriority w:val="99"/>
    <w:rPr>
      <w:rFonts w:ascii="Arial" w:hAnsi="Arial" w:eastAsia="黑体" w:cs="Arial"/>
      <w:snapToGrid/>
      <w:kern w:val="0"/>
      <w:sz w:val="18"/>
      <w:szCs w:val="18"/>
    </w:rPr>
  </w:style>
  <w:style w:type="paragraph" w:customStyle="1" w:styleId="87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871">
    <w:name w:val="纯文本 字符"/>
    <w:qFormat/>
    <w:uiPriority w:val="0"/>
    <w:rPr>
      <w:rFonts w:ascii="宋体" w:hAnsi="Courier New" w:eastAsia="宋体" w:cs="Arial"/>
      <w:snapToGrid w:val="0"/>
      <w:kern w:val="2"/>
      <w:sz w:val="21"/>
      <w:szCs w:val="21"/>
      <w:lang w:val="en-US" w:eastAsia="zh-CN" w:bidi="ar-SA"/>
    </w:rPr>
  </w:style>
  <w:style w:type="paragraph" w:customStyle="1" w:styleId="872">
    <w:name w:val="_标题2"/>
    <w:basedOn w:val="873"/>
    <w:next w:val="87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73">
    <w:name w:val="__正文"/>
    <w:link w:val="874"/>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74">
    <w:name w:val="__正文 Char"/>
    <w:link w:val="873"/>
    <w:qFormat/>
    <w:uiPriority w:val="0"/>
    <w:rPr>
      <w:rFonts w:ascii="Calibri" w:hAnsi="Calibri" w:eastAsia="等线" w:cs="Times New Roman"/>
      <w:sz w:val="24"/>
      <w:szCs w:val="21"/>
    </w:rPr>
  </w:style>
  <w:style w:type="paragraph" w:customStyle="1" w:styleId="875">
    <w:name w:val="l正文"/>
    <w:basedOn w:val="1"/>
    <w:qFormat/>
    <w:uiPriority w:val="0"/>
    <w:pPr>
      <w:spacing w:line="360" w:lineRule="auto"/>
      <w:ind w:firstLine="200" w:firstLineChars="200"/>
    </w:pPr>
    <w:rPr>
      <w:rFonts w:ascii="宋体" w:hAnsi="宋体"/>
      <w:sz w:val="24"/>
    </w:rPr>
  </w:style>
  <w:style w:type="paragraph" w:customStyle="1" w:styleId="876">
    <w:name w:val="_标题3"/>
    <w:basedOn w:val="873"/>
    <w:next w:val="873"/>
    <w:qFormat/>
    <w:uiPriority w:val="0"/>
    <w:pPr>
      <w:widowControl w:val="0"/>
      <w:spacing w:before="50" w:beforeLines="50" w:after="50" w:afterLines="50"/>
      <w:ind w:firstLine="0" w:firstLineChars="0"/>
      <w:outlineLvl w:val="2"/>
    </w:pPr>
    <w:rPr>
      <w:rFonts w:eastAsia="宋体"/>
      <w:b/>
      <w:sz w:val="32"/>
    </w:rPr>
  </w:style>
  <w:style w:type="paragraph" w:customStyle="1" w:styleId="877">
    <w:name w:val="_标题1"/>
    <w:basedOn w:val="873"/>
    <w:next w:val="873"/>
    <w:qFormat/>
    <w:uiPriority w:val="0"/>
    <w:pPr>
      <w:widowControl w:val="0"/>
      <w:spacing w:before="156" w:beforeLines="50" w:after="156" w:afterLines="50"/>
      <w:ind w:firstLine="0" w:firstLineChars="0"/>
      <w:outlineLvl w:val="0"/>
    </w:pPr>
    <w:rPr>
      <w:rFonts w:eastAsia="黑体"/>
      <w:b/>
      <w:sz w:val="32"/>
    </w:rPr>
  </w:style>
  <w:style w:type="paragraph" w:customStyle="1" w:styleId="878">
    <w:name w:val="_标题5"/>
    <w:basedOn w:val="873"/>
    <w:next w:val="873"/>
    <w:qFormat/>
    <w:uiPriority w:val="0"/>
    <w:pPr>
      <w:spacing w:before="120" w:after="120"/>
      <w:ind w:left="4679" w:firstLine="0" w:firstLineChars="0"/>
      <w:outlineLvl w:val="4"/>
    </w:pPr>
    <w:rPr>
      <w:rFonts w:ascii="仿宋" w:hAnsi="仿宋" w:eastAsia="仿宋"/>
      <w:b/>
      <w:sz w:val="28"/>
    </w:rPr>
  </w:style>
  <w:style w:type="paragraph" w:customStyle="1" w:styleId="879">
    <w:name w:val="样式_杭州市局"/>
    <w:basedOn w:val="1"/>
    <w:qFormat/>
    <w:uiPriority w:val="0"/>
    <w:pPr>
      <w:ind w:firstLine="200" w:firstLineChars="200"/>
    </w:pPr>
    <w:rPr>
      <w:rFonts w:ascii="仿宋" w:hAnsi="仿宋" w:eastAsia="仿宋" w:cs="黑体"/>
      <w:sz w:val="28"/>
      <w:szCs w:val="28"/>
    </w:rPr>
  </w:style>
  <w:style w:type="paragraph" w:customStyle="1" w:styleId="880">
    <w:name w:val="！正文（四号字）"/>
    <w:link w:val="881"/>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81">
    <w:name w:val="！正文（四号字） Char"/>
    <w:link w:val="880"/>
    <w:qFormat/>
    <w:uiPriority w:val="0"/>
    <w:rPr>
      <w:rFonts w:ascii="等线" w:hAnsi="等线" w:eastAsia="仿宋_GB2312" w:cs="黑体"/>
      <w:sz w:val="24"/>
      <w:szCs w:val="28"/>
    </w:rPr>
  </w:style>
  <w:style w:type="table" w:customStyle="1" w:styleId="882">
    <w:name w:val="Table Normal"/>
    <w:unhideWhenUsed/>
    <w:qFormat/>
    <w:uiPriority w:val="2"/>
    <w:pPr>
      <w:widowControl w:val="0"/>
      <w:autoSpaceDE w:val="0"/>
      <w:autoSpaceDN w:val="0"/>
    </w:pPr>
    <w:rPr>
      <w:rFonts w:ascii="Calibri" w:hAnsi="Calibri" w:eastAsia="宋体" w:cs="Times New Roman"/>
      <w:kern w:val="0"/>
      <w:sz w:val="22"/>
      <w:lang w:eastAsia="en-US"/>
    </w:rPr>
    <w:tblPr>
      <w:tblStyle w:val="62"/>
      <w:tblCellMar>
        <w:top w:w="0" w:type="dxa"/>
        <w:left w:w="0" w:type="dxa"/>
        <w:bottom w:w="0" w:type="dxa"/>
        <w:right w:w="0" w:type="dxa"/>
      </w:tblCellMar>
    </w:tblPr>
  </w:style>
  <w:style w:type="paragraph" w:customStyle="1" w:styleId="883">
    <w:name w:val="Char Char Char Char Char Char2 Char Char Char Char"/>
    <w:basedOn w:val="1"/>
    <w:qFormat/>
    <w:uiPriority w:val="0"/>
    <w:pPr>
      <w:adjustRightInd/>
    </w:pPr>
  </w:style>
  <w:style w:type="character" w:customStyle="1" w:styleId="884">
    <w:name w:val="正文(首行缩进) Char"/>
    <w:link w:val="885"/>
    <w:qFormat/>
    <w:locked/>
    <w:uiPriority w:val="0"/>
    <w:rPr>
      <w:rFonts w:ascii="Arial" w:hAnsi="Arial" w:cs="Arial"/>
      <w:szCs w:val="24"/>
    </w:rPr>
  </w:style>
  <w:style w:type="paragraph" w:customStyle="1" w:styleId="885">
    <w:name w:val="正文(首行缩进)"/>
    <w:basedOn w:val="1"/>
    <w:next w:val="1"/>
    <w:link w:val="884"/>
    <w:qFormat/>
    <w:uiPriority w:val="0"/>
    <w:pPr>
      <w:adjustRightInd/>
      <w:snapToGrid w:val="0"/>
      <w:spacing w:before="10" w:line="360" w:lineRule="auto"/>
      <w:ind w:firstLine="482"/>
    </w:pPr>
    <w:rPr>
      <w:rFonts w:ascii="Arial" w:hAnsi="Arial" w:eastAsia="宋体" w:cs="Arial"/>
    </w:rPr>
  </w:style>
  <w:style w:type="paragraph" w:customStyle="1" w:styleId="886">
    <w:name w:val="条目2"/>
    <w:basedOn w:val="32"/>
    <w:qFormat/>
    <w:uiPriority w:val="0"/>
    <w:pPr>
      <w:tabs>
        <w:tab w:val="left" w:pos="420"/>
      </w:tabs>
      <w:adjustRightInd/>
      <w:spacing w:line="360" w:lineRule="auto"/>
      <w:ind w:left="420" w:hanging="420"/>
    </w:pPr>
    <w:rPr>
      <w:rFonts w:cs="Courier New"/>
      <w:snapToGrid/>
      <w:color w:val="000000"/>
      <w:sz w:val="24"/>
    </w:rPr>
  </w:style>
  <w:style w:type="paragraph" w:customStyle="1" w:styleId="887">
    <w:name w:val="HD正文1"/>
    <w:basedOn w:val="1"/>
    <w:next w:val="24"/>
    <w:uiPriority w:val="0"/>
    <w:pPr>
      <w:adjustRightInd/>
      <w:spacing w:line="360" w:lineRule="auto"/>
      <w:ind w:firstLine="480" w:firstLineChars="200"/>
    </w:pPr>
    <w:rPr>
      <w:rFonts w:ascii="宋体" w:hAnsi="宋体"/>
      <w:sz w:val="24"/>
      <w:szCs w:val="21"/>
    </w:rPr>
  </w:style>
  <w:style w:type="paragraph" w:customStyle="1" w:styleId="888">
    <w:name w:val="正文00"/>
    <w:basedOn w:val="1"/>
    <w:uiPriority w:val="0"/>
    <w:pPr>
      <w:tabs>
        <w:tab w:val="left" w:pos="0"/>
      </w:tabs>
      <w:adjustRightInd/>
      <w:spacing w:line="360" w:lineRule="auto"/>
      <w:ind w:firstLine="480" w:firstLineChars="200"/>
    </w:pPr>
    <w:rPr>
      <w:rFonts w:ascii="宋体" w:hAnsi="宋体"/>
      <w:kern w:val="28"/>
      <w:sz w:val="24"/>
    </w:rPr>
  </w:style>
  <w:style w:type="paragraph" w:customStyle="1" w:styleId="889">
    <w:name w:val="注×："/>
    <w:uiPriority w:val="0"/>
    <w:pPr>
      <w:widowControl w:val="0"/>
      <w:tabs>
        <w:tab w:val="left" w:pos="791"/>
      </w:tabs>
      <w:autoSpaceDE w:val="0"/>
      <w:autoSpaceDN w:val="0"/>
      <w:ind w:left="420" w:hanging="420"/>
      <w:jc w:val="both"/>
    </w:pPr>
    <w:rPr>
      <w:rFonts w:ascii="宋体" w:hAnsi="Times New Roman" w:eastAsia="宋体" w:cs="Times New Roman"/>
      <w:kern w:val="0"/>
      <w:sz w:val="18"/>
      <w:szCs w:val="18"/>
      <w:lang w:val="en-US" w:eastAsia="zh-CN" w:bidi="ar-SA"/>
    </w:rPr>
  </w:style>
  <w:style w:type="paragraph" w:customStyle="1" w:styleId="890">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891">
    <w:name w:val="Char Char Char Char Char Char Char Char Char Char Char"/>
    <w:basedOn w:val="1"/>
    <w:qFormat/>
    <w:uiPriority w:val="0"/>
    <w:pPr>
      <w:adjustRightInd/>
    </w:pPr>
    <w:rPr>
      <w:rFonts w:ascii="Tahoma" w:hAnsi="Tahoma"/>
      <w:sz w:val="24"/>
      <w:szCs w:val="20"/>
    </w:rPr>
  </w:style>
  <w:style w:type="paragraph" w:customStyle="1" w:styleId="892">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893">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94">
    <w:name w:val="条目3"/>
    <w:basedOn w:val="32"/>
    <w:qFormat/>
    <w:uiPriority w:val="0"/>
    <w:pPr>
      <w:adjustRightInd/>
      <w:spacing w:line="360" w:lineRule="auto"/>
    </w:pPr>
    <w:rPr>
      <w:rFonts w:cs="Courier New"/>
      <w:snapToGrid/>
      <w:color w:val="000000"/>
      <w:sz w:val="24"/>
    </w:rPr>
  </w:style>
  <w:style w:type="paragraph" w:customStyle="1" w:styleId="895">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6">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897">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8">
    <w:name w:val="DN-正文 Char"/>
    <w:link w:val="899"/>
    <w:qFormat/>
    <w:locked/>
    <w:uiPriority w:val="0"/>
    <w:rPr>
      <w:rFonts w:ascii="Arial" w:hAnsi="Arial" w:cs="Arial"/>
      <w:szCs w:val="24"/>
    </w:rPr>
  </w:style>
  <w:style w:type="paragraph" w:customStyle="1" w:styleId="899">
    <w:name w:val="DN-正文"/>
    <w:basedOn w:val="15"/>
    <w:link w:val="898"/>
    <w:qFormat/>
    <w:uiPriority w:val="0"/>
    <w:pPr>
      <w:widowControl w:val="0"/>
      <w:adjustRightInd/>
      <w:spacing w:line="400" w:lineRule="exact"/>
      <w:ind w:firstLine="200" w:firstLineChars="200"/>
    </w:pPr>
    <w:rPr>
      <w:rFonts w:ascii="Arial" w:hAnsi="Arial" w:eastAsia="宋体" w:cs="Arial"/>
      <w:snapToGrid/>
      <w:color w:val="auto"/>
      <w:kern w:val="2"/>
      <w:sz w:val="21"/>
      <w:szCs w:val="24"/>
    </w:rPr>
  </w:style>
  <w:style w:type="paragraph" w:customStyle="1" w:styleId="900">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901">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2">
    <w:name w:val="批注主题 Char Char"/>
    <w:basedOn w:val="19"/>
    <w:next w:val="19"/>
    <w:qFormat/>
    <w:uiPriority w:val="0"/>
    <w:pPr>
      <w:adjustRightInd/>
    </w:pPr>
    <w:rPr>
      <w:rFonts w:ascii="仿宋_GB2312"/>
      <w:b/>
      <w:bCs/>
      <w:sz w:val="32"/>
      <w:szCs w:val="32"/>
    </w:rPr>
  </w:style>
  <w:style w:type="paragraph" w:customStyle="1" w:styleId="903">
    <w:name w:val="无间隔3"/>
    <w:qFormat/>
    <w:uiPriority w:val="0"/>
    <w:rPr>
      <w:rFonts w:ascii="Calibri" w:hAnsi="Calibri" w:eastAsia="宋体" w:cs="Times New Roman"/>
      <w:kern w:val="0"/>
      <w:sz w:val="22"/>
      <w:szCs w:val="22"/>
      <w:lang w:val="en-US" w:eastAsia="en-US" w:bidi="ar-SA"/>
    </w:rPr>
  </w:style>
  <w:style w:type="character" w:customStyle="1" w:styleId="904">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5">
    <w:name w:val="c1"/>
    <w:qFormat/>
    <w:uiPriority w:val="0"/>
    <w:rPr>
      <w:rFonts w:hint="eastAsia" w:ascii="仿宋_GB2312" w:hAnsi="Arial" w:eastAsia="宋体" w:cs="Arial"/>
      <w:b/>
      <w:snapToGrid w:val="0"/>
      <w:kern w:val="2"/>
      <w:sz w:val="21"/>
      <w:szCs w:val="21"/>
      <w:lang w:val="en-US" w:eastAsia="zh-CN" w:bidi="ar-SA"/>
    </w:rPr>
  </w:style>
  <w:style w:type="character" w:customStyle="1" w:styleId="906">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7">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8">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9">
    <w:name w:val="标题 8 Char1"/>
    <w:qFormat/>
    <w:uiPriority w:val="0"/>
    <w:rPr>
      <w:rFonts w:hint="default" w:ascii="Cambria" w:hAnsi="Cambria" w:eastAsia="宋体" w:cs="Times New Roman"/>
      <w:snapToGrid w:val="0"/>
      <w:kern w:val="2"/>
      <w:sz w:val="24"/>
      <w:szCs w:val="24"/>
    </w:rPr>
  </w:style>
  <w:style w:type="character" w:customStyle="1" w:styleId="910">
    <w:name w:val="标题 7 Char1"/>
    <w:qFormat/>
    <w:uiPriority w:val="0"/>
    <w:rPr>
      <w:rFonts w:hint="default" w:ascii="Times New Roman" w:hAnsi="Times New Roman" w:eastAsia="黑体" w:cs="Arial"/>
      <w:b/>
      <w:bCs/>
      <w:snapToGrid w:val="0"/>
      <w:kern w:val="2"/>
      <w:sz w:val="24"/>
      <w:szCs w:val="24"/>
    </w:rPr>
  </w:style>
  <w:style w:type="character" w:customStyle="1" w:styleId="911">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2">
    <w:name w:val="标题 9 Char1"/>
    <w:qFormat/>
    <w:uiPriority w:val="0"/>
    <w:rPr>
      <w:rFonts w:hint="default" w:ascii="Cambria" w:hAnsi="Cambria" w:eastAsia="宋体" w:cs="Times New Roman"/>
      <w:snapToGrid w:val="0"/>
      <w:kern w:val="2"/>
      <w:sz w:val="21"/>
      <w:szCs w:val="21"/>
    </w:rPr>
  </w:style>
  <w:style w:type="character" w:customStyle="1" w:styleId="913">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4">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5">
    <w:name w:val="标题 3 Char1"/>
    <w:semiHidden/>
    <w:qFormat/>
    <w:locked/>
    <w:uiPriority w:val="0"/>
    <w:rPr>
      <w:rFonts w:ascii="Times New Roman" w:hAnsi="Times New Roman" w:eastAsia="宋体" w:cs="Times New Roman"/>
      <w:b/>
      <w:bCs/>
      <w:sz w:val="32"/>
      <w:szCs w:val="32"/>
    </w:rPr>
  </w:style>
  <w:style w:type="character" w:customStyle="1" w:styleId="916">
    <w:name w:val="标题 5 Char1"/>
    <w:qFormat/>
    <w:uiPriority w:val="0"/>
    <w:rPr>
      <w:rFonts w:hint="default" w:ascii="Times New Roman" w:hAnsi="Times New Roman" w:eastAsia="黑体" w:cs="Arial"/>
      <w:b/>
      <w:bCs/>
      <w:snapToGrid w:val="0"/>
      <w:kern w:val="2"/>
      <w:sz w:val="28"/>
      <w:szCs w:val="28"/>
    </w:rPr>
  </w:style>
  <w:style w:type="character" w:customStyle="1" w:styleId="917">
    <w:name w:val="未用 Char3"/>
    <w:qFormat/>
    <w:uiPriority w:val="0"/>
    <w:rPr>
      <w:rFonts w:hint="default" w:ascii="Arial" w:hAnsi="Arial" w:eastAsia="黑体" w:cs="Arial"/>
      <w:kern w:val="2"/>
      <w:sz w:val="21"/>
      <w:szCs w:val="21"/>
      <w:lang w:bidi="ar-SA"/>
    </w:rPr>
  </w:style>
  <w:style w:type="character" w:customStyle="1" w:styleId="918">
    <w:name w:val="PI Char3"/>
    <w:qFormat/>
    <w:uiPriority w:val="0"/>
    <w:rPr>
      <w:rFonts w:hint="eastAsia" w:ascii="宋体" w:hAnsi="宋体" w:eastAsia="宋体"/>
      <w:kern w:val="2"/>
      <w:sz w:val="24"/>
      <w:szCs w:val="24"/>
    </w:rPr>
  </w:style>
  <w:style w:type="character" w:customStyle="1" w:styleId="919">
    <w:name w:val="图名 Char3"/>
    <w:qFormat/>
    <w:uiPriority w:val="0"/>
    <w:rPr>
      <w:rFonts w:hint="default" w:ascii="Arial" w:hAnsi="Arial" w:eastAsia="黑体" w:cs="Arial"/>
      <w:kern w:val="2"/>
      <w:sz w:val="24"/>
      <w:szCs w:val="24"/>
      <w:lang w:bidi="ar-SA"/>
    </w:rPr>
  </w:style>
  <w:style w:type="character" w:customStyle="1" w:styleId="920">
    <w:name w:val="表名 Char3"/>
    <w:qFormat/>
    <w:uiPriority w:val="0"/>
    <w:rPr>
      <w:rFonts w:hint="eastAsia" w:ascii="宋体" w:hAnsi="宋体" w:eastAsia="宋体"/>
      <w:b/>
      <w:bCs/>
      <w:kern w:val="2"/>
      <w:sz w:val="24"/>
      <w:szCs w:val="24"/>
      <w:lang w:bidi="ar-SA"/>
    </w:rPr>
  </w:style>
  <w:style w:type="character" w:customStyle="1" w:styleId="921">
    <w:name w:val="Heading sql Char3"/>
    <w:qFormat/>
    <w:uiPriority w:val="0"/>
    <w:rPr>
      <w:rFonts w:hint="default" w:ascii="Arial" w:hAnsi="Arial" w:eastAsia="黑体" w:cs="Arial"/>
      <w:b/>
      <w:bCs/>
      <w:kern w:val="2"/>
      <w:sz w:val="28"/>
      <w:szCs w:val="28"/>
      <w:lang w:val="zh-CN" w:bidi="ar-SA"/>
    </w:rPr>
  </w:style>
  <w:style w:type="character" w:customStyle="1" w:styleId="922">
    <w:name w:val="H6 Char3"/>
    <w:qFormat/>
    <w:uiPriority w:val="0"/>
    <w:rPr>
      <w:rFonts w:hint="default" w:ascii="Arial" w:hAnsi="Arial" w:eastAsia="黑体" w:cs="Arial"/>
      <w:b/>
      <w:bCs/>
      <w:kern w:val="2"/>
      <w:sz w:val="24"/>
      <w:szCs w:val="24"/>
      <w:lang w:bidi="ar-SA"/>
    </w:rPr>
  </w:style>
  <w:style w:type="character" w:customStyle="1" w:styleId="923">
    <w:name w:val="正文首行缩进 Char Char"/>
    <w:qFormat/>
    <w:uiPriority w:val="0"/>
    <w:rPr>
      <w:rFonts w:hint="eastAsia" w:ascii="宋体" w:hAnsi="宋体" w:eastAsia="宋体"/>
      <w:kern w:val="2"/>
      <w:sz w:val="21"/>
      <w:szCs w:val="24"/>
      <w:lang w:val="en-US" w:eastAsia="zh-CN" w:bidi="ar-SA"/>
    </w:rPr>
  </w:style>
  <w:style w:type="character" w:customStyle="1" w:styleId="924">
    <w:name w:val="签名 Char Char"/>
    <w:qFormat/>
    <w:uiPriority w:val="0"/>
    <w:rPr>
      <w:rFonts w:hint="default" w:ascii="Arial" w:hAnsi="Arial" w:eastAsia="宋体" w:cs="Arial"/>
      <w:snapToGrid w:val="0"/>
      <w:kern w:val="0"/>
      <w:szCs w:val="24"/>
      <w:lang w:bidi="ar-SA"/>
    </w:rPr>
  </w:style>
  <w:style w:type="character" w:customStyle="1" w:styleId="925">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6">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7">
    <w:name w:val="称呼 Char Char"/>
    <w:qFormat/>
    <w:uiPriority w:val="0"/>
    <w:rPr>
      <w:rFonts w:hint="default" w:ascii="Arial" w:hAnsi="Arial" w:eastAsia="宋体" w:cs="Arial"/>
      <w:b/>
      <w:bCs/>
      <w:snapToGrid w:val="0"/>
      <w:kern w:val="0"/>
      <w:szCs w:val="24"/>
      <w:lang w:bidi="ar-SA"/>
    </w:rPr>
  </w:style>
  <w:style w:type="character" w:customStyle="1" w:styleId="928">
    <w:name w:val="正文文本缩进 Char3"/>
    <w:basedOn w:val="69"/>
    <w:semiHidden/>
    <w:qFormat/>
    <w:uiPriority w:val="99"/>
    <w:rPr>
      <w:rFonts w:hint="default" w:ascii="Arial" w:hAnsi="Arial" w:eastAsia="黑体" w:cs="Arial"/>
      <w:snapToGrid w:val="0"/>
      <w:kern w:val="2"/>
      <w:sz w:val="21"/>
      <w:szCs w:val="24"/>
    </w:rPr>
  </w:style>
  <w:style w:type="character" w:customStyle="1" w:styleId="929">
    <w:name w:val="正文文本 Char3"/>
    <w:basedOn w:val="69"/>
    <w:semiHidden/>
    <w:qFormat/>
    <w:uiPriority w:val="99"/>
    <w:rPr>
      <w:rFonts w:hint="default" w:ascii="Arial" w:hAnsi="Arial" w:eastAsia="黑体" w:cs="Arial"/>
      <w:snapToGrid w:val="0"/>
      <w:kern w:val="2"/>
      <w:sz w:val="21"/>
      <w:szCs w:val="24"/>
    </w:rPr>
  </w:style>
  <w:style w:type="character" w:customStyle="1" w:styleId="930">
    <w:name w:val="标题 Char2"/>
    <w:basedOn w:val="69"/>
    <w:qFormat/>
    <w:uiPriority w:val="10"/>
    <w:rPr>
      <w:rFonts w:hint="default" w:ascii="Cambria" w:hAnsi="Cambria" w:eastAsia="黑体" w:cs="Times New Roman"/>
      <w:b/>
      <w:bCs/>
      <w:snapToGrid w:val="0"/>
      <w:kern w:val="2"/>
      <w:sz w:val="32"/>
      <w:szCs w:val="32"/>
    </w:rPr>
  </w:style>
  <w:style w:type="character" w:customStyle="1" w:styleId="931">
    <w:name w:val="列表段落 字符1"/>
    <w:qFormat/>
    <w:locked/>
    <w:uiPriority w:val="99"/>
    <w:rPr>
      <w:rFonts w:ascii="Calibri" w:hAnsi="Calibri" w:eastAsia="宋体" w:cs="Times New Roman"/>
      <w:kern w:val="0"/>
      <w:sz w:val="22"/>
      <w:lang w:eastAsia="en-US" w:bidi="en-US"/>
    </w:rPr>
  </w:style>
  <w:style w:type="paragraph" w:customStyle="1" w:styleId="932">
    <w:name w:val="z-窗体顶端1"/>
    <w:basedOn w:val="1"/>
    <w:qFormat/>
    <w:uiPriority w:val="34"/>
    <w:pPr>
      <w:ind w:firstLine="420" w:firstLineChars="200"/>
    </w:pPr>
    <w:rPr>
      <w:rFonts w:ascii="Calibri" w:hAnsi="Calibri"/>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footer9.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8791</Words>
  <Characters>50113</Characters>
  <Lines>417</Lines>
  <Paragraphs>117</Paragraphs>
  <TotalTime>0</TotalTime>
  <ScaleCrop>false</ScaleCrop>
  <LinksUpToDate>false</LinksUpToDate>
  <CharactersWithSpaces>58787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2020-12-04T02:03:00Z</dcterms:created>
  <dc:creator>mb</dc:creator>
  <cp:lastModifiedBy>WPS_1701756769</cp:lastModifiedBy>
  <cp:lastPrinted>2021-11-26T02:34:32Z</cp:lastPrinted>
  <dcterms:modified xsi:type="dcterms:W3CDTF">2024-02-23T03:47:08Z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E14F3DC8B8DB4178BB6839237B624191_13</vt:lpwstr>
  </property>
</Properties>
</file>