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 w:eastAsia="仿宋_GB2312" w:cs="仿宋_GB2312"/>
          <w:b/>
          <w:color w:val="auto"/>
          <w:sz w:val="24"/>
          <w:highlight w:val="none"/>
        </w:rPr>
      </w:pPr>
      <w:bookmarkStart w:id="0" w:name="第一部分"/>
      <w:bookmarkStart w:id="1" w:name="_Toc91899869"/>
      <w:bookmarkStart w:id="580" w:name="_GoBack"/>
      <w:bookmarkEnd w:id="580"/>
    </w:p>
    <w:p>
      <w:pPr>
        <w:spacing w:line="360" w:lineRule="auto"/>
        <w:jc w:val="center"/>
        <w:rPr>
          <w:rFonts w:hint="eastAsia" w:ascii="仿宋_GB2312" w:hAnsi="仿宋" w:eastAsia="仿宋_GB2312" w:cs="仿宋_GB2312"/>
          <w:b/>
          <w:color w:val="auto"/>
          <w:sz w:val="24"/>
          <w:highlight w:val="none"/>
        </w:rPr>
      </w:pPr>
    </w:p>
    <w:p>
      <w:pPr>
        <w:adjustRightInd/>
        <w:spacing w:line="360" w:lineRule="auto"/>
        <w:jc w:val="center"/>
        <w:rPr>
          <w:rFonts w:hint="eastAsia" w:ascii="仿宋_GB2312" w:hAnsi="仿宋" w:eastAsia="仿宋_GB2312" w:cs="仿宋_GB2312"/>
          <w:b/>
          <w:color w:val="auto"/>
          <w:sz w:val="44"/>
          <w:szCs w:val="44"/>
          <w:highlight w:val="none"/>
        </w:rPr>
      </w:pPr>
    </w:p>
    <w:p>
      <w:pPr>
        <w:spacing w:line="360" w:lineRule="auto"/>
        <w:jc w:val="center"/>
        <w:rPr>
          <w:rFonts w:hint="eastAsia" w:ascii="仿宋_GB2312" w:hAnsi="仿宋" w:eastAsia="仿宋_GB2312" w:cs="仿宋_GB2312"/>
          <w:b/>
          <w:color w:val="auto"/>
          <w:sz w:val="44"/>
          <w:szCs w:val="44"/>
          <w:highlight w:val="none"/>
        </w:rPr>
      </w:pPr>
      <w:r>
        <w:rPr>
          <w:rFonts w:hint="eastAsia" w:ascii="仿宋_GB2312" w:hAnsi="仿宋" w:eastAsia="仿宋_GB2312" w:cs="仿宋_GB2312"/>
          <w:b/>
          <w:color w:val="auto"/>
          <w:sz w:val="44"/>
          <w:szCs w:val="44"/>
          <w:highlight w:val="none"/>
        </w:rPr>
        <w:t xml:space="preserve"> </w:t>
      </w:r>
    </w:p>
    <w:p>
      <w:pPr>
        <w:adjustRightInd/>
        <w:spacing w:line="360" w:lineRule="auto"/>
        <w:jc w:val="center"/>
        <w:rPr>
          <w:rFonts w:hint="eastAsia" w:ascii="仿宋_GB2312" w:hAnsi="仿宋" w:eastAsia="仿宋_GB2312" w:cs="仿宋_GB2312"/>
          <w:b/>
          <w:color w:val="auto"/>
          <w:sz w:val="44"/>
          <w:szCs w:val="44"/>
          <w:highlight w:val="none"/>
          <w:lang w:eastAsia="zh-CN"/>
        </w:rPr>
      </w:pPr>
      <w:r>
        <w:rPr>
          <w:rFonts w:hint="eastAsia" w:ascii="仿宋_GB2312" w:hAnsi="仿宋" w:eastAsia="仿宋_GB2312" w:cs="仿宋_GB2312"/>
          <w:color w:val="auto"/>
          <w:sz w:val="48"/>
          <w:szCs w:val="48"/>
          <w:highlight w:val="none"/>
          <w:lang w:eastAsia="zh-CN"/>
        </w:rPr>
        <w:t>杭州市南郊监狱改扩建工程安防建设政府采购项目</w:t>
      </w:r>
    </w:p>
    <w:p>
      <w:pPr>
        <w:adjustRightInd/>
        <w:spacing w:line="360" w:lineRule="auto"/>
        <w:jc w:val="center"/>
        <w:rPr>
          <w:rFonts w:hint="eastAsia" w:ascii="仿宋_GB2312" w:hAnsi="仿宋" w:eastAsia="仿宋_GB2312" w:cs="仿宋_GB2312"/>
          <w:b/>
          <w:color w:val="auto"/>
          <w:sz w:val="72"/>
          <w:szCs w:val="72"/>
          <w:highlight w:val="none"/>
        </w:rPr>
      </w:pPr>
      <w:r>
        <w:rPr>
          <w:rFonts w:hint="eastAsia" w:ascii="仿宋_GB2312" w:hAnsi="仿宋" w:eastAsia="仿宋_GB2312" w:cs="仿宋_GB2312"/>
          <w:b/>
          <w:color w:val="auto"/>
          <w:sz w:val="72"/>
          <w:szCs w:val="72"/>
          <w:highlight w:val="none"/>
        </w:rPr>
        <w:t>招标文件</w:t>
      </w:r>
    </w:p>
    <w:p>
      <w:pPr>
        <w:adjustRightInd/>
        <w:spacing w:line="360" w:lineRule="auto"/>
        <w:jc w:val="center"/>
        <w:rPr>
          <w:rFonts w:hint="eastAsia" w:ascii="仿宋_GB2312" w:hAnsi="仿宋" w:eastAsia="仿宋_GB2312" w:cs="仿宋_GB2312"/>
          <w:b/>
          <w:color w:val="auto"/>
          <w:sz w:val="44"/>
          <w:szCs w:val="44"/>
          <w:highlight w:val="none"/>
        </w:rPr>
      </w:pPr>
      <w:r>
        <w:rPr>
          <w:rFonts w:hint="eastAsia" w:ascii="仿宋_GB2312" w:hAnsi="仿宋" w:eastAsia="仿宋_GB2312" w:cs="仿宋_GB2312"/>
          <w:b/>
          <w:color w:val="auto"/>
          <w:sz w:val="44"/>
          <w:szCs w:val="44"/>
          <w:highlight w:val="none"/>
        </w:rPr>
        <w:t xml:space="preserve"> （电子招投标）</w:t>
      </w:r>
    </w:p>
    <w:p>
      <w:pPr>
        <w:spacing w:line="360" w:lineRule="auto"/>
        <w:jc w:val="center"/>
        <w:rPr>
          <w:rFonts w:hint="eastAsia" w:ascii="仿宋_GB2312" w:hAnsi="仿宋" w:eastAsia="仿宋_GB2312" w:cs="仿宋_GB2312"/>
          <w:b/>
          <w:color w:val="auto"/>
          <w:sz w:val="24"/>
          <w:highlight w:val="none"/>
        </w:rPr>
      </w:pPr>
    </w:p>
    <w:p>
      <w:pPr>
        <w:snapToGrid w:val="0"/>
        <w:spacing w:line="360" w:lineRule="auto"/>
        <w:jc w:val="center"/>
        <w:rPr>
          <w:rFonts w:hint="eastAsia" w:ascii="仿宋_GB2312" w:hAnsi="仿宋" w:eastAsia="仿宋_GB2312" w:cs="仿宋_GB2312"/>
          <w:color w:val="auto"/>
          <w:sz w:val="30"/>
          <w:szCs w:val="30"/>
          <w:highlight w:val="none"/>
          <w:lang w:eastAsia="zh-CN"/>
        </w:rPr>
      </w:pPr>
      <w:r>
        <w:rPr>
          <w:rFonts w:hint="eastAsia" w:ascii="仿宋_GB2312" w:hAnsi="仿宋" w:eastAsia="仿宋_GB2312" w:cs="仿宋_GB2312"/>
          <w:color w:val="auto"/>
          <w:sz w:val="30"/>
          <w:szCs w:val="30"/>
          <w:highlight w:val="none"/>
        </w:rPr>
        <w:t>编号:HZZFCG-</w:t>
      </w:r>
      <w:r>
        <w:rPr>
          <w:rFonts w:hint="eastAsia" w:ascii="仿宋_GB2312" w:hAnsi="仿宋" w:eastAsia="仿宋_GB2312" w:cs="仿宋_GB2312"/>
          <w:color w:val="auto"/>
          <w:sz w:val="30"/>
          <w:szCs w:val="30"/>
          <w:highlight w:val="none"/>
          <w:lang w:eastAsia="zh-CN"/>
        </w:rPr>
        <w:t>2021-151</w:t>
      </w:r>
    </w:p>
    <w:p>
      <w:pPr>
        <w:adjustRightInd/>
        <w:spacing w:line="360" w:lineRule="auto"/>
        <w:rPr>
          <w:rFonts w:hint="eastAsia" w:ascii="仿宋_GB2312" w:hAnsi="仿宋" w:eastAsia="仿宋_GB2312" w:cs="仿宋_GB2312"/>
          <w:color w:val="auto"/>
          <w:sz w:val="28"/>
          <w:szCs w:val="20"/>
          <w:highlight w:val="none"/>
        </w:rPr>
      </w:pPr>
    </w:p>
    <w:p>
      <w:pPr>
        <w:spacing w:line="360" w:lineRule="auto"/>
        <w:jc w:val="center"/>
        <w:rPr>
          <w:rFonts w:hint="eastAsia" w:ascii="仿宋_GB2312" w:hAnsi="仿宋" w:eastAsia="仿宋_GB2312" w:cs="仿宋_GB2312"/>
          <w:color w:val="auto"/>
          <w:sz w:val="24"/>
          <w:highlight w:val="none"/>
        </w:rPr>
      </w:pPr>
    </w:p>
    <w:p>
      <w:pPr>
        <w:spacing w:line="360" w:lineRule="auto"/>
        <w:jc w:val="center"/>
        <w:rPr>
          <w:rFonts w:hint="eastAsia" w:ascii="仿宋_GB2312" w:hAnsi="仿宋" w:eastAsia="仿宋_GB2312" w:cs="仿宋_GB2312"/>
          <w:b/>
          <w:color w:val="auto"/>
          <w:sz w:val="44"/>
          <w:szCs w:val="44"/>
          <w:highlight w:val="none"/>
        </w:rPr>
      </w:pPr>
      <w:r>
        <w:rPr>
          <w:rFonts w:hint="eastAsia" w:ascii="仿宋_GB2312" w:hAnsi="仿宋" w:eastAsia="仿宋_GB2312" w:cs="仿宋_GB2312"/>
          <w:b/>
          <w:color w:val="auto"/>
          <w:sz w:val="44"/>
          <w:szCs w:val="44"/>
          <w:highlight w:val="none"/>
        </w:rPr>
        <w:t xml:space="preserve"> </w:t>
      </w:r>
    </w:p>
    <w:p>
      <w:pPr>
        <w:spacing w:line="360" w:lineRule="auto"/>
        <w:jc w:val="center"/>
        <w:rPr>
          <w:rFonts w:hint="eastAsia" w:ascii="仿宋_GB2312" w:hAnsi="仿宋" w:eastAsia="仿宋_GB2312" w:cs="仿宋_GB2312"/>
          <w:color w:val="auto"/>
          <w:sz w:val="24"/>
          <w:highlight w:val="none"/>
        </w:rPr>
      </w:pPr>
    </w:p>
    <w:p>
      <w:pPr>
        <w:spacing w:line="360" w:lineRule="auto"/>
        <w:jc w:val="center"/>
        <w:rPr>
          <w:rFonts w:hint="eastAsia" w:ascii="仿宋_GB2312" w:hAnsi="仿宋" w:eastAsia="仿宋_GB2312" w:cs="仿宋_GB2312"/>
          <w:color w:val="auto"/>
          <w:sz w:val="24"/>
          <w:highlight w:val="none"/>
        </w:rPr>
      </w:pPr>
    </w:p>
    <w:p>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w:t>
      </w:r>
    </w:p>
    <w:p>
      <w:pPr>
        <w:spacing w:line="360" w:lineRule="auto"/>
        <w:rPr>
          <w:rFonts w:hint="eastAsia" w:ascii="仿宋_GB2312" w:hAnsi="仿宋" w:eastAsia="仿宋_GB2312" w:cs="仿宋_GB2312"/>
          <w:color w:val="auto"/>
          <w:sz w:val="32"/>
          <w:szCs w:val="32"/>
          <w:highlight w:val="none"/>
        </w:rPr>
      </w:pPr>
    </w:p>
    <w:p>
      <w:pPr>
        <w:snapToGrid w:val="0"/>
        <w:spacing w:line="360" w:lineRule="auto"/>
        <w:jc w:val="center"/>
        <w:rPr>
          <w:rFonts w:hint="eastAsia" w:ascii="仿宋_GB2312" w:hAnsi="仿宋" w:eastAsia="仿宋_GB2312" w:cs="仿宋_GB2312"/>
          <w:color w:val="auto"/>
          <w:sz w:val="32"/>
          <w:szCs w:val="32"/>
          <w:highlight w:val="none"/>
          <w:lang w:eastAsia="zh-CN"/>
        </w:rPr>
      </w:pPr>
      <w:r>
        <w:rPr>
          <w:rFonts w:hint="eastAsia" w:ascii="仿宋_GB2312" w:hAnsi="仿宋" w:eastAsia="仿宋_GB2312" w:cs="仿宋_GB2312"/>
          <w:color w:val="auto"/>
          <w:sz w:val="32"/>
          <w:szCs w:val="32"/>
          <w:highlight w:val="none"/>
          <w:lang w:eastAsia="zh-CN"/>
        </w:rPr>
        <w:t>杭州市南郊监狱</w:t>
      </w:r>
    </w:p>
    <w:p>
      <w:pPr>
        <w:spacing w:line="360" w:lineRule="auto"/>
        <w:jc w:val="center"/>
        <w:rPr>
          <w:rFonts w:hint="eastAsia" w:ascii="仿宋_GB2312" w:hAnsi="仿宋" w:eastAsia="仿宋_GB2312" w:cs="仿宋_GB2312"/>
          <w:bCs/>
          <w:color w:val="auto"/>
          <w:sz w:val="32"/>
          <w:szCs w:val="32"/>
          <w:highlight w:val="none"/>
        </w:rPr>
      </w:pPr>
      <w:r>
        <w:rPr>
          <w:rFonts w:hint="eastAsia" w:ascii="仿宋_GB2312" w:hAnsi="仿宋" w:eastAsia="仿宋_GB2312" w:cs="仿宋_GB2312"/>
          <w:bCs/>
          <w:color w:val="auto"/>
          <w:sz w:val="32"/>
          <w:szCs w:val="32"/>
          <w:highlight w:val="none"/>
        </w:rPr>
        <w:t>杭州市公共资源交易中心（杭州市政府采购中心）</w:t>
      </w:r>
    </w:p>
    <w:p>
      <w:pPr>
        <w:snapToGrid w:val="0"/>
        <w:spacing w:line="360" w:lineRule="auto"/>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一</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eastAsia="zh-CN"/>
        </w:rPr>
        <w:t>十</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eastAsia="zh-CN"/>
        </w:rPr>
        <w:t>十一</w:t>
      </w:r>
      <w:r>
        <w:rPr>
          <w:rFonts w:hint="eastAsia" w:ascii="仿宋_GB2312" w:hAnsi="仿宋_GB2312" w:eastAsia="仿宋_GB2312" w:cs="仿宋_GB2312"/>
          <w:bCs/>
          <w:color w:val="auto"/>
          <w:sz w:val="32"/>
          <w:szCs w:val="32"/>
          <w:highlight w:val="none"/>
        </w:rPr>
        <w:t>日</w:t>
      </w:r>
    </w:p>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br w:type="page"/>
      </w:r>
      <w:bookmarkStart w:id="2" w:name="_Hlt67893495"/>
      <w:bookmarkEnd w:id="2"/>
    </w:p>
    <w:p>
      <w:pPr>
        <w:spacing w:line="360" w:lineRule="auto"/>
        <w:jc w:val="center"/>
        <w:rPr>
          <w:rFonts w:hint="eastAsia" w:ascii="仿宋_GB2312" w:hAnsi="仿宋" w:eastAsia="仿宋_GB2312" w:cs="仿宋_GB2312"/>
          <w:color w:val="auto"/>
          <w:sz w:val="24"/>
          <w:highlight w:val="none"/>
        </w:rPr>
      </w:pPr>
    </w:p>
    <w:p>
      <w:pPr>
        <w:spacing w:line="360" w:lineRule="auto"/>
        <w:jc w:val="center"/>
        <w:rPr>
          <w:rFonts w:hint="eastAsia" w:ascii="仿宋_GB2312" w:hAnsi="仿宋" w:eastAsia="仿宋_GB2312" w:cs="仿宋_GB2312"/>
          <w:b/>
          <w:color w:val="auto"/>
          <w:sz w:val="48"/>
          <w:szCs w:val="48"/>
          <w:highlight w:val="none"/>
        </w:rPr>
      </w:pPr>
      <w:r>
        <w:rPr>
          <w:rFonts w:hint="eastAsia" w:ascii="仿宋_GB2312" w:hAnsi="仿宋" w:eastAsia="仿宋_GB2312" w:cs="仿宋_GB2312"/>
          <w:b/>
          <w:color w:val="auto"/>
          <w:sz w:val="48"/>
          <w:szCs w:val="48"/>
          <w:highlight w:val="none"/>
        </w:rPr>
        <w:t>目  录</w:t>
      </w:r>
    </w:p>
    <w:p>
      <w:pPr>
        <w:spacing w:line="360" w:lineRule="auto"/>
        <w:rPr>
          <w:rFonts w:hint="eastAsia" w:ascii="仿宋_GB2312" w:hAnsi="仿宋" w:eastAsia="仿宋_GB2312" w:cs="仿宋_GB2312"/>
          <w:color w:val="auto"/>
          <w:sz w:val="32"/>
          <w:szCs w:val="32"/>
          <w:highlight w:val="none"/>
        </w:rPr>
      </w:pPr>
    </w:p>
    <w:p>
      <w:pPr>
        <w:spacing w:line="360" w:lineRule="auto"/>
        <w:rPr>
          <w:rFonts w:hint="eastAsia" w:ascii="仿宋_GB2312" w:hAnsi="仿宋" w:eastAsia="仿宋_GB2312" w:cs="仿宋_GB2312"/>
          <w:color w:val="auto"/>
          <w:sz w:val="32"/>
          <w:szCs w:val="32"/>
          <w:highlight w:val="none"/>
        </w:rPr>
      </w:pPr>
    </w:p>
    <w:p>
      <w:pPr>
        <w:spacing w:line="360" w:lineRule="auto"/>
        <w:ind w:firstLine="1280" w:firstLineChars="400"/>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第一部分      招标公告</w:t>
      </w:r>
    </w:p>
    <w:p>
      <w:pPr>
        <w:spacing w:line="360" w:lineRule="auto"/>
        <w:ind w:firstLine="1280" w:firstLineChars="400"/>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第二部分      投标人须知</w:t>
      </w:r>
    </w:p>
    <w:p>
      <w:pPr>
        <w:spacing w:line="360" w:lineRule="auto"/>
        <w:ind w:firstLine="1280" w:firstLineChars="400"/>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第三部分      采购需求</w:t>
      </w:r>
    </w:p>
    <w:p>
      <w:pPr>
        <w:spacing w:line="360" w:lineRule="auto"/>
        <w:ind w:firstLine="1280" w:firstLineChars="400"/>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第四部分      评标方法及评分标准</w:t>
      </w:r>
    </w:p>
    <w:p>
      <w:pPr>
        <w:spacing w:line="360" w:lineRule="auto"/>
        <w:ind w:firstLine="1280" w:firstLineChars="400"/>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第五部分      拟签订的合同文本</w:t>
      </w:r>
    </w:p>
    <w:p>
      <w:pPr>
        <w:spacing w:line="360" w:lineRule="auto"/>
        <w:ind w:firstLine="1280" w:firstLineChars="400"/>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第六部分      应提交的有关格式范例</w:t>
      </w:r>
    </w:p>
    <w:p>
      <w:pPr>
        <w:spacing w:line="360" w:lineRule="auto"/>
        <w:ind w:firstLine="549" w:firstLineChars="229"/>
        <w:rPr>
          <w:rFonts w:hint="eastAsia" w:ascii="仿宋_GB2312" w:hAnsi="仿宋" w:eastAsia="仿宋_GB2312" w:cs="仿宋_GB2312"/>
          <w:color w:val="auto"/>
          <w:sz w:val="24"/>
          <w:highlight w:val="none"/>
        </w:rPr>
      </w:pPr>
      <w:bookmarkStart w:id="3" w:name="_Hlt91233176"/>
      <w:bookmarkEnd w:id="3"/>
    </w:p>
    <w:p>
      <w:pPr>
        <w:spacing w:line="360" w:lineRule="auto"/>
        <w:ind w:firstLine="549" w:firstLineChars="229"/>
        <w:rPr>
          <w:rFonts w:hint="eastAsia" w:ascii="仿宋_GB2312" w:hAnsi="仿宋" w:eastAsia="仿宋_GB2312" w:cs="仿宋_GB2312"/>
          <w:color w:val="auto"/>
          <w:sz w:val="24"/>
          <w:highlight w:val="none"/>
        </w:rPr>
      </w:pPr>
    </w:p>
    <w:p>
      <w:pPr>
        <w:spacing w:line="360" w:lineRule="auto"/>
        <w:ind w:firstLine="549" w:firstLineChars="229"/>
        <w:rPr>
          <w:rFonts w:hint="eastAsia" w:ascii="仿宋_GB2312" w:hAnsi="仿宋" w:eastAsia="仿宋_GB2312" w:cs="仿宋_GB2312"/>
          <w:color w:val="auto"/>
          <w:sz w:val="24"/>
          <w:highlight w:val="none"/>
        </w:rPr>
      </w:pPr>
    </w:p>
    <w:p>
      <w:pPr>
        <w:spacing w:line="360" w:lineRule="auto"/>
        <w:ind w:firstLine="549" w:firstLineChars="229"/>
        <w:rPr>
          <w:rFonts w:hint="eastAsia" w:ascii="仿宋_GB2312" w:hAnsi="仿宋" w:eastAsia="仿宋_GB2312" w:cs="仿宋_GB2312"/>
          <w:color w:val="auto"/>
          <w:sz w:val="24"/>
          <w:highlight w:val="none"/>
        </w:rPr>
      </w:pPr>
    </w:p>
    <w:p>
      <w:pPr>
        <w:spacing w:line="360" w:lineRule="auto"/>
        <w:ind w:firstLine="549" w:firstLineChars="229"/>
        <w:rPr>
          <w:rFonts w:hint="eastAsia" w:ascii="仿宋_GB2312" w:hAnsi="仿宋" w:eastAsia="仿宋_GB2312" w:cs="仿宋_GB2312"/>
          <w:color w:val="auto"/>
          <w:sz w:val="24"/>
          <w:highlight w:val="none"/>
        </w:rPr>
      </w:pPr>
    </w:p>
    <w:p>
      <w:pPr>
        <w:spacing w:line="360" w:lineRule="auto"/>
        <w:ind w:firstLine="549" w:firstLineChars="229"/>
        <w:rPr>
          <w:rFonts w:hint="eastAsia" w:ascii="仿宋_GB2312" w:hAnsi="仿宋" w:eastAsia="仿宋_GB2312" w:cs="仿宋_GB2312"/>
          <w:color w:val="auto"/>
          <w:sz w:val="24"/>
          <w:highlight w:val="none"/>
        </w:rPr>
      </w:pPr>
    </w:p>
    <w:p>
      <w:pPr>
        <w:spacing w:line="360" w:lineRule="auto"/>
        <w:ind w:firstLine="549" w:firstLineChars="229"/>
        <w:rPr>
          <w:rFonts w:hint="eastAsia" w:ascii="仿宋_GB2312" w:hAnsi="仿宋" w:eastAsia="仿宋_GB2312" w:cs="仿宋_GB2312"/>
          <w:color w:val="auto"/>
          <w:sz w:val="24"/>
          <w:highlight w:val="none"/>
        </w:rPr>
      </w:pPr>
    </w:p>
    <w:p>
      <w:pPr>
        <w:spacing w:line="360" w:lineRule="auto"/>
        <w:ind w:firstLine="549" w:firstLineChars="229"/>
        <w:rPr>
          <w:rFonts w:hint="eastAsia" w:ascii="仿宋_GB2312" w:hAnsi="仿宋" w:eastAsia="仿宋_GB2312" w:cs="仿宋_GB2312"/>
          <w:color w:val="auto"/>
          <w:sz w:val="24"/>
          <w:highlight w:val="none"/>
        </w:rPr>
      </w:pPr>
    </w:p>
    <w:p>
      <w:pPr>
        <w:spacing w:line="360" w:lineRule="auto"/>
        <w:ind w:firstLine="549" w:firstLineChars="229"/>
        <w:rPr>
          <w:rFonts w:hint="eastAsia" w:ascii="仿宋_GB2312" w:hAnsi="仿宋" w:eastAsia="仿宋_GB2312" w:cs="仿宋_GB2312"/>
          <w:color w:val="auto"/>
          <w:sz w:val="24"/>
          <w:highlight w:val="none"/>
        </w:rPr>
      </w:pPr>
    </w:p>
    <w:p>
      <w:pPr>
        <w:spacing w:line="360" w:lineRule="auto"/>
        <w:ind w:firstLine="549" w:firstLineChars="229"/>
        <w:rPr>
          <w:rFonts w:hint="eastAsia" w:ascii="仿宋_GB2312" w:hAnsi="仿宋" w:eastAsia="仿宋_GB2312" w:cs="仿宋_GB2312"/>
          <w:color w:val="auto"/>
          <w:sz w:val="24"/>
          <w:highlight w:val="none"/>
        </w:rPr>
      </w:pPr>
    </w:p>
    <w:p>
      <w:pPr>
        <w:spacing w:line="360" w:lineRule="auto"/>
        <w:ind w:firstLine="549" w:firstLineChars="229"/>
        <w:rPr>
          <w:rFonts w:hint="eastAsia" w:ascii="仿宋_GB2312" w:hAnsi="仿宋" w:eastAsia="仿宋_GB2312" w:cs="仿宋_GB2312"/>
          <w:color w:val="auto"/>
          <w:sz w:val="24"/>
          <w:highlight w:val="none"/>
        </w:rPr>
      </w:pPr>
    </w:p>
    <w:p>
      <w:pPr>
        <w:spacing w:line="360" w:lineRule="auto"/>
        <w:ind w:firstLine="549" w:firstLineChars="229"/>
        <w:rPr>
          <w:rFonts w:hint="eastAsia" w:ascii="仿宋_GB2312" w:hAnsi="仿宋" w:eastAsia="仿宋_GB2312" w:cs="仿宋_GB2312"/>
          <w:color w:val="auto"/>
          <w:sz w:val="24"/>
          <w:highlight w:val="none"/>
        </w:rPr>
      </w:pPr>
    </w:p>
    <w:p>
      <w:pPr>
        <w:spacing w:line="360" w:lineRule="auto"/>
        <w:ind w:firstLine="549" w:firstLineChars="229"/>
        <w:rPr>
          <w:rFonts w:hint="eastAsia" w:ascii="仿宋_GB2312" w:hAnsi="仿宋" w:eastAsia="仿宋_GB2312" w:cs="仿宋_GB2312"/>
          <w:color w:val="auto"/>
          <w:sz w:val="24"/>
          <w:highlight w:val="none"/>
        </w:rPr>
      </w:pPr>
    </w:p>
    <w:p>
      <w:pPr>
        <w:spacing w:line="360" w:lineRule="auto"/>
        <w:rPr>
          <w:rFonts w:hint="eastAsia" w:ascii="仿宋_GB2312" w:hAnsi="仿宋" w:eastAsia="仿宋_GB2312" w:cs="仿宋_GB2312"/>
          <w:color w:val="auto"/>
          <w:sz w:val="24"/>
          <w:highlight w:val="none"/>
        </w:rPr>
      </w:pPr>
    </w:p>
    <w:p>
      <w:pPr>
        <w:adjustRightInd/>
        <w:spacing w:line="360" w:lineRule="auto"/>
        <w:jc w:val="center"/>
        <w:outlineLvl w:val="0"/>
        <w:rPr>
          <w:rFonts w:hint="eastAsia" w:ascii="仿宋_GB2312" w:hAnsi="仿宋" w:eastAsia="仿宋_GB2312" w:cs="仿宋_GB2312"/>
          <w:b/>
          <w:color w:val="auto"/>
          <w:sz w:val="36"/>
          <w:szCs w:val="20"/>
          <w:highlight w:val="none"/>
        </w:rPr>
      </w:pPr>
      <w:r>
        <w:rPr>
          <w:rFonts w:hint="eastAsia" w:ascii="仿宋_GB2312" w:hAnsi="仿宋" w:eastAsia="仿宋_GB2312" w:cs="仿宋_GB2312"/>
          <w:b/>
          <w:color w:val="auto"/>
          <w:sz w:val="36"/>
          <w:szCs w:val="36"/>
          <w:highlight w:val="none"/>
        </w:rPr>
        <w:br w:type="page"/>
      </w:r>
      <w:bookmarkEnd w:id="0"/>
      <w:bookmarkEnd w:id="1"/>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_GB2312" w:hAnsi="仿宋" w:eastAsia="仿宋_GB2312" w:cs="仿宋_GB2312"/>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eastAsia="zh-CN"/>
        </w:rPr>
        <w:t>杭州市南郊监狱改扩建工程安防建设政府采购项目</w:t>
      </w:r>
      <w:r>
        <w:rPr>
          <w:rFonts w:hint="eastAsia" w:ascii="仿宋_GB2312" w:hAnsi="仿宋" w:eastAsia="仿宋_GB2312"/>
          <w:color w:val="auto"/>
          <w:sz w:val="24"/>
          <w:highlight w:val="none"/>
        </w:rPr>
        <w:t>招标项目的潜在投标人应在政采云平台（https://www.zcygov.cn/）获取（下载）招标文件，并于</w:t>
      </w:r>
      <w:r>
        <w:rPr>
          <w:rFonts w:hint="eastAsia" w:ascii="仿宋_GB2312" w:hAnsi="仿宋" w:eastAsia="仿宋_GB2312"/>
          <w:color w:val="auto"/>
          <w:sz w:val="24"/>
          <w:highlight w:val="none"/>
          <w:u w:val="single"/>
        </w:rPr>
        <w:t>2021年</w:t>
      </w:r>
      <w:r>
        <w:rPr>
          <w:rFonts w:hint="eastAsia" w:ascii="仿宋_GB2312" w:hAnsi="仿宋" w:eastAsia="仿宋_GB2312"/>
          <w:color w:val="auto"/>
          <w:sz w:val="24"/>
          <w:highlight w:val="none"/>
          <w:u w:val="single"/>
          <w:lang w:val="en-US" w:eastAsia="zh-CN"/>
        </w:rPr>
        <w:t>11</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w:t>
      </w:r>
      <w:r>
        <w:rPr>
          <w:rFonts w:hint="eastAsia" w:ascii="仿宋_GB2312" w:hAnsi="仿宋" w:eastAsia="仿宋_GB2312"/>
          <w:color w:val="auto"/>
          <w:sz w:val="24"/>
          <w:highlight w:val="none"/>
          <w:u w:val="single"/>
        </w:rPr>
        <w:t xml:space="preserve">日 </w:t>
      </w:r>
      <w:r>
        <w:rPr>
          <w:rFonts w:hint="eastAsia" w:ascii="仿宋_GB2312" w:hAnsi="仿宋" w:eastAsia="仿宋_GB2312"/>
          <w:color w:val="auto"/>
          <w:sz w:val="24"/>
          <w:highlight w:val="none"/>
          <w:u w:val="single"/>
          <w:lang w:val="en-US" w:eastAsia="zh-CN"/>
        </w:rPr>
        <w:t>10</w:t>
      </w:r>
      <w:r>
        <w:rPr>
          <w:rFonts w:hint="eastAsia" w:ascii="仿宋_GB2312" w:hAnsi="仿宋" w:eastAsia="仿宋_GB2312"/>
          <w:bCs/>
          <w:color w:val="auto"/>
          <w:sz w:val="24"/>
          <w:highlight w:val="none"/>
          <w:u w:val="single"/>
        </w:rPr>
        <w:t>点</w:t>
      </w:r>
      <w:r>
        <w:rPr>
          <w:rFonts w:hint="eastAsia" w:ascii="仿宋_GB2312" w:hAnsi="仿宋" w:eastAsia="仿宋_GB2312"/>
          <w:bCs/>
          <w:color w:val="auto"/>
          <w:sz w:val="24"/>
          <w:highlight w:val="none"/>
          <w:u w:val="single"/>
          <w:lang w:val="en-US" w:eastAsia="zh-CN"/>
        </w:rPr>
        <w:t>00</w:t>
      </w:r>
      <w:r>
        <w:rPr>
          <w:rFonts w:hint="eastAsia" w:ascii="仿宋_GB2312" w:hAnsi="仿宋" w:eastAsia="仿宋_GB2312"/>
          <w:bCs/>
          <w:color w:val="auto"/>
          <w:sz w:val="24"/>
          <w:highlight w:val="none"/>
          <w:u w:val="single"/>
        </w:rPr>
        <w:t>分00秒</w:t>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 xml:space="preserve">一、项目基本情况                                            </w:t>
      </w:r>
    </w:p>
    <w:p>
      <w:pPr>
        <w:spacing w:line="360" w:lineRule="auto"/>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rPr>
        <w:t>HZZFCG-</w:t>
      </w:r>
      <w:r>
        <w:rPr>
          <w:rFonts w:hint="eastAsia" w:ascii="仿宋_GB2312" w:hAnsi="仿宋" w:eastAsia="仿宋_GB2312"/>
          <w:color w:val="auto"/>
          <w:sz w:val="24"/>
          <w:highlight w:val="none"/>
          <w:lang w:eastAsia="zh-CN"/>
        </w:rPr>
        <w:t>2021-151</w:t>
      </w:r>
    </w:p>
    <w:p>
      <w:pPr>
        <w:spacing w:line="360" w:lineRule="auto"/>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 xml:space="preserve">   </w:t>
      </w:r>
      <w:r>
        <w:rPr>
          <w:rFonts w:hint="eastAsia" w:ascii="仿宋_GB2312" w:hAnsi="仿宋" w:eastAsia="仿宋_GB2312"/>
          <w:b/>
          <w:color w:val="auto"/>
          <w:sz w:val="24"/>
          <w:highlight w:val="none"/>
        </w:rPr>
        <w:t xml:space="preserve"> 项目名称：</w:t>
      </w:r>
      <w:r>
        <w:rPr>
          <w:rFonts w:hint="eastAsia" w:ascii="仿宋_GB2312" w:hAnsi="仿宋" w:eastAsia="仿宋_GB2312" w:cs="仿宋_GB2312"/>
          <w:color w:val="auto"/>
          <w:sz w:val="24"/>
          <w:highlight w:val="none"/>
          <w:lang w:eastAsia="zh-CN"/>
        </w:rPr>
        <w:t>杭州市南郊监狱改扩建工程安防建设政府采购项目</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w:t>
      </w:r>
      <w:r>
        <w:rPr>
          <w:rFonts w:hint="eastAsia" w:ascii="仿宋_GB2312" w:hAnsi="仿宋" w:eastAsia="仿宋_GB2312"/>
          <w:b/>
          <w:color w:val="auto"/>
          <w:sz w:val="24"/>
          <w:highlight w:val="none"/>
        </w:rPr>
        <w:t xml:space="preserve"> 预算金额（元）：</w:t>
      </w:r>
      <w:r>
        <w:rPr>
          <w:rFonts w:hint="eastAsia" w:ascii="仿宋_GB2312" w:hAnsi="仿宋" w:eastAsia="仿宋_GB2312"/>
          <w:color w:val="auto"/>
          <w:sz w:val="24"/>
          <w:highlight w:val="none"/>
          <w:lang w:val="en-US" w:eastAsia="zh-CN"/>
        </w:rPr>
        <w:t>24438</w:t>
      </w:r>
      <w:r>
        <w:rPr>
          <w:rFonts w:hint="eastAsia" w:ascii="仿宋_GB2312" w:hAnsi="仿宋" w:eastAsia="仿宋_GB2312"/>
          <w:color w:val="auto"/>
          <w:sz w:val="24"/>
          <w:highlight w:val="none"/>
        </w:rPr>
        <w:t>000</w:t>
      </w:r>
    </w:p>
    <w:p>
      <w:pPr>
        <w:spacing w:line="360" w:lineRule="auto"/>
        <w:ind w:firstLine="480"/>
        <w:rPr>
          <w:rFonts w:hint="eastAsia"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color w:val="auto"/>
          <w:sz w:val="24"/>
          <w:highlight w:val="none"/>
          <w:lang w:val="en-US" w:eastAsia="zh-CN"/>
        </w:rPr>
        <w:t>24438</w:t>
      </w:r>
      <w:r>
        <w:rPr>
          <w:rFonts w:hint="eastAsia" w:ascii="仿宋_GB2312" w:hAnsi="仿宋" w:eastAsia="仿宋_GB2312"/>
          <w:color w:val="auto"/>
          <w:sz w:val="24"/>
          <w:highlight w:val="none"/>
        </w:rPr>
        <w:t>000</w:t>
      </w:r>
    </w:p>
    <w:p>
      <w:pPr>
        <w:adjustRightInd/>
        <w:snapToGrid w:val="0"/>
        <w:spacing w:line="360" w:lineRule="auto"/>
        <w:ind w:firstLine="482" w:firstLineChars="200"/>
        <w:rPr>
          <w:rFonts w:hint="eastAsia" w:ascii="仿宋" w:hAnsi="仿宋" w:eastAsia="仿宋" w:cs="仿宋"/>
          <w:color w:val="auto"/>
          <w:sz w:val="24"/>
          <w:highlight w:val="none"/>
        </w:rPr>
      </w:pPr>
      <w:r>
        <w:rPr>
          <w:rFonts w:hint="eastAsia" w:ascii="仿宋_GB2312" w:hAnsi="仿宋" w:eastAsia="仿宋_GB2312" w:cs="Times New Roman"/>
          <w:b/>
          <w:color w:val="auto"/>
          <w:sz w:val="24"/>
          <w:highlight w:val="none"/>
        </w:rPr>
        <w:t>采购需求：</w:t>
      </w:r>
      <w:r>
        <w:rPr>
          <w:rFonts w:hint="eastAsia" w:ascii="仿宋_GB2312" w:hAnsi="仿宋" w:eastAsia="仿宋_GB2312" w:cs="Times New Roman"/>
          <w:b w:val="0"/>
          <w:bCs/>
          <w:color w:val="auto"/>
          <w:sz w:val="24"/>
          <w:highlight w:val="none"/>
        </w:rPr>
        <w:t>主</w:t>
      </w:r>
      <w:r>
        <w:rPr>
          <w:rFonts w:hint="eastAsia" w:ascii="仿宋" w:hAnsi="仿宋" w:eastAsia="仿宋" w:cs="仿宋"/>
          <w:b w:val="0"/>
          <w:bCs/>
          <w:color w:val="auto"/>
          <w:sz w:val="24"/>
          <w:highlight w:val="none"/>
        </w:rPr>
        <w:t>要分为</w:t>
      </w:r>
      <w:r>
        <w:rPr>
          <w:rFonts w:hint="eastAsia" w:ascii="仿宋" w:hAnsi="仿宋" w:eastAsia="仿宋" w:cs="仿宋"/>
          <w:color w:val="auto"/>
          <w:sz w:val="24"/>
          <w:highlight w:val="none"/>
        </w:rPr>
        <w:t>以下三</w:t>
      </w:r>
      <w:r>
        <w:rPr>
          <w:rFonts w:hint="eastAsia" w:ascii="仿宋" w:hAnsi="仿宋" w:eastAsia="仿宋" w:cs="仿宋"/>
          <w:color w:val="auto"/>
          <w:sz w:val="24"/>
          <w:highlight w:val="none"/>
          <w:lang w:eastAsia="zh-CN"/>
        </w:rPr>
        <w:t>类</w:t>
      </w:r>
      <w:r>
        <w:rPr>
          <w:rFonts w:hint="eastAsia" w:ascii="仿宋" w:hAnsi="仿宋" w:eastAsia="仿宋" w:cs="仿宋"/>
          <w:color w:val="auto"/>
          <w:sz w:val="24"/>
          <w:highlight w:val="none"/>
        </w:rPr>
        <w:t>：</w:t>
      </w:r>
    </w:p>
    <w:p>
      <w:pPr>
        <w:spacing w:line="360" w:lineRule="auto"/>
        <w:ind w:firstLine="48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一、基础设施</w:t>
      </w:r>
    </w:p>
    <w:p>
      <w:pPr>
        <w:spacing w:line="360" w:lineRule="auto"/>
        <w:ind w:firstLine="48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eastAsia="zh-CN"/>
        </w:rPr>
        <w:t>综合</w:t>
      </w:r>
      <w:r>
        <w:rPr>
          <w:rFonts w:hint="eastAsia" w:ascii="仿宋_GB2312" w:hAnsi="仿宋" w:eastAsia="仿宋_GB2312"/>
          <w:color w:val="auto"/>
          <w:sz w:val="24"/>
          <w:highlight w:val="none"/>
        </w:rPr>
        <w:t>运维</w:t>
      </w:r>
      <w:r>
        <w:rPr>
          <w:rFonts w:hint="eastAsia" w:ascii="仿宋_GB2312" w:hAnsi="仿宋" w:eastAsia="仿宋_GB2312"/>
          <w:color w:val="auto"/>
          <w:sz w:val="24"/>
          <w:highlight w:val="none"/>
          <w:lang w:eastAsia="zh-CN"/>
        </w:rPr>
        <w:t>管理</w:t>
      </w:r>
      <w:r>
        <w:rPr>
          <w:rFonts w:hint="eastAsia" w:ascii="仿宋_GB2312" w:hAnsi="仿宋" w:eastAsia="仿宋_GB2312"/>
          <w:color w:val="auto"/>
          <w:sz w:val="24"/>
          <w:highlight w:val="none"/>
        </w:rPr>
        <w:t>系统</w:t>
      </w:r>
      <w:r>
        <w:rPr>
          <w:rFonts w:hint="eastAsia" w:ascii="仿宋_GB2312" w:hAnsi="仿宋" w:eastAsia="仿宋_GB2312"/>
          <w:color w:val="auto"/>
          <w:sz w:val="24"/>
          <w:highlight w:val="none"/>
          <w:lang w:val="en-US" w:eastAsia="zh-CN"/>
        </w:rPr>
        <w:t>；</w:t>
      </w:r>
      <w:r>
        <w:rPr>
          <w:rFonts w:hint="eastAsia" w:ascii="仿宋_GB2312" w:hAnsi="仿宋" w:eastAsia="仿宋_GB2312"/>
          <w:color w:val="auto"/>
          <w:sz w:val="24"/>
          <w:highlight w:val="none"/>
        </w:rPr>
        <w:t>计算机网络系统</w:t>
      </w:r>
      <w:r>
        <w:rPr>
          <w:rFonts w:hint="eastAsia" w:ascii="仿宋_GB2312" w:hAnsi="仿宋" w:eastAsia="仿宋_GB2312"/>
          <w:color w:val="auto"/>
          <w:sz w:val="24"/>
          <w:highlight w:val="none"/>
          <w:lang w:val="en-US" w:eastAsia="zh-CN"/>
        </w:rPr>
        <w:t>；</w:t>
      </w:r>
      <w:r>
        <w:rPr>
          <w:rFonts w:hint="eastAsia" w:ascii="仿宋_GB2312" w:hAnsi="仿宋" w:eastAsia="仿宋_GB2312"/>
          <w:color w:val="auto"/>
          <w:sz w:val="24"/>
          <w:highlight w:val="none"/>
        </w:rPr>
        <w:t>机房工程</w:t>
      </w:r>
      <w:r>
        <w:rPr>
          <w:rFonts w:hint="eastAsia" w:ascii="仿宋_GB2312" w:hAnsi="仿宋" w:eastAsia="仿宋_GB2312"/>
          <w:color w:val="auto"/>
          <w:sz w:val="24"/>
          <w:highlight w:val="none"/>
          <w:lang w:val="en-US" w:eastAsia="zh-CN"/>
        </w:rPr>
        <w:t>；</w:t>
      </w:r>
      <w:r>
        <w:rPr>
          <w:rFonts w:hint="eastAsia" w:ascii="仿宋_GB2312" w:hAnsi="仿宋" w:eastAsia="仿宋_GB2312"/>
          <w:color w:val="auto"/>
          <w:sz w:val="24"/>
          <w:highlight w:val="none"/>
          <w:lang w:eastAsia="zh-CN"/>
        </w:rPr>
        <w:t>信息发布系统</w:t>
      </w:r>
      <w:r>
        <w:rPr>
          <w:rFonts w:hint="eastAsia" w:ascii="仿宋_GB2312" w:hAnsi="仿宋" w:eastAsia="仿宋_GB2312"/>
          <w:color w:val="auto"/>
          <w:sz w:val="24"/>
          <w:highlight w:val="none"/>
          <w:lang w:val="en-US" w:eastAsia="zh-CN"/>
        </w:rPr>
        <w:t>。</w:t>
      </w:r>
    </w:p>
    <w:p>
      <w:pPr>
        <w:spacing w:line="360" w:lineRule="auto"/>
        <w:ind w:firstLine="48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二、安防系统</w:t>
      </w:r>
    </w:p>
    <w:p>
      <w:pPr>
        <w:spacing w:line="360" w:lineRule="auto"/>
        <w:ind w:firstLine="480"/>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电子巡查系统</w:t>
      </w:r>
      <w:r>
        <w:rPr>
          <w:rFonts w:hint="eastAsia" w:ascii="仿宋_GB2312" w:hAnsi="仿宋" w:eastAsia="仿宋_GB2312"/>
          <w:color w:val="auto"/>
          <w:sz w:val="24"/>
          <w:highlight w:val="none"/>
          <w:lang w:val="en-US" w:eastAsia="zh-CN"/>
        </w:rPr>
        <w:t>；</w:t>
      </w:r>
      <w:r>
        <w:rPr>
          <w:rFonts w:hint="eastAsia" w:ascii="仿宋_GB2312" w:hAnsi="仿宋" w:eastAsia="仿宋_GB2312"/>
          <w:color w:val="auto"/>
          <w:sz w:val="24"/>
          <w:highlight w:val="none"/>
        </w:rPr>
        <w:t>广播系统</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监舍智能管理系统</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人员定位管控及点名系统</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智能语音交互系统</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fldChar w:fldCharType="begin"/>
      </w:r>
      <w:r>
        <w:rPr>
          <w:rFonts w:hint="eastAsia" w:ascii="仿宋_GB2312" w:hAnsi="仿宋" w:eastAsia="仿宋_GB2312"/>
          <w:color w:val="auto"/>
          <w:sz w:val="24"/>
          <w:highlight w:val="none"/>
        </w:rPr>
        <w:instrText xml:space="preserve"> HYPERLINK \l _Toc4275 </w:instrText>
      </w:r>
      <w:r>
        <w:rPr>
          <w:rFonts w:hint="eastAsia" w:ascii="仿宋_GB2312" w:hAnsi="仿宋" w:eastAsia="仿宋_GB2312"/>
          <w:color w:val="auto"/>
          <w:sz w:val="24"/>
          <w:highlight w:val="none"/>
        </w:rPr>
        <w:fldChar w:fldCharType="separate"/>
      </w:r>
      <w:r>
        <w:rPr>
          <w:rFonts w:hint="eastAsia" w:ascii="仿宋_GB2312" w:hAnsi="仿宋" w:eastAsia="仿宋_GB2312"/>
          <w:color w:val="auto"/>
          <w:sz w:val="24"/>
          <w:highlight w:val="none"/>
          <w:lang w:val="en-US" w:eastAsia="zh-CN"/>
        </w:rPr>
        <w:t>警用装备智能管理系统</w:t>
      </w:r>
      <w:r>
        <w:rPr>
          <w:rFonts w:hint="eastAsia" w:ascii="仿宋_GB2312" w:hAnsi="仿宋" w:eastAsia="仿宋_GB2312"/>
          <w:color w:val="auto"/>
          <w:sz w:val="24"/>
          <w:highlight w:val="none"/>
        </w:rPr>
        <w:fldChar w:fldCharType="end"/>
      </w:r>
      <w:r>
        <w:rPr>
          <w:rFonts w:hint="eastAsia" w:ascii="仿宋_GB2312" w:hAnsi="仿宋" w:eastAsia="仿宋_GB2312"/>
          <w:color w:val="auto"/>
          <w:sz w:val="24"/>
          <w:highlight w:val="none"/>
          <w:lang w:eastAsia="zh-CN"/>
        </w:rPr>
        <w:t>。</w:t>
      </w:r>
    </w:p>
    <w:p>
      <w:pPr>
        <w:spacing w:line="360" w:lineRule="auto"/>
        <w:ind w:firstLine="480"/>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eastAsia="zh-CN"/>
        </w:rPr>
        <w:t>三</w:t>
      </w:r>
      <w:r>
        <w:rPr>
          <w:rFonts w:hint="eastAsia" w:ascii="仿宋_GB2312" w:hAnsi="仿宋" w:eastAsia="仿宋_GB2312"/>
          <w:color w:val="auto"/>
          <w:sz w:val="24"/>
          <w:highlight w:val="none"/>
        </w:rPr>
        <w:t>、指挥中心</w:t>
      </w:r>
      <w:r>
        <w:rPr>
          <w:rFonts w:hint="eastAsia" w:ascii="仿宋_GB2312" w:hAnsi="仿宋" w:eastAsia="仿宋_GB2312"/>
          <w:color w:val="auto"/>
          <w:sz w:val="24"/>
          <w:highlight w:val="none"/>
          <w:lang w:eastAsia="zh-CN"/>
        </w:rPr>
        <w:t>及综合应用管理平台</w:t>
      </w:r>
    </w:p>
    <w:p>
      <w:pPr>
        <w:spacing w:line="360" w:lineRule="auto"/>
        <w:ind w:firstLine="480"/>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lang w:eastAsia="zh-CN"/>
        </w:rPr>
        <w:t>指挥中心工程；综合应用管理平台。</w:t>
      </w:r>
    </w:p>
    <w:p>
      <w:pPr>
        <w:pStyle w:val="414"/>
        <w:spacing w:before="0"/>
        <w:ind w:firstLineChars="0"/>
        <w:outlineLvl w:val="2"/>
        <w:rPr>
          <w:rFonts w:hint="eastAsia" w:ascii="仿宋_GB2312" w:hAnsi="仿宋" w:eastAsia="仿宋_GB2312"/>
          <w:color w:val="auto"/>
          <w:szCs w:val="24"/>
          <w:highlight w:val="none"/>
        </w:rPr>
      </w:pPr>
      <w:r>
        <w:rPr>
          <w:rFonts w:hint="eastAsia" w:ascii="仿宋_GB2312" w:hAnsi="仿宋_GB2312" w:eastAsia="仿宋_GB2312" w:cs="仿宋_GB2312"/>
          <w:color w:val="auto"/>
          <w:sz w:val="24"/>
          <w:highlight w:val="none"/>
        </w:rPr>
        <w:t xml:space="preserve">其他包括：线缆改造、设备供货、安装调试、系统集成、项目验收以及技术培训和不少于三年7*24小时原厂免费设备保修和售后现场技术服务等。本项目系统需与监狱原有的应用系统有效对接、兼容，建成后满足整体提交建设单位运行使用。 </w:t>
      </w:r>
    </w:p>
    <w:p>
      <w:pPr>
        <w:spacing w:line="360" w:lineRule="auto"/>
        <w:ind w:firstLine="480"/>
        <w:rPr>
          <w:rFonts w:hint="eastAsia" w:ascii="仿宋_GB2312" w:hAnsi="仿宋" w:eastAsia="仿宋_GB2312"/>
          <w:color w:val="auto"/>
          <w:sz w:val="24"/>
          <w:highlight w:val="none"/>
        </w:rPr>
      </w:pPr>
      <w:r>
        <w:rPr>
          <w:rFonts w:hint="eastAsia" w:ascii="仿宋_GB2312" w:hAnsi="仿宋" w:eastAsia="仿宋_GB2312"/>
          <w:b/>
          <w:color w:val="auto"/>
          <w:sz w:val="24"/>
          <w:highlight w:val="none"/>
        </w:rPr>
        <w:t>合同履约期限：</w:t>
      </w:r>
      <w:r>
        <w:rPr>
          <w:rFonts w:hint="eastAsia" w:ascii="仿宋_GB2312" w:hAnsi="仿宋" w:eastAsia="仿宋_GB2312"/>
          <w:b/>
          <w:color w:val="auto"/>
          <w:sz w:val="24"/>
          <w:highlight w:val="none"/>
          <w:lang w:eastAsia="zh-CN"/>
        </w:rPr>
        <w:t>合同签订后六个月</w:t>
      </w:r>
      <w:r>
        <w:rPr>
          <w:rFonts w:hint="eastAsia" w:ascii="仿宋_GB2312" w:eastAsia="仿宋_GB2312"/>
          <w:color w:val="auto"/>
          <w:sz w:val="24"/>
          <w:highlight w:val="none"/>
        </w:rPr>
        <w:t>。</w:t>
      </w:r>
    </w:p>
    <w:p>
      <w:pPr>
        <w:spacing w:line="360" w:lineRule="auto"/>
        <w:ind w:firstLine="480"/>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本项目（否）接受联合体投标。</w:t>
      </w:r>
    </w:p>
    <w:p>
      <w:pPr>
        <w:spacing w:line="360" w:lineRule="auto"/>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1.满足《中华人民共和国政府采购法》第二十二条规定；</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2.落实政府采购政策需满足的资格要求：无。 </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3.本项目的特定资格要求：无 </w:t>
      </w:r>
    </w:p>
    <w:p>
      <w:pPr>
        <w:spacing w:line="360" w:lineRule="auto"/>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 xml:space="preserve">三、获取招标文件 </w:t>
      </w:r>
    </w:p>
    <w:p>
      <w:pPr>
        <w:spacing w:line="360" w:lineRule="auto"/>
        <w:ind w:firstLine="482" w:firstLineChars="200"/>
        <w:rPr>
          <w:rFonts w:hint="eastAsia"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hint="eastAsia" w:ascii="仿宋_GB2312" w:hAnsi="仿宋" w:eastAsia="仿宋_GB2312"/>
          <w:color w:val="auto"/>
          <w:sz w:val="24"/>
          <w:highlight w:val="none"/>
        </w:rPr>
        <w:t>/至2021年</w:t>
      </w:r>
      <w:r>
        <w:rPr>
          <w:rFonts w:hint="eastAsia" w:ascii="仿宋_GB2312" w:hAnsi="仿宋" w:eastAsia="仿宋_GB2312"/>
          <w:color w:val="auto"/>
          <w:sz w:val="24"/>
          <w:highlight w:val="none"/>
          <w:lang w:val="en-US" w:eastAsia="zh-CN"/>
        </w:rPr>
        <w:t>11</w:t>
      </w:r>
      <w:r>
        <w:rPr>
          <w:rFonts w:hint="eastAsia" w:ascii="仿宋_GB2312" w:hAnsi="仿宋" w:eastAsia="仿宋_GB2312"/>
          <w:color w:val="auto"/>
          <w:sz w:val="24"/>
          <w:highlight w:val="none"/>
        </w:rPr>
        <w:t>月</w:t>
      </w:r>
      <w:r>
        <w:rPr>
          <w:rFonts w:hint="eastAsia" w:ascii="仿宋_GB2312" w:hAnsi="仿宋" w:eastAsia="仿宋_GB2312"/>
          <w:color w:val="auto"/>
          <w:sz w:val="24"/>
          <w:highlight w:val="none"/>
          <w:lang w:val="en-US" w:eastAsia="zh-CN"/>
        </w:rPr>
        <w:t>2</w:t>
      </w:r>
      <w:r>
        <w:rPr>
          <w:rFonts w:hint="eastAsia" w:ascii="仿宋_GB2312" w:hAnsi="仿宋" w:eastAsia="仿宋_GB2312"/>
          <w:color w:val="auto"/>
          <w:sz w:val="24"/>
          <w:highlight w:val="none"/>
        </w:rPr>
        <w:t>日 ，每天上午00:00至12:00 ，下午12:00至23:59（北京时间，线上获取法定节假日均可，线下获取文件法定节假日除外）</w:t>
      </w:r>
    </w:p>
    <w:p>
      <w:pPr>
        <w:spacing w:line="360" w:lineRule="auto"/>
        <w:rPr>
          <w:rFonts w:hint="eastAsia" w:ascii="仿宋_GB2312" w:hAnsi="仿宋" w:eastAsia="仿宋_GB2312"/>
          <w:color w:val="auto"/>
          <w:sz w:val="24"/>
          <w:highlight w:val="none"/>
        </w:rPr>
      </w:pPr>
    </w:p>
    <w:bookmarkEnd w:id="8"/>
    <w:p>
      <w:pPr>
        <w:spacing w:line="360" w:lineRule="auto"/>
        <w:ind w:firstLine="482" w:firstLineChars="200"/>
        <w:rPr>
          <w:rFonts w:hint="eastAsia"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 xml:space="preserve">政采云平台（https://www.zcygov.cn/） </w:t>
      </w:r>
    </w:p>
    <w:p>
      <w:pPr>
        <w:spacing w:line="360" w:lineRule="auto"/>
        <w:ind w:firstLine="482" w:firstLineChars="200"/>
        <w:rPr>
          <w:rFonts w:hint="eastAsia"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使用账号登录或者使用CA登录政采云平台；进入“项目采购”应用，在获取</w:t>
      </w:r>
      <w:r>
        <w:rPr>
          <w:rFonts w:hint="eastAsia" w:ascii="仿宋_GB2312" w:hAnsi="仿宋" w:eastAsia="仿宋_GB2312"/>
          <w:color w:val="auto"/>
          <w:sz w:val="24"/>
          <w:highlight w:val="none"/>
          <w:lang w:eastAsia="zh-CN"/>
        </w:rPr>
        <w:t>招标文件</w:t>
      </w:r>
      <w:r>
        <w:rPr>
          <w:rFonts w:hint="eastAsia" w:ascii="仿宋_GB2312" w:hAnsi="仿宋" w:eastAsia="仿宋_GB2312"/>
          <w:color w:val="auto"/>
          <w:sz w:val="24"/>
          <w:highlight w:val="none"/>
        </w:rPr>
        <w:t>菜单中选择项目，获取</w:t>
      </w:r>
      <w:r>
        <w:rPr>
          <w:rFonts w:hint="eastAsia" w:ascii="仿宋_GB2312" w:hAnsi="仿宋" w:eastAsia="仿宋_GB2312"/>
          <w:color w:val="auto"/>
          <w:sz w:val="24"/>
          <w:highlight w:val="none"/>
          <w:lang w:eastAsia="zh-CN"/>
        </w:rPr>
        <w:t>招标文件</w:t>
      </w:r>
      <w:r>
        <w:rPr>
          <w:rFonts w:hint="eastAsia" w:ascii="仿宋_GB2312" w:hAnsi="仿宋" w:eastAsia="仿宋_GB2312"/>
          <w:color w:val="auto"/>
          <w:sz w:val="24"/>
          <w:highlight w:val="none"/>
        </w:rPr>
        <w:t xml:space="preserve">。（注册账号--点击“商家入驻”，进行政府采购供应商资料填写；申领CA数字证书--申领流程详见“浙江政府采购网-下载专区-电子交易客户端-CA驱动和申领流程”。） </w:t>
      </w:r>
    </w:p>
    <w:p>
      <w:pPr>
        <w:spacing w:line="360" w:lineRule="auto"/>
        <w:ind w:firstLine="482" w:firstLineChars="200"/>
        <w:rPr>
          <w:rFonts w:hint="eastAsia"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hint="eastAsia" w:ascii="仿宋_GB2312" w:hAnsi="仿宋" w:eastAsia="仿宋_GB2312"/>
          <w:color w:val="auto"/>
          <w:sz w:val="24"/>
          <w:highlight w:val="none"/>
        </w:rPr>
        <w:t xml:space="preserve">0 </w:t>
      </w:r>
    </w:p>
    <w:p>
      <w:pPr>
        <w:spacing w:line="360" w:lineRule="auto"/>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hint="eastAsia"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rPr>
        <w:t>2021年</w:t>
      </w:r>
      <w:r>
        <w:rPr>
          <w:rFonts w:hint="eastAsia" w:ascii="仿宋_GB2312" w:hAnsi="仿宋" w:eastAsia="仿宋_GB2312"/>
          <w:color w:val="auto"/>
          <w:sz w:val="24"/>
          <w:highlight w:val="none"/>
          <w:lang w:val="en-US" w:eastAsia="zh-CN"/>
        </w:rPr>
        <w:t>11</w:t>
      </w:r>
      <w:r>
        <w:rPr>
          <w:rFonts w:hint="eastAsia" w:ascii="仿宋_GB2312" w:hAnsi="仿宋" w:eastAsia="仿宋_GB2312"/>
          <w:color w:val="auto"/>
          <w:sz w:val="24"/>
          <w:highlight w:val="none"/>
        </w:rPr>
        <w:t>月</w:t>
      </w:r>
      <w:r>
        <w:rPr>
          <w:rFonts w:hint="eastAsia" w:ascii="仿宋_GB2312" w:hAnsi="仿宋" w:eastAsia="仿宋_GB2312"/>
          <w:color w:val="auto"/>
          <w:sz w:val="24"/>
          <w:highlight w:val="none"/>
          <w:lang w:val="en-US" w:eastAsia="zh-CN"/>
        </w:rPr>
        <w:t>2</w:t>
      </w:r>
      <w:r>
        <w:rPr>
          <w:rFonts w:hint="eastAsia" w:ascii="仿宋_GB2312" w:hAnsi="仿宋" w:eastAsia="仿宋_GB2312"/>
          <w:color w:val="auto"/>
          <w:sz w:val="24"/>
          <w:highlight w:val="none"/>
        </w:rPr>
        <w:t>日</w:t>
      </w:r>
      <w:r>
        <w:rPr>
          <w:rFonts w:hint="eastAsia" w:ascii="仿宋_GB2312" w:hAnsi="仿宋" w:eastAsia="仿宋_GB2312"/>
          <w:color w:val="auto"/>
          <w:sz w:val="24"/>
          <w:highlight w:val="none"/>
          <w:lang w:val="en-US" w:eastAsia="zh-CN"/>
        </w:rPr>
        <w:t>10</w:t>
      </w:r>
      <w:r>
        <w:rPr>
          <w:rFonts w:hint="eastAsia" w:ascii="仿宋_GB2312" w:hAnsi="仿宋" w:eastAsia="仿宋_GB2312"/>
          <w:bCs/>
          <w:color w:val="auto"/>
          <w:sz w:val="24"/>
          <w:highlight w:val="none"/>
        </w:rPr>
        <w:t>点</w:t>
      </w:r>
      <w:r>
        <w:rPr>
          <w:rFonts w:hint="eastAsia" w:ascii="仿宋_GB2312" w:hAnsi="仿宋" w:eastAsia="仿宋_GB2312"/>
          <w:bCs/>
          <w:color w:val="auto"/>
          <w:sz w:val="24"/>
          <w:highlight w:val="none"/>
          <w:lang w:val="en-US" w:eastAsia="zh-CN"/>
        </w:rPr>
        <w:t>00</w:t>
      </w:r>
      <w:r>
        <w:rPr>
          <w:rFonts w:hint="eastAsia" w:ascii="仿宋_GB2312" w:hAnsi="仿宋" w:eastAsia="仿宋_GB2312"/>
          <w:bCs/>
          <w:color w:val="auto"/>
          <w:sz w:val="24"/>
          <w:highlight w:val="none"/>
        </w:rPr>
        <w:t>分00秒</w:t>
      </w:r>
      <w:r>
        <w:rPr>
          <w:rFonts w:hint="eastAsia" w:ascii="仿宋_GB2312" w:hAnsi="仿宋" w:eastAsia="仿宋_GB2312"/>
          <w:color w:val="auto"/>
          <w:sz w:val="24"/>
          <w:highlight w:val="none"/>
        </w:rPr>
        <w:t>（北京时间）</w:t>
      </w:r>
    </w:p>
    <w:p>
      <w:pPr>
        <w:spacing w:line="360" w:lineRule="auto"/>
        <w:ind w:firstLine="482" w:firstLineChars="200"/>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 xml:space="preserve">政采云平台 </w:t>
      </w:r>
    </w:p>
    <w:p>
      <w:pPr>
        <w:spacing w:line="360" w:lineRule="auto"/>
        <w:ind w:firstLine="482" w:firstLineChars="200"/>
        <w:rPr>
          <w:rFonts w:hint="eastAsia" w:ascii="仿宋_GB2312" w:hAnsi="仿宋" w:eastAsia="仿宋_GB2312"/>
          <w:color w:val="auto"/>
          <w:sz w:val="24"/>
          <w:highlight w:val="non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rPr>
        <w:t>2021年</w:t>
      </w:r>
      <w:r>
        <w:rPr>
          <w:rFonts w:hint="eastAsia" w:ascii="仿宋_GB2312" w:hAnsi="仿宋" w:eastAsia="仿宋_GB2312"/>
          <w:color w:val="auto"/>
          <w:sz w:val="24"/>
          <w:highlight w:val="none"/>
          <w:lang w:val="en-US" w:eastAsia="zh-CN"/>
        </w:rPr>
        <w:t>11</w:t>
      </w:r>
      <w:r>
        <w:rPr>
          <w:rFonts w:hint="eastAsia" w:ascii="仿宋_GB2312" w:hAnsi="仿宋" w:eastAsia="仿宋_GB2312"/>
          <w:color w:val="auto"/>
          <w:sz w:val="24"/>
          <w:highlight w:val="none"/>
        </w:rPr>
        <w:t>月</w:t>
      </w:r>
      <w:r>
        <w:rPr>
          <w:rFonts w:hint="eastAsia" w:ascii="仿宋_GB2312" w:hAnsi="仿宋" w:eastAsia="仿宋_GB2312"/>
          <w:color w:val="auto"/>
          <w:sz w:val="24"/>
          <w:highlight w:val="none"/>
          <w:lang w:val="en-US" w:eastAsia="zh-CN"/>
        </w:rPr>
        <w:t>2</w:t>
      </w:r>
      <w:r>
        <w:rPr>
          <w:rFonts w:hint="eastAsia" w:ascii="仿宋_GB2312" w:hAnsi="仿宋" w:eastAsia="仿宋_GB2312"/>
          <w:color w:val="auto"/>
          <w:sz w:val="24"/>
          <w:highlight w:val="none"/>
        </w:rPr>
        <w:t>日</w:t>
      </w:r>
      <w:r>
        <w:rPr>
          <w:rFonts w:hint="eastAsia" w:ascii="仿宋_GB2312" w:hAnsi="仿宋" w:eastAsia="仿宋_GB2312"/>
          <w:color w:val="auto"/>
          <w:sz w:val="24"/>
          <w:highlight w:val="none"/>
          <w:lang w:val="en-US" w:eastAsia="zh-CN"/>
        </w:rPr>
        <w:t>10</w:t>
      </w:r>
      <w:r>
        <w:rPr>
          <w:rFonts w:hint="eastAsia" w:ascii="仿宋_GB2312" w:hAnsi="仿宋" w:eastAsia="仿宋_GB2312"/>
          <w:bCs/>
          <w:color w:val="auto"/>
          <w:sz w:val="24"/>
          <w:highlight w:val="none"/>
        </w:rPr>
        <w:t>点</w:t>
      </w:r>
      <w:r>
        <w:rPr>
          <w:rFonts w:hint="eastAsia" w:ascii="仿宋_GB2312" w:hAnsi="仿宋" w:eastAsia="仿宋_GB2312"/>
          <w:bCs/>
          <w:color w:val="auto"/>
          <w:sz w:val="24"/>
          <w:highlight w:val="none"/>
          <w:lang w:val="en-US" w:eastAsia="zh-CN"/>
        </w:rPr>
        <w:t>00</w:t>
      </w:r>
      <w:r>
        <w:rPr>
          <w:rFonts w:hint="eastAsia" w:ascii="仿宋_GB2312" w:hAnsi="仿宋" w:eastAsia="仿宋_GB2312"/>
          <w:bCs/>
          <w:color w:val="auto"/>
          <w:sz w:val="24"/>
          <w:highlight w:val="none"/>
        </w:rPr>
        <w:t>分00秒</w:t>
      </w:r>
    </w:p>
    <w:p>
      <w:pPr>
        <w:spacing w:line="360" w:lineRule="auto"/>
        <w:ind w:firstLine="482" w:firstLineChars="200"/>
        <w:rPr>
          <w:rFonts w:hint="eastAsia" w:ascii="仿宋_GB2312" w:hAnsi="仿宋" w:eastAsia="仿宋_GB2312"/>
          <w:color w:val="auto"/>
          <w:sz w:val="24"/>
          <w:highlight w:val="none"/>
        </w:rPr>
      </w:pPr>
      <w:r>
        <w:rPr>
          <w:rFonts w:hint="eastAsia" w:ascii="仿宋_GB2312" w:hAnsi="仿宋" w:eastAsia="仿宋_GB2312"/>
          <w:b/>
          <w:color w:val="auto"/>
          <w:sz w:val="24"/>
          <w:highlight w:val="none"/>
        </w:rPr>
        <w:t>开标地点：</w:t>
      </w:r>
      <w:r>
        <w:rPr>
          <w:rFonts w:hint="eastAsia" w:ascii="仿宋_GB2312" w:hAnsi="仿宋" w:eastAsia="仿宋_GB2312"/>
          <w:color w:val="auto"/>
          <w:sz w:val="24"/>
          <w:highlight w:val="none"/>
        </w:rPr>
        <w:t xml:space="preserve">杭州市公共资源交易中心第四开标室[杭州市之江路925号（临江金座2号楼）三楼]  </w:t>
      </w:r>
    </w:p>
    <w:p>
      <w:pPr>
        <w:spacing w:line="360" w:lineRule="auto"/>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 xml:space="preserve">五、公告期限 </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自本公告发布之日起5个工作日。</w:t>
      </w:r>
    </w:p>
    <w:p>
      <w:pPr>
        <w:spacing w:line="360" w:lineRule="auto"/>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1.供应商认为</w:t>
      </w:r>
      <w:r>
        <w:rPr>
          <w:rFonts w:hint="eastAsia" w:ascii="仿宋_GB2312" w:hAnsi="仿宋" w:eastAsia="仿宋_GB2312"/>
          <w:color w:val="auto"/>
          <w:sz w:val="24"/>
          <w:highlight w:val="none"/>
          <w:lang w:eastAsia="zh-CN"/>
        </w:rPr>
        <w:t>招标文件</w:t>
      </w:r>
      <w:r>
        <w:rPr>
          <w:rFonts w:hint="eastAsia" w:ascii="仿宋_GB2312" w:hAnsi="仿宋" w:eastAsia="仿宋_GB2312"/>
          <w:color w:val="auto"/>
          <w:sz w:val="24"/>
          <w:highlight w:val="none"/>
        </w:rPr>
        <w:t>使自己的权益受到损害的，可以自获取</w:t>
      </w:r>
      <w:r>
        <w:rPr>
          <w:rFonts w:hint="eastAsia" w:ascii="仿宋_GB2312" w:hAnsi="仿宋" w:eastAsia="仿宋_GB2312"/>
          <w:color w:val="auto"/>
          <w:sz w:val="24"/>
          <w:highlight w:val="none"/>
          <w:lang w:eastAsia="zh-CN"/>
        </w:rPr>
        <w:t>招标文件</w:t>
      </w:r>
      <w:r>
        <w:rPr>
          <w:rFonts w:hint="eastAsia" w:ascii="仿宋_GB2312" w:hAnsi="仿宋" w:eastAsia="仿宋_GB2312"/>
          <w:color w:val="auto"/>
          <w:sz w:val="24"/>
          <w:highlight w:val="none"/>
        </w:rPr>
        <w:t>之日或者</w:t>
      </w:r>
      <w:r>
        <w:rPr>
          <w:rFonts w:hint="eastAsia" w:ascii="仿宋_GB2312" w:hAnsi="仿宋" w:eastAsia="仿宋_GB2312"/>
          <w:color w:val="auto"/>
          <w:sz w:val="24"/>
          <w:highlight w:val="none"/>
          <w:lang w:eastAsia="zh-CN"/>
        </w:rPr>
        <w:t>招标文件</w:t>
      </w:r>
      <w:r>
        <w:rPr>
          <w:rFonts w:hint="eastAsia" w:ascii="仿宋_GB2312" w:hAnsi="仿宋" w:eastAsia="仿宋_GB2312"/>
          <w:color w:val="auto"/>
          <w:sz w:val="24"/>
          <w:highlight w:val="none"/>
        </w:rPr>
        <w:t>公告期限届满之日（公告期限届满后获取</w:t>
      </w:r>
      <w:r>
        <w:rPr>
          <w:rFonts w:hint="eastAsia" w:ascii="仿宋_GB2312" w:hAnsi="仿宋" w:eastAsia="仿宋_GB2312"/>
          <w:color w:val="auto"/>
          <w:sz w:val="24"/>
          <w:highlight w:val="none"/>
          <w:lang w:eastAsia="zh-CN"/>
        </w:rPr>
        <w:t>招标文件</w:t>
      </w:r>
      <w:r>
        <w:rPr>
          <w:rFonts w:hint="eastAsia" w:ascii="仿宋_GB2312" w:hAnsi="仿宋" w:eastAsia="仿宋_GB2312"/>
          <w:color w:val="auto"/>
          <w:sz w:val="24"/>
          <w:highlight w:val="none"/>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2. 需要落实的政府采购政策：包括保护环境、节约能源、促进中小企业发展等。详见招标文件的第二部分总则。为支持和促进中小企业发展，杭州市财政局出台了政府采购信用融资政策，供应商可凭中标合同申请贷款，</w:t>
      </w:r>
      <w:r>
        <w:rPr>
          <w:rFonts w:hint="eastAsia" w:ascii="仿宋_GB2312" w:hAnsi="仿宋" w:eastAsia="仿宋_GB2312" w:cs="宋体"/>
          <w:color w:val="auto"/>
          <w:kern w:val="0"/>
          <w:sz w:val="24"/>
          <w:highlight w:val="none"/>
        </w:rPr>
        <w:t>利率一般不超过基准利率上浮10%。</w:t>
      </w:r>
      <w:r>
        <w:rPr>
          <w:rFonts w:hint="eastAsia" w:ascii="仿宋_GB2312" w:hAnsi="仿宋" w:eastAsia="仿宋_GB2312"/>
          <w:color w:val="auto"/>
          <w:sz w:val="24"/>
          <w:highlight w:val="none"/>
        </w:rPr>
        <w:t>。具体可登录http://220.191.208.230/login.do办理业务。</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3.电子招投标的说明：</w:t>
      </w:r>
      <w:r>
        <w:rPr>
          <w:rFonts w:hint="eastAsia" w:ascii="仿宋_GB2312" w:hAnsi="仿宋" w:eastAsia="仿宋_GB2312" w:cs="仿宋_GB2312"/>
          <w:color w:val="auto"/>
          <w:sz w:val="24"/>
          <w:highlight w:val="none"/>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w:t>
      </w:r>
      <w:r>
        <w:rPr>
          <w:rFonts w:hint="eastAsia" w:ascii="仿宋_GB2312" w:hAnsi="仿宋" w:eastAsia="仿宋_GB2312" w:cs="仿宋_GB2312"/>
          <w:color w:val="auto"/>
          <w:sz w:val="24"/>
          <w:highlight w:val="none"/>
          <w:lang w:eastAsia="zh-CN"/>
        </w:rPr>
        <w:t>招标文件</w:t>
      </w:r>
      <w:r>
        <w:rPr>
          <w:rFonts w:hint="eastAsia" w:ascii="仿宋_GB2312" w:hAnsi="仿宋" w:eastAsia="仿宋_GB2312" w:cs="仿宋_GB2312"/>
          <w:color w:val="auto"/>
          <w:sz w:val="24"/>
          <w:highlight w:val="none"/>
        </w:rPr>
        <w:t>菜单中选择项目，获取招标文件。4）投标文件的制作：在“政采云电子交易客户端”中完成“填写基本信息”、“导入投标文件”、“标书关联”、“标书检查”、“电子签名”、“生成电子标书”等操作。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w:t>
      </w:r>
      <w:r>
        <w:rPr>
          <w:rFonts w:hint="eastAsia" w:ascii="仿宋_GB2312" w:hAnsi="仿宋" w:eastAsia="仿宋_GB2312" w:cs="仿宋_GB2312"/>
          <w:color w:val="auto"/>
          <w:sz w:val="24"/>
          <w:highlight w:val="none"/>
        </w:rPr>
        <w:t>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olor w:val="auto"/>
          <w:sz w:val="24"/>
          <w:highlight w:val="none"/>
        </w:rPr>
        <w:t>9）</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pPr>
        <w:spacing w:line="360" w:lineRule="auto"/>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1.采购人信息</w:t>
      </w:r>
    </w:p>
    <w:p>
      <w:pPr>
        <w:spacing w:line="360" w:lineRule="auto"/>
        <w:rPr>
          <w:rFonts w:hint="eastAsia" w:ascii="仿宋_GB2312" w:hAnsi="仿宋_GB2312" w:eastAsia="仿宋_GB2312" w:cs="仿宋_GB2312"/>
          <w:color w:val="auto"/>
          <w:sz w:val="24"/>
          <w:highlight w:val="none"/>
        </w:rPr>
      </w:pPr>
      <w:r>
        <w:rPr>
          <w:rFonts w:hint="eastAsia" w:ascii="仿宋_GB2312" w:hAnsi="仿宋" w:eastAsia="仿宋_GB2312"/>
          <w:color w:val="auto"/>
          <w:sz w:val="24"/>
          <w:highlight w:val="none"/>
        </w:rPr>
        <w:t xml:space="preserve">    名    称：</w:t>
      </w:r>
      <w:r>
        <w:rPr>
          <w:rFonts w:hint="eastAsia" w:ascii="仿宋_GB2312" w:hAnsi="仿宋_GB2312" w:eastAsia="仿宋_GB2312" w:cs="仿宋_GB2312"/>
          <w:color w:val="auto"/>
          <w:sz w:val="24"/>
          <w:highlight w:val="none"/>
        </w:rPr>
        <w:t>杭州市南郊监狱</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地    址：萧山区杭新路8号</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传    真：/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项目联系人（询问）：吴先生</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项目联系方式（询问）：</w:t>
      </w:r>
      <w:r>
        <w:rPr>
          <w:rFonts w:hint="eastAsia" w:ascii="仿宋" w:hAnsi="仿宋" w:eastAsia="仿宋" w:cs="仿宋_GB2312"/>
          <w:color w:val="auto"/>
          <w:sz w:val="24"/>
          <w:highlight w:val="none"/>
        </w:rPr>
        <w:t xml:space="preserve">0571-82609987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质疑联系人：杜先生</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质疑联系方式：</w:t>
      </w:r>
      <w:r>
        <w:rPr>
          <w:rFonts w:hint="eastAsia" w:ascii="仿宋" w:hAnsi="仿宋" w:eastAsia="仿宋" w:cs="仿宋_GB2312"/>
          <w:color w:val="auto"/>
          <w:sz w:val="24"/>
          <w:highlight w:val="none"/>
        </w:rPr>
        <w:t>0571-82609987</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2.采购代理机构信息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名    称：杭州市公共资源交易中心（杭州市政府采购中心、杭州市建设工程交易中心）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地    址：浙江杭州上城区之江路925号临江金座2号楼</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传    真：/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lang w:eastAsia="zh-CN"/>
        </w:rPr>
        <w:t>陈星宇</w:t>
      </w:r>
      <w:r>
        <w:rPr>
          <w:rFonts w:hint="eastAsia" w:ascii="仿宋_GB2312" w:hAnsi="仿宋" w:eastAsia="仿宋_GB2312"/>
          <w:color w:val="auto"/>
          <w:sz w:val="24"/>
          <w:highlight w:val="none"/>
        </w:rPr>
        <w:t xml:space="preserve">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项目联系方式（询问）：0571-85085</w:t>
      </w:r>
      <w:r>
        <w:rPr>
          <w:rFonts w:hint="eastAsia" w:ascii="仿宋_GB2312" w:hAnsi="仿宋" w:eastAsia="仿宋_GB2312"/>
          <w:color w:val="auto"/>
          <w:sz w:val="24"/>
          <w:highlight w:val="none"/>
          <w:lang w:val="en-US" w:eastAsia="zh-CN"/>
        </w:rPr>
        <w:t>569</w:t>
      </w:r>
      <w:r>
        <w:rPr>
          <w:rFonts w:hint="eastAsia" w:ascii="仿宋_GB2312" w:hAnsi="仿宋" w:eastAsia="仿宋_GB2312"/>
          <w:color w:val="auto"/>
          <w:sz w:val="24"/>
          <w:highlight w:val="none"/>
        </w:rPr>
        <w:t xml:space="preserve">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质疑联系人：滕菲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质疑联系方式：0571-85085</w:t>
      </w:r>
      <w:r>
        <w:rPr>
          <w:rFonts w:hint="eastAsia" w:ascii="仿宋_GB2312" w:hAnsi="仿宋" w:eastAsia="仿宋_GB2312"/>
          <w:color w:val="auto"/>
          <w:sz w:val="24"/>
          <w:highlight w:val="none"/>
          <w:lang w:val="en-US" w:eastAsia="zh-CN"/>
        </w:rPr>
        <w:t>388</w:t>
      </w:r>
      <w:r>
        <w:rPr>
          <w:rFonts w:hint="eastAsia" w:ascii="仿宋_GB2312" w:hAnsi="仿宋" w:eastAsia="仿宋_GB2312"/>
          <w:color w:val="auto"/>
          <w:sz w:val="24"/>
          <w:highlight w:val="none"/>
        </w:rPr>
        <w:t xml:space="preserve">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3.同级政府采购监督管理部门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名    称：杭州市财政局政府采购监管处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地    址：杭州市中河中路152号617办公室 </w:t>
      </w:r>
    </w:p>
    <w:p>
      <w:pPr>
        <w:spacing w:line="360" w:lineRule="auto"/>
        <w:ind w:firstLine="240" w:firstLineChars="1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传    真：0571-87715261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联系人 ：吕先生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监督投诉电话：0571-87715261           </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CA问题联系电话（人工）：汇信CA 400-888-4636；天谷CA 400-087-8198。</w:t>
      </w:r>
    </w:p>
    <w:p>
      <w:pPr>
        <w:pStyle w:val="33"/>
        <w:spacing w:line="360" w:lineRule="auto"/>
        <w:ind w:firstLine="472" w:firstLineChars="196"/>
        <w:rPr>
          <w:rFonts w:hint="eastAsia" w:ascii="仿宋_GB2312" w:hAnsi="仿宋" w:eastAsia="仿宋_GB2312" w:cs="仿宋_GB2312"/>
          <w:b/>
          <w:color w:val="auto"/>
          <w:sz w:val="24"/>
          <w:szCs w:val="24"/>
          <w:highlight w:val="none"/>
        </w:rPr>
      </w:pPr>
    </w:p>
    <w:p>
      <w:pPr>
        <w:spacing w:line="360" w:lineRule="auto"/>
        <w:ind w:firstLine="20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w:t>
      </w:r>
    </w:p>
    <w:p>
      <w:pPr>
        <w:spacing w:line="360" w:lineRule="auto"/>
        <w:ind w:firstLine="20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杭州市公共资源交易中心（杭州市政府采购中心）</w:t>
      </w:r>
    </w:p>
    <w:p>
      <w:pPr>
        <w:pStyle w:val="33"/>
        <w:spacing w:line="360" w:lineRule="auto"/>
        <w:ind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 xml:space="preserve">                                         二○二一年</w:t>
      </w:r>
      <w:r>
        <w:rPr>
          <w:rFonts w:hint="eastAsia" w:ascii="仿宋_GB2312" w:hAnsi="仿宋" w:eastAsia="仿宋_GB2312" w:cs="仿宋_GB2312"/>
          <w:color w:val="auto"/>
          <w:sz w:val="24"/>
          <w:szCs w:val="24"/>
          <w:highlight w:val="none"/>
          <w:lang w:eastAsia="zh-CN"/>
        </w:rPr>
        <w:t>十</w:t>
      </w:r>
      <w:r>
        <w:rPr>
          <w:rFonts w:hint="eastAsia" w:ascii="仿宋_GB2312" w:hAnsi="仿宋" w:eastAsia="仿宋_GB2312" w:cs="仿宋_GB2312"/>
          <w:color w:val="auto"/>
          <w:sz w:val="24"/>
          <w:szCs w:val="24"/>
          <w:highlight w:val="none"/>
        </w:rPr>
        <w:t>月</w:t>
      </w:r>
      <w:r>
        <w:rPr>
          <w:rFonts w:hint="eastAsia" w:ascii="仿宋_GB2312" w:hAnsi="仿宋" w:eastAsia="仿宋_GB2312" w:cs="仿宋_GB2312"/>
          <w:color w:val="auto"/>
          <w:sz w:val="24"/>
          <w:szCs w:val="24"/>
          <w:highlight w:val="none"/>
          <w:lang w:eastAsia="zh-CN"/>
        </w:rPr>
        <w:t>十一</w:t>
      </w:r>
      <w:r>
        <w:rPr>
          <w:rFonts w:hint="eastAsia" w:ascii="仿宋_GB2312" w:hAnsi="仿宋" w:eastAsia="仿宋_GB2312" w:cs="仿宋_GB2312"/>
          <w:color w:val="auto"/>
          <w:sz w:val="24"/>
          <w:szCs w:val="24"/>
          <w:highlight w:val="none"/>
        </w:rPr>
        <w:t>日</w:t>
      </w:r>
    </w:p>
    <w:p>
      <w:pPr>
        <w:pStyle w:val="33"/>
        <w:spacing w:line="360" w:lineRule="auto"/>
        <w:ind w:firstLine="480" w:firstLineChars="200"/>
        <w:rPr>
          <w:rFonts w:hint="eastAsia" w:ascii="仿宋_GB2312" w:hAnsi="仿宋" w:eastAsia="仿宋_GB2312" w:cs="仿宋_GB2312"/>
          <w:color w:val="auto"/>
          <w:sz w:val="24"/>
          <w:szCs w:val="24"/>
          <w:highlight w:val="none"/>
        </w:rPr>
      </w:pPr>
    </w:p>
    <w:p>
      <w:pPr>
        <w:pStyle w:val="33"/>
        <w:spacing w:line="360" w:lineRule="auto"/>
        <w:ind w:firstLine="480" w:firstLineChars="200"/>
        <w:rPr>
          <w:rFonts w:hint="eastAsia" w:ascii="仿宋_GB2312" w:hAnsi="仿宋" w:eastAsia="仿宋_GB2312" w:cs="仿宋_GB2312"/>
          <w:color w:val="auto"/>
          <w:sz w:val="24"/>
          <w:szCs w:val="24"/>
          <w:highlight w:val="none"/>
        </w:rPr>
      </w:pPr>
    </w:p>
    <w:p>
      <w:pPr>
        <w:pStyle w:val="33"/>
        <w:spacing w:line="360" w:lineRule="auto"/>
        <w:ind w:firstLine="480" w:firstLineChars="200"/>
        <w:rPr>
          <w:rFonts w:hint="eastAsia" w:ascii="仿宋_GB2312" w:hAnsi="仿宋" w:eastAsia="仿宋_GB2312" w:cs="仿宋_GB2312"/>
          <w:color w:val="auto"/>
          <w:sz w:val="24"/>
          <w:szCs w:val="24"/>
          <w:highlight w:val="none"/>
        </w:rPr>
      </w:pPr>
    </w:p>
    <w:p>
      <w:pPr>
        <w:pStyle w:val="33"/>
        <w:spacing w:line="360" w:lineRule="auto"/>
        <w:ind w:firstLine="480" w:firstLineChars="200"/>
        <w:rPr>
          <w:rFonts w:hint="eastAsia" w:ascii="仿宋_GB2312" w:hAnsi="仿宋" w:eastAsia="仿宋_GB2312" w:cs="仿宋_GB2312"/>
          <w:color w:val="auto"/>
          <w:sz w:val="24"/>
          <w:szCs w:val="24"/>
          <w:highlight w:val="none"/>
        </w:rPr>
      </w:pPr>
    </w:p>
    <w:p>
      <w:pPr>
        <w:pStyle w:val="33"/>
        <w:spacing w:line="360" w:lineRule="auto"/>
        <w:ind w:firstLine="480" w:firstLineChars="200"/>
        <w:rPr>
          <w:rFonts w:hint="eastAsia" w:ascii="仿宋_GB2312" w:hAnsi="仿宋" w:eastAsia="仿宋_GB2312" w:cs="仿宋_GB2312"/>
          <w:color w:val="auto"/>
          <w:sz w:val="24"/>
          <w:szCs w:val="24"/>
          <w:highlight w:val="none"/>
        </w:rPr>
      </w:pPr>
    </w:p>
    <w:p>
      <w:pPr>
        <w:pStyle w:val="33"/>
        <w:spacing w:line="360" w:lineRule="auto"/>
        <w:ind w:firstLine="480" w:firstLineChars="200"/>
        <w:rPr>
          <w:rFonts w:hint="eastAsia" w:ascii="仿宋_GB2312" w:hAnsi="仿宋" w:eastAsia="仿宋_GB2312" w:cs="仿宋_GB2312"/>
          <w:color w:val="auto"/>
          <w:sz w:val="24"/>
          <w:szCs w:val="24"/>
          <w:highlight w:val="none"/>
        </w:rPr>
      </w:pPr>
    </w:p>
    <w:p>
      <w:pPr>
        <w:pStyle w:val="33"/>
        <w:spacing w:line="360" w:lineRule="auto"/>
        <w:ind w:firstLine="480" w:firstLineChars="200"/>
        <w:rPr>
          <w:rFonts w:hint="eastAsia" w:ascii="仿宋_GB2312" w:hAnsi="仿宋" w:eastAsia="仿宋_GB2312" w:cs="仿宋_GB2312"/>
          <w:color w:val="auto"/>
          <w:sz w:val="24"/>
          <w:szCs w:val="24"/>
          <w:highlight w:val="none"/>
        </w:rPr>
      </w:pPr>
    </w:p>
    <w:p>
      <w:pPr>
        <w:pStyle w:val="33"/>
        <w:spacing w:line="360" w:lineRule="auto"/>
        <w:ind w:firstLine="480" w:firstLineChars="200"/>
        <w:rPr>
          <w:rFonts w:hint="eastAsia" w:ascii="仿宋_GB2312" w:hAnsi="仿宋" w:eastAsia="仿宋_GB2312" w:cs="仿宋_GB2312"/>
          <w:color w:val="auto"/>
          <w:sz w:val="24"/>
          <w:szCs w:val="24"/>
          <w:highlight w:val="none"/>
        </w:rPr>
      </w:pPr>
    </w:p>
    <w:p>
      <w:pPr>
        <w:pStyle w:val="33"/>
        <w:spacing w:line="360" w:lineRule="auto"/>
        <w:ind w:firstLine="480" w:firstLineChars="200"/>
        <w:rPr>
          <w:rFonts w:hint="eastAsia" w:ascii="仿宋_GB2312" w:hAnsi="仿宋" w:eastAsia="仿宋_GB2312" w:cs="仿宋_GB2312"/>
          <w:color w:val="auto"/>
          <w:sz w:val="24"/>
          <w:szCs w:val="24"/>
          <w:highlight w:val="none"/>
        </w:rPr>
      </w:pPr>
    </w:p>
    <w:p>
      <w:pPr>
        <w:pStyle w:val="33"/>
        <w:spacing w:line="360" w:lineRule="auto"/>
        <w:ind w:firstLine="480" w:firstLineChars="200"/>
        <w:rPr>
          <w:rFonts w:hint="eastAsia" w:ascii="仿宋_GB2312" w:hAnsi="仿宋" w:eastAsia="仿宋_GB2312" w:cs="仿宋_GB2312"/>
          <w:color w:val="auto"/>
          <w:sz w:val="24"/>
          <w:szCs w:val="24"/>
          <w:highlight w:val="none"/>
        </w:rPr>
      </w:pPr>
    </w:p>
    <w:p>
      <w:pPr>
        <w:pStyle w:val="33"/>
        <w:spacing w:line="360" w:lineRule="auto"/>
        <w:ind w:firstLine="480" w:firstLineChars="200"/>
        <w:rPr>
          <w:rFonts w:hint="eastAsia" w:ascii="仿宋_GB2312" w:hAnsi="仿宋" w:eastAsia="仿宋_GB2312" w:cs="仿宋_GB2312"/>
          <w:color w:val="auto"/>
          <w:sz w:val="24"/>
          <w:szCs w:val="24"/>
          <w:highlight w:val="none"/>
        </w:rPr>
      </w:pPr>
    </w:p>
    <w:bookmarkEnd w:id="9"/>
    <w:p>
      <w:pPr>
        <w:adjustRightInd/>
        <w:spacing w:line="360" w:lineRule="auto"/>
        <w:jc w:val="center"/>
        <w:outlineLvl w:val="0"/>
        <w:rPr>
          <w:rFonts w:hint="eastAsia" w:ascii="仿宋_GB2312" w:hAnsi="仿宋" w:eastAsia="仿宋_GB2312" w:cs="仿宋_GB2312"/>
          <w:b/>
          <w:color w:val="auto"/>
          <w:sz w:val="36"/>
          <w:szCs w:val="20"/>
          <w:highlight w:val="none"/>
        </w:rPr>
      </w:pPr>
      <w:r>
        <w:rPr>
          <w:rFonts w:hint="eastAsia" w:ascii="仿宋_GB2312" w:hAnsi="仿宋" w:eastAsia="仿宋_GB2312" w:cs="仿宋_GB2312"/>
          <w:b/>
          <w:color w:val="auto"/>
          <w:sz w:val="36"/>
          <w:szCs w:val="20"/>
          <w:highlight w:val="none"/>
        </w:rPr>
        <w:t>第二部分 投标人须知</w:t>
      </w:r>
    </w:p>
    <w:p>
      <w:pPr>
        <w:snapToGrid w:val="0"/>
        <w:spacing w:line="360" w:lineRule="auto"/>
        <w:jc w:val="center"/>
        <w:rPr>
          <w:rFonts w:hint="eastAsia"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7118"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_GB2312" w:hAnsi="仿宋" w:eastAsia="仿宋_GB2312" w:cs="仿宋_GB2312"/>
                <w:color w:val="auto"/>
                <w:sz w:val="24"/>
                <w:highlight w:val="none"/>
              </w:rPr>
            </w:pPr>
          </w:p>
          <w:p>
            <w:pPr>
              <w:snapToGrid w:val="0"/>
              <w:spacing w:line="360" w:lineRule="auto"/>
              <w:jc w:val="center"/>
              <w:rPr>
                <w:rFonts w:hint="eastAsia" w:ascii="仿宋_GB2312" w:hAnsi="仿宋" w:eastAsia="仿宋_GB2312" w:cs="仿宋_GB2312"/>
                <w:color w:val="auto"/>
                <w:sz w:val="24"/>
                <w:highlight w:val="none"/>
              </w:rPr>
            </w:pPr>
          </w:p>
          <w:p>
            <w:pPr>
              <w:snapToGrid w:val="0"/>
              <w:spacing w:line="360" w:lineRule="auto"/>
              <w:jc w:val="center"/>
              <w:rPr>
                <w:rFonts w:hint="eastAsia" w:ascii="仿宋_GB2312" w:hAnsi="仿宋" w:eastAsia="仿宋_GB2312" w:cs="仿宋_GB2312"/>
                <w:color w:val="auto"/>
                <w:sz w:val="24"/>
                <w:highlight w:val="none"/>
              </w:rPr>
            </w:pPr>
          </w:p>
          <w:p>
            <w:pPr>
              <w:snapToGrid w:val="0"/>
              <w:spacing w:line="360" w:lineRule="auto"/>
              <w:jc w:val="center"/>
              <w:rPr>
                <w:rFonts w:hint="eastAsia" w:ascii="仿宋_GB2312" w:hAnsi="仿宋" w:eastAsia="仿宋_GB2312" w:cs="仿宋_GB2312"/>
                <w:color w:val="auto"/>
                <w:sz w:val="24"/>
                <w:highlight w:val="none"/>
              </w:rPr>
            </w:pPr>
          </w:p>
          <w:p>
            <w:pPr>
              <w:snapToGrid w:val="0"/>
              <w:spacing w:line="360" w:lineRule="auto"/>
              <w:jc w:val="center"/>
              <w:rPr>
                <w:rFonts w:hint="eastAsia" w:ascii="仿宋_GB2312" w:hAnsi="仿宋" w:eastAsia="仿宋_GB2312" w:cs="仿宋_GB2312"/>
                <w:color w:val="auto"/>
                <w:sz w:val="24"/>
                <w:highlight w:val="none"/>
              </w:rPr>
            </w:pPr>
          </w:p>
          <w:p>
            <w:pPr>
              <w:snapToGrid w:val="0"/>
              <w:spacing w:line="360" w:lineRule="auto"/>
              <w:jc w:val="center"/>
              <w:rPr>
                <w:rFonts w:hint="eastAsia" w:ascii="仿宋_GB2312" w:hAnsi="仿宋" w:eastAsia="仿宋_GB2312" w:cs="仿宋_GB2312"/>
                <w:color w:val="auto"/>
                <w:sz w:val="24"/>
                <w:highlight w:val="none"/>
              </w:rPr>
            </w:pPr>
          </w:p>
          <w:p>
            <w:pPr>
              <w:snapToGrid w:val="0"/>
              <w:spacing w:line="360" w:lineRule="auto"/>
              <w:jc w:val="center"/>
              <w:rPr>
                <w:rFonts w:hint="eastAsia" w:ascii="仿宋_GB2312" w:hAnsi="仿宋" w:eastAsia="仿宋_GB2312" w:cs="仿宋_GB2312"/>
                <w:color w:val="auto"/>
                <w:sz w:val="24"/>
                <w:highlight w:val="none"/>
              </w:rPr>
            </w:pPr>
          </w:p>
          <w:p>
            <w:pPr>
              <w:snapToGrid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有关本项目建设所需的技术方案编写、系统开发、系统集成实施费、验收、质保期运行维护、技术支持、测试费、培训费、售后服务和税金等费用均计入报价。</w:t>
            </w:r>
            <w:r>
              <w:rPr>
                <w:rFonts w:hint="eastAsia" w:ascii="仿宋_GB2312" w:hAnsi="仿宋" w:eastAsia="仿宋_GB2312"/>
                <w:color w:val="auto"/>
                <w:sz w:val="24"/>
                <w:highlight w:val="none"/>
              </w:rPr>
              <w:t>《投标（开标）一览表》是报价的唯一载体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pPr>
              <w:snapToGrid w:val="0"/>
              <w:spacing w:line="360" w:lineRule="auto"/>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b/>
                <w:color w:val="auto"/>
                <w:sz w:val="24"/>
                <w:highlight w:val="none"/>
              </w:rPr>
              <w:t>▲</w:t>
            </w:r>
            <w:r>
              <w:rPr>
                <w:rFonts w:hint="eastAsia" w:ascii="仿宋_GB2312" w:hAnsi="仿宋" w:eastAsia="仿宋_GB2312" w:cs="仿宋_GB2312"/>
                <w:b/>
                <w:color w:val="auto"/>
                <w:kern w:val="0"/>
                <w:sz w:val="24"/>
                <w:highlight w:val="none"/>
                <w:lang w:val="zh-CN"/>
              </w:rPr>
              <w:t>投标文件出现不是唯一的、有选择性投标报价的；</w:t>
            </w:r>
          </w:p>
          <w:p>
            <w:pPr>
              <w:snapToGrid w:val="0"/>
              <w:spacing w:line="360" w:lineRule="auto"/>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b/>
                <w:color w:val="auto"/>
                <w:sz w:val="24"/>
                <w:highlight w:val="none"/>
              </w:rPr>
              <w:t>▲</w:t>
            </w:r>
            <w:r>
              <w:rPr>
                <w:rFonts w:hint="eastAsia" w:ascii="仿宋_GB2312" w:hAnsi="仿宋" w:eastAsia="仿宋_GB2312" w:cs="仿宋_GB2312"/>
                <w:b/>
                <w:color w:val="auto"/>
                <w:sz w:val="24"/>
                <w:highlight w:val="none"/>
              </w:rPr>
              <w:t>投标报价高于本项目采购预算或者最高限价的;</w:t>
            </w:r>
          </w:p>
          <w:p>
            <w:pPr>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b/>
                <w:color w:val="auto"/>
                <w:sz w:val="24"/>
                <w:highlight w:val="none"/>
              </w:rPr>
              <w:t>▲</w:t>
            </w: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仿宋_GB2312" w:hAnsi="仿宋" w:eastAsia="仿宋_GB2312" w:cs="仿宋_GB2312"/>
                <w:b/>
                <w:color w:val="auto"/>
                <w:sz w:val="24"/>
                <w:szCs w:val="21"/>
                <w:highlight w:val="none"/>
              </w:rPr>
              <w:t>;</w:t>
            </w:r>
          </w:p>
          <w:p>
            <w:pPr>
              <w:spacing w:line="360" w:lineRule="auto"/>
              <w:rPr>
                <w:rFonts w:hint="eastAsia" w:ascii="仿宋_GB2312" w:hAnsi="仿宋" w:eastAsia="仿宋_GB2312" w:cs="仿宋_GB2312"/>
                <w:color w:val="auto"/>
                <w:sz w:val="24"/>
                <w:szCs w:val="21"/>
                <w:highlight w:val="none"/>
              </w:rPr>
            </w:pPr>
            <w:r>
              <w:rPr>
                <w:rFonts w:hint="eastAsia" w:ascii="仿宋_GB2312" w:hAnsi="仿宋" w:eastAsia="仿宋_GB2312"/>
                <w:b/>
                <w:color w:val="auto"/>
                <w:sz w:val="24"/>
                <w:highlight w:val="none"/>
              </w:rPr>
              <w:t>▲《投标（开标）一览表》填写不完整或字迹不能辨认或有漏项的；</w:t>
            </w:r>
          </w:p>
          <w:p>
            <w:pPr>
              <w:spacing w:line="360" w:lineRule="auto"/>
              <w:rPr>
                <w:rFonts w:hint="eastAsia"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分包或转包。</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numPr>
                <w:ilvl w:val="0"/>
                <w:numId w:val="9"/>
              </w:numPr>
              <w:adjustRightInd/>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w:t>
            </w:r>
            <w:r>
              <w:rPr>
                <w:rFonts w:hint="eastAsia" w:ascii="仿宋_GB2312" w:hAnsi="仿宋" w:eastAsia="仿宋_GB2312" w:cs="仿宋_GB2312"/>
                <w:b/>
                <w:color w:val="auto"/>
                <w:sz w:val="24"/>
                <w:highlight w:val="none"/>
              </w:rPr>
              <w:t>不同意</w:t>
            </w:r>
            <w:r>
              <w:rPr>
                <w:rFonts w:hint="eastAsia" w:ascii="仿宋_GB2312" w:hAnsi="仿宋" w:eastAsia="仿宋_GB2312" w:cs="仿宋_GB2312"/>
                <w:color w:val="auto"/>
                <w:sz w:val="24"/>
                <w:highlight w:val="none"/>
              </w:rPr>
              <w:t>分包。</w:t>
            </w:r>
          </w:p>
          <w:p>
            <w:pPr>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414" w:hRule="atLeast"/>
          <w:tblHeader/>
        </w:trPr>
        <w:tc>
          <w:tcPr>
            <w:tcW w:w="629" w:type="dxa"/>
            <w:vMerge w:val="restart"/>
            <w:tcBorders>
              <w:top w:val="single" w:color="auto" w:sz="4" w:space="0"/>
              <w:left w:val="single" w:color="auto" w:sz="4" w:space="0"/>
              <w:right w:val="single" w:color="auto" w:sz="4" w:space="0"/>
            </w:tcBorders>
            <w:noWrap w:val="0"/>
            <w:vAlign w:val="top"/>
          </w:tcPr>
          <w:p>
            <w:pPr>
              <w:snapToGrid w:val="0"/>
              <w:spacing w:line="360" w:lineRule="auto"/>
              <w:jc w:val="center"/>
              <w:rPr>
                <w:rFonts w:hint="eastAsia" w:ascii="仿宋_GB2312" w:hAnsi="仿宋" w:eastAsia="仿宋_GB2312" w:cs="仿宋_GB2312"/>
                <w:color w:val="auto"/>
                <w:sz w:val="24"/>
                <w:highlight w:val="none"/>
              </w:rPr>
            </w:pPr>
          </w:p>
          <w:p>
            <w:pPr>
              <w:snapToGrid w:val="0"/>
              <w:spacing w:line="360" w:lineRule="auto"/>
              <w:jc w:val="center"/>
              <w:rPr>
                <w:rFonts w:hint="eastAsia" w:ascii="仿宋_GB2312" w:hAnsi="仿宋" w:eastAsia="仿宋_GB2312" w:cs="仿宋_GB2312"/>
                <w:color w:val="auto"/>
                <w:sz w:val="24"/>
                <w:highlight w:val="none"/>
              </w:rPr>
            </w:pPr>
          </w:p>
          <w:p>
            <w:pPr>
              <w:snapToGrid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noWrap w:val="0"/>
            <w:vAlign w:val="center"/>
          </w:tcPr>
          <w:p>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（1）资格证明文件：见招标文件第二部分</w:t>
            </w:r>
            <w:r>
              <w:rPr>
                <w:rFonts w:hint="eastAsia" w:ascii="仿宋_GB2312" w:hAnsi="仿宋" w:eastAsia="仿宋_GB2312" w:cs="仿宋_GB2312"/>
                <w:color w:val="auto"/>
                <w:sz w:val="24"/>
                <w:highlight w:val="none"/>
              </w:rPr>
              <w:t>11.1。</w:t>
            </w:r>
          </w:p>
          <w:p>
            <w:pPr>
              <w:spacing w:line="360" w:lineRule="auto"/>
              <w:rPr>
                <w:rFonts w:hint="eastAsia" w:ascii="仿宋_GB2312" w:hAnsi="仿宋" w:eastAsia="仿宋_GB2312"/>
                <w:color w:val="auto"/>
                <w:kern w:val="0"/>
                <w:sz w:val="24"/>
                <w:highlight w:val="none"/>
              </w:rPr>
            </w:pPr>
            <w:r>
              <w:rPr>
                <w:rFonts w:hint="eastAsia" w:ascii="仿宋_GB2312" w:hAnsi="仿宋" w:eastAsia="仿宋_GB2312"/>
                <w:color w:val="auto"/>
                <w:sz w:val="24"/>
                <w:highlight w:val="none"/>
              </w:rPr>
              <w:t>▲</w:t>
            </w:r>
            <w:r>
              <w:rPr>
                <w:rFonts w:hint="eastAsia" w:ascii="仿宋_GB2312" w:hAnsi="仿宋" w:eastAsia="仿宋_GB2312" w:cs="仿宋_GB2312"/>
                <w:b/>
                <w:color w:val="auto"/>
                <w:sz w:val="24"/>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077" w:hRule="atLeast"/>
          <w:tblHeader/>
        </w:trPr>
        <w:tc>
          <w:tcPr>
            <w:tcW w:w="629" w:type="dxa"/>
            <w:vMerge w:val="continue"/>
            <w:tcBorders>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color w:val="auto"/>
                <w:sz w:val="24"/>
                <w:highlight w:val="none"/>
              </w:rPr>
            </w:pPr>
          </w:p>
        </w:tc>
        <w:tc>
          <w:tcPr>
            <w:tcW w:w="6079" w:type="dxa"/>
            <w:tcBorders>
              <w:top w:val="single" w:color="auto" w:sz="4"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_GB2312" w:hAnsi="仿宋" w:eastAsia="仿宋_GB2312" w:cs="仿宋_GB2312"/>
                <w:color w:val="auto"/>
                <w:sz w:val="24"/>
                <w:highlight w:val="none"/>
              </w:rPr>
            </w:pPr>
          </w:p>
          <w:p>
            <w:pPr>
              <w:snapToGrid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pStyle w:val="33"/>
              <w:spacing w:line="360" w:lineRule="auto"/>
              <w:rPr>
                <w:rFonts w:hint="eastAsia" w:ascii="仿宋" w:hAnsi="仿宋" w:eastAsia="仿宋" w:cs="Times New Roman"/>
                <w:b w:val="0"/>
                <w:bCs w:val="0"/>
                <w:snapToGrid/>
                <w:color w:val="auto"/>
                <w:sz w:val="24"/>
                <w:szCs w:val="20"/>
                <w:highlight w:val="none"/>
              </w:rPr>
            </w:pPr>
            <w:r>
              <w:rPr>
                <w:rFonts w:hint="eastAsia" w:ascii="仿宋" w:hAnsi="仿宋" w:eastAsia="仿宋" w:cs="Times New Roman"/>
                <w:b w:val="0"/>
                <w:bCs w:val="0"/>
                <w:snapToGrid/>
                <w:color w:val="auto"/>
                <w:sz w:val="24"/>
                <w:szCs w:val="20"/>
                <w:highlight w:val="none"/>
                <w:lang w:eastAsia="zh-CN"/>
              </w:rPr>
              <w:t>本项目</w:t>
            </w:r>
            <w:r>
              <w:rPr>
                <w:rFonts w:hint="eastAsia" w:ascii="仿宋" w:hAnsi="仿宋" w:eastAsia="仿宋" w:cs="Times New Roman"/>
                <w:b w:val="0"/>
                <w:bCs w:val="0"/>
                <w:snapToGrid/>
                <w:color w:val="auto"/>
                <w:sz w:val="24"/>
                <w:szCs w:val="20"/>
                <w:highlight w:val="none"/>
              </w:rPr>
              <w:t>不组织</w:t>
            </w:r>
            <w:r>
              <w:rPr>
                <w:rFonts w:hint="eastAsia" w:ascii="仿宋" w:hAnsi="仿宋" w:eastAsia="仿宋" w:cs="仿宋_GB2312"/>
                <w:b w:val="0"/>
                <w:bCs w:val="0"/>
                <w:color w:val="auto"/>
                <w:sz w:val="24"/>
                <w:highlight w:val="none"/>
              </w:rPr>
              <w:t>开标前答疑会或现场考察</w:t>
            </w:r>
            <w:r>
              <w:rPr>
                <w:rFonts w:hint="eastAsia" w:ascii="仿宋" w:hAnsi="仿宋" w:eastAsia="仿宋" w:cs="Times New Roman"/>
                <w:b w:val="0"/>
                <w:bCs w:val="0"/>
                <w:snapToGrid/>
                <w:color w:val="auto"/>
                <w:sz w:val="24"/>
                <w:szCs w:val="20"/>
                <w:highlight w:val="none"/>
              </w:rPr>
              <w:t xml:space="preserve">。 </w:t>
            </w:r>
          </w:p>
          <w:p>
            <w:pPr>
              <w:pStyle w:val="33"/>
              <w:spacing w:line="360" w:lineRule="auto"/>
              <w:rPr>
                <w:rFonts w:hint="eastAsia" w:ascii="仿宋" w:hAnsi="仿宋" w:eastAsia="仿宋" w:cs="Times New Roman"/>
                <w:b w:val="0"/>
                <w:bCs w:val="0"/>
                <w:snapToGrid/>
                <w:color w:val="auto"/>
                <w:sz w:val="24"/>
                <w:szCs w:val="20"/>
                <w:highlight w:val="none"/>
                <w:lang w:eastAsia="zh-CN"/>
              </w:rPr>
            </w:pPr>
            <w:r>
              <w:rPr>
                <w:rFonts w:hint="eastAsia" w:ascii="仿宋" w:hAnsi="仿宋" w:eastAsia="仿宋" w:cs="Times New Roman"/>
                <w:b w:val="0"/>
                <w:bCs w:val="0"/>
                <w:snapToGrid/>
                <w:color w:val="auto"/>
                <w:sz w:val="24"/>
                <w:szCs w:val="20"/>
                <w:highlight w:val="none"/>
                <w:lang w:eastAsia="zh-CN"/>
              </w:rPr>
              <w:t>本项目图纸涉及保密信息，如有需要图纸的供应商可联系采购人签署保密协议后领取图纸。</w:t>
            </w:r>
          </w:p>
          <w:p>
            <w:pPr>
              <w:pStyle w:val="33"/>
              <w:spacing w:line="360" w:lineRule="auto"/>
              <w:rPr>
                <w:rFonts w:hint="eastAsia" w:ascii="仿宋" w:hAnsi="仿宋" w:eastAsia="仿宋" w:cs="Times New Roman"/>
                <w:b w:val="0"/>
                <w:bCs w:val="0"/>
                <w:snapToGrid/>
                <w:color w:val="auto"/>
                <w:sz w:val="24"/>
                <w:szCs w:val="20"/>
                <w:highlight w:val="none"/>
                <w:lang w:val="en-US" w:eastAsia="zh-CN"/>
              </w:rPr>
            </w:pPr>
            <w:r>
              <w:rPr>
                <w:rFonts w:hint="eastAsia" w:ascii="仿宋" w:hAnsi="仿宋" w:eastAsia="仿宋" w:cs="Times New Roman"/>
                <w:b w:val="0"/>
                <w:bCs w:val="0"/>
                <w:snapToGrid/>
                <w:color w:val="auto"/>
                <w:sz w:val="24"/>
                <w:szCs w:val="20"/>
                <w:highlight w:val="none"/>
                <w:lang w:val="en-US" w:eastAsia="zh-CN"/>
              </w:rPr>
              <w:t>联系电话：0571-82609987</w:t>
            </w:r>
          </w:p>
          <w:p>
            <w:pPr>
              <w:pStyle w:val="33"/>
              <w:spacing w:line="360" w:lineRule="auto"/>
              <w:rPr>
                <w:rFonts w:hint="eastAsia" w:ascii="仿宋_GB2312" w:hAnsi="仿宋" w:eastAsia="仿宋_GB2312"/>
                <w:color w:val="auto"/>
                <w:sz w:val="24"/>
                <w:highlight w:val="none"/>
              </w:rPr>
            </w:pPr>
            <w:r>
              <w:rPr>
                <w:rFonts w:hint="eastAsia" w:ascii="仿宋" w:hAnsi="仿宋" w:eastAsia="仿宋" w:cs="Times New Roman"/>
                <w:b w:val="0"/>
                <w:bCs w:val="0"/>
                <w:snapToGrid/>
                <w:color w:val="auto"/>
                <w:sz w:val="24"/>
                <w:szCs w:val="20"/>
                <w:highlight w:val="none"/>
                <w:lang w:val="en-US" w:eastAsia="zh-CN"/>
              </w:rPr>
              <w:t>联系人：吴警官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widowControl/>
              <w:spacing w:before="100" w:beforeAutospacing="1" w:after="240" w:line="360" w:lineRule="auto"/>
              <w:jc w:val="left"/>
              <w:rPr>
                <w:rFonts w:hint="eastAsia" w:ascii="仿宋_GB2312" w:hAnsi="仿宋" w:eastAsia="仿宋_GB2312"/>
                <w:b/>
                <w:color w:val="auto"/>
                <w:sz w:val="24"/>
                <w:highlight w:val="none"/>
              </w:rPr>
            </w:pPr>
            <w:r>
              <w:rPr>
                <w:rFonts w:hint="eastAsia" w:ascii="仿宋_GB2312" w:hAnsi="仿宋" w:eastAsia="仿宋_GB2312"/>
                <w:color w:val="auto"/>
                <w:sz w:val="24"/>
                <w:highlight w:val="none"/>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73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（2）方案讲解演示可选择以下其中一种方式：</w:t>
            </w:r>
          </w:p>
          <w:p>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方式一：政采云平台在线讲解演示。政采云平台在线讲解需投标人根据政采云平台操作要求做好准备工作，提前完善软硬件配置环境。</w:t>
            </w:r>
          </w:p>
          <w:p>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方式二：交易中心现场讲解演示。现场讲解地点为杭州市公共资源交易中心4楼讲标室（答疑室），讲解演示所用电脑等设备由投标人自备。现场讲解演示人员进场时提供讲解人员名单（加盖公章）及身份证明，否则不得讲解演示。</w:t>
            </w:r>
          </w:p>
          <w:p>
            <w:pPr>
              <w:snapToGrid w:val="0"/>
              <w:spacing w:line="360" w:lineRule="auto"/>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w:t>
            </w:r>
          </w:p>
          <w:p>
            <w:pPr>
              <w:snapToGrid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采购标的：</w:t>
            </w:r>
            <w:r>
              <w:rPr>
                <w:rFonts w:hint="eastAsia" w:ascii="仿宋_GB2312" w:hAnsi="仿宋" w:eastAsia="仿宋_GB2312"/>
                <w:color w:val="auto"/>
                <w:sz w:val="24"/>
                <w:highlight w:val="none"/>
                <w:u w:val="single"/>
              </w:rPr>
              <w:t xml:space="preserve"> </w:t>
            </w:r>
            <w:r>
              <w:rPr>
                <w:rFonts w:hint="eastAsia" w:ascii="仿宋_GB2312" w:hAnsi="仿宋" w:eastAsia="仿宋_GB2312" w:cs="仿宋_GB2312"/>
                <w:color w:val="auto"/>
                <w:sz w:val="24"/>
                <w:highlight w:val="none"/>
                <w:u w:val="single"/>
                <w:lang w:eastAsia="zh-CN"/>
              </w:rPr>
              <w:t>杭州市南郊监狱改扩建工程安防建设政府采购项目</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，所属行业：</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eastAsia="zh-CN"/>
              </w:rPr>
              <w:t>软件和信息技术服务业</w:t>
            </w:r>
            <w:r>
              <w:rPr>
                <w:rFonts w:hint="eastAsia" w:ascii="仿宋_GB2312" w:hAnsi="仿宋" w:eastAsia="仿宋_GB2312"/>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是否适宜中小企业情况</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根据《政府采购促进中小企业发展管理办法》财库〔</w:t>
            </w:r>
            <w:r>
              <w:rPr>
                <w:rFonts w:ascii="仿宋_GB2312" w:hAnsi="仿宋" w:eastAsia="仿宋_GB2312"/>
                <w:color w:val="auto"/>
                <w:sz w:val="24"/>
                <w:highlight w:val="none"/>
              </w:rPr>
              <w:t>2020〕46号</w:t>
            </w:r>
            <w:r>
              <w:rPr>
                <w:rFonts w:hint="eastAsia" w:ascii="仿宋_GB2312" w:hAnsi="仿宋" w:eastAsia="仿宋_GB2312"/>
                <w:color w:val="auto"/>
                <w:sz w:val="24"/>
                <w:highlight w:val="none"/>
              </w:rPr>
              <w:t>文件的规定，本项目</w:t>
            </w:r>
            <w:r>
              <w:rPr>
                <w:rFonts w:hint="eastAsia" w:ascii="仿宋_GB2312" w:hAnsi="仿宋" w:eastAsia="仿宋_GB2312"/>
                <w:color w:val="auto"/>
                <w:sz w:val="24"/>
                <w:highlight w:val="none"/>
                <w:u w:val="single"/>
              </w:rPr>
              <w:t>不预留份额专门面向</w:t>
            </w:r>
            <w:r>
              <w:rPr>
                <w:rFonts w:hint="eastAsia" w:ascii="仿宋_GB2312" w:hAnsi="仿宋" w:eastAsia="仿宋_GB2312"/>
                <w:color w:val="auto"/>
                <w:sz w:val="24"/>
                <w:highlight w:val="none"/>
              </w:rPr>
              <w:t>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_GB2312" w:hAnsi="仿宋" w:eastAsia="仿宋_GB2312" w:cs="仿宋_GB2312"/>
                <w:color w:val="auto"/>
                <w:sz w:val="24"/>
                <w:highlight w:val="none"/>
              </w:rPr>
            </w:pPr>
          </w:p>
          <w:p>
            <w:pPr>
              <w:snapToGrid w:val="0"/>
              <w:spacing w:line="360" w:lineRule="auto"/>
              <w:jc w:val="center"/>
              <w:rPr>
                <w:rFonts w:hint="eastAsia" w:ascii="仿宋_GB2312" w:hAnsi="仿宋" w:eastAsia="仿宋_GB2312" w:cs="仿宋_GB2312"/>
                <w:color w:val="auto"/>
                <w:sz w:val="24"/>
                <w:highlight w:val="none"/>
              </w:rPr>
            </w:pPr>
          </w:p>
          <w:p>
            <w:pPr>
              <w:snapToGrid w:val="0"/>
              <w:spacing w:line="360" w:lineRule="auto"/>
              <w:jc w:val="center"/>
              <w:rPr>
                <w:rFonts w:hint="eastAsia" w:ascii="仿宋_GB2312" w:hAnsi="仿宋" w:eastAsia="仿宋_GB2312" w:cs="仿宋_GB2312"/>
                <w:color w:val="auto"/>
                <w:sz w:val="24"/>
                <w:highlight w:val="none"/>
              </w:rPr>
            </w:pPr>
          </w:p>
          <w:p>
            <w:pPr>
              <w:snapToGrid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pPr>
        <w:adjustRightInd/>
        <w:spacing w:line="360" w:lineRule="auto"/>
        <w:ind w:firstLine="3845" w:firstLineChars="1197"/>
        <w:outlineLvl w:val="0"/>
        <w:rPr>
          <w:rFonts w:hint="eastAsia" w:ascii="仿宋" w:hAnsi="仿宋" w:eastAsia="仿宋" w:cs="仿宋_GB2312"/>
          <w:b/>
          <w:color w:val="auto"/>
          <w:sz w:val="32"/>
          <w:szCs w:val="20"/>
          <w:highlight w:val="none"/>
        </w:rPr>
      </w:pPr>
    </w:p>
    <w:bookmarkEnd w:id="10"/>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1"/>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1. 适用范围</w:t>
      </w:r>
    </w:p>
    <w:p>
      <w:pPr>
        <w:snapToGrid w:val="0"/>
        <w:spacing w:line="360" w:lineRule="auto"/>
        <w:ind w:firstLine="480" w:firstLineChars="200"/>
        <w:jc w:val="lef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 xml:space="preserve">   2.定义</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2.1 “采购人”系指招标公告中载明的本项目的采购人。</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2.2 “采购机构”系指招标公告中载明的本项目的采购机构。</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2.3 “投标人”系指是指响应招标、参加投标竞争的法人、其他组织或者自然人。</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b/>
          <w:color w:val="auto"/>
          <w:sz w:val="24"/>
          <w:highlight w:val="none"/>
        </w:rPr>
      </w:pPr>
      <w:r>
        <w:rPr>
          <w:rFonts w:hint="eastAsia" w:ascii="仿宋" w:hAnsi="仿宋" w:eastAsia="仿宋"/>
          <w:color w:val="auto"/>
          <w:sz w:val="24"/>
          <w:highlight w:val="none"/>
        </w:rPr>
        <w:t>2.7</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w:t>
      </w:r>
      <w:r>
        <w:rPr>
          <w:rFonts w:hint="eastAsia" w:ascii="仿宋" w:hAnsi="仿宋" w:eastAsia="仿宋"/>
          <w:color w:val="auto"/>
          <w:sz w:val="24"/>
          <w:szCs w:val="24"/>
          <w:highlight w:val="none"/>
        </w:rPr>
        <w:t>▲</w:t>
      </w:r>
      <w:r>
        <w:rPr>
          <w:rFonts w:hint="eastAsia" w:ascii="仿宋" w:hAnsi="仿宋" w:eastAsia="仿宋"/>
          <w:color w:val="auto"/>
          <w:sz w:val="24"/>
          <w:highlight w:val="none"/>
        </w:rPr>
        <w:t>” 系指实质性要求条款，“</w:t>
      </w:r>
      <w:r>
        <w:rPr>
          <w:rFonts w:hint="eastAsia" w:ascii="宋体" w:hAnsi="宋体" w:eastAsia="宋体" w:cs="宋体"/>
          <w:color w:val="auto"/>
          <w:sz w:val="24"/>
          <w:highlight w:val="none"/>
        </w:rPr>
        <w:t>※</w:t>
      </w:r>
      <w:r>
        <w:rPr>
          <w:rFonts w:hint="eastAsia" w:ascii="仿宋" w:hAnsi="仿宋" w:eastAsia="仿宋"/>
          <w:color w:val="auto"/>
          <w:sz w:val="24"/>
          <w:highlight w:val="none"/>
        </w:rPr>
        <w:t>”系产品采购项目中产品重要技术指标</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系核心产品</w:t>
      </w:r>
      <w:r>
        <w:rPr>
          <w:rFonts w:hint="eastAsia" w:ascii="仿宋" w:hAnsi="仿宋" w:eastAsia="仿宋"/>
          <w:color w:val="auto"/>
          <w:sz w:val="24"/>
          <w:highlight w:val="none"/>
        </w:rPr>
        <w:t>。</w:t>
      </w:r>
    </w:p>
    <w:p>
      <w:pPr>
        <w:spacing w:line="360" w:lineRule="auto"/>
        <w:ind w:firstLine="241" w:firstLineChars="100"/>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3.</w:t>
      </w:r>
      <w:r>
        <w:rPr>
          <w:rFonts w:hint="eastAsia"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3.2 节能环保要求</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hint="eastAsia" w:ascii="仿宋_GB2312" w:hAnsi="仿宋" w:eastAsia="仿宋_GB2312"/>
          <w:b/>
          <w:color w:val="auto"/>
          <w:sz w:val="24"/>
          <w:highlight w:val="none"/>
        </w:rPr>
      </w:pPr>
      <w:r>
        <w:rPr>
          <w:rFonts w:hint="eastAsia" w:ascii="仿宋_GB2312" w:hAnsi="仿宋" w:eastAsia="仿宋_GB2312"/>
          <w:color w:val="auto"/>
          <w:sz w:val="24"/>
          <w:highlight w:val="none"/>
        </w:rPr>
        <w:t>3.2.2</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采购人拟采购的产品属于政府强制采购的节能产品品目清单范围的，投标人未按招标文件要求提供国家确定的认证机构出具的、处于有效期之内的节能产品认证证书，投标无效。</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3.3</w:t>
      </w:r>
      <w:r>
        <w:rPr>
          <w:rFonts w:hint="eastAsia" w:ascii="仿宋_GB2312" w:eastAsia="仿宋_GB2312"/>
          <w:bCs/>
          <w:color w:val="auto"/>
          <w:sz w:val="24"/>
          <w:highlight w:val="none"/>
        </w:rPr>
        <w:t>支持中小企业发展</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w:t>
      </w:r>
      <w:r>
        <w:rPr>
          <w:rFonts w:ascii="仿宋_GB2312" w:hAnsi="宋体" w:eastAsia="仿宋_GB2312" w:cs="宋体"/>
          <w:color w:val="auto"/>
          <w:kern w:val="0"/>
          <w:sz w:val="24"/>
          <w:highlight w:val="none"/>
        </w:rPr>
        <w:t>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w:t>
      </w:r>
      <w:r>
        <w:rPr>
          <w:rFonts w:ascii="仿宋_GB2312" w:hAnsi="宋体" w:eastAsia="仿宋_GB2312" w:cs="宋体"/>
          <w:color w:val="auto"/>
          <w:kern w:val="0"/>
          <w:sz w:val="24"/>
          <w:highlight w:val="none"/>
        </w:rPr>
        <w:t>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w:t>
      </w:r>
      <w:r>
        <w:rPr>
          <w:rFonts w:ascii="仿宋_GB2312" w:hAnsi="宋体" w:eastAsia="仿宋_GB2312" w:cs="宋体"/>
          <w:color w:val="auto"/>
          <w:kern w:val="0"/>
          <w:sz w:val="24"/>
          <w:highlight w:val="none"/>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auto"/>
          <w:sz w:val="24"/>
          <w:highlight w:val="none"/>
        </w:rPr>
        <w:t>10 %的扣除，用扣除后的价格参与评审。</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w:t>
      </w:r>
      <w:r>
        <w:rPr>
          <w:rFonts w:hint="eastAsia" w:ascii="仿宋_GB2312" w:hAnsi="仿宋" w:eastAsia="仿宋_GB2312"/>
          <w:color w:val="auto"/>
          <w:sz w:val="24"/>
          <w:highlight w:val="none"/>
        </w:rPr>
        <w:t>符合《关于促进残疾人就业政府采购政策的通知》（财库〔</w:t>
      </w:r>
      <w:r>
        <w:rPr>
          <w:rFonts w:ascii="仿宋_GB2312" w:hAnsi="仿宋" w:eastAsia="仿宋_GB2312"/>
          <w:color w:val="auto"/>
          <w:sz w:val="24"/>
          <w:highlight w:val="none"/>
        </w:rPr>
        <w:t>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符合《关于政府采购支持监狱企业发展有关问题的通知》（财库</w:t>
      </w:r>
      <w:r>
        <w:rPr>
          <w:rFonts w:ascii="仿宋_GB2312" w:hAnsi="仿宋" w:eastAsia="仿宋_GB2312"/>
          <w:color w:val="auto"/>
          <w:sz w:val="24"/>
          <w:highlight w:val="none"/>
        </w:rPr>
        <w:t>[2014]68号）规定的监狱企业并提供由省级以上监狱管理局、戒毒管理局（含新疆生产建设兵团）出具的属于监狱企业证明文件的，视同为小型、微型企业。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w:t>
      </w:r>
      <w:r>
        <w:rPr>
          <w:rFonts w:hint="eastAsia" w:ascii="仿宋_GB2312" w:hAnsi="仿宋" w:eastAsia="仿宋_GB2312"/>
          <w:color w:val="auto"/>
          <w:sz w:val="24"/>
          <w:highlight w:val="none"/>
        </w:rPr>
        <w:t>可享受</w:t>
      </w:r>
      <w:r>
        <w:rPr>
          <w:rFonts w:hint="eastAsia" w:ascii="仿宋_GB2312" w:hAnsi="宋体" w:eastAsia="仿宋_GB2312" w:cs="宋体"/>
          <w:color w:val="auto"/>
          <w:kern w:val="0"/>
          <w:sz w:val="24"/>
          <w:highlight w:val="none"/>
        </w:rPr>
        <w:t>中小企业扶持政策</w:t>
      </w:r>
      <w:r>
        <w:rPr>
          <w:rFonts w:hint="eastAsia" w:ascii="仿宋_GB2312" w:hAnsi="仿宋" w:eastAsia="仿宋_GB2312"/>
          <w:color w:val="auto"/>
          <w:sz w:val="24"/>
          <w:highlight w:val="none"/>
        </w:rPr>
        <w:t>的投标人应按照招标文件格式要求提供《中小企业声明函》。</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3.3.8</w:t>
      </w:r>
      <w:r>
        <w:rPr>
          <w:rFonts w:hint="eastAsia" w:ascii="仿宋_GB2312" w:hAnsi="仿宋" w:eastAsia="仿宋_GB2312"/>
          <w:color w:val="auto"/>
          <w:sz w:val="24"/>
          <w:highlight w:val="none"/>
        </w:rPr>
        <w:t>中小企业</w:t>
      </w:r>
      <w:r>
        <w:rPr>
          <w:rFonts w:ascii="仿宋_GB2312" w:hAnsi="仿宋" w:eastAsia="仿宋_GB2312"/>
          <w:color w:val="auto"/>
          <w:sz w:val="24"/>
          <w:highlight w:val="none"/>
        </w:rPr>
        <w:t>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240" w:firstLineChars="100"/>
        <w:rPr>
          <w:rFonts w:hint="eastAsia" w:ascii="仿宋_GB2312" w:hAnsi="仿宋" w:eastAsia="仿宋_GB2312"/>
          <w:b/>
          <w:color w:val="auto"/>
          <w:sz w:val="24"/>
          <w:highlight w:val="none"/>
        </w:rPr>
      </w:pPr>
      <w:r>
        <w:rPr>
          <w:rFonts w:hint="eastAsia" w:ascii="仿宋_GB2312" w:hAnsi="仿宋" w:eastAsia="仿宋_GB2312"/>
          <w:color w:val="auto"/>
          <w:sz w:val="24"/>
          <w:highlight w:val="none"/>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r>
        <w:rPr>
          <w:rFonts w:hint="eastAsia" w:ascii="仿宋_GB2312" w:hAnsi="仿宋" w:eastAsia="仿宋_GB2312"/>
          <w:color w:val="auto"/>
          <w:sz w:val="24"/>
          <w:highlight w:val="none"/>
        </w:rPr>
        <w:cr/>
      </w:r>
      <w:r>
        <w:rPr>
          <w:rFonts w:hint="eastAsia" w:ascii="仿宋_GB2312" w:hAnsi="仿宋" w:eastAsia="仿宋_GB2312"/>
          <w:b/>
          <w:color w:val="auto"/>
          <w:sz w:val="24"/>
          <w:highlight w:val="none"/>
        </w:rPr>
        <w:t>4. 询问、质疑、投诉</w:t>
      </w:r>
    </w:p>
    <w:p>
      <w:pPr>
        <w:autoSpaceDE w:val="0"/>
        <w:autoSpaceDN w:val="0"/>
        <w:spacing w:line="360" w:lineRule="auto"/>
        <w:ind w:firstLine="240" w:firstLineChars="100"/>
        <w:jc w:val="left"/>
        <w:rPr>
          <w:rFonts w:hint="eastAsia"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4.1供应商询问</w:t>
      </w:r>
    </w:p>
    <w:p>
      <w:pPr>
        <w:pStyle w:val="33"/>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根据采购人与采购机构签订的《杭州市集中采购年度委托协议》的规定：供应商可以就</w:t>
      </w:r>
      <w:r>
        <w:rPr>
          <w:rFonts w:hint="eastAsia" w:ascii="仿宋_GB2312" w:hAnsi="仿宋" w:eastAsia="仿宋_GB2312"/>
          <w:color w:val="auto"/>
          <w:sz w:val="24"/>
          <w:highlight w:val="none"/>
          <w:lang w:eastAsia="zh-CN"/>
        </w:rPr>
        <w:t>招标文件</w:t>
      </w:r>
      <w:r>
        <w:rPr>
          <w:rFonts w:hint="eastAsia" w:ascii="仿宋_GB2312" w:hAnsi="仿宋" w:eastAsia="仿宋_GB2312"/>
          <w:color w:val="auto"/>
          <w:sz w:val="24"/>
          <w:highlight w:val="none"/>
        </w:rPr>
        <w:t>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autoSpaceDN w:val="0"/>
        <w:spacing w:line="360" w:lineRule="auto"/>
        <w:ind w:firstLine="240" w:firstLineChars="100"/>
        <w:jc w:val="left"/>
        <w:rPr>
          <w:rFonts w:hint="eastAsia"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4.2供应商质疑</w:t>
      </w:r>
    </w:p>
    <w:p>
      <w:pPr>
        <w:pStyle w:val="33"/>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s="微软雅黑"/>
          <w:color w:val="auto"/>
          <w:kern w:val="0"/>
          <w:sz w:val="24"/>
          <w:highlight w:val="none"/>
          <w:lang w:val="zh-CN"/>
        </w:rPr>
        <w:t>4.2</w:t>
      </w:r>
      <w:r>
        <w:rPr>
          <w:rFonts w:hint="eastAsia" w:ascii="仿宋_GB2312" w:hAnsi="仿宋" w:eastAsia="仿宋_GB2312"/>
          <w:color w:val="auto"/>
          <w:sz w:val="24"/>
          <w:highlight w:val="none"/>
        </w:rPr>
        <w:t>.1提出质疑的供应商应当是参与所质疑项目采购活动的供应商。潜在供应商已依法获取其可质疑的</w:t>
      </w:r>
      <w:r>
        <w:rPr>
          <w:rFonts w:hint="eastAsia" w:ascii="仿宋_GB2312" w:hAnsi="仿宋" w:eastAsia="仿宋_GB2312"/>
          <w:color w:val="auto"/>
          <w:sz w:val="24"/>
          <w:highlight w:val="none"/>
          <w:lang w:eastAsia="zh-CN"/>
        </w:rPr>
        <w:t>招标文件</w:t>
      </w:r>
      <w:r>
        <w:rPr>
          <w:rFonts w:hint="eastAsia" w:ascii="仿宋_GB2312" w:hAnsi="仿宋" w:eastAsia="仿宋_GB2312"/>
          <w:color w:val="auto"/>
          <w:sz w:val="24"/>
          <w:highlight w:val="none"/>
        </w:rPr>
        <w:t>的，可以对该文件提出质疑。</w:t>
      </w:r>
    </w:p>
    <w:p>
      <w:pPr>
        <w:pStyle w:val="33"/>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s="微软雅黑"/>
          <w:color w:val="auto"/>
          <w:kern w:val="0"/>
          <w:sz w:val="24"/>
          <w:highlight w:val="none"/>
          <w:lang w:val="zh-CN"/>
        </w:rPr>
        <w:t>4.2</w:t>
      </w:r>
      <w:r>
        <w:rPr>
          <w:rFonts w:hint="eastAsia" w:ascii="仿宋_GB2312" w:hAnsi="仿宋" w:eastAsia="仿宋_GB2312"/>
          <w:color w:val="auto"/>
          <w:sz w:val="24"/>
          <w:highlight w:val="none"/>
        </w:rPr>
        <w:t>.2供应商认为</w:t>
      </w:r>
      <w:r>
        <w:rPr>
          <w:rFonts w:hint="eastAsia" w:ascii="仿宋_GB2312" w:hAnsi="仿宋" w:eastAsia="仿宋_GB2312"/>
          <w:color w:val="auto"/>
          <w:sz w:val="24"/>
          <w:highlight w:val="none"/>
          <w:lang w:eastAsia="zh-CN"/>
        </w:rPr>
        <w:t>招标文件</w:t>
      </w:r>
      <w:r>
        <w:rPr>
          <w:rFonts w:hint="eastAsia" w:ascii="仿宋_GB2312" w:hAnsi="仿宋" w:eastAsia="仿宋_GB2312"/>
          <w:color w:val="auto"/>
          <w:sz w:val="24"/>
          <w:highlight w:val="none"/>
        </w:rPr>
        <w:t>、采购过程和中标结果使自己的权益受到损害的，可以在知道或者应知其权益受到损害之日起七个工作日内，以书面形式向采购人或者采购机构提出质疑，否则，采购人或者采购机构不予受理：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34" w:firstLineChars="181"/>
        <w:rPr>
          <w:rFonts w:hint="eastAsia" w:ascii="仿宋_GB2312" w:hAnsi="仿宋" w:eastAsia="仿宋_GB2312"/>
          <w:snapToGrid/>
          <w:color w:val="auto"/>
          <w:kern w:val="2"/>
          <w:sz w:val="24"/>
          <w:highlight w:val="none"/>
        </w:rPr>
      </w:pPr>
      <w:r>
        <w:rPr>
          <w:rFonts w:hint="eastAsia" w:ascii="仿宋_GB2312" w:hAnsi="仿宋" w:eastAsia="仿宋_GB2312"/>
          <w:snapToGrid/>
          <w:color w:val="auto"/>
          <w:kern w:val="2"/>
          <w:sz w:val="24"/>
          <w:highlight w:val="none"/>
        </w:rPr>
        <w:t>4.2.2.1对</w:t>
      </w:r>
      <w:r>
        <w:rPr>
          <w:rFonts w:hint="eastAsia" w:ascii="仿宋_GB2312" w:hAnsi="仿宋" w:eastAsia="仿宋_GB2312"/>
          <w:snapToGrid/>
          <w:color w:val="auto"/>
          <w:kern w:val="2"/>
          <w:sz w:val="24"/>
          <w:highlight w:val="none"/>
          <w:lang w:eastAsia="zh-CN"/>
        </w:rPr>
        <w:t>招标文件</w:t>
      </w:r>
      <w:r>
        <w:rPr>
          <w:rFonts w:hint="eastAsia" w:ascii="仿宋_GB2312" w:hAnsi="仿宋" w:eastAsia="仿宋_GB2312"/>
          <w:snapToGrid/>
          <w:color w:val="auto"/>
          <w:kern w:val="2"/>
          <w:sz w:val="24"/>
          <w:highlight w:val="none"/>
        </w:rPr>
        <w:t>提出质疑的，质疑期限为供应商获得</w:t>
      </w:r>
      <w:r>
        <w:rPr>
          <w:rFonts w:hint="eastAsia" w:ascii="仿宋_GB2312" w:hAnsi="仿宋" w:eastAsia="仿宋_GB2312"/>
          <w:snapToGrid/>
          <w:color w:val="auto"/>
          <w:kern w:val="2"/>
          <w:sz w:val="24"/>
          <w:highlight w:val="none"/>
          <w:lang w:eastAsia="zh-CN"/>
        </w:rPr>
        <w:t>招标文件</w:t>
      </w:r>
      <w:r>
        <w:rPr>
          <w:rFonts w:hint="eastAsia" w:ascii="仿宋_GB2312" w:hAnsi="仿宋" w:eastAsia="仿宋_GB2312"/>
          <w:snapToGrid/>
          <w:color w:val="auto"/>
          <w:kern w:val="2"/>
          <w:sz w:val="24"/>
          <w:highlight w:val="none"/>
        </w:rPr>
        <w:t>之日或者</w:t>
      </w:r>
      <w:r>
        <w:rPr>
          <w:rFonts w:hint="eastAsia" w:ascii="仿宋_GB2312" w:hAnsi="仿宋" w:eastAsia="仿宋_GB2312"/>
          <w:snapToGrid/>
          <w:color w:val="auto"/>
          <w:kern w:val="2"/>
          <w:sz w:val="24"/>
          <w:highlight w:val="none"/>
          <w:lang w:eastAsia="zh-CN"/>
        </w:rPr>
        <w:t>招标文件</w:t>
      </w:r>
      <w:r>
        <w:rPr>
          <w:rFonts w:hint="eastAsia" w:ascii="仿宋_GB2312" w:hAnsi="仿宋" w:eastAsia="仿宋_GB2312"/>
          <w:snapToGrid/>
          <w:color w:val="auto"/>
          <w:kern w:val="2"/>
          <w:sz w:val="24"/>
          <w:highlight w:val="none"/>
        </w:rPr>
        <w:t>公告期限届满之日起计算。</w:t>
      </w:r>
      <w:r>
        <w:rPr>
          <w:rFonts w:hint="eastAsia" w:ascii="仿宋_GB2312" w:hAnsi="仿宋" w:eastAsia="仿宋_GB2312"/>
          <w:snapToGrid/>
          <w:color w:val="auto"/>
          <w:kern w:val="2"/>
          <w:sz w:val="24"/>
          <w:highlight w:val="none"/>
          <w:lang w:eastAsia="zh-CN"/>
        </w:rPr>
        <w:t>招标文件</w:t>
      </w:r>
      <w:r>
        <w:rPr>
          <w:rFonts w:hint="eastAsia" w:ascii="仿宋_GB2312" w:hAnsi="仿宋" w:eastAsia="仿宋_GB2312"/>
          <w:snapToGrid/>
          <w:color w:val="auto"/>
          <w:kern w:val="2"/>
          <w:sz w:val="24"/>
          <w:highlight w:val="none"/>
        </w:rPr>
        <w:t>在获取截止之日后获得的，应当自</w:t>
      </w:r>
      <w:r>
        <w:rPr>
          <w:rFonts w:hint="eastAsia" w:ascii="仿宋_GB2312" w:hAnsi="仿宋" w:eastAsia="仿宋_GB2312"/>
          <w:snapToGrid/>
          <w:color w:val="auto"/>
          <w:kern w:val="2"/>
          <w:sz w:val="24"/>
          <w:highlight w:val="none"/>
          <w:lang w:eastAsia="zh-CN"/>
        </w:rPr>
        <w:t>招标文件</w:t>
      </w:r>
      <w:r>
        <w:rPr>
          <w:rFonts w:hint="eastAsia" w:ascii="仿宋_GB2312" w:hAnsi="仿宋" w:eastAsia="仿宋_GB2312"/>
          <w:snapToGrid/>
          <w:color w:val="auto"/>
          <w:kern w:val="2"/>
          <w:sz w:val="24"/>
          <w:highlight w:val="none"/>
        </w:rPr>
        <w:t>公告期限届满之日起计算，且应当在采购响应截止时间之前提出。根据采购人与采购机构签订的《杭州市集中采购年度委托协议》的规定：对</w:t>
      </w:r>
      <w:r>
        <w:rPr>
          <w:rFonts w:hint="eastAsia" w:ascii="仿宋_GB2312" w:hAnsi="仿宋" w:eastAsia="仿宋_GB2312"/>
          <w:snapToGrid/>
          <w:color w:val="auto"/>
          <w:kern w:val="2"/>
          <w:sz w:val="24"/>
          <w:highlight w:val="none"/>
          <w:lang w:eastAsia="zh-CN"/>
        </w:rPr>
        <w:t>招标文件</w:t>
      </w:r>
      <w:r>
        <w:rPr>
          <w:rFonts w:hint="eastAsia" w:ascii="仿宋_GB2312" w:hAnsi="仿宋" w:eastAsia="仿宋_GB2312"/>
          <w:snapToGrid/>
          <w:color w:val="auto"/>
          <w:kern w:val="2"/>
          <w:sz w:val="24"/>
          <w:highlight w:val="none"/>
        </w:rPr>
        <w:t>中特定资格条件、采购需求、评分办法提出的质疑，原则上由采购人负责答复；对</w:t>
      </w:r>
      <w:r>
        <w:rPr>
          <w:rFonts w:hint="eastAsia" w:ascii="仿宋_GB2312" w:hAnsi="仿宋" w:eastAsia="仿宋_GB2312"/>
          <w:snapToGrid/>
          <w:color w:val="auto"/>
          <w:kern w:val="2"/>
          <w:sz w:val="24"/>
          <w:highlight w:val="none"/>
          <w:lang w:eastAsia="zh-CN"/>
        </w:rPr>
        <w:t>招标文件</w:t>
      </w:r>
      <w:r>
        <w:rPr>
          <w:rFonts w:hint="eastAsia" w:ascii="仿宋_GB2312" w:hAnsi="仿宋" w:eastAsia="仿宋_GB2312"/>
          <w:snapToGrid/>
          <w:color w:val="auto"/>
          <w:kern w:val="2"/>
          <w:sz w:val="24"/>
          <w:highlight w:val="none"/>
        </w:rPr>
        <w:t>中其他内容提出的质疑，原则上由采购机构负责答复。</w:t>
      </w:r>
    </w:p>
    <w:p>
      <w:pPr>
        <w:pStyle w:val="33"/>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4.2.2.2对采购过程提出质疑的，质疑期限为各采购程序环节结束之日起计算。对同一采购程序环节的质疑，供应商须一次性提出。根据采购人与采购机构签订的《杭州市集中采购年度委托协议》的规定：对采购过程中有关现场考察或开标前答疑会事项提出的质疑，原则上由采购人负责答复；对采购过程中其它事项提出的质疑，原则上由采购机构负责答复。</w:t>
      </w:r>
    </w:p>
    <w:p>
      <w:pPr>
        <w:pStyle w:val="33"/>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4.2.2.3对采购结果提出质疑的，质疑期限自采购结果公告期限届满之日起计算。对采购结果提出质疑的，采购机构负责答复。</w:t>
      </w:r>
    </w:p>
    <w:p>
      <w:pPr>
        <w:pStyle w:val="33"/>
        <w:snapToGrid w:val="0"/>
        <w:spacing w:line="360" w:lineRule="auto"/>
        <w:ind w:firstLine="360" w:firstLineChars="150"/>
        <w:contextualSpacing/>
        <w:rPr>
          <w:rFonts w:hint="eastAsia" w:ascii="仿宋_GB2312" w:hAnsi="仿宋" w:eastAsia="仿宋_GB2312"/>
          <w:color w:val="auto"/>
          <w:sz w:val="24"/>
          <w:highlight w:val="none"/>
        </w:rPr>
      </w:pPr>
      <w:r>
        <w:rPr>
          <w:rFonts w:hint="eastAsia"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432"/>
        <w:shd w:val="clear" w:color="auto" w:fill="FFFFFF"/>
        <w:snapToGrid w:val="0"/>
        <w:spacing w:after="240" w:afterAutospacing="0" w:line="360" w:lineRule="auto"/>
        <w:contextualSpacing/>
        <w:rPr>
          <w:rFonts w:hint="eastAsia" w:ascii="仿宋_GB2312" w:hAnsi="仿宋" w:eastAsia="仿宋_GB2312" w:cs="Arial"/>
          <w:snapToGrid w:val="0"/>
          <w:color w:val="auto"/>
          <w:kern w:val="2"/>
          <w:szCs w:val="21"/>
          <w:highlight w:val="none"/>
        </w:rPr>
      </w:pPr>
      <w:r>
        <w:rPr>
          <w:rFonts w:hint="eastAsia" w:ascii="仿宋_GB2312" w:hAnsi="仿宋" w:eastAsia="仿宋_GB2312" w:cs="Arial"/>
          <w:snapToGrid w:val="0"/>
          <w:color w:val="auto"/>
          <w:kern w:val="2"/>
          <w:szCs w:val="21"/>
          <w:highlight w:val="none"/>
        </w:rPr>
        <w:t>　　</w:t>
      </w:r>
      <w:r>
        <w:rPr>
          <w:rFonts w:hint="eastAsia" w:ascii="仿宋_GB2312" w:hAnsi="仿宋" w:eastAsia="仿宋_GB2312" w:cs="微软雅黑"/>
          <w:color w:val="auto"/>
          <w:highlight w:val="none"/>
          <w:lang w:val="zh-CN"/>
        </w:rPr>
        <w:t>4.2.3.1</w:t>
      </w:r>
      <w:r>
        <w:rPr>
          <w:rFonts w:hint="eastAsia" w:ascii="仿宋_GB2312" w:hAnsi="仿宋" w:eastAsia="仿宋_GB2312" w:cs="Arial"/>
          <w:snapToGrid w:val="0"/>
          <w:color w:val="auto"/>
          <w:kern w:val="2"/>
          <w:szCs w:val="21"/>
          <w:highlight w:val="none"/>
        </w:rPr>
        <w:t>供应商的姓名或者名称、地址、邮编、联系人及联系电话；</w:t>
      </w:r>
    </w:p>
    <w:p>
      <w:pPr>
        <w:pStyle w:val="432"/>
        <w:shd w:val="clear" w:color="auto" w:fill="FFFFFF"/>
        <w:snapToGrid w:val="0"/>
        <w:spacing w:after="240" w:afterAutospacing="0" w:line="360" w:lineRule="auto"/>
        <w:contextualSpacing/>
        <w:rPr>
          <w:rFonts w:hint="eastAsia" w:ascii="仿宋_GB2312" w:hAnsi="仿宋" w:eastAsia="仿宋_GB2312" w:cs="Arial"/>
          <w:snapToGrid w:val="0"/>
          <w:color w:val="auto"/>
          <w:kern w:val="2"/>
          <w:szCs w:val="21"/>
          <w:highlight w:val="none"/>
        </w:rPr>
      </w:pPr>
      <w:r>
        <w:rPr>
          <w:rFonts w:hint="eastAsia" w:ascii="仿宋_GB2312" w:hAnsi="仿宋" w:eastAsia="仿宋_GB2312" w:cs="Arial"/>
          <w:snapToGrid w:val="0"/>
          <w:color w:val="auto"/>
          <w:kern w:val="2"/>
          <w:szCs w:val="21"/>
          <w:highlight w:val="none"/>
        </w:rPr>
        <w:t>　　</w:t>
      </w:r>
      <w:r>
        <w:rPr>
          <w:rFonts w:hint="eastAsia" w:ascii="仿宋_GB2312" w:hAnsi="仿宋" w:eastAsia="仿宋_GB2312" w:cs="微软雅黑"/>
          <w:color w:val="auto"/>
          <w:highlight w:val="none"/>
          <w:lang w:val="zh-CN"/>
        </w:rPr>
        <w:t>4.2.3.2</w:t>
      </w:r>
      <w:r>
        <w:rPr>
          <w:rFonts w:hint="eastAsia" w:ascii="仿宋_GB2312" w:hAnsi="仿宋" w:eastAsia="仿宋_GB2312" w:cs="Arial"/>
          <w:snapToGrid w:val="0"/>
          <w:color w:val="auto"/>
          <w:kern w:val="2"/>
          <w:szCs w:val="21"/>
          <w:highlight w:val="none"/>
        </w:rPr>
        <w:t>质疑项目的名称、编号；</w:t>
      </w:r>
    </w:p>
    <w:p>
      <w:pPr>
        <w:pStyle w:val="432"/>
        <w:shd w:val="clear" w:color="auto" w:fill="FFFFFF"/>
        <w:snapToGrid w:val="0"/>
        <w:spacing w:after="240" w:afterAutospacing="0" w:line="360" w:lineRule="auto"/>
        <w:contextualSpacing/>
        <w:rPr>
          <w:rFonts w:hint="eastAsia" w:ascii="仿宋_GB2312" w:hAnsi="仿宋" w:eastAsia="仿宋_GB2312" w:cs="Arial"/>
          <w:snapToGrid w:val="0"/>
          <w:color w:val="auto"/>
          <w:kern w:val="2"/>
          <w:szCs w:val="21"/>
          <w:highlight w:val="none"/>
        </w:rPr>
      </w:pPr>
      <w:r>
        <w:rPr>
          <w:rFonts w:hint="eastAsia" w:ascii="仿宋_GB2312" w:hAnsi="仿宋" w:eastAsia="仿宋_GB2312" w:cs="Arial"/>
          <w:snapToGrid w:val="0"/>
          <w:color w:val="auto"/>
          <w:kern w:val="2"/>
          <w:szCs w:val="21"/>
          <w:highlight w:val="none"/>
        </w:rPr>
        <w:t>　　</w:t>
      </w:r>
      <w:r>
        <w:rPr>
          <w:rFonts w:hint="eastAsia" w:ascii="仿宋_GB2312" w:hAnsi="仿宋" w:eastAsia="仿宋_GB2312" w:cs="微软雅黑"/>
          <w:color w:val="auto"/>
          <w:highlight w:val="none"/>
          <w:lang w:val="zh-CN"/>
        </w:rPr>
        <w:t>4.2.3.3</w:t>
      </w:r>
      <w:r>
        <w:rPr>
          <w:rFonts w:hint="eastAsia" w:ascii="仿宋_GB2312" w:hAnsi="仿宋" w:eastAsia="仿宋_GB2312" w:cs="Arial"/>
          <w:snapToGrid w:val="0"/>
          <w:color w:val="auto"/>
          <w:kern w:val="2"/>
          <w:szCs w:val="21"/>
          <w:highlight w:val="none"/>
        </w:rPr>
        <w:t>具体、明确的质疑事项和与质疑事项相关的请求；</w:t>
      </w:r>
    </w:p>
    <w:p>
      <w:pPr>
        <w:pStyle w:val="432"/>
        <w:shd w:val="clear" w:color="auto" w:fill="FFFFFF"/>
        <w:snapToGrid w:val="0"/>
        <w:spacing w:after="240" w:afterAutospacing="0" w:line="360" w:lineRule="auto"/>
        <w:contextualSpacing/>
        <w:rPr>
          <w:rFonts w:hint="eastAsia" w:ascii="仿宋_GB2312" w:hAnsi="仿宋" w:eastAsia="仿宋_GB2312" w:cs="Arial"/>
          <w:snapToGrid w:val="0"/>
          <w:color w:val="auto"/>
          <w:kern w:val="2"/>
          <w:szCs w:val="21"/>
          <w:highlight w:val="none"/>
        </w:rPr>
      </w:pPr>
      <w:r>
        <w:rPr>
          <w:rFonts w:hint="eastAsia" w:ascii="仿宋_GB2312" w:hAnsi="仿宋" w:eastAsia="仿宋_GB2312" w:cs="Arial"/>
          <w:snapToGrid w:val="0"/>
          <w:color w:val="auto"/>
          <w:kern w:val="2"/>
          <w:szCs w:val="21"/>
          <w:highlight w:val="none"/>
        </w:rPr>
        <w:t>　　</w:t>
      </w:r>
      <w:r>
        <w:rPr>
          <w:rFonts w:hint="eastAsia" w:ascii="仿宋_GB2312" w:hAnsi="仿宋" w:eastAsia="仿宋_GB2312" w:cs="微软雅黑"/>
          <w:color w:val="auto"/>
          <w:highlight w:val="none"/>
          <w:lang w:val="zh-CN"/>
        </w:rPr>
        <w:t>4.2.3.4</w:t>
      </w:r>
      <w:r>
        <w:rPr>
          <w:rFonts w:hint="eastAsia" w:ascii="仿宋_GB2312" w:hAnsi="仿宋" w:eastAsia="仿宋_GB2312" w:cs="Arial"/>
          <w:snapToGrid w:val="0"/>
          <w:color w:val="auto"/>
          <w:kern w:val="2"/>
          <w:szCs w:val="21"/>
          <w:highlight w:val="none"/>
        </w:rPr>
        <w:t>事实依据；</w:t>
      </w:r>
    </w:p>
    <w:p>
      <w:pPr>
        <w:pStyle w:val="432"/>
        <w:shd w:val="clear" w:color="auto" w:fill="FFFFFF"/>
        <w:snapToGrid w:val="0"/>
        <w:spacing w:after="240" w:afterAutospacing="0" w:line="360" w:lineRule="auto"/>
        <w:contextualSpacing/>
        <w:rPr>
          <w:rFonts w:hint="eastAsia" w:ascii="仿宋_GB2312" w:hAnsi="仿宋" w:eastAsia="仿宋_GB2312" w:cs="Arial"/>
          <w:snapToGrid w:val="0"/>
          <w:color w:val="auto"/>
          <w:kern w:val="2"/>
          <w:szCs w:val="21"/>
          <w:highlight w:val="none"/>
        </w:rPr>
      </w:pPr>
      <w:r>
        <w:rPr>
          <w:rFonts w:hint="eastAsia" w:ascii="仿宋_GB2312" w:hAnsi="仿宋" w:eastAsia="仿宋_GB2312" w:cs="Arial"/>
          <w:snapToGrid w:val="0"/>
          <w:color w:val="auto"/>
          <w:kern w:val="2"/>
          <w:szCs w:val="21"/>
          <w:highlight w:val="none"/>
        </w:rPr>
        <w:t>　　</w:t>
      </w:r>
      <w:r>
        <w:rPr>
          <w:rFonts w:hint="eastAsia" w:ascii="仿宋_GB2312" w:hAnsi="仿宋" w:eastAsia="仿宋_GB2312" w:cs="微软雅黑"/>
          <w:color w:val="auto"/>
          <w:highlight w:val="none"/>
          <w:lang w:val="zh-CN"/>
        </w:rPr>
        <w:t>4.2.3.5</w:t>
      </w:r>
      <w:r>
        <w:rPr>
          <w:rFonts w:hint="eastAsia" w:ascii="仿宋_GB2312" w:hAnsi="仿宋" w:eastAsia="仿宋_GB2312" w:cs="Arial"/>
          <w:snapToGrid w:val="0"/>
          <w:color w:val="auto"/>
          <w:kern w:val="2"/>
          <w:szCs w:val="21"/>
          <w:highlight w:val="none"/>
        </w:rPr>
        <w:t>必要的法律依据；</w:t>
      </w:r>
    </w:p>
    <w:p>
      <w:pPr>
        <w:pStyle w:val="432"/>
        <w:shd w:val="clear" w:color="auto" w:fill="FFFFFF"/>
        <w:snapToGrid w:val="0"/>
        <w:spacing w:after="240" w:afterAutospacing="0" w:line="360" w:lineRule="auto"/>
        <w:ind w:firstLine="480"/>
        <w:contextualSpacing/>
        <w:rPr>
          <w:rFonts w:hint="eastAsia" w:ascii="仿宋_GB2312" w:hAnsi="仿宋" w:eastAsia="仿宋_GB2312" w:cs="Arial"/>
          <w:snapToGrid w:val="0"/>
          <w:color w:val="auto"/>
          <w:kern w:val="2"/>
          <w:szCs w:val="21"/>
          <w:highlight w:val="none"/>
        </w:rPr>
      </w:pPr>
      <w:r>
        <w:rPr>
          <w:rFonts w:hint="eastAsia" w:ascii="仿宋_GB2312" w:hAnsi="仿宋" w:eastAsia="仿宋_GB2312" w:cs="微软雅黑"/>
          <w:color w:val="auto"/>
          <w:highlight w:val="none"/>
          <w:lang w:val="zh-CN"/>
        </w:rPr>
        <w:t>4.2.3.6</w:t>
      </w:r>
      <w:r>
        <w:rPr>
          <w:rFonts w:hint="eastAsia" w:ascii="仿宋_GB2312" w:hAnsi="仿宋" w:eastAsia="仿宋_GB2312" w:cs="Arial"/>
          <w:snapToGrid w:val="0"/>
          <w:color w:val="auto"/>
          <w:kern w:val="2"/>
          <w:szCs w:val="21"/>
          <w:highlight w:val="none"/>
        </w:rPr>
        <w:t>提出质疑的日期。</w:t>
      </w:r>
    </w:p>
    <w:p>
      <w:pPr>
        <w:pStyle w:val="432"/>
        <w:shd w:val="clear" w:color="auto" w:fill="FFFFFF"/>
        <w:snapToGrid w:val="0"/>
        <w:spacing w:after="240" w:afterAutospacing="0" w:line="360" w:lineRule="auto"/>
        <w:ind w:firstLine="480"/>
        <w:contextualSpacing/>
        <w:rPr>
          <w:rFonts w:hint="eastAsia"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432"/>
        <w:shd w:val="clear" w:color="auto" w:fill="FFFFFF"/>
        <w:snapToGrid w:val="0"/>
        <w:spacing w:after="240" w:afterAutospacing="0" w:line="360" w:lineRule="auto"/>
        <w:ind w:firstLine="480"/>
        <w:contextualSpacing/>
        <w:rPr>
          <w:rFonts w:hint="eastAsia" w:ascii="仿宋_GB2312" w:hAnsi="仿宋" w:eastAsia="仿宋_GB2312"/>
          <w:color w:val="auto"/>
          <w:highlight w:val="none"/>
        </w:rPr>
      </w:pPr>
      <w:r>
        <w:rPr>
          <w:rFonts w:hint="eastAsia" w:ascii="仿宋_GB2312" w:hAnsi="仿宋" w:eastAsia="仿宋_GB2312"/>
          <w:color w:val="auto"/>
          <w:highlight w:val="none"/>
        </w:rPr>
        <w:t>质疑函范本及制作说明详见附件2。</w:t>
      </w:r>
    </w:p>
    <w:p>
      <w:pPr>
        <w:pStyle w:val="432"/>
        <w:shd w:val="clear" w:color="auto" w:fill="FFFFFF"/>
        <w:snapToGrid w:val="0"/>
        <w:spacing w:after="240" w:afterAutospacing="0" w:line="360" w:lineRule="auto"/>
        <w:ind w:firstLine="480"/>
        <w:contextualSpacing/>
        <w:rPr>
          <w:rFonts w:hint="eastAsia" w:ascii="仿宋_GB2312" w:hAnsi="仿宋" w:eastAsia="仿宋_GB2312"/>
          <w:color w:val="auto"/>
          <w:highlight w:val="none"/>
        </w:rPr>
      </w:pPr>
      <w:r>
        <w:rPr>
          <w:rFonts w:hint="eastAsia" w:ascii="仿宋_GB2312" w:hAnsi="仿宋" w:eastAsia="仿宋_GB2312" w:cs="微软雅黑"/>
          <w:color w:val="auto"/>
          <w:highlight w:val="none"/>
          <w:lang w:val="zh-CN"/>
        </w:rPr>
        <w:t>4.2</w:t>
      </w:r>
      <w:r>
        <w:rPr>
          <w:rFonts w:hint="eastAsia" w:ascii="仿宋_GB2312" w:hAnsi="仿宋" w:eastAsia="仿宋_GB2312"/>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432"/>
        <w:shd w:val="clear" w:color="auto" w:fill="FFFFFF"/>
        <w:snapToGrid w:val="0"/>
        <w:spacing w:after="240" w:afterAutospacing="0" w:line="360" w:lineRule="auto"/>
        <w:ind w:firstLine="480"/>
        <w:contextualSpacing/>
        <w:rPr>
          <w:rFonts w:hint="eastAsia" w:ascii="仿宋_GB2312" w:hAnsi="仿宋" w:eastAsia="仿宋_GB2312"/>
          <w:color w:val="auto"/>
          <w:highlight w:val="none"/>
        </w:rPr>
      </w:pPr>
      <w:r>
        <w:rPr>
          <w:rFonts w:hint="eastAsia" w:ascii="仿宋_GB2312" w:hAnsi="仿宋" w:eastAsia="仿宋_GB2312" w:cs="微软雅黑"/>
          <w:color w:val="auto"/>
          <w:highlight w:val="none"/>
          <w:lang w:val="zh-CN"/>
        </w:rPr>
        <w:t>4.2</w:t>
      </w:r>
      <w:r>
        <w:rPr>
          <w:rFonts w:hint="eastAsia" w:ascii="仿宋_GB2312" w:hAnsi="仿宋" w:eastAsia="仿宋_GB2312"/>
          <w:color w:val="auto"/>
          <w:highlight w:val="none"/>
        </w:rPr>
        <w:t>.5询问或者质疑事项可能影响采购结果的，采购人应当暂停签订合同，已经签订合同的，应当中止履行合同。</w:t>
      </w:r>
    </w:p>
    <w:p>
      <w:pPr>
        <w:pStyle w:val="432"/>
        <w:shd w:val="clear" w:color="auto" w:fill="FFFFFF"/>
        <w:snapToGrid w:val="0"/>
        <w:spacing w:after="240" w:afterAutospacing="0" w:line="360" w:lineRule="auto"/>
        <w:ind w:firstLine="480"/>
        <w:contextualSpacing/>
        <w:rPr>
          <w:rFonts w:hint="eastAsia" w:ascii="仿宋_GB2312" w:hAnsi="仿宋" w:eastAsia="仿宋_GB2312" w:cs="微软雅黑"/>
          <w:color w:val="auto"/>
          <w:highlight w:val="none"/>
          <w:lang w:val="zh-CN"/>
        </w:rPr>
      </w:pPr>
      <w:r>
        <w:rPr>
          <w:rFonts w:hint="eastAsia" w:ascii="仿宋_GB2312" w:hAnsi="仿宋" w:eastAsia="仿宋_GB2312" w:cs="微软雅黑"/>
          <w:color w:val="auto"/>
          <w:highlight w:val="none"/>
          <w:lang w:val="zh-CN"/>
        </w:rPr>
        <w:t>4.3供应商投诉</w:t>
      </w:r>
    </w:p>
    <w:p>
      <w:pPr>
        <w:pStyle w:val="432"/>
        <w:shd w:val="clear" w:color="auto" w:fill="FFFFFF"/>
        <w:snapToGrid w:val="0"/>
        <w:spacing w:after="240" w:afterAutospacing="0" w:line="360" w:lineRule="auto"/>
        <w:ind w:firstLine="480"/>
        <w:contextualSpacing/>
        <w:rPr>
          <w:rFonts w:hint="eastAsia" w:ascii="仿宋_GB2312" w:hAnsi="仿宋" w:eastAsia="仿宋_GB2312"/>
          <w:color w:val="auto"/>
          <w:highlight w:val="none"/>
        </w:rPr>
      </w:pPr>
      <w:r>
        <w:rPr>
          <w:rFonts w:hint="eastAsia" w:ascii="仿宋_GB2312" w:hAnsi="仿宋" w:eastAsia="仿宋_GB2312"/>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432"/>
        <w:shd w:val="clear" w:color="auto" w:fill="FFFFFF"/>
        <w:snapToGrid w:val="0"/>
        <w:spacing w:after="240" w:afterAutospacing="0" w:line="360" w:lineRule="auto"/>
        <w:ind w:firstLine="480"/>
        <w:contextualSpacing/>
        <w:rPr>
          <w:rFonts w:hint="eastAsia" w:ascii="仿宋_GB2312" w:hAnsi="仿宋" w:eastAsia="仿宋_GB2312"/>
          <w:color w:val="auto"/>
          <w:highlight w:val="none"/>
        </w:rPr>
      </w:pPr>
      <w:r>
        <w:rPr>
          <w:rFonts w:hint="eastAsia" w:ascii="仿宋_GB2312" w:hAnsi="仿宋" w:eastAsia="仿宋_GB2312"/>
          <w:color w:val="auto"/>
          <w:highlight w:val="none"/>
        </w:rPr>
        <w:t>4.3.</w:t>
      </w:r>
      <w:r>
        <w:rPr>
          <w:rFonts w:hint="eastAsia"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432"/>
        <w:shd w:val="clear" w:color="auto" w:fill="FFFFFF"/>
        <w:snapToGrid w:val="0"/>
        <w:spacing w:after="240" w:afterAutospacing="0" w:line="360" w:lineRule="auto"/>
        <w:ind w:firstLine="480"/>
        <w:contextualSpacing/>
        <w:rPr>
          <w:rFonts w:hint="eastAsia" w:ascii="仿宋_GB2312" w:hAnsi="仿宋" w:eastAsia="仿宋_GB2312"/>
          <w:color w:val="auto"/>
          <w:highlight w:val="none"/>
        </w:rPr>
      </w:pPr>
      <w:r>
        <w:rPr>
          <w:rFonts w:hint="eastAsia" w:ascii="仿宋_GB2312" w:hAnsi="仿宋" w:eastAsia="仿宋_GB2312"/>
          <w:color w:val="auto"/>
          <w:highlight w:val="none"/>
        </w:rPr>
        <w:t>4.3.3供应商投诉应当有明确的请求和必要的证明材料。</w:t>
      </w:r>
    </w:p>
    <w:p>
      <w:pPr>
        <w:pStyle w:val="432"/>
        <w:shd w:val="clear" w:color="auto" w:fill="FFFFFF"/>
        <w:snapToGrid w:val="0"/>
        <w:spacing w:after="240" w:afterAutospacing="0" w:line="360" w:lineRule="auto"/>
        <w:ind w:firstLine="480"/>
        <w:contextualSpacing/>
        <w:rPr>
          <w:rFonts w:hint="eastAsia" w:ascii="仿宋_GB2312" w:hAnsi="仿宋" w:eastAsia="仿宋_GB2312"/>
          <w:color w:val="auto"/>
          <w:highlight w:val="none"/>
        </w:rPr>
      </w:pPr>
      <w:r>
        <w:rPr>
          <w:rFonts w:hint="eastAsia" w:ascii="仿宋_GB2312" w:hAnsi="仿宋" w:eastAsia="仿宋_GB2312"/>
          <w:color w:val="auto"/>
          <w:highlight w:val="none"/>
        </w:rPr>
        <w:t>4.3.</w:t>
      </w:r>
      <w:r>
        <w:rPr>
          <w:rFonts w:hint="eastAsia" w:ascii="仿宋_GB2312" w:hAnsi="仿宋" w:eastAsia="仿宋_GB2312"/>
          <w:color w:val="auto"/>
          <w:highlight w:val="none"/>
          <w:lang w:val="en-US" w:eastAsia="zh-CN"/>
        </w:rPr>
        <w:t>4</w:t>
      </w:r>
      <w:r>
        <w:rPr>
          <w:rFonts w:hint="eastAsia" w:ascii="仿宋_GB2312" w:hAnsi="仿宋" w:eastAsia="仿宋_GB2312"/>
          <w:color w:val="auto"/>
          <w:highlight w:val="none"/>
        </w:rPr>
        <w:t>以联合体形式参加政府采购活动的，其投诉应当由组成联合体的所有供应商共同提出。</w:t>
      </w:r>
    </w:p>
    <w:p>
      <w:pPr>
        <w:pStyle w:val="432"/>
        <w:shd w:val="clear" w:color="auto" w:fill="FFFFFF"/>
        <w:snapToGrid w:val="0"/>
        <w:spacing w:after="240" w:afterAutospacing="0" w:line="360" w:lineRule="auto"/>
        <w:ind w:firstLine="480"/>
        <w:contextualSpacing/>
        <w:rPr>
          <w:rFonts w:hint="eastAsia" w:ascii="仿宋_GB2312" w:hAnsi="仿宋" w:eastAsia="仿宋_GB2312"/>
          <w:color w:val="auto"/>
          <w:highlight w:val="none"/>
        </w:rPr>
      </w:pPr>
      <w:r>
        <w:rPr>
          <w:rFonts w:hint="eastAsia" w:ascii="仿宋_GB2312" w:hAnsi="仿宋" w:eastAsia="仿宋_GB2312"/>
          <w:color w:val="auto"/>
          <w:highlight w:val="none"/>
        </w:rPr>
        <w:t>投诉书范本及制作说明详见附件3。</w:t>
      </w:r>
    </w:p>
    <w:p>
      <w:pPr>
        <w:pStyle w:val="414"/>
        <w:snapToGrid w:val="0"/>
        <w:spacing w:before="0"/>
        <w:ind w:firstLine="360"/>
        <w:rPr>
          <w:rFonts w:hint="eastAsia" w:ascii="仿宋_GB2312" w:hAnsi="仿宋" w:eastAsia="仿宋_GB2312" w:cs="仿宋_GB2312"/>
          <w:color w:val="auto"/>
          <w:sz w:val="18"/>
          <w:szCs w:val="18"/>
          <w:highlight w:val="none"/>
        </w:rPr>
      </w:pPr>
      <w:bookmarkStart w:id="11" w:name="_Hlt75236011"/>
      <w:bookmarkEnd w:id="11"/>
      <w:bookmarkStart w:id="12" w:name="_Toc91899884"/>
    </w:p>
    <w:p>
      <w:pPr>
        <w:adjustRightInd/>
        <w:spacing w:line="360" w:lineRule="auto"/>
        <w:jc w:val="center"/>
        <w:outlineLvl w:val="0"/>
        <w:rPr>
          <w:rFonts w:hint="eastAsia" w:ascii="仿宋_GB2312" w:hAnsi="仿宋" w:eastAsia="仿宋_GB2312" w:cs="仿宋_GB2312"/>
          <w:b/>
          <w:color w:val="auto"/>
          <w:sz w:val="32"/>
          <w:szCs w:val="20"/>
          <w:highlight w:val="none"/>
        </w:rPr>
      </w:pPr>
      <w:bookmarkStart w:id="13" w:name="_Hlt68072990"/>
      <w:bookmarkEnd w:id="13"/>
      <w:bookmarkStart w:id="14" w:name="_Hlt74730295"/>
      <w:bookmarkEnd w:id="14"/>
      <w:bookmarkStart w:id="15" w:name="_Hlt74729768"/>
      <w:bookmarkEnd w:id="15"/>
      <w:bookmarkStart w:id="16" w:name="_Hlt74707468"/>
      <w:bookmarkEnd w:id="16"/>
      <w:bookmarkStart w:id="17" w:name="_Hlt68057669"/>
      <w:bookmarkEnd w:id="17"/>
      <w:bookmarkStart w:id="18" w:name="_Hlt74714665"/>
      <w:bookmarkEnd w:id="18"/>
      <w:bookmarkStart w:id="19" w:name="_Hlt75236290"/>
      <w:bookmarkEnd w:id="19"/>
      <w:bookmarkStart w:id="20" w:name="_Toc91899879"/>
      <w:r>
        <w:rPr>
          <w:rFonts w:hint="eastAsia" w:ascii="仿宋_GB2312" w:hAnsi="仿宋" w:eastAsia="仿宋_GB2312" w:cs="仿宋_GB2312"/>
          <w:b/>
          <w:color w:val="auto"/>
          <w:sz w:val="32"/>
          <w:szCs w:val="20"/>
          <w:highlight w:val="none"/>
        </w:rPr>
        <w:t>二、招标文件</w:t>
      </w:r>
      <w:bookmarkEnd w:id="20"/>
      <w:r>
        <w:rPr>
          <w:rFonts w:hint="eastAsia" w:ascii="仿宋_GB2312" w:hAnsi="仿宋" w:eastAsia="仿宋_GB2312" w:cs="仿宋_GB2312"/>
          <w:b/>
          <w:color w:val="auto"/>
          <w:sz w:val="32"/>
          <w:szCs w:val="20"/>
          <w:highlight w:val="none"/>
        </w:rPr>
        <w:t>的构成、澄清、修改</w:t>
      </w:r>
    </w:p>
    <w:p>
      <w:pPr>
        <w:pStyle w:val="33"/>
        <w:spacing w:line="360" w:lineRule="auto"/>
        <w:rPr>
          <w:rFonts w:hint="eastAsia" w:ascii="仿宋_GB2312" w:hAnsi="仿宋" w:eastAsia="仿宋_GB2312" w:cs="仿宋_GB2312"/>
          <w:b/>
          <w:color w:val="auto"/>
          <w:sz w:val="24"/>
          <w:szCs w:val="24"/>
          <w:highlight w:val="none"/>
        </w:rPr>
      </w:pPr>
      <w:bookmarkStart w:id="21" w:name="_Toc91899880"/>
      <w:bookmarkStart w:id="22" w:name="_Hlt74730307"/>
      <w:r>
        <w:rPr>
          <w:rFonts w:hint="eastAsia" w:ascii="仿宋_GB2312" w:hAnsi="仿宋" w:eastAsia="仿宋_GB2312" w:cs="仿宋_GB2312"/>
          <w:b/>
          <w:color w:val="auto"/>
          <w:sz w:val="24"/>
          <w:szCs w:val="24"/>
          <w:highlight w:val="none"/>
        </w:rPr>
        <w:t>5．招标文件的构成</w:t>
      </w:r>
      <w:bookmarkEnd w:id="21"/>
    </w:p>
    <w:bookmarkEnd w:id="22"/>
    <w:p>
      <w:pPr>
        <w:pStyle w:val="33"/>
        <w:spacing w:line="360" w:lineRule="auto"/>
        <w:ind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5.1 招标文件包括下列文件及附件</w:t>
      </w:r>
    </w:p>
    <w:p>
      <w:pPr>
        <w:pStyle w:val="33"/>
        <w:numPr>
          <w:ilvl w:val="0"/>
          <w:numId w:val="5"/>
        </w:numPr>
        <w:spacing w:line="360" w:lineRule="auto"/>
        <w:ind w:left="839"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第一部分 招标公告</w:t>
      </w:r>
    </w:p>
    <w:p>
      <w:pPr>
        <w:pStyle w:val="33"/>
        <w:numPr>
          <w:ilvl w:val="0"/>
          <w:numId w:val="5"/>
        </w:numPr>
        <w:spacing w:line="360" w:lineRule="auto"/>
        <w:ind w:left="839"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第二部分 投标人须知</w:t>
      </w:r>
    </w:p>
    <w:p>
      <w:pPr>
        <w:pStyle w:val="33"/>
        <w:numPr>
          <w:ilvl w:val="0"/>
          <w:numId w:val="5"/>
        </w:numPr>
        <w:spacing w:line="360" w:lineRule="auto"/>
        <w:ind w:left="839"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第三部分 采购需求</w:t>
      </w:r>
    </w:p>
    <w:p>
      <w:pPr>
        <w:pStyle w:val="33"/>
        <w:numPr>
          <w:ilvl w:val="0"/>
          <w:numId w:val="5"/>
        </w:numPr>
        <w:spacing w:line="360" w:lineRule="auto"/>
        <w:ind w:left="839"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第四部分 评标方法及评分标准</w:t>
      </w:r>
    </w:p>
    <w:p>
      <w:pPr>
        <w:pStyle w:val="33"/>
        <w:numPr>
          <w:ilvl w:val="0"/>
          <w:numId w:val="5"/>
        </w:numPr>
        <w:spacing w:line="360" w:lineRule="auto"/>
        <w:ind w:left="839"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第五部分 拟签订的合同文本</w:t>
      </w:r>
    </w:p>
    <w:p>
      <w:pPr>
        <w:pStyle w:val="33"/>
        <w:numPr>
          <w:ilvl w:val="0"/>
          <w:numId w:val="5"/>
        </w:numPr>
        <w:spacing w:line="360" w:lineRule="auto"/>
        <w:ind w:left="839"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第六部分 应提交的有关格式范例</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3"/>
        <w:spacing w:line="360" w:lineRule="auto"/>
        <w:rPr>
          <w:rFonts w:hint="eastAsia"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6. 招标文件的澄清、修改</w:t>
      </w:r>
    </w:p>
    <w:p>
      <w:pPr>
        <w:pStyle w:val="414"/>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6.1已获取招标文件的潜在投标人，若有问题需要澄清，应于投标截止时间前，以书面形式向采购机构提出。</w:t>
      </w:r>
    </w:p>
    <w:p>
      <w:pPr>
        <w:pStyle w:val="414"/>
        <w:snapToGrid w:val="0"/>
        <w:spacing w:before="0"/>
        <w:ind w:firstLine="480"/>
        <w:rPr>
          <w:rFonts w:hint="eastAsia" w:ascii="仿宋_GB2312" w:hAnsi="仿宋" w:eastAsia="仿宋_GB2312"/>
          <w:color w:val="auto"/>
          <w:highlight w:val="none"/>
        </w:rPr>
      </w:pPr>
      <w:r>
        <w:rPr>
          <w:rFonts w:hint="eastAsia" w:ascii="仿宋_GB2312" w:hAnsi="仿宋" w:eastAsia="仿宋_GB2312"/>
          <w:color w:val="auto"/>
          <w:highlight w:val="none"/>
        </w:rPr>
        <w:t>6.2 采购机构对</w:t>
      </w:r>
      <w:r>
        <w:rPr>
          <w:rFonts w:hint="eastAsia" w:ascii="仿宋_GB2312" w:hAnsi="仿宋" w:eastAsia="仿宋_GB2312"/>
          <w:color w:val="auto"/>
          <w:highlight w:val="none"/>
          <w:lang w:eastAsia="zh-CN"/>
        </w:rPr>
        <w:t>招标文件</w:t>
      </w:r>
      <w:r>
        <w:rPr>
          <w:rFonts w:hint="eastAsia" w:ascii="仿宋_GB2312" w:hAnsi="仿宋" w:eastAsia="仿宋_GB2312"/>
          <w:color w:val="auto"/>
          <w:highlight w:val="none"/>
        </w:rPr>
        <w:t>进行澄清或修改的，将同时通过电子交易平台通知已获取</w:t>
      </w:r>
      <w:r>
        <w:rPr>
          <w:rFonts w:hint="eastAsia" w:ascii="仿宋_GB2312" w:hAnsi="仿宋" w:eastAsia="仿宋_GB2312"/>
          <w:color w:val="auto"/>
          <w:highlight w:val="none"/>
          <w:lang w:eastAsia="zh-CN"/>
        </w:rPr>
        <w:t>招标文件</w:t>
      </w:r>
      <w:r>
        <w:rPr>
          <w:rFonts w:hint="eastAsia" w:ascii="仿宋_GB2312" w:hAnsi="仿宋" w:eastAsia="仿宋_GB2312"/>
          <w:color w:val="auto"/>
          <w:highlight w:val="none"/>
        </w:rPr>
        <w:t>的潜在投标人。依法应当公告的，将按规定公告，同时视情况延长投标截止时间和开标时间。该澄清或者修改的内容为招标文件的组成部分。</w:t>
      </w:r>
    </w:p>
    <w:p>
      <w:pPr>
        <w:spacing w:line="360" w:lineRule="auto"/>
        <w:ind w:firstLine="482" w:firstLineChars="200"/>
        <w:rPr>
          <w:rFonts w:hint="eastAsia"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w:t>
      </w:r>
      <w:r>
        <w:rPr>
          <w:rFonts w:hint="eastAsia" w:ascii="仿宋_GB2312" w:hAnsi="仿宋" w:eastAsia="仿宋_GB2312" w:cs="仿宋_GB2312"/>
          <w:b/>
          <w:color w:val="auto"/>
          <w:sz w:val="24"/>
          <w:szCs w:val="21"/>
          <w:highlight w:val="none"/>
        </w:rPr>
        <w:t>投标文件未按招标文件的澄清、修改的内容编制，又不符合实质性要求的，投标无效。</w:t>
      </w:r>
    </w:p>
    <w:p>
      <w:pPr>
        <w:adjustRightInd/>
        <w:spacing w:line="360" w:lineRule="auto"/>
        <w:jc w:val="center"/>
        <w:outlineLvl w:val="0"/>
        <w:rPr>
          <w:rFonts w:hint="eastAsia" w:ascii="仿宋" w:hAnsi="仿宋" w:eastAsia="仿宋" w:cs="仿宋_GB2312"/>
          <w:b/>
          <w:color w:val="auto"/>
          <w:sz w:val="30"/>
          <w:szCs w:val="20"/>
          <w:highlight w:val="none"/>
        </w:rPr>
      </w:pPr>
    </w:p>
    <w:bookmarkEnd w:id="12"/>
    <w:p>
      <w:pPr>
        <w:adjustRightInd/>
        <w:spacing w:line="360" w:lineRule="auto"/>
        <w:jc w:val="center"/>
        <w:outlineLvl w:val="0"/>
        <w:rPr>
          <w:rFonts w:hint="eastAsia" w:ascii="仿宋_GB2312" w:hAnsi="仿宋" w:eastAsia="仿宋_GB2312" w:cs="仿宋_GB2312"/>
          <w:b/>
          <w:color w:val="auto"/>
          <w:sz w:val="30"/>
          <w:szCs w:val="20"/>
          <w:highlight w:val="none"/>
        </w:rPr>
      </w:pPr>
      <w:bookmarkStart w:id="23" w:name="_Toc164416483"/>
      <w:bookmarkStart w:id="24" w:name="第三部分"/>
      <w:bookmarkStart w:id="25" w:name="_Toc91899897"/>
      <w:r>
        <w:rPr>
          <w:rFonts w:hint="eastAsia" w:ascii="仿宋_GB2312" w:hAnsi="仿宋" w:eastAsia="仿宋_GB2312" w:cs="仿宋_GB2312"/>
          <w:b/>
          <w:color w:val="auto"/>
          <w:sz w:val="30"/>
          <w:szCs w:val="20"/>
          <w:highlight w:val="none"/>
        </w:rPr>
        <w:t>三、投标</w:t>
      </w:r>
    </w:p>
    <w:p>
      <w:pPr>
        <w:pStyle w:val="33"/>
        <w:spacing w:line="360" w:lineRule="auto"/>
        <w:rPr>
          <w:rFonts w:hint="eastAsia" w:ascii="仿宋_GB2312" w:hAnsi="仿宋" w:eastAsia="仿宋_GB2312" w:cs="仿宋_GB2312"/>
          <w:b/>
          <w:color w:val="auto"/>
          <w:sz w:val="24"/>
          <w:szCs w:val="24"/>
          <w:highlight w:val="none"/>
        </w:rPr>
      </w:pPr>
      <w:bookmarkStart w:id="26" w:name="_Toc91899892"/>
      <w:bookmarkStart w:id="27" w:name="_Toc86216991"/>
      <w:r>
        <w:rPr>
          <w:rFonts w:hint="eastAsia" w:ascii="仿宋_GB2312" w:hAnsi="仿宋" w:eastAsia="仿宋_GB2312" w:cs="仿宋_GB2312"/>
          <w:b/>
          <w:color w:val="auto"/>
          <w:sz w:val="24"/>
          <w:szCs w:val="24"/>
          <w:highlight w:val="none"/>
        </w:rPr>
        <w:t>7. 招标文件的获取</w:t>
      </w:r>
    </w:p>
    <w:p>
      <w:pPr>
        <w:spacing w:line="360" w:lineRule="auto"/>
        <w:ind w:firstLine="480" w:firstLineChars="200"/>
        <w:rPr>
          <w:rFonts w:hint="eastAsia"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3"/>
        <w:spacing w:line="360" w:lineRule="auto"/>
        <w:rPr>
          <w:rFonts w:hint="eastAsia"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8.开标前答疑会或现场考察</w:t>
      </w:r>
    </w:p>
    <w:p>
      <w:pPr>
        <w:pStyle w:val="33"/>
        <w:spacing w:line="360" w:lineRule="auto"/>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采购人组织潜在投标人现场考察或者召开开标前答疑会的，潜在投标人按前附表的规定参加现场考察或者开标前答疑会。</w:t>
      </w:r>
      <w:r>
        <w:rPr>
          <w:rFonts w:hint="eastAsia" w:ascii="仿宋_GB2312" w:hAnsi="仿宋" w:eastAsia="仿宋_GB2312"/>
          <w:b/>
          <w:color w:val="auto"/>
          <w:sz w:val="24"/>
          <w:szCs w:val="24"/>
          <w:highlight w:val="none"/>
        </w:rPr>
        <w:t>采购人不单独或分别组织只有一个供应商参加的现场考察和答疑会。</w:t>
      </w:r>
    </w:p>
    <w:p>
      <w:pPr>
        <w:pStyle w:val="33"/>
        <w:spacing w:line="360" w:lineRule="auto"/>
        <w:rPr>
          <w:rFonts w:hint="eastAsia" w:ascii="仿宋_GB2312" w:hAnsi="仿宋" w:eastAsia="仿宋_GB2312" w:cs="仿宋_GB2312"/>
          <w:b/>
          <w:color w:val="auto"/>
          <w:szCs w:val="24"/>
          <w:highlight w:val="none"/>
        </w:rPr>
      </w:pPr>
      <w:r>
        <w:rPr>
          <w:rFonts w:hint="eastAsia" w:ascii="仿宋_GB2312" w:hAnsi="仿宋" w:eastAsia="仿宋_GB2312"/>
          <w:b/>
          <w:snapToGrid w:val="0"/>
          <w:color w:val="auto"/>
          <w:kern w:val="28"/>
          <w:sz w:val="24"/>
          <w:szCs w:val="24"/>
          <w:highlight w:val="none"/>
        </w:rPr>
        <w:t>9.投标保证金</w:t>
      </w:r>
    </w:p>
    <w:p>
      <w:pPr>
        <w:pStyle w:val="17"/>
        <w:spacing w:line="360" w:lineRule="auto"/>
        <w:ind w:firstLine="470" w:firstLineChars="196"/>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本项目不需要交纳投标保证金。</w:t>
      </w:r>
    </w:p>
    <w:p>
      <w:pPr>
        <w:pStyle w:val="33"/>
        <w:spacing w:line="360" w:lineRule="auto"/>
        <w:rPr>
          <w:rFonts w:hint="eastAsia"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10. 投标文件的语言</w:t>
      </w:r>
    </w:p>
    <w:p>
      <w:pPr>
        <w:autoSpaceDE w:val="0"/>
        <w:autoSpaceDN w:val="0"/>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3"/>
        <w:spacing w:line="360" w:lineRule="auto"/>
        <w:rPr>
          <w:rFonts w:hint="eastAsia"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11. 投标文件的组成</w:t>
      </w:r>
    </w:p>
    <w:p>
      <w:pPr>
        <w:pStyle w:val="33"/>
        <w:snapToGrid w:val="0"/>
        <w:spacing w:line="360" w:lineRule="auto"/>
        <w:ind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kern w:val="0"/>
          <w:sz w:val="24"/>
          <w:szCs w:val="24"/>
          <w:highlight w:val="none"/>
        </w:rPr>
        <w:t>投标文件应当包括以下主要内容：</w:t>
      </w:r>
      <w:r>
        <w:rPr>
          <w:rFonts w:hint="eastAsia" w:ascii="仿宋_GB2312" w:hAnsi="仿宋" w:eastAsia="仿宋_GB2312" w:cs="仿宋_GB2312"/>
          <w:b/>
          <w:color w:val="auto"/>
          <w:sz w:val="24"/>
          <w:szCs w:val="24"/>
          <w:highlight w:val="none"/>
        </w:rPr>
        <w:t>资格文件、报价文件、商务技术文件</w:t>
      </w:r>
      <w:r>
        <w:rPr>
          <w:rFonts w:hint="eastAsia" w:ascii="仿宋_GB2312" w:hAnsi="仿宋" w:eastAsia="仿宋_GB2312" w:cs="仿宋_GB2312"/>
          <w:color w:val="auto"/>
          <w:sz w:val="24"/>
          <w:szCs w:val="24"/>
          <w:highlight w:val="none"/>
        </w:rPr>
        <w:t>。投标文件应当对招标文件提出的要求和条件作出明确响应。</w:t>
      </w:r>
    </w:p>
    <w:p>
      <w:pPr>
        <w:snapToGrid w:val="0"/>
        <w:spacing w:line="360" w:lineRule="auto"/>
        <w:ind w:firstLine="480" w:firstLineChars="200"/>
        <w:rPr>
          <w:rFonts w:hint="eastAsia" w:ascii="仿宋_GB2312" w:hAnsi="仿宋" w:eastAsia="仿宋_GB2312" w:cs="仿宋_GB2312"/>
          <w:b/>
          <w:color w:val="auto"/>
          <w:kern w:val="0"/>
          <w:sz w:val="24"/>
          <w:highlight w:val="none"/>
        </w:rPr>
      </w:pPr>
      <w:r>
        <w:rPr>
          <w:rFonts w:hint="eastAsia"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应包括以下内容（均需使用电子签名）：</w:t>
      </w:r>
      <w:r>
        <w:rPr>
          <w:rFonts w:hint="eastAsia" w:ascii="仿宋_GB2312" w:hAnsi="仿宋" w:eastAsia="仿宋_GB2312" w:cs="仿宋_GB2312"/>
          <w:color w:val="auto"/>
          <w:kern w:val="0"/>
          <w:sz w:val="24"/>
          <w:highlight w:val="none"/>
        </w:rPr>
        <w:t>证明其符合《中华人民共和国政府采购法》</w:t>
      </w:r>
      <w:r>
        <w:rPr>
          <w:rFonts w:hint="eastAsia" w:ascii="仿宋_GB2312" w:hAnsi="仿宋" w:eastAsia="仿宋_GB2312" w:cs="Arial"/>
          <w:color w:val="auto"/>
          <w:kern w:val="0"/>
          <w:sz w:val="24"/>
          <w:highlight w:val="none"/>
        </w:rPr>
        <w:t>规定的供应商基本条件和采购项目对供应商的特定条件</w:t>
      </w:r>
      <w:r>
        <w:rPr>
          <w:rFonts w:hint="eastAsia" w:ascii="仿宋_GB2312" w:hAnsi="仿宋" w:eastAsia="仿宋_GB2312" w:cs="仿宋_GB2312"/>
          <w:color w:val="auto"/>
          <w:sz w:val="24"/>
          <w:highlight w:val="none"/>
        </w:rPr>
        <w:t>（如果项目要求）</w:t>
      </w:r>
      <w:r>
        <w:rPr>
          <w:rFonts w:hint="eastAsia" w:ascii="仿宋_GB2312" w:hAnsi="仿宋" w:eastAsia="仿宋_GB2312" w:cs="仿宋_GB2312"/>
          <w:color w:val="auto"/>
          <w:kern w:val="0"/>
          <w:sz w:val="24"/>
          <w:highlight w:val="none"/>
        </w:rPr>
        <w:t>的有关资格证明文件。</w:t>
      </w:r>
      <w:r>
        <w:rPr>
          <w:rFonts w:hint="eastAsia" w:ascii="仿宋_GB2312" w:hAnsi="仿宋" w:eastAsia="仿宋_GB2312" w:cs="仿宋_GB2312"/>
          <w:b/>
          <w:color w:val="auto"/>
          <w:kern w:val="0"/>
          <w:sz w:val="24"/>
          <w:highlight w:val="none"/>
        </w:rPr>
        <w:t>（以联合体形式进行政府采购的，参加联合体的供应商均应当提供）</w:t>
      </w:r>
    </w:p>
    <w:p>
      <w:pPr>
        <w:pStyle w:val="33"/>
        <w:spacing w:line="360" w:lineRule="auto"/>
        <w:ind w:firstLine="480" w:firstLineChars="200"/>
        <w:rPr>
          <w:rFonts w:hint="eastAsia" w:ascii="仿宋_GB2312" w:hAnsi="仿宋" w:eastAsia="仿宋_GB2312"/>
          <w:color w:val="auto"/>
          <w:sz w:val="24"/>
          <w:highlight w:val="none"/>
        </w:rPr>
      </w:pPr>
      <w:bookmarkStart w:id="28" w:name="_Hlt68073093"/>
      <w:bookmarkEnd w:id="28"/>
      <w:bookmarkStart w:id="29" w:name="_Hlt68072998"/>
      <w:bookmarkEnd w:id="29"/>
      <w:bookmarkStart w:id="30" w:name="_Hlt68403820"/>
      <w:bookmarkEnd w:id="30"/>
      <w:r>
        <w:rPr>
          <w:rFonts w:hint="eastAsia" w:ascii="仿宋_GB2312" w:hAnsi="仿宋" w:eastAsia="仿宋_GB2312" w:cs="仿宋_GB2312"/>
          <w:color w:val="auto"/>
          <w:sz w:val="24"/>
          <w:highlight w:val="none"/>
        </w:rPr>
        <w:t>11.1.1</w:t>
      </w:r>
      <w:r>
        <w:rPr>
          <w:rFonts w:hint="eastAsia" w:ascii="仿宋_GB2312" w:hAnsi="仿宋" w:eastAsia="仿宋_GB2312"/>
          <w:color w:val="auto"/>
          <w:sz w:val="24"/>
          <w:highlight w:val="none"/>
        </w:rPr>
        <w:t>营业执照(或事业法人登记证或其他工商等登记证明材料)复印件（投标人为自然人的，提供</w:t>
      </w:r>
      <w:r>
        <w:rPr>
          <w:rFonts w:hint="eastAsia" w:ascii="仿宋_GB2312" w:hAnsi="Helvetica"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p>
    <w:p>
      <w:pPr>
        <w:pStyle w:val="33"/>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11.1.2</w:t>
      </w:r>
      <w:r>
        <w:rPr>
          <w:rFonts w:hint="eastAsia" w:ascii="仿宋_GB2312" w:hAnsi="仿宋" w:eastAsia="仿宋_GB2312"/>
          <w:color w:val="auto"/>
          <w:sz w:val="24"/>
          <w:highlight w:val="none"/>
        </w:rPr>
        <w:t>法人授权书（如法定代表人直接参加投标并对相应文件签字的，只需提供其身份证复印件正反面；如以联合体形式参加政府采购活动的，按招标文件有关格式范例提供联合体投标授权书）；▲</w:t>
      </w:r>
      <w:r>
        <w:rPr>
          <w:rFonts w:hint="eastAsia" w:ascii="仿宋_GB2312" w:hAnsi="仿宋" w:eastAsia="仿宋_GB2312" w:cs="仿宋_GB2312"/>
          <w:b/>
          <w:color w:val="auto"/>
          <w:sz w:val="24"/>
          <w:highlight w:val="none"/>
        </w:rPr>
        <w:t>投标文件中法人授权书所载内容与本项目内容有异的，投标无效</w:t>
      </w:r>
    </w:p>
    <w:p>
      <w:pPr>
        <w:snapToGrid w:val="0"/>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s="仿宋_GB2312"/>
          <w:color w:val="auto"/>
          <w:sz w:val="24"/>
          <w:highlight w:val="none"/>
        </w:rPr>
        <w:t>11.1.3</w:t>
      </w:r>
      <w:r>
        <w:rPr>
          <w:rFonts w:hint="eastAsia" w:ascii="仿宋_GB2312" w:hAnsi="仿宋" w:eastAsia="仿宋_GB2312"/>
          <w:color w:val="auto"/>
          <w:sz w:val="24"/>
          <w:highlight w:val="none"/>
        </w:rPr>
        <w:t>授权代表的身份证（复印件）；</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11.1.4符合参与政府采购活动的资格条件并且没有税收缴纳、社会保障等方面的失信记录的承诺函；</w:t>
      </w:r>
    </w:p>
    <w:p>
      <w:pPr>
        <w:pStyle w:val="33"/>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11.1.5具有履行合同所必需的设备和专业技术能力的承诺函；</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11.1.6参加政府采购活动前三年内，在经营活动中没有重大违法记录的声明；</w:t>
      </w:r>
    </w:p>
    <w:p>
      <w:pPr>
        <w:spacing w:line="360" w:lineRule="auto"/>
        <w:ind w:firstLine="480" w:firstLineChars="200"/>
        <w:rPr>
          <w:rFonts w:hint="eastAsia" w:ascii="仿宋_GB2312" w:hAnsi="仿宋" w:eastAsia="仿宋_GB2312" w:cs="仿宋_GB2312"/>
          <w:color w:val="auto"/>
          <w:sz w:val="24"/>
          <w:szCs w:val="20"/>
          <w:highlight w:val="none"/>
        </w:rPr>
      </w:pPr>
      <w:r>
        <w:rPr>
          <w:rFonts w:hint="eastAsia" w:ascii="仿宋_GB2312" w:hAnsi="仿宋" w:eastAsia="仿宋_GB2312" w:cs="仿宋_GB2312"/>
          <w:color w:val="auto"/>
          <w:sz w:val="24"/>
          <w:highlight w:val="none"/>
        </w:rPr>
        <w:t>11.1.7</w:t>
      </w:r>
      <w:r>
        <w:rPr>
          <w:rFonts w:hint="eastAsia" w:ascii="仿宋_GB2312" w:hAnsi="仿宋" w:eastAsia="仿宋_GB2312" w:cs="仿宋_GB2312"/>
          <w:color w:val="auto"/>
          <w:sz w:val="24"/>
          <w:szCs w:val="20"/>
          <w:highlight w:val="none"/>
        </w:rPr>
        <w:t xml:space="preserve">具有良好商业信誉的特别声明； </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11.1.8符合特定资格条件（如果项目要求）的有关证明材料（复印件）；</w:t>
      </w:r>
    </w:p>
    <w:p>
      <w:pPr>
        <w:snapToGrid w:val="0"/>
        <w:spacing w:line="360" w:lineRule="auto"/>
        <w:ind w:firstLine="480" w:firstLineChars="200"/>
        <w:rPr>
          <w:rFonts w:hint="eastAsia" w:ascii="仿宋" w:hAnsi="仿宋" w:eastAsia="仿宋" w:cs="仿宋_GB2312"/>
          <w:color w:val="auto"/>
          <w:sz w:val="24"/>
          <w:highlight w:val="none"/>
        </w:rPr>
      </w:pPr>
      <w:r>
        <w:rPr>
          <w:rFonts w:hint="eastAsia" w:ascii="仿宋_GB2312" w:hAnsi="仿宋" w:eastAsia="仿宋_GB2312" w:cs="仿宋_GB2312"/>
          <w:color w:val="auto"/>
          <w:sz w:val="24"/>
          <w:highlight w:val="none"/>
        </w:rPr>
        <w:t>11.1.9以联合体形式投标的，提供联合体协议。</w:t>
      </w:r>
    </w:p>
    <w:p>
      <w:pPr>
        <w:snapToGrid w:val="0"/>
        <w:spacing w:line="360" w:lineRule="auto"/>
        <w:ind w:firstLine="480" w:firstLineChars="200"/>
        <w:rPr>
          <w:rFonts w:hint="eastAsia" w:ascii="仿宋_GB2312" w:hAnsi="仿宋" w:eastAsia="仿宋_GB2312" w:cs="仿宋_GB2312"/>
          <w:color w:val="auto"/>
          <w:sz w:val="24"/>
          <w:highlight w:val="none"/>
          <w:u w:val="single"/>
          <w:lang w:val="zh-CN"/>
        </w:rPr>
      </w:pPr>
      <w:r>
        <w:rPr>
          <w:rFonts w:hint="eastAsia" w:ascii="仿宋_GB2312" w:hAnsi="仿宋" w:eastAsia="仿宋_GB2312" w:cs="仿宋_GB2312"/>
          <w:color w:val="auto"/>
          <w:kern w:val="0"/>
          <w:sz w:val="24"/>
          <w:highlight w:val="none"/>
          <w:lang w:val="zh-CN"/>
        </w:rPr>
        <w:t xml:space="preserve">11.2 </w:t>
      </w:r>
      <w:r>
        <w:rPr>
          <w:rFonts w:hint="eastAsia" w:ascii="仿宋_GB2312" w:hAnsi="仿宋" w:eastAsia="仿宋_GB2312" w:cs="仿宋_GB2312"/>
          <w:color w:val="auto"/>
          <w:sz w:val="24"/>
          <w:highlight w:val="none"/>
        </w:rPr>
        <w:t>投标人的</w:t>
      </w:r>
      <w:r>
        <w:rPr>
          <w:rFonts w:hint="eastAsia" w:ascii="仿宋_GB2312" w:hAnsi="仿宋" w:eastAsia="仿宋_GB2312" w:cs="仿宋_GB2312"/>
          <w:b/>
          <w:color w:val="auto"/>
          <w:sz w:val="24"/>
          <w:highlight w:val="none"/>
        </w:rPr>
        <w:t>报价文件</w:t>
      </w:r>
      <w:r>
        <w:rPr>
          <w:rFonts w:hint="eastAsia" w:ascii="仿宋_GB2312" w:hAnsi="仿宋" w:eastAsia="仿宋_GB2312" w:cs="仿宋_GB2312"/>
          <w:color w:val="auto"/>
          <w:sz w:val="24"/>
          <w:highlight w:val="none"/>
        </w:rPr>
        <w:t>应包括以下内容（均需使用电子签名）：</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11.2.1</w:t>
      </w:r>
      <w:r>
        <w:rPr>
          <w:rFonts w:hint="eastAsia" w:ascii="仿宋_GB2312" w:hAnsi="仿宋" w:eastAsia="仿宋_GB2312" w:cs="仿宋_GB2312"/>
          <w:color w:val="auto"/>
          <w:kern w:val="0"/>
          <w:sz w:val="24"/>
          <w:highlight w:val="none"/>
        </w:rPr>
        <w:t>投标响应函</w:t>
      </w:r>
      <w:r>
        <w:rPr>
          <w:rFonts w:hint="eastAsia" w:ascii="仿宋_GB2312" w:hAnsi="仿宋" w:eastAsia="仿宋_GB2312" w:cs="仿宋_GB2312"/>
          <w:color w:val="auto"/>
          <w:sz w:val="24"/>
          <w:highlight w:val="none"/>
        </w:rPr>
        <w:t>；</w:t>
      </w:r>
    </w:p>
    <w:p>
      <w:pPr>
        <w:pStyle w:val="33"/>
        <w:snapToGrid w:val="0"/>
        <w:spacing w:line="360" w:lineRule="auto"/>
        <w:ind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11.2.2投标(开标)一览表；</w:t>
      </w:r>
    </w:p>
    <w:p>
      <w:pPr>
        <w:pStyle w:val="33"/>
        <w:snapToGrid w:val="0"/>
        <w:spacing w:line="360" w:lineRule="auto"/>
        <w:ind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11.2.3中小企业声明函。</w:t>
      </w:r>
    </w:p>
    <w:p>
      <w:pPr>
        <w:pStyle w:val="33"/>
        <w:spacing w:line="360" w:lineRule="auto"/>
        <w:ind w:firstLine="480" w:firstLineChars="200"/>
        <w:rPr>
          <w:rFonts w:hint="eastAsia" w:ascii="仿宋_GB2312" w:hAnsi="仿宋" w:eastAsia="仿宋_GB2312" w:cs="仿宋_GB2312"/>
          <w:color w:val="auto"/>
          <w:sz w:val="24"/>
          <w:szCs w:val="24"/>
          <w:highlight w:val="none"/>
          <w:lang w:val="zh-CN"/>
        </w:rPr>
      </w:pPr>
      <w:r>
        <w:rPr>
          <w:rFonts w:hint="eastAsia" w:ascii="仿宋_GB2312" w:hAnsi="仿宋" w:eastAsia="仿宋_GB2312" w:cs="仿宋_GB2312"/>
          <w:color w:val="auto"/>
          <w:kern w:val="0"/>
          <w:sz w:val="24"/>
          <w:szCs w:val="24"/>
          <w:highlight w:val="none"/>
          <w:lang w:val="zh-CN"/>
        </w:rPr>
        <w:t>11.3  投标人的</w:t>
      </w:r>
      <w:r>
        <w:rPr>
          <w:rFonts w:hint="eastAsia" w:ascii="仿宋_GB2312" w:hAnsi="仿宋" w:eastAsia="仿宋_GB2312" w:cs="仿宋_GB2312"/>
          <w:b/>
          <w:color w:val="auto"/>
          <w:sz w:val="24"/>
          <w:szCs w:val="24"/>
          <w:highlight w:val="none"/>
        </w:rPr>
        <w:t>商务技术</w:t>
      </w:r>
      <w:r>
        <w:rPr>
          <w:rFonts w:hint="eastAsia" w:ascii="仿宋_GB2312" w:hAnsi="仿宋" w:eastAsia="仿宋_GB2312" w:cs="仿宋_GB2312"/>
          <w:b/>
          <w:color w:val="auto"/>
          <w:kern w:val="0"/>
          <w:sz w:val="24"/>
          <w:szCs w:val="24"/>
          <w:highlight w:val="none"/>
          <w:lang w:val="zh-CN"/>
        </w:rPr>
        <w:t>文件应</w:t>
      </w:r>
      <w:r>
        <w:rPr>
          <w:rFonts w:hint="eastAsia" w:ascii="仿宋_GB2312" w:hAnsi="仿宋" w:eastAsia="仿宋_GB2312" w:cs="仿宋_GB2312"/>
          <w:color w:val="auto"/>
          <w:kern w:val="0"/>
          <w:sz w:val="24"/>
          <w:szCs w:val="24"/>
          <w:highlight w:val="none"/>
          <w:lang w:val="zh-CN"/>
        </w:rPr>
        <w:t>包括以下内容</w:t>
      </w:r>
      <w:r>
        <w:rPr>
          <w:rFonts w:hint="eastAsia" w:ascii="仿宋_GB2312" w:hAnsi="仿宋" w:eastAsia="仿宋_GB2312" w:cs="仿宋_GB2312"/>
          <w:color w:val="auto"/>
          <w:sz w:val="24"/>
          <w:szCs w:val="24"/>
          <w:highlight w:val="none"/>
        </w:rPr>
        <w:t>（均需使用电子签名）</w:t>
      </w:r>
      <w:r>
        <w:rPr>
          <w:rFonts w:hint="eastAsia"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sz w:val="24"/>
          <w:szCs w:val="24"/>
          <w:highlight w:val="none"/>
          <w:lang w:val="zh-CN"/>
        </w:rPr>
        <w:t xml:space="preserve"> </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zh-CN"/>
        </w:rPr>
        <w:t>11.3.1</w:t>
      </w:r>
      <w:r>
        <w:rPr>
          <w:rFonts w:hint="eastAsia" w:ascii="仿宋_GB2312" w:hAnsi="仿宋" w:eastAsia="仿宋_GB2312"/>
          <w:color w:val="auto"/>
          <w:sz w:val="24"/>
          <w:highlight w:val="none"/>
        </w:rPr>
        <w:t>营业执照(或事业法人登记证或其他工商等登记证明材料)复印件（投标人为自然人的，须提供</w:t>
      </w:r>
      <w:r>
        <w:rPr>
          <w:rFonts w:hint="eastAsia" w:ascii="仿宋_GB2312" w:hAnsi="Helvetica"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w:t>
      </w:r>
    </w:p>
    <w:p>
      <w:pPr>
        <w:pStyle w:val="33"/>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s="仿宋_GB2312"/>
          <w:color w:val="auto"/>
          <w:sz w:val="24"/>
          <w:highlight w:val="none"/>
          <w:lang w:val="zh-CN"/>
        </w:rPr>
        <w:t>11.3.2</w:t>
      </w:r>
      <w:r>
        <w:rPr>
          <w:rFonts w:hint="eastAsia" w:ascii="仿宋_GB2312" w:hAnsi="仿宋" w:eastAsia="仿宋_GB2312"/>
          <w:color w:val="auto"/>
          <w:sz w:val="24"/>
          <w:highlight w:val="none"/>
        </w:rPr>
        <w:t>如以联合体形式参加政府采购活动的，</w:t>
      </w:r>
      <w:r>
        <w:rPr>
          <w:rFonts w:hint="eastAsia" w:ascii="仿宋_GB2312" w:hAnsi="仿宋" w:eastAsia="仿宋_GB2312" w:cs="Arial"/>
          <w:color w:val="auto"/>
          <w:sz w:val="24"/>
          <w:szCs w:val="24"/>
          <w:highlight w:val="none"/>
        </w:rPr>
        <w:t>联合体各方应当指定牵头人，授权其代表所有联合体成员负责投标和合同实施阶段的主办、协调工作，并应当向采购机构提交由所有联合体成员各方签署的授权书，同时</w:t>
      </w:r>
      <w:r>
        <w:rPr>
          <w:rFonts w:hint="eastAsia" w:ascii="仿宋_GB2312" w:hAnsi="仿宋" w:eastAsia="仿宋_GB2312"/>
          <w:color w:val="auto"/>
          <w:sz w:val="24"/>
          <w:highlight w:val="none"/>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仿宋_GB2312" w:hAnsi="仿宋" w:eastAsia="仿宋_GB2312"/>
          <w:b/>
          <w:color w:val="auto"/>
          <w:sz w:val="24"/>
          <w:highlight w:val="none"/>
        </w:rPr>
        <w:t>▲如以联合体形式参加政府采购活动的，联合体协议不符合招标文件规定的联合体协议要求的，投标无效。</w:t>
      </w:r>
      <w:r>
        <w:rPr>
          <w:rFonts w:hint="eastAsia" w:ascii="仿宋_GB2312" w:hAnsi="仿宋" w:eastAsia="仿宋_GB2312"/>
          <w:color w:val="auto"/>
          <w:sz w:val="24"/>
          <w:highlight w:val="none"/>
        </w:rPr>
        <w:t>）</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zh-CN"/>
        </w:rPr>
        <w:t>11.3.3</w:t>
      </w:r>
      <w:r>
        <w:rPr>
          <w:rFonts w:hint="eastAsia" w:ascii="仿宋_GB2312" w:hAnsi="仿宋" w:eastAsia="仿宋_GB2312" w:cs="仿宋_GB2312"/>
          <w:color w:val="auto"/>
          <w:sz w:val="24"/>
          <w:highlight w:val="none"/>
        </w:rPr>
        <w:t>资信文件：</w:t>
      </w:r>
      <w:r>
        <w:rPr>
          <w:rFonts w:hint="eastAsia" w:ascii="仿宋_GB2312" w:hAnsi="仿宋" w:eastAsia="仿宋_GB2312" w:cs="仿宋_GB2312"/>
          <w:color w:val="auto"/>
          <w:kern w:val="0"/>
          <w:sz w:val="24"/>
          <w:szCs w:val="20"/>
          <w:highlight w:val="none"/>
        </w:rPr>
        <w:t>见投标须知前附表所述；</w:t>
      </w:r>
    </w:p>
    <w:p>
      <w:pPr>
        <w:pStyle w:val="414"/>
        <w:snapToGrid w:val="0"/>
        <w:spacing w:before="0"/>
        <w:ind w:firstLine="480"/>
        <w:rPr>
          <w:rFonts w:hint="eastAsia" w:ascii="仿宋_GB2312" w:hAnsi="仿宋" w:eastAsia="仿宋_GB2312"/>
          <w:color w:val="auto"/>
          <w:kern w:val="0"/>
          <w:highlight w:val="none"/>
          <w:lang w:val="zh-CN"/>
        </w:rPr>
      </w:pPr>
      <w:r>
        <w:rPr>
          <w:rFonts w:hint="eastAsia" w:ascii="仿宋_GB2312" w:hAnsi="仿宋" w:eastAsia="仿宋_GB2312" w:cs="仿宋_GB2312"/>
          <w:color w:val="auto"/>
          <w:highlight w:val="none"/>
          <w:lang w:val="zh-CN"/>
        </w:rPr>
        <w:t>11.3.4</w:t>
      </w:r>
      <w:r>
        <w:rPr>
          <w:rFonts w:hint="eastAsia" w:ascii="仿宋_GB2312" w:hAnsi="仿宋" w:eastAsia="仿宋_GB2312" w:cs="宋体"/>
          <w:color w:val="auto"/>
          <w:kern w:val="0"/>
          <w:highlight w:val="none"/>
        </w:rPr>
        <w:t>投标截止时间前三年投标人的主要业绩证明材料即</w:t>
      </w:r>
      <w:r>
        <w:rPr>
          <w:rFonts w:hint="eastAsia" w:ascii="仿宋_GB2312" w:hAnsi="仿宋" w:eastAsia="仿宋_GB2312"/>
          <w:color w:val="auto"/>
          <w:highlight w:val="none"/>
          <w:lang w:val="zh-CN"/>
        </w:rPr>
        <w:t>合同</w:t>
      </w:r>
      <w:r>
        <w:rPr>
          <w:rFonts w:hint="eastAsia" w:ascii="仿宋_GB2312" w:hAnsi="仿宋" w:eastAsia="仿宋_GB2312"/>
          <w:color w:val="auto"/>
          <w:highlight w:val="none"/>
        </w:rPr>
        <w:t>和用户验收报告</w:t>
      </w:r>
      <w:r>
        <w:rPr>
          <w:rFonts w:hint="eastAsia" w:ascii="仿宋_GB2312" w:hAnsi="仿宋" w:eastAsia="仿宋_GB2312"/>
          <w:color w:val="auto"/>
          <w:szCs w:val="24"/>
          <w:highlight w:val="none"/>
        </w:rPr>
        <w:t>（</w:t>
      </w:r>
      <w:r>
        <w:rPr>
          <w:rFonts w:hint="eastAsia" w:ascii="仿宋_GB2312" w:hAnsi="仿宋" w:eastAsia="仿宋_GB2312" w:cs="Arial"/>
          <w:color w:val="auto"/>
          <w:highlight w:val="none"/>
        </w:rPr>
        <w:t>联合体投标的，联合体各方</w:t>
      </w:r>
      <w:r>
        <w:rPr>
          <w:rFonts w:hint="eastAsia" w:ascii="仿宋_GB2312" w:hAnsi="仿宋" w:eastAsia="仿宋_GB2312" w:cs="Helvetica"/>
          <w:color w:val="auto"/>
          <w:kern w:val="0"/>
          <w:highlight w:val="none"/>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_GB2312" w:hAnsi="仿宋" w:eastAsia="仿宋_GB2312"/>
          <w:color w:val="auto"/>
          <w:szCs w:val="24"/>
          <w:highlight w:val="none"/>
        </w:rPr>
        <w:t>)</w:t>
      </w:r>
      <w:r>
        <w:rPr>
          <w:rFonts w:hint="eastAsia" w:ascii="仿宋_GB2312" w:hAnsi="仿宋" w:eastAsia="仿宋_GB2312" w:cs="宋体"/>
          <w:color w:val="auto"/>
          <w:kern w:val="0"/>
          <w:highlight w:val="none"/>
        </w:rPr>
        <w:t>；</w:t>
      </w:r>
    </w:p>
    <w:p>
      <w:pPr>
        <w:snapToGrid w:val="0"/>
        <w:spacing w:line="360" w:lineRule="auto"/>
        <w:ind w:firstLine="540" w:firstLineChars="225"/>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zh-CN"/>
        </w:rPr>
        <w:t>11.3.5</w:t>
      </w:r>
      <w:r>
        <w:rPr>
          <w:rFonts w:hint="eastAsia" w:ascii="仿宋_GB2312" w:hAnsi="仿宋" w:eastAsia="仿宋_GB2312" w:cs="仿宋_GB2312"/>
          <w:color w:val="auto"/>
          <w:kern w:val="0"/>
          <w:sz w:val="24"/>
          <w:highlight w:val="none"/>
          <w:lang w:val="zh-CN"/>
        </w:rPr>
        <w:t>投标人认为需要的其他商务文件或说明；</w:t>
      </w:r>
      <w:r>
        <w:rPr>
          <w:rFonts w:hint="eastAsia" w:ascii="仿宋_GB2312" w:hAnsi="仿宋" w:eastAsia="仿宋_GB2312" w:cs="仿宋_GB2312"/>
          <w:color w:val="auto"/>
          <w:sz w:val="24"/>
          <w:highlight w:val="none"/>
        </w:rPr>
        <w:t xml:space="preserve"> </w:t>
      </w:r>
    </w:p>
    <w:p>
      <w:pPr>
        <w:pStyle w:val="33"/>
        <w:snapToGrid w:val="0"/>
        <w:spacing w:line="360" w:lineRule="auto"/>
        <w:ind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11.3.6投标人应提供针对项目的完整技术解决方案；</w:t>
      </w:r>
    </w:p>
    <w:p>
      <w:pPr>
        <w:snapToGrid w:val="0"/>
        <w:spacing w:line="360" w:lineRule="auto"/>
        <w:ind w:firstLine="480" w:firstLineChars="2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针对本项目的完整技术解决方案和实施方案；详细阐述项目方案的实现思路及关键技术；符合本项目对当前和未来发展的要求；以及对功能设计和实施计划的建议；</w:t>
      </w:r>
    </w:p>
    <w:p>
      <w:pPr>
        <w:pStyle w:val="33"/>
        <w:snapToGrid w:val="0"/>
        <w:spacing w:line="360" w:lineRule="auto"/>
        <w:ind w:firstLine="482"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w:t>
      </w:r>
      <w:r>
        <w:rPr>
          <w:rFonts w:hint="eastAsia" w:ascii="仿宋_GB2312" w:hAnsi="仿宋" w:eastAsia="仿宋_GB2312" w:cs="仿宋_GB2312"/>
          <w:b/>
          <w:color w:val="auto"/>
          <w:kern w:val="0"/>
          <w:sz w:val="24"/>
          <w:highlight w:val="none"/>
          <w:lang w:val="zh-CN"/>
        </w:rPr>
        <w:t>任何含糊不清的</w:t>
      </w:r>
      <w:r>
        <w:rPr>
          <w:rFonts w:hint="eastAsia" w:ascii="仿宋_GB2312" w:hAnsi="仿宋" w:eastAsia="仿宋_GB2312" w:cs="仿宋_GB2312"/>
          <w:b/>
          <w:color w:val="auto"/>
          <w:sz w:val="24"/>
          <w:highlight w:val="none"/>
        </w:rPr>
        <w:t>表述导致</w:t>
      </w:r>
      <w:r>
        <w:rPr>
          <w:rFonts w:hint="eastAsia" w:ascii="仿宋_GB2312" w:hAnsi="仿宋" w:eastAsia="仿宋_GB2312" w:cs="仿宋_GB2312"/>
          <w:b/>
          <w:color w:val="auto"/>
          <w:kern w:val="0"/>
          <w:sz w:val="24"/>
          <w:highlight w:val="none"/>
          <w:lang w:val="zh-CN"/>
        </w:rPr>
        <w:t>评标委员会技术扣分直至认定为投标无效都将是投标人的责任</w:t>
      </w:r>
      <w:r>
        <w:rPr>
          <w:rFonts w:hint="eastAsia" w:ascii="仿宋_GB2312" w:hAnsi="仿宋" w:eastAsia="仿宋_GB2312" w:cs="仿宋_GB2312"/>
          <w:color w:val="auto"/>
          <w:sz w:val="24"/>
          <w:highlight w:val="none"/>
        </w:rPr>
        <w:t>。</w:t>
      </w:r>
    </w:p>
    <w:p>
      <w:pPr>
        <w:pStyle w:val="33"/>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本项目如需采购政府强制采购的节能产品的或</w:t>
      </w:r>
      <w:r>
        <w:rPr>
          <w:rFonts w:hint="eastAsia" w:ascii="仿宋_GB2312" w:hAnsi="仿宋" w:eastAsia="仿宋_GB2312"/>
          <w:color w:val="auto"/>
          <w:sz w:val="24"/>
          <w:highlight w:val="none"/>
        </w:rPr>
        <w:t>投标人提供的产品是环境标志产品，</w:t>
      </w:r>
      <w:r>
        <w:rPr>
          <w:rFonts w:hint="eastAsia" w:ascii="仿宋_GB2312" w:hAnsi="仿宋" w:eastAsia="仿宋_GB2312" w:cs="仿宋_GB2312"/>
          <w:color w:val="auto"/>
          <w:sz w:val="24"/>
          <w:highlight w:val="none"/>
        </w:rPr>
        <w:t>投标人按格式提供节能产品、环境标志产品认证证书复印件；</w:t>
      </w:r>
    </w:p>
    <w:p>
      <w:pPr>
        <w:pStyle w:val="33"/>
        <w:snapToGrid w:val="0"/>
        <w:spacing w:line="360" w:lineRule="auto"/>
        <w:ind w:firstLine="480" w:firstLineChars="2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11.3.7</w:t>
      </w:r>
      <w:r>
        <w:rPr>
          <w:rFonts w:hint="eastAsia" w:ascii="仿宋_GB2312" w:hAnsi="仿宋" w:eastAsia="仿宋_GB2312" w:cs="仿宋_GB2312"/>
          <w:color w:val="auto"/>
          <w:sz w:val="24"/>
          <w:highlight w:val="none"/>
        </w:rPr>
        <w:t>投标人在投标文件技术偏离说明表中，</w:t>
      </w:r>
      <w:r>
        <w:rPr>
          <w:rFonts w:hint="eastAsia" w:ascii="仿宋_GB2312" w:hAnsi="仿宋" w:eastAsia="仿宋_GB2312" w:cs="仿宋_GB2312"/>
          <w:color w:val="auto"/>
          <w:kern w:val="0"/>
          <w:sz w:val="24"/>
          <w:highlight w:val="none"/>
          <w:lang w:val="zh-CN"/>
        </w:rPr>
        <w:t>应对</w:t>
      </w:r>
      <w:r>
        <w:rPr>
          <w:rFonts w:hint="eastAsia" w:ascii="仿宋_GB2312" w:hAnsi="仿宋" w:eastAsia="仿宋_GB2312" w:cs="仿宋_GB2312"/>
          <w:color w:val="auto"/>
          <w:sz w:val="24"/>
          <w:highlight w:val="none"/>
        </w:rPr>
        <w:t>采购需求</w:t>
      </w:r>
      <w:r>
        <w:rPr>
          <w:rFonts w:hint="eastAsia" w:ascii="仿宋_GB2312" w:hAnsi="仿宋" w:eastAsia="仿宋_GB2312" w:cs="仿宋_GB2312"/>
          <w:color w:val="auto"/>
          <w:kern w:val="0"/>
          <w:sz w:val="24"/>
          <w:highlight w:val="none"/>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招标文件确定的事项签订政府采购合同的情形，依照政府采购法第七十七条第一款的规定将被追究法律责任；</w:t>
      </w:r>
    </w:p>
    <w:p>
      <w:pPr>
        <w:snapToGrid w:val="0"/>
        <w:spacing w:line="360" w:lineRule="auto"/>
        <w:ind w:firstLine="360" w:firstLineChars="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11.3.8</w:t>
      </w:r>
      <w:r>
        <w:rPr>
          <w:rFonts w:hint="eastAsia" w:ascii="仿宋_GB2312" w:hAnsi="仿宋" w:eastAsia="仿宋_GB2312" w:cs="仿宋_GB2312"/>
          <w:color w:val="auto"/>
          <w:kern w:val="0"/>
          <w:sz w:val="24"/>
          <w:highlight w:val="none"/>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360" w:firstLineChars="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11.3.9</w:t>
      </w:r>
      <w:r>
        <w:rPr>
          <w:rFonts w:hint="eastAsia" w:ascii="仿宋_GB2312" w:hAnsi="仿宋" w:eastAsia="仿宋_GB2312" w:cs="仿宋_GB2312"/>
          <w:color w:val="auto"/>
          <w:kern w:val="0"/>
          <w:sz w:val="24"/>
          <w:highlight w:val="none"/>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360" w:lineRule="auto"/>
        <w:ind w:firstLine="360" w:firstLineChars="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11.3.10</w:t>
      </w:r>
      <w:r>
        <w:rPr>
          <w:rFonts w:hint="eastAsia" w:ascii="仿宋_GB2312" w:hAnsi="仿宋" w:eastAsia="仿宋_GB2312" w:cs="仿宋_GB2312"/>
          <w:color w:val="auto"/>
          <w:kern w:val="0"/>
          <w:sz w:val="24"/>
          <w:highlight w:val="none"/>
          <w:lang w:val="zh-CN"/>
        </w:rPr>
        <w:t>投标人为完成本项目组建的工作小组名单，每个专业人员的情况和人员数应该明确表示，明确各阶段投入人数，在提交的投标文件中安排的人员，须为公司的固定职员；每个参加项目人员的履历表主要内容包括学历、技术职称、工作特长、经验与业绩(包括从事相关项目的经验，对每一个项目有一个简要的描述，该人员参与的时间以及在项目中的责任)，资质情况等；</w:t>
      </w:r>
    </w:p>
    <w:p>
      <w:pPr>
        <w:tabs>
          <w:tab w:val="left" w:pos="0"/>
          <w:tab w:val="left" w:pos="840"/>
        </w:tabs>
        <w:autoSpaceDE w:val="0"/>
        <w:autoSpaceDN w:val="0"/>
        <w:spacing w:line="360" w:lineRule="auto"/>
        <w:ind w:firstLine="360" w:firstLineChars="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11.3.11</w:t>
      </w:r>
      <w:r>
        <w:rPr>
          <w:rFonts w:hint="eastAsia" w:ascii="仿宋_GB2312" w:hAnsi="仿宋" w:eastAsia="仿宋_GB2312" w:cs="仿宋_GB2312"/>
          <w:color w:val="auto"/>
          <w:kern w:val="0"/>
          <w:sz w:val="24"/>
          <w:highlight w:val="none"/>
          <w:lang w:val="zh-CN"/>
        </w:rPr>
        <w:t>优惠条件及特殊承诺；</w:t>
      </w:r>
    </w:p>
    <w:p>
      <w:pPr>
        <w:tabs>
          <w:tab w:val="left" w:pos="0"/>
          <w:tab w:val="left" w:pos="840"/>
        </w:tabs>
        <w:autoSpaceDE w:val="0"/>
        <w:autoSpaceDN w:val="0"/>
        <w:spacing w:line="360" w:lineRule="auto"/>
        <w:ind w:firstLine="360" w:firstLineChars="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11.3.12</w:t>
      </w:r>
      <w:r>
        <w:rPr>
          <w:rFonts w:hint="eastAsia" w:ascii="仿宋_GB2312" w:hAnsi="仿宋" w:eastAsia="仿宋_GB2312" w:cs="仿宋_GB2312"/>
          <w:color w:val="auto"/>
          <w:kern w:val="0"/>
          <w:sz w:val="24"/>
          <w:highlight w:val="none"/>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360" w:firstLineChars="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11.3.13</w:t>
      </w:r>
      <w:r>
        <w:rPr>
          <w:rFonts w:hint="eastAsia" w:ascii="仿宋_GB2312" w:hAnsi="仿宋" w:eastAsia="仿宋_GB2312" w:cs="仿宋_GB2312"/>
          <w:color w:val="auto"/>
          <w:kern w:val="0"/>
          <w:sz w:val="24"/>
          <w:highlight w:val="none"/>
          <w:lang w:val="zh-CN"/>
        </w:rPr>
        <w:t>培训计划；（如果有）</w:t>
      </w:r>
    </w:p>
    <w:p>
      <w:pPr>
        <w:pStyle w:val="33"/>
        <w:spacing w:line="360" w:lineRule="auto"/>
        <w:ind w:firstLine="360" w:firstLineChars="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sz w:val="24"/>
          <w:highlight w:val="none"/>
          <w:lang w:val="zh-CN"/>
        </w:rPr>
        <w:t>11.3.14</w:t>
      </w:r>
      <w:r>
        <w:rPr>
          <w:rFonts w:hint="eastAsia" w:ascii="仿宋_GB2312" w:hAnsi="仿宋" w:eastAsia="仿宋_GB2312" w:cs="仿宋_GB2312"/>
          <w:color w:val="auto"/>
          <w:kern w:val="0"/>
          <w:sz w:val="24"/>
          <w:szCs w:val="24"/>
          <w:highlight w:val="none"/>
          <w:lang w:val="zh-CN"/>
        </w:rPr>
        <w:t>投标人认为需要的其他技术文件或说明；</w:t>
      </w:r>
    </w:p>
    <w:p>
      <w:pPr>
        <w:tabs>
          <w:tab w:val="left" w:pos="0"/>
        </w:tabs>
        <w:autoSpaceDE w:val="0"/>
        <w:autoSpaceDN w:val="0"/>
        <w:spacing w:line="360" w:lineRule="auto"/>
        <w:ind w:firstLine="360" w:firstLineChars="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val="zh-CN"/>
        </w:rPr>
        <w:t>11.3.15</w:t>
      </w:r>
      <w:r>
        <w:rPr>
          <w:rFonts w:hint="eastAsia" w:ascii="仿宋_GB2312" w:hAnsi="仿宋" w:eastAsia="仿宋_GB2312" w:cs="仿宋_GB2312"/>
          <w:color w:val="auto"/>
          <w:kern w:val="0"/>
          <w:sz w:val="24"/>
          <w:highlight w:val="none"/>
          <w:lang w:val="zh-CN"/>
        </w:rPr>
        <w:t>关于对招标文件商务、合同中有关条款的拒绝声明；（如果有）</w:t>
      </w:r>
    </w:p>
    <w:p>
      <w:pPr>
        <w:tabs>
          <w:tab w:val="left" w:pos="0"/>
        </w:tabs>
        <w:autoSpaceDE w:val="0"/>
        <w:autoSpaceDN w:val="0"/>
        <w:spacing w:line="360" w:lineRule="auto"/>
        <w:ind w:firstLine="360" w:firstLineChars="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11.3.16政府采购供应商廉洁自律承诺书；</w:t>
      </w:r>
    </w:p>
    <w:p>
      <w:pPr>
        <w:tabs>
          <w:tab w:val="left" w:pos="0"/>
        </w:tabs>
        <w:autoSpaceDE w:val="0"/>
        <w:autoSpaceDN w:val="0"/>
        <w:spacing w:line="360" w:lineRule="auto"/>
        <w:ind w:firstLine="360" w:firstLineChars="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11.3.17廉政承诺书。</w:t>
      </w:r>
    </w:p>
    <w:p>
      <w:pPr>
        <w:spacing w:line="360" w:lineRule="auto"/>
        <w:ind w:firstLine="482" w:firstLineChars="200"/>
        <w:rPr>
          <w:rFonts w:hint="eastAsia" w:ascii="仿宋_GB2312" w:hAnsi="仿宋" w:eastAsia="仿宋_GB2312" w:cs="仿宋_GB2312"/>
          <w:b/>
          <w:color w:val="auto"/>
          <w:sz w:val="24"/>
          <w:highlight w:val="none"/>
        </w:rPr>
      </w:pPr>
      <w:r>
        <w:rPr>
          <w:rFonts w:hint="eastAsia" w:ascii="仿宋_GB2312" w:hAnsi="仿宋" w:eastAsia="仿宋_GB2312"/>
          <w:b/>
          <w:color w:val="auto"/>
          <w:sz w:val="24"/>
          <w:highlight w:val="none"/>
        </w:rPr>
        <w:t>▲</w:t>
      </w:r>
      <w:r>
        <w:rPr>
          <w:rFonts w:hint="eastAsia" w:ascii="仿宋_GB2312" w:hAnsi="仿宋" w:eastAsia="仿宋_GB2312" w:cs="仿宋_GB2312"/>
          <w:b/>
          <w:color w:val="auto"/>
          <w:sz w:val="24"/>
          <w:highlight w:val="none"/>
        </w:rPr>
        <w:t>投标文件组成漏项，内容不全或内容字迹模糊辨认不清的，投标无效；</w:t>
      </w:r>
    </w:p>
    <w:p>
      <w:pPr>
        <w:spacing w:line="360" w:lineRule="auto"/>
        <w:ind w:firstLine="482" w:firstLineChars="200"/>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482" w:firstLineChars="200"/>
        <w:rPr>
          <w:rFonts w:hint="eastAsia"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414"/>
        <w:snapToGrid w:val="0"/>
        <w:spacing w:before="0"/>
        <w:ind w:firstLine="0" w:firstLineChars="0"/>
        <w:outlineLvl w:val="0"/>
        <w:rPr>
          <w:rFonts w:hint="eastAsia" w:ascii="仿宋_GB2312" w:hAnsi="仿宋" w:eastAsia="仿宋_GB2312" w:cs="仿宋_GB2312"/>
          <w:b/>
          <w:color w:val="auto"/>
          <w:szCs w:val="24"/>
          <w:highlight w:val="none"/>
        </w:rPr>
      </w:pPr>
      <w:bookmarkStart w:id="31" w:name="_Toc91899887"/>
      <w:r>
        <w:rPr>
          <w:rFonts w:hint="eastAsia" w:ascii="仿宋_GB2312" w:hAnsi="仿宋" w:eastAsia="仿宋_GB2312" w:cs="仿宋_GB2312"/>
          <w:b/>
          <w:color w:val="auto"/>
          <w:szCs w:val="24"/>
          <w:highlight w:val="none"/>
        </w:rPr>
        <w:t>12</w:t>
      </w:r>
      <w:r>
        <w:rPr>
          <w:rFonts w:hint="eastAsia"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hint="eastAsia" w:ascii="仿宋_GB2312" w:hAnsi="仿宋" w:eastAsia="仿宋_GB2312" w:cs="仿宋_GB2312"/>
          <w:b/>
          <w:color w:val="auto"/>
          <w:sz w:val="24"/>
          <w:highlight w:val="none"/>
        </w:rPr>
      </w:pPr>
      <w:r>
        <w:rPr>
          <w:rFonts w:hint="eastAsia"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仿宋_GB2312" w:hAnsi="仿宋" w:eastAsia="仿宋_GB2312"/>
          <w:b/>
          <w:color w:val="auto"/>
          <w:sz w:val="24"/>
          <w:highlight w:val="none"/>
        </w:rPr>
        <w:t>▲</w:t>
      </w:r>
      <w:r>
        <w:rPr>
          <w:rFonts w:hint="eastAsia" w:ascii="仿宋_GB2312" w:hAnsi="仿宋" w:eastAsia="仿宋_GB2312" w:cs="仿宋_GB2312"/>
          <w:b/>
          <w:color w:val="auto"/>
          <w:sz w:val="24"/>
          <w:highlight w:val="none"/>
        </w:rPr>
        <w:t>投标文件未按规定的格式编制的，投标无效；</w:t>
      </w:r>
    </w:p>
    <w:p>
      <w:pPr>
        <w:spacing w:line="360" w:lineRule="auto"/>
        <w:ind w:firstLine="480" w:firstLineChars="2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12.3使用“政采云电子交易客户端”需要提前申领CA数字证书，申领流程请自行前往“浙江政府采购网-下载专区-电子交易客户端-CA驱动和申领流程”进行查阅。</w:t>
      </w:r>
    </w:p>
    <w:bookmarkEnd w:id="31"/>
    <w:p>
      <w:pPr>
        <w:snapToGrid w:val="0"/>
        <w:spacing w:line="360" w:lineRule="auto"/>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13.投标文件的签署、盖章</w:t>
      </w:r>
    </w:p>
    <w:p>
      <w:pPr>
        <w:pStyle w:val="414"/>
        <w:snapToGrid w:val="0"/>
        <w:spacing w:before="0"/>
        <w:ind w:firstLine="480"/>
        <w:rPr>
          <w:rFonts w:hint="eastAsia" w:ascii="仿宋_GB2312" w:hAnsi="仿宋" w:eastAsia="仿宋_GB2312" w:cs="仿宋_GB2312"/>
          <w:b/>
          <w:color w:val="auto"/>
          <w:highlight w:val="none"/>
        </w:rPr>
      </w:pPr>
      <w:r>
        <w:rPr>
          <w:rFonts w:hint="eastAsia"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414"/>
        <w:snapToGrid w:val="0"/>
        <w:spacing w:before="0"/>
        <w:ind w:firstLine="482"/>
        <w:rPr>
          <w:rFonts w:hint="eastAsia" w:ascii="仿宋_GB2312" w:hAnsi="仿宋" w:eastAsia="仿宋_GB2312" w:cs="仿宋_GB2312"/>
          <w:color w:val="auto"/>
          <w:szCs w:val="24"/>
          <w:highlight w:val="none"/>
        </w:rPr>
      </w:pPr>
      <w:r>
        <w:rPr>
          <w:rFonts w:hint="eastAsia" w:ascii="仿宋_GB2312" w:hAnsi="仿宋" w:eastAsia="仿宋_GB2312" w:cs="仿宋_GB2312"/>
          <w:b/>
          <w:color w:val="auto"/>
          <w:highlight w:val="none"/>
        </w:rPr>
        <w:t>13.2</w:t>
      </w:r>
      <w:r>
        <w:rPr>
          <w:rFonts w:hint="eastAsia" w:ascii="仿宋_GB2312" w:hAnsi="仿宋" w:eastAsia="仿宋_GB2312" w:cs="仿宋_GB2312"/>
          <w:color w:val="auto"/>
          <w:highlight w:val="none"/>
        </w:rPr>
        <w:t>为确保网上操作合法、有效和安全，投标人应当在投标截止时间前完成在“政府采购云平台”的身份认证，确保在电子投标过程中能够对相关数据电文进行加密和使用电子签名。</w:t>
      </w:r>
    </w:p>
    <w:p>
      <w:pPr>
        <w:pStyle w:val="414"/>
        <w:spacing w:before="0"/>
        <w:ind w:firstLine="0" w:firstLineChars="0"/>
        <w:rPr>
          <w:rFonts w:hint="eastAsia" w:ascii="仿宋_GB2312" w:hAnsi="仿宋" w:eastAsia="仿宋_GB2312" w:cs="仿宋_GB2312"/>
          <w:b/>
          <w:color w:val="auto"/>
          <w:szCs w:val="24"/>
          <w:highlight w:val="none"/>
        </w:rPr>
      </w:pPr>
      <w:r>
        <w:rPr>
          <w:rFonts w:hint="eastAsia" w:ascii="仿宋_GB2312" w:hAnsi="仿宋" w:eastAsia="仿宋_GB2312" w:cs="仿宋_GB2312"/>
          <w:b/>
          <w:color w:val="auto"/>
          <w:szCs w:val="24"/>
          <w:highlight w:val="none"/>
        </w:rPr>
        <w:t>14. 投标文件的提交、补充、修改、撤回</w:t>
      </w:r>
    </w:p>
    <w:p>
      <w:pPr>
        <w:pStyle w:val="414"/>
        <w:ind w:firstLine="480"/>
        <w:rPr>
          <w:rFonts w:hint="eastAsia"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414"/>
        <w:spacing w:before="0"/>
        <w:ind w:firstLine="600" w:firstLineChars="250"/>
        <w:rPr>
          <w:rFonts w:hint="eastAsia"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414"/>
        <w:spacing w:before="0"/>
        <w:ind w:firstLine="480"/>
        <w:rPr>
          <w:rFonts w:hint="eastAsia"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rPr>
        <w:t>14.3采购机构可以视情况延长投标文件提交的截止时间。在上述情况下，采购机构与投标人以前在投标截止期方面的全部权利、责任和义务，将适用于延长至新的投标截止期。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15.备份投标文件</w:t>
      </w:r>
    </w:p>
    <w:p>
      <w:pPr>
        <w:pStyle w:val="33"/>
        <w:spacing w:line="360" w:lineRule="auto"/>
        <w:ind w:firstLine="360" w:firstLineChars="150"/>
        <w:rPr>
          <w:rFonts w:hint="eastAsia" w:ascii="仿宋_GB2312" w:hAnsi="仿宋" w:eastAsia="仿宋_GB2312" w:cs="仿宋_GB2312"/>
          <w:b/>
          <w:color w:val="auto"/>
          <w:sz w:val="24"/>
          <w:szCs w:val="24"/>
          <w:highlight w:val="none"/>
        </w:rPr>
      </w:pPr>
      <w:r>
        <w:rPr>
          <w:rFonts w:hint="eastAsia"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3"/>
        <w:spacing w:line="360" w:lineRule="auto"/>
        <w:ind w:firstLine="360" w:firstLineChars="150"/>
        <w:rPr>
          <w:rFonts w:hint="eastAsia" w:ascii="仿宋_GB2312" w:hAnsi="仿宋" w:eastAsia="仿宋_GB2312" w:cs="仿宋_GB2312"/>
          <w:b/>
          <w:color w:val="auto"/>
          <w:sz w:val="24"/>
          <w:szCs w:val="24"/>
          <w:highlight w:val="none"/>
        </w:rPr>
      </w:pPr>
      <w:r>
        <w:rPr>
          <w:rFonts w:hint="eastAsia" w:ascii="仿宋_GB2312" w:hAnsi="仿宋" w:eastAsia="仿宋_GB2312" w:cs="仿宋_GB2312"/>
          <w:color w:val="auto"/>
          <w:sz w:val="24"/>
          <w:szCs w:val="24"/>
          <w:highlight w:val="none"/>
        </w:rPr>
        <w:t>15.2备份投标文件须在“政采云投标客户端”制作生成，并储存在</w:t>
      </w:r>
      <w:r>
        <w:rPr>
          <w:rFonts w:hint="eastAsia"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3"/>
        <w:spacing w:line="360" w:lineRule="auto"/>
        <w:ind w:firstLine="360" w:firstLineChars="15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360" w:firstLineChars="15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杭州市之江路925号临江金座2号楼1010室（杭州市公共资源交易中心政府采购处）；送达时间以签收人签收时间为准（签收人：徐莉， 联系电话：0571-87008103）。采购机构将拒绝接受逾期送达的备份投标文件。邮寄过程中，电子备份投标文件发生泄露、遗失、损坏或延期送达等情况的，由投标人自行负责。</w:t>
      </w:r>
    </w:p>
    <w:p>
      <w:pPr>
        <w:pStyle w:val="33"/>
        <w:spacing w:line="360" w:lineRule="auto"/>
        <w:ind w:firstLine="361" w:firstLineChars="150"/>
        <w:rPr>
          <w:rFonts w:hint="eastAsia" w:ascii="仿宋_GB2312" w:hAnsi="仿宋" w:eastAsia="仿宋_GB2312" w:cs="仿宋_GB2312"/>
          <w:b/>
          <w:color w:val="auto"/>
          <w:sz w:val="24"/>
          <w:szCs w:val="24"/>
          <w:highlight w:val="none"/>
        </w:rPr>
      </w:pPr>
      <w:r>
        <w:rPr>
          <w:rFonts w:hint="eastAsia" w:ascii="仿宋_GB2312" w:hAnsi="仿宋" w:eastAsia="仿宋_GB2312" w:cs="仿宋_GB2312"/>
          <w:b/>
          <w:color w:val="auto"/>
          <w:sz w:val="24"/>
          <w:szCs w:val="24"/>
          <w:highlight w:val="none"/>
        </w:rPr>
        <w:t>15.5投标人仅提交备份投标文件，没有在电子交易平台传输递交投标文件的，投标无效。</w:t>
      </w:r>
    </w:p>
    <w:bookmarkEnd w:id="26"/>
    <w:bookmarkEnd w:id="27"/>
    <w:p>
      <w:pPr>
        <w:pStyle w:val="414"/>
        <w:spacing w:before="0"/>
        <w:ind w:firstLine="0" w:firstLineChars="0"/>
        <w:rPr>
          <w:rFonts w:hint="eastAsia" w:ascii="仿宋_GB2312" w:hAnsi="仿宋" w:eastAsia="仿宋_GB2312" w:cs="仿宋_GB2312"/>
          <w:b/>
          <w:color w:val="auto"/>
          <w:szCs w:val="24"/>
          <w:highlight w:val="none"/>
        </w:rPr>
      </w:pPr>
      <w:r>
        <w:rPr>
          <w:rFonts w:hint="eastAsia" w:ascii="仿宋_GB2312" w:hAnsi="仿宋" w:eastAsia="仿宋_GB2312" w:cs="仿宋_GB2312"/>
          <w:b/>
          <w:color w:val="auto"/>
          <w:szCs w:val="24"/>
          <w:highlight w:val="none"/>
        </w:rPr>
        <w:t>16.投标文件的无效处理</w:t>
      </w:r>
    </w:p>
    <w:p>
      <w:pPr>
        <w:pStyle w:val="25"/>
        <w:spacing w:line="360" w:lineRule="auto"/>
        <w:ind w:firstLine="360" w:firstLineChars="150"/>
        <w:rPr>
          <w:rFonts w:hint="eastAsia"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第13项规定</w:t>
      </w:r>
      <w:r>
        <w:rPr>
          <w:rFonts w:hint="eastAsia" w:ascii="仿宋_GB2312" w:hAnsi="仿宋" w:eastAsia="仿宋_GB2312" w:cs="仿宋_GB2312"/>
          <w:color w:val="auto"/>
          <w:szCs w:val="21"/>
          <w:highlight w:val="none"/>
        </w:rPr>
        <w:t>的情形之一的，投标无效：</w:t>
      </w:r>
    </w:p>
    <w:p>
      <w:pPr>
        <w:pStyle w:val="414"/>
        <w:spacing w:before="0"/>
        <w:ind w:firstLine="0" w:firstLineChars="0"/>
        <w:rPr>
          <w:rFonts w:hint="eastAsia" w:ascii="仿宋_GB2312" w:hAnsi="仿宋" w:eastAsia="仿宋_GB2312" w:cs="仿宋_GB2312"/>
          <w:b/>
          <w:color w:val="auto"/>
          <w:szCs w:val="24"/>
          <w:highlight w:val="none"/>
        </w:rPr>
      </w:pPr>
      <w:r>
        <w:rPr>
          <w:rFonts w:hint="eastAsia" w:ascii="仿宋_GB2312" w:hAnsi="仿宋" w:eastAsia="仿宋_GB2312" w:cs="仿宋_GB2312"/>
          <w:b/>
          <w:color w:val="auto"/>
          <w:szCs w:val="24"/>
          <w:highlight w:val="none"/>
        </w:rPr>
        <w:t>17.投标有效期</w:t>
      </w:r>
    </w:p>
    <w:p>
      <w:pPr>
        <w:spacing w:line="360" w:lineRule="auto"/>
        <w:ind w:firstLine="480" w:firstLineChars="200"/>
        <w:rPr>
          <w:rFonts w:hint="eastAsia" w:ascii="仿宋_GB2312" w:hAnsi="仿宋" w:eastAsia="仿宋_GB2312" w:cs="仿宋_GB2312"/>
          <w:b/>
          <w:color w:val="auto"/>
          <w:sz w:val="24"/>
          <w:szCs w:val="21"/>
          <w:highlight w:val="none"/>
        </w:rPr>
      </w:pPr>
      <w:r>
        <w:rPr>
          <w:rFonts w:hint="eastAsia"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414"/>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17.2投标文件合格投递后，自投标截止日期起，在投标有效期内有效。</w:t>
      </w:r>
    </w:p>
    <w:p>
      <w:pPr>
        <w:pStyle w:val="414"/>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414"/>
        <w:spacing w:before="0"/>
        <w:ind w:firstLine="1928" w:firstLineChars="600"/>
        <w:rPr>
          <w:rFonts w:hint="eastAsia"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733"/>
        <w:spacing w:before="0" w:line="360" w:lineRule="auto"/>
        <w:ind w:left="0" w:firstLine="241" w:firstLineChars="100"/>
        <w:contextualSpacing/>
        <w:rPr>
          <w:rFonts w:hint="eastAsia" w:ascii="仿宋_GB2312" w:eastAsia="仿宋_GB2312"/>
          <w:color w:val="auto"/>
          <w:sz w:val="24"/>
          <w:highlight w:val="none"/>
        </w:rPr>
      </w:pPr>
      <w:r>
        <w:rPr>
          <w:rFonts w:hint="eastAsia" w:ascii="仿宋_GB2312" w:hAnsi="仿宋" w:eastAsia="仿宋_GB2312" w:cs="仿宋_GB2312"/>
          <w:b/>
          <w:color w:val="auto"/>
          <w:sz w:val="24"/>
          <w:szCs w:val="24"/>
          <w:highlight w:val="none"/>
        </w:rPr>
        <w:t>18.开标</w:t>
      </w:r>
      <w:r>
        <w:rPr>
          <w:rFonts w:hint="eastAsia" w:ascii="仿宋_GB2312" w:eastAsia="仿宋_GB2312"/>
          <w:color w:val="auto"/>
          <w:sz w:val="24"/>
          <w:highlight w:val="none"/>
        </w:rPr>
        <w:t xml:space="preserve"> </w:t>
      </w:r>
    </w:p>
    <w:p>
      <w:pPr>
        <w:pStyle w:val="733"/>
        <w:spacing w:before="0" w:line="360" w:lineRule="auto"/>
        <w:ind w:left="0" w:firstLine="480" w:firstLineChars="200"/>
        <w:contextualSpacing/>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733"/>
        <w:spacing w:before="0" w:line="360" w:lineRule="auto"/>
        <w:ind w:left="0" w:firstLine="240" w:firstLineChars="100"/>
        <w:contextualSpacing/>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733"/>
        <w:spacing w:before="0" w:line="360" w:lineRule="auto"/>
        <w:ind w:left="0" w:firstLine="240" w:firstLineChars="100"/>
        <w:contextualSpacing/>
        <w:rPr>
          <w:rFonts w:hint="eastAsia"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19、资格审查</w:t>
      </w:r>
    </w:p>
    <w:p>
      <w:pPr>
        <w:pStyle w:val="414"/>
        <w:spacing w:before="0"/>
        <w:ind w:firstLine="480"/>
        <w:rPr>
          <w:rFonts w:hint="eastAsia"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414"/>
        <w:spacing w:before="0"/>
        <w:ind w:firstLine="480"/>
        <w:rPr>
          <w:rFonts w:hint="eastAsia" w:ascii="仿宋_GB2312" w:hAnsi="仿宋" w:eastAsia="仿宋_GB2312" w:cs="仿宋_GB2312"/>
          <w:color w:val="auto"/>
          <w:highlight w:val="none"/>
        </w:rPr>
      </w:pPr>
      <w:r>
        <w:rPr>
          <w:rFonts w:hint="eastAsia"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414"/>
        <w:spacing w:before="0"/>
        <w:ind w:firstLine="480"/>
        <w:rPr>
          <w:rFonts w:hint="eastAsia" w:ascii="仿宋_GB2312" w:hAnsi="仿宋" w:eastAsia="仿宋_GB2312" w:cs="仿宋_GB2312"/>
          <w:color w:val="auto"/>
          <w:highlight w:val="none"/>
        </w:rPr>
      </w:pPr>
      <w:r>
        <w:rPr>
          <w:rFonts w:hint="eastAsia" w:ascii="仿宋_GB2312" w:hAnsi="仿宋" w:eastAsia="仿宋_GB2312" w:cs="Arial"/>
          <w:color w:val="auto"/>
          <w:kern w:val="0"/>
          <w:szCs w:val="24"/>
          <w:highlight w:val="none"/>
        </w:rPr>
        <w:t>19.</w:t>
      </w:r>
      <w:r>
        <w:rPr>
          <w:rFonts w:hint="eastAsia" w:ascii="仿宋_GB2312" w:hAnsi="仿宋" w:eastAsia="仿宋_GB2312" w:cs="仿宋_GB2312"/>
          <w:color w:val="auto"/>
          <w:highlight w:val="none"/>
        </w:rPr>
        <w:t>4对未通过资格审查的投标人，采购人或采购机构告知其未通过的原因。</w:t>
      </w:r>
    </w:p>
    <w:p>
      <w:pPr>
        <w:pStyle w:val="414"/>
        <w:spacing w:before="0"/>
        <w:ind w:firstLine="480"/>
        <w:rPr>
          <w:rFonts w:hint="eastAsia" w:ascii="仿宋_GB2312" w:hAnsi="仿宋" w:eastAsia="仿宋_GB2312" w:cs="仿宋_GB2312"/>
          <w:color w:val="auto"/>
          <w:highlight w:val="none"/>
        </w:rPr>
      </w:pPr>
      <w:r>
        <w:rPr>
          <w:rFonts w:hint="eastAsia" w:ascii="仿宋_GB2312" w:hAnsi="仿宋" w:eastAsia="仿宋_GB2312" w:cs="Arial"/>
          <w:color w:val="auto"/>
          <w:kern w:val="0"/>
          <w:szCs w:val="24"/>
          <w:highlight w:val="none"/>
        </w:rPr>
        <w:t>19.</w:t>
      </w:r>
      <w:r>
        <w:rPr>
          <w:rFonts w:hint="eastAsia" w:ascii="仿宋_GB2312" w:hAnsi="仿宋" w:eastAsia="仿宋_GB2312" w:cs="仿宋_GB2312"/>
          <w:color w:val="auto"/>
          <w:highlight w:val="none"/>
        </w:rPr>
        <w:t>5合格投标人不足3家的，不再评标。</w:t>
      </w:r>
    </w:p>
    <w:p>
      <w:pPr>
        <w:pStyle w:val="414"/>
        <w:spacing w:before="0"/>
        <w:ind w:firstLine="0" w:firstLineChars="0"/>
        <w:rPr>
          <w:rFonts w:hint="eastAsia" w:ascii="仿宋_GB2312" w:hAnsi="仿宋" w:eastAsia="仿宋_GB2312" w:cs="仿宋_GB2312"/>
          <w:b/>
          <w:color w:val="auto"/>
          <w:szCs w:val="24"/>
          <w:highlight w:val="none"/>
        </w:rPr>
      </w:pPr>
      <w:r>
        <w:rPr>
          <w:rFonts w:hint="eastAsia" w:ascii="仿宋_GB2312" w:hAnsi="仿宋" w:eastAsia="仿宋_GB2312" w:cs="仿宋_GB2312"/>
          <w:b/>
          <w:color w:val="auto"/>
          <w:szCs w:val="24"/>
          <w:highlight w:val="none"/>
        </w:rPr>
        <w:t>20、信用信息查询</w:t>
      </w:r>
    </w:p>
    <w:p>
      <w:pPr>
        <w:pStyle w:val="414"/>
        <w:spacing w:before="0"/>
        <w:ind w:firstLine="495" w:firstLineChars="0"/>
        <w:rPr>
          <w:rFonts w:hint="eastAsia"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414"/>
        <w:spacing w:before="0"/>
        <w:ind w:firstLine="495" w:firstLineChars="0"/>
        <w:rPr>
          <w:rFonts w:hint="eastAsia"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20.2信用信息查询记录和证据留存的具体方式：现场查询的投标人的信用记录、查询结果经确认后将与</w:t>
      </w:r>
      <w:r>
        <w:rPr>
          <w:rFonts w:hint="eastAsia" w:ascii="仿宋_GB2312" w:hAnsi="仿宋" w:eastAsia="仿宋_GB2312" w:cs="Arial"/>
          <w:color w:val="auto"/>
          <w:kern w:val="0"/>
          <w:szCs w:val="24"/>
          <w:highlight w:val="none"/>
          <w:lang w:eastAsia="zh-CN"/>
        </w:rPr>
        <w:t>招标文件</w:t>
      </w:r>
      <w:r>
        <w:rPr>
          <w:rFonts w:hint="eastAsia" w:ascii="仿宋_GB2312" w:hAnsi="仿宋" w:eastAsia="仿宋_GB2312" w:cs="Arial"/>
          <w:color w:val="auto"/>
          <w:kern w:val="0"/>
          <w:szCs w:val="24"/>
          <w:highlight w:val="none"/>
        </w:rPr>
        <w:t>一起存档。</w:t>
      </w:r>
    </w:p>
    <w:p>
      <w:pPr>
        <w:pStyle w:val="414"/>
        <w:spacing w:before="0"/>
        <w:ind w:firstLine="495" w:firstLineChars="0"/>
        <w:rPr>
          <w:rFonts w:hint="eastAsia"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414"/>
        <w:spacing w:before="0"/>
        <w:ind w:firstLine="480"/>
        <w:rPr>
          <w:rFonts w:hint="eastAsia" w:ascii="仿宋_GB2312" w:hAnsi="仿宋" w:eastAsia="仿宋_GB2312" w:cs="仿宋_GB2312"/>
          <w:color w:val="auto"/>
          <w:highlight w:val="none"/>
        </w:rPr>
      </w:pPr>
      <w:r>
        <w:rPr>
          <w:rFonts w:hint="eastAsia"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414"/>
        <w:spacing w:before="0"/>
        <w:ind w:firstLine="0" w:firstLineChars="0"/>
        <w:rPr>
          <w:rFonts w:hint="eastAsia" w:ascii="仿宋_GB2312" w:hAnsi="仿宋" w:eastAsia="仿宋_GB2312" w:cs="Arial"/>
          <w:color w:val="auto"/>
          <w:kern w:val="0"/>
          <w:szCs w:val="24"/>
          <w:highlight w:val="none"/>
        </w:rPr>
      </w:pPr>
    </w:p>
    <w:p>
      <w:pPr>
        <w:snapToGrid w:val="0"/>
        <w:spacing w:line="360" w:lineRule="auto"/>
        <w:jc w:val="center"/>
        <w:outlineLvl w:val="0"/>
        <w:rPr>
          <w:rFonts w:hint="eastAsia" w:ascii="仿宋_GB2312" w:hAnsi="仿宋" w:eastAsia="仿宋_GB2312" w:cs="仿宋_GB2312"/>
          <w:b/>
          <w:color w:val="auto"/>
          <w:sz w:val="36"/>
          <w:szCs w:val="36"/>
          <w:highlight w:val="none"/>
        </w:rPr>
      </w:pPr>
      <w:bookmarkStart w:id="32" w:name="_Hlt75236101"/>
      <w:bookmarkEnd w:id="32"/>
      <w:bookmarkStart w:id="33" w:name="_Toc91899902"/>
      <w:r>
        <w:rPr>
          <w:rFonts w:hint="eastAsia" w:ascii="仿宋_GB2312" w:hAnsi="仿宋" w:eastAsia="仿宋_GB2312" w:cs="仿宋_GB2312"/>
          <w:b/>
          <w:color w:val="auto"/>
          <w:sz w:val="36"/>
          <w:szCs w:val="36"/>
          <w:highlight w:val="none"/>
        </w:rPr>
        <w:t>五、评标</w:t>
      </w:r>
      <w:bookmarkEnd w:id="33"/>
    </w:p>
    <w:p>
      <w:pPr>
        <w:spacing w:line="360" w:lineRule="auto"/>
        <w:rPr>
          <w:rFonts w:hint="eastAsia" w:ascii="仿宋_GB2312" w:hAnsi="仿宋" w:eastAsia="仿宋_GB2312" w:cs="仿宋_GB2312"/>
          <w:b/>
          <w:color w:val="auto"/>
          <w:sz w:val="24"/>
          <w:highlight w:val="none"/>
        </w:rPr>
      </w:pPr>
      <w:bookmarkStart w:id="34" w:name="_Toc91899903"/>
      <w:r>
        <w:rPr>
          <w:rFonts w:hint="eastAsia" w:ascii="仿宋_GB2312" w:hAnsi="仿宋" w:eastAsia="仿宋_GB2312" w:cs="仿宋_GB2312"/>
          <w:b/>
          <w:color w:val="auto"/>
          <w:sz w:val="24"/>
          <w:highlight w:val="none"/>
        </w:rPr>
        <w:t>21.</w:t>
      </w:r>
      <w:r>
        <w:rPr>
          <w:rFonts w:hint="eastAsia"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详见招标文件第四部分“评标方法及评分标准”</w:t>
      </w:r>
    </w:p>
    <w:p>
      <w:pPr>
        <w:spacing w:line="360" w:lineRule="auto"/>
        <w:rPr>
          <w:rFonts w:hint="eastAsia" w:ascii="仿宋_GB2312" w:hAnsi="仿宋" w:eastAsia="仿宋_GB2312" w:cs="仿宋_GB2312"/>
          <w:b/>
          <w:color w:val="auto"/>
          <w:sz w:val="24"/>
          <w:highlight w:val="none"/>
        </w:rPr>
      </w:pPr>
    </w:p>
    <w:p>
      <w:pPr>
        <w:snapToGrid w:val="0"/>
        <w:spacing w:line="360" w:lineRule="auto"/>
        <w:jc w:val="center"/>
        <w:outlineLvl w:val="0"/>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 标</w:t>
      </w:r>
    </w:p>
    <w:p>
      <w:pPr>
        <w:pStyle w:val="25"/>
        <w:spacing w:line="360" w:lineRule="auto"/>
        <w:ind w:left="479" w:hanging="479" w:hangingChars="199"/>
        <w:rPr>
          <w:rFonts w:hint="eastAsia" w:ascii="仿宋_GB2312" w:hAnsi="仿宋" w:eastAsia="仿宋_GB2312" w:cs="仿宋_GB2312"/>
          <w:b/>
          <w:color w:val="auto"/>
          <w:highlight w:val="none"/>
        </w:rPr>
      </w:pPr>
      <w:r>
        <w:rPr>
          <w:rFonts w:hint="eastAsia" w:ascii="仿宋_GB2312" w:hAnsi="仿宋" w:eastAsia="仿宋_GB2312" w:cs="仿宋_GB2312"/>
          <w:b/>
          <w:color w:val="auto"/>
          <w:highlight w:val="none"/>
        </w:rPr>
        <w:t>22. 确定中标供应商</w:t>
      </w:r>
    </w:p>
    <w:p>
      <w:pPr>
        <w:pStyle w:val="414"/>
        <w:snapToGrid w:val="0"/>
        <w:spacing w:before="0"/>
        <w:ind w:firstLine="480"/>
        <w:rPr>
          <w:rFonts w:hint="eastAsia"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采购人将自收到评审报告之日起5个工作日内通过电子交易平台在评审报告推荐的中标候选人中按顺序确定中标供应商。</w:t>
      </w:r>
    </w:p>
    <w:p>
      <w:pPr>
        <w:pStyle w:val="414"/>
        <w:snapToGrid w:val="0"/>
        <w:spacing w:before="0"/>
        <w:ind w:firstLine="0" w:firstLineChars="0"/>
        <w:rPr>
          <w:rFonts w:hint="eastAsia" w:ascii="仿宋_GB2312" w:hAnsi="仿宋" w:eastAsia="仿宋_GB2312" w:cs="仿宋_GB2312"/>
          <w:b/>
          <w:color w:val="auto"/>
          <w:szCs w:val="24"/>
          <w:highlight w:val="none"/>
        </w:rPr>
      </w:pPr>
      <w:r>
        <w:rPr>
          <w:rFonts w:hint="eastAsia" w:ascii="仿宋_GB2312" w:hAnsi="仿宋" w:eastAsia="仿宋_GB2312" w:cs="仿宋_GB2312"/>
          <w:b/>
          <w:color w:val="auto"/>
          <w:szCs w:val="24"/>
          <w:highlight w:val="none"/>
        </w:rPr>
        <w:t>23. 中标通知与中标结果公告</w:t>
      </w:r>
    </w:p>
    <w:p>
      <w:pPr>
        <w:widowControl/>
        <w:shd w:val="clear" w:color="auto" w:fill="FFFFFF"/>
        <w:spacing w:line="360" w:lineRule="auto"/>
        <w:ind w:firstLine="480"/>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hd w:val="clear" w:color="auto" w:fill="FFFFFF"/>
        <w:spacing w:line="360" w:lineRule="auto"/>
        <w:ind w:firstLine="480"/>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的名称、规格型号、数量、单价、服务要求，中标公告期限以及评审专家名单、评分汇总及明细。</w:t>
      </w:r>
    </w:p>
    <w:p>
      <w:pPr>
        <w:widowControl/>
        <w:shd w:val="clear" w:color="auto" w:fill="FFFFFF"/>
        <w:spacing w:line="360" w:lineRule="auto"/>
        <w:ind w:firstLine="480"/>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hint="eastAsia"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hint="eastAsia"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5"/>
        <w:spacing w:line="360" w:lineRule="auto"/>
        <w:ind w:left="479" w:hanging="479" w:hangingChars="199"/>
        <w:rPr>
          <w:rFonts w:hint="eastAsia" w:ascii="仿宋_GB2312" w:hAnsi="仿宋" w:eastAsia="仿宋_GB2312" w:cs="仿宋_GB2312"/>
          <w:b/>
          <w:color w:val="auto"/>
          <w:highlight w:val="none"/>
        </w:rPr>
      </w:pPr>
      <w:r>
        <w:rPr>
          <w:rFonts w:hint="eastAsia"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5"/>
        <w:spacing w:line="360" w:lineRule="auto"/>
        <w:ind w:left="479" w:hanging="479" w:hangingChars="199"/>
        <w:rPr>
          <w:rFonts w:hint="eastAsia" w:ascii="仿宋_GB2312" w:hAnsi="仿宋" w:eastAsia="仿宋_GB2312" w:cs="仿宋_GB2312"/>
          <w:b/>
          <w:color w:val="auto"/>
          <w:highlight w:val="none"/>
        </w:rPr>
      </w:pPr>
      <w:r>
        <w:rPr>
          <w:rFonts w:hint="eastAsia" w:ascii="仿宋_GB2312" w:hAnsi="仿宋" w:eastAsia="仿宋_GB2312" w:cs="仿宋_GB2312"/>
          <w:b/>
          <w:color w:val="auto"/>
          <w:highlight w:val="none"/>
        </w:rPr>
        <w:t>25. 合同的签订</w:t>
      </w:r>
    </w:p>
    <w:p>
      <w:pPr>
        <w:widowControl/>
        <w:shd w:val="clear" w:color="auto" w:fill="FFFFFF"/>
        <w:spacing w:line="360" w:lineRule="auto"/>
        <w:ind w:firstLine="480"/>
        <w:jc w:val="left"/>
        <w:rPr>
          <w:rFonts w:hint="eastAsia" w:ascii="仿宋_GB2312" w:hAnsi="仿宋" w:eastAsia="仿宋_GB2312" w:cs="Arial"/>
          <w:color w:val="auto"/>
          <w:kern w:val="0"/>
          <w:sz w:val="24"/>
          <w:highlight w:val="none"/>
        </w:rPr>
      </w:pPr>
      <w:r>
        <w:rPr>
          <w:rFonts w:hint="eastAsia" w:ascii="仿宋_GB2312" w:hAnsi="仿宋" w:eastAsia="仿宋_GB2312" w:cs="仿宋_GB2312"/>
          <w:color w:val="auto"/>
          <w:sz w:val="24"/>
          <w:highlight w:val="none"/>
        </w:rPr>
        <w:t>25.1</w:t>
      </w:r>
      <w:r>
        <w:rPr>
          <w:rFonts w:hint="eastAsia" w:ascii="仿宋_GB2312" w:hAnsi="仿宋" w:eastAsia="仿宋_GB2312" w:cs="Arial"/>
          <w:color w:val="auto"/>
          <w:kern w:val="0"/>
          <w:sz w:val="24"/>
          <w:highlight w:val="none"/>
        </w:rPr>
        <w:t xml:space="preserve"> 采购人与中标人应当通过电子交易平台在中标通知书发出之日起三十日内，按照招标文件确定的事项签订政府采购合同，并在规定时间内依法发布合同公告。</w:t>
      </w:r>
    </w:p>
    <w:p>
      <w:pPr>
        <w:pStyle w:val="414"/>
        <w:snapToGrid w:val="0"/>
        <w:spacing w:before="0"/>
        <w:ind w:firstLine="480"/>
        <w:rPr>
          <w:rFonts w:hint="eastAsia" w:ascii="仿宋_GB2312" w:hAnsi="仿宋" w:eastAsia="仿宋_GB2312"/>
          <w:color w:val="auto"/>
          <w:kern w:val="0"/>
          <w:highlight w:val="none"/>
        </w:rPr>
      </w:pPr>
      <w:r>
        <w:rPr>
          <w:rFonts w:hint="eastAsia"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414"/>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414"/>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414"/>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5"/>
        <w:spacing w:line="360" w:lineRule="auto"/>
        <w:ind w:left="479" w:hanging="479" w:hangingChars="199"/>
        <w:rPr>
          <w:rFonts w:hint="eastAsia" w:ascii="仿宋_GB2312" w:hAnsi="仿宋" w:eastAsia="仿宋_GB2312" w:cs="仿宋_GB2312"/>
          <w:b/>
          <w:color w:val="auto"/>
          <w:highlight w:val="none"/>
        </w:rPr>
      </w:pPr>
      <w:r>
        <w:rPr>
          <w:rFonts w:hint="eastAsia" w:ascii="仿宋_GB2312" w:hAnsi="仿宋" w:eastAsia="仿宋_GB2312" w:cs="仿宋_GB2312"/>
          <w:b/>
          <w:color w:val="auto"/>
          <w:highlight w:val="none"/>
        </w:rPr>
        <w:t>26. 履约保证金</w:t>
      </w:r>
    </w:p>
    <w:p>
      <w:pPr>
        <w:tabs>
          <w:tab w:val="left" w:pos="0"/>
        </w:tabs>
        <w:spacing w:line="360" w:lineRule="auto"/>
        <w:ind w:firstLine="480"/>
        <w:rPr>
          <w:rFonts w:ascii="仿宋_GB2312" w:hAnsi="仿宋" w:eastAsia="仿宋_GB2312"/>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。履约保证金的数额不得超过政府采购合同金额的5%。</w:t>
      </w:r>
      <w:r>
        <w:rPr>
          <w:rFonts w:hint="eastAsia" w:ascii="仿宋_GB2312" w:hAnsi="仿宋" w:eastAsia="仿宋_GB2312"/>
          <w:b/>
          <w:color w:val="auto"/>
          <w:sz w:val="24"/>
          <w:highlight w:val="none"/>
        </w:rPr>
        <w:t>采购人不得拒收履约保函。</w:t>
      </w:r>
    </w:p>
    <w:p>
      <w:pPr>
        <w:tabs>
          <w:tab w:val="left" w:pos="0"/>
        </w:tabs>
        <w:spacing w:line="360" w:lineRule="auto"/>
        <w:ind w:firstLine="480"/>
        <w:rPr>
          <w:rFonts w:hint="eastAsia" w:ascii="仿宋_GB2312" w:hAnsi="仿宋" w:eastAsia="仿宋_GB2312"/>
          <w:color w:val="auto"/>
          <w:sz w:val="24"/>
          <w:highlight w:val="none"/>
        </w:rPr>
      </w:pPr>
    </w:p>
    <w:p>
      <w:pPr>
        <w:snapToGrid w:val="0"/>
        <w:spacing w:line="360" w:lineRule="auto"/>
        <w:ind w:firstLine="3357" w:firstLineChars="1045"/>
        <w:rPr>
          <w:rFonts w:hint="eastAsia"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414"/>
        <w:snapToGrid w:val="0"/>
        <w:spacing w:before="0"/>
        <w:ind w:firstLine="0" w:firstLineChars="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2</w:t>
      </w:r>
      <w:r>
        <w:rPr>
          <w:rFonts w:hint="eastAsia" w:ascii="仿宋_GB2312" w:hAnsi="仿宋" w:eastAsia="仿宋_GB2312" w:cs="仿宋_GB2312"/>
          <w:b/>
          <w:color w:val="auto"/>
          <w:szCs w:val="24"/>
          <w:highlight w:val="none"/>
        </w:rPr>
        <w:t>7. 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414"/>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 xml:space="preserve">27.1电子交易平台发生故障而无法登录访问的； </w:t>
      </w:r>
    </w:p>
    <w:p>
      <w:pPr>
        <w:pStyle w:val="414"/>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27.2电子交易平台应用或数据库出现错误，不能进行正常操作的；</w:t>
      </w:r>
    </w:p>
    <w:p>
      <w:pPr>
        <w:pStyle w:val="414"/>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27.3电子交易平台发现严重安全漏洞，有潜在泄密危险的；</w:t>
      </w:r>
    </w:p>
    <w:p>
      <w:pPr>
        <w:pStyle w:val="414"/>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 xml:space="preserve">27.4病毒发作导致不能进行正常操作的； </w:t>
      </w:r>
    </w:p>
    <w:p>
      <w:pPr>
        <w:pStyle w:val="414"/>
        <w:snapToGrid w:val="0"/>
        <w:spacing w:before="0"/>
        <w:ind w:firstLine="48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27.5其他无法保证电子交易的公平、公正和安全的情况。</w:t>
      </w:r>
    </w:p>
    <w:p>
      <w:pPr>
        <w:pStyle w:val="414"/>
        <w:snapToGrid w:val="0"/>
        <w:spacing w:before="0"/>
        <w:ind w:firstLine="0" w:firstLineChars="0"/>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_GB2312" w:hAnsi="仿宋" w:eastAsia="仿宋_GB2312"/>
          <w:color w:val="auto"/>
          <w:sz w:val="24"/>
          <w:highlight w:val="none"/>
        </w:rPr>
      </w:pPr>
    </w:p>
    <w:p>
      <w:pPr>
        <w:snapToGrid w:val="0"/>
        <w:spacing w:line="360" w:lineRule="auto"/>
        <w:ind w:left="120" w:leftChars="57" w:firstLine="482" w:firstLineChars="150"/>
        <w:jc w:val="center"/>
        <w:rPr>
          <w:rFonts w:hint="eastAsia"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hint="eastAsia"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5"/>
        <w:spacing w:line="360" w:lineRule="auto"/>
        <w:ind w:firstLine="0" w:firstLineChars="0"/>
        <w:rPr>
          <w:rFonts w:hint="eastAsia" w:ascii="仿宋_GB2312" w:hAnsi="仿宋" w:eastAsia="仿宋_GB2312" w:cs="仿宋_GB2312"/>
          <w:b/>
          <w:color w:val="auto"/>
          <w:highlight w:val="none"/>
        </w:rPr>
      </w:pPr>
      <w:r>
        <w:rPr>
          <w:rFonts w:hint="eastAsia" w:ascii="仿宋_GB2312" w:hAnsi="仿宋" w:eastAsia="仿宋_GB2312" w:cs="仿宋_GB2312"/>
          <w:b/>
          <w:color w:val="auto"/>
          <w:highlight w:val="none"/>
        </w:rPr>
        <w:t>29.验收</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_GB2312" w:hAnsi="仿宋" w:eastAsia="仿宋_GB2312" w:cs="仿宋_GB2312"/>
          <w:color w:val="auto"/>
          <w:sz w:val="18"/>
          <w:szCs w:val="18"/>
          <w:highlight w:val="none"/>
        </w:rPr>
      </w:pPr>
      <w:r>
        <w:rPr>
          <w:rFonts w:hint="eastAsia"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4"/>
    <w:p>
      <w:pPr>
        <w:adjustRightInd/>
        <w:spacing w:line="360" w:lineRule="auto"/>
        <w:jc w:val="center"/>
        <w:rPr>
          <w:rFonts w:hint="eastAsia" w:ascii="仿宋_GB2312" w:hAnsi="仿宋" w:eastAsia="仿宋_GB2312" w:cs="仿宋_GB2312"/>
          <w:b/>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pStyle w:val="414"/>
        <w:spacing w:before="0"/>
        <w:ind w:left="0" w:leftChars="0" w:firstLine="0" w:firstLineChars="0"/>
        <w:rPr>
          <w:rFonts w:hint="eastAsia" w:ascii="仿宋" w:hAnsi="仿宋" w:eastAsia="仿宋" w:cs="仿宋_GB2312"/>
          <w:b/>
          <w:color w:val="auto"/>
          <w:sz w:val="32"/>
          <w:highlight w:val="none"/>
        </w:rPr>
      </w:pPr>
    </w:p>
    <w:bookmarkEnd w:id="23"/>
    <w:bookmarkEnd w:id="24"/>
    <w:bookmarkEnd w:id="25"/>
    <w:p>
      <w:pPr>
        <w:spacing w:line="360" w:lineRule="auto"/>
        <w:jc w:val="center"/>
        <w:outlineLvl w:val="0"/>
        <w:rPr>
          <w:rFonts w:hint="eastAsia" w:ascii="仿宋" w:hAnsi="仿宋" w:eastAsia="仿宋" w:cs="仿宋_GB2312"/>
          <w:b/>
          <w:color w:val="auto"/>
          <w:sz w:val="36"/>
          <w:szCs w:val="36"/>
          <w:highlight w:val="none"/>
        </w:rPr>
      </w:pPr>
      <w:bookmarkStart w:id="35" w:name="第四部分"/>
      <w:r>
        <w:rPr>
          <w:rFonts w:hint="eastAsia" w:ascii="仿宋_GB2312" w:hAnsi="仿宋" w:eastAsia="仿宋_GB2312" w:cs="仿宋_GB2312"/>
          <w:b/>
          <w:color w:val="auto"/>
          <w:sz w:val="36"/>
          <w:szCs w:val="36"/>
          <w:highlight w:val="none"/>
        </w:rPr>
        <w:t>第三部分   采购需求</w:t>
      </w:r>
    </w:p>
    <w:p>
      <w:pPr>
        <w:snapToGrid w:val="0"/>
        <w:spacing w:line="360" w:lineRule="auto"/>
        <w:jc w:val="left"/>
        <w:rPr>
          <w:rFonts w:hint="eastAsia" w:ascii="仿宋" w:hAnsi="仿宋" w:eastAsia="仿宋"/>
          <w:color w:val="auto"/>
          <w:sz w:val="24"/>
          <w:highlight w:val="none"/>
        </w:rPr>
      </w:pPr>
    </w:p>
    <w:p>
      <w:pPr>
        <w:snapToGrid w:val="0"/>
        <w:spacing w:line="36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属于实质性要求条款的，已用符号“▲”标明，否则属于非实质性要求</w:t>
      </w:r>
      <w:r>
        <w:rPr>
          <w:rFonts w:hint="eastAsia" w:ascii="仿宋" w:hAnsi="仿宋" w:eastAsia="仿宋"/>
          <w:color w:val="auto"/>
          <w:sz w:val="24"/>
          <w:highlight w:val="none"/>
          <w:lang w:val="en-US" w:eastAsia="zh-CN"/>
        </w:rPr>
        <w:t>；标记符号“</w:t>
      </w:r>
      <w:r>
        <w:rPr>
          <w:rFonts w:hint="eastAsia" w:ascii="宋体" w:hAnsi="宋体" w:eastAsia="宋体" w:cs="宋体"/>
          <w:color w:val="auto"/>
          <w:sz w:val="24"/>
          <w:highlight w:val="none"/>
        </w:rPr>
        <w:t>※</w:t>
      </w:r>
      <w:r>
        <w:rPr>
          <w:rFonts w:hint="eastAsia" w:ascii="仿宋" w:hAnsi="仿宋" w:eastAsia="仿宋"/>
          <w:color w:val="auto"/>
          <w:sz w:val="24"/>
          <w:highlight w:val="none"/>
          <w:lang w:val="en-US" w:eastAsia="zh-CN"/>
        </w:rPr>
        <w:t>”的为项目采购产品的重要技术指标</w:t>
      </w:r>
      <w:r>
        <w:rPr>
          <w:rFonts w:hint="eastAsia" w:ascii="仿宋" w:hAnsi="仿宋" w:eastAsia="仿宋"/>
          <w:color w:val="auto"/>
          <w:sz w:val="24"/>
          <w:highlight w:val="none"/>
          <w:lang w:eastAsia="zh-CN"/>
        </w:rPr>
        <w:t>；标记</w:t>
      </w:r>
      <w:r>
        <w:rPr>
          <w:rFonts w:hint="eastAsia" w:ascii="仿宋" w:hAnsi="仿宋" w:eastAsia="仿宋"/>
          <w:color w:val="auto"/>
          <w:sz w:val="24"/>
          <w:highlight w:val="none"/>
        </w:rPr>
        <w:t>“</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系核心产品</w:t>
      </w:r>
      <w:r>
        <w:rPr>
          <w:rFonts w:hint="eastAsia" w:ascii="仿宋" w:hAnsi="仿宋" w:eastAsia="仿宋"/>
          <w:color w:val="auto"/>
          <w:sz w:val="24"/>
          <w:highlight w:val="none"/>
        </w:rPr>
        <w:t>。</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36" w:name="_二期网络工程项目改造需求"/>
      <w:bookmarkEnd w:id="36"/>
      <w:r>
        <w:rPr>
          <w:rFonts w:hint="eastAsia" w:ascii="仿宋" w:hAnsi="仿宋" w:eastAsia="仿宋" w:cs="仿宋"/>
          <w:color w:val="auto"/>
          <w:sz w:val="24"/>
          <w:highlight w:val="none"/>
        </w:rPr>
        <w:t xml:space="preserve">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2"/>
        <w:gridCol w:w="3512"/>
        <w:gridCol w:w="1998"/>
        <w:gridCol w:w="855"/>
        <w:gridCol w:w="85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02" w:type="dxa"/>
            <w:noWrap w:val="0"/>
            <w:tcMar>
              <w:top w:w="15" w:type="dxa"/>
              <w:left w:w="15" w:type="dxa"/>
              <w:bottom w:w="0" w:type="dxa"/>
              <w:right w:w="15" w:type="dxa"/>
            </w:tcMar>
            <w:vAlign w:val="bottom"/>
          </w:tcPr>
          <w:p>
            <w:pPr>
              <w:spacing w:line="360" w:lineRule="auto"/>
              <w:jc w:val="center"/>
              <w:rPr>
                <w:rFonts w:hint="eastAsia" w:ascii="仿宋" w:hAnsi="仿宋" w:eastAsia="仿宋" w:cs="仿宋"/>
                <w:b/>
                <w:color w:val="auto"/>
                <w:position w:val="-6"/>
                <w:sz w:val="24"/>
                <w:highlight w:val="none"/>
              </w:rPr>
            </w:pPr>
            <w:r>
              <w:rPr>
                <w:rFonts w:hint="eastAsia" w:ascii="仿宋" w:hAnsi="仿宋" w:eastAsia="仿宋" w:cs="仿宋"/>
                <w:b/>
                <w:color w:val="auto"/>
                <w:position w:val="-6"/>
                <w:sz w:val="24"/>
                <w:highlight w:val="none"/>
              </w:rPr>
              <w:t>标项</w:t>
            </w:r>
          </w:p>
        </w:tc>
        <w:tc>
          <w:tcPr>
            <w:tcW w:w="3512" w:type="dxa"/>
            <w:noWrap w:val="0"/>
            <w:tcMar>
              <w:top w:w="15" w:type="dxa"/>
              <w:left w:w="15" w:type="dxa"/>
              <w:bottom w:w="0" w:type="dxa"/>
              <w:right w:w="15" w:type="dxa"/>
            </w:tcMar>
            <w:vAlign w:val="bottom"/>
          </w:tcPr>
          <w:p>
            <w:pPr>
              <w:spacing w:line="360" w:lineRule="auto"/>
              <w:jc w:val="center"/>
              <w:rPr>
                <w:rFonts w:hint="eastAsia" w:ascii="仿宋" w:hAnsi="仿宋" w:eastAsia="仿宋" w:cs="仿宋"/>
                <w:b/>
                <w:color w:val="auto"/>
                <w:position w:val="-6"/>
                <w:sz w:val="24"/>
                <w:highlight w:val="none"/>
              </w:rPr>
            </w:pPr>
            <w:r>
              <w:rPr>
                <w:rFonts w:hint="eastAsia" w:ascii="仿宋" w:hAnsi="仿宋" w:eastAsia="仿宋" w:cs="仿宋"/>
                <w:b/>
                <w:color w:val="auto"/>
                <w:position w:val="-6"/>
                <w:sz w:val="24"/>
                <w:highlight w:val="none"/>
              </w:rPr>
              <w:t>名称</w:t>
            </w:r>
          </w:p>
        </w:tc>
        <w:tc>
          <w:tcPr>
            <w:tcW w:w="1998" w:type="dxa"/>
            <w:noWrap w:val="0"/>
            <w:tcMar>
              <w:top w:w="15" w:type="dxa"/>
              <w:left w:w="15" w:type="dxa"/>
              <w:bottom w:w="0" w:type="dxa"/>
              <w:right w:w="15" w:type="dxa"/>
            </w:tcMar>
            <w:vAlign w:val="bottom"/>
          </w:tcPr>
          <w:p>
            <w:pPr>
              <w:spacing w:line="360" w:lineRule="auto"/>
              <w:jc w:val="center"/>
              <w:rPr>
                <w:rFonts w:hint="eastAsia" w:ascii="仿宋" w:hAnsi="仿宋" w:eastAsia="仿宋" w:cs="仿宋"/>
                <w:b/>
                <w:color w:val="auto"/>
                <w:position w:val="-6"/>
                <w:sz w:val="24"/>
                <w:highlight w:val="none"/>
              </w:rPr>
            </w:pPr>
            <w:r>
              <w:rPr>
                <w:rFonts w:hint="eastAsia" w:ascii="仿宋" w:hAnsi="仿宋" w:eastAsia="仿宋" w:cs="仿宋"/>
                <w:b/>
                <w:color w:val="auto"/>
                <w:position w:val="-6"/>
                <w:sz w:val="24"/>
                <w:highlight w:val="none"/>
              </w:rPr>
              <w:t>规格型号与参数</w:t>
            </w:r>
          </w:p>
        </w:tc>
        <w:tc>
          <w:tcPr>
            <w:tcW w:w="855" w:type="dxa"/>
            <w:noWrap w:val="0"/>
            <w:tcMar>
              <w:top w:w="15" w:type="dxa"/>
              <w:left w:w="15" w:type="dxa"/>
              <w:bottom w:w="0" w:type="dxa"/>
              <w:right w:w="15" w:type="dxa"/>
            </w:tcMar>
            <w:vAlign w:val="bottom"/>
          </w:tcPr>
          <w:p>
            <w:pPr>
              <w:spacing w:line="360" w:lineRule="auto"/>
              <w:jc w:val="center"/>
              <w:rPr>
                <w:rFonts w:hint="eastAsia" w:ascii="仿宋" w:hAnsi="仿宋" w:eastAsia="仿宋" w:cs="仿宋"/>
                <w:b/>
                <w:color w:val="auto"/>
                <w:position w:val="-6"/>
                <w:sz w:val="24"/>
                <w:highlight w:val="none"/>
              </w:rPr>
            </w:pPr>
            <w:r>
              <w:rPr>
                <w:rFonts w:hint="eastAsia" w:ascii="仿宋" w:hAnsi="仿宋" w:eastAsia="仿宋" w:cs="仿宋"/>
                <w:b/>
                <w:color w:val="auto"/>
                <w:position w:val="-6"/>
                <w:sz w:val="24"/>
                <w:highlight w:val="none"/>
              </w:rPr>
              <w:t>单位</w:t>
            </w:r>
          </w:p>
        </w:tc>
        <w:tc>
          <w:tcPr>
            <w:tcW w:w="856" w:type="dxa"/>
            <w:noWrap w:val="0"/>
            <w:tcMar>
              <w:top w:w="15" w:type="dxa"/>
              <w:left w:w="15" w:type="dxa"/>
              <w:bottom w:w="0" w:type="dxa"/>
              <w:right w:w="15" w:type="dxa"/>
            </w:tcMar>
            <w:vAlign w:val="bottom"/>
          </w:tcPr>
          <w:p>
            <w:pPr>
              <w:spacing w:line="360" w:lineRule="auto"/>
              <w:jc w:val="center"/>
              <w:rPr>
                <w:rFonts w:hint="eastAsia" w:ascii="仿宋" w:hAnsi="仿宋" w:eastAsia="仿宋" w:cs="仿宋"/>
                <w:b/>
                <w:color w:val="auto"/>
                <w:position w:val="-6"/>
                <w:sz w:val="24"/>
                <w:highlight w:val="none"/>
              </w:rPr>
            </w:pPr>
            <w:r>
              <w:rPr>
                <w:rFonts w:hint="eastAsia" w:ascii="仿宋" w:hAnsi="仿宋" w:eastAsia="仿宋" w:cs="仿宋"/>
                <w:b/>
                <w:color w:val="auto"/>
                <w:position w:val="-6"/>
                <w:sz w:val="24"/>
                <w:highlight w:val="none"/>
              </w:rPr>
              <w:t>数量</w:t>
            </w:r>
          </w:p>
        </w:tc>
        <w:tc>
          <w:tcPr>
            <w:tcW w:w="1536" w:type="dxa"/>
            <w:noWrap w:val="0"/>
            <w:vAlign w:val="bottom"/>
          </w:tcPr>
          <w:p>
            <w:pPr>
              <w:spacing w:line="360" w:lineRule="auto"/>
              <w:jc w:val="center"/>
              <w:rPr>
                <w:rFonts w:hint="eastAsia" w:ascii="仿宋" w:hAnsi="仿宋" w:eastAsia="仿宋" w:cs="仿宋"/>
                <w:b/>
                <w:color w:val="auto"/>
                <w:position w:val="-6"/>
                <w:sz w:val="24"/>
                <w:highlight w:val="none"/>
              </w:rPr>
            </w:pPr>
            <w:r>
              <w:rPr>
                <w:rFonts w:hint="eastAsia" w:ascii="仿宋" w:hAnsi="仿宋" w:eastAsia="仿宋" w:cs="仿宋"/>
                <w:b/>
                <w:color w:val="auto"/>
                <w:position w:val="-6"/>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702" w:type="dxa"/>
            <w:noWrap w:val="0"/>
            <w:tcMar>
              <w:top w:w="15" w:type="dxa"/>
              <w:left w:w="15" w:type="dxa"/>
              <w:bottom w:w="0"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512" w:type="dxa"/>
            <w:noWrap w:val="0"/>
            <w:tcMar>
              <w:top w:w="15" w:type="dxa"/>
              <w:left w:w="15" w:type="dxa"/>
              <w:bottom w:w="0" w:type="dxa"/>
              <w:right w:w="15" w:type="dxa"/>
            </w:tcMar>
            <w:vAlign w:val="center"/>
          </w:tcPr>
          <w:p>
            <w:pPr>
              <w:spacing w:line="360" w:lineRule="auto"/>
              <w:rPr>
                <w:rFonts w:hint="eastAsia" w:ascii="仿宋" w:hAnsi="仿宋" w:eastAsia="仿宋" w:cs="仿宋"/>
                <w:color w:val="auto"/>
                <w:position w:val="-6"/>
                <w:sz w:val="24"/>
                <w:highlight w:val="none"/>
              </w:rPr>
            </w:pPr>
            <w:r>
              <w:rPr>
                <w:rFonts w:hint="eastAsia" w:ascii="仿宋" w:hAnsi="仿宋" w:eastAsia="仿宋" w:cs="仿宋"/>
                <w:color w:val="auto"/>
                <w:sz w:val="24"/>
                <w:highlight w:val="none"/>
              </w:rPr>
              <w:t>杭州市南郊监狱改扩建工程</w:t>
            </w:r>
            <w:r>
              <w:rPr>
                <w:rFonts w:hint="eastAsia" w:ascii="仿宋" w:hAnsi="仿宋" w:eastAsia="仿宋" w:cs="仿宋"/>
                <w:color w:val="auto"/>
                <w:sz w:val="24"/>
                <w:highlight w:val="none"/>
                <w:lang w:eastAsia="zh-CN"/>
              </w:rPr>
              <w:t>安防建设</w:t>
            </w:r>
            <w:r>
              <w:rPr>
                <w:rFonts w:hint="eastAsia" w:ascii="仿宋" w:hAnsi="仿宋" w:eastAsia="仿宋" w:cs="仿宋"/>
                <w:color w:val="auto"/>
                <w:sz w:val="24"/>
                <w:highlight w:val="none"/>
              </w:rPr>
              <w:t>政府采购项目</w:t>
            </w:r>
          </w:p>
        </w:tc>
        <w:tc>
          <w:tcPr>
            <w:tcW w:w="1998" w:type="dxa"/>
            <w:noWrap w:val="0"/>
            <w:tcMar>
              <w:top w:w="15" w:type="dxa"/>
              <w:left w:w="15" w:type="dxa"/>
              <w:bottom w:w="0" w:type="dxa"/>
              <w:right w:w="15" w:type="dxa"/>
            </w:tcMar>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详见招标需求</w:t>
            </w:r>
          </w:p>
        </w:tc>
        <w:tc>
          <w:tcPr>
            <w:tcW w:w="855" w:type="dxa"/>
            <w:noWrap w:val="0"/>
            <w:tcMar>
              <w:top w:w="15" w:type="dxa"/>
              <w:left w:w="15" w:type="dxa"/>
              <w:bottom w:w="0"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56" w:type="dxa"/>
            <w:noWrap w:val="0"/>
            <w:tcMar>
              <w:top w:w="15" w:type="dxa"/>
              <w:left w:w="15" w:type="dxa"/>
              <w:bottom w:w="0"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536" w:type="dxa"/>
            <w:noWrap w:val="0"/>
            <w:vAlign w:val="center"/>
          </w:tcPr>
          <w:p>
            <w:pPr>
              <w:spacing w:line="360" w:lineRule="auto"/>
              <w:jc w:val="center"/>
              <w:rPr>
                <w:rFonts w:hint="eastAsia" w:ascii="仿宋" w:hAnsi="仿宋" w:eastAsia="仿宋" w:cs="仿宋"/>
                <w:color w:val="auto"/>
                <w:sz w:val="24"/>
                <w:highlight w:val="none"/>
              </w:rPr>
            </w:pPr>
          </w:p>
        </w:tc>
      </w:tr>
    </w:tbl>
    <w:p>
      <w:pPr>
        <w:snapToGrid w:val="0"/>
        <w:spacing w:line="360" w:lineRule="auto"/>
        <w:outlineLvl w:val="0"/>
        <w:rPr>
          <w:rFonts w:hint="eastAsia" w:ascii="仿宋_GB2312" w:hAnsi="仿宋" w:eastAsia="仿宋_GB2312"/>
          <w:b/>
          <w:color w:val="auto"/>
          <w:sz w:val="32"/>
          <w:szCs w:val="32"/>
          <w:highlight w:val="none"/>
        </w:rPr>
      </w:pPr>
    </w:p>
    <w:p>
      <w:pPr>
        <w:snapToGrid w:val="0"/>
        <w:spacing w:line="360" w:lineRule="auto"/>
        <w:outlineLvl w:val="0"/>
        <w:rPr>
          <w:rFonts w:ascii="仿宋_GB2312" w:hAnsi="仿宋" w:eastAsia="仿宋_GB2312"/>
          <w:b/>
          <w:color w:val="auto"/>
          <w:sz w:val="32"/>
          <w:szCs w:val="32"/>
          <w:highlight w:val="none"/>
        </w:rPr>
      </w:pPr>
      <w:r>
        <w:rPr>
          <w:rFonts w:hint="eastAsia" w:ascii="仿宋_GB2312" w:hAnsi="仿宋" w:eastAsia="仿宋_GB2312"/>
          <w:b/>
          <w:color w:val="auto"/>
          <w:sz w:val="32"/>
          <w:szCs w:val="32"/>
          <w:highlight w:val="none"/>
        </w:rPr>
        <w:t>一、项目概况</w:t>
      </w:r>
    </w:p>
    <w:p>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（一）根据省市局统一安排，统一要求，全力推进市属监狱“智慧监狱”建设，努力实现全省“全覆盖”目标。基于以上背景，结合现阶段的实际应用需求，杭州市南郊监狱计划开展杭州市南郊监狱改扩建工程</w:t>
      </w:r>
      <w:r>
        <w:rPr>
          <w:rFonts w:hint="eastAsia" w:ascii="仿宋" w:hAnsi="仿宋" w:eastAsia="仿宋" w:cs="仿宋"/>
          <w:color w:val="auto"/>
          <w:sz w:val="24"/>
          <w:highlight w:val="none"/>
          <w:lang w:eastAsia="zh-CN"/>
        </w:rPr>
        <w:t>安防建设</w:t>
      </w:r>
      <w:r>
        <w:rPr>
          <w:rFonts w:hint="eastAsia" w:ascii="仿宋" w:hAnsi="仿宋" w:eastAsia="仿宋" w:cs="仿宋"/>
          <w:color w:val="auto"/>
          <w:sz w:val="24"/>
          <w:highlight w:val="none"/>
        </w:rPr>
        <w:t>项目。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napToGrid w:val="0"/>
          <w:color w:val="auto"/>
          <w:kern w:val="2"/>
          <w:sz w:val="24"/>
          <w:szCs w:val="24"/>
          <w:highlight w:val="none"/>
          <w:lang w:val="en-US" w:eastAsia="zh-CN" w:bidi="ar-SA"/>
        </w:rPr>
      </w:pPr>
      <w:bookmarkStart w:id="37" w:name="_Hlk32754170"/>
      <w:r>
        <w:rPr>
          <w:rFonts w:hint="eastAsia" w:ascii="仿宋" w:hAnsi="仿宋" w:eastAsia="仿宋" w:cs="仿宋"/>
          <w:snapToGrid w:val="0"/>
          <w:color w:val="auto"/>
          <w:kern w:val="2"/>
          <w:sz w:val="24"/>
          <w:szCs w:val="24"/>
          <w:highlight w:val="none"/>
          <w:lang w:val="en-US" w:eastAsia="zh-CN" w:bidi="ar-SA"/>
        </w:rPr>
        <w:t>按照《监狱建筑设计标准》、《智慧监狱技术规范》、《监狱安全防范信息系统建设规范》、《监狱网络信息系统建设规范》和监狱安防、信息化建设要求，杭州市南郊监狱改扩建工程安防建设项目包括基础设施（网络、运维、机房工程、信息发布等）、安防（巡查、广播、监舍智能管理、人员定位及点名、智能语音交互、警用装备智能管理等）及指挥中心等系统，与基本建设配套进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color w:val="auto"/>
          <w:highlight w:val="none"/>
          <w:lang w:val="en-US" w:eastAsia="zh-CN"/>
        </w:rPr>
      </w:pPr>
      <w:r>
        <w:rPr>
          <w:rFonts w:hint="eastAsia" w:ascii="仿宋" w:hAnsi="仿宋" w:eastAsia="仿宋" w:cs="仿宋"/>
          <w:snapToGrid w:val="0"/>
          <w:color w:val="auto"/>
          <w:kern w:val="2"/>
          <w:sz w:val="24"/>
          <w:szCs w:val="24"/>
          <w:highlight w:val="none"/>
          <w:lang w:val="en-US" w:eastAsia="zh-CN" w:bidi="ar-SA"/>
        </w:rPr>
        <w:t>现本工程将紧密依托于数据中心，实现监狱内部、监狱之间、监狱与监狱管理局、司法局之间、监狱系统与外单位之间的数据共享交换，推进系统整合和资源共享，使“信息流、工作流、管理流”高度融合，实现“一人采集、全员共享，一证登录、全网漫游，一站集成、全警研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杭州市南郊监狱改扩建工程安防建设项目包含以下三大部分：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1.基础设施</w:t>
      </w:r>
    </w:p>
    <w:p>
      <w:pPr>
        <w:keepNext w:val="0"/>
        <w:keepLines w:val="0"/>
        <w:pageBreakBefore w:val="0"/>
        <w:widowControl w:val="0"/>
        <w:numPr>
          <w:ilvl w:val="0"/>
          <w:numId w:val="10"/>
        </w:numPr>
        <w:tabs>
          <w:tab w:val="left" w:pos="420"/>
        </w:tabs>
        <w:kinsoku/>
        <w:wordWrap/>
        <w:overflowPunct/>
        <w:topLinePunct w:val="0"/>
        <w:autoSpaceDE/>
        <w:autoSpaceDN/>
        <w:bidi w:val="0"/>
        <w:adjustRightInd/>
        <w:snapToGrid w:val="0"/>
        <w:spacing w:line="360" w:lineRule="auto"/>
        <w:ind w:left="533"/>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综合运维管理系统</w:t>
      </w:r>
    </w:p>
    <w:p>
      <w:pPr>
        <w:keepNext w:val="0"/>
        <w:keepLines w:val="0"/>
        <w:pageBreakBefore w:val="0"/>
        <w:widowControl w:val="0"/>
        <w:numPr>
          <w:ilvl w:val="0"/>
          <w:numId w:val="10"/>
        </w:numPr>
        <w:tabs>
          <w:tab w:val="left" w:pos="420"/>
        </w:tabs>
        <w:kinsoku/>
        <w:wordWrap/>
        <w:overflowPunct/>
        <w:topLinePunct w:val="0"/>
        <w:autoSpaceDE/>
        <w:autoSpaceDN/>
        <w:bidi w:val="0"/>
        <w:adjustRightInd/>
        <w:snapToGrid w:val="0"/>
        <w:spacing w:line="360" w:lineRule="auto"/>
        <w:ind w:left="533"/>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计算机网络系统</w:t>
      </w:r>
    </w:p>
    <w:p>
      <w:pPr>
        <w:keepNext w:val="0"/>
        <w:keepLines w:val="0"/>
        <w:pageBreakBefore w:val="0"/>
        <w:widowControl w:val="0"/>
        <w:numPr>
          <w:ilvl w:val="0"/>
          <w:numId w:val="10"/>
        </w:numPr>
        <w:tabs>
          <w:tab w:val="left" w:pos="420"/>
        </w:tabs>
        <w:kinsoku/>
        <w:wordWrap/>
        <w:overflowPunct/>
        <w:topLinePunct w:val="0"/>
        <w:autoSpaceDE/>
        <w:autoSpaceDN/>
        <w:bidi w:val="0"/>
        <w:adjustRightInd/>
        <w:snapToGrid w:val="0"/>
        <w:spacing w:line="360" w:lineRule="auto"/>
        <w:ind w:left="533"/>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机房工程</w:t>
      </w:r>
    </w:p>
    <w:p>
      <w:pPr>
        <w:keepNext w:val="0"/>
        <w:keepLines w:val="0"/>
        <w:pageBreakBefore w:val="0"/>
        <w:widowControl w:val="0"/>
        <w:numPr>
          <w:ilvl w:val="0"/>
          <w:numId w:val="10"/>
        </w:numPr>
        <w:tabs>
          <w:tab w:val="left" w:pos="420"/>
        </w:tabs>
        <w:kinsoku/>
        <w:wordWrap/>
        <w:overflowPunct/>
        <w:topLinePunct w:val="0"/>
        <w:autoSpaceDE/>
        <w:autoSpaceDN/>
        <w:bidi w:val="0"/>
        <w:adjustRightInd/>
        <w:snapToGrid w:val="0"/>
        <w:spacing w:line="360" w:lineRule="auto"/>
        <w:ind w:left="533"/>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信息发布系统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2.安防系统</w:t>
      </w:r>
    </w:p>
    <w:p>
      <w:pPr>
        <w:keepNext w:val="0"/>
        <w:keepLines w:val="0"/>
        <w:pageBreakBefore w:val="0"/>
        <w:widowControl w:val="0"/>
        <w:numPr>
          <w:ilvl w:val="0"/>
          <w:numId w:val="11"/>
        </w:numPr>
        <w:tabs>
          <w:tab w:val="left" w:pos="28"/>
          <w:tab w:val="left" w:pos="420"/>
          <w:tab w:val="clear" w:pos="0"/>
        </w:tabs>
        <w:kinsoku/>
        <w:wordWrap/>
        <w:overflowPunct/>
        <w:topLinePunct w:val="0"/>
        <w:autoSpaceDE/>
        <w:autoSpaceDN/>
        <w:bidi w:val="0"/>
        <w:adjustRightInd/>
        <w:snapToGrid w:val="0"/>
        <w:spacing w:line="360" w:lineRule="auto"/>
        <w:ind w:left="533"/>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电子巡查系统</w:t>
      </w:r>
    </w:p>
    <w:p>
      <w:pPr>
        <w:keepNext w:val="0"/>
        <w:keepLines w:val="0"/>
        <w:pageBreakBefore w:val="0"/>
        <w:widowControl w:val="0"/>
        <w:numPr>
          <w:ilvl w:val="0"/>
          <w:numId w:val="11"/>
        </w:numPr>
        <w:tabs>
          <w:tab w:val="left" w:pos="28"/>
          <w:tab w:val="left" w:pos="420"/>
          <w:tab w:val="clear" w:pos="0"/>
        </w:tabs>
        <w:kinsoku/>
        <w:wordWrap/>
        <w:overflowPunct/>
        <w:topLinePunct w:val="0"/>
        <w:autoSpaceDE/>
        <w:autoSpaceDN/>
        <w:bidi w:val="0"/>
        <w:adjustRightInd/>
        <w:snapToGrid w:val="0"/>
        <w:spacing w:line="360" w:lineRule="auto"/>
        <w:ind w:left="533"/>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广播系统</w:t>
      </w:r>
    </w:p>
    <w:p>
      <w:pPr>
        <w:keepNext w:val="0"/>
        <w:keepLines w:val="0"/>
        <w:pageBreakBefore w:val="0"/>
        <w:widowControl w:val="0"/>
        <w:numPr>
          <w:ilvl w:val="0"/>
          <w:numId w:val="11"/>
        </w:numPr>
        <w:tabs>
          <w:tab w:val="left" w:pos="28"/>
          <w:tab w:val="left" w:pos="420"/>
          <w:tab w:val="clear" w:pos="0"/>
        </w:tabs>
        <w:kinsoku/>
        <w:wordWrap/>
        <w:overflowPunct/>
        <w:topLinePunct w:val="0"/>
        <w:autoSpaceDE/>
        <w:autoSpaceDN/>
        <w:bidi w:val="0"/>
        <w:adjustRightInd/>
        <w:snapToGrid w:val="0"/>
        <w:spacing w:line="360" w:lineRule="auto"/>
        <w:ind w:left="533"/>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监舍智能管理系统</w:t>
      </w:r>
    </w:p>
    <w:p>
      <w:pPr>
        <w:keepNext w:val="0"/>
        <w:keepLines w:val="0"/>
        <w:pageBreakBefore w:val="0"/>
        <w:widowControl w:val="0"/>
        <w:numPr>
          <w:ilvl w:val="0"/>
          <w:numId w:val="11"/>
        </w:numPr>
        <w:tabs>
          <w:tab w:val="left" w:pos="28"/>
          <w:tab w:val="left" w:pos="420"/>
          <w:tab w:val="clear" w:pos="0"/>
        </w:tabs>
        <w:kinsoku/>
        <w:wordWrap/>
        <w:overflowPunct/>
        <w:topLinePunct w:val="0"/>
        <w:autoSpaceDE/>
        <w:autoSpaceDN/>
        <w:bidi w:val="0"/>
        <w:adjustRightInd/>
        <w:snapToGrid w:val="0"/>
        <w:spacing w:line="360" w:lineRule="auto"/>
        <w:ind w:left="533"/>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人员定位管控及点名系统</w:t>
      </w:r>
    </w:p>
    <w:p>
      <w:pPr>
        <w:keepNext w:val="0"/>
        <w:keepLines w:val="0"/>
        <w:pageBreakBefore w:val="0"/>
        <w:widowControl w:val="0"/>
        <w:numPr>
          <w:ilvl w:val="0"/>
          <w:numId w:val="11"/>
        </w:numPr>
        <w:tabs>
          <w:tab w:val="left" w:pos="28"/>
          <w:tab w:val="left" w:pos="420"/>
          <w:tab w:val="clear" w:pos="0"/>
        </w:tabs>
        <w:kinsoku/>
        <w:wordWrap/>
        <w:overflowPunct/>
        <w:topLinePunct w:val="0"/>
        <w:autoSpaceDE/>
        <w:autoSpaceDN/>
        <w:bidi w:val="0"/>
        <w:adjustRightInd/>
        <w:snapToGrid w:val="0"/>
        <w:spacing w:line="360" w:lineRule="auto"/>
        <w:ind w:left="533"/>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智能语音交互系统</w:t>
      </w:r>
    </w:p>
    <w:p>
      <w:pPr>
        <w:keepNext w:val="0"/>
        <w:keepLines w:val="0"/>
        <w:pageBreakBefore w:val="0"/>
        <w:widowControl w:val="0"/>
        <w:numPr>
          <w:ilvl w:val="0"/>
          <w:numId w:val="11"/>
        </w:numPr>
        <w:tabs>
          <w:tab w:val="left" w:pos="28"/>
          <w:tab w:val="left" w:pos="420"/>
          <w:tab w:val="clear" w:pos="0"/>
        </w:tabs>
        <w:kinsoku/>
        <w:wordWrap/>
        <w:overflowPunct/>
        <w:topLinePunct w:val="0"/>
        <w:autoSpaceDE/>
        <w:autoSpaceDN/>
        <w:bidi w:val="0"/>
        <w:adjustRightInd/>
        <w:snapToGrid w:val="0"/>
        <w:spacing w:line="360" w:lineRule="auto"/>
        <w:ind w:left="533"/>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fldChar w:fldCharType="begin"/>
      </w:r>
      <w:r>
        <w:rPr>
          <w:rFonts w:hint="eastAsia" w:ascii="仿宋" w:hAnsi="仿宋" w:eastAsia="仿宋" w:cs="仿宋"/>
          <w:snapToGrid w:val="0"/>
          <w:color w:val="auto"/>
          <w:kern w:val="2"/>
          <w:sz w:val="24"/>
          <w:szCs w:val="24"/>
          <w:highlight w:val="none"/>
          <w:lang w:val="en-US" w:eastAsia="zh-CN" w:bidi="ar-SA"/>
        </w:rPr>
        <w:instrText xml:space="preserve"> HYPERLINK \l _Toc4275 </w:instrText>
      </w:r>
      <w:r>
        <w:rPr>
          <w:rFonts w:hint="eastAsia" w:ascii="仿宋" w:hAnsi="仿宋" w:eastAsia="仿宋" w:cs="仿宋"/>
          <w:snapToGrid w:val="0"/>
          <w:color w:val="auto"/>
          <w:kern w:val="2"/>
          <w:sz w:val="24"/>
          <w:szCs w:val="24"/>
          <w:highlight w:val="none"/>
          <w:lang w:val="en-US" w:eastAsia="zh-CN" w:bidi="ar-SA"/>
        </w:rPr>
        <w:fldChar w:fldCharType="separate"/>
      </w:r>
      <w:r>
        <w:rPr>
          <w:rFonts w:hint="eastAsia" w:ascii="仿宋" w:hAnsi="仿宋" w:eastAsia="仿宋" w:cs="仿宋"/>
          <w:snapToGrid w:val="0"/>
          <w:color w:val="auto"/>
          <w:kern w:val="2"/>
          <w:sz w:val="24"/>
          <w:szCs w:val="24"/>
          <w:highlight w:val="none"/>
          <w:lang w:val="en-US" w:eastAsia="zh-CN" w:bidi="ar-SA"/>
        </w:rPr>
        <w:t>警用装备智能管理系统</w:t>
      </w:r>
      <w:r>
        <w:rPr>
          <w:rFonts w:hint="eastAsia" w:ascii="仿宋" w:hAnsi="仿宋" w:eastAsia="仿宋" w:cs="仿宋"/>
          <w:snapToGrid w:val="0"/>
          <w:color w:val="auto"/>
          <w:kern w:val="2"/>
          <w:sz w:val="24"/>
          <w:szCs w:val="24"/>
          <w:highlight w:val="none"/>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3.指挥中心及综合指挥应用管理平台</w:t>
      </w:r>
    </w:p>
    <w:p>
      <w:pPr>
        <w:keepNext w:val="0"/>
        <w:keepLines w:val="0"/>
        <w:pageBreakBefore w:val="0"/>
        <w:widowControl w:val="0"/>
        <w:numPr>
          <w:ilvl w:val="0"/>
          <w:numId w:val="12"/>
        </w:numPr>
        <w:tabs>
          <w:tab w:val="left" w:pos="28"/>
          <w:tab w:val="left" w:pos="420"/>
          <w:tab w:val="clear" w:pos="0"/>
        </w:tabs>
        <w:kinsoku/>
        <w:wordWrap/>
        <w:overflowPunct/>
        <w:topLinePunct w:val="0"/>
        <w:autoSpaceDE/>
        <w:autoSpaceDN/>
        <w:bidi w:val="0"/>
        <w:adjustRightInd/>
        <w:snapToGrid w:val="0"/>
        <w:spacing w:line="360" w:lineRule="auto"/>
        <w:ind w:left="113" w:leftChars="0" w:firstLine="307" w:firstLineChars="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指挥中心工程</w:t>
      </w:r>
    </w:p>
    <w:p>
      <w:pPr>
        <w:keepNext w:val="0"/>
        <w:keepLines w:val="0"/>
        <w:pageBreakBefore w:val="0"/>
        <w:widowControl w:val="0"/>
        <w:numPr>
          <w:ilvl w:val="0"/>
          <w:numId w:val="12"/>
        </w:numPr>
        <w:tabs>
          <w:tab w:val="left" w:pos="28"/>
          <w:tab w:val="left" w:pos="420"/>
          <w:tab w:val="clear" w:pos="0"/>
        </w:tabs>
        <w:kinsoku/>
        <w:wordWrap/>
        <w:overflowPunct/>
        <w:topLinePunct w:val="0"/>
        <w:autoSpaceDE/>
        <w:autoSpaceDN/>
        <w:bidi w:val="0"/>
        <w:adjustRightInd/>
        <w:snapToGrid w:val="0"/>
        <w:spacing w:line="360" w:lineRule="auto"/>
        <w:ind w:left="113" w:leftChars="0" w:firstLine="307" w:firstLineChars="0"/>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综合指挥应用管理平台</w:t>
      </w:r>
    </w:p>
    <w:bookmarkEnd w:id="37"/>
    <w:p>
      <w:pPr>
        <w:pStyle w:val="33"/>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包括：线缆改造、设备供货、安装调试、系统集成、项目验收以及技术培训和不少于三年7*24小时原厂免费设备保修和售后现场技术服务等。本项目系统需与监狱原有的应用系统有效对接、兼容，建成后满足整体提交建设单位运行使用。</w:t>
      </w:r>
    </w:p>
    <w:p>
      <w:pPr>
        <w:pStyle w:val="33"/>
        <w:spacing w:line="360" w:lineRule="auto"/>
        <w:ind w:firstLine="470" w:firstLineChars="196"/>
        <w:rPr>
          <w:rFonts w:hint="eastAsia" w:ascii="仿宋" w:hAnsi="仿宋" w:eastAsia="仿宋" w:cs="仿宋"/>
          <w:color w:val="auto"/>
          <w:sz w:val="24"/>
          <w:szCs w:val="24"/>
          <w:highlight w:val="none"/>
        </w:rPr>
      </w:pPr>
    </w:p>
    <w:p>
      <w:pPr>
        <w:pStyle w:val="33"/>
        <w:spacing w:line="360"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（二）对重点产品的演示要求：</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50"/>
        <w:jc w:val="left"/>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lang w:val="en-US" w:eastAsia="zh-CN"/>
        </w:rPr>
        <w:t>1.</w:t>
      </w:r>
      <w:r>
        <w:rPr>
          <w:rFonts w:hint="eastAsia" w:ascii="仿宋" w:hAnsi="仿宋" w:eastAsia="仿宋" w:cs="仿宋"/>
          <w:b w:val="0"/>
          <w:bCs/>
          <w:color w:val="auto"/>
          <w:kern w:val="2"/>
          <w:sz w:val="24"/>
          <w:szCs w:val="24"/>
          <w:highlight w:val="none"/>
        </w:rPr>
        <w:t>云存储</w:t>
      </w:r>
      <w:r>
        <w:rPr>
          <w:rFonts w:hint="eastAsia" w:ascii="仿宋" w:hAnsi="仿宋" w:eastAsia="仿宋" w:cs="仿宋"/>
          <w:b w:val="0"/>
          <w:bCs/>
          <w:color w:val="auto"/>
          <w:kern w:val="2"/>
          <w:sz w:val="24"/>
          <w:szCs w:val="24"/>
          <w:highlight w:val="none"/>
          <w:lang w:eastAsia="zh-CN"/>
        </w:rPr>
        <w:t>和</w:t>
      </w:r>
      <w:r>
        <w:rPr>
          <w:rFonts w:hint="eastAsia" w:ascii="仿宋" w:hAnsi="仿宋" w:eastAsia="仿宋" w:cs="仿宋"/>
          <w:b w:val="0"/>
          <w:bCs/>
          <w:color w:val="auto"/>
          <w:kern w:val="2"/>
          <w:sz w:val="24"/>
          <w:szCs w:val="24"/>
          <w:highlight w:val="none"/>
        </w:rPr>
        <w:t>人脸处理设备系统</w:t>
      </w:r>
      <w:r>
        <w:rPr>
          <w:rFonts w:hint="eastAsia" w:ascii="仿宋" w:hAnsi="仿宋" w:eastAsia="仿宋" w:cs="仿宋"/>
          <w:b w:val="0"/>
          <w:bCs/>
          <w:color w:val="auto"/>
          <w:kern w:val="2"/>
          <w:sz w:val="24"/>
          <w:szCs w:val="24"/>
          <w:highlight w:val="none"/>
          <w:lang w:eastAsia="zh-CN"/>
        </w:rPr>
        <w:t>功能</w:t>
      </w:r>
      <w:r>
        <w:rPr>
          <w:rFonts w:hint="eastAsia" w:ascii="仿宋" w:hAnsi="仿宋" w:eastAsia="仿宋" w:cs="仿宋"/>
          <w:color w:val="auto"/>
          <w:sz w:val="24"/>
          <w:szCs w:val="24"/>
          <w:highlight w:val="none"/>
        </w:rPr>
        <w:t>演示：</w:t>
      </w:r>
      <w:r>
        <w:rPr>
          <w:rFonts w:hint="eastAsia" w:ascii="仿宋" w:hAnsi="仿宋" w:eastAsia="仿宋" w:cs="仿宋"/>
          <w:b w:val="0"/>
          <w:bCs/>
          <w:color w:val="auto"/>
          <w:kern w:val="2"/>
          <w:sz w:val="24"/>
          <w:szCs w:val="24"/>
          <w:highlight w:val="none"/>
        </w:rPr>
        <w:t>1）支持通过</w:t>
      </w:r>
      <w:r>
        <w:rPr>
          <w:rFonts w:hint="eastAsia" w:ascii="仿宋" w:hAnsi="仿宋" w:eastAsia="仿宋" w:cs="仿宋"/>
          <w:b w:val="0"/>
          <w:bCs/>
          <w:color w:val="auto"/>
          <w:kern w:val="2"/>
          <w:sz w:val="24"/>
          <w:szCs w:val="24"/>
          <w:highlight w:val="none"/>
          <w:lang w:eastAsia="zh-CN"/>
        </w:rPr>
        <w:t>现</w:t>
      </w:r>
      <w:r>
        <w:rPr>
          <w:rFonts w:hint="eastAsia" w:ascii="仿宋" w:hAnsi="仿宋" w:eastAsia="仿宋" w:cs="仿宋"/>
          <w:b w:val="0"/>
          <w:bCs/>
          <w:color w:val="auto"/>
          <w:kern w:val="2"/>
          <w:sz w:val="24"/>
          <w:szCs w:val="24"/>
          <w:highlight w:val="none"/>
        </w:rPr>
        <w:t>有</w:t>
      </w:r>
      <w:r>
        <w:rPr>
          <w:rFonts w:hint="eastAsia" w:ascii="仿宋" w:hAnsi="仿宋" w:eastAsia="仿宋" w:cs="仿宋"/>
          <w:b w:val="0"/>
          <w:bCs/>
          <w:color w:val="auto"/>
          <w:kern w:val="2"/>
          <w:sz w:val="24"/>
          <w:szCs w:val="24"/>
          <w:highlight w:val="none"/>
          <w:lang w:eastAsia="zh-CN"/>
        </w:rPr>
        <w:t>安防综合管理</w:t>
      </w:r>
      <w:r>
        <w:rPr>
          <w:rFonts w:hint="eastAsia" w:ascii="仿宋" w:hAnsi="仿宋" w:eastAsia="仿宋" w:cs="仿宋"/>
          <w:b w:val="0"/>
          <w:bCs/>
          <w:color w:val="auto"/>
          <w:kern w:val="2"/>
          <w:sz w:val="24"/>
          <w:szCs w:val="24"/>
          <w:highlight w:val="none"/>
        </w:rPr>
        <w:t>平台对云存储系统实现录像计划配置、手动录像、事件录像、移动侦测录像等功能；2）人脸处理设备与</w:t>
      </w:r>
      <w:r>
        <w:rPr>
          <w:rFonts w:hint="eastAsia" w:ascii="仿宋" w:hAnsi="仿宋" w:eastAsia="仿宋" w:cs="仿宋"/>
          <w:b w:val="0"/>
          <w:bCs/>
          <w:color w:val="auto"/>
          <w:kern w:val="2"/>
          <w:sz w:val="24"/>
          <w:szCs w:val="24"/>
          <w:highlight w:val="none"/>
          <w:lang w:eastAsia="zh-CN"/>
        </w:rPr>
        <w:t>现</w:t>
      </w:r>
      <w:r>
        <w:rPr>
          <w:rFonts w:hint="eastAsia" w:ascii="仿宋" w:hAnsi="仿宋" w:eastAsia="仿宋" w:cs="仿宋"/>
          <w:b w:val="0"/>
          <w:bCs/>
          <w:color w:val="auto"/>
          <w:kern w:val="2"/>
          <w:sz w:val="24"/>
          <w:szCs w:val="24"/>
          <w:highlight w:val="none"/>
        </w:rPr>
        <w:t>有</w:t>
      </w:r>
      <w:r>
        <w:rPr>
          <w:rFonts w:hint="eastAsia" w:ascii="仿宋" w:hAnsi="仿宋" w:eastAsia="仿宋" w:cs="仿宋"/>
          <w:b w:val="0"/>
          <w:bCs/>
          <w:color w:val="auto"/>
          <w:kern w:val="2"/>
          <w:sz w:val="24"/>
          <w:szCs w:val="24"/>
          <w:highlight w:val="none"/>
          <w:lang w:eastAsia="zh-CN"/>
        </w:rPr>
        <w:t>安防综合管理</w:t>
      </w:r>
      <w:r>
        <w:rPr>
          <w:rFonts w:hint="eastAsia" w:ascii="仿宋" w:hAnsi="仿宋" w:eastAsia="仿宋" w:cs="仿宋"/>
          <w:b w:val="0"/>
          <w:bCs/>
          <w:color w:val="auto"/>
          <w:kern w:val="2"/>
          <w:sz w:val="24"/>
          <w:szCs w:val="24"/>
          <w:highlight w:val="none"/>
        </w:rPr>
        <w:t>平台无缝对接，实现基础功能演示（人脸布控、人脸分析、人脸检索、视频结构化处理</w:t>
      </w:r>
      <w:r>
        <w:rPr>
          <w:rFonts w:hint="eastAsia" w:ascii="仿宋" w:hAnsi="仿宋" w:eastAsia="仿宋" w:cs="仿宋"/>
          <w:b w:val="0"/>
          <w:bCs/>
          <w:color w:val="auto"/>
          <w:kern w:val="2"/>
          <w:sz w:val="24"/>
          <w:szCs w:val="24"/>
          <w:highlight w:val="none"/>
          <w:lang w:eastAsia="zh-CN"/>
        </w:rPr>
        <w:t>）；</w:t>
      </w:r>
      <w:r>
        <w:rPr>
          <w:rFonts w:hint="eastAsia" w:ascii="仿宋" w:hAnsi="仿宋" w:eastAsia="仿宋" w:cs="仿宋"/>
          <w:b w:val="0"/>
          <w:bCs/>
          <w:color w:val="auto"/>
          <w:kern w:val="2"/>
          <w:sz w:val="24"/>
          <w:szCs w:val="24"/>
          <w:highlight w:val="none"/>
          <w:lang w:val="en-US" w:eastAsia="zh-CN"/>
        </w:rPr>
        <w:t>3）</w:t>
      </w:r>
      <w:r>
        <w:rPr>
          <w:rFonts w:hint="eastAsia" w:ascii="仿宋" w:hAnsi="仿宋" w:eastAsia="仿宋" w:cs="仿宋"/>
          <w:b w:val="0"/>
          <w:bCs/>
          <w:color w:val="auto"/>
          <w:kern w:val="2"/>
          <w:sz w:val="24"/>
          <w:szCs w:val="24"/>
          <w:highlight w:val="none"/>
        </w:rPr>
        <w:t>拼接控制解码设备与</w:t>
      </w:r>
      <w:r>
        <w:rPr>
          <w:rFonts w:hint="eastAsia" w:ascii="仿宋" w:hAnsi="仿宋" w:eastAsia="仿宋" w:cs="仿宋"/>
          <w:b w:val="0"/>
          <w:bCs/>
          <w:color w:val="auto"/>
          <w:kern w:val="2"/>
          <w:sz w:val="24"/>
          <w:szCs w:val="24"/>
          <w:highlight w:val="none"/>
          <w:lang w:eastAsia="zh-CN"/>
        </w:rPr>
        <w:t>现</w:t>
      </w:r>
      <w:r>
        <w:rPr>
          <w:rFonts w:hint="eastAsia" w:ascii="仿宋" w:hAnsi="仿宋" w:eastAsia="仿宋" w:cs="仿宋"/>
          <w:b w:val="0"/>
          <w:bCs/>
          <w:color w:val="auto"/>
          <w:kern w:val="2"/>
          <w:sz w:val="24"/>
          <w:szCs w:val="24"/>
          <w:highlight w:val="none"/>
        </w:rPr>
        <w:t>有</w:t>
      </w:r>
      <w:r>
        <w:rPr>
          <w:rFonts w:hint="eastAsia" w:ascii="仿宋" w:hAnsi="仿宋" w:eastAsia="仿宋" w:cs="仿宋"/>
          <w:b w:val="0"/>
          <w:bCs/>
          <w:color w:val="auto"/>
          <w:kern w:val="2"/>
          <w:sz w:val="24"/>
          <w:szCs w:val="24"/>
          <w:highlight w:val="none"/>
          <w:lang w:eastAsia="zh-CN"/>
        </w:rPr>
        <w:t>安防综合管理</w:t>
      </w:r>
      <w:r>
        <w:rPr>
          <w:rFonts w:hint="eastAsia" w:ascii="仿宋" w:hAnsi="仿宋" w:eastAsia="仿宋" w:cs="仿宋"/>
          <w:b w:val="0"/>
          <w:bCs/>
          <w:color w:val="auto"/>
          <w:kern w:val="2"/>
          <w:sz w:val="24"/>
          <w:szCs w:val="24"/>
          <w:highlight w:val="none"/>
        </w:rPr>
        <w:t>平台无缝对接，实现基础功能演示（原有监控视频解码上墙、开窗、漫游</w:t>
      </w:r>
      <w:r>
        <w:rPr>
          <w:rFonts w:hint="eastAsia" w:ascii="仿宋" w:hAnsi="仿宋" w:eastAsia="仿宋" w:cs="仿宋"/>
          <w:b w:val="0"/>
          <w:bCs/>
          <w:color w:val="auto"/>
          <w:kern w:val="2"/>
          <w:sz w:val="24"/>
          <w:szCs w:val="24"/>
          <w:highlight w:val="none"/>
          <w:lang w:eastAsia="zh-CN"/>
        </w:rPr>
        <w:t>）。</w:t>
      </w:r>
      <w:r>
        <w:rPr>
          <w:rFonts w:hint="eastAsia" w:ascii="仿宋" w:hAnsi="仿宋" w:eastAsia="仿宋" w:cs="仿宋"/>
          <w:b w:val="0"/>
          <w:bCs/>
          <w:color w:val="auto"/>
          <w:kern w:val="2"/>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5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color w:val="auto"/>
          <w:sz w:val="24"/>
          <w:szCs w:val="24"/>
          <w:highlight w:val="none"/>
        </w:rPr>
        <w:t>监舍智能管理系统</w:t>
      </w:r>
      <w:r>
        <w:rPr>
          <w:rFonts w:hint="eastAsia" w:ascii="仿宋" w:hAnsi="仿宋" w:eastAsia="仿宋" w:cs="仿宋"/>
          <w:color w:val="auto"/>
          <w:sz w:val="24"/>
          <w:szCs w:val="24"/>
          <w:highlight w:val="none"/>
          <w:lang w:eastAsia="zh-CN"/>
        </w:rPr>
        <w:t>功能</w:t>
      </w:r>
      <w:r>
        <w:rPr>
          <w:rFonts w:hint="eastAsia" w:ascii="仿宋" w:hAnsi="仿宋" w:eastAsia="仿宋" w:cs="仿宋"/>
          <w:color w:val="auto"/>
          <w:sz w:val="24"/>
          <w:szCs w:val="24"/>
          <w:highlight w:val="none"/>
        </w:rPr>
        <w:t>演示。1)</w:t>
      </w:r>
      <w:r>
        <w:rPr>
          <w:rFonts w:hint="eastAsia" w:ascii="仿宋" w:hAnsi="仿宋" w:eastAsia="仿宋" w:cs="仿宋"/>
          <w:b w:val="0"/>
          <w:bCs/>
          <w:color w:val="auto"/>
          <w:sz w:val="24"/>
          <w:szCs w:val="24"/>
          <w:highlight w:val="none"/>
        </w:rPr>
        <w:t>“IP网络对讲分控主机”与“防暴型IP网络对讲分机”对讲时，可同屏同时显示“防暴型IP网络对讲分机”和联动的网络监控摄像机（IPC）2个视频画面，每个视频画面均可一键放大全屏显示</w:t>
      </w:r>
      <w:r>
        <w:rPr>
          <w:rFonts w:hint="eastAsia" w:ascii="仿宋" w:hAnsi="仿宋" w:eastAsia="仿宋" w:cs="仿宋"/>
          <w:color w:val="auto"/>
          <w:sz w:val="24"/>
          <w:szCs w:val="24"/>
          <w:highlight w:val="none"/>
        </w:rPr>
        <w:t>；2)</w:t>
      </w:r>
      <w:r>
        <w:rPr>
          <w:rFonts w:hint="eastAsia" w:ascii="仿宋" w:hAnsi="仿宋" w:eastAsia="仿宋" w:cs="仿宋"/>
          <w:b w:val="0"/>
          <w:bCs/>
          <w:color w:val="auto"/>
          <w:sz w:val="24"/>
          <w:szCs w:val="24"/>
          <w:highlight w:val="none"/>
        </w:rPr>
        <w:t>“IP网络智能多功能分机”支持通过人脸识别方式进行点名，点名的同时可测量被点名人员额头温度，温度误差不高于0.5摄氏度；“IP网络智能多功能分机”可监视监听监仓内“防暴型IP网络对讲分机”，并可与“防暴型IP网络对讲分机”进行对讲</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right="-109" w:rightChars="-52" w:firstLine="600" w:firstLineChars="2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智能语音交互系统功能演示：1）指挥调度：需现场演示语音调度功能：通过语音技术调度监控视频或者地图定位等功能</w:t>
      </w:r>
      <w:r>
        <w:rPr>
          <w:rFonts w:hint="eastAsia" w:ascii="仿宋" w:hAnsi="仿宋" w:eastAsia="仿宋" w:cs="仿宋"/>
          <w:color w:val="auto"/>
          <w:sz w:val="24"/>
          <w:highlight w:val="none"/>
          <w:lang w:eastAsia="zh-CN"/>
        </w:rPr>
        <w:t>，针对近距离麦克风拾音，中文标准普通话，其识别率在</w:t>
      </w:r>
      <w:r>
        <w:rPr>
          <w:rFonts w:hint="eastAsia" w:ascii="仿宋" w:hAnsi="仿宋" w:eastAsia="仿宋" w:cs="仿宋"/>
          <w:color w:val="auto"/>
          <w:sz w:val="24"/>
          <w:highlight w:val="none"/>
          <w:lang w:val="en-US" w:eastAsia="zh-CN"/>
        </w:rPr>
        <w:t>95%以上，可以根据业务场景配各自业务所需的语音调度指令集</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亲情电话：</w:t>
      </w:r>
      <w:r>
        <w:rPr>
          <w:rFonts w:hint="eastAsia" w:ascii="仿宋" w:hAnsi="仿宋" w:eastAsia="仿宋" w:cs="仿宋"/>
          <w:color w:val="auto"/>
          <w:sz w:val="24"/>
          <w:highlight w:val="none"/>
        </w:rPr>
        <w:t>需现场演示包含以下敏感词相关功能：敏感词设置 、敏感词自动检出、敏感词预警播报、敏感词统计展示</w:t>
      </w:r>
      <w:r>
        <w:rPr>
          <w:rFonts w:hint="eastAsia" w:ascii="仿宋" w:hAnsi="仿宋" w:eastAsia="仿宋" w:cs="仿宋"/>
          <w:color w:val="auto"/>
          <w:sz w:val="24"/>
          <w:highlight w:val="none"/>
          <w:lang w:eastAsia="zh-CN"/>
        </w:rPr>
        <w:t>，针对电话信道的声源中文标准普通话，其识别准确率在</w:t>
      </w:r>
      <w:r>
        <w:rPr>
          <w:rFonts w:hint="eastAsia" w:ascii="仿宋" w:hAnsi="仿宋" w:eastAsia="仿宋" w:cs="仿宋"/>
          <w:color w:val="auto"/>
          <w:sz w:val="24"/>
          <w:highlight w:val="none"/>
          <w:lang w:val="en-US" w:eastAsia="zh-CN"/>
        </w:rPr>
        <w:t>90%以上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3）会议系统：需现场演示语音随讲随翻功能：支持通过语音调度技术，对会议材料进行随讲随翻</w:t>
      </w:r>
      <w:r>
        <w:rPr>
          <w:rFonts w:hint="eastAsia" w:ascii="仿宋" w:hAnsi="仿宋" w:eastAsia="仿宋" w:cs="仿宋"/>
          <w:color w:val="auto"/>
          <w:sz w:val="24"/>
          <w:highlight w:val="none"/>
          <w:lang w:eastAsia="zh-CN"/>
        </w:rPr>
        <w:t>。</w:t>
      </w:r>
    </w:p>
    <w:p>
      <w:pPr>
        <w:pStyle w:val="2"/>
        <w:rPr>
          <w:rFonts w:hint="eastAsia"/>
          <w:color w:val="auto"/>
          <w:highlight w:val="none"/>
          <w:lang w:val="en-US"/>
        </w:rPr>
      </w:pPr>
    </w:p>
    <w:p>
      <w:pPr>
        <w:pStyle w:val="33"/>
        <w:spacing w:line="360" w:lineRule="auto"/>
        <w:ind w:firstLine="472" w:firstLineChars="196"/>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（三）项目组成员要求：</w:t>
      </w:r>
    </w:p>
    <w:p>
      <w:pPr>
        <w:snapToGrid w:val="0"/>
        <w:spacing w:line="360" w:lineRule="auto"/>
        <w:ind w:firstLine="480" w:firstLineChars="200"/>
        <w:jc w:val="left"/>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1、项目负责人应具有机电工程专业一级建造师、高级工程师职称，投标文件中提供相关证书证明材料，项目组成员需提供本公司6个月以上社保缴纳证明</w:t>
      </w:r>
      <w:r>
        <w:rPr>
          <w:rFonts w:hint="eastAsia" w:ascii="仿宋" w:hAnsi="仿宋" w:eastAsia="仿宋" w:cs="仿宋"/>
          <w:snapToGrid w:val="0"/>
          <w:color w:val="auto"/>
          <w:sz w:val="24"/>
          <w:highlight w:val="none"/>
          <w:lang w:val="en-US" w:eastAsia="zh-CN"/>
        </w:rPr>
        <w:t>[</w:t>
      </w:r>
      <w:r>
        <w:rPr>
          <w:rFonts w:hint="eastAsia" w:ascii="仿宋" w:hAnsi="仿宋" w:eastAsia="仿宋" w:cs="仿宋"/>
          <w:snapToGrid w:val="0"/>
          <w:color w:val="auto"/>
          <w:sz w:val="24"/>
          <w:highlight w:val="none"/>
        </w:rPr>
        <w:t>由社保机构在采购活动期间（招标公告发布日至投标截止日）出具</w:t>
      </w:r>
      <w:r>
        <w:rPr>
          <w:rFonts w:hint="eastAsia" w:ascii="仿宋" w:hAnsi="仿宋" w:eastAsia="仿宋" w:cs="仿宋"/>
          <w:snapToGrid w:val="0"/>
          <w:color w:val="auto"/>
          <w:sz w:val="24"/>
          <w:highlight w:val="none"/>
          <w:lang w:val="en-US" w:eastAsia="zh-CN"/>
        </w:rPr>
        <w:t>]</w:t>
      </w:r>
      <w:r>
        <w:rPr>
          <w:rFonts w:hint="eastAsia" w:ascii="仿宋" w:hAnsi="仿宋" w:eastAsia="仿宋" w:cs="仿宋"/>
          <w:snapToGrid w:val="0"/>
          <w:color w:val="auto"/>
          <w:sz w:val="24"/>
          <w:highlight w:val="none"/>
        </w:rPr>
        <w:t>。</w:t>
      </w:r>
    </w:p>
    <w:p>
      <w:pPr>
        <w:pStyle w:val="2"/>
        <w:spacing w:line="360" w:lineRule="auto"/>
        <w:ind w:firstLine="480" w:firstLineChars="200"/>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2、投标人应具有较强的服务能力，并配有较强的专业技术队伍，提供快速的售后服务响应，对故障能即时响应，3小时内到现场。投标人还应具有专门针对本项目的备品备件保障能力，遇到设备故障时，须有效替换设备，24小时内解决问题。对疑难故障须根据实际需要提供多名技术支撑人员进行现场维护。维修人员需在接到维修电话后3个小时内解决问题，对6小时内不能修理完毕并正常使用的设备，中标人须提交明确的维修期限和解决方案，同时提供备品备件免费供建设单位使用。中标人每半年需对系统运行情况进行一次全面</w:t>
      </w:r>
      <w:r>
        <w:rPr>
          <w:rFonts w:hint="eastAsia" w:ascii="仿宋" w:hAnsi="仿宋" w:eastAsia="仿宋" w:cs="仿宋"/>
          <w:color w:val="auto"/>
          <w:szCs w:val="24"/>
          <w:highlight w:val="none"/>
          <w:lang w:val="en-US" w:eastAsia="zh-CN"/>
        </w:rPr>
        <w:t>巡查</w:t>
      </w:r>
      <w:r>
        <w:rPr>
          <w:rFonts w:hint="eastAsia" w:ascii="仿宋" w:hAnsi="仿宋" w:eastAsia="仿宋" w:cs="仿宋"/>
          <w:color w:val="auto"/>
          <w:szCs w:val="24"/>
          <w:highlight w:val="none"/>
          <w:lang w:val="en-US"/>
        </w:rPr>
        <w:t>调试，质保期满后提供一套完整的运行</w:t>
      </w:r>
      <w:r>
        <w:rPr>
          <w:rFonts w:hint="eastAsia" w:ascii="仿宋" w:hAnsi="仿宋" w:eastAsia="仿宋" w:cs="仿宋"/>
          <w:color w:val="auto"/>
          <w:szCs w:val="24"/>
          <w:highlight w:val="none"/>
          <w:lang w:val="en-US" w:eastAsia="zh-CN"/>
        </w:rPr>
        <w:t>维护</w:t>
      </w:r>
      <w:r>
        <w:rPr>
          <w:rFonts w:hint="eastAsia" w:ascii="仿宋" w:hAnsi="仿宋" w:eastAsia="仿宋" w:cs="仿宋"/>
          <w:color w:val="auto"/>
          <w:szCs w:val="24"/>
          <w:highlight w:val="none"/>
          <w:lang w:val="en-US"/>
        </w:rPr>
        <w:t>记录。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3、实施地址：杭州市南郊监狱（萧山区杭新路8号）及其指定地址。</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4、项目实施时间：</w:t>
      </w:r>
      <w:r>
        <w:rPr>
          <w:rFonts w:hint="eastAsia" w:ascii="仿宋" w:hAnsi="仿宋" w:eastAsia="仿宋" w:cs="仿宋"/>
          <w:color w:val="auto"/>
          <w:sz w:val="24"/>
          <w:szCs w:val="24"/>
          <w:highlight w:val="none"/>
        </w:rPr>
        <w:t>项目实施时间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个月，合同签订后</w:t>
      </w:r>
      <w:r>
        <w:rPr>
          <w:rFonts w:hint="eastAsia" w:ascii="仿宋" w:hAnsi="仿宋" w:eastAsia="仿宋" w:cs="仿宋"/>
          <w:color w:val="auto"/>
          <w:sz w:val="24"/>
          <w:szCs w:val="24"/>
          <w:highlight w:val="none"/>
          <w:lang w:val="en-US" w:eastAsia="zh-CN"/>
        </w:rPr>
        <w:t>180</w:t>
      </w:r>
      <w:r>
        <w:rPr>
          <w:rFonts w:hint="eastAsia" w:ascii="仿宋" w:hAnsi="仿宋" w:eastAsia="仿宋" w:cs="仿宋"/>
          <w:color w:val="auto"/>
          <w:sz w:val="24"/>
          <w:szCs w:val="24"/>
          <w:highlight w:val="none"/>
        </w:rPr>
        <w:t>日历天内</w:t>
      </w:r>
      <w:r>
        <w:rPr>
          <w:rFonts w:hint="eastAsia" w:ascii="仿宋" w:hAnsi="仿宋" w:eastAsia="仿宋" w:cs="仿宋"/>
          <w:color w:val="auto"/>
          <w:sz w:val="24"/>
          <w:szCs w:val="24"/>
          <w:highlight w:val="none"/>
          <w:lang w:val="zh-CN"/>
        </w:rPr>
        <w:t>完成清单设备的安装、调试和集成工作；设备投入运行后，由采购人组织验收</w:t>
      </w:r>
      <w:r>
        <w:rPr>
          <w:rFonts w:hint="eastAsia" w:ascii="仿宋" w:hAnsi="仿宋" w:eastAsia="仿宋" w:cs="仿宋"/>
          <w:color w:val="auto"/>
          <w:sz w:val="24"/>
          <w:szCs w:val="24"/>
          <w:highlight w:val="none"/>
        </w:rPr>
        <w:t>；培训、试运行1个月。</w:t>
      </w:r>
    </w:p>
    <w:p>
      <w:pPr>
        <w:pStyle w:val="33"/>
        <w:spacing w:line="360" w:lineRule="auto"/>
        <w:ind w:firstLine="472" w:firstLineChars="196"/>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四</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本项目政府强制采购的节能产品清单</w:t>
      </w: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0"/>
        <w:gridCol w:w="5361"/>
        <w:gridCol w:w="1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8186" w:type="dxa"/>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32"/>
                <w:szCs w:val="32"/>
                <w:highlight w:val="none"/>
                <w:u w:val="none"/>
              </w:rPr>
            </w:pPr>
            <w:r>
              <w:rPr>
                <w:rFonts w:hint="eastAsia" w:ascii="仿宋" w:hAnsi="仿宋" w:eastAsia="仿宋" w:cs="仿宋"/>
                <w:b w:val="0"/>
                <w:bCs w:val="0"/>
                <w:color w:val="auto"/>
                <w:sz w:val="32"/>
                <w:szCs w:val="32"/>
                <w:highlight w:val="none"/>
                <w:lang w:eastAsia="zh-CN"/>
              </w:rPr>
              <w:t>本项目政府强制采购的节能产品清单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序号</w:t>
            </w:r>
          </w:p>
        </w:tc>
        <w:tc>
          <w:tcPr>
            <w:tcW w:w="53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产品名称</w:t>
            </w:r>
          </w:p>
        </w:tc>
        <w:tc>
          <w:tcPr>
            <w:tcW w:w="18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5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行间级精密空调</w:t>
            </w:r>
          </w:p>
        </w:tc>
        <w:tc>
          <w:tcPr>
            <w:tcW w:w="18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提供节能产品认证证书。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5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精密空调</w:t>
            </w:r>
          </w:p>
        </w:tc>
        <w:tc>
          <w:tcPr>
            <w:tcW w:w="1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w:t>
            </w:r>
          </w:p>
        </w:tc>
        <w:tc>
          <w:tcPr>
            <w:tcW w:w="5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室外机</w:t>
            </w:r>
          </w:p>
        </w:tc>
        <w:tc>
          <w:tcPr>
            <w:tcW w:w="1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5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1P空调</w:t>
            </w:r>
          </w:p>
        </w:tc>
        <w:tc>
          <w:tcPr>
            <w:tcW w:w="1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5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1.5P空调</w:t>
            </w:r>
          </w:p>
        </w:tc>
        <w:tc>
          <w:tcPr>
            <w:tcW w:w="1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53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室内全彩色屏体(P2)</w:t>
            </w:r>
          </w:p>
        </w:tc>
        <w:tc>
          <w:tcPr>
            <w:tcW w:w="1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536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管理终端</w:t>
            </w:r>
          </w:p>
        </w:tc>
        <w:tc>
          <w:tcPr>
            <w:tcW w:w="1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5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65寸LCD播控一体机(带互动触摸)</w:t>
            </w:r>
          </w:p>
        </w:tc>
        <w:tc>
          <w:tcPr>
            <w:tcW w:w="1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w:t>
            </w:r>
          </w:p>
        </w:tc>
        <w:tc>
          <w:tcPr>
            <w:tcW w:w="5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★LED无缝拼接高清监控大屏</w:t>
            </w:r>
          </w:p>
        </w:tc>
        <w:tc>
          <w:tcPr>
            <w:tcW w:w="1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5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监控中心高级管理终端 </w:t>
            </w:r>
          </w:p>
        </w:tc>
        <w:tc>
          <w:tcPr>
            <w:tcW w:w="1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w:t>
            </w:r>
          </w:p>
        </w:tc>
        <w:tc>
          <w:tcPr>
            <w:tcW w:w="5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15.6寸超薄双面联动触摸升降一体机（含嵌入式无纸化会议控制系统）</w:t>
            </w:r>
          </w:p>
        </w:tc>
        <w:tc>
          <w:tcPr>
            <w:tcW w:w="1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w:t>
            </w:r>
          </w:p>
        </w:tc>
        <w:tc>
          <w:tcPr>
            <w:tcW w:w="5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24寸曲面液晶升降超薄一体机（含嵌入式无纸化会议控制系统）</w:t>
            </w:r>
          </w:p>
        </w:tc>
        <w:tc>
          <w:tcPr>
            <w:tcW w:w="1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w:t>
            </w:r>
          </w:p>
        </w:tc>
        <w:tc>
          <w:tcPr>
            <w:tcW w:w="5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会议终端</w:t>
            </w:r>
          </w:p>
        </w:tc>
        <w:tc>
          <w:tcPr>
            <w:tcW w:w="1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eastAsia="宋体" w:cs="宋体"/>
                <w:i w:val="0"/>
                <w:color w:val="auto"/>
                <w:kern w:val="0"/>
                <w:sz w:val="20"/>
                <w:szCs w:val="20"/>
                <w:highlight w:val="none"/>
                <w:u w:val="none"/>
                <w:lang w:val="en-US" w:eastAsia="zh-CN" w:bidi="ar"/>
              </w:rPr>
              <w:t>14</w:t>
            </w:r>
          </w:p>
        </w:tc>
        <w:tc>
          <w:tcPr>
            <w:tcW w:w="5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无线触摸屏</w:t>
            </w:r>
          </w:p>
        </w:tc>
        <w:tc>
          <w:tcPr>
            <w:tcW w:w="18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bl>
    <w:p>
      <w:pPr>
        <w:pStyle w:val="33"/>
        <w:numPr>
          <w:ilvl w:val="0"/>
          <w:numId w:val="0"/>
        </w:numPr>
        <w:spacing w:line="360" w:lineRule="auto"/>
        <w:ind w:leftChars="0"/>
        <w:rPr>
          <w:rFonts w:hint="default" w:ascii="仿宋" w:hAnsi="仿宋" w:eastAsia="仿宋" w:cs="仿宋"/>
          <w:b/>
          <w:bCs/>
          <w:color w:val="auto"/>
          <w:sz w:val="24"/>
          <w:szCs w:val="24"/>
          <w:highlight w:val="none"/>
          <w:lang w:val="en-US" w:eastAsia="zh-CN"/>
        </w:rPr>
      </w:pPr>
      <w:r>
        <w:rPr>
          <w:rFonts w:hint="eastAsia" w:ascii="仿宋_GB2312" w:hAnsi="仿宋" w:eastAsia="仿宋_GB2312"/>
          <w:b/>
          <w:color w:val="auto"/>
          <w:sz w:val="24"/>
          <w:highlight w:val="none"/>
          <w:lang w:eastAsia="zh-CN"/>
        </w:rPr>
        <w:t>备注：根据</w:t>
      </w:r>
      <w:r>
        <w:rPr>
          <w:rFonts w:hint="eastAsia" w:ascii="仿宋_GB2312" w:hAnsi="仿宋" w:eastAsia="仿宋_GB2312"/>
          <w:b/>
          <w:color w:val="auto"/>
          <w:sz w:val="24"/>
          <w:highlight w:val="none"/>
        </w:rPr>
        <w:t>政府强制采购的</w:t>
      </w:r>
      <w:r>
        <w:rPr>
          <w:rFonts w:hint="eastAsia" w:ascii="仿宋" w:hAnsi="仿宋" w:eastAsia="仿宋" w:cs="仿宋"/>
          <w:b/>
          <w:bCs/>
          <w:color w:val="auto"/>
          <w:sz w:val="24"/>
          <w:szCs w:val="24"/>
          <w:highlight w:val="none"/>
          <w:lang w:val="en-US" w:eastAsia="zh-CN"/>
        </w:rPr>
        <w:t>《节能产品政府采购品目清单》范围，</w:t>
      </w:r>
      <w:r>
        <w:rPr>
          <w:rFonts w:hint="eastAsia" w:ascii="仿宋_GB2312" w:hAnsi="仿宋" w:eastAsia="仿宋_GB2312"/>
          <w:b/>
          <w:color w:val="auto"/>
          <w:sz w:val="24"/>
          <w:highlight w:val="none"/>
        </w:rPr>
        <w:t>投标人按要求提供国家确定的认证机构出具的、处于有效期之内的节能产品认证证书</w:t>
      </w:r>
      <w:r>
        <w:rPr>
          <w:rFonts w:hint="eastAsia" w:ascii="仿宋_GB2312" w:hAnsi="仿宋" w:eastAsia="仿宋_GB2312"/>
          <w:b/>
          <w:color w:val="auto"/>
          <w:sz w:val="24"/>
          <w:highlight w:val="none"/>
          <w:lang w:eastAsia="zh-CN"/>
        </w:rPr>
        <w:t>，包含且不限于上述清单所列产品</w:t>
      </w:r>
      <w:r>
        <w:rPr>
          <w:rFonts w:hint="eastAsia" w:ascii="仿宋_GB2312" w:hAnsi="仿宋" w:eastAsia="仿宋_GB2312"/>
          <w:b/>
          <w:color w:val="auto"/>
          <w:sz w:val="24"/>
          <w:highlight w:val="none"/>
        </w:rPr>
        <w:t>。</w:t>
      </w:r>
    </w:p>
    <w:p>
      <w:pPr>
        <w:pStyle w:val="33"/>
        <w:numPr>
          <w:ilvl w:val="0"/>
          <w:numId w:val="0"/>
        </w:numPr>
        <w:spacing w:line="360" w:lineRule="auto"/>
        <w:rPr>
          <w:rFonts w:hint="eastAsia" w:ascii="仿宋" w:hAnsi="仿宋" w:eastAsia="仿宋" w:cs="仿宋"/>
          <w:b/>
          <w:color w:val="auto"/>
          <w:sz w:val="36"/>
          <w:szCs w:val="36"/>
          <w:highlight w:val="none"/>
          <w:lang w:eastAsia="zh-CN"/>
        </w:rPr>
      </w:pPr>
    </w:p>
    <w:p>
      <w:pPr>
        <w:pStyle w:val="33"/>
        <w:numPr>
          <w:ilvl w:val="0"/>
          <w:numId w:val="0"/>
        </w:numPr>
        <w:spacing w:line="360" w:lineRule="auto"/>
        <w:rPr>
          <w:rFonts w:hint="eastAsia" w:ascii="仿宋_GB2312" w:eastAsia="仿宋_GB2312"/>
          <w:b/>
          <w:color w:val="auto"/>
          <w:sz w:val="28"/>
          <w:szCs w:val="28"/>
          <w:highlight w:val="none"/>
        </w:rPr>
      </w:pPr>
      <w:r>
        <w:rPr>
          <w:rFonts w:hint="eastAsia" w:ascii="仿宋" w:hAnsi="仿宋" w:eastAsia="仿宋" w:cs="仿宋"/>
          <w:b/>
          <w:color w:val="auto"/>
          <w:sz w:val="36"/>
          <w:szCs w:val="36"/>
          <w:highlight w:val="none"/>
          <w:lang w:eastAsia="zh-CN"/>
        </w:rPr>
        <w:t>二、</w:t>
      </w:r>
      <w:r>
        <w:rPr>
          <w:rFonts w:hint="eastAsia" w:ascii="仿宋" w:hAnsi="仿宋" w:eastAsia="仿宋" w:cs="仿宋"/>
          <w:b/>
          <w:color w:val="auto"/>
          <w:sz w:val="36"/>
          <w:szCs w:val="36"/>
          <w:highlight w:val="none"/>
        </w:rPr>
        <w:t>项目</w:t>
      </w:r>
      <w:r>
        <w:rPr>
          <w:rFonts w:hint="eastAsia" w:ascii="仿宋" w:hAnsi="仿宋" w:eastAsia="仿宋" w:cs="仿宋"/>
          <w:b/>
          <w:color w:val="auto"/>
          <w:sz w:val="36"/>
          <w:szCs w:val="36"/>
          <w:highlight w:val="none"/>
          <w:lang w:eastAsia="zh-CN"/>
        </w:rPr>
        <w:t>的采购清单</w:t>
      </w:r>
    </w:p>
    <w:p>
      <w:pPr>
        <w:spacing w:line="500" w:lineRule="exact"/>
        <w:ind w:firstLine="562" w:firstLineChars="200"/>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附件：</w:t>
      </w:r>
      <w:r>
        <w:rPr>
          <w:rFonts w:hint="eastAsia" w:ascii="仿宋_GB2312" w:hAnsi="宋体" w:eastAsia="仿宋_GB2312"/>
          <w:b/>
          <w:bCs/>
          <w:color w:val="auto"/>
          <w:sz w:val="28"/>
          <w:szCs w:val="28"/>
          <w:highlight w:val="none"/>
        </w:rPr>
        <w:t>杭州市</w:t>
      </w:r>
      <w:r>
        <w:rPr>
          <w:rFonts w:hint="eastAsia" w:ascii="仿宋_GB2312" w:hAnsi="宋体" w:eastAsia="仿宋_GB2312"/>
          <w:b/>
          <w:bCs/>
          <w:color w:val="auto"/>
          <w:sz w:val="28"/>
          <w:szCs w:val="28"/>
          <w:highlight w:val="none"/>
          <w:lang w:eastAsia="zh-CN"/>
        </w:rPr>
        <w:t>南郊监狱改扩建工程安防建设项目采购</w:t>
      </w:r>
      <w:r>
        <w:rPr>
          <w:rFonts w:hint="eastAsia" w:ascii="仿宋_GB2312" w:hAnsi="宋体" w:eastAsia="仿宋_GB2312"/>
          <w:b/>
          <w:bCs/>
          <w:color w:val="auto"/>
          <w:sz w:val="28"/>
          <w:szCs w:val="28"/>
          <w:highlight w:val="none"/>
        </w:rPr>
        <w:t>清</w:t>
      </w:r>
      <w:r>
        <w:rPr>
          <w:rFonts w:hint="eastAsia" w:ascii="仿宋_GB2312" w:eastAsia="仿宋_GB2312"/>
          <w:b/>
          <w:color w:val="auto"/>
          <w:sz w:val="28"/>
          <w:szCs w:val="28"/>
          <w:highlight w:val="none"/>
        </w:rPr>
        <w:t>单</w:t>
      </w:r>
    </w:p>
    <w:tbl>
      <w:tblPr>
        <w:tblStyle w:val="6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3"/>
        <w:gridCol w:w="630"/>
        <w:gridCol w:w="4920"/>
        <w:gridCol w:w="93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bidi="ar"/>
              </w:rPr>
              <w:t>序号</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bidi="ar"/>
              </w:rPr>
              <w:t>名称</w:t>
            </w:r>
          </w:p>
        </w:tc>
        <w:tc>
          <w:tcPr>
            <w:tcW w:w="492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bidi="ar"/>
              </w:rPr>
              <w:t>主要参数</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bidi="ar"/>
              </w:rPr>
              <w:t>单位</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bidi="ar"/>
              </w:rPr>
              <w:t>工程数量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c>
          <w:tcPr>
            <w:tcW w:w="5550" w:type="dxa"/>
            <w:gridSpan w:val="2"/>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bidi="ar"/>
              </w:rPr>
              <w:t>一、基础设施</w:t>
            </w:r>
          </w:p>
        </w:tc>
        <w:tc>
          <w:tcPr>
            <w:tcW w:w="930" w:type="dxa"/>
            <w:tcBorders>
              <w:tl2br w:val="nil"/>
              <w:tr2bl w:val="nil"/>
            </w:tcBorders>
            <w:shd w:val="clear" w:color="auto" w:fill="FFFFFF"/>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c>
          <w:tcPr>
            <w:tcW w:w="1260" w:type="dxa"/>
            <w:tcBorders>
              <w:tl2br w:val="nil"/>
              <w:tr2bl w:val="nil"/>
            </w:tcBorders>
            <w:shd w:val="clear" w:color="auto" w:fill="FFFFFF"/>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1.1</w:t>
            </w:r>
          </w:p>
        </w:tc>
        <w:tc>
          <w:tcPr>
            <w:tcW w:w="5550" w:type="dxa"/>
            <w:gridSpan w:val="2"/>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综合运维管理系统</w:t>
            </w:r>
          </w:p>
        </w:tc>
        <w:tc>
          <w:tcPr>
            <w:tcW w:w="930" w:type="dxa"/>
            <w:tcBorders>
              <w:tl2br w:val="nil"/>
              <w:tr2bl w:val="nil"/>
            </w:tcBorders>
            <w:shd w:val="clear" w:color="auto" w:fill="FFFFFF"/>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1260" w:type="dxa"/>
            <w:tcBorders>
              <w:tl2br w:val="nil"/>
              <w:tr2bl w:val="nil"/>
            </w:tcBorders>
            <w:shd w:val="clear" w:color="auto" w:fill="FFFFFF"/>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（一）IT可视化运维监管平台</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网络设备监测软件模块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可直观显示网络设备实时运行状况。支持网络拓扑图的自动发现功能，可直观查看网络设备的基本属性，如当前设备的状态、IP地址、MAC地址、网络连接等设备信息。监测包括华三、华为等设备的网络流量、设备性能，采集Ping状态、设备累计运行时间、CPU利用率、内存利用率、进程信息、端口状态、VLAN信息、日志文件、网络流量、丢包率、设备电源、硬盘状态、风扇等监测指标。</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主机操作系统监测软件模块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支持UNIX、LINUX、WINDOWS及国产操作系统（中标麒麟、银河麒麟、统信UOS等）主机，UNIX系统包括SUN Solaris，HP UNIX，IBM AIX等；采集信息包括CPU、内存、磁盘空间、重要进程、服务、网卡流量、日志文件、文件系统等。提供对Windows、IBMAIX、SUNSolaris、HP-UNIX、Linux、CentOS、NovellSuse、FreeBSD及国产操作系统实现监控管理支持主机运行的实时参数显示；支持主机一体化展现图.可以在一张图上展现主机日志、主机的应用使用情况； 可通过纯软件方式直接对设备硬件进行可视化，图形化管理。</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存储监测软件模块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系统支持目前主要使用的华为、华三、海康、大华、宇视等存储，同时支持国内外主流的存储设备，如Unisys，IBM，SUN，HP，EMC、NetApp等多厂家平台及系统，也支持磁盘阵列、磁带库等存储对象的监控，本系统支持应用与存储监测模块需实时监控各类实战应用和网络基础服务的可用性（如DNS、HTTP、HTTPS、TCP、FTP、邮件系统（Exchange、Domino等）、web服务（APACHE、NGINX、IIS等）</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数据库监测软件模块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系统提供ORACLE、MSSQL、MySQL、SYBASE、DB2及各类国产数据库（人大金仓、达梦、南大通用等数据库）的监测。监测连接时间、例程名、例程开始时间、归档日志模式、会话数、连接数、事务总数、死锁数、命中率、内存、表空间、系统等待时间以及用户自定义等指标，要求对数据库的监控指标不少于70个。</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虚拟主机监测软件模块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虚拟机监控：系统支持Vmware ESX/ESXi、KVM及国产虚拟机软件，实时监测虚拟机，支持如下内容：监测物理服务器和虚拟服务器及其相互之间的映射关系；监控虚拟服务器配置、磁盘、网络、性能等指标，对可用性进行自动评估； 对虚拟服务器上部署的VM虚拟进行监测；可监控虚拟机的所有物理和虚拟组件；保证VMware ESX/ESXi主机服务器及其中的虚拟机正常运行；在影响到最终用户前，及时发现和排除问题；采用无代理监控模式，易于配置和管理实现。要求对虚拟机的监控指标不少于90个</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防火墙监测软件模块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系统支持H3C、华为、迪普、深信服、奇安信、安恒、天融信等国产品牌的防火墙</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资产管理</w:t>
            </w:r>
          </w:p>
        </w:tc>
        <w:tc>
          <w:tcPr>
            <w:tcW w:w="492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IT资产类型多样，数量庞大，如何保障资产的真实性和可靠性，需要建立一套合规的工作流程。通过于ITSM的结合，来进行资产的全生命周期管理，配置管理的范围包括: IT服务所依托的运行环境和以及用户使用的IT设备，包括计机房环境设备、网络设备、服务器、存储、安全设备、客户机、软件、文档、办公设备等。配置和资产管理通过定义并核实相关配置项纪录的准确，并通过变更管理维护正确的信息，使其能够为事件、问题、变更和发布的IT服务管理过程提供支持。要求支持设备二维码标签管理，资产的维保告警。机房资产的2D，3D实景展示</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运维管理模块</w:t>
            </w:r>
          </w:p>
        </w:tc>
        <w:tc>
          <w:tcPr>
            <w:tcW w:w="492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工单报修管理是解决IT服务中的突发设备故障、服务请求，通过工单报修管理尽快恢复被中断或受到影响的IT服务，以满足IT设备正常持续运行。服务台与工单报修管理相结合就构成了从设备故障发生到得到修复的整体流程，通过对工单报修的相关环节进行规范，从工单报修的记录开始，经过分类和初步支持、调查与诊断、修复和恢复，直到与客户确认后工单关闭，流程中的各个环节流转有序。通过工单报修登记、工单分配到相关报修人员，报修人员维修，角色明确，责任到人，从而达到在发生工单报修后，能在最短的时间内解决并修复设备，使设备能再次投入正常运行，以提高客户满意度。要求支持与网络安全的告警对接，通过自动化工单的方式流转整个流程。</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运维监管软件主平台</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支持分布式部署，支持远程监控管理。支持在统一平台上实现IT基础网络、操作系统、存储、虚拟机、数据库、中间件和应用服务、机房动力环境（温湿度、漏水，UPS，空调、视频、门禁）等监测，实现统一的报警管理，支持自定义拓扑图功能，提供多种视图的展现。在监控过程中发生的事件，通过报警平台，以短信、电话、邮件、语音和声光等多种方式报警。能够提供综合数据展现功能，集中展示各类统计/实时数据。可以根据业务模型灵活展现业务系统、业务服务与IT组件之间的关系。支持应用视图、链路视图、位置视图等全局汇总及明细视图管理与展示。支持层次化的监视视图展示。需提供完全开放的SDK开发包，并通过与机房动环监控系统的对接，实现统一管理。</w:t>
            </w:r>
            <w:r>
              <w:rPr>
                <w:rStyle w:val="366"/>
                <w:rFonts w:hint="eastAsia" w:ascii="仿宋" w:hAnsi="仿宋" w:eastAsia="仿宋" w:cs="仿宋"/>
                <w:color w:val="auto"/>
                <w:highlight w:val="none"/>
                <w:lang w:val="en-US" w:eastAsia="zh-CN" w:bidi="ar"/>
              </w:rPr>
              <w:t>管理设备数量无限制，满足现在及将来设备的接入管理</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Web远程管理模块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使用B/S模式，基于TCP/IP协议下的网络远程管理界面，便于操作人员以浏览WEB监控界面的形式，便捷完成远程管理机房的环境巡视和对各执行器的控制。WEB端无需安装任何软件，就可直接在任何计算机的浏览器中，查看所有实时监控数据信息。支持TELNET，ssh ,RDP，http，https等登录方式</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日志告警报表模块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系统具有丰富的报表功能,同时支持自定义报表.系统具备:设备监测报表、报警配置清单、监测设备清单、设备运行报表等。系统在展现数据的时候提供多种有效的图表,比如部分的柱状统计图,历史曲线图等,便于用户分析。要求内置大于1000条以上日志规则库</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3D建模</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可视化功能：提供3D运行视图展现，能真实地反映机房实际情况，通过与机房环境、网络设备、主机、存储等监控设备的实时监控数据对接，将监控效果用3D直观呈现在用户面前；在真实3D的机房中，实时反映设备监控运行状态，报警设备通过报警图标呈现，一旦有报警，实时反映；提供3D上下左右移动，各个方位转动，放大缩小等通用操作的基础上，应提供多方位的视图和视角功能，包括前视图，俯视图、左视图和右视图的功，可以快速的从不同方位观。具体界面以业主需求确认为主。必须采用国产、安全自主可控的GIS平台，具有基于WebGL技术自主知识产权，必须实现与BIM模型的深度结合，不仅仅只局限于三维模型的展示，需实现三维模型和业务功能的联动，可在系统平台实现3D模型与业务场景的高度融合，系统必须具备空间算法和自定义规则设置</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可视化展示模块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可视化展示模块（大屏展示）大屏界面显示：系统内置不少于8个大屏模板，采用先进的大数据展示技术，直观、美观的展示系统运行数据和状态，包括网络拓扑、设备运行状况统计、TOP排名、具体监测设备数量、运行状态、告警信息、故障设备等，并且可根据用户关心的数据定制展示模块。</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短信告警设备</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配置短信猫设备，推送告警信息</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告警软件模块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配套，可通过短信网关或短信猫推送信息，可通过**通或微信或浙政钉等推送告警信息。</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（二）安防可视化运维监管平台</w:t>
            </w:r>
          </w:p>
        </w:tc>
        <w:tc>
          <w:tcPr>
            <w:tcW w:w="930" w:type="dxa"/>
            <w:tcBorders>
              <w:tl2br w:val="nil"/>
              <w:tr2bl w:val="nil"/>
            </w:tcBorders>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1260" w:type="dxa"/>
            <w:tcBorders>
              <w:tl2br w:val="nil"/>
              <w:tr2bl w:val="nil"/>
            </w:tcBorders>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视频运维监测</w:t>
            </w:r>
          </w:p>
        </w:tc>
        <w:tc>
          <w:tcPr>
            <w:tcW w:w="492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融合视频质量诊断系统，实现对视频网内的视频摄像机、NVR等视频系统相关设备进行巡检、管理，并通过运维平台以图表、统计报表等方式进行展现，包括在线状态、是否有视频，是否录像等。</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58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报警运维监测</w:t>
            </w:r>
          </w:p>
        </w:tc>
        <w:tc>
          <w:tcPr>
            <w:tcW w:w="492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发现和识别报警主机（包含手动报警及围墙报警）、电网主机，全网扫描与实时故障告警发现。2、自动监测设备的运行状态，包括设备信息、是否在线等，并在系统当中统一展示。可便于民警即时了解监区内报警系统、高压电网及周界报警系统运行状态。</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对讲运维监测</w:t>
            </w:r>
          </w:p>
        </w:tc>
        <w:tc>
          <w:tcPr>
            <w:tcW w:w="492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发现和识别对讲主机、分机，全网扫描与实时故障告警发现。2、自动监测设备的运行状态，包括设备信息、是否在线等，并在系统当中统一展示。运维系统可发现和识别对讲主机、分机，全网自动化扫描与实时故障告警发现。自动监测设备的运行状态，包括设备信息、是否在线等，并在系统当中统一展示。可便于狱警人员即时了解监仓内公共区域的可视对讲系统运行状态。</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巡更系统运维监测</w:t>
            </w:r>
          </w:p>
        </w:tc>
        <w:tc>
          <w:tcPr>
            <w:tcW w:w="492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发现和识别巡更控制器，全网扫描与实时故障告警发现。2、自动监测设备的运行状态，包括设备信息、是否在线等，并在系统当中统一展示。系统可发现和识别巡更控制器，全网自动化扫描与实时故障告警发现。根据协议监测设备的运行状态，包括设备信息、是否在线等，并在系统当中统一展示。可以汇总统计出巡更设备运行状态，对于异常的巡更点都能自动分析并提出预警。可根据管理者的要求进行筛选、查找及输出保存设备运行记录和统计报表。</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门禁系统运维监测</w:t>
            </w:r>
          </w:p>
        </w:tc>
        <w:tc>
          <w:tcPr>
            <w:tcW w:w="492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发现和识别门禁控制器，全网扫描与实时故障告警发现。2、自动监测设备的运行状态，包括设备信息、是否在线等，可监测门禁系统状态，出入信息，门开关状态等，并在系统当中统一展示。通过门禁的通信协议接入，能实时读取门禁记录。可实时显示门的开关状态，并有门开超时报警。能实时监控门禁控制机的工作状态及参数；能实时监测和记录锁的开启状态及时间、门开关状态时间及方式、记录感应卡开门的时间和门区及姓名。</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广播运维监测</w:t>
            </w:r>
          </w:p>
        </w:tc>
        <w:tc>
          <w:tcPr>
            <w:tcW w:w="492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发现和识别广播设备，全网扫描与实时故障告警发现。2、自动监测设备的运行状态，包括设备信息、是否在线等，并在系统当中统一展示。系统可通过网络与广播中控主机连接，实现远程对控制多媒体设备的分权限远程集群控制，实时状态监控与设备控制设备状态：支持用户查看各设备当前工作状态及设备控制状态。支持查看各中控系统的名称、管控权限、IP地址等。支持将各中控系统按分组管理。</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通信电源监测</w:t>
            </w:r>
          </w:p>
        </w:tc>
        <w:tc>
          <w:tcPr>
            <w:tcW w:w="492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监测安防集成电源运行状态，在系统当中统一展示，告警。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8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电子安防设备运维管理平台</w:t>
            </w:r>
          </w:p>
        </w:tc>
        <w:tc>
          <w:tcPr>
            <w:tcW w:w="492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支持分布式部署，支持远程监控管理。支持在统一平台上实现视频、报警、对讲、巡更、门禁、广播、电源等设备监测，实现统一的报警管理，支持自定义拓扑图功能，提供多种视图的展现。在监控过程中发生的事件，通过报警平台，以短信、电话、邮件、语音和声光等多种方式报警。能够提供综合数据展现功能，集中展示各类统计/实时数据。可以根据业务模型灵活展现业务系统、业务服务与IT组件之间的关系。支持应用视图、链路视图、位置视图等全局汇总及明细视图管理与展示。支持层次化的监视视图展示。</w:t>
            </w:r>
            <w:r>
              <w:rPr>
                <w:rStyle w:val="366"/>
                <w:rFonts w:hint="eastAsia" w:ascii="仿宋" w:hAnsi="仿宋" w:eastAsia="仿宋" w:cs="仿宋"/>
                <w:color w:val="auto"/>
                <w:highlight w:val="none"/>
                <w:lang w:val="en-US" w:eastAsia="zh-CN" w:bidi="ar"/>
              </w:rPr>
              <w:t>管理设备数量无限制，满足现在及将来设备的接入管理</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Web远程管理模块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使用B/S模式，基于TCP/IP协议下的网络远程管理界面，便于操作人员以浏览WEB监控界面的形式，便捷完成远程管理机房的环境巡视和对各执行器的控制。WEB端无需安装任何软件，就可直接在任何计算机的浏览器中，查看所有实时监控数据信息。支持TELNET，ssh ,RDP，http，https等登录方式</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日志告警报表模块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系统具有丰富的报表功能,同时支持自定义报表.系统具备:设备监测报表、报警配置清单、监测设备清单、设备运行报表等。系统在展现数据的时候提供多种有效的图表,比如部分的柱状统计图,历史曲线图等,便于用户分析。要求内置大于1000条以上日志规则库</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可视化展示模块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可视化展示模块（大屏展示）大屏界面显示：系统内置不少于8个大屏模板，采用先进的大数据展示技术，直观、美观的展示安防各系统运行数据和状态，包括网络拓扑、设备运行状况统计、TOP排名、具体监测设备数量、运行状态、告警信息、故障设备等，并且可根据用户关心的数据定制展示模块。</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w:t>
            </w:r>
          </w:p>
        </w:tc>
        <w:tc>
          <w:tcPr>
            <w:tcW w:w="5550" w:type="dxa"/>
            <w:gridSpan w:val="2"/>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计算机网络系统</w:t>
            </w:r>
          </w:p>
        </w:tc>
        <w:tc>
          <w:tcPr>
            <w:tcW w:w="930" w:type="dxa"/>
            <w:tcBorders>
              <w:tl2br w:val="nil"/>
              <w:tr2bl w:val="nil"/>
            </w:tcBorders>
            <w:shd w:val="clear" w:color="auto" w:fill="FFFFFF"/>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（一）政务内网、超融合及安全</w:t>
            </w:r>
          </w:p>
        </w:tc>
        <w:tc>
          <w:tcPr>
            <w:tcW w:w="930" w:type="dxa"/>
            <w:tcBorders>
              <w:tl2br w:val="nil"/>
              <w:tr2bl w:val="nil"/>
            </w:tcBorders>
            <w:shd w:val="clear" w:color="auto" w:fill="FFFFFF"/>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内网核心骨干交换机</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 整机交换容量≥645Tbps，包转发率≥230000 Mpps，如有投标产品官网参数出现区间性指标或双指标，投标产品参数指标以较低参数指标为准。主控槽位数≥2个，业务槽位数≥8个，独立交换网板槽位数≥6个，风扇模块/框槽位数≥2个，电源槽位数≥8个；</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 设备为正交多级交换架构（CLOS），业务板卡与交换网板采用完全正交设计，跨线卡业务流量通过正交连接器直接上交换网板,； 本次配置：冗余主控板，4块交换网板，4个电源，2个风扇框，40GE端口≥36个（与万兆口物理分离），10GE端口≥48个，千兆GE光端口≥48个，千兆GE电端口≥48个， 3根40G 5M高速电缆；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3.支持多虚一技术，支持4框虚拟化技术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※4.接口要求 以太网支持万兆光口、40G端口、100G端口，</w:t>
            </w:r>
            <w:r>
              <w:rPr>
                <w:rFonts w:hint="eastAsia" w:ascii="仿宋" w:hAnsi="仿宋" w:eastAsia="仿宋" w:cs="仿宋"/>
                <w:b w:val="0"/>
                <w:bCs w:val="0"/>
                <w:i w:val="0"/>
                <w:color w:val="auto"/>
                <w:kern w:val="0"/>
                <w:sz w:val="20"/>
                <w:szCs w:val="20"/>
                <w:highlight w:val="none"/>
                <w:u w:val="none"/>
                <w:lang w:val="en-US" w:eastAsia="zh-CN" w:bidi="ar"/>
              </w:rPr>
              <w:t>提供官网链接和截图证明</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服务器汇聚交换机</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 提供≥48个10G/25G自适应光口，≥6个40G/100G自适应光口，交换容量≥4.8Tbps，包转发率≥2000Mpps，如有投标产品官网参数出现区间性指标或双指标，投标产品参数指标以较低参数指标为准。实配支持INT可视化功能；配置2根40G 5M高速电缆；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 支持前后、后前风道，配置双电源；</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3.整机最大路由表≥320K，最大ARP表≥270K，最大MAC表≥280K</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w:t>
            </w:r>
            <w:r>
              <w:rPr>
                <w:rFonts w:hint="eastAsia" w:ascii="仿宋" w:hAnsi="仿宋" w:eastAsia="仿宋" w:cs="仿宋"/>
                <w:b w:val="0"/>
                <w:bCs w:val="0"/>
                <w:i w:val="0"/>
                <w:color w:val="auto"/>
                <w:kern w:val="0"/>
                <w:sz w:val="20"/>
                <w:szCs w:val="20"/>
                <w:highlight w:val="none"/>
                <w:u w:val="none"/>
                <w:lang w:val="en-US" w:eastAsia="zh-CN" w:bidi="ar"/>
              </w:rPr>
              <w:t>要求与核心交换机同一品牌</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24口接入交换机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交换容量≥336Gbps，转发性能≥51Mpps，如有投标产品官网参数出现区间性指标或双指标，投标产品参数指标以较低参数指标为准。支持≥24个千兆电口和≥4个的千兆光口，支持路由协议如RIP、OSPFv3、RIPng等；本次实际配置接入交换机间虚拟化功能，配置虚拟化线缆距离不小于30M，用于柜间设备虚拟化。</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2.支持OpenFlow1.3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w:t>
            </w:r>
            <w:r>
              <w:rPr>
                <w:rFonts w:hint="eastAsia" w:ascii="仿宋" w:hAnsi="仿宋" w:eastAsia="仿宋" w:cs="仿宋"/>
                <w:b w:val="0"/>
                <w:bCs w:val="0"/>
                <w:i w:val="0"/>
                <w:color w:val="auto"/>
                <w:kern w:val="0"/>
                <w:sz w:val="20"/>
                <w:szCs w:val="20"/>
                <w:highlight w:val="none"/>
                <w:u w:val="none"/>
                <w:lang w:val="en-US" w:eastAsia="zh-CN" w:bidi="ar"/>
              </w:rPr>
              <w:t>要求与核心交换机同一品牌</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48口接入交换机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交换容量≥432Gbps，转发性能≥87Mpps，如有投标产品官网参数出现区间性指标或双指标，投标产品参数指标以较低参数指标为准。支持≥48个千兆电口和≥4个的千兆光口，支持路由协议如RIP、OSPFv3、RIPng等；本次实际配置接入交换机间虚拟化功能，配置虚拟化线缆距离不小于30M，用于柜间设备虚拟化。</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2.支持OpenFlow1.3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w:t>
            </w:r>
            <w:r>
              <w:rPr>
                <w:rFonts w:hint="eastAsia" w:ascii="仿宋" w:hAnsi="仿宋" w:eastAsia="仿宋" w:cs="仿宋"/>
                <w:b w:val="0"/>
                <w:bCs w:val="0"/>
                <w:i w:val="0"/>
                <w:color w:val="auto"/>
                <w:kern w:val="0"/>
                <w:sz w:val="20"/>
                <w:szCs w:val="20"/>
                <w:highlight w:val="none"/>
                <w:u w:val="none"/>
                <w:lang w:val="en-US" w:eastAsia="zh-CN" w:bidi="ar"/>
              </w:rPr>
              <w:t>要求与核心交换机同一品牌</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交换机堆叠套件</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含堆叠所需材料</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万兆位以太网光模块</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光模块-10G-多模模块(SFP+)</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万兆位以太网光模块</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光模块-10G-单模模块(SFP+)</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40G以太网光模块</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光模块-40G-多模模块</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千兆光纤模块</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光模块-SFP-GE-单模模块-(1310nm,10km,LC)</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SDN控制器</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1.基于角色自动化，至多3份配置模板实现全网设备配置自动上线，上线过程不需要U盘等任何介质。</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2.要求每用户在认证之后，系统实现用户名和IP地址的绑定或者自动锁定；且要求全网支持用户在任意位置（包括有线和无线）都可以正确接入并且获取的IP地址不变，并且无广播风暴隐患。</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3.网络层面支持VxLan，通过VxLan实现业务解耦及业务隔离</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4.支持将园区设备按核心、汇聚、接入进行分组，对于同种角色的设备更换，可通过新设备自动化上线纳管后，执行一键替换功能快速完成设备的更换，尽快恢复业务。同时可以支持不同型号的设备替换能力。</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5.支持园区宽带物联终端的识别方法进行配置，基于预定义规则，宽带物联终端可以自动识别归类，自动进入隔离通道并快速上线，无需收集MAC地址实现终端的轻量化快速入网。</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6.支持东西向服务链，东西向服务节点任意部署。南北向服务链部署在Spine/Border节点；并且支持与东西向服务链合一部署。</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7.支持园区、数据中心管理与控制,实现跨场景的业务编排，实现各园区自动化上线，园数拓扑统一展示等。本次配置500个交换机授权。</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控制器提供最多128台控制器组成Team的能力，有效提高网络的可靠性，避免单点故障，即当Team中的某台设备出现故障不能正常工作时，组内的其它成员控制器会接替该故障控制器继续进行工作，保证SDN网络的正常运行。同时，Team还可以提供集中的控制器配置和监控</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8.实际提供物理服务器承载SDN软件</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11</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出口路由器</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支持交换容量≥640G，转发性能≥200Mpps，配置双主控，内置双电源，业务插槽≥10个（主控和扣卡槽位不计），配置内存≥8G，flash≥2GB；配置WAN万兆光口数≥14个，WAN千兆电口数≥10个，配置双主控（需支持故障自动切换，若具备交换网板需满配），冗余交流电源；设备支持IPv6</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网络版防病毒软件</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控制中心平台支持国产服务器中标麒麟服务器V7.0（龙芯、鲲鹏920）、银河麒麟服务器V4.0（飞腾FT1500A、FT2000+）等；</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控制中心支持跨平台统一管理，可统一接入管理网络中的WINDOWS系统终端防病毒、类LINUX系统终端防病毒、国产通用终端、国产专用终端防病毒；同时能够对现网安装的杀毒软件进行统一管控，共用同一个控制中心。</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※可通过授权模式扩展功能，实现一个产品满足终端的防病毒、身份鉴别、审计和入网合规等多项要求；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支持展示全网已部署终端数、在线率、运行天数、待处理任务。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支持展示服务器性能数据，并支持自动刷新，包括：CPU，内存，系统盘占用，网络流量，数据库连接数，服务器时间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文件分发：支持文件分发到单个终端、部门终端、全网终端的功能，并支持分发到终端桌面、下载目录；支持文件分发落地后立即执行，指定时间执行，带参数执行；</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终端密码防护：支持防退出密码保护和防卸载密码保护，支持静态密码和动态密码。</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支持用户自定义非可信应用功能，用户可以按照自己的需求，设置指定的应用程序文件为非可信程序文件黑名单，以禁止某类威胁应用在内网的执行；</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支持对 Linux、国产和 windows 恶意代码进行统一查杀， 对宏病毒、 shell 脚本具有检测能力；</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多定时任务：支持在策略中定义多个定时查杀任务；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具有监控U盘和移动硬盘的接入和移出操作记录，并支持对移动设备内文件的流入流出、打开、重命名、删除等操作的监控</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支持展示：统计分析病毒处理情况、病毒感染分类、病毒查杀排名、病毒事件实时展示</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13</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入侵防御系统(IPS)</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1、本次为标准机架的专业IPS设备，不能提供防火墙或UTM的IPS功能，设备性能要求：CPU：兆芯或飞腾或龙芯（≥4核心，≥2.0GHz），IPS检测吞吐量≥3Gbps，每秒新建连接数≥10万，最大并发连接数≥300万,双电源；</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支持静态路由协议；支持OSPF动态路由协议；支持路由异常告警功能；支持DHCP中继；支持多链路出站负载，支持基于源/目的IP、源/目的端口、协议、ISP、应用类型以及国家地域来进行选路的策略路由选路功能；（需提供相关功能截图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为了保证入侵防御系统识别的专业性，要求入侵防护漏洞规则特征库数量在7400条以上，入侵防护漏洞特征具备中文相关介绍，包括但不限于漏洞描述，漏洞名称，危险等级，影响系统，对应CVE编号，参考信息和建议的解决方案；（需提供截图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4、※可提供最新的威胁情报信息，能够对新爆发的流行高危漏洞进行预警和自动检测，发现问题后支持一键生成防护规则；（需提供相关功能截图证明）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5、支持对终端已被种植了远控木马或者病毒等恶意软件进行检测，并且能够对检测到的恶意软件行为进行深入的分析，展示和外部命令控制服务器的交互行为和其他可疑行为；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6、支持资产的自动发现以及资产脆弱性和服务器开放端口的自动识别，支持包含敏感数据业务的识别；（需提供相关功能截图证明）</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14</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网络边界安全网关(核心防火墙)</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1、设备性能要求：CPU:飞腾或兆芯或龙芯或海光（≥8核心，≥2.8GHz） ，网络层吞吐量≥52Gbps，应用层吞吐量≥15Gbps，千兆电口≥5个；千兆光口≥4个，万兆光口SFP+≥12个，并发连接数≥4000万,双电源。</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2、※支持采用无特征AI检测技术对恶意勒索病毒及挖矿病毒等热点病毒进行检测，给出基于AI技术的病毒检测报告； （需提供相关功能截图证明）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3、支持蜜罐功能，定位内网感染僵尸网络病毒的真实主机IP地址；（需提供相关功能截图证明）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4、设备具备独立的热门威胁库，防护类型包括木马远控、恶意脚本、勒索病毒、僵尸网络、挖矿病毒等，特征总数在60万条以上；（需提供相关功能截图证明）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5、※产品支持勒索病毒检测与防御功能，为保障勒索病毒的防御效果，所投产品必须提供具备CMA认证的第三方权威机构关于“勒索软件通信防护”功能项的产品检测报告。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6、产品支持CC攻击防护功能，为保障勒CC攻击的检测效果，所投产品必须提供具备CMA认证的第三方权威机构关于“CC攻击防护”功能项的产品检测报告；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7、产品支持对HTTPS协议加密流量进行解密，支持配置基于区域、对象、业务类型、服务器IP/端口的解密策略。</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15</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Web应用防火墙</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整机规格：1U机箱，全内置封闭式结构，具有国产化的操作系统、硬件平台；CPU：兆芯或飞腾或龙芯（≥4核心，≥2.0GHz）；操作系统：中标麒麟或银河麒麟或UOS操作系统；内存≥2GB；硬盘≥4TB+256GB；网络接口≥1个管理口、6个千兆电口和4个千兆光口；</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应用层吞吐量≥975M；*新建连接数≥1万；最大并发连接数≥150万</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1.支持IPV6协议通过与防护；支持SQL注入、XSS防护，支持使HTTP头域中的Cookie、Referer、User-Agent，Except字段过防护、CSRF防护、爬虫防护、盗链防护等策略；</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2.支持各类DDOS防护，TCP Flood防护和基于阈值及算法配置的HTTP Flood防护。</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3.支持对攻击源地址的智能阻断，支持永久封禁或者自定义IP封禁时间（秒/分钟/小时），并且可以手工解除解禁，提供产品功能截图。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4.支持Cookie安全机制，包括Cookie加密和Cookie签名的防护算法，支持过期兼容时间配置以及配置</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※5.支持暴力破解防护，可针对指定URL进行暴力破解防护，支持多种方式的登陆，支持referer检测，支持阈值和检测周期的设置，提供产品功能截图。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6.支持对慢速攻击的防护。支持slowheader和slowpost的攻击方式防护。</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7.支持提供PCI-DSS符合性报表。</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8.支持透明模式、旁路模式和反向代理模式部署；</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9.支持启用HSTS，提供产品功能截图。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10.支持根据用户配置的服务器信息，自动生成一套安全解决方案，提供产品功能截图。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11.支持紧急模式，当连接数、CPU、内存超过阀值时，已经代理的连接正常代理，对新增的请求不进行代理，直接转发，防止WAF成为访问瓶颈，提供产品功能截图。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12.支持与同品牌的抗拒绝服务系统联动，对流量进行按需清洗。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13.支持XML基础校验，包括最大树深度、元素名长度、元素个数、子节点个数等参数配置，支持Schema和SOAP校验。</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14.支持对HTTP站点和HTTPS站点提供服务器探测功能。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15.WAF可以和云中心进行联动，客户可通过下载手机APP，对设备进行状态监控，监控信息包括CPU、内存、规则库版本等，提供产品功能截图。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16.产品具备web应用防火墙国标增强级《计算机信息系统安全专用产品销售许可证》</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17.产品应该是被广泛应用的成熟产品</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16</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数据库审计系统</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千兆电口≥4,内存≥32G,硬盘容量≥6T*2,数据库实例授权许可数量：无限数据库授权,总网络吞吐量≥7000Mbps,双向审计最大数据库流量≥700Mbps,峰值事务处理能力TPS≥70000条/秒</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日志数量存储≥60亿条,1+1冗余电源;</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为审计和防护不同类型、不同版本的数据库，产品在协议支持应具备以下的要求：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1、支持Oracle、SQL-Server、DB2、Informix、Sybase、MySQL、MariaDB七种主流数据库审计；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※2、支持人大金仓、达梦、南大通用数据库等主流国产数据库；</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3、支持PostgreSQL、GuassDB、HANA、Teradata、Cache、Redis审计；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4、支持MongoDB、Hbase、Hive、impala、ElasticSearch、HDFS、canssandra非关系型数据库审计；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5、支持主流业务协议 HTTP、HTTPS、Telnet、FTP的审计；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6、可以通过导入证书的方式实现审计和防护，支持对SQL server（2005及以上版本）数据库、Mysql5.7及以上版本采用了加密协议通讯的审计；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7、支持对各种协议自动识别编码及在web界面手工配置特定编码。</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8、支持SQL会话解密，支持对SQL Server 2005及以上版本TDS加密通讯协议采取证书导入方式实现透明解密，可以审计到用户名、请求的语句以及返回结果集等信息；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为满足对数据库操作行为审计，满足业务、安全等方面的需求，产品需要满足以下的要求：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1、支持数据库操作类、表、视图、索引、存储过程等各种对象的所有SQL操作审计；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支持数据库请求和返回的双向审计，特别是返回字段和结果集、执行状态、返回行数、执行时长、客户端工具、主机名等内容，支持通过返回行数和内容大小控制返回结果集大小；（须提供此功能截图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支持双向审计，提供审计返回时长、SQL错误代码、返回行数、返回结果集的审计；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支持跨语句、跨多包的绑定变量名及绑定变量值的审计；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支持超长SQL语句（最长支持4M）审计。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支持自动发现流量中的数据库信息，简化配置。</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为发现数据库中不安全访问行为及审计数据二次泄露等问题，数据库审计需满足以下功能：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1、支持审计记录中敏感数据的模糊化处理，内置常见敏感数据掩码规则，支持自定义；</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2、内置安全特征库不少于300条，如SQL注入、缓冲区溢出等；</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3、可自定义审计规则，审计规则至少支持18个条件；（须提供此功能截图证明）；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4、规则各条件之间支持与或非逻辑关系；</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5、告警查询应支持根据告警名称、数据库名、客户端IP、账号、客户端工具进行归并分析，能详细展示每类告警占总告警数量百分比，便于告警分析处理；</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17</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运维审计系统（堡垒机）</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※支持对基于龙芯、飞腾、兆芯、鲲鹏、海光硬件平台，中标麒麟、银河麒麟、UOS操作系统及国产数据库、中间件的PC和服务器等设备进行运维和管理。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千兆电口管理口≥2，千兆业务电口≥2，千兆业务光口≥4</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内存≥8G;硬盘容量≥256G+1T,双电源;实际配置设备授权≥500;并发字符连接最大≥200个;并发图形连接最大≥30个;全过程监控和记录企业运维人员的操作行为，做到统一接入、统一认证、统一授权、统一审计管理设备包括路由器、交换机、防火墙、Windows/Linux/Unix服务器等，设备类型不限厂商类型</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设备采用旁路部署，不得影响业务环境；须支持HA主备模式，管理口和心跳口须支持多链路端口绑定功能，防止单网卡或单线故障；</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支持多台堡垒机异地备份部署，每台设备都能提供运维和审计服务，配置数据自动同步</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支持集群部署模式，中心采用HA，节点可以横向扩展，实现统一登录入口、统一配置同步、审计日志集中查询、实时会话集中监控，以满足业务增长需求。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Web访问方式：至少支持使用IE、谷歌、火狐三种浏览器打开堡垒机的Web页面直接调用mstsc、VNC、Xshell、SecureCRT、Putty、winscp、flashFXP、FileZilla、SecureFX等运维客户端工具</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H5运维方式：支持ssh、telnet、rlogin、rdp、vnc协议的H5运维，无需本地运维客户端工具；</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支持对主机联通性、账号有效性进行周期性检测。并可设置是否开启检测连通性、有效性功能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客户端访问方式：支持使用本地的mstsc/Xshell/SecureCRT/Putty等客户端工具登录堡垒机访问图形或字符设备，视图界面一致性、搜索能力</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支持使用本地的winscp/flashFXP/SecureFX等客户端工具登录堡垒机访问SFTP/FTP设备</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支持使用本地的SecurCRT/Xshell/OpenSSH工具通过SSH网关代理方式直接登录字符设备；</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18</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安全准入系统</w:t>
            </w:r>
          </w:p>
        </w:tc>
        <w:tc>
          <w:tcPr>
            <w:tcW w:w="492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标准机架式软硬件一体化产品，具有独立自主知识产权，基于linux开发的专用系统。1U机架结构；双电源；标准配置6个1000MBASE-T接口；每秒事务数（TPS)：≥2500（次/秒），最大吞吐量：≥1.2Gbps，最大并发连接数：2500（条）；支持终端用户认证数量1000点。</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※支持在IPv4和IPv6双栈环境下的终端准入控制、重定向、认证、安检、修复等。（提供IPv6 Ready Logo Certified文件）</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准入设备应至少提供安全客户端、安全控件、无客户端等多种可供自定义部署和管理的模式 。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使用安全客户端模式部署时，非802.1x准入技术下Windows客户端程序需支持Windows XP/7/8/8.1/10,安装包不得大于3M，内存占用合计不大于20M；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X86终端下应支持自定义安装包，包括AD域专用安装包、自身携带浏览器安装包、主机防护安装包；飞腾架构专用客户端、龙芯架构专用客户端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具有Mac OS、Linux、iOS、Android等系统专属客户端，支持认证引导和准入管理。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兼容国产操作系统，包括但不限于统信、中标麒麟、银河麒麟、普华</w:t>
            </w:r>
          </w:p>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支持策略路由准入技术，同时可提供5个或以上的自身端口用于策略路由下一跳，从而对于多台汇聚交换机引流来的终端进行管理。 支持端口镜像准入技术，同时可提供5个或以上的自身端口用于镜像流量准入。 准入设备支持基于多厂商Virtual Gateway的VLAN隔离技术，实现无客户端下端口级准入控制，不得改变现有网络环境不得改变现有的网络环境,隔离终端采用VLAN切换的方式，须一个正常vlan对应一个隔离vlan。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支持自动发现全网拓扑。能够在拓扑图上选取设备查看基本状态信息、设备型号、所处位置、子节点、路由表、ARP表等信息。 支持对网络设备进行TELNET、SSH等管理。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准入设备须提供系统安全配置、用户行为规范等类别检查项，至少提供50种安全检查项，安全检查项管理员均可设置自动修复（非web跳转链接），可针对不同检查项单独设置周期检查时间。</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具有完整的补丁管理子系统，自身即可以提供完整的流程化补丁管理，包括同步更新、补丁分发表等功能。准入设备能够将补丁分为：严重、重要、中等的类别。支持windows10补丁检查及自动修复。</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支持主流的20种以上的杀毒软件检查，包括微软MSE、可牛、Avast等，支持杀毒软件版本、病毒库和运行情况的检查，能够在页面显示出检查结果。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通过检测终端文件、指定文件版本、大小、MD5，注册表的项、注册表值，进程、服务状态进行检查。通过安装包运行、访问站点、开关服务、关闭进程、执行文件、删除文件、修改注册表进行修复。可以灵活的对终端进行安全检查和修复。</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支持移动终端专用平台管理页面，方便使用平板、智能手机进行准入设备基本操作。可实现设备快速定位、设备审核、实时报警监控、小助手确认码生成、准入控制器管理、平台基本信息、关机与重启 </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19</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日志审计系统</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独立完成审计日志采集，不依赖于设备或系统自身的日志系统；可分布式部署，进行资源池化，统一调度；客户端和服务器之间，采用私有协议进行通讯，或通过SSL协议进行保护；与设备的交互，通过SSH及SNMP V3来满足安全性的要求。根据1000用户配置；二进制会话日志均值不少于250,000 EPS；文本日志均值不少于15,000EPS。满足180天存储要求；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审计工作不影响被审计对象的性能、稳定性或日常管理流程；审计结果存储于独立存储空间；自身用户管理与设备或主机的管理、使用、权限无关联；提供全中文WEB管理界面，无需安装任意客户端软件或插件</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千兆电口≥4;万兆光口≥2;内存≥64G;硬盘容量：6T*4；双电源</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※支持Syslog、SNMP Trap、HTTP、ODBC/JDBC、WMI、FTP、SFTP、kafka等协议方式进行日志收集；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支持使用代理(Agent)方式提取日志并收集；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支持目前主流的网络安全设备、交换设备、路由设备、操作系统、应用系统等；</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可以基于日志等级进行过滤；可以通过自定义配置过滤掉用户不关心的日志；</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支持对收集到的重复日志进行自动聚合归并，减少日志量；</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支持可由用户定义和修改的日志聚合归并逻辑规则；</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支持将收集到的日志转发，当原始日志设备无法设置多个日志服务器时，可以通过本系统的日志转发功能将日志转发到其他日志存储设备；</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内置5000+解析规则，支持对收集的5000+设备类型日志进行解析（标准化、归一化），解析维度多达200+，解析规则可以根据客户要求定制扩展；</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20</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漏洞扫描系统</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硬件参数：1U，国产化芯片兆芯或飞腾4核，双电，内存32G（16G*2），128GSSD，4T硬盘，1管理口≥1，千兆电口扫描口≥6，千兆光口≥4光，扩展插槽≥2；授权可扫描总数量不少于2000个无限制范围的IP地址或域名。承诺原厂三年保。</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2、支持IPv4和IPv6环境的部署和扫描，支持大数据、物联网、云计算、容器等漏洞扫描。</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3、※支持检测的漏洞数大于16万条，兼容CVE、CNCVE、CNNVD、CNVD、Bugtraq等主流标准，提供产品内置漏洞数截图及产品CVECompatible证书复印件。</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4、支持专门针对DNS服务的安全漏洞检测，包括DNS投毒等漏洞检测能力；支持“幽灵木马”检测，提供产品功能截图。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具备单独口令猜测扫描任务，支持多种口令猜测方式，包括利用SMB、TELNET、FTP、SSH、POP3、TOMCAT、SQLSERVER、MYSQL、ORACLE、SYBASE、DB2、SNMP等协议进行口令猜测，允许外挂用户提供的用户名字典、密码字典和用户名密码组合字典，提供产品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6、支持虚拟化设备配置彻查，包括Hyper-V、OpenStack、VMware ESXi、VMware vCenter、Xen、XenServer配置核查，提供产品功能截图。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7、支持大数据环境配置彻查，包括Ambari、Cassandra、ElasticSearch、Flume、YARN-MR、HBase、HDFS、Hive、Impala、Kafka、Redis、Spark、Storm、ZooKeeper配置核查，提供产品功能截图。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8、支持扫描容器镜像存在的漏洞，支持扫描互联网上公开仓库中的镜像以及私有仓库中的镜像，提供产品功能截图。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9、支持和微软WSUS补丁系统的联动，能够在发给主机管理员的邮件中附带自动配置WSUS的注册表文件，方便进行自动化的补丁修补，提供产品功能截图。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10、支持一键漏洞验证功能，对扫描出来的漏洞进行验证，提供产品功能截图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11、产品具备网络脆弱性扫描类增强级《计算机信息系统安全专用产品销售许可证》</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21</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安全大数据平台（本地搭建态势感知平台，含所需服务器、软硬件）</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※1.为灵活适应现场环境，必须满足软硬一体化形态和纯软件形态部署模式，软件形态支持部署在物理机/虚拟机/云环境；</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 支持横向平滑扩展，可以通过增加硬件服务器数量的方式增加平台集群的计算处理性能。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平台硬件配置：2U/2物理CPU 24核/内存256GB/硬盘24TB/2GB RAID卡/冗余1+1电源模块/1G RJ45*4/滑轨，支持200个日志源资产；支持≤2GB的镜像流量；三年维保</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探针配置：软硬一体化2U标准机架式设备，1+1冗余电源，内存16G，硬盘容量1T*1，标配6个千兆电口，MTBF大于65000小时，三年维保</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数据接入：</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1.支持通过多种类型的安全、泛安全类数据接入采集，应包括但不限于设备日志数据、流量数据、弱点漏洞数据、系统性能数据、威胁情报数据、资产人员数据；</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2.支持通过流量采集设备采集接入全流量数据，包含流量中的请求包和返回包等信息，并可在数据检索中体现包信息；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3.支持接入文本格式、CVS等格式的文件数据，可通过模板文件的填写导入实现资产数据的导入和管理；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4.支持通过云端对接、本地导入或手动编辑的方式，接入威胁情报数据。</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数据共享：</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大数据平台中的安全数据，包括告警数据、资产数据、工单等至少20种可共享给第三方系统，实现数据共享和交换；（须提供此功能截图证明）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同时支持原始日志、标准化数据、告警数据≥3种数据的共享和交换。</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安全分析能力：</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平台应内置包括规则模型、关联模型、统计模型、情报模型、离线模型等在内的≥5大类安全分析模型；安全分析模型支持自定义创建，可通过字段映射、静态值、模板、表达式等多种方式自由定义分析模型的告警名称、威胁等级、告警类型、攻击链、可选字段、告警描述、处置建议等内容；支持对安全日志里200个以上字段，包括但不限于应用协议、目的IP、目的主机名、目的端口、目的用户名、数据流方向、情报IOC等进行任意形式的逻辑与或非形式组合建模，运算方式包括但不限于AND、OR、等于、不等于、大于、小于、属于、不属于、存在、不存在等，并能根据组合方式自动生成运算表达式</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可视化安全分析：</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1.支持安全态势的可视化呈现，以大屏的方式从攻击事件、资产安全、追踪溯源、运行监测、重保方案等多个维度进行可视化展示，提供不少于10块大屏展示界面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2.支持立体、平面、球面等多种维度的网络实体关系透视，可在大屏上展示不同实体的标签属性，包括但不限于DNS服务器、监管单位、邮件服务器、黑客组织、WEB服务器等；</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3.支持可视化图表类型≥15种，包括但不限于时序图、饼图、柱状图等；</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4.统计类图表支持展示升序或降序的TOP5到TOP100，可针对数据中任意字段的计数、平均值、求和、最大值、最小值、唯一值等≥5种算子的统计结果配置可视化图表；</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5.可视化图表可通过拖拽配置组装成仪表盘，仪表盘不少于7种布局类型，仪表盘展示时支持时间范围自定义选择。</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highlight w:val="none"/>
                <w:u w:val="none"/>
                <w:lang w:val="en-US"/>
              </w:rPr>
            </w:pPr>
            <w:r>
              <w:rPr>
                <w:rFonts w:hint="eastAsia" w:ascii="仿宋" w:hAnsi="仿宋" w:eastAsia="仿宋" w:cs="仿宋"/>
                <w:i w:val="0"/>
                <w:color w:val="auto"/>
                <w:kern w:val="0"/>
                <w:sz w:val="20"/>
                <w:szCs w:val="20"/>
                <w:highlight w:val="none"/>
                <w:u w:val="none"/>
                <w:lang w:val="en-US" w:eastAsia="zh-CN" w:bidi="ar"/>
              </w:rPr>
              <w:t>22</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密码机</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采用龙芯、飞腾或鲲鹏等CPU平台，麒麟或统信操作系统；网络千兆电口≥2个，万兆光口≥1个；双电源</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※通过国家商用密码检测中心认证检测，具有商用密码产品认证证书</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支持国产SM1/SM4/ZUC算法、支持国产SM3、SM2算法。</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可对应用系统、数据库、存储、网络通信等进行密码加解密安全防护。产品具备加解密、数字签名、身份认证、随机数生成等安全功能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支持多级权限管理：基于分级分角色的权限管理、支持基于管理员的角色管理，可以注册管理员、强制下线管理员等操作。对管理员和操作员身份通过USBKEY进行识别。</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所投产品支持通过SNMP协议监控设备状态，可反馈服务器密码机后台服务状态、业务连接数、密码机CPU、内存、硬盘使用量等。支持管理员、审计员、操作员三权分立。分别赋予不同的操作权限。</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highlight w:val="none"/>
                <w:u w:val="none"/>
                <w:lang w:val="en-US"/>
              </w:rPr>
            </w:pPr>
            <w:r>
              <w:rPr>
                <w:rFonts w:hint="eastAsia" w:ascii="仿宋" w:hAnsi="仿宋" w:eastAsia="仿宋" w:cs="仿宋"/>
                <w:i w:val="0"/>
                <w:color w:val="auto"/>
                <w:kern w:val="0"/>
                <w:sz w:val="20"/>
                <w:szCs w:val="20"/>
                <w:highlight w:val="none"/>
                <w:u w:val="none"/>
                <w:lang w:val="en-US" w:eastAsia="zh-CN" w:bidi="ar"/>
              </w:rPr>
              <w:t>23</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可视化管理及配置下发系统</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 B/S架构，支持Windows、SuSE Linux操作系统。支持Oracle 、MySQL、SQL Server数据库。系统可支持在虚拟机上运行。</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2.本次配置≥300个有线节点授权，≥12个服务器授权；</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highlight w:val="none"/>
                <w:u w:val="none"/>
                <w:lang w:val="en-US"/>
              </w:rPr>
            </w:pPr>
            <w:r>
              <w:rPr>
                <w:rFonts w:hint="eastAsia" w:ascii="仿宋" w:hAnsi="仿宋" w:eastAsia="仿宋" w:cs="仿宋"/>
                <w:i w:val="0"/>
                <w:color w:val="auto"/>
                <w:kern w:val="0"/>
                <w:sz w:val="20"/>
                <w:szCs w:val="20"/>
                <w:highlight w:val="none"/>
                <w:u w:val="none"/>
                <w:lang w:val="en-US" w:eastAsia="zh-CN" w:bidi="ar"/>
              </w:rPr>
              <w:t>24</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超融合系统（6节点）</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标准机架服务器，配置冗余风扇、电源，本次配置计算存储融合节点≥6个，计算存储融合节点每台配置≥4颗英特尔至强金牌5218(2.3GHz/16核/22MB/125W)处理器(带散热器)；内存≥256G（DDR4，2666MT/s-2Rank(2G*4bit)），1块800GB NVMe固态硬盘，2块600G 10K SAS硬盘，4块 10TB 7.2K RPM NL SAS(3.5) 硬盘，2个千兆电口，4个万兆光口（满配万兆模块）；配置RAID卡；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具备利用原南郊监狱的超融合站点进行容灾的能力，在现新建超融合站点发生故障的情况下，利用灾备站点的备份数据，将业务切换到灾备站点，实现业务容灾，从而保持业务不中断，并在灾备超融合站点将业务恢复起来，满足RPO = 分钟级，RTO = 分钟级</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3、提供故障演练：在不影响现有业务正常运行的情况下，能够进行无中断的故障演练测试，确保实现可预测的恢复过程及恢复目标；</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highlight w:val="none"/>
                <w:u w:val="none"/>
                <w:lang w:val="en-US"/>
              </w:rPr>
            </w:pPr>
            <w:r>
              <w:rPr>
                <w:rFonts w:hint="eastAsia" w:ascii="仿宋" w:hAnsi="仿宋" w:eastAsia="仿宋" w:cs="仿宋"/>
                <w:i w:val="0"/>
                <w:color w:val="auto"/>
                <w:kern w:val="0"/>
                <w:sz w:val="20"/>
                <w:szCs w:val="20"/>
                <w:highlight w:val="none"/>
                <w:u w:val="none"/>
                <w:lang w:val="en-US" w:eastAsia="zh-CN" w:bidi="ar"/>
              </w:rPr>
              <w:t>25</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虚拟化管理平台</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 计算虚拟化软件、存储虚拟化软件同一品牌且完全自主研发，不接受第三方软件的整合，以保证功能的可靠性和安全性；</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 软件配置：授权24颗CPU虚拟化许可，包含数据保护系统，实现虚拟机快照备份与恢复，包含云平台管理软件，管理平台主备机制软件；</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 站点容灾功能：在超融合生产站点发生故障的情况下，通过一系列的故障恢复流程在灾备超融合站点将业务恢复起来，它可为集中式恢复计划提供自动化编排和无中断测试</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 每个超融合节点出厂自带管理软件，设备上电后可登录任意一台来做超融合管理节点；</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 融合一体化产品，要求产品出厂即具备虚拟化特性，上电开机三步之内即可完成初始化，登陆超融合管理界面进行虚机管理操作，简单易用，免去软硬件兼容性问题；</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 虚拟化软件应基于KVM开发，可维护性好，能够随着Linux版本的升级而升级；</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 在超融合管理平台管理界面上提供虚拟机启动、暂停、恢复、休眠、重启、关闭、克隆、迁移、删除、快照等功能的批量操作；</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 通过具备CNAS/CMA资质的第三方实验室提供的测试报告，如“工信部中国泰尔实验室”，并提供测试报告</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7"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highlight w:val="none"/>
                <w:u w:val="none"/>
                <w:lang w:val="en-US"/>
              </w:rPr>
            </w:pPr>
            <w:r>
              <w:rPr>
                <w:rFonts w:hint="eastAsia" w:ascii="仿宋" w:hAnsi="仿宋" w:eastAsia="仿宋" w:cs="仿宋"/>
                <w:i w:val="0"/>
                <w:color w:val="auto"/>
                <w:kern w:val="0"/>
                <w:sz w:val="20"/>
                <w:szCs w:val="20"/>
                <w:highlight w:val="none"/>
                <w:u w:val="none"/>
                <w:lang w:val="en-US" w:eastAsia="zh-CN" w:bidi="ar"/>
              </w:rPr>
              <w:t>26</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容灾备份存储设备</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U机架式备份容灾存储设备，存储系统软件与备份容灾软件整合为一体，无需再额外配置备份服务器，1颗1.7GHz八核intel处理器，配置64GB高速缓存，备份设备系统盘采用2块240GB企业级SSD，通过硬件RAID1（考虑性能，不接受LVM和软RAID）保护，以确保备份系统的安全性和可用性，内存：16G*2，2666MT/s,双列。 6TB *12块7.2K NLSAS企业级硬盘。热插拔电源750W电源*2。10G光口*2（含模块），IDRAC9企业级远程管理卡。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支持采用云架构部署，可通过云管理软件实现对备份集群系统进行集中统一的运行监控，对备份任务的状态、资源利用情况和存储空间情况等进行监控（提供云管理软件集中监控的界面截图）。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支持告警功能，依据预先设定告警条件，当系统或任务发生异常时，通过告警显示，或告警邮件通知，用户能够及时采取应对措施，规避风险。</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具有Windows、Linux、Unix平台的保护能力，满足IT系统复杂性和兼容性需求。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支持IPv4和IPv6环境下的管理、备份和恢复（提供该功能截图）。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支持对神通、达梦、GBase、人大金仓、GaussDB等主流国产数据库进行备份保护。提供投标系列备份产品与达梦、Gbase、人大金仓、神州通用、GaussDB等国产化操作系统的兼容性互认证证书等证明材料。</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支持对SQL Server、Oracle、DB2、MySQL等主流数据库进行在线备份保护，备份任务配置过程全部图形化向导指引完成，无需编写脚本。</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支持Windows和Linux平台下的文件系统的卷级备份功能，以整卷为单位进行数据备份，提升海量小文件环境下的备份效率。支持整卷恢复和单文件目录级别的细粒度恢复。</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支持对备份数据进行加密传输和存储，支持SM4国密算法，提升传输过程以及存储的安全性（提供支持SM4算法的功能截图）。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和本地已经建设完成的备份平台组合使用，支持本地备份平台升级。支持通过一套管理软件同时对2套灾备系统进行管理和任务创建、流程监控等。投标产品包含对接服务和开发成本费用，提供对接服务承诺函并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所有功能模块均激活，并且不限制备份目标数量和版本；配置远程复制模块授权，用于数据远程复制；配置≥90TB后端容量代理授权；中标后提供原厂商针对以上内容的软件授权函</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highlight w:val="none"/>
                <w:u w:val="none"/>
                <w:lang w:val="en-US"/>
              </w:rPr>
            </w:pPr>
            <w:r>
              <w:rPr>
                <w:rFonts w:hint="eastAsia" w:ascii="仿宋" w:hAnsi="仿宋" w:eastAsia="仿宋" w:cs="仿宋"/>
                <w:i w:val="0"/>
                <w:color w:val="auto"/>
                <w:kern w:val="0"/>
                <w:sz w:val="20"/>
                <w:szCs w:val="20"/>
                <w:highlight w:val="none"/>
                <w:u w:val="none"/>
                <w:lang w:val="en-US" w:eastAsia="zh-CN" w:bidi="ar"/>
              </w:rPr>
              <w:t>27</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辅件</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各类光跳线等</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5550" w:type="dxa"/>
            <w:gridSpan w:val="2"/>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（二）政务外网</w:t>
            </w:r>
          </w:p>
        </w:tc>
        <w:tc>
          <w:tcPr>
            <w:tcW w:w="930" w:type="dxa"/>
            <w:tcBorders>
              <w:tl2br w:val="nil"/>
              <w:tr2bl w:val="nil"/>
            </w:tcBorders>
            <w:shd w:val="clear" w:color="auto" w:fill="FFFFFF"/>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外网核心骨干交换机</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交换容量≥76Tbps，包转发率≥8640Mpps，如有投标产品官网参数出现区间性指标或双指标，投标产品参数指标以较低参数指标为准。主控槽位数≥2,业务槽位数≥6个电源模块冗余,支持多虚一技术(N:1)，支持4框虚拟化技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 支持TRILL、VXLAN、一虚八等数据中心特性，通过OPENFLOW1.3一致性认证，本次产品配置：双引擎模块，两块电源模块；业务用千兆以太网电口≥48个（与光端口物理分离），业务用千兆以太网光口≥16个（与电端口物理分离），业务用万兆以太网光口≥16个（与电端口物理分离）；</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3.支持多虚一技术，支持4框虚拟化技术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4.支持安全业务插卡，支持FW、IPS、ACG、LB、SSL VPN等功能，以满足后续控制、管理的要求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5.支持主控板冗余，倒换时间为0ms</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6.要求与内网核心交换机同一品牌</w:t>
            </w:r>
          </w:p>
        </w:tc>
        <w:tc>
          <w:tcPr>
            <w:tcW w:w="9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24口接入交换机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交换容量≥336Gbps，转发性能≥51Mpps，如有投标产品官网参数出现区间性指标或双指标，投标产品参数指标以较低参数指标为准。支持≥24个千兆电口和≥4个的千兆光口，支持路由协议如RIP、OSPFv3、RIPng等；本次实际配置接入交换机间虚拟化功能，配置虚拟化线缆距离不小于30M，用于柜间设备虚拟化。</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2. 支持OpenFlow1.3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3.要求与核心交换机同一品牌</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48口接入交换机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交换容量≥432Gbps，转发性能≥87Mpps，如有投标产品官网参数出现区间性指标或双指标，投标产品参数指标以较低参数指标为准。支持≥48个千兆电口和≥4个的千兆光口，支持路由协议如RIP、OSPFv3、RIPng等；本次实际配置接入交换机间虚拟化功能，配置虚拟化线缆距离不小于30M，用于柜间设备虚拟化。</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2. 支持OpenFlow1.3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3.要求与核心交换机同一品牌</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交换机堆叠套件</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含堆叠所需材料</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光纤模块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光模块-SFP-GE-单模模块-(1310nm,10km,LC)</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万兆位以太网光模块</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光模块-10G-多模模块(SFP+)</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万兆位以太网光模块</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光模块-10G-单模模块(SFP+)</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网闸</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国产CPU飞腾或龙芯或兆芯，国产操作系统银河麒麟或中标麒麟</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标准2U机架式设备，配置冗余电源；网络接口：千兆电口≥12个，千兆光口≥8个，具有2个网口插槽；内、外网分别具有显示屏，能够显示产品品牌、型号、CPU/内存占用率、网络接口状态等信息；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支持代理模式、透明模式多种部署方式实现安全的网页浏览（提供功能截图）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支持用户名/密码+U-KEY、用户名/密码+数字证书等多种双因子认证方式</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支持NFS、SMB、FTP等文件传输协议实现文件同步。支持不同文件传输协议之间的文件同步，如：NFS与SMB之间的文件同步</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支持MIME类型细粒度控制，如网页中的应用程序、视频、音频、图像、文本等进行细粒度控制（提供功能截图）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支持多种同步模式： 完全一致、完全复制、首次复制+新增、源端移动、源端删除等多种模式(提供证明截图)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支持MySQL、ORACLE、SQLServer、DB2、SYBASE、POSTGRESQL等数据库的同步</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支持无客户端多种部署方式实现数据库同步(提供证明截图)，不需要第三方软件支持（无需在数据库安全任何第三方软件），支持windows、linux、unix等多种数据库操作系统类型(提供证明截图)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支持TCP定制服务；支持源地址绑定、网络接口地址绑定功能（提供功能截图）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※所投支持联动本地私有云查杀引擎，可根据私有云查杀引擎反馈黑、白、灰等，进行相应级别的阻断设置，提供产品功能截图。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※所投产品支持弱口令防护功能，针对网闸隔离保护的服务器，防止暴力破解密码，数据库库名控制、数据库表控制，可以根据用户与数据库表对应关系，进行相应数据库操作过滤（提供证明截图）                     </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上网行为管理</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1、国产化CPU，网络层吞吐量≥1.2Gb；带宽性能≥500Mb，支持用户数≥1500，千兆电口≥6个，千兆光口≥4个，双电源</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※2、所有核心功能（上网认证、应用控制、流量控制、内容审计、日志报表等）都支持IPv6；（提供产品界面截图）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3、设备内置应用识别规则库，支持超过6700条应用规则数，支持超过2800种以上的应用，1000种以上移动应用，并保持每两个星期更新一次，保证应用识别的准确率；（提供产品界面截图）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4、支持对移动应用的细分权限控制，微信：微信网页版、微信传文件、微信朋友圈、微信游戏。移动QQ：QQ传文件、QQ视频语音等</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5、要求设备可以针对整体线路或者某流量通道内流量情况进行实时监控，根据设定的流量空闲值自动的调整流控控制策略，提升带宽使用率</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※6、针对SSL加密的网站、论坛发帖、web邮箱的内容进行关键字过滤和内容审计；支持SSL硬件加速卡解密，从而可提高SSL全流量解密性能（提供产品界面截图）</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千兆网络防火墙</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1、设备性能要求：CPU：飞腾或兆芯或龙芯（≥4核心，≥1.5GHz)，网络层吞吐量≥8G；应用层吞吐量≥1.6G；千兆电口≥6；千兆光口SFP≥4；双电源；</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 支持采用无特征AI检测技术对恶意勒索病毒及挖矿病毒等热点病毒进行检测，给出基于AI技术的病毒检测报告； （需提供相关功能截图证明）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3、支持蜜罐功能，定位内网感染僵尸网络病毒的真实主机IP地址；（需提供相关功能截图证明）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4、设备具备独立的热门威胁库，防护类型包括木马远控、恶意脚本、勒索病毒、僵尸网络、挖矿病毒等，特征总数在60万条以上；（需提供相关功能截图证明）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5、安全日志根据日志类型可存储在产品内置数据中心、外置数据中心、Syslog日志服务器、安全感知系统多种方式</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支持本地设备安全日志上传云端安全平台分析确认，可识别持续性攻击、黑链、高危僵尸病毒等高级威胁并通过微信方式进行预警；支持高级威胁关联分析的能力，并展示热点事件详情，推送到运维管理员手机中进行快速处置；</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11</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辅件</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各类光跳线等</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（三）罪犯改造子网</w:t>
            </w:r>
          </w:p>
        </w:tc>
        <w:tc>
          <w:tcPr>
            <w:tcW w:w="930" w:type="dxa"/>
            <w:tcBorders>
              <w:tl2br w:val="nil"/>
              <w:tr2bl w:val="nil"/>
            </w:tcBorders>
            <w:shd w:val="clear" w:color="auto" w:fill="FFFFFF"/>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罪犯改造子网核心骨干交换机</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交换容量≥76Tbps，包转发率≥8640Mpps，如有投标产品官网参数出现区间性指标或双指标，投标产品参数指标以较低参数指标为准。主控槽位数≥2,业务槽位数≥6个电源模块冗余,支持多虚一技术(N:1)，支持4框虚拟化技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 支持TRILL、VXLAN、一虚八等数据中心特性，通过OPENFLOW1.3一致性认证，本次产品配置：双引擎模块，两块电源模块；业务用千兆以太网电口≥16个（与光端口物理分离），业务用千兆以太网光口≥48个（与电端口物理分离），业务用万兆以太网光口≥16个（与电端口物理分离）；配置4根10G 5M高速电缆；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3.支持多虚一技术，支持4框虚拟化技术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4.支持安全业务插卡，支持FW、IPS、ACG、LB、SSL VPN等功能，以满足后续控制、管理的要求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5.支持主控板冗余，倒换时间为0ms</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6.要求与内网核心交换机同一品牌</w:t>
            </w:r>
          </w:p>
        </w:tc>
        <w:tc>
          <w:tcPr>
            <w:tcW w:w="9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24口接入交换机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交换容量≥336Gbps，转发性能≥51Mpps，如有投标产品官网参数出现区间性指标或双指标，投标产品参数指标以较低参数指标为准。支持≥24个千兆电口和≥4个的千兆光口，支持路由协议如RIP、OSPFv3、RIPng等；本次实际配置接入交换机间虚拟化功能，配置虚拟化线缆距离不小于30M，用于柜间设备虚拟化。</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 支持OpenFlow1.3</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3.要求与核心交换机同一品牌</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48口接入交换机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交换容量≥432Gbps，转发性能≥87Mpps，如有投标产品官网参数出现区间性指标或双指标，投标产品参数指标以较低参数指标为准。支持≥48个千兆电口和≥4个的千兆光口，支持路由协议如RIP、OSPFv3、RIPng等；本次实际配置接入交换机间虚拟化功能，配置虚拟化线缆距离不小于30M，用于柜间设备虚拟化。</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 支持OpenFlow1.3</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3.要求与核心交换机同一品牌</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万兆位以太网光模块</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光模块-10G-多模模块(SFP+)</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千兆光纤模块</w:t>
            </w:r>
          </w:p>
        </w:tc>
        <w:tc>
          <w:tcPr>
            <w:tcW w:w="492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光模块-SFP-GE-单模模块-(1310nm,10km,LC)</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网闸</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基本要求：国产CPU飞腾或龙芯或兆芯，国产操作系统银河麒麟或中标麒麟</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标准2U机架式设备，配置冗余电源；网络接口：千兆电口≥12个，千兆光口≥8个，具有2个网口插槽；内、外网分别具有显示屏，能够显示产品品牌、型号、CPU/内存占用率、网络接口状态等信息；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支持代理模式、透明模式多种部署方式实现安全的网页浏览（提供功能截图）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支持用户名/密码+U-KEY、用户名/密码+数字证书等多种双因子认证方式</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支持NFS、SMB、FTP等文件传输协议实现文件同步。支持不同文件传输协议之间的文件同步，如：NFS与SMB之间的文件同步</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支持MIME类型细粒度控制，如网页中的应用程序、视频、音频、图像、文本等进行细粒度控制（提供功能截图）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支持多种同步模式： 完全一致、完全复制、首次复制+新增、源端移动、源端删除等多种模式(提供证明截图)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支持MySQL、ORACLE、SQLServer、DB2、SYBASE、POSTGRESQL等数据库的同步</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支持无客户端多种部署方式实现数据库同步(提供证明截图)，不需要第三方软件支持（无需在数据库安全任何第三方软件），支持windows、linux、unix等多种数据库操作系统类型(提供证明截图)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支持TCP定制服务；支持源地址绑定、网络接口地址绑定功能（提供功能截图）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※所投支持联动本地私有云查杀引擎，可根据私有云查杀引擎反馈黑、白、灰等，进行相应级别的阻断设置，提供产品功能截图。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※所投产品支持弱口令防护功能，针对网闸隔离保护的服务器，防止暴力破解密码，数据库库名控制、数据库表控制，可以根据用户与数据库表对应关系，进行相应数据库操作过滤（提供证明截图）                            </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辅件</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各类光跳线等</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1.3</w:t>
            </w:r>
          </w:p>
        </w:tc>
        <w:tc>
          <w:tcPr>
            <w:tcW w:w="5550" w:type="dxa"/>
            <w:gridSpan w:val="2"/>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机房工程</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（一）监管综合楼2层信息中心机房及UPS室</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（1）装修部分</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1）顶面工程</w:t>
            </w:r>
          </w:p>
        </w:tc>
        <w:tc>
          <w:tcPr>
            <w:tcW w:w="4920" w:type="dxa"/>
            <w:tcBorders>
              <w:tl2br w:val="nil"/>
              <w:tr2bl w:val="nil"/>
            </w:tcBorders>
            <w:noWrap/>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顶面找平</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顶面找平、抹灰（顶面横梁） </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2 </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防尘漆</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二遍成活（顶面横梁）</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3 </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吊顶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吊顶形式:微孔铝合金吸音板</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龙骨类型、材料种类、规格、中距:吊顶龙骨选用同品牌龙骨及配套材料，要符合GB11981-2001国家标准的规定</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顶面做防尘静电处理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面层材料品种、规格:600mm*600mm微冲孔金属方板</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4 </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L型压边条</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铝合金</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rPr>
                <w:rFonts w:hint="eastAsia" w:ascii="仿宋" w:hAnsi="仿宋" w:eastAsia="仿宋" w:cs="仿宋"/>
                <w:b/>
                <w:i w:val="0"/>
                <w:color w:val="auto"/>
                <w:sz w:val="20"/>
                <w:szCs w:val="20"/>
                <w:highlight w:val="none"/>
                <w:u w:val="none"/>
              </w:rPr>
            </w:pP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2）地面部分</w:t>
            </w:r>
          </w:p>
        </w:tc>
        <w:tc>
          <w:tcPr>
            <w:tcW w:w="4920" w:type="dxa"/>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地面找平</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地面处理抹灰</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地板下防尘防静电漆</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二遍成活（墙边上翻0.4m）</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地板支架安装</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40cm高</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全钢陶瓷型防静电地板</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做法：1、活动地板安装时首先对机房地面预处理，包括机房地面抹平处理、防水防潮处理、抗静电处理。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2、地面工程在铺装地板前先在地板下刷防尘漆并粘贴19㎜厚橡塑保温板。</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3、支撑地板的横梁采用专门钢材，具有钢性好、承载力强等特点。其支架、横梁表面采用镀锌处理，美观、防腐防锈</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4、地板金属部件应保证8年以上防腐防锈</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5、架空地板高度400㎜，支架允许荷载≥20KN（只）</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地板边支架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3#角铁</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入口斜坡</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定制，防滑</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踏步</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定制，2步</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left"/>
              <w:rPr>
                <w:rFonts w:hint="eastAsia" w:ascii="仿宋" w:hAnsi="仿宋" w:eastAsia="仿宋" w:cs="仿宋"/>
                <w:b/>
                <w:i w:val="0"/>
                <w:color w:val="auto"/>
                <w:sz w:val="20"/>
                <w:szCs w:val="20"/>
                <w:highlight w:val="none"/>
                <w:u w:val="none"/>
              </w:rPr>
            </w:pP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3）墙面部分</w:t>
            </w:r>
          </w:p>
        </w:tc>
        <w:tc>
          <w:tcPr>
            <w:tcW w:w="4920" w:type="dxa"/>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墙面腻子处理</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高度按照 4M 计算</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墙面轻钢龙骨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C75mm</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彩钢板</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0.8MMH厚以上钢板，表面喷塑+防火板 1200mm*2400mm</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彩钢板上下封堵</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配套</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隔墙岩棉</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30mm厚隔墙保温</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不锈钢踢脚线</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100mm高 0.8mm以上拉丝不锈钢+9号木工板打底</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left"/>
              <w:rPr>
                <w:rFonts w:hint="eastAsia" w:ascii="仿宋" w:hAnsi="仿宋" w:eastAsia="仿宋" w:cs="仿宋"/>
                <w:b/>
                <w:i w:val="0"/>
                <w:color w:val="auto"/>
                <w:sz w:val="20"/>
                <w:szCs w:val="20"/>
                <w:highlight w:val="none"/>
                <w:u w:val="none"/>
              </w:rPr>
            </w:pP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4）门窗工程</w:t>
            </w:r>
          </w:p>
        </w:tc>
        <w:tc>
          <w:tcPr>
            <w:tcW w:w="4920" w:type="dxa"/>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甲级钢制双开防火门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1500mm*2100mm，含锁具，闭门器，顺位器</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樘</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甲级钢制单开防火门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1000mm*2100mm，含锁具，闭门器，顺位器</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樘</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5）其他基础工程</w:t>
            </w:r>
          </w:p>
        </w:tc>
        <w:tc>
          <w:tcPr>
            <w:tcW w:w="4920" w:type="dxa"/>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机柜底座</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5#角钢制作，刷防锈漆，具体尺寸按现场实际情况确定</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配电柜底座</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5#角钢制作，刷防锈漆，具体尺寸按现场实际情况确定</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精密空调室内机底座</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5#角钢制作，刷防锈漆，具体尺寸按现场实际情况确定</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精密空调室外机底座</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5#角钢制作，刷防锈漆，混凝土基础</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UPS机房整体承重散力架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5号导轨钢整体焊接，含电池架底座</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UPS主机底座底座</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5#角钢制作，刷防锈漆，具体尺寸按现场实际情况确定</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（2）供配电部分</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UPS输入输出电缆</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WDZN-YJY-4*120+1*70mm2</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UPS电缆</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WDZN-YJY-4*95+1*50mm2</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电缆1</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WDZN-YJY-5*16mm2</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电缆2</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WDZN-YJY-5*6mm2</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电缆3</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WDZN-YJY-3*6mm2</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UPS配电柜</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含断路器/含智能电量仪/电气火灾监控探测器安装，包括柜内其他元器件安装，接地，箱体支座（除锈及刷防锈漆）制作安装;包括：防雷器/带RS485接口/全电量监控，铜排一批，智能电表触摸屏及电量采集等，电流互感器一批。</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2.可实时显示各回路能耗情况，支持能效管理，提供产品彩页证明；智能监控装置内部采用CAN总线通信，一个显示屏能够实现双路监控功能，且单回路断电的情况下，智能监控系统仍然可以运作。</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3.智能化的风险管理，关键节点（含支路）实时温度感知预警，提供产品彩页证明。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采用彩色7寸彩色触摸屏，能图形化显示一次系统图，实时监测主路电压、电流、功率、功率因数、电量和开关状态；支路电压、电流、功率、电量、负载率、开关状态等信息，支持SNMP、MODBUS协议，满足精密配电柜接入智能管理系统要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5.为保证用电安全，配电柜所提供的铜母线要符合国家标准GB/T5585.1规范相关要求，请提供第三方权威证明文件。</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6.630A/3P输入,6*300A/3P+3*100A/3P+3*80A/3P+3*63A/3P+3*32A/3P+12*16A/2P输出。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※7.为保障机房整体一致性，本项目UPS主机、电池、精密空调、精密配电柜、服务器机柜、动环监控产品要求为同一品牌</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精密配电柜</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断路器采用施耐德或ABB或西门子产品系列。含断路器/含智能电量仪/电气火灾监控探测器安装，包括柜内其他元器件安装，接地，箱体支座（除锈及刷防锈漆）制作安装;包括：防雷器/带RS485接口/全电量监控，铜排一批，智能电表触摸屏及电量采集等，电流互感器一批。</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2.可实时显示各回路能耗情况，支持能效管理，提供产品彩页证明；智能监控装置内部采用CAN总线通信，一个显示屏能够实现双路监控功能，且单回路断电的情况下，智能监控系统仍然可以运作。</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3.智能化的风险管理，关键节点（含支路）实时温度感知预警，提供产品彩页证明。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采用彩色7寸彩色触摸屏，能图形化显示一次系统图，实时监测主路电压、电流、功率、功率因数、电量和开关状态；支路电压、电流、功率、电量、负载率、开关状态等信息，支持SNMP、MODBUS协议，满足精密配电柜接入智能管理系统要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5.精密配电柜须通过8烈度抗震测试。</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6.为保证用电安全，配电柜所提供的铜母线要符合国家标准GB/T5585.1规范相关要求，请提供第三方权威证明文件。</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7.250A/3P*2输入+2*32*40A/1P输出。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※8.为保障机房整体一致性，本项目UPS主机、电池、精密空调、精密配电柜、服务器机柜、动环监控产品要求为同一品牌</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强电桥架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600mm*200mm槽式金属桥架</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弱电桥架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300mm*200mm网格式金属桥架</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多股铜芯线</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WDZN-BYJ-3*2.5mm2</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安装辅件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KBG25、分线盒、φ20金属软管及墙面维修插座等</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项</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（3）接地防浪涌保护部分</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等电位环形汇流排</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30*3mm T2紫铜排</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接地线（机柜外壳等）</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WDZ-BYJ(F)R-6mm2</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二级电源防雷器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100/4P</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二级电源防雷器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40/4P</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接地干线</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WDZ-BYJ(F)R-50mm2</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零星材料</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配套</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项</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（4）门禁监控部分</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三合一门禁机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对密闭通道内设备以及相关人员的进出安全提供监控和数据保障，采用指纹密码刷卡三合一门禁机；</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双门磁力锁</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断电开锁,高承受拉力:500kgx2(1200Lbsx2),本锁有带信息反馈,含配套安装支架</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开门按钮</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86mm×86mm×38mm 高档ABS材质</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室内高清(400万像素)网络半球（内置拾音器）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400万1/2.7"CMOS ICR智能变焦半球网络摄像机，内置麦克风，内置喇叭</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辅助材料</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含管线</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（5）精密空调部分</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行间级精密空调(用于信息中心机房)</w:t>
            </w:r>
          </w:p>
        </w:tc>
        <w:tc>
          <w:tcPr>
            <w:tcW w:w="4920" w:type="dxa"/>
            <w:tcBorders>
              <w:tl2br w:val="nil"/>
              <w:tr2bl w:val="nil"/>
            </w:tcBorders>
            <w:noWrap w:val="0"/>
            <w:tcMar>
              <w:top w:w="15" w:type="dxa"/>
              <w:left w:w="15" w:type="dxa"/>
              <w:right w:w="15" w:type="dxa"/>
            </w:tcMar>
            <w:vAlign w:val="center"/>
          </w:tcPr>
          <w:p>
            <w:pPr>
              <w:keepNext w:val="0"/>
              <w:keepLines w:val="0"/>
              <w:widowControl/>
              <w:numPr>
                <w:ilvl w:val="0"/>
                <w:numId w:val="13"/>
              </w:numPr>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单台精密空调:380/415V±10%，3PH+N+PE，50/60Hz电源；总冷量≥45kw，显冷量≥45kw，风量≥8800m3/h，变频压缩机，水平送风模式，制冷剂采用环保型冷媒R410a；</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2.可以实现最低20%的IT负载及95%以上室内高湿度的情况下的稳定除湿功能，降低高湿环境下数据中心低载运行的IT设备结露风险。</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精密空调室内机采用高效工业用直流变频涡旋压缩机，可实现20%～100%宽冷量输出，高效制冷；压缩机标配曲轴箱电加热带，提高压缩机可靠性；采用高效节能无级调速EC风机，实现无极调速，降低风机能效，EC风机数量≥10个，支持在线插拔式维护，风机更换不需停机；室内风机整体采用N+1冗余备份设计，当一台风机故障时，机组风量和制冷量不衰减；精密空调蒸发器采用“V”型、内螺纹铜管和蓝色亲水铝箔设计，气流组织更合理，风阻更小，可防止冷凝水聚集造成吹水，同时提高换热性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4.机组应具备不低于6kV防雷滤波规格，在极端浪涌条件下更加安全可靠；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精密空调应具有加热加湿功能，加湿采用湿膜加湿(或采用能效更优的加湿方案)，加湿器件具备较高的节能水平，采用PTC电加热器，可自适应调节加热量，其单台加湿量须不小于2.9kg/h，加热量不小于6kw，加湿量整机功率≤2kW，并能提供权威机构第三方性能测试报告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6.具有≥7英寸的真彩触摸显示屏，可以显示设备的运行模式与状态，并可设定设备参数，实现良好的人机交互；</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7.机组具备联动与群控功能，群控采用高速、灵活的CAN通讯协议，同一区域可以将≥32套机组进行统一控制管理；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8.保证机组高效节能，100%负荷全年能效比AEER≥4.5，提供权威第三方测试报告证明；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9.精密空调应该具备冷媒检测功能， 行级空调需能提供冷媒容量预警功能，对冷媒容量进行自动检测并能提供泄漏状态告警，预防由于冷媒泄露导致的空调宕机，保证机房制冷系统稳定，提供第三方测试报告；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10.为保证机房内声音健康环境，要求室内机运行噪音不大于67dB；</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11.精密空调制造厂商需具备较强的生产制造与测试能力，提供焓差实验室证书且单元式空调制冷量范围需涵盖12~200kw。</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12.保证精密空调控制先进性和动环监控系统衔接性。</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13.为保证空调机组使用质量，要求机组平均无故障时间要达到MTBF≥10万小时。整机连续运行设计寿命不小于10年。</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14.按照标准YD5083-2005《电信设备抗地震性能检测规范》要求，机组需连续通过8、9级烈度结构抗地震考核。</w:t>
            </w:r>
          </w:p>
          <w:p>
            <w:pPr>
              <w:keepNext w:val="0"/>
              <w:keepLines w:val="0"/>
              <w:widowControl/>
              <w:numPr>
                <w:ilvl w:val="0"/>
                <w:numId w:val="0"/>
              </w:numPr>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▲15.提供节能产品认证证书。</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※16.为保障机房整体一致性，本项目UPS主机、电池、精密空调、精密配电柜、服务器机柜、动环监控产品要求为同一品牌</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室外机(用于信息中心机房)</w:t>
            </w:r>
          </w:p>
        </w:tc>
        <w:tc>
          <w:tcPr>
            <w:tcW w:w="4920" w:type="dxa"/>
            <w:tcBorders>
              <w:tl2br w:val="nil"/>
              <w:tr2bl w:val="nil"/>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风机数量：1台；和上述行间级精密空调(用于信息中心机房)配套使用；</w:t>
            </w:r>
          </w:p>
          <w:p>
            <w:pPr>
              <w:keepNext w:val="0"/>
              <w:keepLines w:val="0"/>
              <w:widowControl/>
              <w:numPr>
                <w:ilvl w:val="0"/>
                <w:numId w:val="0"/>
              </w:numPr>
              <w:suppressLineNumbers w:val="0"/>
              <w:jc w:val="left"/>
              <w:textAlignment w:val="center"/>
              <w:rPr>
                <w:rFonts w:hint="eastAsia"/>
                <w:color w:val="auto"/>
                <w:highlight w:val="none"/>
              </w:rPr>
            </w:pPr>
            <w:r>
              <w:rPr>
                <w:rFonts w:hint="eastAsia" w:ascii="仿宋" w:hAnsi="仿宋" w:eastAsia="仿宋" w:cs="仿宋"/>
                <w:i w:val="0"/>
                <w:color w:val="auto"/>
                <w:kern w:val="0"/>
                <w:sz w:val="20"/>
                <w:szCs w:val="20"/>
                <w:highlight w:val="none"/>
                <w:u w:val="none"/>
                <w:lang w:val="en-US" w:eastAsia="zh-CN" w:bidi="ar"/>
              </w:rPr>
              <w:t>▲提供节能产品认证证书。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精密空调(用于UPS室)</w:t>
            </w:r>
          </w:p>
        </w:tc>
        <w:tc>
          <w:tcPr>
            <w:tcW w:w="4920" w:type="dxa"/>
            <w:tcBorders>
              <w:tl2br w:val="nil"/>
              <w:tr2bl w:val="nil"/>
            </w:tcBorders>
            <w:noWrap w:val="0"/>
            <w:tcMar>
              <w:top w:w="15" w:type="dxa"/>
              <w:left w:w="15" w:type="dxa"/>
              <w:right w:w="15" w:type="dxa"/>
            </w:tcMar>
            <w:vAlign w:val="center"/>
          </w:tcPr>
          <w:p>
            <w:pPr>
              <w:keepNext w:val="0"/>
              <w:keepLines w:val="0"/>
              <w:widowControl/>
              <w:numPr>
                <w:ilvl w:val="0"/>
                <w:numId w:val="14"/>
              </w:numPr>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制冷量不小于13KW，风量不小于3100m3/h、显冷量不小于11.7KW、上送风下回风，加热量不小于4kw，加湿量不小于2.0kg/h，采用环保高效的R410A制冷剂；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2.采用高效直流变频压缩机与EC风机，可实现30%~100%制冷量无极调节；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3.支持485通信，空调管路支持最大60米；</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※4.响应国家节能节耗号召，空调显热比不小于0.9，能效比不小于3.1，并提供第三方检测报告；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5.空调机组在75%负载下全年能效比不小于4.9；50%负载下全年能效比不小于5.3，并提供第三方检测报告。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6.认证等级通过CQC、CE、3C产品认证</w:t>
            </w:r>
          </w:p>
          <w:p>
            <w:pPr>
              <w:keepNext w:val="0"/>
              <w:keepLines w:val="0"/>
              <w:widowControl/>
              <w:numPr>
                <w:ilvl w:val="0"/>
                <w:numId w:val="0"/>
              </w:numPr>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▲7.提供节能产品认证证书。</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※8.为保障机房整体一致性，本项目UPS主机、电池、精密空调、精密配电柜、服务器机柜、动环监控产品要求为同一品牌</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室外机(用于UPS室)</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风机数量：1台；和上述精密空调(用于UPS室)配套使用；▲提供节能产品认证证书。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安装辅件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含安装，含铜管、制冷剂、电源、进出水管、保温管、安装管、室外机安装基础、内机挡水坝、监控卡、各类配件等所需所有辅材</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（6）UPS部分</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UPS主机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1.模块化UPS类型应为在线式双变换式，制式为三相输入，三相输出，最大可配置扩容输出容量为300KVA；</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输入频率范围：40Hz-70Hz；输入功率因数：&gt;0.99（满载）；输出功率因数：1；过载能力：125%负载10min后转旁路；输入电流谐波成分：&lt;5%（50%负载），&lt;2%（100%负载）；输出电压波形失真度：&lt;2%；三相电不平衡度：&lt;0.04%（平衡负载），&lt;2.6%（不平衡负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3.UPS系统在50%负载时，效率＞96%；</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4.宽电压输入范围： 138-485Vac， 305V-485V可支持满载，305-138V线性降额至40%负载；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※5.单设备关键部件控制模块或功率模块采用冗余设计，避免单点故障，并提供实物照片证明，标出控制模块的位置；</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6.UPS功率模块，监控模块应支持在线热插拔；</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7.电池管理：UPS应具有定期对蓄电池组进行自动浮充、均充转换，自动温度补偿。电池组放电功能；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8.当UPS在蓄电池逆变工作方式时，蓄电池电压降至保护点时发出声光告警，停止供电；</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9.交流输入端满足5kA防雷和6kV防浪涌要求；并提供第三方权威证明资料证明；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10.模块化UPS需符合国家绿色数据中心要求，所投智能模块技术厂家入选工信部公布的《绿色数据中心先进适用技术产品目录（2020年版）》名单，并提供官网链接和相关文件证明。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11.提供节能认证，泰尔认证及检测报告产品彩页；</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w:t>
            </w:r>
            <w:r>
              <w:rPr>
                <w:rFonts w:hint="default" w:ascii="仿宋" w:hAnsi="仿宋" w:eastAsia="仿宋" w:cs="仿宋"/>
                <w:i w:val="0"/>
                <w:color w:val="auto"/>
                <w:kern w:val="0"/>
                <w:sz w:val="20"/>
                <w:szCs w:val="20"/>
                <w:highlight w:val="none"/>
                <w:u w:val="none"/>
                <w:lang w:val="en-US" w:eastAsia="zh-CN" w:bidi="ar"/>
              </w:rPr>
              <w:t>2</w:t>
            </w:r>
            <w:r>
              <w:rPr>
                <w:rFonts w:hint="eastAsia" w:ascii="仿宋" w:hAnsi="仿宋" w:eastAsia="仿宋" w:cs="仿宋"/>
                <w:i w:val="0"/>
                <w:color w:val="auto"/>
                <w:kern w:val="0"/>
                <w:sz w:val="20"/>
                <w:szCs w:val="20"/>
                <w:highlight w:val="none"/>
                <w:u w:val="none"/>
                <w:lang w:val="en-US" w:eastAsia="zh-CN" w:bidi="ar"/>
              </w:rPr>
              <w:t>.为保障机房整体一致性，本项目UPS主机、电池、精密空调、精密配电柜、服务器机柜、动环监控产品要求为同一品牌</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功率模块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1.功率模块的额定输出功率应不小于50KVA;高度不大于3U;</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2.风扇故障时应发出声光告警，功率模块内部温度达到保护设定值时，功率模块应能自动告警并保护而退出系统，当故障排除后应能自动恢复工作；</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3.UPS运行中，故障功率模块应自动退出运行，不影响系统其他部件的正常工作；</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锂电池</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1.产品规格：64V-40AH或≥40AH；电芯材料：磷酸铁锂</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2.标准电压：64Vdc；</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3.最大充/放电流：80A / 400A 连续放电， @35ºC；</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4.循环寿命：3000次 @80%放电深度， 35ºC；</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5.自放电@25ºC:存储90天自放电＜5%；</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※6.提供锂电池针刺实验检测报告，并加盖公章。</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※7.电池组不均流度＜2%，多组电池并联可实测不均流度，确保电池的寿命，并防止锂电限流保护而跳闸，需提供产品技术白皮书等相关证明材料，并加盖公章。</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▲8.中标后由原厂提供不起火承诺函，并加盖原厂投标专用章；</w:t>
            </w:r>
          </w:p>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※9.为保障机房整体一致性，本项目UPS主机、电池、精密空调、精密配电柜、服务器机柜、动环监控产品要求为同一品牌</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节</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highlight w:val="none"/>
                <w:u w:val="none"/>
                <w:lang w:val="en-US"/>
              </w:rPr>
            </w:pPr>
            <w:r>
              <w:rPr>
                <w:rFonts w:hint="eastAsia" w:ascii="仿宋" w:hAnsi="仿宋" w:eastAsia="仿宋" w:cs="仿宋"/>
                <w:i w:val="0"/>
                <w:color w:val="auto"/>
                <w:kern w:val="0"/>
                <w:sz w:val="20"/>
                <w:szCs w:val="20"/>
                <w:highlight w:val="none"/>
                <w:u w:val="none"/>
                <w:lang w:val="en-US" w:eastAsia="zh-CN" w:bidi="ar"/>
              </w:rPr>
              <w:t>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电池汇流盒</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电池汇流盒-630A-705VDC</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BMS系统及锂电池柜</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1.锂电池机柜-满配(含监控屏)，尺寸（宽深高，单位mm）≥600*850*2000；</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2.标准电压：512Vdc；额定电压：544Vdc；</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3.电池模组采用模块化设计，支持可插拔，且所有安装和维护均需要在机柜前面完成；</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4.电池柜内单个电池模块故障，剩下电池模块支持串联后继续运行，不影响业务；</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※5.多组电池可以支持新旧电池混并，支持分期扩容单组电池内支持新旧电池混用，支持故障更换需提供第三方出具的新旧电池混用相关的技术报告证明或者专利证书，并加盖公章。</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6.电池组不均流度＜2%，多组电池并联可实测不均流度，确保电池的寿命，并防止锂电限流保护而跳闸，需提供第三方均流控制相关的技术证明报告或者专利证书；</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7.标配柜内消防组件，确保在失火情况下能够快速精准灭火，防止火灾扩散到柜外。且消防动作或者失效可监控，确保消防可靠；</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8.消防组件采用感温式火探管，在温度上升到动作阈值时能够自动破裂，释放消防气体；</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9.锂电柜自带不低于7寸的LCD屏幕，且锂电柜可监控并显示单体电芯温度、电压、SOH/SOC等数据、电池模块数据、电池柜数据、系统数据；</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10.锂电池机柜每组电池必须有熔断器及断路器保护；每个锂电池机柜都配置有BMS系统，用于监测机柜内每节电池的电压和温度状态。在发生短路、过充、过放时，BMS系统能跳开机柜侧的断路器；</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11.通信接口：RS485，干接点</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12.整机满足CE、CB、RoHS、REACH；</w:t>
            </w:r>
          </w:p>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※13.整机满足需满足消防测试要求，需提供CNAS或CMA或CAL或TÜV第三方消防测试报告，并加盖公章。</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highlight w:val="none"/>
                <w:u w:val="none"/>
                <w:lang w:val="en-US"/>
              </w:rPr>
            </w:pPr>
            <w:r>
              <w:rPr>
                <w:rFonts w:hint="eastAsia" w:ascii="仿宋" w:hAnsi="仿宋" w:eastAsia="仿宋" w:cs="仿宋"/>
                <w:i w:val="0"/>
                <w:color w:val="auto"/>
                <w:kern w:val="0"/>
                <w:sz w:val="20"/>
                <w:szCs w:val="20"/>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（7）微模块机房机柜部分</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冷通道服务器机柜</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1.机柜支持19英寸标准的服务器、存储及网络设备安装，尺寸：约600mm×1200mm×2000mm；</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2.主体颜色采用黑色，机柜材料采用高强度A级优质碳素冷轧钢板和镀锌板，表面喷涂厚度应不小于60μm ,采用黑色砂纹工艺，满足防腐、防锈、光洁、色泽均匀、无流挂、不露底、无起泡、无裂纹、金属件无毛刺锈蚀要求；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3.机柜立柱采用八折型材一次滚压成型技术 ，保证承重要求。机柜主要承重部件包括立柱、横梁、框架等的板材厚度不小于1.5mm，顶板、侧板、底板等非承重部件的板材厚度1.0mm。 要求静态承载能力不小于2200kg，并提供第三方权威机构测试报告。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4.按照标准YD5083-2005《电信设备抗地震性能检测规范》要求，带载500kg测试连续通过8、9级烈度结构抗地震考核；</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5.机柜要求配置1000KG，以2～4km/h速度行走100m，变形量不大于1mm；</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6.机柜前后均为通风网孔门，开孔率率≥80%；</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7.整体防护等级应不小于IP20；</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机柜PDU：2套；输出接口20*10A国标+4*16A国标，竖装0U全高结构,每位插孔间须保留一定的间距，根据机柜高度与机柜U位刻度对应；为设备A/B路供电使用。两条PDU应为同一规格，互为备份；流PUD采用黑色涂层，外壳选用优质型材或钢板，应具备强度高，坚固耐用，抗压性能、装配性能、耐蚀性能和装饰性能良好，表面喷涂效果好，工艺先进，纹路平整，美观大方等特点。</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9.每个机柜包含1个封底板、6个束线圈、20个1U假面板、2U水平理线架、1副轻载滑轨。</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※10.为保障机房整体一致性，本项目UPS主机、电池、精密空调、精密配电柜、服务器机柜、动环监控产品要求为同一品牌</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侧板</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主体颜色采用黑色，机柜材料采用高强度A级优质碳素冷轧钢板和镀锌板，表面喷涂厚度应不小于60μm ,采用黑色砂纹工艺，满足防腐、防锈、光洁、色泽均匀、无流挂、不露底、无起泡、无裂纹、金属件无毛刺锈蚀要求；</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工业连接线</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32A</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机架式PDU</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PDU材料要求：插座面板和各功能面板须为高阻燃塑胶材料。PDU接口：输出接口20*10A国标+4*16A国标，竖装0U全高结构,每位插孔间须保留一定的间距，根据机柜高度与机柜U位刻度对应；</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托盘</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承载IT设备承重100KG,适用于1200mm深的服务器机柜</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走线梯</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隐藏式强电走线槽，宽度120mm ，跨通道走线槽下方顶板不能开启，建议配固定顶板</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挡板</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机柜上下挡板，隐藏机柜顶上线缆和特殊机柜支脚</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双通道上走线单元</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600mm宽柜位顶部走线，每个600mm宽柜位配一个，强电、弱电、光纤隔离</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通道顶板及安装配件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翻转型天窗透光材质应使用覆膜钢化玻璃，天窗应采用钢化玻璃材质，厚度不小于5mm。翻转天窗采用全钢化玻璃天窗，并标配防爆膜，保证人员安全。为保证通道亮度，天窗玻璃面积占比应保证不小于90%，玻璃材质透光率应不小于90%。 所使用的钢化玻璃必须符合GB 15763.2《建筑用安全玻璃》标准。</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通道门状态灯</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通道两端门框应有明确的状态指示，可支持状态指示灯，与门禁及告警等级联动，红色表示识别失败，绿色表示识别成功。门框采用告警联动指示灯，需保证至少有4种颜色，且具备四种颜色指示灯灯光与告警指示联动功能，在微模块产生告警后可与灯光进行联动。能够与紧急告警、重要告警、一般告警、提示告警进行联动；</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照明模块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定制内通道内高级照明灯，通道照明包</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2000高电动滑动门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1.微模块通道端门需采用自动平移门设计，并与门禁联动，门禁识别通过后可自动开启。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2.门板应采用整块钢化玻璃 或铝型材镶嵌钢化玻璃形式。采用整块钢化玻璃材质的，其钢化玻璃厚度应不小于8mm，以保证门板强度；如采用铝型材镶嵌钢化玻璃结构的，其门板铝型材厚度应不小于1.5mm ，玻璃厚度不小于8mm，玻璃镶嵌面积应不小于端门面积的60%，以保证通道内的良好可视性。端门接缝、门缝处应配置胶条、毛刷等装置，尽量减少端门缝隙，用以保证气密性。</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扇</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管理工具包</w:t>
            </w:r>
          </w:p>
        </w:tc>
        <w:tc>
          <w:tcPr>
            <w:tcW w:w="4920" w:type="dxa"/>
            <w:tcBorders>
              <w:tl2br w:val="nil"/>
              <w:tr2bl w:val="nil"/>
            </w:tcBorders>
            <w:noWrap w:val="0"/>
            <w:tcMar>
              <w:top w:w="15" w:type="dxa"/>
              <w:left w:w="15" w:type="dxa"/>
              <w:right w:w="15" w:type="dxa"/>
            </w:tcMar>
            <w:vAlign w:val="center"/>
          </w:tcPr>
          <w:p>
            <w:pPr>
              <w:keepNext w:val="0"/>
              <w:keepLines w:val="0"/>
              <w:widowControl/>
              <w:numPr>
                <w:ilvl w:val="0"/>
                <w:numId w:val="15"/>
              </w:numPr>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密闭通道天窗可固定、可翻转（由电磁锁自动控制开启）。天窗开启实现与通道内消防告警信号联动，在消防状态下电磁锁打开，旋转天窗在重力作用下自动打开，保证灭火气体进入密封冷通道，天窗开启后冷通道的净高不小于2米，不影响日常维护工作和维护人员安全；</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配置不小于40英寸本地显示大屏，提供实物照片证明。显示屏支持有线/无线接入数据机房管理系统，通过APP可对数据机房设备和环境参数进行实时监测。可直观展示智能微模块布局（电量、冷量、PUE、告警、环境温湿度、烟感、水浸等）、配电链路、制冷链路等信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①温湿度监控：对微模块内环境的温湿度进行检测和数据统计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②漏水监控：对微模块底部进行漏水检测，提供实时告警信号</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③烟雾监控：实时监测微模块内的烟雾状态，提供实时告警信号</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④配电监控：供电链路可视：设备应具备供电全链路显示功能：从微模块的总输入到IT机柜的PDU，整个配电拓扑展示、开关状态、能量流图、设备故障状态、支路对应关系、关键信号参数（电压、电流、温度等）；</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 支持微模块总输入相电压、电流、频率、功率因数、频率、电能、有功功率、视在功率、负载率、电压电流谐波率柜内母排温度等检测和数据统计；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 支持IT配电支路的电流、电能、开关状态、负载率等检测，电能支持按月、按年统计。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3.智能管理主机支持两路交流输入，具备本地存储功能，固态硬盘≥ 2G；</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4.智能管理主机支持SIM卡短信告警功能，支持蜂鸣器现场告警；</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5.记录历史数据和报警事件：①支持配电、精密空调、温湿度等历史数据和告警统计，储存时间不少于15天；②支持SD卡转储，并可导出数据；③支持查看历史数据和统计，以图表的方式在触摸屏上显示；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6.微模块智能控制单元采用Linux操作系统，具备显示屏本地显示和web远程管理两种模式，具备三级权限管理能力。</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7.保证模块内管理单元系统统一性</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8.微模块集中采集器或集中控制器应采用双路供电、双路供电设计，以保证微模块监控的可靠性，为提升监控系统可靠性，智能节点信号传输和传感器供电全部采用Ethernet环形总线组网，请提供微模块监控系统组网图。 </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（8）动环监控部分</w:t>
            </w:r>
          </w:p>
        </w:tc>
        <w:tc>
          <w:tcPr>
            <w:tcW w:w="930" w:type="dxa"/>
            <w:tcBorders>
              <w:tl2br w:val="nil"/>
              <w:tr2bl w:val="nil"/>
            </w:tcBorders>
            <w:noWrap w:val="0"/>
            <w:tcMar>
              <w:top w:w="15" w:type="dxa"/>
              <w:left w:w="15" w:type="dxa"/>
              <w:right w:w="15" w:type="dxa"/>
            </w:tcMar>
            <w:vAlign w:val="center"/>
          </w:tcPr>
          <w:p>
            <w:pPr>
              <w:jc w:val="left"/>
              <w:rPr>
                <w:rFonts w:hint="eastAsia" w:ascii="仿宋" w:hAnsi="仿宋" w:eastAsia="仿宋" w:cs="仿宋"/>
                <w:b/>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智能电网监测仪</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量测功能：相/线电压、电流、有功功率无功功率、视在功率、功率因数频率、有功电度、无功电度、电压/电流、三相不平衡度；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UPS监控软件模块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远程查看UPS、记录UPS参数曲线，参数越限提供报警。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空调监控软件模块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远程查看空调各部件运行参数，并可远程控制和更改空调参数；参数越限提供报警。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漏水检测绳</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1个非定位式水浸传感器-12VDC-支持常开或常闭触点+10m非定位式水浸传感器检测绳</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根</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温湿度传感器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供电电源要求：DC 12V(9~16VDC)；</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功耗要求：&lt;0.4W；</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测量范围：温度-20℃～70℃；湿度0.1～99.9％RH；</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精度要求：温度0.5℃；湿度≤±5%RH；</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输出接口：RJ45，要求带两个RJ45口，一进一出，快速插拔，不压端子。</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烟感监测</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12/24V兼容烟感传感器</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系统服务器主机及软件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总体要求：实现对监管综合楼信息中心、UPS机房及各单体楼弱电间动环监控系统的统一管理。提供完全开放的SDK开发包,以便于综合运维管理平台集成</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1.B/S架构，基于中文Linux操作系统，含100个智能节点。</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视图功能：系统提供组态工具，根据机房实际布局进行3D视图设计并支持用户自定义更改；提供机房配电拓扑设计功能，可通过自定义设计，构建机房的配电系统图；系统具备关键设备（如UPS、空调等）的展示视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告警功能：系统任意界面上须始终显示告警数量统计信息，如出现告警，能够迅速点击进入告警展示界面。通过告警信息，能够迅速定位到告警设备位置，在机房布局图中能够自动高亮显示告警设备。系统支持至少4级告警等级。系统支持告警设置，可以由用户自定义每一条阈值告警的上下限。系统提供短信告警、邮件告警功能。通过短信网关或模块推送信息，可通过**通或微信或浙政钉等推送告警信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权限及安全管理：系统支持三级以上权限级别，不同操作权限和不同管理权限的用户登陆系统后，仅显示其权限范围内的相关界面。系统须具备足够的安全措施，用户密码策略须足够复杂，且用户密码需能够设置有效期，密码到期前须能够提醒用户进行修改。为保证系统安全，当登陆用户在一段时间内没有操作时，web客户端将自动注销。</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5.报表管理：系统提供预定义的报表模板，用户能根据模板自定义报表任务。报表的展示方式包含曲线图、柱状图、饼图等不同的图形，方便直观了解报表信息。报表能够通过E-mail方式进行推送，也可通过系统直接进行报表打印和导出为PDF文件。系统须支持报表的自定义生成和自动推送。报表系统提供用户信息配置功能，在生成的报表中显示用户LOGO。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硬件要求：CPU：8核心或以上，主频2.1GHz或以上；内存：≥64G DDR4；硬盘：≥2.4TB SAS，10000RPM；支持RAID；电源性能：2路900W热插拔电源，支持1+1冗余备份，支持110V/220V AC输入；产品尺寸：2U机架式；</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※6.为保障机房整体一致性，本项目UPS主机、电池、精密空调、精密配电柜、服务器机柜、动环监控产品要求为同一品牌</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系统采集主机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1.电源输入：200V～240V AC、50/60Hz；</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2.通讯接口：支持RS485、AI/DI、DO接口，带DC 12V输出；可外接扩展模块增加RS485、AI/DI接口</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3.为保证系统统一性，需厂家管理系统软件著作权。</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※4.为满足网络安全要求，监控系统的软件、采集器硬件可以满足网络安全的要求，需要提供公安部直属单位出具的产品安全认证证书。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w:t>
            </w:r>
          </w:p>
        </w:tc>
        <w:tc>
          <w:tcPr>
            <w:tcW w:w="63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采集器扩展卡</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扩展模块-8路RS485/AI/DI复用端口，用于连接温湿度传感器、水浸、门禁，智能电表等设备。</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短信报警模块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无线5G/4G/3G/GPRS-外置式-支持USB供电</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（9）消防部分</w:t>
            </w:r>
          </w:p>
        </w:tc>
        <w:tc>
          <w:tcPr>
            <w:tcW w:w="930" w:type="dxa"/>
            <w:tcBorders>
              <w:tl2br w:val="nil"/>
              <w:tr2bl w:val="nil"/>
            </w:tcBorders>
            <w:noWrap w:val="0"/>
            <w:tcMar>
              <w:top w:w="15" w:type="dxa"/>
              <w:left w:w="15" w:type="dxa"/>
              <w:right w:w="15" w:type="dxa"/>
            </w:tcMar>
            <w:vAlign w:val="center"/>
          </w:tcPr>
          <w:p>
            <w:pPr>
              <w:jc w:val="left"/>
              <w:rPr>
                <w:rFonts w:hint="eastAsia" w:ascii="仿宋" w:hAnsi="仿宋" w:eastAsia="仿宋" w:cs="仿宋"/>
                <w:b/>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柜式七氟丙烷装置</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auto"/>
                <w:sz w:val="20"/>
                <w:szCs w:val="20"/>
                <w:highlight w:val="none"/>
                <w:u w:val="none"/>
                <w:lang w:val="en-US"/>
              </w:rPr>
            </w:pPr>
            <w:r>
              <w:rPr>
                <w:rFonts w:hint="eastAsia" w:ascii="仿宋" w:hAnsi="仿宋" w:eastAsia="仿宋" w:cs="仿宋"/>
                <w:i w:val="0"/>
                <w:color w:val="auto"/>
                <w:kern w:val="0"/>
                <w:sz w:val="20"/>
                <w:szCs w:val="20"/>
                <w:highlight w:val="none"/>
                <w:u w:val="none"/>
                <w:lang w:val="en-US" w:eastAsia="zh-CN" w:bidi="ar"/>
              </w:rPr>
              <w:t>120L（单瓶组）气体控制柜  网络机房  106KG，必须与实现土建消防控制系统对接</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柜式七氟丙烷装置</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120L（单瓶组）气体控制柜  电池间  118KG，必须与实现土建消防控制系统对接</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灭火药剂</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七氟丙烷药剂</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kg</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保护区标牌</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配套</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安全隔离装置</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配套</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泄压口</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300mm*300mm</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（10）新风部分</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吊顶式新风机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亚高效过滤，风量≥8</w:t>
            </w:r>
            <w:r>
              <w:rPr>
                <w:rStyle w:val="248"/>
                <w:rFonts w:hint="eastAsia" w:ascii="仿宋" w:hAnsi="仿宋" w:eastAsia="仿宋" w:cs="仿宋"/>
                <w:color w:val="auto"/>
                <w:highlight w:val="none"/>
                <w:lang w:val="en-US" w:eastAsia="zh-CN" w:bidi="ar"/>
              </w:rPr>
              <w:t>00M3/H</w:t>
            </w:r>
            <w:r>
              <w:rPr>
                <w:rStyle w:val="248"/>
                <w:rFonts w:hint="eastAsia" w:ascii="仿宋" w:hAnsi="仿宋" w:eastAsia="仿宋" w:cs="仿宋"/>
                <w:color w:val="auto"/>
                <w:kern w:val="0"/>
                <w:highlight w:val="none"/>
                <w:lang w:val="en-US" w:eastAsia="zh-CN" w:bidi="ar"/>
              </w:rPr>
              <w:t>,</w:t>
            </w:r>
            <w:r>
              <w:rPr>
                <w:rStyle w:val="211"/>
                <w:rFonts w:hint="eastAsia" w:ascii="仿宋" w:hAnsi="仿宋" w:eastAsia="仿宋" w:cs="仿宋"/>
                <w:color w:val="auto"/>
                <w:kern w:val="0"/>
                <w:sz w:val="20"/>
                <w:szCs w:val="20"/>
                <w:highlight w:val="none"/>
                <w:lang w:val="en-US" w:eastAsia="zh-CN" w:bidi="ar"/>
              </w:rPr>
              <w:t>含配套控制系统和相关线缆</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吊顶式新风机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亚高效过滤，风量≥</w:t>
            </w:r>
            <w:r>
              <w:rPr>
                <w:rStyle w:val="248"/>
                <w:rFonts w:hint="eastAsia" w:ascii="仿宋" w:hAnsi="仿宋" w:eastAsia="仿宋" w:cs="仿宋"/>
                <w:color w:val="auto"/>
                <w:highlight w:val="none"/>
                <w:lang w:val="en-US" w:eastAsia="zh-CN" w:bidi="ar"/>
              </w:rPr>
              <w:t>1500M3/H</w:t>
            </w:r>
            <w:r>
              <w:rPr>
                <w:rStyle w:val="248"/>
                <w:rFonts w:hint="eastAsia" w:ascii="仿宋" w:hAnsi="仿宋" w:eastAsia="仿宋" w:cs="仿宋"/>
                <w:color w:val="auto"/>
                <w:kern w:val="0"/>
                <w:highlight w:val="none"/>
                <w:lang w:val="en-US" w:eastAsia="zh-CN" w:bidi="ar"/>
              </w:rPr>
              <w:t>,</w:t>
            </w:r>
            <w:r>
              <w:rPr>
                <w:rStyle w:val="211"/>
                <w:rFonts w:hint="eastAsia" w:ascii="仿宋" w:hAnsi="仿宋" w:eastAsia="仿宋" w:cs="仿宋"/>
                <w:color w:val="auto"/>
                <w:kern w:val="0"/>
                <w:sz w:val="20"/>
                <w:szCs w:val="20"/>
                <w:highlight w:val="none"/>
                <w:lang w:val="en-US" w:eastAsia="zh-CN" w:bidi="ar"/>
              </w:rPr>
              <w:t>含配套控制系统和相关线缆</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新风电动防火阀</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风管穿越防火分区处</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方形散流器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500mm*500mm</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新、排风管制装</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0.75mm镀锌钢板</w:t>
            </w:r>
            <w:r>
              <w:rPr>
                <w:rStyle w:val="248"/>
                <w:rFonts w:hint="eastAsia" w:ascii="仿宋" w:hAnsi="仿宋" w:eastAsia="仿宋" w:cs="仿宋"/>
                <w:color w:val="auto"/>
                <w:highlight w:val="none"/>
                <w:lang w:val="en-US" w:eastAsia="zh-CN" w:bidi="ar"/>
              </w:rPr>
              <w:t>+20m</w:t>
            </w:r>
            <w:r>
              <w:rPr>
                <w:rStyle w:val="248"/>
                <w:rFonts w:hint="eastAsia" w:ascii="仿宋" w:hAnsi="仿宋" w:eastAsia="仿宋" w:cs="仿宋"/>
                <w:color w:val="auto"/>
                <w:kern w:val="0"/>
                <w:highlight w:val="none"/>
                <w:lang w:val="en-US" w:eastAsia="zh-CN" w:bidi="ar"/>
              </w:rPr>
              <w:t>m</w:t>
            </w:r>
            <w:r>
              <w:rPr>
                <w:rStyle w:val="211"/>
                <w:rFonts w:hint="eastAsia" w:ascii="仿宋" w:hAnsi="仿宋" w:eastAsia="仿宋" w:cs="仿宋"/>
                <w:color w:val="auto"/>
                <w:kern w:val="0"/>
                <w:sz w:val="20"/>
                <w:szCs w:val="20"/>
                <w:highlight w:val="none"/>
                <w:lang w:val="en-US" w:eastAsia="zh-CN" w:bidi="ar"/>
              </w:rPr>
              <w:t>保温</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风机吊架制作安装</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50角钢现场制作</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联动控制箱</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配套新、排风系统</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防雨百叶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500mm*300mm</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防雨百叶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500mm*400mm</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（二）门楼与候见楼UPS机房</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（1）装修部分</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rPr>
                <w:rFonts w:hint="eastAsia" w:ascii="仿宋" w:hAnsi="仿宋" w:eastAsia="仿宋" w:cs="仿宋"/>
                <w:b/>
                <w:i w:val="0"/>
                <w:color w:val="auto"/>
                <w:sz w:val="20"/>
                <w:szCs w:val="20"/>
                <w:highlight w:val="none"/>
                <w:u w:val="none"/>
              </w:rPr>
            </w:pP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1）顶面工程</w:t>
            </w:r>
          </w:p>
        </w:tc>
        <w:tc>
          <w:tcPr>
            <w:tcW w:w="4920" w:type="dxa"/>
            <w:tcBorders>
              <w:tl2br w:val="nil"/>
              <w:tr2bl w:val="nil"/>
            </w:tcBorders>
            <w:noWrap/>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顶面找平</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顶面找平、抹灰（顶面横梁） </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2 </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防尘漆</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二遍成活（顶面横梁）</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3 </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吊顶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吊顶形式:微孔铝合金吸音板:吊顶龙骨选用同品牌龙骨及配套材料，顶面做防尘静电处理；面层材料品种、规格:600mm*600mm微冲孔金属方板</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4 </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L型压边条</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铝合金</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rPr>
                <w:rFonts w:hint="eastAsia" w:ascii="仿宋" w:hAnsi="仿宋" w:eastAsia="仿宋" w:cs="仿宋"/>
                <w:b/>
                <w:i w:val="0"/>
                <w:color w:val="auto"/>
                <w:sz w:val="20"/>
                <w:szCs w:val="20"/>
                <w:highlight w:val="none"/>
                <w:u w:val="none"/>
              </w:rPr>
            </w:pP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2）地面部分</w:t>
            </w:r>
          </w:p>
        </w:tc>
        <w:tc>
          <w:tcPr>
            <w:tcW w:w="4920" w:type="dxa"/>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地面找平</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地面处理抹灰</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地板下防尘防静电漆</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二遍成活（墙边上翻0.4m）</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地板支架安装</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40cm高</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全钢陶瓷型防静电地板</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做法：1、活动地板安装时首先对机房地面预处理，包括机房地面抹平处理、防水防潮处理、抗静电处理。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2、地面工程在铺装地板前先在地板下刷防尘漆并粘贴19㎜厚橡塑保温板。</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3、支撑地板的横梁采用专门钢材，具有钢性好、承载力强等特点。其支架、横梁表面采用镀锌处理，美观、防腐防锈</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4、地板金属部件应保证8年以上防腐防锈</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5、架空地板高度400㎜，支架允许荷载≥20KN（只）</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地板边支架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3#角铁</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入口斜坡</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定制，防滑</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踏步</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定制，2步</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left"/>
              <w:rPr>
                <w:rFonts w:hint="eastAsia" w:ascii="仿宋" w:hAnsi="仿宋" w:eastAsia="仿宋" w:cs="仿宋"/>
                <w:b/>
                <w:i w:val="0"/>
                <w:color w:val="auto"/>
                <w:sz w:val="20"/>
                <w:szCs w:val="20"/>
                <w:highlight w:val="none"/>
                <w:u w:val="none"/>
              </w:rPr>
            </w:pP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3）墙面部分</w:t>
            </w:r>
          </w:p>
        </w:tc>
        <w:tc>
          <w:tcPr>
            <w:tcW w:w="4920" w:type="dxa"/>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墙面腻子处理</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高度按照 4m 计算</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墙面轻钢龙骨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C75mm</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彩钢板</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0.8mm厚以上钢板，表面喷塑+防火板 1200mm*2400mm</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彩钢板上下封堵</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配套</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隔墙岩棉</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30mm厚隔墙保温</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不锈钢踢脚线</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100mm高 0.8mm以上拉丝不锈钢+9号木工板打底</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left"/>
              <w:rPr>
                <w:rFonts w:hint="eastAsia" w:ascii="仿宋" w:hAnsi="仿宋" w:eastAsia="仿宋" w:cs="仿宋"/>
                <w:b/>
                <w:i w:val="0"/>
                <w:color w:val="auto"/>
                <w:sz w:val="20"/>
                <w:szCs w:val="20"/>
                <w:highlight w:val="none"/>
                <w:u w:val="none"/>
              </w:rPr>
            </w:pP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4）门窗工程</w:t>
            </w:r>
          </w:p>
        </w:tc>
        <w:tc>
          <w:tcPr>
            <w:tcW w:w="4920" w:type="dxa"/>
            <w:tcBorders>
              <w:tl2br w:val="nil"/>
              <w:tr2bl w:val="nil"/>
            </w:tcBorders>
            <w:noWrap/>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甲级钢制双开防火门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1500mm*2100mm，含锁具，闭门器，顺位器</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樘</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5）其他基础工程</w:t>
            </w:r>
          </w:p>
        </w:tc>
        <w:tc>
          <w:tcPr>
            <w:tcW w:w="4920" w:type="dxa"/>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配电柜底座</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5#角钢制作，刷防锈漆，具体尺寸按现场实际情况确定</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精密空调室内机底座</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5#角钢制作，刷防锈漆，具体尺寸按现场实际情况确定</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精密空调室外机底座</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5#角钢制作，刷防锈漆，混凝土基础</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UPS机房整体承重散力架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5号导轨钢整体焊接，含电池架底座</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UPS主机底座底座</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5#角钢制作，刷防锈漆，具体尺寸按现场实际情况确定</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（2）供配电部分</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UPS输入输出电缆</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WDZN-YJY-4*240+1*120mm2</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精密空调输入电缆</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WDZN-YJY-5*16mm2</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UPS配电柜</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断路器采用施耐德或ABB或西门子产品系列。含断路器/含智能电量仪/电气火灾监控探测器安装，包括柜内其他元器件安装，接地，箱体支座（除锈及刷防锈漆）制作安装;包括：防雷器/带RS485接口/全电量监控，铜排一批，智能电表触摸屏及电量采集等，电流互感器一批。</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2.可实时显示各回路能耗情况，支持能效管理，提供产品彩页证明；智能监控装置内部采用CAN总线通信，一个显示屏能够实现双路监控功能，且单回路断电的情况下，智能监控系统仍然可以运作。</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3.智能化的风险管理，关键节点（含支路）实时温度感知预警，提供产品彩页证明。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采用彩色7寸彩色触摸屏，能图形化显示一次系统图，实时监测主路电压、电流、功率、功率因数、电量和开关状态；支路电压、电流、功率、电量、负载率、开关状态等信息，支持SNMP、MODBUS协议，满足精密配电柜接入智能管理系统要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5.精密配电柜须通过8烈度抗震测试。</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6.为保证用电安全，配电柜所提供的铜母线要符合国家标准GB/T5585.1规范相关要求，请提供第三方权威证明文件。</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7.1*800A/3P输入+1*50A/3P+30*40A/3P+3*32A/3P+12*25A/3P输出。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※8.为保障机房整体一致性，本项目UPS主机、电池、精密空调、精密配电柜、服务器机柜、动环监控产品要求为同一品牌</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强电桥架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600mm*200mm槽式金属桥架</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安装辅件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KBG25、分线盒、φ20金属软管及墙面维修插座等</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项</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（3）接地防浪涌保护部分</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等电位环形汇流排</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30*3mm T2紫铜排</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接地线</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WDZ-BYJ(F)R-6mm2</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二级电源防雷器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100/4P</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接地干线</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WDZ-BYJ(F)R-50mm2</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零星材料</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配套</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项</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（4）精密空调部分</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精密空调</w:t>
            </w:r>
          </w:p>
        </w:tc>
        <w:tc>
          <w:tcPr>
            <w:tcW w:w="4920" w:type="dxa"/>
            <w:tcBorders>
              <w:tl2br w:val="nil"/>
              <w:tr2bl w:val="nil"/>
            </w:tcBorders>
            <w:noWrap w:val="0"/>
            <w:tcMar>
              <w:top w:w="15" w:type="dxa"/>
              <w:left w:w="15" w:type="dxa"/>
              <w:right w:w="15" w:type="dxa"/>
            </w:tcMar>
            <w:vAlign w:val="center"/>
          </w:tcPr>
          <w:p>
            <w:pPr>
              <w:keepNext w:val="0"/>
              <w:keepLines w:val="0"/>
              <w:widowControl/>
              <w:numPr>
                <w:ilvl w:val="0"/>
                <w:numId w:val="16"/>
              </w:numPr>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制冷量不小于43KW，显冷量不小于43KW，风量不小于11200m3/h，上送风下回风，恒温恒湿，采用环保高效的R410A制冷剂，具备RS232/RS485(或RS422)通信；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2.要求机组平均无故障时间要达到MTBF≥10万小时。整机连续运行设计寿命不小于10年；</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3.需具备等同于欧美高端市场要求的化学品使用透明度，不含有对人体、动物有害的化合物，保护人类健康和环境安全。应符合RoHS、REACH、WEEE声明；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4.精密空调应采用直流变频涡旋压缩机，最热负荷较小时，压缩机不频繁启停，且空调可支持10%的制冷量输出；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5.电子膨胀阀应具备异常掉电后自动关闭功能，防止冷媒异常迁移，造成再开机后的压缩机带液启动等风险；</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6.具备不低于6kV防雷滤波规格，在极端浪涌条件下更加安全可靠；</w:t>
            </w:r>
          </w:p>
          <w:p>
            <w:pPr>
              <w:keepNext w:val="0"/>
              <w:keepLines w:val="0"/>
              <w:widowControl/>
              <w:numPr>
                <w:ilvl w:val="0"/>
                <w:numId w:val="0"/>
              </w:numPr>
              <w:suppressLineNumbers w:val="0"/>
              <w:tabs>
                <w:tab w:val="left" w:pos="312"/>
              </w:tabs>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7.机组压缩机和干燥过滤器需可支持免动火原地维护，降低维护难度，降低维护时间；应具有大容量的故障报警记录储存的功能，存储历史告警信息不小于1500条；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8.具有故障自诊断功能故障发生后可通过此功能自动判断故障根因，智能排除无关故障原因，指导运维人员快速完成维护，大幅降低运维难度，缩短故障排查时间；</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※9.精密空调应该具备冷媒检测功能， 精密空调需能提供冷媒容量预警功能，对冷媒容量进行自动检测并能提供泄漏状态告警，预防由于冷媒泄露导致的空调宕机，保证机房制冷系统稳定；</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10.配置双路供电机组，主路与辅路供电应能自动切换。在主路供电失效时，应能自动切换到辅路，主路恢复供电时，自动切换回主路；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11.响应国家节能减排的号召，精密空调具有高节能性能，在机房常规工况下（室内温度24℃，室外温度35℃），50%负载运行中能效比不小于4.2，100%负载运行中能效比不小于3.2，全年能效比不小于7.0；</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12.精密空调要适应于“黄梅天”、“梅雨天”低温高湿环境，室内外温度在常温情况下，80%相对湿度，机组除湿量不小于13KG/H，且显热制冷量输出不大于总制冷量的10%；</w:t>
            </w:r>
          </w:p>
          <w:p>
            <w:pPr>
              <w:keepNext w:val="0"/>
              <w:keepLines w:val="0"/>
              <w:widowControl/>
              <w:numPr>
                <w:ilvl w:val="0"/>
                <w:numId w:val="0"/>
              </w:numPr>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▲13.提供节能产品认证证书。</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※14.为保障机房整体一致性，本项目UPS主机、电池、精密空调、精密配电柜、服务器机柜、动环监控产品要求为同一品牌</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室外机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风机数量：1台；和上述精密空调配套使用；</w:t>
            </w:r>
          </w:p>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▲提供节能产品认证证书。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安装辅件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含安装，含铜管、制冷剂、电源、进出水管、保温管、安装管、室外机安装基础、内机挡水坝、监控卡、各类配件等所需所有辅材</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（5）UPS部分</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UPS主机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bidi="ar"/>
              </w:rPr>
            </w:pPr>
            <w:r>
              <w:rPr>
                <w:rFonts w:hint="eastAsia" w:ascii="仿宋" w:hAnsi="仿宋" w:eastAsia="仿宋" w:cs="仿宋"/>
                <w:i w:val="0"/>
                <w:color w:val="auto"/>
                <w:kern w:val="0"/>
                <w:sz w:val="20"/>
                <w:szCs w:val="20"/>
                <w:highlight w:val="none"/>
                <w:u w:val="none"/>
                <w:lang w:val="en-US" w:eastAsia="zh-CN" w:bidi="ar"/>
              </w:rPr>
              <w:t>1.模块化UPS类型应为在线式双变换式，制式为三相输入，三相输出，最大可配置扩容输出容量为600KVA；</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输入频率范围：40Hz-70Hz；输入功率因数：&gt;0.99（满载）；输出功率因数：1；过载能力：125%负载10min后转旁路；输入电流谐波成分：&lt;5%（50%负载），&lt;2%（100%负载）；输出电压波形失真度：&lt;2%；三相电不平衡度：&lt;0.04%（平衡负载），&lt;2.6%（不平衡负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3.UPS系统在50%负载时，效率＞96%；</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4.宽电压输入范围： 138-485Vac， 305V-485V可支持满载，305-138V线性降额至40%负载；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※5.单设备关键部件控制模块或功率模块采用冗余设计，避免单点故障，并提供实物照片证明，标出控制模块的位置；</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6.UPS功率模块，监控模块应支持在线热插拔；</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7.电池管理：UPS应具有定期对蓄电池组进行自动浮充、均充转换，自动温度补偿。电池组放电功能；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8.当UPS在蓄电池逆变工作方式时，蓄电池电压降至保护点时发出声光告警，停止供电；</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9.交流输入端满足5kA防雷和6kV防浪涌要求；并提供第三方权威证明资料证明；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10.模块化UPS需符合国家绿色数据中心要求，所投智能模块技术厂家入选工信部公布的《绿色数据中心先进适用技术产品目录（2020年版）》名单，并提供官网链接和相关文件证明。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11.提供节能认证，泰尔认证及检测报告产品彩页；</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※12.为保障机房整体一致性，本项目UPS主机、电池、精密空调、精密配电柜、服务器机柜、动环监控产品要求为同一品牌</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功率模块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1.功率模块的额定输出功率应不小于50KVA;高度不大于3U;</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2.风扇故障时应发出声光告警，功率模块内部温度达到保护设定值时，功率模块应能自动告警并保护而退出系统，当故障排除后应能自动恢复工作；</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3.UPS运行中，故障功率模块应自动退出运行，不影响系统其他部件的正常工作；</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锂电池</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1.产品规格：64V-40AH；电芯材料：磷酸铁锂</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2.标准电压：64Vdc；</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3.最大充/放电流：80A / 400A 连续放电， @35ºC；</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4.循环寿命：3000次 @80%放电深度， 35ºC；</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5.自放电@25ºC:存储90天自放电＜5%；</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※6.提供锂电池针刺实验检测报告，并加盖公章。</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※7.电池组不均流度≤2%，多组电池并联可实测不均流度，确保电池的寿命，并防止锂电限流保护而跳闸，需提供产品技术白皮书等相关证明材料，并加盖公章。</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▲8.中标后由原厂提供不起火承诺函，并加盖原厂投标专用章；</w:t>
            </w:r>
          </w:p>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※9.为保障机房整体一致性，本项目UPS主机、电池、精密空调、精密配电柜、服务器机柜、动环监控产品要求为同一品牌</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节</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highlight w:val="none"/>
                <w:u w:val="none"/>
                <w:lang w:val="en-US"/>
              </w:rPr>
            </w:pPr>
            <w:r>
              <w:rPr>
                <w:rFonts w:hint="eastAsia" w:ascii="仿宋" w:hAnsi="仿宋" w:eastAsia="仿宋" w:cs="仿宋"/>
                <w:i w:val="0"/>
                <w:color w:val="auto"/>
                <w:kern w:val="0"/>
                <w:sz w:val="20"/>
                <w:szCs w:val="20"/>
                <w:highlight w:val="none"/>
                <w:u w:val="none"/>
                <w:lang w:val="en-US" w:eastAsia="zh-CN" w:bidi="ar"/>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电池汇流盒</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电池汇流盒-630A-705VDC</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highlight w:val="none"/>
                <w:u w:val="none"/>
                <w:lang w:val="en-US"/>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BMS系统及锂电池柜</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1.锂电池机柜-满配(含监控屏)，尺寸（宽深高，单位mm）约600*850*2000；</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2.标准电压：512Vdc；额定电压：544Vdc；</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3.电池模组采用模块化设计，支持可插拔，且所有安装和维护均需要在机柜前面完成；</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4.电池柜内单个电池模块故障，剩下电池模块支持串联后继续运行，不影响业务；</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※5.多组电池可以支持新旧电池混并，支持分期扩容单组电池内支持新旧电池混用，支持故障更换需提供第三方出具的新旧电池混用相关的技术报告证明或者专利证书，并加盖公章。</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6.电池组不均流度＜2%，多组电池并联可实测不均流度，确保电池的寿命，并防止锂电限流保护而跳闸，需提供第三方均流控制相关的技术证明报告或者专利证书；</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7.标配柜内消防组件，确保在失火情况下能够快速精准灭火，防止火灾扩散到柜外。且消防动作或者失效可监控，确保消防可靠；</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8.消防组件采用感温式火探管，在温度上升到动作阈值时能够自动破裂，释放消防气体；</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9.锂电柜自带不低于7寸的LCD屏幕，且锂电柜可监控并显示单体电芯温度、电压、SOH/SOC等数据、电池模块数据、电池柜数据、系统数据；</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10.锂电池机柜每组电池必须有熔断器及断路器保护；每个锂电池机柜都配置有BMS系统，用于监测机柜内每节电池的电压和温度状态。在发生短路、过充、过放时，BMS系统能跳开机柜侧的断路器；</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11.通信接口：RS485，干接点</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12.整机满足CE、CB、RoHS、REACH；</w:t>
            </w:r>
          </w:p>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※13.整机满足需满足消防测试要求，需提供CNAS或CMA或CAL或TÜV第三方消防测试报告，并加盖公章。</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highlight w:val="none"/>
                <w:u w:val="none"/>
                <w:lang w:val="en-US"/>
              </w:rPr>
            </w:pPr>
            <w:r>
              <w:rPr>
                <w:rFonts w:hint="eastAsia" w:ascii="仿宋" w:hAnsi="仿宋" w:eastAsia="仿宋" w:cs="仿宋"/>
                <w:i w:val="0"/>
                <w:color w:val="auto"/>
                <w:kern w:val="0"/>
                <w:sz w:val="20"/>
                <w:szCs w:val="20"/>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（6）动环监控部分</w:t>
            </w:r>
          </w:p>
        </w:tc>
        <w:tc>
          <w:tcPr>
            <w:tcW w:w="930" w:type="dxa"/>
            <w:tcBorders>
              <w:tl2br w:val="nil"/>
              <w:tr2bl w:val="nil"/>
            </w:tcBorders>
            <w:noWrap w:val="0"/>
            <w:tcMar>
              <w:top w:w="15" w:type="dxa"/>
              <w:left w:w="15" w:type="dxa"/>
              <w:right w:w="15" w:type="dxa"/>
            </w:tcMar>
            <w:vAlign w:val="center"/>
          </w:tcPr>
          <w:p>
            <w:pPr>
              <w:jc w:val="left"/>
              <w:rPr>
                <w:rFonts w:hint="eastAsia" w:ascii="仿宋" w:hAnsi="仿宋" w:eastAsia="仿宋" w:cs="仿宋"/>
                <w:b/>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智能电网监测仪</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量测功能：相/线电压、电流、有功功率无功功率、视在功率、功率因数频率、有功电度、无功电度、电压/电流、三相不平衡度；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UPS监控软件模块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远程查看UPS、记录UPS参数曲线，参数越限提供报警。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空调监控软件模块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远程查看空调各部件运行参数，并可远程控制和更改空调参数；参数越限提供报警。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漏水检测绳</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1个非定位式水浸传感器-12VDC-支持常开或常闭触点+10m非定位式水浸传感器检测绳</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根</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温湿度传感器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供电电源要求：DC 12V(9~16VDC)；</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功耗要求：&lt;0.4W；</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测量范围：温度-20℃～70℃；湿度0.1～99.9％RH；</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精度要求：温度0.5℃；湿度≤±5%RH；</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输出接口：RJ45，要求带两个RJ45口，一进一出，快速插拔，不压端子。</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烟感监测</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12/24V兼容烟感传感器</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系统采集主机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1.电源输入：200V～240V AC、50/60Hz；</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2.通讯接口：支持RS485、AI/DI、DO接口，带DC 12V输出；可外接扩展模块增加RS485、AI/DI接口</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3.为保证系统统一性，需厂家管理系统软件著作权。</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※4.为满足网络安全要求，监控系统的软件、采集器硬件可以满足网络安全的要求，需要提供公安部直属单位出具的产品安全认证证书。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w:t>
            </w:r>
          </w:p>
        </w:tc>
        <w:tc>
          <w:tcPr>
            <w:tcW w:w="63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采集器扩展卡</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扩展模块-8路RS485/AI/DI复用端口，用于连接温湿度传感器、水浸、门禁，智能电表等设备。</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（7）消防部分</w:t>
            </w:r>
          </w:p>
        </w:tc>
        <w:tc>
          <w:tcPr>
            <w:tcW w:w="930" w:type="dxa"/>
            <w:tcBorders>
              <w:tl2br w:val="nil"/>
              <w:tr2bl w:val="nil"/>
            </w:tcBorders>
            <w:noWrap w:val="0"/>
            <w:tcMar>
              <w:top w:w="15" w:type="dxa"/>
              <w:left w:w="15" w:type="dxa"/>
              <w:right w:w="15" w:type="dxa"/>
            </w:tcMar>
            <w:vAlign w:val="center"/>
          </w:tcPr>
          <w:p>
            <w:pPr>
              <w:jc w:val="left"/>
              <w:rPr>
                <w:rFonts w:hint="eastAsia" w:ascii="仿宋" w:hAnsi="仿宋" w:eastAsia="仿宋" w:cs="仿宋"/>
                <w:b/>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灭火控制盘</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机房采用独立消防系统，并需要接入南郊整体消防报警系统中</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报警电源</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配套</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声光报警器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配套</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喷洒模块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配套</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温感</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内置带A/D转换的八位单片机，过在探测器内部固化的运算程序，可自动完成对外界环境参数变化的补偿及火警、故障的判断</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烟感</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工作电压：总线24V；报警电流≤1.8mA</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气体喷洒指示灯</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闪光频率：每分钟闪亮45正负5次;编码方式：电子编码方式，编码范围可在11~20之间任意设定;线制：与气体灭火控制器采用四线连接。其中两线接总线，无极性；另外两线接电源DC24V，无极性</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紧急启停动按钮</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编码方式：电子编码方式，编码范围可在21~30之间任意设定;常开输出触点：额定值DC60V、0.1A，接触电阻小于等于100M欧姆</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管线材</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各电缆及KBG管等</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批</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柜式七氟丙烷装置</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120L（单瓶组）气体控制柜  电池间  88KG</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灭火药剂</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七氟丙烷药剂</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kg</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保护区标牌</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配套</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安全隔离装置</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配套</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泄压口</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300mm*300mm</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（8）新风部分</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吊顶式新风机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亚高效过滤，风量≥</w:t>
            </w:r>
            <w:r>
              <w:rPr>
                <w:rStyle w:val="248"/>
                <w:rFonts w:hint="eastAsia" w:ascii="仿宋" w:hAnsi="仿宋" w:eastAsia="仿宋" w:cs="仿宋"/>
                <w:color w:val="auto"/>
                <w:highlight w:val="none"/>
                <w:lang w:val="en-US" w:eastAsia="zh-CN" w:bidi="ar"/>
              </w:rPr>
              <w:t>1500M3/H,</w:t>
            </w:r>
            <w:r>
              <w:rPr>
                <w:rStyle w:val="211"/>
                <w:rFonts w:hint="eastAsia" w:ascii="仿宋" w:hAnsi="仿宋" w:eastAsia="仿宋" w:cs="仿宋"/>
                <w:color w:val="auto"/>
                <w:kern w:val="0"/>
                <w:sz w:val="20"/>
                <w:szCs w:val="20"/>
                <w:highlight w:val="none"/>
                <w:lang w:val="en-US" w:eastAsia="zh-CN" w:bidi="ar"/>
              </w:rPr>
              <w:t>含配套控制系统和相关线缆</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新风电动防火阀</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风管穿越防火分区处</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方形散流器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500mm*500mm</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新、排风管制装</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0.75mm镀锌钢板</w:t>
            </w:r>
            <w:r>
              <w:rPr>
                <w:rStyle w:val="248"/>
                <w:rFonts w:hint="eastAsia" w:ascii="仿宋" w:hAnsi="仿宋" w:eastAsia="仿宋" w:cs="仿宋"/>
                <w:color w:val="auto"/>
                <w:highlight w:val="none"/>
                <w:lang w:val="en-US" w:eastAsia="zh-CN" w:bidi="ar"/>
              </w:rPr>
              <w:t>+20m</w:t>
            </w:r>
            <w:r>
              <w:rPr>
                <w:rStyle w:val="248"/>
                <w:rFonts w:hint="eastAsia" w:ascii="仿宋" w:hAnsi="仿宋" w:eastAsia="仿宋" w:cs="仿宋"/>
                <w:color w:val="auto"/>
                <w:kern w:val="0"/>
                <w:highlight w:val="none"/>
                <w:lang w:val="en-US" w:eastAsia="zh-CN" w:bidi="ar"/>
              </w:rPr>
              <w:t>m</w:t>
            </w:r>
            <w:r>
              <w:rPr>
                <w:rStyle w:val="211"/>
                <w:rFonts w:hint="eastAsia" w:ascii="仿宋" w:hAnsi="仿宋" w:eastAsia="仿宋" w:cs="仿宋"/>
                <w:color w:val="auto"/>
                <w:kern w:val="0"/>
                <w:sz w:val="20"/>
                <w:szCs w:val="20"/>
                <w:highlight w:val="none"/>
                <w:lang w:val="en-US" w:eastAsia="zh-CN" w:bidi="ar"/>
              </w:rPr>
              <w:t>保温</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风机吊架制作安装</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50角钢现场制作</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联动控制箱</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配套新、排风系统</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防雨百叶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500mm*300mm</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防雨百叶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500mm*400mm</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（三）监管综合楼4层安防机房</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（1）装修部分</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rPr>
                <w:rFonts w:hint="eastAsia" w:ascii="仿宋" w:hAnsi="仿宋" w:eastAsia="仿宋" w:cs="仿宋"/>
                <w:b/>
                <w:i w:val="0"/>
                <w:color w:val="auto"/>
                <w:sz w:val="20"/>
                <w:szCs w:val="20"/>
                <w:highlight w:val="none"/>
                <w:u w:val="none"/>
              </w:rPr>
            </w:pP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1）顶面工程</w:t>
            </w:r>
          </w:p>
        </w:tc>
        <w:tc>
          <w:tcPr>
            <w:tcW w:w="4920" w:type="dxa"/>
            <w:tcBorders>
              <w:tl2br w:val="nil"/>
              <w:tr2bl w:val="nil"/>
            </w:tcBorders>
            <w:noWrap/>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顶面找平</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顶面找平、抹灰（顶面横梁） </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2 </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防尘漆</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二遍成活（顶面横梁）</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3 </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吊顶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吊顶形式:微孔铝合金吸音板；含600mm*600mmled格栅灯 龙骨类型、材料种类、规格、中距:吊顶龙骨选用同品牌龙骨及配套材料，要符合GB11981-2001国家标准的规定</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顶面做防尘静电处理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面层材料品种、规格:600mm*600mm微冲孔金属方板</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4 </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L型压边条</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铝合金</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rPr>
                <w:rFonts w:hint="eastAsia" w:ascii="仿宋" w:hAnsi="仿宋" w:eastAsia="仿宋" w:cs="仿宋"/>
                <w:b/>
                <w:i w:val="0"/>
                <w:color w:val="auto"/>
                <w:sz w:val="20"/>
                <w:szCs w:val="20"/>
                <w:highlight w:val="none"/>
                <w:u w:val="none"/>
              </w:rPr>
            </w:pP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2）地面部分</w:t>
            </w:r>
          </w:p>
        </w:tc>
        <w:tc>
          <w:tcPr>
            <w:tcW w:w="4920" w:type="dxa"/>
            <w:tcBorders>
              <w:tl2br w:val="nil"/>
              <w:tr2bl w:val="nil"/>
            </w:tcBorders>
            <w:noWrap/>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地面找平</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地面处理抹灰</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地板下防尘防静电漆</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二遍成活（墙边上翻0.4m）</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地板支架安装</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40cm高</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全钢陶瓷型防静电地板</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做法：1、活动地板安装时首先对机房地面预处理，包括机房地面抹平处理、防水防潮处理、抗静电处理。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2、地面工程在铺装地板前先在地板下刷防尘漆并粘贴19㎜厚橡塑保温板。</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3、支撑地板的横梁采用专门钢材，具有钢性好、承载力强等特点。其支架、横梁表面采用镀锌处理，美观、防腐防锈</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4、地板金属部件应保证8年以上防腐防锈</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5、架空地板高度400㎜，支架允许荷载≥20KN（只）</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地板边支架</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3#角铁</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门口压边处理</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铝合金压边条</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门口缓冲区域</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配套</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项</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left"/>
              <w:rPr>
                <w:rFonts w:hint="eastAsia" w:ascii="仿宋" w:hAnsi="仿宋" w:eastAsia="仿宋" w:cs="仿宋"/>
                <w:b/>
                <w:i w:val="0"/>
                <w:color w:val="auto"/>
                <w:sz w:val="20"/>
                <w:szCs w:val="20"/>
                <w:highlight w:val="none"/>
                <w:u w:val="none"/>
              </w:rPr>
            </w:pP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3）墙面部分</w:t>
            </w:r>
          </w:p>
        </w:tc>
        <w:tc>
          <w:tcPr>
            <w:tcW w:w="4920" w:type="dxa"/>
            <w:tcBorders>
              <w:tl2br w:val="nil"/>
              <w:tr2bl w:val="nil"/>
            </w:tcBorders>
            <w:noWrap/>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墙面腻子处理</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高度按照 4m 计算</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墙面轻钢龙骨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C75mm</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彩钢板</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0.8mm厚以上钢板，表面喷塑+防火板 1200mm*2400mm</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彩钢板上下封堵</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配套</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隔墙岩棉</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30mm厚隔墙保温</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不锈钢踢脚线</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100mm高 0.8mm以上拉丝不锈钢+9号木工板打底</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left"/>
              <w:rPr>
                <w:rFonts w:hint="eastAsia" w:ascii="仿宋" w:hAnsi="仿宋" w:eastAsia="仿宋" w:cs="仿宋"/>
                <w:b/>
                <w:i w:val="0"/>
                <w:color w:val="auto"/>
                <w:sz w:val="20"/>
                <w:szCs w:val="20"/>
                <w:highlight w:val="none"/>
                <w:u w:val="none"/>
              </w:rPr>
            </w:pP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4）门窗工程</w:t>
            </w:r>
          </w:p>
        </w:tc>
        <w:tc>
          <w:tcPr>
            <w:tcW w:w="4920" w:type="dxa"/>
            <w:tcBorders>
              <w:tl2br w:val="nil"/>
              <w:tr2bl w:val="nil"/>
            </w:tcBorders>
            <w:noWrap/>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甲级钢制单开防火门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1000mm*2100mm，含锁具，闭门器，顺位器</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樘</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5）其他基础工程</w:t>
            </w:r>
          </w:p>
        </w:tc>
        <w:tc>
          <w:tcPr>
            <w:tcW w:w="4920" w:type="dxa"/>
            <w:tcBorders>
              <w:tl2br w:val="nil"/>
              <w:tr2bl w:val="nil"/>
            </w:tcBorders>
            <w:noWrap/>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机柜底座</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5#角钢制作，刷防锈漆，具体尺寸按现场实际情况确定</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精密空调室内机底座</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5#角钢制作，刷防锈漆，具体尺寸按现场实际情况确定</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精密空调室外机底座</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5#角钢制作，刷防锈漆，具体尺寸按现场实际情况确定</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（2）供配电部分</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机柜输入电缆</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WDZN-BYJ-3*6mm2</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综合配电箱</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包含市电输入与UPS输入，≥2路80A/3P输入，≥2路63A/3P输出，≥12路32A输出；含断路器/含智能电量仪/电气火灾监控探测器安装，包括柜内其他元器件安装，接地，包括：防雷器/带RS485接口/全电量监控，铜排一批，及电量采集等，电流互感器一批。</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强电桥架</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200mm*100mm槽式金属桥架</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多股铜芯线</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WDZN-BYJ-3*2.5mm2</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安装辅件</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KBG25、分线盒、φ20金属软管及墙面维修插座等</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项</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（3）照明部分</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多股铜芯线</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WDZN-YJY-3*2.5mm2</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应急电源</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5W以上，有消防许可</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应急出口指示灯</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消防许可</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安装辅材</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KBG25、分线盒、φ20金属软管及照明开关等</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（4）接地防浪涌保护部分</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等电位环形汇流排</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30*3mm T2紫铜排</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接地线（机柜外壳等）</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WDZ-BYJ(F)R-6mm2</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二级电源防雷器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40/4P</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接地干线</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WDZ-BYJ(F)R-50mm2</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零星材料</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配套</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项</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（5）精密空调部分</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精密空调</w:t>
            </w:r>
          </w:p>
        </w:tc>
        <w:tc>
          <w:tcPr>
            <w:tcW w:w="4920" w:type="dxa"/>
            <w:tcBorders>
              <w:tl2br w:val="nil"/>
              <w:tr2bl w:val="nil"/>
            </w:tcBorders>
            <w:noWrap w:val="0"/>
            <w:tcMar>
              <w:top w:w="15" w:type="dxa"/>
              <w:left w:w="15" w:type="dxa"/>
              <w:right w:w="15" w:type="dxa"/>
            </w:tcMar>
            <w:vAlign w:val="center"/>
          </w:tcPr>
          <w:p>
            <w:pPr>
              <w:keepNext w:val="0"/>
              <w:keepLines w:val="0"/>
              <w:widowControl/>
              <w:numPr>
                <w:ilvl w:val="0"/>
                <w:numId w:val="17"/>
              </w:numPr>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制冷量不小于12.5KW，风量不小于2600m3/h、水平送风，供电方式220/230/240V，采用环保高效的R410A制冷剂；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 可以实现最低10%的IT负载及95%以上室内高湿度的情况下的稳定除湿功能，且除湿量不小于5.5kg/h，，降低高湿环境下数据中心低载运行的IT设备结露风险。需提供第三方检测报告证明。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3.响应国家节能节耗号召，能效比IPLV不小于4.5；</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4.空调在运行时，室内机的噪音不超过60dB，室外机噪音不超过65 dB；</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5.认证等级通过3C产品认证；</w:t>
            </w:r>
          </w:p>
          <w:p>
            <w:pPr>
              <w:keepNext w:val="0"/>
              <w:keepLines w:val="0"/>
              <w:widowControl/>
              <w:numPr>
                <w:ilvl w:val="0"/>
                <w:numId w:val="0"/>
              </w:numPr>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▲6.提供节能产品认证证书。</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※7.为保障机房整体一致性，本项目UPS主机、电池、精密空调、精密配电柜、服务器机柜、动环监控产品要求为同一品牌</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室外机</w:t>
            </w: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风机数量：1台；和上述精密空调配套使用；</w:t>
            </w:r>
          </w:p>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▲提供节能产品认证证书。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安装辅件</w:t>
            </w:r>
          </w:p>
        </w:tc>
        <w:tc>
          <w:tcPr>
            <w:tcW w:w="492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含安装，含铜管、制冷剂、电源、进出水管、保温管、安装管、室外机安装基础、内机挡水坝、监控卡、各类配件等所需所有辅材</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（6）机柜部分</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服务器机柜</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1.规格：≤600mm(W)*2000mm(H)*1400mm(D)，符合19英寸标准安装规范；机柜内部安装空间42U，前后立柱均有U位标记；</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2.结构：模块采用焊接式框架结构，每个单柜由机柜（含冷风通道）、热风通道组成；热风通道可进行自由拆分组合，双层玻璃门，确保隔热，防止凝露，要求微模块每个单柜风道宽度不小于200mm；</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3.材质：采用冷轧钢板制作，机柜承重立柱部件采用≥1.5mm厚优质冷轧钢板制作，其余组件采用≥1.0mm厚优质冷轧钢板制作；</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4.表面涂层厚度要求：≧60μm；</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5.承重：机柜静态载荷能力要求不低于2200KG；</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6.机柜门：采用前单开聚碳酸酯板门/双层中空钢化玻璃,不允许使用单片钢化玻璃门，后单开钢化玻璃门；全密封式，前后门采用可拆卸式结构；门开启顺畅，无卡阻现象；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7.机柜后门右侧标配1对PDU安装滑块，用于PDU安装；</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 高强度A级优质碳素冷轧钢板和镀锌板，机柜采用专用的机柜并柜连接件，应支持无需拆卸机柜门情况下实现机柜并柜功能。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9. 机柜的前门、后门及侧板均可锁定，用提供的专用钥匙打开。前后门开启角度不小于120°。</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10. 由于模块机房是封闭冷热通道，为了消防要求，当检测到烟雾告警时，机柜需自动弹开后门让消防气体进入灭火，并提供官方彩页证明。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※11.为保障机房整体一致性，本项目UPS主机、电池、精密空调、精密配电柜、服务器机柜、动环监控产品要求为同一品牌</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侧板</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主体颜色采用黑色，机柜材料采用高强度A级优质碳素冷轧钢板和镀锌板，表面喷涂厚度应不小于60μm ,采用黑色砂纹工艺，满足防腐、防锈、光洁、色泽均匀、无流挂、不露底、无起泡、无裂纹、金属件无毛刺锈蚀要求；包括机柜上下两块侧板</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配电模块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1.包含UPS输入、UPS输出、UPS维修旁路开关、防雷保护开关；尺寸≤6U，机架式安装，2路63A/3P输入，配电模块至少需要16路32A IT输出；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2.配电模块配置电源防雷器（浪涌保护器/电涌保护器/过电压抑制器）,其泄放电流能力根据招标要求，响应时间25ns，残压≤1.2kV(C级)，≤2.0kV(B级)，防雷器配置前端断路器保护。</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机架式PDU</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输出接口20*GB 10A+4*GB 16A-国标插座-7.3KVA-竖装全高</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（7）动环监控部分</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空调监控软件模块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远程查看空调各部件运行参数，并可远程控制和更改空调参数；参数越限提供报警。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漏水检测绳</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1个非定位式水浸传感器-12VDC-支持常开或常闭触点+10m非定位式水浸传感器检测绳</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根</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温湿度传感器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供电电源要求：DC 12V(9~16VDC)；</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功耗要求：&lt;0.4W；</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测量范围：温度-20℃～70℃；湿度0.1～99.9％RH；</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精度要求：温度0.5℃；湿度≤±5%RH；</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输出接口：RJ45，要求带两个RJ45口，一进一出，快速插拔，不压端子。</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烟感监测</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12/24V兼容烟感传感器</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根</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系统采集主机</w:t>
            </w:r>
          </w:p>
        </w:tc>
        <w:tc>
          <w:tcPr>
            <w:tcW w:w="4920" w:type="dxa"/>
            <w:tcBorders>
              <w:tl2br w:val="nil"/>
              <w:tr2bl w:val="nil"/>
            </w:tcBorders>
            <w:noWrap w:val="0"/>
            <w:tcMar>
              <w:top w:w="15" w:type="dxa"/>
              <w:left w:w="15" w:type="dxa"/>
              <w:right w:w="15" w:type="dxa"/>
            </w:tcMar>
            <w:vAlign w:val="center"/>
          </w:tcPr>
          <w:p>
            <w:pPr>
              <w:keepNext w:val="0"/>
              <w:keepLines w:val="0"/>
              <w:widowControl/>
              <w:numPr>
                <w:ilvl w:val="0"/>
                <w:numId w:val="18"/>
              </w:numPr>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支持两路交流输入，具备本地存储功能，固态硬盘≥ 2G；</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2.支持SIM卡短信告警功能，支持蜂鸣器现场告警；</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3.支持配电、精密空调、温湿度等历史数据和告警统计，储存时间不少于15天；</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4.微模块智能控制单元采用Linux操作系统，具备LCD显示屏本地显示和web远程管理两种模式，具备三级权限管理能力。</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5.保证模块内管理单元系统统一性</w:t>
            </w:r>
          </w:p>
          <w:p>
            <w:pPr>
              <w:keepNext w:val="0"/>
              <w:keepLines w:val="0"/>
              <w:widowControl/>
              <w:numPr>
                <w:ilvl w:val="0"/>
                <w:numId w:val="0"/>
              </w:numPr>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6.为满足网络安全要求，监控系统的软件、采集器硬件可以满足网络安全的要求，需要提供公安部直属单位出具的产品安全认证证书。</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微模块集中采集器或集中控制器应采用双路供电、双路供电设计，以保证微模块监控的可靠性，为提升监控系统可靠性，智能节点信号传输和传感器供电全部采用Ethernet环形总线组网，请提供微模块监控系统组网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※8.为保障机房整体一致性，本项目UPS主机、电池、精密空调、精密配电柜、服务器机柜、动环监控产品要求为同一品牌</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（四）监区外各单体楼弱电间部分-全部55间弱电间的动环及空调部分</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（1）动力环境监控部分</w:t>
            </w:r>
          </w:p>
        </w:tc>
        <w:tc>
          <w:tcPr>
            <w:tcW w:w="4920" w:type="dxa"/>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温湿度传感器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供电电源要求：DC 12V(9~16VDC)；</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功耗要求：&lt;0.4W；</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测量范围：温度-20℃～70℃；湿度0.1～99.9％RH；</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精度要求：温度0.5℃；湿度≤±5%RH；</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输出接口：RJ45，要求带两个RJ45口，一进一出，快速插拔，不压端子。</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烟感监测</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12/24V兼容烟感传感器</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智能空调遥控器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具有RS485通讯接口、自学习、来电自启动、空调状态检测、温度采集等多种功能，通过自学习原空调遥控器的各种控制命令后，监控系统通过RS485接口可以实现远程开关机、设置运行模式、设置空调温度、实时监控温度、采集空调状态等多种功能，从而实现对空调的远程监测和控制</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系统采集主机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1.电源输入：200V～240V AC、50/60Hz；</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2.通讯接口：支持RS485、AI/DI、DO接口，带DC 12V输出；可外接扩展模块增加RS485、AI/DI接口</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3.保证系统统一性。</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4.为满足网络安全要求，监控系统的软件、采集器硬件可以满足网络安全的要求，需要提供公安部直属单位出具的产品安全认证证书。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（2）空调系统部分</w:t>
            </w:r>
          </w:p>
        </w:tc>
        <w:tc>
          <w:tcPr>
            <w:tcW w:w="4920" w:type="dxa"/>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1P空调</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kern w:val="0"/>
                <w:sz w:val="20"/>
                <w:szCs w:val="20"/>
                <w:highlight w:val="none"/>
                <w:u w:val="none"/>
                <w:lang w:val="en-US" w:eastAsia="zh-CN" w:bidi="ar"/>
              </w:rPr>
            </w:pPr>
            <w:r>
              <w:rPr>
                <w:rFonts w:hint="eastAsia" w:ascii="仿宋" w:hAnsi="仿宋" w:eastAsia="仿宋" w:cs="仿宋"/>
                <w:color w:val="auto"/>
                <w:kern w:val="0"/>
                <w:sz w:val="20"/>
                <w:szCs w:val="20"/>
                <w:highlight w:val="none"/>
                <w:u w:val="none"/>
                <w:lang w:val="en-US" w:eastAsia="zh-CN" w:bidi="ar"/>
              </w:rPr>
              <w:t>壁挂，分体式，制冷量(W)≥2500，含铜管、电源、打洞、墙面修复等所需所有线路、辅材及安装。</w:t>
            </w:r>
          </w:p>
          <w:p>
            <w:pPr>
              <w:widowControl/>
              <w:jc w:val="left"/>
              <w:textAlignment w:val="center"/>
              <w:rPr>
                <w:rFonts w:hint="default"/>
                <w:color w:val="auto"/>
                <w:highlight w:val="none"/>
                <w:lang w:val="en-US"/>
              </w:rPr>
            </w:pPr>
            <w:r>
              <w:rPr>
                <w:rFonts w:hint="eastAsia" w:ascii="仿宋" w:hAnsi="仿宋" w:eastAsia="仿宋" w:cs="仿宋"/>
                <w:i w:val="0"/>
                <w:color w:val="auto"/>
                <w:kern w:val="0"/>
                <w:sz w:val="20"/>
                <w:szCs w:val="20"/>
                <w:highlight w:val="none"/>
                <w:u w:val="none"/>
                <w:lang w:val="en-US" w:eastAsia="zh-CN" w:bidi="ar"/>
              </w:rPr>
              <w:t>▲提供节能产品认证证书。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1.5P空调</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kern w:val="0"/>
                <w:sz w:val="20"/>
                <w:szCs w:val="20"/>
                <w:highlight w:val="none"/>
                <w:u w:val="none"/>
                <w:lang w:val="en-US" w:eastAsia="zh-CN" w:bidi="ar"/>
              </w:rPr>
            </w:pPr>
            <w:r>
              <w:rPr>
                <w:rFonts w:hint="eastAsia" w:ascii="仿宋" w:hAnsi="仿宋" w:eastAsia="仿宋" w:cs="仿宋"/>
                <w:color w:val="auto"/>
                <w:kern w:val="0"/>
                <w:sz w:val="20"/>
                <w:szCs w:val="20"/>
                <w:highlight w:val="none"/>
                <w:u w:val="none"/>
                <w:lang w:val="en-US" w:eastAsia="zh-CN" w:bidi="ar"/>
              </w:rPr>
              <w:t>壁挂，分体式，制冷量(W)≥3500，含铜管、电源、打洞、墙面修复等所需所有线路、辅材及安装。</w:t>
            </w:r>
          </w:p>
          <w:p>
            <w:pPr>
              <w:pStyle w:val="2"/>
              <w:rPr>
                <w:rFonts w:hint="eastAsia"/>
                <w:color w:val="auto"/>
                <w:highlight w:val="none"/>
              </w:rPr>
            </w:pPr>
            <w:r>
              <w:rPr>
                <w:rFonts w:hint="eastAsia" w:ascii="仿宋" w:hAnsi="仿宋" w:eastAsia="仿宋" w:cs="仿宋"/>
                <w:i w:val="0"/>
                <w:color w:val="auto"/>
                <w:kern w:val="0"/>
                <w:sz w:val="20"/>
                <w:szCs w:val="20"/>
                <w:highlight w:val="none"/>
                <w:u w:val="none"/>
                <w:lang w:val="en-US" w:eastAsia="zh-CN" w:bidi="ar"/>
              </w:rPr>
              <w:t>▲提供节能产品认证证书。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（五）辅材部分</w:t>
            </w:r>
          </w:p>
        </w:tc>
        <w:tc>
          <w:tcPr>
            <w:tcW w:w="930" w:type="dxa"/>
            <w:tcBorders>
              <w:tl2br w:val="nil"/>
              <w:tr2bl w:val="nil"/>
            </w:tcBorders>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辅材</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含信息中心机房、安防机房及UPS机房、各弱电间内等各类动环、控制等信号线缆</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1.4</w:t>
            </w:r>
          </w:p>
        </w:tc>
        <w:tc>
          <w:tcPr>
            <w:tcW w:w="5550" w:type="dxa"/>
            <w:gridSpan w:val="2"/>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信息发布系统</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 </w:t>
            </w: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（一）LED显示屏</w:t>
            </w:r>
          </w:p>
        </w:tc>
        <w:tc>
          <w:tcPr>
            <w:tcW w:w="4920" w:type="dxa"/>
            <w:tcBorders>
              <w:tl2br w:val="nil"/>
              <w:tr2bl w:val="nil"/>
            </w:tcBorders>
            <w:shd w:val="clear" w:color="auto" w:fill="FFFFFF"/>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5550" w:type="dxa"/>
            <w:gridSpan w:val="2"/>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（1）监管综合楼（1#楼）1层入口大厅室内全彩色屏</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 </w:t>
            </w: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室内全彩色屏体(P2)</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1、像素间距:2.0mm；6.0*3.4；2、像素构成：采用自主封装1515 哑黑灯珠；3、成像原理：LED主动发光；4、像素密度：250000 点/㎡；含配套接收卡，封装方式：SMD表贴三合一，铜线封装。</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1、显示屏亮度：校正后≥600nits</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2、色度均匀性：像素之间色度均匀性±0.003Cx,Cy之内（校正后），模块间亮度均匀性：≥97%（校正后）（投标时需提供权威机构检测报告加盖公章）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3、屏幕水平视角：≥160°；屏幕垂直视角：≥140°（投标时需提供权威机构检测报告加盖公章）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4、平整度：≤0.2mm；任意相邻模组间：≤0.2mm（投标时需提供权威机构检测报告加盖公章）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5、发光点中心距偏差：＜3%（校正后）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6、色温：3000K～10000K可调。</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7、低亮高灰：100%亮度时，16bits灰度；20%亮度时，12bits 灰度（投标时需提供权威机构检测报告加盖公章）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8、支持单点校正功能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9、对比度：≥5000:1</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10、通过高温、高湿工作和储存的检测</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11、峰值功耗：≤480W/m²，平均功耗: ≤200W/m²（投标时需提供权威机构检测报告加盖公章）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12、换帧率：50/60 Hz</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13、显示屏显示的图像画质主观评价为优</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14、刷新率：≥1920Hz</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15、产品满足盐雾10级要求（投标时需提供权威机构检测报告加盖公章）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16、软件接口：Windows NT、Windows2000、Windows XP。</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17、具有良好的阻燃性能，面罩阻燃等级符合HB级要求，PCB达到V-0级要求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※18、显示屏通过国家3C认证（投标时需提供3C证书加盖公章）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含配套控制软件，可实现远程控制</w:t>
            </w:r>
          </w:p>
          <w:p>
            <w:pPr>
              <w:keepNext w:val="0"/>
              <w:keepLines w:val="0"/>
              <w:widowControl/>
              <w:suppressLineNumbers w:val="0"/>
              <w:jc w:val="left"/>
              <w:textAlignment w:val="center"/>
              <w:rPr>
                <w:rFonts w:hint="eastAsia"/>
                <w:color w:val="auto"/>
                <w:highlight w:val="none"/>
              </w:rPr>
            </w:pPr>
            <w:r>
              <w:rPr>
                <w:rFonts w:hint="eastAsia" w:ascii="仿宋" w:hAnsi="仿宋" w:eastAsia="仿宋" w:cs="仿宋"/>
                <w:i w:val="0"/>
                <w:color w:val="auto"/>
                <w:kern w:val="0"/>
                <w:sz w:val="20"/>
                <w:szCs w:val="20"/>
                <w:highlight w:val="none"/>
                <w:u w:val="none"/>
                <w:lang w:val="en-US" w:eastAsia="zh-CN" w:bidi="ar"/>
              </w:rPr>
              <w:t>▲19、提供节能产品认证证书。</w:t>
            </w:r>
          </w:p>
        </w:tc>
        <w:tc>
          <w:tcPr>
            <w:tcW w:w="9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管理终端</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Intel 酷睿i5 6500,3.2GHz,三级缓存6MB,内存容量4GB,内存类型DDR4 2133MHz及以上,显卡类型:独立显卡,显存容量2GB,带两个DVI输出接口，硬盘容量1TB,21.5英寸LED宽屏,光驱类型DVD-ROM,光驱描述支持DVD SuperMulti双层刻录,含操作系统,键鼠</w:t>
            </w:r>
          </w:p>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▲提供节能产品认证证书。</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智能主控</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具备4个千兆网口输出，单机可支持最宽4096像素或最高2560像素的LED显示屏。具有2类视频输入接口，包括1路HDMI和2路DVI；最大输入分辨率1920×1200@60Hz，支持分辨率任意设置；最大带载260万像素，最宽可达4096点，或最高可达2560点</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显示屏钢结构</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定制</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辅材</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含设备电源（可实现远程控制开关机等）、线路辅材及包边等</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5550" w:type="dxa"/>
            <w:gridSpan w:val="2"/>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（2）监管综合楼（1#楼）3层会议室室内全彩色屏</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 </w:t>
            </w: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室内全彩色屏体(P2)</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numPr>
                <w:ilvl w:val="0"/>
                <w:numId w:val="19"/>
              </w:numPr>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像素间距:2.0mm；8.8*2.5米；2、像素构成：采用自主封装1515 哑黑灯珠；3、成像原理：LED主动发光；4、像素密度：250000 点/㎡；含配套接收卡，封装方式：SMD表贴三合一，铜线封装。</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1、显示屏亮度：校正后≥600nits</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2、色度均匀性：像素之间色度均匀性±0.003Cx,Cy之内（校正后），模块间亮度均匀性：≥97%（校正后）（投标时需提供权威机构检测报告加盖公章）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3、屏幕水平视角：≥160°；屏幕垂直视角：≥140°（投标时需提供权威机构检测报告加盖公章）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4、平整度：≤0.2mm；任意相邻模组间：≤0.2mm（投标时需提供权威机构检测报告加盖公章）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5、发光点中心距偏差：＜3%（校正后）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6、色温：3000K～10000K可调。</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7、低亮高灰：100%亮度时，16bits灰度；20%亮度时，12bits 灰度（投标时需提供权威机构检测报告加盖公章）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8、支持单点校正功能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9、对比度：≥5000:1</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10、通过高温、高湿工作和储存的检测</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11、峰值功耗：≤480W/m²，平均功耗: ≤200W/m²（投标时需提供权威机构检测报告加盖公章）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12、换帧率：50/60 Hz</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13、显示屏显示的图像画质主观评价为优</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14、刷新率：≥1920Hz</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15、产品满足盐雾10级要求（投标时需提供权威机构检测报告加盖公章）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16、软件接口：Windows NT、Windows2000、Windows XP。</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17、具有良好的阻燃性能，面罩阻燃等级符合HB级要求，PCB达到V-0级要求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※18、显示屏通过国家3C认证（投标时需提供3C证书加盖公章）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含配套控制软件，可实现远程控制</w:t>
            </w:r>
          </w:p>
          <w:p>
            <w:pPr>
              <w:keepNext w:val="0"/>
              <w:keepLines w:val="0"/>
              <w:widowControl/>
              <w:numPr>
                <w:ilvl w:val="0"/>
                <w:numId w:val="0"/>
              </w:numPr>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▲19、提供节能产品认证证书。</w:t>
            </w:r>
          </w:p>
        </w:tc>
        <w:tc>
          <w:tcPr>
            <w:tcW w:w="9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管理终端</w:t>
            </w:r>
          </w:p>
        </w:tc>
        <w:tc>
          <w:tcPr>
            <w:tcW w:w="492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Intel 酷睿i5 6500,3.2GHz,三级缓存6MB,内存容量4GB,内存类型DDR4 2133MHz及以上,显卡类型:独立显卡,显存容量2GB,带两个DVI输出接口，硬盘容量1TB,21.5英寸LED宽屏,光驱类型DVD-ROM,光驱描述支持DVD SuperMulti双层刻录,含win7,键鼠</w:t>
            </w:r>
          </w:p>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▲提供节能产品认证证书。</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智能主控</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具备4个千兆网口输出，单机可支持最宽4096像素或最高2560像素的LED显示屏。具有2类视频输入接口，包括1路HDMI和2路DVI；最大输入分辨率1920×1200@60Hz，支持分辨率任意设置；最大带载260万像素，最宽可达4096点，或最高可达2560点</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显示屏钢结构</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定制</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辅材</w:t>
            </w:r>
          </w:p>
        </w:tc>
        <w:tc>
          <w:tcPr>
            <w:tcW w:w="492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含设备电源（可实现远程控制开关机等）、线路辅材及包边等</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（3）门楼与候见楼（2#楼）1层室内全彩色屏</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 </w:t>
            </w: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室内全彩色屏体(P2)</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numPr>
                <w:ilvl w:val="0"/>
                <w:numId w:val="20"/>
              </w:numPr>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像素间距:2.0mm；4.5*2.5米；2、像素构成：采用自主封装1515 哑黑灯珠；3、成像原理：LED主动发光；4、像素密度：250000 点/㎡；含配套接收卡，封装方式：SMD表贴三合一，铜线封装。</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1、显示屏亮度：校正后≥600nits</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2、色度均匀性：像素之间色度均匀性±0.003Cx,Cy之内（校正后），模块间亮度均匀性：≥97%（校正后）（投标时需提供权威机构检测报告加盖公章）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3、屏幕水平视角：≥160°；屏幕垂直视角：≥140°（投标时需提供权威机构检测报告加盖公章）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4、平整度：≤0.2mm；任意相邻模组间：≤0.2mm（投标时需提供权威机构检测报告加盖公章）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5、发光点中心距偏差：＜3%（校正后）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6、色温：3000K～10000K可调。</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7、低亮高灰：100%亮度时，16bits灰度；20%亮度时，12bits 灰度（投标时需提供权威机构检测报告加盖公章）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8、支持单点校正功能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9、对比度：≥5000:1</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10、通过高温、高湿工作和储存的检测</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11、峰值功耗：≤480W/m²，平均功耗: ≤200W/m²（投标时需提供权威机构检测报告加盖公章）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12、换帧率：50/60 Hz</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13、显示屏显示的图像画质主观评价为优</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14、刷新率：≥1920Hz</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15、产品满足盐雾10级要求（投标时需提供权威机构检测报告加盖公章）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16、软件接口：Windows NT、Windows2000、Windows XP。</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17、具有良好的阻燃性能，面罩阻燃等级符合HB级要求，PCB达到V-0级要求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※18、显示屏通过国家3C认证（投标时需提供3C证书加盖公章）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含配套控制软件，可实现远程控制</w:t>
            </w:r>
          </w:p>
          <w:p>
            <w:pPr>
              <w:keepNext w:val="0"/>
              <w:keepLines w:val="0"/>
              <w:widowControl/>
              <w:numPr>
                <w:ilvl w:val="0"/>
                <w:numId w:val="0"/>
              </w:numPr>
              <w:suppressLineNumbers w:val="0"/>
              <w:jc w:val="left"/>
              <w:textAlignment w:val="center"/>
              <w:rPr>
                <w:rFonts w:hint="eastAsia" w:ascii="仿宋" w:hAnsi="仿宋" w:eastAsia="仿宋" w:cs="仿宋"/>
                <w:i w:val="0"/>
                <w:color w:val="auto"/>
                <w:sz w:val="20"/>
                <w:szCs w:val="20"/>
                <w:highlight w:val="none"/>
                <w:u w:val="none"/>
                <w:lang w:eastAsia="zh-CN"/>
              </w:rPr>
            </w:pPr>
            <w:r>
              <w:rPr>
                <w:rFonts w:hint="eastAsia" w:ascii="仿宋" w:hAnsi="仿宋" w:eastAsia="仿宋" w:cs="仿宋"/>
                <w:i w:val="0"/>
                <w:color w:val="auto"/>
                <w:kern w:val="0"/>
                <w:sz w:val="20"/>
                <w:szCs w:val="20"/>
                <w:highlight w:val="none"/>
                <w:u w:val="none"/>
                <w:lang w:val="en-US" w:eastAsia="zh-CN" w:bidi="ar"/>
              </w:rPr>
              <w:t>19、▲提供节能产品认证证书。</w:t>
            </w:r>
          </w:p>
        </w:tc>
        <w:tc>
          <w:tcPr>
            <w:tcW w:w="9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管理终端</w:t>
            </w:r>
          </w:p>
        </w:tc>
        <w:tc>
          <w:tcPr>
            <w:tcW w:w="492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Intel 酷睿i5 6500,3.2GHz,三级缓存6MB,内存容量4GB,内存类型DDR4 2133MHz及以上,显卡类型:独立显卡,显存容量2GB,带两个DVI输出接口，硬盘容量1TB,21.5英寸LED宽屏,光驱类型DVD-ROM,光驱描述支持DVD SuperMulti双层刻录,含win7,键鼠</w:t>
            </w:r>
          </w:p>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▲提供节能产品认证证书。</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智能主控</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具备4个千兆网口输出，单机可支持最宽4096像素或最高2560像素的LED显示屏。具有2类视频输入接口，包括1路HDMI和2路DVI；最大输入分辨率1920×1200@60Hz，支持分辨率任意设置；最大带载260万像素，最宽可达4096点，或最高可达2560点</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显示屏钢结构</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定制</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辅材</w:t>
            </w:r>
          </w:p>
        </w:tc>
        <w:tc>
          <w:tcPr>
            <w:tcW w:w="492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含配套音箱(2只，功率100W)、功放、设备电源（可实现远程控制开关机等）、线路辅材及包边等</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（4）会见楼（15#楼）一层室内全彩色屏</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 </w:t>
            </w: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室内全彩色屏体(P2)</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numPr>
                <w:ilvl w:val="0"/>
                <w:numId w:val="21"/>
              </w:numPr>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像素间距:2.0mm；3.0*1.7米；2、像素构成：采用自主封装1515 哑黑灯珠；3、成像原理：LED主动发光；4、像素密度：250000 点/㎡；含配套接收卡，封装方式：SMD表贴三合一，铜线封装。</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1、显示屏亮度：校正后≥600nits</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2、色度均匀性：像素之间色度均匀性±0.003Cx,Cy之内（校正后），模块间亮度均匀性：≥97%（校正后）（投标时需提供权威机构检测报告加盖公章）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3、屏幕水平视角：≥160°；屏幕垂直视角：≥140°（投标时需提供权威机构检测报告加盖公章）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4、平整度：≤0.2mm；任意相邻模组间：≤0.2mm（投标时需提供权威机构检测报告加盖公章）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5、发光点中心距偏差：＜3%（校正后）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6、色温：3000K～10000K可调。</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7、低亮高灰：100%亮度时，16bits灰度；20%亮度时，12bits 灰度（投标时需提供权威机构检测报告加盖公章）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8、支持单点校正功能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9、对比度：≥5000:1</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10、通过高温、高湿工作和储存的检测</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11、峰值功耗：≤480W/m²，平均功耗: ≤200W/m²（投标时需提供权威机构检测报告加盖公章）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12、换帧率：50/60 Hz</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13、显示屏显示的图像画质主观评价为优</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14、刷新率：≥1920Hz</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15、产品满足盐雾10级要求（投标时需提供权威机构检测报告加盖公章）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16、软件接口：Windows NT、Windows2000、Windows XP。</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17、具有良好的阻燃性能，面罩阻燃等级符合HB级要求，PCB达到V-0级要求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※18、显示屏通过国家3C认证（投标时需提供3C证书加盖公章）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含配套控制软件，可实现远程控制</w:t>
            </w:r>
          </w:p>
          <w:p>
            <w:pPr>
              <w:keepNext w:val="0"/>
              <w:keepLines w:val="0"/>
              <w:widowControl/>
              <w:numPr>
                <w:ilvl w:val="0"/>
                <w:numId w:val="0"/>
              </w:numPr>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19、▲提供节能产品认证证书。</w:t>
            </w:r>
          </w:p>
        </w:tc>
        <w:tc>
          <w:tcPr>
            <w:tcW w:w="9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管理终端</w:t>
            </w:r>
          </w:p>
        </w:tc>
        <w:tc>
          <w:tcPr>
            <w:tcW w:w="492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Intel 酷睿i5 6500,3.2GHz,三级缓存6MB,内存容量4GB,内存类型DDR4 2133MHz及以上,显卡类型:独立显卡,显存容量2GB,带两个DVI输出接口，硬盘容量1TB,21.5英寸LED宽屏,光驱类型DVD-ROM,光驱描述支持DVD SuperMulti双层刻录,含win7,键鼠</w:t>
            </w:r>
          </w:p>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▲提供节能产品认证证书。</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智能主控</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具备4个千兆网口输出，单机可支持最宽4096像素或最高2560像素的LED显示屏。具有2类视频输入接口，包括1路HDMI和2路DVI；最大输入分辨率1920×1200@60Hz，支持分辨率任意设置；最大带载260万像素，最宽可达4096点，或最高可达2560点</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显示屏钢结构</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定制</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辅材</w:t>
            </w:r>
          </w:p>
        </w:tc>
        <w:tc>
          <w:tcPr>
            <w:tcW w:w="492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含设备电源（可实现远程控制开关机等）、线路辅材及包边等</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（二）多媒体触摸一体机</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 </w:t>
            </w: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65寸LCD播控一体机(带互动触摸)</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采用竖屏立式设计,全铝合金拼装式框架、透明亚克力装饰面工艺设计,2.4 GHz 四核处理器/ 4G 内存/320G硬盘/支持RPL/PXE 无盘启动/磁盘存储2*SATA 3Gb/s 磁盘接口/65″IPS显示屏/宽高比：16:9/最高分辨率：1920×1080/可视角度：178°/触摸屏类型：红外/触摸点：两点/触摸寿命：单点5000万次以上/触摸分辨率：4096×4096/远程唤醒/关闭/重启/定时开关机/死机自动重启/远程一键备份/还原，含配套控制软件，可实现远程控制，并根据甲方要求进行内容定制</w:t>
            </w:r>
          </w:p>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▲提供节能产品认证证书。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辅件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6类跳线</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c>
          <w:tcPr>
            <w:tcW w:w="5550" w:type="dxa"/>
            <w:gridSpan w:val="2"/>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bidi="ar"/>
              </w:rPr>
              <w:t>二、安防系统</w:t>
            </w:r>
          </w:p>
        </w:tc>
        <w:tc>
          <w:tcPr>
            <w:tcW w:w="930" w:type="dxa"/>
            <w:tcBorders>
              <w:tl2br w:val="nil"/>
              <w:tr2bl w:val="nil"/>
            </w:tcBorders>
            <w:shd w:val="clear" w:color="auto" w:fill="FFFFFF"/>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c>
          <w:tcPr>
            <w:tcW w:w="1260" w:type="dxa"/>
            <w:tcBorders>
              <w:tl2br w:val="nil"/>
              <w:tr2bl w:val="nil"/>
            </w:tcBorders>
            <w:shd w:val="clear" w:color="auto" w:fill="FFFFFF"/>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2.1</w:t>
            </w:r>
          </w:p>
        </w:tc>
        <w:tc>
          <w:tcPr>
            <w:tcW w:w="5550" w:type="dxa"/>
            <w:gridSpan w:val="2"/>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电子巡查系统</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 </w:t>
            </w: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在线式巡查读卡器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▲和“杭州市南郊监狱改扩建工程“智慧监狱”一期建设政府采购项目”采购的门禁巡查系统无缝对接，需提供证明函。输出格式:RS485、WG26、WG34可选;读卡类型:MIFARE1与CPU卡 两都兼容;工作频率:13.56MHZ;感应距离:20～50mm(CPU卡读卡距离) ;读写卡类型:非接触式CPU卡:符合ISO14443  TYPE A标准;读卡器刷卡反应快,键盘灵活,操作简单,支持巡更事件巡更代码通过键盘输入上传。</w:t>
            </w:r>
          </w:p>
        </w:tc>
        <w:tc>
          <w:tcPr>
            <w:tcW w:w="93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巡查控制器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12路巡查控制主机，通讯速率：TCP/IP 100M/10自适应速率；</w:t>
            </w:r>
          </w:p>
        </w:tc>
        <w:tc>
          <w:tcPr>
            <w:tcW w:w="93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防护箱及电源</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控制主机铁箱及AC220V转DC12V3A电源 防雷抗干扰型</w:t>
            </w:r>
          </w:p>
        </w:tc>
        <w:tc>
          <w:tcPr>
            <w:tcW w:w="93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辅材</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6类跳线、电源线等</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2.2</w:t>
            </w:r>
          </w:p>
        </w:tc>
        <w:tc>
          <w:tcPr>
            <w:tcW w:w="5550" w:type="dxa"/>
            <w:gridSpan w:val="2"/>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数字网络广播系统</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 </w:t>
            </w: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IP网络对讲分控主机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▲和现有使用监仓对讲系统无缝对接，实现对广播、对讲、智能交互的统一管理；需提供证明函。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采用嵌入式操作系统，稳定可靠，满足7*24小时不间断工作；</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一体化结构设计，多点电容式触摸屏操作；</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显示屏尺寸≥10.1英寸，分辨率≥1280 X 800；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摄像头像素≥200W，上下角度可手动调节；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自带手柄话筒、长杆话筒，支持免提、手柄2种对讲方式，支持手柄话筒摘机自动接听，对讲音频采样率≥16KHz；</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具有两个物理按键，可用于一键求助报警和广播喊话，提升应急处置能力；</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支持双向1080P高清可视全双工对讲，本地摄像头可手动开关；</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支持文件广播、喊话广播、外接音源广播，可不少于15路音源文件同时广播不同分区；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※支持录音录像，本机可对通话过程录音录像，并可在本机查询播放录制的文件，通话记录及录音录像文件支持上传服务器统一管理；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支持宽电压输入，在DC 11V～DC24V电压范围内均能正常工作；（需提供公安部检验报告；）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支持监听监视功能，可对管理的分机、终端进行单路监听监视或循环自动监听监视，监听监视时长可自由设置；</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支持多方通话功能(≥32方)，多方通话可设置“指挥模式”和“会议模式”；</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支持语音播报分机的描述信息，描述信息可自定义；</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支持通话转移，可将当前分机的通话转移至其他主机上；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支持通话保持，可保留当前分机的通话，接听其他设备呼叫；</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支持遇忙转移，当分机呼叫忙线的主机时，可自动将呼叫转移到其他主机上；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支持标准的SIP协议，可与VOIP网络电话互联互通；</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支持远程故障检测，可实时检测设备在线、离线状态；</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支持音频输入、录音输出、RS485通讯、≥2路开关量输出、报警输入、耳麦、USB接口；</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支持通过浏览器远程管理，可查看设备信息、参数配置、软件升级等；</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IP网络广播音频终端(带100W定压功放)</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标准机柜式设计，输出额定功率100W；</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支持70/100V定压输出和4-16Ω定阻输出；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分区广播，带6分区的定压输出接口，可6分区广播；</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本地播放，自带MP3播放器、收音机、USB接口、SD卡接口，可本地播放；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本地扩音，2路线路输入和2路话筒输入（选购桌面式广播话筒），可本地扩音；</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话筒强切：可本地优先强切广播喊话；</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广播播放：可通过网络接收主机的MP3文件广播或喊话；</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消防强切：当有消防报警时，自动将广播声音强切到最大音量；</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呼叫、报警、对讲、监听：可向主机呼叫、报警、对讲及接收主机的监听；</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线路输出：一路线路输出，可外接纯后级功放；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在线检测：可实时检测广播对讲功放的在线状态，方便调试、检修和维护；</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设备保护：有输出短路、过热、过载保护；</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标准RJ45接口，支持网络协议：TCP/IP、UDP、IGMP、RTP。</w:t>
            </w:r>
          </w:p>
        </w:tc>
        <w:tc>
          <w:tcPr>
            <w:tcW w:w="93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IP网络广播音频终端(带300W定压功放)</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标准机柜式设计，输出额定功率300W；</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支持70/100V定压输出和4-16Ω定阻输出；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分区广播，带6分区的定压输出接口，可6分区广播；</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本地播放，自带MP3播放器、收音机、USB接口、SD卡接口，可本地播放；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本地扩音，2路线路输入和2路话筒输入（选购桌面式广播话筒），可本地扩音；</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话筒强切：可本地优先强切广播喊话；</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广播播放：可通过网络接收主机的MP3文件广播或喊话；</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消防强切：当有消防报警时，自动将广播声音强切到最大音量；</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呼叫、报警、对讲、监听：可向主机呼叫、报警、对讲及接收主机的监听；</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线路输出：一路线路输出，可外接纯后级功放；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在线检测：可实时检测广播对讲功放的在线状态，方便调试、检修和维护；</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设备保护：有输出短路、过热、过载保护；</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标准RJ45接口，支持网络协议：TCP/IP、UDP、IGMP、RTP。</w:t>
            </w:r>
          </w:p>
        </w:tc>
        <w:tc>
          <w:tcPr>
            <w:tcW w:w="93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IP网络广播音频终端(带400W定压功放)</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标准机柜式设计，输出额定功率400W；</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支持70/100V定压输出和4-16Ω定阻输出；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分区广播，带6分区的定压输出接口，可6分区广播；</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本地播放，自带MP3播放器、收音机、USB接口、SD卡接口，可本地播放；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本地扩音，2路线路输入和2路话筒输入（选购桌面式广播话筒），可本地扩音；</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话筒强切：可本地优先强切广播喊话；</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广播播放：可通过网络接收主机的MP3文件广播或喊话；</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消防强切：当有消防报警时，自动将广播声音强切到最大音量；</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呼叫、报警、对讲、监听：可向主机呼叫、报警、对讲及接收主机的监听；</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线路输出：一路线路输出，可外接纯后级功放；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在线检测：可实时检测广播对讲功放的在线状态，方便调试、检修和维护；</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设备保护：有输出短路、过热、过载保护；</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标准RJ45接口，支持网络协议：TCP/IP、UDP、IGMP、RTP。</w:t>
            </w:r>
          </w:p>
        </w:tc>
        <w:tc>
          <w:tcPr>
            <w:tcW w:w="93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防火型定压吸顶扬声器</w:t>
            </w:r>
          </w:p>
        </w:tc>
        <w:tc>
          <w:tcPr>
            <w:tcW w:w="4920" w:type="dxa"/>
            <w:tcBorders>
              <w:tl2br w:val="nil"/>
              <w:tr2bl w:val="nil"/>
            </w:tcBorders>
            <w:noWrap w:val="0"/>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额定功率:3W,最大功率:6W；</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灵敏度:92dB,频率响应:150-12KHz；</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输入电压:100V，带金属后罩自；</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尺寸：5英寸；</w:t>
            </w:r>
          </w:p>
        </w:tc>
        <w:tc>
          <w:tcPr>
            <w:tcW w:w="93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防火型定压壁挂扬声器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壁挂扬声器，输出功率：3W/6W,输入电压:100V</w:t>
            </w:r>
          </w:p>
        </w:tc>
        <w:tc>
          <w:tcPr>
            <w:tcW w:w="93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室外型IP网络线性有源音柱</w:t>
            </w:r>
          </w:p>
        </w:tc>
        <w:tc>
          <w:tcPr>
            <w:tcW w:w="4920" w:type="dxa"/>
            <w:tcBorders>
              <w:tl2br w:val="nil"/>
              <w:tr2bl w:val="nil"/>
            </w:tcBorders>
            <w:noWrap w:val="0"/>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IP网络通讯，RJ45接口；</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铝质箱体，金属防锈网面，室内外均可使用；</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高保真扬声器，60W的功率输出，发热小功效更高；</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可通过网络接收主机的MP3、WAV等文件广播和喊话广播；</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当有消防报警时，自动将广播声音强切到最大音量；</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16位立体声CD音质，立体声输出；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频率响应：140-15KHz；</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灵敏度：≥95dB；</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防护等级：IP66；</w:t>
            </w:r>
          </w:p>
        </w:tc>
        <w:tc>
          <w:tcPr>
            <w:tcW w:w="93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室内壁挂音柱</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材料:铝质；额定功率：40W，频率响应：≥200-20KHz，灵敏度：≥93dB；</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防护等级：IP66；</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6W音量控制器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6W；音量调节器，强制开、关终端音箱；带强切。</w:t>
            </w:r>
          </w:p>
        </w:tc>
        <w:tc>
          <w:tcPr>
            <w:tcW w:w="93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36W音量控制器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36W；音量调节器，强制开、关终端音箱；带强切</w:t>
            </w:r>
          </w:p>
        </w:tc>
        <w:tc>
          <w:tcPr>
            <w:tcW w:w="93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8路强插电源</w:t>
            </w:r>
          </w:p>
        </w:tc>
        <w:tc>
          <w:tcPr>
            <w:tcW w:w="4920" w:type="dxa"/>
            <w:tcBorders>
              <w:tl2br w:val="nil"/>
              <w:tr2bl w:val="nil"/>
            </w:tcBorders>
            <w:noWrap w:val="0"/>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1.8路报警短路信号输入   2.8路受报警短路控制的24V直流电源输出   3.可用于驱动强切广播系统</w:t>
            </w:r>
          </w:p>
        </w:tc>
        <w:tc>
          <w:tcPr>
            <w:tcW w:w="93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19”42U网络机柜</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600mmx600mmx2000mm,含2个十位国标排插(带防雷),1套风扇部件(含2只风扇),配无色透明钢化玻璃前门,机柜主体采用冷轧钢板制作,表面经脱脂、磷化、静电喷塑处理,厚度:方孔条1.5mm,框架和前门边条1.2mm,其它0.8mm</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13</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广播线</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ZR-RVVP2*1.5mm2</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14</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广播线 </w:t>
            </w:r>
          </w:p>
        </w:tc>
        <w:tc>
          <w:tcPr>
            <w:tcW w:w="492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RVVP2x2.5mm2</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米</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安装辅材</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含6类跳线等</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2.3</w:t>
            </w:r>
          </w:p>
        </w:tc>
        <w:tc>
          <w:tcPr>
            <w:tcW w:w="5550" w:type="dxa"/>
            <w:gridSpan w:val="2"/>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监舍智能管理系统</w:t>
            </w:r>
          </w:p>
        </w:tc>
        <w:tc>
          <w:tcPr>
            <w:tcW w:w="930" w:type="dxa"/>
            <w:tcBorders>
              <w:tl2br w:val="nil"/>
              <w:tr2bl w:val="nil"/>
            </w:tcBorders>
            <w:shd w:val="clear" w:color="auto" w:fill="FFFFFF"/>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IP网络对讲分控主机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▲和现有使用监仓对讲系统无缝对接</w:t>
            </w:r>
          </w:p>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采用嵌入式操作系统，稳定可靠，满足7*24小时不间断工作；</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一体化结构设计，多点电容式触摸屏操作；</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显示屏尺寸≥10.1英寸，分辨率≥1280 X 800；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摄像头像素≥200W，上下角度可手动调节；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自带手柄话筒、长杆话筒，支持免提、手柄2种对讲方式，支持手柄话筒摘机自动接听，对讲音频采样率≥16KHz；</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具有两个物理按键，可用于一键求助报警和广播喊话，提升应急处置能力；</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支持双向1080P高清可视全双工对讲，本地摄像头可手动开关；</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支持直接管理≥30个终端分机；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支持监听监视功能，可对管理的分机、终端进行单路监听监视或循环自动监听监视，监听监视时长可自由设置；</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支持文件广播、喊话广播、外接音源广播，可不少于15路音源文件同时广播不同分区；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※支持视频联动，本机可同屏显示通话设备的视频画面和绑定的IPC(监控摄像机)画面，任一画面可一键放大全屏画中画显示，便于全面掌握现场情况；</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支持多方通话功能(≥32方)，多方通话可设置“指挥模式”和“会议模式”；</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支持呼叫转移功能，具有遇忙转移、无响应转移、关机转移、手动转移等；</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支持录音录像，本机可对通话过程录音录像，并可在本机查询播放录制的文件，通话记录及录音录像文件支持上传服务器统一管理；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支持交班留影留言，可通过本机进行录制、存储、播放；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支持常用联系人功能，可将常用终端添加至常用联系人页面，进行快速呼叫和状态查看；</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支持语音播报分机的描述信息，描述信息可自定义；</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※支持托管功能，可将本机管理的分机托管给其它对讲主机；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支持通话转移，可将当前分机的通话转移至其他主机上；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支持通话保持，可保留当前分机的通话，接听其他设备呼叫；</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支持遇忙转移，当分机呼叫忙线的主机时，可自动将呼叫转移到其他主机上；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支持标准的SIP协议，可与VOIP网络电话互联互通；</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支持HDMI高清输出，可将本机显示屏的画面投至电视墙上进行显示；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支持远程故障检测，可实时检测设备在线、离线状态；</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支持音频输入、录音输出、RS485通讯、≥2路开关量输出、报警输入、耳麦、USB接口；</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支持通过浏览器远程管理，可查看设备信息、参数配置、软件升级等；</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IP网络对讲平台主机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spacing w:after="0" w:afterAutospacing="0"/>
              <w:jc w:val="left"/>
              <w:textAlignment w:val="center"/>
              <w:rPr>
                <w:rFonts w:hint="eastAsia" w:ascii="仿宋" w:hAnsi="仿宋" w:eastAsia="仿宋" w:cs="仿宋"/>
                <w:color w:val="auto"/>
                <w:kern w:val="0"/>
                <w:sz w:val="20"/>
                <w:szCs w:val="20"/>
                <w:highlight w:val="none"/>
                <w:u w:val="none"/>
                <w:lang w:val="en-US" w:eastAsia="zh-CN" w:bidi="ar"/>
              </w:rPr>
            </w:pPr>
            <w:r>
              <w:rPr>
                <w:rFonts w:hint="eastAsia" w:ascii="仿宋" w:hAnsi="仿宋" w:eastAsia="仿宋" w:cs="仿宋"/>
                <w:color w:val="auto"/>
                <w:kern w:val="0"/>
                <w:sz w:val="20"/>
                <w:szCs w:val="20"/>
                <w:highlight w:val="none"/>
                <w:u w:val="none"/>
                <w:lang w:val="en-US" w:eastAsia="zh-CN" w:bidi="ar"/>
              </w:rPr>
              <w:t>▲和现有使用监仓对讲系统无缝对接。</w:t>
            </w:r>
            <w:r>
              <w:rPr>
                <w:rFonts w:hint="eastAsia" w:ascii="仿宋" w:hAnsi="仿宋" w:eastAsia="仿宋" w:cs="仿宋"/>
                <w:color w:val="auto"/>
                <w:kern w:val="0"/>
                <w:sz w:val="20"/>
                <w:szCs w:val="20"/>
                <w:highlight w:val="none"/>
                <w:u w:val="none"/>
                <w:lang w:val="en-US" w:eastAsia="zh-CN" w:bidi="ar"/>
              </w:rPr>
              <w:br w:type="textWrapping"/>
            </w:r>
            <w:r>
              <w:rPr>
                <w:rFonts w:hint="eastAsia" w:ascii="仿宋" w:hAnsi="仿宋" w:eastAsia="仿宋" w:cs="仿宋"/>
                <w:color w:val="auto"/>
                <w:kern w:val="0"/>
                <w:sz w:val="20"/>
                <w:szCs w:val="20"/>
                <w:highlight w:val="none"/>
                <w:u w:val="none"/>
                <w:lang w:val="en-US" w:eastAsia="zh-CN" w:bidi="ar"/>
              </w:rPr>
              <w:t>采用双显示屏一体化结构设计，铝合金外壳，触摸式操作；</w:t>
            </w:r>
            <w:r>
              <w:rPr>
                <w:rFonts w:hint="eastAsia" w:ascii="仿宋" w:hAnsi="仿宋" w:eastAsia="仿宋" w:cs="仿宋"/>
                <w:color w:val="auto"/>
                <w:kern w:val="0"/>
                <w:sz w:val="20"/>
                <w:szCs w:val="20"/>
                <w:highlight w:val="none"/>
                <w:u w:val="none"/>
                <w:lang w:val="en-US" w:eastAsia="zh-CN" w:bidi="ar"/>
              </w:rPr>
              <w:br w:type="textWrapping"/>
            </w:r>
            <w:r>
              <w:rPr>
                <w:rFonts w:hint="eastAsia" w:ascii="仿宋" w:hAnsi="仿宋" w:eastAsia="仿宋" w:cs="仿宋"/>
                <w:color w:val="auto"/>
                <w:kern w:val="0"/>
                <w:sz w:val="20"/>
                <w:szCs w:val="20"/>
                <w:highlight w:val="none"/>
                <w:u w:val="none"/>
                <w:lang w:val="en-US" w:eastAsia="zh-CN" w:bidi="ar"/>
              </w:rPr>
              <w:t>多点电容式触摸屏，双显示屏像素：≥1920X1080像素，双显示屏尺寸：≥15英寸；</w:t>
            </w:r>
            <w:r>
              <w:rPr>
                <w:rFonts w:hint="eastAsia" w:ascii="仿宋" w:hAnsi="仿宋" w:eastAsia="仿宋" w:cs="仿宋"/>
                <w:color w:val="auto"/>
                <w:kern w:val="0"/>
                <w:sz w:val="20"/>
                <w:szCs w:val="20"/>
                <w:highlight w:val="none"/>
                <w:u w:val="none"/>
                <w:lang w:val="en-US" w:eastAsia="zh-CN" w:bidi="ar"/>
              </w:rPr>
              <w:br w:type="textWrapping"/>
            </w:r>
            <w:r>
              <w:rPr>
                <w:rFonts w:hint="eastAsia" w:ascii="仿宋" w:hAnsi="仿宋" w:eastAsia="仿宋" w:cs="仿宋"/>
                <w:color w:val="auto"/>
                <w:kern w:val="0"/>
                <w:sz w:val="20"/>
                <w:szCs w:val="20"/>
                <w:highlight w:val="none"/>
                <w:u w:val="none"/>
                <w:lang w:val="en-US" w:eastAsia="zh-CN" w:bidi="ar"/>
              </w:rPr>
              <w:t>内置高清摄像头，视角≥120度，像素≥200W，上下角度可手动调节；</w:t>
            </w:r>
            <w:r>
              <w:rPr>
                <w:rFonts w:hint="eastAsia" w:ascii="仿宋" w:hAnsi="仿宋" w:eastAsia="仿宋" w:cs="仿宋"/>
                <w:color w:val="auto"/>
                <w:kern w:val="0"/>
                <w:sz w:val="20"/>
                <w:szCs w:val="20"/>
                <w:highlight w:val="none"/>
                <w:u w:val="none"/>
                <w:lang w:val="en-US" w:eastAsia="zh-CN" w:bidi="ar"/>
              </w:rPr>
              <w:br w:type="textWrapping"/>
            </w:r>
            <w:r>
              <w:rPr>
                <w:rFonts w:hint="eastAsia" w:ascii="仿宋" w:hAnsi="仿宋" w:eastAsia="仿宋" w:cs="仿宋"/>
                <w:color w:val="auto"/>
                <w:kern w:val="0"/>
                <w:sz w:val="20"/>
                <w:szCs w:val="20"/>
                <w:highlight w:val="none"/>
                <w:u w:val="none"/>
                <w:lang w:val="en-US" w:eastAsia="zh-CN" w:bidi="ar"/>
              </w:rPr>
              <w:t>自带手柄话筒、长杆话筒，支持免提、手柄2种对讲方式，支持手柄话筒摘机接听，对讲音频采样率不低于16KHz；</w:t>
            </w:r>
            <w:r>
              <w:rPr>
                <w:rFonts w:hint="eastAsia" w:ascii="仿宋" w:hAnsi="仿宋" w:eastAsia="仿宋" w:cs="仿宋"/>
                <w:color w:val="auto"/>
                <w:kern w:val="0"/>
                <w:sz w:val="20"/>
                <w:szCs w:val="20"/>
                <w:highlight w:val="none"/>
                <w:u w:val="none"/>
                <w:lang w:val="en-US" w:eastAsia="zh-CN" w:bidi="ar"/>
              </w:rPr>
              <w:br w:type="textWrapping"/>
            </w:r>
            <w:r>
              <w:rPr>
                <w:rFonts w:hint="eastAsia" w:ascii="仿宋" w:hAnsi="仿宋" w:eastAsia="仿宋" w:cs="仿宋"/>
                <w:color w:val="auto"/>
                <w:kern w:val="0"/>
                <w:sz w:val="20"/>
                <w:szCs w:val="20"/>
                <w:highlight w:val="none"/>
                <w:u w:val="none"/>
                <w:lang w:val="en-US" w:eastAsia="zh-CN" w:bidi="ar"/>
              </w:rPr>
              <w:t>具有两个物理按钮，分别用于一键求助报警和广播喊话，提升应急处置能力；</w:t>
            </w:r>
            <w:r>
              <w:rPr>
                <w:rFonts w:hint="eastAsia" w:ascii="仿宋" w:hAnsi="仿宋" w:eastAsia="仿宋" w:cs="仿宋"/>
                <w:color w:val="auto"/>
                <w:kern w:val="0"/>
                <w:sz w:val="20"/>
                <w:szCs w:val="20"/>
                <w:highlight w:val="none"/>
                <w:u w:val="none"/>
                <w:lang w:val="en-US" w:eastAsia="zh-CN" w:bidi="ar"/>
              </w:rPr>
              <w:br w:type="textWrapping"/>
            </w:r>
            <w:r>
              <w:rPr>
                <w:rFonts w:hint="eastAsia" w:ascii="仿宋" w:hAnsi="仿宋" w:eastAsia="仿宋" w:cs="仿宋"/>
                <w:color w:val="auto"/>
                <w:kern w:val="0"/>
                <w:sz w:val="20"/>
                <w:szCs w:val="20"/>
                <w:highlight w:val="none"/>
                <w:u w:val="none"/>
                <w:lang w:val="en-US" w:eastAsia="zh-CN" w:bidi="ar"/>
              </w:rPr>
              <w:t>支持双向1080P高清可视全双工对讲，本地摄像头可手动开关；</w:t>
            </w:r>
            <w:r>
              <w:rPr>
                <w:rFonts w:hint="eastAsia" w:ascii="仿宋" w:hAnsi="仿宋" w:eastAsia="仿宋" w:cs="仿宋"/>
                <w:color w:val="auto"/>
                <w:kern w:val="0"/>
                <w:sz w:val="20"/>
                <w:szCs w:val="20"/>
                <w:highlight w:val="none"/>
                <w:u w:val="none"/>
                <w:lang w:val="en-US" w:eastAsia="zh-CN" w:bidi="ar"/>
              </w:rPr>
              <w:br w:type="textWrapping"/>
            </w:r>
            <w:r>
              <w:rPr>
                <w:rFonts w:hint="eastAsia" w:ascii="仿宋" w:hAnsi="仿宋" w:eastAsia="仿宋" w:cs="仿宋"/>
                <w:color w:val="auto"/>
                <w:kern w:val="0"/>
                <w:sz w:val="20"/>
                <w:szCs w:val="20"/>
                <w:highlight w:val="none"/>
                <w:u w:val="none"/>
                <w:lang w:val="en-US" w:eastAsia="zh-CN" w:bidi="ar"/>
              </w:rPr>
              <w:t>支持文件广播、喊话广播、外接音源广播，可不少于15路音源文件同时广播不同分区；</w:t>
            </w:r>
            <w:r>
              <w:rPr>
                <w:rFonts w:hint="eastAsia" w:ascii="仿宋" w:hAnsi="仿宋" w:eastAsia="仿宋" w:cs="仿宋"/>
                <w:color w:val="auto"/>
                <w:kern w:val="0"/>
                <w:sz w:val="20"/>
                <w:szCs w:val="20"/>
                <w:highlight w:val="none"/>
                <w:u w:val="none"/>
                <w:lang w:val="en-US" w:eastAsia="zh-CN" w:bidi="ar"/>
              </w:rPr>
              <w:br w:type="textWrapping"/>
            </w:r>
            <w:r>
              <w:rPr>
                <w:rFonts w:hint="eastAsia" w:ascii="仿宋" w:hAnsi="仿宋" w:eastAsia="仿宋" w:cs="仿宋"/>
                <w:color w:val="auto"/>
                <w:kern w:val="0"/>
                <w:sz w:val="20"/>
                <w:szCs w:val="20"/>
                <w:highlight w:val="none"/>
                <w:u w:val="none"/>
                <w:lang w:val="en-US" w:eastAsia="zh-CN" w:bidi="ar"/>
              </w:rPr>
              <w:t>※支持视频联动，本机可同时同屏显示不少于9路监控摄像机的视频画面，且可放大单路视频全屏查看，便于工作人员全面掌握现场情况；</w:t>
            </w:r>
            <w:r>
              <w:rPr>
                <w:rFonts w:hint="eastAsia" w:ascii="仿宋" w:hAnsi="仿宋" w:eastAsia="仿宋" w:cs="仿宋"/>
                <w:color w:val="auto"/>
                <w:kern w:val="0"/>
                <w:sz w:val="20"/>
                <w:szCs w:val="20"/>
                <w:highlight w:val="none"/>
                <w:u w:val="none"/>
                <w:lang w:val="en-US" w:eastAsia="zh-CN" w:bidi="ar"/>
              </w:rPr>
              <w:br w:type="textWrapping"/>
            </w:r>
            <w:r>
              <w:rPr>
                <w:rFonts w:hint="eastAsia" w:ascii="仿宋" w:hAnsi="仿宋" w:eastAsia="仿宋" w:cs="仿宋"/>
                <w:color w:val="auto"/>
                <w:kern w:val="0"/>
                <w:sz w:val="20"/>
                <w:szCs w:val="20"/>
                <w:highlight w:val="none"/>
                <w:u w:val="none"/>
                <w:lang w:val="en-US" w:eastAsia="zh-CN" w:bidi="ar"/>
              </w:rPr>
              <w:t>支持H.264、H.265视频解码，可解码显示H.264、H.265格式的监控摄像机图像；</w:t>
            </w:r>
            <w:r>
              <w:rPr>
                <w:rFonts w:hint="eastAsia" w:ascii="仿宋" w:hAnsi="仿宋" w:eastAsia="仿宋" w:cs="仿宋"/>
                <w:color w:val="auto"/>
                <w:kern w:val="0"/>
                <w:sz w:val="20"/>
                <w:szCs w:val="20"/>
                <w:highlight w:val="none"/>
                <w:u w:val="none"/>
                <w:lang w:val="en-US" w:eastAsia="zh-CN" w:bidi="ar"/>
              </w:rPr>
              <w:br w:type="textWrapping"/>
            </w:r>
            <w:r>
              <w:rPr>
                <w:rFonts w:hint="eastAsia" w:ascii="仿宋" w:hAnsi="仿宋" w:eastAsia="仿宋" w:cs="仿宋"/>
                <w:color w:val="auto"/>
                <w:kern w:val="0"/>
                <w:sz w:val="20"/>
                <w:szCs w:val="20"/>
                <w:highlight w:val="none"/>
                <w:u w:val="none"/>
                <w:lang w:val="en-US" w:eastAsia="zh-CN" w:bidi="ar"/>
              </w:rPr>
              <w:t>支持扩展视频会议，可与系统内其它设备实现视频会议，并可同时显示多路参会成员的视频画面，视频画面支持显示成员名称水印；</w:t>
            </w:r>
            <w:r>
              <w:rPr>
                <w:rFonts w:hint="eastAsia" w:ascii="仿宋" w:hAnsi="仿宋" w:eastAsia="仿宋" w:cs="仿宋"/>
                <w:color w:val="auto"/>
                <w:kern w:val="0"/>
                <w:sz w:val="20"/>
                <w:szCs w:val="20"/>
                <w:highlight w:val="none"/>
                <w:u w:val="none"/>
                <w:lang w:val="en-US" w:eastAsia="zh-CN" w:bidi="ar"/>
              </w:rPr>
              <w:br w:type="textWrapping"/>
            </w:r>
            <w:r>
              <w:rPr>
                <w:rFonts w:hint="eastAsia" w:ascii="仿宋" w:hAnsi="仿宋" w:eastAsia="仿宋" w:cs="仿宋"/>
                <w:color w:val="auto"/>
                <w:kern w:val="0"/>
                <w:sz w:val="20"/>
                <w:szCs w:val="20"/>
                <w:highlight w:val="none"/>
                <w:u w:val="none"/>
                <w:lang w:val="en-US" w:eastAsia="zh-CN" w:bidi="ar"/>
              </w:rPr>
              <w:t>支持轮巡显示多路监控或对讲终端视频画面，并可选择单路视频全屏预览，可一键快速建立与关联对讲设备通话；</w:t>
            </w:r>
            <w:r>
              <w:rPr>
                <w:rFonts w:hint="eastAsia" w:ascii="仿宋" w:hAnsi="仿宋" w:eastAsia="仿宋" w:cs="仿宋"/>
                <w:color w:val="auto"/>
                <w:kern w:val="0"/>
                <w:sz w:val="20"/>
                <w:szCs w:val="20"/>
                <w:highlight w:val="none"/>
                <w:u w:val="none"/>
                <w:lang w:val="en-US" w:eastAsia="zh-CN" w:bidi="ar"/>
              </w:rPr>
              <w:br w:type="textWrapping"/>
            </w:r>
            <w:r>
              <w:rPr>
                <w:rFonts w:hint="eastAsia" w:ascii="仿宋" w:hAnsi="仿宋" w:eastAsia="仿宋" w:cs="仿宋"/>
                <w:color w:val="auto"/>
                <w:kern w:val="0"/>
                <w:sz w:val="20"/>
                <w:szCs w:val="20"/>
                <w:highlight w:val="none"/>
                <w:u w:val="none"/>
                <w:lang w:val="en-US" w:eastAsia="zh-CN" w:bidi="ar"/>
              </w:rPr>
              <w:t>支持常用联系人功能，可将常用终端添加至常用联系人页面，进行快速呼叫和状态查看；</w:t>
            </w:r>
            <w:r>
              <w:rPr>
                <w:rFonts w:hint="eastAsia" w:ascii="仿宋" w:hAnsi="仿宋" w:eastAsia="仿宋" w:cs="仿宋"/>
                <w:color w:val="auto"/>
                <w:kern w:val="0"/>
                <w:sz w:val="20"/>
                <w:szCs w:val="20"/>
                <w:highlight w:val="none"/>
                <w:u w:val="none"/>
                <w:lang w:val="en-US" w:eastAsia="zh-CN" w:bidi="ar"/>
              </w:rPr>
              <w:br w:type="textWrapping"/>
            </w:r>
            <w:r>
              <w:rPr>
                <w:rFonts w:hint="eastAsia" w:ascii="仿宋" w:hAnsi="仿宋" w:eastAsia="仿宋" w:cs="仿宋"/>
                <w:color w:val="auto"/>
                <w:kern w:val="0"/>
                <w:sz w:val="20"/>
                <w:szCs w:val="20"/>
                <w:highlight w:val="none"/>
                <w:u w:val="none"/>
                <w:lang w:val="en-US" w:eastAsia="zh-CN" w:bidi="ar"/>
              </w:rPr>
              <w:t>支持录音录像，本机可对通话过程录音录像，并可在本机查询播放录制的文件，通话记录及录音录像文件支持上传服务器统一管理；</w:t>
            </w:r>
            <w:r>
              <w:rPr>
                <w:rFonts w:hint="eastAsia" w:ascii="仿宋" w:hAnsi="仿宋" w:eastAsia="仿宋" w:cs="仿宋"/>
                <w:color w:val="auto"/>
                <w:kern w:val="0"/>
                <w:sz w:val="20"/>
                <w:szCs w:val="20"/>
                <w:highlight w:val="none"/>
                <w:u w:val="none"/>
                <w:lang w:val="en-US" w:eastAsia="zh-CN" w:bidi="ar"/>
              </w:rPr>
              <w:br w:type="textWrapping"/>
            </w:r>
            <w:r>
              <w:rPr>
                <w:rFonts w:hint="eastAsia" w:ascii="仿宋" w:hAnsi="仿宋" w:eastAsia="仿宋" w:cs="仿宋"/>
                <w:color w:val="auto"/>
                <w:kern w:val="0"/>
                <w:sz w:val="20"/>
                <w:szCs w:val="20"/>
                <w:highlight w:val="none"/>
                <w:u w:val="none"/>
                <w:lang w:val="en-US" w:eastAsia="zh-CN" w:bidi="ar"/>
              </w:rPr>
              <w:t>支持服务器离线工作模式，本机在无服务器状态下可正常接收呼叫、可视对讲、多方通话、文件广播、录音录像存储；</w:t>
            </w:r>
            <w:r>
              <w:rPr>
                <w:rFonts w:hint="eastAsia" w:ascii="仿宋" w:hAnsi="仿宋" w:eastAsia="仿宋" w:cs="仿宋"/>
                <w:color w:val="auto"/>
                <w:kern w:val="0"/>
                <w:sz w:val="20"/>
                <w:szCs w:val="20"/>
                <w:highlight w:val="none"/>
                <w:u w:val="none"/>
                <w:lang w:val="en-US" w:eastAsia="zh-CN" w:bidi="ar"/>
              </w:rPr>
              <w:br w:type="textWrapping"/>
            </w:r>
            <w:r>
              <w:rPr>
                <w:rFonts w:hint="eastAsia" w:ascii="仿宋" w:hAnsi="仿宋" w:eastAsia="仿宋" w:cs="仿宋"/>
                <w:color w:val="auto"/>
                <w:kern w:val="0"/>
                <w:sz w:val="20"/>
                <w:szCs w:val="20"/>
                <w:highlight w:val="none"/>
                <w:u w:val="none"/>
                <w:lang w:val="en-US" w:eastAsia="zh-CN" w:bidi="ar"/>
              </w:rPr>
              <w:t>支持未接来电数量提醒功能，可查询未接来电并可一键回拨；</w:t>
            </w:r>
            <w:r>
              <w:rPr>
                <w:rFonts w:hint="eastAsia" w:ascii="仿宋" w:hAnsi="仿宋" w:eastAsia="仿宋" w:cs="仿宋"/>
                <w:color w:val="auto"/>
                <w:kern w:val="0"/>
                <w:sz w:val="20"/>
                <w:szCs w:val="20"/>
                <w:highlight w:val="none"/>
                <w:u w:val="none"/>
                <w:lang w:val="en-US" w:eastAsia="zh-CN" w:bidi="ar"/>
              </w:rPr>
              <w:br w:type="textWrapping"/>
            </w:r>
            <w:r>
              <w:rPr>
                <w:rFonts w:hint="eastAsia" w:ascii="仿宋" w:hAnsi="仿宋" w:eastAsia="仿宋" w:cs="仿宋"/>
                <w:color w:val="auto"/>
                <w:kern w:val="0"/>
                <w:sz w:val="20"/>
                <w:szCs w:val="20"/>
                <w:highlight w:val="none"/>
                <w:u w:val="none"/>
                <w:lang w:val="en-US" w:eastAsia="zh-CN" w:bidi="ar"/>
              </w:rPr>
              <w:t>支持标准的SIP协议，可与VOIP网络电话互联互通；</w:t>
            </w:r>
            <w:r>
              <w:rPr>
                <w:rFonts w:hint="eastAsia" w:ascii="仿宋" w:hAnsi="仿宋" w:eastAsia="仿宋" w:cs="仿宋"/>
                <w:color w:val="auto"/>
                <w:kern w:val="0"/>
                <w:sz w:val="20"/>
                <w:szCs w:val="20"/>
                <w:highlight w:val="none"/>
                <w:u w:val="none"/>
                <w:lang w:val="en-US" w:eastAsia="zh-CN" w:bidi="ar"/>
              </w:rPr>
              <w:br w:type="textWrapping"/>
            </w:r>
            <w:r>
              <w:rPr>
                <w:rFonts w:hint="eastAsia" w:ascii="仿宋" w:hAnsi="仿宋" w:eastAsia="仿宋" w:cs="仿宋"/>
                <w:color w:val="auto"/>
                <w:kern w:val="0"/>
                <w:sz w:val="20"/>
                <w:szCs w:val="20"/>
                <w:highlight w:val="none"/>
                <w:u w:val="none"/>
                <w:lang w:val="en-US" w:eastAsia="zh-CN" w:bidi="ar"/>
              </w:rPr>
              <w:t>支持电子地图功能，有呼叫、报警发生时，可在地图上实时显示终端位置，可通过电子地图对终端设备呼叫对讲、监听；</w:t>
            </w:r>
            <w:r>
              <w:rPr>
                <w:rFonts w:hint="eastAsia" w:ascii="仿宋" w:hAnsi="仿宋" w:eastAsia="仿宋" w:cs="仿宋"/>
                <w:color w:val="auto"/>
                <w:kern w:val="0"/>
                <w:sz w:val="20"/>
                <w:szCs w:val="20"/>
                <w:highlight w:val="none"/>
                <w:u w:val="none"/>
                <w:lang w:val="en-US" w:eastAsia="zh-CN" w:bidi="ar"/>
              </w:rPr>
              <w:br w:type="textWrapping"/>
            </w:r>
            <w:r>
              <w:rPr>
                <w:rFonts w:hint="eastAsia" w:ascii="仿宋" w:hAnsi="仿宋" w:eastAsia="仿宋" w:cs="仿宋"/>
                <w:color w:val="auto"/>
                <w:kern w:val="0"/>
                <w:sz w:val="20"/>
                <w:szCs w:val="20"/>
                <w:highlight w:val="none"/>
                <w:u w:val="none"/>
                <w:lang w:val="en-US" w:eastAsia="zh-CN" w:bidi="ar"/>
              </w:rPr>
              <w:t>支持双HDMI 1080P高清输出，可同时将本机上两个显示屏的画面投屏显示；</w:t>
            </w:r>
            <w:r>
              <w:rPr>
                <w:rFonts w:hint="eastAsia" w:ascii="仿宋" w:hAnsi="仿宋" w:eastAsia="仿宋" w:cs="仿宋"/>
                <w:color w:val="auto"/>
                <w:kern w:val="0"/>
                <w:sz w:val="20"/>
                <w:szCs w:val="20"/>
                <w:highlight w:val="none"/>
                <w:u w:val="none"/>
                <w:lang w:val="en-US" w:eastAsia="zh-CN" w:bidi="ar"/>
              </w:rPr>
              <w:br w:type="textWrapping"/>
            </w:r>
            <w:r>
              <w:rPr>
                <w:rFonts w:hint="eastAsia" w:ascii="仿宋" w:hAnsi="仿宋" w:eastAsia="仿宋" w:cs="仿宋"/>
                <w:color w:val="auto"/>
                <w:kern w:val="0"/>
                <w:sz w:val="20"/>
                <w:szCs w:val="20"/>
                <w:highlight w:val="none"/>
                <w:u w:val="none"/>
                <w:lang w:val="en-US" w:eastAsia="zh-CN" w:bidi="ar"/>
              </w:rPr>
              <w:t>支持报警输出、报警输入、录音输出、音源输入、耳麦、USB、HDMI接口；</w:t>
            </w:r>
            <w:r>
              <w:rPr>
                <w:rFonts w:hint="eastAsia" w:ascii="仿宋" w:hAnsi="仿宋" w:eastAsia="仿宋" w:cs="仿宋"/>
                <w:color w:val="auto"/>
                <w:kern w:val="0"/>
                <w:sz w:val="20"/>
                <w:szCs w:val="20"/>
                <w:highlight w:val="none"/>
                <w:u w:val="none"/>
                <w:lang w:val="en-US" w:eastAsia="zh-CN" w:bidi="ar"/>
              </w:rPr>
              <w:br w:type="textWrapping"/>
            </w:r>
            <w:r>
              <w:rPr>
                <w:rFonts w:hint="eastAsia" w:ascii="仿宋" w:hAnsi="仿宋" w:eastAsia="仿宋" w:cs="仿宋"/>
                <w:color w:val="auto"/>
                <w:kern w:val="0"/>
                <w:sz w:val="20"/>
                <w:szCs w:val="20"/>
                <w:highlight w:val="none"/>
                <w:u w:val="none"/>
                <w:lang w:val="en-US" w:eastAsia="zh-CN" w:bidi="ar"/>
              </w:rPr>
              <w:t>支持远程故障检测，可以实时检测设备在线、掉线状态；</w:t>
            </w:r>
            <w:r>
              <w:rPr>
                <w:rFonts w:hint="eastAsia" w:ascii="仿宋" w:hAnsi="仿宋" w:eastAsia="仿宋" w:cs="仿宋"/>
                <w:color w:val="auto"/>
                <w:kern w:val="0"/>
                <w:sz w:val="20"/>
                <w:szCs w:val="20"/>
                <w:highlight w:val="none"/>
                <w:u w:val="none"/>
                <w:lang w:val="en-US" w:eastAsia="zh-CN" w:bidi="ar"/>
              </w:rPr>
              <w:br w:type="textWrapping"/>
            </w:r>
            <w:r>
              <w:rPr>
                <w:rFonts w:hint="eastAsia" w:ascii="仿宋" w:hAnsi="仿宋" w:eastAsia="仿宋" w:cs="仿宋"/>
                <w:color w:val="auto"/>
                <w:kern w:val="0"/>
                <w:sz w:val="20"/>
                <w:szCs w:val="20"/>
                <w:highlight w:val="none"/>
                <w:u w:val="none"/>
                <w:lang w:val="en-US" w:eastAsia="zh-CN" w:bidi="ar"/>
              </w:rPr>
              <w:t>支持远程在线升级软件。</w:t>
            </w:r>
          </w:p>
          <w:p>
            <w:pPr>
              <w:widowControl/>
              <w:jc w:val="left"/>
              <w:textAlignment w:val="center"/>
              <w:rPr>
                <w:rFonts w:hint="eastAsia"/>
                <w:color w:val="auto"/>
                <w:highlight w:val="none"/>
              </w:rPr>
            </w:pPr>
            <w:r>
              <w:rPr>
                <w:rFonts w:hint="eastAsia" w:ascii="仿宋" w:hAnsi="仿宋" w:eastAsia="仿宋" w:cs="仿宋"/>
                <w:color w:val="auto"/>
                <w:kern w:val="0"/>
                <w:sz w:val="20"/>
                <w:szCs w:val="20"/>
                <w:highlight w:val="none"/>
                <w:u w:val="none"/>
                <w:lang w:bidi="ar"/>
              </w:rPr>
              <w:t>系统接收到本项目中的智能语音交互系统推送的命令后，定制开发指定的语音交互模块，完成客户需要的调度功能</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IP网络智能多功能分机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采用嵌入式系统，铝合金外壳，一体化结构设计，全触摸式操作，嵌入式安装；</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显示屏尺寸≥15英寸，分辨率≥1920×1080；</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采用多点触控电容式钢化防暴触摸屏，触摸屏防暴等级≥IK09；</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内置宽动态高清广角摄像头，像素不低于200W，宽动态能力综合评价≥83分；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※支持离线模式下(网络断开时)人脸识别，并支持活体检测功能，人脸识别不依赖后台服务器或人脸盒子；</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※支持通过人脸识别进行自助点名，点名结果可实时回传点名软件、管理主机进行结果汇总；</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支持与对讲主机间双向1080P高清可视全双工对讲，对讲音频采样率不低于16KHz；（需提供公安部检验报告；）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强光、弱光下可清晰拍摄到人脸画面并进行人脸识别；</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显示主协管民警、通知公告、今日值日信息、今日值班信息、民警留言、风险等级、在押人员信息（姓名、照片、是否新入监、是否为病号）、在押人员状态（在押、会见中、提审中、待会见、待提审）等信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支持查看监室内IPC的视频画面，可对监仓内的对讲分机进行监听监视，并与之对讲；</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支持对指定的设备进行一键呼叫和报警，支持一键呼叫至多台主机，主机可同时接收到呼叫信息，任意主机均可接听；</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支持通过人脸识别、账号密码方式进行身份认证；</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支持通过人脸识别进行巡更签到，并支持添加文字信息；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支持在线预约申请，可预约民警、律师、检察官、心理咨询、就医、家属会见，并支持添加文字表达；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支持公开信息查看，可查看监规监纪、权利义务；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支持违规录入，民警可在线录入在押人员违规情况；</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支持查看监室值班表、值日表、床位表，可自动更新；</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支持民警对在押人员进行提入提出登记，提出登记时需选择出监室事由、验证民警身份；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支持查询在押人员当前用药信息并进行药品发放确认；</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支持对在押人员进行调监换床；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支持在线录入人脸等信息；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支持接收文字、图片、视频，文字、图片、视频可组合同屏显示；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支持标准ONVIF协议，可将本机采集到的音视频实时传输到网络硬盘录像机，视频支持显示水印信息；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自带≥2路开关量输入、≥2路开关量输出、音频输出、音频输入、USB、HDMI、报警按钮、门灯、声光报警、有源音箱等接口；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具有标准RJ45接口、HDMI接口、USB接口、RS485接口、集中供电接口；</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IP网络智能多功能分机(带测温功能)</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采用嵌入式系统，铝合金外壳，一体化结构设计，全触摸式操作，嵌入式安装；</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显示屏尺寸≥15英寸，分辨率≥1920×1080；</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采用多点触控电容式钢化防暴触摸屏，触摸屏防暴等级≥IK09；</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内置宽动态高清广角摄像头，像素不低于200W，宽动态能力综合评价≥83分；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※支持离线模式下(网络断开时)人脸识别，并支持活体检测功能，人脸识别不依赖后台服务器或人脸盒子；</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支持通过人脸识别进行自助点名，点名结果可实时回传点名软件、管理主机进行结果汇总；</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支持与对讲主机间双向1080P高清可视全双工对讲，对讲音频采样率不低于16KHz；（需提供公安部检验报告；）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强光、弱光下可清晰拍摄到人脸画面并进行人脸识别；</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※内置红外测温模块，可准确测量额头温度，误差小于0.3摄氏度；</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显示主协管民警、通知公告、今日值日信息、今日值班信息、民警留言、风险等级、在押人员信息（姓名、照片、是否新入监、是否为病号）、在押人员状态（在押、会见中、提审中、待会见、待提审）等信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支持查看监室内IPC的视频画面，可对监仓内的对讲分机进行监听监视，并与之对讲；</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支持对指定的设备进行一键呼叫和报警，支持一键呼叫至多台主机，主机可同时接收到呼叫信息，任意主机均可接听；</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支持通过人脸识别、账号密码方式进行身份认证；</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支持通过人脸识别进行巡更签到，并支持添加文字信息；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支持在线预约申请，可预约民警、律师、检察官、心理咨询、就医、家属会见，并支持添加文字表达；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支持公开信息查看，可查看监规监纪、权利义务；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支持违规录入，民警可在线录入在押人员违规情况；</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支持查看监室值班表、值日表、床位表，可自动更新；</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支持民警对在押人员进行提入提出登记，提出登记时需选择出监室事由、验证民警身份；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支持查询在押人员当前用药信息并进行药品发放确认；</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支持对在押人员进行调监换床；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支持在线录入人脸等信息；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支持接收文字、图片、视频，文字、图片、视频可组合同屏显示；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支持标准ONVIF协议，可将本机采集到的音视频实时传输到网络硬盘录像机，视频支持显示水印信息；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自带≥2路开关量输入、≥2路开关量输出、音频输出、音频输入、USB、HDMI、报警按钮、门灯、声光报警、有源音箱等接口；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具有标准RJ45接口、HDMI接口、USB接口、RS485接口、集中供电接口；</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防暴型IP网络对讲分机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金属防暴面壳，嵌入式安装；</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采用嵌入式操作系统，稳定可靠，满足7*24小时不间断工作；</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抗破坏防暴等级≥IK10，防护等级≥IP55；</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支持1080P可视全双工对讲，对讲音频采样率不低于16KHz；</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内置高清广角摄像头，像素不低于200W，支持ICR红外滤片式自动切换，夜晚和光线较弱时应能清晰拍摄视频；</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※支持移动侦测报警，对视频画面指定的区域进行实时监测，检测到指定区域有人员或物体移动时自动向主机报警，支持设置指定时间段启用；</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支持宽电压输入，在DC 9V～DC24V电压范围内均能正常工作；（需提供公安部检验报告；）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支持对指定的主机进行一键呼叫；</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支持接收并播放主机的各种广播任务；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支持多方通话功能(≥16方)，多方通话可设置“指挥模式”和“会议模式”；</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支持标准的SIP协议，可与VOIP网络电话互联互通；</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支持标准ONVIF协议，可将本机采集到的音视频实时传输到网络硬盘录像机；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支持一键呼叫多台主机，多台主机可同时收到呼叫信息，任意主机均可接听并进行对讲；</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支持防拆报警、喧哗报警；</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支持远程在线升级软件；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自带≥2路开关量输入、≥2路开关量输出、音频输出、输入接口，外接报警按钮、门灯、复位按钮、有源音箱等接口；</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工作温度 ：-20℃～60℃。</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控制模块</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支持8路继电器输出，可通过网络远程控制电灯、风扇、电视等强电设备开关；含配套箱体及相关输入输出电缆。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输出触点隔离，触点容量10A/30VDC，10A/250VAC；</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支持常开、常闭输出接口方式；</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支持LED指示输出状态；</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支持标准modbus RTU协议、TCP/IP协议；</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供电方式：DC10-36V。</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对讲分机电源箱</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可给分机集中供电。含18V/5.6A开关电源，最大输出功率：110W。输入电压：AC220V</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2.4</w:t>
            </w:r>
          </w:p>
        </w:tc>
        <w:tc>
          <w:tcPr>
            <w:tcW w:w="5550" w:type="dxa"/>
            <w:gridSpan w:val="2"/>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人员定位及点名系统</w:t>
            </w:r>
          </w:p>
        </w:tc>
        <w:tc>
          <w:tcPr>
            <w:tcW w:w="930" w:type="dxa"/>
            <w:tcBorders>
              <w:tl2br w:val="nil"/>
              <w:tr2bl w:val="nil"/>
            </w:tcBorders>
            <w:shd w:val="clear" w:color="auto" w:fill="FFFFFF"/>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1260" w:type="dxa"/>
            <w:tcBorders>
              <w:tl2br w:val="nil"/>
              <w:tr2bl w:val="nil"/>
            </w:tcBorders>
            <w:shd w:val="clear" w:color="auto" w:fill="FFFFFF"/>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微基站-室内型</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定位精度：无遮挡2维模式定位精度&lt;=15CM,一般遮挡下平均定位精度≤30cm；工作频段：2GHz~9GHz；基站覆盖：基站与基站无遮挡下间距不小于35米；数据接口：标准以太网口</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微基站-防水型</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定位精度：无遮挡2维模式定位精度&lt;=15CM,一般遮挡下平均定位精度≤30cm；工作频段：2GHz~9GHz；基站覆盖：基站与基站无遮挡下间距不小于35米；数据接口：标准以太网口</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微基站-室外型</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定位精度：无遮挡2维模式定位精度≤15CM,一般遮挡下平均定位精度≤30cm；工作频段：2GHz~9GHz；基站覆盖：基站与基站无遮挡下间距至少50米；数据接口：标准以太网口</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微标签-工牌型</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工作频段：2GHz~9GHz；发射功率密度：≤ -41dBm/MHz；标签管理： 标签状态全监测、标签命令可下发；按钮报警： 具有按钮报警功能；内置锂电池可充电；内置IC 或CPU芯片，实现刷卡功能</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微标签-心率防拆型</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心率功能：定时检测上传；工作频段：2GHz~9GHz；具有拆卸下腕带螺丝后即报警功能；具有暴力剪断腕带后即报警功能；按钮报警；具有按钮报警功能，并可软件取消报警；内置IC 或CPU芯片，实现刷卡功能</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充电器（罪犯用）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卡扣式充电头，适配 罪犯用手环；卡扣与手环之间使用伸缩式铜针接触充电；充电器使用USB接口形式接入外部电源</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充电器（警察用）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充电线接口：MicroUSB</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定位管理系统                                                     </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1.基于UWB或AOA(2.4G)定位技术的综合应用平台系统软件。</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2.基于监狱、看守所等监管类场所定位位置大数据共享管理平台软件。</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3.支持国产服务器，支持Windows、Linux系统。</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4.对接省局中间库，实时获取罪犯基本信息及民警信息。</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5.对接省局统一门户，支持单点登录。</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6.对接短信网关，对关键操作实时认证。</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7.提供二次开发接口，用于平台之间对接。</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8.实时显示人员位置及行动轨迹，点击图标可显示人员信息；可设置重点关注人员，使用特殊图标、颜色显示；可支持2D、2.5D地图显示。</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9.支持视频联动功能，可全程实时调用目标对象所处位置的监控视频。</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10.具备多种类型告警功能，如电子围栏、SOS求助、拆除、独处、警戒区域、低电量、超员等多种告警方式。报警时，可点击查看该人员实时位置、告警位置、视频联动画面。</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11.对不同的告警类型根据时间、区域等多维度的动态配置进行分发。</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12.支持历史轨迹回放功能，对指定人员进行历史轨迹回放。</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13.通过多种配置支持电子点名业务，包括自动点名，手动点名，自动点名根据规则对异常点名实时预警。</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14.具备数据可视化功能，以图形化界面展示人员信息、告警统计、心率波动等。</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15.可提供快速ID绑定组件，快速绑定人员和定位标签ID，一键读取身份证信息，且具备发卡、换卡、退卡等操作界面。                                                                                               16、增值一卡通服务功能：作为唯一的ID身份标签，实现一卡通功能；实现消费，结算和身份认证的一卡化，统一规范，信息共享，一卡多用。网上超市：超市购物可以在自助终端刷卡消费，每月消费金额与处遇级别对应。医疗消费：可刷卡就医。亲情电话：实现刷卡拨打亲情电话。探访管理：刷卡探访，通过刷卡来确认的身份，并确保录音文件与身份信息相匹配。信息查询：通过在多媒体触摸式查询机上可刷卡自助查询日常消费、积分考核等情况。</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 xml:space="preserve">17、积分考核功能：计分考核按月进行，自罪犯入监教育结束次日起实施。监狱根据计分考核结果对罪犯给予奖励，实施分级处理，依法提请减刑、假释。     </w:t>
            </w:r>
          </w:p>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18.系统接收到本项目中的智能语音交互系统推送的命令后，定制开发指定的语音交互模块，完成客户需要的调度功能</w:t>
            </w:r>
          </w:p>
        </w:tc>
        <w:tc>
          <w:tcPr>
            <w:tcW w:w="9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48口POE接入交换机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 交换容量≥432Gbps，转发性能≥87Mpps，支持≥48个千兆POE电口和≥4个的千兆光口，支持路由协议如RIP、OSPFv3、RIPng等；本次实际配置接入交换机间虚拟化功能，配置虚拟化线缆距离不小于30M，用于柜间设备虚拟化。</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 支持OpenFlow1.3和NETCONF SDN协议</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交换机堆叠套件</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含堆叠所需材料</w:t>
            </w:r>
          </w:p>
        </w:tc>
        <w:tc>
          <w:tcPr>
            <w:tcW w:w="9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辅件</w:t>
            </w:r>
          </w:p>
        </w:tc>
        <w:tc>
          <w:tcPr>
            <w:tcW w:w="492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项</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2.5</w:t>
            </w:r>
          </w:p>
        </w:tc>
        <w:tc>
          <w:tcPr>
            <w:tcW w:w="5550" w:type="dxa"/>
            <w:gridSpan w:val="2"/>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智能语音交互系统</w:t>
            </w:r>
          </w:p>
        </w:tc>
        <w:tc>
          <w:tcPr>
            <w:tcW w:w="930" w:type="dxa"/>
            <w:tcBorders>
              <w:tl2br w:val="nil"/>
              <w:tr2bl w:val="nil"/>
            </w:tcBorders>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指挥调度组合模块</w:t>
            </w:r>
          </w:p>
        </w:tc>
        <w:tc>
          <w:tcPr>
            <w:tcW w:w="4920" w:type="dxa"/>
            <w:tcBorders>
              <w:tl2br w:val="nil"/>
              <w:tr2bl w:val="nil"/>
            </w:tcBorders>
            <w:noWrap w:val="0"/>
            <w:tcMar>
              <w:top w:w="15" w:type="dxa"/>
              <w:left w:w="15" w:type="dxa"/>
              <w:right w:w="15" w:type="dxa"/>
            </w:tcMar>
            <w:vAlign w:val="center"/>
          </w:tcPr>
          <w:p>
            <w:pPr>
              <w:keepNext w:val="0"/>
              <w:keepLines w:val="0"/>
              <w:widowControl/>
              <w:numPr>
                <w:ilvl w:val="0"/>
                <w:numId w:val="22"/>
              </w:numPr>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用户管理：可以根据指挥人员身份创建相应的系统用户，每个系统用户可以配置各自业务所需的语音调度指令集。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2、语音输入：指挥人员通过设备输入语音，输入过程显示收音动画效果。</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3、指令匹配：对指挥人员语音的自动识别后，通过语义理解等技术，提炼关键字，匹配相应的指令后向调度平台发出指令。</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4、热词管理：可以针对常用热词进行标记，提升针对位置、区域等用户词汇的语音识别率，提高指令的正确性。</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5、预案调取：通过语音指令，选择所要搜索的预案类型或预案名称，对紧急预案进行快速调阅功能。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6、依据声源取自近距离麦克风收音，对中文标准普通话的识别准确率达到99%以上；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7、针对声源取自电话信道的中文标准普通话，其识别准确率在92%以上；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8、在平台能力基础上可支持扩展英文标准普通话的识别，其识别准确率可达95%以上（本期项目对英文识别暂无建设需求，但需支持扩展）；</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9、针对声源取自电话信道的英文标准普通话，其识别准确率在92%以上（本期项目对英文识别暂无建设需求，但需支持扩展）；</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10、支持加入通用热词和个性化热词进行识别模型训练，以达到提升识别效果的要求；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11、具备语音关键词的智能识别、检索和抽取功能，要取得相关软件检测的测试报告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※12、为避免重复建设，本次建设需调用浙江省监狱管理局能力平台，不另行建设。</w:t>
            </w:r>
          </w:p>
          <w:p>
            <w:pPr>
              <w:keepNext w:val="0"/>
              <w:keepLines w:val="0"/>
              <w:widowControl/>
              <w:numPr>
                <w:ilvl w:val="0"/>
                <w:numId w:val="0"/>
              </w:numPr>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※13.需提供智能语音调度系统的软件著作权证书复印件或扫描件</w:t>
            </w:r>
          </w:p>
        </w:tc>
        <w:tc>
          <w:tcPr>
            <w:tcW w:w="93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人机交互平台接口集成</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与监狱第三方业务系统（综合安防平台-监控、报警、门禁、对讲、广播、巡查、定位点名，以及指挥通讯调度系统、应急指挥系统等）接口集成业务，实现语音指挥调度</w:t>
            </w:r>
          </w:p>
        </w:tc>
        <w:tc>
          <w:tcPr>
            <w:tcW w:w="93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项</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有线麦克风</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定制USB台面麦克风</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 指向性：全指向MIC，通过算法实现降噪和指向</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 供电需求：USB接口5V/500mA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 发言开关：触摸感应</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 频率响应：20Hz-7.5kHz（-3dB）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 信噪比：&gt;80dB A+（线路）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 失真比：&lt;1%（at 1kHz）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  灵敏度:-44±3dB/1V/Pa（at 1kHz）</w:t>
            </w:r>
          </w:p>
        </w:tc>
        <w:tc>
          <w:tcPr>
            <w:tcW w:w="93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只</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无线麦克风</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定制无线麦克风；频率响应：20Hz-8kHz(-3dB) 信 噪 比 ：≥60dB A+(1kHz线路测试,增益在42dB时) 失 真 度 ：＜1%(at 1kHz) 指 向 性 ：全指向 灵 敏 度 ： -42±3dB/1V/Pa(at 1kHz )</w:t>
            </w:r>
          </w:p>
        </w:tc>
        <w:tc>
          <w:tcPr>
            <w:tcW w:w="93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套</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highlight w:val="none"/>
                <w:u w:val="none"/>
                <w:lang w:val="en-US"/>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亲情电话智能侦听系统</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应用于监狱亲情电话场景，运用语音识别、关键词识别，实现拨打接听亲情电话的实时侦听、敏感词预警和语音复听回溯功能：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一、实时侦听转写</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多通道辅助监听：系统支持多路话机通话内容实时同步监听；</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普通话实时转写：系统支持将汉语普通话语音转写为文字；</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会见双方角色分离：系统支持将会见过程中家属和犯人的角色分离，以对话形式展示双方通话内容；</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多窗口同屏展示：系统支持语音转写结果实时展示在前端业务系统，同时支持多通道实时侦听的同屏展示。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二、敏感词监测预警</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敏感词自定义：系统支持用户自定义添加、删除敏感词汇，做到敏感词的及时更新；</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敏感词自动检出：系统支持针对通话内容的文本处理，并与用户设定的敏感词库的实时比对识别，自动检出；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敏感词预警播报：针对比中的敏感词汇，系统提供预警功能，包括：文本标红高亮显示预警和语音播报预警，及时提醒监听工作人员查看；（要求提供功能截图）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敏感词统计展示：针对比中的敏感词，系统支持敏感词列表展示并实时统计敏感词出现频次。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三、语音复听回溯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本地录音回听：系统支持针对双方对话内容的实时录音，提供录音播放界面，支持开始、停止、暂停播放、播放进度条拖拉等选项，实现亲情电话结束后的复听工作；</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转写文本集中展示：系统提供针对亲情电话内容转写文本的集中展示功能，变听为看，同时方便整理会见双方对话记录；</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音频文本同步回放：系统支持音频和转写文本同步回放，点击转写文本内容，录音会自动跳转至该位置进行播放；（要求提供功能截图）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复听工作管理：系统支持对录音进行编辑、删除、备份、锁定、导出，同时提供对会见双方通话内容的评价、备注等功能。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四、产品资质</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※需提亲情电话侦听系统的检测报告                                                                                                  ※五、为避免重复建设，本次建设需调用浙江省监狱管理局能力平台，不另行建设。</w:t>
            </w:r>
          </w:p>
        </w:tc>
        <w:tc>
          <w:tcPr>
            <w:tcW w:w="93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路</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highlight w:val="none"/>
                <w:u w:val="none"/>
                <w:lang w:val="en-US"/>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微小声音精准监听麦克风</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※1.内置麦克风:内置4颗硅麦单元</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2.拾音灵敏度: 50mV/Pa</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3.拾音范围:全向采音</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4.拾音距离:最大支持15m</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5.信噪比:大于等于50db</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6.降噪:自适应降噪</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7.增益:自动增益调节，远场拾音</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8.语音处理:人声增强、内置听感算法处理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9.供电：DC12V</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10.音频输出:模拟输出</w:t>
            </w:r>
          </w:p>
        </w:tc>
        <w:tc>
          <w:tcPr>
            <w:tcW w:w="93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只</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highlight w:val="none"/>
                <w:u w:val="none"/>
                <w:lang w:val="en-US"/>
              </w:rPr>
            </w:pPr>
            <w:r>
              <w:rPr>
                <w:rFonts w:hint="eastAsia" w:ascii="仿宋" w:hAnsi="仿宋" w:eastAsia="仿宋" w:cs="仿宋"/>
                <w:i w:val="0"/>
                <w:color w:val="auto"/>
                <w:kern w:val="0"/>
                <w:sz w:val="20"/>
                <w:szCs w:val="20"/>
                <w:highlight w:val="none"/>
                <w:u w:val="none"/>
                <w:lang w:val="en-US" w:eastAsia="zh-CN" w:bidi="ar"/>
              </w:rPr>
              <w:t>7</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会议记录客户端</w:t>
            </w:r>
          </w:p>
        </w:tc>
        <w:tc>
          <w:tcPr>
            <w:tcW w:w="4920" w:type="dxa"/>
            <w:tcBorders>
              <w:tl2br w:val="nil"/>
              <w:tr2bl w:val="nil"/>
            </w:tcBorders>
            <w:noWrap w:val="0"/>
            <w:tcMar>
              <w:top w:w="15" w:type="dxa"/>
              <w:left w:w="15" w:type="dxa"/>
              <w:right w:w="15" w:type="dxa"/>
            </w:tcMar>
            <w:vAlign w:val="center"/>
          </w:tcPr>
          <w:p>
            <w:pPr>
              <w:keepNext w:val="0"/>
              <w:keepLines w:val="0"/>
              <w:widowControl/>
              <w:numPr>
                <w:ilvl w:val="0"/>
                <w:numId w:val="23"/>
              </w:numPr>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基本功能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 账号密码登录：系统需要采用账号密码登录方式。</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2）支持立即开会：一键点击即可进行如开会页面。</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3）支持案件会议：支持多议程的案件会议，并支持从本地上传会议材料，格式支持（doc、docx、pdf、txt、、png、jpg、wav、mp3、pcm、wma、mp4）。（要求提供功能截图）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4）针对多议程会议，支持对会议议程顺序灵活切换。（议题切换，特色功能）（要求提供功能截图）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5）支持会议材料随讲随翻：支持通过语音调度技术，对会议材料进行随讲随翻。（核心功能语音能力体现，议题支持，听见不具备）</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6) 实时语音转写：能够针对连续语流进行实时语音转写识别。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 历史音频转写：可以导入历史音频并实现快速离线转写，支持录音文件的批量导入，要求支持mp3\wav\pcm格式的音频，1小时音频转写时间&lt;=10分钟。（要求提供功能截图）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 实时编辑：在实时会议转写过程中能够实时对转写出的结果进行编辑修改。</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9) 自动分段：系统能够提供关键字、字数自动分段和用户手动多种分段方式。（要求提供功能截图）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10) 关键词优化：可以通过关键词优化功能将会议相关的关键词进行添加，有效提升该专业词汇（人名、地名等）的识别准确率。</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11) 禁忌词屏蔽：如果有一些不希望展示的词语，如政治敏感词、脏词、口头禅等，可以屏蔽不显示。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12) 语气词过滤：设置语气词过滤的启动入口，可以将语气词自动去除，以保证文稿的规整。</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13) 音频播放：会议开始后，可以支持音频播放，并提供对应文本高亮显示，使得校对和编辑更加便利。</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14) 文本标记：在会议过程中或者暂停和结束时，可以选中文本来进行重点内容的标记，方便整理会议纪要。</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15) 选中回听：可以选中一段文字，右击进行音频回听。</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16）定点回听：鼠标插入文本中的位置，右击从该位置进行音频回听。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17) 导出保存：系统转写的原始文本、编辑后文本等内容，可以快速导出保存。</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18）点击播放：支持手动选择音频播放的起点，可以通过选择文本内容决定音频播放的起点。</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19) 会议信息管理：所有实时录制的会议数据和本地上传的数据系统都会以列表形式进行记录，用户可以随时查看和编辑。</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20）筛选会议列表：可以根据会议名称、会议类型、会议状态信息快速检索。</w:t>
            </w:r>
          </w:p>
          <w:p>
            <w:pPr>
              <w:keepNext w:val="0"/>
              <w:keepLines w:val="0"/>
              <w:widowControl/>
              <w:numPr>
                <w:ilvl w:val="0"/>
                <w:numId w:val="0"/>
              </w:numPr>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21）※需提供含政法讨论平台相关信息的软件著作证书</w:t>
            </w:r>
          </w:p>
          <w:p>
            <w:pPr>
              <w:keepNext w:val="0"/>
              <w:keepLines w:val="0"/>
              <w:widowControl/>
              <w:numPr>
                <w:ilvl w:val="0"/>
                <w:numId w:val="0"/>
              </w:numPr>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22）※需提供相关专利证明及检测报告其语音转写及多通道拾音方面的技术水平</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23）为避免重复建设，本次建设需调用浙江省监狱管理局能力平台，不另行建设。</w:t>
            </w:r>
          </w:p>
        </w:tc>
        <w:tc>
          <w:tcPr>
            <w:tcW w:w="93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0"/>
                <w:szCs w:val="20"/>
                <w:highlight w:val="none"/>
                <w:u w:val="none"/>
                <w:lang w:val="en-US"/>
              </w:rPr>
            </w:pPr>
            <w:r>
              <w:rPr>
                <w:rFonts w:hint="eastAsia" w:ascii="仿宋" w:hAnsi="仿宋" w:eastAsia="仿宋" w:cs="仿宋"/>
                <w:i w:val="0"/>
                <w:color w:val="auto"/>
                <w:kern w:val="0"/>
                <w:sz w:val="20"/>
                <w:szCs w:val="20"/>
                <w:highlight w:val="none"/>
                <w:u w:val="none"/>
                <w:lang w:val="en-US" w:eastAsia="zh-CN" w:bidi="ar"/>
              </w:rPr>
              <w:t>8</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智能媒体主机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1、音频输入参数：</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 频响： 20HZ-20KHZ（+0.1/-0.4dB)</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 动态范围：最高92dB，A计权</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 噪声级别：-92dB，A计权</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 阻抗：20kohm</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 输入电平：+4dBu</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 可调节增益范围：0dB~51dB（数字调节）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2、音频输出参数：</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 频响：20HZ-20KHZ（+0.1/-0.4dB）</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 动态范围：最高92dB，A计权</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 噪声级别：-92dB，A计权</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 阻抗：470ohm</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 输出电平：+4dBu</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3、接口默认数字音频参数：</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 采样率：16k/48k</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 位深：16bit</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 通道：12通道</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 光纤同步接口：input*1，output*1</w:t>
            </w:r>
          </w:p>
        </w:tc>
        <w:tc>
          <w:tcPr>
            <w:tcW w:w="93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2.6</w:t>
            </w: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警用装备智能管理系统</w:t>
            </w:r>
          </w:p>
        </w:tc>
        <w:tc>
          <w:tcPr>
            <w:tcW w:w="930" w:type="dxa"/>
            <w:tcBorders>
              <w:tl2br w:val="nil"/>
              <w:tr2bl w:val="nil"/>
            </w:tcBorders>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83"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警用装备智能管理机柜</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1、柜体材质：采用冷轧钢板，钢板厚度≥1.0 mm；</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2、高度≥2000mm，≥宽度2500mm，厚度≥500mm；18个小柜，6个长柜。</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3、柜门材质：采用冷轧钢板，钢板厚度≥1.0 mm；柜门中间采用透明亚克力材质，厚度≥2.5 mm；</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4、工控主机：CPU：Intel 低功耗 Bay Trail J1900 单芯片处理器（四核 2.0GHz）或以上 配置；内存≥4G；硬盘≥128G SSD，8T硬盘，；集成显卡；集成声卡；接口：1 个 VGA，1 个 HDMI，6 个 USB，6 个 RS232，2 个 LAN 口，PS/2， 音频输出口；满足≥18台执法记录仪电源及数据接入端口。</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5、触控显示屏：显示屏尺寸≥21.5电容触控屏；防水等级：满足 IP65；</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6、插座：18 个；3 孔+2 孔国标充电插座，250VAC/10A；</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其它：含电控箱、扬声器、智能电控锁、直流风机、24口千兆交换机、人脸识别仪、抓拍半球摄像机、本地存储设备(用于执法记录仪及摄像机存储)、RFID天线控制主机、天线、RFID读卡器及60个无源标签，以及配套线路等；</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整体柜式设计：18个小柜空间分上下两层，上层可放置执法记录仪及警用对讲机；下层可存放警用腰带。</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视音频数据管理：支持对执法记录仪摄录的视音频、音频、照片等数据的采集、浏览、上传、存储及处理和综合应用，符合《GA/T 947-2015单警执法视音频记录系统》要求。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授权设备识别：可自动识别接入设备，非授权设备无法接入。</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自动校时：可对已接入的执法记录仪进行自动校时，实现时钟同步。</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自动采集：当执法记录仪接入后，自动检测并采集执法记录仪，并显示采集进度。</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自动存储：采集完成后，根据执法记录仪编号、民警编号、时间、文件类型等参数自动分类存储。必须实现与监狱云存储系统对接，实现本地及机房端的两级存储。</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自动清空：采集完成后自动清空执法记录仪内数据。</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自动上传：采集完成后自动将数据上传至服务器。</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自动充电：采集完成后自动完成对执法记录仪的充电。</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断点续传：在与执法记录仪进行传输的过程中，如出现连接断开、断电等异常情况而中断采集时，当连接恢复后，能自动于断点处开始继续采集执法记录仪的数据，且采集数据不丢失。</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数据安全：自动识别上传文件类型，非法文件不上传。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端口安全：未经授权的数据端口无法进行数据导入及导出操作，并且接入执法记录仪后智能柜提示未授权的端口不能接入设备。</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数据完整性：上传过程中断电及拔出设备文件不丢失，保障数据完整。</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自动更新：软件版本可远程自动更新。</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数据兼容：支持与符合公安部2015标准的执法记录仪对接。</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电源管理：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每个单格空间引入220V交流电源。</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支持实现对执法记录仪进行充电。</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每个单格空间均可对对讲机进行充电。</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每个单格空间可从外部打开、关闭充电电源。</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便于观察：每个单格空间的上层对应门位置采用透明亚克力玻璃，方便观察。</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安全管理：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每个单格空间的门上配有使用人员姓名指示牌插卡位。</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每个单格空间的门可通过刷门禁卡、指纹或密码打开。</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门禁卡分普通级别和管理员级别，普通级别只能打开对应的门，管理员级别可打开任意门。</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照明管理：每个单格空间提供LED灯照明；门打开LED灯亮，门关闭自动关闭LED灯。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紧急按钮：紧急情况下，按下此按钮，存储柜自动断电，所有柜门自动全部打开。</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定制化设计：存储柜主体采用钣金，具体安装数量、尺寸可以根据使用单位实际需求及现场情况定制</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管理软件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具备对柜内所有警用装备的领用权限和领用规则进行设定；能识别警用装备领用人和授权民警；能对柜内所有警用装备进行识别、清点和实时检测；具备对破坏警用装备柜的行为进行预警和联动报警的功能；能实时录入警用装备的领用、归还时间和领用人及责任民警信息;具备查询和统计功能、一键全开功能、断电锁死功能。与监狱现有的统一用户及授权管理系统集成，实现单点登录及组织用户同步。系统提供开放数据接口，供其它系统调用数据</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智能钥匙柜</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1、单个匙柜（联网型，壁挂式，采用人脸识别）管理钥匙数量约32位；机柜需采用钢制的坚固外壳。</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2、安全电门插锁: 只有授权用户才能打开，另备应急机械门锁，在与紧急情况下可以通过机械强制开门；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3、警铃功能, 当匙柜被强行打开时会发出警铃；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4、智能控制终端采用触摸屏显示。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5、钥匙位置不但在显示屏上以中文、数字形式显示,并且钥匙所在位置的LED发光显示定位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6、取钥匙的人经过身份认证后智能钥匙位上的LED显示灯显示他权限下可取钥匙。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7、每根钥匙均被电子锁锁上, 只有授权用户才能取出；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8、先进的固定式还取钥匙设定，换错钥匙位置智能纠错。尤其在紧急特殊情况不用输入钥匙查询编号，便可以更快速拿出钥匙！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9、钥匙快速归还功能，当用户归还钥匙至匙柜时，不用核对人员信息可以通过智能钥匙栓的ID号快速准确找到相应钥匙位，同时便于平时的快速查找与保管。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10、具有远程申请、远程授权取还钥匙功能。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11、智能钥匙扣提供多种颜色匙扣, 钥匙以不锈钢环连接匙扣, 不需用特殊工具连接锁匙, 智能钥匙栓可重复使用；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12、交还钥匙时具有自动识别位置并记录信息功能, 不会影响系统对钥匙的识别， 安全性更高；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13、每一把钥匙都可以设定使用人员的时间段和使用时长。杜绝工作人员非工作时间取出钥 匙；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14、提供警示: 门未关妥, 错误输入或插入不效匙时, 系统会发出提示；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15、用户身份识别除基本的人脸识别技术、RFID射频感应技术或密码控制技术以外，还可以兼容其他的身份识别仪；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16、系统自动记录所有的操作信息，主机可储存不少于9999万条个记录, 在机内存储器接近容量时自动提示下载；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17、可按钥匙, 使用者或时间制作不同报告；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18、可提供一次性用户编码给予临时使用人员借用钥匙；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19、暂停用户, 可暂停用户的使用权；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20、可设定用户的使用期限；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21、限制功能，除管理员之外，其他任何人员都不可以对某个用户的密码进行修改；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22、独立运作功能，系统可以在没有电脑辅助的情况下独立运作，进行功能操作，以及保存记录信息；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23、通过TCP/IP可以远程管理和控制钥匙管理系统；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24、双人或三人提取，系统可以被设定为需要识别双人或三人的授权时才能够提取钥匙；</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含配套管理软件</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c>
          <w:tcPr>
            <w:tcW w:w="5550" w:type="dxa"/>
            <w:gridSpan w:val="2"/>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bidi="ar"/>
              </w:rPr>
              <w:t>三、指挥中心及综合应用管理平台</w:t>
            </w:r>
          </w:p>
        </w:tc>
        <w:tc>
          <w:tcPr>
            <w:tcW w:w="930" w:type="dxa"/>
            <w:tcBorders>
              <w:tl2br w:val="nil"/>
              <w:tr2bl w:val="nil"/>
            </w:tcBorders>
            <w:shd w:val="clear" w:color="auto" w:fill="FFFFFF"/>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c>
          <w:tcPr>
            <w:tcW w:w="1260" w:type="dxa"/>
            <w:tcBorders>
              <w:tl2br w:val="nil"/>
              <w:tr2bl w:val="nil"/>
            </w:tcBorders>
            <w:shd w:val="clear" w:color="auto" w:fill="FFFFFF"/>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3.1</w:t>
            </w:r>
          </w:p>
        </w:tc>
        <w:tc>
          <w:tcPr>
            <w:tcW w:w="5550" w:type="dxa"/>
            <w:gridSpan w:val="2"/>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指挥中心工程</w:t>
            </w:r>
          </w:p>
        </w:tc>
        <w:tc>
          <w:tcPr>
            <w:tcW w:w="930" w:type="dxa"/>
            <w:tcBorders>
              <w:tl2br w:val="nil"/>
              <w:tr2bl w:val="nil"/>
            </w:tcBorders>
            <w:shd w:val="clear" w:color="auto" w:fill="FFFFFF"/>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c>
          <w:tcPr>
            <w:tcW w:w="1260" w:type="dxa"/>
            <w:tcBorders>
              <w:tl2br w:val="nil"/>
              <w:tr2bl w:val="nil"/>
            </w:tcBorders>
            <w:shd w:val="clear" w:color="auto" w:fill="FFFFFF"/>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（一）指挥中心大屏显示系统</w:t>
            </w:r>
          </w:p>
        </w:tc>
        <w:tc>
          <w:tcPr>
            <w:tcW w:w="930" w:type="dxa"/>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★LED无缝拼接高清监控大屏</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宽12.16m*3.078m=37.43平米；物理分辨率：宽9600点*高2430点，像素点间距≤1.25mm;像素结构：采用金线自主封装1010表贴三合一;含配套接收卡（单卡带载像素512*512）；模组分辨率:240W*270H</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像素密度：≥640000点/m2；</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可视角度：水平≥160°，垂直≥160°</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整屏平整度≤0.1mm/m²</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内部360°全方位散热设计，散热无死角；</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灰度等级：16bit，刷新率≥3840 Hz；</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亮度均匀性≥98%；</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※为了保证产品软件成熟稳定可靠，显示屏生产厂家已达到CMMI成熟度3级及以上，提供证书证明； </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※投标人所投LED显示屏产品生产厂家具备国家版权局颁布的智能大屏或LED显示屏播控管理软件证书（提供证明文件并加盖公章）</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※显示屏生产厂家服务能力符合国家标准《商品售后服务评价体系》GB/T27922-2011，且能力达到五星级；（提供相关证书）</w:t>
            </w:r>
          </w:p>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※投标人所投LED显示屏需通过视网膜蓝光危害检验（提供封面带有CMA或CNAS或CAL标识的国家级权威检测报告复印件并加盖公章）或提供德国莱茵TÜV的LED显示屏低蓝光认证证书复印件并加盖公章</w:t>
            </w:r>
          </w:p>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▲提供节能产品认证证书。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37.43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显示屏钢结构</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配套上述LED屏,采用优质钢材或铝型材，根据现场安装情况定制，包含包边,大屏散力架</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智能主控</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具备4个千兆网口输出，单机可支持最宽4096像素或最高2560像素的LED显示屏。具有2类视频输入接口，包括1路HDMI和2路DVI；最大输入分辨率1920×1200@60Hz，支持分辨率任意设置；最大带载260万像素，最宽可达4096点，或最高可达2560点；</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管理终端</w:t>
            </w:r>
          </w:p>
        </w:tc>
        <w:tc>
          <w:tcPr>
            <w:tcW w:w="492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CPU:酷睿i7 3.2GHz四核处理器/内存:8GB/显卡:2G显存,带两个DVI输出接口/硬盘:1TB，128G SSD/网卡:1000M/显示屏:20"液晶显示器/win7/键盘/鼠标</w:t>
            </w:r>
          </w:p>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▲提供节能产品认证证书。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配电箱</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配电柜38KW;配电柜具备防雷、过压、过流、欠压、短路、断路以及漏电保护措施；配电柜内装有漏电保护开关、空气开关、熔断器、延时启动接触器、电源防雷器等，可实现远程开关控制</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大屏幕控制软件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配套上述LED屏，可远程控制</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视频综合平台</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采用无源背板，机箱不小于16个板卡插槽，系统稳定可靠。主控板具有16个串口支持挂载128个RS485控制设备，可将IP数据发送至串口。主控板具有7个RJ45网络接口、6个光纤接口、1个USB接口。具备三码流编码功能：样机支持主码流、子码流、第三码流编码输出功能。应支持超高分辨率输入能力须满足或超过以下分辨率：支持接入4096x4320、8192x2160、15360x6480、15360x8460、16384x6480等分辨率图像信号。支持1、2、4、6、8、9、12、16、25、32、36、48、64画面分割显示。支持显示预案功能，可将样机的视频输出状态保存为场景，可设置多个场景并可对每个场景进行配置、清空、复制、修改、切换等操作，可实现多个场景轮巡切换、（预案）轮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含5块高清输出解码板：8路HDMI显示接口输出；支持16路800W/64路1080P/128路720P/256路4CIF解码H.264/H.265解码；支持大屏拼接漫游；1个DB15转8路音频输出；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含3块输入编码板：视频输入口：8路视频输入，HDMI口；输入分辨率：1024×768@60Hz、1280×1024@60Hz、1280×800@60Hz、1366×768@60Hz、1440×900@60Hz、1680×1050@60Hz、1280×960@60Hz、1600×1200@60Hz、1280×720P@50Hz、1280×720P@60Hz、1920×1080I@50Hz、1920×1080I@60Hz、1920×1080P@50Hz、1920×1080P@60Hz；音频输入口：8路音频输入，1个DB15转BNC接口；编码标准：标准H.264；编码能力：8路，支持的编码分辨率为：1080P/720P/4CIF/CIF/QCIF；</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DP输入编码板</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支持4路DP输入，4096*2160分辨率无编码功能，支持输入拼接，最大12个输入拼接为1个输入源</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网络控制键盘</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采用7英寸触控式显示屏，四维摇杆控制，支持网络方式接入DVR、DVS、NVR、网络摄像机、网络球、视频综合平台、解码器、平台软件，采用人体工学设计，支持直接在触控屏幕上预览/播放前端视频，支持1080p/720p/4CIF/DCIF/2CIF/CIF等分辨率的网络视频</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监控中心高级管理终端 </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CPU:Intel 酷睿i7 2.9GH八核处理器/内存:16GB/显卡:6G显存,带1路DVI和1路HDMI接口/硬盘:256G SSD,1TB 7200转机械硬盘/网卡:1000M/显示屏:2台22"液晶显示器,win7 64位,配套鼠标/键盘/2.0声道音箱系统,有源,旋钮调节方式/麦克风</w:t>
            </w:r>
          </w:p>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▲提供节能产品认证证书。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操作控制台</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1.工作台台面为抗倍特面板，贴面不允许有拼接缝，面板到地面距离为：730-750 mm ，深度1000mm，长度9240mm;颜色由建设单位选定</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2.容腿空间：≥450mm</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3.主体框架结构使用优质冷轧钢板，其中主承重结构采用2.5mm厚冷轧钢板加工，一般受力配件采用2.0mm厚优质冷轧钢板钣金加工，采用精密钣金工艺加工，使用螺接样式进行框架结构搭建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4.控制台内部架构可以放置主机托盘及标准19英寸设备架，满足用户放置不同设备的各种需求。含键盘托盘</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5.台面使用抗倍特面板贴防火板加工，整体厚度为18mm</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6.背墙采用亚克力，钣金，铝型材三者结合的形式装配，亚克力区域可进行LOGO或文字等显示形式的私塾定制；</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7.后背墙厚度150mm，可选择200背墙，370背墙，也可根据需要选择无背墙</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含各类强弱电插座、多媒体插座（HDMI、USB、VGA等）及8路PDU电源等，具体根据甲方要求定制选型</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张</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LCD支架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1.适用于27＂以下的电脑显示器；</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2.单臂最大承载重量9Kg</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3.符合VESA国际安装标准孔位：75×75mm和100×100mm；</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4.手臂最大可延伸≤496mm；</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5.手臂可折叠的最小尺寸为≥138mm；</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6.可调倾斜范围：﹢90°～－65°；</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7.可实现空间180°旋转/平面内360°旋转；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8.手臂可在立柱上下调整范围260mm；</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9.快拆式定位安装结构，最大限度节省安装时间；</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10.表面处理：喷粉；</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11.颜色支持：黑色；</w:t>
            </w:r>
          </w:p>
        </w:tc>
        <w:tc>
          <w:tcPr>
            <w:tcW w:w="93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双面电子桌牌</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双面配有超亮高分辨率9寸显示屏，内、外 屏均可高清显示人名、职称、单位、会徽会标、logo等；内侧屏带有触控功能，实现常用会议功能 图标快捷使用。支持后台远程无线中控终端集中控制会场布局及信息编辑和收发，支持以太网方式组网，通过网线实现远程供电和通讯</w:t>
            </w:r>
          </w:p>
        </w:tc>
        <w:tc>
          <w:tcPr>
            <w:tcW w:w="93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19”42U网络机柜</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约600*600*2000mm 42U，全透明钢化玻璃前门，后钢板门</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全钢无边型防静电活动地板</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指挥中心拼接屏维修间,架空地板高度300㎜，支架允许荷载≥20KN</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m2</w:t>
            </w:r>
          </w:p>
        </w:tc>
        <w:tc>
          <w:tcPr>
            <w:tcW w:w="126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安装辅材</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各类音视频线(AV/DVI/HDMI/DP/VGA/RGB等)及各类接头、DVI成品线、HDMI成品线、DP成品线等，长度根据现场定</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（二）指挥中心交互会议系统</w:t>
            </w:r>
          </w:p>
        </w:tc>
        <w:tc>
          <w:tcPr>
            <w:tcW w:w="930" w:type="dxa"/>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数字音频处理器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配有8个输入通道和8个输出通道，带有自动混音功能。通过USB端口连接可实现电脑软件远程控制或485端口连接实现电脑软件远程控制配置或以太网连接，实现8路路由或麦克风输入至8路输出。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麦克风输入可以对每一个输入通道进行独立选择，可选择一个线路电平输入或者麦克风输入。在麦克风输入处可提供48V的幻想电源。当选择麦克风输入时，机器可能在“音调移频”算法的基础上激活反馈抑制器，对人声的应用特别有效。特别是当选择麦克风输入时，能提供强大的自动混音功能，能迅速、明显有效地调整麦克风输入信号电平。当多个话筒同时工作时自动混音功能能自动减弱话筒“嘶嘶声，混响声和其它寄生噪声。允许在麦克风工作数（NOM )和增益共享算法之间选择自动混音功能。</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功率放大器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双通道AB类功率放大器</w:t>
            </w:r>
            <w:r>
              <w:rPr>
                <w:rStyle w:val="173"/>
                <w:rFonts w:hint="eastAsia" w:ascii="仿宋" w:hAnsi="仿宋" w:eastAsia="仿宋" w:cs="仿宋"/>
                <w:color w:val="auto"/>
                <w:highlight w:val="none"/>
                <w:lang w:val="en-US" w:eastAsia="zh-CN" w:bidi="ar"/>
              </w:rPr>
              <w:br w:type="textWrapping"/>
            </w:r>
            <w:r>
              <w:rPr>
                <w:rStyle w:val="211"/>
                <w:rFonts w:hint="eastAsia" w:ascii="仿宋" w:hAnsi="仿宋" w:eastAsia="仿宋" w:cs="仿宋"/>
                <w:color w:val="auto"/>
                <w:kern w:val="0"/>
                <w:sz w:val="20"/>
                <w:szCs w:val="20"/>
                <w:highlight w:val="none"/>
                <w:lang w:val="en-US" w:eastAsia="zh-CN" w:bidi="ar"/>
              </w:rPr>
              <w:t>4欧立体声（每个通道） 200W</w:t>
            </w:r>
            <w:r>
              <w:rPr>
                <w:rStyle w:val="211"/>
                <w:rFonts w:hint="eastAsia" w:ascii="仿宋" w:hAnsi="仿宋" w:eastAsia="仿宋" w:cs="仿宋"/>
                <w:color w:val="auto"/>
                <w:kern w:val="0"/>
                <w:sz w:val="20"/>
                <w:szCs w:val="20"/>
                <w:highlight w:val="none"/>
                <w:lang w:val="en-US" w:eastAsia="zh-CN" w:bidi="ar"/>
              </w:rPr>
              <w:br w:type="textWrapping"/>
            </w:r>
            <w:r>
              <w:rPr>
                <w:rStyle w:val="211"/>
                <w:rFonts w:hint="eastAsia" w:ascii="仿宋" w:hAnsi="仿宋" w:eastAsia="仿宋" w:cs="仿宋"/>
                <w:color w:val="auto"/>
                <w:kern w:val="0"/>
                <w:sz w:val="20"/>
                <w:szCs w:val="20"/>
                <w:highlight w:val="none"/>
                <w:lang w:val="en-US" w:eastAsia="zh-CN" w:bidi="ar"/>
              </w:rPr>
              <w:t>8欧立体声（每个通道） 150W</w:t>
            </w:r>
            <w:r>
              <w:rPr>
                <w:rStyle w:val="211"/>
                <w:rFonts w:hint="eastAsia" w:ascii="仿宋" w:hAnsi="仿宋" w:eastAsia="仿宋" w:cs="仿宋"/>
                <w:color w:val="auto"/>
                <w:kern w:val="0"/>
                <w:sz w:val="20"/>
                <w:szCs w:val="20"/>
                <w:highlight w:val="none"/>
                <w:lang w:val="en-US" w:eastAsia="zh-CN" w:bidi="ar"/>
              </w:rPr>
              <w:br w:type="textWrapping"/>
            </w:r>
            <w:r>
              <w:rPr>
                <w:rStyle w:val="211"/>
                <w:rFonts w:hint="eastAsia" w:ascii="仿宋" w:hAnsi="仿宋" w:eastAsia="仿宋" w:cs="仿宋"/>
                <w:color w:val="auto"/>
                <w:kern w:val="0"/>
                <w:sz w:val="20"/>
                <w:szCs w:val="20"/>
                <w:highlight w:val="none"/>
                <w:lang w:val="en-US" w:eastAsia="zh-CN" w:bidi="ar"/>
              </w:rPr>
              <w:t>8欧桥接 （每个通道） 400W</w:t>
            </w:r>
            <w:r>
              <w:rPr>
                <w:rStyle w:val="211"/>
                <w:rFonts w:hint="eastAsia" w:ascii="仿宋" w:hAnsi="仿宋" w:eastAsia="仿宋" w:cs="仿宋"/>
                <w:color w:val="auto"/>
                <w:kern w:val="0"/>
                <w:sz w:val="20"/>
                <w:szCs w:val="20"/>
                <w:highlight w:val="none"/>
                <w:lang w:val="en-US" w:eastAsia="zh-CN" w:bidi="ar"/>
              </w:rPr>
              <w:br w:type="textWrapping"/>
            </w:r>
            <w:r>
              <w:rPr>
                <w:rStyle w:val="211"/>
                <w:rFonts w:hint="eastAsia" w:ascii="仿宋" w:hAnsi="仿宋" w:eastAsia="仿宋" w:cs="仿宋"/>
                <w:color w:val="auto"/>
                <w:kern w:val="0"/>
                <w:sz w:val="20"/>
                <w:szCs w:val="20"/>
                <w:highlight w:val="none"/>
                <w:lang w:val="en-US" w:eastAsia="zh-CN" w:bidi="ar"/>
              </w:rPr>
              <w:t>频率响应（一瓦特）20Hz-20KHz，+0.1Db</w:t>
            </w:r>
            <w:r>
              <w:rPr>
                <w:rStyle w:val="211"/>
                <w:rFonts w:hint="eastAsia" w:ascii="仿宋" w:hAnsi="仿宋" w:eastAsia="仿宋" w:cs="仿宋"/>
                <w:color w:val="auto"/>
                <w:kern w:val="0"/>
                <w:sz w:val="20"/>
                <w:szCs w:val="20"/>
                <w:highlight w:val="none"/>
                <w:lang w:val="en-US" w:eastAsia="zh-CN" w:bidi="ar"/>
              </w:rPr>
              <w:br w:type="textWrapping"/>
            </w:r>
            <w:r>
              <w:rPr>
                <w:rStyle w:val="211"/>
                <w:rFonts w:hint="eastAsia" w:ascii="仿宋" w:hAnsi="仿宋" w:eastAsia="仿宋" w:cs="仿宋"/>
                <w:color w:val="auto"/>
                <w:kern w:val="0"/>
                <w:sz w:val="20"/>
                <w:szCs w:val="20"/>
                <w:highlight w:val="none"/>
                <w:lang w:val="en-US" w:eastAsia="zh-CN" w:bidi="ar"/>
              </w:rPr>
              <w:t>总谐波失真（THD&lt;0.5%，20Hz-20kHz</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吸顶扬声器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功率：80W峰值功率，40W音乐功率，20W持续功率;频率响应(-10dB)：70Hz-20kHz;标称阻抗：8欧姆</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无线U段手持</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无线系统可为各种应用提供清晰的24位数字音频和可靠的射频性能。每个44 MHz频段可运行多达32个兼容系统。随附单通道接收机和手持式发射机，并配有天线和机架安装配件以及2节AA电池。</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无线U段领夹</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无线系统可为各种应用提供清晰的24位数字音频和可靠的射频性能。每个44 MHz频段可运行多达32个兼容系统。随附单通道接收机、腰包式发射机和微型全指向性领夹式话筒，并配有天线和机架安装配件以及2节AA电池。</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15.6寸超薄双面联动触摸升降一体机（含嵌入式无纸化会议控制系统）</w:t>
            </w:r>
          </w:p>
        </w:tc>
        <w:tc>
          <w:tcPr>
            <w:tcW w:w="4920" w:type="dxa"/>
            <w:tcBorders>
              <w:tl2br w:val="nil"/>
              <w:tr2bl w:val="nil"/>
            </w:tcBorders>
            <w:noWrap w:val="0"/>
            <w:tcMar>
              <w:top w:w="15" w:type="dxa"/>
              <w:left w:w="15" w:type="dxa"/>
              <w:right w:w="15" w:type="dxa"/>
            </w:tcMar>
            <w:vAlign w:val="center"/>
          </w:tcPr>
          <w:p>
            <w:pPr>
              <w:keepNext w:val="0"/>
              <w:keepLines w:val="0"/>
              <w:widowControl/>
              <w:numPr>
                <w:ilvl w:val="0"/>
                <w:numId w:val="24"/>
              </w:numPr>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采用15.6寸10点触摸电容液晶屏升降一体机，触控电容式，10点触控，感应力度&lt;=10g，触摸反应时间&lt;=5ms，动态对比度：100000：1；液晶屏分辨率：1920*1080dpi；</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2、屏幕升起后，最大后仰角度不少于45度；屏幕后仰时外侧7寸屏幕可通过钢丝结构拉起，屏幕与桌面保持约10-15度夹角，确保对面席位人员可以90度最佳视角观看人名屏；屏幕下降时外侧7寸屏幕可以完全收起；</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3、显示屏外壳采用航空铝材CNC切削工艺一次成型；屏幕最薄处不大于8mm；表面处理为喷砂阳极氧化。</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4、升降器面板宽度52（mm)面板为铝合金材料，升降器桌面开口尺寸宽度≤53mm;自带USB接口和电源按钮；嵌入式电动升降系统，电容触控控制升降及前后仰角，具有电源保护功能，按键触控点次数&gt;=50000次，反应时间:5MS ,升降器产品支持RS-485通讯协议；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5、电动控制，升降自如，升降精度：水平±0.2mm、垂直±0.2mm；屏幕升起后可自动后仰，自动后仰停止角度0~45度任意可调，支持任意分组控制升降。支持RS485协议编程统一升降或是单独升降,仰角仰俯等中控操作；</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支持HDMI,VGA、AV三种外部信号输入，并可支持信号源通过面板按键、电容触摸屏以及软件远程操作等三种方式切换信号源，当显示外部信号时，屏幕上面会有半透明OSD图标用以显示信号来源；可实现AV信号或VGA画中画显示，画中画窗口大小，位置可调（需配高清视频输入模组）；</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7、CPU: 性能等同于或高于INTEL i5处理器</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内存：4G</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硬盘：64G SSD</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8、输入接口：USB，RJ45，AV，HDMI，VGA，COM，AC；</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9、支持VGA或HDMI输出，可实现任意一体机终端屏显内容输出；支持信号源通过电容触摸屏或会议软件远程一键切换，显示终端可以将本机显示界面快速投放到大屏幕上；也可一键同步显示会议室拼接大屏等大屏幕显示的图像；</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10、升降器自下向上安装，采用底部垫脚支撑，确保桌面长期使用不会受力变形；</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11、确保设备为自主研发设计生产，保证产品的可靠性，能提供加盖公章证明材料</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12、可以提供无纸化会议系统第三方检测报告。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※制造商获得有效期内覆盖范围为无纸化会议软件的技术开发及服务和设备的五星售后服务认证证书，提供复印件并加盖公章；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※制造商获得软件成熟度CMMI3证书（要求提供在有效期内的证书复印件，并加盖公章）</w:t>
            </w:r>
          </w:p>
          <w:p>
            <w:pPr>
              <w:keepNext w:val="0"/>
              <w:keepLines w:val="0"/>
              <w:widowControl/>
              <w:numPr>
                <w:ilvl w:val="0"/>
                <w:numId w:val="0"/>
              </w:numPr>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13、▲提供节能产品认证证书。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独立发言升降接口（带麦秆）(含嵌入式升降控制系统)</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发言麦克杆一体升降，无需人工扶正麦克杆，可自动拉直麦克杆并下降隐藏，包含麦克杆和按钮和接口。</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有线会讨主机(含嵌入式发言系统)</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主控机与会议系统单体连接之数位控制及声音信号采用同一电缆传送（八芯）;可独立运作或是外接电脑结合软体同步联动操作，实现多种会务管理功能(会议模式或操作：指定发言、自由发言、申请发言及先进先出发言等);单机可实现下列几个会议功能：开放式会议、限制发言、先进先出;系统具有较好音质声音通道效果</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24寸曲面液晶升降超薄一体机（含嵌入式无纸化会议控制系统）</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铝合金外框彰显高端，大气，颜色可根据甲方需求定制</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升降一体机自动开合铝面板，超薄面板、外形美观大方，屏幕角度自动调节，并支持任意分组控制屏幕的升降俯仰。</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主要参数如下：</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屏幕尺寸：24寸  R=1800mm</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开孔：月牙形开孔</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机体工艺：外壳喷砂氧化，箱体喷塑，面板拉丝氧化或磨砂氧，面板颜色：黑色，银色可选。</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屏幕仰角：相对桌面仰角90至100度任意可调（后仰10度），屏幕升起后可自动后仰，自动后仰停止角度任意可调</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分辨率：1920*1080</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视频输入：HDMI或VGA</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中控控制：支持RS232和RS485控制（手拉手连接）或遥控控制</w:t>
            </w:r>
          </w:p>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▲提供节能产品认证证书。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拓展控制器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1.1路RJ45控制输入端口（提供相关有效证明材料，并加盖公章）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※2.支持22路POE输出，用于与会议终端供电通讯（提供相关有效证明材料，并加盖公章）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3.支持2路RS485输出，用于控制矩阵升降器等设备（提供相关有效证明材料，并加盖公章）</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无纸化全数字会议系统主机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1、4U工业级上架式专用机箱，铝合金面板，箱体颜色：黑色，低噪音低功耗设计，intel i7高性能处理器、8G 内存、128G SSD固态盘，自带10寸显示屏，方便工程调试及状态监控，含有HDMI、VGA、AUDIO输出口及多种常用音视频会议接口</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2、含会议操作系统，支持多种会议功能；支持局域网及外网的连接通讯，支持超强的会议管理功能；支持维护数据库，监测终端,安全涉密性强；系统稳定、安全永不中毒</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输入电压：交流220V，50Hz。输入功率：300W MAX。最多同时支持500台终端。支持无人值守工作模式，可通过客户端或Web端登陆访问</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※支持4路对拓展控制器输出，2路POE输出（提供相关有效证明材料，并加盖公章）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前置10.1寸显示屏，分辨率1280*768（提供相关有效证明材料，并加盖公章）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2路前置USB口，4路后置USB口，支持HDMI及VGA输出（提供相关有效证明材料，并加盖公章）</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无纸化后台管理软件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1、硬件设备可通过平板中控和管理后台会议中控模块控制升降终端、唛杆、独立桌牌全升、全降、全开机、全关机、指定升降、指定开关机、升到顶部，角度可以调节成一样的；</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2、管理后台默认提供三员分立（系统管理员，安全保密员，安全审计员），不可删除和修改角色权限；</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3、管理后台提供自定义多个会务管理员账号，分配后台角色，角色可自定义后台菜单查看权限；</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管理后台提供自选会议模块组建成会议向导流程模板（模块包含会议、议题、资料、投票、前后屏管理、参会人员、人员中控排座），可创建多套会议向导流程模板；5、管理后台会议管理会议列表模块提供会议复制功能，一键复制已存在的历史会议自动创建新的会议、会议议题、资料、参会人员投票全部与历史会议相同；</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6、可选择向导模板来创建会议模板填写会议的基本信息与上传好必要的资料，作为会议模板，可创建多个会议模板；</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支持向导模式选择会议模板创建会议，系会务人员选择会议模板、填写会议名称、选择参会人员（支持通过部门快速选择人员）、新增会议议题（支持新增多个会议议题并列表展示可鼠标拖动列表进行顺序调整）、上传资料（支持新增多个会议资料并列表展示可鼠标拖动列表进行顺序调整）、新增投票（默认投票类型、自定义类型），向导中控（可在页面中拖动人员入座，双击页面座位图标添加临时参会人员，提供全部排位功能可按照终端的排序号和人员的排序号实现人员优先级入座），一条线完成会议的建立，并开始会议；</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8、支持会议预约排期，可进行多会议室选择排期，允许会务人员选择时间段来创建会议。</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9、会议预约排期功能可通过手机微信端进行操作；10、支持客户端功能模块化设置，终端功能支持在服务器上模块化选择，终端自动增加与屏蔽会议功能模块；</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11、支持本次会议的参会人员通过网络在工位上运行的网页版管理后台输入参会人员姓名与密码后根据会议议题上传议题下的会议文件； 控制软件自动收集并在会议开始后自动推送到各个会议终端；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12、提供终端布局模块，支持多会议室终端管理功能，同时可以管理多个会议室，每个会议室包含会议终端；支持会议室分别召开会议与多个会议室同时召开会议互不影响；支持多个会议室共同召开同一会议；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13、支持会前准备（设置主席机与代表机、添加参会人员、设置欢迎词、设置会议主题、安排参会人员入座、上传会议资料并设置文件权限、添加投票并选择参与投票人员）；</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14、系统支持安全认证，系统操作需权限认证等验证方式；对系统的操作都需要记录认证，安全审计有据可查；</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15、支持向导创建会议时设置会议保密级别，根据参会人员密级，设定参加响应级别密级的会议；</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16、支持向导和资料管理模块添加会议文件上传时设定文件密级；</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17、支持人员管理设定人员密级，如未设定人员密级，则默认为最低密级。参会人员根据自己的密级只能参加相应密级以下的会议和查看相应密级以下的文件；</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18、支持后台非向导时通过会议中控模块直接点击参会者图标修改人员信息，添加临时参会人员，且终端实时显示最新的参会者信息，客户端页面自动会进行刷新显示；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19、提供会议模式和汇报会议模式切换使用；</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20、汇报会议模式下可单独设置每个议题在中控下排位不同参会人员入座参会；</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21、提供通知管理模块，实时发布讯息给终端，可自定义接收终端权限；</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22、可通过会议中控模块选择参会人员发送讯息；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23、支持大文件上传可上传2GB以上的视频文件；</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24、提供会议投票模块可新增投票，发起投票，结束投票，重置投票（包含实名匿名、单选多选、计时投票、饼状图柱状图显示投票结果，可根据投票权限设定来投票、查看投票结果）；</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25、可自定义资料上传后缀范围、资料上传大小限制，支持全办公格式（doc、docx、xls、xlsx、ppt、pptx、pdf、png、jpg、html、htm、mht、tif、tiff、txt）、支持扩展行业用文件格式（ceb、dwg、dxf）;</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26、支持会前大屏界面显示会议欢迎标语，可根据会议单独设置会议标语内容，会前终端显示参会人员基础信息，会议开始后大屏自动显示会议名称；</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※27、上传文件采用国标SM4加密算法加密(提供证明材料)；</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流媒体设备(含嵌入式流媒体分享控制系统)</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1.采用HDMI信号输入或VGA信号输入，用于高清视频信号 (720P/1080i/1080P) 或高分辨率高桢率AV,VGA,DVI,HDMI信号的编码及网络传输；</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2.任何一个笔记本拿过来都可以转换成网络信号，在IPAD无纸化终端和投影仪上进行同步显示。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3.适用于各种需要对高清视频信号及高分辨率高桢率模拟和数字信号进行采集并基于IP网络传送的场合，满足高清（视频）会议录播、高清视频监控等应用的需要；</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4.支持立体声音频输入，采用视音频算法。</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5.采用XMP处理芯片；</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6.可支持设备画面分享同步</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000000"/>
                <w:kern w:val="0"/>
                <w:sz w:val="20"/>
                <w:szCs w:val="20"/>
                <w:highlight w:val="none"/>
                <w:u w:val="none"/>
                <w:lang w:val="en-US" w:eastAsia="zh-CN" w:bidi="ar"/>
              </w:rPr>
              <w:t>※</w:t>
            </w:r>
            <w:r>
              <w:rPr>
                <w:rFonts w:hint="eastAsia" w:ascii="仿宋" w:hAnsi="仿宋" w:eastAsia="仿宋" w:cs="仿宋"/>
                <w:i w:val="0"/>
                <w:color w:val="auto"/>
                <w:kern w:val="0"/>
                <w:sz w:val="20"/>
                <w:szCs w:val="20"/>
                <w:highlight w:val="none"/>
                <w:u w:val="none"/>
                <w:lang w:val="en-US" w:eastAsia="zh-CN" w:bidi="ar"/>
              </w:rPr>
              <w:t>提供流媒体分享演示软件或嵌入式流媒体分享控制系统软件著作权登记证书，并加盖公章</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反馈抑制器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24位模数/数模转换器；24位48kHz的内部处理；24可编程滤波器/每通道状态指示灯；立体声连接或双单声道操作；现场和固定两种滤波模式；滤波器类型包括：演讲、音乐、音乐/演讲；5个可存储的用户预设；输入信号电平计量/输入信号削波指示；XLR和TRS电子平衡输入和输出；USB端口可更新固件</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鹅颈话筒</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18英寸桌面鹅颈微型电容话筒、带10英尺电缆的桌面底座、扣合式泡沫防风罩。</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8路自动混音台</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快速、无噪音选择话筒，自动根据背景噪音的变化进行调整;可连接多达400个话筒</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17</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多媒体中央控制器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32位ARM CPU，320MHz操作频率；</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512M的Flash存储器；</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64M数据存储器；</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8路com，串口速率600~115200bps，支持RS-232/485和以太网之间的数据双向透明传输，可以让串行设备立即联接网络；</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每个com口均同步支持多波特率并发RS-232/485协议内容；</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8路IR，支持IR设备和以太网之间的数据通讯；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1路以太网通讯接口，支持多达10个TCP/UDP连接；</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1路HS-NET接口，支持NET总线设备扩展，譬如8路电源控制接口、音量及调光模块等总线设备；</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支持定时执行预设任务，支持指令触发执行预设任务，任务容量达2400字节，支持剩余容量提醒；</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灵活的串口数据分帧设置，满足用户各种分包需要；</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全双向通讯机制，支持管理平板查询、获取与呈现周边设备工作状态；</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去中心化控制结构设计，以管理平板为中心，支持由管理平板与周边设备的直接通讯，TCP、UDP、Https协议兼容，控制方式灵活，具备超强的兼容性；</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高效的多房间集群管理功能，支持总、分层级控制结构。</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18</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无线触摸屏接收器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传输速率 2.4GHz频段：600Mbps;5GHz频段：1300Mbps;网络接口 1个10/100/1000Mbps自适应WAN口，3个10/100/1000Mbps自适应LAN口</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19</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无线触摸屏</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Arial" w:hAnsi="Arial" w:eastAsia="仿宋" w:cs="Arial"/>
                <w:i w:val="0"/>
                <w:color w:val="auto"/>
                <w:kern w:val="0"/>
                <w:sz w:val="20"/>
                <w:szCs w:val="20"/>
                <w:highlight w:val="none"/>
                <w:u w:val="none"/>
                <w:lang w:val="en-US" w:eastAsia="zh-CN" w:bidi="ar"/>
              </w:rPr>
            </w:pPr>
            <w:r>
              <w:rPr>
                <w:rFonts w:hint="default" w:ascii="Arial" w:hAnsi="Arial" w:eastAsia="仿宋" w:cs="Arial"/>
                <w:i w:val="0"/>
                <w:color w:val="auto"/>
                <w:kern w:val="0"/>
                <w:sz w:val="20"/>
                <w:szCs w:val="20"/>
                <w:highlight w:val="none"/>
                <w:u w:val="none"/>
                <w:lang w:val="en-US" w:eastAsia="zh-CN" w:bidi="ar"/>
              </w:rPr>
              <w:t>≥</w:t>
            </w:r>
            <w:r>
              <w:rPr>
                <w:rFonts w:hint="eastAsia" w:ascii="仿宋" w:hAnsi="仿宋" w:eastAsia="仿宋" w:cs="仿宋"/>
                <w:i w:val="0"/>
                <w:color w:val="auto"/>
                <w:kern w:val="0"/>
                <w:sz w:val="20"/>
                <w:szCs w:val="20"/>
                <w:highlight w:val="none"/>
                <w:u w:val="none"/>
                <w:lang w:val="en-US" w:eastAsia="zh-CN" w:bidi="ar"/>
              </w:rPr>
              <w:t>8英寸安卓平板，内存</w:t>
            </w:r>
            <w:r>
              <w:rPr>
                <w:rFonts w:hint="default" w:ascii="Arial" w:hAnsi="Arial" w:eastAsia="仿宋" w:cs="Arial"/>
                <w:i w:val="0"/>
                <w:color w:val="auto"/>
                <w:kern w:val="0"/>
                <w:sz w:val="20"/>
                <w:szCs w:val="20"/>
                <w:highlight w:val="none"/>
                <w:u w:val="none"/>
                <w:lang w:val="en-US" w:eastAsia="zh-CN" w:bidi="ar"/>
              </w:rPr>
              <w:t>≥</w:t>
            </w:r>
            <w:r>
              <w:rPr>
                <w:rFonts w:hint="eastAsia" w:ascii="Arial" w:hAnsi="Arial" w:eastAsia="仿宋" w:cs="Arial"/>
                <w:i w:val="0"/>
                <w:color w:val="auto"/>
                <w:kern w:val="0"/>
                <w:sz w:val="20"/>
                <w:szCs w:val="20"/>
                <w:highlight w:val="none"/>
                <w:u w:val="none"/>
                <w:lang w:val="en-US" w:eastAsia="zh-CN" w:bidi="ar"/>
              </w:rPr>
              <w:t>4GB，CPU核数</w:t>
            </w:r>
            <w:r>
              <w:rPr>
                <w:rFonts w:hint="default" w:ascii="Arial" w:hAnsi="Arial" w:eastAsia="仿宋" w:cs="Arial"/>
                <w:i w:val="0"/>
                <w:color w:val="auto"/>
                <w:kern w:val="0"/>
                <w:sz w:val="20"/>
                <w:szCs w:val="20"/>
                <w:highlight w:val="none"/>
                <w:u w:val="none"/>
                <w:lang w:val="en-US" w:eastAsia="zh-CN" w:bidi="ar"/>
              </w:rPr>
              <w:t>≥</w:t>
            </w:r>
            <w:r>
              <w:rPr>
                <w:rFonts w:hint="eastAsia" w:ascii="仿宋" w:hAnsi="仿宋" w:eastAsia="仿宋" w:cs="仿宋"/>
                <w:i w:val="0"/>
                <w:color w:val="auto"/>
                <w:kern w:val="0"/>
                <w:sz w:val="20"/>
                <w:szCs w:val="20"/>
                <w:highlight w:val="none"/>
                <w:u w:val="none"/>
                <w:lang w:val="en-US" w:eastAsia="zh-CN" w:bidi="ar"/>
              </w:rPr>
              <w:t>8核，存储容量</w:t>
            </w:r>
            <w:r>
              <w:rPr>
                <w:rFonts w:hint="default" w:ascii="Arial" w:hAnsi="Arial" w:eastAsia="仿宋" w:cs="Arial"/>
                <w:i w:val="0"/>
                <w:color w:val="auto"/>
                <w:kern w:val="0"/>
                <w:sz w:val="20"/>
                <w:szCs w:val="20"/>
                <w:highlight w:val="none"/>
                <w:u w:val="none"/>
                <w:lang w:val="en-US" w:eastAsia="zh-CN" w:bidi="ar"/>
              </w:rPr>
              <w:t>≥</w:t>
            </w:r>
            <w:r>
              <w:rPr>
                <w:rFonts w:hint="eastAsia" w:ascii="Arial" w:hAnsi="Arial" w:eastAsia="仿宋" w:cs="Arial"/>
                <w:i w:val="0"/>
                <w:color w:val="auto"/>
                <w:kern w:val="0"/>
                <w:sz w:val="20"/>
                <w:szCs w:val="20"/>
                <w:highlight w:val="none"/>
                <w:u w:val="none"/>
                <w:lang w:val="en-US" w:eastAsia="zh-CN" w:bidi="ar"/>
              </w:rPr>
              <w:t>64G，支持WIFI，含防摔全包保护壳</w:t>
            </w:r>
          </w:p>
          <w:p>
            <w:pPr>
              <w:keepNext w:val="0"/>
              <w:keepLines w:val="0"/>
              <w:widowControl/>
              <w:suppressLineNumbers w:val="0"/>
              <w:jc w:val="left"/>
              <w:textAlignment w:val="center"/>
              <w:rPr>
                <w:rFonts w:hint="default" w:ascii="仿宋" w:hAnsi="仿宋" w:eastAsia="仿宋" w:cs="仿宋"/>
                <w:i w:val="0"/>
                <w:color w:val="auto"/>
                <w:sz w:val="20"/>
                <w:szCs w:val="20"/>
                <w:highlight w:val="none"/>
                <w:u w:val="none"/>
                <w:lang w:val="en-US" w:eastAsia="zh-CN"/>
              </w:rPr>
            </w:pPr>
            <w:r>
              <w:rPr>
                <w:rFonts w:hint="eastAsia" w:ascii="仿宋" w:hAnsi="仿宋" w:eastAsia="仿宋" w:cs="仿宋"/>
                <w:color w:val="auto"/>
                <w:kern w:val="0"/>
                <w:sz w:val="20"/>
                <w:szCs w:val="20"/>
                <w:highlight w:val="none"/>
                <w:u w:val="none"/>
                <w:lang w:val="en-US" w:eastAsia="zh-CN" w:bidi="ar"/>
              </w:rPr>
              <w:t>▲提供节能产品认证证书。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20</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红外发射棒</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工业标准3.5MM微型插头</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8路强电继电器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内设8个大电流继电器。在阻性负载下，单路最大电流16A@240V AC；整机最大允许电流为30A@240V AC ； 每个单路继电器均带一个常开触点；内置8个强制应急拨码开关；机架或壁挂安装方式；自带零、地接线排，易于安装与连接；支持RS-232/485通讯，可方便地与第三方控制器兼容；</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24口1000Mbps数据交换机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 交换容量≥336Gbps，转发性能≥51Mpps，支持≥24个千兆电口和≥4个的千兆光口，支持路由协议如RIP、OSPFv3、RIPng等；本次实际配置接入交换机间虚拟化功能。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 支持OpenFlow1.3和NETCONF SDN协议</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8路时序电源控制器</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最大输入电流 60A；单路最大输出电流 30A；工作电压 220V/50-60Hz；每一路功率峰值可达3000W ，建议可带3~4台1000W~1500W功放，后置RS232中控接口，RS232通信接口：DB9FM</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高清混合矩阵机箱</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模块化结构设计，方便系统升级或快速维护；</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支持最大5块4路信号输入卡共计20路输入信号，包括CV、YUV、S-Video、VGA、HDMI&amp;DVI、SDI、CATX、FIBER各种格式；</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支持最大5块4路信号输出卡共计20路输出信号，包括CV、YUV、S-Video、VGA、HDMI&amp;DVI、SDI、CATX、FIBER各种格式；</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支持RS-232、网络、按键面板控制；</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分离式按键面板，支持桌面、嵌墙和机柜安装，支持多台矩阵切换器共享一个面板，或多台面板交叉管理一台矩阵切换器；</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支持IOS或Android触摸平板、智能手机遥控控制，支持视频预览；</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输入卡带自动均衡处理，支持HDMI&amp;DVI36m长线接入；</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输出卡带预加重功能，支持25m~30m长线输出；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Autoscaler技术，自动输出每个相连显示器的完美图像解析度视频；</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支持音频同步传输，支持音频加、解嵌；</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支持CV、YUV及HDMI的独立的亮度、对比度，饱和度、锐度、色调调节，VGA的独立的亮度、对比度、色温及相位调节；</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支持风扇速度调节，支持风扇故障报警机制、报警等级设置；</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支持信号卡状态查询和反馈；</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Doubletrack技术，支持音、视频及控制信号双向透明传输；</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兼容HDMI1.4，HDCP1.2，DVI1.0 协议的数字视频信号输入；</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高效的散热管理功能，让气流自下而上从每一个板卡流过，实现最佳的冷却和避免因为高温工作环境带来的系统稳定性降低；</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高清输入板</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4路，支持分辨率高达1920x1200的DVI&amp;HDMI视频，包括HDTV 1080p/60  36bits深色；符合HDCP标准；自动地管理已连接设备之间的EDID通信；本地模拟立体声音频输入（用作HDMI连接时，支持HDMI线路音频输入）；自动电缆均衡；</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高清输出板</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4路，支持分辨率高达1920x1200的DVI&amp;HDMI视频，包括HDTV 1080p/60 36bits色深；符合HDCP标准；自动地管理已连接设备之间的EDID通信；本地模拟立体声音频输出（用作HDMI连接时，支持HDMI线路音频输出）；</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Autoscale技术，自适应分辨率输出；具有预加重功能，支持将信号安全地传输至最远30m距离；支持全格式无缝输出；</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27</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高清SDI输入板</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4路，支持分辨率高达1920x1200的3G-SDI，HD-SDI和SD-SDI视频输入；</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完全兼容HDTV；</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带宽高达19Mbps至2.97Gbps；</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具有环出功能，方便本地监控；</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Autoscale技术，自适应分辨率输出；</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28</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高清会议摄像机(1080P)</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1/2.8-type Exmor CMOS,HD——1080p/29.97,1080p/25,20倍光学变焦,12倍数字变焦，f=4.3mm---129.0mm 256个预设位置,视频输出:HD-SDI,控制接口:RS-232(8针小型DIN) RS-422控制(VISCA),含配套交流电适配器,交流电缆,红外线遥控器,倒装板</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29</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全高清远程视频会议终端</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本次所建系统要确保能与省监狱管理局高清视频会议系统做对接，可以接受省监狱管理局MCU的管控，其中包含呼叫、管理、统一升级等，能够被省监狱管理局会管系统做统计管理,包含高清主机、高清数字麦克风、遥控器及辅助线缆,终端采用分体式结构，嵌入式操作系统。符合国际电联 ITU-T H.323和IETF SIP，支持同时启用H.323、SIP两种协议，网络速率不小于4M。支持G.711、G.722、G.722.1、G.722.1C、G.729A、G.719等音频标准，高清音频须达到20Khz以上。支持H.261、H.263、H.263+、H.264、H.264 High Profile编码方式，至少具备CIF,4CIF,720P,1080P视频处理能力,在512K带宽下可实现720p@25fps高清效果, 在1M带宽下可实现1080p@25fps高清效果,提供至少2个高清输入接口和至少2个高清输出接口，并至少支持1路标清输入接口。高清视频输入、输出端口可以满足DVI数字高清信号或者YPbPr高清信号。至少提供2个百兆网络接口。支持扩展4点内置MCU。符合标准的ITU-T H.239、IETF BFCP协议。在保证主流1080P@25图像下，辅流支持VGA、XGA、WXGA、720P、1080P分辨率。支持网络方式发送双流内容，同时具备多媒体电子白板交互能力，通过即插即用电子批注设备可在电视机、投影硬幕、墙面等各类显示平面，对双流内容进行批注、修改、注释和保存，远端会场也可以同步显示和交互操作，加强会议的效率和效果。要求所有管理、操作界面均全部采用中文，包括：中文WEB操作界面、中文遥控器，2种方式可同时管理。高清数字麦克风具有360度全向拾音，拾音半径须不小于5米，同时麦克风须具备抑制手机、收音机等电磁干扰，无杂音，并可支持多个麦克风级联，扩大拾音范围。</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30</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视频会议多点控制单元</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用于召开全监的视频会议，与现有视频会议系统相兼容，≥24点HD1080P终端接入；支持G.719/Siren22 宽带立体3声音频；支持L P R 超强网络纠错机制；支持中文滚动字幕。混网多点会议：不同格式、不同协议、不同速率、不同双流格式混合组网，容量不变；丢包恢复能力（LPR） ：“有损”IP网络下，实现稳定的视频通话质量；高清组播功能：高清格式组播，使得会议进行方式更加灵活；SIP接入：VoIP电话可以作为客户端随时加入会议，成为会议的备份或扩展；远程管理系统：集中控制平台，实现远程管理。双电源冗余设计，稳定性高；双网口冗余设计，可靠性强；</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无线U段手持(用于视频会议)</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无线系统可为各种应用提供清晰的24位数字音频和可靠的射频性能。每个44 MHz频段可运行多达32个兼容系统。随附单通道接收机和手持式发射机，并配有天线和机架安装配件以及2节AA电池。</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高清会议摄像机三角架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最低工作高度860mm，最高工作高度1890mm</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无纸化会议桌</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1：表面材：表面贴0.6mm厚优质胡桃木皮，整体采用优质品牌水性漆涂装，五底三面封闭油漆工艺，甲醛释放量≤0.05mg/m3，木皮纹理颜色一致，无结疤，无瑕疵, 颜色可根据需求做选择；</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2：内芯材：采用优质品牌中密度纤维板，符合GB/T 11718-2009中密度纤维板，游离甲醛释放量≤0.03 mg/m³</w:t>
            </w:r>
          </w:p>
        </w:tc>
        <w:tc>
          <w:tcPr>
            <w:tcW w:w="930"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highlight w:val="none"/>
                <w:u w:val="none"/>
              </w:rPr>
            </w:pPr>
            <w:r>
              <w:rPr>
                <w:rFonts w:hint="eastAsia" w:ascii="仿宋" w:hAnsi="仿宋" w:eastAsia="仿宋" w:cs="仿宋"/>
                <w:i w:val="0"/>
                <w:color w:val="auto"/>
                <w:kern w:val="0"/>
                <w:sz w:val="18"/>
                <w:szCs w:val="18"/>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无纸化会议椅</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1：椅面：优质黑色头层牛皮</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2：曲木板：采用多层薄木皮纵横交错热压成型，厚度13mm</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3：泡棉：椅座采用高密度一体成型泡棉，不变形，达到国际防火标准，舒适度好</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19”42U网络机柜</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约600*600*2000mm 42U，全透明钢化玻璃前门，后钢板门</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会议终端</w:t>
            </w:r>
          </w:p>
        </w:tc>
        <w:tc>
          <w:tcPr>
            <w:tcW w:w="4920" w:type="dxa"/>
            <w:tcBorders>
              <w:tl2br w:val="nil"/>
              <w:tr2bl w:val="nil"/>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0"/>
                <w:szCs w:val="20"/>
                <w:highlight w:val="none"/>
                <w:u w:val="none"/>
                <w:lang w:val="en-US" w:eastAsia="zh-CN" w:bidi="ar"/>
              </w:rPr>
            </w:pPr>
            <w:r>
              <w:rPr>
                <w:rFonts w:hint="eastAsia" w:ascii="仿宋" w:hAnsi="仿宋" w:eastAsia="仿宋" w:cs="仿宋"/>
                <w:color w:val="auto"/>
                <w:kern w:val="0"/>
                <w:sz w:val="20"/>
                <w:szCs w:val="20"/>
                <w:highlight w:val="none"/>
                <w:u w:val="none"/>
                <w:lang w:val="en-US" w:eastAsia="zh-CN" w:bidi="ar"/>
              </w:rPr>
              <w:t>会议终端，98寸,4K超高清屏，HDR，杜比+DTS双解码，支持无线投屏，内置智能人工语音，4核CPU，4G+64G存储，含移动支架和安装挂架</w:t>
            </w:r>
          </w:p>
          <w:p>
            <w:pPr>
              <w:widowControl/>
              <w:jc w:val="left"/>
              <w:textAlignment w:val="center"/>
              <w:rPr>
                <w:rFonts w:hint="eastAsia"/>
                <w:color w:val="auto"/>
                <w:highlight w:val="none"/>
              </w:rPr>
            </w:pPr>
            <w:r>
              <w:rPr>
                <w:rFonts w:hint="eastAsia" w:ascii="仿宋" w:hAnsi="仿宋" w:eastAsia="仿宋" w:cs="仿宋"/>
                <w:color w:val="auto"/>
                <w:kern w:val="0"/>
                <w:sz w:val="20"/>
                <w:szCs w:val="20"/>
                <w:highlight w:val="none"/>
                <w:u w:val="none"/>
                <w:lang w:val="en-US" w:eastAsia="zh-CN" w:bidi="ar"/>
              </w:rPr>
              <w:t>▲提供节能产品认证证书。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37</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安装辅材</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音箱安装支架、接插件、各接头、各类音视频线等，HDMI成品线、DP成品线等，长度根据现场定。其中音箱线为甲供，投标方需负责敷设线路</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（三）AR实景指挥作战及云存储系统</w:t>
            </w:r>
          </w:p>
        </w:tc>
        <w:tc>
          <w:tcPr>
            <w:tcW w:w="930" w:type="dxa"/>
            <w:tcBorders>
              <w:tl2br w:val="nil"/>
              <w:tr2bl w:val="nil"/>
            </w:tcBorders>
            <w:shd w:val="clear" w:color="auto" w:fill="FFFFFF"/>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c>
          <w:tcPr>
            <w:tcW w:w="1260" w:type="dxa"/>
            <w:tcBorders>
              <w:tl2br w:val="nil"/>
              <w:tr2bl w:val="nil"/>
            </w:tcBorders>
            <w:shd w:val="clear" w:color="auto" w:fill="FFFFFF"/>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人脸处理设备及视频结构化大数据平台</w:t>
            </w:r>
          </w:p>
        </w:tc>
        <w:tc>
          <w:tcPr>
            <w:tcW w:w="4920"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产品性能：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※大数据写入情况下，人脸图片建模速度不低于400张/S，人脸图片建模成功率不低于99% (公安部检测报告证明)；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单场景同时检出不少于45个人脸，支持检出两眼瞳距15像素点以上的人脸图片，在标准环境下，人脸无明显遮挡的情况下，白天和夜晚单人图片的人脸检出率均不低于99%，单人图片的人脸检出响应时间不超过1秒，一个人脸检测结果，系统存储的人像特征数据大小不大于1k字节(公安部检测报告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支持识别48×48~1600万像素人脸图片，支持识别不低于8MB人脸图片，支持比对两眼瞳距不小于15像素点人脸图片，支持比对水平转动不超过±60°，俯仰角不超过±45°角度的人脸图片(公安部检测报告证明)；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人脸视频处理能力：80路；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支持1600W像素人脸图片导入识别；</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支持识别和分析瞳距大于等于40像素的人脸图片；</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支持100万库容的黑名单库；</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黑名单库数量应支持设置16个；</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1V1比对性能160对每秒；</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支持不少于6000万人脸图片存储；</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支持3000W静态库、5亿抓拍库；</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支持集群部署；</w:t>
            </w:r>
          </w:p>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color w:val="auto"/>
                <w:kern w:val="0"/>
                <w:sz w:val="20"/>
                <w:szCs w:val="20"/>
                <w:highlight w:val="none"/>
                <w:u w:val="none"/>
                <w:lang w:bidi="ar"/>
              </w:rPr>
              <w:t>系统接收到本项目中的智能语音交互系统推送的命令后，定制开发指定的语音交互模块，完成客户需要的调度功能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产品应用：</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支持性别、年龄段、是否戴眼镜识别；</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支持1V1比对功能；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支持在界面展示算法仓库的算法列表，包括算法名称、分析源类型、分析目标、算法厂商、芯片平台、算法版本和详情信息(公安部检测报告证明)；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支持在界面上添加名称为人车分析，人脸图片分析、人脸视频分析和卡口车辆图片分析的算法，并支持通过分析源类型或分析目标进行算法查询(公安部检测报告证明)；</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视频结构化大数据平台对海量视频数据中（行人、人骑车、车、人脸）经过结构化引擎处理,基于云存储技术构建大数据平台，基于数据挖掘技术构建应用平台，实现视频图片的智能检索、数据应用等。</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实现视频图片的智能检索、视频图片的人脸比对、视频图片的以图搜图等功能</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硬件规格：</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4U机架式设备，采用模块化、可插拔设计，具有1+1冗余电源；</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12个千兆网口、3个VGA接口、8个USB3.0接口和4个USB2.0接口；</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集成专业级GPU芯片；</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3颗高性能Intel E5-2600系列 CPU，288G内存，5个480GB SSD硬盘， 5个8TB企业级硬盘， 2个4TB企业级硬盘</w:t>
            </w:r>
          </w:p>
        </w:tc>
        <w:tc>
          <w:tcPr>
            <w:tcW w:w="93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云存储元数据服务系统</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1、支持分布式对称架构与非对称架构自由切换，对称架构可升级为非对称架构。</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2、管理节点支持集群工作模式，由3台管理节点集群在线扩充，系统业务均不受影响（公安部型式检验报告）。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3、支持前端设备和存储设备之间直接存储，采用块级存储，不生成文件（即不使用文件系统），无碎片。（公安部型式检验报告）。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4、支持不同类型数据分层存储到云存储系统的不同介质中：支持热数据以高速SSD为介质进行存储，温数据以SATA/SAS为介质进行存储，冷数据以磁带为介质进行存储（公安部型式检验报告）。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5、统一命名空间，将所有物理存储资源虚拟化成统一的存储空间，以唯一业务IP地址对外提供存储服务。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※6、支持存储空间虚拟化管理。支持多存储设备容量整合，形成录像池；可根据用户业务分配通用、文件、视频、图片等类型存储空间；支持在线弹性伸缩录像池的容量空间，不影响业务继续读写；</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支持云内所有节点根据设备可用容量、设备负载情况、设备内RAID组间、设备接入任务数以及设备读写性能等自动负载均衡，系统定期自动进行均衡负载，自动进行系统资源分配；具有存储节点和硬盘级的双层负载均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8、支持视频直存技术，具有GB/T28181、ONVIF、Ehome、RTSPSTD、PSIA等标准协议的配置功能对多种协议：TCP\UDP\HTTP\SIP\SNMP\FTP\iSCSI\REST进行支持；</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10、存储空间利用率可以达到90%以上（公安部型式检验报告）音频流能直接在云系统上进行存储，无需配置存储转发服务器。</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11、支持对具有智能分析功能的摄像机的附属流进行存储，同时按照附属信息进行智能检索。</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12、支持录像任务自动检测功能，对录像任务的执行计划与执行结果进行自动比对，筛选出缺失录像，自动连接具有本地存储功能的前端设备将缺失录像下载到云存储中（公安部型式检验报告）；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13、支持云存储回放的负载均衡，可根据设备的压力（CPU\内存\系统压力等），负载均衡由不同存储节点提供视频回放能力（公安部型式检验报告）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14、支持通过对指定时间段内指定录像类型（包含定时录像、事件录像、手动录像、移动侦测等多种录像类型）进行锁定，锁定时间自定义，在锁定时间内，视频不会被覆盖删除。（公安部型式检验报告）；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15、支持4+1、8+2、12+3等多种纠删码容错方式向上升级容错方式；</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16、支持将指定的设备创建为指定的存储空间（公安部型式检验报告）；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17、云存储系统支持分域管理，当单个域中设备接入到同一个交换机时，可实现数据流域间控制，保障域内业务不受其他域影响（公安部型式检验报告）；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18、支持双层负载均衡，支持存储节点级和硬盘级均按照负载和容量进行均衡；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19、支持同一个资源池中创建不同的存储级别，可根据业务类别不同分别创建视频池、图片池、通用池、文件池；</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20、支持在元数据服务器(管理服务器)宕机，用户业务视频存储、查询、提取业务不受影响，保障系统的稳定运行；</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21、支持系统内多存储节点故障后，只要系统内的正常存储节点不少于1台，仍可进行正常的录像写入，仍具备磁盘间容错能力；</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22、支持新硬盘插入后自动识别并格式化，即插即用。（公安部型式检验报告）；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23、支持根据业务需要配置重构速度，支持低速、中速、高速和全速四种重构速度配置。（公安部型式检验报告）；</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24、提供云存储独立的软件著作权登记证书。</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云存储节点（含6T硬盘）</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单设备应配置≥64位多核处理器，≥4GB内存，需配置冗余金牌电源，支持双系统；</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单设备应标配≥2个千兆网口；</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可接入2T/3T/4T/6T/8T/10TSATA磁盘，支持磁盘交错启动和漫游，并支持在线热插拔；</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可接入硬盘≥48块（本次满配48块6T企业级硬盘），支持SATA和SAS混插，并支持≥12级扩展柜级联扩展；</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云存储系统支持由管理节点和存储节点两部分组成，支持控制流与数据流分离，数据的存储或读取由存储节点并行读写。（以公安部检测报告为准）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支持管理License 授权控制，可限制云存储系统的授权时间、最大接入计划数量、存储节点数量、存储容量、资源池数量等；</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一套云存储系统可对外提供多种类型数据混合存储，同时支持分布式流式存储，分布式对象存储、分布式文件存储、分布式块存储。（以公安部检测报告为准）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统一命名空间，将所有物理存储资源虚拟化成统一的存储空间，以唯一业务IP地址对外提供存储服务。</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支持存储空间虚拟化管理。支持多存储设备容量整合，形成录像池；可根据用户业务分配通用、文件、视频、图片等类型存储空间；支持在线弹性伸缩录像池的容量空间，不影响业务继续读写</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数据分散存储到存储节点上，数据呈离散式分布。（以公安部检测报告为准）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云存储系统内各存储节点上存储的数据量在稳定状态下保持均衡，差距在5%以内；（以公安部检测报告为准）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支持按照接入任务数实现自动负载均衡，支持前端设备自动分配到存储节点。各节点间读写任务数差距小于等于1。（以公安部检测报告为准）；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支持视频直存技术，兼容标准码流写入云存储设备，能够直接接入支持GB/T28181-2011、GB/T28181-2016、ONVIF、Ehome、RTSP、PSIA 标准的前端设备。（以公安部检测报告为准）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支持按毫秒级自定义时间段进行视频精准检索、回放、下载，回放支持豪秒级定位回放、关键帧回放、回放暂停、倍速快放、慢放等。（以公安部检测报告为准）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云存储支持补录（包括历史流计划补录、手动补录、云间历史流回传等）流控，支持针对不同的通道设置不同的流控速度（以公安部检测报告为准）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支持时区设置，支持客户端与云存储设备在不同的时区，录像时间段不受异地时区影响。（以公安部检测报告为准）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支持云存储状态信息大屏投屏显示功能，支持投屏内容自定义功能。（以公安部检测报告为准）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支持对云系统运行过程中的异常情况、告警情况、容量使用情况、压力进行统计分析。（以公安部检测报告为准）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支持系统日志、报警统计、设备日志、操作日志、网管日志管理。支持按用户、时间等条件对日志信息进行搜索。日志及报警统计信息可按照.xls格式输出。（以公安部检测报告为准）</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完全自主产品，采用 Linux（CentOS、RedHat、Ubuntu、SUSE）等主流操作系统,不接受OEM或联合品牌产品。（以公安部检测报告为准）</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视频拼接服务系统</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用于周界视频拼接，对周界内隔离网≥29路网络高清摄像机视频进行拼接，形成回字形视频画面，和实际监墙物理位置相符，值班员通过视频画面看到目标时就能直接知道位置，平台软件含数据库、用户界面、多用户访问、权限管理、系统配置、设施信息管理、门禁接入、多数据源联动、历史视频回放、流媒体编解码、流媒体转发、人员识别、人员对比分析等</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AR超高分处理设备</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采用intel多核处理器，支持超线程技术；64位内存扩展技术，64位计算能力可扩展系统应用范围、提高计算性能，同时保持对32位计算的兼容性；使用DDR3内存，增强的内存RAS技术，支持DDR3 1600/1333 MHz Unbuffered内存，提供更高的内存带宽和更低的内存存取延时；大幅度提高了系统的可靠性和可用性，完全杜绝了内存故障引起的系统宕机；配备一个 PCI Express 3.0 x16 插槽，经特别设计，可配合显卡和其他附加组件的电源需求。同时还配置了3个PCI插槽以满足对传统PCI设备的支持</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AR实景指挥作战平台</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利用增强现实、3D定位、人工智能（模式识别、事件检测、车辆跟踪等）等技术，通过AR高点全景摄像机获取监控点全景视频，与视场内低点摄像机联动，可以轻而易举地实现既关注整体又兼顾局部的大范围立体监控与视频联动，能够以画中画展示低点摄像机视频，做到可查询、可搜索、可定位、可描述、可报警、可联动，大大改善监控系统的应用模式，提高实战效率。</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支持在平台中添加视频标签、人脸标签、卡口标签、客流量标签、人体标签等，实时叠在视频上，并跟着视频转动；</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平台支持预览高空相机，视频流畅无卡顿；</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支持高空云台进行3D定位的功能，支持大鹰眼设备3D定位功能，并联动球机跟踪放大；</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支持大鹰眼场景下，对特写图像和全景图像进行切换操作；</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视频轮巡预案配置，预案执行；</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支持场景的视频进行回放；</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平台支持在电子地图上展示场景位置；</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AR鹰眼全景视频画面中可以调用指哪打哪功能，在全景画面不变的情况下，快速放大细节和跟踪目标；</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本系统需提供完全开放的SDK开发包，必须跟监狱各业务系统对接（本次含监控系统、紧急报警系统、电子巡查系统、门禁管理系统、监舍智能管理系统、人员定位管控及点名系统、围墙高压电网系统、广播系统、监外押解等监狱相关系统），实现各系统在本平台上的统一展现及联动，并与指挥通讯调度、应急指挥、三维地理信息等系统进行对接，可根据甲方要求定制。</w:t>
            </w:r>
          </w:p>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color w:val="auto"/>
                <w:kern w:val="0"/>
                <w:sz w:val="20"/>
                <w:szCs w:val="20"/>
                <w:highlight w:val="none"/>
                <w:u w:val="none"/>
                <w:lang w:bidi="ar"/>
              </w:rPr>
              <w:t>系统接收到本项目中的智能语音交互系统推送的命令后，定制开发指定的语音交互模块，完成客户需要的调度功能</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3.2</w:t>
            </w: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监狱综合指挥应用管理平台</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（一）指挥通讯调度系统</w:t>
            </w:r>
          </w:p>
        </w:tc>
        <w:tc>
          <w:tcPr>
            <w:tcW w:w="930" w:type="dxa"/>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应急指挥调度业务设备</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基于云架构，集成应急指挥标准软件功能模块，实现语音、视频、GIS进行高度融合，基于GIS一张图提供统一的应急指挥救援、音视频资源的统一化呈现与管理，实现对应急事件发展态势的跟踪，极大提升应急指挥中心对应急事件的处置效率。服务器配置要求：Intel Xeon 4114 2.2G 9.6UPI 13.75M 10C 85W*2;32GB DDR4 2666 REG内存*2 ;2T 3.5吋 6GbSATA热插拔硬盘*2;4个千兆网口</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融合通信云业务软件</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基础一张图：基于一张图展示，包括摄像头、移动APP、单兵、无人机、车载图层筛选展示，地图基本操作功能；监测预警：支持以国标（GB/T 28181）、ONVIF等标准协议接入IPC、DVR/NVR等监控视频资源。实现所有视频资源的统一管理与视频点播。事件接报、任务管理、协同会商、通信调度、轨迹回放、事件回溯等</w:t>
            </w:r>
          </w:p>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color w:val="auto"/>
                <w:kern w:val="0"/>
                <w:sz w:val="20"/>
                <w:szCs w:val="20"/>
                <w:highlight w:val="none"/>
                <w:u w:val="none"/>
                <w:lang w:bidi="ar"/>
              </w:rPr>
              <w:t>系统接收到本项目中的智能语音交互系统推送的命令后，定制开发指定的语音交互模块，完成客户需要的调度功能</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应急指挥视频基础平台</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支持3万路设备管理，功能包含：设备接入：数据类型包括视频，单兵，车载设备等，接入类型支持不同厂家，不同协议设备接入（需配置设备接入网关）；数据存储：支持包括录像、图片和结构化数据存储；媒体转发：支持直播，回放，录像下载等；管理功能：支持设备通道，组织，人员，部门，角色管理，报警管理等；业务应用：支持云台控制，上墙，视频汇聚，视频分享，地图等；运维管理：支持物理设备运维管理，服务运维管理，业务运维管理；</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调度客户端授权</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提供CS客户端应用软件使用许可，每个许可证支持一个用户。</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个</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融合通信一体机</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支持1路GSM短信收发；支持IP语音电话接入；支持数字中继（2E1）、模拟用户（8FXS）、模拟中继（16FXO）接入；可扩展业务性能：支持最大6路数字中继接入；支持最大80门程控模拟电话接入；支持最大64模拟中继接入；支持最大6路集群接口、6路模拟音频接口，含配套语音配线架</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集群音频接入网关</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支持有线、无线混合的多级别话权抢占；通过其他转换网关，无线集群可与GSM/CDMA等移动网络互通；具备模拟集群接口、TETRA或GOTA等数字集群接口、短波集群接口以及其他无线集群接口。</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可视调度台</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安卓操作系统；双手柄设计，数字调度话机2部，支持可视化调度；屏幕采用十点触控触摸电容屏设计，屏幕尺寸：22寸，屏幕分辨率 1920 x 1080；支持WIFI、RJ45接口、USB接口，HDMI显示输出，3.5mm音频接口；支持语音调度（强插、强拆、监听、一键会议、集呼）、可视调度、音视频会商、录音查询与回放等专用调度指挥功能；</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IP电话</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2.4寸彩色屏幕，32个按键，2条SIP线路，高清语音，支持桌面立式和壁挂式安装，手柄(HS)/ 免提(HF)/支持双网口手拉手配置</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可视电话</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7英寸（1024×600）高清电容触摸屏；两个自适应10/100/1000Mbps的网络接口；支持7路音频会议；内置双频WiFi(2.4G&amp;5G)；标准HDMI输出接口；内置PoE/PoE+</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视频会议接入网关</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支持ITU-T H.323和IETF SIP通信标准，嵌入式架构，一体化集成；支持全编全解工作模式，支持不同速率、不同分辨率的终端加入同一会议；单台最大支持40路1080P30fps高清终端的并发接入容量，至少支持40组会议同时召开；</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支持双流业务，能够实现图像、声音、PC画面同步传送，具备双流权限管理功能，在保证主视频1080P60fps前提下，辅视频可以支持1080P60fps</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视频监控设备接入网关</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支持WEB管理，支持标准协议GB28181/ONVIF/PSIA/RTSP/HTTP接入</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支持第三方SDK私有协议接入，具备快速接入能力</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支持最大500个设备接入，最大2000路通道接入，600M码流以上转发，400条并发报警处理时延不大于1.5S</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网络视频存储设备</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高性能多核处理器，保障了海量数据处理的稳定性；</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采用模块化、抽拉式、无线缆设计，保障了系统易维护性；</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支持SBB2.0国际标准架构，方便产品维护和升级；</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4U精细化机箱，支持24块硬盘；含2块4T硬盘（3.5寸，企业级，7200转 128M）</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台</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局端平台对接</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※整体系统无缝对接省局指挥中心调度系统</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项</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（二）应急指挥系统</w:t>
            </w:r>
          </w:p>
        </w:tc>
        <w:tc>
          <w:tcPr>
            <w:tcW w:w="930" w:type="dxa"/>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（1）应急指挥系统（省局统一部署）</w:t>
            </w:r>
          </w:p>
        </w:tc>
        <w:tc>
          <w:tcPr>
            <w:tcW w:w="930" w:type="dxa"/>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vMerge w:val="restart"/>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资源管理</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汇冠、网威两个基础库深度集成形成罪犯信息库</w:t>
            </w:r>
          </w:p>
        </w:tc>
        <w:tc>
          <w:tcPr>
            <w:tcW w:w="930"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vMerge w:val="continue"/>
            <w:tcBorders>
              <w:tl2br w:val="nil"/>
              <w:tr2bl w:val="nil"/>
            </w:tcBorders>
            <w:noWrap/>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电子政务、**人事、门禁深度集成形成基础的民警信息库</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vMerge w:val="continue"/>
            <w:tcBorders>
              <w:tl2br w:val="nil"/>
              <w:tr2bl w:val="nil"/>
            </w:tcBorders>
            <w:noWrap/>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电子政务、汇冠、网威及其他业务系统形成机构信息库</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vMerge w:val="continue"/>
            <w:tcBorders>
              <w:tl2br w:val="nil"/>
              <w:tr2bl w:val="nil"/>
            </w:tcBorders>
            <w:noWrap/>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汇冠、网威、狱情分析及本系统采集的监管信息等形成监管执法库</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vMerge w:val="continue"/>
            <w:tcBorders>
              <w:tl2br w:val="nil"/>
              <w:tr2bl w:val="nil"/>
            </w:tcBorders>
            <w:noWrap/>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安防资产信息、物防信息、运维信息形成资产信息库</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vMerge w:val="continue"/>
            <w:tcBorders>
              <w:tl2br w:val="nil"/>
              <w:tr2bl w:val="nil"/>
            </w:tcBorders>
            <w:noWrap/>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集成监狱已部署的统一身份认证及授权系统实现业务目标</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30" w:type="dxa"/>
            <w:vMerge w:val="continue"/>
            <w:tcBorders>
              <w:tl2br w:val="nil"/>
              <w:tr2bl w:val="nil"/>
            </w:tcBorders>
            <w:noWrap/>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采用标准WebAPI接口实现各子系统之间的通讯及数据共享</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w:t>
            </w:r>
          </w:p>
        </w:tc>
        <w:tc>
          <w:tcPr>
            <w:tcW w:w="630"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大数据平台</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包括分布式文件系统HDFS、分布式数据库HBase、统一资源管理和调度框架YARN、分布式批处理引擎MapReduce、数据仓库组件Hive、分布式内存计算框架Spark、全文检索组件Solr等组件，提供稳定的数据分布式存储和分析能力，包括数据的访问、存储、处理和保护功能，集中式统一部署。</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分布式Web化的图形ETL流程设计器，支持主流结构化数据、半结构化数据和非结构化数据等不同类型数据的接口化、可视化数据抽取、装载和拓展设计应用，集成任务调度、监控和部署等服务。不限并发、不限用户，必须支持MSSQL/MYSQL/ORCALE/达梦/Postgre SQL/Sybase等监狱已有数据库的适配器扩展和管理组件，包含本项目的调研、迁移服务，实现监狱管理数据、罪犯和民警基础数据的采集、转化</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定位前段数据分析，支持对接各种业务数据库、数据仓库和大数据平台，支持以web所见即所得方式实现图形、表格等分析，支持建模增强支持，支持数据挖掘等</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11</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支持分布式部署，可云化或传统部署，支持日志、流式数据处理、在线和离线消息分发，支持不小于4Mb大消息；支持多种消息类型、多种协议（HTTP/MQTT/TCP等）、多语言SDK，具备消息全链路轨迹查询、监控报警机制，满足万级数据推挤、毫秒级投递；支持web控制台，提供OPEN API及命令集管理</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支持分布式集群部署，可云化或传统部署；支持包括字段检索、结果高亮、 字段排序、布尔语法、区间检索、聚合搜索、相关搜索、权重微调、拼音搜索、 搜索建议等等专业搜索引擎具备的功能，持海量数据，高速搜索响应；提供API接口，支持多种程序语言，支持可视化方式的索引字段管理；支持不少于简体、繁体和英文等语言搜索，可以通过采集器为索引库定制数据来源，采集器通过插件的方式扩展（默认支持数据仓库结构化数据、半结构化数据和非结构化数据采集，以及邮件、网络文件系统、FTP等采集）</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可视化数据引擎</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以可视化方式呈现监狱各类数据，定制化的可视化组件快速搭建展示场景，大数据分析，领导驾驶舱，民警统计，罪犯统计,外来人车统计</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14</w:t>
            </w:r>
          </w:p>
        </w:tc>
        <w:tc>
          <w:tcPr>
            <w:tcW w:w="630"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信息管理</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各基层单位每日对各类要情信息进行报备，报备的内容包括押犯概况、押犯变动信息、犯情动态、帮教、违规违纪情况等</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15</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各基层单位可即时对犯情进行报备，数据统一流转到指挥中心进行汇聚呈现</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16</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监狱各监区对各类重点、严管罪犯进行报备，包括罪犯姓名、编号、罪名、刑期、出生日期、身高、释放日期、劳动区域监控、劳动岗位、监舍区监控、铺位、重点监控的原由、责任民警、责任民警联系方式等。默认以列表方式展示重点罪犯监控人员信息，包括监区、状态、上报人、上报时间等；点击某一行时弹出对应的详细信息；支持Excel导入</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17</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各监区使用平台提供的罪犯区域流动的报备入口，填写罪犯所在监区、流动类型（原由）、罪犯姓名、流动起始点、流动终点后提交，指挥中心即可实时掌握罪犯流动情况</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18</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提供独立模块对重大活动信息进行报备</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19</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对其他事项内容进行报备，如车辆装卸等</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20</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各基层单位采用手动方式将人员、工具清点情况报备到监狱指挥中心</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21</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监狱各单位每天定时分别向指挥中心上报各单位出收工情况，以便指挥中心能够实时掌握各单位出收工情况</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22</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以列表方式展示民警信息及通讯方式；点击可以查看民警详细信息，包括民警基本信息、照片、联系方式等</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23</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统计各单位民警分布情况，并通过与门禁系统对接实现数据准确性</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24</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能够方便快捷的输入，更改排班信息，支持监狱原有excel排班表的导入，查询历史排班</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25</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统计一段时间内所有民警未到岗到位的次数，并进行排名</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26</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以列表方式展示各个关押点监区、分监区犯人详细信息，显示在押犯人列表信息，支持查询、导出报表及报表打印功能</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27</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在系统首页展示保外就医罪犯统计表、重控罪犯统计表、高戒备罪犯信息表；在系统内容将此类型罪犯做为单独模块进行数据统计展示；点击后均能查看具体的罪犯信息，同时可以查看相关视频</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28</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采用图形报表方式展示监狱罪犯分布情况</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29</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以列表方式统计会见记录；点击可以查看详细信息；点击某一重点罪犯亲情会见记录时可以查看该罪犯近期的亲情会见记录</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30</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以列表方式统计亲情电话记录；点击可以查看详细信息；点击某一重点罪犯亲情电话记录时可以查看该罪犯近期的亲情电话记录</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31</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根据监区、点名状态、开始时间、结束时间查询点名详情，并能够将点名详情进行导出</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32</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罪犯分布、刑期变动、年龄结构、刑期结构、押犯结构、地域结构等</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33</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零星流动统计、亲情统计、会见统计、罪犯进出统计、假释释放统计</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34</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以列表方式展示外来人员信息；列表内容包括外来人员姓名、单位、电话、证件号码、事由、进监时间、带入民警、出监时间、带出民警、当前状态（监内、出监）；点击后查看详情在列表上方展示当日在监外来人员数量、当日进监的所有外来人员数量</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35</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以列表方式展示外来车辆信息；列表内容包括驾驶员姓名、车牌号、单位、电话、证件号码、事由、进监时间、带入民警、出监时间、带出民警、当前状态（监内、出监）；点击后可以查看详细信息，包括基本信息及车辆车底扫描照片在列表上方展示当日在监外来车辆数量、当日进监的所有外来车辆数量</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36</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以表格或图形报表方式展示外来人员统计信息；可以按照年度、月度、周、天进行统计展示对应的统计图</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37</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以表格或图形报表方式展示外来车辆统计信息；可以按照年度、月度、周、天进行统计展示对应的统计图</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38</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在系统首页展示当日大门进出情况，包括外来人员、外来车辆、罪犯进出、监内民警等；同时提供单独模块展示当日大门进出情况汇总表</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39</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统计各监区单位犯情信息，自动生成日收日解汇总表,支持预览及打印功能</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40</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指挥中心日简报、每日督察通报（主要是监控督察、防暴特警中队记录的内容）</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41</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对各类简报内容进行查询展示</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42</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对各个设施管理单位的设备进行检查登记，当设备设施有异常时进行标识后登记；登记后形成设施检查情况汇总表，点击可以查看具体的信息</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43</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将故障维修信息分派给相关人员进行维修</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44</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对检查出来的异常设施进行维修记录的统计；维修人员将设备维修完成情况在平台中进行标识后提交，同时将维修情况以短信方式推送给报备人员</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45</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设施报修维修完成后，指挥中心在平台中查看设施维修结果，并进行维修复核，确认修复后标识该设备状态恢复使用</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46</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对系统中各类维修信息进行统计，并能够统计长时间未维修完成的报修记录；对各监区各类设施进行分析，包括报修次数、重复报修、同一类型设备多次故障进行态势分析，供后续设备采购进行决策</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47</w:t>
            </w:r>
          </w:p>
        </w:tc>
        <w:tc>
          <w:tcPr>
            <w:tcW w:w="630"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指挥协调</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指挥中心执勤民警通过此模块将值班过程中的电话报警进行登记，登记完成后系统自动指导执勤民警进行报警处置；若配置了通讯调度系统则会自动弹框联动人员信息进行接警登记</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48</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执勤民警根据系统提供的处置流程对警情信息进行处置</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49</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对各类咨询投诉事件独立进行统计展示，登记入口置于接警登记模块</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50</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提供配置入口供自行定义各类报警处置流程</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51</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采用图形报表方式展示监狱报警信息</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52</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提供工作交接模块对日常工作过程中的重要情况进行交接，以便事件及重点狱情能够得到有效的跟踪处置</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53</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指挥中心领导通过任务分配模块对指挥中心的民警工作予以安排；对指挥中心民警工作任务的完成情况进行统计，包括阅知性工作任务、分配的工作任务、交接的工作任务、未完成的工作任务、督查反馈的工作、临时工作任务</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54</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定制功能，将指挥中心、基层民警执勤过程中的各类纸质台帐采用电子表格方式进行记录、统计，为大数据分析做准备</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55</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按照任务树、时间轴显示工作情况</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56</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系统汇聚押犯信息、值班信息、重点罪犯信息，自动推送到LED上</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57</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采用短信方式将对应信息推送到监狱领导、部门领导及基层民警的工作机上</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58</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系统提供各类通知、公告的上传入口供发布，各使用人员可自行查看预览</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59</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采用系统消息的方式将各类消息提醒信息置于界面首页可随时进行查看</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60</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系统提供学习文件上传入口供上传发布，使用人员可自行点击进行预览查看</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61</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提供知识库版本，供监狱上传相关文件及下载、预览等</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62</w:t>
            </w:r>
          </w:p>
        </w:tc>
        <w:tc>
          <w:tcPr>
            <w:tcW w:w="630"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**督察</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对指挥中心、分控中心值班民警发现的各类情况进行登记，填写对应的督察记录单、上传对应的证据信息（包括图片、视频等）</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63</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对发现的各类督察事件进行审核后下发到相关责任单位要求进行整改</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64</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各基层单位对下发的督察记录进行反馈，包括整改落实情况、不整理原因等</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65</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采用图形报表方式展示相关督察记录</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66</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以列表方式展示省局下发的督察记录，以便监狱指挥中心进行落实反馈</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67</w:t>
            </w:r>
          </w:p>
        </w:tc>
        <w:tc>
          <w:tcPr>
            <w:tcW w:w="630"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安全复核</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当零星罪犯需要出监时，监狱大门执勤人员需向指挥中心进行报备，指挥中心检查登记、审批信息是否完整，确认无误后通知大门执勤人员放行（刑满释放、假释、外出就诊等），当需要时联动监控视频查看现场情况</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68</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对外来车辆进出监管大门时，监狱大门执勤人员向指挥中心报备，指挥中心检查登记、审批记录确认无误后通知放行，同时联动大门监控视频查看现场情况</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69</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对外来人员进出监管大门时，监狱大门执勤人员向指挥中心报备，指挥中心检查登记、审批记录确认无误后通知放行，同时联动大门人行通道监控视频查看现场情况</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70</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对需要进入隔离网墙的人员进行登记、审批信息复核</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71</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对监狱因特殊情况需临时对电网进行关闭的场景，要求必须向指挥中心报备，并进行复核</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72</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因特殊情况需进行电焊作业的场景，要求必须向指挥中心报备，并进行复核</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73</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对非正常时段需要进出监管大门的情况，要求必须向指挥中心报备，并进行复核</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74</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携带危险物品或进监施工的车辆进入监狱大门时，要求必须向指挥中心报备，并进行复核</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75</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针对其他需要由指挥中心复核的场景进行复核</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76</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对各类审批单进行查询，掌握审批动态</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77</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采用可视化界面对审批流程进行控制，流程、环节、人员均可自行定义</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78</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对涉及到审批的各流程进行跟踪，以便事件能够快速流转</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79</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各类狱政审批表单网页审批、短信审批</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80</w:t>
            </w:r>
          </w:p>
        </w:tc>
        <w:tc>
          <w:tcPr>
            <w:tcW w:w="630"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证据固定</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系统提供证据固定模块供各类事件、警情、隐患处置过程中的各类证据信息进行管理，也支持手动方式上传相关证据信息，包括文本类、多媒体类多种方式</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81</w:t>
            </w:r>
          </w:p>
        </w:tc>
        <w:tc>
          <w:tcPr>
            <w:tcW w:w="630" w:type="dxa"/>
            <w:vMerge w:val="continue"/>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对系统中已有的证据信息检索查询</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应急指挥中心管理服务</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基于.NET Framework体系和Web Service标准。主要功能包括设备管理、资源管理、数据服务管理、数据检索引擎管理、日志管理、系统配置等；提供地图服务引擎，实现监狱三层包围圈、卡点、警力信息等地图要素的设置及显示。系统继承统一身份认证及授权系统，实现用户及权限的统一管理。提供应急指挥调度平台软件计算机软件著作权登记证书。</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监管改造系统集成</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实现应急指挥流程与业务无缝对接。集成监管改造系统实现犯人信息检索及统计,在罪犯信息面板上可以看到罪犯的基本信息（编号、姓名、照片、所属监区、床位号、刑期等）；查看监舍视频的同时可查看该监舍关押罪犯的姓名及对应床位号，点击罪犯姓名可查看罪犯信息面板。</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会见管理系统集成</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集成会见管理系统实现会见记录查询、统计、会见录音查询、回放监听；实现特定犯人的会见记录、会见详情等功能（数据来源为监狱智能安防管理平台的会见组件）</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亲情电话系统集成</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集成亲情电话系统实现亲情电话记录查询、统计、录音查询、回放监听；实现特定犯人的拨打的亲情电话记录、亲情电话详情等功能（数据来源为监狱智能安防管理平台的亲情电话组件）</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**人事系统集成</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集成**人事系统读取监狱机关、监区、分监区的值班信息及民警信息的检索统计，实现民警的排班调班管理</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87</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视频监控集成</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实现应急指挥流程与安防无缝对接。集成智能安防管理平台中视频模块为应急指挥提供实时视频信息及回放视频录像</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88</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报警系统集成</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集成平台中的报警管理模块为应急指挥的警情提供来源，当发生报警时，电子地图跳转至报警点所在位置，并显示报警时的实时视频及报警前一分钟的录像</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89</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其他安防子系统集成</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集成平台中的其他安防子系统（包括门禁子系统、外来人车管理系统、电网系统、对讲系统等）为应急指挥提供基础的信息源，并提供必要的预案步骤的调度支撑</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90</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预案信息登记</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预案信息登记、预案处理步骤登记、预案步骤关联的成员分组信息管理等</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预案修订</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对已登记好的预案进行修改，核对预案级别及等级等</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预案评审信息</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对相关部门编制好的预案需要通过评审以后，才可投入使用，评审需要结果收集材料，核实材料，组织评审等</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预案发布</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应急预案经评审或论证，符合要求的，由监狱主要负责人签发。预案发布主要包含：预案基本信息序号、发布日期、发布版本号、批准人；预案根据评审修改意见修改以后，且记录修订版本，再通过评审以后，该预案即可发布投入使用</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预案培训</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预案培训主要包含：预案基本信息、参加培训的人数、培训情况、培训效果、培训人员基本情况、备注等。当单位制定好新的预案措施以后，为了能快速掌握预案要领，单位都会组织培训预案，进行定期培训演练，在培训演练过程后会记录培训过程及结果，便于提高相关人员对预案措施的熟悉程度及运用</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预案演练</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制定演练计划，包含：预案基本信息、计划名称、演练目的、演练时间、组织单位、预定目标、演练地点、参与演练人员、演练内容等；制定演练事件，包含：事件主题、事件描述、事件类型、事件级别、主要参与人员、参与人数、发生地点、报警设备、报警时间、报警人员、接警人员、接警时间，模拟真实环境，真实人员，真实场景；对预案演练过程及内容进行记录，包含：预案所属单位、预案主题、预案内容、事件类型、事件级别、联动与协同内容、预案执行步骤、预案步骤执行情况等；对演练的预案总结，包含：演练过程描述、演练效果、存在的问题和改进措施；便于在演练结束以后，总结在演练过程中存在的问题，预案编制存在的缺陷，修改预案信息等</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应急机构</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对应急预案步骤中涉及到的应急机构进行管理，如心理小组、防暴小组、医护小组等</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97</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应急装备</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对应急预案步骤中涉及到的应急装备信息进行管理，如灭火器、警棍等设备</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98</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应急资源</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对应急预案步骤中涉及到的应急资产信息进行管理</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99</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应急队伍</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对应急预案步骤中涉及到的各小组内的人员进行管理</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100</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专家信息库集成</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集成专家信息资源库，调取专家信息供决策支持</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应急案例</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对监狱及系统内之前执行完成的处突事件进行集成，也可以把之前的案例按照特定模版进行导入</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省局应急指挥软件对接</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用于省局统一部署应急指挥软件的对接，含相关的实施费、配合费。</w:t>
            </w:r>
            <w:r>
              <w:rPr>
                <w:rFonts w:hint="eastAsia" w:ascii="仿宋" w:hAnsi="仿宋" w:eastAsia="仿宋" w:cs="仿宋"/>
                <w:color w:val="auto"/>
                <w:kern w:val="0"/>
                <w:sz w:val="20"/>
                <w:szCs w:val="20"/>
                <w:highlight w:val="none"/>
                <w:u w:val="none"/>
                <w:lang w:bidi="ar"/>
              </w:rPr>
              <w:t>系统接收到本项目中的智能语音交互系统推送的命令后，定制开发指定的语音交互模块，完成客户需要的调度功能</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（2）接处警系统（省局统一部署）</w:t>
            </w:r>
          </w:p>
        </w:tc>
        <w:tc>
          <w:tcPr>
            <w:tcW w:w="93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接警管理</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集成监狱智能安防管理平台的报警管理模块，把报警信号直接推送到应急指挥调度模块；平台提供电话、对讲机等人工报警的方式进行接警，当指挥中心值班人员接到报警后通过接警入口把警情信息快速录入到平台进行保存，系统自动弹出警情类型对应的前期处置流程，供指挥中心值班民警使用，以便值班民警能够快速的下达对应的指令，快速完成警情的前期处置工作；前期处置完成警情未能处理完成的推动到对应的指挥长，申请启动应急预案进行处置</w:t>
            </w:r>
          </w:p>
        </w:tc>
        <w:tc>
          <w:tcPr>
            <w:tcW w:w="930"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警情通知</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集成统一通信调度系统把警情信息推送给相关人员；该模块为接警后的前期处置及应急处置过程中的信息推送提供保障，将对应的指令传达到对应的人员</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指挥调度</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按照预案步骤对突发事件进行指挥调度，调度过程中提供对内调度、外联调度等多种方式进行调度；指挥调度模块根据启动的预案类型调用对应的预案步骤，通过该模块对突发事件进行处置，对人员进行调度，对处置结果进行反馈，可以对关键节点进行标注，完成后对整个过程进行总结</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信息查询</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对突发事件过程中涉及到的人员（民警、犯人）、物资信息进行汇聚统一展示；实现事件信息展示、该事件前期如何处置的、预案启动的节点、事件调用了那些警力、物资资源、事件涉及那些在押罪犯</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电子地图</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通过电子地图展示监狱三层包围圈、卡点、警力等信息，并通过实现路径管理、逃跑范围分析、动态追踪等功能供应急指挥决策分析</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统计分析</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对应急指挥事件、调度过程、执行情况、涉及的人员物资情况进行统计</w:t>
            </w:r>
          </w:p>
        </w:tc>
        <w:tc>
          <w:tcPr>
            <w:tcW w:w="93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1260" w:type="dxa"/>
            <w:vMerge w:val="continue"/>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省局接处警管理软件对接</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用于省局统一部署接处警管理软件的对接，含相关的实施费、配合费</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c>
          <w:tcPr>
            <w:tcW w:w="5550"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（三）三维地理信息系统</w:t>
            </w:r>
          </w:p>
        </w:tc>
        <w:tc>
          <w:tcPr>
            <w:tcW w:w="930" w:type="dxa"/>
            <w:tcBorders>
              <w:tl2br w:val="nil"/>
              <w:tr2bl w:val="nil"/>
            </w:tcBorders>
            <w:noWrap w:val="0"/>
            <w:tcMar>
              <w:top w:w="15" w:type="dxa"/>
              <w:left w:w="15" w:type="dxa"/>
              <w:right w:w="15" w:type="dxa"/>
            </w:tcMar>
            <w:vAlign w:val="center"/>
          </w:tcPr>
          <w:p>
            <w:pPr>
              <w:jc w:val="left"/>
              <w:rPr>
                <w:rFonts w:hint="eastAsia" w:ascii="仿宋" w:hAnsi="仿宋" w:eastAsia="仿宋" w:cs="仿宋"/>
                <w:i w:val="0"/>
                <w:color w:val="auto"/>
                <w:sz w:val="20"/>
                <w:szCs w:val="20"/>
                <w:highlight w:val="none"/>
                <w:u w:val="none"/>
              </w:rPr>
            </w:pPr>
          </w:p>
        </w:tc>
        <w:tc>
          <w:tcPr>
            <w:tcW w:w="1260" w:type="dxa"/>
            <w:tcBorders>
              <w:tl2br w:val="nil"/>
              <w:tr2bl w:val="nil"/>
            </w:tcBorders>
            <w:noWrap w:val="0"/>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三维引擎</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highlight w:val="none"/>
                <w:u w:val="none"/>
                <w:lang w:val="en-US" w:eastAsia="zh-CN" w:bidi="ar"/>
              </w:rPr>
            </w:pPr>
            <w:r>
              <w:rPr>
                <w:rFonts w:hint="eastAsia" w:ascii="仿宋" w:hAnsi="仿宋" w:eastAsia="仿宋" w:cs="仿宋"/>
                <w:i w:val="0"/>
                <w:color w:val="auto"/>
                <w:kern w:val="0"/>
                <w:sz w:val="20"/>
                <w:szCs w:val="20"/>
                <w:highlight w:val="none"/>
                <w:u w:val="none"/>
                <w:lang w:val="en-US" w:eastAsia="zh-CN" w:bidi="ar"/>
              </w:rPr>
              <w:t>满足三维精细模型、监狱周边地理影像数据联合展示，性能优越，提供详尽的业务、数据接口满足与监狱安防智能管理平台的无缝集成。需提供完全开放的SDK开发包，便于AR实景指挥作战平台的对接。</w:t>
            </w:r>
          </w:p>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color w:val="auto"/>
                <w:kern w:val="0"/>
                <w:sz w:val="20"/>
                <w:szCs w:val="20"/>
                <w:highlight w:val="none"/>
                <w:u w:val="none"/>
                <w:lang w:bidi="ar"/>
              </w:rPr>
              <w:t>系统接收到本项目中的智能语音交互系统推送的命令后，定制开发指定的语音交互模块，完成客户需要的调度功能</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30"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三维建模</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建模素材数据采集：对监狱周边及所内的建筑进行采样；对狱内建设的安防设备进行采样</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30" w:type="dxa"/>
            <w:vMerge w:val="continue"/>
            <w:tcBorders>
              <w:tl2br w:val="nil"/>
              <w:tr2bl w:val="nil"/>
            </w:tcBorders>
            <w:noWrap w:val="0"/>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模型设计：对采集的素材进行设计，完成各类模型的设计工作</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30" w:type="dxa"/>
            <w:vMerge w:val="continue"/>
            <w:tcBorders>
              <w:tl2br w:val="nil"/>
              <w:tr2bl w:val="nil"/>
            </w:tcBorders>
            <w:noWrap w:val="0"/>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场景建模：对监狱周边及所内围墙、大门、地面、绿化、操场等场景进行一比一虚拟仿真建模，精细模型满足整体位置、体量、形态、色调应与监狱真实场景基本一致，建模精细、贴图精致，突显细节，整体协调统一，通过光影效果的环境烘托</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30" w:type="dxa"/>
            <w:vMerge w:val="continue"/>
            <w:tcBorders>
              <w:tl2br w:val="nil"/>
              <w:tr2bl w:val="nil"/>
            </w:tcBorders>
            <w:noWrap w:val="0"/>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建筑建模：对监狱内的各类建筑进行一比一虚拟仿真建模，与监狱真实场景基本一致，建模精细、贴图精致，突显细节，整体协调统一，通过光影效果的环境烘托，模型能够准确、真实、协调、美观、立体展现单位的建筑现状</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30" w:type="dxa"/>
            <w:vMerge w:val="continue"/>
            <w:tcBorders>
              <w:tl2br w:val="nil"/>
              <w:tr2bl w:val="nil"/>
            </w:tcBorders>
            <w:noWrap w:val="0"/>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建筑模型楼层分层：对监狱建筑模型进行楼层分层处理，以便在三维平台分层展示场景，可以直观查看建筑楼层结构以及安防设备分布情况</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30" w:type="dxa"/>
            <w:vMerge w:val="continue"/>
            <w:tcBorders>
              <w:tl2br w:val="nil"/>
              <w:tr2bl w:val="nil"/>
            </w:tcBorders>
            <w:noWrap w:val="0"/>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设备建模：对监狱内已建或新建各类的安防设备进行虚拟建模，以便在引擎中加载并配置各类设备到设备实际安装位置</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w:t>
            </w:r>
          </w:p>
        </w:tc>
        <w:tc>
          <w:tcPr>
            <w:tcW w:w="630"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模型数据转换</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场景模型数据转换：将绘制完成的精细三维场景模型转化为三维引擎可识别的数据格式，并能够通过三维安防组件配置到三维引擎进行显示</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w:t>
            </w:r>
          </w:p>
        </w:tc>
        <w:tc>
          <w:tcPr>
            <w:tcW w:w="630" w:type="dxa"/>
            <w:vMerge w:val="continue"/>
            <w:tcBorders>
              <w:tl2br w:val="nil"/>
              <w:tr2bl w:val="nil"/>
            </w:tcBorders>
            <w:noWrap w:val="0"/>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建筑模型数据转换：将绘制完成的精细三维建筑模型转换为独立的楼层、可识别的数据格式，并能够通过三维安防组件配置到三维引擎进行显示</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w:t>
            </w:r>
          </w:p>
        </w:tc>
        <w:tc>
          <w:tcPr>
            <w:tcW w:w="630"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应用功能开发</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鼠标漫游和键盘漫游，可以实现在监狱内三维场景任意放大、缩小、上升、下降、仰视、俯视、加速、减速、左转、右转、绕物旋转、鼠标导航、鼠标定位等操作。功能全面，使用灵活；可以根据用户设置的路线进行漫游，同时对路线进行录制、输出，支持在场景中对路线进行保存，在播放时能为路径配上背景音乐、字幕或者解说等；通过对围墙周界设定巡查线路，插入对应的监控点位，通过电子地图自动巡航，开展巡查。</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11</w:t>
            </w:r>
          </w:p>
        </w:tc>
        <w:tc>
          <w:tcPr>
            <w:tcW w:w="630" w:type="dxa"/>
            <w:vMerge w:val="continue"/>
            <w:tcBorders>
              <w:tl2br w:val="nil"/>
              <w:tr2bl w:val="nil"/>
            </w:tcBorders>
            <w:noWrap w:val="0"/>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标注管理：根据用户兴趣点在场景中任意进行标记的功能，支持标注的添加、删除、编辑、修改、模糊搜索、精确定位等操作；支持任意修改标注的字体、样式、图例、位置、可视距离等参数；支持点标注、线标注和区域标注等多种方式，同时可以为标注添加附属的说明信息</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w:t>
            </w:r>
          </w:p>
        </w:tc>
        <w:tc>
          <w:tcPr>
            <w:tcW w:w="630" w:type="dxa"/>
            <w:vMerge w:val="continue"/>
            <w:tcBorders>
              <w:tl2br w:val="nil"/>
              <w:tr2bl w:val="nil"/>
            </w:tcBorders>
            <w:noWrap w:val="0"/>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视点管理：能根据用户在场景中选定的任意高度和任意角度的位置信息进行保存，类似书签的功能，方便用户对特定场景进行定位，快速切换到指定视点进行浏览</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13</w:t>
            </w:r>
          </w:p>
        </w:tc>
        <w:tc>
          <w:tcPr>
            <w:tcW w:w="630" w:type="dxa"/>
            <w:vMerge w:val="continue"/>
            <w:tcBorders>
              <w:tl2br w:val="nil"/>
              <w:tr2bl w:val="nil"/>
            </w:tcBorders>
            <w:noWrap w:val="0"/>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量算管理：任意平面距离的量算（两点和多点距离）、平面面积的量算、垂直高度的量算以及空间任意距离的量算功能</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14</w:t>
            </w:r>
          </w:p>
        </w:tc>
        <w:tc>
          <w:tcPr>
            <w:tcW w:w="630" w:type="dxa"/>
            <w:vMerge w:val="continue"/>
            <w:tcBorders>
              <w:tl2br w:val="nil"/>
              <w:tr2bl w:val="nil"/>
            </w:tcBorders>
            <w:noWrap w:val="0"/>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空间分析：在三维场景中具备通视分析、可视域分析、制高点分析功能。通视分析用于判断两点之间是否可见，可视域分析用于判断固定点的可视域范围，通过制高点分析找出制高点位置，判断制高点的通视性和通视范围，为安保布防工作提供辅助分析手段。</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15</w:t>
            </w:r>
          </w:p>
        </w:tc>
        <w:tc>
          <w:tcPr>
            <w:tcW w:w="630" w:type="dxa"/>
            <w:vMerge w:val="continue"/>
            <w:tcBorders>
              <w:tl2br w:val="nil"/>
              <w:tr2bl w:val="nil"/>
            </w:tcBorders>
            <w:noWrap w:val="0"/>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图层管理：对场景中的地形、影像、矢量、模型（建筑、绿化、路网、小品等）以及标注都可以进行图层显隐控制</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16</w:t>
            </w:r>
          </w:p>
        </w:tc>
        <w:tc>
          <w:tcPr>
            <w:tcW w:w="630" w:type="dxa"/>
            <w:vMerge w:val="continue"/>
            <w:tcBorders>
              <w:tl2br w:val="nil"/>
              <w:tr2bl w:val="nil"/>
            </w:tcBorders>
            <w:noWrap w:val="0"/>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视频应用：视频浏览：支持点击操作任意范围内摄像机可以打开相应视频。</w:t>
            </w:r>
            <w:r>
              <w:rPr>
                <w:rStyle w:val="360"/>
                <w:rFonts w:hint="eastAsia" w:ascii="仿宋" w:hAnsi="仿宋" w:eastAsia="仿宋" w:cs="仿宋"/>
                <w:color w:val="auto"/>
                <w:highlight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视频查找：在设备模型列表输入摄像头名称信息，快速查找该视频点位信息。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模型分层视频浏览：可以选择固定的建筑的某一层楼查看具体的安防设备分布及建筑结构，在某一层建筑可以选择任意摄像机进行播放。</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17</w:t>
            </w:r>
          </w:p>
        </w:tc>
        <w:tc>
          <w:tcPr>
            <w:tcW w:w="630" w:type="dxa"/>
            <w:vMerge w:val="continue"/>
            <w:tcBorders>
              <w:tl2br w:val="nil"/>
              <w:tr2bl w:val="nil"/>
            </w:tcBorders>
            <w:noWrap w:val="0"/>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紧急按钮应用：可视化布撤防；报警视频等多业务联动；点击监舍内的紧急按钮可以模拟一笔报警信息并可进行视频联动</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18</w:t>
            </w:r>
          </w:p>
        </w:tc>
        <w:tc>
          <w:tcPr>
            <w:tcW w:w="630" w:type="dxa"/>
            <w:vMerge w:val="continue"/>
            <w:tcBorders>
              <w:tl2br w:val="nil"/>
              <w:tr2bl w:val="nil"/>
            </w:tcBorders>
            <w:noWrap w:val="0"/>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门禁应用：三维图形化显示某一区域下的所有门分布和门状态；状态主要有：开门、关门、门禁报警、门禁事件等；三维模型门禁设备布撤防</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19</w:t>
            </w:r>
          </w:p>
        </w:tc>
        <w:tc>
          <w:tcPr>
            <w:tcW w:w="630" w:type="dxa"/>
            <w:vMerge w:val="continue"/>
            <w:tcBorders>
              <w:tl2br w:val="nil"/>
              <w:tr2bl w:val="nil"/>
            </w:tcBorders>
            <w:noWrap w:val="0"/>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对讲应用：三维场景控制设备发起对讲；三维场景控制设备发起监听；三维场景控制设备接听对讲</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20</w:t>
            </w:r>
          </w:p>
        </w:tc>
        <w:tc>
          <w:tcPr>
            <w:tcW w:w="630" w:type="dxa"/>
            <w:vMerge w:val="continue"/>
            <w:tcBorders>
              <w:tl2br w:val="nil"/>
              <w:tr2bl w:val="nil"/>
            </w:tcBorders>
            <w:noWrap w:val="0"/>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广播应用：系统支持三维图形化显示某一区域下的所有广播设备；通过三维场景广播设备通过三维场景广播功能可以对全监或楼栋、楼层发起广播喊话或播放音频功能。</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21</w:t>
            </w:r>
          </w:p>
        </w:tc>
        <w:tc>
          <w:tcPr>
            <w:tcW w:w="630" w:type="dxa"/>
            <w:vMerge w:val="continue"/>
            <w:tcBorders>
              <w:tl2br w:val="nil"/>
              <w:tr2bl w:val="nil"/>
            </w:tcBorders>
            <w:noWrap w:val="0"/>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周界报警应用：周界报警三维虚拟显示；周界报警联动周界关联视频</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22</w:t>
            </w:r>
          </w:p>
        </w:tc>
        <w:tc>
          <w:tcPr>
            <w:tcW w:w="630" w:type="dxa"/>
            <w:vMerge w:val="continue"/>
            <w:tcBorders>
              <w:tl2br w:val="nil"/>
              <w:tr2bl w:val="nil"/>
            </w:tcBorders>
            <w:noWrap w:val="0"/>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监舍管理：监舍管理主要是对监舍罪犯所在床位、罪犯信息进行统计管理，支持监舍和犯人的修改、删除和添加，展示犯人所在床位等信息。</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23</w:t>
            </w:r>
          </w:p>
        </w:tc>
        <w:tc>
          <w:tcPr>
            <w:tcW w:w="630" w:type="dxa"/>
            <w:vMerge w:val="continue"/>
            <w:tcBorders>
              <w:tl2br w:val="nil"/>
              <w:tr2bl w:val="nil"/>
            </w:tcBorders>
            <w:noWrap w:val="0"/>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智能电源管理：三维可视化安防管理系统集成智能双备份电源和智能末端电源软件，实时监控能源设备运行信息，通过三维可视化管理，减少人工干预，杜绝安全隐患，同时兼具能源设备的可靠性、稳定性、准确性、灵敏性等优点。同时系统支持三维图形化显示厂区生产用电、能源计量管理、能源控制管理、能源分析管理。</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24</w:t>
            </w:r>
          </w:p>
        </w:tc>
        <w:tc>
          <w:tcPr>
            <w:tcW w:w="630" w:type="dxa"/>
            <w:vMerge w:val="continue"/>
            <w:tcBorders>
              <w:tl2br w:val="nil"/>
              <w:tr2bl w:val="nil"/>
            </w:tcBorders>
            <w:noWrap w:val="0"/>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 xml:space="preserve">设备可视化配置应用：1.模型信息管理：对添加到模型中的设备进行编辑，修改属性。可以在三维场景添加各种类型仿真安防设备模型，比如门禁、摄像头、对讲、烟感等，支持放大、缩小、旋转、任意位置移动，并根据需要可删除、修改定位等操作；当在场景选中该安防设备模型时能够显示该设备对应的信息，比如设备型号、类别、设备品牌、设备状态（正常、异常等）、所属区域、对应区域值班民警信息等；所有的仿真安防设备能够关联安防资产数据库，实时联动。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2.安防设备模型支持模糊查询，如输入：某宿舍楼层，点击查询，对应列表则显示该宿舍楼层相关所有的信息。</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3.安防设备模型能够支持自定义命名，即根据用户需要，对设备命名以及名称实时修改删除。</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4.设备快照获取，用户根据自己喜好获取设备快照（快照即用户选定设备最佳显示角度的镜头）；</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 xml:space="preserve">5.准确获取安防设备仿真模型的坐标信息，即设备经度、设备纬度、设备高程、可是范围、模型缩放大小、旋转角度参数，显示在对应的提示框中。  </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6.设备模型鼠标跟随操作，方便快速放置设备位置，鼠标移动哪儿，设备模型位置就移动到那里。</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7.模型位置管理：支持对模型的场景编辑、添加模型、区域编排、添加摄像机到模型相应位置等功能。</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套</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3" w:type="dxa"/>
            <w:tcBorders>
              <w:tl2br w:val="nil"/>
              <w:tr2bl w:val="nil"/>
            </w:tcBorders>
            <w:shd w:val="clear" w:color="auto" w:fill="FFFFFF"/>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c>
          <w:tcPr>
            <w:tcW w:w="5550" w:type="dxa"/>
            <w:gridSpan w:val="2"/>
            <w:tcBorders>
              <w:tl2br w:val="nil"/>
              <w:tr2bl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bidi="ar"/>
              </w:rPr>
              <w:t>四、管路整改</w:t>
            </w:r>
          </w:p>
        </w:tc>
        <w:tc>
          <w:tcPr>
            <w:tcW w:w="930" w:type="dxa"/>
            <w:tcBorders>
              <w:tl2br w:val="nil"/>
              <w:tr2bl w:val="nil"/>
            </w:tcBorders>
            <w:shd w:val="clear" w:color="auto" w:fill="FFFFFF"/>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c>
          <w:tcPr>
            <w:tcW w:w="1260" w:type="dxa"/>
            <w:tcBorders>
              <w:tl2br w:val="nil"/>
              <w:tr2bl w:val="nil"/>
            </w:tcBorders>
            <w:shd w:val="clear" w:color="auto" w:fill="FFFFFF"/>
            <w:noWrap w:val="0"/>
            <w:tcMar>
              <w:top w:w="15" w:type="dxa"/>
              <w:left w:w="15" w:type="dxa"/>
              <w:right w:w="15" w:type="dxa"/>
            </w:tcMar>
            <w:vAlign w:val="center"/>
          </w:tcPr>
          <w:p>
            <w:pPr>
              <w:jc w:val="center"/>
              <w:rPr>
                <w:rFonts w:hint="eastAsia" w:ascii="仿宋" w:hAnsi="仿宋" w:eastAsia="仿宋" w:cs="仿宋"/>
                <w:b/>
                <w:i w:val="0"/>
                <w:color w:val="auto"/>
                <w:sz w:val="20"/>
                <w:szCs w:val="20"/>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58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3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管路整改</w:t>
            </w:r>
          </w:p>
        </w:tc>
        <w:tc>
          <w:tcPr>
            <w:tcW w:w="492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1、对前期预埋管路不通而导致无法线路敷设的问题，由投标单位无条件整改，直至满足穿线、安装要求为止。</w:t>
            </w:r>
            <w:r>
              <w:rPr>
                <w:rFonts w:hint="eastAsia" w:ascii="仿宋" w:hAnsi="仿宋" w:eastAsia="仿宋" w:cs="仿宋"/>
                <w:i w:val="0"/>
                <w:color w:val="auto"/>
                <w:kern w:val="0"/>
                <w:sz w:val="20"/>
                <w:szCs w:val="20"/>
                <w:highlight w:val="none"/>
                <w:u w:val="none"/>
                <w:lang w:val="en-US" w:eastAsia="zh-CN" w:bidi="ar"/>
              </w:rPr>
              <w:br w:type="textWrapping"/>
            </w:r>
            <w:r>
              <w:rPr>
                <w:rFonts w:hint="eastAsia" w:ascii="仿宋" w:hAnsi="仿宋" w:eastAsia="仿宋" w:cs="仿宋"/>
                <w:i w:val="0"/>
                <w:color w:val="auto"/>
                <w:kern w:val="0"/>
                <w:sz w:val="20"/>
                <w:szCs w:val="20"/>
                <w:highlight w:val="none"/>
                <w:u w:val="none"/>
                <w:lang w:val="en-US" w:eastAsia="zh-CN" w:bidi="ar"/>
              </w:rPr>
              <w:t>2、对于工程中新增线路，数量不小于1000米，含JDG25管及相应开槽、修复等工作。</w:t>
            </w:r>
          </w:p>
        </w:tc>
        <w:tc>
          <w:tcPr>
            <w:tcW w:w="93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项</w:t>
            </w:r>
          </w:p>
        </w:tc>
        <w:tc>
          <w:tcPr>
            <w:tcW w:w="12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r>
    </w:tbl>
    <w:p>
      <w:pPr>
        <w:pStyle w:val="33"/>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备注：1.本项目实施时须做好与改扩建工程土建施工单位的配合对接工作，涉及相关的施工配合费用由中标单位与改扩建工程土建施工单位自行协商解决。</w:t>
      </w:r>
    </w:p>
    <w:p>
      <w:pPr>
        <w:pStyle w:val="33"/>
        <w:numPr>
          <w:ilvl w:val="0"/>
          <w:numId w:val="0"/>
        </w:numPr>
        <w:spacing w:line="360" w:lineRule="auto"/>
        <w:ind w:leftChars="0"/>
        <w:rPr>
          <w:rFonts w:hint="default" w:ascii="仿宋" w:hAnsi="仿宋" w:eastAsia="仿宋" w:cs="仿宋"/>
          <w:b/>
          <w:bCs/>
          <w:color w:val="auto"/>
          <w:sz w:val="24"/>
          <w:szCs w:val="24"/>
          <w:highlight w:val="none"/>
          <w:lang w:val="en-US" w:eastAsia="zh-CN"/>
        </w:rPr>
      </w:pPr>
      <w:r>
        <w:rPr>
          <w:rFonts w:hint="eastAsia" w:ascii="仿宋_GB2312" w:hAnsi="仿宋" w:eastAsia="仿宋_GB2312"/>
          <w:b/>
          <w:color w:val="auto"/>
          <w:sz w:val="24"/>
          <w:highlight w:val="none"/>
          <w:lang w:val="en-US" w:eastAsia="zh-CN"/>
        </w:rPr>
        <w:t>2.</w:t>
      </w:r>
      <w:r>
        <w:rPr>
          <w:rFonts w:hint="eastAsia" w:ascii="仿宋_GB2312" w:hAnsi="仿宋" w:eastAsia="仿宋_GB2312"/>
          <w:b/>
          <w:color w:val="auto"/>
          <w:sz w:val="24"/>
          <w:highlight w:val="none"/>
        </w:rPr>
        <w:t>采购人拟采购的产品属于政府强制采购的</w:t>
      </w:r>
      <w:r>
        <w:rPr>
          <w:rFonts w:hint="eastAsia" w:ascii="仿宋" w:hAnsi="仿宋" w:eastAsia="仿宋" w:cs="仿宋"/>
          <w:b/>
          <w:bCs/>
          <w:color w:val="auto"/>
          <w:sz w:val="24"/>
          <w:szCs w:val="24"/>
          <w:highlight w:val="none"/>
          <w:lang w:val="en-US" w:eastAsia="zh-CN"/>
        </w:rPr>
        <w:t>《节能产品政府采购品目清单》</w:t>
      </w:r>
      <w:r>
        <w:rPr>
          <w:rFonts w:hint="eastAsia" w:ascii="仿宋_GB2312" w:hAnsi="仿宋" w:eastAsia="仿宋_GB2312"/>
          <w:b/>
          <w:color w:val="auto"/>
          <w:sz w:val="24"/>
          <w:highlight w:val="none"/>
        </w:rPr>
        <w:t>范围的，投标人</w:t>
      </w:r>
      <w:r>
        <w:rPr>
          <w:rFonts w:hint="eastAsia" w:ascii="仿宋_GB2312" w:hAnsi="仿宋" w:eastAsia="仿宋_GB2312"/>
          <w:b/>
          <w:color w:val="auto"/>
          <w:sz w:val="24"/>
          <w:highlight w:val="none"/>
          <w:lang w:eastAsia="zh-CN"/>
        </w:rPr>
        <w:t>须</w:t>
      </w:r>
      <w:r>
        <w:rPr>
          <w:rFonts w:hint="eastAsia" w:ascii="仿宋_GB2312" w:hAnsi="仿宋" w:eastAsia="仿宋_GB2312"/>
          <w:b/>
          <w:color w:val="auto"/>
          <w:sz w:val="24"/>
          <w:highlight w:val="none"/>
        </w:rPr>
        <w:t>按要求提供国家确定的认证机构出具的、处于有效期之内的节能产品认证证书。</w:t>
      </w:r>
    </w:p>
    <w:p>
      <w:pPr>
        <w:pStyle w:val="33"/>
        <w:spacing w:line="360" w:lineRule="auto"/>
        <w:ind w:firstLine="480" w:firstLineChars="200"/>
        <w:rPr>
          <w:rFonts w:hint="eastAsia" w:ascii="仿宋" w:hAnsi="仿宋" w:eastAsia="仿宋" w:cs="仿宋"/>
          <w:color w:val="auto"/>
          <w:sz w:val="24"/>
          <w:szCs w:val="24"/>
          <w:highlight w:val="none"/>
          <w:lang w:val="en-US" w:eastAsia="zh-CN"/>
        </w:rPr>
      </w:pPr>
    </w:p>
    <w:p>
      <w:pPr>
        <w:pStyle w:val="33"/>
        <w:numPr>
          <w:ilvl w:val="0"/>
          <w:numId w:val="0"/>
        </w:numPr>
        <w:spacing w:line="360" w:lineRule="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eastAsia="zh-CN"/>
        </w:rPr>
        <w:t>三、</w:t>
      </w:r>
      <w:r>
        <w:rPr>
          <w:rFonts w:hint="eastAsia" w:ascii="仿宋" w:hAnsi="仿宋" w:eastAsia="仿宋" w:cs="仿宋"/>
          <w:b/>
          <w:color w:val="auto"/>
          <w:sz w:val="36"/>
          <w:szCs w:val="36"/>
          <w:highlight w:val="none"/>
        </w:rPr>
        <w:t>项目实施时间</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项目实施时间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个月，合同签订后</w:t>
      </w:r>
      <w:r>
        <w:rPr>
          <w:rFonts w:hint="eastAsia" w:ascii="仿宋" w:hAnsi="仿宋" w:eastAsia="仿宋" w:cs="仿宋"/>
          <w:color w:val="auto"/>
          <w:sz w:val="24"/>
          <w:szCs w:val="24"/>
          <w:highlight w:val="none"/>
          <w:lang w:val="en-US" w:eastAsia="zh-CN"/>
        </w:rPr>
        <w:t>180</w:t>
      </w:r>
      <w:r>
        <w:rPr>
          <w:rFonts w:hint="eastAsia" w:ascii="仿宋" w:hAnsi="仿宋" w:eastAsia="仿宋" w:cs="仿宋"/>
          <w:color w:val="auto"/>
          <w:sz w:val="24"/>
          <w:szCs w:val="24"/>
          <w:highlight w:val="none"/>
        </w:rPr>
        <w:t>日历天内</w:t>
      </w:r>
      <w:r>
        <w:rPr>
          <w:rFonts w:hint="eastAsia" w:ascii="仿宋" w:hAnsi="仿宋" w:eastAsia="仿宋" w:cs="仿宋"/>
          <w:color w:val="auto"/>
          <w:sz w:val="24"/>
          <w:szCs w:val="24"/>
          <w:highlight w:val="none"/>
          <w:lang w:val="zh-CN"/>
        </w:rPr>
        <w:t>完成清单设备的安装、调试和集成工作；设备投入运行后，由采购人组织验收</w:t>
      </w:r>
      <w:r>
        <w:rPr>
          <w:rFonts w:hint="eastAsia" w:ascii="仿宋" w:hAnsi="仿宋" w:eastAsia="仿宋" w:cs="仿宋"/>
          <w:color w:val="auto"/>
          <w:sz w:val="24"/>
          <w:szCs w:val="24"/>
          <w:highlight w:val="none"/>
        </w:rPr>
        <w:t>；培训、试运行1个月。</w:t>
      </w:r>
    </w:p>
    <w:p>
      <w:pPr>
        <w:pStyle w:val="33"/>
        <w:spacing w:line="360" w:lineRule="auto"/>
        <w:rPr>
          <w:rFonts w:hint="eastAsia" w:ascii="仿宋" w:hAnsi="仿宋" w:eastAsia="仿宋" w:cs="仿宋"/>
          <w:color w:val="auto"/>
          <w:sz w:val="24"/>
          <w:szCs w:val="24"/>
          <w:highlight w:val="none"/>
        </w:rPr>
      </w:pPr>
    </w:p>
    <w:p>
      <w:pPr>
        <w:pStyle w:val="33"/>
        <w:numPr>
          <w:ilvl w:val="0"/>
          <w:numId w:val="0"/>
        </w:numPr>
        <w:spacing w:line="360" w:lineRule="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eastAsia="zh-CN"/>
        </w:rPr>
        <w:t>四、</w:t>
      </w:r>
      <w:r>
        <w:rPr>
          <w:rFonts w:hint="eastAsia" w:ascii="仿宋" w:hAnsi="仿宋" w:eastAsia="仿宋" w:cs="仿宋"/>
          <w:b/>
          <w:color w:val="auto"/>
          <w:sz w:val="36"/>
          <w:szCs w:val="36"/>
          <w:highlight w:val="none"/>
        </w:rPr>
        <w:t>付款方式</w:t>
      </w:r>
    </w:p>
    <w:p>
      <w:pPr>
        <w:pStyle w:val="2"/>
        <w:spacing w:after="120"/>
        <w:ind w:firstLine="480" w:firstLineChars="200"/>
        <w:rPr>
          <w:rFonts w:hint="eastAsia" w:ascii="仿宋" w:hAnsi="仿宋" w:eastAsia="仿宋" w:cs="仿宋"/>
          <w:bCs/>
          <w:snapToGrid/>
          <w:color w:val="auto"/>
          <w:szCs w:val="24"/>
          <w:highlight w:val="none"/>
          <w:lang w:val="en-US" w:eastAsia="zh-CN"/>
        </w:rPr>
      </w:pPr>
      <w:r>
        <w:rPr>
          <w:rFonts w:hint="eastAsia" w:ascii="仿宋_GB2312" w:hAnsi="楷体" w:eastAsia="仿宋_GB2312"/>
          <w:color w:val="auto"/>
          <w:sz w:val="24"/>
          <w:highlight w:val="none"/>
          <w:u w:val="single"/>
        </w:rPr>
        <w:t>分期付款</w:t>
      </w:r>
      <w:r>
        <w:rPr>
          <w:rFonts w:hint="eastAsia" w:ascii="仿宋_GB2312" w:hAnsi="楷体" w:eastAsia="仿宋_GB2312"/>
          <w:color w:val="auto"/>
          <w:sz w:val="24"/>
          <w:highlight w:val="none"/>
          <w:u w:val="single"/>
          <w:lang w:eastAsia="zh-CN"/>
        </w:rPr>
        <w:t>，根据具体签订合同执行。</w:t>
      </w:r>
    </w:p>
    <w:p>
      <w:pPr>
        <w:spacing w:line="360" w:lineRule="auto"/>
        <w:outlineLvl w:val="0"/>
        <w:rPr>
          <w:rFonts w:hint="eastAsia" w:ascii="仿宋" w:hAnsi="仿宋" w:eastAsia="仿宋" w:cs="仿宋"/>
          <w:b/>
          <w:color w:val="auto"/>
          <w:sz w:val="36"/>
          <w:szCs w:val="36"/>
          <w:highlight w:val="none"/>
          <w:lang w:eastAsia="zh-CN"/>
        </w:rPr>
      </w:pP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eastAsia="zh-CN"/>
        </w:rPr>
        <w:t>五、其他要求</w:t>
      </w:r>
      <w:r>
        <w:rPr>
          <w:rFonts w:hint="eastAsia" w:ascii="仿宋" w:hAnsi="仿宋" w:eastAsia="仿宋" w:cs="仿宋"/>
          <w:b/>
          <w:color w:val="auto"/>
          <w:sz w:val="36"/>
          <w:szCs w:val="36"/>
          <w:highlight w:val="none"/>
        </w:rPr>
        <w:t>：</w:t>
      </w:r>
    </w:p>
    <w:p>
      <w:pPr>
        <w:pStyle w:val="414"/>
        <w:snapToGrid w:val="0"/>
        <w:spacing w:before="0"/>
        <w:ind w:firstLine="48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本项目的系统软硬件产品的详细指标，投标人必须对指标要求有明确的响应，针对采购要求如实描述是否偏离，并明确所有系统软硬件采用的品牌、版本、参数、系统兼容性等具体信息。上述所有指标要求是采购人提出须满足的，其中标注“</w:t>
      </w:r>
      <w:r>
        <w:rPr>
          <w:rFonts w:hint="eastAsia" w:ascii="仿宋" w:hAnsi="仿宋" w:eastAsia="仿宋" w:cs="仿宋"/>
          <w:bCs/>
          <w:color w:val="auto"/>
          <w:sz w:val="21"/>
          <w:szCs w:val="21"/>
          <w:highlight w:val="none"/>
        </w:rPr>
        <w:t>▲</w:t>
      </w:r>
      <w:r>
        <w:rPr>
          <w:rFonts w:hint="eastAsia" w:ascii="仿宋" w:hAnsi="仿宋" w:eastAsia="仿宋" w:cs="仿宋"/>
          <w:bCs/>
          <w:color w:val="auto"/>
          <w:szCs w:val="24"/>
          <w:highlight w:val="none"/>
        </w:rPr>
        <w:t>”的指标若有负偏差，则直接认定为无效标，</w:t>
      </w:r>
      <w:r>
        <w:rPr>
          <w:rFonts w:hint="eastAsia" w:ascii="仿宋" w:hAnsi="仿宋" w:eastAsia="仿宋" w:cs="仿宋"/>
          <w:bCs/>
          <w:color w:val="auto"/>
          <w:szCs w:val="24"/>
          <w:highlight w:val="none"/>
          <w:lang w:eastAsia="zh-CN"/>
        </w:rPr>
        <w:t>标注“※”</w:t>
      </w:r>
      <w:r>
        <w:rPr>
          <w:rFonts w:hint="eastAsia" w:ascii="仿宋" w:hAnsi="仿宋" w:eastAsia="仿宋" w:cs="仿宋"/>
          <w:bCs/>
          <w:color w:val="auto"/>
          <w:szCs w:val="24"/>
          <w:highlight w:val="none"/>
        </w:rPr>
        <w:t>的指标为重要技术指标</w:t>
      </w:r>
      <w:r>
        <w:rPr>
          <w:rFonts w:hint="eastAsia" w:ascii="仿宋" w:hAnsi="仿宋" w:eastAsia="仿宋" w:cs="仿宋"/>
          <w:bCs/>
          <w:color w:val="auto"/>
          <w:szCs w:val="24"/>
          <w:highlight w:val="none"/>
          <w:lang w:eastAsia="zh-CN"/>
        </w:rPr>
        <w:t>，</w:t>
      </w:r>
      <w:r>
        <w:rPr>
          <w:rFonts w:hint="eastAsia" w:ascii="仿宋" w:hAnsi="仿宋" w:eastAsia="仿宋" w:cs="仿宋"/>
          <w:bCs/>
          <w:color w:val="auto"/>
          <w:szCs w:val="24"/>
          <w:highlight w:val="none"/>
        </w:rPr>
        <w:t>标注“</w:t>
      </w:r>
      <w:r>
        <w:rPr>
          <w:rFonts w:hint="eastAsia" w:ascii="仿宋_GB2312" w:hAnsi="仿宋_GB2312" w:eastAsia="仿宋_GB2312" w:cs="仿宋_GB2312"/>
          <w:i w:val="0"/>
          <w:iCs w:val="0"/>
          <w:color w:val="auto"/>
          <w:kern w:val="0"/>
          <w:sz w:val="21"/>
          <w:szCs w:val="21"/>
          <w:highlight w:val="none"/>
          <w:u w:val="none"/>
          <w:lang w:val="en-US" w:eastAsia="zh-CN" w:bidi="ar"/>
        </w:rPr>
        <w:t>★</w:t>
      </w:r>
      <w:r>
        <w:rPr>
          <w:rFonts w:hint="eastAsia" w:ascii="仿宋" w:hAnsi="仿宋" w:eastAsia="仿宋" w:cs="仿宋"/>
          <w:bCs/>
          <w:color w:val="auto"/>
          <w:szCs w:val="24"/>
          <w:highlight w:val="none"/>
        </w:rPr>
        <w:t>”的指</w:t>
      </w:r>
      <w:r>
        <w:rPr>
          <w:rFonts w:hint="eastAsia" w:ascii="仿宋" w:hAnsi="仿宋" w:eastAsia="仿宋" w:cs="仿宋"/>
          <w:bCs/>
          <w:color w:val="auto"/>
          <w:szCs w:val="24"/>
          <w:highlight w:val="none"/>
          <w:lang w:eastAsia="zh-CN"/>
        </w:rPr>
        <w:t>核心产品。</w:t>
      </w:r>
    </w:p>
    <w:p>
      <w:pPr>
        <w:pStyle w:val="414"/>
        <w:snapToGrid w:val="0"/>
        <w:spacing w:before="0"/>
        <w:ind w:firstLine="48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2、对于承诺符合要求的产品，采购人有权在签订采购合同前进行功能整合测试以及进行专家验收(所发生的费用均由中标人承担)，以确保产品实际质量及性能满足需求。若中标产品未通过测试和验收，将对中标</w:t>
      </w:r>
      <w:r>
        <w:rPr>
          <w:rFonts w:hint="eastAsia" w:ascii="仿宋" w:hAnsi="仿宋" w:eastAsia="仿宋" w:cs="仿宋"/>
          <w:bCs/>
          <w:color w:val="auto"/>
          <w:szCs w:val="24"/>
          <w:highlight w:val="none"/>
          <w:lang w:eastAsia="zh-CN"/>
        </w:rPr>
        <w:t>人</w:t>
      </w:r>
      <w:r>
        <w:rPr>
          <w:rFonts w:hint="eastAsia" w:ascii="仿宋" w:hAnsi="仿宋" w:eastAsia="仿宋" w:cs="仿宋"/>
          <w:bCs/>
          <w:color w:val="auto"/>
          <w:szCs w:val="24"/>
          <w:highlight w:val="none"/>
        </w:rPr>
        <w:t>追加相应责任。</w:t>
      </w:r>
    </w:p>
    <w:p>
      <w:pPr>
        <w:pStyle w:val="414"/>
        <w:snapToGrid w:val="0"/>
        <w:spacing w:before="0"/>
        <w:ind w:firstLine="48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3、投标人及厂商必须保证所有投标产品均为中华人民共和国境内（不含港澳台地区）合法销售的产品，并保证所有投标参数真实可信，同时承担以非法产品或虚假参数应标所带来的一切法律风险。</w:t>
      </w:r>
    </w:p>
    <w:p>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4.本项目采购人为杭州市南郊监狱，并可以通过设备序列号在生产厂商官方网站或生产厂商400/800电话中进行验证，并可查询维保期限。投标货物必须是20</w:t>
      </w:r>
      <w:r>
        <w:rPr>
          <w:rFonts w:hint="eastAsia" w:ascii="仿宋" w:hAnsi="仿宋" w:eastAsia="仿宋" w:cs="仿宋"/>
          <w:bCs/>
          <w:color w:val="auto"/>
          <w:sz w:val="24"/>
          <w:highlight w:val="none"/>
          <w:lang w:val="en-US" w:eastAsia="zh-CN"/>
        </w:rPr>
        <w:t>21</w:t>
      </w:r>
      <w:r>
        <w:rPr>
          <w:rFonts w:hint="eastAsia" w:ascii="仿宋" w:hAnsi="仿宋" w:eastAsia="仿宋" w:cs="仿宋"/>
          <w:bCs/>
          <w:color w:val="auto"/>
          <w:sz w:val="24"/>
          <w:highlight w:val="none"/>
        </w:rPr>
        <w:t>年1月1日以后生产的原装合格产品，为当前市场主流商用产品。所供货物与合同规定的型号与配置相一致，未曾开箱使用。设备安装调试完毕后，能在其功能范围内保障用户的系统安全、稳定运行。</w:t>
      </w:r>
      <w:r>
        <w:rPr>
          <w:rFonts w:hint="eastAsia" w:ascii="仿宋" w:hAnsi="仿宋" w:eastAsia="仿宋" w:cs="仿宋"/>
          <w:color w:val="auto"/>
          <w:sz w:val="24"/>
          <w:highlight w:val="none"/>
        </w:rPr>
        <w:t>项目所涉及的设备及软件到货时，须提供原厂商的供货证明，注明供货对象为杭州市南郊监狱；杭州市南郊监狱是所有设备的最终用户。</w:t>
      </w:r>
    </w:p>
    <w:p>
      <w:pPr>
        <w:pStyle w:val="2"/>
        <w:ind w:firstLine="480" w:firstLineChars="200"/>
        <w:rPr>
          <w:rFonts w:hint="eastAsia" w:ascii="仿宋" w:hAnsi="仿宋" w:eastAsia="仿宋" w:cs="仿宋"/>
          <w:bCs/>
          <w:color w:val="auto"/>
          <w:highlight w:val="none"/>
        </w:rPr>
      </w:pPr>
      <w:r>
        <w:rPr>
          <w:rFonts w:hint="eastAsia" w:ascii="仿宋" w:hAnsi="仿宋" w:eastAsia="仿宋" w:cs="仿宋"/>
          <w:bCs/>
          <w:snapToGrid/>
          <w:color w:val="auto"/>
          <w:szCs w:val="24"/>
          <w:highlight w:val="none"/>
          <w:lang w:val="en-US"/>
        </w:rPr>
        <w:t>5.本项目采用的所有硬件设备及线材等附属配件在中标后均需提供厂家项目授权、质保承诺函、原厂证明及带厂家盖章的检测报告。</w:t>
      </w:r>
      <w:r>
        <w:rPr>
          <w:rFonts w:hint="eastAsia" w:ascii="仿宋" w:hAnsi="仿宋" w:eastAsia="仿宋" w:cs="仿宋"/>
          <w:bCs/>
          <w:color w:val="auto"/>
          <w:highlight w:val="none"/>
        </w:rPr>
        <w:t xml:space="preserve"> </w:t>
      </w:r>
    </w:p>
    <w:p>
      <w:pPr>
        <w:pStyle w:val="2"/>
        <w:ind w:firstLine="470" w:firstLineChars="196"/>
        <w:rPr>
          <w:rFonts w:hint="eastAsia" w:ascii="仿宋" w:hAnsi="仿宋" w:eastAsia="仿宋" w:cs="仿宋"/>
          <w:bCs/>
          <w:snapToGrid/>
          <w:color w:val="auto"/>
          <w:szCs w:val="24"/>
          <w:highlight w:val="none"/>
          <w:lang w:val="en-US"/>
        </w:rPr>
      </w:pPr>
      <w:r>
        <w:rPr>
          <w:rFonts w:hint="eastAsia" w:ascii="仿宋" w:hAnsi="仿宋" w:eastAsia="仿宋" w:cs="仿宋"/>
          <w:color w:val="auto"/>
          <w:highlight w:val="none"/>
        </w:rPr>
        <w:t>▲</w:t>
      </w:r>
      <w:r>
        <w:rPr>
          <w:rFonts w:hint="eastAsia" w:ascii="仿宋" w:hAnsi="仿宋" w:eastAsia="仿宋" w:cs="仿宋"/>
          <w:bCs/>
          <w:color w:val="auto"/>
          <w:highlight w:val="none"/>
        </w:rPr>
        <w:t>6、</w:t>
      </w:r>
      <w:r>
        <w:rPr>
          <w:rFonts w:hint="eastAsia" w:ascii="仿宋" w:hAnsi="仿宋" w:eastAsia="仿宋" w:cs="仿宋"/>
          <w:bCs/>
          <w:color w:val="auto"/>
          <w:kern w:val="0"/>
          <w:highlight w:val="none"/>
        </w:rPr>
        <w:t>本项目要求中标单位针对本项目作整体交付，完成项目实施和调试使用。所有费用需包含在投标报价中，为完成项目的建设目标和要求，若采购清单有漏项或未包含的设备，中标单位需无条件免费提供。</w:t>
      </w:r>
      <w:r>
        <w:rPr>
          <w:rFonts w:hint="eastAsia" w:ascii="仿宋" w:hAnsi="仿宋" w:eastAsia="仿宋" w:cs="仿宋"/>
          <w:bCs/>
          <w:snapToGrid/>
          <w:color w:val="auto"/>
          <w:szCs w:val="24"/>
          <w:highlight w:val="none"/>
          <w:lang w:val="en-US"/>
        </w:rPr>
        <w:t>本项目施工环境已完成装修，中标单位在施工过程中应做好装修及其他相关设施的成品保护，因施工造成的一切破坏原有装修、设施的，由中标单位承担所有损失并按建设方要求恢复原样。</w:t>
      </w:r>
    </w:p>
    <w:p>
      <w:pPr>
        <w:pStyle w:val="2"/>
        <w:ind w:firstLine="470" w:firstLineChars="196"/>
        <w:rPr>
          <w:rFonts w:hint="eastAsia" w:ascii="仿宋" w:hAnsi="仿宋" w:eastAsia="仿宋" w:cs="仿宋"/>
          <w:bCs/>
          <w:snapToGrid/>
          <w:color w:val="auto"/>
          <w:szCs w:val="24"/>
          <w:highlight w:val="none"/>
          <w:lang w:val="en-US"/>
        </w:rPr>
      </w:pPr>
    </w:p>
    <w:p>
      <w:pPr>
        <w:rPr>
          <w:color w:val="auto"/>
          <w:highlight w:val="none"/>
        </w:rPr>
      </w:pPr>
    </w:p>
    <w:p>
      <w:pPr>
        <w:adjustRightInd/>
        <w:spacing w:line="360" w:lineRule="auto"/>
        <w:jc w:val="center"/>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br w:type="page"/>
      </w:r>
      <w:r>
        <w:rPr>
          <w:rFonts w:hint="eastAsia" w:ascii="仿宋_GB2312" w:hAnsi="仿宋" w:eastAsia="仿宋_GB2312" w:cs="仿宋_GB2312"/>
          <w:b/>
          <w:color w:val="auto"/>
          <w:sz w:val="36"/>
          <w:szCs w:val="36"/>
          <w:highlight w:val="none"/>
        </w:rPr>
        <w:t xml:space="preserve">第四部分   </w:t>
      </w:r>
      <w:bookmarkStart w:id="38" w:name="_Toc184310287"/>
      <w:bookmarkEnd w:id="38"/>
      <w:bookmarkStart w:id="39" w:name="_Toc184308106"/>
      <w:bookmarkEnd w:id="39"/>
      <w:bookmarkStart w:id="40" w:name="_Toc184313301"/>
      <w:bookmarkEnd w:id="40"/>
      <w:bookmarkStart w:id="41" w:name="_Toc184313265"/>
      <w:bookmarkEnd w:id="41"/>
      <w:bookmarkStart w:id="42" w:name="_Toc184308050"/>
      <w:bookmarkEnd w:id="42"/>
      <w:bookmarkStart w:id="43" w:name="_Toc184314472"/>
      <w:bookmarkEnd w:id="43"/>
      <w:bookmarkStart w:id="44" w:name="_Toc184310339"/>
      <w:bookmarkEnd w:id="44"/>
      <w:bookmarkStart w:id="45" w:name="_Toc184310309"/>
      <w:bookmarkEnd w:id="45"/>
      <w:bookmarkStart w:id="46" w:name="_Toc184308046"/>
      <w:bookmarkEnd w:id="46"/>
      <w:bookmarkStart w:id="47" w:name="_Toc184308104"/>
      <w:bookmarkEnd w:id="47"/>
      <w:bookmarkStart w:id="48" w:name="_Toc184310316"/>
      <w:bookmarkEnd w:id="48"/>
      <w:bookmarkStart w:id="49" w:name="_Toc184313304"/>
      <w:bookmarkEnd w:id="49"/>
      <w:bookmarkStart w:id="50" w:name="_Toc184310320"/>
      <w:bookmarkEnd w:id="50"/>
      <w:bookmarkStart w:id="51" w:name="_Toc184312133"/>
      <w:bookmarkEnd w:id="51"/>
      <w:bookmarkStart w:id="52" w:name="_Toc184310317"/>
      <w:bookmarkEnd w:id="52"/>
      <w:bookmarkStart w:id="53" w:name="_Toc184314471"/>
      <w:bookmarkEnd w:id="53"/>
      <w:bookmarkStart w:id="54" w:name="_Toc184312128"/>
      <w:bookmarkEnd w:id="54"/>
      <w:bookmarkStart w:id="55" w:name="_Toc184310335"/>
      <w:bookmarkEnd w:id="55"/>
      <w:bookmarkStart w:id="56" w:name="_Toc184314435"/>
      <w:bookmarkEnd w:id="56"/>
      <w:bookmarkStart w:id="57" w:name="_Toc184314452"/>
      <w:bookmarkEnd w:id="57"/>
      <w:bookmarkStart w:id="58" w:name="_Toc184314469"/>
      <w:bookmarkEnd w:id="58"/>
      <w:bookmarkStart w:id="59" w:name="_Toc184308062"/>
      <w:bookmarkEnd w:id="59"/>
      <w:bookmarkStart w:id="60" w:name="_Toc184308103"/>
      <w:bookmarkEnd w:id="60"/>
      <w:bookmarkStart w:id="61" w:name="_Toc184313296"/>
      <w:bookmarkEnd w:id="61"/>
      <w:bookmarkStart w:id="62" w:name="_Toc184312082"/>
      <w:bookmarkEnd w:id="62"/>
      <w:bookmarkStart w:id="63" w:name="_Toc184310297"/>
      <w:bookmarkEnd w:id="63"/>
      <w:bookmarkStart w:id="64" w:name="_Toc184313298"/>
      <w:bookmarkEnd w:id="64"/>
      <w:bookmarkStart w:id="65" w:name="_Toc184308075"/>
      <w:bookmarkEnd w:id="65"/>
      <w:bookmarkStart w:id="66" w:name="_Toc184314468"/>
      <w:bookmarkEnd w:id="66"/>
      <w:bookmarkStart w:id="67" w:name="_Toc184312127"/>
      <w:bookmarkEnd w:id="67"/>
      <w:bookmarkStart w:id="68" w:name="_Toc184313285"/>
      <w:bookmarkEnd w:id="68"/>
      <w:bookmarkStart w:id="69" w:name="_Toc184314470"/>
      <w:bookmarkEnd w:id="69"/>
      <w:bookmarkStart w:id="70" w:name="_Toc184308097"/>
      <w:bookmarkEnd w:id="70"/>
      <w:bookmarkStart w:id="71" w:name="_Toc184314437"/>
      <w:bookmarkEnd w:id="71"/>
      <w:bookmarkStart w:id="72" w:name="_Toc184314474"/>
      <w:bookmarkEnd w:id="72"/>
      <w:bookmarkStart w:id="73" w:name="_Toc184313248"/>
      <w:bookmarkEnd w:id="73"/>
      <w:bookmarkStart w:id="74" w:name="_Toc184310333"/>
      <w:bookmarkEnd w:id="74"/>
      <w:bookmarkStart w:id="75" w:name="_Toc184308096"/>
      <w:bookmarkEnd w:id="75"/>
      <w:bookmarkStart w:id="76" w:name="_Toc184312109"/>
      <w:bookmarkEnd w:id="76"/>
      <w:bookmarkStart w:id="77" w:name="_Toc184310332"/>
      <w:bookmarkEnd w:id="77"/>
      <w:bookmarkStart w:id="78" w:name="_Toc184312129"/>
      <w:bookmarkEnd w:id="78"/>
      <w:bookmarkStart w:id="79" w:name="_Toc184310334"/>
      <w:bookmarkEnd w:id="79"/>
      <w:bookmarkStart w:id="80" w:name="_Toc184313299"/>
      <w:bookmarkEnd w:id="80"/>
      <w:bookmarkStart w:id="81" w:name="_Toc184308089"/>
      <w:bookmarkEnd w:id="81"/>
      <w:bookmarkStart w:id="82" w:name="_Toc184314441"/>
      <w:bookmarkEnd w:id="82"/>
      <w:bookmarkStart w:id="83" w:name="_Toc184313295"/>
      <w:bookmarkEnd w:id="83"/>
      <w:bookmarkStart w:id="84" w:name="_Toc184313309"/>
      <w:bookmarkEnd w:id="84"/>
      <w:bookmarkStart w:id="85" w:name="_Toc184314433"/>
      <w:bookmarkEnd w:id="85"/>
      <w:bookmarkStart w:id="86" w:name="_Toc184310329"/>
      <w:bookmarkEnd w:id="86"/>
      <w:bookmarkStart w:id="87" w:name="_Toc184314427"/>
      <w:bookmarkEnd w:id="87"/>
      <w:bookmarkStart w:id="88" w:name="_Toc184313302"/>
      <w:bookmarkEnd w:id="88"/>
      <w:bookmarkStart w:id="89" w:name="_Toc184310328"/>
      <w:bookmarkEnd w:id="89"/>
      <w:bookmarkStart w:id="90" w:name="_Toc184312125"/>
      <w:bookmarkEnd w:id="90"/>
      <w:bookmarkStart w:id="91" w:name="_Toc184308060"/>
      <w:bookmarkEnd w:id="91"/>
      <w:bookmarkStart w:id="92" w:name="_Toc184310304"/>
      <w:bookmarkEnd w:id="92"/>
      <w:bookmarkStart w:id="93" w:name="_Toc184313264"/>
      <w:bookmarkEnd w:id="93"/>
      <w:bookmarkStart w:id="94" w:name="_Toc184314467"/>
      <w:bookmarkEnd w:id="94"/>
      <w:bookmarkStart w:id="95" w:name="_Toc184313291"/>
      <w:bookmarkEnd w:id="95"/>
      <w:bookmarkStart w:id="96" w:name="_Toc184312089"/>
      <w:bookmarkEnd w:id="96"/>
      <w:bookmarkStart w:id="97" w:name="_Toc184308091"/>
      <w:bookmarkEnd w:id="97"/>
      <w:bookmarkStart w:id="98" w:name="_Toc184314460"/>
      <w:bookmarkEnd w:id="98"/>
      <w:bookmarkStart w:id="99" w:name="_Toc184308092"/>
      <w:bookmarkEnd w:id="99"/>
      <w:bookmarkStart w:id="100" w:name="_Toc184310326"/>
      <w:bookmarkEnd w:id="100"/>
      <w:bookmarkStart w:id="101" w:name="_Toc184312122"/>
      <w:bookmarkEnd w:id="101"/>
      <w:bookmarkStart w:id="102" w:name="_Toc184310344"/>
      <w:bookmarkEnd w:id="102"/>
      <w:bookmarkStart w:id="103" w:name="_Toc184314466"/>
      <w:bookmarkEnd w:id="103"/>
      <w:bookmarkStart w:id="104" w:name="_Toc184313282"/>
      <w:bookmarkEnd w:id="104"/>
      <w:bookmarkStart w:id="105" w:name="_Toc184313284"/>
      <w:bookmarkEnd w:id="105"/>
      <w:bookmarkStart w:id="106" w:name="_Toc184308068"/>
      <w:bookmarkEnd w:id="106"/>
      <w:bookmarkStart w:id="107" w:name="_Toc184308094"/>
      <w:bookmarkEnd w:id="107"/>
      <w:bookmarkStart w:id="108" w:name="_Toc184312123"/>
      <w:bookmarkEnd w:id="108"/>
      <w:bookmarkStart w:id="109" w:name="_Toc184313293"/>
      <w:bookmarkEnd w:id="109"/>
      <w:bookmarkStart w:id="110" w:name="_Toc184313294"/>
      <w:bookmarkEnd w:id="110"/>
      <w:bookmarkStart w:id="111" w:name="_Toc184314477"/>
      <w:bookmarkEnd w:id="111"/>
      <w:bookmarkStart w:id="112" w:name="_Toc184314448"/>
      <w:bookmarkEnd w:id="112"/>
      <w:bookmarkStart w:id="113" w:name="_Toc184312111"/>
      <w:bookmarkEnd w:id="113"/>
      <w:bookmarkStart w:id="114" w:name="_Toc184310312"/>
      <w:bookmarkEnd w:id="114"/>
      <w:bookmarkStart w:id="115" w:name="_Toc184314425"/>
      <w:bookmarkEnd w:id="115"/>
      <w:bookmarkStart w:id="116" w:name="_Toc184314411"/>
      <w:bookmarkEnd w:id="116"/>
      <w:bookmarkStart w:id="117" w:name="_Toc184310313"/>
      <w:bookmarkEnd w:id="117"/>
      <w:bookmarkStart w:id="118" w:name="_Toc184313305"/>
      <w:bookmarkEnd w:id="118"/>
      <w:bookmarkStart w:id="119" w:name="_Toc184308095"/>
      <w:bookmarkEnd w:id="119"/>
      <w:bookmarkStart w:id="120" w:name="_Toc184312091"/>
      <w:bookmarkEnd w:id="120"/>
      <w:bookmarkStart w:id="121" w:name="_Toc184308038"/>
      <w:bookmarkEnd w:id="121"/>
      <w:bookmarkStart w:id="122" w:name="_Toc184312124"/>
      <w:bookmarkEnd w:id="122"/>
      <w:bookmarkStart w:id="123" w:name="_Toc184308059"/>
      <w:bookmarkEnd w:id="123"/>
      <w:bookmarkStart w:id="124" w:name="_Toc184310294"/>
      <w:bookmarkEnd w:id="124"/>
      <w:bookmarkStart w:id="125" w:name="_Toc184310272"/>
      <w:bookmarkEnd w:id="125"/>
      <w:bookmarkStart w:id="126" w:name="_Toc184310318"/>
      <w:bookmarkEnd w:id="126"/>
      <w:bookmarkStart w:id="127" w:name="_Toc184310321"/>
      <w:bookmarkEnd w:id="127"/>
      <w:bookmarkStart w:id="128" w:name="_Toc184314414"/>
      <w:bookmarkEnd w:id="128"/>
      <w:bookmarkStart w:id="129" w:name="_Toc184308036"/>
      <w:bookmarkEnd w:id="129"/>
      <w:bookmarkStart w:id="130" w:name="_Toc184312132"/>
      <w:bookmarkEnd w:id="130"/>
      <w:bookmarkStart w:id="131" w:name="_Toc184314422"/>
      <w:bookmarkEnd w:id="131"/>
      <w:bookmarkStart w:id="132" w:name="_Toc184314473"/>
      <w:bookmarkEnd w:id="132"/>
      <w:bookmarkStart w:id="133" w:name="_Toc184310342"/>
      <w:bookmarkEnd w:id="133"/>
      <w:bookmarkStart w:id="134" w:name="_Toc184314431"/>
      <w:bookmarkEnd w:id="134"/>
      <w:bookmarkStart w:id="135" w:name="_Toc184310277"/>
      <w:bookmarkEnd w:id="135"/>
      <w:bookmarkStart w:id="136" w:name="_Toc184314412"/>
      <w:bookmarkEnd w:id="136"/>
      <w:bookmarkStart w:id="137" w:name="_Toc184313251"/>
      <w:bookmarkEnd w:id="137"/>
      <w:bookmarkStart w:id="138" w:name="_Toc184313261"/>
      <w:bookmarkEnd w:id="138"/>
      <w:bookmarkStart w:id="139" w:name="_Toc184308037"/>
      <w:bookmarkEnd w:id="139"/>
      <w:bookmarkStart w:id="140" w:name="_Toc184308081"/>
      <w:bookmarkEnd w:id="140"/>
      <w:bookmarkStart w:id="141" w:name="_Toc184310336"/>
      <w:bookmarkEnd w:id="141"/>
      <w:bookmarkStart w:id="142" w:name="_Toc184310281"/>
      <w:bookmarkEnd w:id="142"/>
      <w:bookmarkStart w:id="143" w:name="_Toc184312090"/>
      <w:bookmarkEnd w:id="143"/>
      <w:bookmarkStart w:id="144" w:name="_Toc184308061"/>
      <w:bookmarkEnd w:id="144"/>
      <w:bookmarkStart w:id="145" w:name="_Toc184308054"/>
      <w:bookmarkEnd w:id="145"/>
      <w:bookmarkStart w:id="146" w:name="_Toc184310276"/>
      <w:bookmarkEnd w:id="146"/>
      <w:bookmarkStart w:id="147" w:name="_Toc184313297"/>
      <w:bookmarkEnd w:id="147"/>
      <w:bookmarkStart w:id="148" w:name="_Toc184310327"/>
      <w:bookmarkEnd w:id="148"/>
      <w:bookmarkStart w:id="149" w:name="_Toc184314478"/>
      <w:bookmarkEnd w:id="149"/>
      <w:bookmarkStart w:id="150" w:name="_Toc184308041"/>
      <w:bookmarkEnd w:id="150"/>
      <w:bookmarkStart w:id="151" w:name="_Toc184308056"/>
      <w:bookmarkEnd w:id="151"/>
      <w:bookmarkStart w:id="152" w:name="_Toc184308073"/>
      <w:bookmarkEnd w:id="152"/>
      <w:bookmarkStart w:id="153" w:name="_Toc184314457"/>
      <w:bookmarkEnd w:id="153"/>
      <w:bookmarkStart w:id="154" w:name="_Toc184308098"/>
      <w:bookmarkEnd w:id="154"/>
      <w:bookmarkStart w:id="155" w:name="_Toc184313307"/>
      <w:bookmarkEnd w:id="155"/>
      <w:bookmarkStart w:id="156" w:name="_Toc184308045"/>
      <w:bookmarkEnd w:id="156"/>
      <w:bookmarkStart w:id="157" w:name="_Toc184314432"/>
      <w:bookmarkEnd w:id="157"/>
      <w:bookmarkStart w:id="158" w:name="_Toc184310284"/>
      <w:bookmarkEnd w:id="158"/>
      <w:bookmarkStart w:id="159" w:name="_Toc184312077"/>
      <w:bookmarkEnd w:id="159"/>
      <w:bookmarkStart w:id="160" w:name="_Toc184308058"/>
      <w:bookmarkEnd w:id="160"/>
      <w:bookmarkStart w:id="161" w:name="_Toc184314446"/>
      <w:bookmarkEnd w:id="161"/>
      <w:bookmarkStart w:id="162" w:name="_Toc184314424"/>
      <w:bookmarkEnd w:id="162"/>
      <w:bookmarkStart w:id="163" w:name="_Toc184313276"/>
      <w:bookmarkEnd w:id="163"/>
      <w:bookmarkStart w:id="164" w:name="_Toc184314430"/>
      <w:bookmarkEnd w:id="164"/>
      <w:bookmarkStart w:id="165" w:name="_Toc184310290"/>
      <w:bookmarkEnd w:id="165"/>
      <w:bookmarkStart w:id="166" w:name="_Toc184308083"/>
      <w:bookmarkEnd w:id="166"/>
      <w:bookmarkStart w:id="167" w:name="_Toc184314428"/>
      <w:bookmarkEnd w:id="167"/>
      <w:bookmarkStart w:id="168" w:name="_Toc184312113"/>
      <w:bookmarkEnd w:id="168"/>
      <w:bookmarkStart w:id="169" w:name="_Toc184312087"/>
      <w:bookmarkEnd w:id="169"/>
      <w:bookmarkStart w:id="170" w:name="_Toc184313306"/>
      <w:bookmarkEnd w:id="170"/>
      <w:bookmarkStart w:id="171" w:name="_Toc184310299"/>
      <w:bookmarkEnd w:id="171"/>
      <w:bookmarkStart w:id="172" w:name="_Toc184314455"/>
      <w:bookmarkEnd w:id="172"/>
      <w:bookmarkStart w:id="173" w:name="_Toc184308076"/>
      <w:bookmarkEnd w:id="173"/>
      <w:bookmarkStart w:id="174" w:name="_Toc184308101"/>
      <w:bookmarkEnd w:id="174"/>
      <w:bookmarkStart w:id="175" w:name="_Toc184313286"/>
      <w:bookmarkEnd w:id="175"/>
      <w:bookmarkStart w:id="176" w:name="_Toc184312134"/>
      <w:bookmarkEnd w:id="176"/>
      <w:bookmarkStart w:id="177" w:name="_Toc184310308"/>
      <w:bookmarkEnd w:id="177"/>
      <w:bookmarkStart w:id="178" w:name="_Toc184308102"/>
      <w:bookmarkEnd w:id="178"/>
      <w:bookmarkStart w:id="179" w:name="_Toc184312088"/>
      <w:bookmarkEnd w:id="179"/>
      <w:bookmarkStart w:id="180" w:name="_Toc184313275"/>
      <w:bookmarkEnd w:id="180"/>
      <w:bookmarkStart w:id="181" w:name="_Toc184313310"/>
      <w:bookmarkEnd w:id="181"/>
      <w:bookmarkStart w:id="182" w:name="_Toc184312099"/>
      <w:bookmarkEnd w:id="182"/>
      <w:bookmarkStart w:id="183" w:name="_Toc184310289"/>
      <w:bookmarkEnd w:id="183"/>
      <w:bookmarkStart w:id="184" w:name="_Toc184312071"/>
      <w:bookmarkEnd w:id="184"/>
      <w:bookmarkStart w:id="185" w:name="_Toc184308063"/>
      <w:bookmarkEnd w:id="185"/>
      <w:bookmarkStart w:id="186" w:name="_Toc184308057"/>
      <w:bookmarkEnd w:id="186"/>
      <w:bookmarkStart w:id="187" w:name="_Toc184313247"/>
      <w:bookmarkEnd w:id="187"/>
      <w:bookmarkStart w:id="188" w:name="_Toc184310292"/>
      <w:bookmarkEnd w:id="188"/>
      <w:bookmarkStart w:id="189" w:name="_Toc184312131"/>
      <w:bookmarkEnd w:id="189"/>
      <w:bookmarkStart w:id="190" w:name="_Toc184310293"/>
      <w:bookmarkEnd w:id="190"/>
      <w:bookmarkStart w:id="191" w:name="_Toc184313257"/>
      <w:bookmarkEnd w:id="191"/>
      <w:bookmarkStart w:id="192" w:name="_Toc184313249"/>
      <w:bookmarkEnd w:id="192"/>
      <w:bookmarkStart w:id="193" w:name="_Toc184314475"/>
      <w:bookmarkEnd w:id="193"/>
      <w:bookmarkStart w:id="194" w:name="_Toc184312079"/>
      <w:bookmarkEnd w:id="194"/>
      <w:bookmarkStart w:id="195" w:name="_Toc184314453"/>
      <w:bookmarkEnd w:id="195"/>
      <w:bookmarkStart w:id="196" w:name="_Toc184314482"/>
      <w:bookmarkEnd w:id="196"/>
      <w:bookmarkStart w:id="197" w:name="_Toc184313281"/>
      <w:bookmarkEnd w:id="197"/>
      <w:bookmarkStart w:id="198" w:name="_Toc184308051"/>
      <w:bookmarkEnd w:id="198"/>
      <w:bookmarkStart w:id="199" w:name="_Toc184313242"/>
      <w:bookmarkEnd w:id="199"/>
      <w:bookmarkStart w:id="200" w:name="_Toc184313259"/>
      <w:bookmarkEnd w:id="200"/>
      <w:bookmarkStart w:id="201" w:name="_Toc184312068"/>
      <w:bookmarkEnd w:id="201"/>
      <w:bookmarkStart w:id="202" w:name="_Toc184313279"/>
      <w:bookmarkEnd w:id="202"/>
      <w:bookmarkStart w:id="203" w:name="_Toc184312110"/>
      <w:bookmarkEnd w:id="203"/>
      <w:bookmarkStart w:id="204" w:name="_Toc184312076"/>
      <w:bookmarkEnd w:id="204"/>
      <w:bookmarkStart w:id="205" w:name="_Toc184308080"/>
      <w:bookmarkEnd w:id="205"/>
      <w:bookmarkStart w:id="206" w:name="_Toc184312107"/>
      <w:bookmarkEnd w:id="206"/>
      <w:bookmarkStart w:id="207" w:name="_Toc184310338"/>
      <w:bookmarkEnd w:id="207"/>
      <w:bookmarkStart w:id="208" w:name="_Toc184312104"/>
      <w:bookmarkEnd w:id="208"/>
      <w:bookmarkStart w:id="209" w:name="_Toc184314419"/>
      <w:bookmarkEnd w:id="209"/>
      <w:bookmarkStart w:id="210" w:name="_Toc184312138"/>
      <w:bookmarkEnd w:id="210"/>
      <w:bookmarkStart w:id="211" w:name="_Toc184308069"/>
      <w:bookmarkEnd w:id="211"/>
      <w:bookmarkStart w:id="212" w:name="_Toc184313273"/>
      <w:bookmarkEnd w:id="212"/>
      <w:bookmarkStart w:id="213" w:name="_Toc184313269"/>
      <w:bookmarkEnd w:id="213"/>
      <w:bookmarkStart w:id="214" w:name="_Toc184314423"/>
      <w:bookmarkEnd w:id="214"/>
      <w:bookmarkStart w:id="215" w:name="_Toc184314439"/>
      <w:bookmarkEnd w:id="215"/>
      <w:bookmarkStart w:id="216" w:name="_Toc184308071"/>
      <w:bookmarkEnd w:id="216"/>
      <w:bookmarkStart w:id="217" w:name="_Toc184313271"/>
      <w:bookmarkEnd w:id="217"/>
      <w:bookmarkStart w:id="218" w:name="_Toc184312078"/>
      <w:bookmarkEnd w:id="218"/>
      <w:bookmarkStart w:id="219" w:name="_Toc184310295"/>
      <w:bookmarkEnd w:id="219"/>
      <w:bookmarkStart w:id="220" w:name="_Toc184308100"/>
      <w:bookmarkEnd w:id="220"/>
      <w:bookmarkStart w:id="221" w:name="_Toc184308082"/>
      <w:bookmarkEnd w:id="221"/>
      <w:bookmarkStart w:id="222" w:name="_Toc184308047"/>
      <w:bookmarkEnd w:id="222"/>
      <w:bookmarkStart w:id="223" w:name="_Toc184312101"/>
      <w:bookmarkEnd w:id="223"/>
      <w:bookmarkStart w:id="224" w:name="_Toc184310273"/>
      <w:bookmarkEnd w:id="224"/>
      <w:bookmarkStart w:id="225" w:name="_Toc184314420"/>
      <w:bookmarkEnd w:id="225"/>
      <w:bookmarkStart w:id="226" w:name="_Toc184314410"/>
      <w:bookmarkEnd w:id="226"/>
      <w:bookmarkStart w:id="227" w:name="_Toc184308086"/>
      <w:bookmarkEnd w:id="227"/>
      <w:bookmarkStart w:id="228" w:name="_Toc184310307"/>
      <w:bookmarkEnd w:id="228"/>
      <w:bookmarkStart w:id="229" w:name="_Toc184310311"/>
      <w:bookmarkEnd w:id="229"/>
      <w:bookmarkStart w:id="230" w:name="_Toc184312081"/>
      <w:bookmarkEnd w:id="230"/>
      <w:bookmarkStart w:id="231" w:name="_Toc184310306"/>
      <w:bookmarkEnd w:id="231"/>
      <w:bookmarkStart w:id="232" w:name="_Toc184312136"/>
      <w:bookmarkEnd w:id="232"/>
      <w:bookmarkStart w:id="233" w:name="_Toc184314445"/>
      <w:bookmarkEnd w:id="233"/>
      <w:bookmarkStart w:id="234" w:name="_Toc184313240"/>
      <w:bookmarkEnd w:id="234"/>
      <w:bookmarkStart w:id="235" w:name="_Toc184314456"/>
      <w:bookmarkEnd w:id="235"/>
      <w:bookmarkStart w:id="236" w:name="_Toc184310286"/>
      <w:bookmarkEnd w:id="236"/>
      <w:bookmarkStart w:id="237" w:name="_Toc184314417"/>
      <w:bookmarkEnd w:id="237"/>
      <w:bookmarkStart w:id="238" w:name="_Toc184313252"/>
      <w:bookmarkEnd w:id="238"/>
      <w:bookmarkStart w:id="239" w:name="_Toc184313272"/>
      <w:bookmarkEnd w:id="239"/>
      <w:bookmarkStart w:id="240" w:name="_Toc184312093"/>
      <w:bookmarkEnd w:id="240"/>
      <w:bookmarkStart w:id="241" w:name="_Toc184313267"/>
      <w:bookmarkEnd w:id="241"/>
      <w:bookmarkStart w:id="242" w:name="_Toc184314443"/>
      <w:bookmarkEnd w:id="242"/>
      <w:bookmarkStart w:id="243" w:name="_Toc184310341"/>
      <w:bookmarkEnd w:id="243"/>
      <w:bookmarkStart w:id="244" w:name="_Toc184313268"/>
      <w:bookmarkEnd w:id="244"/>
      <w:bookmarkStart w:id="245" w:name="_Toc184308065"/>
      <w:bookmarkEnd w:id="245"/>
      <w:bookmarkStart w:id="246" w:name="_Toc184314442"/>
      <w:bookmarkEnd w:id="246"/>
      <w:bookmarkStart w:id="247" w:name="_Toc184310310"/>
      <w:bookmarkEnd w:id="247"/>
      <w:bookmarkStart w:id="248" w:name="_Toc184313238"/>
      <w:bookmarkEnd w:id="248"/>
      <w:bookmarkStart w:id="249" w:name="_Toc184313303"/>
      <w:bookmarkEnd w:id="249"/>
      <w:bookmarkStart w:id="250" w:name="_Toc184310300"/>
      <w:bookmarkEnd w:id="250"/>
      <w:bookmarkStart w:id="251" w:name="_Toc184313283"/>
      <w:bookmarkEnd w:id="251"/>
      <w:bookmarkStart w:id="252" w:name="_Toc184312098"/>
      <w:bookmarkEnd w:id="252"/>
      <w:bookmarkStart w:id="253" w:name="_Toc184314444"/>
      <w:bookmarkEnd w:id="253"/>
      <w:bookmarkStart w:id="254" w:name="_Toc184310303"/>
      <w:bookmarkEnd w:id="254"/>
      <w:bookmarkStart w:id="255" w:name="_Toc184314438"/>
      <w:bookmarkEnd w:id="255"/>
      <w:bookmarkStart w:id="256" w:name="_Toc184312095"/>
      <w:bookmarkEnd w:id="256"/>
      <w:bookmarkStart w:id="257" w:name="_Toc184313270"/>
      <w:bookmarkEnd w:id="257"/>
      <w:bookmarkStart w:id="258" w:name="_Toc184308072"/>
      <w:bookmarkEnd w:id="258"/>
      <w:bookmarkStart w:id="259" w:name="_Toc184308084"/>
      <w:bookmarkEnd w:id="259"/>
      <w:bookmarkStart w:id="260" w:name="_Toc184312100"/>
      <w:bookmarkEnd w:id="260"/>
      <w:bookmarkStart w:id="261" w:name="_Toc184312103"/>
      <w:bookmarkEnd w:id="261"/>
      <w:bookmarkStart w:id="262" w:name="_Toc184312102"/>
      <w:bookmarkEnd w:id="262"/>
      <w:bookmarkStart w:id="263" w:name="_Toc184308070"/>
      <w:bookmarkEnd w:id="263"/>
      <w:bookmarkStart w:id="264" w:name="_Toc184310282"/>
      <w:bookmarkEnd w:id="264"/>
      <w:bookmarkStart w:id="265" w:name="_Toc184310302"/>
      <w:bookmarkEnd w:id="265"/>
      <w:bookmarkStart w:id="266" w:name="_Toc184308066"/>
      <w:bookmarkEnd w:id="266"/>
      <w:bookmarkStart w:id="267" w:name="_Toc184310315"/>
      <w:bookmarkEnd w:id="267"/>
      <w:bookmarkStart w:id="268" w:name="_Toc184314440"/>
      <w:bookmarkEnd w:id="268"/>
      <w:bookmarkStart w:id="269" w:name="_Toc184314426"/>
      <w:bookmarkEnd w:id="269"/>
      <w:bookmarkStart w:id="270" w:name="_Toc184308074"/>
      <w:bookmarkEnd w:id="270"/>
      <w:bookmarkStart w:id="271" w:name="_Toc184312097"/>
      <w:bookmarkEnd w:id="271"/>
      <w:bookmarkStart w:id="272" w:name="_Toc184312126"/>
      <w:bookmarkEnd w:id="272"/>
      <w:bookmarkStart w:id="273" w:name="_Toc184312084"/>
      <w:bookmarkEnd w:id="273"/>
      <w:bookmarkStart w:id="274" w:name="_Toc184314413"/>
      <w:bookmarkEnd w:id="274"/>
      <w:bookmarkStart w:id="275" w:name="_Toc184312116"/>
      <w:bookmarkEnd w:id="275"/>
      <w:bookmarkStart w:id="276" w:name="_Toc184313262"/>
      <w:bookmarkEnd w:id="276"/>
      <w:bookmarkStart w:id="277" w:name="_Toc184308049"/>
      <w:bookmarkEnd w:id="277"/>
      <w:bookmarkStart w:id="278" w:name="_Toc184313277"/>
      <w:bookmarkEnd w:id="278"/>
      <w:bookmarkStart w:id="279" w:name="_Toc184313266"/>
      <w:bookmarkEnd w:id="279"/>
      <w:bookmarkStart w:id="280" w:name="_Toc184314449"/>
      <w:bookmarkEnd w:id="280"/>
      <w:bookmarkStart w:id="281" w:name="_Toc184308052"/>
      <w:bookmarkEnd w:id="281"/>
      <w:bookmarkStart w:id="282" w:name="_Toc184310322"/>
      <w:bookmarkEnd w:id="282"/>
      <w:bookmarkStart w:id="283" w:name="_Toc184313280"/>
      <w:bookmarkEnd w:id="283"/>
      <w:bookmarkStart w:id="284" w:name="_Toc184313287"/>
      <w:bookmarkEnd w:id="284"/>
      <w:bookmarkStart w:id="285" w:name="_Toc184314458"/>
      <w:bookmarkEnd w:id="285"/>
      <w:bookmarkStart w:id="286" w:name="_Toc184312117"/>
      <w:bookmarkEnd w:id="286"/>
      <w:bookmarkStart w:id="287" w:name="_Toc184314447"/>
      <w:bookmarkEnd w:id="287"/>
      <w:bookmarkStart w:id="288" w:name="_Toc184312096"/>
      <w:bookmarkEnd w:id="288"/>
      <w:bookmarkStart w:id="289" w:name="_Toc184310305"/>
      <w:bookmarkEnd w:id="289"/>
      <w:bookmarkStart w:id="290" w:name="_Toc184310298"/>
      <w:bookmarkEnd w:id="290"/>
      <w:bookmarkStart w:id="291" w:name="_Toc184310288"/>
      <w:bookmarkEnd w:id="291"/>
      <w:bookmarkStart w:id="292" w:name="_Toc184308067"/>
      <w:bookmarkEnd w:id="292"/>
      <w:bookmarkStart w:id="293" w:name="_Toc184314434"/>
      <w:bookmarkEnd w:id="293"/>
      <w:bookmarkStart w:id="294" w:name="_Toc184310296"/>
      <w:bookmarkEnd w:id="294"/>
      <w:bookmarkStart w:id="295" w:name="_Toc184310314"/>
      <w:bookmarkEnd w:id="295"/>
      <w:bookmarkStart w:id="296" w:name="_Toc184312094"/>
      <w:bookmarkEnd w:id="296"/>
      <w:bookmarkStart w:id="297" w:name="_Toc184314454"/>
      <w:bookmarkEnd w:id="297"/>
      <w:bookmarkStart w:id="298" w:name="_Toc184310301"/>
      <w:bookmarkEnd w:id="298"/>
      <w:bookmarkStart w:id="299" w:name="_Toc184312069"/>
      <w:bookmarkEnd w:id="299"/>
      <w:bookmarkStart w:id="300" w:name="_Toc184308064"/>
      <w:bookmarkEnd w:id="300"/>
      <w:bookmarkStart w:id="301" w:name="_Toc184312106"/>
      <w:bookmarkEnd w:id="301"/>
      <w:bookmarkStart w:id="302" w:name="_Toc184308053"/>
      <w:bookmarkEnd w:id="302"/>
      <w:bookmarkStart w:id="303" w:name="_Toc184308055"/>
      <w:bookmarkEnd w:id="303"/>
      <w:bookmarkStart w:id="304" w:name="_Toc184314450"/>
      <w:bookmarkEnd w:id="304"/>
      <w:bookmarkStart w:id="305" w:name="_Toc184313245"/>
      <w:bookmarkEnd w:id="305"/>
      <w:bookmarkStart w:id="306" w:name="_Toc184310278"/>
      <w:bookmarkEnd w:id="306"/>
      <w:bookmarkStart w:id="307" w:name="_Toc184310274"/>
      <w:bookmarkEnd w:id="307"/>
      <w:bookmarkStart w:id="308" w:name="_Toc184312135"/>
      <w:bookmarkEnd w:id="308"/>
      <w:bookmarkStart w:id="309" w:name="_Toc184308107"/>
      <w:bookmarkEnd w:id="309"/>
      <w:bookmarkStart w:id="310" w:name="_Toc184308044"/>
      <w:bookmarkEnd w:id="310"/>
      <w:bookmarkStart w:id="311" w:name="_Toc184313254"/>
      <w:bookmarkEnd w:id="311"/>
      <w:bookmarkStart w:id="312" w:name="_Toc184312085"/>
      <w:bookmarkEnd w:id="312"/>
      <w:bookmarkStart w:id="313" w:name="_Toc184314476"/>
      <w:bookmarkEnd w:id="313"/>
      <w:bookmarkStart w:id="314" w:name="_Toc184308042"/>
      <w:bookmarkEnd w:id="314"/>
      <w:bookmarkStart w:id="315" w:name="_Toc184312139"/>
      <w:bookmarkEnd w:id="315"/>
      <w:bookmarkStart w:id="316" w:name="_Toc184314459"/>
      <w:bookmarkEnd w:id="316"/>
      <w:bookmarkStart w:id="317" w:name="_Toc184312115"/>
      <w:bookmarkEnd w:id="317"/>
      <w:bookmarkStart w:id="318" w:name="_Toc184310280"/>
      <w:bookmarkEnd w:id="318"/>
      <w:bookmarkStart w:id="319" w:name="_Toc184313243"/>
      <w:bookmarkEnd w:id="319"/>
      <w:bookmarkStart w:id="320" w:name="_Toc184314416"/>
      <w:bookmarkEnd w:id="320"/>
      <w:bookmarkStart w:id="321" w:name="_Toc184310279"/>
      <w:bookmarkEnd w:id="321"/>
      <w:bookmarkStart w:id="322" w:name="_Toc184312072"/>
      <w:bookmarkEnd w:id="322"/>
      <w:bookmarkStart w:id="323" w:name="_Toc184308043"/>
      <w:bookmarkEnd w:id="323"/>
      <w:bookmarkStart w:id="324" w:name="_Toc184313263"/>
      <w:bookmarkEnd w:id="324"/>
      <w:bookmarkStart w:id="325" w:name="_Toc184308040"/>
      <w:bookmarkEnd w:id="325"/>
      <w:bookmarkStart w:id="326" w:name="_Toc184314418"/>
      <w:bookmarkEnd w:id="326"/>
      <w:bookmarkStart w:id="327" w:name="_Toc184313292"/>
      <w:bookmarkEnd w:id="327"/>
      <w:bookmarkStart w:id="328" w:name="_Toc184312074"/>
      <w:bookmarkEnd w:id="328"/>
      <w:bookmarkStart w:id="329" w:name="_Toc184312070"/>
      <w:bookmarkEnd w:id="329"/>
      <w:bookmarkStart w:id="330" w:name="_Toc184310330"/>
      <w:bookmarkEnd w:id="330"/>
      <w:bookmarkStart w:id="331" w:name="_Toc184313260"/>
      <w:bookmarkEnd w:id="331"/>
      <w:bookmarkStart w:id="332" w:name="_Toc184310283"/>
      <w:bookmarkEnd w:id="332"/>
      <w:bookmarkStart w:id="333" w:name="_Toc184310275"/>
      <w:bookmarkEnd w:id="333"/>
      <w:bookmarkStart w:id="334" w:name="_Toc184313244"/>
      <w:bookmarkEnd w:id="334"/>
      <w:bookmarkStart w:id="335" w:name="_Toc184312083"/>
      <w:bookmarkEnd w:id="335"/>
      <w:bookmarkStart w:id="336" w:name="_Toc184308039"/>
      <w:bookmarkEnd w:id="336"/>
      <w:bookmarkStart w:id="337" w:name="_Toc184314451"/>
      <w:bookmarkEnd w:id="337"/>
      <w:bookmarkStart w:id="338" w:name="_Toc184314462"/>
      <w:bookmarkEnd w:id="338"/>
      <w:bookmarkStart w:id="339" w:name="_Toc184313289"/>
      <w:bookmarkEnd w:id="339"/>
      <w:bookmarkStart w:id="340" w:name="_Toc184314465"/>
      <w:bookmarkEnd w:id="340"/>
      <w:bookmarkStart w:id="341" w:name="_Toc184310291"/>
      <w:bookmarkEnd w:id="341"/>
      <w:bookmarkStart w:id="342" w:name="_Toc184313255"/>
      <w:bookmarkEnd w:id="342"/>
      <w:bookmarkStart w:id="343" w:name="_Toc184313256"/>
      <w:bookmarkEnd w:id="343"/>
      <w:bookmarkStart w:id="344" w:name="_Toc184312086"/>
      <w:bookmarkEnd w:id="344"/>
      <w:bookmarkStart w:id="345" w:name="_Toc184310324"/>
      <w:bookmarkEnd w:id="345"/>
      <w:bookmarkStart w:id="346" w:name="_Toc184312073"/>
      <w:bookmarkEnd w:id="346"/>
      <w:bookmarkStart w:id="347" w:name="_Toc184313241"/>
      <w:bookmarkEnd w:id="347"/>
      <w:bookmarkStart w:id="348" w:name="_Toc184314415"/>
      <w:bookmarkEnd w:id="348"/>
      <w:bookmarkStart w:id="349" w:name="_Toc184314429"/>
      <w:bookmarkEnd w:id="349"/>
      <w:bookmarkStart w:id="350" w:name="_Toc184313246"/>
      <w:bookmarkEnd w:id="350"/>
      <w:bookmarkStart w:id="351" w:name="_Toc184313253"/>
      <w:bookmarkEnd w:id="351"/>
      <w:bookmarkStart w:id="352" w:name="_Toc184308077"/>
      <w:bookmarkEnd w:id="352"/>
      <w:bookmarkStart w:id="353" w:name="_Toc184312137"/>
      <w:bookmarkEnd w:id="353"/>
      <w:bookmarkStart w:id="354" w:name="_Toc184313308"/>
      <w:bookmarkEnd w:id="354"/>
      <w:bookmarkStart w:id="355" w:name="_Toc184312067"/>
      <w:bookmarkEnd w:id="355"/>
      <w:bookmarkStart w:id="356" w:name="_Toc184312092"/>
      <w:bookmarkEnd w:id="356"/>
      <w:bookmarkStart w:id="357" w:name="_Toc184308099"/>
      <w:bookmarkEnd w:id="357"/>
      <w:bookmarkStart w:id="358" w:name="_Toc184312130"/>
      <w:bookmarkEnd w:id="358"/>
      <w:bookmarkStart w:id="359" w:name="_Toc184310325"/>
      <w:bookmarkEnd w:id="359"/>
      <w:bookmarkStart w:id="360" w:name="_Toc184308105"/>
      <w:bookmarkEnd w:id="360"/>
      <w:bookmarkStart w:id="361" w:name="_Toc184312075"/>
      <w:bookmarkEnd w:id="361"/>
      <w:bookmarkStart w:id="362" w:name="_Toc184313258"/>
      <w:bookmarkEnd w:id="362"/>
      <w:bookmarkStart w:id="363" w:name="_Toc184314481"/>
      <w:bookmarkEnd w:id="363"/>
      <w:bookmarkStart w:id="364" w:name="_Toc184313288"/>
      <w:bookmarkEnd w:id="364"/>
      <w:bookmarkStart w:id="365" w:name="_Toc184308090"/>
      <w:bookmarkEnd w:id="365"/>
      <w:bookmarkStart w:id="366" w:name="_Toc184312108"/>
      <w:bookmarkEnd w:id="366"/>
      <w:bookmarkStart w:id="367" w:name="_Toc184308088"/>
      <w:bookmarkEnd w:id="367"/>
      <w:bookmarkStart w:id="368" w:name="_Toc184312120"/>
      <w:bookmarkEnd w:id="368"/>
      <w:bookmarkStart w:id="369" w:name="_Toc184314421"/>
      <w:bookmarkEnd w:id="369"/>
      <w:bookmarkStart w:id="370" w:name="_Toc184312121"/>
      <w:bookmarkEnd w:id="370"/>
      <w:bookmarkStart w:id="371" w:name="_Toc184313290"/>
      <w:bookmarkEnd w:id="371"/>
      <w:bookmarkStart w:id="372" w:name="_Toc184312112"/>
      <w:bookmarkEnd w:id="372"/>
      <w:bookmarkStart w:id="373" w:name="_Toc184310343"/>
      <w:bookmarkEnd w:id="373"/>
      <w:bookmarkStart w:id="374" w:name="_Toc184310323"/>
      <w:bookmarkEnd w:id="374"/>
      <w:bookmarkStart w:id="375" w:name="_Toc184310337"/>
      <w:bookmarkEnd w:id="375"/>
      <w:bookmarkStart w:id="376" w:name="_Toc184308048"/>
      <w:bookmarkEnd w:id="376"/>
      <w:bookmarkStart w:id="377" w:name="_Toc184310285"/>
      <w:bookmarkEnd w:id="377"/>
      <w:bookmarkStart w:id="378" w:name="_Toc184314480"/>
      <w:bookmarkEnd w:id="378"/>
      <w:bookmarkStart w:id="379" w:name="_Toc184310319"/>
      <w:bookmarkEnd w:id="379"/>
      <w:bookmarkStart w:id="380" w:name="_Toc184308093"/>
      <w:bookmarkEnd w:id="380"/>
      <w:bookmarkStart w:id="381" w:name="_Toc184308078"/>
      <w:bookmarkEnd w:id="381"/>
      <w:bookmarkStart w:id="382" w:name="_Toc184308108"/>
      <w:bookmarkEnd w:id="382"/>
      <w:bookmarkStart w:id="383" w:name="_Toc184310331"/>
      <w:bookmarkEnd w:id="383"/>
      <w:bookmarkStart w:id="384" w:name="_Toc184312118"/>
      <w:bookmarkEnd w:id="384"/>
      <w:bookmarkStart w:id="385" w:name="_Toc184308087"/>
      <w:bookmarkEnd w:id="385"/>
      <w:bookmarkStart w:id="386" w:name="_Toc184310340"/>
      <w:bookmarkEnd w:id="386"/>
      <w:bookmarkStart w:id="387" w:name="_Toc184314461"/>
      <w:bookmarkEnd w:id="387"/>
      <w:bookmarkStart w:id="388" w:name="_Toc184314463"/>
      <w:bookmarkEnd w:id="388"/>
      <w:bookmarkStart w:id="389" w:name="_Toc184308079"/>
      <w:bookmarkEnd w:id="389"/>
      <w:bookmarkStart w:id="390" w:name="_Toc184313250"/>
      <w:bookmarkEnd w:id="390"/>
      <w:bookmarkStart w:id="391" w:name="_Toc184314436"/>
      <w:bookmarkEnd w:id="391"/>
      <w:bookmarkStart w:id="392" w:name="_Toc184312080"/>
      <w:bookmarkEnd w:id="392"/>
      <w:bookmarkStart w:id="393" w:name="_Toc184308085"/>
      <w:bookmarkEnd w:id="393"/>
      <w:bookmarkStart w:id="394" w:name="_Toc184312119"/>
      <w:bookmarkEnd w:id="394"/>
      <w:bookmarkStart w:id="395" w:name="_Toc184312105"/>
      <w:bookmarkEnd w:id="395"/>
      <w:bookmarkStart w:id="396" w:name="_Toc184314479"/>
      <w:bookmarkEnd w:id="396"/>
      <w:bookmarkStart w:id="397" w:name="_Toc184313300"/>
      <w:bookmarkEnd w:id="397"/>
      <w:bookmarkStart w:id="398" w:name="_Toc184313239"/>
      <w:bookmarkEnd w:id="398"/>
      <w:bookmarkStart w:id="399" w:name="_Toc184312114"/>
      <w:bookmarkEnd w:id="399"/>
      <w:bookmarkStart w:id="400" w:name="_Toc184314464"/>
      <w:bookmarkEnd w:id="400"/>
      <w:bookmarkStart w:id="401" w:name="_Toc184313274"/>
      <w:bookmarkEnd w:id="401"/>
      <w:bookmarkStart w:id="402" w:name="_Toc184313278"/>
      <w:bookmarkEnd w:id="402"/>
      <w:r>
        <w:rPr>
          <w:rFonts w:hint="eastAsia" w:ascii="仿宋_GB2312" w:hAnsi="仿宋" w:eastAsia="仿宋_GB2312" w:cs="仿宋_GB2312"/>
          <w:b/>
          <w:color w:val="auto"/>
          <w:sz w:val="36"/>
          <w:szCs w:val="36"/>
          <w:highlight w:val="none"/>
        </w:rPr>
        <w:t>评标方法及评分标准</w:t>
      </w:r>
    </w:p>
    <w:p>
      <w:pPr>
        <w:snapToGrid w:val="0"/>
        <w:spacing w:line="360" w:lineRule="auto"/>
        <w:ind w:firstLine="3052" w:firstLineChars="950"/>
        <w:rPr>
          <w:rFonts w:hint="eastAsia"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rPr>
          <w:rFonts w:hint="eastAsia"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1.综合评分法。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_GB2312" w:hAnsi="仿宋" w:eastAsia="仿宋_GB2312" w:cs="Arial"/>
          <w:color w:val="auto"/>
          <w:kern w:val="0"/>
          <w:sz w:val="24"/>
          <w:highlight w:val="none"/>
        </w:rPr>
      </w:pPr>
    </w:p>
    <w:p>
      <w:pPr>
        <w:snapToGrid w:val="0"/>
        <w:spacing w:line="360" w:lineRule="auto"/>
        <w:ind w:left="120" w:leftChars="57" w:firstLine="422" w:firstLineChars="150"/>
        <w:jc w:val="center"/>
        <w:rPr>
          <w:rFonts w:hint="eastAsia" w:ascii="仿宋_GB2312" w:hAnsi="仿宋" w:eastAsia="仿宋_GB2312" w:cs="仿宋_GB2312"/>
          <w:b/>
          <w:color w:val="auto"/>
          <w:sz w:val="32"/>
          <w:highlight w:val="none"/>
        </w:rPr>
      </w:pPr>
      <w:r>
        <w:rPr>
          <w:rFonts w:hint="eastAsia" w:ascii="仿宋_GB2312" w:hAnsi="仿宋" w:eastAsia="仿宋_GB2312"/>
          <w:b/>
          <w:color w:val="auto"/>
          <w:sz w:val="28"/>
          <w:szCs w:val="28"/>
          <w:highlight w:val="none"/>
        </w:rPr>
        <w:t xml:space="preserve">   </w:t>
      </w:r>
      <w:r>
        <w:rPr>
          <w:rFonts w:hint="eastAsia" w:ascii="仿宋_GB2312" w:hAnsi="仿宋" w:eastAsia="仿宋_GB2312" w:cs="仿宋_GB2312"/>
          <w:b/>
          <w:color w:val="auto"/>
          <w:sz w:val="32"/>
          <w:highlight w:val="none"/>
        </w:rPr>
        <w:t>二、评标委员会的组成</w:t>
      </w:r>
    </w:p>
    <w:p>
      <w:pPr>
        <w:snapToGrid w:val="0"/>
        <w:spacing w:line="360" w:lineRule="auto"/>
        <w:rPr>
          <w:rFonts w:hint="eastAsia"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2.评标委员会的组成。</w:t>
      </w:r>
      <w:r>
        <w:rPr>
          <w:rFonts w:hint="eastAsia" w:ascii="仿宋_GB2312" w:hAnsi="仿宋" w:eastAsia="仿宋_GB2312" w:cs="Arial"/>
          <w:color w:val="auto"/>
          <w:kern w:val="0"/>
          <w:sz w:val="24"/>
          <w:highlight w:val="none"/>
        </w:rPr>
        <w:t>评标委员会由采购人代表和评审专家组成，成员人数为5人以上单数，其中评审专家不少于成员总数的三分之二。</w:t>
      </w:r>
    </w:p>
    <w:p>
      <w:pPr>
        <w:pStyle w:val="414"/>
        <w:spacing w:before="0"/>
        <w:ind w:firstLine="0" w:firstLineChars="0"/>
        <w:rPr>
          <w:rFonts w:hint="eastAsia" w:ascii="仿宋_GB2312" w:hAnsi="仿宋" w:eastAsia="仿宋_GB2312" w:cs="Arial"/>
          <w:color w:val="auto"/>
          <w:kern w:val="0"/>
          <w:highlight w:val="none"/>
        </w:rPr>
      </w:pPr>
      <w:r>
        <w:rPr>
          <w:rFonts w:hint="eastAsia" w:ascii="仿宋_GB2312" w:hAnsi="仿宋" w:eastAsia="仿宋_GB2312" w:cs="Arial"/>
          <w:b/>
          <w:color w:val="auto"/>
          <w:kern w:val="0"/>
          <w:highlight w:val="none"/>
        </w:rPr>
        <w:t>3.评</w:t>
      </w:r>
      <w:r>
        <w:rPr>
          <w:rFonts w:hint="eastAsia" w:ascii="仿宋_GB2312" w:hAnsi="仿宋" w:eastAsia="仿宋_GB2312" w:cs="Arial"/>
          <w:b/>
          <w:color w:val="auto"/>
          <w:kern w:val="0"/>
          <w:szCs w:val="24"/>
          <w:highlight w:val="none"/>
        </w:rPr>
        <w:t>标委员会的组成人员的回避。</w:t>
      </w:r>
      <w:r>
        <w:rPr>
          <w:rFonts w:hint="eastAsia" w:ascii="仿宋_GB2312" w:hAnsi="仿宋" w:eastAsia="仿宋_GB2312" w:cs="Arial"/>
          <w:color w:val="auto"/>
          <w:kern w:val="0"/>
          <w:highlight w:val="none"/>
        </w:rPr>
        <w:t>在政府采购活动中，评标委员会的组成人员与供应商有下列利害关系之一的，应当回避：</w:t>
      </w:r>
    </w:p>
    <w:p>
      <w:pPr>
        <w:pStyle w:val="414"/>
        <w:spacing w:before="0"/>
        <w:ind w:firstLine="0" w:firstLineChars="0"/>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rPr>
        <w:t>　　3.1参加采购活动前3年内与供应商存在劳动关系；</w:t>
      </w:r>
    </w:p>
    <w:p>
      <w:pPr>
        <w:pStyle w:val="414"/>
        <w:spacing w:before="0"/>
        <w:ind w:firstLine="0" w:firstLineChars="0"/>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rPr>
        <w:t>　　3.2参加采购活动前3年内担任供应商的董事、监事；</w:t>
      </w:r>
    </w:p>
    <w:p>
      <w:pPr>
        <w:pStyle w:val="414"/>
        <w:spacing w:before="0"/>
        <w:ind w:firstLine="0" w:firstLineChars="0"/>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rPr>
        <w:t>　　3.3参加采购活动前3年内是供应商的控股股东或者实际控制人；</w:t>
      </w:r>
    </w:p>
    <w:p>
      <w:pPr>
        <w:pStyle w:val="414"/>
        <w:spacing w:before="0"/>
        <w:ind w:firstLine="0" w:firstLineChars="0"/>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rPr>
        <w:t>　　3.4与供应商的法定代表人或者负责人有夫妻、直系血亲、三代以内旁系血亲或者近姻亲关系；</w:t>
      </w:r>
    </w:p>
    <w:p>
      <w:pPr>
        <w:pStyle w:val="414"/>
        <w:spacing w:before="0"/>
        <w:ind w:firstLine="0" w:firstLineChars="0"/>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rPr>
        <w:t>　 3.5与供应商有其他可能影响政府采购活动公平、公正进行的关系。</w:t>
      </w:r>
    </w:p>
    <w:p>
      <w:pPr>
        <w:snapToGrid w:val="0"/>
        <w:spacing w:line="360" w:lineRule="auto"/>
        <w:ind w:left="120" w:leftChars="57" w:firstLine="482" w:firstLineChars="150"/>
        <w:jc w:val="center"/>
        <w:rPr>
          <w:rFonts w:hint="eastAsia" w:ascii="仿宋_GB2312" w:hAnsi="仿宋" w:eastAsia="仿宋_GB2312"/>
          <w:b/>
          <w:color w:val="auto"/>
          <w:sz w:val="32"/>
          <w:szCs w:val="32"/>
          <w:highlight w:val="none"/>
        </w:rPr>
      </w:pPr>
    </w:p>
    <w:p>
      <w:pPr>
        <w:snapToGrid w:val="0"/>
        <w:spacing w:line="360" w:lineRule="auto"/>
        <w:ind w:left="120" w:leftChars="57" w:firstLine="482" w:firstLineChars="150"/>
        <w:jc w:val="center"/>
        <w:rPr>
          <w:rFonts w:hint="eastAsia" w:ascii="仿宋_GB2312" w:hAnsi="仿宋" w:eastAsia="仿宋_GB2312"/>
          <w:b/>
          <w:color w:val="auto"/>
          <w:sz w:val="32"/>
          <w:szCs w:val="32"/>
          <w:highlight w:val="none"/>
        </w:rPr>
      </w:pPr>
      <w:r>
        <w:rPr>
          <w:rFonts w:hint="eastAsia" w:ascii="仿宋_GB2312" w:hAnsi="仿宋" w:eastAsia="仿宋_GB2312"/>
          <w:b/>
          <w:color w:val="auto"/>
          <w:sz w:val="32"/>
          <w:szCs w:val="32"/>
          <w:highlight w:val="none"/>
        </w:rPr>
        <w:t>　</w:t>
      </w:r>
      <w:r>
        <w:rPr>
          <w:rFonts w:hint="eastAsia" w:ascii="仿宋_GB2312" w:hAnsi="仿宋" w:eastAsia="仿宋_GB2312" w:cs="仿宋_GB2312"/>
          <w:b/>
          <w:color w:val="auto"/>
          <w:sz w:val="32"/>
          <w:highlight w:val="none"/>
        </w:rPr>
        <w:t>　三、评标委员会的职责</w:t>
      </w:r>
    </w:p>
    <w:p>
      <w:pPr>
        <w:pStyle w:val="414"/>
        <w:spacing w:before="0"/>
        <w:ind w:firstLine="0" w:firstLineChars="0"/>
        <w:rPr>
          <w:rFonts w:hint="eastAsia" w:ascii="仿宋_GB2312" w:hAnsi="仿宋" w:eastAsia="仿宋_GB2312" w:cs="Arial"/>
          <w:b/>
          <w:color w:val="auto"/>
          <w:kern w:val="0"/>
          <w:szCs w:val="24"/>
          <w:highlight w:val="none"/>
        </w:rPr>
      </w:pPr>
      <w:r>
        <w:rPr>
          <w:rFonts w:hint="eastAsia" w:ascii="仿宋_GB2312" w:hAnsi="仿宋" w:eastAsia="仿宋_GB2312" w:cs="Arial"/>
          <w:b/>
          <w:color w:val="auto"/>
          <w:kern w:val="0"/>
          <w:szCs w:val="24"/>
          <w:highlight w:val="none"/>
        </w:rPr>
        <w:t>4.评标委员会负责具体评标事务，并独立履行下列职责：</w:t>
      </w:r>
    </w:p>
    <w:p>
      <w:pPr>
        <w:pStyle w:val="414"/>
        <w:spacing w:before="0"/>
        <w:ind w:firstLine="0" w:firstLineChars="0"/>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rPr>
        <w:t>4.1审查、评价投标文件是否符合招标文件的商务、技术等实质性要求；</w:t>
      </w:r>
    </w:p>
    <w:p>
      <w:pPr>
        <w:pStyle w:val="414"/>
        <w:spacing w:before="0"/>
        <w:ind w:firstLine="0" w:firstLineChars="0"/>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rPr>
        <w:t>4.2要求投标人对投标文件有关事项作出澄清或者说明；</w:t>
      </w:r>
    </w:p>
    <w:p>
      <w:pPr>
        <w:pStyle w:val="414"/>
        <w:spacing w:before="0"/>
        <w:ind w:firstLine="0" w:firstLineChars="0"/>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rPr>
        <w:t>4.3对投标文件进行比较和评价；</w:t>
      </w:r>
    </w:p>
    <w:p>
      <w:pPr>
        <w:pStyle w:val="414"/>
        <w:spacing w:before="0"/>
        <w:ind w:firstLine="0" w:firstLineChars="0"/>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rPr>
        <w:t>4.4确定中标候选人名单，以及根据采购人委托直接确定中标人；</w:t>
      </w:r>
    </w:p>
    <w:p>
      <w:pPr>
        <w:pStyle w:val="414"/>
        <w:spacing w:before="0"/>
        <w:ind w:firstLine="0" w:firstLineChars="0"/>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rPr>
        <w:t>4.5向采购人、采购机构或者有关部门报告评标中发现的违法行为；</w:t>
      </w:r>
    </w:p>
    <w:p>
      <w:pPr>
        <w:pStyle w:val="414"/>
        <w:spacing w:before="0"/>
        <w:ind w:firstLine="0" w:firstLineChars="0"/>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rPr>
        <w:t>4.6法律、法规、规章、招标文件等规定的其它事项。</w:t>
      </w:r>
    </w:p>
    <w:p>
      <w:pPr>
        <w:pStyle w:val="414"/>
        <w:spacing w:before="0"/>
        <w:ind w:firstLine="0" w:firstLineChars="0"/>
        <w:rPr>
          <w:rFonts w:hint="eastAsia" w:ascii="仿宋_GB2312" w:hAnsi="仿宋" w:eastAsia="仿宋_GB2312" w:cs="Arial"/>
          <w:b/>
          <w:color w:val="auto"/>
          <w:kern w:val="0"/>
          <w:szCs w:val="24"/>
          <w:highlight w:val="none"/>
        </w:rPr>
      </w:pPr>
      <w:r>
        <w:rPr>
          <w:rFonts w:hint="eastAsia" w:ascii="仿宋_GB2312" w:hAnsi="仿宋" w:eastAsia="仿宋_GB2312" w:cs="Arial"/>
          <w:b/>
          <w:color w:val="auto"/>
          <w:kern w:val="0"/>
          <w:szCs w:val="24"/>
          <w:highlight w:val="none"/>
        </w:rPr>
        <w:t>5.评标委员会及其成员不得有下列行为：</w:t>
      </w:r>
    </w:p>
    <w:p>
      <w:pPr>
        <w:pStyle w:val="414"/>
        <w:spacing w:before="0"/>
        <w:ind w:firstLine="0" w:firstLineChars="0"/>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rPr>
        <w:t>　5.1确定参与评标至评标结束前私自接触投标人；</w:t>
      </w:r>
    </w:p>
    <w:p>
      <w:pPr>
        <w:pStyle w:val="414"/>
        <w:spacing w:before="0"/>
        <w:ind w:firstLine="0" w:firstLineChars="0"/>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rPr>
        <w:t>　5.2接受投标人提出的与投标文件不一致的澄清或者说明，《政府采购货物和服务招标投标管理办法》（财政部令第87号）第五十一条规定的情形除外；</w:t>
      </w:r>
    </w:p>
    <w:p>
      <w:pPr>
        <w:pStyle w:val="414"/>
        <w:spacing w:before="0"/>
        <w:ind w:firstLine="0" w:firstLineChars="0"/>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rPr>
        <w:t>　5.3违反评标纪律发表倾向性意见或者征询采购人的倾向性意见；</w:t>
      </w:r>
    </w:p>
    <w:p>
      <w:pPr>
        <w:pStyle w:val="414"/>
        <w:spacing w:before="0"/>
        <w:ind w:firstLine="0" w:firstLineChars="0"/>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rPr>
        <w:t>　5.4对需要专业判断的主观评审因素协商评分；</w:t>
      </w:r>
    </w:p>
    <w:p>
      <w:pPr>
        <w:pStyle w:val="414"/>
        <w:spacing w:before="0"/>
        <w:ind w:firstLine="0" w:firstLineChars="0"/>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rPr>
        <w:t>　5.5在评标过程中擅离职守，影响评标程序正常进行的；</w:t>
      </w:r>
    </w:p>
    <w:p>
      <w:pPr>
        <w:pStyle w:val="414"/>
        <w:spacing w:before="0"/>
        <w:ind w:firstLine="240" w:firstLineChars="100"/>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rPr>
        <w:t>5.6记录、复制或者带走任何评标资料；</w:t>
      </w:r>
    </w:p>
    <w:p>
      <w:pPr>
        <w:pStyle w:val="414"/>
        <w:spacing w:before="0"/>
        <w:ind w:firstLine="0" w:firstLineChars="0"/>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rPr>
        <w:t>　5.7其他不遵守评标纪律的行为。</w:t>
      </w:r>
    </w:p>
    <w:p>
      <w:pPr>
        <w:pStyle w:val="414"/>
        <w:spacing w:before="0"/>
        <w:ind w:firstLine="0" w:firstLineChars="0"/>
        <w:rPr>
          <w:rFonts w:hint="eastAsia" w:ascii="仿宋_GB2312" w:hAnsi="仿宋" w:eastAsia="仿宋_GB2312" w:cs="Arial"/>
          <w:color w:val="auto"/>
          <w:kern w:val="0"/>
          <w:highlight w:val="none"/>
        </w:rPr>
      </w:pPr>
      <w:r>
        <w:rPr>
          <w:rFonts w:hint="eastAsia" w:ascii="仿宋_GB2312" w:hAnsi="仿宋" w:eastAsia="仿宋_GB2312" w:cs="Arial"/>
          <w:color w:val="auto"/>
          <w:kern w:val="0"/>
          <w:highlight w:val="none"/>
        </w:rPr>
        <w:t>　　评标委员会成员有5.1-5.5行为之一的，其评审意见无效，并不得获取评审劳务报酬和报销异地评审差旅费。</w:t>
      </w:r>
    </w:p>
    <w:p>
      <w:pPr>
        <w:pStyle w:val="414"/>
        <w:spacing w:before="0"/>
        <w:ind w:firstLine="0" w:firstLineChars="0"/>
        <w:rPr>
          <w:rFonts w:hint="eastAsia" w:ascii="仿宋_GB2312" w:hAnsi="仿宋" w:eastAsia="仿宋_GB2312" w:cs="Arial"/>
          <w:color w:val="auto"/>
          <w:kern w:val="0"/>
          <w:highlight w:val="none"/>
        </w:rPr>
      </w:pPr>
    </w:p>
    <w:p>
      <w:pPr>
        <w:snapToGrid w:val="0"/>
        <w:spacing w:line="360" w:lineRule="auto"/>
        <w:ind w:left="120" w:leftChars="57" w:firstLine="482" w:firstLineChars="150"/>
        <w:jc w:val="center"/>
        <w:rPr>
          <w:rFonts w:hint="eastAsia"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四、评审程序</w:t>
      </w:r>
    </w:p>
    <w:p>
      <w:pPr>
        <w:pStyle w:val="414"/>
        <w:spacing w:before="0"/>
        <w:ind w:firstLine="0" w:firstLineChars="0"/>
        <w:rPr>
          <w:rFonts w:hint="eastAsia" w:ascii="仿宋_GB2312" w:hAnsi="仿宋" w:eastAsia="仿宋_GB2312" w:cs="Arial"/>
          <w:color w:val="auto"/>
          <w:kern w:val="0"/>
          <w:szCs w:val="24"/>
          <w:highlight w:val="none"/>
        </w:rPr>
      </w:pPr>
      <w:r>
        <w:rPr>
          <w:rFonts w:hint="eastAsia" w:ascii="仿宋_GB2312" w:hAnsi="仿宋" w:eastAsia="仿宋_GB2312" w:cs="Arial"/>
          <w:b/>
          <w:color w:val="auto"/>
          <w:kern w:val="0"/>
          <w:szCs w:val="24"/>
          <w:highlight w:val="none"/>
        </w:rPr>
        <w:t xml:space="preserve">6.符合性审查。 </w:t>
      </w:r>
      <w:r>
        <w:rPr>
          <w:rFonts w:hint="eastAsia" w:ascii="仿宋_GB2312" w:hAnsi="仿宋" w:eastAsia="仿宋_GB2312" w:cs="Arial"/>
          <w:color w:val="auto"/>
          <w:kern w:val="0"/>
          <w:szCs w:val="24"/>
          <w:highlight w:val="none"/>
        </w:rPr>
        <w:t>评标委员会应当对符合资格的投标人的投标文件进行符合性审查，以确定其是否满足招标文件的实质性要求。符合投标无效情形的，投标无效。</w:t>
      </w:r>
    </w:p>
    <w:p>
      <w:pPr>
        <w:pStyle w:val="414"/>
        <w:spacing w:before="0"/>
        <w:ind w:firstLine="0" w:firstLineChars="0"/>
        <w:rPr>
          <w:rFonts w:hint="eastAsia" w:ascii="仿宋_GB2312" w:hAnsi="仿宋" w:eastAsia="仿宋_GB2312" w:cs="Arial"/>
          <w:color w:val="auto"/>
          <w:kern w:val="0"/>
          <w:szCs w:val="24"/>
          <w:highlight w:val="none"/>
        </w:rPr>
      </w:pPr>
      <w:r>
        <w:rPr>
          <w:rFonts w:hint="eastAsia" w:ascii="仿宋_GB2312" w:hAnsi="仿宋" w:eastAsia="仿宋_GB2312" w:cs="Arial"/>
          <w:b/>
          <w:color w:val="auto"/>
          <w:kern w:val="0"/>
          <w:szCs w:val="24"/>
          <w:highlight w:val="none"/>
        </w:rPr>
        <w:t>7.投标人澄清、说明或者补正。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414"/>
        <w:spacing w:before="0"/>
        <w:ind w:firstLine="0" w:firstLineChars="0"/>
        <w:rPr>
          <w:rFonts w:hint="eastAsia" w:ascii="仿宋_GB2312" w:hAnsi="仿宋" w:eastAsia="仿宋_GB2312" w:cs="Arial"/>
          <w:color w:val="auto"/>
          <w:kern w:val="0"/>
          <w:szCs w:val="24"/>
          <w:highlight w:val="none"/>
        </w:rPr>
      </w:pPr>
      <w:r>
        <w:rPr>
          <w:rFonts w:hint="eastAsia" w:ascii="仿宋_GB2312" w:hAnsi="仿宋" w:eastAsia="仿宋_GB2312" w:cs="Arial"/>
          <w:b/>
          <w:color w:val="auto"/>
          <w:kern w:val="0"/>
          <w:szCs w:val="24"/>
          <w:highlight w:val="none"/>
        </w:rPr>
        <w:t>8. 比较与评价。</w:t>
      </w:r>
      <w:r>
        <w:rPr>
          <w:rFonts w:hint="eastAsia" w:ascii="仿宋_GB2312" w:hAnsi="仿宋" w:eastAsia="仿宋_GB2312" w:cs="Arial"/>
          <w:color w:val="auto"/>
          <w:kern w:val="0"/>
          <w:szCs w:val="24"/>
          <w:highlight w:val="none"/>
        </w:rPr>
        <w:t>评标委员会应当按照评标标准，对符合性审查合格的投标文件进行商务和技术评估，综合比较与评价。</w:t>
      </w:r>
    </w:p>
    <w:p>
      <w:pPr>
        <w:pStyle w:val="414"/>
        <w:spacing w:before="0"/>
        <w:ind w:firstLine="0" w:firstLineChars="0"/>
        <w:rPr>
          <w:rFonts w:hint="eastAsia" w:ascii="仿宋_GB2312" w:hAnsi="仿宋" w:eastAsia="仿宋_GB2312" w:cs="Arial"/>
          <w:color w:val="auto"/>
          <w:kern w:val="0"/>
          <w:szCs w:val="24"/>
          <w:highlight w:val="none"/>
        </w:rPr>
      </w:pPr>
      <w:r>
        <w:rPr>
          <w:rFonts w:hint="eastAsia" w:ascii="仿宋_GB2312" w:hAnsi="仿宋" w:eastAsia="仿宋_GB2312" w:cs="Arial"/>
          <w:b/>
          <w:color w:val="auto"/>
          <w:kern w:val="0"/>
          <w:szCs w:val="24"/>
          <w:highlight w:val="none"/>
        </w:rPr>
        <w:t>9. 汇总（商务技术得分情况）。</w:t>
      </w:r>
      <w:r>
        <w:rPr>
          <w:rFonts w:hint="eastAsia" w:ascii="仿宋_GB2312" w:hAnsi="仿宋" w:eastAsia="仿宋_GB2312" w:cs="Arial"/>
          <w:color w:val="auto"/>
          <w:kern w:val="0"/>
          <w:szCs w:val="24"/>
          <w:highlight w:val="none"/>
        </w:rPr>
        <w:t>评标委员会各成员应当独立对每个投标人的商务和技术文件进行评价，并汇总商务技术得分情况。</w:t>
      </w:r>
    </w:p>
    <w:p>
      <w:pPr>
        <w:pStyle w:val="414"/>
        <w:spacing w:before="0"/>
        <w:ind w:firstLine="0" w:firstLineChars="0"/>
        <w:rPr>
          <w:rFonts w:hint="eastAsia" w:ascii="仿宋_GB2312" w:hAnsi="仿宋" w:eastAsia="仿宋_GB2312" w:cs="Arial"/>
          <w:color w:val="auto"/>
          <w:kern w:val="0"/>
          <w:szCs w:val="24"/>
          <w:highlight w:val="none"/>
        </w:rPr>
      </w:pPr>
      <w:r>
        <w:rPr>
          <w:rFonts w:hint="eastAsia" w:ascii="仿宋_GB2312" w:hAnsi="仿宋" w:eastAsia="仿宋_GB2312" w:cs="Arial"/>
          <w:b/>
          <w:color w:val="auto"/>
          <w:kern w:val="0"/>
          <w:szCs w:val="24"/>
          <w:highlight w:val="none"/>
        </w:rPr>
        <w:t>10. 报价审核。</w:t>
      </w:r>
      <w:r>
        <w:rPr>
          <w:rFonts w:hint="eastAsia" w:ascii="仿宋_GB2312" w:hAnsi="仿宋" w:eastAsia="仿宋_GB2312" w:cs="Arial"/>
          <w:color w:val="auto"/>
          <w:kern w:val="0"/>
          <w:szCs w:val="24"/>
          <w:highlight w:val="none"/>
        </w:rPr>
        <w:t>对经商务和技术评审符合采购需求的投标人的报价的合理性、准确性等进行审查核实。</w:t>
      </w:r>
    </w:p>
    <w:p>
      <w:pPr>
        <w:pStyle w:val="414"/>
        <w:spacing w:before="0"/>
        <w:ind w:firstLine="0" w:firstLineChars="0"/>
        <w:rPr>
          <w:rFonts w:hint="eastAsia"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10.1评标委员会认为投标人的报价明显低于其他通过符合性审查投标人的报价，有可能影响产品质量或者不能诚信履约的，应当要求其在合理的时间内提供书面说明，必要时提交相关证明材料。</w:t>
      </w:r>
    </w:p>
    <w:p>
      <w:pPr>
        <w:pStyle w:val="414"/>
        <w:spacing w:before="0"/>
        <w:ind w:firstLine="0" w:firstLineChars="0"/>
        <w:rPr>
          <w:rFonts w:hint="eastAsia"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10.2根据财政部发布的《政府采购促进中小企业发展管理办法》规定，</w:t>
      </w:r>
      <w:r>
        <w:rPr>
          <w:rFonts w:ascii="仿宋_GB2312" w:hAnsi="仿宋" w:eastAsia="仿宋_GB2312" w:cs="Arial"/>
          <w:color w:val="auto"/>
          <w:kern w:val="0"/>
          <w:szCs w:val="24"/>
          <w:highlight w:val="none"/>
        </w:rPr>
        <w:t>对于经主管预算单位统筹后未预留份额专门面向中小企业采购的采购项目，以及预留份额项目中的非预留部分采购包，</w:t>
      </w:r>
      <w:r>
        <w:rPr>
          <w:rFonts w:hint="eastAsia" w:ascii="仿宋_GB2312" w:hAnsi="仿宋" w:eastAsia="仿宋_GB2312" w:cs="Arial"/>
          <w:color w:val="auto"/>
          <w:kern w:val="0"/>
          <w:szCs w:val="24"/>
          <w:highlight w:val="none"/>
        </w:rPr>
        <w:t>对小微企业报价给予一定的扣除，用扣除后的价格参与评审。</w:t>
      </w:r>
    </w:p>
    <w:p>
      <w:pPr>
        <w:pStyle w:val="414"/>
        <w:spacing w:before="0"/>
        <w:ind w:firstLine="0" w:firstLineChars="0"/>
        <w:rPr>
          <w:rFonts w:hint="eastAsia"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10.3投标价格的修正原则。投标文件报价出现前后不一致的，按照下列规定修正：</w:t>
      </w:r>
    </w:p>
    <w:p>
      <w:pPr>
        <w:pStyle w:val="414"/>
        <w:spacing w:before="0"/>
        <w:ind w:firstLine="0" w:firstLineChars="0"/>
        <w:rPr>
          <w:rFonts w:hint="eastAsia"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10.3.1投标文件中开标一览表(报价表)内容与投标文件中相应内容不一致的，以开标一览表(报价表)为准;</w:t>
      </w:r>
    </w:p>
    <w:p>
      <w:pPr>
        <w:pStyle w:val="414"/>
        <w:spacing w:before="0"/>
        <w:ind w:firstLine="0" w:firstLineChars="0"/>
        <w:rPr>
          <w:rFonts w:hint="eastAsia"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10.3.2大写金额和小写金额不一致的，以大写金额为准;</w:t>
      </w:r>
    </w:p>
    <w:p>
      <w:pPr>
        <w:pStyle w:val="414"/>
        <w:spacing w:before="0"/>
        <w:ind w:firstLine="0" w:firstLineChars="0"/>
        <w:rPr>
          <w:rFonts w:hint="eastAsia"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10.3.3单价金额小数点或者百分比有明显错位的，以开标一览表的总价为准，并修改单价;</w:t>
      </w:r>
    </w:p>
    <w:p>
      <w:pPr>
        <w:pStyle w:val="414"/>
        <w:spacing w:before="0"/>
        <w:ind w:firstLine="0" w:firstLineChars="0"/>
        <w:rPr>
          <w:rFonts w:hint="eastAsia"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10.3.4总价金额与按单价汇总金额不一致的，以单价金额计算结果为准。</w:t>
      </w:r>
    </w:p>
    <w:p>
      <w:pPr>
        <w:pStyle w:val="414"/>
        <w:spacing w:before="0"/>
        <w:ind w:firstLine="0" w:firstLineChars="0"/>
        <w:rPr>
          <w:rFonts w:hint="eastAsia"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Cs/>
          <w:color w:val="auto"/>
          <w:sz w:val="24"/>
          <w:highlight w:val="none"/>
        </w:rPr>
        <w:t>▲</w:t>
      </w:r>
      <w:r>
        <w:rPr>
          <w:rFonts w:hint="eastAsia" w:ascii="仿宋_GB2312" w:hAnsi="仿宋" w:eastAsia="仿宋_GB2312" w:cs="仿宋_GB2312"/>
          <w:b/>
          <w:bCs/>
          <w:color w:val="auto"/>
          <w:sz w:val="24"/>
          <w:highlight w:val="none"/>
        </w:rPr>
        <w:t>投标人对根据修正原则修正后的报价不确认的，投标无效。</w:t>
      </w:r>
    </w:p>
    <w:p>
      <w:pPr>
        <w:spacing w:line="360" w:lineRule="auto"/>
        <w:rPr>
          <w:rFonts w:hint="eastAsia"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11.汇总得分。</w:t>
      </w:r>
      <w:r>
        <w:rPr>
          <w:rFonts w:hint="eastAsia" w:ascii="仿宋_GB2312" w:hAnsi="仿宋" w:eastAsia="仿宋_GB2312" w:cs="Arial"/>
          <w:color w:val="auto"/>
          <w:kern w:val="0"/>
          <w:sz w:val="24"/>
          <w:highlight w:val="none"/>
        </w:rPr>
        <w:t>评标委员会各成员应当独立对每个投标人的投标文件进行评价，并汇总每个投标人的得分。</w:t>
      </w:r>
    </w:p>
    <w:p>
      <w:pPr>
        <w:spacing w:line="360" w:lineRule="auto"/>
        <w:rPr>
          <w:rFonts w:hint="eastAsia" w:ascii="仿宋_GB2312" w:hAnsi="仿宋" w:eastAsia="仿宋_GB2312" w:cs="Arial"/>
          <w:b/>
          <w:color w:val="auto"/>
          <w:kern w:val="0"/>
          <w:sz w:val="24"/>
          <w:highlight w:val="none"/>
        </w:rPr>
      </w:pPr>
      <w:r>
        <w:rPr>
          <w:rFonts w:hint="eastAsia" w:ascii="仿宋_GB2312" w:hAnsi="仿宋" w:eastAsia="仿宋_GB2312" w:cs="Arial"/>
          <w:b/>
          <w:color w:val="auto"/>
          <w:kern w:val="0"/>
          <w:sz w:val="24"/>
          <w:highlight w:val="none"/>
        </w:rPr>
        <w:t>12.顺序排列与中标候选推荐。</w:t>
      </w:r>
    </w:p>
    <w:p>
      <w:pPr>
        <w:spacing w:line="360" w:lineRule="auto"/>
        <w:rPr>
          <w:rFonts w:hint="eastAsia"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12.1评标结果按评审后得分由高到低顺序排列。得分相同的，按投标报价由低到高顺序排列。得分且投标报价相同的并列。得分最高的投标人为排名第一的中标候选人。</w:t>
      </w:r>
    </w:p>
    <w:p>
      <w:pPr>
        <w:spacing w:line="360" w:lineRule="auto"/>
        <w:rPr>
          <w:rFonts w:hint="eastAsia"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5"/>
        <w:spacing w:line="360" w:lineRule="auto"/>
        <w:ind w:left="559" w:hanging="559" w:hangingChars="199"/>
        <w:rPr>
          <w:rFonts w:hint="eastAsia" w:ascii="仿宋_GB2312" w:hAnsi="仿宋" w:eastAsia="仿宋_GB2312" w:cs="仿宋_GB2312"/>
          <w:color w:val="auto"/>
          <w:szCs w:val="21"/>
          <w:highlight w:val="none"/>
        </w:rPr>
      </w:pPr>
      <w:r>
        <w:rPr>
          <w:rFonts w:hint="eastAsia" w:ascii="仿宋_GB2312" w:hAnsi="仿宋" w:eastAsia="仿宋_GB2312" w:cs="仿宋_GB2312"/>
          <w:b/>
          <w:color w:val="auto"/>
          <w:spacing w:val="20"/>
          <w:highlight w:val="none"/>
        </w:rPr>
        <w:t>13.投标无效。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13.1</w:t>
      </w:r>
      <w:r>
        <w:rPr>
          <w:rFonts w:hint="eastAsia" w:ascii="仿宋_GB2312" w:hAnsi="仿宋" w:eastAsia="仿宋_GB2312" w:cs="仿宋_GB2312"/>
          <w:color w:val="auto"/>
          <w:sz w:val="24"/>
          <w:highlight w:val="none"/>
        </w:rPr>
        <w:t>单位负责人为同一人或者存在直接控股、管理关系的不同供应商参加同一合同项下的政府采购活动的（均无效）；</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13.2</w:t>
      </w:r>
      <w:r>
        <w:rPr>
          <w:rFonts w:hint="eastAsia" w:ascii="仿宋_GB2312" w:hAnsi="仿宋" w:eastAsia="仿宋_GB2312" w:cs="仿宋_GB2312"/>
          <w:color w:val="auto"/>
          <w:sz w:val="24"/>
          <w:highlight w:val="none"/>
        </w:rPr>
        <w:t xml:space="preserve">为采购项目提供整体设计、规范编制或者项目管理、监理、检测等服务的供应商再参加该采购项目的其他采购活动的； </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13.3</w:t>
      </w:r>
      <w:r>
        <w:rPr>
          <w:rFonts w:hint="eastAsia" w:ascii="仿宋_GB2312" w:hAnsi="仿宋" w:eastAsia="仿宋_GB2312" w:cs="仿宋_GB2312"/>
          <w:color w:val="auto"/>
          <w:sz w:val="24"/>
          <w:highlight w:val="none"/>
        </w:rPr>
        <w:t>投标人不具备招标文件中规定的资格要求的（投标人未提供有效的资格证明文件的，视为投标人不具备招标文件中规定的资格要求）；</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13.4</w:t>
      </w:r>
      <w:r>
        <w:rPr>
          <w:rFonts w:hint="eastAsia" w:ascii="仿宋_GB2312" w:hAnsi="仿宋" w:eastAsia="仿宋_GB2312" w:cs="仿宋_GB2312"/>
          <w:color w:val="auto"/>
          <w:sz w:val="24"/>
          <w:highlight w:val="none"/>
        </w:rPr>
        <w:t>如以联合体形式参加政府采购活动的，联合体协议不符合招标文件规定的联合体协议要求的；</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13. 5</w:t>
      </w:r>
      <w:r>
        <w:rPr>
          <w:rFonts w:hint="eastAsia" w:ascii="仿宋_GB2312" w:hAnsi="仿宋" w:eastAsia="仿宋_GB2312" w:cs="仿宋_GB2312"/>
          <w:color w:val="auto"/>
          <w:sz w:val="24"/>
          <w:highlight w:val="none"/>
        </w:rPr>
        <w:t>投标文件未按规定的格式编制的；</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13.6</w:t>
      </w:r>
      <w:r>
        <w:rPr>
          <w:rFonts w:hint="eastAsia" w:ascii="仿宋_GB2312" w:hAnsi="仿宋" w:eastAsia="仿宋_GB2312" w:cs="仿宋_GB2312"/>
          <w:color w:val="auto"/>
          <w:sz w:val="24"/>
          <w:highlight w:val="none"/>
        </w:rPr>
        <w:t>投标文件未按招标文件的澄清、修改的内容编制，又不符合实质性要求的；</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13.7</w:t>
      </w:r>
      <w:r>
        <w:rPr>
          <w:rFonts w:hint="eastAsia" w:ascii="仿宋_GB2312" w:hAnsi="仿宋" w:eastAsia="仿宋_GB2312" w:cs="仿宋_GB2312"/>
          <w:color w:val="auto"/>
          <w:sz w:val="24"/>
          <w:highlight w:val="none"/>
        </w:rPr>
        <w:t>投标文件组成漏项，内容不全或内容字迹模糊辨认不清的；</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13.8</w:t>
      </w:r>
      <w:r>
        <w:rPr>
          <w:rFonts w:hint="eastAsia" w:ascii="仿宋_GB2312" w:hAnsi="仿宋" w:eastAsia="仿宋_GB2312" w:cs="仿宋_GB2312"/>
          <w:color w:val="auto"/>
          <w:sz w:val="24"/>
          <w:highlight w:val="none"/>
        </w:rPr>
        <w:t>投标文件中法人授权书所载内容与本项目内容有异的；</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13.9</w:t>
      </w:r>
      <w:r>
        <w:rPr>
          <w:rFonts w:hint="eastAsia" w:ascii="仿宋_GB2312" w:hAnsi="仿宋" w:eastAsia="仿宋_GB2312" w:cs="仿宋_GB2312"/>
          <w:color w:val="auto"/>
          <w:sz w:val="24"/>
          <w:highlight w:val="none"/>
        </w:rPr>
        <w:t>投标文件未按照招标文件要求签署、盖章的；</w:t>
      </w:r>
    </w:p>
    <w:p>
      <w:pPr>
        <w:spacing w:line="360" w:lineRule="auto"/>
        <w:ind w:firstLine="480" w:firstLineChars="200"/>
        <w:rPr>
          <w:rFonts w:hint="eastAsia" w:ascii="仿宋_GB2312" w:hAnsi="仿宋" w:eastAsia="仿宋_GB2312"/>
          <w:b/>
          <w:color w:val="auto"/>
          <w:sz w:val="24"/>
          <w:highlight w:val="none"/>
        </w:rPr>
      </w:pPr>
      <w:r>
        <w:rPr>
          <w:rFonts w:hint="eastAsia" w:ascii="仿宋_GB2312" w:hAnsi="仿宋" w:eastAsia="仿宋_GB2312"/>
          <w:color w:val="auto"/>
          <w:sz w:val="24"/>
          <w:highlight w:val="none"/>
        </w:rPr>
        <w:t>13.10</w:t>
      </w:r>
      <w:r>
        <w:rPr>
          <w:rFonts w:hint="eastAsia" w:ascii="仿宋_GB2312" w:hAnsi="仿宋" w:eastAsia="仿宋_GB2312" w:cs="仿宋_GB2312"/>
          <w:color w:val="auto"/>
          <w:sz w:val="24"/>
          <w:highlight w:val="none"/>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13.11</w:t>
      </w:r>
      <w:r>
        <w:rPr>
          <w:rFonts w:hint="eastAsia" w:ascii="仿宋_GB2312" w:hAnsi="仿宋" w:eastAsia="仿宋_GB2312" w:cs="仿宋_GB2312"/>
          <w:color w:val="auto"/>
          <w:sz w:val="24"/>
          <w:highlight w:val="none"/>
        </w:rPr>
        <w:t>投标文件含有采购人不能接受的附加条件的；</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13.12</w:t>
      </w:r>
      <w:r>
        <w:rPr>
          <w:rFonts w:hint="eastAsia" w:ascii="仿宋_GB2312" w:hAnsi="仿宋" w:eastAsia="仿宋_GB2312" w:cs="仿宋_GB2312"/>
          <w:color w:val="auto"/>
          <w:sz w:val="24"/>
          <w:highlight w:val="none"/>
        </w:rPr>
        <w:t>投标文件中承诺的投标有效期少于招标文件中载明的投标有效期的；</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13.13</w:t>
      </w:r>
      <w:r>
        <w:rPr>
          <w:rFonts w:hint="eastAsia" w:ascii="仿宋_GB2312" w:hAnsi="仿宋" w:eastAsia="仿宋_GB2312" w:cs="仿宋_GB2312"/>
          <w:color w:val="auto"/>
          <w:sz w:val="24"/>
          <w:highlight w:val="none"/>
        </w:rPr>
        <w:t>投标人所投内容不符合招标文件中实质性要求的；</w:t>
      </w:r>
    </w:p>
    <w:p>
      <w:pPr>
        <w:snapToGrid w:val="0"/>
        <w:spacing w:line="360" w:lineRule="auto"/>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w:t>
      </w:r>
      <w:r>
        <w:rPr>
          <w:rFonts w:hint="eastAsia" w:ascii="仿宋_GB2312" w:hAnsi="仿宋" w:eastAsia="仿宋_GB2312"/>
          <w:color w:val="auto"/>
          <w:sz w:val="24"/>
          <w:highlight w:val="none"/>
        </w:rPr>
        <w:t>13.14</w:t>
      </w:r>
      <w:r>
        <w:rPr>
          <w:rFonts w:hint="eastAsia" w:ascii="仿宋_GB2312" w:hAnsi="仿宋" w:eastAsia="仿宋_GB2312" w:cs="仿宋_GB2312"/>
          <w:color w:val="auto"/>
          <w:sz w:val="24"/>
          <w:highlight w:val="none"/>
        </w:rPr>
        <w:t>投标文件出现不是唯一的、有选择性投标报价的;</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13.15</w:t>
      </w:r>
      <w:r>
        <w:rPr>
          <w:rFonts w:hint="eastAsia" w:ascii="仿宋_GB2312" w:hAnsi="仿宋" w:eastAsia="仿宋_GB2312" w:cs="仿宋_GB2312"/>
          <w:color w:val="auto"/>
          <w:sz w:val="24"/>
          <w:highlight w:val="none"/>
        </w:rPr>
        <w:t>投标报价高于本项目采购预算或者最高限价的;</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13.16</w:t>
      </w:r>
      <w:r>
        <w:rPr>
          <w:rFonts w:hint="eastAsia" w:ascii="仿宋_GB2312" w:hAnsi="仿宋" w:eastAsia="仿宋_GB2312" w:cs="仿宋_GB2312"/>
          <w:color w:val="auto"/>
          <w:sz w:val="24"/>
          <w:highlight w:val="none"/>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13.17</w:t>
      </w:r>
      <w:r>
        <w:rPr>
          <w:rFonts w:hint="eastAsia" w:ascii="仿宋_GB2312" w:hAnsi="仿宋" w:eastAsia="仿宋_GB2312" w:cs="仿宋_GB2312"/>
          <w:color w:val="auto"/>
          <w:sz w:val="24"/>
          <w:highlight w:val="none"/>
        </w:rPr>
        <w:t>《投标（开标）一览表》填写不完整或字迹不能辨认或有漏项的；</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13.18</w:t>
      </w:r>
      <w:r>
        <w:rPr>
          <w:rFonts w:hint="eastAsia" w:ascii="仿宋_GB2312" w:hAnsi="仿宋" w:eastAsia="仿宋_GB2312" w:cs="仿宋_GB2312"/>
          <w:color w:val="auto"/>
          <w:sz w:val="24"/>
          <w:highlight w:val="none"/>
        </w:rPr>
        <w:t>投标人对根据修正原则修正后的报价不确认的；</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13.19</w:t>
      </w:r>
      <w:r>
        <w:rPr>
          <w:rFonts w:hint="eastAsia" w:ascii="仿宋_GB2312" w:hAnsi="仿宋" w:eastAsia="仿宋_GB2312" w:cs="仿宋_GB2312"/>
          <w:color w:val="auto"/>
          <w:sz w:val="24"/>
          <w:highlight w:val="none"/>
        </w:rPr>
        <w:t>投标人提供虚假材料投标的（包括但不限于以下情节）；</w:t>
      </w:r>
    </w:p>
    <w:p>
      <w:pPr>
        <w:spacing w:line="360" w:lineRule="auto"/>
        <w:ind w:firstLine="720" w:firstLineChars="3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13.19.1</w:t>
      </w:r>
      <w:r>
        <w:rPr>
          <w:rFonts w:hint="eastAsia" w:ascii="仿宋_GB2312" w:hAnsi="仿宋" w:eastAsia="仿宋_GB2312" w:cs="仿宋_GB2312"/>
          <w:color w:val="auto"/>
          <w:sz w:val="24"/>
          <w:highlight w:val="none"/>
        </w:rPr>
        <w:t>使用伪造、变造的许可证件；</w:t>
      </w:r>
      <w:r>
        <w:rPr>
          <w:rFonts w:hint="eastAsia" w:ascii="仿宋_GB2312" w:hAnsi="仿宋" w:eastAsia="仿宋_GB2312" w:cs="仿宋_GB2312"/>
          <w:color w:val="auto"/>
          <w:sz w:val="24"/>
          <w:highlight w:val="none"/>
        </w:rPr>
        <w:br w:type="textWrapping"/>
      </w:r>
      <w:r>
        <w:rPr>
          <w:rFonts w:hint="eastAsia" w:ascii="宋体" w:hAnsi="宋体" w:cs="宋体"/>
          <w:color w:val="auto"/>
          <w:sz w:val="24"/>
          <w:highlight w:val="none"/>
        </w:rPr>
        <w:t>  </w:t>
      </w:r>
      <w:r>
        <w:rPr>
          <w:rFonts w:hint="eastAsia" w:ascii="仿宋_GB2312" w:hAnsi="仿宋" w:eastAsia="仿宋_GB2312" w:cs="仿宋_GB2312"/>
          <w:color w:val="auto"/>
          <w:sz w:val="24"/>
          <w:highlight w:val="none"/>
        </w:rPr>
        <w:t xml:space="preserve"> </w:t>
      </w:r>
      <w:r>
        <w:rPr>
          <w:rFonts w:hint="eastAsia" w:ascii="仿宋_GB2312" w:hAnsi="仿宋" w:eastAsia="仿宋_GB2312"/>
          <w:color w:val="auto"/>
          <w:sz w:val="24"/>
          <w:highlight w:val="none"/>
        </w:rPr>
        <w:t xml:space="preserve"> 13.19.2</w:t>
      </w:r>
      <w:r>
        <w:rPr>
          <w:rFonts w:hint="eastAsia" w:ascii="仿宋_GB2312" w:hAnsi="仿宋" w:eastAsia="仿宋_GB2312" w:cs="仿宋_GB2312"/>
          <w:color w:val="auto"/>
          <w:sz w:val="24"/>
          <w:highlight w:val="none"/>
        </w:rPr>
        <w:t>提供虚假的财务状况或者业绩；</w:t>
      </w:r>
      <w:r>
        <w:rPr>
          <w:rFonts w:hint="eastAsia" w:ascii="仿宋_GB2312" w:hAnsi="仿宋" w:eastAsia="仿宋_GB2312" w:cs="仿宋_GB2312"/>
          <w:color w:val="auto"/>
          <w:sz w:val="24"/>
          <w:highlight w:val="none"/>
        </w:rPr>
        <w:br w:type="textWrapping"/>
      </w:r>
      <w:r>
        <w:rPr>
          <w:rFonts w:hint="eastAsia" w:ascii="宋体" w:hAnsi="宋体" w:cs="宋体"/>
          <w:color w:val="auto"/>
          <w:sz w:val="24"/>
          <w:highlight w:val="none"/>
        </w:rPr>
        <w:t>  </w:t>
      </w:r>
      <w:r>
        <w:rPr>
          <w:rFonts w:hint="eastAsia" w:ascii="仿宋_GB2312" w:hAnsi="仿宋" w:eastAsia="仿宋_GB2312" w:cs="仿宋_GB2312"/>
          <w:color w:val="auto"/>
          <w:sz w:val="24"/>
          <w:highlight w:val="none"/>
        </w:rPr>
        <w:t xml:space="preserve"> </w:t>
      </w:r>
      <w:r>
        <w:rPr>
          <w:rFonts w:hint="eastAsia" w:ascii="仿宋_GB2312" w:hAnsi="仿宋" w:eastAsia="仿宋_GB2312"/>
          <w:color w:val="auto"/>
          <w:sz w:val="24"/>
          <w:highlight w:val="none"/>
        </w:rPr>
        <w:t xml:space="preserve"> 13.19.3</w:t>
      </w:r>
      <w:r>
        <w:rPr>
          <w:rFonts w:hint="eastAsia" w:ascii="仿宋_GB2312" w:hAnsi="仿宋" w:eastAsia="仿宋_GB2312" w:cs="仿宋_GB2312"/>
          <w:color w:val="auto"/>
          <w:sz w:val="24"/>
          <w:highlight w:val="none"/>
        </w:rPr>
        <w:t>提供虚假的项目负责人或者主要技术人员简历、劳动关系证明；</w:t>
      </w:r>
      <w:r>
        <w:rPr>
          <w:rFonts w:hint="eastAsia" w:ascii="仿宋_GB2312" w:hAnsi="仿宋" w:eastAsia="仿宋_GB2312" w:cs="仿宋_GB2312"/>
          <w:color w:val="auto"/>
          <w:sz w:val="24"/>
          <w:highlight w:val="none"/>
        </w:rPr>
        <w:br w:type="textWrapping"/>
      </w:r>
      <w:r>
        <w:rPr>
          <w:rFonts w:hint="eastAsia" w:ascii="宋体" w:hAnsi="宋体" w:cs="宋体"/>
          <w:color w:val="auto"/>
          <w:sz w:val="24"/>
          <w:highlight w:val="none"/>
        </w:rPr>
        <w:t>  </w:t>
      </w:r>
      <w:r>
        <w:rPr>
          <w:rFonts w:hint="eastAsia" w:ascii="仿宋_GB2312" w:hAnsi="仿宋" w:eastAsia="仿宋_GB2312" w:cs="仿宋_GB2312"/>
          <w:color w:val="auto"/>
          <w:sz w:val="24"/>
          <w:highlight w:val="none"/>
        </w:rPr>
        <w:t xml:space="preserve"> </w:t>
      </w:r>
      <w:r>
        <w:rPr>
          <w:rFonts w:hint="eastAsia" w:ascii="仿宋_GB2312" w:hAnsi="仿宋" w:eastAsia="仿宋_GB2312"/>
          <w:color w:val="auto"/>
          <w:sz w:val="24"/>
          <w:highlight w:val="none"/>
        </w:rPr>
        <w:t xml:space="preserve"> 13.19.4</w:t>
      </w:r>
      <w:r>
        <w:rPr>
          <w:rFonts w:hint="eastAsia" w:ascii="仿宋_GB2312" w:hAnsi="仿宋" w:eastAsia="仿宋_GB2312" w:cs="仿宋_GB2312"/>
          <w:color w:val="auto"/>
          <w:sz w:val="24"/>
          <w:highlight w:val="none"/>
        </w:rPr>
        <w:t>提供虚假的信用状况；</w:t>
      </w:r>
      <w:r>
        <w:rPr>
          <w:rFonts w:hint="eastAsia" w:ascii="仿宋_GB2312" w:hAnsi="仿宋" w:eastAsia="仿宋_GB2312" w:cs="仿宋_GB2312"/>
          <w:color w:val="auto"/>
          <w:sz w:val="24"/>
          <w:highlight w:val="none"/>
        </w:rPr>
        <w:br w:type="textWrapping"/>
      </w:r>
      <w:r>
        <w:rPr>
          <w:rFonts w:hint="eastAsia" w:ascii="宋体" w:hAnsi="宋体" w:cs="宋体"/>
          <w:color w:val="auto"/>
          <w:sz w:val="24"/>
          <w:highlight w:val="none"/>
        </w:rPr>
        <w:t> </w:t>
      </w:r>
      <w:r>
        <w:rPr>
          <w:rFonts w:hint="eastAsia" w:ascii="仿宋_GB2312" w:hAnsi="仿宋" w:eastAsia="仿宋_GB2312" w:cs="仿宋_GB2312"/>
          <w:color w:val="auto"/>
          <w:sz w:val="24"/>
          <w:highlight w:val="none"/>
        </w:rPr>
        <w:t xml:space="preserve">   </w:t>
      </w:r>
      <w:r>
        <w:rPr>
          <w:rFonts w:hint="eastAsia" w:ascii="仿宋_GB2312" w:hAnsi="仿宋" w:eastAsia="仿宋_GB2312"/>
          <w:color w:val="auto"/>
          <w:sz w:val="24"/>
          <w:highlight w:val="none"/>
        </w:rPr>
        <w:t xml:space="preserve"> 13.19.5</w:t>
      </w:r>
      <w:r>
        <w:rPr>
          <w:rFonts w:hint="eastAsia" w:ascii="仿宋_GB2312" w:hAnsi="仿宋" w:eastAsia="仿宋_GB2312" w:cs="仿宋_GB2312"/>
          <w:color w:val="auto"/>
          <w:sz w:val="24"/>
          <w:highlight w:val="none"/>
        </w:rPr>
        <w:t>其他弄虚作假的行为。</w:t>
      </w:r>
      <w:r>
        <w:rPr>
          <w:rFonts w:hint="eastAsia" w:ascii="仿宋_GB2312" w:hAnsi="仿宋" w:eastAsia="仿宋_GB2312" w:cs="仿宋_GB2312"/>
          <w:color w:val="auto"/>
          <w:sz w:val="24"/>
          <w:highlight w:val="none"/>
        </w:rPr>
        <w:br w:type="textWrapping"/>
      </w:r>
      <w:r>
        <w:rPr>
          <w:rFonts w:hint="eastAsia" w:ascii="仿宋_GB2312" w:hAnsi="仿宋" w:eastAsia="仿宋_GB2312"/>
          <w:color w:val="auto"/>
          <w:sz w:val="24"/>
          <w:highlight w:val="none"/>
        </w:rPr>
        <w:t xml:space="preserve">   13.20</w:t>
      </w:r>
      <w:r>
        <w:rPr>
          <w:rFonts w:hint="eastAsia" w:ascii="仿宋_GB2312" w:hAnsi="仿宋" w:eastAsia="仿宋_GB2312" w:cs="仿宋_GB2312"/>
          <w:color w:val="auto"/>
          <w:sz w:val="24"/>
          <w:highlight w:val="none"/>
        </w:rPr>
        <w:t>投标人有恶意串通、妨碍其他投标人的竞争行为、损害采购人或者其他投标人的合法权益情形的；有下列情形之一的，属于或视为恶意串通，其投标无效：</w:t>
      </w:r>
    </w:p>
    <w:p>
      <w:pPr>
        <w:spacing w:line="360" w:lineRule="auto"/>
        <w:ind w:firstLine="600" w:firstLineChars="25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13.20.1</w:t>
      </w:r>
      <w:r>
        <w:rPr>
          <w:rFonts w:hint="eastAsia" w:ascii="仿宋_GB2312" w:hAnsi="仿宋" w:eastAsia="仿宋_GB2312" w:cs="仿宋_GB2312"/>
          <w:color w:val="auto"/>
          <w:sz w:val="24"/>
          <w:highlight w:val="none"/>
        </w:rPr>
        <w:t>供应商直接或者间接从采购人或者采购机构处获得其他供应商的相关情况并修改其投标文件或者响应文件；</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13.20.2</w:t>
      </w:r>
      <w:r>
        <w:rPr>
          <w:rFonts w:hint="eastAsia" w:ascii="仿宋_GB2312" w:hAnsi="仿宋" w:eastAsia="仿宋_GB2312" w:cs="仿宋_GB2312"/>
          <w:color w:val="auto"/>
          <w:sz w:val="24"/>
          <w:highlight w:val="none"/>
        </w:rPr>
        <w:t>供应商按照采购人或者采购机构的授意撤换、修改投标文件或者响应文件；</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13.20.3</w:t>
      </w:r>
      <w:r>
        <w:rPr>
          <w:rFonts w:hint="eastAsia" w:ascii="仿宋_GB2312" w:hAnsi="仿宋" w:eastAsia="仿宋_GB2312" w:cs="仿宋_GB2312"/>
          <w:color w:val="auto"/>
          <w:sz w:val="24"/>
          <w:highlight w:val="none"/>
        </w:rPr>
        <w:t>供应商之间协商报价、技术方案等投标文件或者响应文件的实质性内容；</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13.20.4</w:t>
      </w:r>
      <w:r>
        <w:rPr>
          <w:rFonts w:hint="eastAsia" w:ascii="仿宋_GB2312" w:hAnsi="仿宋" w:eastAsia="仿宋_GB2312" w:cs="仿宋_GB2312"/>
          <w:color w:val="auto"/>
          <w:sz w:val="24"/>
          <w:highlight w:val="none"/>
        </w:rPr>
        <w:t>属于同一集团、协会、商会等组织成员的供应商按照该组织要求协同参加政府采购活动；</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13.20.5</w:t>
      </w:r>
      <w:r>
        <w:rPr>
          <w:rFonts w:hint="eastAsia" w:ascii="仿宋_GB2312" w:hAnsi="仿宋" w:eastAsia="仿宋_GB2312" w:cs="仿宋_GB2312"/>
          <w:color w:val="auto"/>
          <w:sz w:val="24"/>
          <w:highlight w:val="none"/>
        </w:rPr>
        <w:t>供应商之间事先约定由某一特定供应商中标、成交；</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13.20.6</w:t>
      </w:r>
      <w:r>
        <w:rPr>
          <w:rFonts w:hint="eastAsia" w:ascii="仿宋_GB2312" w:hAnsi="仿宋" w:eastAsia="仿宋_GB2312" w:cs="仿宋_GB2312"/>
          <w:color w:val="auto"/>
          <w:sz w:val="24"/>
          <w:highlight w:val="none"/>
        </w:rPr>
        <w:t>供应商之间商定部分供应商放弃参加政府采购活动或者放弃中标、成交；</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13.20.7</w:t>
      </w:r>
      <w:r>
        <w:rPr>
          <w:rFonts w:hint="eastAsia" w:ascii="仿宋_GB2312" w:hAnsi="仿宋" w:eastAsia="仿宋_GB2312" w:cs="仿宋_GB2312"/>
          <w:color w:val="auto"/>
          <w:sz w:val="24"/>
          <w:highlight w:val="none"/>
        </w:rPr>
        <w:t>供应商与采购人或者采购机构之间、供应商相互之间，为谋求特定供应商中标、成交或者排斥其他供应商的其他串通行为。</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13.20.8</w:t>
      </w:r>
      <w:r>
        <w:rPr>
          <w:rFonts w:hint="eastAsia" w:ascii="仿宋_GB2312" w:hAnsi="仿宋" w:eastAsia="仿宋_GB2312" w:cs="仿宋_GB2312"/>
          <w:color w:val="auto"/>
          <w:sz w:val="24"/>
          <w:highlight w:val="none"/>
        </w:rPr>
        <w:t>不同投标人的投标文件由同一单位或者个人编制；</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13.20.9</w:t>
      </w:r>
      <w:r>
        <w:rPr>
          <w:rFonts w:hint="eastAsia" w:ascii="仿宋_GB2312" w:hAnsi="仿宋" w:eastAsia="仿宋_GB2312" w:cs="仿宋_GB2312"/>
          <w:color w:val="auto"/>
          <w:sz w:val="24"/>
          <w:highlight w:val="none"/>
        </w:rPr>
        <w:t>不同投标人委托同一单位或者个人办理投标事宜；</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13.20.10</w:t>
      </w:r>
      <w:r>
        <w:rPr>
          <w:rFonts w:hint="eastAsia" w:ascii="仿宋_GB2312" w:hAnsi="仿宋" w:eastAsia="仿宋_GB2312" w:cs="仿宋_GB2312"/>
          <w:color w:val="auto"/>
          <w:sz w:val="24"/>
          <w:highlight w:val="none"/>
        </w:rPr>
        <w:t>不同投标人的投标文件载明的项目管理成员或者联系人员为同一人；</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13.20.11</w:t>
      </w:r>
      <w:r>
        <w:rPr>
          <w:rFonts w:hint="eastAsia" w:ascii="仿宋_GB2312" w:hAnsi="仿宋" w:eastAsia="仿宋_GB2312" w:cs="仿宋_GB2312"/>
          <w:color w:val="auto"/>
          <w:sz w:val="24"/>
          <w:highlight w:val="none"/>
        </w:rPr>
        <w:t>不同投标人的投标文件异常一致或者投标报价呈规律性差异；</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13.20.12</w:t>
      </w:r>
      <w:r>
        <w:rPr>
          <w:rFonts w:hint="eastAsia" w:ascii="仿宋_GB2312" w:hAnsi="仿宋" w:eastAsia="仿宋_GB2312" w:cs="仿宋_GB2312"/>
          <w:color w:val="auto"/>
          <w:sz w:val="24"/>
          <w:highlight w:val="none"/>
        </w:rPr>
        <w:t>不同投标人的投标文件相互混装；</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13.21</w:t>
      </w:r>
      <w:r>
        <w:rPr>
          <w:rFonts w:hint="eastAsia" w:ascii="仿宋_GB2312" w:hAnsi="仿宋" w:eastAsia="仿宋_GB2312" w:cs="仿宋_GB2312"/>
          <w:color w:val="auto"/>
          <w:sz w:val="24"/>
          <w:highlight w:val="none"/>
        </w:rPr>
        <w:t>投标人仅提交备份投标文件，没有在电子交易平台传输递交投标文件的，投标无效；</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13.22</w:t>
      </w:r>
      <w:r>
        <w:rPr>
          <w:rFonts w:hint="eastAsia" w:ascii="仿宋_GB2312" w:hAnsi="仿宋" w:eastAsia="仿宋_GB2312" w:cs="仿宋_GB2312"/>
          <w:color w:val="auto"/>
          <w:sz w:val="24"/>
          <w:highlight w:val="none"/>
        </w:rPr>
        <w:t>法律、法规、规章（适用本市的）及省级以上规范性文件（适用本市的）规定的其他无效情形。</w:t>
      </w:r>
    </w:p>
    <w:p>
      <w:pPr>
        <w:spacing w:line="360" w:lineRule="auto"/>
        <w:ind w:firstLine="240" w:firstLineChars="100"/>
        <w:rPr>
          <w:rFonts w:hint="eastAsia" w:ascii="仿宋_GB2312" w:hAnsi="仿宋" w:eastAsia="仿宋_GB2312" w:cs="仿宋_GB2312"/>
          <w:color w:val="auto"/>
          <w:sz w:val="24"/>
          <w:szCs w:val="21"/>
          <w:highlight w:val="none"/>
        </w:rPr>
      </w:pPr>
    </w:p>
    <w:p>
      <w:pPr>
        <w:snapToGrid w:val="0"/>
        <w:spacing w:line="360" w:lineRule="auto"/>
        <w:ind w:left="120" w:leftChars="57" w:firstLine="482" w:firstLineChars="150"/>
        <w:jc w:val="center"/>
        <w:rPr>
          <w:rFonts w:hint="eastAsia"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 xml:space="preserve">五、评标报告 </w:t>
      </w:r>
    </w:p>
    <w:p>
      <w:pPr>
        <w:pStyle w:val="414"/>
        <w:spacing w:before="0"/>
        <w:ind w:firstLine="0" w:firstLineChars="0"/>
        <w:rPr>
          <w:rFonts w:hint="eastAsia" w:ascii="仿宋_GB2312" w:hAnsi="仿宋" w:eastAsia="仿宋_GB2312" w:cs="仿宋_GB2312"/>
          <w:color w:val="auto"/>
          <w:szCs w:val="24"/>
          <w:highlight w:val="none"/>
        </w:rPr>
      </w:pPr>
      <w:r>
        <w:rPr>
          <w:rFonts w:hint="eastAsia" w:ascii="仿宋_GB2312" w:hAnsi="仿宋" w:eastAsia="仿宋_GB2312" w:cs="仿宋_GB2312"/>
          <w:b/>
          <w:color w:val="auto"/>
          <w:szCs w:val="24"/>
          <w:highlight w:val="none"/>
        </w:rPr>
        <w:t>14. 评标报告与推荐中标候选人。</w:t>
      </w:r>
      <w:r>
        <w:rPr>
          <w:rFonts w:hint="eastAsia" w:ascii="仿宋_GB2312" w:hAnsi="仿宋" w:eastAsia="仿宋_GB2312" w:cs="仿宋_GB2312"/>
          <w:color w:val="auto"/>
          <w:szCs w:val="24"/>
          <w:highlight w:val="none"/>
        </w:rPr>
        <w:t>评标委员会根据原始评标记录和评标结果编写评标报告，并通过电子交易平台向采购人、采购机构提交。</w:t>
      </w:r>
    </w:p>
    <w:p>
      <w:pPr>
        <w:widowControl/>
        <w:adjustRightInd/>
        <w:spacing w:before="100" w:beforeAutospacing="1" w:after="100" w:afterAutospacing="1" w:line="360" w:lineRule="auto"/>
        <w:jc w:val="left"/>
        <w:rPr>
          <w:rFonts w:hint="eastAsia"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15. 评标争议事项处理。</w:t>
      </w:r>
      <w:r>
        <w:rPr>
          <w:rFonts w:hint="eastAsia" w:ascii="仿宋_GB2312" w:hAnsi="仿宋" w:eastAsia="仿宋_GB2312" w:cs="仿宋_GB2312"/>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before="100" w:beforeAutospacing="1" w:after="100" w:afterAutospacing="1" w:line="360" w:lineRule="auto"/>
        <w:jc w:val="center"/>
        <w:rPr>
          <w:rFonts w:hint="eastAsia"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六、 废标</w:t>
      </w:r>
    </w:p>
    <w:p>
      <w:pPr>
        <w:pStyle w:val="25"/>
        <w:snapToGrid w:val="0"/>
        <w:spacing w:line="360" w:lineRule="auto"/>
        <w:ind w:firstLine="0" w:firstLineChars="0"/>
        <w:rPr>
          <w:rFonts w:hint="eastAsia" w:ascii="仿宋_GB2312" w:hAnsi="仿宋" w:eastAsia="仿宋_GB2312" w:cs="仿宋_GB2312"/>
          <w:color w:val="auto"/>
          <w:highlight w:val="none"/>
        </w:rPr>
      </w:pPr>
      <w:r>
        <w:rPr>
          <w:rFonts w:hint="eastAsia" w:ascii="仿宋_GB2312" w:hAnsi="仿宋" w:eastAsia="仿宋_GB2312" w:cs="仿宋_GB2312"/>
          <w:b/>
          <w:color w:val="auto"/>
          <w:highlight w:val="none"/>
        </w:rPr>
        <w:t>16.废标。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5"/>
        <w:snapToGrid w:val="0"/>
        <w:spacing w:line="360" w:lineRule="auto"/>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16.1符合专业条件的供应商或者对招标文件作实质响应的供应商不足3家的；</w:t>
      </w:r>
    </w:p>
    <w:p>
      <w:pPr>
        <w:pStyle w:val="25"/>
        <w:snapToGrid w:val="0"/>
        <w:spacing w:line="360" w:lineRule="auto"/>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16.2出现影响采购公正的违法、违规行为的；</w:t>
      </w:r>
    </w:p>
    <w:p>
      <w:pPr>
        <w:pStyle w:val="25"/>
        <w:snapToGrid w:val="0"/>
        <w:spacing w:line="360" w:lineRule="auto"/>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16.3投标人的报价均超过了采购预算，采购人不能支付的；</w:t>
      </w:r>
    </w:p>
    <w:p>
      <w:pPr>
        <w:pStyle w:val="25"/>
        <w:snapToGrid w:val="0"/>
        <w:spacing w:line="360" w:lineRule="auto"/>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16.4因重大变故，采购任务取消的。</w:t>
      </w:r>
    </w:p>
    <w:p>
      <w:pPr>
        <w:pStyle w:val="25"/>
        <w:snapToGrid w:val="0"/>
        <w:spacing w:line="360" w:lineRule="auto"/>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5"/>
        <w:snapToGrid w:val="0"/>
        <w:spacing w:line="360" w:lineRule="auto"/>
        <w:rPr>
          <w:rFonts w:hint="eastAsia" w:ascii="仿宋_GB2312" w:hAnsi="仿宋" w:eastAsia="仿宋_GB2312" w:cs="仿宋_GB2312"/>
          <w:color w:val="auto"/>
          <w:highlight w:val="none"/>
        </w:rPr>
      </w:pPr>
    </w:p>
    <w:p>
      <w:pPr>
        <w:snapToGrid w:val="0"/>
        <w:spacing w:line="360" w:lineRule="auto"/>
        <w:ind w:left="120" w:leftChars="57" w:firstLine="482" w:firstLineChars="150"/>
        <w:jc w:val="center"/>
        <w:rPr>
          <w:rFonts w:hint="eastAsia"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 重新组织采购</w:t>
      </w:r>
    </w:p>
    <w:p>
      <w:pPr>
        <w:pStyle w:val="25"/>
        <w:snapToGrid w:val="0"/>
        <w:spacing w:line="360" w:lineRule="auto"/>
        <w:ind w:firstLine="482"/>
        <w:rPr>
          <w:rFonts w:hint="eastAsia" w:ascii="仿宋_GB2312" w:hAnsi="仿宋" w:eastAsia="仿宋_GB2312" w:cs="仿宋_GB2312"/>
          <w:color w:val="auto"/>
          <w:highlight w:val="none"/>
        </w:rPr>
      </w:pPr>
      <w:r>
        <w:rPr>
          <w:rFonts w:hint="eastAsia" w:ascii="仿宋_GB2312" w:hAnsi="仿宋" w:eastAsia="仿宋_GB2312" w:cs="仿宋_GB2312"/>
          <w:b/>
          <w:color w:val="auto"/>
          <w:highlight w:val="none"/>
        </w:rPr>
        <w:t>17.修改招标文件，重新组织采购活动。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hint="eastAsia"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18.重新开展采购。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5"/>
        <w:snapToGrid w:val="0"/>
        <w:spacing w:line="360" w:lineRule="auto"/>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18.1未确定中标或者中标人的，终止本次政府采购活动，重新开展政府采购活动。</w:t>
      </w:r>
    </w:p>
    <w:p>
      <w:pPr>
        <w:pStyle w:val="25"/>
        <w:snapToGrid w:val="0"/>
        <w:spacing w:line="360" w:lineRule="auto"/>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18.2已确定中标或者中标人但尚未签订政府采购合同的，中标或者成交结果无效，从合格的中标或者成交候选人中另行确定中标或者中标人；没有合格的中标或者成交候选人的，重新开展政府采购活动。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18.3政府采购合同已签订但尚未履行的，撤销合同，从合格的中标或者成交候选人中另行确定中标或者中标人；没有合格的中标或者成交候选人的，重新开展政府采购活动。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18.4政府采购合同已经履行，给采购人、供应商造成损失的，由责任人承担赔偿责任。</w:t>
      </w:r>
    </w:p>
    <w:p>
      <w:pPr>
        <w:pStyle w:val="25"/>
        <w:snapToGrid w:val="0"/>
        <w:spacing w:line="360" w:lineRule="auto"/>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18.5政府采购当事人有其他违反政府采购法或者本条例规定的行为，经改正后仍然影响或者可能影响中标、成交结果或者依法被认定为中标、成交无效的，依照18.1-18.4规定处理。</w:t>
      </w:r>
    </w:p>
    <w:p>
      <w:pPr>
        <w:pStyle w:val="25"/>
        <w:snapToGrid w:val="0"/>
        <w:spacing w:line="360" w:lineRule="auto"/>
        <w:ind w:firstLine="0" w:firstLineChars="0"/>
        <w:rPr>
          <w:rFonts w:hint="eastAsia" w:ascii="仿宋_GB2312" w:hAnsi="仿宋" w:eastAsia="仿宋_GB2312" w:cs="仿宋_GB2312"/>
          <w:color w:val="auto"/>
          <w:highlight w:val="none"/>
        </w:rPr>
      </w:pPr>
    </w:p>
    <w:p>
      <w:pPr>
        <w:snapToGrid w:val="0"/>
        <w:spacing w:line="360" w:lineRule="auto"/>
        <w:ind w:left="120" w:leftChars="57" w:firstLine="482" w:firstLineChars="150"/>
        <w:jc w:val="center"/>
        <w:rPr>
          <w:rFonts w:hint="eastAsia"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八、评审过程的保密与录像</w:t>
      </w:r>
    </w:p>
    <w:p>
      <w:pPr>
        <w:widowControl/>
        <w:spacing w:line="360" w:lineRule="auto"/>
        <w:ind w:firstLine="482"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19.保密。</w:t>
      </w:r>
      <w:r>
        <w:rPr>
          <w:rFonts w:hint="eastAsia" w:ascii="仿宋_GB2312" w:hAnsi="仿宋" w:eastAsia="仿宋_GB2312" w:cs="仿宋_GB2312"/>
          <w:color w:val="auto"/>
          <w:sz w:val="24"/>
          <w:highlight w:val="none"/>
        </w:rPr>
        <w:t>评审活动在严格保密的情况下进行。评审过程中凡是与采购响应文件评审和比较、中标人推荐等评审有关的情况，以及涉及国家秘密和商业秘密等信息，评审委员会成员、采购人和采购机构工作人员、相关监督人员等与评审有关的人员应当予以保密。</w:t>
      </w:r>
    </w:p>
    <w:p>
      <w:pPr>
        <w:widowControl/>
        <w:spacing w:line="360" w:lineRule="auto"/>
        <w:ind w:firstLine="482"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20.录音录像。</w:t>
      </w:r>
      <w:r>
        <w:rPr>
          <w:rFonts w:hint="eastAsia" w:ascii="仿宋_GB2312" w:hAnsi="仿宋" w:eastAsia="仿宋_GB2312" w:cs="仿宋_GB2312"/>
          <w:color w:val="auto"/>
          <w:sz w:val="24"/>
          <w:highlight w:val="none"/>
        </w:rPr>
        <w:t>采购机构对评审工作现场进行全过程录音录像，录音录像资料作为采购项目文件随其他文件一并存档。</w:t>
      </w:r>
    </w:p>
    <w:p>
      <w:pPr>
        <w:snapToGrid w:val="0"/>
        <w:spacing w:line="360" w:lineRule="auto"/>
        <w:ind w:left="120" w:leftChars="57" w:firstLine="482" w:firstLineChars="150"/>
        <w:jc w:val="center"/>
        <w:rPr>
          <w:rFonts w:hint="eastAsia" w:ascii="仿宋_GB2312" w:hAnsi="仿宋" w:eastAsia="仿宋_GB2312" w:cs="仿宋_GB2312"/>
          <w:b/>
          <w:color w:val="auto"/>
          <w:sz w:val="32"/>
          <w:highlight w:val="none"/>
        </w:rPr>
      </w:pPr>
    </w:p>
    <w:p>
      <w:pPr>
        <w:rPr>
          <w:color w:val="auto"/>
          <w:sz w:val="20"/>
          <w:szCs w:val="20"/>
          <w:highlight w:val="none"/>
        </w:rPr>
      </w:pPr>
    </w:p>
    <w:p>
      <w:pPr>
        <w:widowControl/>
        <w:numPr>
          <w:ilvl w:val="0"/>
          <w:numId w:val="25"/>
        </w:numPr>
        <w:jc w:val="center"/>
        <w:textAlignment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具体评标标准</w:t>
      </w:r>
    </w:p>
    <w:p>
      <w:pPr>
        <w:rPr>
          <w:color w:val="auto"/>
          <w:highlight w:val="none"/>
        </w:rPr>
      </w:pPr>
    </w:p>
    <w:p>
      <w:pPr>
        <w:rPr>
          <w:color w:val="auto"/>
          <w:highlight w:val="none"/>
        </w:rPr>
      </w:pPr>
    </w:p>
    <w:p>
      <w:pPr>
        <w:autoSpaceDE w:val="0"/>
        <w:autoSpaceDN w:val="0"/>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一、本项目采用综合评分法</w:t>
      </w:r>
      <w:r>
        <w:rPr>
          <w:rFonts w:hint="eastAsia" w:ascii="仿宋" w:hAnsi="仿宋" w:eastAsia="仿宋" w:cs="仿宋"/>
          <w:color w:val="auto"/>
          <w:sz w:val="24"/>
          <w:highlight w:val="none"/>
        </w:rPr>
        <w:t>，评标委员会将对各投标人的投标报价、</w:t>
      </w:r>
      <w:r>
        <w:rPr>
          <w:rFonts w:hint="eastAsia" w:ascii="仿宋" w:hAnsi="仿宋" w:eastAsia="仿宋" w:cs="仿宋"/>
          <w:bCs/>
          <w:color w:val="auto"/>
          <w:sz w:val="24"/>
          <w:highlight w:val="none"/>
        </w:rPr>
        <w:t>技术和服务方案</w:t>
      </w:r>
      <w:r>
        <w:rPr>
          <w:rFonts w:hint="eastAsia" w:ascii="仿宋" w:hAnsi="仿宋" w:eastAsia="仿宋" w:cs="仿宋"/>
          <w:color w:val="auto"/>
          <w:sz w:val="24"/>
          <w:highlight w:val="none"/>
        </w:rPr>
        <w:t xml:space="preserve">、投标人提供的资质和业绩情况等方面进行综合评审，评标委员会各成员应当独立对每个有效投标人的投标文件进行评价、打分。经统计，得出各投标人的最终评审分,按最终评审分由高到低顺序排列。得分相同的，按投标报价由低到高顺序排列。得分且投标报价相同的，按技术指标优劣顺序排列，并形成评标意见。 </w:t>
      </w:r>
    </w:p>
    <w:p>
      <w:pPr>
        <w:spacing w:line="360" w:lineRule="auto"/>
        <w:ind w:left="105" w:leftChars="50" w:firstLine="427" w:firstLineChars="178"/>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各投标人的综合得分为：投标价格得分+</w:t>
      </w:r>
      <w:r>
        <w:rPr>
          <w:rFonts w:hint="eastAsia" w:ascii="仿宋" w:hAnsi="仿宋" w:eastAsia="仿宋" w:cs="仿宋"/>
          <w:bCs/>
          <w:color w:val="auto"/>
          <w:sz w:val="24"/>
          <w:highlight w:val="none"/>
        </w:rPr>
        <w:t>技术和服务方案</w:t>
      </w:r>
      <w:r>
        <w:rPr>
          <w:rFonts w:hint="eastAsia" w:ascii="仿宋" w:hAnsi="仿宋" w:eastAsia="仿宋" w:cs="仿宋"/>
          <w:color w:val="auto"/>
          <w:sz w:val="24"/>
          <w:highlight w:val="none"/>
        </w:rPr>
        <w:t>得分+投标人的资质和业绩情况得分之和，</w:t>
      </w:r>
      <w:r>
        <w:rPr>
          <w:rFonts w:hint="eastAsia" w:ascii="仿宋" w:hAnsi="仿宋" w:eastAsia="仿宋" w:cs="仿宋"/>
          <w:b/>
          <w:color w:val="auto"/>
          <w:sz w:val="24"/>
          <w:highlight w:val="none"/>
        </w:rPr>
        <w:t>总和为</w:t>
      </w:r>
      <w:r>
        <w:rPr>
          <w:rFonts w:hint="eastAsia" w:ascii="仿宋" w:hAnsi="仿宋" w:eastAsia="仿宋" w:cs="仿宋"/>
          <w:b/>
          <w:color w:val="auto"/>
          <w:sz w:val="24"/>
          <w:highlight w:val="none"/>
          <w:u w:val="single"/>
        </w:rPr>
        <w:t>100</w:t>
      </w:r>
      <w:r>
        <w:rPr>
          <w:rFonts w:hint="eastAsia" w:ascii="仿宋" w:hAnsi="仿宋" w:eastAsia="仿宋" w:cs="仿宋"/>
          <w:b/>
          <w:color w:val="auto"/>
          <w:sz w:val="24"/>
          <w:highlight w:val="none"/>
        </w:rPr>
        <w:t>分</w:t>
      </w:r>
      <w:r>
        <w:rPr>
          <w:rFonts w:hint="eastAsia" w:ascii="仿宋" w:hAnsi="仿宋" w:eastAsia="仿宋" w:cs="仿宋"/>
          <w:color w:val="auto"/>
          <w:sz w:val="24"/>
          <w:highlight w:val="none"/>
        </w:rPr>
        <w:t>，其中：</w:t>
      </w:r>
      <w:r>
        <w:rPr>
          <w:rFonts w:hint="eastAsia" w:ascii="仿宋" w:hAnsi="仿宋" w:eastAsia="仿宋" w:cs="仿宋"/>
          <w:b/>
          <w:color w:val="auto"/>
          <w:sz w:val="24"/>
          <w:highlight w:val="none"/>
        </w:rPr>
        <w:t>投标价格得分</w:t>
      </w:r>
      <w:r>
        <w:rPr>
          <w:rFonts w:hint="eastAsia" w:ascii="仿宋" w:hAnsi="仿宋" w:eastAsia="仿宋" w:cs="仿宋"/>
          <w:b/>
          <w:color w:val="auto"/>
          <w:sz w:val="24"/>
          <w:highlight w:val="none"/>
          <w:u w:val="single"/>
        </w:rPr>
        <w:t>30</w:t>
      </w:r>
      <w:r>
        <w:rPr>
          <w:rFonts w:hint="eastAsia" w:ascii="仿宋" w:hAnsi="仿宋" w:eastAsia="仿宋" w:cs="仿宋"/>
          <w:b/>
          <w:color w:val="auto"/>
          <w:sz w:val="24"/>
          <w:highlight w:val="none"/>
        </w:rPr>
        <w:t>分，</w:t>
      </w:r>
      <w:r>
        <w:rPr>
          <w:rFonts w:hint="eastAsia" w:ascii="仿宋" w:hAnsi="仿宋" w:eastAsia="仿宋" w:cs="仿宋"/>
          <w:b/>
          <w:bCs/>
          <w:color w:val="auto"/>
          <w:sz w:val="24"/>
          <w:highlight w:val="none"/>
        </w:rPr>
        <w:t>技术和服务方案得分</w:t>
      </w:r>
      <w:r>
        <w:rPr>
          <w:rFonts w:hint="eastAsia" w:ascii="仿宋" w:hAnsi="仿宋" w:eastAsia="仿宋" w:cs="仿宋"/>
          <w:b/>
          <w:color w:val="auto"/>
          <w:sz w:val="24"/>
          <w:highlight w:val="none"/>
          <w:u w:val="single"/>
        </w:rPr>
        <w:t>6</w:t>
      </w:r>
      <w:r>
        <w:rPr>
          <w:rFonts w:hint="eastAsia" w:ascii="仿宋" w:hAnsi="仿宋" w:eastAsia="仿宋" w:cs="仿宋"/>
          <w:b/>
          <w:color w:val="auto"/>
          <w:sz w:val="24"/>
          <w:highlight w:val="none"/>
          <w:u w:val="single"/>
          <w:lang w:val="en-US" w:eastAsia="zh-CN"/>
        </w:rPr>
        <w:t>4</w:t>
      </w:r>
      <w:r>
        <w:rPr>
          <w:rFonts w:hint="eastAsia" w:ascii="仿宋" w:hAnsi="仿宋" w:eastAsia="仿宋" w:cs="仿宋"/>
          <w:b/>
          <w:color w:val="auto"/>
          <w:sz w:val="24"/>
          <w:highlight w:val="none"/>
        </w:rPr>
        <w:t>分，投标人的资质和业绩情况得分</w:t>
      </w:r>
      <w:r>
        <w:rPr>
          <w:rFonts w:hint="eastAsia" w:ascii="仿宋" w:hAnsi="仿宋" w:eastAsia="仿宋" w:cs="仿宋"/>
          <w:b/>
          <w:color w:val="auto"/>
          <w:sz w:val="24"/>
          <w:highlight w:val="none"/>
          <w:u w:val="single"/>
          <w:lang w:val="en-US" w:eastAsia="zh-CN"/>
        </w:rPr>
        <w:t>6</w:t>
      </w:r>
      <w:r>
        <w:rPr>
          <w:rFonts w:hint="eastAsia" w:ascii="仿宋" w:hAnsi="仿宋" w:eastAsia="仿宋" w:cs="仿宋"/>
          <w:b/>
          <w:color w:val="auto"/>
          <w:sz w:val="24"/>
          <w:highlight w:val="none"/>
        </w:rPr>
        <w:t>分。各投标人总分为：综合得分</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投标人的信誉情况扣分。</w:t>
      </w:r>
    </w:p>
    <w:p>
      <w:pPr>
        <w:tabs>
          <w:tab w:val="left" w:pos="0"/>
        </w:tabs>
        <w:spacing w:line="360" w:lineRule="auto"/>
        <w:ind w:firstLine="542" w:firstLineChars="225"/>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各投标人的技术和服务方案、投标人的资质和业绩情况得分为：评标委员会各成员评分的算术平均值。各投标人的投标价格得分按投标价格评分</w:t>
      </w:r>
      <w:r>
        <w:rPr>
          <w:rFonts w:hint="eastAsia" w:ascii="仿宋" w:hAnsi="仿宋" w:eastAsia="仿宋" w:cs="仿宋"/>
          <w:b/>
          <w:color w:val="auto"/>
          <w:kern w:val="0"/>
          <w:sz w:val="24"/>
          <w:highlight w:val="none"/>
        </w:rPr>
        <w:t>公式由采购机构计算，</w:t>
      </w:r>
      <w:r>
        <w:rPr>
          <w:rFonts w:hint="eastAsia" w:ascii="仿宋" w:hAnsi="仿宋" w:eastAsia="仿宋" w:cs="仿宋"/>
          <w:b/>
          <w:color w:val="auto"/>
          <w:sz w:val="24"/>
          <w:highlight w:val="none"/>
        </w:rPr>
        <w:t>评标委员会审核。</w:t>
      </w:r>
      <w:r>
        <w:rPr>
          <w:rFonts w:hint="eastAsia" w:ascii="仿宋" w:hAnsi="仿宋" w:eastAsia="仿宋" w:cs="仿宋"/>
          <w:color w:val="auto"/>
          <w:sz w:val="24"/>
          <w:highlight w:val="none"/>
        </w:rPr>
        <w:t>根据上述评标原则，分值安排如下：</w:t>
      </w:r>
    </w:p>
    <w:p>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t>投标价格（A=30分）：</w:t>
      </w:r>
    </w:p>
    <w:p>
      <w:pPr>
        <w:autoSpaceDE w:val="0"/>
        <w:autoSpaceDN w:val="0"/>
        <w:spacing w:line="360" w:lineRule="auto"/>
        <w:ind w:firstLine="482"/>
        <w:jc w:val="left"/>
        <w:rPr>
          <w:rFonts w:hint="eastAsia" w:ascii="仿宋" w:hAnsi="仿宋" w:eastAsia="仿宋" w:cs="仿宋"/>
          <w:color w:val="auto"/>
          <w:sz w:val="24"/>
          <w:highlight w:val="none"/>
          <w:lang w:val="zh-CN"/>
        </w:rPr>
      </w:pPr>
      <w:r>
        <w:rPr>
          <w:rFonts w:hint="eastAsia" w:ascii="仿宋" w:hAnsi="仿宋" w:eastAsia="仿宋" w:cs="仿宋"/>
          <w:color w:val="auto"/>
          <w:sz w:val="18"/>
          <w:szCs w:val="18"/>
          <w:highlight w:val="none"/>
        </w:rPr>
        <w:t xml:space="preserve">● </w:t>
      </w:r>
      <w:r>
        <w:rPr>
          <w:rFonts w:hint="eastAsia" w:ascii="仿宋" w:hAnsi="仿宋" w:eastAsia="仿宋" w:cs="仿宋"/>
          <w:b/>
          <w:color w:val="auto"/>
          <w:sz w:val="24"/>
          <w:highlight w:val="none"/>
        </w:rPr>
        <w:t>投标价格的合理性</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分析总报价及各个分项报价是否合理，报价范围是否完整，有否重大错漏项</w:t>
      </w:r>
      <w:r>
        <w:rPr>
          <w:rFonts w:hint="eastAsia" w:ascii="仿宋" w:hAnsi="仿宋" w:eastAsia="仿宋" w:cs="仿宋"/>
          <w:color w:val="auto"/>
          <w:sz w:val="24"/>
          <w:highlight w:val="none"/>
        </w:rPr>
        <w:t>，评标委员会认为投标报价出现异常时，有权要求投标人在评标期间对投标报价的详细组成和投标设备的供应渠道等事项作出解释和澄清，并确认其投标报价是否有效</w:t>
      </w:r>
      <w:r>
        <w:rPr>
          <w:rFonts w:hint="eastAsia" w:ascii="仿宋" w:hAnsi="仿宋" w:eastAsia="仿宋" w:cs="仿宋"/>
          <w:color w:val="auto"/>
          <w:sz w:val="24"/>
          <w:highlight w:val="none"/>
          <w:lang w:val="zh-CN"/>
        </w:rPr>
        <w:t>；</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报价分计算方法：根据各投标人的有效投标报价，以满足招标文件要求且有效投标价格的最低的投标报价为评标基准价，其价格分为</w:t>
      </w:r>
      <w:r>
        <w:rPr>
          <w:rFonts w:hint="eastAsia" w:ascii="仿宋" w:hAnsi="仿宋" w:eastAsia="仿宋" w:cs="仿宋"/>
          <w:color w:val="auto"/>
          <w:sz w:val="24"/>
          <w:highlight w:val="none"/>
        </w:rPr>
        <w:t>30</w:t>
      </w:r>
      <w:r>
        <w:rPr>
          <w:rFonts w:hint="eastAsia" w:ascii="仿宋" w:hAnsi="仿宋" w:eastAsia="仿宋" w:cs="仿宋"/>
          <w:color w:val="auto"/>
          <w:sz w:val="24"/>
          <w:highlight w:val="none"/>
          <w:lang w:val="zh-CN"/>
        </w:rPr>
        <w:t>分。其他投标人的价格分统一按照下列公式计算：投标报价得分＝(评标基准价/有效投标报价)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价格权值</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100(精确到小数点后二位，由采购机构当场统一计算)。</w:t>
      </w:r>
    </w:p>
    <w:p>
      <w:pPr>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技术和服务方案（B= 6</w:t>
      </w: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分）：</w:t>
      </w:r>
      <w:r>
        <w:rPr>
          <w:rFonts w:hint="eastAsia" w:ascii="仿宋" w:hAnsi="仿宋" w:eastAsia="仿宋" w:cs="仿宋"/>
          <w:color w:val="auto"/>
          <w:sz w:val="24"/>
          <w:highlight w:val="none"/>
        </w:rPr>
        <w:t>主要包含方案的</w:t>
      </w:r>
      <w:r>
        <w:rPr>
          <w:rFonts w:hint="eastAsia" w:ascii="仿宋" w:hAnsi="仿宋" w:eastAsia="仿宋" w:cs="仿宋"/>
          <w:bCs/>
          <w:color w:val="auto"/>
          <w:sz w:val="24"/>
          <w:highlight w:val="none"/>
        </w:rPr>
        <w:t>先进性、科学性和完整性，产品与</w:t>
      </w:r>
      <w:r>
        <w:rPr>
          <w:rFonts w:hint="eastAsia" w:ascii="仿宋" w:hAnsi="仿宋" w:eastAsia="仿宋" w:cs="仿宋"/>
          <w:color w:val="auto"/>
          <w:sz w:val="24"/>
          <w:highlight w:val="none"/>
        </w:rPr>
        <w:t>需求的吻合程度</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提供的售后服务方案、维护人员和机构等情况的服务优劣程度等方面的因素</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以及承诺和优惠。</w:t>
      </w:r>
    </w:p>
    <w:p>
      <w:pPr>
        <w:snapToGrid w:val="0"/>
        <w:spacing w:line="360" w:lineRule="auto"/>
        <w:ind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（1）投标产品的性能与需求的吻合程度（3</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分）：</w:t>
      </w:r>
    </w:p>
    <w:p>
      <w:pPr>
        <w:snapToGrid w:val="0"/>
        <w:spacing w:line="360" w:lineRule="auto"/>
        <w:ind w:firstLine="450" w:firstLineChars="250"/>
        <w:jc w:val="left"/>
        <w:rPr>
          <w:rFonts w:hint="eastAsia" w:ascii="仿宋" w:hAnsi="仿宋" w:eastAsia="仿宋" w:cs="仿宋"/>
          <w:color w:val="auto"/>
          <w:sz w:val="24"/>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24"/>
          <w:highlight w:val="none"/>
        </w:rPr>
        <w:t>关于</w:t>
      </w:r>
      <w:r>
        <w:rPr>
          <w:rFonts w:hint="eastAsia" w:ascii="仿宋" w:hAnsi="仿宋" w:eastAsia="仿宋" w:cs="仿宋"/>
          <w:color w:val="auto"/>
          <w:sz w:val="24"/>
          <w:highlight w:val="none"/>
          <w:lang w:eastAsia="zh-CN"/>
        </w:rPr>
        <w:t>基础设施</w:t>
      </w:r>
      <w:r>
        <w:rPr>
          <w:rFonts w:hint="eastAsia" w:ascii="仿宋" w:hAnsi="仿宋" w:eastAsia="仿宋" w:cs="仿宋"/>
          <w:color w:val="auto"/>
          <w:sz w:val="24"/>
          <w:highlight w:val="none"/>
        </w:rPr>
        <w:t>所需采购的物品性能参数满足情况：</w:t>
      </w:r>
    </w:p>
    <w:p>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综合</w:t>
      </w:r>
      <w:r>
        <w:rPr>
          <w:rFonts w:hint="eastAsia" w:ascii="仿宋" w:hAnsi="仿宋" w:eastAsia="仿宋" w:cs="仿宋"/>
          <w:color w:val="auto"/>
          <w:sz w:val="24"/>
          <w:highlight w:val="none"/>
        </w:rPr>
        <w:t>运维</w:t>
      </w:r>
      <w:r>
        <w:rPr>
          <w:rFonts w:hint="eastAsia" w:ascii="仿宋" w:hAnsi="仿宋" w:eastAsia="仿宋" w:cs="仿宋"/>
          <w:color w:val="auto"/>
          <w:sz w:val="24"/>
          <w:highlight w:val="none"/>
          <w:lang w:eastAsia="zh-CN"/>
        </w:rPr>
        <w:t>管理</w:t>
      </w:r>
      <w:r>
        <w:rPr>
          <w:rFonts w:hint="eastAsia" w:ascii="仿宋" w:hAnsi="仿宋" w:eastAsia="仿宋" w:cs="仿宋"/>
          <w:color w:val="auto"/>
          <w:sz w:val="24"/>
          <w:highlight w:val="none"/>
        </w:rPr>
        <w:t>系统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计算机网络系统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机房工程</w:t>
      </w:r>
      <w:r>
        <w:rPr>
          <w:rFonts w:hint="eastAsia" w:ascii="仿宋" w:hAnsi="仿宋" w:eastAsia="仿宋" w:cs="仿宋"/>
          <w:color w:val="auto"/>
          <w:sz w:val="24"/>
          <w:highlight w:val="none"/>
          <w:lang w:eastAsia="zh-CN"/>
        </w:rPr>
        <w:t>、信息发布系统等。</w:t>
      </w:r>
    </w:p>
    <w:p>
      <w:pPr>
        <w:adjustRightInd/>
        <w:snapToGrid w:val="0"/>
        <w:spacing w:line="360" w:lineRule="auto"/>
        <w:ind w:firstLine="480" w:firstLineChars="200"/>
        <w:rPr>
          <w:rFonts w:ascii="仿宋_GB2312" w:hAnsi="仿宋_GB2312" w:eastAsia="仿宋" w:cs="仿宋_GB2312"/>
          <w:color w:val="auto"/>
          <w:sz w:val="28"/>
          <w:szCs w:val="28"/>
          <w:highlight w:val="none"/>
        </w:rPr>
      </w:pPr>
      <w:r>
        <w:rPr>
          <w:rFonts w:hint="eastAsia" w:ascii="仿宋" w:hAnsi="仿宋" w:eastAsia="仿宋" w:cs="仿宋"/>
          <w:color w:val="auto"/>
          <w:sz w:val="24"/>
          <w:highlight w:val="none"/>
        </w:rPr>
        <w:t>本项总计1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分，货物性能参数如有负偏离或缺失的，每项扣1分，</w:t>
      </w:r>
      <w:r>
        <w:rPr>
          <w:rFonts w:hint="eastAsia" w:ascii="仿宋" w:hAnsi="仿宋" w:eastAsia="仿宋" w:cs="仿宋"/>
          <w:color w:val="auto"/>
          <w:sz w:val="24"/>
          <w:highlight w:val="none"/>
          <w:lang w:eastAsia="zh-CN"/>
        </w:rPr>
        <w:t>标注“※”</w:t>
      </w:r>
      <w:r>
        <w:rPr>
          <w:rFonts w:hint="eastAsia" w:ascii="仿宋" w:hAnsi="仿宋" w:eastAsia="仿宋" w:cs="仿宋"/>
          <w:color w:val="auto"/>
          <w:sz w:val="24"/>
          <w:highlight w:val="none"/>
        </w:rPr>
        <w:t>重要技术指标物品性能参数如有负偏离或缺失的，每项扣3分，扣完为止。</w:t>
      </w:r>
    </w:p>
    <w:p>
      <w:pPr>
        <w:adjustRightInd/>
        <w:snapToGrid w:val="0"/>
        <w:spacing w:line="360" w:lineRule="auto"/>
        <w:ind w:firstLine="360" w:firstLineChars="200"/>
        <w:rPr>
          <w:rFonts w:hint="eastAsia" w:ascii="仿宋" w:hAnsi="仿宋" w:eastAsia="仿宋" w:cs="仿宋"/>
          <w:color w:val="auto"/>
          <w:sz w:val="24"/>
          <w:highlight w:val="none"/>
        </w:rPr>
      </w:pPr>
      <w:r>
        <w:rPr>
          <w:rFonts w:hint="eastAsia" w:ascii="仿宋" w:hAnsi="仿宋" w:eastAsia="仿宋" w:cs="仿宋"/>
          <w:color w:val="auto"/>
          <w:sz w:val="18"/>
          <w:szCs w:val="18"/>
          <w:highlight w:val="none"/>
        </w:rPr>
        <w:t xml:space="preserve">● </w:t>
      </w:r>
      <w:r>
        <w:rPr>
          <w:rFonts w:hint="eastAsia" w:ascii="仿宋" w:hAnsi="仿宋" w:eastAsia="仿宋" w:cs="仿宋"/>
          <w:color w:val="auto"/>
          <w:sz w:val="24"/>
          <w:highlight w:val="none"/>
        </w:rPr>
        <w:t>关于安防系统所需采购的物品性能参数满足情况：</w:t>
      </w:r>
    </w:p>
    <w:p>
      <w:pPr>
        <w:adjustRightInd/>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电子巡查系统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广播系统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监舍智能管理系统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人员定位管控及点名系统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智能语音交互系统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\l _Toc4275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lang w:val="en-US" w:eastAsia="zh-CN"/>
        </w:rPr>
        <w:t>警用装备智能管理系统</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lang w:eastAsia="zh-CN"/>
        </w:rPr>
        <w:t>等。</w:t>
      </w:r>
    </w:p>
    <w:p>
      <w:pPr>
        <w:adjustRightInd/>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本项总计</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分，货物性能参数如有负偏离或缺失的，每项扣1分，</w:t>
      </w:r>
      <w:r>
        <w:rPr>
          <w:rFonts w:hint="eastAsia" w:ascii="仿宋" w:hAnsi="仿宋" w:eastAsia="仿宋" w:cs="仿宋"/>
          <w:color w:val="auto"/>
          <w:sz w:val="24"/>
          <w:highlight w:val="none"/>
          <w:lang w:eastAsia="zh-CN"/>
        </w:rPr>
        <w:t>标注“※”</w:t>
      </w:r>
      <w:r>
        <w:rPr>
          <w:rFonts w:hint="eastAsia" w:ascii="仿宋" w:hAnsi="仿宋" w:eastAsia="仿宋" w:cs="仿宋"/>
          <w:color w:val="auto"/>
          <w:sz w:val="24"/>
          <w:highlight w:val="none"/>
        </w:rPr>
        <w:t>重要技术指标物品性能参数如有负偏离或缺失的，每项扣3分，扣完为止。</w:t>
      </w:r>
    </w:p>
    <w:p>
      <w:pPr>
        <w:snapToGrid w:val="0"/>
        <w:spacing w:line="360" w:lineRule="auto"/>
        <w:ind w:firstLine="450" w:firstLineChars="250"/>
        <w:jc w:val="left"/>
        <w:rPr>
          <w:rFonts w:hint="eastAsia" w:ascii="仿宋" w:hAnsi="仿宋" w:eastAsia="仿宋" w:cs="仿宋"/>
          <w:color w:val="auto"/>
          <w:sz w:val="24"/>
          <w:highlight w:val="none"/>
        </w:rPr>
      </w:pPr>
      <w:r>
        <w:rPr>
          <w:rFonts w:hint="eastAsia" w:ascii="仿宋" w:hAnsi="仿宋" w:eastAsia="仿宋" w:cs="仿宋"/>
          <w:color w:val="auto"/>
          <w:sz w:val="18"/>
          <w:szCs w:val="18"/>
          <w:highlight w:val="none"/>
        </w:rPr>
        <w:t xml:space="preserve">● </w:t>
      </w:r>
      <w:r>
        <w:rPr>
          <w:rFonts w:hint="eastAsia" w:ascii="仿宋" w:hAnsi="仿宋" w:eastAsia="仿宋" w:cs="仿宋"/>
          <w:color w:val="auto"/>
          <w:sz w:val="24"/>
          <w:highlight w:val="none"/>
        </w:rPr>
        <w:t>关于指挥中心</w:t>
      </w:r>
      <w:r>
        <w:rPr>
          <w:rFonts w:hint="eastAsia" w:ascii="仿宋" w:hAnsi="仿宋" w:eastAsia="仿宋" w:cs="仿宋"/>
          <w:color w:val="auto"/>
          <w:sz w:val="24"/>
          <w:highlight w:val="none"/>
          <w:lang w:eastAsia="zh-CN"/>
        </w:rPr>
        <w:t>及综合指挥应用管理平台</w:t>
      </w:r>
      <w:r>
        <w:rPr>
          <w:rFonts w:hint="eastAsia" w:ascii="仿宋" w:hAnsi="仿宋" w:eastAsia="仿宋" w:cs="仿宋"/>
          <w:color w:val="auto"/>
          <w:sz w:val="24"/>
          <w:highlight w:val="none"/>
        </w:rPr>
        <w:t>所需采购的物品性能参数满足情况：</w:t>
      </w:r>
    </w:p>
    <w:p>
      <w:pPr>
        <w:snapToGrid w:val="0"/>
        <w:spacing w:line="360" w:lineRule="auto"/>
        <w:ind w:firstLine="600" w:firstLineChars="250"/>
        <w:jc w:val="left"/>
        <w:rPr>
          <w:rFonts w:hint="eastAsia"/>
          <w:color w:val="auto"/>
          <w:highlight w:val="none"/>
        </w:rPr>
      </w:pPr>
      <w:r>
        <w:rPr>
          <w:rFonts w:hint="eastAsia" w:ascii="仿宋" w:hAnsi="仿宋" w:eastAsia="仿宋" w:cs="仿宋"/>
          <w:color w:val="auto"/>
          <w:sz w:val="24"/>
          <w:highlight w:val="none"/>
          <w:lang w:eastAsia="zh-CN"/>
        </w:rPr>
        <w:t>指挥中心工程、综合指挥应用管理平台等。</w:t>
      </w:r>
    </w:p>
    <w:p>
      <w:pPr>
        <w:snapToGrid w:val="0"/>
        <w:spacing w:line="360" w:lineRule="auto"/>
        <w:ind w:firstLine="600" w:firstLineChars="250"/>
        <w:jc w:val="left"/>
        <w:rPr>
          <w:rFonts w:hint="eastAsia" w:eastAsia="仿宋"/>
          <w:color w:val="auto"/>
          <w:highlight w:val="none"/>
        </w:rPr>
      </w:pPr>
      <w:r>
        <w:rPr>
          <w:rFonts w:hint="eastAsia" w:ascii="仿宋" w:hAnsi="仿宋" w:eastAsia="仿宋" w:cs="仿宋"/>
          <w:color w:val="auto"/>
          <w:sz w:val="24"/>
          <w:highlight w:val="none"/>
        </w:rPr>
        <w:t>本项总计</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分，货物性能参数如有负偏离或缺失的，每项扣1分，</w:t>
      </w:r>
      <w:r>
        <w:rPr>
          <w:rFonts w:hint="eastAsia" w:ascii="仿宋" w:hAnsi="仿宋" w:eastAsia="仿宋" w:cs="仿宋"/>
          <w:color w:val="auto"/>
          <w:sz w:val="24"/>
          <w:highlight w:val="none"/>
          <w:lang w:eastAsia="zh-CN"/>
        </w:rPr>
        <w:t>标注“※”</w:t>
      </w:r>
      <w:r>
        <w:rPr>
          <w:rFonts w:hint="eastAsia" w:ascii="仿宋" w:hAnsi="仿宋" w:eastAsia="仿宋" w:cs="仿宋"/>
          <w:color w:val="auto"/>
          <w:sz w:val="24"/>
          <w:highlight w:val="none"/>
        </w:rPr>
        <w:t>重要技术指标物品性能参数如有负偏离或缺失的，每项扣3分，扣完为止。</w:t>
      </w:r>
    </w:p>
    <w:p>
      <w:pPr>
        <w:pStyle w:val="2"/>
        <w:ind w:firstLine="472" w:firstLineChars="196"/>
        <w:rPr>
          <w:rFonts w:hint="eastAsia" w:eastAsia="仿宋"/>
          <w:b/>
          <w:bCs/>
          <w:color w:val="auto"/>
          <w:highlight w:val="none"/>
        </w:rPr>
      </w:pPr>
      <w:r>
        <w:rPr>
          <w:rFonts w:hint="eastAsia" w:ascii="仿宋" w:hAnsi="仿宋" w:eastAsia="仿宋" w:cs="仿宋"/>
          <w:b/>
          <w:bCs/>
          <w:color w:val="auto"/>
          <w:highlight w:val="none"/>
        </w:rPr>
        <w:t>注：对于</w:t>
      </w:r>
      <w:r>
        <w:rPr>
          <w:rFonts w:hint="eastAsia" w:ascii="仿宋" w:hAnsi="仿宋" w:eastAsia="仿宋" w:cs="仿宋"/>
          <w:b/>
          <w:bCs/>
          <w:color w:val="auto"/>
          <w:highlight w:val="none"/>
          <w:lang w:eastAsia="zh-CN"/>
        </w:rPr>
        <w:t>带有※</w:t>
      </w:r>
      <w:r>
        <w:rPr>
          <w:rFonts w:hint="eastAsia" w:ascii="仿宋" w:hAnsi="仿宋" w:eastAsia="仿宋" w:cs="仿宋"/>
          <w:b/>
          <w:bCs/>
          <w:color w:val="auto"/>
          <w:highlight w:val="none"/>
        </w:rPr>
        <w:t>的参数为该项目重要</w:t>
      </w:r>
      <w:r>
        <w:rPr>
          <w:rFonts w:hint="eastAsia" w:ascii="仿宋" w:hAnsi="仿宋" w:eastAsia="仿宋" w:cs="仿宋"/>
          <w:b/>
          <w:bCs/>
          <w:color w:val="auto"/>
          <w:highlight w:val="none"/>
          <w:lang w:eastAsia="zh-CN"/>
        </w:rPr>
        <w:t>技术指标</w:t>
      </w:r>
      <w:r>
        <w:rPr>
          <w:rFonts w:hint="eastAsia" w:ascii="仿宋" w:hAnsi="仿宋" w:eastAsia="仿宋" w:cs="仿宋"/>
          <w:b/>
          <w:bCs/>
          <w:color w:val="auto"/>
          <w:highlight w:val="none"/>
        </w:rPr>
        <w:t>，若出现负偏离或缺失，则每一项扣3分，扣完为止；对于带有▲的参数为</w:t>
      </w:r>
      <w:r>
        <w:rPr>
          <w:rFonts w:hint="eastAsia" w:ascii="仿宋" w:hAnsi="仿宋" w:eastAsia="仿宋" w:cs="仿宋"/>
          <w:b/>
          <w:bCs/>
          <w:color w:val="auto"/>
          <w:highlight w:val="none"/>
          <w:lang w:eastAsia="zh-CN"/>
        </w:rPr>
        <w:t>实质性要求条款</w:t>
      </w:r>
      <w:r>
        <w:rPr>
          <w:rFonts w:hint="eastAsia" w:ascii="仿宋" w:hAnsi="仿宋" w:eastAsia="仿宋" w:cs="仿宋"/>
          <w:b/>
          <w:bCs/>
          <w:color w:val="auto"/>
          <w:highlight w:val="none"/>
        </w:rPr>
        <w:t>，若产生负偏离则为无效标处理。</w:t>
      </w:r>
    </w:p>
    <w:p>
      <w:pPr>
        <w:snapToGrid w:val="0"/>
        <w:spacing w:line="360" w:lineRule="auto"/>
        <w:ind w:right="-109" w:rightChars="-52"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（2）关键技术解决能力和资源整合利用的能力（</w:t>
      </w:r>
      <w:r>
        <w:rPr>
          <w:rFonts w:hint="eastAsia" w:ascii="仿宋" w:hAnsi="仿宋" w:eastAsia="仿宋" w:cs="仿宋"/>
          <w:color w:val="auto"/>
          <w:sz w:val="24"/>
          <w:highlight w:val="none"/>
        </w:rPr>
        <w:t>4</w:t>
      </w:r>
      <w:r>
        <w:rPr>
          <w:rFonts w:hint="eastAsia" w:ascii="仿宋" w:hAnsi="仿宋" w:eastAsia="仿宋" w:cs="仿宋"/>
          <w:b/>
          <w:color w:val="auto"/>
          <w:sz w:val="24"/>
          <w:highlight w:val="none"/>
        </w:rPr>
        <w:t>分）：</w:t>
      </w:r>
    </w:p>
    <w:p>
      <w:pPr>
        <w:snapToGrid w:val="0"/>
        <w:spacing w:line="360" w:lineRule="auto"/>
        <w:ind w:right="-109" w:rightChars="-52" w:firstLine="450" w:firstLineChars="250"/>
        <w:jc w:val="left"/>
        <w:rPr>
          <w:rFonts w:hint="eastAsia" w:ascii="仿宋" w:hAnsi="仿宋" w:eastAsia="仿宋" w:cs="仿宋"/>
          <w:color w:val="auto"/>
          <w:sz w:val="24"/>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24"/>
          <w:szCs w:val="18"/>
          <w:highlight w:val="none"/>
        </w:rPr>
        <w:t>投标方案①对</w:t>
      </w:r>
      <w:r>
        <w:rPr>
          <w:rFonts w:hint="eastAsia" w:ascii="仿宋" w:hAnsi="仿宋" w:eastAsia="仿宋" w:cs="仿宋"/>
          <w:color w:val="auto"/>
          <w:sz w:val="24"/>
          <w:highlight w:val="none"/>
        </w:rPr>
        <w:t>本项目</w:t>
      </w:r>
      <w:r>
        <w:rPr>
          <w:rFonts w:hint="eastAsia" w:ascii="仿宋" w:hAnsi="仿宋" w:eastAsia="仿宋" w:cs="仿宋"/>
          <w:color w:val="auto"/>
          <w:sz w:val="24"/>
          <w:szCs w:val="18"/>
          <w:highlight w:val="none"/>
        </w:rPr>
        <w:t>整体架构的理解、描述是是否详尽、准确，②对用户需求、建设目标与任务的理解是否准确、完整以及，每一项得1分，不满足不得分，总计2分</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分）</w:t>
      </w:r>
      <w:r>
        <w:rPr>
          <w:rFonts w:hint="eastAsia" w:ascii="仿宋" w:hAnsi="仿宋" w:eastAsia="仿宋" w:cs="仿宋"/>
          <w:color w:val="auto"/>
          <w:sz w:val="24"/>
          <w:highlight w:val="none"/>
        </w:rPr>
        <w:t>；</w:t>
      </w:r>
    </w:p>
    <w:p>
      <w:pPr>
        <w:tabs>
          <w:tab w:val="left" w:pos="0"/>
        </w:tabs>
        <w:spacing w:line="360" w:lineRule="auto"/>
        <w:ind w:firstLine="475" w:firstLineChars="264"/>
        <w:jc w:val="left"/>
        <w:rPr>
          <w:rFonts w:hint="eastAsia" w:ascii="仿宋" w:hAnsi="仿宋" w:eastAsia="仿宋" w:cs="仿宋"/>
          <w:color w:val="auto"/>
          <w:sz w:val="24"/>
          <w:highlight w:val="none"/>
        </w:rPr>
      </w:pPr>
      <w:r>
        <w:rPr>
          <w:rFonts w:hint="eastAsia" w:ascii="仿宋" w:hAnsi="仿宋" w:eastAsia="仿宋" w:cs="仿宋"/>
          <w:color w:val="auto"/>
          <w:sz w:val="18"/>
          <w:szCs w:val="18"/>
          <w:highlight w:val="none"/>
        </w:rPr>
        <w:t xml:space="preserve">● </w:t>
      </w:r>
      <w:r>
        <w:rPr>
          <w:rFonts w:hint="eastAsia" w:ascii="仿宋" w:hAnsi="仿宋" w:eastAsia="仿宋" w:cs="仿宋"/>
          <w:color w:val="auto"/>
          <w:sz w:val="24"/>
          <w:highlight w:val="none"/>
        </w:rPr>
        <w:t>投标方案与监狱现有平台及设备的衔接及整合方案，如何与上级监管单位（市司法局、监狱管理局、司法厅）实现无缝兼容，在保证现有资源充分利用的情况下进行高效的整合，并实现有效的功能扩展，确保原系统的平稳运行，不满足不得分，总计2分（2分）。</w:t>
      </w:r>
    </w:p>
    <w:p>
      <w:pPr>
        <w:snapToGrid w:val="0"/>
        <w:spacing w:line="360" w:lineRule="auto"/>
        <w:ind w:right="-109" w:rightChars="-52"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（3）重点产品与系统演示（1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分）</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50"/>
        <w:jc w:val="left"/>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 xml:space="preserve"> </w:t>
      </w:r>
      <w:r>
        <w:rPr>
          <w:rFonts w:hint="eastAsia" w:ascii="仿宋" w:hAnsi="仿宋" w:eastAsia="仿宋" w:cs="仿宋"/>
          <w:b w:val="0"/>
          <w:bCs/>
          <w:color w:val="auto"/>
          <w:kern w:val="2"/>
          <w:sz w:val="24"/>
          <w:szCs w:val="24"/>
          <w:highlight w:val="none"/>
        </w:rPr>
        <w:t>云存储</w:t>
      </w:r>
      <w:r>
        <w:rPr>
          <w:rFonts w:hint="eastAsia" w:ascii="仿宋" w:hAnsi="仿宋" w:eastAsia="仿宋" w:cs="仿宋"/>
          <w:b w:val="0"/>
          <w:bCs/>
          <w:color w:val="auto"/>
          <w:kern w:val="2"/>
          <w:sz w:val="24"/>
          <w:szCs w:val="24"/>
          <w:highlight w:val="none"/>
          <w:lang w:eastAsia="zh-CN"/>
        </w:rPr>
        <w:t>和</w:t>
      </w:r>
      <w:r>
        <w:rPr>
          <w:rFonts w:hint="eastAsia" w:ascii="仿宋" w:hAnsi="仿宋" w:eastAsia="仿宋" w:cs="仿宋"/>
          <w:b w:val="0"/>
          <w:bCs/>
          <w:color w:val="auto"/>
          <w:kern w:val="2"/>
          <w:sz w:val="24"/>
          <w:szCs w:val="24"/>
          <w:highlight w:val="none"/>
        </w:rPr>
        <w:t>人脸处理设备系统</w:t>
      </w:r>
      <w:r>
        <w:rPr>
          <w:rFonts w:hint="eastAsia" w:ascii="仿宋" w:hAnsi="仿宋" w:eastAsia="仿宋" w:cs="仿宋"/>
          <w:b w:val="0"/>
          <w:bCs/>
          <w:color w:val="auto"/>
          <w:kern w:val="2"/>
          <w:sz w:val="24"/>
          <w:szCs w:val="24"/>
          <w:highlight w:val="none"/>
          <w:lang w:eastAsia="zh-CN"/>
        </w:rPr>
        <w:t>功能</w:t>
      </w:r>
      <w:r>
        <w:rPr>
          <w:rFonts w:hint="eastAsia" w:ascii="仿宋" w:hAnsi="仿宋" w:eastAsia="仿宋" w:cs="仿宋"/>
          <w:color w:val="auto"/>
          <w:sz w:val="24"/>
          <w:szCs w:val="24"/>
          <w:highlight w:val="none"/>
        </w:rPr>
        <w:t>演示：</w:t>
      </w:r>
      <w:r>
        <w:rPr>
          <w:rFonts w:hint="eastAsia" w:ascii="仿宋" w:hAnsi="仿宋" w:eastAsia="仿宋" w:cs="仿宋"/>
          <w:b w:val="0"/>
          <w:bCs/>
          <w:color w:val="auto"/>
          <w:kern w:val="2"/>
          <w:sz w:val="24"/>
          <w:szCs w:val="24"/>
          <w:highlight w:val="none"/>
          <w:lang w:eastAsia="zh-CN"/>
        </w:rPr>
        <w:t>①</w:t>
      </w:r>
      <w:r>
        <w:rPr>
          <w:rFonts w:hint="eastAsia" w:ascii="仿宋" w:hAnsi="仿宋" w:eastAsia="仿宋" w:cs="仿宋"/>
          <w:b w:val="0"/>
          <w:bCs/>
          <w:color w:val="auto"/>
          <w:kern w:val="2"/>
          <w:sz w:val="24"/>
          <w:szCs w:val="24"/>
          <w:highlight w:val="none"/>
        </w:rPr>
        <w:t>支持通过</w:t>
      </w:r>
      <w:r>
        <w:rPr>
          <w:rFonts w:hint="eastAsia" w:ascii="仿宋" w:hAnsi="仿宋" w:eastAsia="仿宋" w:cs="仿宋"/>
          <w:b w:val="0"/>
          <w:bCs/>
          <w:color w:val="auto"/>
          <w:kern w:val="2"/>
          <w:sz w:val="24"/>
          <w:szCs w:val="24"/>
          <w:highlight w:val="none"/>
          <w:lang w:eastAsia="zh-CN"/>
        </w:rPr>
        <w:t>现</w:t>
      </w:r>
      <w:r>
        <w:rPr>
          <w:rFonts w:hint="eastAsia" w:ascii="仿宋" w:hAnsi="仿宋" w:eastAsia="仿宋" w:cs="仿宋"/>
          <w:b w:val="0"/>
          <w:bCs/>
          <w:color w:val="auto"/>
          <w:kern w:val="2"/>
          <w:sz w:val="24"/>
          <w:szCs w:val="24"/>
          <w:highlight w:val="none"/>
        </w:rPr>
        <w:t>有</w:t>
      </w:r>
      <w:r>
        <w:rPr>
          <w:rFonts w:hint="eastAsia" w:ascii="仿宋" w:hAnsi="仿宋" w:eastAsia="仿宋" w:cs="仿宋"/>
          <w:b w:val="0"/>
          <w:bCs/>
          <w:color w:val="auto"/>
          <w:kern w:val="2"/>
          <w:sz w:val="24"/>
          <w:szCs w:val="24"/>
          <w:highlight w:val="none"/>
          <w:lang w:eastAsia="zh-CN"/>
        </w:rPr>
        <w:t>安防综合管理</w:t>
      </w:r>
      <w:r>
        <w:rPr>
          <w:rFonts w:hint="eastAsia" w:ascii="仿宋" w:hAnsi="仿宋" w:eastAsia="仿宋" w:cs="仿宋"/>
          <w:b w:val="0"/>
          <w:bCs/>
          <w:color w:val="auto"/>
          <w:kern w:val="2"/>
          <w:sz w:val="24"/>
          <w:szCs w:val="24"/>
          <w:highlight w:val="none"/>
        </w:rPr>
        <w:t>平台对云存储系统实现录像计划配置、手动录像、事件录像、移动侦测录像等功能；</w:t>
      </w:r>
      <w:r>
        <w:rPr>
          <w:rFonts w:hint="eastAsia" w:ascii="仿宋" w:hAnsi="仿宋" w:eastAsia="仿宋" w:cs="仿宋"/>
          <w:b w:val="0"/>
          <w:bCs/>
          <w:color w:val="auto"/>
          <w:kern w:val="2"/>
          <w:sz w:val="24"/>
          <w:szCs w:val="24"/>
          <w:highlight w:val="none"/>
          <w:lang w:eastAsia="zh-CN"/>
        </w:rPr>
        <w:t>②</w:t>
      </w:r>
      <w:r>
        <w:rPr>
          <w:rFonts w:hint="eastAsia" w:ascii="仿宋" w:hAnsi="仿宋" w:eastAsia="仿宋" w:cs="仿宋"/>
          <w:b w:val="0"/>
          <w:bCs/>
          <w:color w:val="auto"/>
          <w:kern w:val="2"/>
          <w:sz w:val="24"/>
          <w:szCs w:val="24"/>
          <w:highlight w:val="none"/>
        </w:rPr>
        <w:t>人脸处理设备与</w:t>
      </w:r>
      <w:r>
        <w:rPr>
          <w:rFonts w:hint="eastAsia" w:ascii="仿宋" w:hAnsi="仿宋" w:eastAsia="仿宋" w:cs="仿宋"/>
          <w:b w:val="0"/>
          <w:bCs/>
          <w:color w:val="auto"/>
          <w:kern w:val="2"/>
          <w:sz w:val="24"/>
          <w:szCs w:val="24"/>
          <w:highlight w:val="none"/>
          <w:lang w:eastAsia="zh-CN"/>
        </w:rPr>
        <w:t>现</w:t>
      </w:r>
      <w:r>
        <w:rPr>
          <w:rFonts w:hint="eastAsia" w:ascii="仿宋" w:hAnsi="仿宋" w:eastAsia="仿宋" w:cs="仿宋"/>
          <w:b w:val="0"/>
          <w:bCs/>
          <w:color w:val="auto"/>
          <w:kern w:val="2"/>
          <w:sz w:val="24"/>
          <w:szCs w:val="24"/>
          <w:highlight w:val="none"/>
        </w:rPr>
        <w:t>有</w:t>
      </w:r>
      <w:r>
        <w:rPr>
          <w:rFonts w:hint="eastAsia" w:ascii="仿宋" w:hAnsi="仿宋" w:eastAsia="仿宋" w:cs="仿宋"/>
          <w:b w:val="0"/>
          <w:bCs/>
          <w:color w:val="auto"/>
          <w:kern w:val="2"/>
          <w:sz w:val="24"/>
          <w:szCs w:val="24"/>
          <w:highlight w:val="none"/>
          <w:lang w:eastAsia="zh-CN"/>
        </w:rPr>
        <w:t>安防综合管理</w:t>
      </w:r>
      <w:r>
        <w:rPr>
          <w:rFonts w:hint="eastAsia" w:ascii="仿宋" w:hAnsi="仿宋" w:eastAsia="仿宋" w:cs="仿宋"/>
          <w:b w:val="0"/>
          <w:bCs/>
          <w:color w:val="auto"/>
          <w:kern w:val="2"/>
          <w:sz w:val="24"/>
          <w:szCs w:val="24"/>
          <w:highlight w:val="none"/>
        </w:rPr>
        <w:t>平台无缝对接，实现基础功能演示（人脸布控、人脸分析、人脸检索、视频结构化处理</w:t>
      </w:r>
      <w:r>
        <w:rPr>
          <w:rFonts w:hint="eastAsia" w:ascii="仿宋" w:hAnsi="仿宋" w:eastAsia="仿宋" w:cs="仿宋"/>
          <w:b w:val="0"/>
          <w:bCs/>
          <w:color w:val="auto"/>
          <w:kern w:val="2"/>
          <w:sz w:val="24"/>
          <w:szCs w:val="24"/>
          <w:highlight w:val="none"/>
          <w:lang w:eastAsia="zh-CN"/>
        </w:rPr>
        <w:t>）；</w:t>
      </w:r>
      <w:r>
        <w:rPr>
          <w:rFonts w:hint="eastAsia" w:ascii="仿宋" w:hAnsi="仿宋" w:eastAsia="仿宋" w:cs="仿宋"/>
          <w:b w:val="0"/>
          <w:bCs/>
          <w:color w:val="auto"/>
          <w:kern w:val="2"/>
          <w:sz w:val="24"/>
          <w:szCs w:val="24"/>
          <w:highlight w:val="none"/>
          <w:lang w:val="en-US" w:eastAsia="zh-CN"/>
        </w:rPr>
        <w:t>③</w:t>
      </w:r>
      <w:r>
        <w:rPr>
          <w:rFonts w:hint="eastAsia" w:ascii="仿宋" w:hAnsi="仿宋" w:eastAsia="仿宋" w:cs="仿宋"/>
          <w:b w:val="0"/>
          <w:bCs/>
          <w:color w:val="auto"/>
          <w:kern w:val="2"/>
          <w:sz w:val="24"/>
          <w:szCs w:val="24"/>
          <w:highlight w:val="none"/>
        </w:rPr>
        <w:t>拼接控制解码设备与</w:t>
      </w:r>
      <w:r>
        <w:rPr>
          <w:rFonts w:hint="eastAsia" w:ascii="仿宋" w:hAnsi="仿宋" w:eastAsia="仿宋" w:cs="仿宋"/>
          <w:b w:val="0"/>
          <w:bCs/>
          <w:color w:val="auto"/>
          <w:kern w:val="2"/>
          <w:sz w:val="24"/>
          <w:szCs w:val="24"/>
          <w:highlight w:val="none"/>
          <w:lang w:eastAsia="zh-CN"/>
        </w:rPr>
        <w:t>现</w:t>
      </w:r>
      <w:r>
        <w:rPr>
          <w:rFonts w:hint="eastAsia" w:ascii="仿宋" w:hAnsi="仿宋" w:eastAsia="仿宋" w:cs="仿宋"/>
          <w:b w:val="0"/>
          <w:bCs/>
          <w:color w:val="auto"/>
          <w:kern w:val="2"/>
          <w:sz w:val="24"/>
          <w:szCs w:val="24"/>
          <w:highlight w:val="none"/>
        </w:rPr>
        <w:t>有</w:t>
      </w:r>
      <w:r>
        <w:rPr>
          <w:rFonts w:hint="eastAsia" w:ascii="仿宋" w:hAnsi="仿宋" w:eastAsia="仿宋" w:cs="仿宋"/>
          <w:b w:val="0"/>
          <w:bCs/>
          <w:color w:val="auto"/>
          <w:kern w:val="2"/>
          <w:sz w:val="24"/>
          <w:szCs w:val="24"/>
          <w:highlight w:val="none"/>
          <w:lang w:eastAsia="zh-CN"/>
        </w:rPr>
        <w:t>安防综合管理</w:t>
      </w:r>
      <w:r>
        <w:rPr>
          <w:rFonts w:hint="eastAsia" w:ascii="仿宋" w:hAnsi="仿宋" w:eastAsia="仿宋" w:cs="仿宋"/>
          <w:b w:val="0"/>
          <w:bCs/>
          <w:color w:val="auto"/>
          <w:kern w:val="2"/>
          <w:sz w:val="24"/>
          <w:szCs w:val="24"/>
          <w:highlight w:val="none"/>
        </w:rPr>
        <w:t>平台无缝对接，实现基础功能演示（原有监控视频解码上墙、开窗、漫游</w:t>
      </w:r>
      <w:r>
        <w:rPr>
          <w:rFonts w:hint="eastAsia" w:ascii="仿宋" w:hAnsi="仿宋" w:eastAsia="仿宋" w:cs="仿宋"/>
          <w:b w:val="0"/>
          <w:bCs/>
          <w:color w:val="auto"/>
          <w:kern w:val="2"/>
          <w:sz w:val="24"/>
          <w:szCs w:val="24"/>
          <w:highlight w:val="none"/>
          <w:lang w:eastAsia="zh-CN"/>
        </w:rPr>
        <w:t>）。</w:t>
      </w:r>
      <w:r>
        <w:rPr>
          <w:rFonts w:hint="eastAsia" w:ascii="仿宋" w:hAnsi="仿宋" w:eastAsia="仿宋" w:cs="仿宋"/>
          <w:b w:val="0"/>
          <w:bCs/>
          <w:color w:val="auto"/>
          <w:kern w:val="2"/>
          <w:sz w:val="24"/>
          <w:szCs w:val="24"/>
          <w:highlight w:val="none"/>
        </w:rPr>
        <w:t>每一项得</w:t>
      </w:r>
      <w:r>
        <w:rPr>
          <w:rFonts w:hint="eastAsia" w:ascii="仿宋" w:hAnsi="仿宋" w:eastAsia="仿宋" w:cs="仿宋"/>
          <w:b w:val="0"/>
          <w:bCs/>
          <w:color w:val="auto"/>
          <w:kern w:val="2"/>
          <w:sz w:val="24"/>
          <w:szCs w:val="24"/>
          <w:highlight w:val="none"/>
          <w:lang w:val="en-US" w:eastAsia="zh-CN"/>
        </w:rPr>
        <w:t>1.5</w:t>
      </w:r>
      <w:r>
        <w:rPr>
          <w:rFonts w:hint="eastAsia" w:ascii="仿宋" w:hAnsi="仿宋" w:eastAsia="仿宋" w:cs="仿宋"/>
          <w:b w:val="0"/>
          <w:bCs/>
          <w:color w:val="auto"/>
          <w:kern w:val="2"/>
          <w:sz w:val="24"/>
          <w:szCs w:val="24"/>
          <w:highlight w:val="none"/>
        </w:rPr>
        <w:t>分，不满足不得分，总计</w:t>
      </w:r>
      <w:r>
        <w:rPr>
          <w:rFonts w:hint="eastAsia" w:ascii="仿宋" w:hAnsi="仿宋" w:eastAsia="仿宋" w:cs="仿宋"/>
          <w:b w:val="0"/>
          <w:bCs/>
          <w:color w:val="auto"/>
          <w:kern w:val="2"/>
          <w:sz w:val="24"/>
          <w:szCs w:val="24"/>
          <w:highlight w:val="none"/>
          <w:lang w:val="en-US" w:eastAsia="zh-CN"/>
        </w:rPr>
        <w:t>4.5</w:t>
      </w:r>
      <w:r>
        <w:rPr>
          <w:rFonts w:hint="eastAsia" w:ascii="仿宋" w:hAnsi="仿宋" w:eastAsia="仿宋" w:cs="仿宋"/>
          <w:b w:val="0"/>
          <w:bCs/>
          <w:color w:val="auto"/>
          <w:kern w:val="2"/>
          <w:sz w:val="24"/>
          <w:szCs w:val="24"/>
          <w:highlight w:val="none"/>
        </w:rPr>
        <w:t>分</w:t>
      </w:r>
      <w:r>
        <w:rPr>
          <w:rFonts w:hint="eastAsia" w:ascii="仿宋" w:hAnsi="仿宋" w:eastAsia="仿宋" w:cs="仿宋"/>
          <w:b w:val="0"/>
          <w:bCs/>
          <w:color w:val="auto"/>
          <w:kern w:val="2"/>
          <w:sz w:val="24"/>
          <w:szCs w:val="24"/>
          <w:highlight w:val="none"/>
          <w:lang w:val="zh-CN"/>
        </w:rPr>
        <w:t>（</w:t>
      </w:r>
      <w:r>
        <w:rPr>
          <w:rFonts w:hint="eastAsia" w:ascii="仿宋" w:hAnsi="仿宋" w:eastAsia="仿宋" w:cs="仿宋"/>
          <w:b w:val="0"/>
          <w:bCs/>
          <w:color w:val="auto"/>
          <w:kern w:val="2"/>
          <w:sz w:val="24"/>
          <w:szCs w:val="24"/>
          <w:highlight w:val="none"/>
          <w:lang w:val="en-US" w:eastAsia="zh-CN"/>
        </w:rPr>
        <w:t>4.5</w:t>
      </w:r>
      <w:r>
        <w:rPr>
          <w:rFonts w:hint="eastAsia" w:ascii="仿宋" w:hAnsi="仿宋" w:eastAsia="仿宋" w:cs="仿宋"/>
          <w:b w:val="0"/>
          <w:bCs/>
          <w:color w:val="auto"/>
          <w:kern w:val="2"/>
          <w:sz w:val="24"/>
          <w:szCs w:val="24"/>
          <w:highlight w:val="none"/>
          <w:lang w:val="zh-CN"/>
        </w:rPr>
        <w:t>分）</w:t>
      </w:r>
      <w:r>
        <w:rPr>
          <w:rFonts w:hint="eastAsia" w:ascii="仿宋" w:hAnsi="仿宋" w:eastAsia="仿宋" w:cs="仿宋"/>
          <w:b w:val="0"/>
          <w:bCs/>
          <w:color w:val="auto"/>
          <w:kern w:val="2"/>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50" w:firstLineChars="25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 xml:space="preserve"> </w:t>
      </w:r>
      <w:r>
        <w:rPr>
          <w:rFonts w:hint="eastAsia" w:ascii="仿宋" w:hAnsi="仿宋" w:eastAsia="仿宋" w:cs="仿宋"/>
          <w:color w:val="auto"/>
          <w:sz w:val="24"/>
          <w:szCs w:val="24"/>
          <w:highlight w:val="none"/>
        </w:rPr>
        <w:t>监舍智能管理系统</w:t>
      </w:r>
      <w:r>
        <w:rPr>
          <w:rFonts w:hint="eastAsia" w:ascii="仿宋" w:hAnsi="仿宋" w:eastAsia="仿宋" w:cs="仿宋"/>
          <w:color w:val="auto"/>
          <w:sz w:val="24"/>
          <w:szCs w:val="24"/>
          <w:highlight w:val="none"/>
          <w:lang w:eastAsia="zh-CN"/>
        </w:rPr>
        <w:t>功能</w:t>
      </w:r>
      <w:r>
        <w:rPr>
          <w:rFonts w:hint="eastAsia" w:ascii="仿宋" w:hAnsi="仿宋" w:eastAsia="仿宋" w:cs="仿宋"/>
          <w:color w:val="auto"/>
          <w:sz w:val="24"/>
          <w:szCs w:val="24"/>
          <w:highlight w:val="none"/>
        </w:rPr>
        <w:t>演示。</w:t>
      </w:r>
      <w:r>
        <w:rPr>
          <w:rFonts w:hint="eastAsia" w:ascii="仿宋" w:hAnsi="仿宋" w:eastAsia="仿宋" w:cs="仿宋"/>
          <w:color w:val="auto"/>
          <w:sz w:val="24"/>
          <w:szCs w:val="24"/>
          <w:highlight w:val="none"/>
          <w:lang w:eastAsia="zh-CN"/>
        </w:rPr>
        <w:t>①</w:t>
      </w:r>
      <w:r>
        <w:rPr>
          <w:rFonts w:hint="eastAsia" w:ascii="仿宋" w:hAnsi="仿宋" w:eastAsia="仿宋" w:cs="仿宋"/>
          <w:b w:val="0"/>
          <w:bCs/>
          <w:color w:val="auto"/>
          <w:sz w:val="24"/>
          <w:szCs w:val="24"/>
          <w:highlight w:val="none"/>
        </w:rPr>
        <w:t>“IP网络对讲分控主机”与“防暴型IP网络对讲分机”对讲时，可同屏同时显示“防暴型IP网络对讲分机”和联动的网络监控摄像机（IPC）2个视频画面，每个视频画面均可一键放大全屏显示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②</w:t>
      </w:r>
      <w:r>
        <w:rPr>
          <w:rFonts w:hint="eastAsia" w:ascii="仿宋" w:hAnsi="仿宋" w:eastAsia="仿宋" w:cs="仿宋"/>
          <w:b w:val="0"/>
          <w:bCs/>
          <w:color w:val="auto"/>
          <w:sz w:val="24"/>
          <w:szCs w:val="24"/>
          <w:highlight w:val="none"/>
        </w:rPr>
        <w:t>“IP网络智能多功能分机”支持通过人脸识别方式进行点名，点名的同时可测量被点名人员额头温度，温度误差不高于0.5摄氏度；“IP网络智能多功能分机”可监视监听监仓内“防暴型IP网络对讲分机”，并可与“防暴型IP网络对讲分机”进行对讲</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sz w:val="24"/>
          <w:szCs w:val="24"/>
          <w:highlight w:val="none"/>
        </w:rPr>
        <w:t>现场产品</w:t>
      </w:r>
      <w:r>
        <w:rPr>
          <w:rFonts w:hint="eastAsia" w:ascii="仿宋" w:hAnsi="仿宋" w:eastAsia="仿宋" w:cs="仿宋"/>
          <w:b w:val="0"/>
          <w:bCs/>
          <w:color w:val="auto"/>
          <w:sz w:val="24"/>
          <w:szCs w:val="24"/>
          <w:highlight w:val="none"/>
          <w:lang w:eastAsia="zh-CN"/>
        </w:rPr>
        <w:t>和视频</w:t>
      </w:r>
      <w:r>
        <w:rPr>
          <w:rFonts w:hint="eastAsia" w:ascii="仿宋" w:hAnsi="仿宋" w:eastAsia="仿宋" w:cs="仿宋"/>
          <w:b w:val="0"/>
          <w:bCs/>
          <w:color w:val="auto"/>
          <w:sz w:val="24"/>
          <w:szCs w:val="24"/>
          <w:highlight w:val="none"/>
        </w:rPr>
        <w:t>演示</w:t>
      </w:r>
      <w:r>
        <w:rPr>
          <w:rFonts w:hint="eastAsia" w:ascii="仿宋" w:hAnsi="仿宋" w:eastAsia="仿宋" w:cs="仿宋"/>
          <w:b w:val="0"/>
          <w:bCs/>
          <w:color w:val="auto"/>
          <w:sz w:val="24"/>
          <w:szCs w:val="24"/>
          <w:highlight w:val="none"/>
          <w:lang w:eastAsia="zh-CN"/>
        </w:rPr>
        <w:t>均</w:t>
      </w:r>
      <w:r>
        <w:rPr>
          <w:rFonts w:hint="eastAsia" w:ascii="仿宋" w:hAnsi="仿宋" w:eastAsia="仿宋" w:cs="仿宋"/>
          <w:b w:val="0"/>
          <w:bCs/>
          <w:color w:val="auto"/>
          <w:sz w:val="24"/>
          <w:szCs w:val="24"/>
          <w:highlight w:val="none"/>
        </w:rPr>
        <w:t>满足要求的每</w:t>
      </w:r>
      <w:r>
        <w:rPr>
          <w:rFonts w:hint="eastAsia" w:ascii="仿宋" w:hAnsi="仿宋" w:eastAsia="仿宋" w:cs="仿宋"/>
          <w:color w:val="auto"/>
          <w:sz w:val="24"/>
          <w:szCs w:val="24"/>
          <w:highlight w:val="none"/>
        </w:rPr>
        <w:t>一项得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b w:val="0"/>
          <w:bCs/>
          <w:color w:val="auto"/>
          <w:sz w:val="24"/>
          <w:szCs w:val="24"/>
          <w:highlight w:val="none"/>
        </w:rPr>
        <w:t>现场提供满足要求的演示视频每</w:t>
      </w:r>
      <w:r>
        <w:rPr>
          <w:rFonts w:hint="eastAsia" w:ascii="仿宋" w:hAnsi="仿宋" w:eastAsia="仿宋" w:cs="仿宋"/>
          <w:color w:val="auto"/>
          <w:sz w:val="24"/>
          <w:szCs w:val="24"/>
          <w:highlight w:val="none"/>
        </w:rPr>
        <w:t>一项得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rPr>
        <w:t>不满足不得分，总计</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w:t>
      </w:r>
    </w:p>
    <w:p>
      <w:pPr>
        <w:keepNext w:val="0"/>
        <w:keepLines w:val="0"/>
        <w:pageBreakBefore w:val="0"/>
        <w:widowControl w:val="0"/>
        <w:kinsoku/>
        <w:wordWrap/>
        <w:overflowPunct/>
        <w:topLinePunct w:val="0"/>
        <w:autoSpaceDE/>
        <w:autoSpaceDN/>
        <w:bidi w:val="0"/>
        <w:adjustRightInd/>
        <w:snapToGrid w:val="0"/>
        <w:spacing w:line="360" w:lineRule="auto"/>
        <w:ind w:right="-109" w:rightChars="-52" w:firstLine="450" w:firstLineChars="2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 xml:space="preserve"> </w:t>
      </w:r>
      <w:r>
        <w:rPr>
          <w:rFonts w:hint="eastAsia" w:ascii="仿宋" w:hAnsi="仿宋" w:eastAsia="仿宋" w:cs="仿宋"/>
          <w:color w:val="auto"/>
          <w:sz w:val="24"/>
          <w:highlight w:val="none"/>
        </w:rPr>
        <w:t>智能语音交互系统功能演示：</w:t>
      </w:r>
      <w:r>
        <w:rPr>
          <w:rFonts w:hint="eastAsia" w:ascii="仿宋" w:hAnsi="仿宋" w:eastAsia="仿宋" w:cs="仿宋"/>
          <w:color w:val="auto"/>
          <w:sz w:val="24"/>
          <w:szCs w:val="24"/>
          <w:highlight w:val="none"/>
          <w:lang w:eastAsia="zh-CN"/>
        </w:rPr>
        <w:t>①</w:t>
      </w:r>
      <w:r>
        <w:rPr>
          <w:rFonts w:hint="eastAsia" w:ascii="仿宋" w:hAnsi="仿宋" w:eastAsia="仿宋" w:cs="仿宋"/>
          <w:color w:val="auto"/>
          <w:sz w:val="24"/>
          <w:highlight w:val="none"/>
        </w:rPr>
        <w:t>指挥调度：需现场演示语音调度功能：通过语音技术调度</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监控视频或者地图定位等功能</w:t>
      </w:r>
      <w:r>
        <w:rPr>
          <w:rFonts w:hint="eastAsia" w:ascii="仿宋" w:hAnsi="仿宋" w:eastAsia="仿宋" w:cs="仿宋"/>
          <w:color w:val="auto"/>
          <w:sz w:val="24"/>
          <w:highlight w:val="none"/>
          <w:lang w:eastAsia="zh-CN"/>
        </w:rPr>
        <w:t>，针对近距离麦克风拾音，中文标准普通话，其识别率在</w:t>
      </w:r>
      <w:r>
        <w:rPr>
          <w:rFonts w:hint="eastAsia" w:ascii="仿宋" w:hAnsi="仿宋" w:eastAsia="仿宋" w:cs="仿宋"/>
          <w:color w:val="auto"/>
          <w:sz w:val="24"/>
          <w:highlight w:val="none"/>
          <w:lang w:val="en-US" w:eastAsia="zh-CN"/>
        </w:rPr>
        <w:t>95%以上，可以根据业务场景配各自业务所需的语音调度指令集</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eastAsia="zh-CN"/>
        </w:rPr>
        <w:t>②</w:t>
      </w:r>
      <w:r>
        <w:rPr>
          <w:rFonts w:hint="eastAsia" w:ascii="仿宋" w:hAnsi="仿宋" w:eastAsia="仿宋" w:cs="仿宋"/>
          <w:color w:val="auto"/>
          <w:sz w:val="24"/>
          <w:highlight w:val="none"/>
          <w:lang w:eastAsia="zh-CN"/>
        </w:rPr>
        <w:t>亲情电话：</w:t>
      </w:r>
      <w:r>
        <w:rPr>
          <w:rFonts w:hint="eastAsia" w:ascii="仿宋" w:hAnsi="仿宋" w:eastAsia="仿宋" w:cs="仿宋"/>
          <w:color w:val="auto"/>
          <w:sz w:val="24"/>
          <w:highlight w:val="none"/>
        </w:rPr>
        <w:t>需现场演示包含以下敏感词相关功能：敏感词设置 、敏感词自动检出、敏感词预警播报、敏感词统计展示</w:t>
      </w:r>
      <w:r>
        <w:rPr>
          <w:rFonts w:hint="eastAsia" w:ascii="仿宋" w:hAnsi="仿宋" w:eastAsia="仿宋" w:cs="仿宋"/>
          <w:color w:val="auto"/>
          <w:sz w:val="24"/>
          <w:highlight w:val="none"/>
          <w:lang w:eastAsia="zh-CN"/>
        </w:rPr>
        <w:t>；针对电话信道的声源中文标准普通话，其识别准确率在</w:t>
      </w:r>
      <w:r>
        <w:rPr>
          <w:rFonts w:hint="eastAsia" w:ascii="仿宋" w:hAnsi="仿宋" w:eastAsia="仿宋" w:cs="仿宋"/>
          <w:color w:val="auto"/>
          <w:sz w:val="24"/>
          <w:highlight w:val="none"/>
          <w:lang w:val="en-US" w:eastAsia="zh-CN"/>
        </w:rPr>
        <w:t>90%以上；</w:t>
      </w:r>
      <w:r>
        <w:rPr>
          <w:rFonts w:hint="eastAsia" w:ascii="仿宋" w:hAnsi="仿宋" w:eastAsia="仿宋" w:cs="仿宋"/>
          <w:b w:val="0"/>
          <w:bCs/>
          <w:color w:val="auto"/>
          <w:kern w:val="2"/>
          <w:sz w:val="24"/>
          <w:szCs w:val="24"/>
          <w:highlight w:val="none"/>
          <w:lang w:val="en-US" w:eastAsia="zh-CN"/>
        </w:rPr>
        <w:t>③</w:t>
      </w:r>
      <w:r>
        <w:rPr>
          <w:rFonts w:hint="eastAsia" w:ascii="仿宋" w:hAnsi="仿宋" w:eastAsia="仿宋" w:cs="仿宋"/>
          <w:color w:val="auto"/>
          <w:sz w:val="24"/>
          <w:highlight w:val="none"/>
        </w:rPr>
        <w:t>会议系统：需现场演示语音随讲随翻功能：支持通过语音调度技术，对会议材料进行随讲随翻</w:t>
      </w:r>
      <w:r>
        <w:rPr>
          <w:rFonts w:hint="eastAsia" w:ascii="仿宋" w:hAnsi="仿宋" w:eastAsia="仿宋" w:cs="仿宋"/>
          <w:color w:val="auto"/>
          <w:sz w:val="24"/>
          <w:highlight w:val="none"/>
          <w:lang w:eastAsia="zh-CN"/>
        </w:rPr>
        <w:t>。</w:t>
      </w:r>
      <w:r>
        <w:rPr>
          <w:rFonts w:hint="eastAsia" w:ascii="仿宋" w:hAnsi="仿宋" w:eastAsia="仿宋" w:cs="仿宋"/>
          <w:b w:val="0"/>
          <w:bCs/>
          <w:color w:val="auto"/>
          <w:sz w:val="24"/>
          <w:szCs w:val="24"/>
          <w:highlight w:val="none"/>
        </w:rPr>
        <w:t>现场产品</w:t>
      </w:r>
      <w:r>
        <w:rPr>
          <w:rFonts w:hint="eastAsia" w:ascii="仿宋" w:hAnsi="仿宋" w:eastAsia="仿宋" w:cs="仿宋"/>
          <w:b w:val="0"/>
          <w:bCs/>
          <w:color w:val="auto"/>
          <w:sz w:val="24"/>
          <w:szCs w:val="24"/>
          <w:highlight w:val="none"/>
          <w:lang w:eastAsia="zh-CN"/>
        </w:rPr>
        <w:t>和视频</w:t>
      </w:r>
      <w:r>
        <w:rPr>
          <w:rFonts w:hint="eastAsia" w:ascii="仿宋" w:hAnsi="仿宋" w:eastAsia="仿宋" w:cs="仿宋"/>
          <w:b w:val="0"/>
          <w:bCs/>
          <w:color w:val="auto"/>
          <w:sz w:val="24"/>
          <w:szCs w:val="24"/>
          <w:highlight w:val="none"/>
        </w:rPr>
        <w:t>演示</w:t>
      </w:r>
      <w:r>
        <w:rPr>
          <w:rFonts w:hint="eastAsia" w:ascii="仿宋" w:hAnsi="仿宋" w:eastAsia="仿宋" w:cs="仿宋"/>
          <w:b w:val="0"/>
          <w:bCs/>
          <w:color w:val="auto"/>
          <w:sz w:val="24"/>
          <w:szCs w:val="24"/>
          <w:highlight w:val="none"/>
          <w:lang w:eastAsia="zh-CN"/>
        </w:rPr>
        <w:t>均</w:t>
      </w:r>
      <w:r>
        <w:rPr>
          <w:rFonts w:hint="eastAsia" w:ascii="仿宋" w:hAnsi="仿宋" w:eastAsia="仿宋" w:cs="仿宋"/>
          <w:b w:val="0"/>
          <w:bCs/>
          <w:color w:val="auto"/>
          <w:sz w:val="24"/>
          <w:szCs w:val="24"/>
          <w:highlight w:val="none"/>
        </w:rPr>
        <w:t>满足要求的每</w:t>
      </w:r>
      <w:r>
        <w:rPr>
          <w:rFonts w:hint="eastAsia" w:ascii="仿宋" w:hAnsi="仿宋" w:eastAsia="仿宋" w:cs="仿宋"/>
          <w:color w:val="auto"/>
          <w:sz w:val="24"/>
          <w:szCs w:val="24"/>
          <w:highlight w:val="none"/>
        </w:rPr>
        <w:t>一项得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r>
        <w:rPr>
          <w:rFonts w:hint="eastAsia" w:ascii="仿宋" w:hAnsi="仿宋" w:eastAsia="仿宋" w:cs="仿宋"/>
          <w:b w:val="0"/>
          <w:bCs/>
          <w:color w:val="auto"/>
          <w:sz w:val="24"/>
          <w:szCs w:val="24"/>
          <w:highlight w:val="none"/>
        </w:rPr>
        <w:t>现场提供满足要求的演示视频每</w:t>
      </w:r>
      <w:r>
        <w:rPr>
          <w:rFonts w:hint="eastAsia" w:ascii="仿宋" w:hAnsi="仿宋" w:eastAsia="仿宋" w:cs="仿宋"/>
          <w:color w:val="auto"/>
          <w:sz w:val="24"/>
          <w:szCs w:val="24"/>
          <w:highlight w:val="none"/>
        </w:rPr>
        <w:t>一项得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color w:val="auto"/>
          <w:sz w:val="24"/>
          <w:szCs w:val="24"/>
          <w:highlight w:val="none"/>
        </w:rPr>
        <w:t>不满足不得分，总计</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lang w:val="zh-CN"/>
        </w:rPr>
        <w:t>分）。</w:t>
      </w:r>
    </w:p>
    <w:p>
      <w:pPr>
        <w:snapToGrid w:val="0"/>
        <w:spacing w:line="360" w:lineRule="auto"/>
        <w:ind w:right="-109" w:rightChars="-52"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（4）投标人项目组成员（</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分）：</w:t>
      </w:r>
    </w:p>
    <w:p>
      <w:pPr>
        <w:snapToGrid w:val="0"/>
        <w:spacing w:line="360" w:lineRule="auto"/>
        <w:ind w:firstLine="450" w:firstLineChars="250"/>
        <w:jc w:val="left"/>
        <w:rPr>
          <w:rFonts w:hint="eastAsia" w:ascii="仿宋" w:hAnsi="仿宋" w:eastAsia="仿宋" w:cs="仿宋"/>
          <w:color w:val="auto"/>
          <w:sz w:val="24"/>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24"/>
          <w:highlight w:val="none"/>
        </w:rPr>
        <w:t>项目负责人具有</w:t>
      </w:r>
      <w:r>
        <w:rPr>
          <w:rFonts w:hint="eastAsia" w:ascii="仿宋" w:hAnsi="仿宋" w:eastAsia="仿宋" w:cs="仿宋"/>
          <w:color w:val="auto"/>
          <w:sz w:val="24"/>
          <w:szCs w:val="24"/>
          <w:highlight w:val="none"/>
          <w:lang w:eastAsia="zh-CN"/>
        </w:rPr>
        <w:t>①</w:t>
      </w:r>
      <w:r>
        <w:rPr>
          <w:rFonts w:hint="eastAsia" w:ascii="仿宋" w:hAnsi="仿宋" w:eastAsia="仿宋" w:cs="仿宋"/>
          <w:color w:val="auto"/>
          <w:sz w:val="24"/>
          <w:highlight w:val="none"/>
        </w:rPr>
        <w:t>机电工程专业一级建造师</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lang w:eastAsia="zh-CN"/>
        </w:rPr>
        <w:t>②</w:t>
      </w:r>
      <w:r>
        <w:rPr>
          <w:rFonts w:hint="eastAsia" w:ascii="仿宋" w:hAnsi="仿宋" w:eastAsia="仿宋" w:cs="仿宋"/>
          <w:color w:val="auto"/>
          <w:sz w:val="24"/>
          <w:highlight w:val="none"/>
        </w:rPr>
        <w:t>高级工程师职称，</w:t>
      </w:r>
      <w:r>
        <w:rPr>
          <w:rFonts w:hint="eastAsia" w:ascii="仿宋" w:hAnsi="仿宋" w:eastAsia="仿宋" w:cs="仿宋"/>
          <w:color w:val="auto"/>
          <w:sz w:val="24"/>
          <w:highlight w:val="none"/>
          <w:lang w:eastAsia="zh-CN"/>
        </w:rPr>
        <w:t>满足一项</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不满足不得分，总计</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p>
      <w:pPr>
        <w:snapToGrid w:val="0"/>
        <w:ind w:firstLine="450" w:firstLineChars="250"/>
        <w:jc w:val="left"/>
        <w:rPr>
          <w:rFonts w:hint="eastAsia"/>
          <w:color w:val="auto"/>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24"/>
          <w:highlight w:val="none"/>
        </w:rPr>
        <w:t>项目组其他成员中每具有1个高级工程师职称人员得1分，此项最高得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snapToGrid w:val="0"/>
        <w:spacing w:line="360" w:lineRule="auto"/>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注：</w:t>
      </w:r>
      <w:r>
        <w:rPr>
          <w:rFonts w:hint="eastAsia" w:ascii="仿宋" w:hAnsi="仿宋" w:eastAsia="仿宋" w:cs="仿宋"/>
          <w:color w:val="auto"/>
          <w:sz w:val="24"/>
          <w:highlight w:val="none"/>
        </w:rPr>
        <w:t>投标文件中提供相关证书证明材料，项目组成员需提供本公司6个月以上社保缴纳证明（由社保机构在采购活动期间（招标公告发布日至投标截止日）出具）。证明材料能充分反映得分条件，否则不得分。</w:t>
      </w:r>
    </w:p>
    <w:p>
      <w:pPr>
        <w:snapToGrid w:val="0"/>
        <w:spacing w:line="360" w:lineRule="auto"/>
        <w:ind w:right="-109" w:rightChars="-52"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（5）售后服务方案情况（6分）：</w:t>
      </w:r>
    </w:p>
    <w:p>
      <w:pPr>
        <w:tabs>
          <w:tab w:val="left" w:pos="900"/>
        </w:tabs>
        <w:spacing w:line="360" w:lineRule="auto"/>
        <w:ind w:firstLine="450" w:firstLineChars="250"/>
        <w:jc w:val="left"/>
        <w:rPr>
          <w:rFonts w:hint="eastAsia" w:ascii="仿宋" w:hAnsi="仿宋" w:eastAsia="仿宋" w:cs="仿宋"/>
          <w:color w:val="auto"/>
          <w:sz w:val="24"/>
          <w:highlight w:val="none"/>
        </w:rPr>
      </w:pPr>
      <w:r>
        <w:rPr>
          <w:rFonts w:hint="eastAsia" w:ascii="仿宋" w:hAnsi="仿宋" w:eastAsia="仿宋" w:cs="仿宋"/>
          <w:color w:val="auto"/>
          <w:sz w:val="18"/>
          <w:szCs w:val="18"/>
          <w:highlight w:val="none"/>
        </w:rPr>
        <w:t xml:space="preserve">● </w:t>
      </w:r>
      <w:r>
        <w:rPr>
          <w:rFonts w:hint="eastAsia" w:ascii="仿宋" w:hAnsi="仿宋" w:eastAsia="仿宋" w:cs="仿宋"/>
          <w:color w:val="auto"/>
          <w:sz w:val="24"/>
          <w:highlight w:val="none"/>
        </w:rPr>
        <w:t>投标人承诺①投标人还应具有专门针对本项目的备品备件保障能力，遇到设备故障时，须有效替换设备，24小时内解决问题。②对疑难故障须根据实际需要提供多名技术支撑人员进行现场维护。③维修人员需在接到维修电话后3个小时内解决问题，对6小时内不能修理完毕并正常使用的设备，中标人须提交明确的维修期限和解决方案，同时提供备品备件免费供建设单位使用。④中标人每半年需对系统运行情况进行一次全面调试，质保期满后提供一套完整的运行记录。每一项满足得1分，不满足不得分，总计4分。</w:t>
      </w:r>
    </w:p>
    <w:p>
      <w:pPr>
        <w:snapToGrid w:val="0"/>
        <w:spacing w:line="360" w:lineRule="auto"/>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投标设备原厂质保期限及服务承诺是否满足或采购需求，未提供或提供的质保期限及服务承诺不符合要求此项不得分（2分）。</w:t>
      </w:r>
    </w:p>
    <w:p>
      <w:pPr>
        <w:snapToGrid w:val="0"/>
        <w:spacing w:line="360" w:lineRule="auto"/>
        <w:ind w:right="-109" w:rightChars="-52"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（6）培训、测试、试运转、验收（2分）：</w:t>
      </w:r>
    </w:p>
    <w:p>
      <w:pPr>
        <w:snapToGrid w:val="0"/>
        <w:spacing w:line="360" w:lineRule="auto"/>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投标人提出的功能测试、试运转及验收方案的合理性、可行性情况等</w:t>
      </w:r>
      <w:r>
        <w:rPr>
          <w:rFonts w:hint="eastAsia" w:ascii="仿宋" w:hAnsi="仿宋" w:eastAsia="仿宋" w:cs="仿宋"/>
          <w:color w:val="auto"/>
          <w:sz w:val="24"/>
          <w:highlight w:val="none"/>
          <w:lang w:eastAsia="zh-CN"/>
        </w:rPr>
        <w:t>，满足得</w:t>
      </w:r>
      <w:r>
        <w:rPr>
          <w:rFonts w:hint="eastAsia" w:ascii="仿宋" w:hAnsi="仿宋" w:eastAsia="仿宋" w:cs="仿宋"/>
          <w:color w:val="auto"/>
          <w:sz w:val="24"/>
          <w:highlight w:val="none"/>
          <w:lang w:val="en-US" w:eastAsia="zh-CN"/>
        </w:rPr>
        <w:t>1分，不满足不得分</w:t>
      </w:r>
      <w:r>
        <w:rPr>
          <w:rFonts w:hint="eastAsia" w:ascii="仿宋" w:hAnsi="仿宋" w:eastAsia="仿宋" w:cs="仿宋"/>
          <w:color w:val="auto"/>
          <w:sz w:val="24"/>
          <w:highlight w:val="none"/>
        </w:rPr>
        <w:t>（1分）；</w:t>
      </w:r>
    </w:p>
    <w:p>
      <w:pPr>
        <w:snapToGrid w:val="0"/>
        <w:spacing w:line="360" w:lineRule="auto"/>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投标人提出培训计划、地点、组织、人员配备、软硬件资料等内容是否完整、科学合理，费用计入总报价</w:t>
      </w:r>
      <w:r>
        <w:rPr>
          <w:rFonts w:hint="eastAsia" w:ascii="仿宋" w:hAnsi="仿宋" w:eastAsia="仿宋" w:cs="仿宋"/>
          <w:color w:val="auto"/>
          <w:sz w:val="24"/>
          <w:highlight w:val="none"/>
          <w:lang w:eastAsia="zh-CN"/>
        </w:rPr>
        <w:t>，满足得</w:t>
      </w:r>
      <w:r>
        <w:rPr>
          <w:rFonts w:hint="eastAsia" w:ascii="仿宋" w:hAnsi="仿宋" w:eastAsia="仿宋" w:cs="仿宋"/>
          <w:color w:val="auto"/>
          <w:sz w:val="24"/>
          <w:highlight w:val="none"/>
          <w:lang w:val="en-US" w:eastAsia="zh-CN"/>
        </w:rPr>
        <w:t>1分，不满足不得分</w:t>
      </w:r>
      <w:r>
        <w:rPr>
          <w:rFonts w:hint="eastAsia" w:ascii="仿宋" w:hAnsi="仿宋" w:eastAsia="仿宋" w:cs="仿宋"/>
          <w:color w:val="auto"/>
          <w:sz w:val="24"/>
          <w:highlight w:val="none"/>
        </w:rPr>
        <w:t>（1分）。</w:t>
      </w:r>
    </w:p>
    <w:p>
      <w:pPr>
        <w:snapToGrid w:val="0"/>
        <w:spacing w:line="360" w:lineRule="auto"/>
        <w:ind w:right="-109" w:rightChars="-52" w:firstLine="361" w:firstLineChars="15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（7）质量保证措施和建设工期情况（2分）：</w:t>
      </w:r>
    </w:p>
    <w:p>
      <w:pPr>
        <w:snapToGrid w:val="0"/>
        <w:spacing w:line="360" w:lineRule="auto"/>
        <w:ind w:firstLine="540" w:firstLineChars="300"/>
        <w:jc w:val="left"/>
        <w:rPr>
          <w:rFonts w:hint="eastAsia" w:ascii="仿宋" w:hAnsi="仿宋" w:eastAsia="仿宋" w:cs="仿宋"/>
          <w:color w:val="auto"/>
          <w:sz w:val="24"/>
          <w:highlight w:val="none"/>
        </w:rPr>
      </w:pPr>
      <w:r>
        <w:rPr>
          <w:rFonts w:hint="eastAsia" w:ascii="仿宋" w:hAnsi="仿宋" w:eastAsia="仿宋" w:cs="仿宋"/>
          <w:color w:val="auto"/>
          <w:sz w:val="18"/>
          <w:szCs w:val="18"/>
          <w:highlight w:val="none"/>
        </w:rPr>
        <w:t xml:space="preserve">● </w:t>
      </w:r>
      <w:r>
        <w:rPr>
          <w:rFonts w:hint="eastAsia" w:ascii="仿宋" w:hAnsi="仿宋" w:eastAsia="仿宋" w:cs="仿宋"/>
          <w:color w:val="auto"/>
          <w:sz w:val="24"/>
          <w:highlight w:val="none"/>
        </w:rPr>
        <w:t>投标人按采购人要求有明确的建设质量目标，质量保证措施，并具有详细可行的实施内容等</w:t>
      </w:r>
      <w:r>
        <w:rPr>
          <w:rFonts w:hint="eastAsia" w:ascii="仿宋" w:hAnsi="仿宋" w:eastAsia="仿宋" w:cs="仿宋"/>
          <w:color w:val="auto"/>
          <w:sz w:val="24"/>
          <w:highlight w:val="none"/>
          <w:lang w:eastAsia="zh-CN"/>
        </w:rPr>
        <w:t>，满足得</w:t>
      </w:r>
      <w:r>
        <w:rPr>
          <w:rFonts w:hint="eastAsia" w:ascii="仿宋" w:hAnsi="仿宋" w:eastAsia="仿宋" w:cs="仿宋"/>
          <w:color w:val="auto"/>
          <w:sz w:val="24"/>
          <w:highlight w:val="none"/>
          <w:lang w:val="en-US" w:eastAsia="zh-CN"/>
        </w:rPr>
        <w:t>1分，不满足不得分</w:t>
      </w:r>
      <w:r>
        <w:rPr>
          <w:rFonts w:hint="eastAsia" w:ascii="仿宋" w:hAnsi="仿宋" w:eastAsia="仿宋" w:cs="仿宋"/>
          <w:color w:val="auto"/>
          <w:sz w:val="24"/>
          <w:highlight w:val="none"/>
        </w:rPr>
        <w:t>（1分）；</w:t>
      </w:r>
    </w:p>
    <w:p>
      <w:pPr>
        <w:snapToGrid w:val="0"/>
        <w:spacing w:line="360" w:lineRule="auto"/>
        <w:ind w:firstLine="540" w:firstLineChars="300"/>
        <w:jc w:val="left"/>
        <w:rPr>
          <w:rFonts w:hint="eastAsia" w:ascii="仿宋" w:hAnsi="仿宋" w:eastAsia="仿宋" w:cs="仿宋"/>
          <w:color w:val="auto"/>
          <w:sz w:val="24"/>
          <w:highlight w:val="none"/>
        </w:rPr>
      </w:pPr>
      <w:r>
        <w:rPr>
          <w:rFonts w:hint="eastAsia" w:ascii="仿宋" w:hAnsi="仿宋" w:eastAsia="仿宋" w:cs="仿宋"/>
          <w:color w:val="auto"/>
          <w:sz w:val="18"/>
          <w:szCs w:val="18"/>
          <w:highlight w:val="none"/>
        </w:rPr>
        <w:t xml:space="preserve">● </w:t>
      </w:r>
      <w:r>
        <w:rPr>
          <w:rFonts w:hint="eastAsia" w:ascii="仿宋" w:hAnsi="仿宋" w:eastAsia="仿宋" w:cs="仿宋"/>
          <w:color w:val="auto"/>
          <w:sz w:val="24"/>
          <w:highlight w:val="none"/>
        </w:rPr>
        <w:t>投标方案是否提出符合招标文件和采购人要求，按期完成设备供货、系统集成、上线运行、验收等措施</w:t>
      </w:r>
      <w:r>
        <w:rPr>
          <w:rFonts w:hint="eastAsia" w:ascii="仿宋" w:hAnsi="仿宋" w:eastAsia="仿宋" w:cs="仿宋"/>
          <w:color w:val="auto"/>
          <w:sz w:val="24"/>
          <w:highlight w:val="none"/>
          <w:lang w:eastAsia="zh-CN"/>
        </w:rPr>
        <w:t>，满足得</w:t>
      </w:r>
      <w:r>
        <w:rPr>
          <w:rFonts w:hint="eastAsia" w:ascii="仿宋" w:hAnsi="仿宋" w:eastAsia="仿宋" w:cs="仿宋"/>
          <w:color w:val="auto"/>
          <w:sz w:val="24"/>
          <w:highlight w:val="none"/>
          <w:lang w:val="en-US" w:eastAsia="zh-CN"/>
        </w:rPr>
        <w:t>1分，不满足不得分</w:t>
      </w:r>
      <w:r>
        <w:rPr>
          <w:rFonts w:hint="eastAsia" w:ascii="仿宋" w:hAnsi="仿宋" w:eastAsia="仿宋" w:cs="仿宋"/>
          <w:color w:val="auto"/>
          <w:sz w:val="24"/>
          <w:highlight w:val="none"/>
        </w:rPr>
        <w:t>（1分）。</w:t>
      </w:r>
    </w:p>
    <w:p>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t>投标人的资质和业绩情况</w:t>
      </w:r>
      <w:r>
        <w:rPr>
          <w:rFonts w:hint="eastAsia" w:ascii="仿宋" w:hAnsi="仿宋" w:eastAsia="仿宋" w:cs="仿宋"/>
          <w:b/>
          <w:bCs/>
          <w:color w:val="auto"/>
          <w:sz w:val="24"/>
          <w:highlight w:val="none"/>
        </w:rPr>
        <w:t>（C=</w:t>
      </w: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分）：</w:t>
      </w:r>
      <w:r>
        <w:rPr>
          <w:rFonts w:hint="eastAsia" w:ascii="仿宋" w:hAnsi="仿宋" w:eastAsia="仿宋" w:cs="仿宋"/>
          <w:color w:val="auto"/>
          <w:sz w:val="24"/>
          <w:highlight w:val="none"/>
        </w:rPr>
        <w:t>主要包含投标人资质、类似</w:t>
      </w:r>
      <w:r>
        <w:rPr>
          <w:rFonts w:hint="eastAsia" w:ascii="仿宋" w:hAnsi="仿宋" w:eastAsia="仿宋" w:cs="仿宋"/>
          <w:color w:val="auto"/>
          <w:kern w:val="28"/>
          <w:sz w:val="24"/>
          <w:highlight w:val="none"/>
        </w:rPr>
        <w:t>项目建设</w:t>
      </w:r>
      <w:r>
        <w:rPr>
          <w:rFonts w:hint="eastAsia" w:ascii="仿宋" w:hAnsi="仿宋" w:eastAsia="仿宋" w:cs="仿宋"/>
          <w:color w:val="auto"/>
          <w:sz w:val="24"/>
          <w:highlight w:val="none"/>
        </w:rPr>
        <w:t xml:space="preserve">成功案例等方面的因素。 </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评审要点为：</w:t>
      </w:r>
    </w:p>
    <w:p>
      <w:pPr>
        <w:snapToGrid w:val="0"/>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（1）投标人基本情况（</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分）：</w:t>
      </w:r>
    </w:p>
    <w:p>
      <w:pPr>
        <w:snapToGrid w:val="0"/>
        <w:spacing w:line="360" w:lineRule="auto"/>
        <w:ind w:firstLine="480" w:firstLineChars="200"/>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投标人已取得建筑智能化工程专业承包资质等级</w:t>
      </w:r>
      <w:r>
        <w:rPr>
          <w:rFonts w:hint="eastAsia" w:ascii="仿宋" w:hAnsi="仿宋" w:eastAsia="仿宋" w:cs="宋体"/>
          <w:color w:val="auto"/>
          <w:kern w:val="0"/>
          <w:sz w:val="24"/>
          <w:highlight w:val="none"/>
          <w:lang w:eastAsia="zh-CN"/>
        </w:rPr>
        <w:t>壹</w:t>
      </w:r>
      <w:r>
        <w:rPr>
          <w:rFonts w:hint="eastAsia" w:ascii="仿宋" w:hAnsi="仿宋" w:eastAsia="仿宋" w:cs="宋体"/>
          <w:color w:val="auto"/>
          <w:kern w:val="0"/>
          <w:sz w:val="24"/>
          <w:highlight w:val="none"/>
        </w:rPr>
        <w:t>级证书</w:t>
      </w:r>
      <w:r>
        <w:rPr>
          <w:rFonts w:hint="eastAsia" w:ascii="仿宋" w:hAnsi="仿宋" w:eastAsia="仿宋" w:cs="宋体"/>
          <w:color w:val="auto"/>
          <w:kern w:val="0"/>
          <w:sz w:val="24"/>
          <w:highlight w:val="none"/>
          <w:lang w:eastAsia="zh-CN"/>
        </w:rPr>
        <w:t>的得</w:t>
      </w:r>
      <w:r>
        <w:rPr>
          <w:rFonts w:hint="eastAsia" w:ascii="仿宋" w:hAnsi="仿宋" w:eastAsia="仿宋" w:cs="宋体"/>
          <w:color w:val="auto"/>
          <w:kern w:val="0"/>
          <w:sz w:val="24"/>
          <w:highlight w:val="none"/>
        </w:rPr>
        <w:t>1分</w:t>
      </w:r>
      <w:r>
        <w:rPr>
          <w:rFonts w:hint="eastAsia" w:ascii="仿宋" w:hAnsi="仿宋" w:eastAsia="仿宋" w:cs="宋体"/>
          <w:color w:val="auto"/>
          <w:kern w:val="0"/>
          <w:sz w:val="24"/>
          <w:highlight w:val="none"/>
          <w:lang w:eastAsia="zh-CN"/>
        </w:rPr>
        <w:t>；</w:t>
      </w:r>
    </w:p>
    <w:p>
      <w:pPr>
        <w:snapToGrid w:val="0"/>
        <w:spacing w:line="360"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具有涉密资质甲级证书的得1分，乙级证书得0.5分，其他不得分；</w:t>
      </w:r>
    </w:p>
    <w:p>
      <w:pPr>
        <w:snapToGrid w:val="0"/>
        <w:spacing w:line="360" w:lineRule="auto"/>
        <w:ind w:firstLine="482" w:firstLineChars="200"/>
        <w:rPr>
          <w:rFonts w:hint="eastAsia" w:ascii="仿宋_GB2312" w:hAnsi="仿宋" w:eastAsia="仿宋_GB2312" w:cs="Arial"/>
          <w:b/>
          <w:snapToGrid w:val="0"/>
          <w:color w:val="auto"/>
          <w:kern w:val="0"/>
          <w:sz w:val="24"/>
          <w:szCs w:val="21"/>
          <w:highlight w:val="none"/>
        </w:rPr>
      </w:pPr>
      <w:r>
        <w:rPr>
          <w:rFonts w:hint="eastAsia" w:ascii="仿宋" w:hAnsi="仿宋" w:eastAsia="仿宋" w:cs="仿宋"/>
          <w:b/>
          <w:color w:val="auto"/>
          <w:sz w:val="24"/>
          <w:highlight w:val="none"/>
        </w:rPr>
        <w:t>（2）投标人类似项目建设的成功经验（4分）：</w:t>
      </w:r>
      <w:r>
        <w:rPr>
          <w:rFonts w:hint="eastAsia" w:ascii="仿宋" w:hAnsi="仿宋" w:eastAsia="仿宋" w:cs="仿宋"/>
          <w:color w:val="auto"/>
          <w:sz w:val="24"/>
          <w:highlight w:val="none"/>
        </w:rPr>
        <w:t>截止投标时间近三年</w:t>
      </w:r>
      <w:r>
        <w:rPr>
          <w:rFonts w:hint="eastAsia" w:ascii="仿宋" w:hAnsi="仿宋" w:eastAsia="仿宋" w:cs="仿宋"/>
          <w:color w:val="auto"/>
          <w:sz w:val="24"/>
          <w:highlight w:val="none"/>
          <w:lang w:eastAsia="zh-CN"/>
        </w:rPr>
        <w:t>，</w:t>
      </w:r>
      <w:r>
        <w:rPr>
          <w:rFonts w:hint="eastAsia" w:ascii="仿宋_GB2312" w:hAnsi="仿宋" w:eastAsia="仿宋_GB2312" w:cs="仿宋_GB2312"/>
          <w:color w:val="auto"/>
          <w:sz w:val="24"/>
          <w:highlight w:val="none"/>
        </w:rPr>
        <w:t>投标人承担类似项目实施的成功经验情况。</w:t>
      </w:r>
      <w:r>
        <w:rPr>
          <w:rFonts w:hint="eastAsia" w:ascii="仿宋_GB2312" w:hAnsi="仿宋" w:eastAsia="仿宋_GB2312" w:cs="仿宋_GB2312"/>
          <w:color w:val="auto"/>
          <w:sz w:val="24"/>
          <w:highlight w:val="none"/>
          <w:lang w:val="zh-CN"/>
        </w:rPr>
        <w:t>结合</w:t>
      </w:r>
      <w:r>
        <w:rPr>
          <w:rFonts w:hint="eastAsia" w:ascii="仿宋_GB2312" w:hAnsi="仿宋" w:eastAsia="仿宋_GB2312" w:cs="仿宋_GB2312"/>
          <w:bCs/>
          <w:color w:val="auto"/>
          <w:sz w:val="24"/>
          <w:highlight w:val="none"/>
        </w:rPr>
        <w:t>已完成的项目案例和用户反应情况，依照投标人提供的合同和用户验收报告。每个案例（以用户验收报告时间为准）得1分,最高得</w:t>
      </w:r>
      <w:r>
        <w:rPr>
          <w:rFonts w:hint="eastAsia" w:ascii="仿宋" w:hAnsi="仿宋" w:eastAsia="仿宋" w:cs="仿宋"/>
          <w:color w:val="auto"/>
          <w:sz w:val="24"/>
          <w:highlight w:val="none"/>
        </w:rPr>
        <w:t>4分。</w:t>
      </w: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原件备查，采购机构在项目评审直至合同签订、履约期间，有权要求投标人出具投标文件中的合同和用户验收报告，予以确认其的真实性和有效性，如出现与事实不符等情况，将根据有关规定以“涉嫌提供虚假材料谋取中标（成交）”予以处理</w:t>
      </w:r>
      <w:r>
        <w:rPr>
          <w:rFonts w:hint="eastAsia" w:ascii="仿宋_GB2312" w:hAnsi="仿宋" w:eastAsia="仿宋_GB2312" w:cs="仿宋_GB2312"/>
          <w:color w:val="auto"/>
          <w:sz w:val="24"/>
          <w:highlight w:val="none"/>
        </w:rPr>
        <w:t>】，是否有良好的工作业绩和履约记录</w:t>
      </w:r>
      <w:r>
        <w:rPr>
          <w:rFonts w:hint="eastAsia" w:ascii="仿宋_GB2312" w:hAnsi="仿宋" w:eastAsia="仿宋_GB2312" w:cs="仿宋_GB2312"/>
          <w:color w:val="auto"/>
          <w:sz w:val="24"/>
          <w:highlight w:val="none"/>
          <w:lang w:val="zh-CN"/>
        </w:rPr>
        <w:t>等情况</w:t>
      </w: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kern w:val="0"/>
          <w:sz w:val="24"/>
          <w:highlight w:val="none"/>
        </w:rPr>
        <w:t>以分包方式履行政府采购合同的，还需提供该项目采购方同意分包的证明材料;</w:t>
      </w:r>
      <w:r>
        <w:rPr>
          <w:rFonts w:hint="eastAsia" w:ascii="仿宋_GB2312" w:hAnsi="仿宋" w:eastAsia="仿宋_GB2312" w:cs="仿宋_GB2312"/>
          <w:b/>
          <w:color w:val="auto"/>
          <w:sz w:val="24"/>
          <w:highlight w:val="none"/>
        </w:rPr>
        <w:t>如投标人提供的合同复印件等实施项目证明材料与投标主体无关或违规转包分包的，评标委员会将进行扣分直至认定投标无效</w:t>
      </w:r>
      <w:r>
        <w:rPr>
          <w:rFonts w:hint="eastAsia" w:ascii="仿宋_GB2312" w:hAnsi="仿宋" w:eastAsia="仿宋_GB2312" w:cs="Arial"/>
          <w:b/>
          <w:snapToGrid w:val="0"/>
          <w:color w:val="auto"/>
          <w:kern w:val="0"/>
          <w:sz w:val="24"/>
          <w:szCs w:val="21"/>
          <w:highlight w:val="none"/>
        </w:rPr>
        <w:t>。</w:t>
      </w:r>
    </w:p>
    <w:p>
      <w:pPr>
        <w:pStyle w:val="33"/>
        <w:spacing w:line="360" w:lineRule="auto"/>
        <w:ind w:firstLine="472" w:firstLineChars="196"/>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综合得分=A+B+C</w:t>
      </w:r>
      <w:r>
        <w:rPr>
          <w:rFonts w:hint="eastAsia" w:ascii="仿宋_GB2312" w:hAnsi="仿宋" w:eastAsia="仿宋_GB2312" w:cs="仿宋_GB2312"/>
          <w:b/>
          <w:color w:val="auto"/>
          <w:sz w:val="24"/>
          <w:szCs w:val="24"/>
          <w:highlight w:val="none"/>
        </w:rPr>
        <w:t>，精确到小数点后二位。</w:t>
      </w:r>
    </w:p>
    <w:p>
      <w:pPr>
        <w:snapToGrid w:val="0"/>
        <w:spacing w:line="360" w:lineRule="auto"/>
        <w:ind w:firstLine="465" w:firstLineChars="194"/>
        <w:jc w:val="left"/>
        <w:rPr>
          <w:rFonts w:hint="eastAsia" w:ascii="仿宋" w:hAnsi="仿宋" w:eastAsia="仿宋" w:cs="仿宋"/>
          <w:color w:val="auto"/>
          <w:sz w:val="24"/>
          <w:highlight w:val="none"/>
        </w:rPr>
      </w:pPr>
    </w:p>
    <w:bookmarkEnd w:id="35"/>
    <w:p>
      <w:pPr>
        <w:spacing w:line="360" w:lineRule="auto"/>
        <w:ind w:left="720" w:firstLine="723" w:firstLineChars="200"/>
        <w:outlineLvl w:val="0"/>
        <w:rPr>
          <w:rFonts w:hint="eastAsia" w:ascii="仿宋_GB2312" w:hAnsi="仿宋" w:eastAsia="仿宋_GB2312" w:cs="仿宋_GB2312"/>
          <w:b/>
          <w:color w:val="auto"/>
          <w:sz w:val="36"/>
          <w:szCs w:val="36"/>
          <w:highlight w:val="none"/>
        </w:rPr>
      </w:pPr>
    </w:p>
    <w:p>
      <w:pPr>
        <w:pStyle w:val="2"/>
        <w:rPr>
          <w:rFonts w:hint="eastAsia" w:ascii="仿宋_GB2312" w:hAnsi="仿宋" w:eastAsia="仿宋_GB2312" w:cs="仿宋_GB2312"/>
          <w:b/>
          <w:color w:val="auto"/>
          <w:sz w:val="36"/>
          <w:szCs w:val="36"/>
          <w:highlight w:val="none"/>
        </w:rPr>
      </w:pPr>
    </w:p>
    <w:p>
      <w:pPr>
        <w:pStyle w:val="2"/>
        <w:rPr>
          <w:rFonts w:hint="eastAsia" w:ascii="仿宋_GB2312" w:hAnsi="仿宋" w:eastAsia="仿宋_GB2312" w:cs="仿宋_GB2312"/>
          <w:b/>
          <w:color w:val="auto"/>
          <w:sz w:val="36"/>
          <w:szCs w:val="36"/>
          <w:highlight w:val="none"/>
        </w:rPr>
      </w:pPr>
    </w:p>
    <w:p>
      <w:pPr>
        <w:pStyle w:val="2"/>
        <w:rPr>
          <w:rFonts w:hint="eastAsia" w:ascii="仿宋_GB2312" w:hAnsi="仿宋" w:eastAsia="仿宋_GB2312" w:cs="仿宋_GB2312"/>
          <w:b/>
          <w:color w:val="auto"/>
          <w:sz w:val="36"/>
          <w:szCs w:val="36"/>
          <w:highlight w:val="none"/>
        </w:rPr>
      </w:pPr>
    </w:p>
    <w:p>
      <w:pPr>
        <w:pStyle w:val="2"/>
        <w:rPr>
          <w:rFonts w:hint="eastAsia" w:ascii="仿宋_GB2312" w:hAnsi="仿宋" w:eastAsia="仿宋_GB2312" w:cs="仿宋_GB2312"/>
          <w:b/>
          <w:color w:val="auto"/>
          <w:sz w:val="36"/>
          <w:szCs w:val="36"/>
          <w:highlight w:val="none"/>
        </w:rPr>
      </w:pPr>
    </w:p>
    <w:p>
      <w:pPr>
        <w:pStyle w:val="2"/>
        <w:rPr>
          <w:rFonts w:hint="eastAsia" w:ascii="仿宋_GB2312" w:hAnsi="仿宋" w:eastAsia="仿宋_GB2312" w:cs="仿宋_GB2312"/>
          <w:b/>
          <w:color w:val="auto"/>
          <w:sz w:val="36"/>
          <w:szCs w:val="36"/>
          <w:highlight w:val="none"/>
        </w:rPr>
      </w:pPr>
    </w:p>
    <w:p>
      <w:pPr>
        <w:spacing w:line="360" w:lineRule="auto"/>
        <w:ind w:left="720" w:firstLine="723" w:firstLineChars="200"/>
        <w:outlineLvl w:val="0"/>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 拟签订的合同文本</w:t>
      </w:r>
    </w:p>
    <w:p>
      <w:pPr>
        <w:spacing w:line="360" w:lineRule="auto"/>
        <w:rPr>
          <w:rFonts w:hint="eastAsia" w:ascii="仿宋_GB2312" w:hAnsi="楷体" w:eastAsia="仿宋_GB2312"/>
          <w:color w:val="auto"/>
          <w:sz w:val="24"/>
          <w:highlight w:val="none"/>
          <w:u w:val="single"/>
        </w:rPr>
      </w:pPr>
      <w:bookmarkStart w:id="403" w:name="第五部分"/>
      <w:bookmarkStart w:id="404" w:name="_Toc86217003"/>
      <w:r>
        <w:rPr>
          <w:rFonts w:hint="eastAsia" w:ascii="仿宋_GB2312" w:hAnsi="楷体" w:eastAsia="仿宋_GB2312"/>
          <w:color w:val="auto"/>
          <w:sz w:val="24"/>
          <w:highlight w:val="none"/>
        </w:rPr>
        <w:t>合同编号：</w:t>
      </w:r>
      <w:r>
        <w:rPr>
          <w:rFonts w:hint="eastAsia" w:ascii="仿宋_GB2312" w:hAnsi="楷体" w:eastAsia="仿宋_GB2312"/>
          <w:color w:val="auto"/>
          <w:sz w:val="24"/>
          <w:highlight w:val="none"/>
          <w:u w:val="single"/>
        </w:rPr>
        <w:t xml:space="preserve">           </w:t>
      </w:r>
    </w:p>
    <w:p>
      <w:pPr>
        <w:pStyle w:val="646"/>
        <w:rPr>
          <w:rFonts w:hint="eastAsia" w:ascii="仿宋_GB2312" w:hAnsi="楷体" w:eastAsia="仿宋_GB2312"/>
          <w:color w:val="auto"/>
          <w:szCs w:val="24"/>
          <w:highlight w:val="none"/>
        </w:rPr>
      </w:pPr>
    </w:p>
    <w:p>
      <w:pPr>
        <w:pStyle w:val="646"/>
        <w:rPr>
          <w:rFonts w:hint="eastAsia" w:ascii="仿宋_GB2312" w:hAnsi="楷体" w:eastAsia="仿宋_GB2312"/>
          <w:color w:val="auto"/>
          <w:szCs w:val="24"/>
          <w:highlight w:val="none"/>
        </w:rPr>
      </w:pPr>
    </w:p>
    <w:p>
      <w:pPr>
        <w:spacing w:before="120" w:line="360" w:lineRule="auto"/>
        <w:rPr>
          <w:rFonts w:hint="eastAsia" w:ascii="仿宋_GB2312" w:hAnsi="楷体" w:eastAsia="仿宋_GB2312"/>
          <w:color w:val="auto"/>
          <w:sz w:val="24"/>
          <w:highlight w:val="none"/>
        </w:rPr>
      </w:pPr>
    </w:p>
    <w:p>
      <w:pPr>
        <w:spacing w:before="120" w:line="360" w:lineRule="auto"/>
        <w:ind w:left="96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项目名称：</w:t>
      </w:r>
      <w:r>
        <w:rPr>
          <w:rFonts w:hint="eastAsia" w:ascii="仿宋_GB2312" w:hAnsi="楷体" w:eastAsia="仿宋_GB2312"/>
          <w:color w:val="auto"/>
          <w:sz w:val="24"/>
          <w:highlight w:val="none"/>
          <w:u w:val="single"/>
        </w:rPr>
        <w:t xml:space="preserve">                                       </w:t>
      </w:r>
    </w:p>
    <w:p>
      <w:pPr>
        <w:pStyle w:val="464"/>
        <w:spacing w:before="120"/>
        <w:rPr>
          <w:rFonts w:hint="eastAsia" w:hAnsi="楷体"/>
          <w:color w:val="auto"/>
          <w:szCs w:val="24"/>
          <w:highlight w:val="none"/>
        </w:rPr>
      </w:pPr>
    </w:p>
    <w:p>
      <w:pPr>
        <w:pStyle w:val="464"/>
        <w:spacing w:before="120"/>
        <w:rPr>
          <w:rFonts w:hint="eastAsia" w:hAnsi="楷体"/>
          <w:color w:val="auto"/>
          <w:szCs w:val="24"/>
          <w:highlight w:val="none"/>
        </w:rPr>
      </w:pPr>
    </w:p>
    <w:p>
      <w:pPr>
        <w:spacing w:line="360" w:lineRule="auto"/>
        <w:rPr>
          <w:rFonts w:hint="eastAsia" w:ascii="仿宋_GB2312" w:eastAsia="仿宋_GB2312"/>
          <w:color w:val="auto"/>
          <w:sz w:val="24"/>
          <w:highlight w:val="none"/>
        </w:rPr>
      </w:pPr>
    </w:p>
    <w:p>
      <w:pPr>
        <w:spacing w:before="120" w:line="360" w:lineRule="auto"/>
        <w:ind w:left="96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甲方：</w:t>
      </w:r>
      <w:r>
        <w:rPr>
          <w:rFonts w:hint="eastAsia" w:ascii="仿宋_GB2312" w:hAnsi="楷体" w:eastAsia="仿宋_GB2312"/>
          <w:color w:val="auto"/>
          <w:sz w:val="24"/>
          <w:highlight w:val="none"/>
          <w:u w:val="single"/>
        </w:rPr>
        <w:t xml:space="preserve">                                       </w:t>
      </w:r>
    </w:p>
    <w:p>
      <w:pPr>
        <w:spacing w:before="120" w:line="360" w:lineRule="auto"/>
        <w:rPr>
          <w:rFonts w:hint="eastAsia" w:ascii="仿宋_GB2312" w:hAnsi="楷体" w:eastAsia="仿宋_GB2312"/>
          <w:color w:val="auto"/>
          <w:sz w:val="24"/>
          <w:highlight w:val="none"/>
        </w:rPr>
      </w:pPr>
    </w:p>
    <w:p>
      <w:pPr>
        <w:spacing w:before="120" w:line="360" w:lineRule="auto"/>
        <w:ind w:left="96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乙方：</w:t>
      </w:r>
      <w:r>
        <w:rPr>
          <w:rFonts w:hint="eastAsia" w:ascii="仿宋_GB2312" w:hAnsi="楷体" w:eastAsia="仿宋_GB2312"/>
          <w:color w:val="auto"/>
          <w:sz w:val="24"/>
          <w:highlight w:val="none"/>
          <w:u w:val="single"/>
        </w:rPr>
        <w:t xml:space="preserve">                                       </w:t>
      </w:r>
    </w:p>
    <w:p>
      <w:pPr>
        <w:spacing w:before="120" w:line="360" w:lineRule="auto"/>
        <w:rPr>
          <w:rFonts w:hint="eastAsia" w:ascii="仿宋_GB2312" w:hAnsi="楷体" w:eastAsia="仿宋_GB2312"/>
          <w:color w:val="auto"/>
          <w:sz w:val="24"/>
          <w:highlight w:val="none"/>
        </w:rPr>
      </w:pPr>
    </w:p>
    <w:p>
      <w:pPr>
        <w:spacing w:before="120" w:line="360" w:lineRule="auto"/>
        <w:ind w:firstLine="960" w:firstLineChars="4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签订地：</w:t>
      </w:r>
      <w:r>
        <w:rPr>
          <w:rFonts w:hint="eastAsia" w:ascii="仿宋_GB2312" w:hAnsi="楷体" w:eastAsia="仿宋_GB2312"/>
          <w:color w:val="auto"/>
          <w:sz w:val="24"/>
          <w:highlight w:val="none"/>
          <w:u w:val="single"/>
        </w:rPr>
        <w:t xml:space="preserve">                                     </w:t>
      </w:r>
    </w:p>
    <w:p>
      <w:pPr>
        <w:spacing w:before="120" w:line="360" w:lineRule="auto"/>
        <w:rPr>
          <w:rFonts w:hint="eastAsia" w:ascii="仿宋_GB2312" w:hAnsi="楷体" w:eastAsia="仿宋_GB2312"/>
          <w:color w:val="auto"/>
          <w:sz w:val="24"/>
          <w:highlight w:val="none"/>
        </w:rPr>
      </w:pPr>
    </w:p>
    <w:p>
      <w:pPr>
        <w:spacing w:before="120" w:line="360" w:lineRule="auto"/>
        <w:ind w:firstLine="960" w:firstLineChars="4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签订日期：</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年</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月</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w:t>
      </w:r>
    </w:p>
    <w:p>
      <w:pPr>
        <w:autoSpaceDE w:val="0"/>
        <w:autoSpaceDN w:val="0"/>
        <w:spacing w:line="360" w:lineRule="auto"/>
        <w:ind w:firstLine="640"/>
        <w:jc w:val="center"/>
        <w:rPr>
          <w:rFonts w:hint="eastAsia" w:ascii="仿宋_GB2312" w:hAnsi="宋体" w:eastAsia="仿宋_GB2312"/>
          <w:color w:val="auto"/>
          <w:sz w:val="24"/>
          <w:highlight w:val="none"/>
        </w:rPr>
        <w:sectPr>
          <w:headerReference r:id="rId8" w:type="default"/>
          <w:footerReference r:id="rId9" w:type="default"/>
          <w:pgSz w:w="11907" w:h="16840"/>
          <w:pgMar w:top="1474" w:right="1814" w:bottom="1474" w:left="1814" w:header="851" w:footer="851" w:gutter="0"/>
          <w:cols w:space="720" w:num="1"/>
          <w:docGrid w:linePitch="462" w:charSpace="0"/>
        </w:sectPr>
      </w:pPr>
    </w:p>
    <w:p>
      <w:pPr>
        <w:pStyle w:val="646"/>
        <w:ind w:firstLine="482"/>
        <w:jc w:val="center"/>
        <w:rPr>
          <w:rFonts w:hint="eastAsia" w:ascii="仿宋_GB2312" w:hAnsi="楷体" w:eastAsia="仿宋_GB2312"/>
          <w:b/>
          <w:color w:val="auto"/>
          <w:szCs w:val="24"/>
          <w:highlight w:val="none"/>
        </w:rPr>
      </w:pPr>
      <w:r>
        <w:rPr>
          <w:rFonts w:hint="eastAsia" w:ascii="仿宋_GB2312" w:hAnsi="楷体" w:eastAsia="仿宋_GB2312"/>
          <w:b/>
          <w:color w:val="auto"/>
          <w:szCs w:val="24"/>
          <w:highlight w:val="none"/>
        </w:rPr>
        <w:t>第一部分 合同书</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r>
        <w:rPr>
          <w:rFonts w:hint="eastAsia" w:ascii="仿宋_GB2312" w:hAnsi="楷体" w:eastAsia="仿宋_GB2312"/>
          <w:color w:val="auto"/>
          <w:sz w:val="24"/>
          <w:highlight w:val="none"/>
        </w:rPr>
        <w:t>，</w:t>
      </w:r>
      <w:r>
        <w:rPr>
          <w:rFonts w:hint="eastAsia" w:ascii="仿宋_GB2312" w:hAnsi="仿宋" w:eastAsia="仿宋_GB2312"/>
          <w:color w:val="auto"/>
          <w:sz w:val="24"/>
          <w:highlight w:val="none"/>
          <w:u w:val="single"/>
        </w:rPr>
        <w:t xml:space="preserve">       （单位名称）</w:t>
      </w:r>
      <w:r>
        <w:rPr>
          <w:rFonts w:hint="eastAsia" w:ascii="仿宋_GB2312" w:hAnsi="仿宋" w:eastAsia="仿宋_GB2312"/>
          <w:color w:val="auto"/>
          <w:sz w:val="24"/>
          <w:highlight w:val="none"/>
        </w:rPr>
        <w:t>以</w:t>
      </w:r>
      <w:r>
        <w:rPr>
          <w:rFonts w:hint="eastAsia" w:ascii="仿宋_GB2312" w:hAnsi="仿宋" w:eastAsia="仿宋_GB2312"/>
          <w:color w:val="auto"/>
          <w:sz w:val="24"/>
          <w:highlight w:val="none"/>
          <w:u w:val="single"/>
        </w:rPr>
        <w:t xml:space="preserve">   公开招标方式  </w:t>
      </w:r>
      <w:r>
        <w:rPr>
          <w:rFonts w:hint="eastAsia" w:ascii="仿宋_GB2312" w:hAnsi="仿宋" w:eastAsia="仿宋_GB2312"/>
          <w:color w:val="auto"/>
          <w:sz w:val="24"/>
          <w:highlight w:val="none"/>
        </w:rPr>
        <w:t>对</w:t>
      </w:r>
      <w:r>
        <w:rPr>
          <w:rFonts w:hint="eastAsia" w:ascii="仿宋_GB2312" w:hAnsi="仿宋" w:eastAsia="仿宋_GB2312"/>
          <w:color w:val="auto"/>
          <w:sz w:val="24"/>
          <w:highlight w:val="none"/>
          <w:u w:val="single"/>
        </w:rPr>
        <w:t xml:space="preserve">        </w:t>
      </w:r>
      <w:r>
        <w:rPr>
          <w:rFonts w:hint="eastAsia" w:ascii="仿宋_GB2312" w:hAnsi="楷体" w:eastAsia="仿宋_GB2312"/>
          <w:color w:val="auto"/>
          <w:sz w:val="24"/>
          <w:highlight w:val="none"/>
        </w:rPr>
        <w:t>项目进行了采购。经</w:t>
      </w:r>
      <w:r>
        <w:rPr>
          <w:rFonts w:hint="eastAsia" w:ascii="仿宋_GB2312" w:hAnsi="楷体" w:eastAsia="仿宋_GB2312"/>
          <w:color w:val="auto"/>
          <w:sz w:val="24"/>
          <w:highlight w:val="none"/>
          <w:u w:val="single"/>
        </w:rPr>
        <w:t xml:space="preserve">   （相关评定主体名称）   </w:t>
      </w:r>
      <w:r>
        <w:rPr>
          <w:rFonts w:hint="eastAsia" w:ascii="仿宋_GB2312" w:hAnsi="楷体" w:eastAsia="仿宋_GB2312"/>
          <w:color w:val="auto"/>
          <w:sz w:val="24"/>
          <w:highlight w:val="none"/>
        </w:rPr>
        <w:t>评定，</w:t>
      </w:r>
      <w:r>
        <w:rPr>
          <w:rFonts w:hint="eastAsia" w:ascii="仿宋_GB2312" w:hAnsi="楷体" w:eastAsia="仿宋_GB2312"/>
          <w:color w:val="auto"/>
          <w:sz w:val="24"/>
          <w:highlight w:val="none"/>
          <w:u w:val="single"/>
        </w:rPr>
        <w:t xml:space="preserve">   （中标人名称）</w:t>
      </w:r>
      <w:r>
        <w:rPr>
          <w:rFonts w:hint="eastAsia" w:ascii="仿宋_GB2312" w:hAnsi="楷体" w:eastAsia="仿宋_GB2312"/>
          <w:color w:val="auto"/>
          <w:sz w:val="24"/>
          <w:highlight w:val="none"/>
        </w:rPr>
        <w:t>为该项目中标人。现于中标通知书发出之日起三十日内，按照</w:t>
      </w:r>
      <w:r>
        <w:rPr>
          <w:rFonts w:hint="eastAsia" w:ascii="仿宋_GB2312" w:hAnsi="楷体" w:eastAsia="仿宋_GB2312"/>
          <w:color w:val="auto"/>
          <w:sz w:val="24"/>
          <w:highlight w:val="none"/>
          <w:lang w:eastAsia="zh-CN"/>
        </w:rPr>
        <w:t>招标文件</w:t>
      </w:r>
      <w:r>
        <w:rPr>
          <w:rFonts w:hint="eastAsia" w:ascii="仿宋_GB2312" w:hAnsi="楷体" w:eastAsia="仿宋_GB2312"/>
          <w:color w:val="auto"/>
          <w:sz w:val="24"/>
          <w:highlight w:val="none"/>
        </w:rPr>
        <w:t>确定的事项签订本合同。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根据《中华人民共和国民法典法》、《中华人民共和国政府采购法》等相关法律法规之规定，按照平等、自愿、公平和诚实信用的原则，经</w:t>
      </w:r>
      <w:r>
        <w:rPr>
          <w:rFonts w:hint="eastAsia" w:ascii="仿宋_GB2312" w:hAnsi="楷体" w:eastAsia="仿宋_GB2312"/>
          <w:color w:val="auto"/>
          <w:sz w:val="24"/>
          <w:highlight w:val="none"/>
          <w:u w:val="single"/>
        </w:rPr>
        <w:t xml:space="preserve">   （采购人名称）   </w:t>
      </w:r>
      <w:r>
        <w:rPr>
          <w:rFonts w:hint="eastAsia" w:ascii="仿宋_GB2312" w:hAnsi="楷体" w:eastAsia="仿宋_GB2312"/>
          <w:color w:val="auto"/>
          <w:sz w:val="24"/>
          <w:highlight w:val="none"/>
          <w:lang w:val="zh-CN"/>
        </w:rPr>
        <w:t>(以下简称：甲方)和</w:t>
      </w:r>
      <w:r>
        <w:rPr>
          <w:rFonts w:hint="eastAsia" w:ascii="仿宋_GB2312" w:hAnsi="楷体" w:eastAsia="仿宋_GB2312"/>
          <w:color w:val="auto"/>
          <w:sz w:val="24"/>
          <w:highlight w:val="none"/>
          <w:u w:val="single"/>
        </w:rPr>
        <w:t xml:space="preserve">   （中标人名称）   </w:t>
      </w:r>
      <w:r>
        <w:rPr>
          <w:rFonts w:hint="eastAsia" w:ascii="仿宋_GB2312" w:hAnsi="楷体" w:eastAsia="仿宋_GB2312"/>
          <w:color w:val="auto"/>
          <w:sz w:val="24"/>
          <w:highlight w:val="none"/>
          <w:lang w:val="zh-CN"/>
        </w:rPr>
        <w:t>(以下简称：乙方)协商一致，约定以下合同</w:t>
      </w:r>
      <w:r>
        <w:rPr>
          <w:rFonts w:hint="eastAsia" w:ascii="仿宋_GB2312" w:hAnsi="楷体" w:eastAsia="仿宋_GB2312"/>
          <w:color w:val="auto"/>
          <w:sz w:val="24"/>
          <w:highlight w:val="none"/>
        </w:rPr>
        <w:t>条款，以兹共同遵守、全面履行。</w:t>
      </w:r>
    </w:p>
    <w:p>
      <w:pPr>
        <w:spacing w:line="360" w:lineRule="auto"/>
        <w:ind w:firstLine="482" w:firstLineChars="200"/>
        <w:outlineLvl w:val="0"/>
        <w:rPr>
          <w:rFonts w:hint="eastAsia" w:ascii="仿宋_GB2312" w:hAnsi="楷体" w:eastAsia="仿宋_GB2312"/>
          <w:b/>
          <w:color w:val="auto"/>
          <w:sz w:val="24"/>
          <w:highlight w:val="none"/>
        </w:rPr>
      </w:pPr>
      <w:bookmarkStart w:id="405" w:name="_Toc24059"/>
      <w:bookmarkStart w:id="406" w:name="_Toc2232"/>
      <w:bookmarkStart w:id="407" w:name="_Toc3029"/>
      <w:r>
        <w:rPr>
          <w:rFonts w:hint="eastAsia" w:ascii="仿宋_GB2312" w:hAnsi="楷体" w:eastAsia="仿宋_GB2312"/>
          <w:b/>
          <w:color w:val="auto"/>
          <w:sz w:val="24"/>
          <w:highlight w:val="none"/>
        </w:rPr>
        <w:t>1.1 合同组成部分</w:t>
      </w:r>
      <w:bookmarkEnd w:id="405"/>
      <w:bookmarkEnd w:id="406"/>
      <w:bookmarkEnd w:id="407"/>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下列文件为本合同的组成部分，并构成一个整体，需综合解释、相互补充。如果下列文件内容出现不一致的情形，那么在保证按照</w:t>
      </w:r>
      <w:r>
        <w:rPr>
          <w:rFonts w:hint="eastAsia" w:ascii="仿宋_GB2312" w:hAnsi="楷体" w:eastAsia="仿宋_GB2312"/>
          <w:color w:val="auto"/>
          <w:sz w:val="24"/>
          <w:highlight w:val="none"/>
          <w:lang w:eastAsia="zh-CN"/>
        </w:rPr>
        <w:t>招标文件</w:t>
      </w:r>
      <w:r>
        <w:rPr>
          <w:rFonts w:hint="eastAsia" w:ascii="仿宋_GB2312" w:hAnsi="楷体" w:eastAsia="仿宋_GB2312"/>
          <w:color w:val="auto"/>
          <w:sz w:val="24"/>
          <w:highlight w:val="none"/>
        </w:rPr>
        <w:t>确定的事项的前提下，组成本合同的多个文件的优先适用顺序如下：</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1.1.1 本合同及其补充合同、变更协议；</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1.1.2 中标通知书；</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1.1.3 投标文件及“投标报价”（含澄清或者说明文件）；</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1.1.4 招标文件（含澄清或者修改文件）；</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1.1.5 其他相关</w:t>
      </w:r>
      <w:r>
        <w:rPr>
          <w:rFonts w:hint="eastAsia" w:ascii="仿宋_GB2312" w:hAnsi="楷体" w:eastAsia="仿宋_GB2312"/>
          <w:color w:val="auto"/>
          <w:sz w:val="24"/>
          <w:highlight w:val="none"/>
          <w:lang w:eastAsia="zh-CN"/>
        </w:rPr>
        <w:t>招标文件</w:t>
      </w:r>
      <w:r>
        <w:rPr>
          <w:rFonts w:hint="eastAsia" w:ascii="仿宋_GB2312" w:hAnsi="楷体" w:eastAsia="仿宋_GB2312"/>
          <w:color w:val="auto"/>
          <w:sz w:val="24"/>
          <w:highlight w:val="none"/>
        </w:rPr>
        <w:t>。</w:t>
      </w:r>
    </w:p>
    <w:p>
      <w:pPr>
        <w:spacing w:line="360" w:lineRule="auto"/>
        <w:ind w:firstLine="482" w:firstLineChars="200"/>
        <w:outlineLvl w:val="0"/>
        <w:rPr>
          <w:rFonts w:hint="eastAsia" w:ascii="仿宋_GB2312" w:hAnsi="楷体" w:eastAsia="仿宋_GB2312"/>
          <w:b/>
          <w:color w:val="auto"/>
          <w:sz w:val="24"/>
          <w:highlight w:val="none"/>
        </w:rPr>
      </w:pPr>
      <w:bookmarkStart w:id="408" w:name="_Toc24300"/>
      <w:bookmarkStart w:id="409" w:name="_Toc21295"/>
      <w:bookmarkStart w:id="410" w:name="_Toc27126"/>
      <w:r>
        <w:rPr>
          <w:rFonts w:hint="eastAsia" w:ascii="仿宋_GB2312" w:hAnsi="楷体" w:eastAsia="仿宋_GB2312"/>
          <w:b/>
          <w:color w:val="auto"/>
          <w:sz w:val="24"/>
          <w:highlight w:val="none"/>
        </w:rPr>
        <w:t>1.2 标的物</w:t>
      </w:r>
      <w:bookmarkEnd w:id="408"/>
      <w:bookmarkEnd w:id="409"/>
      <w:bookmarkEnd w:id="410"/>
    </w:p>
    <w:p>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 标的物名称：</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1.2.2 标的物数量：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1.2.3 标的物质量：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2" w:firstLineChars="200"/>
        <w:outlineLvl w:val="0"/>
        <w:rPr>
          <w:rFonts w:hint="eastAsia" w:ascii="仿宋_GB2312" w:hAnsi="楷体" w:eastAsia="仿宋_GB2312"/>
          <w:b/>
          <w:color w:val="auto"/>
          <w:sz w:val="24"/>
          <w:highlight w:val="none"/>
        </w:rPr>
      </w:pPr>
      <w:bookmarkStart w:id="411" w:name="_Toc21631"/>
      <w:bookmarkStart w:id="412" w:name="_Toc23292"/>
      <w:bookmarkStart w:id="413" w:name="_Toc21551"/>
      <w:r>
        <w:rPr>
          <w:rFonts w:hint="eastAsia" w:ascii="仿宋_GB2312" w:hAnsi="楷体" w:eastAsia="仿宋_GB2312"/>
          <w:b/>
          <w:color w:val="auto"/>
          <w:sz w:val="24"/>
          <w:highlight w:val="none"/>
        </w:rPr>
        <w:t>1.3 价款</w:t>
      </w:r>
      <w:bookmarkEnd w:id="411"/>
      <w:bookmarkEnd w:id="412"/>
      <w:bookmarkEnd w:id="413"/>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w:t>
      </w:r>
      <w:r>
        <w:rPr>
          <w:rFonts w:hint="eastAsia" w:ascii="仿宋_GB2312" w:hAnsi="楷体" w:eastAsia="仿宋_GB2312"/>
          <w:color w:val="auto"/>
          <w:sz w:val="24"/>
          <w:highlight w:val="none"/>
          <w:lang w:eastAsia="zh-CN"/>
        </w:rPr>
        <w:t>含税</w:t>
      </w:r>
      <w:r>
        <w:rPr>
          <w:rFonts w:hint="eastAsia" w:ascii="仿宋_GB2312" w:hAnsi="楷体" w:eastAsia="仿宋_GB2312"/>
          <w:color w:val="auto"/>
          <w:sz w:val="24"/>
          <w:highlight w:val="none"/>
        </w:rPr>
        <w:t>总价为：人民币</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元（大写：</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元人民币）。</w:t>
      </w:r>
    </w:p>
    <w:p>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05"/>
              <w:spacing w:line="360" w:lineRule="auto"/>
              <w:jc w:val="center"/>
              <w:rPr>
                <w:rFonts w:hint="eastAsia" w:ascii="仿宋_GB2312" w:hAnsi="楷体" w:eastAsia="仿宋_GB2312"/>
                <w:color w:val="auto"/>
                <w:sz w:val="24"/>
                <w:szCs w:val="24"/>
                <w:highlight w:val="none"/>
              </w:rPr>
            </w:pPr>
            <w:r>
              <w:rPr>
                <w:rFonts w:hint="eastAsia" w:ascii="仿宋_GB2312" w:hAnsi="楷体" w:eastAsia="仿宋_GB2312"/>
                <w:color w:val="auto"/>
                <w:sz w:val="24"/>
                <w:szCs w:val="24"/>
                <w:highlight w:val="none"/>
              </w:rPr>
              <w:t>序号</w:t>
            </w:r>
          </w:p>
        </w:tc>
        <w:tc>
          <w:tcPr>
            <w:tcW w:w="3402" w:type="dxa"/>
            <w:noWrap w:val="0"/>
            <w:vAlign w:val="center"/>
          </w:tcPr>
          <w:p>
            <w:pPr>
              <w:pStyle w:val="205"/>
              <w:spacing w:line="360" w:lineRule="auto"/>
              <w:ind w:firstLine="200"/>
              <w:jc w:val="center"/>
              <w:rPr>
                <w:rFonts w:hint="eastAsia" w:ascii="仿宋_GB2312" w:hAnsi="楷体" w:eastAsia="仿宋_GB2312"/>
                <w:color w:val="auto"/>
                <w:sz w:val="24"/>
                <w:szCs w:val="24"/>
                <w:highlight w:val="none"/>
              </w:rPr>
            </w:pPr>
            <w:r>
              <w:rPr>
                <w:rFonts w:hint="eastAsia" w:ascii="仿宋_GB2312" w:hAnsi="楷体" w:eastAsia="仿宋_GB2312"/>
                <w:color w:val="auto"/>
                <w:sz w:val="24"/>
                <w:szCs w:val="24"/>
                <w:highlight w:val="none"/>
              </w:rPr>
              <w:t>分项名称</w:t>
            </w:r>
          </w:p>
        </w:tc>
        <w:tc>
          <w:tcPr>
            <w:tcW w:w="2552" w:type="dxa"/>
            <w:noWrap w:val="0"/>
            <w:vAlign w:val="center"/>
          </w:tcPr>
          <w:p>
            <w:pPr>
              <w:pStyle w:val="205"/>
              <w:spacing w:line="360" w:lineRule="auto"/>
              <w:jc w:val="center"/>
              <w:rPr>
                <w:rFonts w:hint="eastAsia" w:ascii="仿宋_GB2312" w:hAnsi="楷体" w:eastAsia="仿宋_GB2312"/>
                <w:color w:val="auto"/>
                <w:sz w:val="24"/>
                <w:szCs w:val="24"/>
                <w:highlight w:val="none"/>
              </w:rPr>
            </w:pPr>
            <w:r>
              <w:rPr>
                <w:rFonts w:hint="eastAsia" w:ascii="仿宋_GB2312" w:hAnsi="楷体" w:eastAsia="仿宋_GB2312"/>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05"/>
              <w:spacing w:line="360" w:lineRule="auto"/>
              <w:ind w:firstLine="200"/>
              <w:jc w:val="center"/>
              <w:rPr>
                <w:rFonts w:hint="eastAsia" w:ascii="仿宋_GB2312" w:hAnsi="楷体" w:eastAsia="仿宋_GB2312"/>
                <w:color w:val="auto"/>
                <w:sz w:val="24"/>
                <w:szCs w:val="24"/>
                <w:highlight w:val="none"/>
              </w:rPr>
            </w:pPr>
          </w:p>
        </w:tc>
        <w:tc>
          <w:tcPr>
            <w:tcW w:w="3402" w:type="dxa"/>
            <w:noWrap w:val="0"/>
            <w:vAlign w:val="center"/>
          </w:tcPr>
          <w:p>
            <w:pPr>
              <w:pStyle w:val="205"/>
              <w:spacing w:line="360" w:lineRule="auto"/>
              <w:ind w:firstLine="200"/>
              <w:jc w:val="center"/>
              <w:rPr>
                <w:rFonts w:hint="eastAsia" w:ascii="仿宋_GB2312" w:hAnsi="楷体" w:eastAsia="仿宋_GB2312"/>
                <w:color w:val="auto"/>
                <w:sz w:val="24"/>
                <w:szCs w:val="24"/>
                <w:highlight w:val="none"/>
              </w:rPr>
            </w:pPr>
          </w:p>
        </w:tc>
        <w:tc>
          <w:tcPr>
            <w:tcW w:w="2552" w:type="dxa"/>
            <w:noWrap w:val="0"/>
            <w:vAlign w:val="center"/>
          </w:tcPr>
          <w:p>
            <w:pPr>
              <w:pStyle w:val="205"/>
              <w:spacing w:line="360" w:lineRule="auto"/>
              <w:ind w:firstLine="200"/>
              <w:jc w:val="center"/>
              <w:rPr>
                <w:rFonts w:hint="eastAsia" w:ascii="仿宋_GB2312" w:hAnsi="楷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05"/>
              <w:spacing w:line="360" w:lineRule="auto"/>
              <w:ind w:firstLine="200"/>
              <w:jc w:val="center"/>
              <w:rPr>
                <w:rFonts w:hint="eastAsia" w:ascii="仿宋_GB2312" w:hAnsi="楷体" w:eastAsia="仿宋_GB2312"/>
                <w:color w:val="auto"/>
                <w:sz w:val="24"/>
                <w:szCs w:val="24"/>
                <w:highlight w:val="none"/>
              </w:rPr>
            </w:pPr>
          </w:p>
        </w:tc>
        <w:tc>
          <w:tcPr>
            <w:tcW w:w="3402" w:type="dxa"/>
            <w:noWrap w:val="0"/>
            <w:vAlign w:val="center"/>
          </w:tcPr>
          <w:p>
            <w:pPr>
              <w:pStyle w:val="205"/>
              <w:spacing w:line="360" w:lineRule="auto"/>
              <w:ind w:firstLine="200"/>
              <w:jc w:val="center"/>
              <w:rPr>
                <w:rFonts w:hint="eastAsia" w:ascii="仿宋_GB2312" w:hAnsi="楷体" w:eastAsia="仿宋_GB2312"/>
                <w:color w:val="auto"/>
                <w:sz w:val="24"/>
                <w:szCs w:val="24"/>
                <w:highlight w:val="none"/>
              </w:rPr>
            </w:pPr>
          </w:p>
        </w:tc>
        <w:tc>
          <w:tcPr>
            <w:tcW w:w="2552" w:type="dxa"/>
            <w:noWrap w:val="0"/>
            <w:vAlign w:val="center"/>
          </w:tcPr>
          <w:p>
            <w:pPr>
              <w:pStyle w:val="205"/>
              <w:spacing w:line="360" w:lineRule="auto"/>
              <w:ind w:firstLine="200"/>
              <w:jc w:val="center"/>
              <w:rPr>
                <w:rFonts w:hint="eastAsia" w:ascii="仿宋_GB2312" w:hAnsi="楷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05"/>
              <w:spacing w:line="360" w:lineRule="auto"/>
              <w:ind w:firstLine="200"/>
              <w:jc w:val="center"/>
              <w:rPr>
                <w:rFonts w:hint="eastAsia" w:ascii="仿宋_GB2312" w:hAnsi="楷体" w:eastAsia="仿宋_GB2312"/>
                <w:color w:val="auto"/>
                <w:sz w:val="24"/>
                <w:szCs w:val="24"/>
                <w:highlight w:val="none"/>
              </w:rPr>
            </w:pPr>
          </w:p>
        </w:tc>
        <w:tc>
          <w:tcPr>
            <w:tcW w:w="3402" w:type="dxa"/>
            <w:noWrap w:val="0"/>
            <w:vAlign w:val="center"/>
          </w:tcPr>
          <w:p>
            <w:pPr>
              <w:pStyle w:val="205"/>
              <w:spacing w:line="360" w:lineRule="auto"/>
              <w:ind w:firstLine="200"/>
              <w:jc w:val="center"/>
              <w:rPr>
                <w:rFonts w:hint="eastAsia" w:ascii="仿宋_GB2312" w:hAnsi="楷体" w:eastAsia="仿宋_GB2312"/>
                <w:color w:val="auto"/>
                <w:sz w:val="24"/>
                <w:szCs w:val="24"/>
                <w:highlight w:val="none"/>
              </w:rPr>
            </w:pPr>
          </w:p>
        </w:tc>
        <w:tc>
          <w:tcPr>
            <w:tcW w:w="2552" w:type="dxa"/>
            <w:noWrap w:val="0"/>
            <w:vAlign w:val="center"/>
          </w:tcPr>
          <w:p>
            <w:pPr>
              <w:pStyle w:val="205"/>
              <w:spacing w:line="360" w:lineRule="auto"/>
              <w:ind w:firstLine="200"/>
              <w:jc w:val="center"/>
              <w:rPr>
                <w:rFonts w:hint="eastAsia" w:ascii="仿宋_GB2312" w:hAnsi="楷体"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205"/>
              <w:spacing w:line="360" w:lineRule="auto"/>
              <w:ind w:firstLine="200"/>
              <w:jc w:val="center"/>
              <w:rPr>
                <w:rFonts w:hint="eastAsia" w:ascii="仿宋_GB2312" w:hAnsi="楷体" w:eastAsia="仿宋_GB2312"/>
                <w:color w:val="auto"/>
                <w:sz w:val="24"/>
                <w:szCs w:val="24"/>
                <w:highlight w:val="none"/>
              </w:rPr>
            </w:pPr>
            <w:r>
              <w:rPr>
                <w:rFonts w:hint="eastAsia" w:ascii="仿宋_GB2312" w:hAnsi="楷体" w:eastAsia="仿宋_GB2312"/>
                <w:color w:val="auto"/>
                <w:sz w:val="24"/>
                <w:szCs w:val="24"/>
                <w:highlight w:val="none"/>
              </w:rPr>
              <w:t>总价</w:t>
            </w:r>
          </w:p>
        </w:tc>
        <w:tc>
          <w:tcPr>
            <w:tcW w:w="2552" w:type="dxa"/>
            <w:noWrap w:val="0"/>
            <w:vAlign w:val="center"/>
          </w:tcPr>
          <w:p>
            <w:pPr>
              <w:pStyle w:val="205"/>
              <w:spacing w:line="360" w:lineRule="auto"/>
              <w:ind w:firstLine="200"/>
              <w:jc w:val="center"/>
              <w:rPr>
                <w:rFonts w:hint="eastAsia" w:ascii="仿宋_GB2312" w:hAnsi="楷体" w:eastAsia="仿宋_GB2312"/>
                <w:color w:val="auto"/>
                <w:sz w:val="24"/>
                <w:szCs w:val="24"/>
                <w:highlight w:val="none"/>
              </w:rPr>
            </w:pPr>
          </w:p>
        </w:tc>
      </w:tr>
    </w:tbl>
    <w:p>
      <w:pPr>
        <w:spacing w:line="360" w:lineRule="auto"/>
        <w:ind w:firstLine="482" w:firstLineChars="200"/>
        <w:outlineLvl w:val="0"/>
        <w:rPr>
          <w:rFonts w:hint="eastAsia" w:ascii="仿宋_GB2312" w:hAnsi="楷体" w:eastAsia="仿宋_GB2312"/>
          <w:b/>
          <w:color w:val="auto"/>
          <w:sz w:val="24"/>
          <w:highlight w:val="none"/>
        </w:rPr>
      </w:pPr>
      <w:bookmarkStart w:id="414" w:name="_Toc22618"/>
      <w:bookmarkStart w:id="415" w:name="_Toc1814"/>
      <w:bookmarkStart w:id="416" w:name="_Toc10340"/>
      <w:r>
        <w:rPr>
          <w:rFonts w:hint="eastAsia" w:ascii="仿宋_GB2312" w:hAnsi="楷体" w:eastAsia="仿宋_GB2312"/>
          <w:b/>
          <w:color w:val="auto"/>
          <w:sz w:val="24"/>
          <w:highlight w:val="none"/>
        </w:rPr>
        <w:t>1.4 付款方式和发票开具方式</w:t>
      </w:r>
      <w:bookmarkEnd w:id="414"/>
      <w:bookmarkEnd w:id="415"/>
      <w:bookmarkEnd w:id="416"/>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1.4.1 付款方式：</w:t>
      </w:r>
      <w:r>
        <w:rPr>
          <w:rFonts w:hint="eastAsia" w:ascii="仿宋_GB2312" w:hAnsi="楷体" w:eastAsia="仿宋_GB2312"/>
          <w:color w:val="auto"/>
          <w:sz w:val="24"/>
          <w:highlight w:val="none"/>
          <w:u w:val="single"/>
        </w:rPr>
        <w:t xml:space="preserve">   分期付款</w:t>
      </w:r>
      <w:r>
        <w:rPr>
          <w:rFonts w:hint="eastAsia" w:ascii="仿宋_GB2312" w:hAnsi="楷体" w:eastAsia="仿宋_GB2312"/>
          <w:color w:val="auto"/>
          <w:sz w:val="24"/>
          <w:highlight w:val="none"/>
          <w:u w:val="single"/>
          <w:lang w:eastAsia="zh-CN"/>
        </w:rPr>
        <w:t>，根据具体签订合同执行</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 xml:space="preserve"> </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1.4.2 发票开具方式：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2" w:firstLineChars="200"/>
        <w:outlineLvl w:val="0"/>
        <w:rPr>
          <w:rFonts w:hint="eastAsia" w:ascii="仿宋_GB2312" w:hAnsi="楷体" w:eastAsia="仿宋_GB2312"/>
          <w:b/>
          <w:color w:val="auto"/>
          <w:sz w:val="24"/>
          <w:highlight w:val="none"/>
        </w:rPr>
      </w:pPr>
      <w:bookmarkStart w:id="417" w:name="_Toc19304"/>
      <w:bookmarkStart w:id="418" w:name="_Toc2846"/>
      <w:bookmarkStart w:id="419" w:name="_Toc32071"/>
      <w:r>
        <w:rPr>
          <w:rFonts w:hint="eastAsia" w:ascii="仿宋_GB2312" w:hAnsi="楷体" w:eastAsia="仿宋_GB2312"/>
          <w:b/>
          <w:color w:val="auto"/>
          <w:sz w:val="24"/>
          <w:highlight w:val="none"/>
        </w:rPr>
        <w:t>1.5 标的物交付期限、地点和方式</w:t>
      </w:r>
      <w:bookmarkEnd w:id="417"/>
      <w:bookmarkEnd w:id="418"/>
      <w:bookmarkEnd w:id="419"/>
    </w:p>
    <w:p>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1.5.1 交付期限：</w:t>
      </w:r>
      <w:r>
        <w:rPr>
          <w:rFonts w:hint="eastAsia" w:ascii="仿宋_GB2312" w:hAnsi="楷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1.5.2 交付地点：</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1.5.3 交付方式：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pPr>
        <w:spacing w:line="360" w:lineRule="auto"/>
        <w:ind w:firstLine="482" w:firstLineChars="200"/>
        <w:outlineLvl w:val="0"/>
        <w:rPr>
          <w:rFonts w:hint="eastAsia" w:ascii="仿宋_GB2312" w:hAnsi="楷体" w:eastAsia="仿宋_GB2312"/>
          <w:b/>
          <w:color w:val="auto"/>
          <w:sz w:val="24"/>
          <w:highlight w:val="none"/>
        </w:rPr>
      </w:pPr>
      <w:bookmarkStart w:id="420" w:name="_Toc27250"/>
      <w:bookmarkStart w:id="421" w:name="_Toc21423"/>
      <w:bookmarkStart w:id="422" w:name="_Toc19554"/>
      <w:r>
        <w:rPr>
          <w:rFonts w:hint="eastAsia" w:ascii="仿宋_GB2312" w:hAnsi="楷体" w:eastAsia="仿宋_GB2312"/>
          <w:b/>
          <w:color w:val="auto"/>
          <w:sz w:val="24"/>
          <w:highlight w:val="none"/>
        </w:rPr>
        <w:t>1.6 违约责任</w:t>
      </w:r>
      <w:bookmarkEnd w:id="420"/>
      <w:bookmarkEnd w:id="421"/>
      <w:bookmarkEnd w:id="422"/>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1.6.1 除不可抗力外，如果乙方没有按照本合同约定的期限、地点和方式交付标的物，那么甲方可要求乙方支付违约金，违约金按每迟延交付标的物一日的应交付而未交付标的物价格的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计算，最高限额为本合同总价的</w:t>
      </w:r>
      <w:r>
        <w:rPr>
          <w:rFonts w:hint="eastAsia" w:ascii="仿宋_GB2312" w:hAnsi="楷体" w:eastAsia="仿宋_GB2312"/>
          <w:color w:val="auto"/>
          <w:sz w:val="24"/>
          <w:highlight w:val="none"/>
          <w:u w:val="single"/>
        </w:rPr>
        <w:t xml:space="preserve">  20   </w:t>
      </w:r>
      <w:r>
        <w:rPr>
          <w:rFonts w:hint="eastAsia" w:ascii="仿宋_GB2312" w:hAnsi="楷体" w:eastAsia="仿宋_GB2312"/>
          <w:color w:val="auto"/>
          <w:sz w:val="24"/>
          <w:highlight w:val="none"/>
        </w:rPr>
        <w:t>%；迟延交付标的物的违约金计算数额达到前述最高限额之日起，甲方有权在要求乙方支付违约金的同时，书面通知乙方解除本合同；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计算，最高限额为本合同总价的</w:t>
      </w:r>
      <w:r>
        <w:rPr>
          <w:rFonts w:hint="eastAsia" w:ascii="仿宋_GB2312" w:hAnsi="楷体" w:eastAsia="仿宋_GB2312"/>
          <w:color w:val="auto"/>
          <w:sz w:val="24"/>
          <w:highlight w:val="none"/>
          <w:u w:val="single"/>
        </w:rPr>
        <w:t xml:space="preserve">   20  </w:t>
      </w:r>
      <w:r>
        <w:rPr>
          <w:rFonts w:hint="eastAsia" w:ascii="仿宋_GB2312" w:hAnsi="楷体" w:eastAsia="仿宋_GB2312"/>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outlineLvl w:val="0"/>
        <w:rPr>
          <w:rFonts w:hint="eastAsia" w:ascii="仿宋_GB2312" w:hAnsi="楷体" w:eastAsia="仿宋_GB2312"/>
          <w:b/>
          <w:color w:val="auto"/>
          <w:sz w:val="24"/>
          <w:highlight w:val="none"/>
        </w:rPr>
      </w:pPr>
      <w:bookmarkStart w:id="423" w:name="_Toc28375"/>
      <w:bookmarkStart w:id="424" w:name="_Toc15583"/>
      <w:bookmarkStart w:id="425" w:name="_Toc16021"/>
      <w:r>
        <w:rPr>
          <w:rFonts w:hint="eastAsia" w:ascii="仿宋_GB2312" w:hAnsi="楷体" w:eastAsia="仿宋_GB2312"/>
          <w:b/>
          <w:color w:val="auto"/>
          <w:sz w:val="24"/>
          <w:highlight w:val="none"/>
        </w:rPr>
        <w:t>1.7 合同争议的解决</w:t>
      </w:r>
      <w:bookmarkEnd w:id="423"/>
      <w:bookmarkEnd w:id="424"/>
      <w:bookmarkEnd w:id="425"/>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本合同履行过程中发生的任何争议，双方当事人均可通过和解或者调解解决；不愿和解、调解或者和解、调解不成的，可以选择下列第</w:t>
      </w:r>
      <w:r>
        <w:rPr>
          <w:rFonts w:hint="eastAsia" w:ascii="仿宋_GB2312" w:hAnsi="楷体" w:eastAsia="仿宋_GB2312"/>
          <w:color w:val="auto"/>
          <w:sz w:val="24"/>
          <w:highlight w:val="none"/>
          <w:u w:val="single"/>
        </w:rPr>
        <w:t xml:space="preserve">  1  </w:t>
      </w:r>
      <w:r>
        <w:rPr>
          <w:rFonts w:hint="eastAsia" w:ascii="仿宋_GB2312" w:hAnsi="楷体" w:eastAsia="仿宋_GB2312"/>
          <w:color w:val="auto"/>
          <w:sz w:val="24"/>
          <w:highlight w:val="none"/>
        </w:rPr>
        <w:t>种方式解决：</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1.7.1 将争议提交</w:t>
      </w:r>
      <w:r>
        <w:rPr>
          <w:rFonts w:hint="eastAsia" w:ascii="仿宋_GB2312" w:hAnsi="楷体" w:eastAsia="仿宋_GB2312"/>
          <w:color w:val="auto"/>
          <w:sz w:val="24"/>
          <w:highlight w:val="none"/>
          <w:u w:val="single"/>
        </w:rPr>
        <w:t>杭州市</w:t>
      </w:r>
      <w:r>
        <w:rPr>
          <w:rFonts w:hint="eastAsia" w:ascii="仿宋_GB2312" w:hAnsi="楷体" w:eastAsia="仿宋_GB2312"/>
          <w:color w:val="auto"/>
          <w:sz w:val="24"/>
          <w:highlight w:val="none"/>
        </w:rPr>
        <w:t>仲裁委员会依申请仲裁时其现行有效的仲裁规则裁决；</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1.7.2 向</w:t>
      </w:r>
      <w:r>
        <w:rPr>
          <w:rFonts w:hint="eastAsia" w:ascii="仿宋_GB2312" w:hAnsi="楷体" w:eastAsia="仿宋_GB2312"/>
          <w:color w:val="auto"/>
          <w:sz w:val="24"/>
          <w:highlight w:val="none"/>
          <w:u w:val="single"/>
        </w:rPr>
        <w:t xml:space="preserve">   甲方所在地    </w:t>
      </w:r>
      <w:r>
        <w:rPr>
          <w:rFonts w:hint="eastAsia" w:ascii="仿宋_GB2312" w:hAnsi="楷体" w:eastAsia="仿宋_GB2312"/>
          <w:color w:val="auto"/>
          <w:sz w:val="24"/>
          <w:highlight w:val="none"/>
        </w:rPr>
        <w:t>人民法院起诉。</w:t>
      </w:r>
    </w:p>
    <w:p>
      <w:pPr>
        <w:spacing w:line="360" w:lineRule="auto"/>
        <w:ind w:firstLine="482" w:firstLineChars="200"/>
        <w:outlineLvl w:val="0"/>
        <w:rPr>
          <w:rFonts w:hint="eastAsia" w:ascii="仿宋_GB2312" w:hAnsi="楷体" w:eastAsia="仿宋_GB2312"/>
          <w:b/>
          <w:color w:val="auto"/>
          <w:sz w:val="24"/>
          <w:highlight w:val="none"/>
        </w:rPr>
      </w:pPr>
      <w:bookmarkStart w:id="426" w:name="_Toc7245"/>
      <w:bookmarkStart w:id="427" w:name="_Toc11173"/>
      <w:bookmarkStart w:id="428" w:name="_Toc15322"/>
      <w:r>
        <w:rPr>
          <w:rFonts w:hint="eastAsia" w:ascii="仿宋_GB2312" w:hAnsi="楷体" w:eastAsia="仿宋_GB2312"/>
          <w:b/>
          <w:color w:val="auto"/>
          <w:sz w:val="24"/>
          <w:highlight w:val="none"/>
        </w:rPr>
        <w:t>1.8 合同生效</w:t>
      </w:r>
      <w:bookmarkEnd w:id="426"/>
      <w:bookmarkEnd w:id="427"/>
      <w:bookmarkEnd w:id="428"/>
    </w:p>
    <w:p>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本合同自双方当事人盖章或者签字时生效。</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甲方：                                   乙方：</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统一社会信用代码：                        统一社会信用代码或身份证号码：</w:t>
      </w:r>
    </w:p>
    <w:p>
      <w:pPr>
        <w:autoSpaceDE w:val="0"/>
        <w:autoSpaceDN w:val="0"/>
        <w:spacing w:line="360" w:lineRule="auto"/>
        <w:rPr>
          <w:rFonts w:hint="eastAsia" w:ascii="仿宋_GB2312" w:hAnsi="楷体" w:eastAsia="仿宋_GB2312"/>
          <w:color w:val="auto"/>
          <w:sz w:val="24"/>
          <w:highlight w:val="none"/>
          <w:lang w:val="zh-CN"/>
        </w:rPr>
      </w:pP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住所：                                   住所：</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法定代表人或                             法定代表人</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授权代表（签字）：                       或授权代表（签字）: </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联系人：                                 联系人：</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约定送达地址：                           约定送达地址：</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邮政编码：                               邮政编码：</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电话:                                    电话: </w:t>
      </w:r>
    </w:p>
    <w:p>
      <w:pPr>
        <w:autoSpaceDE w:val="0"/>
        <w:autoSpaceDN w:val="0"/>
        <w:spacing w:line="360" w:lineRule="auto"/>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传真:                                    传真:</w:t>
      </w:r>
    </w:p>
    <w:p>
      <w:pPr>
        <w:autoSpaceDE w:val="0"/>
        <w:autoSpaceDN w:val="0"/>
        <w:spacing w:line="360" w:lineRule="auto"/>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电子邮箱：                               电子邮箱：</w:t>
      </w:r>
    </w:p>
    <w:p>
      <w:pPr>
        <w:autoSpaceDE w:val="0"/>
        <w:autoSpaceDN w:val="0"/>
        <w:spacing w:line="360" w:lineRule="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开户银行：                               开户银行： </w:t>
      </w:r>
    </w:p>
    <w:p>
      <w:pPr>
        <w:autoSpaceDE w:val="0"/>
        <w:autoSpaceDN w:val="0"/>
        <w:spacing w:line="360" w:lineRule="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开户名称：                               开户名称： </w:t>
      </w:r>
    </w:p>
    <w:p>
      <w:pPr>
        <w:autoSpaceDE w:val="0"/>
        <w:autoSpaceDN w:val="0"/>
        <w:spacing w:line="360" w:lineRule="auto"/>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开户账号：</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rPr>
        <w:t>开户账号：</w:t>
      </w:r>
    </w:p>
    <w:p>
      <w:pPr>
        <w:widowControl/>
        <w:adjustRightInd/>
        <w:jc w:val="center"/>
        <w:rPr>
          <w:rFonts w:hint="eastAsia" w:ascii="仿宋_GB2312" w:hAnsi="楷体" w:eastAsia="仿宋_GB2312"/>
          <w:b/>
          <w:color w:val="auto"/>
          <w:sz w:val="28"/>
          <w:szCs w:val="28"/>
          <w:highlight w:val="none"/>
        </w:rPr>
      </w:pPr>
      <w:bookmarkStart w:id="429" w:name="_Toc331685783"/>
      <w:r>
        <w:rPr>
          <w:rFonts w:hint="eastAsia" w:ascii="仿宋_GB2312" w:hAnsi="楷体" w:eastAsia="仿宋_GB2312"/>
          <w:b/>
          <w:color w:val="auto"/>
          <w:highlight w:val="none"/>
        </w:rPr>
        <w:br w:type="page"/>
      </w:r>
      <w:r>
        <w:rPr>
          <w:rFonts w:hint="eastAsia" w:ascii="仿宋_GB2312" w:hAnsi="楷体" w:eastAsia="仿宋_GB2312"/>
          <w:b/>
          <w:color w:val="auto"/>
          <w:sz w:val="28"/>
          <w:szCs w:val="28"/>
          <w:highlight w:val="none"/>
        </w:rPr>
        <w:t>第二部分 合同一般条款</w:t>
      </w:r>
      <w:bookmarkEnd w:id="429"/>
    </w:p>
    <w:p>
      <w:pPr>
        <w:spacing w:line="360" w:lineRule="auto"/>
        <w:ind w:firstLine="482" w:firstLineChars="200"/>
        <w:outlineLvl w:val="0"/>
        <w:rPr>
          <w:rFonts w:hint="eastAsia" w:ascii="仿宋_GB2312" w:hAnsi="楷体" w:eastAsia="仿宋_GB2312"/>
          <w:b/>
          <w:color w:val="auto"/>
          <w:sz w:val="24"/>
          <w:highlight w:val="none"/>
        </w:rPr>
      </w:pPr>
      <w:bookmarkStart w:id="430" w:name="_Toc16917"/>
      <w:bookmarkStart w:id="431" w:name="_Ref467379205"/>
      <w:bookmarkStart w:id="432" w:name="_Ref467379109"/>
      <w:bookmarkStart w:id="433" w:name="_Ref467378404"/>
      <w:bookmarkStart w:id="434" w:name="_Ref467379094"/>
      <w:bookmarkStart w:id="435" w:name="_Toc279701240"/>
      <w:bookmarkStart w:id="436" w:name="_Ref467378463"/>
      <w:bookmarkStart w:id="437" w:name="_Ref467379214"/>
      <w:bookmarkStart w:id="438" w:name="_Toc28763"/>
      <w:bookmarkStart w:id="439" w:name="_Ref467378499"/>
      <w:bookmarkStart w:id="440" w:name="_Ref467379195"/>
      <w:bookmarkStart w:id="441" w:name="_Toc259093669"/>
      <w:bookmarkStart w:id="442" w:name="_Ref467379225"/>
      <w:bookmarkStart w:id="443" w:name="_Toc487900349"/>
      <w:bookmarkStart w:id="444" w:name="_Ref467379101"/>
      <w:bookmarkStart w:id="445" w:name="_Toc19614"/>
      <w:r>
        <w:rPr>
          <w:rFonts w:hint="eastAsia" w:ascii="仿宋_GB2312" w:hAnsi="楷体" w:eastAsia="仿宋_GB2312"/>
          <w:b/>
          <w:color w:val="auto"/>
          <w:sz w:val="24"/>
          <w:highlight w:val="none"/>
        </w:rPr>
        <w:t>2.1 定义</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本合同中的下列词语应按以下内容进行解释：</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 “合同”系指采购人和中标人签订的载明双方当事人所达成的协议，并包括所有的附件、附录和构成合同的其他文件。</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2.1.2 “合同价”系指根据合同约定，中标人在完全履行合同义务后，采购人应支付给中标人的价格。</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hint="eastAsia" w:ascii="仿宋_GB2312" w:hAnsi="楷体" w:eastAsia="仿宋_GB2312"/>
          <w:color w:val="auto"/>
          <w:sz w:val="24"/>
          <w:highlight w:val="none"/>
        </w:rPr>
      </w:pPr>
      <w:bookmarkStart w:id="446" w:name="_Ref467378840"/>
      <w:r>
        <w:rPr>
          <w:rFonts w:hint="eastAsia" w:ascii="仿宋_GB2312" w:hAnsi="楷体" w:eastAsia="仿宋_GB2312"/>
          <w:color w:val="auto"/>
          <w:sz w:val="24"/>
          <w:highlight w:val="none"/>
        </w:rPr>
        <w:t>2.1.4 “甲方”系指与中标人签署合同的采购人</w:t>
      </w:r>
      <w:bookmarkEnd w:id="446"/>
      <w:r>
        <w:rPr>
          <w:rFonts w:hint="eastAsia" w:ascii="仿宋_GB2312" w:hAnsi="楷体" w:eastAsia="仿宋_GB2312"/>
          <w:color w:val="auto"/>
          <w:sz w:val="24"/>
          <w:highlight w:val="none"/>
        </w:rPr>
        <w:t>；采购人委托采购机构代表其与乙方签订合同的，采购人的授权委托书作为合同附件。</w:t>
      </w:r>
    </w:p>
    <w:p>
      <w:pPr>
        <w:spacing w:line="360" w:lineRule="auto"/>
        <w:ind w:firstLine="480" w:firstLineChars="200"/>
        <w:rPr>
          <w:rFonts w:hint="eastAsia" w:ascii="仿宋_GB2312" w:hAnsi="楷体" w:eastAsia="仿宋_GB2312"/>
          <w:color w:val="auto"/>
          <w:sz w:val="24"/>
          <w:highlight w:val="none"/>
        </w:rPr>
      </w:pPr>
      <w:bookmarkStart w:id="447" w:name="_Ref467379400"/>
      <w:r>
        <w:rPr>
          <w:rFonts w:hint="eastAsia" w:ascii="仿宋_GB2312" w:hAnsi="楷体" w:eastAsia="仿宋_GB2312"/>
          <w:color w:val="auto"/>
          <w:sz w:val="24"/>
          <w:highlight w:val="none"/>
        </w:rPr>
        <w:t>2.1.5 “乙方”系指根据合同约定交付标的物的</w:t>
      </w:r>
      <w:bookmarkEnd w:id="447"/>
      <w:r>
        <w:rPr>
          <w:rFonts w:hint="eastAsia" w:ascii="仿宋_GB2312" w:hAnsi="楷体" w:eastAsia="仿宋_GB2312"/>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楷体" w:eastAsia="仿宋_GB2312"/>
          <w:color w:val="auto"/>
          <w:sz w:val="24"/>
          <w:highlight w:val="none"/>
        </w:rPr>
      </w:pPr>
      <w:bookmarkStart w:id="448" w:name="_Ref467379436"/>
      <w:r>
        <w:rPr>
          <w:rFonts w:hint="eastAsia" w:ascii="仿宋_GB2312" w:hAnsi="楷体" w:eastAsia="仿宋_GB2312"/>
          <w:color w:val="auto"/>
          <w:sz w:val="24"/>
          <w:highlight w:val="none"/>
        </w:rPr>
        <w:t>2.1.6 “现场”系指合同约定标的物将要运至或者实施或者安装的地点。</w:t>
      </w:r>
      <w:bookmarkEnd w:id="448"/>
    </w:p>
    <w:p>
      <w:pPr>
        <w:spacing w:line="360" w:lineRule="auto"/>
        <w:ind w:firstLine="482" w:firstLineChars="200"/>
        <w:outlineLvl w:val="0"/>
        <w:rPr>
          <w:rFonts w:hint="eastAsia" w:ascii="仿宋_GB2312" w:hAnsi="楷体" w:eastAsia="仿宋_GB2312"/>
          <w:b/>
          <w:color w:val="auto"/>
          <w:sz w:val="24"/>
          <w:highlight w:val="none"/>
        </w:rPr>
      </w:pPr>
      <w:bookmarkStart w:id="449" w:name="_Toc13336"/>
      <w:bookmarkStart w:id="450" w:name="_Toc259093670"/>
      <w:bookmarkStart w:id="451" w:name="_Toc279701241"/>
      <w:bookmarkStart w:id="452" w:name="_Toc32504"/>
      <w:bookmarkStart w:id="453" w:name="_Toc487900350"/>
      <w:bookmarkStart w:id="454" w:name="_Toc27635"/>
      <w:r>
        <w:rPr>
          <w:rFonts w:hint="eastAsia" w:ascii="仿宋_GB2312" w:hAnsi="楷体" w:eastAsia="仿宋_GB2312"/>
          <w:b/>
          <w:color w:val="auto"/>
          <w:sz w:val="24"/>
          <w:highlight w:val="none"/>
        </w:rPr>
        <w:t>2.2 技术规范</w:t>
      </w:r>
      <w:bookmarkEnd w:id="449"/>
      <w:bookmarkEnd w:id="450"/>
      <w:bookmarkEnd w:id="451"/>
      <w:bookmarkEnd w:id="452"/>
      <w:bookmarkEnd w:id="453"/>
      <w:bookmarkEnd w:id="454"/>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标的物所应遵守的技术规范应与</w:t>
      </w:r>
      <w:r>
        <w:rPr>
          <w:rFonts w:hint="eastAsia" w:ascii="仿宋_GB2312" w:hAnsi="楷体" w:eastAsia="仿宋_GB2312"/>
          <w:color w:val="auto"/>
          <w:sz w:val="24"/>
          <w:highlight w:val="none"/>
          <w:lang w:eastAsia="zh-CN"/>
        </w:rPr>
        <w:t>招标文件</w:t>
      </w:r>
      <w:r>
        <w:rPr>
          <w:rFonts w:hint="eastAsia" w:ascii="仿宋_GB2312" w:hAnsi="楷体" w:eastAsia="仿宋_GB2312"/>
          <w:color w:val="auto"/>
          <w:sz w:val="24"/>
          <w:highlight w:val="none"/>
        </w:rPr>
        <w:t>规定的技术规范和技术规范附件(如果有的话)及其技术规范偏差表(如果被甲方接受的话)相一致；如果</w:t>
      </w:r>
      <w:r>
        <w:rPr>
          <w:rFonts w:hint="eastAsia" w:ascii="仿宋_GB2312" w:hAnsi="楷体" w:eastAsia="仿宋_GB2312"/>
          <w:color w:val="auto"/>
          <w:sz w:val="24"/>
          <w:highlight w:val="none"/>
          <w:lang w:eastAsia="zh-CN"/>
        </w:rPr>
        <w:t>招标文件</w:t>
      </w:r>
      <w:r>
        <w:rPr>
          <w:rFonts w:hint="eastAsia" w:ascii="仿宋_GB2312" w:hAnsi="楷体" w:eastAsia="仿宋_GB2312"/>
          <w:color w:val="auto"/>
          <w:sz w:val="24"/>
          <w:highlight w:val="none"/>
        </w:rPr>
        <w:t>中没有技术规范的相应说明，那么应以国家有关部门最新颁布的相应标准和规范为准。</w:t>
      </w:r>
    </w:p>
    <w:p>
      <w:pPr>
        <w:spacing w:line="360" w:lineRule="auto"/>
        <w:ind w:firstLine="482" w:firstLineChars="200"/>
        <w:outlineLvl w:val="0"/>
        <w:rPr>
          <w:rFonts w:hint="eastAsia" w:ascii="仿宋_GB2312" w:hAnsi="楷体" w:eastAsia="仿宋_GB2312"/>
          <w:b/>
          <w:color w:val="auto"/>
          <w:sz w:val="24"/>
          <w:highlight w:val="none"/>
        </w:rPr>
      </w:pPr>
      <w:bookmarkStart w:id="455" w:name="_Toc259093671"/>
      <w:bookmarkStart w:id="456" w:name="_Toc487900351"/>
      <w:bookmarkStart w:id="457" w:name="_Toc27853"/>
      <w:bookmarkStart w:id="458" w:name="_Toc31634"/>
      <w:bookmarkStart w:id="459" w:name="_Toc279701242"/>
      <w:bookmarkStart w:id="460" w:name="_Toc9829"/>
      <w:r>
        <w:rPr>
          <w:rFonts w:hint="eastAsia" w:ascii="仿宋_GB2312" w:hAnsi="楷体" w:eastAsia="仿宋_GB2312"/>
          <w:b/>
          <w:color w:val="auto"/>
          <w:sz w:val="24"/>
          <w:highlight w:val="none"/>
        </w:rPr>
        <w:t>2.3 知识产权</w:t>
      </w:r>
      <w:bookmarkEnd w:id="455"/>
      <w:bookmarkEnd w:id="456"/>
      <w:bookmarkEnd w:id="457"/>
      <w:bookmarkEnd w:id="458"/>
      <w:bookmarkEnd w:id="459"/>
      <w:bookmarkEnd w:id="460"/>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pPr>
        <w:spacing w:line="360" w:lineRule="auto"/>
        <w:ind w:firstLine="482" w:firstLineChars="200"/>
        <w:outlineLvl w:val="0"/>
        <w:rPr>
          <w:rFonts w:hint="eastAsia" w:ascii="仿宋_GB2312" w:hAnsi="楷体" w:eastAsia="仿宋_GB2312"/>
          <w:b/>
          <w:color w:val="auto"/>
          <w:sz w:val="24"/>
          <w:highlight w:val="none"/>
        </w:rPr>
      </w:pPr>
      <w:bookmarkStart w:id="461" w:name="_Toc11932"/>
      <w:bookmarkStart w:id="462" w:name="_Toc4194"/>
      <w:bookmarkStart w:id="463" w:name="_Toc29149"/>
      <w:r>
        <w:rPr>
          <w:rFonts w:hint="eastAsia" w:ascii="仿宋_GB2312" w:hAnsi="楷体" w:eastAsia="仿宋_GB2312"/>
          <w:b/>
          <w:color w:val="auto"/>
          <w:sz w:val="24"/>
          <w:highlight w:val="none"/>
        </w:rPr>
        <w:t>2.4 包装和装运</w:t>
      </w:r>
      <w:bookmarkEnd w:id="461"/>
      <w:bookmarkEnd w:id="462"/>
      <w:bookmarkEnd w:id="463"/>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2.4.1除</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2.4.2 装运标的物的要求和通知，详见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pPr>
        <w:spacing w:line="360" w:lineRule="auto"/>
        <w:ind w:firstLine="482" w:firstLineChars="200"/>
        <w:outlineLvl w:val="0"/>
        <w:rPr>
          <w:rFonts w:hint="eastAsia" w:ascii="仿宋_GB2312" w:hAnsi="楷体" w:eastAsia="仿宋_GB2312"/>
          <w:b/>
          <w:color w:val="auto"/>
          <w:sz w:val="24"/>
          <w:highlight w:val="none"/>
        </w:rPr>
      </w:pPr>
      <w:bookmarkStart w:id="464" w:name="_Toc279701245"/>
      <w:bookmarkStart w:id="465" w:name="_Ref467379527"/>
      <w:bookmarkStart w:id="466" w:name="_Toc259093674"/>
      <w:bookmarkStart w:id="467" w:name="_Ref467379536"/>
      <w:bookmarkStart w:id="468" w:name="_Ref467379542"/>
      <w:bookmarkStart w:id="469" w:name="_Ref467378541"/>
      <w:bookmarkStart w:id="470" w:name="_Toc487900354"/>
      <w:bookmarkStart w:id="471" w:name="_Ref467378591"/>
      <w:bookmarkStart w:id="472" w:name="_Toc19074"/>
      <w:bookmarkStart w:id="473" w:name="_Toc26182"/>
      <w:bookmarkStart w:id="474" w:name="_Toc30272"/>
      <w:r>
        <w:rPr>
          <w:rFonts w:hint="eastAsia" w:ascii="仿宋_GB2312" w:hAnsi="楷体" w:eastAsia="仿宋_GB2312"/>
          <w:b/>
          <w:color w:val="auto"/>
          <w:sz w:val="24"/>
          <w:highlight w:val="none"/>
        </w:rPr>
        <w:t>2.</w:t>
      </w:r>
      <w:bookmarkEnd w:id="464"/>
      <w:bookmarkEnd w:id="465"/>
      <w:bookmarkEnd w:id="466"/>
      <w:bookmarkEnd w:id="467"/>
      <w:bookmarkEnd w:id="468"/>
      <w:bookmarkEnd w:id="469"/>
      <w:bookmarkEnd w:id="470"/>
      <w:bookmarkEnd w:id="471"/>
      <w:r>
        <w:rPr>
          <w:rFonts w:hint="eastAsia" w:ascii="仿宋_GB2312" w:hAnsi="楷体" w:eastAsia="仿宋_GB2312"/>
          <w:b/>
          <w:color w:val="auto"/>
          <w:sz w:val="24"/>
          <w:highlight w:val="none"/>
        </w:rPr>
        <w:t>5 履约检查和问题反馈</w:t>
      </w:r>
      <w:bookmarkEnd w:id="472"/>
      <w:bookmarkEnd w:id="473"/>
      <w:bookmarkEnd w:id="474"/>
    </w:p>
    <w:p>
      <w:pPr>
        <w:spacing w:line="360" w:lineRule="auto"/>
        <w:ind w:firstLine="480" w:firstLineChars="200"/>
        <w:rPr>
          <w:rFonts w:hint="eastAsia" w:ascii="仿宋_GB2312" w:hAnsi="楷体" w:eastAsia="仿宋_GB2312"/>
          <w:color w:val="auto"/>
          <w:sz w:val="24"/>
          <w:highlight w:val="none"/>
        </w:rPr>
      </w:pPr>
      <w:bookmarkStart w:id="475" w:name="_Ref467379657"/>
      <w:r>
        <w:rPr>
          <w:rFonts w:hint="eastAsia" w:ascii="仿宋_GB2312" w:hAnsi="楷体" w:eastAsia="仿宋_GB2312"/>
          <w:color w:val="auto"/>
          <w:sz w:val="24"/>
          <w:highlight w:val="none"/>
        </w:rPr>
        <w:t>2.5.1</w:t>
      </w:r>
      <w:bookmarkEnd w:id="475"/>
      <w:bookmarkStart w:id="476" w:name="_Toc186431854"/>
      <w:bookmarkStart w:id="477" w:name="_Ref467379793"/>
      <w:bookmarkStart w:id="478" w:name="_Toc487900357"/>
      <w:bookmarkStart w:id="479" w:name="_Toc279701247"/>
      <w:bookmarkStart w:id="480" w:name="_Toc259093676"/>
      <w:bookmarkStart w:id="481" w:name="_Ref467379807"/>
      <w:r>
        <w:rPr>
          <w:rFonts w:hint="eastAsia" w:ascii="仿宋_GB2312" w:hAnsi="楷体" w:eastAsia="仿宋_GB2312"/>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2.5.2 合同履行期间，甲方有权将履行过程中出现的问题反馈给乙方，双方当事人应以书面形式约定需要完善和改进的内容</w:t>
      </w:r>
      <w:bookmarkEnd w:id="476"/>
      <w:bookmarkStart w:id="482" w:name="_Toc186431855"/>
      <w:r>
        <w:rPr>
          <w:rFonts w:hint="eastAsia" w:ascii="仿宋_GB2312" w:hAnsi="楷体" w:eastAsia="仿宋_GB2312"/>
          <w:color w:val="auto"/>
          <w:sz w:val="24"/>
          <w:highlight w:val="none"/>
        </w:rPr>
        <w:t>。</w:t>
      </w:r>
    </w:p>
    <w:bookmarkEnd w:id="482"/>
    <w:p>
      <w:pPr>
        <w:spacing w:line="360" w:lineRule="auto"/>
        <w:ind w:firstLine="482" w:firstLineChars="200"/>
        <w:outlineLvl w:val="0"/>
        <w:rPr>
          <w:rFonts w:hint="eastAsia" w:ascii="仿宋_GB2312" w:hAnsi="楷体" w:eastAsia="仿宋_GB2312"/>
          <w:b/>
          <w:color w:val="auto"/>
          <w:sz w:val="24"/>
          <w:highlight w:val="none"/>
        </w:rPr>
      </w:pPr>
      <w:bookmarkStart w:id="483" w:name="_Toc7836"/>
      <w:bookmarkStart w:id="484" w:name="_Toc19219"/>
      <w:bookmarkStart w:id="485" w:name="_Toc28451"/>
      <w:r>
        <w:rPr>
          <w:rFonts w:hint="eastAsia" w:ascii="仿宋_GB2312" w:hAnsi="楷体" w:eastAsia="仿宋_GB2312"/>
          <w:b/>
          <w:color w:val="auto"/>
          <w:sz w:val="24"/>
          <w:highlight w:val="none"/>
        </w:rPr>
        <w:t>2.6 结算方式和付款条件</w:t>
      </w:r>
      <w:bookmarkEnd w:id="477"/>
      <w:bookmarkEnd w:id="478"/>
      <w:bookmarkEnd w:id="479"/>
      <w:bookmarkEnd w:id="480"/>
      <w:bookmarkEnd w:id="481"/>
      <w:bookmarkEnd w:id="483"/>
      <w:bookmarkEnd w:id="484"/>
      <w:bookmarkEnd w:id="485"/>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pPr>
        <w:spacing w:line="360" w:lineRule="auto"/>
        <w:ind w:firstLine="482" w:firstLineChars="200"/>
        <w:outlineLvl w:val="0"/>
        <w:rPr>
          <w:rFonts w:hint="eastAsia" w:ascii="仿宋_GB2312" w:hAnsi="楷体" w:eastAsia="仿宋_GB2312"/>
          <w:b/>
          <w:color w:val="auto"/>
          <w:sz w:val="24"/>
          <w:highlight w:val="none"/>
        </w:rPr>
      </w:pPr>
      <w:bookmarkStart w:id="486" w:name="_Toc259093677"/>
      <w:bookmarkStart w:id="487" w:name="_Ref467379923"/>
      <w:bookmarkStart w:id="488" w:name="_Ref467379863"/>
      <w:bookmarkStart w:id="489" w:name="_Toc487900358"/>
      <w:bookmarkStart w:id="490" w:name="_Toc279701248"/>
      <w:bookmarkStart w:id="491" w:name="_Ref467379852"/>
      <w:bookmarkStart w:id="492" w:name="_Toc774"/>
      <w:bookmarkStart w:id="493" w:name="_Toc16110"/>
      <w:bookmarkStart w:id="494" w:name="_Toc3225"/>
      <w:r>
        <w:rPr>
          <w:rFonts w:hint="eastAsia" w:ascii="仿宋_GB2312" w:hAnsi="楷体" w:eastAsia="仿宋_GB2312"/>
          <w:b/>
          <w:color w:val="auto"/>
          <w:sz w:val="24"/>
          <w:highlight w:val="none"/>
        </w:rPr>
        <w:t>2.7 技术资料</w:t>
      </w:r>
      <w:bookmarkEnd w:id="486"/>
      <w:bookmarkEnd w:id="487"/>
      <w:bookmarkEnd w:id="488"/>
      <w:bookmarkEnd w:id="489"/>
      <w:bookmarkEnd w:id="490"/>
      <w:bookmarkEnd w:id="491"/>
      <w:r>
        <w:rPr>
          <w:rFonts w:hint="eastAsia" w:ascii="仿宋_GB2312" w:hAnsi="楷体" w:eastAsia="仿宋_GB2312"/>
          <w:b/>
          <w:color w:val="auto"/>
          <w:sz w:val="24"/>
          <w:highlight w:val="none"/>
        </w:rPr>
        <w:t>和保密义务</w:t>
      </w:r>
      <w:bookmarkEnd w:id="492"/>
      <w:bookmarkEnd w:id="493"/>
      <w:bookmarkEnd w:id="494"/>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2.7.1 乙方有权依据合同约定和项目需要，向甲方了解有关情况，调阅有关资料等，甲方应予积极配合；</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2.7.2 乙方有义务妥善保管和保护由甲方提供的前款信息和资料等；</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outlineLvl w:val="0"/>
        <w:rPr>
          <w:rFonts w:hint="eastAsia" w:ascii="仿宋_GB2312" w:hAnsi="楷体" w:eastAsia="仿宋_GB2312"/>
          <w:b/>
          <w:color w:val="auto"/>
          <w:sz w:val="24"/>
          <w:highlight w:val="none"/>
        </w:rPr>
      </w:pPr>
      <w:bookmarkStart w:id="495" w:name="_Toc7860"/>
      <w:r>
        <w:rPr>
          <w:rFonts w:hint="eastAsia" w:ascii="仿宋_GB2312" w:hAnsi="楷体" w:eastAsia="仿宋_GB2312"/>
          <w:b/>
          <w:color w:val="auto"/>
          <w:sz w:val="24"/>
          <w:highlight w:val="none"/>
        </w:rPr>
        <w:t>2.8 质量保证</w:t>
      </w:r>
      <w:bookmarkEnd w:id="495"/>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2.8.1 乙方应建立和完善履行合同的内部质量保证体系，并提供相关内部规章制度给甲方，以便甲方进行监督检查；</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hint="eastAsia" w:ascii="仿宋_GB2312" w:hAnsi="仿宋" w:eastAsia="仿宋_GB2312" w:cs="仿宋_GB2312"/>
          <w:color w:val="auto"/>
          <w:kern w:val="0"/>
          <w:sz w:val="24"/>
          <w:highlight w:val="none"/>
        </w:rPr>
      </w:pPr>
      <w:r>
        <w:rPr>
          <w:rFonts w:hint="eastAsia" w:ascii="仿宋_GB2312" w:hAnsi="仿宋" w:eastAsia="仿宋_GB2312"/>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color w:val="auto"/>
          <w:kern w:val="0"/>
          <w:sz w:val="24"/>
          <w:highlight w:val="none"/>
        </w:rPr>
        <w:t>甲方有权放弃或终止合同，并没收履约保证金。</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仿宋" w:eastAsia="仿宋_GB2312"/>
          <w:color w:val="auto"/>
          <w:sz w:val="24"/>
          <w:highlight w:val="none"/>
        </w:rPr>
        <w:t>2.8.4因乙方原因造成甲方其他系统不能正常运行，酿成重大事故（工作日系统中断一天以上）的，乙方应承担全部法律责任，并赔偿经济损失，赔偿金额为项目总价的30%。</w:t>
      </w:r>
    </w:p>
    <w:p>
      <w:pPr>
        <w:spacing w:line="360" w:lineRule="auto"/>
        <w:ind w:firstLine="482" w:firstLineChars="200"/>
        <w:outlineLvl w:val="0"/>
        <w:rPr>
          <w:rFonts w:hint="eastAsia" w:ascii="仿宋_GB2312" w:hAnsi="楷体" w:eastAsia="仿宋_GB2312"/>
          <w:b/>
          <w:color w:val="auto"/>
          <w:sz w:val="24"/>
          <w:highlight w:val="none"/>
        </w:rPr>
      </w:pPr>
      <w:bookmarkStart w:id="496" w:name="_Toc17244"/>
      <w:bookmarkStart w:id="497" w:name="_Toc259093681"/>
      <w:bookmarkStart w:id="498" w:name="_Toc487900362"/>
      <w:bookmarkStart w:id="499" w:name="_Toc279701252"/>
      <w:r>
        <w:rPr>
          <w:rFonts w:hint="eastAsia" w:ascii="仿宋_GB2312" w:hAnsi="楷体" w:eastAsia="仿宋_GB2312"/>
          <w:b/>
          <w:color w:val="auto"/>
          <w:sz w:val="24"/>
          <w:highlight w:val="none"/>
        </w:rPr>
        <w:t>2.9 标的物的风险负担</w:t>
      </w:r>
      <w:bookmarkEnd w:id="496"/>
    </w:p>
    <w:p>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pPr>
        <w:spacing w:line="360" w:lineRule="auto"/>
        <w:ind w:firstLine="482" w:firstLineChars="200"/>
        <w:outlineLvl w:val="0"/>
        <w:rPr>
          <w:rFonts w:hint="eastAsia" w:ascii="仿宋_GB2312" w:hAnsi="楷体" w:eastAsia="仿宋_GB2312"/>
          <w:b/>
          <w:color w:val="auto"/>
          <w:sz w:val="24"/>
          <w:highlight w:val="none"/>
        </w:rPr>
      </w:pPr>
      <w:bookmarkStart w:id="500" w:name="_Toc14055"/>
      <w:r>
        <w:rPr>
          <w:rFonts w:hint="eastAsia" w:ascii="仿宋_GB2312" w:hAnsi="楷体" w:eastAsia="仿宋_GB2312"/>
          <w:b/>
          <w:color w:val="auto"/>
          <w:sz w:val="24"/>
          <w:highlight w:val="none"/>
        </w:rPr>
        <w:t>2.10 延迟交货</w:t>
      </w:r>
      <w:bookmarkEnd w:id="497"/>
      <w:bookmarkEnd w:id="498"/>
      <w:bookmarkEnd w:id="499"/>
      <w:bookmarkEnd w:id="500"/>
      <w:r>
        <w:rPr>
          <w:rFonts w:hint="eastAsia" w:ascii="仿宋_GB2312" w:hAnsi="楷体" w:eastAsia="仿宋_GB2312"/>
          <w:b/>
          <w:color w:val="auto"/>
          <w:sz w:val="24"/>
          <w:highlight w:val="none"/>
        </w:rPr>
        <w:t>/交付</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hint="eastAsia" w:ascii="仿宋_GB2312" w:hAnsi="楷体" w:eastAsia="仿宋_GB2312"/>
          <w:b/>
          <w:color w:val="auto"/>
          <w:sz w:val="24"/>
          <w:highlight w:val="none"/>
        </w:rPr>
      </w:pPr>
      <w:bookmarkStart w:id="501" w:name="_Toc7502"/>
      <w:bookmarkStart w:id="502" w:name="_Ref467378121"/>
      <w:bookmarkStart w:id="503" w:name="_Toc487900364"/>
      <w:bookmarkStart w:id="504" w:name="_Toc279701254"/>
      <w:bookmarkStart w:id="505" w:name="_Toc259093683"/>
      <w:r>
        <w:rPr>
          <w:rFonts w:hint="eastAsia" w:ascii="仿宋_GB2312" w:hAnsi="楷体" w:eastAsia="仿宋_GB2312"/>
          <w:b/>
          <w:color w:val="auto"/>
          <w:sz w:val="24"/>
          <w:highlight w:val="none"/>
        </w:rPr>
        <w:t>2.11 合同变更</w:t>
      </w:r>
      <w:bookmarkEnd w:id="501"/>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2.11.1双方当事人协商一致，可以签订书面补充合同的形式变更合同，但不得违背</w:t>
      </w:r>
      <w:r>
        <w:rPr>
          <w:rFonts w:hint="eastAsia" w:ascii="仿宋_GB2312" w:hAnsi="楷体" w:eastAsia="仿宋_GB2312"/>
          <w:color w:val="auto"/>
          <w:sz w:val="24"/>
          <w:highlight w:val="none"/>
          <w:lang w:eastAsia="zh-CN"/>
        </w:rPr>
        <w:t>招标文件</w:t>
      </w:r>
      <w:r>
        <w:rPr>
          <w:rFonts w:hint="eastAsia" w:ascii="仿宋_GB2312" w:hAnsi="楷体" w:eastAsia="仿宋_GB2312"/>
          <w:color w:val="auto"/>
          <w:sz w:val="24"/>
          <w:highlight w:val="none"/>
        </w:rPr>
        <w:t>确定的事项。如果系追加与合同标的相同的标的物的，那么需经采购监督管理部门同意，且所有补充合同的采购金额不得超过原合同价的10%；</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506" w:name="_Toc259093688"/>
      <w:bookmarkStart w:id="507" w:name="_Toc487900369"/>
      <w:bookmarkStart w:id="508" w:name="_Toc279701259"/>
    </w:p>
    <w:p>
      <w:pPr>
        <w:spacing w:line="360" w:lineRule="auto"/>
        <w:ind w:firstLine="482" w:firstLineChars="200"/>
        <w:outlineLvl w:val="0"/>
        <w:rPr>
          <w:rFonts w:hint="eastAsia" w:ascii="仿宋_GB2312" w:hAnsi="楷体" w:eastAsia="仿宋_GB2312"/>
          <w:b/>
          <w:color w:val="auto"/>
          <w:sz w:val="24"/>
          <w:highlight w:val="none"/>
        </w:rPr>
      </w:pPr>
      <w:bookmarkStart w:id="509" w:name="_Toc15237"/>
      <w:bookmarkStart w:id="510" w:name="_Toc10366"/>
      <w:bookmarkStart w:id="511" w:name="_Toc22955"/>
      <w:r>
        <w:rPr>
          <w:rFonts w:hint="eastAsia" w:ascii="仿宋_GB2312" w:hAnsi="楷体" w:eastAsia="仿宋_GB2312"/>
          <w:b/>
          <w:color w:val="auto"/>
          <w:sz w:val="24"/>
          <w:highlight w:val="none"/>
        </w:rPr>
        <w:t>2.12 合同转让</w:t>
      </w:r>
      <w:bookmarkEnd w:id="506"/>
      <w:bookmarkEnd w:id="507"/>
      <w:bookmarkEnd w:id="508"/>
      <w:r>
        <w:rPr>
          <w:rFonts w:hint="eastAsia" w:ascii="仿宋_GB2312" w:hAnsi="楷体" w:eastAsia="仿宋_GB2312"/>
          <w:b/>
          <w:color w:val="auto"/>
          <w:sz w:val="24"/>
          <w:highlight w:val="none"/>
        </w:rPr>
        <w:t>和分包</w:t>
      </w:r>
      <w:bookmarkEnd w:id="509"/>
      <w:bookmarkEnd w:id="510"/>
      <w:bookmarkEnd w:id="511"/>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outlineLvl w:val="0"/>
        <w:rPr>
          <w:rFonts w:hint="eastAsia" w:ascii="仿宋_GB2312" w:hAnsi="楷体" w:eastAsia="仿宋_GB2312"/>
          <w:b/>
          <w:color w:val="auto"/>
          <w:sz w:val="24"/>
          <w:highlight w:val="none"/>
        </w:rPr>
      </w:pPr>
      <w:bookmarkStart w:id="512" w:name="_Toc14066"/>
      <w:bookmarkStart w:id="513" w:name="_Toc13566"/>
      <w:bookmarkStart w:id="514" w:name="_Toc16508"/>
      <w:r>
        <w:rPr>
          <w:rFonts w:hint="eastAsia" w:ascii="仿宋_GB2312" w:hAnsi="楷体" w:eastAsia="仿宋_GB2312"/>
          <w:b/>
          <w:color w:val="auto"/>
          <w:sz w:val="24"/>
          <w:highlight w:val="none"/>
        </w:rPr>
        <w:t>2.13 不可抗力</w:t>
      </w:r>
      <w:bookmarkEnd w:id="512"/>
      <w:bookmarkEnd w:id="513"/>
      <w:bookmarkEnd w:id="514"/>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约定时间内以书面形式通知对方当事人，并在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约定时间内，将有关部门出具的证明文件送达对方当事人。</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2.13.3 因不可抗力致使不能实现合同目的的，当事人可以解除合同；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2.13.4 因不可抗力致使合同有变更必要的，双方当事人应在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约定时间内以书面形式变更合同；</w:t>
      </w:r>
    </w:p>
    <w:p>
      <w:pPr>
        <w:spacing w:line="360" w:lineRule="auto"/>
        <w:ind w:firstLine="482" w:firstLineChars="200"/>
        <w:outlineLvl w:val="0"/>
        <w:rPr>
          <w:rFonts w:hint="eastAsia" w:ascii="仿宋_GB2312" w:hAnsi="楷体" w:eastAsia="仿宋_GB2312"/>
          <w:b/>
          <w:color w:val="auto"/>
          <w:sz w:val="24"/>
          <w:highlight w:val="none"/>
        </w:rPr>
      </w:pPr>
      <w:bookmarkStart w:id="515" w:name="_Toc487900365"/>
      <w:bookmarkStart w:id="516" w:name="_Toc30676"/>
      <w:bookmarkStart w:id="517" w:name="_Toc259093684"/>
      <w:bookmarkStart w:id="518" w:name="_Toc6969"/>
      <w:bookmarkStart w:id="519" w:name="_Toc279701255"/>
      <w:bookmarkStart w:id="520" w:name="_Toc689"/>
      <w:r>
        <w:rPr>
          <w:rFonts w:hint="eastAsia" w:ascii="仿宋_GB2312" w:hAnsi="楷体" w:eastAsia="仿宋_GB2312"/>
          <w:b/>
          <w:color w:val="auto"/>
          <w:sz w:val="24"/>
          <w:highlight w:val="none"/>
        </w:rPr>
        <w:t>2.14 税费</w:t>
      </w:r>
      <w:bookmarkEnd w:id="515"/>
      <w:bookmarkEnd w:id="516"/>
      <w:bookmarkEnd w:id="517"/>
      <w:bookmarkEnd w:id="518"/>
      <w:bookmarkEnd w:id="519"/>
      <w:bookmarkEnd w:id="520"/>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与合同有关的一切税费，均按照中华人民共和国法律的相关规定执行。</w:t>
      </w:r>
    </w:p>
    <w:p>
      <w:pPr>
        <w:spacing w:line="360" w:lineRule="auto"/>
        <w:ind w:firstLine="482" w:firstLineChars="200"/>
        <w:outlineLvl w:val="0"/>
        <w:rPr>
          <w:rFonts w:hint="eastAsia" w:ascii="仿宋_GB2312" w:hAnsi="楷体" w:eastAsia="仿宋_GB2312"/>
          <w:b/>
          <w:color w:val="auto"/>
          <w:sz w:val="24"/>
          <w:highlight w:val="none"/>
        </w:rPr>
      </w:pPr>
      <w:bookmarkStart w:id="521" w:name="_Toc487900368"/>
      <w:bookmarkStart w:id="522" w:name="_Toc16959"/>
      <w:bookmarkStart w:id="523" w:name="_Toc8298"/>
      <w:bookmarkStart w:id="524" w:name="_Toc259093687"/>
      <w:bookmarkStart w:id="525" w:name="_Toc279701258"/>
      <w:bookmarkStart w:id="526" w:name="_Toc7102"/>
      <w:r>
        <w:rPr>
          <w:rFonts w:hint="eastAsia" w:ascii="仿宋_GB2312" w:hAnsi="楷体" w:eastAsia="仿宋_GB2312"/>
          <w:b/>
          <w:color w:val="auto"/>
          <w:sz w:val="24"/>
          <w:highlight w:val="none"/>
        </w:rPr>
        <w:t>2.15 乙方破产</w:t>
      </w:r>
      <w:bookmarkEnd w:id="521"/>
      <w:bookmarkEnd w:id="522"/>
      <w:bookmarkEnd w:id="523"/>
      <w:bookmarkEnd w:id="524"/>
      <w:bookmarkEnd w:id="525"/>
      <w:bookmarkEnd w:id="526"/>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仿宋_GB2312" w:hAnsi="楷体" w:eastAsia="仿宋_GB2312"/>
          <w:b/>
          <w:color w:val="auto"/>
          <w:sz w:val="24"/>
          <w:highlight w:val="none"/>
        </w:rPr>
      </w:pPr>
      <w:bookmarkStart w:id="527" w:name="_Toc15387"/>
      <w:bookmarkStart w:id="528" w:name="_Toc29333"/>
      <w:bookmarkStart w:id="529" w:name="_Toc6134"/>
      <w:r>
        <w:rPr>
          <w:rFonts w:hint="eastAsia" w:ascii="仿宋_GB2312" w:hAnsi="楷体" w:eastAsia="仿宋_GB2312"/>
          <w:b/>
          <w:color w:val="auto"/>
          <w:sz w:val="24"/>
          <w:highlight w:val="none"/>
        </w:rPr>
        <w:t>2.16 合同中止、终止</w:t>
      </w:r>
      <w:bookmarkEnd w:id="527"/>
      <w:bookmarkEnd w:id="528"/>
      <w:bookmarkEnd w:id="529"/>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2.16.1 双方当事人不得擅自中止或者终止合同；</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仿宋_GB2312" w:hAnsi="楷体" w:eastAsia="仿宋_GB2312"/>
          <w:b/>
          <w:color w:val="auto"/>
          <w:sz w:val="24"/>
          <w:highlight w:val="none"/>
        </w:rPr>
      </w:pPr>
      <w:bookmarkStart w:id="530" w:name="_Toc6596"/>
      <w:bookmarkStart w:id="531" w:name="_Toc1125"/>
      <w:bookmarkStart w:id="532" w:name="_Toc14563"/>
      <w:r>
        <w:rPr>
          <w:rFonts w:hint="eastAsia" w:ascii="仿宋_GB2312" w:hAnsi="楷体" w:eastAsia="仿宋_GB2312"/>
          <w:b/>
          <w:color w:val="auto"/>
          <w:sz w:val="24"/>
          <w:highlight w:val="none"/>
        </w:rPr>
        <w:t>2.17 检验和验收</w:t>
      </w:r>
      <w:bookmarkEnd w:id="530"/>
      <w:bookmarkEnd w:id="531"/>
      <w:bookmarkEnd w:id="532"/>
    </w:p>
    <w:p>
      <w:pPr>
        <w:tabs>
          <w:tab w:val="left" w:pos="360"/>
          <w:tab w:val="left" w:pos="540"/>
          <w:tab w:val="left" w:pos="1080"/>
        </w:tabs>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约定时间内组织验收，并可依法邀请相关方参加，验收应出具验收书。</w:t>
      </w:r>
    </w:p>
    <w:p>
      <w:pPr>
        <w:tabs>
          <w:tab w:val="left" w:pos="360"/>
          <w:tab w:val="left" w:pos="540"/>
          <w:tab w:val="left" w:pos="1080"/>
        </w:tabs>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i/>
          <w:color w:val="auto"/>
          <w:sz w:val="24"/>
          <w:highlight w:val="none"/>
        </w:rPr>
        <w:t>。</w:t>
      </w:r>
    </w:p>
    <w:bookmarkEnd w:id="502"/>
    <w:bookmarkEnd w:id="503"/>
    <w:bookmarkEnd w:id="504"/>
    <w:bookmarkEnd w:id="505"/>
    <w:p>
      <w:pPr>
        <w:spacing w:line="360" w:lineRule="auto"/>
        <w:ind w:firstLine="482" w:firstLineChars="200"/>
        <w:outlineLvl w:val="0"/>
        <w:rPr>
          <w:rFonts w:hint="eastAsia" w:ascii="仿宋_GB2312" w:hAnsi="楷体" w:eastAsia="仿宋_GB2312"/>
          <w:b/>
          <w:color w:val="auto"/>
          <w:sz w:val="24"/>
          <w:highlight w:val="none"/>
        </w:rPr>
      </w:pPr>
      <w:bookmarkStart w:id="533" w:name="_Toc259093690"/>
      <w:bookmarkStart w:id="534" w:name="_Toc487900371"/>
      <w:bookmarkStart w:id="535" w:name="_Toc279701261"/>
      <w:bookmarkStart w:id="536" w:name="_Toc11284"/>
      <w:bookmarkStart w:id="537" w:name="_Toc19604"/>
      <w:bookmarkStart w:id="538" w:name="_Toc25182"/>
      <w:r>
        <w:rPr>
          <w:rFonts w:hint="eastAsia" w:ascii="仿宋_GB2312" w:hAnsi="楷体" w:eastAsia="仿宋_GB2312"/>
          <w:b/>
          <w:color w:val="auto"/>
          <w:sz w:val="24"/>
          <w:highlight w:val="none"/>
        </w:rPr>
        <w:t>2.18 通知</w:t>
      </w:r>
      <w:bookmarkEnd w:id="533"/>
      <w:bookmarkEnd w:id="534"/>
      <w:bookmarkEnd w:id="535"/>
      <w:r>
        <w:rPr>
          <w:rFonts w:hint="eastAsia" w:ascii="仿宋_GB2312" w:hAnsi="楷体" w:eastAsia="仿宋_GB2312"/>
          <w:b/>
          <w:color w:val="auto"/>
          <w:sz w:val="24"/>
          <w:highlight w:val="none"/>
        </w:rPr>
        <w:t>和送达</w:t>
      </w:r>
      <w:bookmarkEnd w:id="536"/>
      <w:bookmarkEnd w:id="537"/>
      <w:bookmarkEnd w:id="538"/>
    </w:p>
    <w:p>
      <w:pPr>
        <w:spacing w:line="360" w:lineRule="auto"/>
        <w:ind w:firstLine="480" w:firstLineChars="200"/>
        <w:rPr>
          <w:rFonts w:hint="eastAsia" w:ascii="仿宋_GB2312" w:hAnsi="楷体" w:eastAsia="仿宋_GB2312"/>
          <w:color w:val="auto"/>
          <w:sz w:val="24"/>
          <w:highlight w:val="none"/>
        </w:rPr>
      </w:pPr>
      <w:bookmarkStart w:id="539" w:name="_Toc3135"/>
      <w:bookmarkStart w:id="540" w:name="_Toc6698"/>
      <w:bookmarkStart w:id="541" w:name="_Toc487900372"/>
      <w:bookmarkStart w:id="542" w:name="_Toc259093691"/>
      <w:bookmarkStart w:id="543" w:name="_Toc279701262"/>
      <w:r>
        <w:rPr>
          <w:rFonts w:hint="eastAsia" w:ascii="仿宋_GB2312" w:hAnsi="楷体" w:eastAsia="仿宋_GB2312"/>
          <w:color w:val="auto"/>
          <w:sz w:val="24"/>
          <w:highlight w:val="none"/>
        </w:rPr>
        <w:t>2.18.1 任何一方因履行合同而以合同第一部分尾部所列明的</w:t>
      </w:r>
      <w:r>
        <w:rPr>
          <w:rFonts w:hint="eastAsia" w:ascii="仿宋_GB2312" w:hAnsi="楷体" w:eastAsia="仿宋_GB2312"/>
          <w:color w:val="auto"/>
          <w:sz w:val="24"/>
          <w:highlight w:val="none"/>
          <w:u w:val="single"/>
        </w:rPr>
        <w:t>“约定送达地址”</w:t>
      </w:r>
      <w:r>
        <w:rPr>
          <w:rFonts w:hint="eastAsia" w:ascii="仿宋_GB2312" w:hAnsi="楷体" w:eastAsia="仿宋_GB2312"/>
          <w:color w:val="auto"/>
          <w:sz w:val="24"/>
          <w:highlight w:val="none"/>
        </w:rPr>
        <w:t>为收件地址的所有通知、文件、材料，均视为已向对方当事人送达；任何一方变更上述送达方式或者地址的，应于</w:t>
      </w:r>
      <w:r>
        <w:rPr>
          <w:rFonts w:hint="eastAsia" w:ascii="仿宋_GB2312" w:hAnsi="楷体" w:eastAsia="仿宋_GB2312"/>
          <w:color w:val="auto"/>
          <w:sz w:val="24"/>
          <w:highlight w:val="none"/>
          <w:u w:val="single"/>
        </w:rPr>
        <w:t xml:space="preserve">  5 </w:t>
      </w:r>
      <w:r>
        <w:rPr>
          <w:rFonts w:hint="eastAsia" w:ascii="仿宋_GB2312" w:hAnsi="楷体" w:eastAsia="仿宋_GB2312"/>
          <w:color w:val="auto"/>
          <w:sz w:val="24"/>
          <w:highlight w:val="none"/>
        </w:rPr>
        <w:t>个工作日内书面通知对方当事人，在对方当事人收到有关变更通知之前，变更前的约定送达方式或者地址仍视为有效。</w:t>
      </w:r>
      <w:bookmarkEnd w:id="539"/>
      <w:bookmarkEnd w:id="540"/>
    </w:p>
    <w:p>
      <w:pPr>
        <w:spacing w:line="360" w:lineRule="auto"/>
        <w:ind w:firstLine="480" w:firstLineChars="200"/>
        <w:rPr>
          <w:rFonts w:hint="eastAsia" w:ascii="仿宋_GB2312" w:hAnsi="楷体" w:eastAsia="仿宋_GB2312"/>
          <w:color w:val="auto"/>
          <w:sz w:val="24"/>
          <w:highlight w:val="none"/>
        </w:rPr>
      </w:pPr>
      <w:bookmarkStart w:id="544" w:name="_Toc23294"/>
      <w:bookmarkStart w:id="545" w:name="_Toc23128"/>
      <w:r>
        <w:rPr>
          <w:rFonts w:hint="eastAsia" w:ascii="仿宋_GB2312" w:hAnsi="楷体" w:eastAsia="仿宋_GB2312"/>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4"/>
      <w:bookmarkEnd w:id="545"/>
    </w:p>
    <w:p>
      <w:pPr>
        <w:spacing w:line="360" w:lineRule="auto"/>
        <w:ind w:firstLine="482" w:firstLineChars="200"/>
        <w:outlineLvl w:val="0"/>
        <w:rPr>
          <w:rFonts w:hint="eastAsia" w:ascii="仿宋_GB2312" w:hAnsi="楷体" w:eastAsia="仿宋_GB2312"/>
          <w:b/>
          <w:color w:val="auto"/>
          <w:sz w:val="24"/>
          <w:highlight w:val="none"/>
        </w:rPr>
      </w:pPr>
      <w:bookmarkStart w:id="546" w:name="_Toc4355"/>
      <w:bookmarkStart w:id="547" w:name="_Toc30599"/>
      <w:bookmarkStart w:id="548" w:name="_Toc18540"/>
      <w:r>
        <w:rPr>
          <w:rFonts w:hint="eastAsia" w:ascii="仿宋_GB2312" w:hAnsi="楷体" w:eastAsia="仿宋_GB2312"/>
          <w:b/>
          <w:color w:val="auto"/>
          <w:sz w:val="24"/>
          <w:highlight w:val="none"/>
        </w:rPr>
        <w:t>2.19 计量单位</w:t>
      </w:r>
      <w:bookmarkEnd w:id="541"/>
      <w:bookmarkEnd w:id="542"/>
      <w:bookmarkEnd w:id="543"/>
      <w:bookmarkEnd w:id="546"/>
      <w:bookmarkEnd w:id="547"/>
      <w:bookmarkEnd w:id="548"/>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除技术规范中另有规定外,合同的计量单位均使用国家法定计量单位。</w:t>
      </w:r>
    </w:p>
    <w:p>
      <w:pPr>
        <w:spacing w:line="360" w:lineRule="auto"/>
        <w:ind w:firstLine="482" w:firstLineChars="200"/>
        <w:outlineLvl w:val="0"/>
        <w:rPr>
          <w:rFonts w:hint="eastAsia" w:ascii="仿宋_GB2312" w:hAnsi="楷体" w:eastAsia="仿宋_GB2312"/>
          <w:b/>
          <w:color w:val="auto"/>
          <w:sz w:val="24"/>
          <w:highlight w:val="none"/>
        </w:rPr>
      </w:pPr>
      <w:bookmarkStart w:id="549" w:name="_Toc487900373"/>
      <w:bookmarkStart w:id="550" w:name="_Toc18567"/>
      <w:bookmarkStart w:id="551" w:name="_Toc12773"/>
      <w:bookmarkStart w:id="552" w:name="_Toc259093692"/>
      <w:bookmarkStart w:id="553" w:name="_Toc10330"/>
      <w:bookmarkStart w:id="554" w:name="_Toc279701263"/>
      <w:r>
        <w:rPr>
          <w:rFonts w:hint="eastAsia" w:ascii="仿宋_GB2312" w:hAnsi="楷体" w:eastAsia="仿宋_GB2312"/>
          <w:b/>
          <w:color w:val="auto"/>
          <w:sz w:val="24"/>
          <w:highlight w:val="none"/>
        </w:rPr>
        <w:t>2.20 合同使用的文字和适用的法律</w:t>
      </w:r>
      <w:bookmarkEnd w:id="549"/>
      <w:bookmarkEnd w:id="550"/>
      <w:bookmarkEnd w:id="551"/>
      <w:bookmarkEnd w:id="552"/>
      <w:bookmarkEnd w:id="553"/>
      <w:bookmarkEnd w:id="554"/>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2.20.1 合同使用汉语书就、变更和解释；</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2.20.2 合同适用中华人民共和国法律。</w:t>
      </w:r>
    </w:p>
    <w:p>
      <w:pPr>
        <w:spacing w:line="360" w:lineRule="auto"/>
        <w:ind w:firstLine="482" w:firstLineChars="200"/>
        <w:outlineLvl w:val="0"/>
        <w:rPr>
          <w:rFonts w:hint="eastAsia" w:ascii="仿宋_GB2312" w:hAnsi="楷体" w:eastAsia="仿宋_GB2312"/>
          <w:b/>
          <w:color w:val="auto"/>
          <w:sz w:val="24"/>
          <w:highlight w:val="none"/>
        </w:rPr>
      </w:pPr>
      <w:bookmarkStart w:id="555" w:name="_Toc3148"/>
      <w:bookmarkStart w:id="556" w:name="_Toc279701264"/>
      <w:bookmarkStart w:id="557" w:name="_Toc16673"/>
      <w:bookmarkStart w:id="558" w:name="_Toc259093693"/>
      <w:bookmarkStart w:id="559" w:name="_Toc12004"/>
      <w:bookmarkStart w:id="560" w:name="_Toc487900374"/>
      <w:r>
        <w:rPr>
          <w:rFonts w:hint="eastAsia" w:ascii="仿宋_GB2312" w:hAnsi="楷体" w:eastAsia="仿宋_GB2312"/>
          <w:b/>
          <w:color w:val="auto"/>
          <w:sz w:val="24"/>
          <w:highlight w:val="none"/>
        </w:rPr>
        <w:t>2.21 履约保证金</w:t>
      </w:r>
      <w:bookmarkEnd w:id="555"/>
      <w:bookmarkEnd w:id="556"/>
      <w:bookmarkEnd w:id="557"/>
      <w:bookmarkEnd w:id="558"/>
      <w:bookmarkEnd w:id="559"/>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2.21.1 </w:t>
      </w:r>
      <w:r>
        <w:rPr>
          <w:rFonts w:hint="eastAsia" w:ascii="仿宋_GB2312" w:hAnsi="楷体" w:eastAsia="仿宋_GB2312"/>
          <w:color w:val="auto"/>
          <w:sz w:val="24"/>
          <w:highlight w:val="none"/>
          <w:lang w:eastAsia="zh-CN"/>
        </w:rPr>
        <w:t>招标文件</w:t>
      </w:r>
      <w:r>
        <w:rPr>
          <w:rFonts w:hint="eastAsia" w:ascii="仿宋_GB2312" w:hAnsi="楷体" w:eastAsia="仿宋_GB2312"/>
          <w:color w:val="auto"/>
          <w:sz w:val="24"/>
          <w:highlight w:val="none"/>
        </w:rPr>
        <w:t>要求乙方提交履约保证金的，乙方</w:t>
      </w:r>
      <w:r>
        <w:rPr>
          <w:rFonts w:hint="eastAsia" w:ascii="仿宋_GB2312" w:hAnsi="仿宋" w:eastAsia="仿宋_GB2312"/>
          <w:color w:val="auto"/>
          <w:kern w:val="0"/>
          <w:sz w:val="24"/>
          <w:highlight w:val="none"/>
          <w:lang w:val="zh-CN"/>
        </w:rPr>
        <w:t>应在合同签订后</w:t>
      </w:r>
      <w:r>
        <w:rPr>
          <w:rFonts w:hint="eastAsia" w:ascii="仿宋_GB2312" w:hAnsi="仿宋" w:eastAsia="仿宋_GB2312"/>
          <w:color w:val="auto"/>
          <w:kern w:val="0"/>
          <w:sz w:val="24"/>
          <w:highlight w:val="none"/>
          <w:u w:val="single"/>
          <w:lang w:val="zh-CN"/>
        </w:rPr>
        <w:t>5</w:t>
      </w:r>
      <w:r>
        <w:rPr>
          <w:rFonts w:hint="eastAsia" w:ascii="仿宋_GB2312" w:hAnsi="仿宋" w:eastAsia="仿宋_GB2312"/>
          <w:color w:val="auto"/>
          <w:kern w:val="0"/>
          <w:sz w:val="24"/>
          <w:highlight w:val="none"/>
          <w:lang w:val="zh-CN"/>
        </w:rPr>
        <w:t>个工作日内</w:t>
      </w:r>
      <w:r>
        <w:rPr>
          <w:rFonts w:hint="eastAsia" w:ascii="仿宋_GB2312" w:hAnsi="楷体" w:eastAsia="仿宋_GB2312"/>
          <w:color w:val="auto"/>
          <w:sz w:val="24"/>
          <w:highlight w:val="none"/>
        </w:rPr>
        <w:t>，以支票、汇票、本票或者金融机构、担保机构出具的保函等非现金形式，提交合同价</w:t>
      </w:r>
      <w:r>
        <w:rPr>
          <w:rFonts w:hint="eastAsia" w:ascii="仿宋_GB2312" w:hAnsi="楷体" w:eastAsia="仿宋_GB2312"/>
          <w:color w:val="auto"/>
          <w:sz w:val="24"/>
          <w:highlight w:val="none"/>
          <w:u w:val="single"/>
        </w:rPr>
        <w:t xml:space="preserve"> 5 </w:t>
      </w:r>
      <w:r>
        <w:rPr>
          <w:rFonts w:hint="eastAsia" w:ascii="仿宋_GB2312" w:hAnsi="楷体" w:eastAsia="仿宋_GB2312"/>
          <w:color w:val="auto"/>
          <w:sz w:val="24"/>
          <w:highlight w:val="none"/>
        </w:rPr>
        <w:t>%的履约保证金；</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2.21.2  履约保证金在</w:t>
      </w:r>
      <w:r>
        <w:rPr>
          <w:rFonts w:hint="eastAsia" w:ascii="仿宋_GB2312" w:hAnsi="楷体" w:eastAsia="仿宋_GB2312"/>
          <w:color w:val="auto"/>
          <w:sz w:val="24"/>
          <w:highlight w:val="none"/>
          <w:u w:val="single"/>
        </w:rPr>
        <w:t>合同有效期</w:t>
      </w:r>
      <w:r>
        <w:rPr>
          <w:rFonts w:hint="eastAsia" w:ascii="仿宋_GB2312" w:hAnsi="楷体" w:eastAsia="仿宋_GB2312"/>
          <w:color w:val="auto"/>
          <w:sz w:val="24"/>
          <w:highlight w:val="none"/>
        </w:rPr>
        <w:t>内或者标的物质量保证期内不予退还或者应完全有效，前述约定期间届满或者标的物质量保证期届满</w:t>
      </w:r>
      <w:r>
        <w:rPr>
          <w:rFonts w:hint="eastAsia" w:ascii="仿宋_GB2312" w:hAnsi="楷体" w:eastAsia="仿宋_GB2312"/>
          <w:color w:val="auto"/>
          <w:sz w:val="24"/>
          <w:highlight w:val="none"/>
          <w:lang w:val="en-US" w:eastAsia="zh-CN"/>
        </w:rPr>
        <w:t>,</w:t>
      </w:r>
      <w:r>
        <w:rPr>
          <w:rFonts w:hint="eastAsia" w:ascii="仿宋_GB2312" w:hAnsi="仿宋" w:eastAsia="仿宋_GB2312" w:cs="Arial"/>
          <w:snapToGrid w:val="0"/>
          <w:color w:val="auto"/>
          <w:kern w:val="0"/>
          <w:sz w:val="24"/>
          <w:highlight w:val="none"/>
        </w:rPr>
        <w:t>甲方于收到乙方退还履约保证金申请之日起</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val="en-US" w:eastAsia="zh-CN"/>
        </w:rPr>
        <w:t>5</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个工作日内，甲方应将履约保证金退还乙方；</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仿宋_GB2312" w:hAnsi="仿宋" w:eastAsia="仿宋_GB2312" w:cs="Arial"/>
          <w:snapToGrid w:val="0"/>
          <w:color w:val="auto"/>
          <w:kern w:val="0"/>
          <w:sz w:val="24"/>
          <w:highlight w:val="none"/>
        </w:rPr>
      </w:pPr>
      <w:r>
        <w:rPr>
          <w:rFonts w:hint="eastAsia" w:ascii="仿宋_GB2312" w:hAnsi="楷体" w:eastAsia="仿宋_GB2312"/>
          <w:color w:val="auto"/>
          <w:sz w:val="24"/>
          <w:highlight w:val="none"/>
        </w:rPr>
        <w:t xml:space="preserve">2.21.4 </w:t>
      </w:r>
      <w:r>
        <w:rPr>
          <w:rFonts w:hint="eastAsia" w:ascii="仿宋_GB2312" w:hAnsi="仿宋" w:eastAsia="仿宋_GB2312" w:cs="Arial"/>
          <w:snapToGrid w:val="0"/>
          <w:color w:val="auto"/>
          <w:kern w:val="0"/>
          <w:sz w:val="24"/>
          <w:highlight w:val="none"/>
        </w:rPr>
        <w:t>履约期满，通过验收，甲方于收到乙方退还履约保证金申请之日起</w:t>
      </w:r>
      <w:r>
        <w:rPr>
          <w:rFonts w:hint="eastAsia" w:ascii="仿宋_GB2312" w:hAnsi="仿宋" w:eastAsia="仿宋_GB2312" w:cs="Arial"/>
          <w:snapToGrid w:val="0"/>
          <w:color w:val="auto"/>
          <w:kern w:val="0"/>
          <w:sz w:val="24"/>
          <w:highlight w:val="none"/>
          <w:u w:val="single"/>
          <w:lang w:val="en-US" w:eastAsia="zh-CN"/>
        </w:rPr>
        <w:t>1</w:t>
      </w:r>
      <w:r>
        <w:rPr>
          <w:rFonts w:hint="eastAsia" w:ascii="仿宋_GB2312" w:hAnsi="仿宋" w:eastAsia="仿宋_GB2312" w:cs="Arial"/>
          <w:snapToGrid w:val="0"/>
          <w:color w:val="auto"/>
          <w:kern w:val="0"/>
          <w:sz w:val="24"/>
          <w:highlight w:val="none"/>
          <w:u w:val="single"/>
        </w:rPr>
        <w:t>5</w:t>
      </w:r>
      <w:r>
        <w:rPr>
          <w:rFonts w:hint="eastAsia" w:ascii="仿宋_GB2312" w:hAnsi="仿宋" w:eastAsia="仿宋_GB2312" w:cs="Arial"/>
          <w:snapToGrid w:val="0"/>
          <w:color w:val="auto"/>
          <w:kern w:val="0"/>
          <w:sz w:val="24"/>
          <w:highlight w:val="none"/>
        </w:rPr>
        <w:t>个工作日内退还乙方履约保证金。甲方无故逾期退还的，按照每逾期一日支付履约保证金</w:t>
      </w:r>
      <w:r>
        <w:rPr>
          <w:rFonts w:ascii="仿宋_GB2312" w:hAnsi="仿宋" w:eastAsia="仿宋_GB2312" w:cs="Arial"/>
          <w:snapToGrid w:val="0"/>
          <w:color w:val="auto"/>
          <w:kern w:val="0"/>
          <w:sz w:val="24"/>
          <w:highlight w:val="none"/>
        </w:rPr>
        <w:t>5‰</w:t>
      </w:r>
      <w:r>
        <w:rPr>
          <w:rFonts w:hint="eastAsia" w:ascii="仿宋_GB2312" w:hAnsi="仿宋" w:eastAsia="仿宋_GB2312" w:cs="Arial"/>
          <w:snapToGrid w:val="0"/>
          <w:color w:val="auto"/>
          <w:kern w:val="0"/>
          <w:sz w:val="24"/>
          <w:highlight w:val="none"/>
        </w:rPr>
        <w:t>的额度承担违约责任。</w:t>
      </w:r>
    </w:p>
    <w:p>
      <w:pPr>
        <w:spacing w:line="360" w:lineRule="auto"/>
        <w:ind w:firstLine="480"/>
        <w:outlineLvl w:val="0"/>
        <w:rPr>
          <w:rFonts w:hint="eastAsia" w:ascii="仿宋_GB2312" w:hAnsi="仿宋" w:eastAsia="仿宋_GB2312"/>
          <w:color w:val="auto"/>
          <w:kern w:val="0"/>
          <w:sz w:val="24"/>
          <w:highlight w:val="none"/>
          <w:lang w:val="zh-CN"/>
        </w:rPr>
      </w:pPr>
      <w:r>
        <w:rPr>
          <w:rFonts w:hint="eastAsia" w:ascii="仿宋_GB2312" w:hAnsi="楷体" w:eastAsia="仿宋_GB2312"/>
          <w:b/>
          <w:color w:val="auto"/>
          <w:sz w:val="24"/>
          <w:highlight w:val="none"/>
        </w:rPr>
        <w:t>2.22 中小企业政策</w:t>
      </w:r>
    </w:p>
    <w:p>
      <w:pPr>
        <w:spacing w:line="360" w:lineRule="auto"/>
        <w:ind w:firstLine="480"/>
        <w:outlineLvl w:val="0"/>
        <w:rPr>
          <w:rFonts w:hint="eastAsia"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2.22.1本合同（□是  □否）为可融资合同，关于中小企业信用融资事项可登陆杭州市政府采购网（http://cg.hzft.gov.cn）“中小企业信用融资”专栏进行查询。</w:t>
      </w:r>
    </w:p>
    <w:p>
      <w:pPr>
        <w:spacing w:line="360" w:lineRule="auto"/>
        <w:ind w:firstLine="480"/>
        <w:outlineLvl w:val="0"/>
        <w:rPr>
          <w:rFonts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2.22.2</w:t>
      </w:r>
      <w:r>
        <w:rPr>
          <w:rFonts w:ascii="仿宋_GB2312" w:hAnsi="仿宋" w:eastAsia="仿宋_GB2312"/>
          <w:color w:val="auto"/>
          <w:kern w:val="0"/>
          <w:sz w:val="24"/>
          <w:highlight w:val="none"/>
          <w:lang w:val="zh-CN"/>
        </w:rPr>
        <w:t xml:space="preserve">本合同（□是  </w:t>
      </w:r>
      <w:r>
        <w:rPr>
          <w:rFonts w:hint="eastAsia" w:ascii="仿宋_GB2312" w:hAnsi="仿宋" w:eastAsia="仿宋_GB2312"/>
          <w:color w:val="auto"/>
          <w:kern w:val="0"/>
          <w:sz w:val="24"/>
          <w:highlight w:val="none"/>
          <w:lang w:val="zh-CN"/>
        </w:rPr>
        <w:t>□否）为中小企业预留合同。</w:t>
      </w:r>
    </w:p>
    <w:bookmarkEnd w:id="560"/>
    <w:p>
      <w:pPr>
        <w:spacing w:line="360" w:lineRule="auto"/>
        <w:ind w:firstLine="482" w:firstLineChars="200"/>
        <w:outlineLvl w:val="0"/>
        <w:rPr>
          <w:rFonts w:hint="eastAsia" w:ascii="仿宋_GB2312" w:hAnsi="楷体" w:eastAsia="仿宋_GB2312"/>
          <w:b/>
          <w:color w:val="auto"/>
          <w:sz w:val="24"/>
          <w:highlight w:val="none"/>
        </w:rPr>
      </w:pPr>
      <w:bookmarkStart w:id="561" w:name="_Toc19890"/>
      <w:bookmarkStart w:id="562" w:name="_Toc14001"/>
      <w:bookmarkStart w:id="563" w:name="_Toc6885"/>
      <w:r>
        <w:rPr>
          <w:rFonts w:hint="eastAsia" w:ascii="仿宋_GB2312" w:hAnsi="楷体" w:eastAsia="仿宋_GB2312"/>
          <w:b/>
          <w:color w:val="auto"/>
          <w:sz w:val="24"/>
          <w:highlight w:val="none"/>
        </w:rPr>
        <w:t>2.23 合同份数</w:t>
      </w:r>
      <w:bookmarkEnd w:id="561"/>
      <w:bookmarkEnd w:id="562"/>
      <w:bookmarkEnd w:id="563"/>
    </w:p>
    <w:p>
      <w:pPr>
        <w:spacing w:line="360" w:lineRule="auto"/>
        <w:ind w:firstLine="480" w:firstLineChars="200"/>
        <w:rPr>
          <w:rFonts w:hint="eastAsia" w:ascii="仿宋_GB2312" w:hAnsi="楷体" w:eastAsia="仿宋_GB2312"/>
          <w:color w:val="auto"/>
          <w:sz w:val="24"/>
          <w:highlight w:val="none"/>
        </w:rPr>
      </w:pPr>
      <w:r>
        <w:rPr>
          <w:rFonts w:hint="eastAsia" w:ascii="仿宋_GB2312" w:hAnsi="宋体" w:eastAsia="仿宋_GB2312"/>
          <w:color w:val="auto"/>
          <w:sz w:val="24"/>
          <w:highlight w:val="none"/>
        </w:rPr>
        <w:t>本合同一式</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份，甲方执</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份，乙方执</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w:t>
      </w:r>
      <w:r>
        <w:rPr>
          <w:rFonts w:hint="eastAsia" w:ascii="仿宋_GB2312" w:hAnsi="楷体" w:eastAsia="仿宋_GB2312"/>
          <w:color w:val="auto"/>
          <w:sz w:val="24"/>
          <w:highlight w:val="none"/>
        </w:rPr>
        <w:t>每份均具有同等法律效力。</w:t>
      </w:r>
    </w:p>
    <w:p>
      <w:pPr>
        <w:pStyle w:val="646"/>
        <w:jc w:val="center"/>
        <w:rPr>
          <w:rFonts w:hint="eastAsia" w:ascii="仿宋_GB2312" w:hAnsi="楷体" w:eastAsia="仿宋_GB2312"/>
          <w:b/>
          <w:color w:val="auto"/>
          <w:szCs w:val="24"/>
          <w:highlight w:val="none"/>
        </w:rPr>
      </w:pPr>
      <w:r>
        <w:rPr>
          <w:rFonts w:hint="eastAsia" w:ascii="仿宋_GB2312" w:hAnsi="楷体" w:eastAsia="仿宋_GB2312"/>
          <w:color w:val="auto"/>
          <w:szCs w:val="24"/>
          <w:highlight w:val="none"/>
        </w:rPr>
        <w:br w:type="page"/>
      </w:r>
      <w:bookmarkStart w:id="564" w:name="_Toc331685784"/>
      <w:r>
        <w:rPr>
          <w:rFonts w:hint="eastAsia" w:ascii="仿宋_GB2312" w:hAnsi="楷体" w:eastAsia="仿宋_GB2312"/>
          <w:b/>
          <w:color w:val="auto"/>
          <w:szCs w:val="24"/>
          <w:highlight w:val="none"/>
        </w:rPr>
        <w:t>第三部分  合同专用条款</w:t>
      </w:r>
      <w:bookmarkEnd w:id="564"/>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rPr>
        <w:t xml:space="preserve">知识产权归甲方所有。                                                   </w:t>
      </w:r>
      <w:r>
        <w:rPr>
          <w:rFonts w:hint="eastAsia" w:ascii="仿宋_GB2312" w:hAnsi="楷体" w:eastAsia="仿宋_GB2312"/>
          <w:color w:val="auto"/>
          <w:sz w:val="24"/>
          <w:highlight w:val="none"/>
        </w:rPr>
        <w:t xml:space="preserve">           </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2.4.1包装和装运专用条款（如果有）：</w:t>
      </w:r>
    </w:p>
    <w:p>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2.4.2装运标的物的要求和通知：</w:t>
      </w:r>
    </w:p>
    <w:p>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w:t>
      </w:r>
    </w:p>
    <w:p>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2.6</w:t>
      </w:r>
      <w:r>
        <w:rPr>
          <w:rFonts w:hint="eastAsia" w:ascii="仿宋_GB2312" w:hAnsi="楷体" w:eastAsia="仿宋_GB2312"/>
          <w:b/>
          <w:color w:val="auto"/>
          <w:sz w:val="24"/>
          <w:highlight w:val="none"/>
        </w:rPr>
        <w:t>结算方式和付款条件</w:t>
      </w:r>
    </w:p>
    <w:p>
      <w:pPr>
        <w:spacing w:line="360" w:lineRule="auto"/>
        <w:ind w:firstLine="480" w:firstLineChars="200"/>
        <w:rPr>
          <w:rFonts w:hint="eastAsia"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lang w:val="zh-CN"/>
        </w:rPr>
        <w:t>本次项目合同总价为大写人民币</w:t>
      </w:r>
      <w:r>
        <w:rPr>
          <w:rFonts w:hint="eastAsia" w:ascii="仿宋_GB2312" w:eastAsia="仿宋_GB2312" w:cs="仿宋_GB2312"/>
          <w:color w:val="auto"/>
          <w:kern w:val="0"/>
          <w:sz w:val="24"/>
          <w:highlight w:val="none"/>
          <w:u w:val="single"/>
          <w:lang w:val="zh-CN"/>
        </w:rPr>
        <w:t xml:space="preserve">            （</w:t>
      </w:r>
      <w:r>
        <w:rPr>
          <w:rFonts w:hint="eastAsia" w:ascii="仿宋_GB2312" w:eastAsia="仿宋_GB2312" w:cs="仿宋_GB2312"/>
          <w:color w:val="auto"/>
          <w:kern w:val="0"/>
          <w:sz w:val="24"/>
          <w:highlight w:val="none"/>
          <w:lang w:val="zh-CN"/>
        </w:rPr>
        <w:t>￥    元），采用分期付款方式，具体如下</w:t>
      </w:r>
      <w:r>
        <w:rPr>
          <w:rFonts w:hint="eastAsia" w:ascii="仿宋_GB2312" w:eastAsia="仿宋_GB2312" w:cs="仿宋_GB2312"/>
          <w:color w:val="auto"/>
          <w:kern w:val="0"/>
          <w:sz w:val="24"/>
          <w:highlight w:val="none"/>
        </w:rPr>
        <w:t>：</w:t>
      </w:r>
    </w:p>
    <w:p>
      <w:pPr>
        <w:pStyle w:val="2"/>
        <w:ind w:firstLine="480" w:firstLineChars="200"/>
        <w:rPr>
          <w:rFonts w:hint="eastAsia" w:ascii="仿宋_GB2312" w:hAnsi="楷体" w:eastAsia="仿宋_GB2312" w:cs="Times New Roman"/>
          <w:snapToGrid/>
          <w:color w:val="auto"/>
          <w:szCs w:val="24"/>
          <w:highlight w:val="none"/>
          <w:u w:val="single"/>
          <w:lang w:val="en-US"/>
        </w:rPr>
      </w:pPr>
      <w:r>
        <w:rPr>
          <w:rFonts w:hint="eastAsia" w:ascii="仿宋_GB2312" w:hAnsi="楷体" w:eastAsia="仿宋_GB2312" w:cs="Times New Roman"/>
          <w:snapToGrid/>
          <w:color w:val="auto"/>
          <w:szCs w:val="24"/>
          <w:highlight w:val="none"/>
          <w:u w:val="single"/>
          <w:lang w:val="en-US" w:eastAsia="zh-CN"/>
        </w:rPr>
        <w:t>第一期付款：</w:t>
      </w:r>
      <w:r>
        <w:rPr>
          <w:rFonts w:hint="eastAsia" w:ascii="仿宋_GB2312" w:hAnsi="楷体" w:eastAsia="仿宋_GB2312" w:cs="Times New Roman"/>
          <w:snapToGrid/>
          <w:color w:val="auto"/>
          <w:szCs w:val="24"/>
          <w:highlight w:val="none"/>
          <w:u w:val="single"/>
          <w:lang w:val="en-US"/>
        </w:rPr>
        <w:t>合同签订后，在中标单位主要管理人员、施工人员、施工设施进场且签署开工报告后，支付合同总额的30%；</w:t>
      </w:r>
    </w:p>
    <w:p>
      <w:pPr>
        <w:pStyle w:val="2"/>
        <w:ind w:firstLine="480" w:firstLineChars="200"/>
        <w:rPr>
          <w:rFonts w:hint="eastAsia" w:ascii="仿宋_GB2312" w:hAnsi="楷体" w:eastAsia="仿宋_GB2312" w:cs="Times New Roman"/>
          <w:snapToGrid/>
          <w:color w:val="auto"/>
          <w:szCs w:val="24"/>
          <w:highlight w:val="none"/>
          <w:u w:val="single"/>
          <w:lang w:val="en-US"/>
        </w:rPr>
      </w:pPr>
      <w:r>
        <w:rPr>
          <w:rFonts w:hint="eastAsia" w:ascii="仿宋_GB2312" w:hAnsi="楷体" w:eastAsia="仿宋_GB2312" w:cs="Times New Roman"/>
          <w:snapToGrid/>
          <w:color w:val="auto"/>
          <w:szCs w:val="24"/>
          <w:highlight w:val="none"/>
          <w:u w:val="single"/>
          <w:lang w:val="en-US" w:eastAsia="zh-CN"/>
        </w:rPr>
        <w:t>第二期付款：</w:t>
      </w:r>
      <w:r>
        <w:rPr>
          <w:rFonts w:hint="eastAsia" w:ascii="仿宋_GB2312" w:hAnsi="楷体" w:eastAsia="仿宋_GB2312" w:cs="Times New Roman"/>
          <w:snapToGrid/>
          <w:color w:val="auto"/>
          <w:szCs w:val="24"/>
          <w:highlight w:val="none"/>
          <w:u w:val="single"/>
          <w:lang w:val="en-US"/>
        </w:rPr>
        <w:t>项目进度工程量完成总工程量80%时（经采购人招标的第三方监理公司确认），支付合同总额的40%；</w:t>
      </w:r>
    </w:p>
    <w:p>
      <w:pPr>
        <w:pStyle w:val="2"/>
        <w:ind w:firstLine="480" w:firstLineChars="200"/>
        <w:rPr>
          <w:rFonts w:hint="eastAsia" w:ascii="仿宋_GB2312" w:hAnsi="楷体" w:eastAsia="仿宋_GB2312" w:cs="Times New Roman"/>
          <w:snapToGrid/>
          <w:color w:val="auto"/>
          <w:szCs w:val="24"/>
          <w:highlight w:val="none"/>
          <w:u w:val="single"/>
          <w:lang w:val="en-US"/>
        </w:rPr>
      </w:pPr>
      <w:r>
        <w:rPr>
          <w:rFonts w:hint="eastAsia" w:ascii="仿宋_GB2312" w:hAnsi="楷体" w:eastAsia="仿宋_GB2312" w:cs="Times New Roman"/>
          <w:snapToGrid/>
          <w:color w:val="auto"/>
          <w:szCs w:val="24"/>
          <w:highlight w:val="none"/>
          <w:u w:val="single"/>
          <w:lang w:val="en-US" w:eastAsia="zh-CN"/>
        </w:rPr>
        <w:t>第三期付款：</w:t>
      </w:r>
      <w:r>
        <w:rPr>
          <w:rFonts w:hint="eastAsia" w:ascii="仿宋_GB2312" w:hAnsi="楷体" w:eastAsia="仿宋_GB2312" w:cs="Times New Roman"/>
          <w:snapToGrid/>
          <w:color w:val="auto"/>
          <w:szCs w:val="24"/>
          <w:highlight w:val="none"/>
          <w:u w:val="single"/>
          <w:lang w:val="en-US"/>
        </w:rPr>
        <w:t>项目初步验收合格后支付合同总额的20%；</w:t>
      </w:r>
    </w:p>
    <w:p>
      <w:pPr>
        <w:pStyle w:val="2"/>
        <w:ind w:firstLine="480" w:firstLineChars="200"/>
        <w:rPr>
          <w:rFonts w:hint="eastAsia" w:ascii="仿宋_GB2312" w:hAnsi="楷体" w:eastAsia="仿宋_GB2312" w:cs="Times New Roman"/>
          <w:snapToGrid/>
          <w:color w:val="auto"/>
          <w:szCs w:val="24"/>
          <w:highlight w:val="none"/>
          <w:u w:val="single"/>
          <w:lang w:val="en-US"/>
        </w:rPr>
      </w:pPr>
      <w:r>
        <w:rPr>
          <w:rFonts w:hint="eastAsia" w:ascii="仿宋_GB2312" w:hAnsi="楷体" w:eastAsia="仿宋_GB2312" w:cs="Times New Roman"/>
          <w:snapToGrid/>
          <w:color w:val="auto"/>
          <w:szCs w:val="24"/>
          <w:highlight w:val="none"/>
          <w:u w:val="single"/>
          <w:lang w:val="en-US" w:eastAsia="zh-CN"/>
        </w:rPr>
        <w:t>第四期付款：</w:t>
      </w:r>
      <w:r>
        <w:rPr>
          <w:rFonts w:hint="eastAsia" w:ascii="仿宋_GB2312" w:hAnsi="楷体" w:eastAsia="仿宋_GB2312" w:cs="Times New Roman"/>
          <w:snapToGrid/>
          <w:color w:val="auto"/>
          <w:szCs w:val="24"/>
          <w:highlight w:val="none"/>
          <w:u w:val="single"/>
          <w:lang w:val="en-US"/>
        </w:rPr>
        <w:t>项目竣工验收合格、审核结算后，支付合同总额的10%；</w:t>
      </w:r>
    </w:p>
    <w:p>
      <w:pPr>
        <w:autoSpaceDE w:val="0"/>
        <w:autoSpaceDN w:val="0"/>
        <w:snapToGrid w:val="0"/>
        <w:spacing w:line="360" w:lineRule="auto"/>
        <w:ind w:firstLine="54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甲方无故逾期支付服务费用的，按照每逾期一日支付本期应支付服务费额度的</w:t>
      </w:r>
      <w:r>
        <w:rPr>
          <w:rFonts w:ascii="仿宋_GB2312" w:hAnsi="仿宋" w:eastAsia="仿宋_GB2312"/>
          <w:color w:val="auto"/>
          <w:sz w:val="24"/>
          <w:highlight w:val="none"/>
        </w:rPr>
        <w:t>5‰</w:t>
      </w:r>
      <w:r>
        <w:rPr>
          <w:rFonts w:hint="eastAsia" w:ascii="仿宋_GB2312" w:hAnsi="仿宋" w:eastAsia="仿宋_GB2312"/>
          <w:color w:val="auto"/>
          <w:sz w:val="24"/>
          <w:highlight w:val="none"/>
        </w:rPr>
        <w:t>承担违约责任。</w:t>
      </w:r>
    </w:p>
    <w:p>
      <w:pPr>
        <w:pStyle w:val="2"/>
        <w:ind w:firstLine="480" w:firstLineChars="200"/>
        <w:rPr>
          <w:rFonts w:hint="eastAsia" w:ascii="仿宋_GB2312" w:hAnsi="楷体" w:eastAsia="仿宋_GB2312" w:cs="Times New Roman"/>
          <w:snapToGrid/>
          <w:color w:val="auto"/>
          <w:szCs w:val="24"/>
          <w:highlight w:val="none"/>
          <w:u w:val="single"/>
          <w:lang w:val="en-US"/>
        </w:rPr>
      </w:pPr>
      <w:r>
        <w:rPr>
          <w:rFonts w:hint="eastAsia" w:ascii="仿宋_GB2312" w:hAnsi="楷体" w:eastAsia="仿宋_GB2312" w:cs="Times New Roman"/>
          <w:snapToGrid/>
          <w:color w:val="auto"/>
          <w:szCs w:val="24"/>
          <w:highlight w:val="none"/>
          <w:u w:val="single"/>
          <w:lang w:val="en-US"/>
        </w:rPr>
        <w:t>乙方支付申请和查询：</w:t>
      </w:r>
    </w:p>
    <w:p>
      <w:pPr>
        <w:pStyle w:val="2"/>
        <w:ind w:firstLine="480" w:firstLineChars="200"/>
        <w:rPr>
          <w:rFonts w:hint="eastAsia" w:ascii="仿宋_GB2312" w:hAnsi="楷体" w:eastAsia="仿宋_GB2312" w:cs="Times New Roman"/>
          <w:snapToGrid/>
          <w:color w:val="auto"/>
          <w:szCs w:val="24"/>
          <w:highlight w:val="none"/>
          <w:u w:val="single"/>
          <w:lang w:val="en-US"/>
        </w:rPr>
      </w:pPr>
      <w:r>
        <w:rPr>
          <w:rFonts w:hint="eastAsia" w:ascii="仿宋_GB2312" w:hAnsi="楷体" w:eastAsia="仿宋_GB2312" w:cs="Times New Roman"/>
          <w:snapToGrid/>
          <w:color w:val="auto"/>
          <w:szCs w:val="24"/>
          <w:highlight w:val="none"/>
          <w:u w:val="single"/>
          <w:lang w:val="en-US"/>
        </w:rPr>
        <w:t>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firstLine="480" w:firstLineChars="200"/>
        <w:outlineLvl w:val="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2.9</w:t>
      </w:r>
      <w:r>
        <w:rPr>
          <w:rFonts w:hint="eastAsia" w:ascii="仿宋_GB2312" w:hAnsi="楷体" w:eastAsia="仿宋_GB2312"/>
          <w:b/>
          <w:color w:val="auto"/>
          <w:sz w:val="24"/>
          <w:highlight w:val="none"/>
        </w:rPr>
        <w:t>标的物的风险负担</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w:t>
      </w:r>
    </w:p>
    <w:p>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乙方                                                                       </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color w:val="auto"/>
          <w:sz w:val="24"/>
          <w:highlight w:val="none"/>
          <w:u w:val="single"/>
        </w:rPr>
        <w:t xml:space="preserve"> 15   </w:t>
      </w:r>
      <w:r>
        <w:rPr>
          <w:rFonts w:hint="eastAsia" w:ascii="仿宋_GB2312" w:hAnsi="楷体" w:eastAsia="仿宋_GB2312"/>
          <w:color w:val="auto"/>
          <w:sz w:val="24"/>
          <w:highlight w:val="none"/>
        </w:rPr>
        <w:t>日内以书面形式通知对方当事人，并在</w:t>
      </w:r>
      <w:r>
        <w:rPr>
          <w:rFonts w:hint="eastAsia" w:ascii="仿宋_GB2312" w:hAnsi="楷体" w:eastAsia="仿宋_GB2312"/>
          <w:color w:val="auto"/>
          <w:sz w:val="24"/>
          <w:highlight w:val="none"/>
          <w:u w:val="single"/>
        </w:rPr>
        <w:t xml:space="preserve">  15  </w:t>
      </w:r>
      <w:r>
        <w:rPr>
          <w:rFonts w:hint="eastAsia" w:ascii="仿宋_GB2312" w:hAnsi="楷体" w:eastAsia="仿宋_GB2312"/>
          <w:color w:val="auto"/>
          <w:sz w:val="24"/>
          <w:highlight w:val="none"/>
        </w:rPr>
        <w:t>日内，将有关部门出具的证明文件送达对方当事人。</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2.13.4因不可抗力致使合同有变更必要的，双方当事人应在</w:t>
      </w:r>
      <w:r>
        <w:rPr>
          <w:rFonts w:hint="eastAsia" w:ascii="仿宋_GB2312" w:hAnsi="楷体" w:eastAsia="仿宋_GB2312"/>
          <w:color w:val="auto"/>
          <w:sz w:val="24"/>
          <w:highlight w:val="none"/>
          <w:u w:val="single"/>
        </w:rPr>
        <w:t xml:space="preserve"> 15   </w:t>
      </w:r>
      <w:r>
        <w:rPr>
          <w:rFonts w:hint="eastAsia" w:ascii="仿宋_GB2312" w:hAnsi="楷体" w:eastAsia="仿宋_GB2312"/>
          <w:color w:val="auto"/>
          <w:sz w:val="24"/>
          <w:highlight w:val="none"/>
        </w:rPr>
        <w:t>日内以书面形式变更合同；</w:t>
      </w:r>
    </w:p>
    <w:p>
      <w:pPr>
        <w:tabs>
          <w:tab w:val="left" w:pos="360"/>
          <w:tab w:val="left" w:pos="540"/>
          <w:tab w:val="left" w:pos="1080"/>
        </w:tabs>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color w:val="auto"/>
          <w:sz w:val="24"/>
          <w:highlight w:val="none"/>
          <w:u w:val="single"/>
        </w:rPr>
        <w:t xml:space="preserve"> 15   </w:t>
      </w:r>
      <w:r>
        <w:rPr>
          <w:rFonts w:hint="eastAsia" w:ascii="仿宋_GB2312" w:hAnsi="楷体" w:eastAsia="仿宋_GB2312"/>
          <w:color w:val="auto"/>
          <w:sz w:val="24"/>
          <w:highlight w:val="none"/>
        </w:rPr>
        <w:t>日内发起验收，并可依法邀请相关方参加，验收应出具验收书。</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w:t>
      </w:r>
    </w:p>
    <w:p>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w:t>
      </w:r>
    </w:p>
    <w:p>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3.1 其他：</w:t>
      </w:r>
    </w:p>
    <w:p>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w:t>
      </w:r>
    </w:p>
    <w:p>
      <w:pPr>
        <w:widowControl/>
        <w:adjustRightInd/>
        <w:jc w:val="left"/>
        <w:rPr>
          <w:rFonts w:hint="eastAsia" w:ascii="仿宋_GB2312" w:hAnsi="仿宋_GB2312" w:eastAsia="仿宋_GB2312" w:cs="仿宋_GB2312"/>
          <w:b/>
          <w:color w:val="auto"/>
          <w:sz w:val="24"/>
          <w:highlight w:val="none"/>
        </w:rPr>
      </w:pPr>
    </w:p>
    <w:p>
      <w:pPr>
        <w:widowControl/>
        <w:adjustRightInd/>
        <w:jc w:val="left"/>
        <w:rPr>
          <w:rFonts w:hint="eastAsia" w:ascii="仿宋_GB2312" w:hAnsi="仿宋_GB2312" w:eastAsia="仿宋_GB2312" w:cs="仿宋_GB2312"/>
          <w:b/>
          <w:color w:val="auto"/>
          <w:sz w:val="24"/>
          <w:highlight w:val="none"/>
        </w:rPr>
      </w:pPr>
    </w:p>
    <w:p>
      <w:pPr>
        <w:snapToGrid w:val="0"/>
        <w:spacing w:line="360" w:lineRule="auto"/>
        <w:jc w:val="center"/>
        <w:rPr>
          <w:rFonts w:hint="eastAsia" w:ascii="仿宋_GB2312" w:hAnsi="仿宋" w:eastAsia="仿宋_GB2312" w:cs="仿宋_GB2312"/>
          <w:b/>
          <w:color w:val="auto"/>
          <w:sz w:val="36"/>
          <w:szCs w:val="20"/>
          <w:highlight w:val="none"/>
        </w:rPr>
      </w:pPr>
    </w:p>
    <w:p>
      <w:pPr>
        <w:snapToGrid w:val="0"/>
        <w:spacing w:line="360" w:lineRule="auto"/>
        <w:jc w:val="center"/>
        <w:rPr>
          <w:rFonts w:hint="eastAsia" w:ascii="仿宋_GB2312" w:hAnsi="仿宋" w:eastAsia="仿宋_GB2312" w:cs="仿宋_GB2312"/>
          <w:b/>
          <w:color w:val="auto"/>
          <w:sz w:val="36"/>
          <w:szCs w:val="20"/>
          <w:highlight w:val="none"/>
        </w:rPr>
      </w:pPr>
    </w:p>
    <w:p>
      <w:pPr>
        <w:snapToGrid w:val="0"/>
        <w:spacing w:line="360" w:lineRule="auto"/>
        <w:jc w:val="center"/>
        <w:rPr>
          <w:rFonts w:hint="eastAsia" w:ascii="仿宋_GB2312" w:hAnsi="仿宋" w:eastAsia="仿宋_GB2312" w:cs="仿宋_GB2312"/>
          <w:b/>
          <w:color w:val="auto"/>
          <w:sz w:val="36"/>
          <w:szCs w:val="20"/>
          <w:highlight w:val="none"/>
        </w:rPr>
      </w:pPr>
    </w:p>
    <w:p>
      <w:pPr>
        <w:snapToGrid w:val="0"/>
        <w:spacing w:line="360" w:lineRule="auto"/>
        <w:jc w:val="center"/>
        <w:rPr>
          <w:rFonts w:hint="eastAsia" w:ascii="仿宋_GB2312" w:hAnsi="仿宋" w:eastAsia="仿宋_GB2312" w:cs="仿宋_GB2312"/>
          <w:b/>
          <w:color w:val="auto"/>
          <w:sz w:val="36"/>
          <w:szCs w:val="20"/>
          <w:highlight w:val="none"/>
        </w:rPr>
      </w:pPr>
    </w:p>
    <w:p>
      <w:pPr>
        <w:snapToGrid w:val="0"/>
        <w:spacing w:line="360" w:lineRule="auto"/>
        <w:jc w:val="center"/>
        <w:rPr>
          <w:rFonts w:hint="eastAsia" w:ascii="仿宋_GB2312" w:hAnsi="仿宋" w:eastAsia="仿宋_GB2312" w:cs="仿宋_GB2312"/>
          <w:b/>
          <w:color w:val="auto"/>
          <w:sz w:val="36"/>
          <w:szCs w:val="20"/>
          <w:highlight w:val="none"/>
        </w:rPr>
      </w:pPr>
    </w:p>
    <w:p>
      <w:pPr>
        <w:snapToGrid w:val="0"/>
        <w:spacing w:line="360" w:lineRule="auto"/>
        <w:jc w:val="center"/>
        <w:rPr>
          <w:rFonts w:hint="eastAsia" w:ascii="仿宋_GB2312" w:hAnsi="仿宋" w:eastAsia="仿宋_GB2312" w:cs="仿宋_GB2312"/>
          <w:b/>
          <w:color w:val="auto"/>
          <w:sz w:val="36"/>
          <w:szCs w:val="20"/>
          <w:highlight w:val="none"/>
        </w:rPr>
      </w:pPr>
    </w:p>
    <w:p>
      <w:pPr>
        <w:snapToGrid w:val="0"/>
        <w:spacing w:line="360" w:lineRule="auto"/>
        <w:jc w:val="center"/>
        <w:rPr>
          <w:rFonts w:hint="eastAsia" w:ascii="仿宋_GB2312" w:hAnsi="仿宋" w:eastAsia="仿宋_GB2312" w:cs="仿宋_GB2312"/>
          <w:b/>
          <w:color w:val="auto"/>
          <w:sz w:val="36"/>
          <w:szCs w:val="20"/>
          <w:highlight w:val="none"/>
        </w:rPr>
      </w:pPr>
    </w:p>
    <w:p>
      <w:pPr>
        <w:snapToGrid w:val="0"/>
        <w:spacing w:line="360" w:lineRule="auto"/>
        <w:jc w:val="center"/>
        <w:rPr>
          <w:rFonts w:hint="eastAsia" w:ascii="仿宋_GB2312" w:hAnsi="仿宋" w:eastAsia="仿宋_GB2312" w:cs="仿宋_GB2312"/>
          <w:b/>
          <w:color w:val="auto"/>
          <w:sz w:val="36"/>
          <w:szCs w:val="20"/>
          <w:highlight w:val="none"/>
        </w:rPr>
      </w:pPr>
      <w:r>
        <w:rPr>
          <w:rFonts w:hint="eastAsia" w:ascii="仿宋_GB2312" w:hAnsi="仿宋" w:eastAsia="仿宋_GB2312" w:cs="仿宋_GB2312"/>
          <w:b/>
          <w:color w:val="auto"/>
          <w:sz w:val="36"/>
          <w:szCs w:val="20"/>
          <w:highlight w:val="none"/>
        </w:rPr>
        <w:br w:type="page"/>
      </w:r>
      <w:r>
        <w:rPr>
          <w:rFonts w:hint="eastAsia" w:ascii="仿宋_GB2312" w:hAnsi="仿宋" w:eastAsia="仿宋_GB2312" w:cs="仿宋_GB2312"/>
          <w:b/>
          <w:color w:val="auto"/>
          <w:sz w:val="36"/>
          <w:szCs w:val="20"/>
          <w:highlight w:val="none"/>
        </w:rPr>
        <w:t>第六部分</w:t>
      </w:r>
      <w:bookmarkEnd w:id="403"/>
      <w:r>
        <w:rPr>
          <w:rFonts w:hint="eastAsia" w:ascii="仿宋_GB2312" w:hAnsi="仿宋" w:eastAsia="仿宋_GB2312" w:cs="仿宋_GB2312"/>
          <w:b/>
          <w:color w:val="auto"/>
          <w:sz w:val="36"/>
          <w:szCs w:val="20"/>
          <w:highlight w:val="none"/>
        </w:rPr>
        <w:t xml:space="preserve"> </w:t>
      </w:r>
      <w:bookmarkEnd w:id="404"/>
      <w:r>
        <w:rPr>
          <w:rFonts w:hint="eastAsia" w:ascii="仿宋_GB2312" w:hAnsi="仿宋" w:eastAsia="仿宋_GB2312" w:cs="仿宋_GB2312"/>
          <w:b/>
          <w:color w:val="auto"/>
          <w:sz w:val="36"/>
          <w:szCs w:val="20"/>
          <w:highlight w:val="none"/>
        </w:rPr>
        <w:t>应提交的有关格式范例</w:t>
      </w:r>
    </w:p>
    <w:p>
      <w:pPr>
        <w:spacing w:line="360" w:lineRule="auto"/>
        <w:ind w:firstLine="480" w:firstLineChars="200"/>
        <w:outlineLvl w:val="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投标人按照以下格式编制投标文件。</w:t>
      </w:r>
    </w:p>
    <w:p>
      <w:pPr>
        <w:spacing w:line="360" w:lineRule="auto"/>
        <w:jc w:val="center"/>
        <w:outlineLvl w:val="0"/>
        <w:rPr>
          <w:rFonts w:hint="eastAsia" w:ascii="仿宋_GB2312" w:hAnsi="仿宋" w:eastAsia="仿宋_GB2312" w:cs="仿宋_GB2312"/>
          <w:color w:val="auto"/>
          <w:sz w:val="36"/>
          <w:szCs w:val="36"/>
          <w:highlight w:val="none"/>
          <w:lang w:val="zh-CN"/>
        </w:rPr>
      </w:pPr>
    </w:p>
    <w:p>
      <w:pPr>
        <w:spacing w:line="360" w:lineRule="auto"/>
        <w:jc w:val="center"/>
        <w:outlineLvl w:val="0"/>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hint="eastAsia" w:ascii="仿宋_GB2312" w:hAnsi="仿宋" w:eastAsia="仿宋_GB2312" w:cs="仿宋_GB2312"/>
          <w:b/>
          <w:color w:val="auto"/>
          <w:kern w:val="0"/>
          <w:sz w:val="36"/>
          <w:szCs w:val="36"/>
          <w:highlight w:val="none"/>
        </w:rPr>
      </w:pP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w:t>
      </w:r>
      <w:r>
        <w:rPr>
          <w:rFonts w:hint="eastAsia" w:ascii="仿宋_GB2312" w:hAnsi="仿宋" w:eastAsia="仿宋_GB2312"/>
          <w:color w:val="auto"/>
          <w:sz w:val="24"/>
          <w:highlight w:val="none"/>
        </w:rPr>
        <w:t>营业执照(或事业法人登记证或其他工商等登记证明材料)复印件（投标人为自然人的，须提供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rPr>
        <w:t>……………………………………………………（页码）</w:t>
      </w:r>
    </w:p>
    <w:p>
      <w:pPr>
        <w:snapToGrid w:val="0"/>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（2）法人授权书 ……………………………………………………………………（页码）</w:t>
      </w:r>
    </w:p>
    <w:p>
      <w:pPr>
        <w:snapToGrid w:val="0"/>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（3）授权代表的身份证（复印件）………………………………………………（页码）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（4）符合参与政府采购活动的资格条件并且没有税收缴纳、社会保障等方面的失信记录的承诺函……………………………………………………………………………（页码）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（5）具有履行合同所必需的设备和专业技术能力的承诺函………………………（页码）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（6）参加政府采购活动前三年内，在经营活动中没有重大违法记录的声明</w:t>
      </w:r>
      <w:r>
        <w:rPr>
          <w:rFonts w:hint="eastAsia" w:ascii="仿宋_GB2312" w:hAnsi="仿宋" w:eastAsia="仿宋_GB2312" w:cs="仿宋_GB2312"/>
          <w:color w:val="auto"/>
          <w:kern w:val="0"/>
          <w:sz w:val="24"/>
          <w:highlight w:val="none"/>
        </w:rPr>
        <w:t xml:space="preserve"> …（页码）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（7）具有良好商业信誉特别声明</w:t>
      </w:r>
      <w:r>
        <w:rPr>
          <w:rFonts w:hint="eastAsia" w:ascii="仿宋_GB2312" w:hAnsi="仿宋" w:eastAsia="仿宋_GB2312" w:cs="仿宋_GB2312"/>
          <w:color w:val="auto"/>
          <w:kern w:val="0"/>
          <w:sz w:val="24"/>
          <w:highlight w:val="none"/>
        </w:rPr>
        <w:t>……………………………………………………（页码）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（8）</w:t>
      </w:r>
      <w:r>
        <w:rPr>
          <w:rFonts w:hint="eastAsia" w:ascii="仿宋_GB2312" w:hAnsi="仿宋" w:eastAsia="仿宋_GB2312" w:cs="仿宋_GB2312"/>
          <w:color w:val="auto"/>
          <w:sz w:val="24"/>
          <w:highlight w:val="none"/>
        </w:rPr>
        <w:t>符合特定资格条件（如果项目要求）的有关证明材料（复印件）</w:t>
      </w:r>
      <w:r>
        <w:rPr>
          <w:rFonts w:hint="eastAsia" w:ascii="仿宋_GB2312" w:hAnsi="仿宋" w:eastAsia="仿宋_GB2312" w:cs="仿宋_GB2312"/>
          <w:color w:val="auto"/>
          <w:kern w:val="0"/>
          <w:sz w:val="24"/>
          <w:highlight w:val="none"/>
        </w:rPr>
        <w:t>…………（页码）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（9）</w:t>
      </w:r>
      <w:r>
        <w:rPr>
          <w:rFonts w:hint="eastAsia" w:ascii="仿宋_GB2312" w:hAnsi="仿宋" w:eastAsia="仿宋_GB2312" w:cs="仿宋_GB2312"/>
          <w:color w:val="auto"/>
          <w:sz w:val="24"/>
          <w:highlight w:val="none"/>
        </w:rPr>
        <w:t>以联合体形式投标的，提供联合体协议；本项目不允许联合体投标或者投标人不以联合体形式投标的，则不需要提供</w:t>
      </w:r>
      <w:r>
        <w:rPr>
          <w:rFonts w:hint="eastAsia" w:ascii="仿宋_GB2312" w:hAnsi="仿宋" w:eastAsia="仿宋_GB2312" w:cs="仿宋_GB2312"/>
          <w:color w:val="auto"/>
          <w:kern w:val="0"/>
          <w:sz w:val="24"/>
          <w:highlight w:val="none"/>
        </w:rPr>
        <w:t>…………………………………………………（页码）</w:t>
      </w:r>
    </w:p>
    <w:p>
      <w:pPr>
        <w:snapToGrid w:val="0"/>
        <w:spacing w:line="360" w:lineRule="auto"/>
        <w:rPr>
          <w:rFonts w:hint="eastAsia" w:ascii="仿宋_GB2312" w:hAnsi="仿宋" w:eastAsia="仿宋_GB2312" w:cs="仿宋_GB2312"/>
          <w:color w:val="auto"/>
          <w:kern w:val="0"/>
          <w:sz w:val="24"/>
          <w:highlight w:val="none"/>
        </w:rPr>
      </w:pPr>
    </w:p>
    <w:p>
      <w:pPr>
        <w:spacing w:line="360" w:lineRule="auto"/>
        <w:ind w:firstLine="480" w:firstLineChars="200"/>
        <w:rPr>
          <w:rFonts w:hint="eastAsia" w:ascii="仿宋_GB2312" w:hAnsi="仿宋" w:eastAsia="仿宋_GB2312" w:cs="仿宋_GB2312"/>
          <w:color w:val="auto"/>
          <w:sz w:val="24"/>
          <w:highlight w:val="none"/>
        </w:rPr>
      </w:pPr>
    </w:p>
    <w:p>
      <w:pPr>
        <w:snapToGrid w:val="0"/>
        <w:spacing w:line="360" w:lineRule="auto"/>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highlight w:val="none"/>
        </w:rPr>
        <w:br w:type="page"/>
      </w:r>
      <w:r>
        <w:rPr>
          <w:rFonts w:hint="eastAsia" w:ascii="仿宋_GB2312" w:hAnsi="仿宋" w:eastAsia="仿宋_GB2312" w:cs="仿宋_GB2312"/>
          <w:b/>
          <w:color w:val="auto"/>
          <w:kern w:val="0"/>
          <w:sz w:val="32"/>
          <w:szCs w:val="32"/>
          <w:highlight w:val="none"/>
          <w:lang w:val="zh-CN"/>
        </w:rPr>
        <w:t>一、营业执照(或事业法人登记证或其他工商等登记证明材料)复印件（投标人为自然人的，须提供自然人的身份证明）</w:t>
      </w:r>
    </w:p>
    <w:p>
      <w:pPr>
        <w:spacing w:line="360" w:lineRule="auto"/>
        <w:jc w:val="center"/>
        <w:rPr>
          <w:rFonts w:hint="eastAsia" w:ascii="仿宋_GB2312" w:hAnsi="仿宋" w:eastAsia="仿宋_GB2312" w:cs="仿宋_GB2312"/>
          <w:b/>
          <w:color w:val="auto"/>
          <w:sz w:val="30"/>
          <w:szCs w:val="30"/>
          <w:highlight w:val="none"/>
        </w:rPr>
      </w:pPr>
    </w:p>
    <w:p>
      <w:pPr>
        <w:snapToGrid w:val="0"/>
        <w:spacing w:line="360" w:lineRule="auto"/>
        <w:ind w:firstLine="576"/>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投标人名称(电子签名)：                              </w:t>
      </w:r>
    </w:p>
    <w:p>
      <w:pPr>
        <w:spacing w:line="360" w:lineRule="auto"/>
        <w:jc w:val="center"/>
        <w:rPr>
          <w:rFonts w:hint="eastAsia" w:ascii="仿宋_GB2312" w:hAnsi="仿宋" w:eastAsia="仿宋_GB2312" w:cs="仿宋_GB2312"/>
          <w:b/>
          <w:color w:val="auto"/>
          <w:sz w:val="30"/>
          <w:szCs w:val="30"/>
          <w:highlight w:val="none"/>
          <w:lang w:val="en-US" w:eastAsia="zh-CN"/>
        </w:rPr>
      </w:pPr>
      <w:r>
        <w:rPr>
          <w:rFonts w:hint="eastAsia" w:ascii="仿宋_GB2312" w:hAnsi="仿宋" w:eastAsia="仿宋_GB2312" w:cs="仿宋_GB2312"/>
          <w:color w:val="auto"/>
          <w:kern w:val="0"/>
          <w:sz w:val="24"/>
          <w:highlight w:val="none"/>
          <w:lang w:val="zh-CN"/>
        </w:rPr>
        <w:t xml:space="preserve">                   日期：  年  月</w:t>
      </w:r>
      <w:r>
        <w:rPr>
          <w:rFonts w:hint="eastAsia" w:ascii="仿宋_GB2312" w:hAnsi="仿宋" w:eastAsia="仿宋_GB2312" w:cs="仿宋_GB2312"/>
          <w:color w:val="auto"/>
          <w:kern w:val="0"/>
          <w:sz w:val="24"/>
          <w:highlight w:val="none"/>
          <w:lang w:val="en-US" w:eastAsia="zh-CN"/>
        </w:rPr>
        <w:t xml:space="preserve"> 日</w:t>
      </w:r>
    </w:p>
    <w:p>
      <w:pPr>
        <w:spacing w:line="360" w:lineRule="auto"/>
        <w:jc w:val="center"/>
        <w:rPr>
          <w:rFonts w:hint="eastAsia" w:ascii="仿宋_GB2312" w:hAnsi="仿宋" w:eastAsia="仿宋_GB2312" w:cs="仿宋_GB2312"/>
          <w:b/>
          <w:color w:val="auto"/>
          <w:sz w:val="30"/>
          <w:szCs w:val="30"/>
          <w:highlight w:val="none"/>
        </w:rPr>
      </w:pPr>
    </w:p>
    <w:p>
      <w:pPr>
        <w:spacing w:line="360" w:lineRule="auto"/>
        <w:jc w:val="center"/>
        <w:rPr>
          <w:rFonts w:hint="eastAsia" w:ascii="仿宋_GB2312" w:hAnsi="仿宋" w:eastAsia="仿宋_GB2312" w:cs="仿宋_GB2312"/>
          <w:b/>
          <w:color w:val="auto"/>
          <w:sz w:val="30"/>
          <w:szCs w:val="30"/>
          <w:highlight w:val="none"/>
        </w:rPr>
      </w:pPr>
    </w:p>
    <w:p>
      <w:pPr>
        <w:snapToGrid w:val="0"/>
        <w:spacing w:line="360" w:lineRule="auto"/>
        <w:ind w:firstLine="3213" w:firstLineChars="1000"/>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二、法人授权书</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杭州市南郊监狱</w:t>
      </w:r>
      <w:r>
        <w:rPr>
          <w:rFonts w:hint="eastAsia" w:ascii="仿宋_GB2312" w:hAnsi="仿宋" w:eastAsia="仿宋_GB2312" w:cs="仿宋_GB2312"/>
          <w:color w:val="auto"/>
          <w:sz w:val="24"/>
          <w:highlight w:val="none"/>
        </w:rPr>
        <w:t>、杭州市公共资源交易中心（杭州市政府采购中心）</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兹委派我公司</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先生/女士(其在本公司的职务是：</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 xml:space="preserve"> ，联系电话：</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传真：</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)，代表我公司全权处理</w:t>
      </w:r>
      <w:r>
        <w:rPr>
          <w:rFonts w:hint="eastAsia" w:ascii="仿宋_GB2312" w:hAnsi="仿宋" w:eastAsia="仿宋_GB2312" w:cs="仿宋_GB2312"/>
          <w:color w:val="auto"/>
          <w:sz w:val="24"/>
          <w:highlight w:val="none"/>
          <w:lang w:eastAsia="zh-CN"/>
        </w:rPr>
        <w:t>杭州市南郊监狱改扩建工程安防建设政府采购项目</w:t>
      </w:r>
      <w:r>
        <w:rPr>
          <w:rFonts w:hint="eastAsia" w:ascii="仿宋_GB2312" w:hAnsi="仿宋" w:eastAsia="仿宋_GB2312" w:cs="仿宋_GB2312"/>
          <w:color w:val="auto"/>
          <w:kern w:val="0"/>
          <w:sz w:val="24"/>
          <w:highlight w:val="none"/>
          <w:lang w:val="zh-CN"/>
        </w:rPr>
        <w:t>【招标编号：HZZFCG-2021-151】政府采购投标的一切事项，若中标则全权代表本公司签订相关合同，并负责处理合同履行等事宜。</w:t>
      </w:r>
    </w:p>
    <w:p>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本授权书有效期：自   年 月  日起至  年  月  日止。</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特此告知。</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签发日期：  年  月   日</w:t>
      </w:r>
    </w:p>
    <w:p>
      <w:pPr>
        <w:snapToGrid w:val="0"/>
        <w:spacing w:line="360" w:lineRule="auto"/>
        <w:jc w:val="center"/>
        <w:rPr>
          <w:rFonts w:hint="eastAsia" w:ascii="仿宋_GB2312" w:hAnsi="仿宋" w:eastAsia="仿宋_GB2312" w:cs="仿宋_GB2312"/>
          <w:b/>
          <w:color w:val="auto"/>
          <w:kern w:val="0"/>
          <w:sz w:val="32"/>
          <w:szCs w:val="32"/>
          <w:highlight w:val="none"/>
          <w:lang w:val="zh-CN"/>
        </w:rPr>
      </w:pPr>
    </w:p>
    <w:p>
      <w:pPr>
        <w:snapToGrid w:val="0"/>
        <w:spacing w:line="360" w:lineRule="auto"/>
        <w:jc w:val="center"/>
        <w:rPr>
          <w:rFonts w:hint="eastAsia" w:ascii="仿宋_GB2312" w:hAnsi="仿宋" w:eastAsia="仿宋_GB2312" w:cs="仿宋_GB2312"/>
          <w:b/>
          <w:color w:val="auto"/>
          <w:kern w:val="0"/>
          <w:sz w:val="32"/>
          <w:szCs w:val="32"/>
          <w:highlight w:val="none"/>
          <w:lang w:val="zh-CN"/>
        </w:rPr>
      </w:pPr>
    </w:p>
    <w:p>
      <w:pPr>
        <w:snapToGrid w:val="0"/>
        <w:spacing w:line="360" w:lineRule="auto"/>
        <w:jc w:val="center"/>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r>
        <w:rPr>
          <w:rFonts w:hint="eastAsia" w:ascii="仿宋_GB2312" w:hAnsi="仿宋" w:eastAsia="仿宋_GB2312" w:cs="仿宋_GB2312"/>
          <w:b/>
          <w:color w:val="auto"/>
          <w:kern w:val="0"/>
          <w:sz w:val="32"/>
          <w:szCs w:val="32"/>
          <w:highlight w:val="none"/>
          <w:lang w:val="zh-CN"/>
        </w:rPr>
        <w:t xml:space="preserve">   联合体投标授权书（适用联合体投标）</w:t>
      </w:r>
    </w:p>
    <w:p>
      <w:pPr>
        <w:snapToGrid w:val="0"/>
        <w:spacing w:line="360" w:lineRule="auto"/>
        <w:jc w:val="center"/>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（扫描件加盖上传公司电子签名）</w:t>
      </w:r>
    </w:p>
    <w:p>
      <w:pPr>
        <w:snapToGrid w:val="0"/>
        <w:spacing w:line="360" w:lineRule="auto"/>
        <w:ind w:firstLine="576"/>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兹委派</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公司</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先生/女士(其在该公司的职务是：</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 xml:space="preserve"> ，联系电话：</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传真：</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公司</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先生/女士(其在该公司的职务是：</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 xml:space="preserve"> ，联系电话：</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传真：</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)；……，代表本联合体全权处理</w:t>
      </w:r>
      <w:r>
        <w:rPr>
          <w:rFonts w:hint="eastAsia" w:ascii="仿宋_GB2312" w:hAnsi="仿宋" w:eastAsia="仿宋_GB2312" w:cs="仿宋_GB2312"/>
          <w:color w:val="auto"/>
          <w:sz w:val="24"/>
          <w:highlight w:val="none"/>
          <w:lang w:eastAsia="zh-CN"/>
        </w:rPr>
        <w:t>杭州市南郊监狱改扩建工程安防建设政府采购项目</w:t>
      </w:r>
      <w:r>
        <w:rPr>
          <w:rFonts w:hint="eastAsia" w:ascii="仿宋_GB2312" w:hAnsi="仿宋" w:eastAsia="仿宋_GB2312" w:cs="仿宋_GB2312"/>
          <w:color w:val="auto"/>
          <w:kern w:val="0"/>
          <w:sz w:val="24"/>
          <w:highlight w:val="none"/>
          <w:lang w:val="zh-CN"/>
        </w:rPr>
        <w:t>【招标编号：HZZFCG-2021-151】政府采购投标的一切事项，若中标则全权代表本联合体签订相关合同，并负责处理合同履行等事宜。</w:t>
      </w:r>
    </w:p>
    <w:p>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本授权书有效期：自   年 月  日起至  年  月  日止。</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特此告知。</w:t>
      </w:r>
    </w:p>
    <w:p>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单位：    （公章或电子签名）       单位：   （公章或电子签名）</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             日期：    年   月   日</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w:t>
      </w:r>
    </w:p>
    <w:p>
      <w:pPr>
        <w:spacing w:line="360" w:lineRule="auto"/>
        <w:rPr>
          <w:rFonts w:hint="eastAsia" w:ascii="仿宋_GB2312" w:hAnsi="仿宋" w:eastAsia="仿宋_GB2312" w:cs="仿宋_GB2312"/>
          <w:color w:val="auto"/>
          <w:sz w:val="28"/>
          <w:szCs w:val="28"/>
          <w:highlight w:val="none"/>
        </w:rPr>
      </w:pPr>
    </w:p>
    <w:p>
      <w:pPr>
        <w:spacing w:line="360" w:lineRule="auto"/>
        <w:rPr>
          <w:rFonts w:hint="eastAsia" w:ascii="仿宋_GB2312" w:hAnsi="仿宋" w:eastAsia="仿宋_GB2312" w:cs="仿宋_GB2312"/>
          <w:color w:val="auto"/>
          <w:sz w:val="28"/>
          <w:szCs w:val="28"/>
          <w:highlight w:val="none"/>
        </w:rPr>
      </w:pP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b/>
          <w:bCs/>
          <w:color w:val="auto"/>
          <w:sz w:val="30"/>
          <w:szCs w:val="30"/>
          <w:highlight w:val="none"/>
        </w:rPr>
        <w:br w:type="page"/>
      </w:r>
      <w:r>
        <w:rPr>
          <w:rFonts w:hint="eastAsia" w:ascii="仿宋_GB2312" w:hAnsi="仿宋" w:eastAsia="仿宋_GB2312" w:cs="仿宋_GB2312"/>
          <w:b/>
          <w:bCs/>
          <w:color w:val="auto"/>
          <w:sz w:val="30"/>
          <w:szCs w:val="30"/>
          <w:highlight w:val="none"/>
        </w:rPr>
        <w:t>三、</w:t>
      </w:r>
      <w:r>
        <w:rPr>
          <w:rFonts w:hint="eastAsia" w:ascii="仿宋_GB2312" w:hAnsi="仿宋" w:eastAsia="仿宋_GB2312" w:cs="仿宋_GB2312"/>
          <w:b/>
          <w:color w:val="auto"/>
          <w:sz w:val="30"/>
          <w:szCs w:val="30"/>
          <w:highlight w:val="none"/>
        </w:rPr>
        <w:t>授权代表的身份证（复印件）</w:t>
      </w:r>
    </w:p>
    <w:p>
      <w:pPr>
        <w:pStyle w:val="349"/>
        <w:spacing w:line="360" w:lineRule="auto"/>
        <w:rPr>
          <w:rFonts w:hint="eastAsia"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349"/>
              <w:spacing w:line="360" w:lineRule="auto"/>
              <w:rPr>
                <w:rFonts w:hint="eastAsia" w:ascii="仿宋_GB2312" w:hAnsi="仿宋" w:eastAsia="仿宋_GB2312"/>
                <w:bCs/>
                <w:color w:val="auto"/>
                <w:sz w:val="24"/>
                <w:highlight w:val="none"/>
                <w:lang w:eastAsia="zh-CN"/>
              </w:rPr>
            </w:pPr>
            <w:r>
              <w:rPr>
                <w:rFonts w:hint="eastAsia" w:ascii="仿宋_GB2312" w:hAnsi="仿宋" w:eastAsia="仿宋_GB2312"/>
                <w:bCs/>
                <w:color w:val="auto"/>
                <w:sz w:val="24"/>
                <w:highlight w:val="none"/>
                <w:lang w:eastAsia="zh-CN"/>
              </w:rPr>
              <w:t>正面：                                 反面：</w:t>
            </w:r>
          </w:p>
          <w:p>
            <w:pPr>
              <w:pStyle w:val="349"/>
              <w:spacing w:line="360" w:lineRule="auto"/>
              <w:rPr>
                <w:rFonts w:hint="eastAsia" w:ascii="仿宋_GB2312" w:hAnsi="仿宋" w:eastAsia="仿宋_GB2312"/>
                <w:bCs/>
                <w:color w:val="auto"/>
                <w:sz w:val="24"/>
                <w:highlight w:val="none"/>
                <w:lang w:eastAsia="zh-CN"/>
              </w:rPr>
            </w:pPr>
          </w:p>
        </w:tc>
      </w:tr>
    </w:tbl>
    <w:p>
      <w:pPr>
        <w:snapToGrid w:val="0"/>
        <w:spacing w:line="360" w:lineRule="auto"/>
        <w:ind w:firstLine="576"/>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投标人名称(电子签名)：                              </w:t>
      </w:r>
    </w:p>
    <w:p>
      <w:pPr>
        <w:spacing w:line="360" w:lineRule="auto"/>
        <w:jc w:val="center"/>
        <w:rPr>
          <w:rFonts w:hint="eastAsia" w:ascii="仿宋_GB2312" w:hAnsi="仿宋" w:eastAsia="仿宋_GB2312" w:cs="仿宋_GB2312"/>
          <w:color w:val="auto"/>
          <w:kern w:val="0"/>
          <w:sz w:val="24"/>
          <w:highlight w:val="none"/>
          <w:lang w:val="en-US" w:eastAsia="zh-CN"/>
        </w:rPr>
      </w:pPr>
      <w:r>
        <w:rPr>
          <w:rFonts w:hint="eastAsia" w:ascii="仿宋_GB2312" w:hAnsi="仿宋" w:eastAsia="仿宋_GB2312" w:cs="仿宋_GB2312"/>
          <w:color w:val="auto"/>
          <w:kern w:val="0"/>
          <w:sz w:val="24"/>
          <w:highlight w:val="none"/>
          <w:lang w:val="zh-CN"/>
        </w:rPr>
        <w:t xml:space="preserve">                   日期：  年  月</w:t>
      </w:r>
      <w:r>
        <w:rPr>
          <w:rFonts w:hint="eastAsia" w:ascii="仿宋_GB2312" w:hAnsi="仿宋" w:eastAsia="仿宋_GB2312" w:cs="仿宋_GB2312"/>
          <w:color w:val="auto"/>
          <w:kern w:val="0"/>
          <w:sz w:val="24"/>
          <w:highlight w:val="none"/>
          <w:lang w:val="en-US" w:eastAsia="zh-CN"/>
        </w:rPr>
        <w:t xml:space="preserve"> 日</w:t>
      </w:r>
    </w:p>
    <w:p>
      <w:pPr>
        <w:spacing w:line="360" w:lineRule="auto"/>
        <w:jc w:val="center"/>
        <w:rPr>
          <w:rFonts w:hint="eastAsia" w:ascii="仿宋_GB2312" w:hAnsi="仿宋" w:eastAsia="仿宋_GB2312" w:cs="仿宋_GB2312"/>
          <w:color w:val="auto"/>
          <w:kern w:val="0"/>
          <w:sz w:val="24"/>
          <w:highlight w:val="none"/>
          <w:lang w:val="zh-CN"/>
        </w:rPr>
      </w:pPr>
    </w:p>
    <w:p>
      <w:pPr>
        <w:spacing w:line="360" w:lineRule="auto"/>
        <w:jc w:val="center"/>
        <w:rPr>
          <w:rFonts w:hint="eastAsia" w:ascii="仿宋_GB2312" w:hAnsi="仿宋" w:eastAsia="仿宋_GB2312" w:cs="仿宋_GB2312"/>
          <w:b/>
          <w:color w:val="auto"/>
          <w:sz w:val="30"/>
          <w:szCs w:val="30"/>
          <w:highlight w:val="none"/>
        </w:rPr>
      </w:pPr>
    </w:p>
    <w:p>
      <w:pPr>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四、</w:t>
      </w:r>
      <w:r>
        <w:rPr>
          <w:rFonts w:hint="eastAsia" w:ascii="仿宋_GB2312" w:hAnsi="仿宋" w:eastAsia="仿宋_GB2312" w:cs="仿宋_GB2312"/>
          <w:b/>
          <w:color w:val="auto"/>
          <w:kern w:val="0"/>
          <w:sz w:val="32"/>
          <w:szCs w:val="32"/>
          <w:highlight w:val="none"/>
        </w:rPr>
        <w:t>符合参与政府采购活动的资格条件并且没有税收缴纳、社会保障等方面的失信记录的承诺函</w:t>
      </w:r>
    </w:p>
    <w:p>
      <w:pPr>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杭州市南郊监狱</w:t>
      </w:r>
      <w:r>
        <w:rPr>
          <w:rFonts w:hint="eastAsia" w:ascii="仿宋_GB2312" w:hAnsi="仿宋" w:eastAsia="仿宋_GB2312" w:cs="仿宋_GB2312"/>
          <w:color w:val="auto"/>
          <w:sz w:val="24"/>
          <w:highlight w:val="none"/>
        </w:rPr>
        <w:t>、杭州市公共资源交易中心（杭州市政府采购中心）：</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我方郑重承诺，我方符合参与</w:t>
      </w:r>
      <w:r>
        <w:rPr>
          <w:rFonts w:hint="eastAsia" w:ascii="仿宋_GB2312" w:hAnsi="仿宋" w:eastAsia="仿宋_GB2312" w:cs="仿宋_GB2312"/>
          <w:color w:val="auto"/>
          <w:sz w:val="24"/>
          <w:highlight w:val="none"/>
          <w:lang w:eastAsia="zh-CN"/>
        </w:rPr>
        <w:t>杭州市南郊监狱改扩建工程安防建设政府采购项目</w:t>
      </w:r>
      <w:r>
        <w:rPr>
          <w:rFonts w:hint="eastAsia" w:ascii="仿宋_GB2312" w:hAnsi="仿宋" w:eastAsia="仿宋_GB2312" w:cs="仿宋_GB2312"/>
          <w:color w:val="auto"/>
          <w:kern w:val="0"/>
          <w:sz w:val="24"/>
          <w:highlight w:val="none"/>
          <w:lang w:val="zh-CN"/>
        </w:rPr>
        <w:t>【招标编号：HZZFCG-2021-151】</w:t>
      </w:r>
      <w:r>
        <w:rPr>
          <w:rFonts w:hint="eastAsia" w:ascii="仿宋_GB2312" w:hAnsi="仿宋" w:eastAsia="仿宋_GB2312" w:cs="仿宋_GB2312"/>
          <w:color w:val="auto"/>
          <w:sz w:val="24"/>
          <w:highlight w:val="none"/>
        </w:rPr>
        <w:t>政府采购活动的资格条件并且没有税收缴纳、社会保障等方面的失信记录。</w:t>
      </w:r>
    </w:p>
    <w:p>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pPr>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r>
        <w:rPr>
          <w:rFonts w:hint="eastAsia" w:ascii="仿宋_GB2312" w:hAnsi="仿宋" w:eastAsia="仿宋_GB2312" w:cs="仿宋_GB2312"/>
          <w:b/>
          <w:color w:val="auto"/>
          <w:kern w:val="0"/>
          <w:sz w:val="32"/>
          <w:szCs w:val="32"/>
          <w:highlight w:val="none"/>
        </w:rPr>
        <w:t>五、具有履行合同所必需的设备和专业技术能力的承诺函</w:t>
      </w:r>
    </w:p>
    <w:p>
      <w:pPr>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杭州市南郊监狱</w:t>
      </w:r>
      <w:r>
        <w:rPr>
          <w:rFonts w:hint="eastAsia" w:ascii="仿宋_GB2312" w:hAnsi="仿宋" w:eastAsia="仿宋_GB2312" w:cs="仿宋_GB2312"/>
          <w:color w:val="auto"/>
          <w:sz w:val="24"/>
          <w:highlight w:val="none"/>
        </w:rPr>
        <w:t>、杭州市公共资源交易中心（杭州市政府采购中心）：</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我方郑重承诺，我方具有履行</w:t>
      </w:r>
      <w:r>
        <w:rPr>
          <w:rFonts w:hint="eastAsia" w:ascii="仿宋_GB2312" w:hAnsi="仿宋" w:eastAsia="仿宋_GB2312" w:cs="仿宋_GB2312"/>
          <w:color w:val="auto"/>
          <w:sz w:val="24"/>
          <w:highlight w:val="none"/>
          <w:lang w:eastAsia="zh-CN"/>
        </w:rPr>
        <w:t>杭州市南郊监狱改扩建工程安防建设政府采购项目</w:t>
      </w:r>
      <w:r>
        <w:rPr>
          <w:rFonts w:hint="eastAsia" w:ascii="仿宋_GB2312" w:hAnsi="仿宋" w:eastAsia="仿宋_GB2312" w:cs="仿宋_GB2312"/>
          <w:color w:val="auto"/>
          <w:sz w:val="24"/>
          <w:highlight w:val="none"/>
        </w:rPr>
        <w:t>【招标编号：HZZFCG-</w:t>
      </w:r>
      <w:r>
        <w:rPr>
          <w:rFonts w:hint="eastAsia" w:ascii="仿宋_GB2312" w:hAnsi="仿宋" w:eastAsia="仿宋_GB2312" w:cs="仿宋_GB2312"/>
          <w:color w:val="auto"/>
          <w:sz w:val="24"/>
          <w:highlight w:val="none"/>
          <w:lang w:eastAsia="zh-CN"/>
        </w:rPr>
        <w:t>2021-151</w:t>
      </w:r>
      <w:r>
        <w:rPr>
          <w:rFonts w:hint="eastAsia" w:ascii="仿宋_GB2312" w:hAnsi="仿宋" w:eastAsia="仿宋_GB2312" w:cs="仿宋_GB2312"/>
          <w:color w:val="auto"/>
          <w:sz w:val="24"/>
          <w:highlight w:val="none"/>
        </w:rPr>
        <w:t>】合同所必需的设备和专业技术能力。如中标，我方将保证合同顺利履行。</w:t>
      </w:r>
    </w:p>
    <w:p>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center"/>
        <w:rPr>
          <w:rFonts w:hint="eastAsia" w:ascii="仿宋_GB2312" w:hAnsi="仿宋" w:eastAsia="仿宋_GB2312" w:cs="仿宋_GB2312"/>
          <w:b/>
          <w:color w:val="auto"/>
          <w:kern w:val="0"/>
          <w:sz w:val="32"/>
          <w:szCs w:val="32"/>
          <w:highlight w:val="none"/>
        </w:rPr>
      </w:pPr>
    </w:p>
    <w:p>
      <w:pPr>
        <w:spacing w:line="360" w:lineRule="auto"/>
        <w:jc w:val="center"/>
        <w:rPr>
          <w:rFonts w:hint="eastAsia" w:ascii="仿宋_GB2312" w:hAnsi="仿宋" w:eastAsia="仿宋_GB2312" w:cs="仿宋_GB2312"/>
          <w:b/>
          <w:color w:val="auto"/>
          <w:kern w:val="0"/>
          <w:sz w:val="32"/>
          <w:szCs w:val="32"/>
          <w:highlight w:val="none"/>
        </w:rPr>
      </w:pPr>
    </w:p>
    <w:p>
      <w:pPr>
        <w:spacing w:line="360" w:lineRule="auto"/>
        <w:jc w:val="center"/>
        <w:rPr>
          <w:rFonts w:hint="eastAsia" w:ascii="仿宋_GB2312" w:hAnsi="仿宋" w:eastAsia="仿宋_GB2312" w:cs="仿宋_GB2312"/>
          <w:b/>
          <w:color w:val="auto"/>
          <w:kern w:val="0"/>
          <w:sz w:val="32"/>
          <w:szCs w:val="32"/>
          <w:highlight w:val="none"/>
        </w:rPr>
      </w:pPr>
    </w:p>
    <w:p>
      <w:pPr>
        <w:spacing w:line="360" w:lineRule="auto"/>
        <w:jc w:val="center"/>
        <w:rPr>
          <w:rFonts w:hint="eastAsia" w:ascii="仿宋_GB2312" w:hAnsi="仿宋" w:eastAsia="仿宋_GB2312" w:cs="仿宋_GB2312"/>
          <w:b/>
          <w:color w:val="auto"/>
          <w:kern w:val="0"/>
          <w:sz w:val="32"/>
          <w:szCs w:val="32"/>
          <w:highlight w:val="none"/>
        </w:rPr>
      </w:pPr>
    </w:p>
    <w:p>
      <w:pPr>
        <w:spacing w:line="360" w:lineRule="auto"/>
        <w:jc w:val="center"/>
        <w:rPr>
          <w:rFonts w:hint="eastAsia" w:ascii="仿宋_GB2312" w:hAnsi="仿宋" w:eastAsia="仿宋_GB2312" w:cs="仿宋_GB2312"/>
          <w:b/>
          <w:color w:val="auto"/>
          <w:kern w:val="0"/>
          <w:sz w:val="32"/>
          <w:szCs w:val="32"/>
          <w:highlight w:val="none"/>
        </w:rPr>
      </w:pPr>
    </w:p>
    <w:p>
      <w:pPr>
        <w:spacing w:line="360" w:lineRule="auto"/>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六、参加政府采购活动前三年内，在经营活动中</w:t>
      </w:r>
    </w:p>
    <w:p>
      <w:pPr>
        <w:spacing w:line="360" w:lineRule="auto"/>
        <w:jc w:val="center"/>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没有重大违法记录的声明</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杭州市南郊监狱</w:t>
      </w:r>
      <w:r>
        <w:rPr>
          <w:rFonts w:hint="eastAsia" w:ascii="仿宋_GB2312" w:hAnsi="仿宋" w:eastAsia="仿宋_GB2312" w:cs="仿宋_GB2312"/>
          <w:color w:val="auto"/>
          <w:sz w:val="24"/>
          <w:highlight w:val="none"/>
        </w:rPr>
        <w:t>、杭州市公共资源交易中心（杭州市政府采购中心）</w:t>
      </w:r>
      <w:r>
        <w:rPr>
          <w:rFonts w:hint="eastAsia" w:ascii="仿宋_GB2312" w:hAnsi="仿宋" w:eastAsia="仿宋_GB2312" w:cs="仿宋_GB2312"/>
          <w:color w:val="auto"/>
          <w:kern w:val="0"/>
          <w:sz w:val="24"/>
          <w:highlight w:val="none"/>
          <w:lang w:val="zh-CN"/>
        </w:rPr>
        <w:t>：</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lang w:val="zh-CN"/>
        </w:rPr>
        <w:t>我方</w:t>
      </w:r>
      <w:r>
        <w:rPr>
          <w:rFonts w:hint="eastAsia" w:ascii="仿宋_GB2312" w:hAnsi="仿宋" w:eastAsia="仿宋_GB2312" w:cs="仿宋_GB2312"/>
          <w:color w:val="auto"/>
          <w:sz w:val="24"/>
          <w:highlight w:val="none"/>
        </w:rPr>
        <w:t>声明投标截止时间前三年，在</w:t>
      </w:r>
      <w:r>
        <w:rPr>
          <w:rFonts w:hint="eastAsia" w:ascii="仿宋_GB2312" w:hAnsi="仿宋" w:eastAsia="仿宋_GB2312" w:cs="仿宋_GB2312"/>
          <w:color w:val="auto"/>
          <w:kern w:val="0"/>
          <w:sz w:val="24"/>
          <w:highlight w:val="none"/>
        </w:rPr>
        <w:t>经营活动中</w:t>
      </w:r>
      <w:r>
        <w:rPr>
          <w:rFonts w:hint="eastAsia" w:ascii="仿宋_GB2312" w:hAnsi="仿宋" w:eastAsia="仿宋_GB2312" w:cs="仿宋_GB2312"/>
          <w:color w:val="auto"/>
          <w:sz w:val="24"/>
          <w:highlight w:val="none"/>
        </w:rPr>
        <w:t xml:space="preserve">没有重大违法记录。 </w:t>
      </w:r>
    </w:p>
    <w:p>
      <w:pPr>
        <w:spacing w:line="360" w:lineRule="auto"/>
        <w:ind w:firstLine="480" w:firstLineChars="200"/>
        <w:rPr>
          <w:rFonts w:hint="eastAsia" w:ascii="仿宋_GB2312" w:hAnsi="仿宋" w:eastAsia="仿宋_GB2312" w:cs="仿宋_GB2312"/>
          <w:color w:val="auto"/>
          <w:sz w:val="24"/>
          <w:highlight w:val="none"/>
        </w:rPr>
      </w:pP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pPr>
        <w:snapToGrid w:val="0"/>
        <w:spacing w:line="360" w:lineRule="auto"/>
        <w:ind w:firstLine="1606" w:firstLineChars="500"/>
        <w:rPr>
          <w:rFonts w:hint="eastAsia" w:ascii="仿宋_GB2312" w:hAnsi="仿宋" w:eastAsia="仿宋_GB2312" w:cs="仿宋_GB2312"/>
          <w:b/>
          <w:color w:val="auto"/>
          <w:kern w:val="0"/>
          <w:sz w:val="32"/>
          <w:szCs w:val="32"/>
          <w:highlight w:val="none"/>
        </w:rPr>
      </w:pPr>
    </w:p>
    <w:p>
      <w:pPr>
        <w:snapToGrid w:val="0"/>
        <w:spacing w:line="360" w:lineRule="auto"/>
        <w:ind w:firstLine="1606" w:firstLineChars="500"/>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七、具有良好商业信誉特别声明</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杭州市南郊监狱</w:t>
      </w:r>
      <w:r>
        <w:rPr>
          <w:rFonts w:hint="eastAsia" w:ascii="仿宋_GB2312" w:hAnsi="仿宋" w:eastAsia="仿宋_GB2312" w:cs="仿宋_GB2312"/>
          <w:color w:val="auto"/>
          <w:sz w:val="24"/>
          <w:highlight w:val="none"/>
        </w:rPr>
        <w:t>、杭州市公共资源交易中心（杭州市政府采购中心）</w:t>
      </w:r>
      <w:r>
        <w:rPr>
          <w:rFonts w:hint="eastAsia" w:ascii="仿宋_GB2312" w:hAnsi="仿宋" w:eastAsia="仿宋_GB2312" w:cs="仿宋_GB2312"/>
          <w:color w:val="auto"/>
          <w:kern w:val="0"/>
          <w:sz w:val="24"/>
          <w:highlight w:val="none"/>
          <w:lang w:val="zh-CN"/>
        </w:rPr>
        <w:t>：</w:t>
      </w:r>
    </w:p>
    <w:p>
      <w:pPr>
        <w:snapToGrid w:val="0"/>
        <w:spacing w:line="360" w:lineRule="auto"/>
        <w:ind w:firstLine="48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sz w:val="24"/>
          <w:highlight w:val="none"/>
        </w:rPr>
        <w:t>截至投标截止时间，我方具有良好的商业信誉，不存在下列情形（包括但不限于）。否则，我方将承担在资格审查时不被通过的后果。</w:t>
      </w:r>
    </w:p>
    <w:p>
      <w:pPr>
        <w:pStyle w:val="414"/>
        <w:spacing w:before="0"/>
        <w:ind w:firstLine="495" w:firstLineChars="0"/>
        <w:rPr>
          <w:rFonts w:hint="eastAsia" w:ascii="仿宋_GB2312" w:hAnsi="仿宋" w:eastAsia="仿宋_GB2312"/>
          <w:color w:val="auto"/>
          <w:highlight w:val="none"/>
        </w:rPr>
      </w:pPr>
      <w:r>
        <w:rPr>
          <w:rFonts w:hint="eastAsia" w:ascii="仿宋_GB2312" w:hAnsi="仿宋" w:eastAsia="仿宋_GB2312"/>
          <w:color w:val="auto"/>
          <w:highlight w:val="none"/>
        </w:rPr>
        <w:t>1</w:t>
      </w:r>
      <w:r>
        <w:rPr>
          <w:rFonts w:hint="eastAsia" w:ascii="仿宋_GB2312" w:hAnsi="仿宋" w:eastAsia="仿宋_GB2312" w:cs="仿宋_GB2312"/>
          <w:b/>
          <w:color w:val="auto"/>
          <w:szCs w:val="24"/>
          <w:highlight w:val="none"/>
        </w:rPr>
        <w:t>、</w:t>
      </w:r>
      <w:r>
        <w:rPr>
          <w:rFonts w:hint="eastAsia" w:ascii="仿宋_GB2312" w:hAnsi="仿宋" w:eastAsia="仿宋_GB2312"/>
          <w:color w:val="auto"/>
          <w:highlight w:val="none"/>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hint="eastAsia" w:ascii="仿宋_GB2312" w:hAnsi="仿宋" w:eastAsia="仿宋_GB2312"/>
          <w:color w:val="auto"/>
          <w:sz w:val="24"/>
          <w:highlight w:val="none"/>
        </w:rPr>
      </w:pPr>
    </w:p>
    <w:p>
      <w:pPr>
        <w:snapToGrid w:val="0"/>
        <w:spacing w:line="360" w:lineRule="auto"/>
        <w:ind w:firstLine="4680" w:firstLineChars="19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投标人名称(电子签名)：</w:t>
      </w:r>
    </w:p>
    <w:p>
      <w:pPr>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center"/>
        <w:rPr>
          <w:rFonts w:hint="eastAsia" w:ascii="仿宋_GB2312" w:hAnsi="仿宋" w:eastAsia="仿宋_GB2312" w:cs="仿宋_GB2312"/>
          <w:b/>
          <w:color w:val="auto"/>
          <w:sz w:val="30"/>
          <w:szCs w:val="30"/>
          <w:highlight w:val="none"/>
        </w:rPr>
      </w:pPr>
    </w:p>
    <w:p>
      <w:pPr>
        <w:spacing w:line="360" w:lineRule="auto"/>
        <w:jc w:val="center"/>
        <w:rPr>
          <w:rFonts w:hint="eastAsia" w:ascii="仿宋_GB2312" w:hAnsi="仿宋" w:eastAsia="仿宋_GB2312" w:cs="仿宋_GB2312"/>
          <w:b/>
          <w:color w:val="auto"/>
          <w:sz w:val="32"/>
          <w:szCs w:val="32"/>
          <w:highlight w:val="none"/>
        </w:rPr>
      </w:pPr>
    </w:p>
    <w:p>
      <w:pPr>
        <w:spacing w:line="360" w:lineRule="auto"/>
        <w:jc w:val="center"/>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八、特定资格条件要求的资质文件（复印件）</w:t>
      </w:r>
    </w:p>
    <w:p>
      <w:pPr>
        <w:widowControl/>
        <w:spacing w:line="360" w:lineRule="auto"/>
        <w:ind w:firstLine="480" w:firstLineChars="200"/>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hint="eastAsia" w:ascii="仿宋_GB2312" w:hAnsi="仿宋" w:eastAsia="仿宋_GB2312" w:cs="仿宋_GB2312"/>
          <w:color w:val="auto"/>
          <w:sz w:val="24"/>
          <w:highlight w:val="none"/>
        </w:rPr>
      </w:pPr>
    </w:p>
    <w:p>
      <w:pPr>
        <w:snapToGrid w:val="0"/>
        <w:spacing w:before="50" w:after="50" w:line="360" w:lineRule="auto"/>
        <w:jc w:val="center"/>
        <w:rPr>
          <w:rFonts w:hint="eastAsia" w:ascii="仿宋_GB2312" w:hAnsi="仿宋" w:eastAsia="仿宋_GB2312" w:cs="仿宋_GB2312"/>
          <w:b/>
          <w:color w:val="auto"/>
          <w:sz w:val="30"/>
          <w:szCs w:val="30"/>
          <w:highlight w:val="none"/>
        </w:rPr>
      </w:pPr>
      <w:r>
        <w:rPr>
          <w:rFonts w:ascii="仿宋_GB2312" w:hAnsi="仿宋" w:eastAsia="仿宋_GB2312" w:cs="仿宋_GB2312"/>
          <w:b/>
          <w:color w:val="auto"/>
          <w:sz w:val="32"/>
          <w:szCs w:val="32"/>
          <w:highlight w:val="none"/>
        </w:rPr>
        <w:br w:type="page"/>
      </w:r>
      <w:r>
        <w:rPr>
          <w:rFonts w:hint="eastAsia" w:ascii="仿宋_GB2312" w:hAnsi="仿宋" w:eastAsia="仿宋_GB2312" w:cs="仿宋_GB2312"/>
          <w:b/>
          <w:color w:val="auto"/>
          <w:sz w:val="32"/>
          <w:szCs w:val="32"/>
          <w:highlight w:val="none"/>
        </w:rPr>
        <w:t>九</w:t>
      </w:r>
      <w:r>
        <w:rPr>
          <w:rFonts w:hint="eastAsia" w:ascii="仿宋_GB2312" w:hAnsi="仿宋" w:eastAsia="仿宋_GB2312" w:cs="仿宋_GB2312"/>
          <w:b/>
          <w:color w:val="auto"/>
          <w:sz w:val="30"/>
          <w:szCs w:val="30"/>
          <w:highlight w:val="none"/>
        </w:rPr>
        <w:t>、联合体协议（扫描件加盖上传公司电子签名）</w:t>
      </w:r>
    </w:p>
    <w:p>
      <w:pPr>
        <w:widowControl/>
        <w:spacing w:line="360" w:lineRule="auto"/>
        <w:ind w:firstLine="480" w:firstLineChars="200"/>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（以联合体形式投标的，提供联合体协议；本项目不允许联合体投标，或者投标人不以联合体形式投标的，则不需要提供）</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甲方：</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乙方：</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各方经协商一致，决定组成一个联合体，以一个投标人的身份就杭州市公共资源交易中心组织实施的</w:t>
      </w:r>
      <w:r>
        <w:rPr>
          <w:rFonts w:hint="eastAsia" w:ascii="仿宋_GB2312" w:hAnsi="仿宋" w:eastAsia="仿宋_GB2312" w:cs="仿宋_GB2312"/>
          <w:color w:val="auto"/>
          <w:sz w:val="24"/>
          <w:highlight w:val="none"/>
          <w:lang w:eastAsia="zh-CN"/>
        </w:rPr>
        <w:t>杭州市南郊监狱改扩建工程安防建设政府采购项目</w:t>
      </w:r>
      <w:r>
        <w:rPr>
          <w:rFonts w:hint="eastAsia" w:ascii="仿宋_GB2312" w:hAnsi="仿宋" w:eastAsia="仿宋_GB2312" w:cs="仿宋_GB2312"/>
          <w:color w:val="auto"/>
          <w:sz w:val="24"/>
          <w:highlight w:val="none"/>
        </w:rPr>
        <w:t>【招标编号：HZZFCG-</w:t>
      </w:r>
      <w:r>
        <w:rPr>
          <w:rFonts w:hint="eastAsia" w:ascii="仿宋_GB2312" w:hAnsi="仿宋" w:eastAsia="仿宋_GB2312" w:cs="仿宋_GB2312"/>
          <w:color w:val="auto"/>
          <w:sz w:val="24"/>
          <w:highlight w:val="none"/>
          <w:lang w:eastAsia="zh-CN"/>
        </w:rPr>
        <w:t>2021-151</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 xml:space="preserve">共同投标。 </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Arial"/>
          <w:color w:val="auto"/>
          <w:sz w:val="24"/>
          <w:highlight w:val="none"/>
        </w:rPr>
        <w:t>指定</w:t>
      </w:r>
      <w:r>
        <w:rPr>
          <w:rFonts w:hint="eastAsia" w:ascii="仿宋_GB2312" w:hAnsi="仿宋" w:eastAsia="仿宋_GB2312"/>
          <w:color w:val="auto"/>
          <w:highlight w:val="none"/>
          <w:u w:val="single"/>
        </w:rPr>
        <w:t xml:space="preserve">   </w:t>
      </w:r>
      <w:r>
        <w:rPr>
          <w:rFonts w:hint="eastAsia" w:ascii="仿宋_GB2312" w:hAnsi="仿宋" w:eastAsia="仿宋_GB2312" w:cs="Arial"/>
          <w:color w:val="auto"/>
          <w:sz w:val="24"/>
          <w:highlight w:val="none"/>
        </w:rPr>
        <w:t>方牵头人，代表所有联合体成员负责投标和合同实施阶段的主办、协调工作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三、本次联合投标中，分工如下：甲方承担的工作和义务为：</w:t>
      </w:r>
      <w:r>
        <w:rPr>
          <w:rFonts w:hint="eastAsia"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；乙方承担的工作和义务为：</w:t>
      </w:r>
      <w:r>
        <w:rPr>
          <w:rFonts w:hint="eastAsia"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五、有关本次联合投标的其他事宜：</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76"/>
        <w:rPr>
          <w:rFonts w:hint="eastAsia" w:ascii="仿宋_GB2312" w:hAnsi="仿宋" w:eastAsia="仿宋_GB2312" w:cs="仿宋_GB2312"/>
          <w:color w:val="auto"/>
          <w:kern w:val="0"/>
          <w:sz w:val="24"/>
          <w:highlight w:val="none"/>
          <w:lang w:val="zh-CN"/>
        </w:rPr>
      </w:pP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甲方单位：   （公章或电子签名）        乙方单位：  （公章或电子签名）</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lang w:val="zh-CN"/>
        </w:rPr>
        <w:t>日期：    年   月   日                  日期：    年   月   日</w:t>
      </w:r>
    </w:p>
    <w:p>
      <w:pPr>
        <w:snapToGrid w:val="0"/>
        <w:spacing w:line="360" w:lineRule="auto"/>
        <w:ind w:firstLine="2891" w:firstLineChars="900"/>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bCs/>
          <w:color w:val="auto"/>
          <w:sz w:val="32"/>
          <w:szCs w:val="32"/>
          <w:highlight w:val="none"/>
        </w:rPr>
        <w:br w:type="page"/>
      </w: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hint="eastAsia" w:ascii="仿宋_GB2312" w:hAnsi="仿宋" w:eastAsia="仿宋_GB2312" w:cs="仿宋_GB2312"/>
          <w:b/>
          <w:color w:val="auto"/>
          <w:kern w:val="0"/>
          <w:sz w:val="24"/>
          <w:highlight w:val="none"/>
        </w:rPr>
      </w:pPr>
    </w:p>
    <w:p>
      <w:pPr>
        <w:spacing w:line="360" w:lineRule="auto"/>
        <w:jc w:val="center"/>
        <w:outlineLvl w:val="0"/>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outlineLvl w:val="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（1）投标响应函……………………………………………………（页码）</w:t>
      </w:r>
    </w:p>
    <w:p>
      <w:pPr>
        <w:spacing w:line="360" w:lineRule="auto"/>
        <w:outlineLvl w:val="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（2）投标（开标）一览表…………………………………………（页码）</w:t>
      </w:r>
    </w:p>
    <w:p>
      <w:pPr>
        <w:spacing w:line="360" w:lineRule="auto"/>
        <w:outlineLvl w:val="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（3）中小企业声明函………………………………………………（页码）</w:t>
      </w:r>
    </w:p>
    <w:p>
      <w:pPr>
        <w:spacing w:line="360" w:lineRule="auto"/>
        <w:ind w:left="2" w:firstLine="480" w:firstLineChars="200"/>
        <w:rPr>
          <w:rFonts w:hint="eastAsia" w:ascii="仿宋_GB2312" w:hAnsi="仿宋" w:eastAsia="仿宋_GB2312" w:cs="仿宋_GB2312"/>
          <w:color w:val="auto"/>
          <w:sz w:val="24"/>
          <w:highlight w:val="none"/>
        </w:rPr>
      </w:pPr>
    </w:p>
    <w:p>
      <w:pPr>
        <w:spacing w:line="360" w:lineRule="auto"/>
        <w:ind w:left="2" w:firstLine="480" w:firstLineChars="200"/>
        <w:rPr>
          <w:rFonts w:hint="eastAsia" w:ascii="仿宋_GB2312" w:hAnsi="仿宋" w:eastAsia="仿宋_GB2312" w:cs="仿宋_GB2312"/>
          <w:color w:val="auto"/>
          <w:sz w:val="24"/>
          <w:highlight w:val="none"/>
        </w:rPr>
      </w:pPr>
    </w:p>
    <w:p>
      <w:pPr>
        <w:spacing w:line="360" w:lineRule="auto"/>
        <w:ind w:left="2" w:firstLine="480" w:firstLineChars="200"/>
        <w:rPr>
          <w:rFonts w:hint="eastAsia" w:ascii="仿宋_GB2312" w:hAnsi="仿宋" w:eastAsia="仿宋_GB2312" w:cs="仿宋_GB2312"/>
          <w:color w:val="auto"/>
          <w:sz w:val="24"/>
          <w:highlight w:val="none"/>
        </w:rPr>
      </w:pPr>
    </w:p>
    <w:p>
      <w:pPr>
        <w:spacing w:line="360" w:lineRule="auto"/>
        <w:ind w:left="2" w:firstLine="480" w:firstLineChars="200"/>
        <w:rPr>
          <w:rFonts w:hint="eastAsia" w:ascii="仿宋_GB2312" w:hAnsi="仿宋" w:eastAsia="仿宋_GB2312" w:cs="仿宋_GB2312"/>
          <w:color w:val="auto"/>
          <w:sz w:val="24"/>
          <w:highlight w:val="none"/>
        </w:rPr>
      </w:pPr>
    </w:p>
    <w:p>
      <w:pPr>
        <w:spacing w:line="360" w:lineRule="auto"/>
        <w:ind w:left="2" w:firstLine="480" w:firstLineChars="200"/>
        <w:rPr>
          <w:rFonts w:hint="eastAsia" w:ascii="仿宋_GB2312" w:hAnsi="仿宋" w:eastAsia="仿宋_GB2312" w:cs="仿宋_GB2312"/>
          <w:color w:val="auto"/>
          <w:sz w:val="24"/>
          <w:highlight w:val="none"/>
        </w:rPr>
      </w:pPr>
    </w:p>
    <w:p>
      <w:pPr>
        <w:snapToGrid w:val="0"/>
        <w:spacing w:line="360" w:lineRule="auto"/>
        <w:jc w:val="center"/>
        <w:outlineLvl w:val="0"/>
        <w:rPr>
          <w:rFonts w:hint="eastAsia" w:ascii="仿宋_GB2312" w:hAnsi="仿宋" w:eastAsia="仿宋_GB2312" w:cs="仿宋_GB2312"/>
          <w:b/>
          <w:color w:val="auto"/>
          <w:kern w:val="0"/>
          <w:sz w:val="32"/>
          <w:szCs w:val="32"/>
          <w:highlight w:val="none"/>
        </w:rPr>
      </w:pPr>
    </w:p>
    <w:p>
      <w:pPr>
        <w:snapToGrid w:val="0"/>
        <w:spacing w:line="360" w:lineRule="auto"/>
        <w:jc w:val="center"/>
        <w:outlineLvl w:val="0"/>
        <w:rPr>
          <w:rFonts w:hint="eastAsia" w:ascii="仿宋_GB2312" w:hAnsi="仿宋" w:eastAsia="仿宋_GB2312" w:cs="仿宋_GB2312"/>
          <w:b/>
          <w:color w:val="auto"/>
          <w:kern w:val="0"/>
          <w:sz w:val="32"/>
          <w:szCs w:val="32"/>
          <w:highlight w:val="none"/>
        </w:rPr>
      </w:pPr>
    </w:p>
    <w:p>
      <w:pPr>
        <w:snapToGrid w:val="0"/>
        <w:spacing w:line="360" w:lineRule="auto"/>
        <w:jc w:val="center"/>
        <w:outlineLvl w:val="0"/>
        <w:rPr>
          <w:rFonts w:hint="eastAsia" w:ascii="仿宋_GB2312" w:hAnsi="仿宋" w:eastAsia="仿宋_GB2312" w:cs="仿宋_GB2312"/>
          <w:b/>
          <w:color w:val="auto"/>
          <w:kern w:val="0"/>
          <w:sz w:val="32"/>
          <w:szCs w:val="32"/>
          <w:highlight w:val="none"/>
        </w:rPr>
      </w:pPr>
    </w:p>
    <w:p>
      <w:pPr>
        <w:snapToGrid w:val="0"/>
        <w:spacing w:line="360" w:lineRule="auto"/>
        <w:jc w:val="center"/>
        <w:outlineLvl w:val="0"/>
        <w:rPr>
          <w:rFonts w:hint="eastAsia" w:ascii="仿宋_GB2312" w:hAnsi="仿宋" w:eastAsia="仿宋_GB2312" w:cs="仿宋_GB2312"/>
          <w:b/>
          <w:color w:val="auto"/>
          <w:kern w:val="0"/>
          <w:sz w:val="32"/>
          <w:szCs w:val="32"/>
          <w:highlight w:val="none"/>
        </w:rPr>
      </w:pPr>
    </w:p>
    <w:p>
      <w:pPr>
        <w:snapToGrid w:val="0"/>
        <w:spacing w:line="360" w:lineRule="auto"/>
        <w:jc w:val="center"/>
        <w:outlineLvl w:val="0"/>
        <w:rPr>
          <w:rFonts w:hint="eastAsia" w:ascii="仿宋_GB2312" w:hAnsi="仿宋" w:eastAsia="仿宋_GB2312" w:cs="仿宋_GB2312"/>
          <w:b/>
          <w:color w:val="auto"/>
          <w:kern w:val="0"/>
          <w:sz w:val="32"/>
          <w:szCs w:val="32"/>
          <w:highlight w:val="none"/>
        </w:rPr>
      </w:pPr>
    </w:p>
    <w:p>
      <w:pPr>
        <w:snapToGrid w:val="0"/>
        <w:spacing w:line="360" w:lineRule="auto"/>
        <w:jc w:val="center"/>
        <w:outlineLvl w:val="0"/>
        <w:rPr>
          <w:rFonts w:hint="eastAsia" w:ascii="仿宋_GB2312" w:hAnsi="仿宋" w:eastAsia="仿宋_GB2312" w:cs="仿宋_GB2312"/>
          <w:b/>
          <w:color w:val="auto"/>
          <w:kern w:val="0"/>
          <w:sz w:val="32"/>
          <w:szCs w:val="32"/>
          <w:highlight w:val="none"/>
        </w:rPr>
      </w:pPr>
    </w:p>
    <w:p>
      <w:pPr>
        <w:snapToGrid w:val="0"/>
        <w:spacing w:line="360" w:lineRule="auto"/>
        <w:jc w:val="center"/>
        <w:outlineLvl w:val="0"/>
        <w:rPr>
          <w:rFonts w:hint="eastAsia" w:ascii="仿宋_GB2312" w:hAnsi="仿宋" w:eastAsia="仿宋_GB2312" w:cs="仿宋_GB2312"/>
          <w:b/>
          <w:color w:val="auto"/>
          <w:kern w:val="0"/>
          <w:sz w:val="32"/>
          <w:szCs w:val="32"/>
          <w:highlight w:val="none"/>
        </w:rPr>
      </w:pPr>
    </w:p>
    <w:p>
      <w:pPr>
        <w:snapToGrid w:val="0"/>
        <w:spacing w:line="360" w:lineRule="auto"/>
        <w:jc w:val="center"/>
        <w:outlineLvl w:val="0"/>
        <w:rPr>
          <w:rFonts w:hint="eastAsia" w:ascii="仿宋_GB2312" w:hAnsi="仿宋" w:eastAsia="仿宋_GB2312" w:cs="仿宋_GB2312"/>
          <w:b/>
          <w:color w:val="auto"/>
          <w:kern w:val="0"/>
          <w:sz w:val="32"/>
          <w:szCs w:val="32"/>
          <w:highlight w:val="none"/>
        </w:rPr>
      </w:pPr>
    </w:p>
    <w:p>
      <w:pPr>
        <w:snapToGrid w:val="0"/>
        <w:spacing w:line="360" w:lineRule="auto"/>
        <w:jc w:val="center"/>
        <w:outlineLvl w:val="0"/>
        <w:rPr>
          <w:rFonts w:hint="eastAsia" w:ascii="仿宋_GB2312" w:hAnsi="仿宋" w:eastAsia="仿宋_GB2312" w:cs="仿宋_GB2312"/>
          <w:b/>
          <w:color w:val="auto"/>
          <w:kern w:val="0"/>
          <w:sz w:val="32"/>
          <w:szCs w:val="32"/>
          <w:highlight w:val="none"/>
        </w:rPr>
      </w:pPr>
    </w:p>
    <w:p>
      <w:pPr>
        <w:snapToGrid w:val="0"/>
        <w:spacing w:line="360" w:lineRule="auto"/>
        <w:jc w:val="center"/>
        <w:outlineLvl w:val="0"/>
        <w:rPr>
          <w:rFonts w:hint="eastAsia" w:ascii="仿宋_GB2312" w:hAnsi="仿宋" w:eastAsia="仿宋_GB2312" w:cs="仿宋_GB2312"/>
          <w:b/>
          <w:color w:val="auto"/>
          <w:kern w:val="0"/>
          <w:sz w:val="32"/>
          <w:szCs w:val="32"/>
          <w:highlight w:val="none"/>
        </w:rPr>
      </w:pPr>
    </w:p>
    <w:p>
      <w:pPr>
        <w:snapToGrid w:val="0"/>
        <w:spacing w:line="360" w:lineRule="auto"/>
        <w:jc w:val="center"/>
        <w:outlineLvl w:val="0"/>
        <w:rPr>
          <w:rFonts w:hint="eastAsia" w:ascii="仿宋_GB2312" w:hAnsi="仿宋" w:eastAsia="仿宋_GB2312" w:cs="仿宋_GB2312"/>
          <w:b/>
          <w:color w:val="auto"/>
          <w:kern w:val="0"/>
          <w:sz w:val="32"/>
          <w:szCs w:val="32"/>
          <w:highlight w:val="none"/>
        </w:rPr>
      </w:pPr>
    </w:p>
    <w:p>
      <w:pPr>
        <w:snapToGrid w:val="0"/>
        <w:spacing w:line="360" w:lineRule="auto"/>
        <w:jc w:val="center"/>
        <w:outlineLvl w:val="0"/>
        <w:rPr>
          <w:rFonts w:hint="eastAsia" w:ascii="仿宋_GB2312" w:hAnsi="仿宋" w:eastAsia="仿宋_GB2312" w:cs="仿宋_GB2312"/>
          <w:b/>
          <w:color w:val="auto"/>
          <w:kern w:val="0"/>
          <w:sz w:val="32"/>
          <w:szCs w:val="32"/>
          <w:highlight w:val="none"/>
        </w:rPr>
      </w:pPr>
    </w:p>
    <w:p>
      <w:pPr>
        <w:pStyle w:val="2"/>
        <w:rPr>
          <w:rFonts w:hint="eastAsia"/>
          <w:color w:val="auto"/>
          <w:highlight w:val="none"/>
        </w:rPr>
      </w:pPr>
    </w:p>
    <w:p>
      <w:pPr>
        <w:snapToGrid w:val="0"/>
        <w:spacing w:line="360" w:lineRule="auto"/>
        <w:jc w:val="center"/>
        <w:outlineLvl w:val="0"/>
        <w:rPr>
          <w:rFonts w:hint="eastAsia" w:ascii="仿宋_GB2312" w:hAnsi="仿宋" w:eastAsia="仿宋_GB2312" w:cs="仿宋_GB2312"/>
          <w:b/>
          <w:color w:val="auto"/>
          <w:kern w:val="0"/>
          <w:sz w:val="32"/>
          <w:szCs w:val="32"/>
          <w:highlight w:val="none"/>
        </w:rPr>
      </w:pPr>
    </w:p>
    <w:p>
      <w:pPr>
        <w:snapToGrid w:val="0"/>
        <w:spacing w:line="360" w:lineRule="auto"/>
        <w:jc w:val="center"/>
        <w:outlineLvl w:val="0"/>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一、投标响应</w:t>
      </w:r>
      <w:r>
        <w:rPr>
          <w:rFonts w:hint="eastAsia" w:ascii="仿宋_GB2312" w:hAnsi="仿宋" w:eastAsia="仿宋_GB2312" w:cs="仿宋_GB2312"/>
          <w:b/>
          <w:color w:val="auto"/>
          <w:sz w:val="32"/>
          <w:szCs w:val="32"/>
          <w:highlight w:val="none"/>
        </w:rPr>
        <w:t>函</w:t>
      </w:r>
    </w:p>
    <w:p>
      <w:pPr>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杭州市南郊监狱</w:t>
      </w:r>
      <w:r>
        <w:rPr>
          <w:rFonts w:hint="eastAsia" w:ascii="仿宋_GB2312" w:hAnsi="仿宋" w:eastAsia="仿宋_GB2312" w:cs="仿宋_GB2312"/>
          <w:color w:val="auto"/>
          <w:sz w:val="24"/>
          <w:highlight w:val="none"/>
        </w:rPr>
        <w:t>、杭州市公共资源交易中心（杭州市政府采购中心）：</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sz w:val="24"/>
          <w:highlight w:val="none"/>
        </w:rPr>
        <w:t>(投标人全称)授权</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sz w:val="24"/>
          <w:highlight w:val="none"/>
        </w:rPr>
        <w:t>(全权代表姓名)</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sz w:val="24"/>
          <w:highlight w:val="none"/>
        </w:rPr>
        <w:t>(职务、职称)为全权代表，参加贵方组织的</w:t>
      </w:r>
      <w:r>
        <w:rPr>
          <w:rFonts w:hint="eastAsia" w:ascii="仿宋_GB2312" w:hAnsi="仿宋" w:eastAsia="仿宋_GB2312" w:cs="仿宋_GB2312"/>
          <w:color w:val="auto"/>
          <w:sz w:val="24"/>
          <w:highlight w:val="none"/>
          <w:lang w:eastAsia="zh-CN"/>
        </w:rPr>
        <w:t>杭州市南郊监狱改扩建工程安防建设政府采购项目</w:t>
      </w:r>
      <w:r>
        <w:rPr>
          <w:rFonts w:hint="eastAsia" w:ascii="仿宋_GB2312" w:hAnsi="仿宋" w:eastAsia="仿宋_GB2312" w:cs="仿宋_GB2312"/>
          <w:color w:val="auto"/>
          <w:sz w:val="24"/>
          <w:highlight w:val="none"/>
        </w:rPr>
        <w:t>【招标编号：HZZFCG-</w:t>
      </w:r>
      <w:r>
        <w:rPr>
          <w:rFonts w:hint="eastAsia" w:ascii="仿宋_GB2312" w:hAnsi="仿宋" w:eastAsia="仿宋_GB2312" w:cs="仿宋_GB2312"/>
          <w:color w:val="auto"/>
          <w:sz w:val="24"/>
          <w:highlight w:val="none"/>
          <w:lang w:eastAsia="zh-CN"/>
        </w:rPr>
        <w:t>2021-151</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1、我方同意在投标人</w:t>
      </w:r>
      <w:r>
        <w:rPr>
          <w:rFonts w:hint="eastAsia" w:ascii="仿宋_GB2312" w:hAnsi="仿宋" w:eastAsia="仿宋_GB2312" w:cs="仿宋_GB2312"/>
          <w:color w:val="auto"/>
          <w:kern w:val="44"/>
          <w:sz w:val="24"/>
          <w:highlight w:val="none"/>
        </w:rPr>
        <w:t>投标人须知</w:t>
      </w:r>
      <w:r>
        <w:rPr>
          <w:rFonts w:hint="eastAsia" w:ascii="仿宋_GB2312" w:hAnsi="仿宋" w:eastAsia="仿宋_GB2312" w:cs="仿宋_GB2312"/>
          <w:color w:val="auto"/>
          <w:sz w:val="24"/>
          <w:highlight w:val="none"/>
        </w:rPr>
        <w:t>规定的开标日期起遵守本投标文件中的承诺且在投标有效期满之前均具有约束力。</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2、我方承诺已经具备《中华人民共和国政府采购法》中规定的参加政府采购活动的供应商应当具备的条件：</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(1)具有独立承担民事责任的能力；</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(2)遵守国家法律、行政法规，具有良好的信誉和商业道德；</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(3)具有履行合同的能力和良好的履行合同记录；</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(4)良好的资金、财务状况；</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(5)产品及生产所需装备符合中国政府规定的相应技术标准和环保标准；</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(6)没有违反政府采购法规、政策的记录；</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(7)没有发生重大经济纠纷和走私犯罪记录。</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3、我方中标后拟在中标后将</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工作分包，分包承担主体是</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，我方承诺分包承担主体具备相应资质条件</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，且不再次分包。（不再将工作进行分包或本项目不允许分包的，下划线处填写“/”。）</w:t>
      </w:r>
    </w:p>
    <w:p>
      <w:pPr>
        <w:pStyle w:val="33"/>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4、提供</w:t>
      </w:r>
      <w:r>
        <w:rPr>
          <w:rFonts w:hint="eastAsia" w:ascii="仿宋_GB2312" w:hAnsi="仿宋" w:eastAsia="仿宋_GB2312" w:cs="仿宋_GB2312"/>
          <w:color w:val="auto"/>
          <w:kern w:val="44"/>
          <w:sz w:val="24"/>
          <w:highlight w:val="none"/>
        </w:rPr>
        <w:t>投标人须知</w:t>
      </w:r>
      <w:r>
        <w:rPr>
          <w:rFonts w:hint="eastAsia" w:ascii="仿宋_GB2312" w:hAnsi="仿宋" w:eastAsia="仿宋_GB2312" w:cs="仿宋_GB2312"/>
          <w:color w:val="auto"/>
          <w:sz w:val="24"/>
          <w:highlight w:val="none"/>
        </w:rPr>
        <w:t>规定的全部投标文件</w:t>
      </w:r>
      <w:r>
        <w:rPr>
          <w:rFonts w:hint="eastAsia" w:ascii="仿宋_GB2312" w:hAnsi="仿宋" w:eastAsia="仿宋_GB2312" w:cs="仿宋_GB2312"/>
          <w:color w:val="auto"/>
          <w:kern w:val="44"/>
          <w:sz w:val="24"/>
          <w:highlight w:val="none"/>
        </w:rPr>
        <w:t>。</w:t>
      </w:r>
      <w:r>
        <w:rPr>
          <w:rFonts w:hint="eastAsia" w:ascii="仿宋_GB2312" w:hAnsi="仿宋" w:eastAsia="仿宋_GB2312" w:cs="仿宋_GB2312"/>
          <w:color w:val="auto"/>
          <w:sz w:val="24"/>
          <w:highlight w:val="none"/>
        </w:rPr>
        <w:t>具体内容为：</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(1)投标(开标)一览表；</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(2)投标</w:t>
      </w:r>
      <w:r>
        <w:rPr>
          <w:rFonts w:hint="eastAsia" w:ascii="仿宋_GB2312" w:hAnsi="仿宋" w:eastAsia="仿宋_GB2312" w:cs="仿宋_GB2312"/>
          <w:color w:val="auto"/>
          <w:kern w:val="0"/>
          <w:sz w:val="24"/>
          <w:highlight w:val="none"/>
          <w:lang w:val="zh-CN"/>
        </w:rPr>
        <w:t>技术文件和</w:t>
      </w:r>
      <w:r>
        <w:rPr>
          <w:rFonts w:hint="eastAsia" w:ascii="仿宋_GB2312" w:hAnsi="仿宋" w:eastAsia="仿宋_GB2312" w:cs="仿宋_GB2312"/>
          <w:color w:val="auto"/>
          <w:sz w:val="24"/>
          <w:highlight w:val="none"/>
          <w:lang w:val="zh-CN"/>
        </w:rPr>
        <w:t>商务文件</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r>
        <w:rPr>
          <w:rFonts w:hint="eastAsia" w:ascii="仿宋_GB2312" w:hAnsi="仿宋" w:eastAsia="仿宋_GB2312" w:cs="仿宋_GB2312"/>
          <w:color w:val="auto"/>
          <w:kern w:val="44"/>
          <w:sz w:val="24"/>
          <w:highlight w:val="none"/>
        </w:rPr>
        <w:t>投标人须知</w:t>
      </w:r>
      <w:r>
        <w:rPr>
          <w:rFonts w:hint="eastAsia" w:ascii="仿宋_GB2312" w:hAnsi="仿宋" w:eastAsia="仿宋_GB2312" w:cs="仿宋_GB2312"/>
          <w:color w:val="auto"/>
          <w:sz w:val="24"/>
          <w:highlight w:val="none"/>
        </w:rPr>
        <w:t>要求投标人提交的全部文件；</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(4)按招标文件要求提供和交付的货物和服务的投标报价详见投标(开标)一览表；</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(5)保证忠实地执行双方所签订的合同，并承担合同规定的责任和义务；</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(6)保证遵守招标文件中的其他有关规定。</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5、我方承诺投标有效期从提交投标文件的截止之日起</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天，不少于招标文件中载明的投标有效期（从提交投标文件的截止之日起90天）。</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6、我方完全理解贵方不一定要接受最低价的投标。</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8、我方已详细审核全部招标文件，包括招标文件修改书(如果有)、参考资料及有关附件，确认无误。</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a)提供虚假材料谋取中标、成交的；</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b)采取不正当手段诋毁、排挤其他供应商的；</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c)与采购人、其它供应商或者采购机构恶意串通的；</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d)向采购人、采购机构行贿或者提供其他不正当利益的；</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e)在招标采购过程中与采购人进行协商谈判的；</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f)拒绝有关部门监督检查或提供虚假情况的。</w:t>
      </w:r>
    </w:p>
    <w:p>
      <w:pPr>
        <w:snapToGrid w:val="0"/>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供应商有前款第a)至e)项情形之一的，中标、成交无效。</w:t>
      </w:r>
    </w:p>
    <w:p>
      <w:pPr>
        <w:spacing w:line="360" w:lineRule="auto"/>
        <w:ind w:firstLine="3600" w:firstLineChars="15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投标人名称（电子签名）：                          </w:t>
      </w:r>
    </w:p>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hint="eastAsia" w:ascii="仿宋_GB2312" w:hAnsi="仿宋" w:eastAsia="仿宋_GB2312" w:cs="仿宋_GB2312"/>
          <w:color w:val="auto"/>
          <w:kern w:val="0"/>
          <w:sz w:val="24"/>
          <w:highlight w:val="none"/>
          <w:u w:val="single"/>
          <w:lang w:val="zh-CN"/>
        </w:rPr>
      </w:pPr>
    </w:p>
    <w:p>
      <w:pPr>
        <w:snapToGrid w:val="0"/>
        <w:spacing w:line="360" w:lineRule="auto"/>
        <w:ind w:left="420" w:left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联系人：</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 xml:space="preserve">联系电话： </w:t>
      </w:r>
      <w:r>
        <w:rPr>
          <w:rFonts w:hint="eastAsia" w:ascii="仿宋_GB2312" w:hAnsi="仿宋" w:eastAsia="仿宋_GB2312" w:cs="仿宋_GB2312"/>
          <w:color w:val="auto"/>
          <w:kern w:val="0"/>
          <w:sz w:val="24"/>
          <w:highlight w:val="none"/>
          <w:u w:val="single"/>
          <w:lang w:val="zh-CN"/>
        </w:rPr>
        <w:t xml:space="preserve">                </w:t>
      </w:r>
    </w:p>
    <w:p>
      <w:pPr>
        <w:snapToGrid w:val="0"/>
        <w:spacing w:line="360" w:lineRule="auto"/>
        <w:ind w:left="420" w:left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联系地址：</w:t>
      </w:r>
      <w:r>
        <w:rPr>
          <w:rFonts w:hint="eastAsia" w:ascii="仿宋_GB2312" w:hAnsi="仿宋" w:eastAsia="仿宋_GB2312" w:cs="仿宋_GB2312"/>
          <w:color w:val="auto"/>
          <w:kern w:val="0"/>
          <w:sz w:val="24"/>
          <w:highlight w:val="none"/>
          <w:u w:val="single"/>
          <w:lang w:val="zh-CN"/>
        </w:rPr>
        <w:t xml:space="preserve">                                                    </w:t>
      </w:r>
    </w:p>
    <w:p>
      <w:pPr>
        <w:snapToGrid w:val="0"/>
        <w:spacing w:line="360" w:lineRule="auto"/>
        <w:ind w:left="420" w:left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邮政编码：</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传真号码：</w:t>
      </w:r>
      <w:r>
        <w:rPr>
          <w:rFonts w:hint="eastAsia" w:ascii="仿宋_GB2312" w:hAnsi="仿宋" w:eastAsia="仿宋_GB2312" w:cs="仿宋_GB2312"/>
          <w:color w:val="auto"/>
          <w:kern w:val="0"/>
          <w:sz w:val="24"/>
          <w:highlight w:val="none"/>
          <w:u w:val="single"/>
          <w:lang w:val="zh-CN"/>
        </w:rPr>
        <w:t xml:space="preserve">                     </w:t>
      </w:r>
    </w:p>
    <w:p>
      <w:pPr>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b/>
          <w:color w:val="auto"/>
          <w:kern w:val="0"/>
          <w:sz w:val="24"/>
          <w:highlight w:val="none"/>
          <w:lang w:val="zh-CN"/>
        </w:rPr>
        <w:t>注：未按照本投标响应函要求填报的将被视为非实质性响应投标，从而可能导致该投标被拒绝。</w:t>
      </w:r>
    </w:p>
    <w:p>
      <w:pPr>
        <w:pStyle w:val="600"/>
        <w:keepNext w:val="0"/>
        <w:pageBreakBefore w:val="0"/>
        <w:tabs>
          <w:tab w:val="clear" w:pos="720"/>
        </w:tabs>
        <w:snapToGrid w:val="0"/>
        <w:spacing w:before="120" w:after="120"/>
        <w:ind w:firstLine="643"/>
        <w:outlineLvl w:val="9"/>
        <w:rPr>
          <w:rFonts w:hint="eastAsia" w:ascii="仿宋_GB2312" w:hAnsi="仿宋" w:eastAsia="仿宋_GB2312" w:cs="仿宋_GB2312"/>
          <w:color w:val="auto"/>
          <w:kern w:val="2"/>
          <w:sz w:val="32"/>
          <w:szCs w:val="32"/>
          <w:highlight w:val="none"/>
        </w:rPr>
        <w:sectPr>
          <w:headerReference r:id="rId12" w:type="first"/>
          <w:footerReference r:id="rId15" w:type="first"/>
          <w:headerReference r:id="rId10" w:type="default"/>
          <w:footerReference r:id="rId13" w:type="default"/>
          <w:headerReference r:id="rId11" w:type="even"/>
          <w:footerReference r:id="rId14" w:type="even"/>
          <w:pgSz w:w="11906" w:h="16838"/>
          <w:pgMar w:top="1247" w:right="1418" w:bottom="1276" w:left="1418" w:header="851" w:footer="992" w:gutter="0"/>
          <w:cols w:space="720" w:num="1"/>
          <w:titlePg/>
          <w:docGrid w:linePitch="312" w:charSpace="0"/>
        </w:sectPr>
      </w:pPr>
    </w:p>
    <w:p>
      <w:pPr>
        <w:pStyle w:val="600"/>
        <w:keepNext w:val="0"/>
        <w:pageBreakBefore w:val="0"/>
        <w:tabs>
          <w:tab w:val="clear" w:pos="720"/>
        </w:tabs>
        <w:snapToGrid w:val="0"/>
        <w:spacing w:before="120" w:after="120"/>
        <w:ind w:firstLine="643"/>
        <w:outlineLvl w:val="9"/>
        <w:rPr>
          <w:rFonts w:hint="eastAsia"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二、投标(开标)一览表</w:t>
      </w:r>
    </w:p>
    <w:p>
      <w:pPr>
        <w:snapToGrid w:val="0"/>
        <w:spacing w:line="360" w:lineRule="auto"/>
        <w:rPr>
          <w:rFonts w:hint="eastAsia" w:ascii="仿宋_GB2312" w:hAnsi="仿宋" w:eastAsia="仿宋_GB2312" w:cs="仿宋_GB2312"/>
          <w:color w:val="auto"/>
          <w:kern w:val="0"/>
          <w:sz w:val="24"/>
          <w:highlight w:val="none"/>
        </w:rPr>
      </w:pPr>
      <w:bookmarkStart w:id="565" w:name="_Toc86217005"/>
      <w:r>
        <w:rPr>
          <w:rFonts w:hint="eastAsia" w:ascii="仿宋_GB2312" w:hAnsi="仿宋" w:eastAsia="仿宋_GB2312" w:cs="仿宋_GB2312"/>
          <w:color w:val="auto"/>
          <w:sz w:val="24"/>
          <w:highlight w:val="none"/>
          <w:lang w:eastAsia="zh-CN"/>
        </w:rPr>
        <w:t>杭州市南郊监狱</w:t>
      </w:r>
      <w:r>
        <w:rPr>
          <w:rFonts w:hint="eastAsia" w:ascii="仿宋_GB2312" w:hAnsi="仿宋" w:eastAsia="仿宋_GB2312" w:cs="仿宋_GB2312"/>
          <w:color w:val="auto"/>
          <w:sz w:val="24"/>
          <w:highlight w:val="none"/>
        </w:rPr>
        <w:t>、杭州市公共资源交易中心（杭州市政府采购中心）</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color w:val="auto"/>
          <w:sz w:val="24"/>
          <w:highlight w:val="none"/>
          <w:lang w:eastAsia="zh-CN"/>
        </w:rPr>
        <w:t>杭州市南郊监狱改扩建工程安防建设政府采购项目</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s="仿宋_GB2312"/>
          <w:color w:val="auto"/>
          <w:sz w:val="24"/>
          <w:highlight w:val="none"/>
        </w:rPr>
        <w:t>HZZFCG-</w:t>
      </w:r>
      <w:r>
        <w:rPr>
          <w:rFonts w:hint="eastAsia" w:ascii="仿宋_GB2312" w:hAnsi="仿宋" w:eastAsia="仿宋_GB2312" w:cs="仿宋_GB2312"/>
          <w:color w:val="auto"/>
          <w:sz w:val="24"/>
          <w:highlight w:val="none"/>
          <w:lang w:eastAsia="zh-CN"/>
        </w:rPr>
        <w:t>2021-151</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投标(开标)一览表(单位均为人民币元)</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81" w:hRule="atLeast"/>
        </w:trPr>
        <w:tc>
          <w:tcPr>
            <w:tcW w:w="534" w:type="dxa"/>
            <w:noWrap w:val="0"/>
            <w:vAlign w:val="center"/>
          </w:tcPr>
          <w:p>
            <w:pPr>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417" w:type="dxa"/>
            <w:noWrap w:val="0"/>
            <w:vAlign w:val="center"/>
          </w:tcPr>
          <w:p>
            <w:pPr>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43" w:type="dxa"/>
            <w:noWrap w:val="0"/>
            <w:vAlign w:val="top"/>
          </w:tcPr>
          <w:p>
            <w:pPr>
              <w:spacing w:line="360" w:lineRule="auto"/>
              <w:jc w:val="center"/>
              <w:rPr>
                <w:rFonts w:hint="eastAsia" w:ascii="仿宋_GB2312" w:hAnsi="仿宋" w:eastAsia="仿宋_GB2312"/>
                <w:b/>
                <w:color w:val="auto"/>
                <w:sz w:val="24"/>
                <w:highlight w:val="none"/>
              </w:rPr>
            </w:pPr>
          </w:p>
          <w:p>
            <w:pPr>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3118" w:type="dxa"/>
            <w:noWrap w:val="0"/>
            <w:vAlign w:val="center"/>
          </w:tcPr>
          <w:p>
            <w:pPr>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规格型号（或具体服务）</w:t>
            </w:r>
          </w:p>
        </w:tc>
        <w:tc>
          <w:tcPr>
            <w:tcW w:w="993" w:type="dxa"/>
            <w:noWrap w:val="0"/>
            <w:vAlign w:val="center"/>
          </w:tcPr>
          <w:p>
            <w:pPr>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noWrap w:val="0"/>
            <w:vAlign w:val="center"/>
          </w:tcPr>
          <w:p>
            <w:pPr>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noWrap w:val="0"/>
            <w:vAlign w:val="center"/>
          </w:tcPr>
          <w:p>
            <w:pPr>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3119" w:type="dxa"/>
            <w:noWrap w:val="0"/>
            <w:vAlign w:val="center"/>
          </w:tcPr>
          <w:p>
            <w:pPr>
              <w:spacing w:line="360" w:lineRule="auto"/>
              <w:jc w:val="center"/>
              <w:rPr>
                <w:rFonts w:hint="eastAsia" w:ascii="仿宋_GB2312" w:hAnsi="仿宋" w:eastAsia="仿宋_GB2312"/>
                <w:b/>
                <w:color w:val="auto"/>
                <w:sz w:val="24"/>
                <w:highlight w:val="none"/>
              </w:rPr>
            </w:pPr>
          </w:p>
          <w:p>
            <w:pPr>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pPr>
              <w:spacing w:line="360" w:lineRule="auto"/>
              <w:jc w:val="center"/>
              <w:rPr>
                <w:rFonts w:hint="eastAsia" w:ascii="仿宋_GB2312" w:hAnsi="仿宋" w:eastAsia="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trPr>
        <w:tc>
          <w:tcPr>
            <w:tcW w:w="534" w:type="dxa"/>
            <w:noWrap w:val="0"/>
            <w:vAlign w:val="center"/>
          </w:tcPr>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1417"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1843"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3118"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993"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1559" w:type="dxa"/>
            <w:noWrap w:val="0"/>
            <w:vAlign w:val="center"/>
          </w:tcPr>
          <w:p>
            <w:pPr>
              <w:spacing w:line="360" w:lineRule="auto"/>
              <w:jc w:val="center"/>
              <w:rPr>
                <w:rFonts w:hint="eastAsia" w:ascii="仿宋_GB2312" w:hAnsi="仿宋" w:eastAsia="仿宋_GB2312" w:cs="仿宋_GB2312"/>
                <w:color w:val="auto"/>
                <w:sz w:val="24"/>
                <w:highlight w:val="none"/>
              </w:rPr>
            </w:pPr>
          </w:p>
        </w:tc>
        <w:tc>
          <w:tcPr>
            <w:tcW w:w="1984" w:type="dxa"/>
            <w:noWrap w:val="0"/>
            <w:vAlign w:val="center"/>
          </w:tcPr>
          <w:p>
            <w:pPr>
              <w:spacing w:line="360" w:lineRule="auto"/>
              <w:jc w:val="center"/>
              <w:rPr>
                <w:rFonts w:hint="eastAsia" w:ascii="仿宋_GB2312" w:hAnsi="仿宋" w:eastAsia="仿宋_GB2312" w:cs="仿宋_GB2312"/>
                <w:color w:val="auto"/>
                <w:sz w:val="24"/>
                <w:highlight w:val="none"/>
              </w:rPr>
            </w:pPr>
          </w:p>
        </w:tc>
        <w:tc>
          <w:tcPr>
            <w:tcW w:w="3119" w:type="dxa"/>
            <w:noWrap w:val="0"/>
            <w:vAlign w:val="center"/>
          </w:tcPr>
          <w:p>
            <w:pPr>
              <w:spacing w:line="360" w:lineRule="auto"/>
              <w:jc w:val="center"/>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534" w:type="dxa"/>
            <w:noWrap w:val="0"/>
            <w:vAlign w:val="center"/>
          </w:tcPr>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p>
        </w:tc>
        <w:tc>
          <w:tcPr>
            <w:tcW w:w="1417"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1843"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3118"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993"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1559" w:type="dxa"/>
            <w:noWrap w:val="0"/>
            <w:vAlign w:val="center"/>
          </w:tcPr>
          <w:p>
            <w:pPr>
              <w:spacing w:line="360" w:lineRule="auto"/>
              <w:jc w:val="center"/>
              <w:rPr>
                <w:rFonts w:hint="eastAsia" w:ascii="仿宋_GB2312" w:hAnsi="仿宋" w:eastAsia="仿宋_GB2312" w:cs="仿宋_GB2312"/>
                <w:color w:val="auto"/>
                <w:sz w:val="24"/>
                <w:highlight w:val="none"/>
              </w:rPr>
            </w:pPr>
          </w:p>
        </w:tc>
        <w:tc>
          <w:tcPr>
            <w:tcW w:w="1984" w:type="dxa"/>
            <w:noWrap w:val="0"/>
            <w:vAlign w:val="center"/>
          </w:tcPr>
          <w:p>
            <w:pPr>
              <w:spacing w:line="360" w:lineRule="auto"/>
              <w:jc w:val="center"/>
              <w:rPr>
                <w:rFonts w:hint="eastAsia" w:ascii="仿宋_GB2312" w:hAnsi="仿宋" w:eastAsia="仿宋_GB2312" w:cs="仿宋_GB2312"/>
                <w:color w:val="auto"/>
                <w:sz w:val="24"/>
                <w:highlight w:val="none"/>
              </w:rPr>
            </w:pPr>
          </w:p>
        </w:tc>
        <w:tc>
          <w:tcPr>
            <w:tcW w:w="3119" w:type="dxa"/>
            <w:noWrap w:val="0"/>
            <w:vAlign w:val="center"/>
          </w:tcPr>
          <w:p>
            <w:pPr>
              <w:spacing w:line="360" w:lineRule="auto"/>
              <w:jc w:val="center"/>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534" w:type="dxa"/>
            <w:noWrap w:val="0"/>
            <w:vAlign w:val="center"/>
          </w:tcPr>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p>
        </w:tc>
        <w:tc>
          <w:tcPr>
            <w:tcW w:w="1417"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1843"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3118"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993"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1559" w:type="dxa"/>
            <w:noWrap w:val="0"/>
            <w:vAlign w:val="center"/>
          </w:tcPr>
          <w:p>
            <w:pPr>
              <w:spacing w:line="360" w:lineRule="auto"/>
              <w:jc w:val="center"/>
              <w:rPr>
                <w:rFonts w:hint="eastAsia" w:ascii="仿宋_GB2312" w:hAnsi="仿宋" w:eastAsia="仿宋_GB2312" w:cs="仿宋_GB2312"/>
                <w:color w:val="auto"/>
                <w:sz w:val="24"/>
                <w:highlight w:val="none"/>
              </w:rPr>
            </w:pPr>
          </w:p>
        </w:tc>
        <w:tc>
          <w:tcPr>
            <w:tcW w:w="1984" w:type="dxa"/>
            <w:noWrap w:val="0"/>
            <w:vAlign w:val="center"/>
          </w:tcPr>
          <w:p>
            <w:pPr>
              <w:spacing w:line="360" w:lineRule="auto"/>
              <w:jc w:val="center"/>
              <w:rPr>
                <w:rFonts w:hint="eastAsia" w:ascii="仿宋_GB2312" w:hAnsi="仿宋" w:eastAsia="仿宋_GB2312" w:cs="仿宋_GB2312"/>
                <w:color w:val="auto"/>
                <w:sz w:val="24"/>
                <w:highlight w:val="none"/>
              </w:rPr>
            </w:pPr>
          </w:p>
        </w:tc>
        <w:tc>
          <w:tcPr>
            <w:tcW w:w="3119" w:type="dxa"/>
            <w:noWrap w:val="0"/>
            <w:vAlign w:val="center"/>
          </w:tcPr>
          <w:p>
            <w:pPr>
              <w:spacing w:line="360" w:lineRule="auto"/>
              <w:jc w:val="center"/>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534" w:type="dxa"/>
            <w:noWrap w:val="0"/>
            <w:vAlign w:val="center"/>
          </w:tcPr>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p>
        </w:tc>
        <w:tc>
          <w:tcPr>
            <w:tcW w:w="1417"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1843"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3118"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993"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1559" w:type="dxa"/>
            <w:noWrap w:val="0"/>
            <w:vAlign w:val="center"/>
          </w:tcPr>
          <w:p>
            <w:pPr>
              <w:spacing w:line="360" w:lineRule="auto"/>
              <w:jc w:val="center"/>
              <w:rPr>
                <w:rFonts w:hint="eastAsia" w:ascii="仿宋_GB2312" w:hAnsi="仿宋" w:eastAsia="仿宋_GB2312" w:cs="仿宋_GB2312"/>
                <w:color w:val="auto"/>
                <w:sz w:val="24"/>
                <w:highlight w:val="none"/>
              </w:rPr>
            </w:pPr>
          </w:p>
        </w:tc>
        <w:tc>
          <w:tcPr>
            <w:tcW w:w="1984" w:type="dxa"/>
            <w:noWrap w:val="0"/>
            <w:vAlign w:val="center"/>
          </w:tcPr>
          <w:p>
            <w:pPr>
              <w:spacing w:line="360" w:lineRule="auto"/>
              <w:jc w:val="center"/>
              <w:rPr>
                <w:rFonts w:hint="eastAsia" w:ascii="仿宋_GB2312" w:hAnsi="仿宋" w:eastAsia="仿宋_GB2312" w:cs="仿宋_GB2312"/>
                <w:color w:val="auto"/>
                <w:sz w:val="24"/>
                <w:highlight w:val="none"/>
              </w:rPr>
            </w:pPr>
          </w:p>
        </w:tc>
        <w:tc>
          <w:tcPr>
            <w:tcW w:w="3119" w:type="dxa"/>
            <w:noWrap w:val="0"/>
            <w:vAlign w:val="center"/>
          </w:tcPr>
          <w:p>
            <w:pPr>
              <w:spacing w:line="360" w:lineRule="auto"/>
              <w:jc w:val="center"/>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534" w:type="dxa"/>
            <w:noWrap w:val="0"/>
            <w:vAlign w:val="center"/>
          </w:tcPr>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w:t>
            </w:r>
          </w:p>
        </w:tc>
        <w:tc>
          <w:tcPr>
            <w:tcW w:w="1417"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1843"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3118"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993"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1559" w:type="dxa"/>
            <w:noWrap w:val="0"/>
            <w:vAlign w:val="center"/>
          </w:tcPr>
          <w:p>
            <w:pPr>
              <w:spacing w:line="360" w:lineRule="auto"/>
              <w:jc w:val="center"/>
              <w:rPr>
                <w:rFonts w:hint="eastAsia" w:ascii="仿宋_GB2312" w:hAnsi="仿宋" w:eastAsia="仿宋_GB2312" w:cs="仿宋_GB2312"/>
                <w:color w:val="auto"/>
                <w:sz w:val="24"/>
                <w:highlight w:val="none"/>
              </w:rPr>
            </w:pPr>
          </w:p>
        </w:tc>
        <w:tc>
          <w:tcPr>
            <w:tcW w:w="1984" w:type="dxa"/>
            <w:noWrap w:val="0"/>
            <w:vAlign w:val="center"/>
          </w:tcPr>
          <w:p>
            <w:pPr>
              <w:spacing w:line="360" w:lineRule="auto"/>
              <w:jc w:val="center"/>
              <w:rPr>
                <w:rFonts w:hint="eastAsia" w:ascii="仿宋_GB2312" w:hAnsi="仿宋" w:eastAsia="仿宋_GB2312" w:cs="仿宋_GB2312"/>
                <w:color w:val="auto"/>
                <w:sz w:val="24"/>
                <w:highlight w:val="none"/>
              </w:rPr>
            </w:pPr>
          </w:p>
        </w:tc>
        <w:tc>
          <w:tcPr>
            <w:tcW w:w="3119" w:type="dxa"/>
            <w:noWrap w:val="0"/>
            <w:vAlign w:val="center"/>
          </w:tcPr>
          <w:p>
            <w:pPr>
              <w:spacing w:line="360" w:lineRule="auto"/>
              <w:jc w:val="center"/>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9" w:hRule="atLeast"/>
        </w:trPr>
        <w:tc>
          <w:tcPr>
            <w:tcW w:w="6912" w:type="dxa"/>
            <w:gridSpan w:val="4"/>
            <w:noWrap w:val="0"/>
            <w:vAlign w:val="center"/>
          </w:tcPr>
          <w:p>
            <w:pPr>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4"/>
            <w:noWrap w:val="0"/>
            <w:vAlign w:val="center"/>
          </w:tcPr>
          <w:p>
            <w:pPr>
              <w:spacing w:line="360" w:lineRule="auto"/>
              <w:jc w:val="center"/>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7" w:hRule="atLeast"/>
        </w:trPr>
        <w:tc>
          <w:tcPr>
            <w:tcW w:w="6912" w:type="dxa"/>
            <w:gridSpan w:val="4"/>
            <w:noWrap w:val="0"/>
            <w:vAlign w:val="center"/>
          </w:tcPr>
          <w:p>
            <w:pPr>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4"/>
            <w:noWrap w:val="0"/>
            <w:vAlign w:val="center"/>
          </w:tcPr>
          <w:p>
            <w:pPr>
              <w:spacing w:line="360" w:lineRule="auto"/>
              <w:jc w:val="center"/>
              <w:rPr>
                <w:rFonts w:hint="eastAsia" w:ascii="仿宋_GB2312" w:hAnsi="仿宋" w:eastAsia="仿宋_GB2312" w:cs="仿宋_GB2312"/>
                <w:color w:val="auto"/>
                <w:sz w:val="24"/>
                <w:highlight w:val="none"/>
              </w:rPr>
            </w:pPr>
          </w:p>
        </w:tc>
      </w:tr>
    </w:tbl>
    <w:p>
      <w:pPr>
        <w:snapToGrid w:val="0"/>
        <w:spacing w:line="360" w:lineRule="auto"/>
        <w:ind w:left="480"/>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leftChars="-1" w:firstLine="480" w:firstLineChars="2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1、投标人需按本表格式填写，不得自行更改。</w:t>
      </w:r>
    </w:p>
    <w:p>
      <w:pPr>
        <w:snapToGrid w:val="0"/>
        <w:spacing w:line="360" w:lineRule="auto"/>
        <w:ind w:left="48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2、有关本项目实施所涉及的一切费用（详见前附表）均计入报价。</w:t>
      </w:r>
      <w:r>
        <w:rPr>
          <w:rFonts w:hint="eastAsia" w:ascii="仿宋_GB2312" w:hAnsi="仿宋" w:eastAsia="仿宋_GB2312"/>
          <w:b/>
          <w:color w:val="auto"/>
          <w:sz w:val="24"/>
          <w:highlight w:val="none"/>
        </w:rPr>
        <w:t>▲</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各项明细费用请按实填写（不得出现“0元”“免费赠送”等形式的无偿报价）。</w:t>
      </w:r>
    </w:p>
    <w:p>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4、特别提示：采购机构将对项目名称和项目编号，中标供应商名称、地址和中标金额，主要中标标的的名称、规格型号、数量、单价、服务要求等予以公示。</w:t>
      </w:r>
    </w:p>
    <w:p>
      <w:pPr>
        <w:spacing w:line="360" w:lineRule="auto"/>
        <w:ind w:firstLine="480" w:firstLineChars="200"/>
        <w:rPr>
          <w:rFonts w:hint="eastAsia" w:ascii="仿宋_GB2312" w:hAnsi="仿宋" w:eastAsia="仿宋_GB2312" w:cs="仿宋_GB2312"/>
          <w:color w:val="auto"/>
          <w:highlight w:val="none"/>
        </w:rPr>
      </w:pPr>
      <w:r>
        <w:rPr>
          <w:rFonts w:hint="eastAsia"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snapToGrid w:val="0"/>
        <w:spacing w:line="360" w:lineRule="auto"/>
        <w:ind w:firstLine="482" w:firstLineChars="200"/>
        <w:jc w:val="right"/>
        <w:rPr>
          <w:rFonts w:hint="eastAsia" w:ascii="仿宋_GB2312" w:hAnsi="仿宋" w:eastAsia="仿宋_GB2312"/>
          <w:b/>
          <w:color w:val="auto"/>
          <w:kern w:val="0"/>
          <w:sz w:val="24"/>
          <w:highlight w:val="none"/>
        </w:rPr>
      </w:pPr>
    </w:p>
    <w:p>
      <w:pPr>
        <w:snapToGrid w:val="0"/>
        <w:spacing w:line="360" w:lineRule="auto"/>
        <w:ind w:firstLine="482" w:firstLineChars="200"/>
        <w:jc w:val="right"/>
        <w:rPr>
          <w:rFonts w:hint="eastAsia" w:ascii="仿宋_GB2312" w:hAnsi="仿宋" w:eastAsia="仿宋_GB2312"/>
          <w:b/>
          <w:color w:val="auto"/>
          <w:kern w:val="0"/>
          <w:sz w:val="24"/>
          <w:highlight w:val="none"/>
        </w:rPr>
      </w:pPr>
    </w:p>
    <w:p>
      <w:pPr>
        <w:spacing w:line="360" w:lineRule="auto"/>
        <w:ind w:right="960" w:firstLine="10440" w:firstLineChars="435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p>
    <w:p>
      <w:pPr>
        <w:spacing w:line="360" w:lineRule="auto"/>
        <w:ind w:right="48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日期：  年   月   日</w:t>
      </w:r>
    </w:p>
    <w:bookmarkEnd w:id="565"/>
    <w:p>
      <w:pPr>
        <w:spacing w:line="360" w:lineRule="auto"/>
        <w:jc w:val="center"/>
        <w:outlineLvl w:val="0"/>
        <w:rPr>
          <w:rFonts w:hint="eastAsia" w:ascii="仿宋_GB2312" w:hAnsi="仿宋" w:eastAsia="仿宋_GB2312" w:cs="仿宋_GB2312"/>
          <w:color w:val="auto"/>
          <w:sz w:val="36"/>
          <w:szCs w:val="36"/>
          <w:highlight w:val="none"/>
          <w:lang w:val="zh-CN"/>
        </w:rPr>
      </w:pPr>
    </w:p>
    <w:p>
      <w:pPr>
        <w:spacing w:line="360" w:lineRule="auto"/>
        <w:jc w:val="center"/>
        <w:outlineLvl w:val="0"/>
        <w:rPr>
          <w:rFonts w:hint="eastAsia" w:ascii="仿宋_GB2312" w:hAnsi="仿宋" w:eastAsia="仿宋_GB2312" w:cs="仿宋_GB2312"/>
          <w:color w:val="auto"/>
          <w:sz w:val="36"/>
          <w:szCs w:val="36"/>
          <w:highlight w:val="none"/>
          <w:lang w:val="zh-CN"/>
        </w:rPr>
      </w:pPr>
    </w:p>
    <w:p>
      <w:pPr>
        <w:spacing w:line="360" w:lineRule="auto"/>
        <w:jc w:val="center"/>
        <w:outlineLvl w:val="0"/>
        <w:rPr>
          <w:rFonts w:hint="eastAsia" w:ascii="仿宋_GB2312" w:hAnsi="仿宋" w:eastAsia="仿宋_GB2312" w:cs="仿宋_GB2312"/>
          <w:color w:val="auto"/>
          <w:sz w:val="36"/>
          <w:szCs w:val="36"/>
          <w:highlight w:val="none"/>
          <w:lang w:val="zh-CN"/>
        </w:rPr>
      </w:pPr>
    </w:p>
    <w:p>
      <w:pPr>
        <w:spacing w:line="360" w:lineRule="auto"/>
        <w:jc w:val="center"/>
        <w:outlineLvl w:val="0"/>
        <w:rPr>
          <w:rFonts w:hint="eastAsia" w:ascii="仿宋_GB2312" w:hAnsi="仿宋" w:eastAsia="仿宋_GB2312" w:cs="仿宋_GB2312"/>
          <w:color w:val="auto"/>
          <w:sz w:val="36"/>
          <w:szCs w:val="36"/>
          <w:highlight w:val="none"/>
          <w:lang w:val="zh-CN"/>
        </w:rPr>
      </w:pPr>
    </w:p>
    <w:p>
      <w:pPr>
        <w:spacing w:line="360" w:lineRule="auto"/>
        <w:jc w:val="center"/>
        <w:outlineLvl w:val="0"/>
        <w:rPr>
          <w:rFonts w:hint="eastAsia" w:ascii="仿宋_GB2312" w:hAnsi="仿宋" w:eastAsia="仿宋_GB2312" w:cs="仿宋_GB2312"/>
          <w:color w:val="auto"/>
          <w:sz w:val="36"/>
          <w:szCs w:val="36"/>
          <w:highlight w:val="none"/>
          <w:lang w:val="zh-CN"/>
        </w:rPr>
        <w:sectPr>
          <w:pgSz w:w="16838" w:h="11906" w:orient="landscape"/>
          <w:pgMar w:top="1418" w:right="1276" w:bottom="1418" w:left="1247" w:header="851" w:footer="992" w:gutter="0"/>
          <w:cols w:space="720" w:num="1"/>
          <w:titlePg/>
          <w:docGrid w:linePitch="312" w:charSpace="0"/>
        </w:sectPr>
      </w:pPr>
    </w:p>
    <w:p>
      <w:pPr>
        <w:spacing w:line="360" w:lineRule="auto"/>
        <w:jc w:val="center"/>
        <w:rPr>
          <w:rFonts w:hint="eastAsia" w:ascii="仿宋_GB2312" w:hAnsi="宋体" w:eastAsia="仿宋_GB2312"/>
          <w:b/>
          <w:color w:val="auto"/>
          <w:sz w:val="32"/>
          <w:szCs w:val="32"/>
          <w:highlight w:val="none"/>
        </w:rPr>
      </w:pPr>
    </w:p>
    <w:p>
      <w:pPr>
        <w:spacing w:line="360" w:lineRule="auto"/>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三、中小企业声明函（货物）</w:t>
      </w:r>
    </w:p>
    <w:p>
      <w:pPr>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hint="eastAsia" w:ascii="仿宋_GB2312" w:hAnsi="宋体" w:eastAsia="仿宋_GB2312"/>
          <w:color w:val="auto"/>
          <w:sz w:val="24"/>
          <w:highlight w:val="none"/>
        </w:rPr>
        <w:t>2020</w:t>
      </w:r>
      <w:r>
        <w:rPr>
          <w:rFonts w:hint="eastAsia" w:ascii="宋体" w:hAnsi="宋体" w:cs="宋体"/>
          <w:color w:val="auto"/>
          <w:sz w:val="24"/>
          <w:highlight w:val="none"/>
        </w:rPr>
        <w:t>﹞</w:t>
      </w:r>
      <w:r>
        <w:rPr>
          <w:rFonts w:hint="eastAsia" w:ascii="仿宋_GB2312" w:hAnsi="宋体" w:eastAsia="仿宋_GB2312"/>
          <w:color w:val="auto"/>
          <w:sz w:val="24"/>
          <w:highlight w:val="none"/>
        </w:rPr>
        <w:t>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eastAsia="zh-CN"/>
        </w:rPr>
        <w:t>招标文件</w:t>
      </w:r>
      <w:r>
        <w:rPr>
          <w:rFonts w:hint="eastAsia" w:ascii="仿宋_GB2312" w:hAnsi="宋体" w:eastAsia="仿宋_GB2312"/>
          <w:color w:val="auto"/>
          <w:sz w:val="24"/>
          <w:highlight w:val="none"/>
          <w:u w:val="single"/>
        </w:rPr>
        <w:t>中明确的所属行业）</w:t>
      </w:r>
      <w:r>
        <w:rPr>
          <w:rFonts w:hint="eastAsia" w:ascii="仿宋_GB2312" w:hAnsi="宋体" w:eastAsia="仿宋_GB2312"/>
          <w:color w:val="auto"/>
          <w:sz w:val="24"/>
          <w:highlight w:val="none"/>
        </w:rPr>
        <w:t>行业 ；制造商为</w:t>
      </w:r>
      <w:r>
        <w:rPr>
          <w:rFonts w:hint="eastAsia" w:ascii="仿宋_GB2312" w:hAnsi="宋体" w:eastAsia="仿宋_GB2312"/>
          <w:color w:val="auto"/>
          <w:sz w:val="24"/>
          <w:highlight w:val="none"/>
          <w:u w:val="single"/>
        </w:rPr>
        <w:t xml:space="preserve"> （企业名称）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w:t>
      </w:r>
      <w:r>
        <w:rPr>
          <w:rFonts w:hint="eastAsia" w:ascii="仿宋_GB2312" w:hAnsi="宋体" w:eastAsia="仿宋_GB2312"/>
          <w:color w:val="auto"/>
          <w:sz w:val="24"/>
          <w:highlight w:val="none"/>
        </w:rPr>
        <w:t xml:space="preserve"> ；</w:t>
      </w:r>
    </w:p>
    <w:p>
      <w:pPr>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2.</w:t>
      </w:r>
      <w:r>
        <w:rPr>
          <w:rFonts w:hint="eastAsia" w:ascii="仿宋_GB2312" w:hAnsi="宋体" w:eastAsia="仿宋_GB2312"/>
          <w:color w:val="auto"/>
          <w:sz w:val="24"/>
          <w:highlight w:val="none"/>
          <w:u w:val="single"/>
        </w:rPr>
        <w:t xml:space="preserve">（标的名称） </w:t>
      </w:r>
      <w:r>
        <w:rPr>
          <w:rFonts w:hint="eastAsia" w:ascii="仿宋_GB2312" w:hAnsi="宋体" w:eastAsia="仿宋_GB2312"/>
          <w:color w:val="auto"/>
          <w:sz w:val="24"/>
          <w:highlight w:val="none"/>
        </w:rPr>
        <w:t xml:space="preserve">，属于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eastAsia="zh-CN"/>
        </w:rPr>
        <w:t>招标文件</w:t>
      </w:r>
      <w:r>
        <w:rPr>
          <w:rFonts w:hint="eastAsia" w:ascii="仿宋_GB2312" w:hAnsi="宋体" w:eastAsia="仿宋_GB2312"/>
          <w:color w:val="auto"/>
          <w:sz w:val="24"/>
          <w:highlight w:val="none"/>
          <w:u w:val="single"/>
        </w:rPr>
        <w:t>中明确的所属行业）</w:t>
      </w:r>
      <w:r>
        <w:rPr>
          <w:rFonts w:hint="eastAsia" w:ascii="仿宋_GB2312" w:hAnsi="宋体" w:eastAsia="仿宋_GB2312"/>
          <w:color w:val="auto"/>
          <w:sz w:val="24"/>
          <w:highlight w:val="none"/>
        </w:rPr>
        <w:t xml:space="preserve">行业 ；制造商为 </w:t>
      </w:r>
      <w:r>
        <w:rPr>
          <w:rFonts w:hint="eastAsia" w:ascii="仿宋_GB2312" w:hAnsi="宋体" w:eastAsia="仿宋_GB2312"/>
          <w:color w:val="auto"/>
          <w:sz w:val="24"/>
          <w:highlight w:val="none"/>
          <w:u w:val="single"/>
        </w:rPr>
        <w:t>（企业名称）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万元，属于 </w:t>
      </w:r>
      <w:r>
        <w:rPr>
          <w:rFonts w:hint="eastAsia" w:ascii="仿宋_GB2312" w:hAnsi="宋体" w:eastAsia="仿宋_GB2312"/>
          <w:color w:val="auto"/>
          <w:sz w:val="24"/>
          <w:highlight w:val="none"/>
          <w:u w:val="single"/>
        </w:rPr>
        <w:t>（中型企业、小型企业、微型企业）</w:t>
      </w:r>
      <w:r>
        <w:rPr>
          <w:rFonts w:hint="eastAsia" w:ascii="仿宋_GB2312" w:hAnsi="宋体" w:eastAsia="仿宋_GB2312"/>
          <w:color w:val="auto"/>
          <w:sz w:val="24"/>
          <w:highlight w:val="none"/>
        </w:rPr>
        <w:t xml:space="preserve"> ；</w:t>
      </w:r>
    </w:p>
    <w:p>
      <w:pPr>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560"/>
        <w:jc w:val="right"/>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企业名称（电子签名）：</w:t>
      </w:r>
    </w:p>
    <w:p>
      <w:pPr>
        <w:spacing w:line="360" w:lineRule="auto"/>
        <w:ind w:right="1960"/>
        <w:jc w:val="right"/>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日 期：</w:t>
      </w:r>
    </w:p>
    <w:p>
      <w:pPr>
        <w:spacing w:line="360" w:lineRule="auto"/>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w:t>
      </w:r>
    </w:p>
    <w:p>
      <w:pPr>
        <w:spacing w:line="360" w:lineRule="auto"/>
        <w:ind w:firstLine="360" w:firstLineChars="200"/>
        <w:jc w:val="left"/>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firstLine="360" w:firstLineChars="200"/>
        <w:jc w:val="left"/>
        <w:rPr>
          <w:rFonts w:hint="eastAsia" w:ascii="仿宋_GB2312" w:hAnsi="宋体" w:eastAsia="仿宋_GB2312"/>
          <w:color w:val="auto"/>
          <w:sz w:val="18"/>
          <w:szCs w:val="18"/>
          <w:highlight w:val="none"/>
        </w:rPr>
      </w:pPr>
    </w:p>
    <w:p>
      <w:pPr>
        <w:spacing w:line="360" w:lineRule="auto"/>
        <w:ind w:firstLine="360" w:firstLineChars="200"/>
        <w:jc w:val="left"/>
        <w:rPr>
          <w:rFonts w:hint="eastAsia" w:ascii="仿宋_GB2312" w:hAnsi="宋体" w:eastAsia="仿宋_GB2312"/>
          <w:color w:val="auto"/>
          <w:sz w:val="18"/>
          <w:szCs w:val="18"/>
          <w:highlight w:val="none"/>
        </w:rPr>
      </w:pP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w:t>
      </w:r>
      <w:r>
        <w:rPr>
          <w:rFonts w:hint="eastAsia" w:ascii="仿宋_GB2312" w:hAnsi="仿宋" w:eastAsia="仿宋_GB2312"/>
          <w:b/>
          <w:color w:val="auto"/>
          <w:sz w:val="24"/>
          <w:highlight w:val="none"/>
        </w:rPr>
        <w:t>投标人提供的中小企业声明函与实际情况不符的，投标价格不可享受价格扣除。</w:t>
      </w:r>
      <w:r>
        <w:rPr>
          <w:rFonts w:hint="eastAsia" w:ascii="仿宋_GB2312" w:hAnsi="仿宋" w:eastAsia="仿宋_GB2312" w:cs="仿宋_GB2312"/>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left"/>
        <w:rPr>
          <w:rFonts w:hint="eastAsia" w:ascii="仿宋_GB2312" w:hAnsi="宋体" w:eastAsia="仿宋_GB2312"/>
          <w:color w:val="auto"/>
          <w:sz w:val="18"/>
          <w:szCs w:val="18"/>
          <w:highlight w:val="none"/>
        </w:rPr>
      </w:pPr>
    </w:p>
    <w:p>
      <w:pPr>
        <w:pStyle w:val="600"/>
        <w:keepNext w:val="0"/>
        <w:pageBreakBefore w:val="0"/>
        <w:tabs>
          <w:tab w:val="clear" w:pos="720"/>
        </w:tabs>
        <w:snapToGrid w:val="0"/>
        <w:spacing w:before="120" w:after="120"/>
        <w:ind w:firstLine="643"/>
        <w:outlineLvl w:val="9"/>
        <w:rPr>
          <w:rFonts w:hint="eastAsia"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br w:type="page"/>
      </w:r>
      <w:r>
        <w:rPr>
          <w:rFonts w:hint="eastAsia" w:ascii="仿宋_GB2312" w:hAnsi="仿宋" w:eastAsia="仿宋_GB2312" w:cs="仿宋_GB2312"/>
          <w:color w:val="auto"/>
          <w:kern w:val="2"/>
          <w:sz w:val="32"/>
          <w:szCs w:val="32"/>
          <w:highlight w:val="none"/>
        </w:rPr>
        <w:t>三、中小企业声明函（工程、服务）</w:t>
      </w: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eastAsia="zh-CN"/>
        </w:rPr>
        <w:t>招标文件</w:t>
      </w:r>
      <w:r>
        <w:rPr>
          <w:rFonts w:hint="eastAsia" w:ascii="仿宋_GB2312" w:hAnsi="宋体" w:eastAsia="仿宋_GB2312"/>
          <w:color w:val="auto"/>
          <w:sz w:val="24"/>
          <w:highlight w:val="none"/>
          <w:u w:val="single"/>
        </w:rPr>
        <w:t>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eastAsia="zh-CN"/>
        </w:rPr>
        <w:t>招标文件</w:t>
      </w:r>
      <w:r>
        <w:rPr>
          <w:rFonts w:hint="eastAsia" w:ascii="仿宋_GB2312" w:hAnsi="宋体" w:eastAsia="仿宋_GB2312"/>
          <w:color w:val="auto"/>
          <w:sz w:val="24"/>
          <w:highlight w:val="none"/>
          <w:u w:val="single"/>
        </w:rPr>
        <w:t>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（中型企业、小型企业、微型企业）</w:t>
      </w:r>
      <w:r>
        <w:rPr>
          <w:rFonts w:ascii="仿宋_GB2312" w:hAnsi="宋体" w:eastAsia="仿宋_GB2312"/>
          <w:color w:val="auto"/>
          <w:sz w:val="24"/>
          <w:highlight w:val="none"/>
        </w:rPr>
        <w:t xml:space="preserve"> ；</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04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注：</w:t>
      </w:r>
      <w:r>
        <w:rPr>
          <w:rFonts w:hint="eastAsia" w:ascii="仿宋_GB2312" w:hAnsi="仿宋" w:eastAsia="仿宋_GB2312"/>
          <w:b/>
          <w:color w:val="auto"/>
          <w:sz w:val="24"/>
          <w:highlight w:val="none"/>
        </w:rPr>
        <w:t>投标人提供的中小企业声明函与实际情况不符的，投标价格不可享受价格扣除。</w:t>
      </w:r>
      <w:r>
        <w:rPr>
          <w:rFonts w:hint="eastAsia" w:ascii="仿宋_GB2312" w:hAnsi="仿宋" w:eastAsia="仿宋_GB2312" w:cs="仿宋_GB2312"/>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outlineLvl w:val="0"/>
        <w:rPr>
          <w:rFonts w:hint="eastAsia" w:ascii="仿宋_GB2312" w:hAnsi="仿宋" w:eastAsia="仿宋_GB2312" w:cs="仿宋_GB2312"/>
          <w:color w:val="auto"/>
          <w:sz w:val="36"/>
          <w:szCs w:val="36"/>
          <w:highlight w:val="none"/>
        </w:rPr>
        <w:sectPr>
          <w:pgSz w:w="11906" w:h="16838"/>
          <w:pgMar w:top="1247" w:right="1418" w:bottom="1276" w:left="1418" w:header="851" w:footer="992" w:gutter="0"/>
          <w:cols w:space="720" w:num="1"/>
          <w:titlePg/>
          <w:docGrid w:linePitch="312" w:charSpace="0"/>
        </w:sectPr>
      </w:pPr>
    </w:p>
    <w:p>
      <w:pPr>
        <w:spacing w:line="360" w:lineRule="auto"/>
        <w:jc w:val="center"/>
        <w:outlineLvl w:val="0"/>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hint="eastAsia" w:ascii="仿宋_GB2312" w:hAnsi="仿宋" w:eastAsia="仿宋_GB2312" w:cs="仿宋_GB2312"/>
          <w:b/>
          <w:color w:val="auto"/>
          <w:kern w:val="0"/>
          <w:sz w:val="24"/>
          <w:highlight w:val="none"/>
        </w:rPr>
      </w:pPr>
    </w:p>
    <w:p>
      <w:pPr>
        <w:spacing w:line="360" w:lineRule="auto"/>
        <w:jc w:val="center"/>
        <w:outlineLvl w:val="0"/>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pStyle w:val="703"/>
        <w:spacing w:line="360" w:lineRule="auto"/>
        <w:rPr>
          <w:rFonts w:hint="eastAsia" w:cs="仿宋_GB2312"/>
          <w:color w:val="auto"/>
          <w:highlight w:val="none"/>
        </w:rPr>
      </w:pPr>
      <w:r>
        <w:rPr>
          <w:rFonts w:hint="eastAsia" w:cs="仿宋_GB2312"/>
          <w:color w:val="auto"/>
          <w:highlight w:val="none"/>
        </w:rPr>
        <w:t>（1）营业执照(或事业法人登记证或其他工商等登记证明材料)复印件（投标人为 然人的，提供自然人的身份证明）………………………………………（页码）</w:t>
      </w:r>
    </w:p>
    <w:p>
      <w:pPr>
        <w:pStyle w:val="703"/>
        <w:spacing w:line="360" w:lineRule="auto"/>
        <w:rPr>
          <w:rFonts w:hint="eastAsia" w:cs="仿宋_GB2312"/>
          <w:color w:val="auto"/>
          <w:highlight w:val="none"/>
        </w:rPr>
      </w:pPr>
      <w:r>
        <w:rPr>
          <w:rFonts w:hint="eastAsia" w:cs="仿宋_GB2312"/>
          <w:color w:val="auto"/>
          <w:highlight w:val="none"/>
        </w:rPr>
        <w:t>（2）联合体协议</w:t>
      </w:r>
      <w:r>
        <w:rPr>
          <w:rFonts w:hint="eastAsia" w:cs="仿宋_GB2312"/>
          <w:color w:val="auto"/>
          <w:highlight w:val="none"/>
          <w:lang w:val="zh-CN"/>
        </w:rPr>
        <w:t>… ……………………………………………………</w:t>
      </w:r>
      <w:r>
        <w:rPr>
          <w:rFonts w:hint="eastAsia" w:cs="仿宋_GB2312"/>
          <w:color w:val="auto"/>
          <w:highlight w:val="none"/>
        </w:rPr>
        <w:t>（页码）</w:t>
      </w:r>
    </w:p>
    <w:p>
      <w:pPr>
        <w:pStyle w:val="703"/>
        <w:spacing w:line="360" w:lineRule="auto"/>
        <w:rPr>
          <w:rFonts w:hint="eastAsia" w:cs="仿宋_GB2312"/>
          <w:color w:val="auto"/>
          <w:highlight w:val="none"/>
        </w:rPr>
      </w:pPr>
      <w:r>
        <w:rPr>
          <w:rFonts w:hint="eastAsia" w:cs="仿宋_GB2312"/>
          <w:color w:val="auto"/>
          <w:highlight w:val="none"/>
        </w:rPr>
        <w:t>（3）资信文件复印件（如果要求提供）……………………………（页码）</w:t>
      </w:r>
    </w:p>
    <w:p>
      <w:pPr>
        <w:pStyle w:val="703"/>
        <w:spacing w:line="360" w:lineRule="auto"/>
        <w:rPr>
          <w:rFonts w:hint="eastAsia" w:cs="仿宋_GB2312"/>
          <w:color w:val="auto"/>
          <w:highlight w:val="none"/>
        </w:rPr>
      </w:pPr>
      <w:r>
        <w:rPr>
          <w:rFonts w:hint="eastAsia" w:cs="仿宋_GB2312"/>
          <w:color w:val="auto"/>
          <w:highlight w:val="none"/>
        </w:rPr>
        <w:t>（4）</w:t>
      </w:r>
      <w:r>
        <w:rPr>
          <w:rFonts w:hint="eastAsia" w:cs="仿宋_GB2312"/>
          <w:color w:val="auto"/>
          <w:highlight w:val="none"/>
          <w:lang w:val="zh-CN"/>
        </w:rPr>
        <w:t>主要业绩证明… …………………………………………………</w:t>
      </w:r>
      <w:r>
        <w:rPr>
          <w:rFonts w:hint="eastAsia" w:cs="仿宋_GB2312"/>
          <w:color w:val="auto"/>
          <w:highlight w:val="none"/>
        </w:rPr>
        <w:t>（页码）</w:t>
      </w:r>
    </w:p>
    <w:p>
      <w:pPr>
        <w:pStyle w:val="703"/>
        <w:spacing w:line="360" w:lineRule="auto"/>
        <w:rPr>
          <w:rFonts w:hint="eastAsia" w:cs="仿宋_GB2312"/>
          <w:color w:val="auto"/>
          <w:highlight w:val="none"/>
        </w:rPr>
      </w:pPr>
      <w:bookmarkStart w:id="566" w:name="OLE_LINK6"/>
      <w:bookmarkStart w:id="567" w:name="OLE_LINK7"/>
      <w:bookmarkStart w:id="568" w:name="OLE_LINK5"/>
      <w:r>
        <w:rPr>
          <w:rFonts w:hint="eastAsia" w:cs="仿宋_GB2312"/>
          <w:color w:val="auto"/>
          <w:highlight w:val="none"/>
        </w:rPr>
        <w:t>（5）其他商务文件或说明</w:t>
      </w:r>
      <w:r>
        <w:rPr>
          <w:rFonts w:hint="eastAsia" w:cs="仿宋_GB2312"/>
          <w:color w:val="auto"/>
          <w:highlight w:val="none"/>
          <w:lang w:val="zh-CN"/>
        </w:rPr>
        <w:t>………………………………………………</w:t>
      </w:r>
      <w:r>
        <w:rPr>
          <w:rFonts w:hint="eastAsia" w:cs="仿宋_GB2312"/>
          <w:color w:val="auto"/>
          <w:highlight w:val="none"/>
        </w:rPr>
        <w:t>（页码）</w:t>
      </w:r>
      <w:bookmarkEnd w:id="566"/>
      <w:bookmarkEnd w:id="567"/>
    </w:p>
    <w:bookmarkEnd w:id="568"/>
    <w:p>
      <w:pPr>
        <w:spacing w:line="360" w:lineRule="auto"/>
        <w:ind w:firstLine="480" w:firstLineChars="200"/>
        <w:outlineLvl w:val="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（6）技术解决方案……………………………………………………（页码）</w:t>
      </w:r>
    </w:p>
    <w:p>
      <w:pPr>
        <w:spacing w:line="360" w:lineRule="auto"/>
        <w:ind w:firstLine="480" w:firstLineChars="200"/>
        <w:outlineLvl w:val="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（7）技术偏离说明表…………………………………………………（页码）</w:t>
      </w:r>
    </w:p>
    <w:p>
      <w:pPr>
        <w:spacing w:line="360" w:lineRule="auto"/>
        <w:ind w:firstLine="480" w:firstLineChars="200"/>
        <w:outlineLvl w:val="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（8）组织实施方案……………………………………………………（页码）</w:t>
      </w:r>
    </w:p>
    <w:p>
      <w:pPr>
        <w:spacing w:line="360" w:lineRule="auto"/>
        <w:ind w:firstLine="480" w:firstLine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（9）售后服务方案……………………………………………………（页码）</w:t>
      </w:r>
    </w:p>
    <w:p>
      <w:pPr>
        <w:spacing w:line="360" w:lineRule="auto"/>
        <w:ind w:firstLine="480" w:firstLine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（10）项目小组人员名单………………………………………………（页码）</w:t>
      </w:r>
    </w:p>
    <w:p>
      <w:pPr>
        <w:spacing w:line="360" w:lineRule="auto"/>
        <w:ind w:firstLine="480" w:firstLine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（11）</w:t>
      </w:r>
      <w:r>
        <w:rPr>
          <w:rFonts w:hint="eastAsia" w:ascii="仿宋_GB2312" w:hAnsi="仿宋" w:eastAsia="仿宋_GB2312" w:cs="仿宋_GB2312"/>
          <w:color w:val="auto"/>
          <w:kern w:val="0"/>
          <w:sz w:val="24"/>
          <w:highlight w:val="none"/>
          <w:lang w:val="zh-CN"/>
        </w:rPr>
        <w:t>优惠条件及特殊承诺……………………………………………</w:t>
      </w:r>
      <w:r>
        <w:rPr>
          <w:rFonts w:hint="eastAsia" w:ascii="仿宋_GB2312" w:hAnsi="仿宋" w:eastAsia="仿宋_GB2312" w:cs="仿宋_GB2312"/>
          <w:color w:val="auto"/>
          <w:kern w:val="0"/>
          <w:sz w:val="24"/>
          <w:highlight w:val="none"/>
        </w:rPr>
        <w:t>（页码）</w:t>
      </w:r>
    </w:p>
    <w:p>
      <w:pPr>
        <w:spacing w:line="360" w:lineRule="auto"/>
        <w:ind w:firstLine="480" w:firstLine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（12）</w:t>
      </w:r>
      <w:r>
        <w:rPr>
          <w:rFonts w:hint="eastAsia" w:ascii="仿宋_GB2312" w:hAnsi="仿宋" w:eastAsia="仿宋_GB2312" w:cs="仿宋_GB2312"/>
          <w:color w:val="auto"/>
          <w:kern w:val="0"/>
          <w:sz w:val="24"/>
          <w:highlight w:val="none"/>
          <w:lang w:val="zh-CN"/>
        </w:rPr>
        <w:t>备品备件及供选择的配套零部件清单…………………………</w:t>
      </w:r>
      <w:r>
        <w:rPr>
          <w:rFonts w:hint="eastAsia" w:ascii="仿宋_GB2312" w:hAnsi="仿宋" w:eastAsia="仿宋_GB2312" w:cs="仿宋_GB2312"/>
          <w:color w:val="auto"/>
          <w:kern w:val="0"/>
          <w:sz w:val="24"/>
          <w:highlight w:val="none"/>
        </w:rPr>
        <w:t>（页码）</w:t>
      </w:r>
    </w:p>
    <w:p>
      <w:pPr>
        <w:spacing w:line="360" w:lineRule="auto"/>
        <w:ind w:firstLine="480" w:firstLine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（13）</w:t>
      </w:r>
      <w:r>
        <w:rPr>
          <w:rFonts w:hint="eastAsia" w:ascii="仿宋_GB2312" w:hAnsi="仿宋" w:eastAsia="仿宋_GB2312" w:cs="仿宋_GB2312"/>
          <w:color w:val="auto"/>
          <w:kern w:val="0"/>
          <w:sz w:val="24"/>
          <w:highlight w:val="none"/>
          <w:lang w:val="zh-CN"/>
        </w:rPr>
        <w:t>培训计划…………………………………………………………</w:t>
      </w:r>
      <w:r>
        <w:rPr>
          <w:rFonts w:hint="eastAsia" w:ascii="仿宋_GB2312" w:hAnsi="仿宋" w:eastAsia="仿宋_GB2312" w:cs="仿宋_GB2312"/>
          <w:color w:val="auto"/>
          <w:kern w:val="0"/>
          <w:sz w:val="24"/>
          <w:highlight w:val="none"/>
        </w:rPr>
        <w:t>（页码）</w:t>
      </w:r>
    </w:p>
    <w:p>
      <w:pPr>
        <w:spacing w:line="360" w:lineRule="auto"/>
        <w:ind w:firstLine="480" w:firstLineChars="20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rPr>
        <w:t>（14）</w:t>
      </w:r>
      <w:r>
        <w:rPr>
          <w:rFonts w:hint="eastAsia" w:ascii="仿宋_GB2312" w:hAnsi="仿宋" w:eastAsia="仿宋_GB2312" w:cs="仿宋_GB2312"/>
          <w:color w:val="auto"/>
          <w:kern w:val="0"/>
          <w:sz w:val="24"/>
          <w:highlight w:val="none"/>
          <w:lang w:val="zh-CN"/>
        </w:rPr>
        <w:t>认为需要的其他技术文件或说明………………………………</w:t>
      </w:r>
      <w:r>
        <w:rPr>
          <w:rFonts w:hint="eastAsia" w:ascii="仿宋_GB2312" w:hAnsi="仿宋" w:eastAsia="仿宋_GB2312" w:cs="仿宋_GB2312"/>
          <w:color w:val="auto"/>
          <w:kern w:val="0"/>
          <w:sz w:val="24"/>
          <w:highlight w:val="none"/>
        </w:rPr>
        <w:t>（页码）</w:t>
      </w:r>
    </w:p>
    <w:p>
      <w:pPr>
        <w:spacing w:line="360" w:lineRule="auto"/>
        <w:ind w:firstLine="480" w:firstLineChars="2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（15）</w:t>
      </w:r>
      <w:r>
        <w:rPr>
          <w:rFonts w:hint="eastAsia" w:ascii="仿宋_GB2312" w:hAnsi="仿宋" w:eastAsia="仿宋_GB2312" w:cs="仿宋_GB2312"/>
          <w:color w:val="auto"/>
          <w:kern w:val="0"/>
          <w:sz w:val="24"/>
          <w:highlight w:val="none"/>
          <w:lang w:val="zh-CN"/>
        </w:rPr>
        <w:t>关于对招标文件中商务、合同有关条款的拒绝声明……………</w:t>
      </w:r>
      <w:r>
        <w:rPr>
          <w:rFonts w:hint="eastAsia" w:ascii="仿宋_GB2312" w:hAnsi="仿宋" w:eastAsia="仿宋_GB2312" w:cs="仿宋_GB2312"/>
          <w:color w:val="auto"/>
          <w:kern w:val="0"/>
          <w:sz w:val="24"/>
          <w:highlight w:val="none"/>
        </w:rPr>
        <w:t>（页码）</w:t>
      </w:r>
    </w:p>
    <w:p>
      <w:pPr>
        <w:tabs>
          <w:tab w:val="left" w:pos="0"/>
        </w:tabs>
        <w:autoSpaceDE w:val="0"/>
        <w:autoSpaceDN w:val="0"/>
        <w:spacing w:line="360" w:lineRule="auto"/>
        <w:ind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（16）</w:t>
      </w:r>
      <w:r>
        <w:rPr>
          <w:rFonts w:hint="eastAsia" w:ascii="仿宋_GB2312" w:hAnsi="仿宋" w:eastAsia="仿宋_GB2312" w:cs="仿宋_GB2312"/>
          <w:color w:val="auto"/>
          <w:kern w:val="0"/>
          <w:sz w:val="24"/>
          <w:highlight w:val="none"/>
          <w:lang w:val="zh-CN"/>
        </w:rPr>
        <w:t>政府采购供应商廉洁自律承诺书………………………………</w:t>
      </w:r>
      <w:r>
        <w:rPr>
          <w:rFonts w:hint="eastAsia" w:ascii="仿宋_GB2312" w:hAnsi="仿宋" w:eastAsia="仿宋_GB2312" w:cs="仿宋_GB2312"/>
          <w:color w:val="auto"/>
          <w:kern w:val="0"/>
          <w:sz w:val="24"/>
          <w:highlight w:val="none"/>
        </w:rPr>
        <w:t>（页码）</w:t>
      </w:r>
    </w:p>
    <w:p>
      <w:pPr>
        <w:tabs>
          <w:tab w:val="left" w:pos="0"/>
        </w:tabs>
        <w:autoSpaceDE w:val="0"/>
        <w:autoSpaceDN w:val="0"/>
        <w:spacing w:line="360" w:lineRule="auto"/>
        <w:ind w:firstLine="480" w:firstLineChars="200"/>
        <w:rPr>
          <w:rFonts w:hint="eastAsia" w:ascii="Arial" w:hAnsi="Arial" w:eastAsia="黑体" w:cs="Arial"/>
          <w:snapToGrid w:val="0"/>
          <w:color w:val="auto"/>
          <w:kern w:val="0"/>
          <w:szCs w:val="21"/>
          <w:highlight w:val="none"/>
        </w:rPr>
      </w:pPr>
      <w:r>
        <w:rPr>
          <w:rFonts w:hint="eastAsia" w:ascii="仿宋_GB2312" w:hAnsi="仿宋" w:eastAsia="仿宋_GB2312" w:cs="仿宋_GB2312"/>
          <w:color w:val="auto"/>
          <w:kern w:val="0"/>
          <w:sz w:val="24"/>
          <w:highlight w:val="none"/>
        </w:rPr>
        <w:t>（17）</w:t>
      </w:r>
      <w:r>
        <w:rPr>
          <w:rFonts w:hint="eastAsia" w:ascii="仿宋_GB2312" w:hAnsi="仿宋" w:eastAsia="仿宋_GB2312" w:cs="仿宋_GB2312"/>
          <w:color w:val="auto"/>
          <w:kern w:val="0"/>
          <w:sz w:val="24"/>
          <w:highlight w:val="none"/>
          <w:lang w:val="zh-CN"/>
        </w:rPr>
        <w:t>廉政承诺书………………………………………………………</w:t>
      </w:r>
      <w:r>
        <w:rPr>
          <w:rFonts w:hint="eastAsia" w:ascii="仿宋_GB2312" w:hAnsi="仿宋" w:eastAsia="仿宋_GB2312" w:cs="仿宋_GB2312"/>
          <w:color w:val="auto"/>
          <w:kern w:val="0"/>
          <w:sz w:val="24"/>
          <w:highlight w:val="none"/>
        </w:rPr>
        <w:t>（页码）</w:t>
      </w:r>
    </w:p>
    <w:p>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注：以上目录是基本格式要求，各投标人可根据自身情况进一步细化。</w:t>
      </w:r>
    </w:p>
    <w:p>
      <w:pPr>
        <w:snapToGrid w:val="0"/>
        <w:spacing w:line="360" w:lineRule="auto"/>
        <w:jc w:val="center"/>
        <w:rPr>
          <w:rFonts w:hint="eastAsia" w:ascii="仿宋_GB2312" w:hAnsi="仿宋" w:eastAsia="仿宋_GB2312" w:cs="仿宋_GB2312"/>
          <w:b/>
          <w:color w:val="auto"/>
          <w:kern w:val="0"/>
          <w:sz w:val="32"/>
          <w:szCs w:val="32"/>
          <w:highlight w:val="none"/>
          <w:lang w:val="zh-CN"/>
        </w:rPr>
      </w:pPr>
    </w:p>
    <w:p>
      <w:pPr>
        <w:snapToGrid w:val="0"/>
        <w:spacing w:line="360" w:lineRule="auto"/>
        <w:jc w:val="center"/>
        <w:rPr>
          <w:rFonts w:hint="eastAsia" w:ascii="仿宋_GB2312" w:hAnsi="仿宋" w:eastAsia="仿宋_GB2312" w:cs="仿宋_GB2312"/>
          <w:b/>
          <w:color w:val="auto"/>
          <w:kern w:val="0"/>
          <w:sz w:val="32"/>
          <w:szCs w:val="32"/>
          <w:highlight w:val="none"/>
          <w:lang w:val="zh-CN"/>
        </w:rPr>
      </w:pPr>
    </w:p>
    <w:p>
      <w:pPr>
        <w:snapToGrid w:val="0"/>
        <w:spacing w:line="360" w:lineRule="auto"/>
        <w:jc w:val="center"/>
        <w:rPr>
          <w:rFonts w:hint="eastAsia" w:ascii="仿宋_GB2312" w:hAnsi="仿宋" w:eastAsia="仿宋_GB2312" w:cs="仿宋_GB2312"/>
          <w:b/>
          <w:color w:val="auto"/>
          <w:kern w:val="0"/>
          <w:sz w:val="32"/>
          <w:szCs w:val="32"/>
          <w:highlight w:val="none"/>
          <w:lang w:val="zh-CN"/>
        </w:rPr>
      </w:pPr>
    </w:p>
    <w:p>
      <w:pPr>
        <w:snapToGrid w:val="0"/>
        <w:spacing w:line="360" w:lineRule="auto"/>
        <w:jc w:val="center"/>
        <w:rPr>
          <w:rFonts w:hint="eastAsia" w:ascii="仿宋_GB2312" w:hAnsi="仿宋" w:eastAsia="仿宋_GB2312" w:cs="仿宋_GB2312"/>
          <w:b/>
          <w:color w:val="auto"/>
          <w:kern w:val="0"/>
          <w:sz w:val="32"/>
          <w:szCs w:val="32"/>
          <w:highlight w:val="none"/>
          <w:lang w:val="zh-CN"/>
        </w:rPr>
      </w:pPr>
    </w:p>
    <w:p>
      <w:pPr>
        <w:snapToGrid w:val="0"/>
        <w:spacing w:line="360" w:lineRule="auto"/>
        <w:jc w:val="center"/>
        <w:rPr>
          <w:rFonts w:hint="eastAsia" w:ascii="仿宋_GB2312" w:hAnsi="仿宋" w:eastAsia="仿宋_GB2312" w:cs="仿宋_GB2312"/>
          <w:b/>
          <w:color w:val="auto"/>
          <w:kern w:val="0"/>
          <w:sz w:val="32"/>
          <w:szCs w:val="32"/>
          <w:highlight w:val="none"/>
          <w:lang w:val="zh-CN"/>
        </w:rPr>
      </w:pPr>
    </w:p>
    <w:p>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营业执照(或事业法人登记证或其他工商等登记证明材料)复印件（投标人为自然人的，提供自然人的身份证明）</w:t>
      </w:r>
    </w:p>
    <w:p>
      <w:pPr>
        <w:snapToGrid w:val="0"/>
        <w:spacing w:line="360" w:lineRule="auto"/>
        <w:jc w:val="center"/>
        <w:rPr>
          <w:rFonts w:hint="eastAsia"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highlight w:val="none"/>
          <w:lang w:val="zh-CN"/>
        </w:rPr>
      </w:pPr>
    </w:p>
    <w:p>
      <w:pPr>
        <w:snapToGrid w:val="0"/>
        <w:spacing w:line="360" w:lineRule="auto"/>
        <w:ind w:firstLine="576"/>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投标人名称(电子签名)：                              </w:t>
      </w:r>
    </w:p>
    <w:p>
      <w:pPr>
        <w:snapToGrid w:val="0"/>
        <w:spacing w:line="360" w:lineRule="auto"/>
        <w:ind w:firstLine="1440" w:firstLineChars="600"/>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color w:val="auto"/>
          <w:kern w:val="0"/>
          <w:sz w:val="24"/>
          <w:highlight w:val="none"/>
          <w:lang w:val="zh-CN"/>
        </w:rPr>
        <w:t xml:space="preserve">                   日期：  年  月 日</w:t>
      </w:r>
    </w:p>
    <w:p>
      <w:pPr>
        <w:snapToGrid w:val="0"/>
        <w:spacing w:line="360" w:lineRule="auto"/>
        <w:ind w:firstLine="1928" w:firstLineChars="600"/>
        <w:rPr>
          <w:rFonts w:hint="eastAsia"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highlight w:val="none"/>
          <w:lang w:val="zh-CN"/>
        </w:rPr>
      </w:pPr>
    </w:p>
    <w:p>
      <w:pPr>
        <w:snapToGrid w:val="0"/>
        <w:spacing w:line="360" w:lineRule="auto"/>
        <w:ind w:firstLine="1928" w:firstLineChars="600"/>
        <w:rPr>
          <w:rFonts w:hint="eastAsia" w:ascii="仿宋_GB2312" w:hAnsi="仿宋" w:eastAsia="仿宋_GB2312" w:cs="仿宋_GB2312"/>
          <w:b/>
          <w:color w:val="auto"/>
          <w:kern w:val="0"/>
          <w:sz w:val="32"/>
          <w:szCs w:val="32"/>
          <w:highlight w:val="none"/>
          <w:lang w:val="zh-CN"/>
        </w:rPr>
      </w:pPr>
    </w:p>
    <w:p>
      <w:pPr>
        <w:snapToGrid w:val="0"/>
        <w:spacing w:line="360" w:lineRule="auto"/>
        <w:ind w:firstLine="576"/>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b/>
          <w:color w:val="auto"/>
          <w:sz w:val="30"/>
          <w:szCs w:val="30"/>
          <w:highlight w:val="none"/>
        </w:rPr>
        <w:t>二、联合体协议（扫描件加盖上传公司电子签名）</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甲方：</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乙方：</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各方经协商一致，决定组成一个联合体，以一个投标人的身份就杭州市公共资源交易中心组织实施的</w:t>
      </w:r>
      <w:r>
        <w:rPr>
          <w:rFonts w:hint="eastAsia" w:ascii="仿宋_GB2312" w:hAnsi="仿宋" w:eastAsia="仿宋_GB2312" w:cs="仿宋_GB2312"/>
          <w:color w:val="auto"/>
          <w:sz w:val="24"/>
          <w:highlight w:val="none"/>
          <w:lang w:eastAsia="zh-CN"/>
        </w:rPr>
        <w:t>杭州市南郊监狱改扩建工程安防建设政府采购项目</w:t>
      </w:r>
      <w:r>
        <w:rPr>
          <w:rFonts w:hint="eastAsia" w:ascii="仿宋_GB2312" w:hAnsi="仿宋" w:eastAsia="仿宋_GB2312" w:cs="仿宋_GB2312"/>
          <w:color w:val="auto"/>
          <w:kern w:val="0"/>
          <w:sz w:val="24"/>
          <w:highlight w:val="none"/>
          <w:lang w:val="zh-CN"/>
        </w:rPr>
        <w:t>【招标编号：HZZFCG-2021-151】共同投标。</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Arial"/>
          <w:color w:val="auto"/>
          <w:sz w:val="24"/>
          <w:highlight w:val="none"/>
        </w:rPr>
        <w:t>指定</w:t>
      </w:r>
      <w:r>
        <w:rPr>
          <w:rFonts w:hint="eastAsia" w:ascii="仿宋_GB2312" w:hAnsi="仿宋" w:eastAsia="仿宋_GB2312"/>
          <w:color w:val="auto"/>
          <w:highlight w:val="none"/>
          <w:u w:val="single"/>
        </w:rPr>
        <w:t xml:space="preserve">   </w:t>
      </w:r>
      <w:r>
        <w:rPr>
          <w:rFonts w:hint="eastAsia" w:ascii="仿宋_GB2312" w:hAnsi="仿宋" w:eastAsia="仿宋_GB2312" w:cs="Arial"/>
          <w:color w:val="auto"/>
          <w:sz w:val="24"/>
          <w:highlight w:val="none"/>
        </w:rPr>
        <w:t>方牵头人，代表所有联合体成员负责投标和合同实施阶段的主办、协调工作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三、本次联合投标中，分工如下：甲方承担的工作和义务为：</w:t>
      </w:r>
      <w:r>
        <w:rPr>
          <w:rFonts w:hint="eastAsia"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；乙方承担的工作和义务为：</w:t>
      </w:r>
      <w:r>
        <w:rPr>
          <w:rFonts w:hint="eastAsia"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 xml:space="preserve"> ；……</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五、有关本次联合投标的其他事宜：</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76"/>
        <w:rPr>
          <w:rFonts w:hint="eastAsia" w:ascii="仿宋_GB2312" w:hAnsi="仿宋" w:eastAsia="仿宋_GB2312" w:cs="仿宋_GB2312"/>
          <w:color w:val="auto"/>
          <w:kern w:val="0"/>
          <w:sz w:val="24"/>
          <w:highlight w:val="none"/>
          <w:lang w:val="zh-CN"/>
        </w:rPr>
      </w:pP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甲方单位：    （公章或电子签名）      乙方单位：   （公章或电子签名）</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                日期：    年   月   日</w:t>
      </w:r>
    </w:p>
    <w:p>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sectPr>
          <w:pgSz w:w="11906" w:h="16838"/>
          <w:pgMar w:top="1247" w:right="1418" w:bottom="1276" w:left="1418" w:header="851" w:footer="992" w:gutter="0"/>
          <w:cols w:space="720" w:num="1"/>
          <w:titlePg/>
          <w:docGrid w:linePitch="312" w:charSpace="0"/>
        </w:sectPr>
      </w:pPr>
    </w:p>
    <w:p>
      <w:pPr>
        <w:spacing w:line="360" w:lineRule="auto"/>
        <w:jc w:val="center"/>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三、资信文件复印件（如果要求提供）</w:t>
      </w:r>
    </w:p>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spacing w:line="360" w:lineRule="auto"/>
        <w:jc w:val="center"/>
        <w:rPr>
          <w:rFonts w:hint="eastAsia" w:ascii="仿宋_GB2312" w:hAnsi="仿宋" w:eastAsia="仿宋_GB2312" w:cs="仿宋_GB2312"/>
          <w:b/>
          <w:bCs/>
          <w:color w:val="auto"/>
          <w:sz w:val="32"/>
          <w:szCs w:val="32"/>
          <w:highlight w:val="none"/>
        </w:rPr>
      </w:pPr>
    </w:p>
    <w:p>
      <w:pPr>
        <w:snapToGrid w:val="0"/>
        <w:spacing w:line="360" w:lineRule="auto"/>
        <w:ind w:firstLine="576"/>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投标人名称(电子签名)：                              </w:t>
      </w:r>
    </w:p>
    <w:p>
      <w:pPr>
        <w:spacing w:line="360" w:lineRule="auto"/>
        <w:jc w:val="center"/>
        <w:rPr>
          <w:rFonts w:hint="eastAsia" w:ascii="仿宋_GB2312" w:hAnsi="仿宋" w:eastAsia="仿宋_GB2312" w:cs="仿宋_GB2312"/>
          <w:b/>
          <w:bCs/>
          <w:color w:val="auto"/>
          <w:sz w:val="32"/>
          <w:szCs w:val="32"/>
          <w:highlight w:val="none"/>
        </w:rPr>
      </w:pPr>
      <w:r>
        <w:rPr>
          <w:rFonts w:hint="eastAsia" w:ascii="仿宋_GB2312" w:hAnsi="仿宋" w:eastAsia="仿宋_GB2312" w:cs="仿宋_GB2312"/>
          <w:color w:val="auto"/>
          <w:kern w:val="0"/>
          <w:sz w:val="24"/>
          <w:highlight w:val="none"/>
          <w:lang w:val="zh-CN"/>
        </w:rPr>
        <w:t xml:space="preserve">                   日期：  年  月 日</w:t>
      </w:r>
    </w:p>
    <w:p>
      <w:pPr>
        <w:spacing w:line="360" w:lineRule="auto"/>
        <w:jc w:val="center"/>
        <w:rPr>
          <w:rFonts w:hint="eastAsia" w:ascii="仿宋_GB2312" w:hAnsi="仿宋" w:eastAsia="仿宋_GB2312" w:cs="仿宋_GB2312"/>
          <w:b/>
          <w:bCs/>
          <w:color w:val="auto"/>
          <w:sz w:val="32"/>
          <w:szCs w:val="32"/>
          <w:highlight w:val="none"/>
        </w:rPr>
      </w:pPr>
    </w:p>
    <w:p>
      <w:pPr>
        <w:spacing w:line="360" w:lineRule="auto"/>
        <w:jc w:val="center"/>
        <w:rPr>
          <w:rFonts w:hint="eastAsia" w:ascii="仿宋_GB2312" w:hAnsi="仿宋" w:eastAsia="仿宋_GB2312" w:cs="仿宋_GB2312"/>
          <w:b/>
          <w:bCs/>
          <w:color w:val="auto"/>
          <w:sz w:val="32"/>
          <w:szCs w:val="32"/>
          <w:highlight w:val="none"/>
        </w:rPr>
      </w:pPr>
      <w:r>
        <w:rPr>
          <w:rFonts w:hint="eastAsia" w:ascii="仿宋_GB2312" w:hAnsi="仿宋" w:eastAsia="仿宋_GB2312" w:cs="仿宋_GB2312"/>
          <w:b/>
          <w:bCs/>
          <w:color w:val="auto"/>
          <w:sz w:val="32"/>
          <w:szCs w:val="32"/>
          <w:highlight w:val="none"/>
        </w:rPr>
        <w:t>四、</w:t>
      </w:r>
      <w:r>
        <w:rPr>
          <w:rFonts w:hint="eastAsia" w:ascii="仿宋_GB2312" w:hAnsi="仿宋" w:eastAsia="仿宋_GB2312" w:cs="仿宋_GB2312"/>
          <w:b/>
          <w:color w:val="auto"/>
          <w:kern w:val="0"/>
          <w:sz w:val="32"/>
          <w:szCs w:val="32"/>
          <w:highlight w:val="none"/>
          <w:lang w:val="zh-CN"/>
        </w:rPr>
        <w:t>主要业绩证明</w:t>
      </w:r>
    </w:p>
    <w:p>
      <w:pPr>
        <w:autoSpaceDE w:val="0"/>
        <w:autoSpaceDN w:val="0"/>
        <w:spacing w:line="360" w:lineRule="auto"/>
        <w:ind w:firstLine="120"/>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 :相关项目建设业绩一览表</w:t>
      </w:r>
    </w:p>
    <w:tbl>
      <w:tblPr>
        <w:tblStyle w:val="62"/>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wBefore w:w="0" w:type="dxa"/>
          <w:wAfter w:w="0" w:type="dxa"/>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投资</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所在页码</w:t>
            </w:r>
          </w:p>
        </w:tc>
      </w:tr>
      <w:tr>
        <w:tblPrEx>
          <w:tblCellMar>
            <w:top w:w="0" w:type="dxa"/>
            <w:left w:w="108" w:type="dxa"/>
            <w:bottom w:w="0" w:type="dxa"/>
            <w:right w:w="108" w:type="dxa"/>
          </w:tblCellMar>
        </w:tblPrEx>
        <w:trPr>
          <w:wBefore w:w="0" w:type="dxa"/>
          <w:wAfter w:w="0" w:type="dxa"/>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wBefore w:w="0" w:type="dxa"/>
          <w:wAfter w:w="0" w:type="dxa"/>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wBefore w:w="0" w:type="dxa"/>
          <w:wAfter w:w="0" w:type="dxa"/>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wBefore w:w="0" w:type="dxa"/>
          <w:wAfter w:w="0" w:type="dxa"/>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wBefore w:w="0" w:type="dxa"/>
          <w:wAfter w:w="0" w:type="dxa"/>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bl>
    <w:p>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注：投标人可按上述的格式自行编制，须随表提交相应的合同复印件和用户单位验收证明并注明所在投标人商务技术文件页码。</w:t>
      </w:r>
    </w:p>
    <w:p>
      <w:pPr>
        <w:autoSpaceDE w:val="0"/>
        <w:autoSpaceDN w:val="0"/>
        <w:spacing w:line="360" w:lineRule="auto"/>
        <w:ind w:firstLine="4560" w:firstLineChars="1900"/>
        <w:rPr>
          <w:rFonts w:hint="eastAsia" w:ascii="仿宋_GB2312" w:hAnsi="仿宋" w:eastAsia="仿宋_GB2312" w:cs="仿宋_GB2312"/>
          <w:color w:val="auto"/>
          <w:kern w:val="0"/>
          <w:sz w:val="24"/>
          <w:highlight w:val="none"/>
        </w:rPr>
      </w:pPr>
    </w:p>
    <w:p>
      <w:pPr>
        <w:autoSpaceDE w:val="0"/>
        <w:autoSpaceDN w:val="0"/>
        <w:spacing w:line="360" w:lineRule="auto"/>
        <w:ind w:firstLine="4560" w:firstLineChars="19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 xml:space="preserve">投标人名称（电子签名）：                       </w:t>
      </w:r>
    </w:p>
    <w:p>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 xml:space="preserve">                                      日期：  年  月   日</w:t>
      </w:r>
    </w:p>
    <w:p>
      <w:pPr>
        <w:spacing w:line="360" w:lineRule="auto"/>
        <w:rPr>
          <w:rFonts w:hint="eastAsia" w:ascii="仿宋_GB2312" w:hAnsi="仿宋" w:eastAsia="仿宋_GB2312" w:cs="仿宋_GB2312"/>
          <w:color w:val="auto"/>
          <w:kern w:val="0"/>
          <w:sz w:val="24"/>
          <w:highlight w:val="none"/>
        </w:rPr>
      </w:pPr>
    </w:p>
    <w:p>
      <w:pPr>
        <w:spacing w:line="360" w:lineRule="auto"/>
        <w:rPr>
          <w:rFonts w:hint="eastAsia" w:ascii="仿宋_GB2312" w:hAnsi="仿宋" w:eastAsia="仿宋_GB2312" w:cs="仿宋_GB2312"/>
          <w:color w:val="auto"/>
          <w:kern w:val="0"/>
          <w:sz w:val="24"/>
          <w:highlight w:val="none"/>
        </w:rPr>
      </w:pPr>
    </w:p>
    <w:p>
      <w:pPr>
        <w:spacing w:line="360" w:lineRule="auto"/>
        <w:jc w:val="center"/>
        <w:rPr>
          <w:rFonts w:hint="eastAsia" w:ascii="仿宋_GB2312" w:hAnsi="仿宋" w:eastAsia="仿宋_GB2312" w:cs="仿宋_GB2312"/>
          <w:b/>
          <w:bCs/>
          <w:color w:val="auto"/>
          <w:sz w:val="32"/>
          <w:szCs w:val="32"/>
          <w:highlight w:val="none"/>
        </w:rPr>
      </w:pPr>
      <w:r>
        <w:rPr>
          <w:rFonts w:hint="eastAsia" w:ascii="仿宋_GB2312" w:hAnsi="仿宋" w:eastAsia="仿宋_GB2312" w:cs="仿宋_GB2312"/>
          <w:b/>
          <w:bCs/>
          <w:color w:val="auto"/>
          <w:sz w:val="32"/>
          <w:szCs w:val="32"/>
          <w:highlight w:val="none"/>
        </w:rPr>
        <w:t>五、</w:t>
      </w:r>
      <w:bookmarkStart w:id="569" w:name="OLE_LINK16"/>
      <w:bookmarkStart w:id="570" w:name="OLE_LINK17"/>
      <w:r>
        <w:rPr>
          <w:rFonts w:hint="eastAsia" w:ascii="仿宋_GB2312" w:hAnsi="仿宋" w:eastAsia="仿宋_GB2312" w:cs="仿宋_GB2312"/>
          <w:b/>
          <w:bCs/>
          <w:color w:val="auto"/>
          <w:sz w:val="32"/>
          <w:szCs w:val="32"/>
          <w:highlight w:val="none"/>
        </w:rPr>
        <w:t>其他商务文件或说明</w:t>
      </w:r>
    </w:p>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bookmarkStart w:id="571" w:name="OLE_LINK11"/>
      <w:bookmarkStart w:id="572" w:name="OLE_LINK10"/>
      <w:r>
        <w:rPr>
          <w:rFonts w:hint="eastAsia" w:ascii="仿宋_GB2312" w:hAnsi="仿宋" w:eastAsia="仿宋_GB2312" w:cs="仿宋_GB2312"/>
          <w:color w:val="auto"/>
          <w:sz w:val="24"/>
          <w:highlight w:val="none"/>
        </w:rPr>
        <w:t>其他商务文件或说明由投标人根据采购需求自行编制</w:t>
      </w:r>
      <w:bookmarkEnd w:id="571"/>
      <w:bookmarkEnd w:id="572"/>
      <w:r>
        <w:rPr>
          <w:rFonts w:hint="eastAsia" w:ascii="仿宋_GB2312" w:hAnsi="仿宋" w:eastAsia="仿宋_GB2312" w:cs="仿宋_GB2312"/>
          <w:color w:val="auto"/>
          <w:sz w:val="24"/>
          <w:highlight w:val="none"/>
        </w:rPr>
        <w:t>）</w:t>
      </w:r>
    </w:p>
    <w:bookmarkEnd w:id="569"/>
    <w:bookmarkEnd w:id="570"/>
    <w:p>
      <w:pPr>
        <w:spacing w:line="360" w:lineRule="auto"/>
        <w:jc w:val="center"/>
        <w:rPr>
          <w:rFonts w:hint="eastAsia" w:ascii="仿宋_GB2312" w:hAnsi="仿宋" w:eastAsia="仿宋_GB2312" w:cs="仿宋_GB2312"/>
          <w:color w:val="auto"/>
          <w:sz w:val="24"/>
          <w:highlight w:val="none"/>
        </w:rPr>
      </w:pPr>
    </w:p>
    <w:p>
      <w:pPr>
        <w:autoSpaceDE w:val="0"/>
        <w:autoSpaceDN w:val="0"/>
        <w:spacing w:line="360" w:lineRule="auto"/>
        <w:ind w:firstLine="4800" w:firstLineChars="20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投标人名称（电子签名）：      </w:t>
      </w:r>
    </w:p>
    <w:p>
      <w:pPr>
        <w:autoSpaceDE w:val="0"/>
        <w:autoSpaceDN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  年  月   日</w:t>
      </w:r>
    </w:p>
    <w:p>
      <w:pPr>
        <w:autoSpaceDE w:val="0"/>
        <w:autoSpaceDN w:val="0"/>
        <w:spacing w:line="360" w:lineRule="auto"/>
        <w:rPr>
          <w:rFonts w:hint="eastAsia" w:ascii="仿宋_GB2312" w:hAnsi="仿宋" w:eastAsia="仿宋_GB2312" w:cs="仿宋_GB2312"/>
          <w:color w:val="auto"/>
          <w:kern w:val="0"/>
          <w:sz w:val="24"/>
          <w:highlight w:val="none"/>
          <w:lang w:val="zh-CN"/>
        </w:rPr>
      </w:pPr>
    </w:p>
    <w:p>
      <w:pPr>
        <w:autoSpaceDE w:val="0"/>
        <w:autoSpaceDN w:val="0"/>
        <w:spacing w:line="360" w:lineRule="auto"/>
        <w:rPr>
          <w:rFonts w:hint="eastAsia" w:ascii="仿宋_GB2312" w:hAnsi="仿宋" w:eastAsia="仿宋_GB2312" w:cs="仿宋_GB2312"/>
          <w:color w:val="auto"/>
          <w:kern w:val="0"/>
          <w:sz w:val="24"/>
          <w:highlight w:val="none"/>
          <w:lang w:val="zh-CN"/>
        </w:rPr>
      </w:pPr>
    </w:p>
    <w:p>
      <w:pPr>
        <w:spacing w:line="360" w:lineRule="auto"/>
        <w:jc w:val="center"/>
        <w:rPr>
          <w:rFonts w:hint="eastAsia" w:ascii="仿宋_GB2312" w:hAnsi="仿宋" w:eastAsia="仿宋_GB2312" w:cs="仿宋_GB2312"/>
          <w:b/>
          <w:bCs/>
          <w:color w:val="auto"/>
          <w:sz w:val="32"/>
          <w:szCs w:val="32"/>
          <w:highlight w:val="none"/>
        </w:rPr>
      </w:pPr>
      <w:r>
        <w:rPr>
          <w:rFonts w:hint="eastAsia" w:ascii="仿宋_GB2312" w:hAnsi="仿宋" w:eastAsia="仿宋_GB2312" w:cs="仿宋_GB2312"/>
          <w:b/>
          <w:color w:val="auto"/>
          <w:sz w:val="32"/>
          <w:szCs w:val="32"/>
          <w:highlight w:val="none"/>
        </w:rPr>
        <w:t>六</w:t>
      </w:r>
      <w:r>
        <w:rPr>
          <w:rFonts w:hint="eastAsia" w:ascii="仿宋_GB2312" w:hAnsi="仿宋" w:eastAsia="仿宋_GB2312" w:cs="仿宋_GB2312"/>
          <w:b/>
          <w:bCs/>
          <w:color w:val="auto"/>
          <w:sz w:val="32"/>
          <w:szCs w:val="32"/>
          <w:highlight w:val="none"/>
        </w:rPr>
        <w:t>、技术解决方案</w:t>
      </w:r>
    </w:p>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snapToGrid w:val="0"/>
        <w:spacing w:line="360" w:lineRule="auto"/>
        <w:jc w:val="center"/>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（一）投标产品规格配置清单</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3" w:hRule="atLeast"/>
        </w:trPr>
        <w:tc>
          <w:tcPr>
            <w:tcW w:w="737" w:type="dxa"/>
            <w:noWrap w:val="0"/>
            <w:vAlign w:val="center"/>
          </w:tcPr>
          <w:p>
            <w:pPr>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531" w:type="dxa"/>
            <w:noWrap w:val="0"/>
            <w:vAlign w:val="center"/>
          </w:tcPr>
          <w:p>
            <w:pPr>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设备名称</w:t>
            </w:r>
          </w:p>
        </w:tc>
        <w:tc>
          <w:tcPr>
            <w:tcW w:w="2160" w:type="dxa"/>
            <w:noWrap w:val="0"/>
            <w:vAlign w:val="center"/>
          </w:tcPr>
          <w:p>
            <w:pPr>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投标品牌及型号</w:t>
            </w:r>
          </w:p>
        </w:tc>
        <w:tc>
          <w:tcPr>
            <w:tcW w:w="2340" w:type="dxa"/>
            <w:noWrap w:val="0"/>
            <w:vAlign w:val="center"/>
          </w:tcPr>
          <w:p>
            <w:pPr>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规格配置详细说明</w:t>
            </w:r>
          </w:p>
        </w:tc>
        <w:tc>
          <w:tcPr>
            <w:tcW w:w="1080" w:type="dxa"/>
            <w:noWrap w:val="0"/>
            <w:vAlign w:val="center"/>
          </w:tcPr>
          <w:p>
            <w:pPr>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数量</w:t>
            </w:r>
          </w:p>
        </w:tc>
        <w:tc>
          <w:tcPr>
            <w:tcW w:w="1332" w:type="dxa"/>
            <w:noWrap w:val="0"/>
            <w:vAlign w:val="center"/>
          </w:tcPr>
          <w:p>
            <w:pPr>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trPr>
        <w:tc>
          <w:tcPr>
            <w:tcW w:w="737" w:type="dxa"/>
            <w:noWrap w:val="0"/>
            <w:vAlign w:val="center"/>
          </w:tcPr>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1531"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2160"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2340" w:type="dxa"/>
            <w:noWrap w:val="0"/>
            <w:vAlign w:val="center"/>
          </w:tcPr>
          <w:p>
            <w:pPr>
              <w:spacing w:line="360" w:lineRule="auto"/>
              <w:jc w:val="center"/>
              <w:rPr>
                <w:rFonts w:hint="eastAsia" w:ascii="仿宋_GB2312" w:hAnsi="仿宋" w:eastAsia="仿宋_GB2312" w:cs="仿宋_GB2312"/>
                <w:color w:val="auto"/>
                <w:sz w:val="24"/>
                <w:highlight w:val="none"/>
              </w:rPr>
            </w:pPr>
          </w:p>
        </w:tc>
        <w:tc>
          <w:tcPr>
            <w:tcW w:w="1080" w:type="dxa"/>
            <w:noWrap w:val="0"/>
            <w:vAlign w:val="center"/>
          </w:tcPr>
          <w:p>
            <w:pPr>
              <w:spacing w:line="360" w:lineRule="auto"/>
              <w:jc w:val="center"/>
              <w:rPr>
                <w:rFonts w:hint="eastAsia" w:ascii="仿宋_GB2312" w:hAnsi="仿宋" w:eastAsia="仿宋_GB2312" w:cs="仿宋_GB2312"/>
                <w:color w:val="auto"/>
                <w:sz w:val="24"/>
                <w:highlight w:val="none"/>
              </w:rPr>
            </w:pPr>
          </w:p>
        </w:tc>
        <w:tc>
          <w:tcPr>
            <w:tcW w:w="1332" w:type="dxa"/>
            <w:noWrap w:val="0"/>
            <w:vAlign w:val="center"/>
          </w:tcPr>
          <w:p>
            <w:pPr>
              <w:spacing w:line="360" w:lineRule="auto"/>
              <w:jc w:val="center"/>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p>
        </w:tc>
        <w:tc>
          <w:tcPr>
            <w:tcW w:w="1531"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2160"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2340" w:type="dxa"/>
            <w:noWrap w:val="0"/>
            <w:vAlign w:val="center"/>
          </w:tcPr>
          <w:p>
            <w:pPr>
              <w:spacing w:line="360" w:lineRule="auto"/>
              <w:jc w:val="center"/>
              <w:rPr>
                <w:rFonts w:hint="eastAsia" w:ascii="仿宋_GB2312" w:hAnsi="仿宋" w:eastAsia="仿宋_GB2312" w:cs="仿宋_GB2312"/>
                <w:color w:val="auto"/>
                <w:sz w:val="24"/>
                <w:highlight w:val="none"/>
              </w:rPr>
            </w:pPr>
          </w:p>
        </w:tc>
        <w:tc>
          <w:tcPr>
            <w:tcW w:w="1080" w:type="dxa"/>
            <w:noWrap w:val="0"/>
            <w:vAlign w:val="center"/>
          </w:tcPr>
          <w:p>
            <w:pPr>
              <w:spacing w:line="360" w:lineRule="auto"/>
              <w:jc w:val="center"/>
              <w:rPr>
                <w:rFonts w:hint="eastAsia" w:ascii="仿宋_GB2312" w:hAnsi="仿宋" w:eastAsia="仿宋_GB2312" w:cs="仿宋_GB2312"/>
                <w:color w:val="auto"/>
                <w:sz w:val="24"/>
                <w:highlight w:val="none"/>
              </w:rPr>
            </w:pPr>
          </w:p>
        </w:tc>
        <w:tc>
          <w:tcPr>
            <w:tcW w:w="1332" w:type="dxa"/>
            <w:noWrap w:val="0"/>
            <w:vAlign w:val="center"/>
          </w:tcPr>
          <w:p>
            <w:pPr>
              <w:spacing w:line="360" w:lineRule="auto"/>
              <w:jc w:val="center"/>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1531"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2160" w:type="dxa"/>
            <w:noWrap w:val="0"/>
            <w:vAlign w:val="center"/>
          </w:tcPr>
          <w:p>
            <w:pPr>
              <w:snapToGrid w:val="0"/>
              <w:spacing w:line="360" w:lineRule="auto"/>
              <w:jc w:val="center"/>
              <w:rPr>
                <w:rFonts w:hint="eastAsia" w:ascii="仿宋_GB2312" w:hAnsi="仿宋" w:eastAsia="仿宋_GB2312" w:cs="仿宋_GB2312"/>
                <w:color w:val="auto"/>
                <w:sz w:val="24"/>
                <w:highlight w:val="none"/>
              </w:rPr>
            </w:pPr>
          </w:p>
        </w:tc>
        <w:tc>
          <w:tcPr>
            <w:tcW w:w="2340" w:type="dxa"/>
            <w:noWrap w:val="0"/>
            <w:vAlign w:val="center"/>
          </w:tcPr>
          <w:p>
            <w:pPr>
              <w:spacing w:line="360" w:lineRule="auto"/>
              <w:jc w:val="center"/>
              <w:rPr>
                <w:rFonts w:hint="eastAsia" w:ascii="仿宋_GB2312" w:hAnsi="仿宋" w:eastAsia="仿宋_GB2312" w:cs="仿宋_GB2312"/>
                <w:color w:val="auto"/>
                <w:sz w:val="24"/>
                <w:highlight w:val="none"/>
              </w:rPr>
            </w:pPr>
          </w:p>
        </w:tc>
        <w:tc>
          <w:tcPr>
            <w:tcW w:w="1080" w:type="dxa"/>
            <w:noWrap w:val="0"/>
            <w:vAlign w:val="center"/>
          </w:tcPr>
          <w:p>
            <w:pPr>
              <w:spacing w:line="360" w:lineRule="auto"/>
              <w:jc w:val="center"/>
              <w:rPr>
                <w:rFonts w:hint="eastAsia" w:ascii="仿宋_GB2312" w:hAnsi="仿宋" w:eastAsia="仿宋_GB2312" w:cs="仿宋_GB2312"/>
                <w:color w:val="auto"/>
                <w:sz w:val="24"/>
                <w:highlight w:val="none"/>
              </w:rPr>
            </w:pPr>
          </w:p>
        </w:tc>
        <w:tc>
          <w:tcPr>
            <w:tcW w:w="1332" w:type="dxa"/>
            <w:noWrap w:val="0"/>
            <w:vAlign w:val="center"/>
          </w:tcPr>
          <w:p>
            <w:pPr>
              <w:spacing w:line="360" w:lineRule="auto"/>
              <w:jc w:val="center"/>
              <w:rPr>
                <w:rFonts w:hint="eastAsia" w:ascii="仿宋_GB2312" w:hAnsi="仿宋" w:eastAsia="仿宋_GB2312" w:cs="仿宋_GB2312"/>
                <w:color w:val="auto"/>
                <w:sz w:val="24"/>
                <w:highlight w:val="none"/>
              </w:rPr>
            </w:pPr>
          </w:p>
        </w:tc>
      </w:tr>
    </w:tbl>
    <w:p>
      <w:pPr>
        <w:autoSpaceDE w:val="0"/>
        <w:autoSpaceDN w:val="0"/>
        <w:spacing w:line="360" w:lineRule="auto"/>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sz w:val="24"/>
          <w:highlight w:val="none"/>
        </w:rPr>
        <w:t>注：如果本项目涉及硬件设备采购，须在技术文件中提供此配置清单</w:t>
      </w:r>
      <w:r>
        <w:rPr>
          <w:rFonts w:hint="eastAsia" w:ascii="仿宋_GB2312" w:hAnsi="仿宋" w:eastAsia="仿宋_GB2312" w:cs="仿宋_GB2312"/>
          <w:b/>
          <w:color w:val="auto"/>
          <w:sz w:val="28"/>
          <w:szCs w:val="28"/>
          <w:highlight w:val="none"/>
        </w:rPr>
        <w:t>。</w:t>
      </w:r>
    </w:p>
    <w:p>
      <w:pPr>
        <w:tabs>
          <w:tab w:val="left" w:pos="2790"/>
          <w:tab w:val="center" w:pos="3835"/>
          <w:tab w:val="left" w:pos="4230"/>
          <w:tab w:val="left" w:pos="4695"/>
        </w:tabs>
        <w:autoSpaceDE w:val="0"/>
        <w:autoSpaceDN w:val="0"/>
        <w:spacing w:line="360" w:lineRule="auto"/>
        <w:ind w:right="1400"/>
        <w:jc w:val="left"/>
        <w:outlineLvl w:val="1"/>
        <w:rPr>
          <w:rFonts w:hint="eastAsia"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ab/>
      </w:r>
      <w:r>
        <w:rPr>
          <w:rFonts w:hint="eastAsia" w:ascii="仿宋_GB2312" w:hAnsi="仿宋" w:eastAsia="仿宋_GB2312" w:cs="仿宋_GB2312"/>
          <w:b/>
          <w:bCs/>
          <w:color w:val="auto"/>
          <w:kern w:val="0"/>
          <w:sz w:val="24"/>
          <w:highlight w:val="none"/>
          <w:lang w:val="zh-CN"/>
        </w:rPr>
        <w:tab/>
      </w:r>
      <w:r>
        <w:rPr>
          <w:rFonts w:hint="eastAsia" w:ascii="仿宋_GB2312" w:hAnsi="仿宋" w:eastAsia="仿宋_GB2312" w:cs="仿宋_GB2312"/>
          <w:b/>
          <w:bCs/>
          <w:color w:val="auto"/>
          <w:kern w:val="0"/>
          <w:sz w:val="24"/>
          <w:highlight w:val="none"/>
          <w:lang w:val="zh-CN"/>
        </w:rPr>
        <w:t xml:space="preserve">                        </w:t>
      </w:r>
    </w:p>
    <w:p>
      <w:pPr>
        <w:spacing w:line="360" w:lineRule="auto"/>
        <w:ind w:firstLine="1333" w:firstLineChars="400"/>
        <w:jc w:val="left"/>
        <w:rPr>
          <w:rFonts w:hint="eastAsia"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（二）节能产品认证证书复印件（电子签名）</w:t>
      </w:r>
    </w:p>
    <w:p>
      <w:pPr>
        <w:spacing w:line="360" w:lineRule="auto"/>
        <w:ind w:firstLine="1333" w:firstLineChars="400"/>
        <w:jc w:val="left"/>
        <w:rPr>
          <w:rFonts w:hint="eastAsia" w:ascii="仿宋_GB2312" w:hAnsi="仿宋" w:eastAsia="仿宋_GB2312"/>
          <w:b/>
          <w:color w:val="auto"/>
          <w:spacing w:val="6"/>
          <w:sz w:val="32"/>
          <w:szCs w:val="32"/>
          <w:highlight w:val="none"/>
        </w:rPr>
      </w:pPr>
    </w:p>
    <w:p>
      <w:pPr>
        <w:spacing w:line="360" w:lineRule="auto"/>
        <w:rPr>
          <w:rFonts w:hint="eastAsia" w:ascii="仿宋_GB2312" w:hAnsi="仿宋" w:eastAsia="仿宋_GB2312"/>
          <w:b/>
          <w:bCs/>
          <w:color w:val="auto"/>
          <w:sz w:val="24"/>
          <w:highlight w:val="none"/>
        </w:rPr>
      </w:pPr>
      <w:r>
        <w:rPr>
          <w:rFonts w:hint="eastAsia" w:ascii="仿宋_GB2312" w:hAnsi="仿宋" w:eastAsia="仿宋_GB2312"/>
          <w:b/>
          <w:bCs/>
          <w:color w:val="auto"/>
          <w:sz w:val="24"/>
          <w:highlight w:val="none"/>
        </w:rPr>
        <w:t xml:space="preserve"> </w:t>
      </w:r>
    </w:p>
    <w:p>
      <w:pPr>
        <w:spacing w:line="360" w:lineRule="auto"/>
        <w:ind w:firstLine="1000" w:firstLineChars="300"/>
        <w:jc w:val="left"/>
        <w:rPr>
          <w:rFonts w:hint="eastAsia"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（三）环境标志产品认证证书复印件（电子签名）</w:t>
      </w:r>
    </w:p>
    <w:p>
      <w:pPr>
        <w:autoSpaceDE w:val="0"/>
        <w:autoSpaceDN w:val="0"/>
        <w:spacing w:line="360" w:lineRule="auto"/>
        <w:ind w:firstLine="4560" w:firstLineChars="1900"/>
        <w:rPr>
          <w:rFonts w:hint="eastAsia" w:ascii="仿宋_GB2312" w:hAnsi="仿宋" w:eastAsia="仿宋_GB2312"/>
          <w:color w:val="auto"/>
          <w:kern w:val="0"/>
          <w:sz w:val="24"/>
          <w:highlight w:val="none"/>
        </w:rPr>
      </w:pPr>
    </w:p>
    <w:p>
      <w:pPr>
        <w:autoSpaceDE w:val="0"/>
        <w:autoSpaceDN w:val="0"/>
        <w:spacing w:line="360" w:lineRule="auto"/>
        <w:ind w:firstLine="4560" w:firstLineChars="1900"/>
        <w:rPr>
          <w:rFonts w:hint="eastAsia" w:ascii="仿宋_GB2312" w:hAnsi="仿宋" w:eastAsia="仿宋_GB2312"/>
          <w:color w:val="auto"/>
          <w:kern w:val="0"/>
          <w:sz w:val="24"/>
          <w:highlight w:val="none"/>
        </w:rPr>
      </w:pPr>
    </w:p>
    <w:p>
      <w:pPr>
        <w:autoSpaceDE w:val="0"/>
        <w:autoSpaceDN w:val="0"/>
        <w:spacing w:line="360" w:lineRule="auto"/>
        <w:ind w:firstLine="4560" w:firstLineChars="1900"/>
        <w:rPr>
          <w:rFonts w:hint="eastAsia" w:ascii="仿宋_GB2312" w:hAnsi="仿宋" w:eastAsia="仿宋_GB2312"/>
          <w:color w:val="auto"/>
          <w:kern w:val="0"/>
          <w:sz w:val="24"/>
          <w:highlight w:val="none"/>
        </w:rPr>
      </w:pPr>
    </w:p>
    <w:p>
      <w:pPr>
        <w:autoSpaceDE w:val="0"/>
        <w:autoSpaceDN w:val="0"/>
        <w:spacing w:line="360" w:lineRule="auto"/>
        <w:ind w:firstLine="4560" w:firstLineChars="1900"/>
        <w:rPr>
          <w:rFonts w:hint="eastAsia" w:ascii="仿宋_GB2312" w:hAnsi="仿宋" w:eastAsia="仿宋_GB2312"/>
          <w:color w:val="auto"/>
          <w:kern w:val="0"/>
          <w:sz w:val="24"/>
          <w:highlight w:val="none"/>
        </w:rPr>
      </w:pPr>
    </w:p>
    <w:p>
      <w:pPr>
        <w:autoSpaceDE w:val="0"/>
        <w:autoSpaceDN w:val="0"/>
        <w:spacing w:line="360" w:lineRule="auto"/>
        <w:ind w:firstLine="4560" w:firstLineChars="1900"/>
        <w:rPr>
          <w:rFonts w:hint="eastAsia" w:ascii="仿宋_GB2312" w:hAnsi="仿宋" w:eastAsia="仿宋_GB2312"/>
          <w:color w:val="auto"/>
          <w:kern w:val="0"/>
          <w:sz w:val="24"/>
          <w:highlight w:val="none"/>
        </w:rPr>
      </w:pPr>
      <w:r>
        <w:rPr>
          <w:rFonts w:hint="eastAsia" w:ascii="仿宋_GB2312" w:hAnsi="仿宋" w:eastAsia="仿宋_GB2312"/>
          <w:color w:val="auto"/>
          <w:kern w:val="0"/>
          <w:sz w:val="24"/>
          <w:highlight w:val="none"/>
        </w:rPr>
        <w:t xml:space="preserve">供应商名称（电子签名）：                       </w:t>
      </w:r>
    </w:p>
    <w:p>
      <w:pPr>
        <w:autoSpaceDE w:val="0"/>
        <w:autoSpaceDN w:val="0"/>
        <w:spacing w:line="360" w:lineRule="auto"/>
        <w:rPr>
          <w:rFonts w:hint="eastAsia" w:ascii="仿宋_GB2312" w:hAnsi="仿宋" w:eastAsia="仿宋_GB2312"/>
          <w:color w:val="auto"/>
          <w:kern w:val="0"/>
          <w:sz w:val="24"/>
          <w:highlight w:val="none"/>
        </w:rPr>
      </w:pPr>
      <w:r>
        <w:rPr>
          <w:rFonts w:hint="eastAsia" w:ascii="仿宋_GB2312" w:hAnsi="仿宋" w:eastAsia="仿宋_GB2312"/>
          <w:color w:val="auto"/>
          <w:kern w:val="0"/>
          <w:sz w:val="24"/>
          <w:highlight w:val="none"/>
        </w:rPr>
        <w:t xml:space="preserve">                                      日期：   年  月   日</w:t>
      </w:r>
    </w:p>
    <w:p>
      <w:pPr>
        <w:spacing w:line="360" w:lineRule="auto"/>
        <w:jc w:val="center"/>
        <w:rPr>
          <w:rFonts w:hint="eastAsia" w:ascii="仿宋_GB2312" w:hAnsi="仿宋" w:eastAsia="仿宋_GB2312" w:cs="仿宋_GB2312"/>
          <w:b/>
          <w:bCs/>
          <w:color w:val="auto"/>
          <w:sz w:val="32"/>
          <w:szCs w:val="32"/>
          <w:highlight w:val="none"/>
        </w:rPr>
      </w:pPr>
      <w:r>
        <w:rPr>
          <w:rFonts w:hint="eastAsia" w:ascii="仿宋_GB2312" w:hAnsi="仿宋" w:eastAsia="仿宋_GB2312" w:cs="仿宋_GB2312"/>
          <w:b/>
          <w:bCs/>
          <w:color w:val="auto"/>
          <w:sz w:val="32"/>
          <w:szCs w:val="32"/>
          <w:highlight w:val="none"/>
        </w:rPr>
        <w:t>七、技术偏离说明表</w:t>
      </w:r>
    </w:p>
    <w:p>
      <w:pPr>
        <w:spacing w:line="360" w:lineRule="auto"/>
        <w:jc w:val="center"/>
        <w:rPr>
          <w:rFonts w:hint="eastAsia" w:ascii="仿宋_GB2312" w:hAnsi="仿宋" w:eastAsia="仿宋_GB2312" w:cs="仿宋_GB2312"/>
          <w:b/>
          <w:bCs/>
          <w:color w:val="auto"/>
          <w:sz w:val="18"/>
          <w:szCs w:val="18"/>
          <w:highlight w:val="none"/>
        </w:rPr>
      </w:pP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名称</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采购要求</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投标响应</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偏离</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 w:eastAsia="仿宋_GB2312" w:cs="仿宋_GB2312"/>
                <w:color w:val="auto"/>
                <w:sz w:val="24"/>
                <w:highlight w:val="none"/>
              </w:rPr>
            </w:pPr>
          </w:p>
        </w:tc>
      </w:tr>
    </w:tbl>
    <w:p>
      <w:pPr>
        <w:autoSpaceDE w:val="0"/>
        <w:autoSpaceDN w:val="0"/>
        <w:spacing w:line="360" w:lineRule="auto"/>
        <w:ind w:firstLine="5040" w:firstLineChars="2100"/>
        <w:rPr>
          <w:rFonts w:hint="eastAsia" w:ascii="仿宋_GB2312" w:hAnsi="仿宋" w:eastAsia="仿宋_GB2312" w:cs="仿宋_GB2312"/>
          <w:color w:val="auto"/>
          <w:kern w:val="0"/>
          <w:sz w:val="24"/>
          <w:highlight w:val="none"/>
          <w:lang w:val="zh-CN"/>
        </w:rPr>
      </w:pPr>
    </w:p>
    <w:p>
      <w:pPr>
        <w:autoSpaceDE w:val="0"/>
        <w:autoSpaceDN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投标人名称（电子签名）：      </w:t>
      </w:r>
    </w:p>
    <w:p>
      <w:pPr>
        <w:autoSpaceDE w:val="0"/>
        <w:autoSpaceDN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  年  月   日</w:t>
      </w:r>
    </w:p>
    <w:p>
      <w:pPr>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w:t>
      </w: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_GB2312"/>
          <w:b/>
          <w:bCs/>
          <w:color w:val="auto"/>
          <w:kern w:val="0"/>
          <w:sz w:val="36"/>
          <w:szCs w:val="36"/>
          <w:highlight w:val="none"/>
          <w:lang w:val="zh-CN"/>
        </w:rPr>
      </w:pPr>
      <w:r>
        <w:rPr>
          <w:rFonts w:hint="eastAsia" w:ascii="仿宋_GB2312" w:hAnsi="仿宋" w:eastAsia="仿宋_GB2312" w:cs="仿宋_GB2312"/>
          <w:b/>
          <w:bCs/>
          <w:color w:val="auto"/>
          <w:kern w:val="0"/>
          <w:sz w:val="36"/>
          <w:szCs w:val="36"/>
          <w:highlight w:val="none"/>
          <w:lang w:val="zh-CN"/>
        </w:rPr>
        <w:t xml:space="preserve"> </w:t>
      </w: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_GB2312"/>
          <w:b/>
          <w:bCs/>
          <w:color w:val="auto"/>
          <w:kern w:val="0"/>
          <w:sz w:val="32"/>
          <w:szCs w:val="32"/>
          <w:highlight w:val="none"/>
          <w:lang w:val="zh-CN"/>
        </w:rPr>
      </w:pPr>
    </w:p>
    <w:p>
      <w:pPr>
        <w:tabs>
          <w:tab w:val="left" w:pos="2790"/>
          <w:tab w:val="left" w:pos="4230"/>
        </w:tabs>
        <w:autoSpaceDE w:val="0"/>
        <w:autoSpaceDN w:val="0"/>
        <w:spacing w:line="360" w:lineRule="auto"/>
        <w:ind w:right="1400"/>
        <w:jc w:val="center"/>
        <w:outlineLvl w:val="1"/>
        <w:rPr>
          <w:rFonts w:hint="eastAsia" w:ascii="仿宋_GB2312" w:hAnsi="仿宋" w:eastAsia="仿宋_GB2312" w:cs="仿宋_GB2312"/>
          <w:b/>
          <w:bCs/>
          <w:color w:val="auto"/>
          <w:kern w:val="0"/>
          <w:sz w:val="32"/>
          <w:szCs w:val="32"/>
          <w:highlight w:val="none"/>
          <w:lang w:val="zh-CN"/>
        </w:rPr>
      </w:pPr>
      <w:r>
        <w:rPr>
          <w:rFonts w:hint="eastAsia" w:ascii="仿宋_GB2312" w:hAnsi="仿宋" w:eastAsia="仿宋_GB2312" w:cs="仿宋_GB2312"/>
          <w:b/>
          <w:bCs/>
          <w:color w:val="auto"/>
          <w:kern w:val="0"/>
          <w:sz w:val="32"/>
          <w:szCs w:val="32"/>
          <w:highlight w:val="none"/>
          <w:lang w:val="zh-CN"/>
        </w:rPr>
        <w:t>八、组织实施方案</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tabs>
          <w:tab w:val="left" w:pos="2790"/>
          <w:tab w:val="left" w:pos="4230"/>
        </w:tabs>
        <w:autoSpaceDE w:val="0"/>
        <w:autoSpaceDN w:val="0"/>
        <w:spacing w:line="360" w:lineRule="auto"/>
        <w:ind w:right="1400"/>
        <w:outlineLvl w:val="1"/>
        <w:rPr>
          <w:rFonts w:hint="eastAsia" w:ascii="仿宋_GB2312" w:hAnsi="仿宋" w:eastAsia="仿宋_GB2312" w:cs="仿宋_GB2312"/>
          <w:b/>
          <w:bCs/>
          <w:color w:val="auto"/>
          <w:kern w:val="0"/>
          <w:sz w:val="24"/>
          <w:highlight w:val="none"/>
          <w:lang w:val="zh-CN"/>
        </w:rPr>
      </w:pPr>
    </w:p>
    <w:p>
      <w:pPr>
        <w:tabs>
          <w:tab w:val="left" w:pos="2790"/>
          <w:tab w:val="left" w:pos="4230"/>
        </w:tabs>
        <w:autoSpaceDE w:val="0"/>
        <w:autoSpaceDN w:val="0"/>
        <w:spacing w:line="360" w:lineRule="auto"/>
        <w:ind w:right="1400"/>
        <w:outlineLvl w:val="1"/>
        <w:rPr>
          <w:rFonts w:hint="eastAsia"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附表:项目实施进度计划表</w:t>
      </w:r>
      <w:r>
        <w:rPr>
          <w:rFonts w:hint="eastAsia" w:ascii="仿宋_GB2312" w:hAnsi="仿宋" w:eastAsia="仿宋_GB2312" w:cs="仿宋_GB2312"/>
          <w:b/>
          <w:color w:val="auto"/>
          <w:sz w:val="24"/>
          <w:highlight w:val="none"/>
        </w:rPr>
        <w:t xml:space="preserve">(以生效日算起) </w:t>
      </w:r>
    </w:p>
    <w:tbl>
      <w:tblPr>
        <w:tblStyle w:val="6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39" w:hRule="atLeast"/>
        </w:trPr>
        <w:tc>
          <w:tcPr>
            <w:tcW w:w="1188" w:type="dxa"/>
            <w:noWrap w:val="0"/>
            <w:vAlign w:val="center"/>
          </w:tcPr>
          <w:p>
            <w:pPr>
              <w:spacing w:line="360" w:lineRule="auto"/>
              <w:rPr>
                <w:rFonts w:hint="eastAsia" w:ascii="仿宋_GB2312" w:hAnsi="仿宋" w:eastAsia="仿宋_GB2312" w:cs="仿宋_GB2312"/>
                <w:color w:val="auto"/>
                <w:sz w:val="24"/>
                <w:highlight w:val="none"/>
              </w:rPr>
            </w:pPr>
            <w:r>
              <w:rPr>
                <w:rFonts w:hint="eastAsia" w:ascii="仿宋_GB2312" w:eastAsia="仿宋_GB2312"/>
                <w:color w:val="auto"/>
                <w:highlight w:val="none"/>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1312;mso-width-relative:page;mso-height-relative:page;" coordsize="1178,1860" o:gfxdata="UEsDBAoAAAAAAIdO4kAAAAAAAAAAAAAAAAAEAAAAZHJzL1BLAwQUAAAACACHTuJA9ctcntgAAAAI AQAADwAAAGRycy9kb3ducmV2LnhtbE2PwWrDMBBE74X+g9hCb4mkhqTBtRxKaHsKhSaF0tvG2tgm lmQsxU7+vptTc9thhtk3+ersWjFQH5vgDeipAkG+DLbxlYHv3ftkCSIm9Bbb4MnAhSKsivu7HDMb Rv9FwzZVgkt8zNBAnVKXSRnLmhzGaejIs3cIvcPEsq+k7XHkctfKJ6UW0mHj+UONHa1rKo/bkzPw MeL4OtNvw+Z4WF9+d/PPn40mYx4ftHoBkeic/sNwxWd0KJhpH07eRtEamGg146gBXnS11fMcxJ6P 5UKBLHJ5O6D4A1BLAwQUAAAACACHTuJAOw5pPBQDAABKCwAADgAAAGRycy9lMm9Eb2MueG1s7VbL bhMxFN0j8Q+W93QykyejTqo2pQWpQKWWdeV4PA8xYxvbyaSsWbDkf/gexG9wbc8kaSogAkFZkMXE r3t97znH1z48WtUVWjKlS8ETHB70MGKcirTkeYLfXJ89mWCkDeEpqQRnCb5lGh9NHz86bGTMIlGI KmUKgROu40YmuDBGxkGgacFqog+EZBwmM6FqYqCr8iBVpAHvdRVEvd4oaIRKpRKUaQ2jp34Stx7V Pg5FlpWUnQq6qBk33qtiFTGQki5KqfHURZtljJrXWaaZQVWCIVPjvrAJtOf2G0wPSZwrIouStiGQ fULYyakmJYdN165OiSFoocp7ruqSKqFFZg6oqAOfiEMEsgh7O9icK7GQLpc8bnK5Bh2I2kH9l93S V8tLhcoUlACQcFID418/f/jy6SOCAUCnkXkMi86VvJKXqh3Ifc8mvMpUbf8hFbRyuN6ucWUrgygM jgeTXh/cU5gKw0kY9lrgaQHs3DOjxbPWMAzHoEZnNhk5m2CzI3P0XmgDQQU2zHVUjQRp6g1e+vfw uiqIZI4GbaHo8Ao7vG5urp/fXEQeLbdkxluodKwBNTRvXooUkCULI5xM9kHth8lLpc05EzWyjQRX JbcRkpgsW0BI3C2xw1yclVXlxF5x1CR41B/2nIEWVZnaSbtMq3w+qxRaEntc3M9mBaDfWQay5Kkf r7i126HCZ221o+O5SG8dGECRY8UP/3l6ojv0nIRhf4sgq2VkVicC1Bl6HOSFoG814mJWEJ6zY6VE UzCSgnhCB4KNH+i3pj6HvagdDIcYWd1HTiCAVavtaNj30o5GLrItZXfMteQqqGJ7k3uHbfD5U4LM ar4CLjdcISV8mYRLAhqFUO8xaqBEJli/WxDFMKpecIDF1tOuobrGvGsQTsE0wQYj35wZX3cXUpV5 AZ498Fwcw6nIyvYYd4pxZ/qvCgbo8PXPneeTMBo8iGBGAwgEBDMIn9r9/wsG/auCGewIpj98EMFM +nATgWDG4fi7gnG153+FaYuKv5O2K4x7P8ATy9117XPQvuG2+2795gk8/QZ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FBQAAW0NvbnRlbnRfVHlw ZXNdLnhtbFBLAQIUAAoAAAAAAIdO4kAAAAAAAAAAAAAAAAAGAAAAAAAAAAAAEAAAAGcEAABfcmVs cy9QSwECFAAUAAAACACHTuJAihRmPNEAAACUAQAACwAAAAAAAAABACAAAACLBAAAX3JlbHMvLnJl bHNQSwECFAAKAAAAAACHTuJAAAAAAAAAAAAAAAAABAAAAAAAAAAAABAAAAAAAAAAZHJzL1BLAQIU ABQAAAAIAIdO4kD1y1ye2AAAAAgBAAAPAAAAAAAAAAEAIAAAACIAAABkcnMvZG93bnJldi54bWxQ SwECFAAUAAAACACHTuJAOw5pPBQDAABKCwAADgAAAAAAAAABACAAAAAnAQAAZHJzL2Uyb0RvYy54 bWxQSwUGAAAAAAYABgBZAQAArQYAAAAA ">
                      <o:lock v:ext="edit" grouping="f" rotation="f" aspectratio="f"/>
                      <v:line id="__TH_L2" o:spid="_x0000_s1026" o:spt="20" style="position:absolute;left:0;top:0;height:1860;width:1178;" o:connectortype="straight" filled="f" stroked="t" coordsize="21600,21600"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4c+MgMIAAADbAAAADwAAAGRycy9kb3ducmV2LnhtbERPS2vCQBC+F/wPywje6sYSSkhdxQeC 4KFEvfQ2ZKdJanY27G5N4q/vFgq9zcf3nOV6MK24k/ONZQWLeQKCuLS64UrB9XJ4zkD4gKyxtUwK RvKwXk2elphr23NB93OoRAxhn6OCOoQul9KXNRn0c9sRR+7TOoMhQldJ7bCP4aaVL0nyKg02HBtq 7GhXU3k7fxsF2aXz+3H3cbDv7utRnNKCUtwqNZsOmzcQgYbwL/5zH3Wcv4DfX+IBcvUD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4c+MgMIAAADbAAAADwAAAAAAAAAAAAAA AAChAgAAZHJzL2Rvd25yZXYueG1sUEsFBgAAAAAEAAQA+QAAAJADAAAAAA== ">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iqeZW8EA AADbAAAADwAAAGRycy9kb3ducmV2LnhtbERPTYvCMBC9C/sfwizsTVM9iHaNIrKCICzWevA424xt sJl0m6j13xtB8DaP9zmzRWdrcaXWG8cKhoMEBHHhtOFSwSFf9ycgfEDWWDsmBXfysJh/9GaYanfj jK77UIoYwj5FBVUITSqlLyqy6AeuIY7cybUWQ4RtKXWLtxhuazlKkrG0aDg2VNjQqqLivL9YBcsj Zz/m//dvl50yk+fThLfjs1Jfn93yG0SgLrzFL/dGx/kjeP4SD5DzBwAAAP//AwBQSwECLQAUAAYA CAAAACEA8PeKu/0AAADiAQAAEwAAAAAAAAAAAAAAAAAAAAAAW0NvbnRlbnRfVHlwZXNdLnhtbFBL AQItABQABgAIAAAAIQAx3V9h0gAAAI8BAAALAAAAAAAAAAAAAAAAAC4BAABfcmVscy8ucmVsc1BL AQItABQABgAIAAAAIQAzLwWeQQAAADkAAAAQAAAAAAAAAAAAAAAAACkCAABkcnMvc2hhcGV4bWwu eG1sUEsBAi0AFAAGAAgAAAAhAIqnmVvBAAAA2wAAAA8AAAAAAAAAAAAAAAAAmAIAAGRycy9kb3du cmV2LnhtbFBLBQYAAAAABAAEAPUAAACGAwAAAAA= ">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5es8wMEA AADbAAAADwAAAGRycy9kb3ducmV2LnhtbERPTYvCMBC9L/gfwgje1tQVZK1GEXFhQVis9eBxbMY2 2Exqk9X67zfCgrd5vM+ZLztbixu13jhWMBomIIgLpw2XCg751/snCB+QNdaOScGDPCwXvbc5ptrd OaPbPpQihrBPUUEVQpNK6YuKLPqha4gjd3atxRBhW0rd4j2G21p+JMlEWjQcGypsaF1Rcdn/WgWr I2cbc/057bJzZvJ8mvB2clFq0O9WMxCBuvAS/7u/dZw/hucv8QC5+AMAAP//AwBQSwECLQAUAAYA CAAAACEA8PeKu/0AAADiAQAAEwAAAAAAAAAAAAAAAAAAAAAAW0NvbnRlbnRfVHlwZXNdLnhtbFBL AQItABQABgAIAAAAIQAx3V9h0gAAAI8BAAALAAAAAAAAAAAAAAAAAC4BAABfcmVscy8ucmVsc1BL AQItABQABgAIAAAAIQAzLwWeQQAAADkAAAAQAAAAAAAAAAAAAAAAACkCAABkcnMvc2hhcGV4bWwu eG1sUEsBAi0AFAAGAAgAAAAhAOXrPMDBAAAA2wAAAA8AAAAAAAAAAAAAAAAAmAIAAGRycy9kb3du cmV2LnhtbFBLBQYAAAAABAAEAPUAAACGAwAAAAA= ">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gKktMEA AADbAAAADwAAAGRycy9kb3ducmV2LnhtbERPTYvCMBC9L/gfwgje1tRFZK1GEXFhQVis9eBxbMY2 2Exqk9X67zfCgrd5vM+ZLztbixu13jhWMBomIIgLpw2XCg751/snCB+QNdaOScGDPCwXvbc5ptrd OaPbPpQihrBPUUEVQpNK6YuKLPqha4gjd3atxRBhW0rd4j2G21p+JMlEWjQcGypsaF1Rcdn/WgWr I2cbc/057bJzZvJ8mvB2clFq0O9WMxCBuvAS/7u/dZw/hucv8QC5+AMAAP//AwBQSwECLQAUAAYA CAAAACEA8PeKu/0AAADiAQAAEwAAAAAAAAAAAAAAAAAAAAAAW0NvbnRlbnRfVHlwZXNdLnhtbFBL AQItABQABgAIAAAAIQAx3V9h0gAAAI8BAAALAAAAAAAAAAAAAAAAAC4BAABfcmVscy8ucmVsc1BL AQItABQABgAIAAAAIQAzLwWeQQAAADkAAAAQAAAAAAAAAAAAAAAAACkCAABkcnMvc2hhcGV4bWwu eG1sUEsBAi0AFAAGAAgAAAAhAGoCpLTBAAAA2wAAAA8AAAAAAAAAAAAAAAAAmAIAAGRycy9kb3du cmV2LnhtbFBLBQYAAAAABAAEAPUAAACGAwAAAAA= ">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hint="eastAsia" w:ascii="仿宋_GB2312" w:hAnsi="仿宋" w:eastAsia="仿宋_GB2312" w:cs="仿宋_GB2312"/>
                <w:color w:val="auto"/>
                <w:sz w:val="24"/>
                <w:highlight w:val="none"/>
              </w:rPr>
            </w:pPr>
          </w:p>
          <w:p>
            <w:pPr>
              <w:spacing w:line="360" w:lineRule="auto"/>
              <w:rPr>
                <w:rFonts w:hint="eastAsia" w:ascii="仿宋_GB2312" w:hAnsi="仿宋" w:eastAsia="仿宋_GB2312" w:cs="仿宋_GB2312"/>
                <w:color w:val="auto"/>
                <w:sz w:val="24"/>
                <w:highlight w:val="none"/>
              </w:rPr>
            </w:pPr>
          </w:p>
          <w:p>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内容</w:t>
            </w:r>
          </w:p>
        </w:tc>
        <w:tc>
          <w:tcPr>
            <w:tcW w:w="552" w:type="dxa"/>
            <w:noWrap w:val="0"/>
            <w:vAlign w:val="center"/>
          </w:tcPr>
          <w:p>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552" w:type="dxa"/>
            <w:noWrap w:val="0"/>
            <w:vAlign w:val="center"/>
          </w:tcPr>
          <w:p>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p>
        </w:tc>
        <w:tc>
          <w:tcPr>
            <w:tcW w:w="552" w:type="dxa"/>
            <w:noWrap w:val="0"/>
            <w:vAlign w:val="center"/>
          </w:tcPr>
          <w:p>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p>
        </w:tc>
        <w:tc>
          <w:tcPr>
            <w:tcW w:w="552" w:type="dxa"/>
            <w:noWrap w:val="0"/>
            <w:vAlign w:val="center"/>
          </w:tcPr>
          <w:p>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p>
        </w:tc>
        <w:tc>
          <w:tcPr>
            <w:tcW w:w="552" w:type="dxa"/>
            <w:noWrap w:val="0"/>
            <w:vAlign w:val="center"/>
          </w:tcPr>
          <w:p>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w:t>
            </w:r>
          </w:p>
        </w:tc>
        <w:tc>
          <w:tcPr>
            <w:tcW w:w="552" w:type="dxa"/>
            <w:noWrap w:val="0"/>
            <w:vAlign w:val="center"/>
          </w:tcPr>
          <w:p>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w:t>
            </w:r>
          </w:p>
        </w:tc>
        <w:tc>
          <w:tcPr>
            <w:tcW w:w="553" w:type="dxa"/>
            <w:noWrap w:val="0"/>
            <w:vAlign w:val="center"/>
          </w:tcPr>
          <w:p>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w:t>
            </w:r>
          </w:p>
        </w:tc>
        <w:tc>
          <w:tcPr>
            <w:tcW w:w="553" w:type="dxa"/>
            <w:noWrap w:val="0"/>
            <w:vAlign w:val="center"/>
          </w:tcPr>
          <w:p>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w:t>
            </w:r>
          </w:p>
        </w:tc>
        <w:tc>
          <w:tcPr>
            <w:tcW w:w="553" w:type="dxa"/>
            <w:noWrap w:val="0"/>
            <w:vAlign w:val="center"/>
          </w:tcPr>
          <w:p>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9</w:t>
            </w:r>
          </w:p>
        </w:tc>
        <w:tc>
          <w:tcPr>
            <w:tcW w:w="553" w:type="dxa"/>
            <w:noWrap w:val="0"/>
            <w:vAlign w:val="center"/>
          </w:tcPr>
          <w:p>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10</w:t>
            </w:r>
          </w:p>
        </w:tc>
        <w:tc>
          <w:tcPr>
            <w:tcW w:w="553" w:type="dxa"/>
            <w:noWrap w:val="0"/>
            <w:vAlign w:val="center"/>
          </w:tcPr>
          <w:p>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w:t>
            </w:r>
          </w:p>
        </w:tc>
        <w:tc>
          <w:tcPr>
            <w:tcW w:w="553" w:type="dxa"/>
            <w:noWrap w:val="0"/>
            <w:vAlign w:val="center"/>
          </w:tcPr>
          <w:p>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12</w:t>
            </w:r>
          </w:p>
        </w:tc>
        <w:tc>
          <w:tcPr>
            <w:tcW w:w="553" w:type="dxa"/>
            <w:noWrap w:val="0"/>
            <w:vAlign w:val="center"/>
          </w:tcPr>
          <w:p>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w:t>
            </w:r>
          </w:p>
        </w:tc>
        <w:tc>
          <w:tcPr>
            <w:tcW w:w="553" w:type="dxa"/>
            <w:noWrap w:val="0"/>
            <w:vAlign w:val="center"/>
          </w:tcPr>
          <w:p>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w:t>
            </w:r>
          </w:p>
        </w:tc>
        <w:tc>
          <w:tcPr>
            <w:tcW w:w="553" w:type="dxa"/>
            <w:noWrap w:val="0"/>
            <w:vAlign w:val="center"/>
          </w:tcPr>
          <w:p>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15</w:t>
            </w:r>
          </w:p>
        </w:tc>
        <w:tc>
          <w:tcPr>
            <w:tcW w:w="553" w:type="dxa"/>
            <w:noWrap w:val="0"/>
            <w:vAlign w:val="center"/>
          </w:tcPr>
          <w:p>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88" w:type="dxa"/>
            <w:noWrap w:val="0"/>
            <w:vAlign w:val="center"/>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2"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c>
          <w:tcPr>
            <w:tcW w:w="553" w:type="dxa"/>
            <w:noWrap w:val="0"/>
            <w:vAlign w:val="top"/>
          </w:tcPr>
          <w:p>
            <w:pPr>
              <w:spacing w:line="360" w:lineRule="auto"/>
              <w:rPr>
                <w:rFonts w:hint="eastAsia" w:ascii="仿宋_GB2312" w:hAnsi="仿宋" w:eastAsia="仿宋_GB2312" w:cs="仿宋_GB2312"/>
                <w:color w:val="auto"/>
                <w:sz w:val="24"/>
                <w:highlight w:val="none"/>
              </w:rPr>
            </w:pPr>
          </w:p>
        </w:tc>
      </w:tr>
    </w:tbl>
    <w:p>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sz w:val="24"/>
          <w:highlight w:val="none"/>
        </w:rPr>
        <w:t>注：投标人可按上述时间表的格式自行编制切合实际的具体时间表。</w:t>
      </w:r>
    </w:p>
    <w:p>
      <w:pPr>
        <w:autoSpaceDE w:val="0"/>
        <w:autoSpaceDN w:val="0"/>
        <w:spacing w:line="360" w:lineRule="auto"/>
        <w:ind w:firstLine="4440" w:firstLineChars="18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投标人名称（电子签名）：</w:t>
      </w:r>
    </w:p>
    <w:p>
      <w:pPr>
        <w:autoSpaceDE w:val="0"/>
        <w:autoSpaceDN w:val="0"/>
        <w:spacing w:line="360" w:lineRule="auto"/>
        <w:rPr>
          <w:rFonts w:hint="eastAsia" w:ascii="仿宋_GB2312" w:hAnsi="仿宋" w:eastAsia="仿宋_GB2312" w:cs="仿宋_GB2312"/>
          <w:b/>
          <w:bCs/>
          <w:color w:val="auto"/>
          <w:sz w:val="32"/>
          <w:szCs w:val="32"/>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spacing w:line="360" w:lineRule="auto"/>
        <w:jc w:val="center"/>
        <w:rPr>
          <w:rFonts w:hint="eastAsia" w:ascii="仿宋_GB2312" w:hAnsi="仿宋" w:eastAsia="仿宋_GB2312" w:cs="仿宋_GB2312"/>
          <w:b/>
          <w:bCs/>
          <w:color w:val="auto"/>
          <w:sz w:val="32"/>
          <w:szCs w:val="32"/>
          <w:highlight w:val="none"/>
        </w:rPr>
      </w:pPr>
    </w:p>
    <w:p>
      <w:pPr>
        <w:spacing w:line="360" w:lineRule="auto"/>
        <w:jc w:val="center"/>
        <w:rPr>
          <w:rFonts w:hint="eastAsia" w:ascii="仿宋_GB2312" w:hAnsi="仿宋" w:eastAsia="仿宋_GB2312" w:cs="仿宋_GB2312"/>
          <w:b/>
          <w:bCs/>
          <w:color w:val="auto"/>
          <w:sz w:val="32"/>
          <w:szCs w:val="32"/>
          <w:highlight w:val="none"/>
        </w:rPr>
      </w:pPr>
    </w:p>
    <w:p>
      <w:pPr>
        <w:spacing w:line="360" w:lineRule="auto"/>
        <w:jc w:val="center"/>
        <w:rPr>
          <w:rFonts w:hint="eastAsia" w:ascii="仿宋_GB2312" w:hAnsi="仿宋" w:eastAsia="仿宋_GB2312" w:cs="仿宋_GB2312"/>
          <w:b/>
          <w:bCs/>
          <w:color w:val="auto"/>
          <w:sz w:val="32"/>
          <w:szCs w:val="32"/>
          <w:highlight w:val="none"/>
        </w:rPr>
      </w:pPr>
    </w:p>
    <w:p>
      <w:pPr>
        <w:spacing w:line="360" w:lineRule="auto"/>
        <w:jc w:val="center"/>
        <w:rPr>
          <w:rFonts w:hint="eastAsia" w:ascii="仿宋_GB2312" w:hAnsi="仿宋" w:eastAsia="仿宋_GB2312" w:cs="仿宋_GB2312"/>
          <w:b/>
          <w:bCs/>
          <w:color w:val="auto"/>
          <w:sz w:val="32"/>
          <w:szCs w:val="32"/>
          <w:highlight w:val="none"/>
        </w:rPr>
      </w:pPr>
    </w:p>
    <w:p>
      <w:pPr>
        <w:spacing w:line="360" w:lineRule="auto"/>
        <w:jc w:val="center"/>
        <w:rPr>
          <w:rFonts w:hint="eastAsia" w:ascii="仿宋_GB2312" w:hAnsi="仿宋" w:eastAsia="仿宋_GB2312" w:cs="仿宋_GB2312"/>
          <w:b/>
          <w:bCs/>
          <w:color w:val="auto"/>
          <w:sz w:val="32"/>
          <w:szCs w:val="32"/>
          <w:highlight w:val="none"/>
        </w:rPr>
      </w:pPr>
      <w:r>
        <w:rPr>
          <w:rFonts w:hint="eastAsia" w:ascii="仿宋_GB2312" w:hAnsi="仿宋" w:eastAsia="仿宋_GB2312" w:cs="仿宋_GB2312"/>
          <w:b/>
          <w:bCs/>
          <w:color w:val="auto"/>
          <w:sz w:val="32"/>
          <w:szCs w:val="32"/>
          <w:highlight w:val="none"/>
        </w:rPr>
        <w:br w:type="page"/>
      </w:r>
      <w:r>
        <w:rPr>
          <w:rFonts w:hint="eastAsia" w:ascii="仿宋_GB2312" w:hAnsi="仿宋" w:eastAsia="仿宋_GB2312" w:cs="仿宋_GB2312"/>
          <w:b/>
          <w:bCs/>
          <w:color w:val="auto"/>
          <w:sz w:val="32"/>
          <w:szCs w:val="32"/>
          <w:highlight w:val="none"/>
        </w:rPr>
        <w:t>九、售后服务方案</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附表A:售后服务机构情况表</w:t>
      </w:r>
      <w:r>
        <w:rPr>
          <w:rFonts w:hint="eastAsia" w:ascii="仿宋_GB2312" w:hAnsi="仿宋" w:eastAsia="仿宋_GB2312" w:cs="仿宋_GB2312"/>
          <w:color w:val="auto"/>
          <w:sz w:val="24"/>
          <w:highlight w:val="none"/>
        </w:rPr>
        <w:t>（按此格式自制）</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2340" w:type="dxa"/>
            <w:noWrap w:val="0"/>
            <w:vAlign w:val="top"/>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机构名称</w:t>
            </w:r>
          </w:p>
        </w:tc>
        <w:tc>
          <w:tcPr>
            <w:tcW w:w="1095" w:type="dxa"/>
            <w:noWrap w:val="0"/>
            <w:vAlign w:val="top"/>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机构性质</w:t>
            </w:r>
          </w:p>
        </w:tc>
        <w:tc>
          <w:tcPr>
            <w:tcW w:w="1245" w:type="dxa"/>
            <w:noWrap w:val="0"/>
            <w:vAlign w:val="top"/>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注册地址</w:t>
            </w:r>
          </w:p>
        </w:tc>
        <w:tc>
          <w:tcPr>
            <w:tcW w:w="1980" w:type="dxa"/>
            <w:noWrap w:val="0"/>
            <w:vAlign w:val="top"/>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服务技术人员数量</w:t>
            </w:r>
          </w:p>
        </w:tc>
        <w:tc>
          <w:tcPr>
            <w:tcW w:w="1260" w:type="dxa"/>
            <w:noWrap w:val="0"/>
            <w:vAlign w:val="top"/>
          </w:tcPr>
          <w:p>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2340" w:type="dxa"/>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095" w:type="dxa"/>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45" w:type="dxa"/>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980" w:type="dxa"/>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2340" w:type="dxa"/>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095" w:type="dxa"/>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45" w:type="dxa"/>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980" w:type="dxa"/>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2340" w:type="dxa"/>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095" w:type="dxa"/>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45" w:type="dxa"/>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980" w:type="dxa"/>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r>
    </w:tbl>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注：关于项目涉及的所有售后服务机构均在本表注明，包括投标人本单位和符合条件的第三方服务机构；</w:t>
      </w:r>
    </w:p>
    <w:p>
      <w:pPr>
        <w:autoSpaceDE w:val="0"/>
        <w:autoSpaceDN w:val="0"/>
        <w:spacing w:line="360" w:lineRule="auto"/>
        <w:rPr>
          <w:rFonts w:hint="eastAsia" w:ascii="仿宋_GB2312" w:hAnsi="仿宋" w:eastAsia="仿宋_GB2312" w:cs="仿宋_GB2312"/>
          <w:color w:val="auto"/>
          <w:kern w:val="0"/>
          <w:sz w:val="24"/>
          <w:highlight w:val="none"/>
        </w:rPr>
      </w:pPr>
    </w:p>
    <w:p>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rPr>
        <w:t>附表B：售后服务人员情况表</w:t>
      </w:r>
      <w:r>
        <w:rPr>
          <w:rFonts w:hint="eastAsia" w:ascii="仿宋_GB2312" w:hAnsi="仿宋" w:eastAsia="仿宋_GB2312" w:cs="仿宋_GB2312"/>
          <w:color w:val="auto"/>
          <w:sz w:val="24"/>
          <w:highlight w:val="none"/>
        </w:rPr>
        <w:t>（按此格式自制）</w:t>
      </w:r>
    </w:p>
    <w:tbl>
      <w:tblPr>
        <w:tblStyle w:val="62"/>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wBefore w:w="0" w:type="dxa"/>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p>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到达现场时间</w:t>
            </w:r>
          </w:p>
        </w:tc>
      </w:tr>
      <w:tr>
        <w:tblPrEx>
          <w:tblCellMar>
            <w:top w:w="0" w:type="dxa"/>
            <w:left w:w="108" w:type="dxa"/>
            <w:bottom w:w="0" w:type="dxa"/>
            <w:right w:w="108" w:type="dxa"/>
          </w:tblCellMar>
        </w:tblPrEx>
        <w:trPr>
          <w:wBefore w:w="0" w:type="dxa"/>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wBefore w:w="0" w:type="dxa"/>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wBefore w:w="0" w:type="dxa"/>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wBefore w:w="0" w:type="dxa"/>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bl>
    <w:p>
      <w:pPr>
        <w:autoSpaceDE w:val="0"/>
        <w:autoSpaceDN w:val="0"/>
        <w:spacing w:line="360" w:lineRule="auto"/>
        <w:rPr>
          <w:rFonts w:hint="eastAsia" w:ascii="仿宋_GB2312" w:hAnsi="仿宋" w:eastAsia="仿宋_GB2312" w:cs="仿宋_GB2312"/>
          <w:color w:val="auto"/>
          <w:kern w:val="0"/>
          <w:sz w:val="24"/>
          <w:highlight w:val="none"/>
        </w:rPr>
      </w:pPr>
    </w:p>
    <w:p>
      <w:pPr>
        <w:autoSpaceDE w:val="0"/>
        <w:autoSpaceDN w:val="0"/>
        <w:spacing w:line="360" w:lineRule="auto"/>
        <w:ind w:firstLine="4440" w:firstLineChars="18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投标人名称（电子签名）：</w:t>
      </w:r>
    </w:p>
    <w:p>
      <w:pPr>
        <w:autoSpaceDE w:val="0"/>
        <w:autoSpaceDN w:val="0"/>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spacing w:line="360" w:lineRule="auto"/>
        <w:jc w:val="center"/>
        <w:rPr>
          <w:rFonts w:hint="eastAsia" w:ascii="仿宋_GB2312" w:hAnsi="仿宋" w:eastAsia="仿宋_GB2312" w:cs="仿宋_GB2312"/>
          <w:b/>
          <w:bCs/>
          <w:color w:val="auto"/>
          <w:sz w:val="32"/>
          <w:szCs w:val="32"/>
          <w:highlight w:val="none"/>
        </w:rPr>
      </w:pPr>
      <w:r>
        <w:rPr>
          <w:rFonts w:hint="eastAsia" w:ascii="仿宋_GB2312" w:hAnsi="仿宋" w:eastAsia="仿宋_GB2312" w:cs="仿宋_GB2312"/>
          <w:b/>
          <w:bCs/>
          <w:color w:val="auto"/>
          <w:sz w:val="32"/>
          <w:szCs w:val="32"/>
          <w:highlight w:val="none"/>
        </w:rPr>
        <w:br w:type="page"/>
      </w:r>
      <w:r>
        <w:rPr>
          <w:rFonts w:hint="eastAsia" w:ascii="仿宋_GB2312" w:hAnsi="仿宋" w:eastAsia="仿宋_GB2312" w:cs="仿宋_GB2312"/>
          <w:b/>
          <w:bCs/>
          <w:color w:val="auto"/>
          <w:sz w:val="32"/>
          <w:szCs w:val="32"/>
          <w:highlight w:val="none"/>
        </w:rPr>
        <w:t>十、项目小组人员名单</w:t>
      </w:r>
    </w:p>
    <w:p>
      <w:pPr>
        <w:spacing w:line="360" w:lineRule="auto"/>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keepNext/>
        <w:autoSpaceDE w:val="0"/>
        <w:autoSpaceDN w:val="0"/>
        <w:spacing w:line="360" w:lineRule="auto"/>
        <w:ind w:firstLine="477"/>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附表A:本项目的项目经理情况表</w:t>
      </w:r>
    </w:p>
    <w:tbl>
      <w:tblPr>
        <w:tblStyle w:val="62"/>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wBefore w:w="0" w:type="dxa"/>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投标截止时间前三年业绩及承担的主要工作情况，曾担任项目经理的项目应列明细</w:t>
            </w:r>
          </w:p>
        </w:tc>
      </w:tr>
      <w:tr>
        <w:tblPrEx>
          <w:tblCellMar>
            <w:top w:w="0" w:type="dxa"/>
            <w:left w:w="108" w:type="dxa"/>
            <w:bottom w:w="0" w:type="dxa"/>
            <w:right w:w="108" w:type="dxa"/>
          </w:tblCellMar>
        </w:tblPrEx>
        <w:trPr>
          <w:wBefore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wBefore w:w="0" w:type="dxa"/>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wBefore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wBefore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wBefore w:w="0" w:type="dxa"/>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wBefore w:w="0" w:type="dxa"/>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wBefore w:w="0" w:type="dxa"/>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wBefore w:w="0" w:type="dxa"/>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wBefore w:w="0" w:type="dxa"/>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p>
        </w:tc>
      </w:tr>
    </w:tbl>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注：须随表提交相应的证书复印件并注明所在投标技术文件页码。</w:t>
      </w:r>
    </w:p>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（按此格式自制）</w:t>
      </w:r>
    </w:p>
    <w:tbl>
      <w:tblPr>
        <w:tblStyle w:val="62"/>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rPr>
          <w:wBefore w:w="0" w:type="dxa"/>
          <w:wAfter w:w="0" w:type="dxa"/>
        </w:trPr>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tblPrEx>
          <w:tblCellMar>
            <w:top w:w="0" w:type="dxa"/>
            <w:left w:w="108" w:type="dxa"/>
            <w:bottom w:w="0" w:type="dxa"/>
            <w:right w:w="108" w:type="dxa"/>
          </w:tblCellMar>
        </w:tblPrEx>
        <w:trPr>
          <w:wBefore w:w="0" w:type="dxa"/>
          <w:wAfter w:w="0" w:type="dxa"/>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wBefore w:w="0" w:type="dxa"/>
          <w:wAfter w:w="0" w:type="dxa"/>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color w:val="auto"/>
                <w:sz w:val="24"/>
                <w:highlight w:val="none"/>
              </w:rPr>
            </w:pPr>
          </w:p>
        </w:tc>
      </w:tr>
    </w:tbl>
    <w:p>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注：投标人可按上述的格式自行编制，须随表提交相应的证书复印件并注明所在投标技术文件页码。</w:t>
      </w:r>
    </w:p>
    <w:p>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附表C:本项目的项目经理和小组人员近3个月交纳社保记录情况表</w:t>
      </w:r>
      <w:r>
        <w:rPr>
          <w:rFonts w:hint="eastAsia" w:ascii="仿宋_GB2312" w:hAnsi="仿宋" w:eastAsia="仿宋_GB2312" w:cs="仿宋_GB2312"/>
          <w:color w:val="auto"/>
          <w:sz w:val="24"/>
          <w:highlight w:val="none"/>
        </w:rPr>
        <w:t>（以社保局缴纳凭证作附件）</w:t>
      </w:r>
    </w:p>
    <w:p>
      <w:pPr>
        <w:autoSpaceDE w:val="0"/>
        <w:autoSpaceDN w:val="0"/>
        <w:spacing w:line="360" w:lineRule="auto"/>
        <w:ind w:firstLine="4440" w:firstLineChars="18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投标人名称（电子签名）：</w:t>
      </w:r>
    </w:p>
    <w:p>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spacing w:line="360" w:lineRule="auto"/>
        <w:jc w:val="center"/>
        <w:rPr>
          <w:rFonts w:hint="eastAsia" w:ascii="仿宋_GB2312" w:hAnsi="仿宋" w:eastAsia="仿宋_GB2312" w:cs="仿宋_GB2312"/>
          <w:b/>
          <w:bCs/>
          <w:color w:val="auto"/>
          <w:sz w:val="32"/>
          <w:szCs w:val="32"/>
          <w:highlight w:val="none"/>
        </w:rPr>
      </w:pPr>
    </w:p>
    <w:p>
      <w:pPr>
        <w:spacing w:line="360" w:lineRule="auto"/>
        <w:jc w:val="center"/>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bCs/>
          <w:color w:val="auto"/>
          <w:sz w:val="32"/>
          <w:szCs w:val="32"/>
          <w:highlight w:val="none"/>
        </w:rPr>
        <w:t>十一、</w:t>
      </w:r>
      <w:r>
        <w:rPr>
          <w:rFonts w:hint="eastAsia" w:ascii="仿宋_GB2312" w:hAnsi="仿宋" w:eastAsia="仿宋_GB2312" w:cs="仿宋_GB2312"/>
          <w:b/>
          <w:color w:val="auto"/>
          <w:kern w:val="0"/>
          <w:sz w:val="32"/>
          <w:szCs w:val="32"/>
          <w:highlight w:val="none"/>
          <w:lang w:val="zh-CN"/>
        </w:rPr>
        <w:t>优惠条件及特殊承诺</w:t>
      </w:r>
    </w:p>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spacing w:line="360" w:lineRule="auto"/>
        <w:jc w:val="center"/>
        <w:rPr>
          <w:rFonts w:hint="eastAsia" w:ascii="仿宋_GB2312" w:hAnsi="仿宋" w:eastAsia="仿宋_GB2312" w:cs="仿宋_GB2312"/>
          <w:color w:val="auto"/>
          <w:sz w:val="18"/>
          <w:szCs w:val="18"/>
          <w:highlight w:val="none"/>
        </w:rPr>
      </w:pPr>
    </w:p>
    <w:p>
      <w:pPr>
        <w:autoSpaceDE w:val="0"/>
        <w:autoSpaceDN w:val="0"/>
        <w:spacing w:line="360" w:lineRule="auto"/>
        <w:ind w:firstLine="4440" w:firstLineChars="18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投标人名称（电子签名）：</w:t>
      </w:r>
    </w:p>
    <w:p>
      <w:pPr>
        <w:autoSpaceDE w:val="0"/>
        <w:autoSpaceDN w:val="0"/>
        <w:spacing w:line="360" w:lineRule="auto"/>
        <w:rPr>
          <w:rFonts w:hint="eastAsia" w:ascii="仿宋_GB2312" w:hAnsi="仿宋" w:eastAsia="仿宋_GB2312" w:cs="仿宋_GB2312"/>
          <w:b/>
          <w:bCs/>
          <w:color w:val="auto"/>
          <w:sz w:val="18"/>
          <w:szCs w:val="18"/>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spacing w:line="360" w:lineRule="auto"/>
        <w:jc w:val="center"/>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bCs/>
          <w:color w:val="auto"/>
          <w:sz w:val="32"/>
          <w:szCs w:val="32"/>
          <w:highlight w:val="none"/>
        </w:rPr>
        <w:t>十二、</w:t>
      </w:r>
      <w:r>
        <w:rPr>
          <w:rFonts w:hint="eastAsia" w:ascii="仿宋_GB2312" w:hAnsi="仿宋" w:eastAsia="仿宋_GB2312" w:cs="仿宋_GB2312"/>
          <w:b/>
          <w:color w:val="auto"/>
          <w:kern w:val="0"/>
          <w:sz w:val="32"/>
          <w:szCs w:val="32"/>
          <w:highlight w:val="none"/>
          <w:lang w:val="zh-CN"/>
        </w:rPr>
        <w:t>备品备件及供选择的配套零部件清单</w:t>
      </w:r>
    </w:p>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autoSpaceDE w:val="0"/>
        <w:autoSpaceDN w:val="0"/>
        <w:spacing w:line="360" w:lineRule="auto"/>
        <w:ind w:firstLine="4440" w:firstLineChars="1850"/>
        <w:rPr>
          <w:rFonts w:hint="eastAsia" w:ascii="仿宋_GB2312" w:hAnsi="仿宋" w:eastAsia="仿宋_GB2312" w:cs="仿宋_GB2312"/>
          <w:color w:val="auto"/>
          <w:kern w:val="0"/>
          <w:sz w:val="24"/>
          <w:highlight w:val="none"/>
        </w:rPr>
      </w:pPr>
    </w:p>
    <w:p>
      <w:pPr>
        <w:autoSpaceDE w:val="0"/>
        <w:autoSpaceDN w:val="0"/>
        <w:spacing w:line="360" w:lineRule="auto"/>
        <w:ind w:firstLine="4440" w:firstLineChars="18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投标人名称（电子签名）：</w:t>
      </w:r>
    </w:p>
    <w:p>
      <w:pPr>
        <w:autoSpaceDE w:val="0"/>
        <w:autoSpaceDN w:val="0"/>
        <w:spacing w:line="360" w:lineRule="auto"/>
        <w:rPr>
          <w:rFonts w:hint="eastAsia" w:ascii="仿宋_GB2312" w:hAnsi="仿宋" w:eastAsia="仿宋_GB2312" w:cs="仿宋_GB2312"/>
          <w:b/>
          <w:bCs/>
          <w:color w:val="auto"/>
          <w:sz w:val="18"/>
          <w:szCs w:val="18"/>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spacing w:line="360" w:lineRule="auto"/>
        <w:jc w:val="center"/>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bCs/>
          <w:color w:val="auto"/>
          <w:sz w:val="32"/>
          <w:szCs w:val="32"/>
          <w:highlight w:val="none"/>
        </w:rPr>
        <w:t>十三、</w:t>
      </w:r>
      <w:r>
        <w:rPr>
          <w:rFonts w:hint="eastAsia" w:ascii="仿宋_GB2312" w:hAnsi="仿宋" w:eastAsia="仿宋_GB2312" w:cs="仿宋_GB2312"/>
          <w:b/>
          <w:color w:val="auto"/>
          <w:kern w:val="0"/>
          <w:sz w:val="32"/>
          <w:szCs w:val="32"/>
          <w:highlight w:val="none"/>
          <w:lang w:val="zh-CN"/>
        </w:rPr>
        <w:t>培训计划</w:t>
      </w:r>
    </w:p>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keepNext/>
        <w:autoSpaceDE w:val="0"/>
        <w:autoSpaceDN w:val="0"/>
        <w:spacing w:line="360" w:lineRule="auto"/>
        <w:ind w:firstLine="477"/>
        <w:jc w:val="left"/>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 培训日程及费用</w:t>
      </w:r>
    </w:p>
    <w:tbl>
      <w:tblPr>
        <w:tblStyle w:val="62"/>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wBefore w:w="0" w:type="dxa"/>
          <w:wAfter w:w="0" w:type="dxa"/>
          <w:trHeight w:val="764" w:hRule="atLeast"/>
        </w:trPr>
        <w:tc>
          <w:tcPr>
            <w:tcW w:w="1806" w:type="dxa"/>
            <w:tcBorders>
              <w:top w:val="single" w:color="auto" w:sz="6" w:space="0"/>
              <w:left w:val="single" w:color="auto" w:sz="6" w:space="0"/>
              <w:bottom w:val="nil"/>
              <w:right w:val="nil"/>
            </w:tcBorders>
            <w:shd w:val="pct10" w:color="auto" w:fill="auto"/>
            <w:noWrap w:val="0"/>
            <w:vAlign w:val="center"/>
          </w:tcPr>
          <w:p>
            <w:pPr>
              <w:tabs>
                <w:tab w:val="center" w:pos="1690"/>
              </w:tabs>
              <w:suppressAutoHyphens/>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noWrap w:val="0"/>
            <w:vAlign w:val="top"/>
          </w:tcPr>
          <w:p>
            <w:pPr>
              <w:tabs>
                <w:tab w:val="center" w:pos="595"/>
              </w:tabs>
              <w:suppressAutoHyphens/>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noWrap w:val="0"/>
            <w:vAlign w:val="center"/>
          </w:tcPr>
          <w:p>
            <w:pPr>
              <w:tabs>
                <w:tab w:val="center" w:pos="1028"/>
              </w:tabs>
              <w:suppressAutoHyphens/>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noWrap w:val="0"/>
            <w:vAlign w:val="center"/>
          </w:tcPr>
          <w:p>
            <w:pPr>
              <w:tabs>
                <w:tab w:val="center" w:pos="520"/>
              </w:tabs>
              <w:suppressAutoHyphens/>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noWrap w:val="0"/>
            <w:vAlign w:val="center"/>
          </w:tcPr>
          <w:p>
            <w:pPr>
              <w:suppressAutoHyphens/>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课程费用</w:t>
            </w:r>
          </w:p>
        </w:tc>
      </w:tr>
      <w:tr>
        <w:tblPrEx>
          <w:tblCellMar>
            <w:top w:w="0" w:type="dxa"/>
            <w:left w:w="120" w:type="dxa"/>
            <w:bottom w:w="0" w:type="dxa"/>
            <w:right w:w="120" w:type="dxa"/>
          </w:tblCellMar>
        </w:tblPrEx>
        <w:trPr>
          <w:wBefore w:w="0" w:type="dxa"/>
          <w:wAfter w:w="0" w:type="dxa"/>
          <w:trHeight w:val="281" w:hRule="atLeast"/>
        </w:trPr>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_GB2312" w:hAnsi="仿宋" w:eastAsia="仿宋_GB2312" w:cs="仿宋_GB2312"/>
                <w:color w:val="auto"/>
                <w:sz w:val="24"/>
                <w:highlight w:val="none"/>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_GB2312" w:hAnsi="仿宋" w:eastAsia="仿宋_GB2312" w:cs="仿宋_GB2312"/>
                <w:color w:val="auto"/>
                <w:sz w:val="24"/>
                <w:highlight w:val="none"/>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_GB2312" w:hAnsi="仿宋" w:eastAsia="仿宋_GB2312" w:cs="仿宋_GB2312"/>
                <w:color w:val="auto"/>
                <w:sz w:val="24"/>
                <w:highlight w:val="none"/>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_GB2312" w:hAnsi="仿宋" w:eastAsia="仿宋_GB2312" w:cs="仿宋_GB2312"/>
                <w:color w:val="auto"/>
                <w:sz w:val="24"/>
                <w:highlight w:val="none"/>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spacing w:line="360" w:lineRule="auto"/>
              <w:rPr>
                <w:rFonts w:hint="eastAsia" w:ascii="仿宋_GB2312" w:hAnsi="仿宋" w:eastAsia="仿宋_GB2312" w:cs="仿宋_GB2312"/>
                <w:color w:val="auto"/>
                <w:sz w:val="24"/>
                <w:highlight w:val="none"/>
              </w:rPr>
            </w:pPr>
          </w:p>
        </w:tc>
        <w:tc>
          <w:tcPr>
            <w:tcW w:w="1440"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_GB2312" w:hAnsi="仿宋" w:eastAsia="仿宋_GB2312" w:cs="仿宋_GB2312"/>
                <w:color w:val="auto"/>
                <w:sz w:val="24"/>
                <w:highlight w:val="none"/>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20" w:type="dxa"/>
            <w:bottom w:w="0" w:type="dxa"/>
            <w:right w:w="120" w:type="dxa"/>
          </w:tblCellMar>
        </w:tblPrEx>
        <w:trPr>
          <w:wBefore w:w="0" w:type="dxa"/>
          <w:wAfter w:w="0" w:type="dxa"/>
          <w:trHeight w:val="273" w:hRule="atLeast"/>
        </w:trPr>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_GB2312" w:hAnsi="仿宋" w:eastAsia="仿宋_GB2312" w:cs="仿宋_GB2312"/>
                <w:color w:val="auto"/>
                <w:sz w:val="24"/>
                <w:highlight w:val="none"/>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_GB2312" w:hAnsi="仿宋" w:eastAsia="仿宋_GB2312" w:cs="仿宋_GB2312"/>
                <w:color w:val="auto"/>
                <w:sz w:val="24"/>
                <w:highlight w:val="none"/>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_GB2312" w:hAnsi="仿宋" w:eastAsia="仿宋_GB2312" w:cs="仿宋_GB2312"/>
                <w:color w:val="auto"/>
                <w:sz w:val="24"/>
                <w:highlight w:val="none"/>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_GB2312" w:hAnsi="仿宋" w:eastAsia="仿宋_GB2312" w:cs="仿宋_GB2312"/>
                <w:color w:val="auto"/>
                <w:sz w:val="24"/>
                <w:highlight w:val="none"/>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spacing w:line="360" w:lineRule="auto"/>
              <w:rPr>
                <w:rFonts w:hint="eastAsia" w:ascii="仿宋_GB2312" w:hAnsi="仿宋" w:eastAsia="仿宋_GB2312" w:cs="仿宋_GB2312"/>
                <w:color w:val="auto"/>
                <w:sz w:val="24"/>
                <w:highlight w:val="none"/>
              </w:rPr>
            </w:pPr>
          </w:p>
        </w:tc>
        <w:tc>
          <w:tcPr>
            <w:tcW w:w="1440" w:type="dxa"/>
            <w:tcBorders>
              <w:top w:val="single" w:color="auto" w:sz="6" w:space="0"/>
              <w:left w:val="single" w:color="auto" w:sz="6" w:space="0"/>
              <w:bottom w:val="nil"/>
              <w:right w:val="nil"/>
            </w:tcBorders>
            <w:noWrap w:val="0"/>
            <w:vAlign w:val="top"/>
          </w:tcPr>
          <w:p>
            <w:pPr>
              <w:tabs>
                <w:tab w:val="left" w:pos="7"/>
              </w:tabs>
              <w:suppressAutoHyphens/>
              <w:autoSpaceDE w:val="0"/>
              <w:autoSpaceDN w:val="0"/>
              <w:spacing w:line="360" w:lineRule="auto"/>
              <w:rPr>
                <w:rFonts w:hint="eastAsia" w:ascii="仿宋_GB2312" w:hAnsi="仿宋" w:eastAsia="仿宋_GB2312" w:cs="仿宋_GB2312"/>
                <w:color w:val="auto"/>
                <w:sz w:val="24"/>
                <w:highlight w:val="none"/>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20" w:type="dxa"/>
            <w:bottom w:w="0" w:type="dxa"/>
            <w:right w:w="120" w:type="dxa"/>
          </w:tblCellMar>
        </w:tblPrEx>
        <w:trPr>
          <w:wBefore w:w="0" w:type="dxa"/>
          <w:wAfter w:w="0" w:type="dxa"/>
          <w:trHeight w:val="110" w:hRule="atLeast"/>
        </w:trPr>
        <w:tc>
          <w:tcPr>
            <w:tcW w:w="1806" w:type="dxa"/>
            <w:tcBorders>
              <w:top w:val="single" w:color="auto" w:sz="6" w:space="0"/>
              <w:left w:val="single" w:color="auto" w:sz="6" w:space="0"/>
              <w:bottom w:val="single" w:color="auto" w:sz="6" w:space="0"/>
              <w:right w:val="single" w:color="auto" w:sz="6" w:space="0"/>
            </w:tcBorders>
            <w:noWrap w:val="0"/>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_GB2312" w:hAnsi="仿宋" w:eastAsia="仿宋_GB2312" w:cs="仿宋_GB2312"/>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_GB2312" w:hAnsi="仿宋" w:eastAsia="仿宋_GB2312" w:cs="仿宋_GB2312"/>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_GB2312" w:hAnsi="仿宋" w:eastAsia="仿宋_GB2312" w:cs="仿宋_GB2312"/>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noWrap w:val="0"/>
            <w:vAlign w:val="top"/>
          </w:tcPr>
          <w:p>
            <w:pPr>
              <w:tabs>
                <w:tab w:val="left" w:pos="440"/>
                <w:tab w:val="left" w:pos="1154"/>
                <w:tab w:val="left" w:pos="1936"/>
                <w:tab w:val="left" w:pos="2368"/>
              </w:tabs>
              <w:suppressAutoHyphens/>
              <w:autoSpaceDE w:val="0"/>
              <w:autoSpaceDN w:val="0"/>
              <w:spacing w:line="360" w:lineRule="auto"/>
              <w:rPr>
                <w:rFonts w:hint="eastAsia" w:ascii="仿宋_GB2312" w:hAnsi="仿宋" w:eastAsia="仿宋_GB2312" w:cs="仿宋_GB2312"/>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7"/>
              </w:tabs>
              <w:suppressAutoHyphens/>
              <w:autoSpaceDE w:val="0"/>
              <w:autoSpaceDN w:val="0"/>
              <w:spacing w:line="360" w:lineRule="auto"/>
              <w:rPr>
                <w:rFonts w:hint="eastAsia" w:ascii="仿宋_GB2312" w:hAnsi="仿宋" w:eastAsia="仿宋_GB2312" w:cs="仿宋_GB2312"/>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suppressAutoHyphens/>
              <w:autoSpaceDE w:val="0"/>
              <w:autoSpaceDN w:val="0"/>
              <w:spacing w:line="360" w:lineRule="auto"/>
              <w:rPr>
                <w:rFonts w:hint="eastAsia" w:ascii="仿宋_GB2312" w:hAnsi="仿宋" w:eastAsia="仿宋_GB2312" w:cs="仿宋_GB2312"/>
                <w:color w:val="auto"/>
                <w:sz w:val="24"/>
                <w:highlight w:val="none"/>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注解:A</w:t>
      </w:r>
      <w:r>
        <w:rPr>
          <w:rFonts w:hint="eastAsia" w:ascii="仿宋_GB2312" w:hAnsi="仿宋" w:eastAsia="仿宋_GB2312" w:cs="仿宋_GB2312"/>
          <w:color w:val="auto"/>
          <w:sz w:val="24"/>
          <w:highlight w:val="none"/>
        </w:rPr>
        <w:tab/>
      </w:r>
      <w:r>
        <w:rPr>
          <w:rFonts w:hint="eastAsia" w:ascii="仿宋_GB2312" w:hAnsi="仿宋" w:eastAsia="仿宋_GB2312" w:cs="仿宋_GB2312"/>
          <w:color w:val="auto"/>
          <w:sz w:val="24"/>
          <w:highlight w:val="none"/>
        </w:rPr>
        <w:t>课程清单按时间顺序排列，并提供以下详细资料：</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课程概要</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课程目的</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教学方式</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先决条件</w:t>
      </w:r>
    </w:p>
    <w:p>
      <w:pPr>
        <w:numPr>
          <w:ilvl w:val="0"/>
          <w:numId w:val="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教材目录</w:t>
      </w:r>
    </w:p>
    <w:p>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B  按照附表A提供授课教师的简历</w:t>
      </w:r>
    </w:p>
    <w:p>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注：须随表提交相应的证书复印件并注明所在投标技术文件页码。</w:t>
      </w:r>
    </w:p>
    <w:p>
      <w:pPr>
        <w:autoSpaceDE w:val="0"/>
        <w:autoSpaceDN w:val="0"/>
        <w:spacing w:line="360" w:lineRule="auto"/>
        <w:ind w:firstLine="4800" w:firstLineChars="20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 xml:space="preserve">投标人名称（电子签名）：                       </w:t>
      </w:r>
    </w:p>
    <w:p>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autoSpaceDE w:val="0"/>
        <w:autoSpaceDN w:val="0"/>
        <w:spacing w:line="360" w:lineRule="auto"/>
        <w:ind w:firstLine="120"/>
        <w:rPr>
          <w:rFonts w:hint="eastAsia" w:ascii="仿宋_GB2312" w:hAnsi="仿宋" w:eastAsia="仿宋_GB2312" w:cs="仿宋_GB2312"/>
          <w:color w:val="auto"/>
          <w:sz w:val="24"/>
          <w:highlight w:val="none"/>
        </w:rPr>
      </w:pPr>
    </w:p>
    <w:p>
      <w:pPr>
        <w:spacing w:line="360" w:lineRule="auto"/>
        <w:jc w:val="center"/>
        <w:rPr>
          <w:rFonts w:hint="eastAsia" w:ascii="仿宋_GB2312" w:hAnsi="仿宋" w:eastAsia="仿宋_GB2312" w:cs="仿宋_GB2312"/>
          <w:b/>
          <w:bCs/>
          <w:color w:val="auto"/>
          <w:sz w:val="32"/>
          <w:szCs w:val="32"/>
          <w:highlight w:val="none"/>
        </w:rPr>
      </w:pPr>
      <w:r>
        <w:rPr>
          <w:rFonts w:hint="eastAsia" w:ascii="仿宋_GB2312" w:hAnsi="仿宋" w:eastAsia="仿宋_GB2312" w:cs="仿宋_GB2312"/>
          <w:b/>
          <w:bCs/>
          <w:color w:val="auto"/>
          <w:sz w:val="32"/>
          <w:szCs w:val="32"/>
          <w:highlight w:val="none"/>
        </w:rPr>
        <w:t>十四、认为需要的其他技术文件或说明</w:t>
      </w:r>
    </w:p>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spacing w:line="360" w:lineRule="auto"/>
        <w:jc w:val="center"/>
        <w:rPr>
          <w:rFonts w:hint="eastAsia" w:ascii="仿宋_GB2312" w:hAnsi="仿宋" w:eastAsia="仿宋_GB2312" w:cs="仿宋_GB2312"/>
          <w:color w:val="auto"/>
          <w:sz w:val="24"/>
          <w:highlight w:val="none"/>
        </w:rPr>
      </w:pPr>
    </w:p>
    <w:p>
      <w:pPr>
        <w:autoSpaceDE w:val="0"/>
        <w:autoSpaceDN w:val="0"/>
        <w:spacing w:line="360" w:lineRule="auto"/>
        <w:ind w:firstLine="4800" w:firstLineChars="20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 xml:space="preserve">投标人名称（电子签名）：                       </w:t>
      </w:r>
    </w:p>
    <w:p>
      <w:pPr>
        <w:autoSpaceDE w:val="0"/>
        <w:autoSpaceDN w:val="0"/>
        <w:spacing w:line="360" w:lineRule="auto"/>
        <w:rPr>
          <w:rFonts w:hint="eastAsia" w:ascii="仿宋_GB2312" w:hAnsi="仿宋" w:eastAsia="仿宋_GB2312" w:cs="仿宋_GB2312"/>
          <w:b/>
          <w:bCs/>
          <w:color w:val="auto"/>
          <w:sz w:val="30"/>
          <w:szCs w:val="30"/>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pPr>
        <w:spacing w:line="360" w:lineRule="auto"/>
        <w:jc w:val="center"/>
        <w:rPr>
          <w:rFonts w:hint="eastAsia" w:ascii="仿宋_GB2312" w:hAnsi="仿宋" w:eastAsia="仿宋_GB2312" w:cs="仿宋_GB2312"/>
          <w:b/>
          <w:bCs/>
          <w:color w:val="auto"/>
          <w:sz w:val="30"/>
          <w:szCs w:val="30"/>
          <w:highlight w:val="none"/>
        </w:rPr>
      </w:pPr>
    </w:p>
    <w:p>
      <w:pPr>
        <w:spacing w:line="360" w:lineRule="auto"/>
        <w:jc w:val="center"/>
        <w:rPr>
          <w:rFonts w:hint="eastAsia" w:ascii="仿宋_GB2312" w:hAnsi="仿宋" w:eastAsia="仿宋_GB2312" w:cs="仿宋_GB2312"/>
          <w:b/>
          <w:color w:val="auto"/>
          <w:kern w:val="0"/>
          <w:sz w:val="30"/>
          <w:szCs w:val="30"/>
          <w:highlight w:val="none"/>
          <w:lang w:val="zh-CN"/>
        </w:rPr>
      </w:pPr>
      <w:r>
        <w:rPr>
          <w:rFonts w:hint="eastAsia" w:ascii="仿宋_GB2312" w:hAnsi="仿宋" w:eastAsia="仿宋_GB2312" w:cs="仿宋_GB2312"/>
          <w:b/>
          <w:bCs/>
          <w:color w:val="auto"/>
          <w:sz w:val="30"/>
          <w:szCs w:val="30"/>
          <w:highlight w:val="none"/>
        </w:rPr>
        <w:t>十五、关于</w:t>
      </w:r>
      <w:r>
        <w:rPr>
          <w:rFonts w:hint="eastAsia" w:ascii="仿宋_GB2312" w:hAnsi="仿宋" w:eastAsia="仿宋_GB2312" w:cs="仿宋_GB2312"/>
          <w:b/>
          <w:color w:val="auto"/>
          <w:kern w:val="0"/>
          <w:sz w:val="30"/>
          <w:szCs w:val="30"/>
          <w:highlight w:val="none"/>
          <w:lang w:val="zh-CN"/>
        </w:rPr>
        <w:t>对招标文件中有关商务、合同条款的拒绝声明</w:t>
      </w:r>
    </w:p>
    <w:p>
      <w:pPr>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spacing w:line="360" w:lineRule="auto"/>
        <w:rPr>
          <w:rFonts w:hint="eastAsia" w:ascii="仿宋_GB2312" w:hAnsi="仿宋" w:eastAsia="仿宋_GB2312" w:cs="仿宋_GB2312"/>
          <w:color w:val="auto"/>
          <w:sz w:val="24"/>
          <w:highlight w:val="none"/>
        </w:rPr>
      </w:pPr>
    </w:p>
    <w:p>
      <w:pPr>
        <w:autoSpaceDE w:val="0"/>
        <w:autoSpaceDN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投标人名称（电子签名）：      </w:t>
      </w:r>
    </w:p>
    <w:p>
      <w:pPr>
        <w:autoSpaceDE w:val="0"/>
        <w:autoSpaceDN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  年  月   日</w:t>
      </w:r>
    </w:p>
    <w:p>
      <w:pPr>
        <w:spacing w:line="360" w:lineRule="auto"/>
        <w:jc w:val="center"/>
        <w:rPr>
          <w:rFonts w:hint="eastAsia" w:ascii="仿宋_GB2312" w:hAnsi="仿宋" w:eastAsia="仿宋_GB2312" w:cs="仿宋_GB2312"/>
          <w:b/>
          <w:bCs/>
          <w:color w:val="auto"/>
          <w:sz w:val="24"/>
          <w:highlight w:val="none"/>
        </w:rPr>
      </w:pPr>
    </w:p>
    <w:p>
      <w:pPr>
        <w:spacing w:line="360" w:lineRule="auto"/>
        <w:jc w:val="center"/>
        <w:rPr>
          <w:rFonts w:hint="eastAsia" w:ascii="仿宋_GB2312" w:hAnsi="仿宋" w:eastAsia="仿宋_GB2312" w:cs="仿宋_GB2312"/>
          <w:b/>
          <w:bCs/>
          <w:color w:val="auto"/>
          <w:sz w:val="24"/>
          <w:highlight w:val="none"/>
        </w:rPr>
      </w:pPr>
    </w:p>
    <w:p>
      <w:pPr>
        <w:tabs>
          <w:tab w:val="left" w:pos="0"/>
        </w:tabs>
        <w:autoSpaceDE w:val="0"/>
        <w:autoSpaceDN w:val="0"/>
        <w:spacing w:line="360" w:lineRule="auto"/>
        <w:ind w:firstLine="2108" w:firstLineChars="700"/>
        <w:rPr>
          <w:rFonts w:ascii="仿宋_GB2312" w:hAnsi="仿宋" w:eastAsia="仿宋_GB2312" w:cs="仿宋_GB2312"/>
          <w:b/>
          <w:bCs/>
          <w:color w:val="auto"/>
          <w:sz w:val="30"/>
          <w:szCs w:val="30"/>
          <w:highlight w:val="none"/>
        </w:rPr>
      </w:pPr>
      <w:r>
        <w:rPr>
          <w:rFonts w:hint="eastAsia" w:ascii="仿宋_GB2312" w:hAnsi="仿宋" w:eastAsia="仿宋_GB2312" w:cs="仿宋_GB2312"/>
          <w:b/>
          <w:bCs/>
          <w:color w:val="auto"/>
          <w:sz w:val="30"/>
          <w:szCs w:val="30"/>
          <w:highlight w:val="none"/>
        </w:rPr>
        <w:t>十六、政府采购供应商廉洁自律承诺书</w:t>
      </w:r>
    </w:p>
    <w:p>
      <w:pPr>
        <w:spacing w:line="360" w:lineRule="auto"/>
        <w:jc w:val="center"/>
        <w:rPr>
          <w:rFonts w:hint="eastAsia" w:ascii="仿宋_GB2312" w:hAnsi="仿宋" w:eastAsia="仿宋_GB2312" w:cs="仿宋_GB2312"/>
          <w:color w:val="auto"/>
          <w:sz w:val="24"/>
          <w:highlight w:val="none"/>
        </w:rPr>
      </w:pPr>
      <w:r>
        <w:rPr>
          <w:rFonts w:hint="eastAsia" w:ascii="宋体" w:hAnsi="宋体" w:cs="宋体"/>
          <w:color w:val="auto"/>
          <w:sz w:val="24"/>
          <w:highlight w:val="none"/>
        </w:rPr>
        <w:t> </w:t>
      </w:r>
    </w:p>
    <w:p>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杭州市南郊监狱</w:t>
      </w:r>
      <w:r>
        <w:rPr>
          <w:rFonts w:hint="eastAsia" w:ascii="仿宋_GB2312" w:hAnsi="仿宋" w:eastAsia="仿宋_GB2312" w:cs="仿宋_GB2312"/>
          <w:color w:val="auto"/>
          <w:sz w:val="24"/>
          <w:highlight w:val="none"/>
        </w:rPr>
        <w:t>、杭州市公共资源交易中心（杭州市政府采购中心）：</w:t>
      </w:r>
    </w:p>
    <w:p>
      <w:pPr>
        <w:spacing w:line="360" w:lineRule="auto"/>
        <w:ind w:firstLine="480" w:firstLineChars="200"/>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本单位合法参加</w:t>
      </w:r>
      <w:r>
        <w:rPr>
          <w:rFonts w:hint="eastAsia" w:ascii="仿宋_GB2312" w:hAnsi="仿宋" w:eastAsia="仿宋_GB2312" w:cs="仿宋_GB2312"/>
          <w:color w:val="auto"/>
          <w:sz w:val="24"/>
          <w:highlight w:val="none"/>
          <w:lang w:eastAsia="zh-CN"/>
        </w:rPr>
        <w:t>杭州市南郊监狱改扩建工程安防建设政府采购项目</w:t>
      </w:r>
      <w:r>
        <w:rPr>
          <w:rFonts w:hint="eastAsia" w:ascii="仿宋_GB2312" w:hAnsi="仿宋" w:eastAsia="仿宋_GB2312" w:cs="仿宋_GB2312"/>
          <w:color w:val="auto"/>
          <w:sz w:val="24"/>
          <w:highlight w:val="none"/>
        </w:rPr>
        <w:t>【编号：HZZFCG-</w:t>
      </w:r>
      <w:r>
        <w:rPr>
          <w:rFonts w:hint="eastAsia" w:ascii="仿宋_GB2312" w:hAnsi="仿宋" w:eastAsia="仿宋_GB2312" w:cs="仿宋_GB2312"/>
          <w:color w:val="auto"/>
          <w:sz w:val="24"/>
          <w:highlight w:val="none"/>
          <w:lang w:eastAsia="zh-CN"/>
        </w:rPr>
        <w:t>2021-151</w:t>
      </w:r>
      <w:r>
        <w:rPr>
          <w:rFonts w:hint="eastAsia" w:ascii="仿宋_GB2312" w:hAnsi="仿宋" w:eastAsia="仿宋_GB2312" w:cs="仿宋_GB2312"/>
          <w:color w:val="auto"/>
          <w:sz w:val="24"/>
          <w:highlight w:val="none"/>
        </w:rPr>
        <w:t>】政府采购活动，就有关廉洁自律和公平竞争事项郑重声明如下：</w:t>
      </w:r>
    </w:p>
    <w:p>
      <w:pPr>
        <w:spacing w:line="360" w:lineRule="auto"/>
        <w:ind w:firstLine="480" w:firstLineChars="200"/>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一、本单位与采购人之间不存在利害关系，不存在行贿、串通等违法行为。</w:t>
      </w:r>
    </w:p>
    <w:p>
      <w:pPr>
        <w:spacing w:line="360" w:lineRule="auto"/>
        <w:ind w:firstLine="480" w:firstLineChars="200"/>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二、本单位与其他当事人之间不存在直接控股、管理关系等情况，不存在法定的不允许投标情形，不存在行贿、串通等违法行为。</w:t>
      </w:r>
    </w:p>
    <w:p>
      <w:pPr>
        <w:spacing w:line="360" w:lineRule="auto"/>
        <w:ind w:firstLine="480" w:firstLineChars="200"/>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三、本单位清楚知道并严格遵守政府采购法律法规、政策文件和相关纪律。</w:t>
      </w:r>
    </w:p>
    <w:p>
      <w:pPr>
        <w:autoSpaceDE w:val="0"/>
        <w:autoSpaceDN w:val="0"/>
        <w:spacing w:line="360" w:lineRule="auto"/>
        <w:ind w:firstLine="5040" w:firstLineChars="21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投标人名称（电子签名）：</w:t>
      </w:r>
    </w:p>
    <w:p>
      <w:pPr>
        <w:autoSpaceDE w:val="0"/>
        <w:autoSpaceDN w:val="0"/>
        <w:spacing w:line="360" w:lineRule="auto"/>
        <w:ind w:right="960" w:firstLine="5040" w:firstLineChars="21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pPr>
        <w:tabs>
          <w:tab w:val="left" w:pos="0"/>
        </w:tabs>
        <w:autoSpaceDE w:val="0"/>
        <w:autoSpaceDN w:val="0"/>
        <w:spacing w:line="360" w:lineRule="auto"/>
        <w:ind w:firstLine="2409" w:firstLineChars="800"/>
        <w:rPr>
          <w:rFonts w:hint="eastAsia" w:ascii="仿宋_GB2312" w:hAnsi="仿宋" w:eastAsia="仿宋_GB2312" w:cs="仿宋_GB2312"/>
          <w:b/>
          <w:bCs/>
          <w:color w:val="auto"/>
          <w:sz w:val="30"/>
          <w:szCs w:val="30"/>
          <w:highlight w:val="none"/>
        </w:rPr>
      </w:pPr>
    </w:p>
    <w:p>
      <w:pPr>
        <w:tabs>
          <w:tab w:val="left" w:pos="0"/>
        </w:tabs>
        <w:autoSpaceDE w:val="0"/>
        <w:autoSpaceDN w:val="0"/>
        <w:spacing w:line="360" w:lineRule="auto"/>
        <w:ind w:firstLine="2409" w:firstLineChars="800"/>
        <w:rPr>
          <w:rFonts w:hint="eastAsia" w:ascii="仿宋_GB2312" w:hAnsi="仿宋" w:eastAsia="仿宋_GB2312" w:cs="仿宋_GB2312"/>
          <w:b/>
          <w:bCs/>
          <w:color w:val="auto"/>
          <w:sz w:val="30"/>
          <w:szCs w:val="30"/>
          <w:highlight w:val="none"/>
        </w:rPr>
      </w:pPr>
    </w:p>
    <w:p>
      <w:pPr>
        <w:tabs>
          <w:tab w:val="left" w:pos="0"/>
        </w:tabs>
        <w:autoSpaceDE w:val="0"/>
        <w:autoSpaceDN w:val="0"/>
        <w:spacing w:line="360" w:lineRule="auto"/>
        <w:jc w:val="center"/>
        <w:rPr>
          <w:rFonts w:hint="eastAsia" w:ascii="仿宋_GB2312" w:hAnsi="仿宋" w:eastAsia="仿宋_GB2312" w:cs="仿宋_GB2312"/>
          <w:b/>
          <w:bCs/>
          <w:color w:val="auto"/>
          <w:sz w:val="30"/>
          <w:szCs w:val="30"/>
          <w:highlight w:val="none"/>
        </w:rPr>
      </w:pPr>
      <w:r>
        <w:rPr>
          <w:rFonts w:hint="eastAsia" w:ascii="仿宋_GB2312" w:hAnsi="仿宋" w:eastAsia="仿宋_GB2312" w:cs="仿宋_GB2312"/>
          <w:b/>
          <w:bCs/>
          <w:color w:val="auto"/>
          <w:sz w:val="30"/>
          <w:szCs w:val="30"/>
          <w:highlight w:val="none"/>
        </w:rPr>
        <w:t>十七、廉政承诺书</w:t>
      </w:r>
    </w:p>
    <w:p>
      <w:pPr>
        <w:autoSpaceDE w:val="0"/>
        <w:autoSpaceDN w:val="0"/>
        <w:spacing w:line="360" w:lineRule="auto"/>
        <w:jc w:val="left"/>
        <w:rPr>
          <w:rFonts w:hint="eastAsia" w:ascii="仿宋_GB2312" w:hAnsi="仿宋_GB2312" w:eastAsia="仿宋_GB2312" w:cs="仿宋_GB2312"/>
          <w:color w:val="auto"/>
          <w:kern w:val="0"/>
          <w:sz w:val="24"/>
          <w:highlight w:val="none"/>
          <w:lang w:val="zh-CN"/>
        </w:rPr>
      </w:pPr>
      <w:r>
        <w:rPr>
          <w:rFonts w:hint="eastAsia" w:ascii="仿宋_GB2312" w:hAnsi="仿宋" w:eastAsia="仿宋_GB2312" w:cs="仿宋_GB2312"/>
          <w:color w:val="auto"/>
          <w:sz w:val="24"/>
          <w:highlight w:val="none"/>
          <w:lang w:eastAsia="zh-CN"/>
        </w:rPr>
        <w:t>杭州市南郊监狱</w:t>
      </w:r>
      <w:r>
        <w:rPr>
          <w:rFonts w:hint="eastAsia"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hint="eastAsia"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hint="eastAsia"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 xml:space="preserve">）：                </w:t>
      </w:r>
    </w:p>
    <w:p>
      <w:pPr>
        <w:spacing w:line="360" w:lineRule="auto"/>
        <w:ind w:left="4620" w:leftChars="2200"/>
        <w:rPr>
          <w:rFonts w:hint="eastAsia"/>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 xml:space="preserve">   年   月   日</w:t>
      </w:r>
    </w:p>
    <w:p>
      <w:pPr>
        <w:spacing w:line="360" w:lineRule="auto"/>
        <w:jc w:val="center"/>
        <w:rPr>
          <w:rFonts w:hint="eastAsia" w:ascii="仿宋_GB2312" w:hAnsi="仿宋" w:eastAsia="仿宋_GB2312" w:cs="仿宋_GB2312"/>
          <w:b/>
          <w:bCs/>
          <w:color w:val="auto"/>
          <w:sz w:val="24"/>
          <w:highlight w:val="none"/>
        </w:rPr>
      </w:pPr>
    </w:p>
    <w:p>
      <w:pPr>
        <w:spacing w:line="360" w:lineRule="auto"/>
        <w:jc w:val="center"/>
        <w:rPr>
          <w:rFonts w:hint="eastAsia" w:ascii="仿宋_GB2312" w:hAnsi="仿宋" w:eastAsia="仿宋_GB2312" w:cs="仿宋_GB2312"/>
          <w:b/>
          <w:bCs/>
          <w:color w:val="auto"/>
          <w:sz w:val="24"/>
          <w:highlight w:val="none"/>
        </w:rPr>
        <w:sectPr>
          <w:pgSz w:w="11906" w:h="16838"/>
          <w:pgMar w:top="1247" w:right="1418" w:bottom="1276" w:left="1418" w:header="851" w:footer="992" w:gutter="0"/>
          <w:cols w:space="720" w:num="1"/>
          <w:titlePg/>
          <w:docGrid w:linePitch="312" w:charSpace="0"/>
        </w:sectPr>
      </w:pPr>
    </w:p>
    <w:p>
      <w:pPr>
        <w:tabs>
          <w:tab w:val="left" w:pos="8085"/>
        </w:tabs>
        <w:spacing w:line="360" w:lineRule="auto"/>
        <w:jc w:val="left"/>
        <w:rPr>
          <w:rFonts w:hint="eastAsia" w:ascii="仿宋_GB2312" w:hAnsi="仿宋" w:eastAsia="仿宋_GB2312" w:cs="仿宋_GB2312"/>
          <w:b/>
          <w:color w:val="auto"/>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82" w:firstLineChars="200"/>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一、适用对象</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在浙江政府采购网注册入库，并取得杭州市政府采购合同的杭州市内中小企业供应商。</w:t>
      </w:r>
    </w:p>
    <w:p>
      <w:pPr>
        <w:spacing w:line="360" w:lineRule="auto"/>
        <w:ind w:firstLine="482" w:firstLineChars="200"/>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二、相关信息获取方式</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请登陆杭州市政府采购网“中小企业信用融资”模块，查看信用融资政策文件及各相关银行服务方案。</w:t>
      </w:r>
    </w:p>
    <w:p>
      <w:pPr>
        <w:spacing w:line="360" w:lineRule="auto"/>
        <w:ind w:firstLine="482" w:firstLineChars="200"/>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三、申请方式和步骤</w:t>
      </w:r>
    </w:p>
    <w:p>
      <w:pPr>
        <w:spacing w:line="360" w:lineRule="auto"/>
        <w:ind w:firstLine="482" w:firstLineChars="200"/>
        <w:rPr>
          <w:rFonts w:hint="eastAsia" w:ascii="仿宋_GB2312" w:hAnsi="仿宋" w:eastAsia="仿宋_GB2312"/>
          <w:b/>
          <w:bCs/>
          <w:color w:val="auto"/>
          <w:sz w:val="24"/>
          <w:highlight w:val="none"/>
        </w:rPr>
      </w:pPr>
      <w:r>
        <w:rPr>
          <w:rFonts w:hint="eastAsia" w:ascii="仿宋_GB2312" w:hAnsi="仿宋" w:eastAsia="仿宋_GB2312"/>
          <w:b/>
          <w:bCs/>
          <w:color w:val="auto"/>
          <w:sz w:val="24"/>
          <w:highlight w:val="none"/>
        </w:rPr>
        <w:t>（一）“云采贷”融资</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1、供应商先与银行对接，办理融资前期手续；</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2、供应商中标后，登陆“中小企业信用融资”模块测算授信额度，并向银行发出融资申请；</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3、银行线上审批通过后，办理放贷手续。</w:t>
      </w:r>
    </w:p>
    <w:p>
      <w:pPr>
        <w:spacing w:line="360" w:lineRule="auto"/>
        <w:ind w:firstLine="482" w:firstLineChars="200"/>
        <w:rPr>
          <w:rFonts w:hint="eastAsia" w:ascii="仿宋_GB2312" w:hAnsi="仿宋" w:eastAsia="仿宋_GB2312"/>
          <w:b/>
          <w:bCs/>
          <w:color w:val="auto"/>
          <w:sz w:val="24"/>
          <w:highlight w:val="none"/>
        </w:rPr>
      </w:pPr>
      <w:r>
        <w:rPr>
          <w:rFonts w:hint="eastAsia" w:ascii="仿宋_GB2312" w:hAnsi="仿宋" w:eastAsia="仿宋_GB2312"/>
          <w:b/>
          <w:bCs/>
          <w:color w:val="auto"/>
          <w:sz w:val="24"/>
          <w:highlight w:val="none"/>
        </w:rPr>
        <w:t>（二）一般融资</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1、供应商先与银行对接，办理融资前期手续；</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2、供应商中标后，登陆杭州市政府采购网“中小企业信用融资”模块，向相关合作银行发出融资申请；</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3、银行在“中小企业信用融资”模块受理申请；</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4、银行、供应商线下办理审批、放贷事宜。</w:t>
      </w:r>
    </w:p>
    <w:p>
      <w:pPr>
        <w:spacing w:line="360" w:lineRule="auto"/>
        <w:ind w:firstLine="482" w:firstLineChars="200"/>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四、注意事项</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1、供应商需确保政府采购合同的收款银行与融资银行一致。</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2、请各采购单位积极支持和配合政府采购信用融资工作，在合同备案环节仔细核对收款银行、账号信息等内容，一旦录入将无法修改。</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olor w:val="auto"/>
          <w:sz w:val="24"/>
          <w:highlight w:val="none"/>
        </w:rPr>
        <w:t>3、技术服务热线：87210880；如有业务问题可与各合作银行联系</w:t>
      </w:r>
      <w:r>
        <w:rPr>
          <w:rFonts w:hint="eastAsia" w:ascii="仿宋_GB2312" w:hAnsi="仿宋" w:eastAsia="仿宋_GB2312" w:cs="仿宋_GB2312"/>
          <w:color w:val="auto"/>
          <w:sz w:val="24"/>
          <w:highlight w:val="none"/>
        </w:rPr>
        <w:t>。</w:t>
      </w:r>
    </w:p>
    <w:p>
      <w:pPr>
        <w:spacing w:line="360" w:lineRule="auto"/>
        <w:ind w:left="5060" w:hanging="5060" w:hangingChars="2100"/>
        <w:rPr>
          <w:rFonts w:hint="eastAsia" w:ascii="仿宋_GB2312" w:hAnsi="仿宋" w:eastAsia="仿宋_GB2312" w:cs="仿宋_GB2312"/>
          <w:b/>
          <w:bCs/>
          <w:color w:val="auto"/>
          <w:kern w:val="0"/>
          <w:sz w:val="24"/>
          <w:highlight w:val="none"/>
        </w:rPr>
      </w:pPr>
    </w:p>
    <w:p>
      <w:pPr>
        <w:pStyle w:val="3"/>
        <w:keepNext w:val="0"/>
        <w:keepLines w:val="0"/>
        <w:pageBreakBefore/>
        <w:widowControl/>
        <w:numPr>
          <w:ilvl w:val="0"/>
          <w:numId w:val="0"/>
        </w:numPr>
        <w:spacing w:before="100" w:beforeAutospacing="1" w:after="100" w:afterAutospacing="1" w:line="360" w:lineRule="auto"/>
        <w:ind w:left="1290" w:firstLine="3092" w:firstLineChars="700"/>
        <w:rPr>
          <w:rFonts w:hint="eastAsia" w:ascii="仿宋_GB2312" w:hAnsi="仿宋" w:eastAsia="仿宋_GB2312"/>
          <w:color w:val="auto"/>
          <w:highlight w:val="none"/>
        </w:rPr>
      </w:pPr>
      <w:bookmarkStart w:id="573" w:name="_Toc465665161"/>
      <w:r>
        <w:rPr>
          <w:rFonts w:hint="eastAsia" w:ascii="仿宋_GB2312" w:hAnsi="仿宋" w:eastAsia="仿宋_GB2312"/>
          <w:color w:val="auto"/>
          <w:highlight w:val="none"/>
        </w:rPr>
        <w:t>附件</w:t>
      </w:r>
      <w:bookmarkEnd w:id="573"/>
    </w:p>
    <w:p>
      <w:pPr>
        <w:spacing w:line="360" w:lineRule="auto"/>
        <w:rPr>
          <w:rFonts w:hint="eastAsia"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附件1：</w:t>
      </w:r>
    </w:p>
    <w:p>
      <w:pPr>
        <w:spacing w:line="360" w:lineRule="auto"/>
        <w:jc w:val="center"/>
        <w:rPr>
          <w:rFonts w:hint="eastAsia" w:ascii="仿宋_GB2312" w:hAnsi="仿宋" w:eastAsia="仿宋_GB2312"/>
          <w:b/>
          <w:color w:val="auto"/>
          <w:spacing w:val="6"/>
          <w:sz w:val="32"/>
          <w:szCs w:val="32"/>
          <w:highlight w:val="none"/>
        </w:rPr>
      </w:pPr>
      <w:bookmarkStart w:id="574" w:name="OLE_LINK13"/>
      <w:bookmarkStart w:id="575" w:name="OLE_LINK14"/>
      <w:r>
        <w:rPr>
          <w:rFonts w:hint="eastAsia" w:ascii="仿宋_GB2312" w:hAnsi="仿宋" w:eastAsia="仿宋_GB2312"/>
          <w:b/>
          <w:color w:val="auto"/>
          <w:spacing w:val="6"/>
          <w:sz w:val="32"/>
          <w:szCs w:val="32"/>
          <w:highlight w:val="none"/>
        </w:rPr>
        <w:t>残疾人福利性单位声明函</w:t>
      </w:r>
    </w:p>
    <w:bookmarkEnd w:id="574"/>
    <w:bookmarkEnd w:id="575"/>
    <w:p>
      <w:pPr>
        <w:spacing w:line="360" w:lineRule="auto"/>
        <w:rPr>
          <w:rFonts w:hint="eastAsia" w:ascii="仿宋_GB2312" w:hAnsi="仿宋" w:eastAsia="仿宋_GB2312"/>
          <w:b/>
          <w:color w:val="auto"/>
          <w:spacing w:val="6"/>
          <w:sz w:val="30"/>
          <w:szCs w:val="30"/>
          <w:highlight w:val="none"/>
        </w:rPr>
      </w:pP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hint="eastAsia" w:ascii="仿宋_GB2312" w:hAnsi="仿宋" w:eastAsia="仿宋_GB2312" w:cs="仿宋_GB2312"/>
          <w:color w:val="auto"/>
          <w:sz w:val="24"/>
          <w:highlight w:val="none"/>
        </w:rPr>
      </w:pPr>
    </w:p>
    <w:p>
      <w:pPr>
        <w:spacing w:line="360" w:lineRule="auto"/>
        <w:ind w:firstLine="480" w:firstLineChars="200"/>
        <w:rPr>
          <w:rFonts w:hint="eastAsia"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日  期：</w:t>
      </w:r>
    </w:p>
    <w:p>
      <w:pPr>
        <w:spacing w:line="360" w:lineRule="auto"/>
        <w:ind w:firstLine="480" w:firstLineChars="200"/>
        <w:rPr>
          <w:rFonts w:hint="eastAsia" w:ascii="仿宋_GB2312" w:hAnsi="仿宋" w:eastAsia="仿宋_GB2312" w:cs="仿宋_GB2312"/>
          <w:color w:val="auto"/>
          <w:sz w:val="24"/>
          <w:highlight w:val="none"/>
        </w:rPr>
      </w:pPr>
    </w:p>
    <w:p>
      <w:pPr>
        <w:spacing w:line="360" w:lineRule="auto"/>
        <w:ind w:firstLine="420" w:firstLineChars="200"/>
        <w:rPr>
          <w:rFonts w:hint="eastAsia" w:ascii="仿宋_GB2312" w:hAnsi="仿宋" w:eastAsia="仿宋_GB2312"/>
          <w:color w:val="auto"/>
          <w:highlight w:val="none"/>
        </w:rPr>
      </w:pPr>
    </w:p>
    <w:p>
      <w:pPr>
        <w:spacing w:line="360" w:lineRule="auto"/>
        <w:ind w:firstLine="420" w:firstLineChars="200"/>
        <w:rPr>
          <w:rFonts w:hint="eastAsia" w:ascii="仿宋_GB2312" w:hAnsi="仿宋" w:eastAsia="仿宋_GB2312"/>
          <w:color w:val="auto"/>
          <w:highlight w:val="none"/>
        </w:rPr>
      </w:pPr>
    </w:p>
    <w:p>
      <w:pPr>
        <w:spacing w:line="360" w:lineRule="auto"/>
        <w:ind w:firstLine="420" w:firstLineChars="200"/>
        <w:rPr>
          <w:rFonts w:hint="eastAsia" w:ascii="仿宋_GB2312" w:hAnsi="仿宋" w:eastAsia="仿宋_GB2312"/>
          <w:color w:val="auto"/>
          <w:highlight w:val="none"/>
        </w:rPr>
      </w:pPr>
    </w:p>
    <w:p>
      <w:pPr>
        <w:spacing w:line="360" w:lineRule="auto"/>
        <w:ind w:firstLine="420" w:firstLineChars="200"/>
        <w:rPr>
          <w:rFonts w:hint="eastAsia" w:ascii="仿宋_GB2312" w:hAnsi="仿宋" w:eastAsia="仿宋_GB2312"/>
          <w:color w:val="auto"/>
          <w:highlight w:val="none"/>
        </w:rPr>
      </w:pPr>
    </w:p>
    <w:p>
      <w:pPr>
        <w:spacing w:line="360" w:lineRule="auto"/>
        <w:rPr>
          <w:rFonts w:hint="eastAsia" w:ascii="仿宋_GB2312" w:hAnsi="仿宋" w:eastAsia="仿宋_GB2312" w:cs="仿宋_GB2312"/>
          <w:b/>
          <w:color w:val="auto"/>
          <w:sz w:val="24"/>
          <w:highlight w:val="none"/>
        </w:rPr>
      </w:pPr>
    </w:p>
    <w:p>
      <w:pPr>
        <w:spacing w:line="360" w:lineRule="auto"/>
        <w:rPr>
          <w:rFonts w:hint="eastAsia" w:ascii="仿宋_GB2312" w:hAnsi="仿宋" w:eastAsia="仿宋_GB2312" w:cs="仿宋_GB2312"/>
          <w:b/>
          <w:color w:val="auto"/>
          <w:sz w:val="24"/>
          <w:highlight w:val="none"/>
        </w:rPr>
      </w:pPr>
    </w:p>
    <w:p>
      <w:pPr>
        <w:spacing w:line="360" w:lineRule="auto"/>
        <w:rPr>
          <w:rFonts w:hint="eastAsia" w:ascii="仿宋_GB2312" w:hAnsi="仿宋" w:eastAsia="仿宋_GB2312" w:cs="仿宋_GB2312"/>
          <w:b/>
          <w:color w:val="auto"/>
          <w:sz w:val="24"/>
          <w:highlight w:val="none"/>
        </w:rPr>
      </w:pPr>
    </w:p>
    <w:p>
      <w:pPr>
        <w:spacing w:line="360" w:lineRule="auto"/>
        <w:rPr>
          <w:rFonts w:hint="eastAsia" w:ascii="仿宋_GB2312" w:hAnsi="仿宋" w:eastAsia="仿宋_GB2312" w:cs="仿宋_GB2312"/>
          <w:b/>
          <w:color w:val="auto"/>
          <w:sz w:val="24"/>
          <w:highlight w:val="none"/>
        </w:rPr>
      </w:pPr>
    </w:p>
    <w:p>
      <w:pPr>
        <w:spacing w:line="360" w:lineRule="auto"/>
        <w:rPr>
          <w:rFonts w:hint="eastAsia" w:ascii="仿宋_GB2312" w:hAnsi="仿宋" w:eastAsia="仿宋_GB2312" w:cs="仿宋_GB2312"/>
          <w:b/>
          <w:color w:val="auto"/>
          <w:sz w:val="24"/>
          <w:highlight w:val="none"/>
        </w:rPr>
      </w:pPr>
    </w:p>
    <w:p>
      <w:pPr>
        <w:spacing w:line="360" w:lineRule="auto"/>
        <w:rPr>
          <w:rFonts w:hint="eastAsia" w:ascii="仿宋_GB2312" w:hAnsi="仿宋" w:eastAsia="仿宋_GB2312" w:cs="仿宋_GB2312"/>
          <w:b/>
          <w:color w:val="auto"/>
          <w:sz w:val="24"/>
          <w:highlight w:val="none"/>
        </w:rPr>
      </w:pPr>
    </w:p>
    <w:p>
      <w:pPr>
        <w:spacing w:line="360" w:lineRule="auto"/>
        <w:rPr>
          <w:rFonts w:hint="eastAsia" w:ascii="仿宋_GB2312" w:hAnsi="仿宋" w:eastAsia="仿宋_GB2312" w:cs="仿宋_GB2312"/>
          <w:b/>
          <w:color w:val="auto"/>
          <w:sz w:val="24"/>
          <w:highlight w:val="none"/>
        </w:rPr>
      </w:pPr>
    </w:p>
    <w:p>
      <w:pPr>
        <w:spacing w:line="360" w:lineRule="auto"/>
        <w:rPr>
          <w:rFonts w:hint="eastAsia" w:ascii="仿宋_GB2312" w:hAnsi="仿宋" w:eastAsia="仿宋_GB2312" w:cs="仿宋_GB2312"/>
          <w:b/>
          <w:color w:val="auto"/>
          <w:sz w:val="24"/>
          <w:highlight w:val="none"/>
        </w:rPr>
      </w:pPr>
    </w:p>
    <w:p>
      <w:pPr>
        <w:spacing w:line="360" w:lineRule="auto"/>
        <w:rPr>
          <w:rFonts w:hint="eastAsia" w:ascii="仿宋_GB2312" w:hAnsi="仿宋" w:eastAsia="仿宋_GB2312" w:cs="仿宋_GB2312"/>
          <w:b/>
          <w:color w:val="auto"/>
          <w:sz w:val="24"/>
          <w:highlight w:val="none"/>
        </w:rPr>
      </w:pPr>
    </w:p>
    <w:p>
      <w:pPr>
        <w:spacing w:line="360" w:lineRule="auto"/>
        <w:jc w:val="left"/>
        <w:rPr>
          <w:rFonts w:hint="eastAsia"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附件2：质疑函范本及制作说明</w:t>
      </w:r>
    </w:p>
    <w:p>
      <w:pPr>
        <w:spacing w:line="360" w:lineRule="auto"/>
        <w:jc w:val="center"/>
        <w:rPr>
          <w:rFonts w:hint="eastAsia"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hint="eastAsia"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 xml:space="preserve"> </w:t>
      </w:r>
    </w:p>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 xml:space="preserve">地址： </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hint="eastAsia"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lang w:eastAsia="zh-CN"/>
        </w:rPr>
        <w:t>招标文件</w:t>
      </w:r>
      <w:r>
        <w:rPr>
          <w:rFonts w:hint="eastAsia" w:ascii="仿宋_GB2312" w:hAnsi="仿宋" w:eastAsia="仿宋_GB2312" w:cs="仿宋"/>
          <w:color w:val="auto"/>
          <w:sz w:val="24"/>
          <w:highlight w:val="none"/>
        </w:rPr>
        <w:t>获取日期：</w:t>
      </w: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质疑事项1：</w:t>
      </w: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u w:val="dotted"/>
        </w:rPr>
        <w:t xml:space="preserve">                                                     </w:t>
      </w:r>
    </w:p>
    <w:p>
      <w:pPr>
        <w:snapToGrid w:val="0"/>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质疑事项2</w:t>
      </w:r>
    </w:p>
    <w:p>
      <w:pPr>
        <w:snapToGrid w:val="0"/>
        <w:spacing w:line="360" w:lineRule="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hint="eastAsia"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hint="eastAsia"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hint="eastAsia" w:ascii="仿宋_GB2312" w:hAnsi="仿宋" w:eastAsia="仿宋_GB2312" w:cs="仿宋"/>
          <w:color w:val="auto"/>
          <w:sz w:val="24"/>
          <w:highlight w:val="none"/>
          <w:u w:val="dotted"/>
        </w:rPr>
        <w:t xml:space="preserve">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签字(签章)：                   公章：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日期：    </w:t>
      </w:r>
    </w:p>
    <w:p>
      <w:pPr>
        <w:spacing w:line="360" w:lineRule="auto"/>
        <w:jc w:val="center"/>
        <w:rPr>
          <w:rFonts w:hint="eastAsia" w:ascii="仿宋_GB2312" w:hAnsi="仿宋" w:eastAsia="仿宋_GB2312" w:cs="仿宋"/>
          <w:b/>
          <w:bCs/>
          <w:color w:val="auto"/>
          <w:sz w:val="24"/>
          <w:highlight w:val="none"/>
        </w:rPr>
      </w:pPr>
    </w:p>
    <w:p>
      <w:pPr>
        <w:spacing w:line="360" w:lineRule="auto"/>
        <w:rPr>
          <w:rFonts w:hint="eastAsia" w:ascii="仿宋_GB2312" w:hAnsi="仿宋" w:eastAsia="仿宋_GB2312"/>
          <w:b/>
          <w:color w:val="auto"/>
          <w:sz w:val="24"/>
          <w:highlight w:val="none"/>
        </w:rPr>
      </w:pPr>
    </w:p>
    <w:p>
      <w:pPr>
        <w:spacing w:line="360" w:lineRule="auto"/>
        <w:rPr>
          <w:rFonts w:hint="eastAsia" w:ascii="仿宋_GB2312" w:hAnsi="仿宋" w:eastAsia="仿宋_GB2312"/>
          <w:b/>
          <w:color w:val="auto"/>
          <w:sz w:val="24"/>
          <w:highlight w:val="none"/>
        </w:rPr>
      </w:pPr>
    </w:p>
    <w:p>
      <w:pPr>
        <w:spacing w:line="360" w:lineRule="auto"/>
        <w:rPr>
          <w:rFonts w:hint="eastAsia" w:ascii="仿宋_GB2312" w:hAnsi="仿宋" w:eastAsia="仿宋_GB2312"/>
          <w:b/>
          <w:color w:val="auto"/>
          <w:sz w:val="24"/>
          <w:highlight w:val="none"/>
        </w:rPr>
      </w:pPr>
    </w:p>
    <w:p>
      <w:pPr>
        <w:spacing w:line="360" w:lineRule="auto"/>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2.质疑供应商若委托代理人进行质疑的，质疑函应按要求列明“授权代表”的有关内容，并在附件中提交由质疑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_GB2312" w:hAnsi="仿宋" w:eastAsia="仿宋_GB2312"/>
          <w:color w:val="auto"/>
          <w:sz w:val="30"/>
          <w:szCs w:val="30"/>
          <w:highlight w:val="none"/>
        </w:rPr>
      </w:pPr>
    </w:p>
    <w:p>
      <w:pPr>
        <w:spacing w:line="360" w:lineRule="auto"/>
        <w:jc w:val="center"/>
        <w:rPr>
          <w:rFonts w:hint="eastAsia" w:ascii="仿宋_GB2312" w:hAnsi="仿宋" w:eastAsia="仿宋_GB2312"/>
          <w:b/>
          <w:color w:val="auto"/>
          <w:spacing w:val="6"/>
          <w:sz w:val="32"/>
          <w:szCs w:val="32"/>
          <w:highlight w:val="none"/>
        </w:rPr>
      </w:pPr>
    </w:p>
    <w:p>
      <w:pPr>
        <w:spacing w:line="360" w:lineRule="auto"/>
        <w:jc w:val="center"/>
        <w:rPr>
          <w:rFonts w:hint="eastAsia" w:ascii="仿宋_GB2312" w:hAnsi="仿宋" w:eastAsia="仿宋_GB2312"/>
          <w:b/>
          <w:color w:val="auto"/>
          <w:spacing w:val="6"/>
          <w:sz w:val="32"/>
          <w:szCs w:val="32"/>
          <w:highlight w:val="none"/>
        </w:rPr>
      </w:pPr>
    </w:p>
    <w:p>
      <w:pPr>
        <w:spacing w:line="360" w:lineRule="auto"/>
        <w:jc w:val="center"/>
        <w:rPr>
          <w:rFonts w:hint="eastAsia" w:ascii="仿宋_GB2312" w:hAnsi="仿宋" w:eastAsia="仿宋_GB2312"/>
          <w:b/>
          <w:color w:val="auto"/>
          <w:spacing w:val="6"/>
          <w:sz w:val="32"/>
          <w:szCs w:val="32"/>
          <w:highlight w:val="none"/>
        </w:rPr>
      </w:pPr>
    </w:p>
    <w:p>
      <w:pPr>
        <w:spacing w:line="360" w:lineRule="auto"/>
        <w:jc w:val="center"/>
        <w:rPr>
          <w:rFonts w:hint="eastAsia" w:ascii="仿宋_GB2312" w:hAnsi="仿宋" w:eastAsia="仿宋_GB2312"/>
          <w:b/>
          <w:color w:val="auto"/>
          <w:spacing w:val="6"/>
          <w:sz w:val="32"/>
          <w:szCs w:val="32"/>
          <w:highlight w:val="none"/>
        </w:rPr>
      </w:pPr>
    </w:p>
    <w:p>
      <w:pPr>
        <w:spacing w:line="360" w:lineRule="auto"/>
        <w:jc w:val="center"/>
        <w:rPr>
          <w:rFonts w:hint="eastAsia" w:ascii="仿宋_GB2312" w:hAnsi="仿宋" w:eastAsia="仿宋_GB2312"/>
          <w:b/>
          <w:color w:val="auto"/>
          <w:spacing w:val="6"/>
          <w:sz w:val="32"/>
          <w:szCs w:val="32"/>
          <w:highlight w:val="none"/>
        </w:rPr>
      </w:pPr>
    </w:p>
    <w:p>
      <w:pPr>
        <w:spacing w:line="360" w:lineRule="auto"/>
        <w:jc w:val="center"/>
        <w:rPr>
          <w:rFonts w:hint="eastAsia" w:ascii="仿宋_GB2312" w:hAnsi="仿宋" w:eastAsia="仿宋_GB2312"/>
          <w:b/>
          <w:color w:val="auto"/>
          <w:spacing w:val="6"/>
          <w:sz w:val="32"/>
          <w:szCs w:val="32"/>
          <w:highlight w:val="none"/>
        </w:rPr>
      </w:pPr>
    </w:p>
    <w:p>
      <w:pPr>
        <w:spacing w:line="360" w:lineRule="auto"/>
        <w:jc w:val="center"/>
        <w:rPr>
          <w:rFonts w:hint="eastAsia" w:ascii="仿宋_GB2312" w:hAnsi="仿宋" w:eastAsia="仿宋_GB2312"/>
          <w:b/>
          <w:color w:val="auto"/>
          <w:spacing w:val="6"/>
          <w:sz w:val="32"/>
          <w:szCs w:val="32"/>
          <w:highlight w:val="none"/>
        </w:rPr>
      </w:pPr>
    </w:p>
    <w:p>
      <w:pPr>
        <w:spacing w:line="360" w:lineRule="auto"/>
        <w:jc w:val="center"/>
        <w:rPr>
          <w:rFonts w:hint="eastAsia" w:ascii="仿宋_GB2312" w:hAnsi="仿宋" w:eastAsia="仿宋_GB2312"/>
          <w:b/>
          <w:color w:val="auto"/>
          <w:spacing w:val="6"/>
          <w:sz w:val="32"/>
          <w:szCs w:val="32"/>
          <w:highlight w:val="none"/>
        </w:rPr>
      </w:pPr>
    </w:p>
    <w:p>
      <w:pPr>
        <w:spacing w:line="360" w:lineRule="auto"/>
        <w:jc w:val="center"/>
        <w:rPr>
          <w:rFonts w:hint="eastAsia" w:ascii="仿宋_GB2312" w:hAnsi="仿宋" w:eastAsia="仿宋_GB2312"/>
          <w:b/>
          <w:color w:val="auto"/>
          <w:spacing w:val="6"/>
          <w:sz w:val="32"/>
          <w:szCs w:val="32"/>
          <w:highlight w:val="none"/>
        </w:rPr>
      </w:pPr>
    </w:p>
    <w:p>
      <w:pPr>
        <w:spacing w:line="360" w:lineRule="auto"/>
        <w:jc w:val="center"/>
        <w:rPr>
          <w:rFonts w:hint="eastAsia" w:ascii="仿宋_GB2312" w:hAnsi="仿宋" w:eastAsia="仿宋_GB2312"/>
          <w:b/>
          <w:color w:val="auto"/>
          <w:spacing w:val="6"/>
          <w:sz w:val="32"/>
          <w:szCs w:val="32"/>
          <w:highlight w:val="none"/>
        </w:rPr>
      </w:pPr>
    </w:p>
    <w:p>
      <w:pPr>
        <w:spacing w:line="360" w:lineRule="auto"/>
        <w:jc w:val="center"/>
        <w:rPr>
          <w:rFonts w:hint="eastAsia" w:ascii="仿宋_GB2312" w:hAnsi="仿宋" w:eastAsia="仿宋_GB2312"/>
          <w:b/>
          <w:color w:val="auto"/>
          <w:spacing w:val="6"/>
          <w:sz w:val="32"/>
          <w:szCs w:val="32"/>
          <w:highlight w:val="none"/>
        </w:rPr>
      </w:pPr>
    </w:p>
    <w:p>
      <w:pPr>
        <w:spacing w:line="360" w:lineRule="auto"/>
        <w:jc w:val="center"/>
        <w:rPr>
          <w:rFonts w:hint="eastAsia" w:ascii="仿宋_GB2312" w:hAnsi="仿宋" w:eastAsia="仿宋_GB2312"/>
          <w:b/>
          <w:color w:val="auto"/>
          <w:spacing w:val="6"/>
          <w:sz w:val="32"/>
          <w:szCs w:val="32"/>
          <w:highlight w:val="none"/>
        </w:rPr>
      </w:pPr>
    </w:p>
    <w:p>
      <w:pPr>
        <w:spacing w:line="360" w:lineRule="auto"/>
        <w:jc w:val="left"/>
        <w:rPr>
          <w:rFonts w:hint="eastAsia"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附件3：投诉书范本及制作说明</w:t>
      </w:r>
    </w:p>
    <w:p>
      <w:pPr>
        <w:spacing w:line="360" w:lineRule="auto"/>
        <w:jc w:val="center"/>
        <w:rPr>
          <w:rFonts w:hint="eastAsia" w:ascii="仿宋_GB2312" w:hAnsi="仿宋" w:eastAsia="仿宋_GB2312"/>
          <w:b/>
          <w:color w:val="auto"/>
          <w:sz w:val="24"/>
          <w:highlight w:val="none"/>
        </w:rPr>
      </w:pPr>
    </w:p>
    <w:p>
      <w:pPr>
        <w:spacing w:line="360" w:lineRule="auto"/>
        <w:jc w:val="center"/>
        <w:rPr>
          <w:rFonts w:hint="eastAsia"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hint="eastAsia"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hint="eastAsia" w:ascii="仿宋_GB2312" w:hAnsi="仿宋" w:eastAsia="仿宋_GB2312"/>
          <w:color w:val="auto"/>
          <w:sz w:val="24"/>
          <w:highlight w:val="none"/>
          <w:u w:val="dotted"/>
        </w:rPr>
        <w:t xml:space="preserve">                                               </w:t>
      </w:r>
    </w:p>
    <w:p>
      <w:pPr>
        <w:spacing w:line="360" w:lineRule="auto"/>
        <w:rPr>
          <w:rFonts w:hint="eastAsia" w:ascii="仿宋_GB2312" w:hAnsi="仿宋" w:eastAsia="仿宋_GB2312"/>
          <w:color w:val="auto"/>
          <w:sz w:val="24"/>
          <w:highlight w:val="none"/>
          <w:u w:val="single"/>
        </w:rPr>
      </w:pPr>
      <w:r>
        <w:rPr>
          <w:rFonts w:hint="eastAsia" w:ascii="仿宋_GB2312" w:hAnsi="仿宋" w:eastAsia="仿宋_GB2312"/>
          <w:color w:val="auto"/>
          <w:sz w:val="24"/>
          <w:highlight w:val="none"/>
        </w:rPr>
        <w:t>地     址：</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tabs>
          <w:tab w:val="left" w:pos="6510"/>
        </w:tabs>
        <w:spacing w:line="360" w:lineRule="auto"/>
        <w:jc w:val="lef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法定代表人/主要负责人：</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 xml:space="preserve">  </w:t>
      </w:r>
    </w:p>
    <w:p>
      <w:pPr>
        <w:tabs>
          <w:tab w:val="left" w:pos="6510"/>
        </w:tabs>
        <w:spacing w:line="360" w:lineRule="auto"/>
        <w:rPr>
          <w:rFonts w:hint="eastAsia"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 xml:space="preserve">                                             </w:t>
      </w:r>
    </w:p>
    <w:p>
      <w:pPr>
        <w:spacing w:line="360" w:lineRule="auto"/>
        <w:rPr>
          <w:rFonts w:hint="eastAsia"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 xml:space="preserve">：                  </w:t>
      </w:r>
    </w:p>
    <w:p>
      <w:pPr>
        <w:spacing w:line="360" w:lineRule="auto"/>
        <w:rPr>
          <w:rFonts w:hint="eastAsia" w:ascii="仿宋_GB2312" w:hAnsi="仿宋" w:eastAsia="仿宋_GB2312"/>
          <w:color w:val="auto"/>
          <w:sz w:val="24"/>
          <w:highlight w:val="none"/>
          <w:u w:val="dotted"/>
        </w:rPr>
      </w:pPr>
      <w:r>
        <w:rPr>
          <w:rFonts w:hint="eastAsia" w:ascii="仿宋_GB2312" w:hAnsi="仿宋" w:eastAsia="仿宋_GB2312"/>
          <w:color w:val="auto"/>
          <w:sz w:val="24"/>
          <w:highlight w:val="none"/>
        </w:rPr>
        <w:t>地     址：</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dotted"/>
        </w:rPr>
        <w:t xml:space="preserve">                   </w:t>
      </w:r>
    </w:p>
    <w:p>
      <w:pPr>
        <w:spacing w:line="360" w:lineRule="auto"/>
        <w:rPr>
          <w:rFonts w:hint="eastAsia"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被投诉人1：</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hint="eastAsia" w:ascii="仿宋_GB2312" w:hAnsi="仿宋" w:eastAsia="仿宋_GB2312"/>
          <w:color w:val="auto"/>
          <w:sz w:val="24"/>
          <w:highlight w:val="none"/>
          <w:u w:val="single"/>
        </w:rPr>
      </w:pPr>
      <w:r>
        <w:rPr>
          <w:rFonts w:hint="eastAsia" w:ascii="仿宋_GB2312" w:hAnsi="仿宋" w:eastAsia="仿宋_GB2312"/>
          <w:color w:val="auto"/>
          <w:sz w:val="24"/>
          <w:highlight w:val="none"/>
        </w:rPr>
        <w:t>地     址：</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hint="eastAsia"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被投诉人2</w:t>
      </w:r>
    </w:p>
    <w:p>
      <w:pPr>
        <w:spacing w:line="360" w:lineRule="auto"/>
        <w:rPr>
          <w:rFonts w:hint="eastAsia"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hint="eastAsia"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hint="eastAsia" w:ascii="仿宋_GB2312" w:hAnsi="仿宋" w:eastAsia="仿宋_GB2312"/>
          <w:color w:val="auto"/>
          <w:sz w:val="24"/>
          <w:highlight w:val="none"/>
          <w:u w:val="single"/>
        </w:rPr>
      </w:pPr>
      <w:r>
        <w:rPr>
          <w:rFonts w:hint="eastAsia" w:ascii="仿宋_GB2312" w:hAnsi="仿宋" w:eastAsia="仿宋_GB2312"/>
          <w:color w:val="auto"/>
          <w:sz w:val="24"/>
          <w:highlight w:val="none"/>
        </w:rPr>
        <w:t>地     址：</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hint="eastAsia"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hint="eastAsia"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hint="eastAsia" w:ascii="仿宋_GB2312" w:hAnsi="仿宋" w:eastAsia="仿宋_GB2312"/>
          <w:color w:val="auto"/>
          <w:sz w:val="24"/>
          <w:highlight w:val="none"/>
          <w:u w:val="dotted"/>
        </w:rPr>
        <w:t xml:space="preserve">                                        </w:t>
      </w:r>
    </w:p>
    <w:p>
      <w:pPr>
        <w:spacing w:line="360" w:lineRule="auto"/>
        <w:rPr>
          <w:rFonts w:hint="eastAsia"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hint="eastAsia" w:ascii="仿宋_GB2312" w:hAnsi="仿宋" w:eastAsia="仿宋_GB2312"/>
          <w:color w:val="auto"/>
          <w:sz w:val="24"/>
          <w:highlight w:val="none"/>
          <w:u w:val="dotted"/>
        </w:rPr>
        <w:t xml:space="preserve">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u w:val="single"/>
        </w:rPr>
        <w:t xml:space="preserve">  </w:t>
      </w:r>
    </w:p>
    <w:p>
      <w:pPr>
        <w:spacing w:line="360" w:lineRule="auto"/>
        <w:rPr>
          <w:rFonts w:hint="eastAsia"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hint="eastAsia" w:ascii="仿宋_GB2312" w:hAnsi="仿宋" w:eastAsia="仿宋_GB2312"/>
          <w:color w:val="auto"/>
          <w:sz w:val="24"/>
          <w:highlight w:val="none"/>
          <w:u w:val="dotted"/>
        </w:rPr>
        <w:t xml:space="preserve">                                         </w:t>
      </w:r>
    </w:p>
    <w:p>
      <w:pPr>
        <w:spacing w:line="360" w:lineRule="auto"/>
        <w:rPr>
          <w:rFonts w:hint="eastAsia" w:ascii="仿宋_GB2312" w:hAnsi="仿宋" w:eastAsia="仿宋_GB2312"/>
          <w:color w:val="auto"/>
          <w:sz w:val="24"/>
          <w:highlight w:val="none"/>
          <w:u w:val="dotted"/>
        </w:rPr>
      </w:pPr>
      <w:r>
        <w:rPr>
          <w:rFonts w:hint="eastAsia" w:ascii="仿宋_GB2312" w:hAnsi="仿宋" w:eastAsia="仿宋_GB2312"/>
          <w:color w:val="auto"/>
          <w:sz w:val="24"/>
          <w:highlight w:val="none"/>
          <w:lang w:eastAsia="zh-CN"/>
        </w:rPr>
        <w:t>招标文件</w:t>
      </w:r>
      <w:r>
        <w:rPr>
          <w:rFonts w:hint="eastAsia" w:ascii="仿宋_GB2312" w:hAnsi="仿宋" w:eastAsia="仿宋_GB2312"/>
          <w:color w:val="auto"/>
          <w:sz w:val="24"/>
          <w:highlight w:val="none"/>
        </w:rPr>
        <w:t>公告:</w:t>
      </w:r>
      <w:r>
        <w:rPr>
          <w:rFonts w:hint="eastAsia" w:ascii="仿宋_GB2312" w:hAnsi="仿宋" w:eastAsia="仿宋_GB2312"/>
          <w:color w:val="auto"/>
          <w:sz w:val="24"/>
          <w:highlight w:val="none"/>
          <w:u w:val="dotted"/>
        </w:rPr>
        <w:t xml:space="preserve">是/否 </w:t>
      </w:r>
      <w:r>
        <w:rPr>
          <w:rFonts w:hint="eastAsia" w:ascii="仿宋_GB2312" w:hAnsi="仿宋" w:eastAsia="仿宋_GB2312"/>
          <w:color w:val="auto"/>
          <w:sz w:val="24"/>
          <w:highlight w:val="none"/>
        </w:rPr>
        <w:t>公告期限：</w:t>
      </w:r>
      <w:r>
        <w:rPr>
          <w:rFonts w:hint="eastAsia" w:ascii="仿宋_GB2312" w:hAnsi="仿宋" w:eastAsia="仿宋_GB2312"/>
          <w:color w:val="auto"/>
          <w:sz w:val="24"/>
          <w:highlight w:val="none"/>
          <w:u w:val="dotted"/>
        </w:rPr>
        <w:t xml:space="preserve">                                 </w:t>
      </w:r>
    </w:p>
    <w:p>
      <w:pPr>
        <w:spacing w:line="360" w:lineRule="auto"/>
        <w:rPr>
          <w:rFonts w:hint="eastAsia"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hint="eastAsia" w:ascii="仿宋_GB2312" w:hAnsi="仿宋" w:eastAsia="仿宋_GB2312"/>
          <w:color w:val="auto"/>
          <w:sz w:val="24"/>
          <w:highlight w:val="none"/>
          <w:u w:val="dotted"/>
        </w:rPr>
        <w:t xml:space="preserve">是/否 </w:t>
      </w:r>
      <w:r>
        <w:rPr>
          <w:rFonts w:hint="eastAsia" w:ascii="仿宋_GB2312" w:hAnsi="仿宋" w:eastAsia="仿宋_GB2312"/>
          <w:color w:val="auto"/>
          <w:sz w:val="24"/>
          <w:highlight w:val="none"/>
        </w:rPr>
        <w:t>公告期限：</w:t>
      </w:r>
      <w:r>
        <w:rPr>
          <w:rFonts w:hint="eastAsia" w:ascii="仿宋_GB2312" w:hAnsi="仿宋" w:eastAsia="仿宋_GB2312"/>
          <w:color w:val="auto"/>
          <w:sz w:val="24"/>
          <w:highlight w:val="none"/>
          <w:u w:val="dotted"/>
        </w:rPr>
        <w:t xml:space="preserve">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hint="eastAsia"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日,向</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hint="eastAsia" w:ascii="仿宋_GB2312" w:hAnsi="仿宋" w:eastAsia="仿宋_GB2312"/>
          <w:color w:val="auto"/>
          <w:sz w:val="24"/>
          <w:highlight w:val="none"/>
          <w:u w:val="dotted"/>
        </w:rPr>
        <w:t xml:space="preserve">                                </w:t>
      </w:r>
    </w:p>
    <w:p>
      <w:pPr>
        <w:spacing w:line="360" w:lineRule="auto"/>
        <w:rPr>
          <w:rFonts w:hint="eastAsia" w:ascii="仿宋_GB2312" w:hAnsi="仿宋" w:eastAsia="仿宋_GB2312"/>
          <w:color w:val="auto"/>
          <w:sz w:val="24"/>
          <w:highlight w:val="none"/>
          <w:u w:val="dotted"/>
        </w:rPr>
      </w:pP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 xml:space="preserve">  </w:t>
      </w:r>
    </w:p>
    <w:p>
      <w:pPr>
        <w:spacing w:line="360" w:lineRule="auto"/>
        <w:ind w:firstLine="360" w:firstLineChars="150"/>
        <w:rPr>
          <w:rFonts w:hint="eastAsia" w:ascii="仿宋_GB2312" w:hAnsi="仿宋" w:eastAsia="仿宋_GB2312"/>
          <w:color w:val="auto"/>
          <w:sz w:val="24"/>
          <w:highlight w:val="none"/>
        </w:rPr>
      </w:pPr>
      <w:r>
        <w:rPr>
          <w:rFonts w:hint="eastAsia" w:ascii="仿宋_GB2312" w:hAnsi="仿宋" w:eastAsia="仿宋_GB2312"/>
          <w:color w:val="auto"/>
          <w:sz w:val="24"/>
          <w:highlight w:val="none"/>
          <w:u w:val="dotted"/>
        </w:rPr>
        <w:t>采购人/代理机构</w:t>
      </w:r>
      <w:r>
        <w:rPr>
          <w:rFonts w:hint="eastAsia" w:ascii="仿宋_GB2312" w:hAnsi="仿宋" w:eastAsia="仿宋_GB2312"/>
          <w:color w:val="auto"/>
          <w:sz w:val="24"/>
          <w:highlight w:val="none"/>
        </w:rPr>
        <w:t>于</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日,就质疑事项作出了答复/没有在法定期限内作出答复。</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hint="eastAsia"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 1：</w:t>
      </w:r>
      <w:r>
        <w:rPr>
          <w:rFonts w:hint="eastAsia" w:ascii="仿宋_GB2312" w:hAnsi="仿宋" w:eastAsia="仿宋_GB2312"/>
          <w:color w:val="auto"/>
          <w:sz w:val="24"/>
          <w:highlight w:val="none"/>
          <w:u w:val="dotted"/>
        </w:rPr>
        <w:t xml:space="preserve">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hint="eastAsia" w:ascii="仿宋_GB2312" w:hAnsi="仿宋" w:eastAsia="仿宋_GB2312"/>
          <w:color w:val="auto"/>
          <w:sz w:val="24"/>
          <w:highlight w:val="none"/>
          <w:u w:val="dotted"/>
        </w:rPr>
        <w:t xml:space="preserve">                                         </w:t>
      </w:r>
    </w:p>
    <w:p>
      <w:pPr>
        <w:spacing w:line="360" w:lineRule="auto"/>
        <w:rPr>
          <w:rFonts w:hint="eastAsia" w:ascii="仿宋_GB2312" w:hAnsi="仿宋" w:eastAsia="仿宋_GB2312"/>
          <w:color w:val="auto"/>
          <w:sz w:val="24"/>
          <w:highlight w:val="none"/>
          <w:u w:val="dotted"/>
        </w:rPr>
      </w:pPr>
      <w:r>
        <w:rPr>
          <w:rFonts w:hint="eastAsia" w:ascii="仿宋_GB2312" w:hAnsi="仿宋" w:eastAsia="仿宋_GB2312"/>
          <w:color w:val="auto"/>
          <w:sz w:val="24"/>
          <w:highlight w:val="none"/>
          <w:u w:val="dotted"/>
        </w:rPr>
        <w:t xml:space="preserve">                                                      </w:t>
      </w:r>
    </w:p>
    <w:p>
      <w:pPr>
        <w:spacing w:line="360" w:lineRule="auto"/>
        <w:rPr>
          <w:rFonts w:hint="eastAsia"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hint="eastAsia" w:ascii="仿宋_GB2312" w:hAnsi="仿宋" w:eastAsia="仿宋_GB2312"/>
          <w:color w:val="auto"/>
          <w:sz w:val="24"/>
          <w:highlight w:val="none"/>
          <w:u w:val="dotted"/>
        </w:rPr>
        <w:t xml:space="preserve">                                          </w:t>
      </w:r>
    </w:p>
    <w:p>
      <w:pPr>
        <w:spacing w:line="360" w:lineRule="auto"/>
        <w:rPr>
          <w:rFonts w:hint="eastAsia" w:ascii="仿宋_GB2312" w:hAnsi="仿宋" w:eastAsia="仿宋_GB2312"/>
          <w:color w:val="auto"/>
          <w:sz w:val="24"/>
          <w:highlight w:val="none"/>
          <w:u w:val="dotted"/>
        </w:rPr>
      </w:pPr>
      <w:r>
        <w:rPr>
          <w:rFonts w:hint="eastAsia" w:ascii="仿宋_GB2312" w:hAnsi="仿宋" w:eastAsia="仿宋_GB2312"/>
          <w:color w:val="auto"/>
          <w:sz w:val="24"/>
          <w:highlight w:val="none"/>
          <w:u w:val="dotted"/>
        </w:rPr>
        <w:t xml:space="preserve">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投诉事项2</w:t>
      </w:r>
    </w:p>
    <w:p>
      <w:pPr>
        <w:spacing w:line="360" w:lineRule="auto"/>
        <w:rPr>
          <w:rFonts w:hint="eastAsia"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hint="eastAsia"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 xml:space="preserve"> </w:t>
      </w:r>
    </w:p>
    <w:p>
      <w:pPr>
        <w:spacing w:line="360" w:lineRule="auto"/>
        <w:rPr>
          <w:rFonts w:hint="eastAsia" w:ascii="仿宋_GB2312" w:hAnsi="仿宋" w:eastAsia="仿宋_GB2312"/>
          <w:color w:val="auto"/>
          <w:sz w:val="24"/>
          <w:highlight w:val="none"/>
          <w:u w:val="single"/>
        </w:rPr>
      </w:pPr>
      <w:r>
        <w:rPr>
          <w:rFonts w:hint="eastAsia" w:ascii="仿宋_GB2312" w:hAnsi="仿宋" w:eastAsia="仿宋_GB2312"/>
          <w:color w:val="auto"/>
          <w:sz w:val="24"/>
          <w:highlight w:val="none"/>
        </w:rPr>
        <w:t xml:space="preserve">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签字(签章)：                   公章：                      </w:t>
      </w:r>
    </w:p>
    <w:p>
      <w:pP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日期：    </w:t>
      </w:r>
    </w:p>
    <w:p>
      <w:pPr>
        <w:spacing w:line="360" w:lineRule="auto"/>
        <w:rPr>
          <w:rFonts w:hint="eastAsia" w:ascii="仿宋_GB2312" w:hAnsi="仿宋" w:eastAsia="仿宋_GB2312"/>
          <w:b/>
          <w:color w:val="auto"/>
          <w:sz w:val="24"/>
          <w:highlight w:val="none"/>
        </w:rPr>
      </w:pPr>
    </w:p>
    <w:p>
      <w:pPr>
        <w:spacing w:line="360" w:lineRule="auto"/>
        <w:rPr>
          <w:rFonts w:hint="eastAsia" w:ascii="仿宋_GB2312" w:hAnsi="仿宋" w:eastAsia="仿宋_GB2312"/>
          <w:b/>
          <w:color w:val="auto"/>
          <w:sz w:val="24"/>
          <w:highlight w:val="none"/>
        </w:rPr>
      </w:pPr>
    </w:p>
    <w:p>
      <w:pPr>
        <w:spacing w:line="360" w:lineRule="auto"/>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hint="eastAsia" w:ascii="仿宋_GB2312" w:hAnsi="仿宋" w:eastAsia="仿宋_GB2312" w:cs="宋体"/>
          <w:color w:val="auto"/>
          <w:kern w:val="0"/>
          <w:sz w:val="24"/>
          <w:highlight w:val="none"/>
        </w:rPr>
      </w:pPr>
      <w:r>
        <w:rPr>
          <w:rFonts w:hint="eastAsia"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_GB2312" w:hAnsi="仿宋" w:eastAsia="仿宋_GB2312" w:cs="宋体"/>
          <w:color w:val="auto"/>
          <w:kern w:val="0"/>
          <w:sz w:val="24"/>
          <w:highlight w:val="none"/>
        </w:rPr>
      </w:pPr>
      <w:r>
        <w:rPr>
          <w:rFonts w:hint="eastAsia"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hint="eastAsia" w:ascii="仿宋_GB2312" w:hAnsi="仿宋" w:eastAsia="仿宋_GB2312" w:cs="宋体"/>
          <w:color w:val="auto"/>
          <w:kern w:val="0"/>
          <w:sz w:val="24"/>
          <w:highlight w:val="none"/>
        </w:rPr>
      </w:pPr>
      <w:r>
        <w:rPr>
          <w:rFonts w:hint="eastAsia"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附件4：</w:t>
      </w:r>
    </w:p>
    <w:p>
      <w:pPr>
        <w:autoSpaceDE w:val="0"/>
        <w:autoSpaceDN w:val="0"/>
        <w:jc w:val="center"/>
        <w:rPr>
          <w:rFonts w:hint="eastAsia" w:ascii="仿宋_GB2312" w:hAnsi="仿宋" w:eastAsia="仿宋_GB2312"/>
          <w:b/>
          <w:bCs/>
          <w:color w:val="auto"/>
          <w:sz w:val="32"/>
          <w:szCs w:val="32"/>
          <w:highlight w:val="none"/>
        </w:rPr>
      </w:pPr>
      <w:r>
        <w:rPr>
          <w:rFonts w:hint="eastAsia" w:ascii="仿宋_GB2312" w:hAnsi="仿宋" w:eastAsia="仿宋_GB2312"/>
          <w:b/>
          <w:bCs/>
          <w:color w:val="auto"/>
          <w:sz w:val="32"/>
          <w:szCs w:val="32"/>
          <w:highlight w:val="none"/>
        </w:rPr>
        <w:t>业务专用章使用说明函</w:t>
      </w:r>
    </w:p>
    <w:p>
      <w:pPr>
        <w:autoSpaceDE w:val="0"/>
        <w:autoSpaceDN w:val="0"/>
        <w:jc w:val="center"/>
        <w:rPr>
          <w:rFonts w:hint="eastAsia" w:ascii="仿宋_GB2312" w:hAnsi="仿宋" w:eastAsia="仿宋_GB2312"/>
          <w:b/>
          <w:bCs/>
          <w:color w:val="auto"/>
          <w:sz w:val="32"/>
          <w:szCs w:val="32"/>
          <w:highlight w:val="none"/>
        </w:rPr>
      </w:pPr>
    </w:p>
    <w:p>
      <w:pPr>
        <w:spacing w:line="360" w:lineRule="auto"/>
        <w:rPr>
          <w:rFonts w:hint="eastAsia" w:ascii="仿宋_GB2312" w:hAnsi="仿宋" w:eastAsia="仿宋_GB2312"/>
          <w:color w:val="auto"/>
          <w:sz w:val="24"/>
          <w:highlight w:val="none"/>
        </w:rPr>
      </w:pPr>
      <w:r>
        <w:rPr>
          <w:rFonts w:hint="eastAsia" w:ascii="仿宋_GB2312" w:hAnsi="仿宋" w:eastAsia="仿宋_GB2312" w:cs="仿宋_GB2312"/>
          <w:color w:val="auto"/>
          <w:sz w:val="24"/>
          <w:highlight w:val="none"/>
          <w:lang w:eastAsia="zh-CN"/>
        </w:rPr>
        <w:t>杭州市南郊监狱</w:t>
      </w:r>
      <w:r>
        <w:rPr>
          <w:rFonts w:hint="eastAsia" w:ascii="仿宋_GB2312" w:hAnsi="仿宋" w:eastAsia="仿宋_GB2312" w:cs="仿宋_GB2312"/>
          <w:color w:val="auto"/>
          <w:sz w:val="24"/>
          <w:highlight w:val="none"/>
        </w:rPr>
        <w:t>、杭州市公共资源交易中心（杭州市政府采购中心）：</w:t>
      </w:r>
    </w:p>
    <w:p>
      <w:pPr>
        <w:spacing w:line="360" w:lineRule="auto"/>
        <w:ind w:firstLine="480" w:firstLineChars="200"/>
        <w:rPr>
          <w:rFonts w:hint="eastAsia" w:ascii="仿宋_GB2312" w:hAnsi="仿宋" w:eastAsia="仿宋_GB2312" w:cs="宋体"/>
          <w:color w:val="auto"/>
          <w:sz w:val="24"/>
          <w:highlight w:val="none"/>
        </w:rPr>
      </w:pPr>
      <w:r>
        <w:rPr>
          <w:rFonts w:hint="eastAsia" w:ascii="仿宋_GB2312" w:hAnsi="仿宋" w:eastAsia="仿宋_GB2312" w:cs="仿宋_GB2312"/>
          <w:color w:val="auto"/>
          <w:kern w:val="0"/>
          <w:sz w:val="24"/>
          <w:highlight w:val="none"/>
          <w:lang w:val="zh-CN"/>
        </w:rPr>
        <w:t>我方</w:t>
      </w:r>
      <w:r>
        <w:rPr>
          <w:rFonts w:hint="eastAsia"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sz w:val="24"/>
          <w:highlight w:val="none"/>
        </w:rPr>
        <w:t>(投标人全称)</w:t>
      </w:r>
      <w:r>
        <w:rPr>
          <w:rFonts w:hint="eastAsia" w:ascii="仿宋_GB2312" w:hAnsi="仿宋" w:eastAsia="仿宋_GB2312"/>
          <w:color w:val="auto"/>
          <w:sz w:val="24"/>
          <w:highlight w:val="none"/>
        </w:rPr>
        <w:t>是中华人民共和国依法登记注册的合法企业，</w:t>
      </w:r>
      <w:r>
        <w:rPr>
          <w:rFonts w:hint="eastAsia" w:ascii="仿宋_GB2312" w:hAnsi="仿宋" w:eastAsia="仿宋_GB2312" w:cs="宋体"/>
          <w:bCs/>
          <w:color w:val="auto"/>
          <w:sz w:val="24"/>
          <w:highlight w:val="none"/>
        </w:rPr>
        <w:t>在参加</w:t>
      </w:r>
      <w:r>
        <w:rPr>
          <w:rFonts w:hint="eastAsia" w:ascii="仿宋_GB2312" w:hAnsi="仿宋" w:eastAsia="仿宋_GB2312" w:cs="仿宋_GB2312"/>
          <w:color w:val="auto"/>
          <w:sz w:val="24"/>
          <w:highlight w:val="none"/>
        </w:rPr>
        <w:t>贵方组织的</w:t>
      </w:r>
      <w:r>
        <w:rPr>
          <w:rFonts w:hint="eastAsia" w:ascii="仿宋_GB2312" w:hAnsi="仿宋" w:eastAsia="仿宋_GB2312" w:cs="仿宋_GB2312"/>
          <w:color w:val="auto"/>
          <w:sz w:val="24"/>
          <w:highlight w:val="none"/>
          <w:lang w:eastAsia="zh-CN"/>
        </w:rPr>
        <w:t>杭州市南郊监狱改扩建工程安防建设政府采购项目</w:t>
      </w:r>
      <w:r>
        <w:rPr>
          <w:rFonts w:hint="eastAsia" w:ascii="仿宋_GB2312" w:hAnsi="仿宋" w:eastAsia="仿宋_GB2312" w:cs="仿宋_GB2312"/>
          <w:color w:val="auto"/>
          <w:sz w:val="24"/>
          <w:highlight w:val="none"/>
        </w:rPr>
        <w:t>【招标编号：HZZFCG-</w:t>
      </w:r>
      <w:r>
        <w:rPr>
          <w:rFonts w:hint="eastAsia" w:ascii="仿宋_GB2312" w:hAnsi="仿宋" w:eastAsia="仿宋_GB2312" w:cs="仿宋_GB2312"/>
          <w:color w:val="auto"/>
          <w:sz w:val="24"/>
          <w:highlight w:val="none"/>
          <w:lang w:eastAsia="zh-CN"/>
        </w:rPr>
        <w:t>2021-151</w:t>
      </w:r>
      <w:r>
        <w:rPr>
          <w:rFonts w:hint="eastAsia" w:ascii="仿宋_GB2312" w:hAnsi="仿宋" w:eastAsia="仿宋_GB2312" w:cs="仿宋_GB2312"/>
          <w:color w:val="auto"/>
          <w:sz w:val="24"/>
          <w:highlight w:val="none"/>
        </w:rPr>
        <w:t>】</w:t>
      </w:r>
      <w:r>
        <w:rPr>
          <w:rFonts w:hint="eastAsia" w:ascii="仿宋_GB2312" w:hAnsi="仿宋" w:eastAsia="仿宋_GB2312" w:cs="宋体"/>
          <w:bCs/>
          <w:color w:val="auto"/>
          <w:sz w:val="24"/>
          <w:highlight w:val="none"/>
        </w:rPr>
        <w:t>投标活动中作如下说明：</w:t>
      </w:r>
      <w:r>
        <w:rPr>
          <w:rFonts w:hint="eastAsia" w:ascii="仿宋_GB2312" w:hAnsi="仿宋" w:eastAsia="仿宋_GB2312" w:cs="宋体"/>
          <w:color w:val="auto"/>
          <w:sz w:val="24"/>
          <w:highlight w:val="none"/>
        </w:rPr>
        <w:t>我方所使用的“</w:t>
      </w:r>
      <w:r>
        <w:rPr>
          <w:rFonts w:hint="eastAsia" w:ascii="仿宋_GB2312" w:hAnsi="仿宋" w:eastAsia="仿宋_GB2312" w:cs="仿宋_GB2312"/>
          <w:color w:val="auto"/>
          <w:sz w:val="24"/>
          <w:highlight w:val="none"/>
        </w:rPr>
        <w:t>XX</w:t>
      </w:r>
      <w:r>
        <w:rPr>
          <w:rFonts w:hint="eastAsia" w:ascii="仿宋_GB2312" w:hAnsi="仿宋" w:eastAsia="仿宋_GB2312" w:cs="宋体"/>
          <w:color w:val="auto"/>
          <w:sz w:val="24"/>
          <w:highlight w:val="none"/>
        </w:rPr>
        <w:t>专用章”与法定名称章具有同等的法律效力，对使用“</w:t>
      </w:r>
      <w:r>
        <w:rPr>
          <w:rFonts w:hint="eastAsia" w:ascii="仿宋_GB2312" w:hAnsi="仿宋" w:eastAsia="仿宋_GB2312" w:cs="仿宋_GB2312"/>
          <w:color w:val="auto"/>
          <w:sz w:val="24"/>
          <w:highlight w:val="none"/>
        </w:rPr>
        <w:t>XX</w:t>
      </w:r>
      <w:r>
        <w:rPr>
          <w:rFonts w:hint="eastAsia" w:ascii="仿宋_GB2312" w:hAnsi="仿宋" w:eastAsia="仿宋_GB2312" w:cs="宋体"/>
          <w:color w:val="auto"/>
          <w:sz w:val="24"/>
          <w:highlight w:val="none"/>
        </w:rPr>
        <w:t xml:space="preserve">专用章”的行为予以完全承认，并愿意承担相应责任。   </w:t>
      </w:r>
    </w:p>
    <w:p>
      <w:pPr>
        <w:spacing w:line="360" w:lineRule="auto"/>
        <w:ind w:firstLine="480" w:firstLineChars="200"/>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特此说明。</w:t>
      </w:r>
    </w:p>
    <w:p>
      <w:pPr>
        <w:spacing w:line="360" w:lineRule="auto"/>
        <w:ind w:firstLine="494"/>
        <w:rPr>
          <w:rFonts w:hint="eastAsia" w:ascii="仿宋_GB2312" w:hAnsi="仿宋" w:eastAsia="仿宋_GB2312" w:cs="宋体"/>
          <w:color w:val="auto"/>
          <w:sz w:val="24"/>
          <w:highlight w:val="none"/>
        </w:rPr>
      </w:pPr>
    </w:p>
    <w:p>
      <w:pPr>
        <w:spacing w:line="360" w:lineRule="auto"/>
        <w:ind w:firstLine="494"/>
        <w:rPr>
          <w:rFonts w:hint="eastAsia" w:ascii="仿宋_GB2312" w:hAnsi="仿宋" w:eastAsia="仿宋_GB2312" w:cs="宋体"/>
          <w:color w:val="auto"/>
          <w:sz w:val="24"/>
          <w:highlight w:val="none"/>
        </w:rPr>
      </w:pPr>
    </w:p>
    <w:p>
      <w:pPr>
        <w:spacing w:line="360" w:lineRule="auto"/>
        <w:ind w:firstLine="494"/>
        <w:rPr>
          <w:rFonts w:hint="eastAsia" w:ascii="仿宋_GB2312" w:hAnsi="仿宋" w:eastAsia="仿宋_GB2312" w:cs="宋体"/>
          <w:color w:val="auto"/>
          <w:sz w:val="24"/>
          <w:highlight w:val="none"/>
        </w:rPr>
      </w:pPr>
    </w:p>
    <w:p>
      <w:pPr>
        <w:spacing w:line="360" w:lineRule="auto"/>
        <w:ind w:firstLine="494"/>
        <w:rPr>
          <w:rFonts w:hint="eastAsia" w:ascii="仿宋_GB2312" w:hAnsi="仿宋" w:eastAsia="仿宋_GB2312" w:cs="宋体"/>
          <w:color w:val="auto"/>
          <w:sz w:val="24"/>
          <w:highlight w:val="none"/>
        </w:rPr>
      </w:pPr>
    </w:p>
    <w:p>
      <w:pPr>
        <w:spacing w:line="360" w:lineRule="auto"/>
        <w:ind w:right="482" w:firstLine="4080" w:firstLineChars="1700"/>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投标单位（法定名称章）：</w:t>
      </w:r>
    </w:p>
    <w:p>
      <w:pPr>
        <w:spacing w:line="360" w:lineRule="auto"/>
        <w:ind w:right="482" w:firstLine="4080" w:firstLineChars="1700"/>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日期：       年     月     日</w:t>
      </w:r>
    </w:p>
    <w:p>
      <w:pPr>
        <w:rPr>
          <w:rFonts w:hint="eastAsia" w:ascii="仿宋_GB2312" w:hAnsi="仿宋" w:eastAsia="仿宋_GB2312" w:cs="宋体"/>
          <w:color w:val="auto"/>
          <w:sz w:val="24"/>
          <w:highlight w:val="none"/>
        </w:rPr>
      </w:pPr>
      <w:r>
        <w:rPr>
          <w:rFonts w:hint="eastAsia" w:ascii="仿宋_GB2312" w:hAnsi="仿宋" w:eastAsia="仿宋_GB2312" w:cs="宋体"/>
          <w:b/>
          <w:bCs/>
          <w:color w:val="auto"/>
          <w:sz w:val="24"/>
          <w:highlight w:val="none"/>
        </w:rPr>
        <w:t>附：</w:t>
      </w:r>
    </w:p>
    <w:p>
      <w:pPr>
        <w:spacing w:line="360" w:lineRule="auto"/>
        <w:rPr>
          <w:rFonts w:hint="eastAsia" w:ascii="仿宋_GB2312" w:hAnsi="仿宋" w:eastAsia="仿宋_GB2312"/>
          <w:bCs/>
          <w:color w:val="auto"/>
          <w:sz w:val="24"/>
          <w:highlight w:val="none"/>
        </w:rPr>
      </w:pPr>
      <w:r>
        <w:rPr>
          <w:rFonts w:hint="eastAsia"/>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矩形 1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5wA3pAUCAAAuBAAADgAAAGRycy9lMm9Eb2MueG1srVNN rtMwEN4jcQfLe5o0vBaImr4FpWwQPOnBAVzbSSz5D4/btKdBYschOA7iGm/shL4fWHRBFs6MPf5m vm/Gq+uj0eQgAyhnGzqflZRIy51Qtmvol8/bF68pgcisYNpZ2dCTBHq9fv5sNfhaVq53WshAEMRC PfiG9jH6uiiA99IwmDkvLR62LhgW0Q1dIQIbEN3ooirLZTG4IHxwXALg7mY8pBNiuATQta3icuP4 3kgbR9QgNYtICXrlga5ztW0refzUtiAj0Q1FpjGvmATtXVqL9YrVXWC+V3wqgV1SwhNOhimLSc9Q GxYZ2Qf1F5RRPDhwbZxxZ4qRSFYEWczLJ9rc9szLzAWlBn8WHf4fLP94uAlEiYZWlFhmsOG/v/34 9fM7mS+TOIOHGmNu/U2YPEAzMT22waQ/ciDHLOjpLKg8RsJxs3pVXl0tF5RwPKuqxcvlfJFQi/vr PkB8L50hyWhowI5lIdnhA8Qx9E9IygZOK7FVWmcndLu3OpADw+5u8zehPwrTlgwNfbOoUiEMR7bF UUHTeKQNtsv5Ht2Ah8Bl/v4FnArbMOjHAjJCCmO1UVGGbPWSiXdWkHjyKK3FF0VTMUYKSrTEB5is HBmZ0pdEonbaooSpM2MvkrVz4oSNHHCSkdPXPQuYaO+D6npUdZ6rT3E4Rln+aeTTnD70M+79M1/f AV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HYE AABbQ29udGVudF9UeXBlc10ueG1sUEsBAhQACgAAAAAAh07iQAAAAAAAAAAAAAAAAAYAAAAAAAAA AAAQAAAAWAMAAF9yZWxzL1BLAQIUABQAAAAIAIdO4kCKFGY80QAAAJQBAAALAAAAAAAAAAEAIAAA AHwDAABfcmVscy8ucmVsc1BLAQIUAAoAAAAAAIdO4kAAAAAAAAAAAAAAAAAEAAAAAAAAAAAAEAAA AAAAAABkcnMvUEsBAhQAFAAAAAgAh07iQHHP+MHYAAAACgEAAA8AAAAAAAAAAQAgAAAAIgAAAGRy cy9kb3ducmV2LnhtbFBLAQIUABQAAAAIAIdO4kDnADekBQIAAC4EAAAOAAAAAAAAAAEAIAAAACcB AABkcnMvZTJvRG9jLnhtbFBLBQYAAAAABgAGAFkBAACeBQAAAAA= ">
                <v:fill on="t" focussize="0,0"/>
                <v:stroke color="#000000" joinstyle="miter"/>
                <v:imagedata o:title=""/>
                <o:lock v:ext="edit" aspectratio="f"/>
              </v:rect>
            </w:pict>
          </mc:Fallback>
        </mc:AlternateContent>
      </w:r>
      <w:r>
        <w:rPr>
          <w:rFonts w:hint="eastAsia"/>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7"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 AQAADwAAAGRycy9kb3ducmV2LnhtbE2PwU6DQBCG7ya+w2ZMvLW7ICVKWXrQ1MRjSy/eBtgCys4S dmnRp3c86e2fzJd/vsl3ix3ExUy+d6QhWisQhmrX9NRqOJX71SMIH5AaHBwZDV/Gw664vckxa9yV DuZyDK3gEvIZauhCGDMpfd0Zi37tRkO8O7vJYuBxamUz4ZXL7SBjpVJpsSe+0OFonjtTfx5nq6Hq 4xN+H8pXZZ/2D+FtKT/m9xet7+8itQURzBL+YPjVZ3Uo2KlyMzVeDBpWUZIwqiFVKQgGEhVzqDhE mw3IIpf/Xyh+AFBLAwQUAAAACACHTuJAcMwvnwUCAAAuBAAADgAAAGRycy9lMm9Eb2MueG1srVNN rtMwEN4jcQfLe5o20D5e1PQtKGWD4EkPDjB1nMSS/xi7TXsaJHYcguMgrsHYKX0/sOiCLJwZe/zN fN+MlzcHo9leYlDO1nw2mXImrXCNsl3NP3/avHjNWYhgG9DOypofZeA3q+fPloOvZOl6pxuJjEBs qAZf8z5GXxVFEL00ECbOS0uHrUMDkVzsigZhIHSji3I6XRSDw8ajEzIE2l2Ph/yEiJcAurZVQq6d 2Blp44iKUkMkSqFXPvBVrrZtpYgf2zbIyHTNiWnMKyUhe5vWYrWEqkPwvRKnEuCSEp5wMqAsJT1D rSEC26H6C8oogS64Nk6EM8VIJCtCLGbTJ9rc9eBl5kJSB38WPfw/WPFhf4tMNTQJnFkw1PBfX7// /PGNza6SOIMPFcXc+Vs8eYHMxPTQokl/4sAOWdDjWVB5iEzQZrl4dXU9J60FnZXl/OViNk+oxf11 jyG+k86wZNQcqWNZSNi/D3EM/ROSsgWnVbNRWmcHu+0bjWwP1N1N/k7oj8K0ZUPNr+flnAoBGtmW RoVM44l2sF3O9+hGeAg8zd+/gFNhawj9WEBGSGFQGRUlZquX0Ly1DYtHT9JaelE8FWNkw5mW9ACT lSMjKH1JJGmnLUmYOjP2Illb1xypkQNNMnH6sgOkRDuPqutJ1VmuPsXRGGX5TyOf5vShn3Hvn/nq N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HYE AABbQ29udGVudF9UeXBlc10ueG1sUEsBAhQACgAAAAAAh07iQAAAAAAAAAAAAAAAAAYAAAAAAAAA AAAQAAAAWAMAAF9yZWxzL1BLAQIUABQAAAAIAIdO4kCKFGY80QAAAJQBAAALAAAAAAAAAAEAIAAA AHwDAABfcmVscy8ucmVsc1BLAQIUAAoAAAAAAIdO4kAAAAAAAAAAAAAAAAAEAAAAAAAAAAAAEAAA AAAAAABkcnMvUEsBAhQAFAAAAAgAh07iQJ3TsFjYAAAACgEAAA8AAAAAAAAAAQAgAAAAIgAAAGRy cy9kb3ducmV2LnhtbFBLAQIUABQAAAAIAIdO4kBwzC+fBQIAAC4EAAAOAAAAAAAAAAEAIAAAACcB AABkcnMvZTJvRG9jLnhtbFBLBQYAAAAABgAGAFkBAACeBQAAAAA= ">
                <v:fill on="t" focussize="0,0"/>
                <v:stroke color="#000000" joinstyle="miter"/>
                <v:imagedata o:title=""/>
                <o:lock v:ext="edit" aspectratio="f"/>
              </v:rect>
            </w:pict>
          </mc:Fallback>
        </mc:AlternateContent>
      </w:r>
      <w:r>
        <w:rPr>
          <w:rFonts w:hint="eastAsia" w:ascii="仿宋_GB2312" w:hAnsi="仿宋" w:eastAsia="仿宋_GB2312" w:cs="宋体"/>
          <w:color w:val="auto"/>
          <w:sz w:val="24"/>
          <w:highlight w:val="none"/>
        </w:rPr>
        <w:t>投标单位法定名称章（印模）                投标单位“</w:t>
      </w:r>
      <w:r>
        <w:rPr>
          <w:rFonts w:hint="eastAsia" w:ascii="仿宋_GB2312" w:hAnsi="仿宋" w:eastAsia="仿宋_GB2312" w:cs="仿宋_GB2312"/>
          <w:color w:val="auto"/>
          <w:sz w:val="24"/>
          <w:highlight w:val="none"/>
        </w:rPr>
        <w:t>XX</w:t>
      </w:r>
      <w:r>
        <w:rPr>
          <w:rFonts w:hint="eastAsia" w:ascii="仿宋_GB2312" w:hAnsi="仿宋" w:eastAsia="仿宋_GB2312" w:cs="宋体"/>
          <w:color w:val="auto"/>
          <w:sz w:val="24"/>
          <w:highlight w:val="none"/>
        </w:rPr>
        <w:t>专用章”（印模）</w:t>
      </w:r>
    </w:p>
    <w:p>
      <w:pPr>
        <w:widowControl/>
        <w:spacing w:line="360" w:lineRule="auto"/>
        <w:ind w:firstLine="480" w:firstLineChars="200"/>
        <w:jc w:val="left"/>
        <w:rPr>
          <w:rFonts w:hint="eastAsia" w:ascii="仿宋_GB2312" w:hAnsi="仿宋" w:eastAsia="仿宋_GB2312" w:cs="宋体"/>
          <w:color w:val="auto"/>
          <w:kern w:val="0"/>
          <w:sz w:val="24"/>
          <w:highlight w:val="none"/>
        </w:rPr>
      </w:pPr>
    </w:p>
    <w:p>
      <w:pPr>
        <w:snapToGrid w:val="0"/>
        <w:spacing w:line="360" w:lineRule="auto"/>
        <w:jc w:val="center"/>
        <w:rPr>
          <w:rFonts w:hint="eastAsia" w:ascii="仿宋_GB2312" w:hAnsi="仿宋" w:eastAsia="仿宋_GB2312" w:cs="仿宋_GB2312"/>
          <w:b/>
          <w:color w:val="auto"/>
          <w:sz w:val="24"/>
          <w:highlight w:val="none"/>
        </w:rPr>
      </w:pPr>
    </w:p>
    <w:p>
      <w:pPr>
        <w:spacing w:line="360" w:lineRule="auto"/>
        <w:rPr>
          <w:rFonts w:hint="eastAsia" w:ascii="仿宋_GB2312" w:hAnsi="仿宋" w:eastAsia="仿宋_GB2312" w:cs="仿宋_GB2312"/>
          <w:b/>
          <w:color w:val="auto"/>
          <w:sz w:val="24"/>
          <w:highlight w:val="none"/>
        </w:rPr>
      </w:pPr>
    </w:p>
    <w:p>
      <w:pPr>
        <w:spacing w:line="360" w:lineRule="auto"/>
        <w:rPr>
          <w:rFonts w:hint="eastAsia" w:ascii="仿宋_GB2312" w:hAnsi="仿宋" w:eastAsia="仿宋_GB2312"/>
          <w:color w:val="auto"/>
          <w:kern w:val="0"/>
          <w:sz w:val="24"/>
          <w:highlight w:val="none"/>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1" w:usb1="080E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Futura Bk">
    <w:altName w:val="Segoe Print"/>
    <w:panose1 w:val="00000000000000000000"/>
    <w:charset w:val="B1"/>
    <w:family w:val="swiss"/>
    <w:pitch w:val="default"/>
    <w:sig w:usb0="00000000" w:usb1="00000000" w:usb2="00000000" w:usb3="00000000" w:csb0="00000020" w:csb1="00000000"/>
  </w:font>
  <w:font w:name="MS Sans Serif">
    <w:altName w:val="Segoe Print"/>
    <w:panose1 w:val="00000000000000000000"/>
    <w:charset w:val="00"/>
    <w:family w:val="swiss"/>
    <w:pitch w:val="default"/>
    <w:sig w:usb0="00000003" w:usb1="00000000" w:usb2="00000000" w:usb3="00000000" w:csb0="00000001" w:csb1="00000000"/>
  </w:font>
  <w:font w:name="Wingdings 2">
    <w:panose1 w:val="05020102010507070707"/>
    <w:charset w:val="02"/>
    <w:family w:val="auto"/>
    <w:pitch w:val="default"/>
    <w:sig w:usb0="00000000" w:usb1="00000000" w:usb2="00000000" w:usb3="00000000" w:csb0="80000000" w:csb1="00000000"/>
  </w:font>
  <w:font w:name="Arial Unicode MS">
    <w:altName w:val="宋体"/>
    <w:panose1 w:val="020B0604020202020204"/>
    <w:charset w:val="86"/>
    <w:family w:val="auto"/>
    <w:pitch w:val="default"/>
    <w:sig w:usb0="FFFFFFFF" w:usb1="E9FFFFFF" w:usb2="0000003F" w:usb3="00000000" w:csb0="603F01FF" w:csb1="FFFF0000"/>
  </w:font>
  <w:font w:name="Arial (W1)">
    <w:altName w:val="Arial"/>
    <w:panose1 w:val="00000000000000000000"/>
    <w:charset w:val="00"/>
    <w:family w:val="swiss"/>
    <w:pitch w:val="default"/>
    <w:sig w:usb0="20007A87" w:usb1="80000000" w:usb2="00000008" w:usb3="00000000" w:csb0="000001FF" w:csb1="00000000"/>
  </w:font>
  <w:font w:name="Arial Narrow">
    <w:panose1 w:val="020B0606020202030204"/>
    <w:charset w:val="00"/>
    <w:family w:val="swiss"/>
    <w:pitch w:val="default"/>
    <w:sig w:usb0="00000287" w:usb1="00000800" w:usb2="00000000" w:usb3="00000000" w:csb0="2000009F" w:csb1="DFD70000"/>
  </w:font>
  <w:font w:name="Lucida Sans Unicode">
    <w:panose1 w:val="020B0602030504020204"/>
    <w:charset w:val="00"/>
    <w:family w:val="swiss"/>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 w:name="Aldine401 BT">
    <w:altName w:val="Segoe Print"/>
    <w:panose1 w:val="00000000000000000000"/>
    <w:charset w:val="00"/>
    <w:family w:val="roman"/>
    <w:pitch w:val="default"/>
    <w:sig w:usb0="00000007"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HLHE E+ Futura Bk">
    <w:altName w:val="宋体"/>
    <w:panose1 w:val="00000000000000000000"/>
    <w:charset w:val="86"/>
    <w:family w:val="swiss"/>
    <w:pitch w:val="default"/>
    <w:sig w:usb0="00000001" w:usb1="080E0000" w:usb2="00000010" w:usb3="00000000" w:csb0="00040000" w:csb1="00000000"/>
  </w:font>
  <w:font w:name="Helvetica">
    <w:altName w:val="Arial"/>
    <w:panose1 w:val="020B0604020202020204"/>
    <w:charset w:val="00"/>
    <w:family w:val="swiss"/>
    <w:pitch w:val="default"/>
    <w:sig w:usb0="E0002AFF" w:usb1="C0007843" w:usb2="00000009" w:usb3="00000000" w:csb0="000001FF" w:csb1="00000000"/>
  </w:font>
  <w:font w:name="新宋体">
    <w:panose1 w:val="02010609030101010101"/>
    <w:charset w:val="86"/>
    <w:family w:val="modern"/>
    <w:pitch w:val="default"/>
    <w:sig w:usb0="0000020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1" w:usb1="5000204A"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82</w:t>
    </w:r>
    <w:r>
      <w:rPr>
        <w:rFonts w:hint="eastAsia" w:ascii="仿宋_GB2312" w:eastAsia="仿宋_GB2312"/>
        <w:kern w:val="0"/>
        <w:szCs w:val="21"/>
      </w:rPr>
      <w:fldChar w:fldCharType="end"/>
    </w:r>
    <w:bookmarkStart w:id="576" w:name="_Toc91899912"/>
    <w:bookmarkStart w:id="577" w:name="_Toc36110187"/>
    <w:bookmarkStart w:id="578" w:name="_Toc131845147"/>
    <w:bookmarkStart w:id="579" w:name="_Toc164085800"/>
    <w:r>
      <w:rPr>
        <w:rFonts w:hint="eastAsia" w:ascii="仿宋_GB2312" w:eastAsia="仿宋_GB2312"/>
        <w:kern w:val="0"/>
        <w:szCs w:val="21"/>
      </w:rPr>
      <w:t xml:space="preserve"> 页</w:t>
    </w:r>
    <w:bookmarkEnd w:id="576"/>
    <w:bookmarkEnd w:id="577"/>
    <w:bookmarkEnd w:id="578"/>
    <w:bookmarkEnd w:id="57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separate"/>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separate"/>
    </w:r>
    <w:r>
      <w:fldChar w:fldCharType="end"/>
    </w:r>
  </w:p>
  <w:p>
    <w:pPr>
      <w:pStyle w:val="39"/>
      <w:ind w:right="360"/>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126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126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separate"/>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杭州市政府采购公开招标文件</w:t>
    </w:r>
  </w:p>
  <w:p>
    <w:pPr>
      <w:pStyle w:val="58"/>
      <w:tabs>
        <w:tab w:val="center" w:pos="4535"/>
        <w:tab w:val="right" w:pos="9070"/>
      </w:tabs>
      <w:ind w:firstLine="180" w:firstLineChars="100"/>
      <w:jc w:val="both"/>
      <w:rPr>
        <w:rFonts w:hint="eastAsia"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right" w:pos="8279"/>
        <w:tab w:val="clear" w:pos="8306"/>
      </w:tabs>
      <w:jc w:val="right"/>
    </w:pPr>
    <w:r>
      <w:rPr>
        <w:rFonts w:hint="eastAsia"/>
        <w:lang w:val="zh-CN"/>
      </w:rPr>
      <w:t xml:space="preserve"> </w:t>
    </w:r>
    <w:r>
      <w:tab/>
    </w:r>
    <w:r>
      <w:rPr>
        <w:rFonts w:hint="eastAsia"/>
        <w:lang w:val="zh-CN"/>
      </w:rPr>
      <w:t xml:space="preserve"> </w:t>
    </w:r>
    <w:r>
      <w:tab/>
    </w:r>
    <w:r>
      <w:rPr>
        <w:rFonts w:hint="eastAsia"/>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ascii="仿宋_GB2312" w:eastAsia="仿宋_GB2312"/>
        <w:b/>
        <w:i/>
        <w:u w:val="single"/>
      </w:rPr>
    </w:pPr>
    <w:r>
      <w:t>杭州市政府采购公开招标文件</w:t>
    </w:r>
  </w:p>
  <w:p>
    <w:pPr>
      <w:rPr>
        <w:rFonts w:hint="eastAsia"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ascii="仿宋_GB2312" w:eastAsia="仿宋_GB2312"/>
        <w:b/>
        <w:i/>
        <w:iCs/>
        <w:u w:val="single"/>
      </w:rPr>
    </w:pPr>
    <w:r>
      <w:rPr>
        <w:rFonts w:hint="eastAsia"/>
      </w:rPr>
      <w:t xml:space="preserve">                                                            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CE108"/>
    <w:multiLevelType w:val="singleLevel"/>
    <w:tmpl w:val="841CE108"/>
    <w:lvl w:ilvl="0" w:tentative="0">
      <w:start w:val="1"/>
      <w:numFmt w:val="decimal"/>
      <w:lvlText w:val="%1."/>
      <w:lvlJc w:val="left"/>
      <w:pPr>
        <w:tabs>
          <w:tab w:val="left" w:pos="312"/>
        </w:tabs>
      </w:pPr>
    </w:lvl>
  </w:abstractNum>
  <w:abstractNum w:abstractNumId="1">
    <w:nsid w:val="90A2E7CB"/>
    <w:multiLevelType w:val="singleLevel"/>
    <w:tmpl w:val="90A2E7CB"/>
    <w:lvl w:ilvl="0" w:tentative="0">
      <w:start w:val="1"/>
      <w:numFmt w:val="decimal"/>
      <w:lvlText w:val="%1."/>
      <w:lvlJc w:val="left"/>
      <w:pPr>
        <w:tabs>
          <w:tab w:val="left" w:pos="312"/>
        </w:tabs>
      </w:pPr>
    </w:lvl>
  </w:abstractNum>
  <w:abstractNum w:abstractNumId="2">
    <w:nsid w:val="9CAC49AC"/>
    <w:multiLevelType w:val="singleLevel"/>
    <w:tmpl w:val="9CAC49AC"/>
    <w:lvl w:ilvl="0" w:tentative="0">
      <w:start w:val="1"/>
      <w:numFmt w:val="decimal"/>
      <w:lvlText w:val="%1."/>
      <w:lvlJc w:val="left"/>
      <w:pPr>
        <w:tabs>
          <w:tab w:val="left" w:pos="312"/>
        </w:tabs>
      </w:pPr>
    </w:lvl>
  </w:abstractNum>
  <w:abstractNum w:abstractNumId="3">
    <w:nsid w:val="A7291B29"/>
    <w:multiLevelType w:val="singleLevel"/>
    <w:tmpl w:val="A7291B29"/>
    <w:lvl w:ilvl="0" w:tentative="0">
      <w:start w:val="1"/>
      <w:numFmt w:val="decimal"/>
      <w:lvlText w:val="%1."/>
      <w:lvlJc w:val="left"/>
      <w:pPr>
        <w:tabs>
          <w:tab w:val="left" w:pos="312"/>
        </w:tabs>
      </w:pPr>
    </w:lvl>
  </w:abstractNum>
  <w:abstractNum w:abstractNumId="4">
    <w:nsid w:val="BC1EE6DD"/>
    <w:multiLevelType w:val="singleLevel"/>
    <w:tmpl w:val="BC1EE6DD"/>
    <w:lvl w:ilvl="0" w:tentative="0">
      <w:start w:val="1"/>
      <w:numFmt w:val="decimal"/>
      <w:suff w:val="space"/>
      <w:lvlText w:val="3.%1."/>
      <w:lvlJc w:val="left"/>
      <w:pPr>
        <w:tabs>
          <w:tab w:val="left" w:pos="0"/>
        </w:tabs>
        <w:ind w:left="113" w:hanging="113"/>
      </w:pPr>
      <w:rPr>
        <w:rFonts w:hint="default" w:ascii="宋体" w:hAnsi="宋体" w:eastAsia="宋体" w:cs="宋体"/>
      </w:rPr>
    </w:lvl>
  </w:abstractNum>
  <w:abstractNum w:abstractNumId="5">
    <w:nsid w:val="EF8147CC"/>
    <w:multiLevelType w:val="singleLevel"/>
    <w:tmpl w:val="EF8147CC"/>
    <w:lvl w:ilvl="0" w:tentative="0">
      <w:start w:val="1"/>
      <w:numFmt w:val="decimal"/>
      <w:lvlText w:val="%1."/>
      <w:lvlJc w:val="left"/>
      <w:pPr>
        <w:tabs>
          <w:tab w:val="left" w:pos="312"/>
        </w:tabs>
      </w:pPr>
    </w:lvl>
  </w:abstractNum>
  <w:abstractNum w:abstractNumId="6">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7">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481"/>
      <w:lvlText w:val=""/>
      <w:lvlJc w:val="left"/>
      <w:pPr>
        <w:tabs>
          <w:tab w:val="left" w:pos="1260"/>
        </w:tabs>
        <w:ind w:left="1260" w:hanging="420"/>
      </w:pPr>
      <w:rPr>
        <w:rFonts w:hint="default" w:ascii="Wingdings" w:hAnsi="Wingdings"/>
      </w:rPr>
    </w:lvl>
    <w:lvl w:ilvl="2" w:tentative="0">
      <w:start w:val="1"/>
      <w:numFmt w:val="bullet"/>
      <w:pStyle w:val="649"/>
      <w:lvlText w:val=""/>
      <w:lvlJc w:val="left"/>
      <w:pPr>
        <w:tabs>
          <w:tab w:val="left" w:pos="1680"/>
        </w:tabs>
        <w:ind w:left="1680" w:hanging="420"/>
      </w:pPr>
      <w:rPr>
        <w:rFonts w:hint="default" w:ascii="Wingdings" w:hAnsi="Wingdings"/>
      </w:rPr>
    </w:lvl>
    <w:lvl w:ilvl="3" w:tentative="0">
      <w:start w:val="1"/>
      <w:numFmt w:val="bullet"/>
      <w:pStyle w:val="854"/>
      <w:lvlText w:val=""/>
      <w:lvlJc w:val="left"/>
      <w:pPr>
        <w:tabs>
          <w:tab w:val="left" w:pos="2100"/>
        </w:tabs>
        <w:ind w:left="2100" w:hanging="420"/>
      </w:pPr>
      <w:rPr>
        <w:rFonts w:hint="default" w:ascii="Wingdings" w:hAnsi="Wingdings"/>
      </w:rPr>
    </w:lvl>
    <w:lvl w:ilvl="4" w:tentative="0">
      <w:start w:val="1"/>
      <w:numFmt w:val="bullet"/>
      <w:pStyle w:val="531"/>
      <w:lvlText w:val=""/>
      <w:lvlJc w:val="left"/>
      <w:pPr>
        <w:tabs>
          <w:tab w:val="left" w:pos="2520"/>
        </w:tabs>
        <w:ind w:left="2520" w:hanging="420"/>
      </w:pPr>
      <w:rPr>
        <w:rFonts w:hint="default" w:ascii="Wingdings" w:hAnsi="Wingdings"/>
      </w:rPr>
    </w:lvl>
    <w:lvl w:ilvl="5" w:tentative="0">
      <w:start w:val="1"/>
      <w:numFmt w:val="bullet"/>
      <w:pStyle w:val="607"/>
      <w:lvlText w:val=""/>
      <w:lvlJc w:val="left"/>
      <w:pPr>
        <w:tabs>
          <w:tab w:val="left" w:pos="2940"/>
        </w:tabs>
        <w:ind w:left="2940" w:hanging="420"/>
      </w:pPr>
      <w:rPr>
        <w:rFonts w:hint="default" w:ascii="Wingdings" w:hAnsi="Wingdings"/>
      </w:rPr>
    </w:lvl>
    <w:lvl w:ilvl="6" w:tentative="0">
      <w:start w:val="1"/>
      <w:numFmt w:val="bullet"/>
      <w:pStyle w:val="652"/>
      <w:lvlText w:val=""/>
      <w:lvlJc w:val="left"/>
      <w:pPr>
        <w:tabs>
          <w:tab w:val="left" w:pos="3360"/>
        </w:tabs>
        <w:ind w:left="3360" w:hanging="420"/>
      </w:pPr>
      <w:rPr>
        <w:rFonts w:hint="default" w:ascii="Wingdings" w:hAnsi="Wingdings"/>
      </w:rPr>
    </w:lvl>
    <w:lvl w:ilvl="7" w:tentative="0">
      <w:start w:val="1"/>
      <w:numFmt w:val="bullet"/>
      <w:pStyle w:val="551"/>
      <w:lvlText w:val=""/>
      <w:lvlJc w:val="left"/>
      <w:pPr>
        <w:tabs>
          <w:tab w:val="left" w:pos="3780"/>
        </w:tabs>
        <w:ind w:left="3780" w:hanging="420"/>
      </w:pPr>
      <w:rPr>
        <w:rFonts w:hint="default" w:ascii="Wingdings" w:hAnsi="Wingdings"/>
      </w:rPr>
    </w:lvl>
    <w:lvl w:ilvl="8" w:tentative="0">
      <w:start w:val="1"/>
      <w:numFmt w:val="bullet"/>
      <w:pStyle w:val="598"/>
      <w:lvlText w:val=""/>
      <w:lvlJc w:val="left"/>
      <w:pPr>
        <w:tabs>
          <w:tab w:val="left" w:pos="4200"/>
        </w:tabs>
        <w:ind w:left="4200" w:hanging="420"/>
      </w:pPr>
      <w:rPr>
        <w:rFonts w:hint="default" w:ascii="Wingdings" w:hAnsi="Wingdings"/>
      </w:rPr>
    </w:lvl>
  </w:abstractNum>
  <w:abstractNum w:abstractNumId="8">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011F3D51"/>
    <w:multiLevelType w:val="multilevel"/>
    <w:tmpl w:val="011F3D51"/>
    <w:lvl w:ilvl="0" w:tentative="0">
      <w:start w:val="1"/>
      <w:numFmt w:val="decimal"/>
      <w:pStyle w:val="278"/>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625"/>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0">
    <w:nsid w:val="0A7E0938"/>
    <w:multiLevelType w:val="singleLevel"/>
    <w:tmpl w:val="0A7E0938"/>
    <w:lvl w:ilvl="0" w:tentative="0">
      <w:start w:val="1"/>
      <w:numFmt w:val="decimal"/>
      <w:lvlText w:val="%1."/>
      <w:lvlJc w:val="left"/>
      <w:pPr>
        <w:tabs>
          <w:tab w:val="left" w:pos="312"/>
        </w:tabs>
      </w:pPr>
    </w:lvl>
  </w:abstractNum>
  <w:abstractNum w:abstractNumId="11">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12">
    <w:nsid w:val="1A002BD4"/>
    <w:multiLevelType w:val="singleLevel"/>
    <w:tmpl w:val="1A002BD4"/>
    <w:lvl w:ilvl="0" w:tentative="0">
      <w:start w:val="1"/>
      <w:numFmt w:val="decimal"/>
      <w:suff w:val="nothing"/>
      <w:lvlText w:val="%1、"/>
      <w:lvlJc w:val="left"/>
    </w:lvl>
  </w:abstractNum>
  <w:abstractNum w:abstractNumId="13">
    <w:nsid w:val="2261F634"/>
    <w:multiLevelType w:val="singleLevel"/>
    <w:tmpl w:val="2261F634"/>
    <w:lvl w:ilvl="0" w:tentative="0">
      <w:start w:val="1"/>
      <w:numFmt w:val="decimal"/>
      <w:suff w:val="nothing"/>
      <w:lvlText w:val="%1、"/>
      <w:lvlJc w:val="left"/>
    </w:lvl>
  </w:abstractNum>
  <w:abstractNum w:abstractNumId="14">
    <w:nsid w:val="470314E5"/>
    <w:multiLevelType w:val="singleLevel"/>
    <w:tmpl w:val="470314E5"/>
    <w:lvl w:ilvl="0" w:tentative="0">
      <w:start w:val="1"/>
      <w:numFmt w:val="decimal"/>
      <w:lvlText w:val="%1."/>
      <w:lvlJc w:val="left"/>
      <w:pPr>
        <w:tabs>
          <w:tab w:val="left" w:pos="312"/>
        </w:tabs>
      </w:pPr>
    </w:lvl>
  </w:abstractNum>
  <w:abstractNum w:abstractNumId="15">
    <w:nsid w:val="578B3BD2"/>
    <w:multiLevelType w:val="multilevel"/>
    <w:tmpl w:val="578B3BD2"/>
    <w:lvl w:ilvl="0" w:tentative="0">
      <w:start w:val="1"/>
      <w:numFmt w:val="decimal"/>
      <w:pStyle w:val="585"/>
      <w:lvlText w:val="%1"/>
      <w:lvlJc w:val="left"/>
      <w:pPr>
        <w:tabs>
          <w:tab w:val="left" w:pos="480"/>
        </w:tabs>
        <w:ind w:left="480" w:hanging="480"/>
      </w:pPr>
      <w:rPr>
        <w:rFonts w:hint="eastAsia"/>
        <w:sz w:val="44"/>
        <w:szCs w:val="44"/>
      </w:rPr>
    </w:lvl>
    <w:lvl w:ilvl="1" w:tentative="0">
      <w:start w:val="1"/>
      <w:numFmt w:val="decimal"/>
      <w:pStyle w:val="45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613"/>
      <w:lvlText w:val="%1.%2.%3.%4.%5"/>
      <w:lvlJc w:val="left"/>
      <w:pPr>
        <w:tabs>
          <w:tab w:val="left" w:pos="1080"/>
        </w:tabs>
        <w:ind w:left="1080" w:hanging="1080"/>
      </w:pPr>
      <w:rPr>
        <w:rFonts w:hint="default"/>
      </w:rPr>
    </w:lvl>
    <w:lvl w:ilvl="5" w:tentative="0">
      <w:start w:val="1"/>
      <w:numFmt w:val="decimal"/>
      <w:pStyle w:val="74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6">
    <w:nsid w:val="58A7C729"/>
    <w:multiLevelType w:val="singleLevel"/>
    <w:tmpl w:val="58A7C729"/>
    <w:lvl w:ilvl="0" w:tentative="0">
      <w:start w:val="1"/>
      <w:numFmt w:val="decimal"/>
      <w:suff w:val="space"/>
      <w:lvlText w:val="1.%1."/>
      <w:lvlJc w:val="left"/>
      <w:pPr>
        <w:tabs>
          <w:tab w:val="left" w:pos="28"/>
        </w:tabs>
        <w:ind w:left="113" w:hanging="113"/>
      </w:pPr>
      <w:rPr>
        <w:rFonts w:hint="default" w:ascii="宋体" w:hAnsi="宋体" w:eastAsia="宋体" w:cs="宋体"/>
      </w:rPr>
    </w:lvl>
  </w:abstractNum>
  <w:abstractNum w:abstractNumId="17">
    <w:nsid w:val="58A7C7AE"/>
    <w:multiLevelType w:val="singleLevel"/>
    <w:tmpl w:val="58A7C7AE"/>
    <w:lvl w:ilvl="0" w:tentative="0">
      <w:start w:val="1"/>
      <w:numFmt w:val="decimal"/>
      <w:suff w:val="space"/>
      <w:lvlText w:val="2.%1."/>
      <w:lvlJc w:val="left"/>
      <w:pPr>
        <w:tabs>
          <w:tab w:val="left" w:pos="0"/>
        </w:tabs>
        <w:ind w:left="113" w:hanging="113"/>
      </w:pPr>
      <w:rPr>
        <w:rFonts w:hint="default" w:ascii="宋体" w:hAnsi="宋体" w:eastAsia="宋体" w:cs="宋体"/>
      </w:rPr>
    </w:lvl>
  </w:abstractNum>
  <w:abstractNum w:abstractNumId="18">
    <w:nsid w:val="61C5B7F7"/>
    <w:multiLevelType w:val="singleLevel"/>
    <w:tmpl w:val="61C5B7F7"/>
    <w:lvl w:ilvl="0" w:tentative="0">
      <w:start w:val="9"/>
      <w:numFmt w:val="chineseCounting"/>
      <w:suff w:val="nothing"/>
      <w:lvlText w:val="%1、"/>
      <w:lvlJc w:val="left"/>
      <w:rPr>
        <w:rFonts w:hint="eastAsia"/>
      </w:rPr>
    </w:lvl>
  </w:abstractNum>
  <w:abstractNum w:abstractNumId="19">
    <w:nsid w:val="6C3E07BE"/>
    <w:multiLevelType w:val="singleLevel"/>
    <w:tmpl w:val="6C3E07BE"/>
    <w:lvl w:ilvl="0" w:tentative="0">
      <w:start w:val="1"/>
      <w:numFmt w:val="decimal"/>
      <w:suff w:val="nothing"/>
      <w:lvlText w:val="%1、"/>
      <w:lvlJc w:val="left"/>
    </w:lvl>
  </w:abstractNum>
  <w:abstractNum w:abstractNumId="20">
    <w:nsid w:val="6F936284"/>
    <w:multiLevelType w:val="singleLevel"/>
    <w:tmpl w:val="6F936284"/>
    <w:lvl w:ilvl="0" w:tentative="0">
      <w:start w:val="1"/>
      <w:numFmt w:val="decimal"/>
      <w:lvlText w:val="%1."/>
      <w:lvlJc w:val="left"/>
      <w:pPr>
        <w:tabs>
          <w:tab w:val="left" w:pos="312"/>
        </w:tabs>
      </w:pPr>
    </w:lvl>
  </w:abstractNum>
  <w:abstractNum w:abstractNumId="21">
    <w:nsid w:val="73596DCC"/>
    <w:multiLevelType w:val="multilevel"/>
    <w:tmpl w:val="73596DCC"/>
    <w:lvl w:ilvl="0" w:tentative="0">
      <w:start w:val="1"/>
      <w:numFmt w:val="bullet"/>
      <w:pStyle w:val="85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2">
    <w:nsid w:val="7B17697D"/>
    <w:multiLevelType w:val="multilevel"/>
    <w:tmpl w:val="7B17697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E265E1C"/>
    <w:multiLevelType w:val="multilevel"/>
    <w:tmpl w:val="7E265E1C"/>
    <w:lvl w:ilvl="0" w:tentative="0">
      <w:start w:val="1"/>
      <w:numFmt w:val="decimal"/>
      <w:pStyle w:val="24"/>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F599D36"/>
    <w:multiLevelType w:val="singleLevel"/>
    <w:tmpl w:val="7F599D36"/>
    <w:lvl w:ilvl="0" w:tentative="0">
      <w:start w:val="1"/>
      <w:numFmt w:val="decimal"/>
      <w:lvlText w:val="%1."/>
      <w:lvlJc w:val="left"/>
      <w:pPr>
        <w:tabs>
          <w:tab w:val="left" w:pos="312"/>
        </w:tabs>
      </w:pPr>
    </w:lvl>
  </w:abstractNum>
  <w:num w:numId="1">
    <w:abstractNumId w:val="11"/>
  </w:num>
  <w:num w:numId="2">
    <w:abstractNumId w:val="8"/>
  </w:num>
  <w:num w:numId="3">
    <w:abstractNumId w:val="6"/>
  </w:num>
  <w:num w:numId="4">
    <w:abstractNumId w:val="23"/>
  </w:num>
  <w:num w:numId="5">
    <w:abstractNumId w:val="7"/>
  </w:num>
  <w:num w:numId="6">
    <w:abstractNumId w:val="9"/>
  </w:num>
  <w:num w:numId="7">
    <w:abstractNumId w:val="15"/>
  </w:num>
  <w:num w:numId="8">
    <w:abstractNumId w:val="21"/>
  </w:num>
  <w:num w:numId="9">
    <w:abstractNumId w:val="22"/>
  </w:num>
  <w:num w:numId="10">
    <w:abstractNumId w:val="16"/>
  </w:num>
  <w:num w:numId="11">
    <w:abstractNumId w:val="17"/>
  </w:num>
  <w:num w:numId="12">
    <w:abstractNumId w:val="4"/>
  </w:num>
  <w:num w:numId="13">
    <w:abstractNumId w:val="14"/>
  </w:num>
  <w:num w:numId="14">
    <w:abstractNumId w:val="2"/>
  </w:num>
  <w:num w:numId="15">
    <w:abstractNumId w:val="5"/>
  </w:num>
  <w:num w:numId="16">
    <w:abstractNumId w:val="3"/>
  </w:num>
  <w:num w:numId="17">
    <w:abstractNumId w:val="24"/>
  </w:num>
  <w:num w:numId="18">
    <w:abstractNumId w:val="20"/>
  </w:num>
  <w:num w:numId="19">
    <w:abstractNumId w:val="0"/>
  </w:num>
  <w:num w:numId="20">
    <w:abstractNumId w:val="10"/>
  </w:num>
  <w:num w:numId="21">
    <w:abstractNumId w:val="1"/>
  </w:num>
  <w:num w:numId="22">
    <w:abstractNumId w:val="13"/>
  </w:num>
  <w:num w:numId="23">
    <w:abstractNumId w:val="19"/>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33D"/>
    <w:rsid w:val="000058BD"/>
    <w:rsid w:val="00006109"/>
    <w:rsid w:val="00006725"/>
    <w:rsid w:val="0000675E"/>
    <w:rsid w:val="00007CAA"/>
    <w:rsid w:val="00010FE9"/>
    <w:rsid w:val="0001122F"/>
    <w:rsid w:val="0001337C"/>
    <w:rsid w:val="000138C4"/>
    <w:rsid w:val="00013F31"/>
    <w:rsid w:val="000140D8"/>
    <w:rsid w:val="00014530"/>
    <w:rsid w:val="00014BBC"/>
    <w:rsid w:val="000168D8"/>
    <w:rsid w:val="000170C8"/>
    <w:rsid w:val="000173F4"/>
    <w:rsid w:val="00020287"/>
    <w:rsid w:val="000202FE"/>
    <w:rsid w:val="000232FD"/>
    <w:rsid w:val="00023323"/>
    <w:rsid w:val="000233E4"/>
    <w:rsid w:val="00024130"/>
    <w:rsid w:val="00024584"/>
    <w:rsid w:val="00024962"/>
    <w:rsid w:val="000249AA"/>
    <w:rsid w:val="000253E5"/>
    <w:rsid w:val="00025776"/>
    <w:rsid w:val="00026EAC"/>
    <w:rsid w:val="000270F2"/>
    <w:rsid w:val="00027540"/>
    <w:rsid w:val="00030572"/>
    <w:rsid w:val="00030CB3"/>
    <w:rsid w:val="000316DA"/>
    <w:rsid w:val="0003206A"/>
    <w:rsid w:val="000326A7"/>
    <w:rsid w:val="00032EA0"/>
    <w:rsid w:val="000331B0"/>
    <w:rsid w:val="000335B4"/>
    <w:rsid w:val="000336D4"/>
    <w:rsid w:val="00034FA7"/>
    <w:rsid w:val="0003533D"/>
    <w:rsid w:val="000357E4"/>
    <w:rsid w:val="00035ACA"/>
    <w:rsid w:val="00042533"/>
    <w:rsid w:val="00042DBB"/>
    <w:rsid w:val="00042E65"/>
    <w:rsid w:val="0004347C"/>
    <w:rsid w:val="00043907"/>
    <w:rsid w:val="00044F48"/>
    <w:rsid w:val="00047354"/>
    <w:rsid w:val="00050656"/>
    <w:rsid w:val="000511B6"/>
    <w:rsid w:val="00051B00"/>
    <w:rsid w:val="00051C72"/>
    <w:rsid w:val="0005238F"/>
    <w:rsid w:val="00052BB8"/>
    <w:rsid w:val="0005417A"/>
    <w:rsid w:val="00054D39"/>
    <w:rsid w:val="0005501B"/>
    <w:rsid w:val="000550F5"/>
    <w:rsid w:val="00055337"/>
    <w:rsid w:val="000554C7"/>
    <w:rsid w:val="00056402"/>
    <w:rsid w:val="00056791"/>
    <w:rsid w:val="000568DF"/>
    <w:rsid w:val="000578A3"/>
    <w:rsid w:val="00057D4C"/>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30B1"/>
    <w:rsid w:val="00073860"/>
    <w:rsid w:val="000738EA"/>
    <w:rsid w:val="00074078"/>
    <w:rsid w:val="00075D0E"/>
    <w:rsid w:val="00075F6A"/>
    <w:rsid w:val="00076159"/>
    <w:rsid w:val="0007616C"/>
    <w:rsid w:val="000763F3"/>
    <w:rsid w:val="00076801"/>
    <w:rsid w:val="00077577"/>
    <w:rsid w:val="00077607"/>
    <w:rsid w:val="00077756"/>
    <w:rsid w:val="00080970"/>
    <w:rsid w:val="00081671"/>
    <w:rsid w:val="00082AD4"/>
    <w:rsid w:val="00084D27"/>
    <w:rsid w:val="0008580E"/>
    <w:rsid w:val="00085A0E"/>
    <w:rsid w:val="00085C4F"/>
    <w:rsid w:val="00086F8A"/>
    <w:rsid w:val="00087031"/>
    <w:rsid w:val="00090243"/>
    <w:rsid w:val="000904F6"/>
    <w:rsid w:val="00090918"/>
    <w:rsid w:val="00090ED8"/>
    <w:rsid w:val="00090F9F"/>
    <w:rsid w:val="0009145F"/>
    <w:rsid w:val="00091897"/>
    <w:rsid w:val="00091B4E"/>
    <w:rsid w:val="00092FE9"/>
    <w:rsid w:val="000936BF"/>
    <w:rsid w:val="00093A30"/>
    <w:rsid w:val="00094342"/>
    <w:rsid w:val="00095954"/>
    <w:rsid w:val="000960BA"/>
    <w:rsid w:val="0009662A"/>
    <w:rsid w:val="0009690D"/>
    <w:rsid w:val="00096DFF"/>
    <w:rsid w:val="000A0E69"/>
    <w:rsid w:val="000A1A52"/>
    <w:rsid w:val="000A1F98"/>
    <w:rsid w:val="000A3D58"/>
    <w:rsid w:val="000A3FE3"/>
    <w:rsid w:val="000A47B0"/>
    <w:rsid w:val="000A49BB"/>
    <w:rsid w:val="000A4F22"/>
    <w:rsid w:val="000A5674"/>
    <w:rsid w:val="000A5A46"/>
    <w:rsid w:val="000A7299"/>
    <w:rsid w:val="000B0E04"/>
    <w:rsid w:val="000B268D"/>
    <w:rsid w:val="000B291B"/>
    <w:rsid w:val="000B456C"/>
    <w:rsid w:val="000B45B9"/>
    <w:rsid w:val="000B4B56"/>
    <w:rsid w:val="000B4C62"/>
    <w:rsid w:val="000B54C1"/>
    <w:rsid w:val="000C0A43"/>
    <w:rsid w:val="000C0CB1"/>
    <w:rsid w:val="000C1411"/>
    <w:rsid w:val="000C1ADE"/>
    <w:rsid w:val="000C1C38"/>
    <w:rsid w:val="000C2264"/>
    <w:rsid w:val="000C256B"/>
    <w:rsid w:val="000C3970"/>
    <w:rsid w:val="000C3B1A"/>
    <w:rsid w:val="000C4727"/>
    <w:rsid w:val="000C47AE"/>
    <w:rsid w:val="000C51AD"/>
    <w:rsid w:val="000C5374"/>
    <w:rsid w:val="000C5EC0"/>
    <w:rsid w:val="000C6162"/>
    <w:rsid w:val="000C6688"/>
    <w:rsid w:val="000C7BEB"/>
    <w:rsid w:val="000D00FA"/>
    <w:rsid w:val="000D0124"/>
    <w:rsid w:val="000D0AE1"/>
    <w:rsid w:val="000D11E5"/>
    <w:rsid w:val="000D19E8"/>
    <w:rsid w:val="000D1FA1"/>
    <w:rsid w:val="000D2834"/>
    <w:rsid w:val="000D2CAC"/>
    <w:rsid w:val="000D34C8"/>
    <w:rsid w:val="000D34FD"/>
    <w:rsid w:val="000D3BE5"/>
    <w:rsid w:val="000D3C37"/>
    <w:rsid w:val="000D453A"/>
    <w:rsid w:val="000D5EA6"/>
    <w:rsid w:val="000D5F00"/>
    <w:rsid w:val="000D6C9F"/>
    <w:rsid w:val="000D6E3B"/>
    <w:rsid w:val="000D6F30"/>
    <w:rsid w:val="000D7C9D"/>
    <w:rsid w:val="000D7CE0"/>
    <w:rsid w:val="000E2785"/>
    <w:rsid w:val="000E27BB"/>
    <w:rsid w:val="000E3153"/>
    <w:rsid w:val="000E386F"/>
    <w:rsid w:val="000E4051"/>
    <w:rsid w:val="000E4765"/>
    <w:rsid w:val="000E5B7E"/>
    <w:rsid w:val="000E5FF9"/>
    <w:rsid w:val="000E6AE1"/>
    <w:rsid w:val="000E7142"/>
    <w:rsid w:val="000E7632"/>
    <w:rsid w:val="000E7739"/>
    <w:rsid w:val="000E77EE"/>
    <w:rsid w:val="000F2940"/>
    <w:rsid w:val="000F2AB3"/>
    <w:rsid w:val="000F3D08"/>
    <w:rsid w:val="000F4495"/>
    <w:rsid w:val="000F4A05"/>
    <w:rsid w:val="000F4AEA"/>
    <w:rsid w:val="000F505B"/>
    <w:rsid w:val="000F68A0"/>
    <w:rsid w:val="000F6CC2"/>
    <w:rsid w:val="000F7D4B"/>
    <w:rsid w:val="0010118C"/>
    <w:rsid w:val="0010125E"/>
    <w:rsid w:val="0010163E"/>
    <w:rsid w:val="00101967"/>
    <w:rsid w:val="0010272E"/>
    <w:rsid w:val="00103EBD"/>
    <w:rsid w:val="00104E5B"/>
    <w:rsid w:val="00104EEC"/>
    <w:rsid w:val="001050DC"/>
    <w:rsid w:val="00105482"/>
    <w:rsid w:val="001056A5"/>
    <w:rsid w:val="00105BA9"/>
    <w:rsid w:val="00105FE1"/>
    <w:rsid w:val="00106AAA"/>
    <w:rsid w:val="00107BBD"/>
    <w:rsid w:val="00107BC7"/>
    <w:rsid w:val="001102B5"/>
    <w:rsid w:val="00111C7D"/>
    <w:rsid w:val="00112038"/>
    <w:rsid w:val="001127FF"/>
    <w:rsid w:val="00112B0B"/>
    <w:rsid w:val="00112EB5"/>
    <w:rsid w:val="0011383E"/>
    <w:rsid w:val="00113EE3"/>
    <w:rsid w:val="00114847"/>
    <w:rsid w:val="0011585B"/>
    <w:rsid w:val="00115B1A"/>
    <w:rsid w:val="001160FF"/>
    <w:rsid w:val="001168F8"/>
    <w:rsid w:val="001176F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31C2D"/>
    <w:rsid w:val="0013202C"/>
    <w:rsid w:val="00132CBF"/>
    <w:rsid w:val="00133742"/>
    <w:rsid w:val="00133B70"/>
    <w:rsid w:val="001350F7"/>
    <w:rsid w:val="00135769"/>
    <w:rsid w:val="00135BE9"/>
    <w:rsid w:val="00135E5C"/>
    <w:rsid w:val="00136762"/>
    <w:rsid w:val="00136E33"/>
    <w:rsid w:val="0013773D"/>
    <w:rsid w:val="0014042F"/>
    <w:rsid w:val="00140693"/>
    <w:rsid w:val="00140D7A"/>
    <w:rsid w:val="00141DFE"/>
    <w:rsid w:val="001433BC"/>
    <w:rsid w:val="00144649"/>
    <w:rsid w:val="00145022"/>
    <w:rsid w:val="00145662"/>
    <w:rsid w:val="00145C6D"/>
    <w:rsid w:val="00146151"/>
    <w:rsid w:val="00147032"/>
    <w:rsid w:val="00147EA7"/>
    <w:rsid w:val="00151820"/>
    <w:rsid w:val="00151B2F"/>
    <w:rsid w:val="001524DC"/>
    <w:rsid w:val="001525E5"/>
    <w:rsid w:val="00153859"/>
    <w:rsid w:val="00153915"/>
    <w:rsid w:val="00154BBA"/>
    <w:rsid w:val="00155B95"/>
    <w:rsid w:val="00156853"/>
    <w:rsid w:val="00157432"/>
    <w:rsid w:val="00161185"/>
    <w:rsid w:val="001623AC"/>
    <w:rsid w:val="00162BAA"/>
    <w:rsid w:val="0016488B"/>
    <w:rsid w:val="00165758"/>
    <w:rsid w:val="00165A65"/>
    <w:rsid w:val="00167478"/>
    <w:rsid w:val="00167594"/>
    <w:rsid w:val="001702BE"/>
    <w:rsid w:val="001704B3"/>
    <w:rsid w:val="0017105C"/>
    <w:rsid w:val="00171622"/>
    <w:rsid w:val="0017204F"/>
    <w:rsid w:val="001721CF"/>
    <w:rsid w:val="001728FD"/>
    <w:rsid w:val="00172F02"/>
    <w:rsid w:val="00173631"/>
    <w:rsid w:val="0017372D"/>
    <w:rsid w:val="00173826"/>
    <w:rsid w:val="00173C58"/>
    <w:rsid w:val="00173E59"/>
    <w:rsid w:val="001741DC"/>
    <w:rsid w:val="00174F57"/>
    <w:rsid w:val="00175078"/>
    <w:rsid w:val="001755DC"/>
    <w:rsid w:val="00175F55"/>
    <w:rsid w:val="00177063"/>
    <w:rsid w:val="0018049B"/>
    <w:rsid w:val="00180A47"/>
    <w:rsid w:val="00180C30"/>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991"/>
    <w:rsid w:val="00193B94"/>
    <w:rsid w:val="001940A7"/>
    <w:rsid w:val="00194BB1"/>
    <w:rsid w:val="00194BC6"/>
    <w:rsid w:val="00195070"/>
    <w:rsid w:val="0019526D"/>
    <w:rsid w:val="001956BE"/>
    <w:rsid w:val="0019602C"/>
    <w:rsid w:val="001969F2"/>
    <w:rsid w:val="00196CD6"/>
    <w:rsid w:val="0019756A"/>
    <w:rsid w:val="001A07F8"/>
    <w:rsid w:val="001A0A23"/>
    <w:rsid w:val="001A0C98"/>
    <w:rsid w:val="001A128B"/>
    <w:rsid w:val="001A1F0E"/>
    <w:rsid w:val="001A473A"/>
    <w:rsid w:val="001A4ED9"/>
    <w:rsid w:val="001A5785"/>
    <w:rsid w:val="001A5FD7"/>
    <w:rsid w:val="001A66A6"/>
    <w:rsid w:val="001A6BBB"/>
    <w:rsid w:val="001A79A2"/>
    <w:rsid w:val="001B080E"/>
    <w:rsid w:val="001B13BF"/>
    <w:rsid w:val="001B16F5"/>
    <w:rsid w:val="001B1C1F"/>
    <w:rsid w:val="001B219B"/>
    <w:rsid w:val="001B2703"/>
    <w:rsid w:val="001B46B2"/>
    <w:rsid w:val="001B4725"/>
    <w:rsid w:val="001B48B2"/>
    <w:rsid w:val="001B49DA"/>
    <w:rsid w:val="001B4CA8"/>
    <w:rsid w:val="001B572D"/>
    <w:rsid w:val="001B5B10"/>
    <w:rsid w:val="001B6D58"/>
    <w:rsid w:val="001B6FA7"/>
    <w:rsid w:val="001B7A15"/>
    <w:rsid w:val="001B7B69"/>
    <w:rsid w:val="001C08DB"/>
    <w:rsid w:val="001C10BD"/>
    <w:rsid w:val="001C1F01"/>
    <w:rsid w:val="001C2092"/>
    <w:rsid w:val="001C232F"/>
    <w:rsid w:val="001C2544"/>
    <w:rsid w:val="001C2A17"/>
    <w:rsid w:val="001C31F5"/>
    <w:rsid w:val="001C6047"/>
    <w:rsid w:val="001C6698"/>
    <w:rsid w:val="001C7CE0"/>
    <w:rsid w:val="001D005B"/>
    <w:rsid w:val="001D0947"/>
    <w:rsid w:val="001D11C4"/>
    <w:rsid w:val="001D16F5"/>
    <w:rsid w:val="001D1970"/>
    <w:rsid w:val="001D1D55"/>
    <w:rsid w:val="001D21EF"/>
    <w:rsid w:val="001D29A4"/>
    <w:rsid w:val="001D3136"/>
    <w:rsid w:val="001D330D"/>
    <w:rsid w:val="001D4AB6"/>
    <w:rsid w:val="001D4AD3"/>
    <w:rsid w:val="001D5281"/>
    <w:rsid w:val="001E0361"/>
    <w:rsid w:val="001E17E3"/>
    <w:rsid w:val="001E2052"/>
    <w:rsid w:val="001E257C"/>
    <w:rsid w:val="001E2F34"/>
    <w:rsid w:val="001E35EE"/>
    <w:rsid w:val="001E4B2C"/>
    <w:rsid w:val="001E507F"/>
    <w:rsid w:val="001E59FB"/>
    <w:rsid w:val="001F09F5"/>
    <w:rsid w:val="001F0FD1"/>
    <w:rsid w:val="001F1020"/>
    <w:rsid w:val="001F1526"/>
    <w:rsid w:val="001F19D1"/>
    <w:rsid w:val="001F1CB9"/>
    <w:rsid w:val="001F1F18"/>
    <w:rsid w:val="001F2F92"/>
    <w:rsid w:val="001F612E"/>
    <w:rsid w:val="001F77E8"/>
    <w:rsid w:val="00200330"/>
    <w:rsid w:val="00201B0F"/>
    <w:rsid w:val="00202800"/>
    <w:rsid w:val="00202D33"/>
    <w:rsid w:val="00202E58"/>
    <w:rsid w:val="00202F99"/>
    <w:rsid w:val="00203C85"/>
    <w:rsid w:val="00205298"/>
    <w:rsid w:val="00206698"/>
    <w:rsid w:val="00206736"/>
    <w:rsid w:val="00206C88"/>
    <w:rsid w:val="00210B9C"/>
    <w:rsid w:val="00214028"/>
    <w:rsid w:val="002141C3"/>
    <w:rsid w:val="002141DC"/>
    <w:rsid w:val="0021440C"/>
    <w:rsid w:val="00214479"/>
    <w:rsid w:val="002144F3"/>
    <w:rsid w:val="002146C3"/>
    <w:rsid w:val="00215A2A"/>
    <w:rsid w:val="00215A3F"/>
    <w:rsid w:val="00215D21"/>
    <w:rsid w:val="00216387"/>
    <w:rsid w:val="00216E7B"/>
    <w:rsid w:val="002204BC"/>
    <w:rsid w:val="00220F7B"/>
    <w:rsid w:val="002213CE"/>
    <w:rsid w:val="00221AF7"/>
    <w:rsid w:val="00222494"/>
    <w:rsid w:val="00222775"/>
    <w:rsid w:val="00222A31"/>
    <w:rsid w:val="00222CF6"/>
    <w:rsid w:val="002244E4"/>
    <w:rsid w:val="00224D2A"/>
    <w:rsid w:val="00224D8D"/>
    <w:rsid w:val="002251F0"/>
    <w:rsid w:val="0022555A"/>
    <w:rsid w:val="00227214"/>
    <w:rsid w:val="00227DDC"/>
    <w:rsid w:val="0023079F"/>
    <w:rsid w:val="00231135"/>
    <w:rsid w:val="00232555"/>
    <w:rsid w:val="00233538"/>
    <w:rsid w:val="0023449F"/>
    <w:rsid w:val="002344F5"/>
    <w:rsid w:val="0023454D"/>
    <w:rsid w:val="00234679"/>
    <w:rsid w:val="00235321"/>
    <w:rsid w:val="00236690"/>
    <w:rsid w:val="0023669D"/>
    <w:rsid w:val="00237FA2"/>
    <w:rsid w:val="002403D5"/>
    <w:rsid w:val="00240F67"/>
    <w:rsid w:val="00241144"/>
    <w:rsid w:val="00241B4B"/>
    <w:rsid w:val="00242510"/>
    <w:rsid w:val="00242F79"/>
    <w:rsid w:val="0024415B"/>
    <w:rsid w:val="00245565"/>
    <w:rsid w:val="002458C1"/>
    <w:rsid w:val="00246357"/>
    <w:rsid w:val="00247422"/>
    <w:rsid w:val="00247BA2"/>
    <w:rsid w:val="0025151C"/>
    <w:rsid w:val="0025184F"/>
    <w:rsid w:val="00251967"/>
    <w:rsid w:val="002527CC"/>
    <w:rsid w:val="00253586"/>
    <w:rsid w:val="002537FC"/>
    <w:rsid w:val="002542F8"/>
    <w:rsid w:val="002543EF"/>
    <w:rsid w:val="00254CD2"/>
    <w:rsid w:val="00254F2A"/>
    <w:rsid w:val="00255784"/>
    <w:rsid w:val="0025631F"/>
    <w:rsid w:val="00256986"/>
    <w:rsid w:val="00257246"/>
    <w:rsid w:val="00257438"/>
    <w:rsid w:val="0026212A"/>
    <w:rsid w:val="002621D7"/>
    <w:rsid w:val="00262B3C"/>
    <w:rsid w:val="00263044"/>
    <w:rsid w:val="00263759"/>
    <w:rsid w:val="002638BD"/>
    <w:rsid w:val="0026470B"/>
    <w:rsid w:val="0026486D"/>
    <w:rsid w:val="00264C4B"/>
    <w:rsid w:val="00264ED0"/>
    <w:rsid w:val="00265346"/>
    <w:rsid w:val="002660C3"/>
    <w:rsid w:val="00266DE1"/>
    <w:rsid w:val="00267A92"/>
    <w:rsid w:val="00267E43"/>
    <w:rsid w:val="00270282"/>
    <w:rsid w:val="00270CF6"/>
    <w:rsid w:val="00271B4C"/>
    <w:rsid w:val="0027244F"/>
    <w:rsid w:val="002739CE"/>
    <w:rsid w:val="00273C5F"/>
    <w:rsid w:val="002743AC"/>
    <w:rsid w:val="002751CA"/>
    <w:rsid w:val="0027544D"/>
    <w:rsid w:val="002775ED"/>
    <w:rsid w:val="002778AB"/>
    <w:rsid w:val="002802A5"/>
    <w:rsid w:val="00280CFB"/>
    <w:rsid w:val="002815C4"/>
    <w:rsid w:val="00281BCB"/>
    <w:rsid w:val="00281C76"/>
    <w:rsid w:val="00283296"/>
    <w:rsid w:val="0028583E"/>
    <w:rsid w:val="00285853"/>
    <w:rsid w:val="00285B1A"/>
    <w:rsid w:val="00285FF3"/>
    <w:rsid w:val="002866EC"/>
    <w:rsid w:val="002872B8"/>
    <w:rsid w:val="0028744E"/>
    <w:rsid w:val="00287936"/>
    <w:rsid w:val="002903C5"/>
    <w:rsid w:val="0029041B"/>
    <w:rsid w:val="00290A99"/>
    <w:rsid w:val="00290EAF"/>
    <w:rsid w:val="0029159A"/>
    <w:rsid w:val="00292AA1"/>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968"/>
    <w:rsid w:val="002A5CAB"/>
    <w:rsid w:val="002A5D40"/>
    <w:rsid w:val="002A64E7"/>
    <w:rsid w:val="002A7ED3"/>
    <w:rsid w:val="002A7FC9"/>
    <w:rsid w:val="002B139C"/>
    <w:rsid w:val="002B1881"/>
    <w:rsid w:val="002B1F61"/>
    <w:rsid w:val="002B2070"/>
    <w:rsid w:val="002B2906"/>
    <w:rsid w:val="002B34E3"/>
    <w:rsid w:val="002B5AEE"/>
    <w:rsid w:val="002B6177"/>
    <w:rsid w:val="002B650C"/>
    <w:rsid w:val="002B68E6"/>
    <w:rsid w:val="002B6985"/>
    <w:rsid w:val="002C0301"/>
    <w:rsid w:val="002C0326"/>
    <w:rsid w:val="002C0A9F"/>
    <w:rsid w:val="002C1AB3"/>
    <w:rsid w:val="002C1BB7"/>
    <w:rsid w:val="002C1FB3"/>
    <w:rsid w:val="002C2665"/>
    <w:rsid w:val="002C28E1"/>
    <w:rsid w:val="002C327D"/>
    <w:rsid w:val="002C3890"/>
    <w:rsid w:val="002C3AD9"/>
    <w:rsid w:val="002C43FC"/>
    <w:rsid w:val="002C45C3"/>
    <w:rsid w:val="002C483B"/>
    <w:rsid w:val="002C5D5E"/>
    <w:rsid w:val="002C6116"/>
    <w:rsid w:val="002C643D"/>
    <w:rsid w:val="002C65A3"/>
    <w:rsid w:val="002C70E7"/>
    <w:rsid w:val="002D0E88"/>
    <w:rsid w:val="002D1593"/>
    <w:rsid w:val="002D22A6"/>
    <w:rsid w:val="002D2819"/>
    <w:rsid w:val="002D29D3"/>
    <w:rsid w:val="002D2CD6"/>
    <w:rsid w:val="002D2F81"/>
    <w:rsid w:val="002D37B2"/>
    <w:rsid w:val="002D38A3"/>
    <w:rsid w:val="002D3BA3"/>
    <w:rsid w:val="002D4125"/>
    <w:rsid w:val="002D4892"/>
    <w:rsid w:val="002D4D06"/>
    <w:rsid w:val="002D4EE7"/>
    <w:rsid w:val="002D4EED"/>
    <w:rsid w:val="002D6097"/>
    <w:rsid w:val="002D65AD"/>
    <w:rsid w:val="002D6782"/>
    <w:rsid w:val="002D74A4"/>
    <w:rsid w:val="002D7DB2"/>
    <w:rsid w:val="002D7EA8"/>
    <w:rsid w:val="002E00E1"/>
    <w:rsid w:val="002E03AE"/>
    <w:rsid w:val="002E0542"/>
    <w:rsid w:val="002E05F2"/>
    <w:rsid w:val="002E0E87"/>
    <w:rsid w:val="002E13CF"/>
    <w:rsid w:val="002E201C"/>
    <w:rsid w:val="002E22CA"/>
    <w:rsid w:val="002E236F"/>
    <w:rsid w:val="002E3956"/>
    <w:rsid w:val="002E3C08"/>
    <w:rsid w:val="002E469E"/>
    <w:rsid w:val="002E4C01"/>
    <w:rsid w:val="002E4D50"/>
    <w:rsid w:val="002E4DD6"/>
    <w:rsid w:val="002E55FF"/>
    <w:rsid w:val="002E587E"/>
    <w:rsid w:val="002E5BE0"/>
    <w:rsid w:val="002E672A"/>
    <w:rsid w:val="002E6853"/>
    <w:rsid w:val="002E7EC1"/>
    <w:rsid w:val="002E7EE5"/>
    <w:rsid w:val="002F0323"/>
    <w:rsid w:val="002F134F"/>
    <w:rsid w:val="002F1D0B"/>
    <w:rsid w:val="002F1F02"/>
    <w:rsid w:val="002F27E5"/>
    <w:rsid w:val="002F2D81"/>
    <w:rsid w:val="002F4BA9"/>
    <w:rsid w:val="002F4F60"/>
    <w:rsid w:val="002F4FBC"/>
    <w:rsid w:val="002F541B"/>
    <w:rsid w:val="002F5BFE"/>
    <w:rsid w:val="002F647C"/>
    <w:rsid w:val="002F6EFF"/>
    <w:rsid w:val="002F7DF0"/>
    <w:rsid w:val="002F7FAF"/>
    <w:rsid w:val="00300573"/>
    <w:rsid w:val="003025FE"/>
    <w:rsid w:val="00303AB6"/>
    <w:rsid w:val="00304640"/>
    <w:rsid w:val="00304AC1"/>
    <w:rsid w:val="00305090"/>
    <w:rsid w:val="00305454"/>
    <w:rsid w:val="00305B9F"/>
    <w:rsid w:val="00305E21"/>
    <w:rsid w:val="003066C6"/>
    <w:rsid w:val="003066FA"/>
    <w:rsid w:val="00306AD6"/>
    <w:rsid w:val="003077F4"/>
    <w:rsid w:val="00307DC7"/>
    <w:rsid w:val="00310EDB"/>
    <w:rsid w:val="00311D56"/>
    <w:rsid w:val="00312DFC"/>
    <w:rsid w:val="0031318C"/>
    <w:rsid w:val="00313C9D"/>
    <w:rsid w:val="0031430C"/>
    <w:rsid w:val="00314919"/>
    <w:rsid w:val="00314C5A"/>
    <w:rsid w:val="0031531A"/>
    <w:rsid w:val="00315394"/>
    <w:rsid w:val="00315D77"/>
    <w:rsid w:val="00316002"/>
    <w:rsid w:val="00316CDE"/>
    <w:rsid w:val="0031752D"/>
    <w:rsid w:val="00317709"/>
    <w:rsid w:val="00320688"/>
    <w:rsid w:val="00321DB7"/>
    <w:rsid w:val="0032226D"/>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D52"/>
    <w:rsid w:val="00333337"/>
    <w:rsid w:val="00333A28"/>
    <w:rsid w:val="00333B6C"/>
    <w:rsid w:val="003360AD"/>
    <w:rsid w:val="0033631D"/>
    <w:rsid w:val="00337409"/>
    <w:rsid w:val="003405AF"/>
    <w:rsid w:val="0034088F"/>
    <w:rsid w:val="00340B3E"/>
    <w:rsid w:val="003413D2"/>
    <w:rsid w:val="0034257E"/>
    <w:rsid w:val="00343079"/>
    <w:rsid w:val="00344066"/>
    <w:rsid w:val="0034439D"/>
    <w:rsid w:val="00344BBF"/>
    <w:rsid w:val="0034509B"/>
    <w:rsid w:val="00345644"/>
    <w:rsid w:val="00345D7A"/>
    <w:rsid w:val="0034607E"/>
    <w:rsid w:val="00346A96"/>
    <w:rsid w:val="00346B6D"/>
    <w:rsid w:val="00346BA3"/>
    <w:rsid w:val="00347356"/>
    <w:rsid w:val="0035005C"/>
    <w:rsid w:val="00350896"/>
    <w:rsid w:val="00350C31"/>
    <w:rsid w:val="00351391"/>
    <w:rsid w:val="003519CD"/>
    <w:rsid w:val="00351A3A"/>
    <w:rsid w:val="003525A4"/>
    <w:rsid w:val="0035455F"/>
    <w:rsid w:val="00355D8F"/>
    <w:rsid w:val="00356FF0"/>
    <w:rsid w:val="003577EF"/>
    <w:rsid w:val="00360304"/>
    <w:rsid w:val="00360A78"/>
    <w:rsid w:val="00361750"/>
    <w:rsid w:val="00363B2A"/>
    <w:rsid w:val="00363BF1"/>
    <w:rsid w:val="00366779"/>
    <w:rsid w:val="003668E5"/>
    <w:rsid w:val="003669C8"/>
    <w:rsid w:val="00366CEB"/>
    <w:rsid w:val="003672B3"/>
    <w:rsid w:val="003676DF"/>
    <w:rsid w:val="00367783"/>
    <w:rsid w:val="0036786F"/>
    <w:rsid w:val="003679D3"/>
    <w:rsid w:val="00367A87"/>
    <w:rsid w:val="00367EE7"/>
    <w:rsid w:val="003703BB"/>
    <w:rsid w:val="003705EA"/>
    <w:rsid w:val="00370A56"/>
    <w:rsid w:val="00372842"/>
    <w:rsid w:val="003729A5"/>
    <w:rsid w:val="00372C89"/>
    <w:rsid w:val="00372E9A"/>
    <w:rsid w:val="003735B9"/>
    <w:rsid w:val="00373634"/>
    <w:rsid w:val="00374677"/>
    <w:rsid w:val="00375850"/>
    <w:rsid w:val="0037632F"/>
    <w:rsid w:val="00377B26"/>
    <w:rsid w:val="00381014"/>
    <w:rsid w:val="00381604"/>
    <w:rsid w:val="00381C68"/>
    <w:rsid w:val="00381F60"/>
    <w:rsid w:val="00383AB0"/>
    <w:rsid w:val="003847BB"/>
    <w:rsid w:val="00384814"/>
    <w:rsid w:val="00384C0A"/>
    <w:rsid w:val="00385B16"/>
    <w:rsid w:val="00385B96"/>
    <w:rsid w:val="0038637D"/>
    <w:rsid w:val="003869DC"/>
    <w:rsid w:val="00386C07"/>
    <w:rsid w:val="00386F58"/>
    <w:rsid w:val="0038700D"/>
    <w:rsid w:val="00390B8F"/>
    <w:rsid w:val="00390C0D"/>
    <w:rsid w:val="00391447"/>
    <w:rsid w:val="003919D9"/>
    <w:rsid w:val="00391BDD"/>
    <w:rsid w:val="003922DE"/>
    <w:rsid w:val="00392E35"/>
    <w:rsid w:val="003933DB"/>
    <w:rsid w:val="00393551"/>
    <w:rsid w:val="00393816"/>
    <w:rsid w:val="00393FCD"/>
    <w:rsid w:val="003944EA"/>
    <w:rsid w:val="00394639"/>
    <w:rsid w:val="00394DF6"/>
    <w:rsid w:val="003962E6"/>
    <w:rsid w:val="00396831"/>
    <w:rsid w:val="003971A1"/>
    <w:rsid w:val="003A0F6B"/>
    <w:rsid w:val="003A12B6"/>
    <w:rsid w:val="003A20D5"/>
    <w:rsid w:val="003A24CC"/>
    <w:rsid w:val="003A2EE8"/>
    <w:rsid w:val="003A373C"/>
    <w:rsid w:val="003A5378"/>
    <w:rsid w:val="003A56DF"/>
    <w:rsid w:val="003A6008"/>
    <w:rsid w:val="003A703F"/>
    <w:rsid w:val="003A7E2B"/>
    <w:rsid w:val="003A7E40"/>
    <w:rsid w:val="003B0336"/>
    <w:rsid w:val="003B0A3A"/>
    <w:rsid w:val="003B0D79"/>
    <w:rsid w:val="003B2930"/>
    <w:rsid w:val="003B31A7"/>
    <w:rsid w:val="003B4B51"/>
    <w:rsid w:val="003B4FE1"/>
    <w:rsid w:val="003B514E"/>
    <w:rsid w:val="003B636A"/>
    <w:rsid w:val="003B69CE"/>
    <w:rsid w:val="003C011C"/>
    <w:rsid w:val="003C16CB"/>
    <w:rsid w:val="003C1B97"/>
    <w:rsid w:val="003C247B"/>
    <w:rsid w:val="003C3292"/>
    <w:rsid w:val="003C3C1E"/>
    <w:rsid w:val="003C4134"/>
    <w:rsid w:val="003C435B"/>
    <w:rsid w:val="003C4EBE"/>
    <w:rsid w:val="003C62EC"/>
    <w:rsid w:val="003C685A"/>
    <w:rsid w:val="003C6E9C"/>
    <w:rsid w:val="003C746F"/>
    <w:rsid w:val="003C7570"/>
    <w:rsid w:val="003C76E6"/>
    <w:rsid w:val="003C7F12"/>
    <w:rsid w:val="003D03D6"/>
    <w:rsid w:val="003D075D"/>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3E2F"/>
    <w:rsid w:val="003E4048"/>
    <w:rsid w:val="003E60DA"/>
    <w:rsid w:val="003E6E00"/>
    <w:rsid w:val="003E7111"/>
    <w:rsid w:val="003E7940"/>
    <w:rsid w:val="003F01BD"/>
    <w:rsid w:val="003F0486"/>
    <w:rsid w:val="003F048E"/>
    <w:rsid w:val="003F0AFF"/>
    <w:rsid w:val="003F26DC"/>
    <w:rsid w:val="003F42FF"/>
    <w:rsid w:val="003F4B48"/>
    <w:rsid w:val="003F4DDC"/>
    <w:rsid w:val="003F56B8"/>
    <w:rsid w:val="003F6327"/>
    <w:rsid w:val="003F7425"/>
    <w:rsid w:val="003F765B"/>
    <w:rsid w:val="003F7CB8"/>
    <w:rsid w:val="00400CB4"/>
    <w:rsid w:val="00401386"/>
    <w:rsid w:val="004013E6"/>
    <w:rsid w:val="00401E31"/>
    <w:rsid w:val="00402BBA"/>
    <w:rsid w:val="004035D0"/>
    <w:rsid w:val="00403795"/>
    <w:rsid w:val="004041FB"/>
    <w:rsid w:val="004056B6"/>
    <w:rsid w:val="00405764"/>
    <w:rsid w:val="00406745"/>
    <w:rsid w:val="0040674B"/>
    <w:rsid w:val="00406B32"/>
    <w:rsid w:val="004074FA"/>
    <w:rsid w:val="00407A56"/>
    <w:rsid w:val="00407FCC"/>
    <w:rsid w:val="0041035A"/>
    <w:rsid w:val="004112D1"/>
    <w:rsid w:val="004113C9"/>
    <w:rsid w:val="00411DF2"/>
    <w:rsid w:val="004120DF"/>
    <w:rsid w:val="00414909"/>
    <w:rsid w:val="00415034"/>
    <w:rsid w:val="00415B1A"/>
    <w:rsid w:val="0041690F"/>
    <w:rsid w:val="00416D41"/>
    <w:rsid w:val="00417264"/>
    <w:rsid w:val="004210C0"/>
    <w:rsid w:val="004211DD"/>
    <w:rsid w:val="00421762"/>
    <w:rsid w:val="00421D4B"/>
    <w:rsid w:val="00421ED8"/>
    <w:rsid w:val="00422907"/>
    <w:rsid w:val="00422B9B"/>
    <w:rsid w:val="00423125"/>
    <w:rsid w:val="00423309"/>
    <w:rsid w:val="004233AD"/>
    <w:rsid w:val="00424446"/>
    <w:rsid w:val="00425341"/>
    <w:rsid w:val="00425674"/>
    <w:rsid w:val="004262AF"/>
    <w:rsid w:val="00426B2C"/>
    <w:rsid w:val="00427FA8"/>
    <w:rsid w:val="0043009D"/>
    <w:rsid w:val="0043026B"/>
    <w:rsid w:val="004306D4"/>
    <w:rsid w:val="00432ECA"/>
    <w:rsid w:val="0043554E"/>
    <w:rsid w:val="004355D4"/>
    <w:rsid w:val="004357B1"/>
    <w:rsid w:val="00435821"/>
    <w:rsid w:val="0043583E"/>
    <w:rsid w:val="00436CCE"/>
    <w:rsid w:val="00436EAD"/>
    <w:rsid w:val="004375E1"/>
    <w:rsid w:val="00437A2F"/>
    <w:rsid w:val="00440262"/>
    <w:rsid w:val="004406BF"/>
    <w:rsid w:val="00440814"/>
    <w:rsid w:val="00441424"/>
    <w:rsid w:val="00442731"/>
    <w:rsid w:val="00442C12"/>
    <w:rsid w:val="004434DF"/>
    <w:rsid w:val="0044354B"/>
    <w:rsid w:val="0044493E"/>
    <w:rsid w:val="00444FC6"/>
    <w:rsid w:val="00445874"/>
    <w:rsid w:val="00445C38"/>
    <w:rsid w:val="004475F7"/>
    <w:rsid w:val="0045057B"/>
    <w:rsid w:val="0045069B"/>
    <w:rsid w:val="00450B22"/>
    <w:rsid w:val="00451709"/>
    <w:rsid w:val="00451A02"/>
    <w:rsid w:val="0045277C"/>
    <w:rsid w:val="004539B5"/>
    <w:rsid w:val="004543AB"/>
    <w:rsid w:val="00455967"/>
    <w:rsid w:val="00455F71"/>
    <w:rsid w:val="00456272"/>
    <w:rsid w:val="00457517"/>
    <w:rsid w:val="00457CF7"/>
    <w:rsid w:val="00457D37"/>
    <w:rsid w:val="0046028A"/>
    <w:rsid w:val="00460E68"/>
    <w:rsid w:val="004614BC"/>
    <w:rsid w:val="004619A5"/>
    <w:rsid w:val="00461F80"/>
    <w:rsid w:val="0046240D"/>
    <w:rsid w:val="00462898"/>
    <w:rsid w:val="00463208"/>
    <w:rsid w:val="00463576"/>
    <w:rsid w:val="0046399D"/>
    <w:rsid w:val="00463EA4"/>
    <w:rsid w:val="00465A21"/>
    <w:rsid w:val="00465DE5"/>
    <w:rsid w:val="0046614B"/>
    <w:rsid w:val="00466978"/>
    <w:rsid w:val="00466ABA"/>
    <w:rsid w:val="004672E3"/>
    <w:rsid w:val="0046775D"/>
    <w:rsid w:val="00467823"/>
    <w:rsid w:val="004705FA"/>
    <w:rsid w:val="004708AC"/>
    <w:rsid w:val="00471387"/>
    <w:rsid w:val="0047146C"/>
    <w:rsid w:val="0047149F"/>
    <w:rsid w:val="00471963"/>
    <w:rsid w:val="004724B8"/>
    <w:rsid w:val="004728FB"/>
    <w:rsid w:val="00472CA7"/>
    <w:rsid w:val="00472CEC"/>
    <w:rsid w:val="00473308"/>
    <w:rsid w:val="0047351B"/>
    <w:rsid w:val="0047377C"/>
    <w:rsid w:val="00473FC4"/>
    <w:rsid w:val="0047471E"/>
    <w:rsid w:val="004749DA"/>
    <w:rsid w:val="00474DEF"/>
    <w:rsid w:val="00475729"/>
    <w:rsid w:val="004758E7"/>
    <w:rsid w:val="00475BAB"/>
    <w:rsid w:val="004764C6"/>
    <w:rsid w:val="00476F97"/>
    <w:rsid w:val="00477247"/>
    <w:rsid w:val="004776BB"/>
    <w:rsid w:val="0048055E"/>
    <w:rsid w:val="00480C2B"/>
    <w:rsid w:val="00480DC5"/>
    <w:rsid w:val="004824A9"/>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E21"/>
    <w:rsid w:val="0049418F"/>
    <w:rsid w:val="0049570D"/>
    <w:rsid w:val="00495DC6"/>
    <w:rsid w:val="00496CCE"/>
    <w:rsid w:val="00497AAD"/>
    <w:rsid w:val="00497BD7"/>
    <w:rsid w:val="00497D1A"/>
    <w:rsid w:val="004A1049"/>
    <w:rsid w:val="004A1AFA"/>
    <w:rsid w:val="004A1EA7"/>
    <w:rsid w:val="004A2EF8"/>
    <w:rsid w:val="004A3A21"/>
    <w:rsid w:val="004A4E3B"/>
    <w:rsid w:val="004A6110"/>
    <w:rsid w:val="004A61B8"/>
    <w:rsid w:val="004A64F9"/>
    <w:rsid w:val="004B026C"/>
    <w:rsid w:val="004B0271"/>
    <w:rsid w:val="004B0BE4"/>
    <w:rsid w:val="004B0BE8"/>
    <w:rsid w:val="004B0E24"/>
    <w:rsid w:val="004B0E4A"/>
    <w:rsid w:val="004B18F4"/>
    <w:rsid w:val="004B1A98"/>
    <w:rsid w:val="004B2463"/>
    <w:rsid w:val="004B275E"/>
    <w:rsid w:val="004B305F"/>
    <w:rsid w:val="004B34C4"/>
    <w:rsid w:val="004B34E8"/>
    <w:rsid w:val="004B3981"/>
    <w:rsid w:val="004B3A03"/>
    <w:rsid w:val="004B419F"/>
    <w:rsid w:val="004B4EA9"/>
    <w:rsid w:val="004B6E50"/>
    <w:rsid w:val="004B7317"/>
    <w:rsid w:val="004B75B2"/>
    <w:rsid w:val="004C0BF0"/>
    <w:rsid w:val="004C0D40"/>
    <w:rsid w:val="004C114F"/>
    <w:rsid w:val="004C11A9"/>
    <w:rsid w:val="004C1B9E"/>
    <w:rsid w:val="004C27CF"/>
    <w:rsid w:val="004C2CA7"/>
    <w:rsid w:val="004C45C8"/>
    <w:rsid w:val="004C5F4B"/>
    <w:rsid w:val="004C612E"/>
    <w:rsid w:val="004C61B8"/>
    <w:rsid w:val="004C6C0A"/>
    <w:rsid w:val="004C6C6D"/>
    <w:rsid w:val="004C724F"/>
    <w:rsid w:val="004C77FF"/>
    <w:rsid w:val="004C7DB0"/>
    <w:rsid w:val="004C7E1E"/>
    <w:rsid w:val="004C7FFC"/>
    <w:rsid w:val="004D0223"/>
    <w:rsid w:val="004D16A3"/>
    <w:rsid w:val="004D1934"/>
    <w:rsid w:val="004D1E41"/>
    <w:rsid w:val="004D2326"/>
    <w:rsid w:val="004D2E11"/>
    <w:rsid w:val="004D3108"/>
    <w:rsid w:val="004D329C"/>
    <w:rsid w:val="004D34D1"/>
    <w:rsid w:val="004D4523"/>
    <w:rsid w:val="004D51D6"/>
    <w:rsid w:val="004D6BF2"/>
    <w:rsid w:val="004D6F29"/>
    <w:rsid w:val="004D7BF5"/>
    <w:rsid w:val="004D7F9C"/>
    <w:rsid w:val="004E03F4"/>
    <w:rsid w:val="004E068F"/>
    <w:rsid w:val="004E09CF"/>
    <w:rsid w:val="004E0B75"/>
    <w:rsid w:val="004E0C29"/>
    <w:rsid w:val="004E0DC4"/>
    <w:rsid w:val="004E1D6F"/>
    <w:rsid w:val="004E2393"/>
    <w:rsid w:val="004E3117"/>
    <w:rsid w:val="004E3A2A"/>
    <w:rsid w:val="004E3AB1"/>
    <w:rsid w:val="004E4003"/>
    <w:rsid w:val="004E4626"/>
    <w:rsid w:val="004E4984"/>
    <w:rsid w:val="004E5380"/>
    <w:rsid w:val="004E6746"/>
    <w:rsid w:val="004E6CAC"/>
    <w:rsid w:val="004E6DB4"/>
    <w:rsid w:val="004E75C1"/>
    <w:rsid w:val="004E777F"/>
    <w:rsid w:val="004F07F2"/>
    <w:rsid w:val="004F07F9"/>
    <w:rsid w:val="004F0E82"/>
    <w:rsid w:val="004F1523"/>
    <w:rsid w:val="004F1847"/>
    <w:rsid w:val="004F1F9E"/>
    <w:rsid w:val="004F2CB6"/>
    <w:rsid w:val="004F2E6E"/>
    <w:rsid w:val="004F3015"/>
    <w:rsid w:val="004F313F"/>
    <w:rsid w:val="004F367F"/>
    <w:rsid w:val="004F3EEF"/>
    <w:rsid w:val="004F43A7"/>
    <w:rsid w:val="004F447B"/>
    <w:rsid w:val="004F47B4"/>
    <w:rsid w:val="004F497C"/>
    <w:rsid w:val="004F4FAC"/>
    <w:rsid w:val="004F4FE8"/>
    <w:rsid w:val="004F531B"/>
    <w:rsid w:val="004F560C"/>
    <w:rsid w:val="004F5DBB"/>
    <w:rsid w:val="004F61A3"/>
    <w:rsid w:val="004F6781"/>
    <w:rsid w:val="004F6874"/>
    <w:rsid w:val="004F7922"/>
    <w:rsid w:val="004F7A1F"/>
    <w:rsid w:val="004F7B47"/>
    <w:rsid w:val="0050079C"/>
    <w:rsid w:val="0050106A"/>
    <w:rsid w:val="005010BC"/>
    <w:rsid w:val="00502B31"/>
    <w:rsid w:val="00502E80"/>
    <w:rsid w:val="0050537D"/>
    <w:rsid w:val="005060AE"/>
    <w:rsid w:val="0050790B"/>
    <w:rsid w:val="0051037C"/>
    <w:rsid w:val="0051050F"/>
    <w:rsid w:val="0051058B"/>
    <w:rsid w:val="00510DDC"/>
    <w:rsid w:val="00511166"/>
    <w:rsid w:val="005125DA"/>
    <w:rsid w:val="005131A2"/>
    <w:rsid w:val="005137E4"/>
    <w:rsid w:val="00513BB9"/>
    <w:rsid w:val="0051440E"/>
    <w:rsid w:val="00515180"/>
    <w:rsid w:val="00515973"/>
    <w:rsid w:val="00515C2B"/>
    <w:rsid w:val="00517AC8"/>
    <w:rsid w:val="00517C3E"/>
    <w:rsid w:val="0052091D"/>
    <w:rsid w:val="005212F4"/>
    <w:rsid w:val="00521908"/>
    <w:rsid w:val="00522928"/>
    <w:rsid w:val="00523946"/>
    <w:rsid w:val="0052397A"/>
    <w:rsid w:val="005256D6"/>
    <w:rsid w:val="00525AD8"/>
    <w:rsid w:val="00526429"/>
    <w:rsid w:val="005266C1"/>
    <w:rsid w:val="005267F4"/>
    <w:rsid w:val="00527317"/>
    <w:rsid w:val="00527ED6"/>
    <w:rsid w:val="00531064"/>
    <w:rsid w:val="00531911"/>
    <w:rsid w:val="00531E92"/>
    <w:rsid w:val="005324D7"/>
    <w:rsid w:val="00532C5F"/>
    <w:rsid w:val="005335A2"/>
    <w:rsid w:val="00533DEC"/>
    <w:rsid w:val="00534D55"/>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DB9"/>
    <w:rsid w:val="005462ED"/>
    <w:rsid w:val="0054680A"/>
    <w:rsid w:val="00546BF8"/>
    <w:rsid w:val="00547BA2"/>
    <w:rsid w:val="00550AC5"/>
    <w:rsid w:val="00550B7E"/>
    <w:rsid w:val="00551052"/>
    <w:rsid w:val="005524ED"/>
    <w:rsid w:val="00554007"/>
    <w:rsid w:val="00554C03"/>
    <w:rsid w:val="00554C58"/>
    <w:rsid w:val="00554E3B"/>
    <w:rsid w:val="005550F9"/>
    <w:rsid w:val="005561FF"/>
    <w:rsid w:val="00556338"/>
    <w:rsid w:val="00556441"/>
    <w:rsid w:val="00557031"/>
    <w:rsid w:val="00560FCB"/>
    <w:rsid w:val="0056111C"/>
    <w:rsid w:val="00561140"/>
    <w:rsid w:val="00561412"/>
    <w:rsid w:val="00561903"/>
    <w:rsid w:val="00561A9B"/>
    <w:rsid w:val="00561E54"/>
    <w:rsid w:val="0056278F"/>
    <w:rsid w:val="00562FB1"/>
    <w:rsid w:val="00563068"/>
    <w:rsid w:val="0056376A"/>
    <w:rsid w:val="00563B3C"/>
    <w:rsid w:val="0056419C"/>
    <w:rsid w:val="00564DA7"/>
    <w:rsid w:val="00565204"/>
    <w:rsid w:val="00565473"/>
    <w:rsid w:val="00565DAC"/>
    <w:rsid w:val="00565F0D"/>
    <w:rsid w:val="005662DC"/>
    <w:rsid w:val="00566329"/>
    <w:rsid w:val="00567623"/>
    <w:rsid w:val="005701C2"/>
    <w:rsid w:val="00572297"/>
    <w:rsid w:val="0057345D"/>
    <w:rsid w:val="00573560"/>
    <w:rsid w:val="00574E7B"/>
    <w:rsid w:val="00576B5C"/>
    <w:rsid w:val="005802F9"/>
    <w:rsid w:val="005806D5"/>
    <w:rsid w:val="00580DFC"/>
    <w:rsid w:val="005815CD"/>
    <w:rsid w:val="005827A7"/>
    <w:rsid w:val="00583D43"/>
    <w:rsid w:val="005846C3"/>
    <w:rsid w:val="00584F04"/>
    <w:rsid w:val="005854B8"/>
    <w:rsid w:val="00585623"/>
    <w:rsid w:val="005857F7"/>
    <w:rsid w:val="00587D7B"/>
    <w:rsid w:val="005904DB"/>
    <w:rsid w:val="005905ED"/>
    <w:rsid w:val="00592825"/>
    <w:rsid w:val="00593D4E"/>
    <w:rsid w:val="00594437"/>
    <w:rsid w:val="00594B70"/>
    <w:rsid w:val="00596CFA"/>
    <w:rsid w:val="00596EC6"/>
    <w:rsid w:val="005975CE"/>
    <w:rsid w:val="005A0088"/>
    <w:rsid w:val="005A04F6"/>
    <w:rsid w:val="005A14F0"/>
    <w:rsid w:val="005A1861"/>
    <w:rsid w:val="005A1A31"/>
    <w:rsid w:val="005A2627"/>
    <w:rsid w:val="005A361D"/>
    <w:rsid w:val="005A36C2"/>
    <w:rsid w:val="005A3719"/>
    <w:rsid w:val="005A3DD7"/>
    <w:rsid w:val="005A4C20"/>
    <w:rsid w:val="005A4F48"/>
    <w:rsid w:val="005A54F1"/>
    <w:rsid w:val="005A5DDE"/>
    <w:rsid w:val="005A64A8"/>
    <w:rsid w:val="005A65C5"/>
    <w:rsid w:val="005A6875"/>
    <w:rsid w:val="005A6E07"/>
    <w:rsid w:val="005A7A32"/>
    <w:rsid w:val="005A7F85"/>
    <w:rsid w:val="005B00DD"/>
    <w:rsid w:val="005B07D5"/>
    <w:rsid w:val="005B1A8A"/>
    <w:rsid w:val="005B1AAB"/>
    <w:rsid w:val="005B2578"/>
    <w:rsid w:val="005B2930"/>
    <w:rsid w:val="005B2B87"/>
    <w:rsid w:val="005B33C8"/>
    <w:rsid w:val="005B387B"/>
    <w:rsid w:val="005B3A07"/>
    <w:rsid w:val="005B3B01"/>
    <w:rsid w:val="005B4333"/>
    <w:rsid w:val="005B48BE"/>
    <w:rsid w:val="005B58F7"/>
    <w:rsid w:val="005B5994"/>
    <w:rsid w:val="005B6474"/>
    <w:rsid w:val="005B666D"/>
    <w:rsid w:val="005B667A"/>
    <w:rsid w:val="005B6865"/>
    <w:rsid w:val="005C039B"/>
    <w:rsid w:val="005C059F"/>
    <w:rsid w:val="005C07CE"/>
    <w:rsid w:val="005C0B8F"/>
    <w:rsid w:val="005C194E"/>
    <w:rsid w:val="005C1DB1"/>
    <w:rsid w:val="005C226F"/>
    <w:rsid w:val="005C2294"/>
    <w:rsid w:val="005C2E48"/>
    <w:rsid w:val="005C3344"/>
    <w:rsid w:val="005C4E4D"/>
    <w:rsid w:val="005C58F2"/>
    <w:rsid w:val="005C5A97"/>
    <w:rsid w:val="005C6D5D"/>
    <w:rsid w:val="005C6FD0"/>
    <w:rsid w:val="005D01C3"/>
    <w:rsid w:val="005D05FF"/>
    <w:rsid w:val="005D0FB4"/>
    <w:rsid w:val="005D1176"/>
    <w:rsid w:val="005D1747"/>
    <w:rsid w:val="005D266D"/>
    <w:rsid w:val="005D306D"/>
    <w:rsid w:val="005D3327"/>
    <w:rsid w:val="005D5BCF"/>
    <w:rsid w:val="005D6D84"/>
    <w:rsid w:val="005D70A1"/>
    <w:rsid w:val="005D79F2"/>
    <w:rsid w:val="005D7F57"/>
    <w:rsid w:val="005E0141"/>
    <w:rsid w:val="005E09CA"/>
    <w:rsid w:val="005E1AB4"/>
    <w:rsid w:val="005E4543"/>
    <w:rsid w:val="005E4A1C"/>
    <w:rsid w:val="005E56C9"/>
    <w:rsid w:val="005E5CF7"/>
    <w:rsid w:val="005E642A"/>
    <w:rsid w:val="005E721E"/>
    <w:rsid w:val="005F0857"/>
    <w:rsid w:val="005F15A9"/>
    <w:rsid w:val="005F2807"/>
    <w:rsid w:val="005F2CD5"/>
    <w:rsid w:val="005F3720"/>
    <w:rsid w:val="005F5506"/>
    <w:rsid w:val="005F5A0D"/>
    <w:rsid w:val="005F60DF"/>
    <w:rsid w:val="005F61DF"/>
    <w:rsid w:val="005F680A"/>
    <w:rsid w:val="005F6B3E"/>
    <w:rsid w:val="005F77F8"/>
    <w:rsid w:val="005F7CA8"/>
    <w:rsid w:val="00600DE1"/>
    <w:rsid w:val="00601506"/>
    <w:rsid w:val="00601596"/>
    <w:rsid w:val="006019A0"/>
    <w:rsid w:val="00601C92"/>
    <w:rsid w:val="00601F66"/>
    <w:rsid w:val="00602764"/>
    <w:rsid w:val="00602B29"/>
    <w:rsid w:val="00602DAD"/>
    <w:rsid w:val="00603373"/>
    <w:rsid w:val="006036D0"/>
    <w:rsid w:val="006042CD"/>
    <w:rsid w:val="00605217"/>
    <w:rsid w:val="006054A5"/>
    <w:rsid w:val="006059E4"/>
    <w:rsid w:val="00605D60"/>
    <w:rsid w:val="006062A0"/>
    <w:rsid w:val="00607015"/>
    <w:rsid w:val="0061098D"/>
    <w:rsid w:val="00611B59"/>
    <w:rsid w:val="00611FBA"/>
    <w:rsid w:val="00612098"/>
    <w:rsid w:val="006121AC"/>
    <w:rsid w:val="0061272A"/>
    <w:rsid w:val="006130D0"/>
    <w:rsid w:val="006139F7"/>
    <w:rsid w:val="00613AA2"/>
    <w:rsid w:val="006155F1"/>
    <w:rsid w:val="00615846"/>
    <w:rsid w:val="006160F0"/>
    <w:rsid w:val="0061624B"/>
    <w:rsid w:val="00616C1E"/>
    <w:rsid w:val="00617EFC"/>
    <w:rsid w:val="00620055"/>
    <w:rsid w:val="006204B3"/>
    <w:rsid w:val="006212D3"/>
    <w:rsid w:val="00621639"/>
    <w:rsid w:val="00621AFC"/>
    <w:rsid w:val="00623571"/>
    <w:rsid w:val="00623A5E"/>
    <w:rsid w:val="00625008"/>
    <w:rsid w:val="0062548B"/>
    <w:rsid w:val="00626930"/>
    <w:rsid w:val="006269BF"/>
    <w:rsid w:val="00626BAC"/>
    <w:rsid w:val="006271C3"/>
    <w:rsid w:val="00627B14"/>
    <w:rsid w:val="00627B3B"/>
    <w:rsid w:val="0063001E"/>
    <w:rsid w:val="00630023"/>
    <w:rsid w:val="00630C70"/>
    <w:rsid w:val="00630D67"/>
    <w:rsid w:val="00631005"/>
    <w:rsid w:val="00632727"/>
    <w:rsid w:val="00632EF6"/>
    <w:rsid w:val="00633769"/>
    <w:rsid w:val="00633FE3"/>
    <w:rsid w:val="00634276"/>
    <w:rsid w:val="00634570"/>
    <w:rsid w:val="0063487C"/>
    <w:rsid w:val="00635B73"/>
    <w:rsid w:val="00635BB7"/>
    <w:rsid w:val="00636CC7"/>
    <w:rsid w:val="00637F27"/>
    <w:rsid w:val="00641A84"/>
    <w:rsid w:val="00641DA1"/>
    <w:rsid w:val="00641E5B"/>
    <w:rsid w:val="00642C69"/>
    <w:rsid w:val="0064330A"/>
    <w:rsid w:val="00643F89"/>
    <w:rsid w:val="00644BED"/>
    <w:rsid w:val="00644E2E"/>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D3E"/>
    <w:rsid w:val="00662D3D"/>
    <w:rsid w:val="00662F1F"/>
    <w:rsid w:val="00665030"/>
    <w:rsid w:val="00665042"/>
    <w:rsid w:val="00665670"/>
    <w:rsid w:val="006659EA"/>
    <w:rsid w:val="006661E8"/>
    <w:rsid w:val="00666424"/>
    <w:rsid w:val="006673B9"/>
    <w:rsid w:val="0066790C"/>
    <w:rsid w:val="00667FF0"/>
    <w:rsid w:val="00670C7C"/>
    <w:rsid w:val="00671480"/>
    <w:rsid w:val="006717E7"/>
    <w:rsid w:val="00671FD5"/>
    <w:rsid w:val="006720BC"/>
    <w:rsid w:val="00672C73"/>
    <w:rsid w:val="00673B64"/>
    <w:rsid w:val="00675430"/>
    <w:rsid w:val="006755F0"/>
    <w:rsid w:val="00675749"/>
    <w:rsid w:val="006759FE"/>
    <w:rsid w:val="00677382"/>
    <w:rsid w:val="0067772D"/>
    <w:rsid w:val="00677991"/>
    <w:rsid w:val="00677AD2"/>
    <w:rsid w:val="00680714"/>
    <w:rsid w:val="0068071D"/>
    <w:rsid w:val="00680C6B"/>
    <w:rsid w:val="006811F3"/>
    <w:rsid w:val="00681240"/>
    <w:rsid w:val="00683068"/>
    <w:rsid w:val="00683DAD"/>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3B73"/>
    <w:rsid w:val="006945A1"/>
    <w:rsid w:val="00694A53"/>
    <w:rsid w:val="00695C78"/>
    <w:rsid w:val="00695E6C"/>
    <w:rsid w:val="00695EAC"/>
    <w:rsid w:val="00697068"/>
    <w:rsid w:val="00697D5F"/>
    <w:rsid w:val="006A035B"/>
    <w:rsid w:val="006A0582"/>
    <w:rsid w:val="006A060C"/>
    <w:rsid w:val="006A071C"/>
    <w:rsid w:val="006A0DC7"/>
    <w:rsid w:val="006A150D"/>
    <w:rsid w:val="006A1B00"/>
    <w:rsid w:val="006A2766"/>
    <w:rsid w:val="006A39D0"/>
    <w:rsid w:val="006A4321"/>
    <w:rsid w:val="006A4E20"/>
    <w:rsid w:val="006A4F11"/>
    <w:rsid w:val="006A563C"/>
    <w:rsid w:val="006A5D82"/>
    <w:rsid w:val="006A5F36"/>
    <w:rsid w:val="006A7C29"/>
    <w:rsid w:val="006B0580"/>
    <w:rsid w:val="006B0DA2"/>
    <w:rsid w:val="006B1486"/>
    <w:rsid w:val="006B169F"/>
    <w:rsid w:val="006B1D06"/>
    <w:rsid w:val="006B2823"/>
    <w:rsid w:val="006B29DC"/>
    <w:rsid w:val="006B33DB"/>
    <w:rsid w:val="006B3669"/>
    <w:rsid w:val="006B36E5"/>
    <w:rsid w:val="006B3D00"/>
    <w:rsid w:val="006B4CF8"/>
    <w:rsid w:val="006B5FBC"/>
    <w:rsid w:val="006B6ED2"/>
    <w:rsid w:val="006B71C5"/>
    <w:rsid w:val="006C0230"/>
    <w:rsid w:val="006C25AB"/>
    <w:rsid w:val="006C2DA6"/>
    <w:rsid w:val="006C3581"/>
    <w:rsid w:val="006C3BDF"/>
    <w:rsid w:val="006C3EFE"/>
    <w:rsid w:val="006C46C7"/>
    <w:rsid w:val="006C53A4"/>
    <w:rsid w:val="006C54DF"/>
    <w:rsid w:val="006C5D5D"/>
    <w:rsid w:val="006C6303"/>
    <w:rsid w:val="006C6EBD"/>
    <w:rsid w:val="006C7E04"/>
    <w:rsid w:val="006C7F79"/>
    <w:rsid w:val="006D015F"/>
    <w:rsid w:val="006D060E"/>
    <w:rsid w:val="006D0681"/>
    <w:rsid w:val="006D0A64"/>
    <w:rsid w:val="006D0A80"/>
    <w:rsid w:val="006D0AE8"/>
    <w:rsid w:val="006D135C"/>
    <w:rsid w:val="006D2F72"/>
    <w:rsid w:val="006D43C1"/>
    <w:rsid w:val="006D5442"/>
    <w:rsid w:val="006D6E4E"/>
    <w:rsid w:val="006D7A8E"/>
    <w:rsid w:val="006E00E3"/>
    <w:rsid w:val="006E045C"/>
    <w:rsid w:val="006E0569"/>
    <w:rsid w:val="006E065E"/>
    <w:rsid w:val="006E17AC"/>
    <w:rsid w:val="006E189B"/>
    <w:rsid w:val="006E2902"/>
    <w:rsid w:val="006E2B58"/>
    <w:rsid w:val="006E2F9D"/>
    <w:rsid w:val="006E37C6"/>
    <w:rsid w:val="006E3CF3"/>
    <w:rsid w:val="006E41ED"/>
    <w:rsid w:val="006E4667"/>
    <w:rsid w:val="006E46B7"/>
    <w:rsid w:val="006E486D"/>
    <w:rsid w:val="006E48BB"/>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64C"/>
    <w:rsid w:val="006F7974"/>
    <w:rsid w:val="006F7C2C"/>
    <w:rsid w:val="00700405"/>
    <w:rsid w:val="00700D18"/>
    <w:rsid w:val="0070168D"/>
    <w:rsid w:val="00701C36"/>
    <w:rsid w:val="00702F2D"/>
    <w:rsid w:val="0070353F"/>
    <w:rsid w:val="00703BAD"/>
    <w:rsid w:val="0070415E"/>
    <w:rsid w:val="00704631"/>
    <w:rsid w:val="00704B79"/>
    <w:rsid w:val="00704E7D"/>
    <w:rsid w:val="00705060"/>
    <w:rsid w:val="00705351"/>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99C"/>
    <w:rsid w:val="007154D8"/>
    <w:rsid w:val="00715577"/>
    <w:rsid w:val="0071604D"/>
    <w:rsid w:val="00716C67"/>
    <w:rsid w:val="007170AB"/>
    <w:rsid w:val="0071779C"/>
    <w:rsid w:val="00717808"/>
    <w:rsid w:val="007208A7"/>
    <w:rsid w:val="00720B6A"/>
    <w:rsid w:val="007210F6"/>
    <w:rsid w:val="0072129A"/>
    <w:rsid w:val="0072139F"/>
    <w:rsid w:val="0072198A"/>
    <w:rsid w:val="00721FC3"/>
    <w:rsid w:val="00722A86"/>
    <w:rsid w:val="00722BC6"/>
    <w:rsid w:val="00722C69"/>
    <w:rsid w:val="00722FE0"/>
    <w:rsid w:val="0072388C"/>
    <w:rsid w:val="007249D1"/>
    <w:rsid w:val="00724FE4"/>
    <w:rsid w:val="007263A2"/>
    <w:rsid w:val="007266B9"/>
    <w:rsid w:val="00727351"/>
    <w:rsid w:val="00727AC5"/>
    <w:rsid w:val="00727C65"/>
    <w:rsid w:val="007300F0"/>
    <w:rsid w:val="00730904"/>
    <w:rsid w:val="0073245C"/>
    <w:rsid w:val="00732493"/>
    <w:rsid w:val="00733772"/>
    <w:rsid w:val="00733A43"/>
    <w:rsid w:val="00733D5F"/>
    <w:rsid w:val="00734932"/>
    <w:rsid w:val="00735D53"/>
    <w:rsid w:val="007364A3"/>
    <w:rsid w:val="007378FD"/>
    <w:rsid w:val="007403FE"/>
    <w:rsid w:val="007413EB"/>
    <w:rsid w:val="00742D32"/>
    <w:rsid w:val="00742E9B"/>
    <w:rsid w:val="007444E6"/>
    <w:rsid w:val="0074592C"/>
    <w:rsid w:val="00746098"/>
    <w:rsid w:val="00746D58"/>
    <w:rsid w:val="00747578"/>
    <w:rsid w:val="00751073"/>
    <w:rsid w:val="00751AF2"/>
    <w:rsid w:val="00751B1A"/>
    <w:rsid w:val="00751BD2"/>
    <w:rsid w:val="00752188"/>
    <w:rsid w:val="00752CC6"/>
    <w:rsid w:val="00753938"/>
    <w:rsid w:val="00753A57"/>
    <w:rsid w:val="007543CE"/>
    <w:rsid w:val="0075497E"/>
    <w:rsid w:val="00754A29"/>
    <w:rsid w:val="00755BCF"/>
    <w:rsid w:val="00756C5F"/>
    <w:rsid w:val="00756D69"/>
    <w:rsid w:val="00757029"/>
    <w:rsid w:val="0075723D"/>
    <w:rsid w:val="007602D4"/>
    <w:rsid w:val="00760D96"/>
    <w:rsid w:val="0076124A"/>
    <w:rsid w:val="0076161B"/>
    <w:rsid w:val="00761CB5"/>
    <w:rsid w:val="0076216B"/>
    <w:rsid w:val="00763137"/>
    <w:rsid w:val="00763F8B"/>
    <w:rsid w:val="0076417E"/>
    <w:rsid w:val="007662C7"/>
    <w:rsid w:val="00766585"/>
    <w:rsid w:val="00766862"/>
    <w:rsid w:val="007675DD"/>
    <w:rsid w:val="007702BF"/>
    <w:rsid w:val="007705F0"/>
    <w:rsid w:val="00771CAC"/>
    <w:rsid w:val="00772036"/>
    <w:rsid w:val="007739A3"/>
    <w:rsid w:val="00773BD9"/>
    <w:rsid w:val="00773CB0"/>
    <w:rsid w:val="00773D71"/>
    <w:rsid w:val="00775526"/>
    <w:rsid w:val="0077765A"/>
    <w:rsid w:val="00780032"/>
    <w:rsid w:val="007803C7"/>
    <w:rsid w:val="00780636"/>
    <w:rsid w:val="00780E86"/>
    <w:rsid w:val="00781727"/>
    <w:rsid w:val="00782CF3"/>
    <w:rsid w:val="00783959"/>
    <w:rsid w:val="00785091"/>
    <w:rsid w:val="007863BA"/>
    <w:rsid w:val="007869F9"/>
    <w:rsid w:val="00786CBB"/>
    <w:rsid w:val="00786E21"/>
    <w:rsid w:val="0079038E"/>
    <w:rsid w:val="00790EBB"/>
    <w:rsid w:val="00791C6E"/>
    <w:rsid w:val="007921F7"/>
    <w:rsid w:val="00792909"/>
    <w:rsid w:val="00792BC6"/>
    <w:rsid w:val="00792C3F"/>
    <w:rsid w:val="00792EE2"/>
    <w:rsid w:val="00793105"/>
    <w:rsid w:val="007931E8"/>
    <w:rsid w:val="00793333"/>
    <w:rsid w:val="00794E46"/>
    <w:rsid w:val="007952DE"/>
    <w:rsid w:val="00795479"/>
    <w:rsid w:val="00796292"/>
    <w:rsid w:val="007965D9"/>
    <w:rsid w:val="007972D5"/>
    <w:rsid w:val="007A0789"/>
    <w:rsid w:val="007A130E"/>
    <w:rsid w:val="007A18B1"/>
    <w:rsid w:val="007A1BBD"/>
    <w:rsid w:val="007A1F08"/>
    <w:rsid w:val="007A2555"/>
    <w:rsid w:val="007A25FA"/>
    <w:rsid w:val="007A2FCB"/>
    <w:rsid w:val="007A3520"/>
    <w:rsid w:val="007A3604"/>
    <w:rsid w:val="007A3878"/>
    <w:rsid w:val="007A3D85"/>
    <w:rsid w:val="007A3E0D"/>
    <w:rsid w:val="007A436D"/>
    <w:rsid w:val="007A54F6"/>
    <w:rsid w:val="007A55FE"/>
    <w:rsid w:val="007A5950"/>
    <w:rsid w:val="007A6D91"/>
    <w:rsid w:val="007A7618"/>
    <w:rsid w:val="007B02C7"/>
    <w:rsid w:val="007B0306"/>
    <w:rsid w:val="007B08E4"/>
    <w:rsid w:val="007B0D86"/>
    <w:rsid w:val="007B28C3"/>
    <w:rsid w:val="007B3A8E"/>
    <w:rsid w:val="007B3C9B"/>
    <w:rsid w:val="007B4271"/>
    <w:rsid w:val="007B497D"/>
    <w:rsid w:val="007B4EE9"/>
    <w:rsid w:val="007B5234"/>
    <w:rsid w:val="007B54C7"/>
    <w:rsid w:val="007B5DC5"/>
    <w:rsid w:val="007B5F32"/>
    <w:rsid w:val="007B63FC"/>
    <w:rsid w:val="007B6708"/>
    <w:rsid w:val="007B6E8D"/>
    <w:rsid w:val="007C029E"/>
    <w:rsid w:val="007C0636"/>
    <w:rsid w:val="007C10E4"/>
    <w:rsid w:val="007C17B4"/>
    <w:rsid w:val="007C20F8"/>
    <w:rsid w:val="007C21C5"/>
    <w:rsid w:val="007C2229"/>
    <w:rsid w:val="007C3590"/>
    <w:rsid w:val="007C387A"/>
    <w:rsid w:val="007C43D6"/>
    <w:rsid w:val="007C47FF"/>
    <w:rsid w:val="007C60A8"/>
    <w:rsid w:val="007C660F"/>
    <w:rsid w:val="007C6664"/>
    <w:rsid w:val="007C69AE"/>
    <w:rsid w:val="007C6FE9"/>
    <w:rsid w:val="007C7688"/>
    <w:rsid w:val="007C76E3"/>
    <w:rsid w:val="007C76F3"/>
    <w:rsid w:val="007C7DD9"/>
    <w:rsid w:val="007D0DC9"/>
    <w:rsid w:val="007D0ECD"/>
    <w:rsid w:val="007D2882"/>
    <w:rsid w:val="007D296C"/>
    <w:rsid w:val="007D2C31"/>
    <w:rsid w:val="007D3D74"/>
    <w:rsid w:val="007D445F"/>
    <w:rsid w:val="007D4DED"/>
    <w:rsid w:val="007D5BA2"/>
    <w:rsid w:val="007D5BC9"/>
    <w:rsid w:val="007D5ED3"/>
    <w:rsid w:val="007D682F"/>
    <w:rsid w:val="007D6FB9"/>
    <w:rsid w:val="007D7211"/>
    <w:rsid w:val="007E0595"/>
    <w:rsid w:val="007E0A63"/>
    <w:rsid w:val="007E0C63"/>
    <w:rsid w:val="007E0E05"/>
    <w:rsid w:val="007E0F5D"/>
    <w:rsid w:val="007E23A1"/>
    <w:rsid w:val="007E259F"/>
    <w:rsid w:val="007E54B8"/>
    <w:rsid w:val="007E5D12"/>
    <w:rsid w:val="007E677F"/>
    <w:rsid w:val="007E6B25"/>
    <w:rsid w:val="007F152D"/>
    <w:rsid w:val="007F20EE"/>
    <w:rsid w:val="007F30C6"/>
    <w:rsid w:val="007F32F8"/>
    <w:rsid w:val="007F4318"/>
    <w:rsid w:val="007F4377"/>
    <w:rsid w:val="007F4709"/>
    <w:rsid w:val="007F47DA"/>
    <w:rsid w:val="007F4E52"/>
    <w:rsid w:val="007F4F84"/>
    <w:rsid w:val="007F55A4"/>
    <w:rsid w:val="007F5D28"/>
    <w:rsid w:val="007F6260"/>
    <w:rsid w:val="007F682B"/>
    <w:rsid w:val="00800509"/>
    <w:rsid w:val="0080078E"/>
    <w:rsid w:val="00800B7F"/>
    <w:rsid w:val="00801D63"/>
    <w:rsid w:val="0080348B"/>
    <w:rsid w:val="00803D82"/>
    <w:rsid w:val="00803D98"/>
    <w:rsid w:val="008052CE"/>
    <w:rsid w:val="008058D0"/>
    <w:rsid w:val="0080705B"/>
    <w:rsid w:val="0080723C"/>
    <w:rsid w:val="00807F71"/>
    <w:rsid w:val="0081000F"/>
    <w:rsid w:val="00812657"/>
    <w:rsid w:val="00812A1A"/>
    <w:rsid w:val="00812DFF"/>
    <w:rsid w:val="0081383A"/>
    <w:rsid w:val="0081497F"/>
    <w:rsid w:val="00814B90"/>
    <w:rsid w:val="00814FC7"/>
    <w:rsid w:val="0081660C"/>
    <w:rsid w:val="00817195"/>
    <w:rsid w:val="00817416"/>
    <w:rsid w:val="0081779F"/>
    <w:rsid w:val="00820E0F"/>
    <w:rsid w:val="00821271"/>
    <w:rsid w:val="00821306"/>
    <w:rsid w:val="008213D9"/>
    <w:rsid w:val="00821D85"/>
    <w:rsid w:val="008220F6"/>
    <w:rsid w:val="00823819"/>
    <w:rsid w:val="00823C4B"/>
    <w:rsid w:val="0082427D"/>
    <w:rsid w:val="00825441"/>
    <w:rsid w:val="00830052"/>
    <w:rsid w:val="008300D0"/>
    <w:rsid w:val="008320D2"/>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7BA"/>
    <w:rsid w:val="00840AAC"/>
    <w:rsid w:val="0084101C"/>
    <w:rsid w:val="0084181B"/>
    <w:rsid w:val="00841F29"/>
    <w:rsid w:val="008425CC"/>
    <w:rsid w:val="00842DC2"/>
    <w:rsid w:val="008465B4"/>
    <w:rsid w:val="00846D25"/>
    <w:rsid w:val="00850013"/>
    <w:rsid w:val="008500DD"/>
    <w:rsid w:val="00850781"/>
    <w:rsid w:val="00850A0A"/>
    <w:rsid w:val="00850A94"/>
    <w:rsid w:val="00851181"/>
    <w:rsid w:val="008516A5"/>
    <w:rsid w:val="00851E96"/>
    <w:rsid w:val="00852FA5"/>
    <w:rsid w:val="00853F7D"/>
    <w:rsid w:val="0085517F"/>
    <w:rsid w:val="0085562D"/>
    <w:rsid w:val="00855A78"/>
    <w:rsid w:val="00856154"/>
    <w:rsid w:val="00856286"/>
    <w:rsid w:val="0085657E"/>
    <w:rsid w:val="008573AF"/>
    <w:rsid w:val="008576B0"/>
    <w:rsid w:val="00860296"/>
    <w:rsid w:val="00860DA4"/>
    <w:rsid w:val="00861146"/>
    <w:rsid w:val="00861948"/>
    <w:rsid w:val="00862011"/>
    <w:rsid w:val="00862A15"/>
    <w:rsid w:val="00862CC9"/>
    <w:rsid w:val="00862D8E"/>
    <w:rsid w:val="00862EF2"/>
    <w:rsid w:val="0086598A"/>
    <w:rsid w:val="00865C3D"/>
    <w:rsid w:val="00866453"/>
    <w:rsid w:val="0086707F"/>
    <w:rsid w:val="00867501"/>
    <w:rsid w:val="00867D8E"/>
    <w:rsid w:val="008700C0"/>
    <w:rsid w:val="0087099A"/>
    <w:rsid w:val="00870D79"/>
    <w:rsid w:val="00871333"/>
    <w:rsid w:val="00871952"/>
    <w:rsid w:val="00872386"/>
    <w:rsid w:val="008726D7"/>
    <w:rsid w:val="00873128"/>
    <w:rsid w:val="008735BC"/>
    <w:rsid w:val="00873AAC"/>
    <w:rsid w:val="00873C61"/>
    <w:rsid w:val="00873DFD"/>
    <w:rsid w:val="008749BF"/>
    <w:rsid w:val="00875542"/>
    <w:rsid w:val="00875E14"/>
    <w:rsid w:val="0087677E"/>
    <w:rsid w:val="00876C64"/>
    <w:rsid w:val="0087712C"/>
    <w:rsid w:val="00877C5D"/>
    <w:rsid w:val="0088093C"/>
    <w:rsid w:val="00880BC0"/>
    <w:rsid w:val="00881D59"/>
    <w:rsid w:val="00882EC1"/>
    <w:rsid w:val="0088434F"/>
    <w:rsid w:val="00884371"/>
    <w:rsid w:val="008848E2"/>
    <w:rsid w:val="00884B7A"/>
    <w:rsid w:val="00884D47"/>
    <w:rsid w:val="008856C5"/>
    <w:rsid w:val="00887392"/>
    <w:rsid w:val="00890A64"/>
    <w:rsid w:val="00890C40"/>
    <w:rsid w:val="0089122E"/>
    <w:rsid w:val="008912A7"/>
    <w:rsid w:val="0089183A"/>
    <w:rsid w:val="008920B4"/>
    <w:rsid w:val="008925EB"/>
    <w:rsid w:val="00892B43"/>
    <w:rsid w:val="00893432"/>
    <w:rsid w:val="00893936"/>
    <w:rsid w:val="00893CE2"/>
    <w:rsid w:val="00893F41"/>
    <w:rsid w:val="00895144"/>
    <w:rsid w:val="008972B6"/>
    <w:rsid w:val="00897339"/>
    <w:rsid w:val="00897697"/>
    <w:rsid w:val="008977E1"/>
    <w:rsid w:val="00897D19"/>
    <w:rsid w:val="008A0044"/>
    <w:rsid w:val="008A0BFE"/>
    <w:rsid w:val="008A1932"/>
    <w:rsid w:val="008A21D9"/>
    <w:rsid w:val="008A3182"/>
    <w:rsid w:val="008A3D54"/>
    <w:rsid w:val="008A3E10"/>
    <w:rsid w:val="008A411C"/>
    <w:rsid w:val="008A47CE"/>
    <w:rsid w:val="008A5F2F"/>
    <w:rsid w:val="008A6BAE"/>
    <w:rsid w:val="008A7350"/>
    <w:rsid w:val="008A7A72"/>
    <w:rsid w:val="008B0128"/>
    <w:rsid w:val="008B09F3"/>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69B8"/>
    <w:rsid w:val="008B7033"/>
    <w:rsid w:val="008B7042"/>
    <w:rsid w:val="008B770C"/>
    <w:rsid w:val="008C094A"/>
    <w:rsid w:val="008C1570"/>
    <w:rsid w:val="008C1E3E"/>
    <w:rsid w:val="008C2059"/>
    <w:rsid w:val="008C2DBC"/>
    <w:rsid w:val="008C5371"/>
    <w:rsid w:val="008C623D"/>
    <w:rsid w:val="008C65F4"/>
    <w:rsid w:val="008C6683"/>
    <w:rsid w:val="008C6E0C"/>
    <w:rsid w:val="008C7273"/>
    <w:rsid w:val="008C78F8"/>
    <w:rsid w:val="008D09E8"/>
    <w:rsid w:val="008D0D60"/>
    <w:rsid w:val="008D0E65"/>
    <w:rsid w:val="008D110A"/>
    <w:rsid w:val="008D1612"/>
    <w:rsid w:val="008D2259"/>
    <w:rsid w:val="008D2833"/>
    <w:rsid w:val="008D313A"/>
    <w:rsid w:val="008D3381"/>
    <w:rsid w:val="008D33FE"/>
    <w:rsid w:val="008D3B9F"/>
    <w:rsid w:val="008D3D02"/>
    <w:rsid w:val="008D4226"/>
    <w:rsid w:val="008D4D7C"/>
    <w:rsid w:val="008D5432"/>
    <w:rsid w:val="008D54C0"/>
    <w:rsid w:val="008D5558"/>
    <w:rsid w:val="008D5806"/>
    <w:rsid w:val="008D5ED9"/>
    <w:rsid w:val="008D7567"/>
    <w:rsid w:val="008E0EE4"/>
    <w:rsid w:val="008E1C24"/>
    <w:rsid w:val="008E2626"/>
    <w:rsid w:val="008E27A9"/>
    <w:rsid w:val="008E323C"/>
    <w:rsid w:val="008E3379"/>
    <w:rsid w:val="008E35A6"/>
    <w:rsid w:val="008E36D9"/>
    <w:rsid w:val="008E3A5C"/>
    <w:rsid w:val="008E3A9A"/>
    <w:rsid w:val="008E429E"/>
    <w:rsid w:val="008E4A14"/>
    <w:rsid w:val="008E58A3"/>
    <w:rsid w:val="008E5938"/>
    <w:rsid w:val="008E76BB"/>
    <w:rsid w:val="008F0976"/>
    <w:rsid w:val="008F1764"/>
    <w:rsid w:val="008F1E3D"/>
    <w:rsid w:val="008F235C"/>
    <w:rsid w:val="008F290B"/>
    <w:rsid w:val="008F2F11"/>
    <w:rsid w:val="008F33A6"/>
    <w:rsid w:val="008F35EC"/>
    <w:rsid w:val="008F4FE8"/>
    <w:rsid w:val="008F4FED"/>
    <w:rsid w:val="008F6200"/>
    <w:rsid w:val="008F62F8"/>
    <w:rsid w:val="008F6893"/>
    <w:rsid w:val="008F7292"/>
    <w:rsid w:val="008F76C0"/>
    <w:rsid w:val="009000F2"/>
    <w:rsid w:val="0090079D"/>
    <w:rsid w:val="0090086A"/>
    <w:rsid w:val="00900D2C"/>
    <w:rsid w:val="00901807"/>
    <w:rsid w:val="00901F0E"/>
    <w:rsid w:val="00902A26"/>
    <w:rsid w:val="00902B29"/>
    <w:rsid w:val="00903C83"/>
    <w:rsid w:val="0090408F"/>
    <w:rsid w:val="0090446A"/>
    <w:rsid w:val="00904DC3"/>
    <w:rsid w:val="00905469"/>
    <w:rsid w:val="0090557F"/>
    <w:rsid w:val="0090629C"/>
    <w:rsid w:val="00906EA2"/>
    <w:rsid w:val="00907278"/>
    <w:rsid w:val="0091112B"/>
    <w:rsid w:val="009128B8"/>
    <w:rsid w:val="0091472C"/>
    <w:rsid w:val="00915351"/>
    <w:rsid w:val="00915679"/>
    <w:rsid w:val="009159C2"/>
    <w:rsid w:val="0091627F"/>
    <w:rsid w:val="0092077A"/>
    <w:rsid w:val="009219F3"/>
    <w:rsid w:val="009221CB"/>
    <w:rsid w:val="00922320"/>
    <w:rsid w:val="00923643"/>
    <w:rsid w:val="00923E1A"/>
    <w:rsid w:val="0092490A"/>
    <w:rsid w:val="00925A3E"/>
    <w:rsid w:val="009261DB"/>
    <w:rsid w:val="00926939"/>
    <w:rsid w:val="00926F4C"/>
    <w:rsid w:val="00927710"/>
    <w:rsid w:val="009307CA"/>
    <w:rsid w:val="009312F9"/>
    <w:rsid w:val="00931445"/>
    <w:rsid w:val="00931867"/>
    <w:rsid w:val="00931AB8"/>
    <w:rsid w:val="00931C63"/>
    <w:rsid w:val="00931D10"/>
    <w:rsid w:val="00931D67"/>
    <w:rsid w:val="0093218A"/>
    <w:rsid w:val="0093386D"/>
    <w:rsid w:val="009346C0"/>
    <w:rsid w:val="00934C8E"/>
    <w:rsid w:val="00935194"/>
    <w:rsid w:val="00936EA5"/>
    <w:rsid w:val="00937114"/>
    <w:rsid w:val="0094015D"/>
    <w:rsid w:val="00940916"/>
    <w:rsid w:val="00941B13"/>
    <w:rsid w:val="0094215C"/>
    <w:rsid w:val="00942F8E"/>
    <w:rsid w:val="00942F8F"/>
    <w:rsid w:val="009441DB"/>
    <w:rsid w:val="00944834"/>
    <w:rsid w:val="00946128"/>
    <w:rsid w:val="0094633F"/>
    <w:rsid w:val="00947BA5"/>
    <w:rsid w:val="00950805"/>
    <w:rsid w:val="009517E4"/>
    <w:rsid w:val="009518D4"/>
    <w:rsid w:val="009520BC"/>
    <w:rsid w:val="009521D2"/>
    <w:rsid w:val="00952403"/>
    <w:rsid w:val="00952BD8"/>
    <w:rsid w:val="00953573"/>
    <w:rsid w:val="00956647"/>
    <w:rsid w:val="00956E9F"/>
    <w:rsid w:val="00957380"/>
    <w:rsid w:val="00957409"/>
    <w:rsid w:val="00957499"/>
    <w:rsid w:val="00957ED2"/>
    <w:rsid w:val="00960DE4"/>
    <w:rsid w:val="009610C7"/>
    <w:rsid w:val="00961164"/>
    <w:rsid w:val="00961A4F"/>
    <w:rsid w:val="00962FB8"/>
    <w:rsid w:val="0096373F"/>
    <w:rsid w:val="00964007"/>
    <w:rsid w:val="00964283"/>
    <w:rsid w:val="009643F4"/>
    <w:rsid w:val="009645A6"/>
    <w:rsid w:val="00964F5A"/>
    <w:rsid w:val="009653ED"/>
    <w:rsid w:val="00966AD2"/>
    <w:rsid w:val="009716D8"/>
    <w:rsid w:val="00971F54"/>
    <w:rsid w:val="00972057"/>
    <w:rsid w:val="0097227B"/>
    <w:rsid w:val="0097262E"/>
    <w:rsid w:val="0097293F"/>
    <w:rsid w:val="00974022"/>
    <w:rsid w:val="009745D8"/>
    <w:rsid w:val="00974F3B"/>
    <w:rsid w:val="0097552A"/>
    <w:rsid w:val="0097564A"/>
    <w:rsid w:val="00975D06"/>
    <w:rsid w:val="00975DAE"/>
    <w:rsid w:val="00976BBE"/>
    <w:rsid w:val="0098055B"/>
    <w:rsid w:val="009810BE"/>
    <w:rsid w:val="009817BC"/>
    <w:rsid w:val="009819A7"/>
    <w:rsid w:val="00981A38"/>
    <w:rsid w:val="0098220A"/>
    <w:rsid w:val="00983337"/>
    <w:rsid w:val="009851F5"/>
    <w:rsid w:val="0098534B"/>
    <w:rsid w:val="00986281"/>
    <w:rsid w:val="00986FC9"/>
    <w:rsid w:val="0098764E"/>
    <w:rsid w:val="00987683"/>
    <w:rsid w:val="00987826"/>
    <w:rsid w:val="00987B4F"/>
    <w:rsid w:val="00987D58"/>
    <w:rsid w:val="009906D4"/>
    <w:rsid w:val="00990EB7"/>
    <w:rsid w:val="00990F5F"/>
    <w:rsid w:val="009911A7"/>
    <w:rsid w:val="009913B8"/>
    <w:rsid w:val="009914E4"/>
    <w:rsid w:val="00992141"/>
    <w:rsid w:val="00992D5B"/>
    <w:rsid w:val="00993135"/>
    <w:rsid w:val="00993AC7"/>
    <w:rsid w:val="00993BAD"/>
    <w:rsid w:val="00993E49"/>
    <w:rsid w:val="00994120"/>
    <w:rsid w:val="009942F5"/>
    <w:rsid w:val="00994568"/>
    <w:rsid w:val="00994602"/>
    <w:rsid w:val="00995B01"/>
    <w:rsid w:val="00996EF4"/>
    <w:rsid w:val="00997044"/>
    <w:rsid w:val="00997BC9"/>
    <w:rsid w:val="00997CB2"/>
    <w:rsid w:val="009A038D"/>
    <w:rsid w:val="009A113D"/>
    <w:rsid w:val="009A2BE9"/>
    <w:rsid w:val="009A2BF3"/>
    <w:rsid w:val="009A3C3E"/>
    <w:rsid w:val="009A4C2C"/>
    <w:rsid w:val="009A59B3"/>
    <w:rsid w:val="009A5FAE"/>
    <w:rsid w:val="009A6B3A"/>
    <w:rsid w:val="009A7E7C"/>
    <w:rsid w:val="009B05D2"/>
    <w:rsid w:val="009B152B"/>
    <w:rsid w:val="009B1D18"/>
    <w:rsid w:val="009B2731"/>
    <w:rsid w:val="009B2DCF"/>
    <w:rsid w:val="009B3D38"/>
    <w:rsid w:val="009B4368"/>
    <w:rsid w:val="009B4D4C"/>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535"/>
    <w:rsid w:val="009D2B4E"/>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19BB"/>
    <w:rsid w:val="009E1C47"/>
    <w:rsid w:val="009E38D1"/>
    <w:rsid w:val="009E3DF1"/>
    <w:rsid w:val="009E514A"/>
    <w:rsid w:val="009E5177"/>
    <w:rsid w:val="009E5701"/>
    <w:rsid w:val="009E5711"/>
    <w:rsid w:val="009E758E"/>
    <w:rsid w:val="009E7D6B"/>
    <w:rsid w:val="009E7E81"/>
    <w:rsid w:val="009F020A"/>
    <w:rsid w:val="009F05AD"/>
    <w:rsid w:val="009F0659"/>
    <w:rsid w:val="009F1109"/>
    <w:rsid w:val="009F143E"/>
    <w:rsid w:val="009F1DE8"/>
    <w:rsid w:val="009F2186"/>
    <w:rsid w:val="009F28DC"/>
    <w:rsid w:val="009F2EDB"/>
    <w:rsid w:val="009F33DC"/>
    <w:rsid w:val="009F4550"/>
    <w:rsid w:val="009F56C0"/>
    <w:rsid w:val="009F5C76"/>
    <w:rsid w:val="00A000C5"/>
    <w:rsid w:val="00A000F1"/>
    <w:rsid w:val="00A007B4"/>
    <w:rsid w:val="00A00CA0"/>
    <w:rsid w:val="00A00E00"/>
    <w:rsid w:val="00A01195"/>
    <w:rsid w:val="00A01221"/>
    <w:rsid w:val="00A012A8"/>
    <w:rsid w:val="00A012F1"/>
    <w:rsid w:val="00A016FF"/>
    <w:rsid w:val="00A0207F"/>
    <w:rsid w:val="00A021AF"/>
    <w:rsid w:val="00A03A7C"/>
    <w:rsid w:val="00A044AA"/>
    <w:rsid w:val="00A0700C"/>
    <w:rsid w:val="00A102F8"/>
    <w:rsid w:val="00A10A20"/>
    <w:rsid w:val="00A117D5"/>
    <w:rsid w:val="00A13121"/>
    <w:rsid w:val="00A131F5"/>
    <w:rsid w:val="00A133C1"/>
    <w:rsid w:val="00A13414"/>
    <w:rsid w:val="00A13675"/>
    <w:rsid w:val="00A138B7"/>
    <w:rsid w:val="00A13F2D"/>
    <w:rsid w:val="00A14F81"/>
    <w:rsid w:val="00A1535F"/>
    <w:rsid w:val="00A15CB1"/>
    <w:rsid w:val="00A15DCC"/>
    <w:rsid w:val="00A15E84"/>
    <w:rsid w:val="00A16021"/>
    <w:rsid w:val="00A16538"/>
    <w:rsid w:val="00A17242"/>
    <w:rsid w:val="00A176DD"/>
    <w:rsid w:val="00A22225"/>
    <w:rsid w:val="00A22C3E"/>
    <w:rsid w:val="00A22C4D"/>
    <w:rsid w:val="00A23048"/>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6148"/>
    <w:rsid w:val="00A37309"/>
    <w:rsid w:val="00A37558"/>
    <w:rsid w:val="00A3786A"/>
    <w:rsid w:val="00A4008C"/>
    <w:rsid w:val="00A402A8"/>
    <w:rsid w:val="00A40685"/>
    <w:rsid w:val="00A40E2F"/>
    <w:rsid w:val="00A41819"/>
    <w:rsid w:val="00A41C9A"/>
    <w:rsid w:val="00A41D73"/>
    <w:rsid w:val="00A433E8"/>
    <w:rsid w:val="00A43A1D"/>
    <w:rsid w:val="00A44854"/>
    <w:rsid w:val="00A44A45"/>
    <w:rsid w:val="00A4665D"/>
    <w:rsid w:val="00A46859"/>
    <w:rsid w:val="00A46D39"/>
    <w:rsid w:val="00A472B8"/>
    <w:rsid w:val="00A5004A"/>
    <w:rsid w:val="00A502F5"/>
    <w:rsid w:val="00A504F4"/>
    <w:rsid w:val="00A508AA"/>
    <w:rsid w:val="00A526CE"/>
    <w:rsid w:val="00A54909"/>
    <w:rsid w:val="00A54DC0"/>
    <w:rsid w:val="00A550C9"/>
    <w:rsid w:val="00A55228"/>
    <w:rsid w:val="00A55A04"/>
    <w:rsid w:val="00A564DE"/>
    <w:rsid w:val="00A6054E"/>
    <w:rsid w:val="00A60799"/>
    <w:rsid w:val="00A61B7F"/>
    <w:rsid w:val="00A61B91"/>
    <w:rsid w:val="00A63335"/>
    <w:rsid w:val="00A63685"/>
    <w:rsid w:val="00A645AC"/>
    <w:rsid w:val="00A65EFB"/>
    <w:rsid w:val="00A66E28"/>
    <w:rsid w:val="00A67429"/>
    <w:rsid w:val="00A67CE9"/>
    <w:rsid w:val="00A70590"/>
    <w:rsid w:val="00A7062E"/>
    <w:rsid w:val="00A70834"/>
    <w:rsid w:val="00A71542"/>
    <w:rsid w:val="00A71FA0"/>
    <w:rsid w:val="00A71FBD"/>
    <w:rsid w:val="00A72727"/>
    <w:rsid w:val="00A727D8"/>
    <w:rsid w:val="00A72C1A"/>
    <w:rsid w:val="00A7463E"/>
    <w:rsid w:val="00A758E2"/>
    <w:rsid w:val="00A765B1"/>
    <w:rsid w:val="00A772F2"/>
    <w:rsid w:val="00A77828"/>
    <w:rsid w:val="00A800F9"/>
    <w:rsid w:val="00A803A6"/>
    <w:rsid w:val="00A8073D"/>
    <w:rsid w:val="00A80D02"/>
    <w:rsid w:val="00A82D32"/>
    <w:rsid w:val="00A82EAE"/>
    <w:rsid w:val="00A837E1"/>
    <w:rsid w:val="00A847F9"/>
    <w:rsid w:val="00A84F27"/>
    <w:rsid w:val="00A8519C"/>
    <w:rsid w:val="00A85B87"/>
    <w:rsid w:val="00A85F83"/>
    <w:rsid w:val="00A86019"/>
    <w:rsid w:val="00A86EED"/>
    <w:rsid w:val="00A8733A"/>
    <w:rsid w:val="00A9196B"/>
    <w:rsid w:val="00A91BB5"/>
    <w:rsid w:val="00A91BEE"/>
    <w:rsid w:val="00A91D4B"/>
    <w:rsid w:val="00A920B2"/>
    <w:rsid w:val="00A92A96"/>
    <w:rsid w:val="00A92AF0"/>
    <w:rsid w:val="00A933FE"/>
    <w:rsid w:val="00A937D5"/>
    <w:rsid w:val="00A93C70"/>
    <w:rsid w:val="00A94A32"/>
    <w:rsid w:val="00A94AFC"/>
    <w:rsid w:val="00A96B4A"/>
    <w:rsid w:val="00A97BDA"/>
    <w:rsid w:val="00AA0779"/>
    <w:rsid w:val="00AA08F3"/>
    <w:rsid w:val="00AA0A7E"/>
    <w:rsid w:val="00AA0F23"/>
    <w:rsid w:val="00AA1067"/>
    <w:rsid w:val="00AA1163"/>
    <w:rsid w:val="00AA1DA8"/>
    <w:rsid w:val="00AA222C"/>
    <w:rsid w:val="00AA238E"/>
    <w:rsid w:val="00AA253B"/>
    <w:rsid w:val="00AA29F8"/>
    <w:rsid w:val="00AA3243"/>
    <w:rsid w:val="00AA388F"/>
    <w:rsid w:val="00AA408E"/>
    <w:rsid w:val="00AA456D"/>
    <w:rsid w:val="00AA4F6D"/>
    <w:rsid w:val="00AA536B"/>
    <w:rsid w:val="00AA5A5C"/>
    <w:rsid w:val="00AA5A6F"/>
    <w:rsid w:val="00AA634D"/>
    <w:rsid w:val="00AA6F6C"/>
    <w:rsid w:val="00AA7519"/>
    <w:rsid w:val="00AA790A"/>
    <w:rsid w:val="00AB02EA"/>
    <w:rsid w:val="00AB110C"/>
    <w:rsid w:val="00AB227A"/>
    <w:rsid w:val="00AB22BF"/>
    <w:rsid w:val="00AB256E"/>
    <w:rsid w:val="00AB2D82"/>
    <w:rsid w:val="00AB3079"/>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4094"/>
    <w:rsid w:val="00AC42B6"/>
    <w:rsid w:val="00AC4AB7"/>
    <w:rsid w:val="00AC6D24"/>
    <w:rsid w:val="00AC6E18"/>
    <w:rsid w:val="00AD1065"/>
    <w:rsid w:val="00AD3132"/>
    <w:rsid w:val="00AD3DA6"/>
    <w:rsid w:val="00AD3F3C"/>
    <w:rsid w:val="00AD4B2F"/>
    <w:rsid w:val="00AD5487"/>
    <w:rsid w:val="00AD5F0A"/>
    <w:rsid w:val="00AD6B4F"/>
    <w:rsid w:val="00AD6D19"/>
    <w:rsid w:val="00AD7812"/>
    <w:rsid w:val="00AD7C42"/>
    <w:rsid w:val="00AD7CFA"/>
    <w:rsid w:val="00AE0BD6"/>
    <w:rsid w:val="00AE11C1"/>
    <w:rsid w:val="00AE163D"/>
    <w:rsid w:val="00AE1C5C"/>
    <w:rsid w:val="00AE315E"/>
    <w:rsid w:val="00AE319F"/>
    <w:rsid w:val="00AE31D9"/>
    <w:rsid w:val="00AE3CF0"/>
    <w:rsid w:val="00AE3D72"/>
    <w:rsid w:val="00AE40B7"/>
    <w:rsid w:val="00AE71EE"/>
    <w:rsid w:val="00AF03CF"/>
    <w:rsid w:val="00AF0A0A"/>
    <w:rsid w:val="00AF14FC"/>
    <w:rsid w:val="00AF1ED2"/>
    <w:rsid w:val="00AF1F4E"/>
    <w:rsid w:val="00AF2302"/>
    <w:rsid w:val="00AF3557"/>
    <w:rsid w:val="00AF3F86"/>
    <w:rsid w:val="00AF4CEE"/>
    <w:rsid w:val="00AF584C"/>
    <w:rsid w:val="00AF5D84"/>
    <w:rsid w:val="00AF669D"/>
    <w:rsid w:val="00AF672C"/>
    <w:rsid w:val="00AF673E"/>
    <w:rsid w:val="00AF7389"/>
    <w:rsid w:val="00AF79DF"/>
    <w:rsid w:val="00AF7C37"/>
    <w:rsid w:val="00B00378"/>
    <w:rsid w:val="00B00D91"/>
    <w:rsid w:val="00B00E84"/>
    <w:rsid w:val="00B01DD9"/>
    <w:rsid w:val="00B038F1"/>
    <w:rsid w:val="00B03C1B"/>
    <w:rsid w:val="00B04678"/>
    <w:rsid w:val="00B04A04"/>
    <w:rsid w:val="00B04B78"/>
    <w:rsid w:val="00B04C37"/>
    <w:rsid w:val="00B04E25"/>
    <w:rsid w:val="00B04F00"/>
    <w:rsid w:val="00B05BA6"/>
    <w:rsid w:val="00B066FE"/>
    <w:rsid w:val="00B06912"/>
    <w:rsid w:val="00B07F74"/>
    <w:rsid w:val="00B10B04"/>
    <w:rsid w:val="00B10CC6"/>
    <w:rsid w:val="00B11A61"/>
    <w:rsid w:val="00B12082"/>
    <w:rsid w:val="00B12648"/>
    <w:rsid w:val="00B1270C"/>
    <w:rsid w:val="00B12740"/>
    <w:rsid w:val="00B13389"/>
    <w:rsid w:val="00B1364C"/>
    <w:rsid w:val="00B141A5"/>
    <w:rsid w:val="00B14F47"/>
    <w:rsid w:val="00B15286"/>
    <w:rsid w:val="00B1550D"/>
    <w:rsid w:val="00B15F6C"/>
    <w:rsid w:val="00B163E8"/>
    <w:rsid w:val="00B1767E"/>
    <w:rsid w:val="00B20760"/>
    <w:rsid w:val="00B21676"/>
    <w:rsid w:val="00B219E1"/>
    <w:rsid w:val="00B21ECF"/>
    <w:rsid w:val="00B22150"/>
    <w:rsid w:val="00B226DE"/>
    <w:rsid w:val="00B22C8E"/>
    <w:rsid w:val="00B22FB5"/>
    <w:rsid w:val="00B241D5"/>
    <w:rsid w:val="00B24BE9"/>
    <w:rsid w:val="00B25F8C"/>
    <w:rsid w:val="00B260BE"/>
    <w:rsid w:val="00B26677"/>
    <w:rsid w:val="00B26A96"/>
    <w:rsid w:val="00B274E3"/>
    <w:rsid w:val="00B2765C"/>
    <w:rsid w:val="00B27C4B"/>
    <w:rsid w:val="00B30563"/>
    <w:rsid w:val="00B30A76"/>
    <w:rsid w:val="00B31246"/>
    <w:rsid w:val="00B32295"/>
    <w:rsid w:val="00B33AB5"/>
    <w:rsid w:val="00B3412E"/>
    <w:rsid w:val="00B35B6D"/>
    <w:rsid w:val="00B367C4"/>
    <w:rsid w:val="00B37B8E"/>
    <w:rsid w:val="00B40222"/>
    <w:rsid w:val="00B404C3"/>
    <w:rsid w:val="00B4311F"/>
    <w:rsid w:val="00B431AE"/>
    <w:rsid w:val="00B435C1"/>
    <w:rsid w:val="00B44288"/>
    <w:rsid w:val="00B448BF"/>
    <w:rsid w:val="00B45A59"/>
    <w:rsid w:val="00B45F9F"/>
    <w:rsid w:val="00B4627C"/>
    <w:rsid w:val="00B46793"/>
    <w:rsid w:val="00B46953"/>
    <w:rsid w:val="00B47455"/>
    <w:rsid w:val="00B475F1"/>
    <w:rsid w:val="00B47979"/>
    <w:rsid w:val="00B47A59"/>
    <w:rsid w:val="00B503D6"/>
    <w:rsid w:val="00B51520"/>
    <w:rsid w:val="00B515C3"/>
    <w:rsid w:val="00B517C2"/>
    <w:rsid w:val="00B518CE"/>
    <w:rsid w:val="00B51F56"/>
    <w:rsid w:val="00B52234"/>
    <w:rsid w:val="00B53623"/>
    <w:rsid w:val="00B53D1D"/>
    <w:rsid w:val="00B53E98"/>
    <w:rsid w:val="00B53F9B"/>
    <w:rsid w:val="00B54525"/>
    <w:rsid w:val="00B55F64"/>
    <w:rsid w:val="00B56ECA"/>
    <w:rsid w:val="00B57093"/>
    <w:rsid w:val="00B60613"/>
    <w:rsid w:val="00B61AEC"/>
    <w:rsid w:val="00B62A2F"/>
    <w:rsid w:val="00B62B7B"/>
    <w:rsid w:val="00B62F0A"/>
    <w:rsid w:val="00B634B7"/>
    <w:rsid w:val="00B63EF6"/>
    <w:rsid w:val="00B6440A"/>
    <w:rsid w:val="00B6465C"/>
    <w:rsid w:val="00B64C94"/>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55B6"/>
    <w:rsid w:val="00B75A48"/>
    <w:rsid w:val="00B75CC0"/>
    <w:rsid w:val="00B76021"/>
    <w:rsid w:val="00B76432"/>
    <w:rsid w:val="00B804F8"/>
    <w:rsid w:val="00B8095A"/>
    <w:rsid w:val="00B81274"/>
    <w:rsid w:val="00B815D3"/>
    <w:rsid w:val="00B823A6"/>
    <w:rsid w:val="00B83E76"/>
    <w:rsid w:val="00B83FA0"/>
    <w:rsid w:val="00B86289"/>
    <w:rsid w:val="00B863B3"/>
    <w:rsid w:val="00B869D3"/>
    <w:rsid w:val="00B86CF8"/>
    <w:rsid w:val="00B86E44"/>
    <w:rsid w:val="00B87359"/>
    <w:rsid w:val="00B87F1C"/>
    <w:rsid w:val="00B90D8D"/>
    <w:rsid w:val="00B91263"/>
    <w:rsid w:val="00B91B61"/>
    <w:rsid w:val="00B93849"/>
    <w:rsid w:val="00B938BD"/>
    <w:rsid w:val="00B9407F"/>
    <w:rsid w:val="00B944E9"/>
    <w:rsid w:val="00B94896"/>
    <w:rsid w:val="00B94CDD"/>
    <w:rsid w:val="00B94DA7"/>
    <w:rsid w:val="00B96DD9"/>
    <w:rsid w:val="00B97C70"/>
    <w:rsid w:val="00BA050E"/>
    <w:rsid w:val="00BA14B2"/>
    <w:rsid w:val="00BA15DC"/>
    <w:rsid w:val="00BA2C82"/>
    <w:rsid w:val="00BA4399"/>
    <w:rsid w:val="00BA4452"/>
    <w:rsid w:val="00BA5039"/>
    <w:rsid w:val="00BA583B"/>
    <w:rsid w:val="00BA5EC7"/>
    <w:rsid w:val="00BA6319"/>
    <w:rsid w:val="00BA63CE"/>
    <w:rsid w:val="00BA676E"/>
    <w:rsid w:val="00BA6980"/>
    <w:rsid w:val="00BA6BFC"/>
    <w:rsid w:val="00BA6EF2"/>
    <w:rsid w:val="00BA7227"/>
    <w:rsid w:val="00BA763C"/>
    <w:rsid w:val="00BA7CD7"/>
    <w:rsid w:val="00BB00E5"/>
    <w:rsid w:val="00BB1EFB"/>
    <w:rsid w:val="00BB27CC"/>
    <w:rsid w:val="00BB2ACE"/>
    <w:rsid w:val="00BB2E4E"/>
    <w:rsid w:val="00BB2E62"/>
    <w:rsid w:val="00BB36C9"/>
    <w:rsid w:val="00BB40D1"/>
    <w:rsid w:val="00BB7EC0"/>
    <w:rsid w:val="00BC0207"/>
    <w:rsid w:val="00BC0A5A"/>
    <w:rsid w:val="00BC0E64"/>
    <w:rsid w:val="00BC25D1"/>
    <w:rsid w:val="00BC2DBD"/>
    <w:rsid w:val="00BC3BCB"/>
    <w:rsid w:val="00BC428A"/>
    <w:rsid w:val="00BC4C40"/>
    <w:rsid w:val="00BC5AE3"/>
    <w:rsid w:val="00BC5BAD"/>
    <w:rsid w:val="00BC76C5"/>
    <w:rsid w:val="00BD138A"/>
    <w:rsid w:val="00BD164A"/>
    <w:rsid w:val="00BD1BDD"/>
    <w:rsid w:val="00BD1D7D"/>
    <w:rsid w:val="00BD2B4D"/>
    <w:rsid w:val="00BD2F08"/>
    <w:rsid w:val="00BD2FB9"/>
    <w:rsid w:val="00BD31C2"/>
    <w:rsid w:val="00BD3683"/>
    <w:rsid w:val="00BD450A"/>
    <w:rsid w:val="00BD4717"/>
    <w:rsid w:val="00BD48EA"/>
    <w:rsid w:val="00BD4BA8"/>
    <w:rsid w:val="00BD62E6"/>
    <w:rsid w:val="00BD6B0E"/>
    <w:rsid w:val="00BD7941"/>
    <w:rsid w:val="00BE0C55"/>
    <w:rsid w:val="00BE11A2"/>
    <w:rsid w:val="00BE1EF0"/>
    <w:rsid w:val="00BE246C"/>
    <w:rsid w:val="00BE2657"/>
    <w:rsid w:val="00BE37AE"/>
    <w:rsid w:val="00BE3B14"/>
    <w:rsid w:val="00BE3C65"/>
    <w:rsid w:val="00BE4222"/>
    <w:rsid w:val="00BE472D"/>
    <w:rsid w:val="00BE4C03"/>
    <w:rsid w:val="00BE71F2"/>
    <w:rsid w:val="00BE7F4D"/>
    <w:rsid w:val="00BF03C0"/>
    <w:rsid w:val="00BF0EBF"/>
    <w:rsid w:val="00BF21D4"/>
    <w:rsid w:val="00BF2DDC"/>
    <w:rsid w:val="00BF4A15"/>
    <w:rsid w:val="00BF4E0E"/>
    <w:rsid w:val="00BF4E27"/>
    <w:rsid w:val="00BF537B"/>
    <w:rsid w:val="00BF626A"/>
    <w:rsid w:val="00BF688E"/>
    <w:rsid w:val="00BF6D77"/>
    <w:rsid w:val="00BF7EF5"/>
    <w:rsid w:val="00C0234A"/>
    <w:rsid w:val="00C0247B"/>
    <w:rsid w:val="00C0378E"/>
    <w:rsid w:val="00C05730"/>
    <w:rsid w:val="00C05AF4"/>
    <w:rsid w:val="00C05AFD"/>
    <w:rsid w:val="00C0661C"/>
    <w:rsid w:val="00C0675F"/>
    <w:rsid w:val="00C06D4B"/>
    <w:rsid w:val="00C0702A"/>
    <w:rsid w:val="00C0724C"/>
    <w:rsid w:val="00C07C11"/>
    <w:rsid w:val="00C07E10"/>
    <w:rsid w:val="00C10015"/>
    <w:rsid w:val="00C11689"/>
    <w:rsid w:val="00C116F9"/>
    <w:rsid w:val="00C12414"/>
    <w:rsid w:val="00C12ECB"/>
    <w:rsid w:val="00C13837"/>
    <w:rsid w:val="00C148B2"/>
    <w:rsid w:val="00C14ABD"/>
    <w:rsid w:val="00C151E0"/>
    <w:rsid w:val="00C159FD"/>
    <w:rsid w:val="00C15B31"/>
    <w:rsid w:val="00C1604F"/>
    <w:rsid w:val="00C166D4"/>
    <w:rsid w:val="00C168E5"/>
    <w:rsid w:val="00C1696D"/>
    <w:rsid w:val="00C17AB5"/>
    <w:rsid w:val="00C20051"/>
    <w:rsid w:val="00C20B86"/>
    <w:rsid w:val="00C21145"/>
    <w:rsid w:val="00C215ED"/>
    <w:rsid w:val="00C23615"/>
    <w:rsid w:val="00C2397E"/>
    <w:rsid w:val="00C23A83"/>
    <w:rsid w:val="00C24381"/>
    <w:rsid w:val="00C24801"/>
    <w:rsid w:val="00C24C2E"/>
    <w:rsid w:val="00C24C7A"/>
    <w:rsid w:val="00C24FFB"/>
    <w:rsid w:val="00C25CFF"/>
    <w:rsid w:val="00C25EA6"/>
    <w:rsid w:val="00C26164"/>
    <w:rsid w:val="00C261C1"/>
    <w:rsid w:val="00C26DBF"/>
    <w:rsid w:val="00C27204"/>
    <w:rsid w:val="00C304E9"/>
    <w:rsid w:val="00C30B0B"/>
    <w:rsid w:val="00C31320"/>
    <w:rsid w:val="00C316B4"/>
    <w:rsid w:val="00C31B58"/>
    <w:rsid w:val="00C332D4"/>
    <w:rsid w:val="00C33850"/>
    <w:rsid w:val="00C33E51"/>
    <w:rsid w:val="00C34C45"/>
    <w:rsid w:val="00C34C47"/>
    <w:rsid w:val="00C34FCE"/>
    <w:rsid w:val="00C35EED"/>
    <w:rsid w:val="00C36B2C"/>
    <w:rsid w:val="00C3701A"/>
    <w:rsid w:val="00C405C8"/>
    <w:rsid w:val="00C40C2F"/>
    <w:rsid w:val="00C415AC"/>
    <w:rsid w:val="00C4297A"/>
    <w:rsid w:val="00C4360C"/>
    <w:rsid w:val="00C43A0B"/>
    <w:rsid w:val="00C43EDA"/>
    <w:rsid w:val="00C4414C"/>
    <w:rsid w:val="00C45512"/>
    <w:rsid w:val="00C4602B"/>
    <w:rsid w:val="00C46564"/>
    <w:rsid w:val="00C46BFA"/>
    <w:rsid w:val="00C500A1"/>
    <w:rsid w:val="00C50A02"/>
    <w:rsid w:val="00C51149"/>
    <w:rsid w:val="00C5117E"/>
    <w:rsid w:val="00C512D1"/>
    <w:rsid w:val="00C51856"/>
    <w:rsid w:val="00C51B04"/>
    <w:rsid w:val="00C53CE9"/>
    <w:rsid w:val="00C5531B"/>
    <w:rsid w:val="00C55375"/>
    <w:rsid w:val="00C56C98"/>
    <w:rsid w:val="00C56DEE"/>
    <w:rsid w:val="00C57120"/>
    <w:rsid w:val="00C571D5"/>
    <w:rsid w:val="00C575D4"/>
    <w:rsid w:val="00C61223"/>
    <w:rsid w:val="00C61246"/>
    <w:rsid w:val="00C618A8"/>
    <w:rsid w:val="00C61A78"/>
    <w:rsid w:val="00C629E9"/>
    <w:rsid w:val="00C62B88"/>
    <w:rsid w:val="00C634F9"/>
    <w:rsid w:val="00C643ED"/>
    <w:rsid w:val="00C64534"/>
    <w:rsid w:val="00C64D93"/>
    <w:rsid w:val="00C64F49"/>
    <w:rsid w:val="00C64F71"/>
    <w:rsid w:val="00C65200"/>
    <w:rsid w:val="00C65BD3"/>
    <w:rsid w:val="00C665DE"/>
    <w:rsid w:val="00C667C3"/>
    <w:rsid w:val="00C66FBD"/>
    <w:rsid w:val="00C6728B"/>
    <w:rsid w:val="00C71528"/>
    <w:rsid w:val="00C717E4"/>
    <w:rsid w:val="00C7191B"/>
    <w:rsid w:val="00C71F09"/>
    <w:rsid w:val="00C72588"/>
    <w:rsid w:val="00C727B9"/>
    <w:rsid w:val="00C72F44"/>
    <w:rsid w:val="00C73670"/>
    <w:rsid w:val="00C737D1"/>
    <w:rsid w:val="00C73DE0"/>
    <w:rsid w:val="00C74609"/>
    <w:rsid w:val="00C749AB"/>
    <w:rsid w:val="00C75A8F"/>
    <w:rsid w:val="00C76C0C"/>
    <w:rsid w:val="00C76FFC"/>
    <w:rsid w:val="00C774E0"/>
    <w:rsid w:val="00C776BA"/>
    <w:rsid w:val="00C7791E"/>
    <w:rsid w:val="00C81716"/>
    <w:rsid w:val="00C832CB"/>
    <w:rsid w:val="00C84085"/>
    <w:rsid w:val="00C85677"/>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5C2F"/>
    <w:rsid w:val="00C95F87"/>
    <w:rsid w:val="00C968EF"/>
    <w:rsid w:val="00C96DEA"/>
    <w:rsid w:val="00C972CE"/>
    <w:rsid w:val="00CA0492"/>
    <w:rsid w:val="00CA0632"/>
    <w:rsid w:val="00CA0A04"/>
    <w:rsid w:val="00CA18F3"/>
    <w:rsid w:val="00CA2528"/>
    <w:rsid w:val="00CA3CAB"/>
    <w:rsid w:val="00CA3FC0"/>
    <w:rsid w:val="00CA6A2E"/>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C0072"/>
    <w:rsid w:val="00CC0915"/>
    <w:rsid w:val="00CC1AF5"/>
    <w:rsid w:val="00CC1B74"/>
    <w:rsid w:val="00CC291E"/>
    <w:rsid w:val="00CC2D03"/>
    <w:rsid w:val="00CC2EB0"/>
    <w:rsid w:val="00CC4701"/>
    <w:rsid w:val="00CC56B4"/>
    <w:rsid w:val="00CC5F95"/>
    <w:rsid w:val="00CC642A"/>
    <w:rsid w:val="00CC733D"/>
    <w:rsid w:val="00CC7E97"/>
    <w:rsid w:val="00CD082E"/>
    <w:rsid w:val="00CD1255"/>
    <w:rsid w:val="00CD1484"/>
    <w:rsid w:val="00CD1892"/>
    <w:rsid w:val="00CD1C01"/>
    <w:rsid w:val="00CD1D00"/>
    <w:rsid w:val="00CD27AC"/>
    <w:rsid w:val="00CD2A82"/>
    <w:rsid w:val="00CD3CAB"/>
    <w:rsid w:val="00CD4371"/>
    <w:rsid w:val="00CD46A7"/>
    <w:rsid w:val="00CD4E50"/>
    <w:rsid w:val="00CD57CB"/>
    <w:rsid w:val="00CD64E1"/>
    <w:rsid w:val="00CD699D"/>
    <w:rsid w:val="00CD6BA3"/>
    <w:rsid w:val="00CD70DB"/>
    <w:rsid w:val="00CD7544"/>
    <w:rsid w:val="00CD78D4"/>
    <w:rsid w:val="00CE03D6"/>
    <w:rsid w:val="00CE0697"/>
    <w:rsid w:val="00CE2E2E"/>
    <w:rsid w:val="00CE3A51"/>
    <w:rsid w:val="00CE41F9"/>
    <w:rsid w:val="00CE59F6"/>
    <w:rsid w:val="00CE66CD"/>
    <w:rsid w:val="00CE6BA9"/>
    <w:rsid w:val="00CE6E96"/>
    <w:rsid w:val="00CE71C3"/>
    <w:rsid w:val="00CF029C"/>
    <w:rsid w:val="00CF0AF0"/>
    <w:rsid w:val="00CF157E"/>
    <w:rsid w:val="00CF1834"/>
    <w:rsid w:val="00CF1AAA"/>
    <w:rsid w:val="00CF1EC2"/>
    <w:rsid w:val="00CF2ACF"/>
    <w:rsid w:val="00CF345B"/>
    <w:rsid w:val="00CF475F"/>
    <w:rsid w:val="00CF5008"/>
    <w:rsid w:val="00CF5069"/>
    <w:rsid w:val="00CF5E34"/>
    <w:rsid w:val="00CF7101"/>
    <w:rsid w:val="00CF7327"/>
    <w:rsid w:val="00CF7385"/>
    <w:rsid w:val="00CF75C6"/>
    <w:rsid w:val="00CF7B77"/>
    <w:rsid w:val="00CF7DF5"/>
    <w:rsid w:val="00D001D2"/>
    <w:rsid w:val="00D02A80"/>
    <w:rsid w:val="00D0352D"/>
    <w:rsid w:val="00D04F01"/>
    <w:rsid w:val="00D04F8B"/>
    <w:rsid w:val="00D054EF"/>
    <w:rsid w:val="00D05637"/>
    <w:rsid w:val="00D0563C"/>
    <w:rsid w:val="00D05BA9"/>
    <w:rsid w:val="00D05EB1"/>
    <w:rsid w:val="00D0650B"/>
    <w:rsid w:val="00D06E71"/>
    <w:rsid w:val="00D0714B"/>
    <w:rsid w:val="00D0764E"/>
    <w:rsid w:val="00D07D82"/>
    <w:rsid w:val="00D10327"/>
    <w:rsid w:val="00D103C9"/>
    <w:rsid w:val="00D10BE1"/>
    <w:rsid w:val="00D11FE3"/>
    <w:rsid w:val="00D12945"/>
    <w:rsid w:val="00D12DA1"/>
    <w:rsid w:val="00D1343A"/>
    <w:rsid w:val="00D13D50"/>
    <w:rsid w:val="00D14101"/>
    <w:rsid w:val="00D14919"/>
    <w:rsid w:val="00D14E25"/>
    <w:rsid w:val="00D15AE3"/>
    <w:rsid w:val="00D160C4"/>
    <w:rsid w:val="00D165D8"/>
    <w:rsid w:val="00D1724E"/>
    <w:rsid w:val="00D17C26"/>
    <w:rsid w:val="00D206F6"/>
    <w:rsid w:val="00D20FD1"/>
    <w:rsid w:val="00D21AAA"/>
    <w:rsid w:val="00D21E6F"/>
    <w:rsid w:val="00D22882"/>
    <w:rsid w:val="00D2371E"/>
    <w:rsid w:val="00D237E0"/>
    <w:rsid w:val="00D23A17"/>
    <w:rsid w:val="00D25676"/>
    <w:rsid w:val="00D265A7"/>
    <w:rsid w:val="00D27129"/>
    <w:rsid w:val="00D279E7"/>
    <w:rsid w:val="00D27F75"/>
    <w:rsid w:val="00D3046D"/>
    <w:rsid w:val="00D30497"/>
    <w:rsid w:val="00D30F5F"/>
    <w:rsid w:val="00D31243"/>
    <w:rsid w:val="00D31B07"/>
    <w:rsid w:val="00D31B9D"/>
    <w:rsid w:val="00D32DFF"/>
    <w:rsid w:val="00D32FA0"/>
    <w:rsid w:val="00D33112"/>
    <w:rsid w:val="00D331CB"/>
    <w:rsid w:val="00D3497A"/>
    <w:rsid w:val="00D36BB8"/>
    <w:rsid w:val="00D377D4"/>
    <w:rsid w:val="00D401A1"/>
    <w:rsid w:val="00D40217"/>
    <w:rsid w:val="00D40385"/>
    <w:rsid w:val="00D404CE"/>
    <w:rsid w:val="00D40E8F"/>
    <w:rsid w:val="00D412BF"/>
    <w:rsid w:val="00D417C6"/>
    <w:rsid w:val="00D42B0C"/>
    <w:rsid w:val="00D42D6E"/>
    <w:rsid w:val="00D43DEF"/>
    <w:rsid w:val="00D44259"/>
    <w:rsid w:val="00D45DDC"/>
    <w:rsid w:val="00D47376"/>
    <w:rsid w:val="00D5064C"/>
    <w:rsid w:val="00D50C94"/>
    <w:rsid w:val="00D517ED"/>
    <w:rsid w:val="00D5251C"/>
    <w:rsid w:val="00D52F56"/>
    <w:rsid w:val="00D539DA"/>
    <w:rsid w:val="00D54A50"/>
    <w:rsid w:val="00D5552C"/>
    <w:rsid w:val="00D5556D"/>
    <w:rsid w:val="00D55C81"/>
    <w:rsid w:val="00D5674B"/>
    <w:rsid w:val="00D56B56"/>
    <w:rsid w:val="00D56BF5"/>
    <w:rsid w:val="00D56F99"/>
    <w:rsid w:val="00D5743F"/>
    <w:rsid w:val="00D605C2"/>
    <w:rsid w:val="00D60733"/>
    <w:rsid w:val="00D61E1D"/>
    <w:rsid w:val="00D61F98"/>
    <w:rsid w:val="00D629A4"/>
    <w:rsid w:val="00D62BDF"/>
    <w:rsid w:val="00D64F1C"/>
    <w:rsid w:val="00D6570C"/>
    <w:rsid w:val="00D659EA"/>
    <w:rsid w:val="00D65A89"/>
    <w:rsid w:val="00D65E85"/>
    <w:rsid w:val="00D675B0"/>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56E"/>
    <w:rsid w:val="00D753A9"/>
    <w:rsid w:val="00D755F7"/>
    <w:rsid w:val="00D75DDB"/>
    <w:rsid w:val="00D75E4B"/>
    <w:rsid w:val="00D774F4"/>
    <w:rsid w:val="00D77AF6"/>
    <w:rsid w:val="00D804C5"/>
    <w:rsid w:val="00D80A68"/>
    <w:rsid w:val="00D81A28"/>
    <w:rsid w:val="00D82B00"/>
    <w:rsid w:val="00D82B04"/>
    <w:rsid w:val="00D82BE4"/>
    <w:rsid w:val="00D82E05"/>
    <w:rsid w:val="00D83C0D"/>
    <w:rsid w:val="00D83C80"/>
    <w:rsid w:val="00D8665E"/>
    <w:rsid w:val="00D869C1"/>
    <w:rsid w:val="00D86EC6"/>
    <w:rsid w:val="00D87418"/>
    <w:rsid w:val="00D87A39"/>
    <w:rsid w:val="00D87FE6"/>
    <w:rsid w:val="00D90BC3"/>
    <w:rsid w:val="00D90DB9"/>
    <w:rsid w:val="00D91001"/>
    <w:rsid w:val="00D910FF"/>
    <w:rsid w:val="00D91337"/>
    <w:rsid w:val="00D915C9"/>
    <w:rsid w:val="00D918DA"/>
    <w:rsid w:val="00D9198F"/>
    <w:rsid w:val="00D92078"/>
    <w:rsid w:val="00D92A87"/>
    <w:rsid w:val="00D9384E"/>
    <w:rsid w:val="00D93AEE"/>
    <w:rsid w:val="00D9413E"/>
    <w:rsid w:val="00D94C8D"/>
    <w:rsid w:val="00D95F88"/>
    <w:rsid w:val="00D96698"/>
    <w:rsid w:val="00D96876"/>
    <w:rsid w:val="00D96940"/>
    <w:rsid w:val="00D96B12"/>
    <w:rsid w:val="00D96F59"/>
    <w:rsid w:val="00DA099C"/>
    <w:rsid w:val="00DA0F18"/>
    <w:rsid w:val="00DA2125"/>
    <w:rsid w:val="00DA21EC"/>
    <w:rsid w:val="00DA24DE"/>
    <w:rsid w:val="00DA270C"/>
    <w:rsid w:val="00DA281F"/>
    <w:rsid w:val="00DA3D23"/>
    <w:rsid w:val="00DA4A61"/>
    <w:rsid w:val="00DA5AFE"/>
    <w:rsid w:val="00DA61AB"/>
    <w:rsid w:val="00DA61CD"/>
    <w:rsid w:val="00DA6EE2"/>
    <w:rsid w:val="00DA78CF"/>
    <w:rsid w:val="00DA78D5"/>
    <w:rsid w:val="00DA7A89"/>
    <w:rsid w:val="00DA7BF4"/>
    <w:rsid w:val="00DB052F"/>
    <w:rsid w:val="00DB14D3"/>
    <w:rsid w:val="00DB154B"/>
    <w:rsid w:val="00DB1BDC"/>
    <w:rsid w:val="00DB3490"/>
    <w:rsid w:val="00DB3593"/>
    <w:rsid w:val="00DB440B"/>
    <w:rsid w:val="00DB4426"/>
    <w:rsid w:val="00DB4B40"/>
    <w:rsid w:val="00DB4F12"/>
    <w:rsid w:val="00DB4F21"/>
    <w:rsid w:val="00DB540C"/>
    <w:rsid w:val="00DB6F96"/>
    <w:rsid w:val="00DB71B9"/>
    <w:rsid w:val="00DC1395"/>
    <w:rsid w:val="00DC32FC"/>
    <w:rsid w:val="00DC3D89"/>
    <w:rsid w:val="00DC4567"/>
    <w:rsid w:val="00DC4D6C"/>
    <w:rsid w:val="00DC4F47"/>
    <w:rsid w:val="00DC5BD0"/>
    <w:rsid w:val="00DC5BE2"/>
    <w:rsid w:val="00DC628E"/>
    <w:rsid w:val="00DC6747"/>
    <w:rsid w:val="00DC6AF3"/>
    <w:rsid w:val="00DC7608"/>
    <w:rsid w:val="00DC761E"/>
    <w:rsid w:val="00DC7B3B"/>
    <w:rsid w:val="00DC7CFC"/>
    <w:rsid w:val="00DD09F2"/>
    <w:rsid w:val="00DD0DEE"/>
    <w:rsid w:val="00DD1205"/>
    <w:rsid w:val="00DD1633"/>
    <w:rsid w:val="00DD17A0"/>
    <w:rsid w:val="00DD2831"/>
    <w:rsid w:val="00DD2A6D"/>
    <w:rsid w:val="00DD2E17"/>
    <w:rsid w:val="00DD42DE"/>
    <w:rsid w:val="00DD4309"/>
    <w:rsid w:val="00DD4344"/>
    <w:rsid w:val="00DD573B"/>
    <w:rsid w:val="00DD57E7"/>
    <w:rsid w:val="00DD5A1E"/>
    <w:rsid w:val="00DD5B8C"/>
    <w:rsid w:val="00DD5DFA"/>
    <w:rsid w:val="00DD720D"/>
    <w:rsid w:val="00DE0229"/>
    <w:rsid w:val="00DE1A9D"/>
    <w:rsid w:val="00DE1CB1"/>
    <w:rsid w:val="00DE2073"/>
    <w:rsid w:val="00DE30AC"/>
    <w:rsid w:val="00DE4106"/>
    <w:rsid w:val="00DE466B"/>
    <w:rsid w:val="00DE48F4"/>
    <w:rsid w:val="00DE5563"/>
    <w:rsid w:val="00DE5D48"/>
    <w:rsid w:val="00DE6E4D"/>
    <w:rsid w:val="00DE7498"/>
    <w:rsid w:val="00DE75EF"/>
    <w:rsid w:val="00DE7611"/>
    <w:rsid w:val="00DF05A0"/>
    <w:rsid w:val="00DF1148"/>
    <w:rsid w:val="00DF1BA8"/>
    <w:rsid w:val="00DF1F63"/>
    <w:rsid w:val="00DF28F2"/>
    <w:rsid w:val="00DF2BFF"/>
    <w:rsid w:val="00DF3798"/>
    <w:rsid w:val="00DF4FF1"/>
    <w:rsid w:val="00DF6FD2"/>
    <w:rsid w:val="00DF72EF"/>
    <w:rsid w:val="00DF743D"/>
    <w:rsid w:val="00DF7724"/>
    <w:rsid w:val="00E00C1E"/>
    <w:rsid w:val="00E00F5F"/>
    <w:rsid w:val="00E01377"/>
    <w:rsid w:val="00E014E7"/>
    <w:rsid w:val="00E0232F"/>
    <w:rsid w:val="00E026A9"/>
    <w:rsid w:val="00E0356F"/>
    <w:rsid w:val="00E03B42"/>
    <w:rsid w:val="00E03C10"/>
    <w:rsid w:val="00E0479F"/>
    <w:rsid w:val="00E04816"/>
    <w:rsid w:val="00E04982"/>
    <w:rsid w:val="00E04D6A"/>
    <w:rsid w:val="00E05950"/>
    <w:rsid w:val="00E05CD4"/>
    <w:rsid w:val="00E06100"/>
    <w:rsid w:val="00E0614E"/>
    <w:rsid w:val="00E06E97"/>
    <w:rsid w:val="00E07B8F"/>
    <w:rsid w:val="00E10DD1"/>
    <w:rsid w:val="00E119EA"/>
    <w:rsid w:val="00E1224C"/>
    <w:rsid w:val="00E1254C"/>
    <w:rsid w:val="00E12BDF"/>
    <w:rsid w:val="00E1328C"/>
    <w:rsid w:val="00E13326"/>
    <w:rsid w:val="00E14356"/>
    <w:rsid w:val="00E14961"/>
    <w:rsid w:val="00E14D76"/>
    <w:rsid w:val="00E15D6C"/>
    <w:rsid w:val="00E1720B"/>
    <w:rsid w:val="00E203DE"/>
    <w:rsid w:val="00E20CE7"/>
    <w:rsid w:val="00E217B1"/>
    <w:rsid w:val="00E222FA"/>
    <w:rsid w:val="00E229CE"/>
    <w:rsid w:val="00E22B4A"/>
    <w:rsid w:val="00E24A62"/>
    <w:rsid w:val="00E24F52"/>
    <w:rsid w:val="00E25755"/>
    <w:rsid w:val="00E25E53"/>
    <w:rsid w:val="00E266DD"/>
    <w:rsid w:val="00E26D2E"/>
    <w:rsid w:val="00E279B2"/>
    <w:rsid w:val="00E3055B"/>
    <w:rsid w:val="00E31699"/>
    <w:rsid w:val="00E31761"/>
    <w:rsid w:val="00E31812"/>
    <w:rsid w:val="00E31889"/>
    <w:rsid w:val="00E31CE7"/>
    <w:rsid w:val="00E333D5"/>
    <w:rsid w:val="00E3394F"/>
    <w:rsid w:val="00E34A2F"/>
    <w:rsid w:val="00E35A45"/>
    <w:rsid w:val="00E35F7F"/>
    <w:rsid w:val="00E36392"/>
    <w:rsid w:val="00E37A6F"/>
    <w:rsid w:val="00E40222"/>
    <w:rsid w:val="00E40406"/>
    <w:rsid w:val="00E4082B"/>
    <w:rsid w:val="00E408EC"/>
    <w:rsid w:val="00E40BCB"/>
    <w:rsid w:val="00E4208F"/>
    <w:rsid w:val="00E42E94"/>
    <w:rsid w:val="00E43006"/>
    <w:rsid w:val="00E4312A"/>
    <w:rsid w:val="00E43551"/>
    <w:rsid w:val="00E437FA"/>
    <w:rsid w:val="00E45A2C"/>
    <w:rsid w:val="00E46A9C"/>
    <w:rsid w:val="00E47DB1"/>
    <w:rsid w:val="00E50BDD"/>
    <w:rsid w:val="00E510CF"/>
    <w:rsid w:val="00E513D7"/>
    <w:rsid w:val="00E5206C"/>
    <w:rsid w:val="00E52AAB"/>
    <w:rsid w:val="00E5448E"/>
    <w:rsid w:val="00E54E0D"/>
    <w:rsid w:val="00E558E5"/>
    <w:rsid w:val="00E56795"/>
    <w:rsid w:val="00E56D92"/>
    <w:rsid w:val="00E57932"/>
    <w:rsid w:val="00E606C4"/>
    <w:rsid w:val="00E60811"/>
    <w:rsid w:val="00E60AB8"/>
    <w:rsid w:val="00E61D32"/>
    <w:rsid w:val="00E63C60"/>
    <w:rsid w:val="00E64050"/>
    <w:rsid w:val="00E6514D"/>
    <w:rsid w:val="00E65161"/>
    <w:rsid w:val="00E652C9"/>
    <w:rsid w:val="00E6593B"/>
    <w:rsid w:val="00E672C6"/>
    <w:rsid w:val="00E70192"/>
    <w:rsid w:val="00E70C55"/>
    <w:rsid w:val="00E71809"/>
    <w:rsid w:val="00E71D1E"/>
    <w:rsid w:val="00E728E2"/>
    <w:rsid w:val="00E738FA"/>
    <w:rsid w:val="00E74A2B"/>
    <w:rsid w:val="00E75667"/>
    <w:rsid w:val="00E756D3"/>
    <w:rsid w:val="00E75A5A"/>
    <w:rsid w:val="00E76004"/>
    <w:rsid w:val="00E7608F"/>
    <w:rsid w:val="00E760D7"/>
    <w:rsid w:val="00E769CC"/>
    <w:rsid w:val="00E77341"/>
    <w:rsid w:val="00E7783E"/>
    <w:rsid w:val="00E778B8"/>
    <w:rsid w:val="00E801C7"/>
    <w:rsid w:val="00E80AF8"/>
    <w:rsid w:val="00E80BED"/>
    <w:rsid w:val="00E816E8"/>
    <w:rsid w:val="00E82592"/>
    <w:rsid w:val="00E827BB"/>
    <w:rsid w:val="00E82D24"/>
    <w:rsid w:val="00E8357D"/>
    <w:rsid w:val="00E84212"/>
    <w:rsid w:val="00E84C04"/>
    <w:rsid w:val="00E84F72"/>
    <w:rsid w:val="00E856A2"/>
    <w:rsid w:val="00E8572B"/>
    <w:rsid w:val="00E8575B"/>
    <w:rsid w:val="00E85929"/>
    <w:rsid w:val="00E85AD2"/>
    <w:rsid w:val="00E863B4"/>
    <w:rsid w:val="00E87CF7"/>
    <w:rsid w:val="00E9036E"/>
    <w:rsid w:val="00E9078A"/>
    <w:rsid w:val="00E912FD"/>
    <w:rsid w:val="00E92C6E"/>
    <w:rsid w:val="00E92D0B"/>
    <w:rsid w:val="00E93195"/>
    <w:rsid w:val="00E93D29"/>
    <w:rsid w:val="00E951D8"/>
    <w:rsid w:val="00E95C2A"/>
    <w:rsid w:val="00E961CB"/>
    <w:rsid w:val="00E963BC"/>
    <w:rsid w:val="00E966A6"/>
    <w:rsid w:val="00E96C2F"/>
    <w:rsid w:val="00E96E91"/>
    <w:rsid w:val="00E97DC6"/>
    <w:rsid w:val="00E97F7A"/>
    <w:rsid w:val="00EA0010"/>
    <w:rsid w:val="00EA0143"/>
    <w:rsid w:val="00EA089B"/>
    <w:rsid w:val="00EA2E21"/>
    <w:rsid w:val="00EA380C"/>
    <w:rsid w:val="00EA7308"/>
    <w:rsid w:val="00EB089C"/>
    <w:rsid w:val="00EB0AA8"/>
    <w:rsid w:val="00EB0C65"/>
    <w:rsid w:val="00EB1624"/>
    <w:rsid w:val="00EB169F"/>
    <w:rsid w:val="00EB193B"/>
    <w:rsid w:val="00EB2635"/>
    <w:rsid w:val="00EB2961"/>
    <w:rsid w:val="00EB2E1A"/>
    <w:rsid w:val="00EB2F8A"/>
    <w:rsid w:val="00EB3268"/>
    <w:rsid w:val="00EB3298"/>
    <w:rsid w:val="00EB3939"/>
    <w:rsid w:val="00EB3CE6"/>
    <w:rsid w:val="00EB3E92"/>
    <w:rsid w:val="00EB54AB"/>
    <w:rsid w:val="00EB6257"/>
    <w:rsid w:val="00EB68E6"/>
    <w:rsid w:val="00EB71C9"/>
    <w:rsid w:val="00EB7B67"/>
    <w:rsid w:val="00EC07F1"/>
    <w:rsid w:val="00EC1E8A"/>
    <w:rsid w:val="00EC328C"/>
    <w:rsid w:val="00EC3852"/>
    <w:rsid w:val="00EC5241"/>
    <w:rsid w:val="00EC594C"/>
    <w:rsid w:val="00EC5C7B"/>
    <w:rsid w:val="00EC66AA"/>
    <w:rsid w:val="00EC6B8F"/>
    <w:rsid w:val="00EC7154"/>
    <w:rsid w:val="00EC7371"/>
    <w:rsid w:val="00EC73F5"/>
    <w:rsid w:val="00EC7A28"/>
    <w:rsid w:val="00EC7B48"/>
    <w:rsid w:val="00ED0257"/>
    <w:rsid w:val="00ED071B"/>
    <w:rsid w:val="00ED1ADE"/>
    <w:rsid w:val="00ED4A77"/>
    <w:rsid w:val="00ED5981"/>
    <w:rsid w:val="00ED613A"/>
    <w:rsid w:val="00ED6514"/>
    <w:rsid w:val="00ED66B2"/>
    <w:rsid w:val="00ED71BA"/>
    <w:rsid w:val="00ED73A1"/>
    <w:rsid w:val="00ED7BA3"/>
    <w:rsid w:val="00ED7CA2"/>
    <w:rsid w:val="00ED7E38"/>
    <w:rsid w:val="00EE13DA"/>
    <w:rsid w:val="00EE1595"/>
    <w:rsid w:val="00EE2087"/>
    <w:rsid w:val="00EE20C2"/>
    <w:rsid w:val="00EE2A9D"/>
    <w:rsid w:val="00EE3384"/>
    <w:rsid w:val="00EE499F"/>
    <w:rsid w:val="00EE56E2"/>
    <w:rsid w:val="00EE6D45"/>
    <w:rsid w:val="00EE6E89"/>
    <w:rsid w:val="00EE7352"/>
    <w:rsid w:val="00EF0D4B"/>
    <w:rsid w:val="00EF0FE6"/>
    <w:rsid w:val="00EF1432"/>
    <w:rsid w:val="00EF1511"/>
    <w:rsid w:val="00EF2C5F"/>
    <w:rsid w:val="00EF3AC4"/>
    <w:rsid w:val="00EF3FF9"/>
    <w:rsid w:val="00EF41AF"/>
    <w:rsid w:val="00EF4DB4"/>
    <w:rsid w:val="00EF55E9"/>
    <w:rsid w:val="00EF5B41"/>
    <w:rsid w:val="00EF611C"/>
    <w:rsid w:val="00EF625F"/>
    <w:rsid w:val="00F00630"/>
    <w:rsid w:val="00F00922"/>
    <w:rsid w:val="00F00924"/>
    <w:rsid w:val="00F01BE6"/>
    <w:rsid w:val="00F0217A"/>
    <w:rsid w:val="00F026D3"/>
    <w:rsid w:val="00F027E8"/>
    <w:rsid w:val="00F03395"/>
    <w:rsid w:val="00F034E6"/>
    <w:rsid w:val="00F03E4C"/>
    <w:rsid w:val="00F06340"/>
    <w:rsid w:val="00F0665D"/>
    <w:rsid w:val="00F06D42"/>
    <w:rsid w:val="00F07134"/>
    <w:rsid w:val="00F0724D"/>
    <w:rsid w:val="00F07378"/>
    <w:rsid w:val="00F10B81"/>
    <w:rsid w:val="00F113C9"/>
    <w:rsid w:val="00F11C01"/>
    <w:rsid w:val="00F11D80"/>
    <w:rsid w:val="00F138FC"/>
    <w:rsid w:val="00F14B4B"/>
    <w:rsid w:val="00F14CD1"/>
    <w:rsid w:val="00F15115"/>
    <w:rsid w:val="00F15C81"/>
    <w:rsid w:val="00F15D8C"/>
    <w:rsid w:val="00F15F18"/>
    <w:rsid w:val="00F16B86"/>
    <w:rsid w:val="00F16E1A"/>
    <w:rsid w:val="00F16F92"/>
    <w:rsid w:val="00F17C3E"/>
    <w:rsid w:val="00F20197"/>
    <w:rsid w:val="00F20324"/>
    <w:rsid w:val="00F20369"/>
    <w:rsid w:val="00F20607"/>
    <w:rsid w:val="00F208BB"/>
    <w:rsid w:val="00F213D8"/>
    <w:rsid w:val="00F21A5D"/>
    <w:rsid w:val="00F21C13"/>
    <w:rsid w:val="00F21DBD"/>
    <w:rsid w:val="00F22362"/>
    <w:rsid w:val="00F22796"/>
    <w:rsid w:val="00F2363A"/>
    <w:rsid w:val="00F238F7"/>
    <w:rsid w:val="00F23BA0"/>
    <w:rsid w:val="00F2420C"/>
    <w:rsid w:val="00F2494B"/>
    <w:rsid w:val="00F254C4"/>
    <w:rsid w:val="00F25641"/>
    <w:rsid w:val="00F256D8"/>
    <w:rsid w:val="00F25824"/>
    <w:rsid w:val="00F26065"/>
    <w:rsid w:val="00F266E3"/>
    <w:rsid w:val="00F2689C"/>
    <w:rsid w:val="00F27E44"/>
    <w:rsid w:val="00F30313"/>
    <w:rsid w:val="00F303BC"/>
    <w:rsid w:val="00F30472"/>
    <w:rsid w:val="00F318A1"/>
    <w:rsid w:val="00F31CF5"/>
    <w:rsid w:val="00F3265C"/>
    <w:rsid w:val="00F3355C"/>
    <w:rsid w:val="00F343EE"/>
    <w:rsid w:val="00F353F4"/>
    <w:rsid w:val="00F35494"/>
    <w:rsid w:val="00F35607"/>
    <w:rsid w:val="00F35DBA"/>
    <w:rsid w:val="00F3619D"/>
    <w:rsid w:val="00F36C02"/>
    <w:rsid w:val="00F3722A"/>
    <w:rsid w:val="00F37366"/>
    <w:rsid w:val="00F37C99"/>
    <w:rsid w:val="00F37FCC"/>
    <w:rsid w:val="00F419B8"/>
    <w:rsid w:val="00F41C0F"/>
    <w:rsid w:val="00F41FC5"/>
    <w:rsid w:val="00F42856"/>
    <w:rsid w:val="00F43777"/>
    <w:rsid w:val="00F4482B"/>
    <w:rsid w:val="00F44F02"/>
    <w:rsid w:val="00F44FF6"/>
    <w:rsid w:val="00F4526B"/>
    <w:rsid w:val="00F45298"/>
    <w:rsid w:val="00F45F64"/>
    <w:rsid w:val="00F462DF"/>
    <w:rsid w:val="00F4662D"/>
    <w:rsid w:val="00F467BA"/>
    <w:rsid w:val="00F4689E"/>
    <w:rsid w:val="00F468AC"/>
    <w:rsid w:val="00F46A5F"/>
    <w:rsid w:val="00F47316"/>
    <w:rsid w:val="00F47507"/>
    <w:rsid w:val="00F47A01"/>
    <w:rsid w:val="00F47CEE"/>
    <w:rsid w:val="00F5052D"/>
    <w:rsid w:val="00F51A82"/>
    <w:rsid w:val="00F51B78"/>
    <w:rsid w:val="00F521CE"/>
    <w:rsid w:val="00F5254B"/>
    <w:rsid w:val="00F53A44"/>
    <w:rsid w:val="00F54AC2"/>
    <w:rsid w:val="00F54DB0"/>
    <w:rsid w:val="00F54E5E"/>
    <w:rsid w:val="00F551DB"/>
    <w:rsid w:val="00F559B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6205"/>
    <w:rsid w:val="00F6630F"/>
    <w:rsid w:val="00F66419"/>
    <w:rsid w:val="00F67B58"/>
    <w:rsid w:val="00F67E81"/>
    <w:rsid w:val="00F7044B"/>
    <w:rsid w:val="00F70B21"/>
    <w:rsid w:val="00F71342"/>
    <w:rsid w:val="00F71C68"/>
    <w:rsid w:val="00F724E2"/>
    <w:rsid w:val="00F7254A"/>
    <w:rsid w:val="00F74103"/>
    <w:rsid w:val="00F745A4"/>
    <w:rsid w:val="00F74C0C"/>
    <w:rsid w:val="00F75BB5"/>
    <w:rsid w:val="00F75FD5"/>
    <w:rsid w:val="00F7604C"/>
    <w:rsid w:val="00F773A9"/>
    <w:rsid w:val="00F810C1"/>
    <w:rsid w:val="00F81623"/>
    <w:rsid w:val="00F81D25"/>
    <w:rsid w:val="00F82928"/>
    <w:rsid w:val="00F829B9"/>
    <w:rsid w:val="00F83045"/>
    <w:rsid w:val="00F83615"/>
    <w:rsid w:val="00F8421D"/>
    <w:rsid w:val="00F85329"/>
    <w:rsid w:val="00F86079"/>
    <w:rsid w:val="00F87282"/>
    <w:rsid w:val="00F878CD"/>
    <w:rsid w:val="00F87905"/>
    <w:rsid w:val="00F87A66"/>
    <w:rsid w:val="00F90C1F"/>
    <w:rsid w:val="00F91A44"/>
    <w:rsid w:val="00F9217B"/>
    <w:rsid w:val="00F969D6"/>
    <w:rsid w:val="00F97A34"/>
    <w:rsid w:val="00F97E4A"/>
    <w:rsid w:val="00F97EA1"/>
    <w:rsid w:val="00FA047E"/>
    <w:rsid w:val="00FA05C8"/>
    <w:rsid w:val="00FA0678"/>
    <w:rsid w:val="00FA0DB6"/>
    <w:rsid w:val="00FA23F7"/>
    <w:rsid w:val="00FA27EB"/>
    <w:rsid w:val="00FA2983"/>
    <w:rsid w:val="00FA37A3"/>
    <w:rsid w:val="00FA3EBC"/>
    <w:rsid w:val="00FA423C"/>
    <w:rsid w:val="00FA44D0"/>
    <w:rsid w:val="00FA4590"/>
    <w:rsid w:val="00FA51F7"/>
    <w:rsid w:val="00FA55A2"/>
    <w:rsid w:val="00FA672F"/>
    <w:rsid w:val="00FA7792"/>
    <w:rsid w:val="00FA7AA8"/>
    <w:rsid w:val="00FA7F1D"/>
    <w:rsid w:val="00FB0D60"/>
    <w:rsid w:val="00FB2BF5"/>
    <w:rsid w:val="00FB2F8E"/>
    <w:rsid w:val="00FB30C3"/>
    <w:rsid w:val="00FB39B0"/>
    <w:rsid w:val="00FB5138"/>
    <w:rsid w:val="00FB5797"/>
    <w:rsid w:val="00FB5A71"/>
    <w:rsid w:val="00FB7823"/>
    <w:rsid w:val="00FC05B2"/>
    <w:rsid w:val="00FC08B3"/>
    <w:rsid w:val="00FC09D7"/>
    <w:rsid w:val="00FC0ABE"/>
    <w:rsid w:val="00FC22D0"/>
    <w:rsid w:val="00FC38D4"/>
    <w:rsid w:val="00FC391E"/>
    <w:rsid w:val="00FC3BB7"/>
    <w:rsid w:val="00FC4345"/>
    <w:rsid w:val="00FC444A"/>
    <w:rsid w:val="00FC453D"/>
    <w:rsid w:val="00FC4A89"/>
    <w:rsid w:val="00FC619B"/>
    <w:rsid w:val="00FC665F"/>
    <w:rsid w:val="00FC6D59"/>
    <w:rsid w:val="00FC78F5"/>
    <w:rsid w:val="00FC7AD2"/>
    <w:rsid w:val="00FD10B3"/>
    <w:rsid w:val="00FD11C3"/>
    <w:rsid w:val="00FD154E"/>
    <w:rsid w:val="00FD24D7"/>
    <w:rsid w:val="00FD29CE"/>
    <w:rsid w:val="00FD3AE2"/>
    <w:rsid w:val="00FD3E41"/>
    <w:rsid w:val="00FD3E88"/>
    <w:rsid w:val="00FD3EFA"/>
    <w:rsid w:val="00FD5AE4"/>
    <w:rsid w:val="00FD5F25"/>
    <w:rsid w:val="00FD60BE"/>
    <w:rsid w:val="00FD6894"/>
    <w:rsid w:val="00FD6A57"/>
    <w:rsid w:val="00FD6AF0"/>
    <w:rsid w:val="00FD704D"/>
    <w:rsid w:val="00FD74EF"/>
    <w:rsid w:val="00FD79B8"/>
    <w:rsid w:val="00FD79F6"/>
    <w:rsid w:val="00FE0AD1"/>
    <w:rsid w:val="00FE1852"/>
    <w:rsid w:val="00FE318D"/>
    <w:rsid w:val="00FE33DB"/>
    <w:rsid w:val="00FE33F5"/>
    <w:rsid w:val="00FE37DD"/>
    <w:rsid w:val="00FE3C31"/>
    <w:rsid w:val="00FE4015"/>
    <w:rsid w:val="00FE44F5"/>
    <w:rsid w:val="00FE4783"/>
    <w:rsid w:val="00FE480D"/>
    <w:rsid w:val="00FE4ACC"/>
    <w:rsid w:val="00FE6751"/>
    <w:rsid w:val="00FE7DD1"/>
    <w:rsid w:val="00FF0B4F"/>
    <w:rsid w:val="00FF1A06"/>
    <w:rsid w:val="00FF1AD3"/>
    <w:rsid w:val="00FF1B46"/>
    <w:rsid w:val="00FF219D"/>
    <w:rsid w:val="00FF2A7B"/>
    <w:rsid w:val="00FF3D2B"/>
    <w:rsid w:val="00FF49B4"/>
    <w:rsid w:val="00FF49F4"/>
    <w:rsid w:val="00FF5C6A"/>
    <w:rsid w:val="00FF651D"/>
    <w:rsid w:val="00FF6843"/>
    <w:rsid w:val="010651D9"/>
    <w:rsid w:val="01324286"/>
    <w:rsid w:val="019A3602"/>
    <w:rsid w:val="01B83BFC"/>
    <w:rsid w:val="01C44901"/>
    <w:rsid w:val="01DF45EC"/>
    <w:rsid w:val="01EC0313"/>
    <w:rsid w:val="01ED1B72"/>
    <w:rsid w:val="01F10A24"/>
    <w:rsid w:val="022C2D57"/>
    <w:rsid w:val="02AB5767"/>
    <w:rsid w:val="02DB3B39"/>
    <w:rsid w:val="02EF1B6D"/>
    <w:rsid w:val="02FC5DAF"/>
    <w:rsid w:val="03044B3E"/>
    <w:rsid w:val="032B72BB"/>
    <w:rsid w:val="03973BEA"/>
    <w:rsid w:val="03C77752"/>
    <w:rsid w:val="03D51F35"/>
    <w:rsid w:val="03D536EB"/>
    <w:rsid w:val="03DB03D7"/>
    <w:rsid w:val="03DD35E4"/>
    <w:rsid w:val="04326514"/>
    <w:rsid w:val="047A3988"/>
    <w:rsid w:val="04802348"/>
    <w:rsid w:val="04C213F5"/>
    <w:rsid w:val="04C3393E"/>
    <w:rsid w:val="04E22898"/>
    <w:rsid w:val="055E2DF8"/>
    <w:rsid w:val="057D6D1B"/>
    <w:rsid w:val="05902B1F"/>
    <w:rsid w:val="05B1274C"/>
    <w:rsid w:val="05C66A04"/>
    <w:rsid w:val="06403F76"/>
    <w:rsid w:val="065A6178"/>
    <w:rsid w:val="065C76CA"/>
    <w:rsid w:val="065E4364"/>
    <w:rsid w:val="06997DC9"/>
    <w:rsid w:val="06B7340D"/>
    <w:rsid w:val="06E7687E"/>
    <w:rsid w:val="07513190"/>
    <w:rsid w:val="075B0B44"/>
    <w:rsid w:val="07610439"/>
    <w:rsid w:val="07766BD1"/>
    <w:rsid w:val="07792056"/>
    <w:rsid w:val="07A12433"/>
    <w:rsid w:val="07B474D9"/>
    <w:rsid w:val="07C65C87"/>
    <w:rsid w:val="08002525"/>
    <w:rsid w:val="08060518"/>
    <w:rsid w:val="082320A6"/>
    <w:rsid w:val="083B7081"/>
    <w:rsid w:val="0855758D"/>
    <w:rsid w:val="088547C2"/>
    <w:rsid w:val="088B03A4"/>
    <w:rsid w:val="088D14D4"/>
    <w:rsid w:val="089A5830"/>
    <w:rsid w:val="089F2023"/>
    <w:rsid w:val="08AD5ED6"/>
    <w:rsid w:val="08DE7329"/>
    <w:rsid w:val="09040F73"/>
    <w:rsid w:val="09134087"/>
    <w:rsid w:val="091D2D0D"/>
    <w:rsid w:val="091D3BA0"/>
    <w:rsid w:val="09353E5A"/>
    <w:rsid w:val="09521E9A"/>
    <w:rsid w:val="09556055"/>
    <w:rsid w:val="09636672"/>
    <w:rsid w:val="09A843B2"/>
    <w:rsid w:val="09AA589A"/>
    <w:rsid w:val="09BB43ED"/>
    <w:rsid w:val="09D25533"/>
    <w:rsid w:val="09EE2100"/>
    <w:rsid w:val="0A021BB3"/>
    <w:rsid w:val="0A064AC8"/>
    <w:rsid w:val="0A1F4862"/>
    <w:rsid w:val="0A386823"/>
    <w:rsid w:val="0A3D2994"/>
    <w:rsid w:val="0A5B7E63"/>
    <w:rsid w:val="0A696A24"/>
    <w:rsid w:val="0A6E0EFE"/>
    <w:rsid w:val="0A894656"/>
    <w:rsid w:val="0B09442E"/>
    <w:rsid w:val="0B2D4A46"/>
    <w:rsid w:val="0B374C9B"/>
    <w:rsid w:val="0B375FF6"/>
    <w:rsid w:val="0B5F3CF3"/>
    <w:rsid w:val="0B730A4F"/>
    <w:rsid w:val="0B8F0122"/>
    <w:rsid w:val="0BAE6006"/>
    <w:rsid w:val="0BB66D2E"/>
    <w:rsid w:val="0BB92394"/>
    <w:rsid w:val="0BDE3B4D"/>
    <w:rsid w:val="0BFA1B6A"/>
    <w:rsid w:val="0C021743"/>
    <w:rsid w:val="0C044C54"/>
    <w:rsid w:val="0C141EE7"/>
    <w:rsid w:val="0C154BDF"/>
    <w:rsid w:val="0C1E093A"/>
    <w:rsid w:val="0C3B67DC"/>
    <w:rsid w:val="0C7D41DB"/>
    <w:rsid w:val="0C8568A8"/>
    <w:rsid w:val="0C87121B"/>
    <w:rsid w:val="0C8E2400"/>
    <w:rsid w:val="0C8E6662"/>
    <w:rsid w:val="0C900D86"/>
    <w:rsid w:val="0C982568"/>
    <w:rsid w:val="0CBB7378"/>
    <w:rsid w:val="0CCD081C"/>
    <w:rsid w:val="0CD6773E"/>
    <w:rsid w:val="0CE57EAC"/>
    <w:rsid w:val="0D000E71"/>
    <w:rsid w:val="0D0228F0"/>
    <w:rsid w:val="0D092349"/>
    <w:rsid w:val="0D09697E"/>
    <w:rsid w:val="0D510274"/>
    <w:rsid w:val="0D5F1304"/>
    <w:rsid w:val="0D904C4C"/>
    <w:rsid w:val="0D962B35"/>
    <w:rsid w:val="0DCC614A"/>
    <w:rsid w:val="0DF702FE"/>
    <w:rsid w:val="0E1946BD"/>
    <w:rsid w:val="0E203AE7"/>
    <w:rsid w:val="0E307D2A"/>
    <w:rsid w:val="0E5A7F3C"/>
    <w:rsid w:val="0E6248AC"/>
    <w:rsid w:val="0E7C237A"/>
    <w:rsid w:val="0E8B6EB0"/>
    <w:rsid w:val="0F606299"/>
    <w:rsid w:val="0F816ACD"/>
    <w:rsid w:val="100413E9"/>
    <w:rsid w:val="10174780"/>
    <w:rsid w:val="101A5959"/>
    <w:rsid w:val="102D7991"/>
    <w:rsid w:val="10482C83"/>
    <w:rsid w:val="106A42A5"/>
    <w:rsid w:val="106D4F28"/>
    <w:rsid w:val="10754423"/>
    <w:rsid w:val="10810C09"/>
    <w:rsid w:val="108F3225"/>
    <w:rsid w:val="10BB6AC4"/>
    <w:rsid w:val="10CD632F"/>
    <w:rsid w:val="10E82426"/>
    <w:rsid w:val="10F00F2D"/>
    <w:rsid w:val="10FC16EA"/>
    <w:rsid w:val="110B02CE"/>
    <w:rsid w:val="11330EC1"/>
    <w:rsid w:val="117C6C73"/>
    <w:rsid w:val="118963A1"/>
    <w:rsid w:val="120818D0"/>
    <w:rsid w:val="124613E1"/>
    <w:rsid w:val="12546A39"/>
    <w:rsid w:val="12560363"/>
    <w:rsid w:val="125646CA"/>
    <w:rsid w:val="125734A5"/>
    <w:rsid w:val="126F455A"/>
    <w:rsid w:val="127723A9"/>
    <w:rsid w:val="12A86223"/>
    <w:rsid w:val="12C23E4B"/>
    <w:rsid w:val="13037C1D"/>
    <w:rsid w:val="13072A44"/>
    <w:rsid w:val="13230AAE"/>
    <w:rsid w:val="133328AE"/>
    <w:rsid w:val="13450269"/>
    <w:rsid w:val="134E2E03"/>
    <w:rsid w:val="13884D1C"/>
    <w:rsid w:val="138D28E9"/>
    <w:rsid w:val="13A2498A"/>
    <w:rsid w:val="13CA200A"/>
    <w:rsid w:val="13D15602"/>
    <w:rsid w:val="13FC19CC"/>
    <w:rsid w:val="13FD458E"/>
    <w:rsid w:val="14032B17"/>
    <w:rsid w:val="14376C1F"/>
    <w:rsid w:val="14576D40"/>
    <w:rsid w:val="14C66FEC"/>
    <w:rsid w:val="14D04F68"/>
    <w:rsid w:val="15300CB1"/>
    <w:rsid w:val="1533373E"/>
    <w:rsid w:val="154E2AD5"/>
    <w:rsid w:val="156A375B"/>
    <w:rsid w:val="156D5D46"/>
    <w:rsid w:val="157B1947"/>
    <w:rsid w:val="157C40AA"/>
    <w:rsid w:val="157D0505"/>
    <w:rsid w:val="159401C4"/>
    <w:rsid w:val="159B3157"/>
    <w:rsid w:val="15B01DC6"/>
    <w:rsid w:val="15BB1E13"/>
    <w:rsid w:val="15F923FE"/>
    <w:rsid w:val="160411EE"/>
    <w:rsid w:val="16185C8D"/>
    <w:rsid w:val="166319F2"/>
    <w:rsid w:val="169165EB"/>
    <w:rsid w:val="172E6866"/>
    <w:rsid w:val="172F5567"/>
    <w:rsid w:val="173C1898"/>
    <w:rsid w:val="17483444"/>
    <w:rsid w:val="176A03EA"/>
    <w:rsid w:val="177213D5"/>
    <w:rsid w:val="17777D21"/>
    <w:rsid w:val="17912ED7"/>
    <w:rsid w:val="17A71381"/>
    <w:rsid w:val="17B951E0"/>
    <w:rsid w:val="181031DC"/>
    <w:rsid w:val="183826F0"/>
    <w:rsid w:val="186E0072"/>
    <w:rsid w:val="189419B0"/>
    <w:rsid w:val="18D935EB"/>
    <w:rsid w:val="190B245E"/>
    <w:rsid w:val="19290FE0"/>
    <w:rsid w:val="192B1144"/>
    <w:rsid w:val="19372A0A"/>
    <w:rsid w:val="19377D4F"/>
    <w:rsid w:val="19406961"/>
    <w:rsid w:val="196E0108"/>
    <w:rsid w:val="19DA24EF"/>
    <w:rsid w:val="1A5F69AA"/>
    <w:rsid w:val="1ACC6B9B"/>
    <w:rsid w:val="1AD62759"/>
    <w:rsid w:val="1ADD19BF"/>
    <w:rsid w:val="1B2A271F"/>
    <w:rsid w:val="1B4C28FE"/>
    <w:rsid w:val="1B5E383A"/>
    <w:rsid w:val="1B6C2F51"/>
    <w:rsid w:val="1B6F1EB6"/>
    <w:rsid w:val="1B6F4586"/>
    <w:rsid w:val="1BA30DFD"/>
    <w:rsid w:val="1BB252EF"/>
    <w:rsid w:val="1BB87815"/>
    <w:rsid w:val="1BBE36EB"/>
    <w:rsid w:val="1C0C2A51"/>
    <w:rsid w:val="1C114C06"/>
    <w:rsid w:val="1C2E500E"/>
    <w:rsid w:val="1C5E4E0F"/>
    <w:rsid w:val="1C637CB1"/>
    <w:rsid w:val="1C8E3119"/>
    <w:rsid w:val="1C955D1C"/>
    <w:rsid w:val="1C981392"/>
    <w:rsid w:val="1CC74DA4"/>
    <w:rsid w:val="1CD66E1B"/>
    <w:rsid w:val="1CD71E21"/>
    <w:rsid w:val="1CDA7AE3"/>
    <w:rsid w:val="1D266CE1"/>
    <w:rsid w:val="1D3963AF"/>
    <w:rsid w:val="1D442E68"/>
    <w:rsid w:val="1D663861"/>
    <w:rsid w:val="1D780BE8"/>
    <w:rsid w:val="1D974ED6"/>
    <w:rsid w:val="1DAC2BFC"/>
    <w:rsid w:val="1DD22C8B"/>
    <w:rsid w:val="1DFC418B"/>
    <w:rsid w:val="1E1803F7"/>
    <w:rsid w:val="1E396F24"/>
    <w:rsid w:val="1E6B3411"/>
    <w:rsid w:val="1E714A66"/>
    <w:rsid w:val="1E80662E"/>
    <w:rsid w:val="1E995689"/>
    <w:rsid w:val="1EC727B0"/>
    <w:rsid w:val="1EE43D96"/>
    <w:rsid w:val="1F1B4E0F"/>
    <w:rsid w:val="1F44532B"/>
    <w:rsid w:val="1F575512"/>
    <w:rsid w:val="1F5C09AF"/>
    <w:rsid w:val="1F856C60"/>
    <w:rsid w:val="1F8B164E"/>
    <w:rsid w:val="1FBA094B"/>
    <w:rsid w:val="1FE868A9"/>
    <w:rsid w:val="200442D1"/>
    <w:rsid w:val="20173E90"/>
    <w:rsid w:val="20256A7F"/>
    <w:rsid w:val="2041433C"/>
    <w:rsid w:val="2050135E"/>
    <w:rsid w:val="205D0023"/>
    <w:rsid w:val="20605494"/>
    <w:rsid w:val="207D2A2A"/>
    <w:rsid w:val="20903080"/>
    <w:rsid w:val="20E14DED"/>
    <w:rsid w:val="20F75F49"/>
    <w:rsid w:val="20FE6708"/>
    <w:rsid w:val="2124261E"/>
    <w:rsid w:val="214C5299"/>
    <w:rsid w:val="21567660"/>
    <w:rsid w:val="215B0BAB"/>
    <w:rsid w:val="21A56535"/>
    <w:rsid w:val="21B06281"/>
    <w:rsid w:val="21C055B8"/>
    <w:rsid w:val="21CB2573"/>
    <w:rsid w:val="21D94305"/>
    <w:rsid w:val="22220C0C"/>
    <w:rsid w:val="22781B68"/>
    <w:rsid w:val="228704AE"/>
    <w:rsid w:val="22AD4528"/>
    <w:rsid w:val="22E83516"/>
    <w:rsid w:val="231F2836"/>
    <w:rsid w:val="23346F01"/>
    <w:rsid w:val="23466569"/>
    <w:rsid w:val="23515452"/>
    <w:rsid w:val="237302DE"/>
    <w:rsid w:val="237A38EB"/>
    <w:rsid w:val="23AB63B7"/>
    <w:rsid w:val="23B82D7A"/>
    <w:rsid w:val="23DC5090"/>
    <w:rsid w:val="241A6304"/>
    <w:rsid w:val="24240A11"/>
    <w:rsid w:val="24385C4F"/>
    <w:rsid w:val="243971F7"/>
    <w:rsid w:val="246E4D14"/>
    <w:rsid w:val="24A45F1D"/>
    <w:rsid w:val="24C4279F"/>
    <w:rsid w:val="24CC5298"/>
    <w:rsid w:val="24D25C0F"/>
    <w:rsid w:val="24D550D6"/>
    <w:rsid w:val="24D937B5"/>
    <w:rsid w:val="25053709"/>
    <w:rsid w:val="253E46F3"/>
    <w:rsid w:val="254638F6"/>
    <w:rsid w:val="256E5BA7"/>
    <w:rsid w:val="258C5FDE"/>
    <w:rsid w:val="259A0CD3"/>
    <w:rsid w:val="259C3C86"/>
    <w:rsid w:val="25B85490"/>
    <w:rsid w:val="25BE1512"/>
    <w:rsid w:val="25F72E67"/>
    <w:rsid w:val="25F7468D"/>
    <w:rsid w:val="26222F38"/>
    <w:rsid w:val="2637698C"/>
    <w:rsid w:val="263C7101"/>
    <w:rsid w:val="26486C66"/>
    <w:rsid w:val="269243A1"/>
    <w:rsid w:val="26951B2C"/>
    <w:rsid w:val="26C4092A"/>
    <w:rsid w:val="27166869"/>
    <w:rsid w:val="27313F16"/>
    <w:rsid w:val="27343FC9"/>
    <w:rsid w:val="278213C1"/>
    <w:rsid w:val="27A27418"/>
    <w:rsid w:val="27CB3039"/>
    <w:rsid w:val="27D30912"/>
    <w:rsid w:val="27D46F8B"/>
    <w:rsid w:val="27EB1574"/>
    <w:rsid w:val="281248E9"/>
    <w:rsid w:val="28312F67"/>
    <w:rsid w:val="28326001"/>
    <w:rsid w:val="28D96058"/>
    <w:rsid w:val="28DE4CE4"/>
    <w:rsid w:val="28E11C7D"/>
    <w:rsid w:val="28F06999"/>
    <w:rsid w:val="28F25666"/>
    <w:rsid w:val="28FE5A50"/>
    <w:rsid w:val="290A6AB3"/>
    <w:rsid w:val="29162CD0"/>
    <w:rsid w:val="291C7D56"/>
    <w:rsid w:val="29344443"/>
    <w:rsid w:val="29540FFF"/>
    <w:rsid w:val="29907FC9"/>
    <w:rsid w:val="2A1C644D"/>
    <w:rsid w:val="2A50522B"/>
    <w:rsid w:val="2A7445E1"/>
    <w:rsid w:val="2A932914"/>
    <w:rsid w:val="2AA04714"/>
    <w:rsid w:val="2AB14716"/>
    <w:rsid w:val="2AED2B38"/>
    <w:rsid w:val="2AF6109B"/>
    <w:rsid w:val="2B0C6D04"/>
    <w:rsid w:val="2B326453"/>
    <w:rsid w:val="2B3A7018"/>
    <w:rsid w:val="2B3C7D4E"/>
    <w:rsid w:val="2B6447BE"/>
    <w:rsid w:val="2B8C1516"/>
    <w:rsid w:val="2BAF444C"/>
    <w:rsid w:val="2BFF4CC4"/>
    <w:rsid w:val="2C8702DA"/>
    <w:rsid w:val="2C890CD2"/>
    <w:rsid w:val="2C9259A9"/>
    <w:rsid w:val="2C9C380E"/>
    <w:rsid w:val="2CB82D9D"/>
    <w:rsid w:val="2CBA5CC0"/>
    <w:rsid w:val="2D036EE9"/>
    <w:rsid w:val="2D135AAF"/>
    <w:rsid w:val="2D5702B4"/>
    <w:rsid w:val="2D8065FC"/>
    <w:rsid w:val="2D846B6A"/>
    <w:rsid w:val="2D95689F"/>
    <w:rsid w:val="2D9E0C96"/>
    <w:rsid w:val="2DB62BEA"/>
    <w:rsid w:val="2DBA6F65"/>
    <w:rsid w:val="2DD15014"/>
    <w:rsid w:val="2DD36C24"/>
    <w:rsid w:val="2DD42A83"/>
    <w:rsid w:val="2DE15742"/>
    <w:rsid w:val="2DE41876"/>
    <w:rsid w:val="2E096E11"/>
    <w:rsid w:val="2E2E1160"/>
    <w:rsid w:val="2E516E9D"/>
    <w:rsid w:val="2E5D2166"/>
    <w:rsid w:val="2E633C14"/>
    <w:rsid w:val="2E884234"/>
    <w:rsid w:val="2E8A3B28"/>
    <w:rsid w:val="2E8C7AEA"/>
    <w:rsid w:val="2E9D076B"/>
    <w:rsid w:val="2EA43146"/>
    <w:rsid w:val="2EC53D2F"/>
    <w:rsid w:val="2EEE505B"/>
    <w:rsid w:val="2EF47004"/>
    <w:rsid w:val="2F1A4403"/>
    <w:rsid w:val="2F2811A5"/>
    <w:rsid w:val="2F4B447E"/>
    <w:rsid w:val="2F5C51D9"/>
    <w:rsid w:val="2F7E303B"/>
    <w:rsid w:val="2F8E4C99"/>
    <w:rsid w:val="2F94223A"/>
    <w:rsid w:val="2F94734B"/>
    <w:rsid w:val="2F96559D"/>
    <w:rsid w:val="2F9F6197"/>
    <w:rsid w:val="2FD25781"/>
    <w:rsid w:val="2FD3163D"/>
    <w:rsid w:val="2FE45C9F"/>
    <w:rsid w:val="2FF24F3D"/>
    <w:rsid w:val="2FFF0B3A"/>
    <w:rsid w:val="30125F3E"/>
    <w:rsid w:val="30595046"/>
    <w:rsid w:val="30894C8A"/>
    <w:rsid w:val="30A57B54"/>
    <w:rsid w:val="30AA3937"/>
    <w:rsid w:val="30E36E27"/>
    <w:rsid w:val="310811F8"/>
    <w:rsid w:val="310F4CC9"/>
    <w:rsid w:val="311A40AC"/>
    <w:rsid w:val="312C023D"/>
    <w:rsid w:val="312C08D6"/>
    <w:rsid w:val="315E2AF7"/>
    <w:rsid w:val="3190748A"/>
    <w:rsid w:val="319C6071"/>
    <w:rsid w:val="319E4788"/>
    <w:rsid w:val="32026FEC"/>
    <w:rsid w:val="323F56E2"/>
    <w:rsid w:val="327C2176"/>
    <w:rsid w:val="328F623B"/>
    <w:rsid w:val="329167A2"/>
    <w:rsid w:val="329B4B1C"/>
    <w:rsid w:val="329B5216"/>
    <w:rsid w:val="32A81270"/>
    <w:rsid w:val="32A84997"/>
    <w:rsid w:val="32D416D9"/>
    <w:rsid w:val="32FD3747"/>
    <w:rsid w:val="331A404B"/>
    <w:rsid w:val="333D6AC1"/>
    <w:rsid w:val="33557944"/>
    <w:rsid w:val="336C0648"/>
    <w:rsid w:val="337A19BE"/>
    <w:rsid w:val="33842ACA"/>
    <w:rsid w:val="33971461"/>
    <w:rsid w:val="33AF41E5"/>
    <w:rsid w:val="33C47757"/>
    <w:rsid w:val="33CB696A"/>
    <w:rsid w:val="33DA25AF"/>
    <w:rsid w:val="342E63AB"/>
    <w:rsid w:val="343D2D11"/>
    <w:rsid w:val="34454D06"/>
    <w:rsid w:val="3457729D"/>
    <w:rsid w:val="34BB5B5D"/>
    <w:rsid w:val="34BE5090"/>
    <w:rsid w:val="34D05D11"/>
    <w:rsid w:val="34F2092F"/>
    <w:rsid w:val="34F31485"/>
    <w:rsid w:val="34F70177"/>
    <w:rsid w:val="34FB7ED0"/>
    <w:rsid w:val="3503572D"/>
    <w:rsid w:val="35080C77"/>
    <w:rsid w:val="35130EFF"/>
    <w:rsid w:val="351738C7"/>
    <w:rsid w:val="35631FC7"/>
    <w:rsid w:val="35923482"/>
    <w:rsid w:val="35997ED9"/>
    <w:rsid w:val="35BA12B6"/>
    <w:rsid w:val="35D77FD8"/>
    <w:rsid w:val="362C1C49"/>
    <w:rsid w:val="36377680"/>
    <w:rsid w:val="364B64E5"/>
    <w:rsid w:val="365302AE"/>
    <w:rsid w:val="365D358B"/>
    <w:rsid w:val="366D4674"/>
    <w:rsid w:val="369F5588"/>
    <w:rsid w:val="36CA3BAF"/>
    <w:rsid w:val="36D45E4A"/>
    <w:rsid w:val="36E97174"/>
    <w:rsid w:val="37171FD6"/>
    <w:rsid w:val="372659E6"/>
    <w:rsid w:val="375A1CD1"/>
    <w:rsid w:val="37734B07"/>
    <w:rsid w:val="377E38DF"/>
    <w:rsid w:val="37925CF1"/>
    <w:rsid w:val="37937C4A"/>
    <w:rsid w:val="37B35831"/>
    <w:rsid w:val="37C054DC"/>
    <w:rsid w:val="37CA5A01"/>
    <w:rsid w:val="37D3564B"/>
    <w:rsid w:val="37FA4DBA"/>
    <w:rsid w:val="37FD1C27"/>
    <w:rsid w:val="38016D95"/>
    <w:rsid w:val="38025177"/>
    <w:rsid w:val="38515865"/>
    <w:rsid w:val="385F0696"/>
    <w:rsid w:val="387600B2"/>
    <w:rsid w:val="38891B4C"/>
    <w:rsid w:val="388B609F"/>
    <w:rsid w:val="3894312B"/>
    <w:rsid w:val="38AE7CFC"/>
    <w:rsid w:val="38F04E8A"/>
    <w:rsid w:val="39081B21"/>
    <w:rsid w:val="392D733C"/>
    <w:rsid w:val="392E0FF3"/>
    <w:rsid w:val="39335812"/>
    <w:rsid w:val="39B97A2B"/>
    <w:rsid w:val="39BD5828"/>
    <w:rsid w:val="39C848ED"/>
    <w:rsid w:val="39D46FA2"/>
    <w:rsid w:val="39D918A0"/>
    <w:rsid w:val="39E45812"/>
    <w:rsid w:val="39EE464A"/>
    <w:rsid w:val="39F818DB"/>
    <w:rsid w:val="3A722CA1"/>
    <w:rsid w:val="3A9F0A86"/>
    <w:rsid w:val="3AAD7367"/>
    <w:rsid w:val="3AB33913"/>
    <w:rsid w:val="3AC838CB"/>
    <w:rsid w:val="3AD4780A"/>
    <w:rsid w:val="3ADB03B8"/>
    <w:rsid w:val="3AE014C0"/>
    <w:rsid w:val="3AE9368C"/>
    <w:rsid w:val="3B002D04"/>
    <w:rsid w:val="3B846BC5"/>
    <w:rsid w:val="3BCE55CB"/>
    <w:rsid w:val="3BE64D5D"/>
    <w:rsid w:val="3BE7772F"/>
    <w:rsid w:val="3C0E0180"/>
    <w:rsid w:val="3C2E2A6A"/>
    <w:rsid w:val="3C4717AD"/>
    <w:rsid w:val="3C5F759A"/>
    <w:rsid w:val="3C771740"/>
    <w:rsid w:val="3C8E54DB"/>
    <w:rsid w:val="3CA0039C"/>
    <w:rsid w:val="3CA91B05"/>
    <w:rsid w:val="3CB272B1"/>
    <w:rsid w:val="3CB8038A"/>
    <w:rsid w:val="3CFD7CF9"/>
    <w:rsid w:val="3D135848"/>
    <w:rsid w:val="3D7D5B45"/>
    <w:rsid w:val="3D865220"/>
    <w:rsid w:val="3D995D37"/>
    <w:rsid w:val="3DDE40B2"/>
    <w:rsid w:val="3DF20248"/>
    <w:rsid w:val="3E997B1C"/>
    <w:rsid w:val="3EC26659"/>
    <w:rsid w:val="3F1B08E5"/>
    <w:rsid w:val="3FB97539"/>
    <w:rsid w:val="3FC96EEA"/>
    <w:rsid w:val="3FCE1796"/>
    <w:rsid w:val="401F7AFE"/>
    <w:rsid w:val="40205FDB"/>
    <w:rsid w:val="403A6935"/>
    <w:rsid w:val="403A6D40"/>
    <w:rsid w:val="408563B3"/>
    <w:rsid w:val="40B0398B"/>
    <w:rsid w:val="40BF4B8A"/>
    <w:rsid w:val="40F83FFE"/>
    <w:rsid w:val="40F977A2"/>
    <w:rsid w:val="40FE4141"/>
    <w:rsid w:val="41031BA7"/>
    <w:rsid w:val="4108345A"/>
    <w:rsid w:val="41155235"/>
    <w:rsid w:val="412B6B1F"/>
    <w:rsid w:val="412D5D2D"/>
    <w:rsid w:val="41384CC9"/>
    <w:rsid w:val="414270F1"/>
    <w:rsid w:val="41C12438"/>
    <w:rsid w:val="41C15FC8"/>
    <w:rsid w:val="41D52FBD"/>
    <w:rsid w:val="41F962A4"/>
    <w:rsid w:val="420E7458"/>
    <w:rsid w:val="42101A30"/>
    <w:rsid w:val="42562ECE"/>
    <w:rsid w:val="426B22F0"/>
    <w:rsid w:val="429D004E"/>
    <w:rsid w:val="42A74C61"/>
    <w:rsid w:val="42B155AD"/>
    <w:rsid w:val="42DF4660"/>
    <w:rsid w:val="42E1381E"/>
    <w:rsid w:val="42F014BB"/>
    <w:rsid w:val="43486AC5"/>
    <w:rsid w:val="43617DD9"/>
    <w:rsid w:val="439A4D26"/>
    <w:rsid w:val="43EB238B"/>
    <w:rsid w:val="43FF73D1"/>
    <w:rsid w:val="441A4F70"/>
    <w:rsid w:val="44497CCC"/>
    <w:rsid w:val="444A6737"/>
    <w:rsid w:val="444C3FD2"/>
    <w:rsid w:val="44B43620"/>
    <w:rsid w:val="44C8622B"/>
    <w:rsid w:val="44D311D4"/>
    <w:rsid w:val="44D535F4"/>
    <w:rsid w:val="44DD2A56"/>
    <w:rsid w:val="44E119C0"/>
    <w:rsid w:val="44E75F38"/>
    <w:rsid w:val="452B0F4C"/>
    <w:rsid w:val="45542E19"/>
    <w:rsid w:val="459B1B93"/>
    <w:rsid w:val="45A55215"/>
    <w:rsid w:val="45BF0837"/>
    <w:rsid w:val="45F37BD4"/>
    <w:rsid w:val="463B2B7B"/>
    <w:rsid w:val="464F26BF"/>
    <w:rsid w:val="46651E6C"/>
    <w:rsid w:val="466707DF"/>
    <w:rsid w:val="467A5170"/>
    <w:rsid w:val="46927CD1"/>
    <w:rsid w:val="46CA6DED"/>
    <w:rsid w:val="46D425EB"/>
    <w:rsid w:val="470B3146"/>
    <w:rsid w:val="471E285C"/>
    <w:rsid w:val="47307A1D"/>
    <w:rsid w:val="475339F9"/>
    <w:rsid w:val="475C5734"/>
    <w:rsid w:val="47AA6407"/>
    <w:rsid w:val="47B65047"/>
    <w:rsid w:val="47D02F86"/>
    <w:rsid w:val="47E317C4"/>
    <w:rsid w:val="47E93DE7"/>
    <w:rsid w:val="4804690C"/>
    <w:rsid w:val="48050C32"/>
    <w:rsid w:val="4807590E"/>
    <w:rsid w:val="48333761"/>
    <w:rsid w:val="48334BC2"/>
    <w:rsid w:val="4848058E"/>
    <w:rsid w:val="485A75EA"/>
    <w:rsid w:val="48765C70"/>
    <w:rsid w:val="48813779"/>
    <w:rsid w:val="4888573C"/>
    <w:rsid w:val="489C6AF2"/>
    <w:rsid w:val="48BA541F"/>
    <w:rsid w:val="48C51A99"/>
    <w:rsid w:val="48CB41E2"/>
    <w:rsid w:val="48F078DF"/>
    <w:rsid w:val="493647DE"/>
    <w:rsid w:val="493872DE"/>
    <w:rsid w:val="494B71E2"/>
    <w:rsid w:val="496E3BAA"/>
    <w:rsid w:val="49C426BB"/>
    <w:rsid w:val="49D565AD"/>
    <w:rsid w:val="49EA4743"/>
    <w:rsid w:val="4A041631"/>
    <w:rsid w:val="4A064947"/>
    <w:rsid w:val="4A086C05"/>
    <w:rsid w:val="4A1636DC"/>
    <w:rsid w:val="4A1D29C6"/>
    <w:rsid w:val="4A27711F"/>
    <w:rsid w:val="4A3A4220"/>
    <w:rsid w:val="4A5F123E"/>
    <w:rsid w:val="4A7F224A"/>
    <w:rsid w:val="4AE9787E"/>
    <w:rsid w:val="4AEE14CF"/>
    <w:rsid w:val="4B0A25D2"/>
    <w:rsid w:val="4B114869"/>
    <w:rsid w:val="4B4B0406"/>
    <w:rsid w:val="4B595E05"/>
    <w:rsid w:val="4B6523E4"/>
    <w:rsid w:val="4B7451EB"/>
    <w:rsid w:val="4B9E55CB"/>
    <w:rsid w:val="4BF61633"/>
    <w:rsid w:val="4C0A0395"/>
    <w:rsid w:val="4C8239AE"/>
    <w:rsid w:val="4CD30559"/>
    <w:rsid w:val="4CEB0FE6"/>
    <w:rsid w:val="4D1B0B13"/>
    <w:rsid w:val="4D416A0A"/>
    <w:rsid w:val="4D7352AA"/>
    <w:rsid w:val="4D7F4F61"/>
    <w:rsid w:val="4DC66EAB"/>
    <w:rsid w:val="4DD428F0"/>
    <w:rsid w:val="4DEE751A"/>
    <w:rsid w:val="4DF102B7"/>
    <w:rsid w:val="4E100B01"/>
    <w:rsid w:val="4E1467FD"/>
    <w:rsid w:val="4E1F4751"/>
    <w:rsid w:val="4E394B18"/>
    <w:rsid w:val="4E3C7063"/>
    <w:rsid w:val="4E3E5FCC"/>
    <w:rsid w:val="4E714532"/>
    <w:rsid w:val="4E7C2895"/>
    <w:rsid w:val="4EA441CF"/>
    <w:rsid w:val="4EB91AE2"/>
    <w:rsid w:val="4EFD15F8"/>
    <w:rsid w:val="4F1019CC"/>
    <w:rsid w:val="4F586073"/>
    <w:rsid w:val="4F5F53B2"/>
    <w:rsid w:val="4F7B1FCB"/>
    <w:rsid w:val="4F911443"/>
    <w:rsid w:val="4FA562EA"/>
    <w:rsid w:val="4FAA28C3"/>
    <w:rsid w:val="4FB36353"/>
    <w:rsid w:val="4FDC1B6E"/>
    <w:rsid w:val="4FDE068B"/>
    <w:rsid w:val="4FEA57C6"/>
    <w:rsid w:val="4FF46A08"/>
    <w:rsid w:val="501734DD"/>
    <w:rsid w:val="506863F3"/>
    <w:rsid w:val="50A00725"/>
    <w:rsid w:val="50B743D2"/>
    <w:rsid w:val="50C42264"/>
    <w:rsid w:val="50F24483"/>
    <w:rsid w:val="510B0544"/>
    <w:rsid w:val="511A3EB5"/>
    <w:rsid w:val="51355E52"/>
    <w:rsid w:val="513707BB"/>
    <w:rsid w:val="51626445"/>
    <w:rsid w:val="517A3739"/>
    <w:rsid w:val="518D2ED1"/>
    <w:rsid w:val="51A0432A"/>
    <w:rsid w:val="51A34062"/>
    <w:rsid w:val="51E00F2B"/>
    <w:rsid w:val="52147F62"/>
    <w:rsid w:val="522D515C"/>
    <w:rsid w:val="5237726A"/>
    <w:rsid w:val="52392856"/>
    <w:rsid w:val="52464F32"/>
    <w:rsid w:val="527501D6"/>
    <w:rsid w:val="528C375F"/>
    <w:rsid w:val="529F0F2B"/>
    <w:rsid w:val="52A96B6F"/>
    <w:rsid w:val="52AF0571"/>
    <w:rsid w:val="52B56E09"/>
    <w:rsid w:val="52CE2B4B"/>
    <w:rsid w:val="52F40AC5"/>
    <w:rsid w:val="53104507"/>
    <w:rsid w:val="53105868"/>
    <w:rsid w:val="535264CF"/>
    <w:rsid w:val="53635372"/>
    <w:rsid w:val="539715FE"/>
    <w:rsid w:val="53977B52"/>
    <w:rsid w:val="53B32C94"/>
    <w:rsid w:val="53D6073B"/>
    <w:rsid w:val="54115941"/>
    <w:rsid w:val="54557E94"/>
    <w:rsid w:val="547B665B"/>
    <w:rsid w:val="549007A8"/>
    <w:rsid w:val="549E1078"/>
    <w:rsid w:val="54DC2730"/>
    <w:rsid w:val="54DE6717"/>
    <w:rsid w:val="54FA339E"/>
    <w:rsid w:val="550764A4"/>
    <w:rsid w:val="550D0E1E"/>
    <w:rsid w:val="553D014A"/>
    <w:rsid w:val="554C66CB"/>
    <w:rsid w:val="554E0A11"/>
    <w:rsid w:val="556E3ECD"/>
    <w:rsid w:val="55915CB4"/>
    <w:rsid w:val="559B3CEE"/>
    <w:rsid w:val="559D0C60"/>
    <w:rsid w:val="55A825E5"/>
    <w:rsid w:val="55C63E78"/>
    <w:rsid w:val="55D66A6E"/>
    <w:rsid w:val="55F13FA4"/>
    <w:rsid w:val="564E4F3D"/>
    <w:rsid w:val="565F379F"/>
    <w:rsid w:val="56864F8E"/>
    <w:rsid w:val="569940E9"/>
    <w:rsid w:val="56C9792B"/>
    <w:rsid w:val="56CB0A68"/>
    <w:rsid w:val="56F34A2A"/>
    <w:rsid w:val="57122E39"/>
    <w:rsid w:val="573D554D"/>
    <w:rsid w:val="5747555D"/>
    <w:rsid w:val="57696063"/>
    <w:rsid w:val="57D13B17"/>
    <w:rsid w:val="58206B0E"/>
    <w:rsid w:val="583A4419"/>
    <w:rsid w:val="5847512C"/>
    <w:rsid w:val="585F6216"/>
    <w:rsid w:val="58677DAE"/>
    <w:rsid w:val="586C625D"/>
    <w:rsid w:val="58A9121C"/>
    <w:rsid w:val="58AE4F0C"/>
    <w:rsid w:val="58EB72A1"/>
    <w:rsid w:val="590559E5"/>
    <w:rsid w:val="592B36D3"/>
    <w:rsid w:val="59516861"/>
    <w:rsid w:val="59AB5F1F"/>
    <w:rsid w:val="59AE4649"/>
    <w:rsid w:val="59B04A01"/>
    <w:rsid w:val="59C244FE"/>
    <w:rsid w:val="59DC034C"/>
    <w:rsid w:val="59DD5018"/>
    <w:rsid w:val="59DD5AEE"/>
    <w:rsid w:val="59E66BE2"/>
    <w:rsid w:val="5A106DA8"/>
    <w:rsid w:val="5A2A7C7B"/>
    <w:rsid w:val="5A397C85"/>
    <w:rsid w:val="5A3B1660"/>
    <w:rsid w:val="5A3F4F88"/>
    <w:rsid w:val="5A5239C9"/>
    <w:rsid w:val="5A601687"/>
    <w:rsid w:val="5A813BDA"/>
    <w:rsid w:val="5A894A60"/>
    <w:rsid w:val="5AB660F3"/>
    <w:rsid w:val="5AB66F27"/>
    <w:rsid w:val="5ABE22D9"/>
    <w:rsid w:val="5ADD2E6F"/>
    <w:rsid w:val="5B167165"/>
    <w:rsid w:val="5B180B5C"/>
    <w:rsid w:val="5B224554"/>
    <w:rsid w:val="5B347411"/>
    <w:rsid w:val="5B4A6422"/>
    <w:rsid w:val="5BE04542"/>
    <w:rsid w:val="5BF71CE9"/>
    <w:rsid w:val="5C0A289B"/>
    <w:rsid w:val="5C2640E8"/>
    <w:rsid w:val="5C357AB8"/>
    <w:rsid w:val="5C3C244D"/>
    <w:rsid w:val="5C437244"/>
    <w:rsid w:val="5C5E79CC"/>
    <w:rsid w:val="5C751306"/>
    <w:rsid w:val="5C7B1D61"/>
    <w:rsid w:val="5C80234E"/>
    <w:rsid w:val="5C8C1BFC"/>
    <w:rsid w:val="5CEF5D60"/>
    <w:rsid w:val="5CF975AC"/>
    <w:rsid w:val="5D064663"/>
    <w:rsid w:val="5D1D7F3B"/>
    <w:rsid w:val="5D423413"/>
    <w:rsid w:val="5DBE1D34"/>
    <w:rsid w:val="5E0427B4"/>
    <w:rsid w:val="5E1B643F"/>
    <w:rsid w:val="5E261785"/>
    <w:rsid w:val="5E7D0D9E"/>
    <w:rsid w:val="5E993698"/>
    <w:rsid w:val="5EB01A71"/>
    <w:rsid w:val="5EB71404"/>
    <w:rsid w:val="5EBB4CF1"/>
    <w:rsid w:val="5EBE135E"/>
    <w:rsid w:val="5EC52E09"/>
    <w:rsid w:val="5ECF2886"/>
    <w:rsid w:val="5ED872F0"/>
    <w:rsid w:val="5EEE1D71"/>
    <w:rsid w:val="5EFB5039"/>
    <w:rsid w:val="5F2824A5"/>
    <w:rsid w:val="5F56109A"/>
    <w:rsid w:val="5F5A2FCA"/>
    <w:rsid w:val="5FCC5339"/>
    <w:rsid w:val="5FF67EE5"/>
    <w:rsid w:val="60024E87"/>
    <w:rsid w:val="60081D72"/>
    <w:rsid w:val="600A59FC"/>
    <w:rsid w:val="6037369D"/>
    <w:rsid w:val="608155B0"/>
    <w:rsid w:val="608C724B"/>
    <w:rsid w:val="60907F39"/>
    <w:rsid w:val="609E7413"/>
    <w:rsid w:val="60A52AF0"/>
    <w:rsid w:val="60EF6933"/>
    <w:rsid w:val="60F417C8"/>
    <w:rsid w:val="61054A27"/>
    <w:rsid w:val="611D2366"/>
    <w:rsid w:val="612641AE"/>
    <w:rsid w:val="615C5617"/>
    <w:rsid w:val="617C4A99"/>
    <w:rsid w:val="61A466D8"/>
    <w:rsid w:val="61E830D4"/>
    <w:rsid w:val="62411DF5"/>
    <w:rsid w:val="627F4F49"/>
    <w:rsid w:val="62885958"/>
    <w:rsid w:val="628B6A08"/>
    <w:rsid w:val="62AB47E0"/>
    <w:rsid w:val="62FA157D"/>
    <w:rsid w:val="62FE6249"/>
    <w:rsid w:val="63237280"/>
    <w:rsid w:val="632477CE"/>
    <w:rsid w:val="635C47AE"/>
    <w:rsid w:val="63A54BB9"/>
    <w:rsid w:val="63E116A3"/>
    <w:rsid w:val="640A6409"/>
    <w:rsid w:val="641C79E9"/>
    <w:rsid w:val="6425254C"/>
    <w:rsid w:val="647240FA"/>
    <w:rsid w:val="64912AE9"/>
    <w:rsid w:val="64932FA1"/>
    <w:rsid w:val="64AF5F69"/>
    <w:rsid w:val="64CE2EAA"/>
    <w:rsid w:val="64DE17DF"/>
    <w:rsid w:val="64F74606"/>
    <w:rsid w:val="650777EC"/>
    <w:rsid w:val="651F2427"/>
    <w:rsid w:val="6526445D"/>
    <w:rsid w:val="659A116B"/>
    <w:rsid w:val="65D63D18"/>
    <w:rsid w:val="661006A0"/>
    <w:rsid w:val="66145DA2"/>
    <w:rsid w:val="661A1F6B"/>
    <w:rsid w:val="662A696F"/>
    <w:rsid w:val="662E75B1"/>
    <w:rsid w:val="662F37AF"/>
    <w:rsid w:val="662F4BB5"/>
    <w:rsid w:val="66342C2E"/>
    <w:rsid w:val="663678CD"/>
    <w:rsid w:val="663E784C"/>
    <w:rsid w:val="66414D7D"/>
    <w:rsid w:val="66796EDD"/>
    <w:rsid w:val="66890DA7"/>
    <w:rsid w:val="66923F5A"/>
    <w:rsid w:val="669F6A5A"/>
    <w:rsid w:val="66AD6E8D"/>
    <w:rsid w:val="67145AEF"/>
    <w:rsid w:val="67274B48"/>
    <w:rsid w:val="673A210B"/>
    <w:rsid w:val="676957C3"/>
    <w:rsid w:val="676B1535"/>
    <w:rsid w:val="67D21006"/>
    <w:rsid w:val="67DC72BF"/>
    <w:rsid w:val="67DD152C"/>
    <w:rsid w:val="67E378FB"/>
    <w:rsid w:val="680866B9"/>
    <w:rsid w:val="682F5948"/>
    <w:rsid w:val="68674BA0"/>
    <w:rsid w:val="687A2DBE"/>
    <w:rsid w:val="68FF1904"/>
    <w:rsid w:val="69051235"/>
    <w:rsid w:val="69164738"/>
    <w:rsid w:val="6925686B"/>
    <w:rsid w:val="69291211"/>
    <w:rsid w:val="692B6F89"/>
    <w:rsid w:val="69325A1D"/>
    <w:rsid w:val="69714AAE"/>
    <w:rsid w:val="69A3091D"/>
    <w:rsid w:val="69BB53FE"/>
    <w:rsid w:val="6A0D5582"/>
    <w:rsid w:val="6A1928F0"/>
    <w:rsid w:val="6A1D19D9"/>
    <w:rsid w:val="6A6A66B0"/>
    <w:rsid w:val="6B0172CE"/>
    <w:rsid w:val="6B305776"/>
    <w:rsid w:val="6B444C84"/>
    <w:rsid w:val="6B7E7CB3"/>
    <w:rsid w:val="6BA428D8"/>
    <w:rsid w:val="6BAA5C1E"/>
    <w:rsid w:val="6BAD249C"/>
    <w:rsid w:val="6BAF2227"/>
    <w:rsid w:val="6C004C19"/>
    <w:rsid w:val="6C1E6E4F"/>
    <w:rsid w:val="6C22486C"/>
    <w:rsid w:val="6C406247"/>
    <w:rsid w:val="6C6C44FE"/>
    <w:rsid w:val="6C767EB2"/>
    <w:rsid w:val="6C845975"/>
    <w:rsid w:val="6CB130B6"/>
    <w:rsid w:val="6CE8314B"/>
    <w:rsid w:val="6CF23C4B"/>
    <w:rsid w:val="6CF67BDD"/>
    <w:rsid w:val="6D04046C"/>
    <w:rsid w:val="6D0D06F4"/>
    <w:rsid w:val="6D376AD1"/>
    <w:rsid w:val="6D65383F"/>
    <w:rsid w:val="6D6D028D"/>
    <w:rsid w:val="6D8F251B"/>
    <w:rsid w:val="6DBE7388"/>
    <w:rsid w:val="6DD52E6B"/>
    <w:rsid w:val="6DDF0CB8"/>
    <w:rsid w:val="6DE73197"/>
    <w:rsid w:val="6DF961FA"/>
    <w:rsid w:val="6E394E0A"/>
    <w:rsid w:val="6E751E8E"/>
    <w:rsid w:val="6E8E12EF"/>
    <w:rsid w:val="6EC14200"/>
    <w:rsid w:val="6EED5962"/>
    <w:rsid w:val="6EEE514B"/>
    <w:rsid w:val="6F151200"/>
    <w:rsid w:val="6F1E27DC"/>
    <w:rsid w:val="6F25289D"/>
    <w:rsid w:val="6F337FD7"/>
    <w:rsid w:val="6F420175"/>
    <w:rsid w:val="6F497EFB"/>
    <w:rsid w:val="6F780F64"/>
    <w:rsid w:val="6F981897"/>
    <w:rsid w:val="70212622"/>
    <w:rsid w:val="70335CD7"/>
    <w:rsid w:val="70357374"/>
    <w:rsid w:val="706A3890"/>
    <w:rsid w:val="707B5F8B"/>
    <w:rsid w:val="70C333AF"/>
    <w:rsid w:val="70F56179"/>
    <w:rsid w:val="71151EE2"/>
    <w:rsid w:val="712209BD"/>
    <w:rsid w:val="71594B92"/>
    <w:rsid w:val="71793812"/>
    <w:rsid w:val="717D66D5"/>
    <w:rsid w:val="71C36518"/>
    <w:rsid w:val="71D104A8"/>
    <w:rsid w:val="71D43752"/>
    <w:rsid w:val="71DF631B"/>
    <w:rsid w:val="71EA01A3"/>
    <w:rsid w:val="71EC2187"/>
    <w:rsid w:val="71EE33C1"/>
    <w:rsid w:val="72115EA9"/>
    <w:rsid w:val="72683C82"/>
    <w:rsid w:val="726B173D"/>
    <w:rsid w:val="726B6AA6"/>
    <w:rsid w:val="7295581C"/>
    <w:rsid w:val="72BC7B33"/>
    <w:rsid w:val="72BD46D9"/>
    <w:rsid w:val="73667EE8"/>
    <w:rsid w:val="73BC23C3"/>
    <w:rsid w:val="73C423B5"/>
    <w:rsid w:val="73FA574D"/>
    <w:rsid w:val="74443925"/>
    <w:rsid w:val="74876BE3"/>
    <w:rsid w:val="749B5B2D"/>
    <w:rsid w:val="749C4185"/>
    <w:rsid w:val="74E0183A"/>
    <w:rsid w:val="74FB19B8"/>
    <w:rsid w:val="750629D1"/>
    <w:rsid w:val="75435A73"/>
    <w:rsid w:val="75A5706E"/>
    <w:rsid w:val="75A768A5"/>
    <w:rsid w:val="75DA2C18"/>
    <w:rsid w:val="761A548B"/>
    <w:rsid w:val="767A1579"/>
    <w:rsid w:val="767D1395"/>
    <w:rsid w:val="768766F7"/>
    <w:rsid w:val="76942BBC"/>
    <w:rsid w:val="76953412"/>
    <w:rsid w:val="76CE0003"/>
    <w:rsid w:val="76D12A45"/>
    <w:rsid w:val="7730051D"/>
    <w:rsid w:val="7738519F"/>
    <w:rsid w:val="773E2976"/>
    <w:rsid w:val="773F0A0F"/>
    <w:rsid w:val="77434C56"/>
    <w:rsid w:val="77485A73"/>
    <w:rsid w:val="77567657"/>
    <w:rsid w:val="777A5E73"/>
    <w:rsid w:val="777E72B6"/>
    <w:rsid w:val="77C82BA8"/>
    <w:rsid w:val="77D25102"/>
    <w:rsid w:val="77D90722"/>
    <w:rsid w:val="78034758"/>
    <w:rsid w:val="781658FB"/>
    <w:rsid w:val="781E47F8"/>
    <w:rsid w:val="786C3CAF"/>
    <w:rsid w:val="78AD56A5"/>
    <w:rsid w:val="78B142FD"/>
    <w:rsid w:val="78C21724"/>
    <w:rsid w:val="78C77A95"/>
    <w:rsid w:val="78CC597B"/>
    <w:rsid w:val="78D23192"/>
    <w:rsid w:val="78F34CAC"/>
    <w:rsid w:val="790A7581"/>
    <w:rsid w:val="79154448"/>
    <w:rsid w:val="79183329"/>
    <w:rsid w:val="792D2AC5"/>
    <w:rsid w:val="79364FDF"/>
    <w:rsid w:val="794677FD"/>
    <w:rsid w:val="796656C3"/>
    <w:rsid w:val="7979695B"/>
    <w:rsid w:val="79870CD6"/>
    <w:rsid w:val="79E362DB"/>
    <w:rsid w:val="7A096492"/>
    <w:rsid w:val="7A2546AC"/>
    <w:rsid w:val="7A3F5900"/>
    <w:rsid w:val="7A4E232D"/>
    <w:rsid w:val="7A67303B"/>
    <w:rsid w:val="7A6F16C9"/>
    <w:rsid w:val="7A7B598F"/>
    <w:rsid w:val="7A914717"/>
    <w:rsid w:val="7A9550B3"/>
    <w:rsid w:val="7A9E4380"/>
    <w:rsid w:val="7AAB1D04"/>
    <w:rsid w:val="7AB0066B"/>
    <w:rsid w:val="7ABA4368"/>
    <w:rsid w:val="7ADF31CE"/>
    <w:rsid w:val="7B216B72"/>
    <w:rsid w:val="7B257FFD"/>
    <w:rsid w:val="7B3114AF"/>
    <w:rsid w:val="7B3A0640"/>
    <w:rsid w:val="7B440A9C"/>
    <w:rsid w:val="7B7C743E"/>
    <w:rsid w:val="7B9C1B0A"/>
    <w:rsid w:val="7BA25014"/>
    <w:rsid w:val="7BAC4B45"/>
    <w:rsid w:val="7BB40261"/>
    <w:rsid w:val="7BB42DB3"/>
    <w:rsid w:val="7BB87B13"/>
    <w:rsid w:val="7BBC17CF"/>
    <w:rsid w:val="7BC308C5"/>
    <w:rsid w:val="7C146A11"/>
    <w:rsid w:val="7C2221CC"/>
    <w:rsid w:val="7C300865"/>
    <w:rsid w:val="7C6F08B3"/>
    <w:rsid w:val="7C7B790D"/>
    <w:rsid w:val="7CF562FB"/>
    <w:rsid w:val="7D2D598E"/>
    <w:rsid w:val="7D3C4699"/>
    <w:rsid w:val="7D4075ED"/>
    <w:rsid w:val="7D4712A6"/>
    <w:rsid w:val="7D5C7BC5"/>
    <w:rsid w:val="7D791222"/>
    <w:rsid w:val="7D8057FD"/>
    <w:rsid w:val="7DB41B70"/>
    <w:rsid w:val="7DE272C9"/>
    <w:rsid w:val="7DF32F98"/>
    <w:rsid w:val="7E0D5192"/>
    <w:rsid w:val="7E135EB2"/>
    <w:rsid w:val="7E2123A3"/>
    <w:rsid w:val="7E2A013F"/>
    <w:rsid w:val="7E3E2B2E"/>
    <w:rsid w:val="7E561C27"/>
    <w:rsid w:val="7E59004A"/>
    <w:rsid w:val="7E9528DA"/>
    <w:rsid w:val="7ED173EA"/>
    <w:rsid w:val="7ED62A23"/>
    <w:rsid w:val="7ED756A5"/>
    <w:rsid w:val="7F03217E"/>
    <w:rsid w:val="7F1D133B"/>
    <w:rsid w:val="7F4260E2"/>
    <w:rsid w:val="7F4A7BDC"/>
    <w:rsid w:val="7F555DD3"/>
    <w:rsid w:val="7F844148"/>
    <w:rsid w:val="7F882C88"/>
    <w:rsid w:val="7F8919CF"/>
    <w:rsid w:val="7F8C36CE"/>
    <w:rsid w:val="7FA23400"/>
    <w:rsid w:val="DBEF17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iPriority="0" w:semiHidden="0" w:name="List Bullet 3"/>
    <w:lsdException w:qFormat="1" w:uiPriority="99"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3">
    <w:name w:val="heading 1"/>
    <w:basedOn w:val="1"/>
    <w:next w:val="1"/>
    <w:link w:val="80"/>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7"/>
    <w:link w:val="81"/>
    <w:qFormat/>
    <w:uiPriority w:val="9"/>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8"/>
    <w:link w:val="82"/>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8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84"/>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85"/>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86"/>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9">
    <w:name w:val="Default Paragraph Font"/>
    <w:link w:val="70"/>
    <w:semiHidden/>
    <w:uiPriority w:val="0"/>
    <w:rPr>
      <w:rFonts w:ascii="仿宋_GB2312" w:eastAsia="仿宋_GB2312"/>
      <w:b/>
      <w:sz w:val="32"/>
      <w:szCs w:val="32"/>
    </w:rPr>
  </w:style>
  <w:style w:type="table" w:default="1" w:styleId="62">
    <w:name w:val="Normal Table"/>
    <w:unhideWhenUsed/>
    <w:uiPriority w:val="99"/>
    <w:tblPr>
      <w:tblStyle w:val="62"/>
      <w:tblCellMar>
        <w:top w:w="0" w:type="dxa"/>
        <w:left w:w="108" w:type="dxa"/>
        <w:bottom w:w="0" w:type="dxa"/>
        <w:right w:w="108" w:type="dxa"/>
      </w:tblCellMar>
    </w:tblPr>
  </w:style>
  <w:style w:type="paragraph" w:styleId="2">
    <w:name w:val="Body Text"/>
    <w:basedOn w:val="1"/>
    <w:link w:val="79"/>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customStyle="1" w:styleId="8">
    <w:name w:val="Block Label"/>
    <w:basedOn w:val="1"/>
    <w:next w:val="1"/>
    <w:qFormat/>
    <w:uiPriority w:val="0"/>
    <w:pPr>
      <w:keepNext/>
      <w:keepLines/>
      <w:spacing w:before="300" w:after="80"/>
      <w:ind w:left="0"/>
    </w:pPr>
    <w:rPr>
      <w:rFonts w:ascii="Book Antiqua" w:hAnsi="Book Antiqua" w:eastAsia="黑体" w:cs="Book Antiqua"/>
      <w:bCs/>
      <w:kern w:val="0"/>
      <w:sz w:val="26"/>
      <w:szCs w:val="26"/>
    </w:rPr>
  </w:style>
  <w:style w:type="paragraph" w:styleId="13">
    <w:name w:val="toc 7"/>
    <w:basedOn w:val="1"/>
    <w:next w:val="1"/>
    <w:uiPriority w:val="0"/>
    <w:pPr>
      <w:ind w:left="2520" w:leftChars="1200"/>
    </w:pPr>
  </w:style>
  <w:style w:type="paragraph" w:styleId="14">
    <w:name w:val="List Number 2"/>
    <w:basedOn w:val="1"/>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6">
    <w:name w:val="List Number"/>
    <w:basedOn w:val="1"/>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87"/>
    <w:qFormat/>
    <w:uiPriority w:val="0"/>
    <w:pPr>
      <w:widowControl/>
      <w:adjustRightInd w:val="0"/>
      <w:snapToGrid w:val="0"/>
      <w:spacing w:line="480" w:lineRule="exact"/>
      <w:ind w:firstLine="567"/>
    </w:pPr>
    <w:rPr>
      <w:rFonts w:ascii="宋体" w:eastAsia="宋体"/>
      <w:snapToGrid w:val="0"/>
      <w:color w:val="000000"/>
      <w:kern w:val="28"/>
      <w:sz w:val="28"/>
      <w:szCs w:val="20"/>
    </w:rPr>
  </w:style>
  <w:style w:type="paragraph" w:styleId="18">
    <w:name w:val="caption"/>
    <w:basedOn w:val="1"/>
    <w:next w:val="1"/>
    <w:link w:val="88"/>
    <w:qFormat/>
    <w:uiPriority w:val="0"/>
    <w:rPr>
      <w:b/>
      <w:sz w:val="28"/>
      <w:szCs w:val="20"/>
    </w:rPr>
  </w:style>
  <w:style w:type="paragraph" w:styleId="19">
    <w:name w:val="index 5"/>
    <w:basedOn w:val="1"/>
    <w:next w:val="1"/>
    <w:uiPriority w:val="0"/>
    <w:pPr>
      <w:adjustRightInd/>
      <w:ind w:left="800" w:leftChars="800" w:firstLine="200" w:firstLineChars="200"/>
    </w:pPr>
  </w:style>
  <w:style w:type="paragraph" w:styleId="20">
    <w:name w:val="Document Map"/>
    <w:basedOn w:val="1"/>
    <w:link w:val="89"/>
    <w:uiPriority w:val="0"/>
    <w:pPr>
      <w:shd w:val="clear" w:color="auto" w:fill="000080"/>
    </w:pPr>
  </w:style>
  <w:style w:type="paragraph" w:styleId="21">
    <w:name w:val="annotation text"/>
    <w:basedOn w:val="1"/>
    <w:link w:val="90"/>
    <w:qFormat/>
    <w:uiPriority w:val="0"/>
    <w:pPr>
      <w:jc w:val="left"/>
    </w:pPr>
  </w:style>
  <w:style w:type="paragraph" w:styleId="22">
    <w:name w:val="Salutation"/>
    <w:basedOn w:val="1"/>
    <w:next w:val="1"/>
    <w:link w:val="91"/>
    <w:uiPriority w:val="0"/>
    <w:rPr>
      <w:rFonts w:ascii="仿宋_GB2312" w:eastAsia="仿宋_GB2312"/>
      <w:sz w:val="28"/>
      <w:szCs w:val="20"/>
    </w:rPr>
  </w:style>
  <w:style w:type="paragraph" w:styleId="23">
    <w:name w:val="Body Text 3"/>
    <w:basedOn w:val="1"/>
    <w:link w:val="92"/>
    <w:uiPriority w:val="0"/>
    <w:pPr>
      <w:jc w:val="center"/>
    </w:pPr>
    <w:rPr>
      <w:szCs w:val="20"/>
    </w:rPr>
  </w:style>
  <w:style w:type="paragraph" w:styleId="24">
    <w:name w:val="List Bullet 3"/>
    <w:basedOn w:val="1"/>
    <w:unhideWhenUsed/>
    <w:uiPriority w:val="0"/>
    <w:pPr>
      <w:numPr>
        <w:ilvl w:val="0"/>
        <w:numId w:val="4"/>
      </w:numPr>
      <w:snapToGrid w:val="0"/>
      <w:spacing w:line="360" w:lineRule="auto"/>
      <w:ind w:right="238"/>
      <w:contextualSpacing/>
    </w:pPr>
    <w:rPr>
      <w:sz w:val="24"/>
    </w:rPr>
  </w:style>
  <w:style w:type="paragraph" w:styleId="25">
    <w:name w:val="Body Text Indent"/>
    <w:basedOn w:val="1"/>
    <w:link w:val="93"/>
    <w:uiPriority w:val="0"/>
    <w:pPr>
      <w:spacing w:line="480" w:lineRule="exact"/>
      <w:ind w:firstLine="480" w:firstLineChars="200"/>
    </w:pPr>
    <w:rPr>
      <w:rFonts w:ascii="宋体" w:hAnsi="宋体"/>
      <w:sz w:val="24"/>
    </w:rPr>
  </w:style>
  <w:style w:type="paragraph" w:styleId="26">
    <w:name w:val="List Number 3"/>
    <w:basedOn w:val="1"/>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uiPriority w:val="0"/>
    <w:pPr>
      <w:adjustRightInd/>
      <w:spacing w:line="360" w:lineRule="auto"/>
      <w:ind w:left="100" w:leftChars="200" w:hanging="200" w:hangingChars="200"/>
    </w:pPr>
    <w:rPr>
      <w:rFonts w:eastAsia="微软雅黑"/>
    </w:rPr>
  </w:style>
  <w:style w:type="paragraph" w:styleId="28">
    <w:name w:val="Block Text"/>
    <w:basedOn w:val="1"/>
    <w:uiPriority w:val="0"/>
    <w:pPr>
      <w:ind w:left="-359" w:leftChars="-171" w:rightChars="-244" w:firstLine="501" w:firstLineChars="239"/>
    </w:pPr>
    <w:rPr>
      <w:rFonts w:ascii="仿宋_GB2312" w:eastAsia="仿宋_GB2312"/>
      <w:sz w:val="30"/>
      <w:szCs w:val="20"/>
    </w:rPr>
  </w:style>
  <w:style w:type="paragraph" w:styleId="29">
    <w:name w:val="List Bullet 2"/>
    <w:basedOn w:val="1"/>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4"/>
    <w:uiPriority w:val="0"/>
    <w:pPr>
      <w:widowControl/>
      <w:adjustRightInd/>
      <w:ind w:firstLine="200" w:firstLineChars="200"/>
      <w:jc w:val="left"/>
    </w:pPr>
    <w:rPr>
      <w:rFonts w:ascii="宋体" w:hAnsi="宋体"/>
      <w:i/>
      <w:iCs/>
      <w:kern w:val="0"/>
      <w:sz w:val="24"/>
    </w:rPr>
  </w:style>
  <w:style w:type="paragraph" w:styleId="31">
    <w:name w:val="toc 5"/>
    <w:basedOn w:val="1"/>
    <w:next w:val="1"/>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lang/>
    </w:rPr>
  </w:style>
  <w:style w:type="paragraph" w:styleId="33">
    <w:name w:val="Plain Text"/>
    <w:basedOn w:val="1"/>
    <w:link w:val="95"/>
    <w:qFormat/>
    <w:uiPriority w:val="0"/>
    <w:rPr>
      <w:rFonts w:ascii="宋体" w:hAnsi="Courier New" w:eastAsia="宋体" w:cs="Arial"/>
      <w:snapToGrid w:val="0"/>
      <w:szCs w:val="21"/>
    </w:rPr>
  </w:style>
  <w:style w:type="paragraph" w:styleId="34">
    <w:name w:val="List Number 4"/>
    <w:basedOn w:val="1"/>
    <w:uiPriority w:val="0"/>
    <w:pPr>
      <w:numPr>
        <w:ilvl w:val="0"/>
        <w:numId w:val="5"/>
      </w:numPr>
      <w:autoSpaceDE w:val="0"/>
      <w:autoSpaceDN w:val="0"/>
      <w:spacing w:line="360" w:lineRule="atLeast"/>
    </w:pPr>
    <w:rPr>
      <w:kern w:val="0"/>
      <w:sz w:val="24"/>
    </w:rPr>
  </w:style>
  <w:style w:type="paragraph" w:styleId="35">
    <w:name w:val="toc 8"/>
    <w:basedOn w:val="1"/>
    <w:next w:val="1"/>
    <w:uiPriority w:val="0"/>
    <w:pPr>
      <w:ind w:left="2940" w:leftChars="1400"/>
    </w:pPr>
  </w:style>
  <w:style w:type="paragraph" w:styleId="36">
    <w:name w:val="Date"/>
    <w:basedOn w:val="1"/>
    <w:next w:val="1"/>
    <w:link w:val="96"/>
    <w:uiPriority w:val="0"/>
    <w:pPr>
      <w:ind w:left="100" w:leftChars="2500"/>
    </w:pPr>
    <w:rPr>
      <w:rFonts w:ascii="宋体"/>
      <w:sz w:val="24"/>
      <w:szCs w:val="21"/>
      <w:lang w:val="zh-CN"/>
    </w:rPr>
  </w:style>
  <w:style w:type="paragraph" w:styleId="37">
    <w:name w:val="Body Text Indent 2"/>
    <w:basedOn w:val="1"/>
    <w:link w:val="97"/>
    <w:uiPriority w:val="0"/>
    <w:pPr>
      <w:adjustRightInd w:val="0"/>
      <w:spacing w:line="360" w:lineRule="auto"/>
      <w:ind w:firstLine="601"/>
      <w:textAlignment w:val="baseline"/>
    </w:pPr>
    <w:rPr>
      <w:rFonts w:ascii="宋体"/>
      <w:kern w:val="0"/>
      <w:sz w:val="28"/>
      <w:szCs w:val="20"/>
    </w:rPr>
  </w:style>
  <w:style w:type="paragraph" w:styleId="38">
    <w:name w:val="Balloon Text"/>
    <w:basedOn w:val="1"/>
    <w:link w:val="98"/>
    <w:uiPriority w:val="0"/>
    <w:rPr>
      <w:sz w:val="18"/>
      <w:szCs w:val="18"/>
    </w:rPr>
  </w:style>
  <w:style w:type="paragraph" w:styleId="39">
    <w:name w:val="footer"/>
    <w:basedOn w:val="1"/>
    <w:link w:val="99"/>
    <w:uiPriority w:val="99"/>
    <w:pPr>
      <w:tabs>
        <w:tab w:val="center" w:pos="4153"/>
        <w:tab w:val="right" w:pos="8306"/>
      </w:tabs>
      <w:snapToGrid w:val="0"/>
      <w:jc w:val="left"/>
    </w:pPr>
    <w:rPr>
      <w:sz w:val="18"/>
      <w:szCs w:val="18"/>
    </w:rPr>
  </w:style>
  <w:style w:type="paragraph" w:styleId="40">
    <w:name w:val="header"/>
    <w:basedOn w:val="1"/>
    <w:link w:val="100"/>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1"/>
    <w:uiPriority w:val="0"/>
    <w:pPr>
      <w:adjustRightInd w:val="0"/>
      <w:spacing w:after="600" w:afterLines="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uiPriority w:val="0"/>
    <w:pPr>
      <w:ind w:left="1260" w:leftChars="600"/>
    </w:pPr>
  </w:style>
  <w:style w:type="paragraph" w:styleId="44">
    <w:name w:val="index heading"/>
    <w:basedOn w:val="1"/>
    <w:next w:val="45"/>
    <w:uiPriority w:val="0"/>
    <w:pPr>
      <w:adjustRightInd/>
      <w:ind w:firstLine="200" w:firstLineChars="200"/>
    </w:pPr>
  </w:style>
  <w:style w:type="paragraph" w:styleId="45">
    <w:name w:val="index 1"/>
    <w:basedOn w:val="1"/>
    <w:next w:val="1"/>
    <w:uiPriority w:val="0"/>
    <w:pPr>
      <w:adjustRightInd/>
      <w:spacing w:line="360" w:lineRule="auto"/>
      <w:ind w:firstLine="200" w:firstLineChars="200"/>
      <w:jc w:val="center"/>
    </w:pPr>
    <w:rPr>
      <w:sz w:val="24"/>
      <w:szCs w:val="20"/>
    </w:rPr>
  </w:style>
  <w:style w:type="paragraph" w:styleId="46">
    <w:name w:val="Subtitle"/>
    <w:link w:val="102"/>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7">
    <w:name w:val="List Number 5"/>
    <w:basedOn w:val="1"/>
    <w:uiPriority w:val="0"/>
    <w:pPr>
      <w:tabs>
        <w:tab w:val="left" w:pos="902"/>
      </w:tabs>
      <w:adjustRightInd/>
      <w:spacing w:line="400" w:lineRule="exact"/>
      <w:ind w:left="902" w:hanging="420"/>
    </w:pPr>
    <w:rPr>
      <w:sz w:val="24"/>
      <w:szCs w:val="20"/>
    </w:rPr>
  </w:style>
  <w:style w:type="paragraph" w:styleId="48">
    <w:name w:val="List"/>
    <w:basedOn w:val="1"/>
    <w:uiPriority w:val="0"/>
    <w:pPr>
      <w:ind w:left="200" w:hanging="200" w:hangingChars="200"/>
    </w:pPr>
  </w:style>
  <w:style w:type="paragraph" w:styleId="49">
    <w:name w:val="footnote text"/>
    <w:basedOn w:val="17"/>
    <w:link w:val="103"/>
    <w:uiPriority w:val="0"/>
    <w:pPr>
      <w:adjustRightInd/>
      <w:snapToGrid/>
      <w:spacing w:before="60" w:beforeLines="0" w:after="60" w:afterLines="0" w:line="300" w:lineRule="exact"/>
      <w:ind w:firstLine="0"/>
    </w:pPr>
    <w:rPr>
      <w:rFonts w:ascii="等线" w:eastAsia="等线"/>
      <w:snapToGrid/>
      <w:color w:val="0000FF"/>
      <w:kern w:val="0"/>
      <w:sz w:val="21"/>
    </w:rPr>
  </w:style>
  <w:style w:type="paragraph" w:styleId="50">
    <w:name w:val="toc 6"/>
    <w:basedOn w:val="1"/>
    <w:next w:val="1"/>
    <w:uiPriority w:val="0"/>
    <w:pPr>
      <w:ind w:left="2100" w:leftChars="1000"/>
    </w:pPr>
  </w:style>
  <w:style w:type="paragraph" w:styleId="51">
    <w:name w:val="List 5"/>
    <w:basedOn w:val="1"/>
    <w:uiPriority w:val="0"/>
    <w:pPr>
      <w:adjustRightInd/>
      <w:ind w:left="100" w:leftChars="800" w:hanging="200" w:hangingChars="200"/>
    </w:pPr>
  </w:style>
  <w:style w:type="paragraph" w:styleId="52">
    <w:name w:val="Body Text Indent 3"/>
    <w:basedOn w:val="1"/>
    <w:link w:val="104"/>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uiPriority w:val="0"/>
    <w:pPr>
      <w:ind w:left="3360" w:leftChars="1600"/>
    </w:pPr>
  </w:style>
  <w:style w:type="paragraph" w:styleId="55">
    <w:name w:val="Body Text 2"/>
    <w:basedOn w:val="1"/>
    <w:link w:val="105"/>
    <w:uiPriority w:val="0"/>
    <w:pPr>
      <w:spacing w:after="120" w:afterLines="0" w:line="480" w:lineRule="auto"/>
    </w:pPr>
  </w:style>
  <w:style w:type="paragraph" w:styleId="56">
    <w:name w:val="HTML Preformatted"/>
    <w:basedOn w:val="1"/>
    <w:link w:val="106"/>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uiPriority w:val="99"/>
    <w:pPr>
      <w:widowControl/>
      <w:spacing w:before="100" w:beforeLines="0" w:beforeAutospacing="1" w:after="100" w:afterLines="0" w:afterAutospacing="1"/>
      <w:jc w:val="left"/>
    </w:pPr>
    <w:rPr>
      <w:rFonts w:ascii="宋体" w:hAnsi="宋体"/>
      <w:kern w:val="0"/>
      <w:sz w:val="24"/>
    </w:rPr>
  </w:style>
  <w:style w:type="paragraph" w:styleId="58">
    <w:name w:val="Title"/>
    <w:basedOn w:val="1"/>
    <w:link w:val="107"/>
    <w:qFormat/>
    <w:uiPriority w:val="0"/>
    <w:pPr>
      <w:widowControl/>
      <w:overflowPunct w:val="0"/>
      <w:autoSpaceDE w:val="0"/>
      <w:autoSpaceDN w:val="0"/>
      <w:adjustRightInd w:val="0"/>
      <w:jc w:val="center"/>
      <w:textAlignment w:val="baseline"/>
    </w:pPr>
    <w:rPr>
      <w:b/>
      <w:kern w:val="0"/>
      <w:sz w:val="24"/>
      <w:szCs w:val="20"/>
      <w:lang w:val="en-GB"/>
    </w:rPr>
  </w:style>
  <w:style w:type="paragraph" w:styleId="59">
    <w:name w:val="annotation subject"/>
    <w:basedOn w:val="21"/>
    <w:next w:val="21"/>
    <w:link w:val="108"/>
    <w:uiPriority w:val="0"/>
    <w:rPr>
      <w:b/>
      <w:bCs/>
    </w:rPr>
  </w:style>
  <w:style w:type="paragraph" w:styleId="60">
    <w:name w:val="Body Text First Indent"/>
    <w:basedOn w:val="2"/>
    <w:link w:val="109"/>
    <w:uiPriority w:val="0"/>
    <w:pPr>
      <w:ind w:firstLine="420"/>
    </w:pPr>
    <w:rPr>
      <w:rFonts w:hAnsi="等线" w:eastAsia="等线" w:cs="Times New Roman"/>
      <w:snapToGrid/>
      <w:szCs w:val="20"/>
    </w:rPr>
  </w:style>
  <w:style w:type="paragraph" w:styleId="61">
    <w:name w:val="Body Text First Indent 2"/>
    <w:basedOn w:val="25"/>
    <w:link w:val="110"/>
    <w:uiPriority w:val="0"/>
    <w:pPr>
      <w:adjustRightInd/>
      <w:spacing w:after="120" w:afterLines="0" w:line="240" w:lineRule="auto"/>
      <w:ind w:left="420" w:leftChars="200" w:firstLine="210"/>
    </w:pPr>
    <w:rPr>
      <w:sz w:val="21"/>
    </w:rPr>
  </w:style>
  <w:style w:type="table" w:styleId="63">
    <w:name w:val="Table Grid"/>
    <w:basedOn w:val="62"/>
    <w:qFormat/>
    <w:uiPriority w:val="39"/>
    <w:pPr>
      <w:widowControl w:val="0"/>
      <w:jc w:val="both"/>
    </w:p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uiPriority w:val="0"/>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uiPriority w:val="0"/>
    <w:pPr>
      <w:widowControl w:val="0"/>
      <w:jc w:val="both"/>
    </w:pPr>
    <w:tblPr>
      <w:tblStyle w:val="62"/>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62"/>
      </w:tblPr>
      <w:tcPr>
        <w:tcBorders>
          <w:top w:val="nil"/>
          <w:left w:val="nil"/>
          <w:bottom w:val="nil"/>
          <w:right w:val="nil"/>
          <w:insideH w:val="nil"/>
          <w:insideV w:val="nil"/>
          <w:tl2br w:val="nil"/>
          <w:tr2bl w:val="nil"/>
        </w:tcBorders>
      </w:tcPr>
    </w:tblStylePr>
  </w:style>
  <w:style w:type="table" w:styleId="66">
    <w:name w:val="Table Grid 5"/>
    <w:basedOn w:val="62"/>
    <w:uiPriority w:val="0"/>
    <w:pPr>
      <w:widowControl w:val="0"/>
      <w:jc w:val="both"/>
    </w:pPr>
    <w:tblPr>
      <w:tblStyle w:val="62"/>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blStyle w:val="62"/>
      </w:tblPr>
      <w:tcPr>
        <w:tcBorders>
          <w:top w:val="nil"/>
          <w:left w:val="single" w:color="000000" w:sz="12" w:space="0"/>
          <w:bottom w:val="nil"/>
          <w:right w:val="nil"/>
          <w:insideH w:val="nil"/>
          <w:insideV w:val="nil"/>
          <w:tl2br w:val="nil"/>
          <w:tr2bl w:val="nil"/>
        </w:tcBorders>
      </w:tcPr>
    </w:tblStylePr>
    <w:tblStylePr w:type="lastRow">
      <w:rPr>
        <w:b/>
        <w:bCs/>
      </w:rPr>
      <w:tblPr>
        <w:tblStyle w:val="62"/>
      </w:tblPr>
      <w:tcPr>
        <w:tcBorders>
          <w:top w:val="nil"/>
          <w:left w:val="nil"/>
          <w:bottom w:val="nil"/>
          <w:right w:val="nil"/>
          <w:insideH w:val="nil"/>
          <w:insideV w:val="nil"/>
          <w:tl2br w:val="nil"/>
          <w:tr2bl w:val="nil"/>
        </w:tcBorders>
      </w:tcPr>
    </w:tblStylePr>
    <w:tblStylePr w:type="lastCol">
      <w:rPr>
        <w:b/>
        <w:bCs/>
      </w:rPr>
      <w:tblPr>
        <w:tblStyle w:val="62"/>
      </w:tblPr>
      <w:tcPr>
        <w:tcBorders>
          <w:top w:val="nil"/>
          <w:left w:val="nil"/>
          <w:bottom w:val="nil"/>
          <w:right w:val="nil"/>
          <w:insideH w:val="nil"/>
          <w:insideV w:val="nil"/>
          <w:tl2br w:val="nil"/>
          <w:tr2bl w:val="nil"/>
        </w:tcBorders>
      </w:tcPr>
    </w:tblStylePr>
    <w:tblStylePr w:type="nwCell">
      <w:tblPr>
        <w:tblStyle w:val="62"/>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uiPriority w:val="0"/>
    <w:pPr>
      <w:widowControl w:val="0"/>
      <w:jc w:val="both"/>
    </w:pPr>
    <w:tblPr>
      <w:tblStyle w:val="62"/>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62"/>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2"/>
      </w:tblPr>
      <w:tcPr>
        <w:tcBorders>
          <w:top w:val="nil"/>
          <w:left w:val="nil"/>
          <w:bottom w:val="nil"/>
          <w:right w:val="nil"/>
          <w:insideH w:val="nil"/>
          <w:insideV w:val="nil"/>
          <w:tl2br w:val="nil"/>
          <w:tr2bl w:val="nil"/>
        </w:tcBorders>
      </w:tcPr>
    </w:tblStylePr>
    <w:tblStylePr w:type="lastCol">
      <w:rPr>
        <w:b/>
        <w:bCs/>
        <w:color w:val="auto"/>
      </w:rPr>
      <w:tblPr>
        <w:tblStyle w:val="62"/>
      </w:tblPr>
      <w:tcPr>
        <w:tcBorders>
          <w:top w:val="nil"/>
          <w:left w:val="nil"/>
          <w:bottom w:val="nil"/>
          <w:right w:val="nil"/>
          <w:insideH w:val="nil"/>
          <w:insideV w:val="nil"/>
          <w:tl2br w:val="nil"/>
          <w:tr2bl w:val="nil"/>
        </w:tcBorders>
      </w:tcPr>
    </w:tblStylePr>
  </w:style>
  <w:style w:type="table" w:styleId="68">
    <w:name w:val="Table Professional"/>
    <w:basedOn w:val="62"/>
    <w:uiPriority w:val="0"/>
    <w:pPr>
      <w:widowControl w:val="0"/>
      <w:jc w:val="both"/>
    </w:pPr>
    <w:tblPr>
      <w:tblStyle w:val="62"/>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62"/>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2"/>
    <w:basedOn w:val="1"/>
    <w:link w:val="69"/>
    <w:uiPriority w:val="0"/>
    <w:rPr>
      <w:rFonts w:ascii="仿宋_GB2312" w:eastAsia="仿宋_GB2312"/>
      <w:b/>
      <w:sz w:val="32"/>
      <w:szCs w:val="32"/>
    </w:rPr>
  </w:style>
  <w:style w:type="character" w:styleId="71">
    <w:name w:val="Strong"/>
    <w:qFormat/>
    <w:uiPriority w:val="0"/>
    <w:rPr>
      <w:b/>
      <w:bCs/>
    </w:rPr>
  </w:style>
  <w:style w:type="character" w:styleId="72">
    <w:name w:val="page number"/>
    <w:basedOn w:val="69"/>
    <w:uiPriority w:val="0"/>
  </w:style>
  <w:style w:type="character" w:styleId="73">
    <w:name w:val="FollowedHyperlink"/>
    <w:uiPriority w:val="0"/>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uiPriority w:val="0"/>
  </w:style>
  <w:style w:type="character" w:styleId="76">
    <w:name w:val="Hyperlink"/>
    <w:qFormat/>
    <w:uiPriority w:val="0"/>
    <w:rPr>
      <w:rFonts w:ascii="Arial" w:hAnsi="Arial" w:eastAsia="黑体" w:cs="Arial"/>
      <w:snapToGrid w:val="0"/>
      <w:color w:val="000000"/>
      <w:kern w:val="0"/>
      <w:sz w:val="18"/>
      <w:szCs w:val="18"/>
      <w:u w:val="none"/>
    </w:rPr>
  </w:style>
  <w:style w:type="character" w:styleId="77">
    <w:name w:val="HTML Code"/>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80">
    <w:name w:val="标题 1 Char"/>
    <w:link w:val="3"/>
    <w:qFormat/>
    <w:uiPriority w:val="9"/>
    <w:rPr>
      <w:b/>
      <w:bCs/>
      <w:kern w:val="44"/>
      <w:sz w:val="44"/>
      <w:szCs w:val="44"/>
    </w:rPr>
  </w:style>
  <w:style w:type="character" w:customStyle="1" w:styleId="81">
    <w:name w:val="标题 4 Char"/>
    <w:link w:val="6"/>
    <w:qFormat/>
    <w:uiPriority w:val="9"/>
    <w:rPr>
      <w:rFonts w:ascii="Arial" w:hAnsi="Arial" w:eastAsia="黑体"/>
      <w:b/>
      <w:bCs/>
      <w:kern w:val="2"/>
      <w:sz w:val="28"/>
      <w:szCs w:val="28"/>
      <w:lang w:val="zh-CN"/>
    </w:rPr>
  </w:style>
  <w:style w:type="character" w:customStyle="1" w:styleId="82">
    <w:name w:val="标题 5 Char"/>
    <w:link w:val="7"/>
    <w:qFormat/>
    <w:uiPriority w:val="0"/>
    <w:rPr>
      <w:b/>
      <w:bCs/>
      <w:kern w:val="2"/>
      <w:sz w:val="28"/>
      <w:szCs w:val="28"/>
    </w:rPr>
  </w:style>
  <w:style w:type="character" w:customStyle="1" w:styleId="83">
    <w:name w:val="标题 6 Char"/>
    <w:link w:val="9"/>
    <w:uiPriority w:val="0"/>
    <w:rPr>
      <w:rFonts w:ascii="Arial" w:hAnsi="Arial" w:eastAsia="黑体"/>
      <w:b/>
      <w:bCs/>
      <w:kern w:val="2"/>
      <w:sz w:val="24"/>
      <w:szCs w:val="24"/>
    </w:rPr>
  </w:style>
  <w:style w:type="character" w:customStyle="1" w:styleId="84">
    <w:name w:val="标题 7 Char"/>
    <w:link w:val="10"/>
    <w:qFormat/>
    <w:uiPriority w:val="0"/>
    <w:rPr>
      <w:b/>
      <w:bCs/>
      <w:kern w:val="2"/>
      <w:sz w:val="24"/>
      <w:szCs w:val="24"/>
    </w:rPr>
  </w:style>
  <w:style w:type="character" w:customStyle="1" w:styleId="85">
    <w:name w:val="标题 8 Char"/>
    <w:link w:val="11"/>
    <w:qFormat/>
    <w:uiPriority w:val="0"/>
    <w:rPr>
      <w:rFonts w:ascii="Arial" w:hAnsi="Arial" w:eastAsia="黑体"/>
      <w:kern w:val="2"/>
      <w:sz w:val="24"/>
      <w:szCs w:val="24"/>
    </w:rPr>
  </w:style>
  <w:style w:type="character" w:customStyle="1" w:styleId="86">
    <w:name w:val="标题 9 Char"/>
    <w:link w:val="12"/>
    <w:qFormat/>
    <w:uiPriority w:val="0"/>
    <w:rPr>
      <w:rFonts w:ascii="Arial" w:hAnsi="Arial" w:eastAsia="黑体"/>
      <w:kern w:val="2"/>
      <w:sz w:val="21"/>
      <w:szCs w:val="21"/>
    </w:rPr>
  </w:style>
  <w:style w:type="character" w:customStyle="1" w:styleId="87">
    <w:name w:val="正文缩进 Char2"/>
    <w:link w:val="17"/>
    <w:qFormat/>
    <w:uiPriority w:val="0"/>
    <w:rPr>
      <w:rFonts w:ascii="宋体" w:eastAsia="宋体"/>
      <w:snapToGrid w:val="0"/>
      <w:color w:val="000000"/>
      <w:kern w:val="28"/>
      <w:sz w:val="28"/>
      <w:lang w:val="en-US" w:eastAsia="zh-CN" w:bidi="ar-SA"/>
    </w:rPr>
  </w:style>
  <w:style w:type="character" w:customStyle="1" w:styleId="88">
    <w:name w:val="题注 Char"/>
    <w:link w:val="18"/>
    <w:qFormat/>
    <w:uiPriority w:val="0"/>
    <w:rPr>
      <w:b/>
      <w:kern w:val="2"/>
      <w:sz w:val="28"/>
    </w:rPr>
  </w:style>
  <w:style w:type="character" w:customStyle="1" w:styleId="89">
    <w:name w:val="文档结构图 Char1"/>
    <w:link w:val="20"/>
    <w:qFormat/>
    <w:uiPriority w:val="0"/>
    <w:rPr>
      <w:kern w:val="2"/>
      <w:sz w:val="21"/>
      <w:szCs w:val="24"/>
      <w:shd w:val="clear" w:color="auto" w:fill="000080"/>
    </w:rPr>
  </w:style>
  <w:style w:type="character" w:customStyle="1" w:styleId="90">
    <w:name w:val="批注文字 Char1"/>
    <w:link w:val="21"/>
    <w:qFormat/>
    <w:uiPriority w:val="0"/>
    <w:rPr>
      <w:kern w:val="2"/>
      <w:sz w:val="21"/>
      <w:szCs w:val="24"/>
    </w:rPr>
  </w:style>
  <w:style w:type="character" w:customStyle="1" w:styleId="91">
    <w:name w:val="称呼 Char"/>
    <w:link w:val="22"/>
    <w:qFormat/>
    <w:uiPriority w:val="0"/>
    <w:rPr>
      <w:rFonts w:ascii="仿宋_GB2312" w:eastAsia="仿宋_GB2312"/>
      <w:kern w:val="2"/>
      <w:sz w:val="28"/>
    </w:rPr>
  </w:style>
  <w:style w:type="character" w:customStyle="1" w:styleId="92">
    <w:name w:val="正文文本 3 Char"/>
    <w:link w:val="23"/>
    <w:uiPriority w:val="0"/>
    <w:rPr>
      <w:kern w:val="2"/>
      <w:sz w:val="21"/>
    </w:rPr>
  </w:style>
  <w:style w:type="character" w:customStyle="1" w:styleId="93">
    <w:name w:val="正文文本缩进 Char1"/>
    <w:link w:val="25"/>
    <w:uiPriority w:val="0"/>
    <w:rPr>
      <w:rFonts w:ascii="宋体" w:hAnsi="宋体"/>
      <w:kern w:val="2"/>
      <w:sz w:val="24"/>
      <w:szCs w:val="24"/>
    </w:rPr>
  </w:style>
  <w:style w:type="character" w:customStyle="1" w:styleId="94">
    <w:name w:val="HTML 地址 Char"/>
    <w:link w:val="30"/>
    <w:uiPriority w:val="0"/>
    <w:rPr>
      <w:rFonts w:ascii="宋体" w:hAnsi="宋体"/>
      <w:i/>
      <w:iCs/>
      <w:sz w:val="24"/>
      <w:szCs w:val="24"/>
    </w:rPr>
  </w:style>
  <w:style w:type="character" w:customStyle="1" w:styleId="9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96">
    <w:name w:val="日期 Char"/>
    <w:link w:val="36"/>
    <w:uiPriority w:val="0"/>
    <w:rPr>
      <w:rFonts w:ascii="宋体"/>
      <w:kern w:val="2"/>
      <w:sz w:val="24"/>
      <w:szCs w:val="21"/>
      <w:lang w:val="zh-CN"/>
    </w:rPr>
  </w:style>
  <w:style w:type="character" w:customStyle="1" w:styleId="97">
    <w:name w:val="正文文本缩进 2 Char"/>
    <w:link w:val="37"/>
    <w:uiPriority w:val="0"/>
    <w:rPr>
      <w:rFonts w:ascii="宋体"/>
      <w:sz w:val="28"/>
    </w:rPr>
  </w:style>
  <w:style w:type="character" w:customStyle="1" w:styleId="98">
    <w:name w:val="批注框文本 Char"/>
    <w:link w:val="38"/>
    <w:qFormat/>
    <w:uiPriority w:val="0"/>
    <w:rPr>
      <w:kern w:val="2"/>
      <w:sz w:val="18"/>
      <w:szCs w:val="18"/>
    </w:rPr>
  </w:style>
  <w:style w:type="character" w:customStyle="1" w:styleId="99">
    <w:name w:val="页脚 Char2"/>
    <w:link w:val="39"/>
    <w:locked/>
    <w:uiPriority w:val="99"/>
    <w:rPr>
      <w:kern w:val="2"/>
      <w:sz w:val="18"/>
      <w:szCs w:val="18"/>
    </w:rPr>
  </w:style>
  <w:style w:type="character" w:customStyle="1" w:styleId="100">
    <w:name w:val="页眉 Char2"/>
    <w:link w:val="40"/>
    <w:uiPriority w:val="99"/>
    <w:rPr>
      <w:kern w:val="2"/>
      <w:sz w:val="18"/>
      <w:szCs w:val="18"/>
    </w:rPr>
  </w:style>
  <w:style w:type="character" w:customStyle="1" w:styleId="101">
    <w:name w:val="签名 Char"/>
    <w:link w:val="41"/>
    <w:uiPriority w:val="0"/>
    <w:rPr>
      <w:rFonts w:eastAsia="仿宋_GB2312"/>
      <w:sz w:val="24"/>
    </w:rPr>
  </w:style>
  <w:style w:type="character" w:customStyle="1" w:styleId="102">
    <w:name w:val="副标题 Char"/>
    <w:link w:val="46"/>
    <w:qFormat/>
    <w:uiPriority w:val="0"/>
    <w:rPr>
      <w:rFonts w:ascii="Arial" w:hAnsi="Arial" w:eastAsia="隶书"/>
      <w:b/>
      <w:bCs/>
      <w:kern w:val="28"/>
      <w:sz w:val="44"/>
      <w:szCs w:val="32"/>
      <w:lang w:val="en-US" w:eastAsia="zh-CN" w:bidi="ar-SA"/>
    </w:rPr>
  </w:style>
  <w:style w:type="character" w:customStyle="1" w:styleId="103">
    <w:name w:val="脚注文本 Char"/>
    <w:link w:val="49"/>
    <w:qFormat/>
    <w:uiPriority w:val="0"/>
    <w:rPr>
      <w:color w:val="0000FF"/>
      <w:sz w:val="21"/>
    </w:rPr>
  </w:style>
  <w:style w:type="character" w:customStyle="1" w:styleId="104">
    <w:name w:val="正文文本缩进 3 Char"/>
    <w:link w:val="52"/>
    <w:uiPriority w:val="0"/>
    <w:rPr>
      <w:kern w:val="2"/>
      <w:sz w:val="24"/>
    </w:rPr>
  </w:style>
  <w:style w:type="character" w:customStyle="1" w:styleId="105">
    <w:name w:val="正文文本 2 Char1"/>
    <w:link w:val="55"/>
    <w:uiPriority w:val="0"/>
    <w:rPr>
      <w:kern w:val="2"/>
      <w:sz w:val="21"/>
      <w:szCs w:val="24"/>
    </w:rPr>
  </w:style>
  <w:style w:type="character" w:customStyle="1" w:styleId="106">
    <w:name w:val="HTML 预设格式 Char"/>
    <w:link w:val="56"/>
    <w:uiPriority w:val="99"/>
    <w:rPr>
      <w:rFonts w:ascii="黑体" w:hAnsi="Courier New" w:eastAsia="黑体"/>
    </w:rPr>
  </w:style>
  <w:style w:type="character" w:customStyle="1" w:styleId="107">
    <w:name w:val="标题 Char1"/>
    <w:link w:val="58"/>
    <w:qFormat/>
    <w:uiPriority w:val="0"/>
    <w:rPr>
      <w:b/>
      <w:sz w:val="24"/>
      <w:lang w:val="en-GB"/>
    </w:rPr>
  </w:style>
  <w:style w:type="character" w:customStyle="1" w:styleId="108">
    <w:name w:val="批注主题 Char1"/>
    <w:link w:val="59"/>
    <w:uiPriority w:val="0"/>
    <w:rPr>
      <w:b/>
      <w:bCs/>
      <w:kern w:val="2"/>
      <w:sz w:val="21"/>
      <w:szCs w:val="24"/>
    </w:rPr>
  </w:style>
  <w:style w:type="character" w:customStyle="1" w:styleId="109">
    <w:name w:val="正文首行缩进 Char"/>
    <w:link w:val="60"/>
    <w:uiPriority w:val="0"/>
    <w:rPr>
      <w:rFonts w:ascii="宋体"/>
      <w:kern w:val="2"/>
      <w:sz w:val="24"/>
      <w:lang w:val="zh-CN"/>
    </w:rPr>
  </w:style>
  <w:style w:type="character" w:customStyle="1" w:styleId="110">
    <w:name w:val="正文首行缩进 2 Char"/>
    <w:link w:val="61"/>
    <w:uiPriority w:val="0"/>
    <w:rPr>
      <w:rFonts w:ascii="宋体" w:hAnsi="宋体"/>
      <w:kern w:val="2"/>
      <w:sz w:val="21"/>
      <w:szCs w:val="24"/>
    </w:rPr>
  </w:style>
  <w:style w:type="character" w:customStyle="1" w:styleId="111">
    <w:name w:val="标题 2 Char"/>
    <w:aliases w:val="标题 2-1 Char Char,Header 2 Char,Heading2 Char,L1 Heading 2 Char,H21 Char,sect 1.21 Char,H22 Char,sect 1.22 Char,H211 Char,sect 1.211 Char,H23 Char,sect 1.23 Char,H212 Char,sect 1.212 Char,H24 Char,sect 1.24 Char,H213 Char,sect 1.213 Char,H2 Cha"/>
    <w:uiPriority w:val="0"/>
    <w:rPr>
      <w:rFonts w:ascii="Arial" w:hAnsi="Arial" w:eastAsia="黑体"/>
      <w:b/>
      <w:kern w:val="2"/>
      <w:sz w:val="32"/>
      <w:lang w:val="en-US" w:eastAsia="zh-CN"/>
    </w:rPr>
  </w:style>
  <w:style w:type="character" w:customStyle="1" w:styleId="112">
    <w:name w:val="Footer-Even Char1"/>
    <w:aliases w:val="FtrF Char Char1"/>
    <w:qFormat/>
    <w:uiPriority w:val="0"/>
    <w:rPr>
      <w:rFonts w:eastAsia="宋体"/>
      <w:kern w:val="2"/>
      <w:sz w:val="18"/>
      <w:szCs w:val="18"/>
      <w:lang w:val="en-US" w:eastAsia="zh-CN" w:bidi="ar-SA"/>
    </w:rPr>
  </w:style>
  <w:style w:type="character" w:customStyle="1" w:styleId="113">
    <w:name w:val=" Char Char3"/>
    <w:uiPriority w:val="0"/>
    <w:rPr>
      <w:rFonts w:eastAsia="宋体"/>
      <w:kern w:val="2"/>
      <w:sz w:val="21"/>
      <w:szCs w:val="24"/>
      <w:lang w:val="en-US" w:eastAsia="zh-CN" w:bidi="ar-SA"/>
    </w:rPr>
  </w:style>
  <w:style w:type="character" w:customStyle="1" w:styleId="114">
    <w:name w:val="font161"/>
    <w:qFormat/>
    <w:uiPriority w:val="0"/>
    <w:rPr>
      <w:rFonts w:ascii="仿宋" w:hAnsi="仿宋" w:eastAsia="仿宋" w:cs="仿宋"/>
      <w:b/>
      <w:color w:val="000000"/>
      <w:sz w:val="21"/>
      <w:szCs w:val="21"/>
      <w:u w:val="none"/>
    </w:rPr>
  </w:style>
  <w:style w:type="character" w:customStyle="1" w:styleId="115">
    <w:name w:val="纯文本 字符"/>
    <w:qFormat/>
    <w:uiPriority w:val="0"/>
    <w:rPr>
      <w:rFonts w:ascii="宋体" w:hAnsi="Courier New" w:eastAsia="宋体" w:cs="Arial"/>
      <w:snapToGrid w:val="0"/>
      <w:kern w:val="2"/>
      <w:sz w:val="21"/>
      <w:szCs w:val="21"/>
      <w:lang w:val="en-US" w:eastAsia="zh-CN" w:bidi="ar-SA"/>
    </w:rPr>
  </w:style>
  <w:style w:type="character" w:customStyle="1" w:styleId="116">
    <w:name w:val="dectext1"/>
    <w:uiPriority w:val="0"/>
    <w:rPr>
      <w:rFonts w:ascii="宋体" w:hAnsi="宋体" w:eastAsia="宋体"/>
      <w:color w:val="333333"/>
      <w:sz w:val="21"/>
      <w:szCs w:val="21"/>
      <w:u w:val="none"/>
    </w:rPr>
  </w:style>
  <w:style w:type="character" w:customStyle="1" w:styleId="117">
    <w:name w:val="h4 Char"/>
    <w:aliases w:val="H4 Char,PIM 4 Char,Ref Heading 1 Char,rh1 Char,Heading sql Char,sect 1.2.3.4 Char,heading 4 Char,sect 1.2.3.41 Char,Ref Heading 11 Char,rh11 Char,sect 1.2.3.42 Char,Ref Heading 12 Char,rh12 Char,sect 1.2.3.411 Char,Ref Heading 111 Char,rh13 Char"/>
    <w:uiPriority w:val="0"/>
    <w:rPr>
      <w:rFonts w:ascii="Arial" w:hAnsi="Arial" w:eastAsia="黑体"/>
      <w:b/>
      <w:bCs/>
      <w:kern w:val="2"/>
      <w:sz w:val="28"/>
      <w:szCs w:val="28"/>
      <w:lang w:val="zh-CN" w:eastAsia="zh-CN" w:bidi="ar-SA"/>
    </w:rPr>
  </w:style>
  <w:style w:type="character" w:customStyle="1" w:styleId="118">
    <w:name w:val="日期 Char1"/>
    <w:semiHidden/>
    <w:uiPriority w:val="99"/>
    <w:rPr>
      <w:rFonts w:ascii="Times New Roman" w:hAnsi="Times New Roman" w:eastAsia="宋体" w:cs="Times New Roman"/>
      <w:szCs w:val="24"/>
    </w:rPr>
  </w:style>
  <w:style w:type="character" w:customStyle="1" w:styleId="119">
    <w:name w:val=" Char Char10"/>
    <w:semiHidden/>
    <w:uiPriority w:val="0"/>
    <w:rPr>
      <w:rFonts w:ascii="宋体" w:hAnsi="宋体"/>
      <w:kern w:val="2"/>
      <w:sz w:val="21"/>
      <w:szCs w:val="24"/>
      <w:lang/>
    </w:rPr>
  </w:style>
  <w:style w:type="character" w:customStyle="1" w:styleId="120">
    <w:name w:val="正文首行缩进两字 Char"/>
    <w:qFormat/>
    <w:uiPriority w:val="0"/>
    <w:rPr>
      <w:sz w:val="24"/>
      <w:szCs w:val="24"/>
      <w:lang w:val="en-US" w:eastAsia="zh-CN" w:bidi="ar-SA"/>
    </w:rPr>
  </w:style>
  <w:style w:type="character" w:customStyle="1" w:styleId="121">
    <w:name w:val="Char Char7"/>
    <w:qFormat/>
    <w:uiPriority w:val="0"/>
    <w:rPr>
      <w:rFonts w:eastAsia="宋体"/>
      <w:kern w:val="2"/>
      <w:sz w:val="21"/>
      <w:szCs w:val="24"/>
      <w:lang w:val="en-US" w:eastAsia="zh-CN" w:bidi="ar-SA"/>
    </w:rPr>
  </w:style>
  <w:style w:type="character" w:customStyle="1" w:styleId="122">
    <w:name w:val=" Char Char16"/>
    <w:uiPriority w:val="0"/>
    <w:rPr>
      <w:rFonts w:eastAsia="宋体"/>
      <w:b/>
      <w:kern w:val="2"/>
      <w:sz w:val="32"/>
      <w:lang w:val="en-US" w:eastAsia="zh-CN"/>
    </w:rPr>
  </w:style>
  <w:style w:type="character" w:customStyle="1" w:styleId="123">
    <w:name w:val="Char Char16"/>
    <w:uiPriority w:val="6"/>
    <w:rPr>
      <w:kern w:val="1"/>
      <w:sz w:val="18"/>
      <w:szCs w:val="18"/>
    </w:rPr>
  </w:style>
  <w:style w:type="character" w:customStyle="1" w:styleId="124">
    <w:name w:val=" Char Char"/>
    <w:uiPriority w:val="0"/>
    <w:rPr>
      <w:rFonts w:ascii="宋体" w:hAnsi="Courier New" w:eastAsia="宋体"/>
      <w:kern w:val="2"/>
      <w:sz w:val="21"/>
      <w:lang w:val="en-US" w:eastAsia="zh-CN" w:bidi="ar-SA"/>
    </w:rPr>
  </w:style>
  <w:style w:type="character" w:customStyle="1" w:styleId="125">
    <w:name w:val="编号，小四 Char"/>
    <w:link w:val="126"/>
    <w:uiPriority w:val="0"/>
    <w:rPr>
      <w:rFonts w:ascii="Arial" w:hAnsi="Arial"/>
      <w:sz w:val="24"/>
    </w:rPr>
  </w:style>
  <w:style w:type="paragraph" w:customStyle="1" w:styleId="126">
    <w:name w:val="编号，小四"/>
    <w:basedOn w:val="1"/>
    <w:link w:val="125"/>
    <w:qFormat/>
    <w:uiPriority w:val="0"/>
    <w:pPr>
      <w:tabs>
        <w:tab w:val="left" w:pos="432"/>
      </w:tabs>
      <w:adjustRightInd/>
      <w:spacing w:line="360" w:lineRule="auto"/>
      <w:ind w:left="432" w:hanging="432"/>
    </w:pPr>
    <w:rPr>
      <w:rFonts w:ascii="Arial" w:hAnsi="Arial"/>
      <w:kern w:val="0"/>
      <w:sz w:val="24"/>
      <w:szCs w:val="20"/>
    </w:rPr>
  </w:style>
  <w:style w:type="character" w:customStyle="1" w:styleId="127">
    <w:name w:val="列表段落 字符"/>
    <w:aliases w:val="列出段落 字符,List 字符,List1 字符,编号 字符,Bullet List 字符,numbered 字符,FooterText 字符,List Paragraph1 字符,Paragraphe de liste1 字符,Colorful List Accent 1 字符,符号列表 字符,符号1.1（天云科技） 字符,列出段落-正文 字符,彩色列表 - 强调文字颜色 13 字符,列出段落21 字符,列出段落12 字符,1.2.3标题 字符,正文段落1 字符,lp1 字符"/>
    <w:qFormat/>
    <w:uiPriority w:val="34"/>
  </w:style>
  <w:style w:type="character" w:customStyle="1" w:styleId="128">
    <w:name w:val="Char Char41"/>
    <w:uiPriority w:val="0"/>
    <w:rPr>
      <w:rFonts w:eastAsia="宋体"/>
      <w:b/>
      <w:sz w:val="24"/>
      <w:lang w:val="en-GB" w:eastAsia="zh-CN" w:bidi="ar-SA"/>
    </w:rPr>
  </w:style>
  <w:style w:type="character" w:customStyle="1" w:styleId="129">
    <w:name w:val="正文首行缩进 Char Char Char Char Char Char1"/>
    <w:uiPriority w:val="0"/>
    <w:rPr>
      <w:rFonts w:ascii="宋体" w:eastAsia="宋体"/>
      <w:kern w:val="2"/>
      <w:sz w:val="24"/>
      <w:szCs w:val="24"/>
      <w:lang w:val="zh-CN" w:bidi="ar-SA"/>
    </w:rPr>
  </w:style>
  <w:style w:type="character" w:customStyle="1" w:styleId="130">
    <w:name w:val="Ò³Ã¼ Char Char1"/>
    <w:uiPriority w:val="0"/>
    <w:rPr>
      <w:rFonts w:eastAsia="宋体"/>
      <w:kern w:val="2"/>
      <w:sz w:val="18"/>
      <w:szCs w:val="18"/>
      <w:lang w:val="en-US" w:eastAsia="zh-CN" w:bidi="ar-SA"/>
    </w:rPr>
  </w:style>
  <w:style w:type="character" w:customStyle="1" w:styleId="131">
    <w:name w:val="正文（缩进2汉字） Char"/>
    <w:link w:val="132"/>
    <w:uiPriority w:val="0"/>
    <w:rPr>
      <w:rFonts w:ascii="宋体"/>
    </w:rPr>
  </w:style>
  <w:style w:type="paragraph" w:customStyle="1" w:styleId="132">
    <w:name w:val="正文（缩进2汉字）"/>
    <w:basedOn w:val="1"/>
    <w:link w:val="131"/>
    <w:uiPriority w:val="0"/>
    <w:pPr>
      <w:tabs>
        <w:tab w:val="left" w:pos="525"/>
      </w:tabs>
      <w:adjustRightInd/>
      <w:spacing w:before="100" w:beforeLines="0" w:beforeAutospacing="1" w:after="100" w:afterLines="0" w:afterAutospacing="1"/>
      <w:ind w:left="120" w:leftChars="50" w:firstLine="494" w:firstLineChars="206"/>
    </w:pPr>
    <w:rPr>
      <w:rFonts w:ascii="宋体"/>
      <w:kern w:val="0"/>
      <w:sz w:val="20"/>
      <w:szCs w:val="20"/>
    </w:rPr>
  </w:style>
  <w:style w:type="character" w:customStyle="1" w:styleId="133">
    <w:name w:val="Char Char37"/>
    <w:uiPriority w:val="6"/>
    <w:rPr>
      <w:b/>
      <w:kern w:val="1"/>
      <w:sz w:val="44"/>
      <w:szCs w:val="44"/>
    </w:rPr>
  </w:style>
  <w:style w:type="character" w:customStyle="1" w:styleId="134">
    <w:name w:val="Font Style82"/>
    <w:uiPriority w:val="99"/>
    <w:rPr>
      <w:rFonts w:ascii="宋体" w:eastAsia="宋体" w:cs="宋体"/>
      <w:color w:val="000000"/>
      <w:sz w:val="14"/>
      <w:szCs w:val="14"/>
    </w:rPr>
  </w:style>
  <w:style w:type="character" w:customStyle="1" w:styleId="135">
    <w:name w:val="表格 Char Char"/>
    <w:qFormat/>
    <w:uiPriority w:val="0"/>
    <w:rPr>
      <w:rFonts w:ascii="宋体" w:hAnsi="宋体" w:eastAsia="宋体"/>
      <w:lang w:bidi="ar-SA"/>
    </w:rPr>
  </w:style>
  <w:style w:type="character" w:customStyle="1" w:styleId="136">
    <w:name w:val="标题 4 Char1"/>
    <w:qFormat/>
    <w:uiPriority w:val="9"/>
    <w:rPr>
      <w:rFonts w:ascii="Cambria" w:hAnsi="Cambria" w:eastAsia="宋体" w:cs="Times New Roman"/>
      <w:b/>
      <w:bCs/>
      <w:kern w:val="2"/>
      <w:sz w:val="28"/>
      <w:szCs w:val="28"/>
    </w:rPr>
  </w:style>
  <w:style w:type="character" w:customStyle="1" w:styleId="137">
    <w:name w:val="highlight1"/>
    <w:uiPriority w:val="0"/>
    <w:rPr>
      <w:rFonts w:ascii="仿宋_GB2312" w:eastAsia="微软雅黑"/>
      <w:b/>
      <w:kern w:val="2"/>
      <w:sz w:val="23"/>
      <w:szCs w:val="23"/>
      <w:lang w:val="en-US" w:eastAsia="zh-CN" w:bidi="ar-SA"/>
    </w:rPr>
  </w:style>
  <w:style w:type="character" w:customStyle="1" w:styleId="138">
    <w:name w:val="dandyren_title1"/>
    <w:uiPriority w:val="0"/>
    <w:rPr>
      <w:b/>
      <w:bCs/>
      <w:color w:val="FF6633"/>
      <w:sz w:val="18"/>
      <w:szCs w:val="18"/>
    </w:rPr>
  </w:style>
  <w:style w:type="character" w:customStyle="1" w:styleId="139">
    <w:name w:val="正文2 Char"/>
    <w:qFormat/>
    <w:uiPriority w:val="0"/>
    <w:rPr>
      <w:rFonts w:eastAsia="宋体"/>
      <w:kern w:val="2"/>
      <w:sz w:val="24"/>
      <w:lang w:val="en-US" w:eastAsia="zh-CN" w:bidi="ar-SA"/>
    </w:rPr>
  </w:style>
  <w:style w:type="character" w:customStyle="1" w:styleId="140">
    <w:name w:val="表名 Char"/>
    <w:aliases w:val="sdf Char,L7 Char,PIM 7 Char,◎ Char,不用 Char,letter list Char,H TIMES1 Char,（1） Char,Legal Level 1.1. Char,H7 Char,•H7 Char,h7 Char,st Char,SDL title Char,1.1.1.1.1.1.1标题 7 Char,1.标题 6 Char,L1 Heading 7 Char,Alt+7 Char,正文七级标题 Char,项标题(1) Char Char"/>
    <w:uiPriority w:val="0"/>
    <w:rPr>
      <w:rFonts w:eastAsia="宋体"/>
      <w:b/>
      <w:bCs/>
      <w:kern w:val="2"/>
      <w:sz w:val="24"/>
      <w:szCs w:val="24"/>
      <w:lang w:val="en-US" w:eastAsia="zh-CN" w:bidi="ar-SA"/>
    </w:rPr>
  </w:style>
  <w:style w:type="character" w:customStyle="1" w:styleId="141">
    <w:name w:val="批注框文本 Char1"/>
    <w:semiHidden/>
    <w:uiPriority w:val="99"/>
    <w:rPr>
      <w:rFonts w:ascii="Times New Roman" w:hAnsi="Times New Roman" w:eastAsia="宋体" w:cs="Times New Roman"/>
      <w:sz w:val="18"/>
      <w:szCs w:val="18"/>
    </w:rPr>
  </w:style>
  <w:style w:type="character" w:customStyle="1" w:styleId="142">
    <w:name w:val="标书1 Char1"/>
    <w:aliases w:val="h1 Char1,H1 Char1,L1 Char1,boc Char1,Section Head Char1,1st level Char1,l1 Char1,1 Char1,H11 Char1,H12 Char1,H13 Char1,H14 Char1,H15 Char1,H16 Char1,H17 Char1,Level 1 Topic Heading Char1,L1 Heading 1 Char1,h11 Char1,1st level1 Char1,h12 Char1"/>
    <w:uiPriority w:val="0"/>
    <w:rPr>
      <w:rFonts w:eastAsia="宋体"/>
      <w:b/>
      <w:bCs/>
      <w:kern w:val="44"/>
      <w:sz w:val="44"/>
      <w:szCs w:val="44"/>
      <w:lang w:val="en-US" w:eastAsia="zh-CN" w:bidi="ar-SA"/>
    </w:rPr>
  </w:style>
  <w:style w:type="character" w:customStyle="1" w:styleId="143">
    <w:name w:val="样式 正文缩进 + 首行缩进:  2 字符 Char Char"/>
    <w:link w:val="144"/>
    <w:uiPriority w:val="0"/>
    <w:rPr>
      <w:rFonts w:cs="宋体"/>
      <w:kern w:val="2"/>
      <w:sz w:val="24"/>
    </w:rPr>
  </w:style>
  <w:style w:type="paragraph" w:customStyle="1" w:styleId="144">
    <w:name w:val="样式 正文缩进 + 首行缩进:  2 字符"/>
    <w:basedOn w:val="17"/>
    <w:link w:val="143"/>
    <w:uiPriority w:val="0"/>
    <w:pPr>
      <w:widowControl w:val="0"/>
      <w:adjustRightInd/>
      <w:snapToGrid/>
      <w:spacing w:line="360" w:lineRule="auto"/>
      <w:ind w:firstLine="200" w:firstLineChars="200"/>
    </w:pPr>
    <w:rPr>
      <w:rFonts w:ascii="等线" w:eastAsia="等线"/>
      <w:snapToGrid/>
      <w:color w:val="auto"/>
      <w:kern w:val="2"/>
      <w:sz w:val="24"/>
    </w:rPr>
  </w:style>
  <w:style w:type="character" w:customStyle="1" w:styleId="145">
    <w:name w:val="Char Char121"/>
    <w:uiPriority w:val="6"/>
    <w:rPr>
      <w:rFonts w:ascii="仿宋_GB2312" w:eastAsia="仿宋_GB2312"/>
      <w:b/>
      <w:bCs/>
      <w:kern w:val="2"/>
      <w:sz w:val="24"/>
      <w:szCs w:val="24"/>
      <w:lang w:val="zh-CN" w:eastAsia="zh-CN" w:bidi="ar-SA"/>
    </w:rPr>
  </w:style>
  <w:style w:type="character" w:customStyle="1" w:styleId="146">
    <w:name w:val="Footer-Even Char"/>
    <w:aliases w:val="FtrF Char Char"/>
    <w:uiPriority w:val="0"/>
    <w:rPr>
      <w:rFonts w:eastAsia="宋体"/>
      <w:kern w:val="2"/>
      <w:sz w:val="18"/>
      <w:lang w:val="en-US" w:eastAsia="zh-CN" w:bidi="ar-SA"/>
    </w:rPr>
  </w:style>
  <w:style w:type="character" w:customStyle="1" w:styleId="147">
    <w:name w:val="页脚 字符"/>
    <w:uiPriority w:val="99"/>
    <w:rPr>
      <w:kern w:val="2"/>
      <w:sz w:val="18"/>
      <w:szCs w:val="18"/>
    </w:rPr>
  </w:style>
  <w:style w:type="character" w:customStyle="1" w:styleId="148">
    <w:name w:val="PI Char"/>
    <w:aliases w:val="正文文字首行缩进 Char,正文文本缩进 Char Char,正文小标题 Char,正文文字3 Char Char,正文文字3 Char,正文顶格 Char Char,正文文本缩进 Char Char Char"/>
    <w:uiPriority w:val="0"/>
    <w:rPr>
      <w:rFonts w:ascii="宋体" w:hAnsi="宋体" w:eastAsia="宋体"/>
      <w:kern w:val="2"/>
      <w:sz w:val="24"/>
      <w:szCs w:val="24"/>
      <w:lang w:val="en-US" w:eastAsia="zh-CN" w:bidi="ar-SA"/>
    </w:rPr>
  </w:style>
  <w:style w:type="character" w:customStyle="1" w:styleId="149">
    <w:name w:val="shadow11"/>
    <w:qFormat/>
    <w:uiPriority w:val="0"/>
    <w:rPr>
      <w:color w:val="000000"/>
      <w:sz w:val="21"/>
    </w:rPr>
  </w:style>
  <w:style w:type="character" w:customStyle="1" w:styleId="150">
    <w:name w:val="Comment Text Char"/>
    <w:locked/>
    <w:uiPriority w:val="0"/>
    <w:rPr>
      <w:rFonts w:ascii="宋体" w:hAnsi="宋体" w:eastAsia="宋体"/>
      <w:kern w:val="2"/>
      <w:sz w:val="24"/>
      <w:lang w:val="en-US" w:eastAsia="zh-CN" w:bidi="ar-SA"/>
    </w:rPr>
  </w:style>
  <w:style w:type="character" w:customStyle="1" w:styleId="151">
    <w:name w:val="Char Char22"/>
    <w:uiPriority w:val="6"/>
    <w:rPr>
      <w:rFonts w:ascii="宋体" w:hAnsi="宋体"/>
      <w:kern w:val="1"/>
      <w:sz w:val="24"/>
      <w:szCs w:val="24"/>
    </w:rPr>
  </w:style>
  <w:style w:type="character" w:customStyle="1" w:styleId="152">
    <w:name w:val="副标题 Char1"/>
    <w:uiPriority w:val="0"/>
    <w:rPr>
      <w:rFonts w:ascii="Cambria" w:hAnsi="Cambria" w:eastAsia="宋体" w:cs="Times New Roman"/>
      <w:b/>
      <w:bCs/>
      <w:snapToGrid w:val="0"/>
      <w:kern w:val="28"/>
      <w:sz w:val="32"/>
      <w:szCs w:val="32"/>
    </w:rPr>
  </w:style>
  <w:style w:type="character" w:customStyle="1" w:styleId="153">
    <w:name w:val="正文文本缩进 Char2"/>
    <w:uiPriority w:val="0"/>
    <w:rPr>
      <w:rFonts w:ascii="Times New Roman" w:hAnsi="Times New Roman" w:eastAsia="宋体" w:cs="Times New Roman"/>
      <w:snapToGrid w:val="0"/>
      <w:kern w:val="0"/>
      <w:szCs w:val="24"/>
    </w:rPr>
  </w:style>
  <w:style w:type="character" w:customStyle="1" w:styleId="154">
    <w:name w:val="myp1111"/>
    <w:uiPriority w:val="0"/>
    <w:rPr>
      <w:rFonts w:hint="default" w:ascii="ˎ̥" w:hAnsi="ˎ̥"/>
      <w:color w:val="000000"/>
      <w:sz w:val="20"/>
      <w:szCs w:val="20"/>
      <w:u w:val="none"/>
    </w:rPr>
  </w:style>
  <w:style w:type="character" w:customStyle="1" w:styleId="155">
    <w:name w:val="Table Text Char1"/>
    <w:uiPriority w:val="0"/>
    <w:rPr>
      <w:rFonts w:eastAsia="宋体"/>
      <w:sz w:val="24"/>
      <w:szCs w:val="24"/>
      <w:lang w:val="en-US" w:eastAsia="zh-CN" w:bidi="ar-SA"/>
    </w:rPr>
  </w:style>
  <w:style w:type="character" w:customStyle="1" w:styleId="156">
    <w:name w:val="正文文本缩进 3 Char1"/>
    <w:semiHidden/>
    <w:uiPriority w:val="99"/>
    <w:rPr>
      <w:rFonts w:ascii="Times New Roman" w:hAnsi="Times New Roman" w:eastAsia="宋体" w:cs="Times New Roman"/>
      <w:sz w:val="16"/>
      <w:szCs w:val="16"/>
    </w:rPr>
  </w:style>
  <w:style w:type="character" w:customStyle="1" w:styleId="157">
    <w:name w:val="正文首行缩进 Char Char Char Char Char Char"/>
    <w:uiPriority w:val="0"/>
    <w:rPr>
      <w:rFonts w:ascii="宋体" w:eastAsia="宋体"/>
      <w:kern w:val="2"/>
      <w:sz w:val="24"/>
      <w:lang w:val="zh-CN"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1 Char1"/>
    <w:uiPriority w:val="0"/>
    <w:rPr>
      <w:rFonts w:ascii="仿宋_GB2312" w:hAnsi="Courier New" w:eastAsia="仿宋_GB2312"/>
      <w:kern w:val="28"/>
      <w:sz w:val="24"/>
      <w:szCs w:val="24"/>
      <w:lang/>
    </w:rPr>
  </w:style>
  <w:style w:type="character" w:customStyle="1" w:styleId="161">
    <w:name w:val="unnamed31"/>
    <w:uiPriority w:val="0"/>
    <w:rPr>
      <w:rFonts w:ascii="Tahoma" w:hAnsi="Tahoma" w:eastAsia="宋体"/>
      <w:b/>
      <w:kern w:val="2"/>
      <w:sz w:val="24"/>
      <w:szCs w:val="32"/>
      <w:u w:val="none"/>
      <w:lang w:val="en-US" w:eastAsia="zh-CN" w:bidi="ar-SA"/>
    </w:rPr>
  </w:style>
  <w:style w:type="character" w:customStyle="1" w:styleId="162">
    <w:name w:val="列出段落 Char"/>
    <w:aliases w:val="List Char,List1 Char,编号 Char,Bullet List Char,numbered Char,FooterText Char,List Paragraph1 Char,Paragraphe de liste1 Char,Colorful List Accent 1 Char,符号列表 Char,符号1.1（天云科技） Char,列出段落-正文 Char,彩色列表 - 强调文字颜色 13 Char,列出段落21 Char,列出段落12 Char"/>
    <w:qFormat/>
    <w:uiPriority w:val="34"/>
    <w:rPr>
      <w:rFonts w:eastAsia="楷体_GB2312" w:cs="Lucida Sans"/>
      <w:kern w:val="2"/>
      <w:sz w:val="24"/>
      <w:szCs w:val="24"/>
      <w:lang w:val="en-US" w:eastAsia="zh-CN" w:bidi="ar-SA"/>
    </w:rPr>
  </w:style>
  <w:style w:type="character" w:customStyle="1" w:styleId="163">
    <w:name w:val="Heading 1 Char"/>
    <w:uiPriority w:val="6"/>
    <w:rPr>
      <w:rFonts w:ascii="Times New Roman" w:hAnsi="Times New Roman" w:eastAsia="黑体" w:cs="Times New Roman"/>
      <w:b/>
      <w:kern w:val="0"/>
      <w:sz w:val="24"/>
      <w:szCs w:val="24"/>
    </w:rPr>
  </w:style>
  <w:style w:type="character" w:customStyle="1" w:styleId="164">
    <w:name w:val="批注文字 Char"/>
    <w:qFormat/>
    <w:uiPriority w:val="99"/>
    <w:rPr>
      <w:kern w:val="2"/>
      <w:sz w:val="21"/>
      <w:szCs w:val="24"/>
    </w:rPr>
  </w:style>
  <w:style w:type="character" w:customStyle="1" w:styleId="165">
    <w:name w:val="ca-131"/>
    <w:uiPriority w:val="0"/>
    <w:rPr>
      <w:rFonts w:hint="eastAsia" w:ascii="仿宋_GB2312" w:eastAsia="仿宋_GB2312"/>
      <w:b/>
      <w:bCs/>
      <w:color w:val="000000"/>
      <w:spacing w:val="-20"/>
      <w:sz w:val="24"/>
      <w:szCs w:val="24"/>
    </w:rPr>
  </w:style>
  <w:style w:type="character" w:customStyle="1" w:styleId="166">
    <w:name w:val="gf正文1 Char Char"/>
    <w:link w:val="167"/>
    <w:uiPriority w:val="0"/>
    <w:rPr>
      <w:rFonts w:ascii="宋体" w:hAnsi="宋体" w:cs="宋体"/>
      <w:kern w:val="2"/>
      <w:sz w:val="24"/>
      <w:szCs w:val="24"/>
    </w:rPr>
  </w:style>
  <w:style w:type="paragraph" w:customStyle="1" w:styleId="167">
    <w:name w:val="gf正文1"/>
    <w:basedOn w:val="1"/>
    <w:link w:val="166"/>
    <w:uiPriority w:val="0"/>
    <w:pPr>
      <w:tabs>
        <w:tab w:val="left" w:pos="3240"/>
        <w:tab w:val="left" w:pos="3960"/>
      </w:tabs>
      <w:adjustRightInd w:val="0"/>
      <w:snapToGrid w:val="0"/>
      <w:spacing w:line="360" w:lineRule="auto"/>
      <w:ind w:firstLine="480" w:firstLineChars="200"/>
    </w:pPr>
    <w:rPr>
      <w:rFonts w:ascii="宋体" w:hAnsi="宋体"/>
      <w:sz w:val="24"/>
    </w:rPr>
  </w:style>
  <w:style w:type="character" w:customStyle="1" w:styleId="168">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qFormat/>
    <w:uiPriority w:val="0"/>
    <w:rPr>
      <w:rFonts w:ascii="宋体" w:hAnsi="Courier New"/>
      <w:kern w:val="2"/>
      <w:sz w:val="21"/>
    </w:rPr>
  </w:style>
  <w:style w:type="character" w:customStyle="1" w:styleId="169">
    <w:name w:val="页眉 Char"/>
    <w:aliases w:val="页眉2 Char,Ò³Ã¼ Char,header odd Char,居中页眉 Char"/>
    <w:qFormat/>
    <w:uiPriority w:val="99"/>
    <w:rPr>
      <w:rFonts w:eastAsia="仿宋_GB2312"/>
      <w:kern w:val="2"/>
      <w:sz w:val="18"/>
      <w:lang w:val="en-US" w:eastAsia="zh-CN"/>
    </w:rPr>
  </w:style>
  <w:style w:type="character" w:customStyle="1" w:styleId="170">
    <w:name w:val="标题 4 字符"/>
    <w:uiPriority w:val="9"/>
    <w:rPr>
      <w:rFonts w:ascii="等线 Light" w:hAnsi="等线 Light" w:eastAsia="等线 Light" w:cs="Times New Roman"/>
      <w:b/>
      <w:bCs/>
      <w:snapToGrid w:val="0"/>
      <w:kern w:val="0"/>
      <w:sz w:val="28"/>
      <w:szCs w:val="28"/>
    </w:rPr>
  </w:style>
  <w:style w:type="character" w:customStyle="1" w:styleId="171">
    <w:name w:val="HTML 地址 Char1"/>
    <w:uiPriority w:val="0"/>
    <w:rPr>
      <w:rFonts w:ascii="Times New Roman" w:hAnsi="Times New Roman" w:eastAsia="宋体" w:cs="Times New Roman"/>
      <w:i/>
      <w:iCs/>
      <w:szCs w:val="24"/>
    </w:rPr>
  </w:style>
  <w:style w:type="character" w:customStyle="1" w:styleId="172">
    <w:name w:val="正文 编号 Char"/>
    <w:qFormat/>
    <w:uiPriority w:val="0"/>
    <w:rPr>
      <w:rFonts w:ascii="仿宋_GB2312" w:hAnsi="仿宋_GB2312" w:eastAsia="仿宋_GB2312"/>
      <w:kern w:val="2"/>
      <w:sz w:val="24"/>
      <w:lang w:bidi="ar-SA"/>
    </w:rPr>
  </w:style>
  <w:style w:type="character" w:customStyle="1" w:styleId="173">
    <w:name w:val="font61"/>
    <w:basedOn w:val="69"/>
    <w:uiPriority w:val="0"/>
    <w:rPr>
      <w:rFonts w:hint="eastAsia" w:ascii="仿宋" w:hAnsi="仿宋" w:eastAsia="仿宋" w:cs="仿宋"/>
      <w:b w:val="0"/>
      <w:color w:val="000000"/>
      <w:sz w:val="20"/>
      <w:szCs w:val="20"/>
      <w:u w:val="none"/>
    </w:rPr>
  </w:style>
  <w:style w:type="character" w:customStyle="1" w:styleId="174">
    <w:name w:val="称呼 Char1"/>
    <w:uiPriority w:val="0"/>
    <w:rPr>
      <w:rFonts w:ascii="Times New Roman" w:hAnsi="Times New Roman" w:eastAsia="宋体" w:cs="Times New Roman"/>
      <w:szCs w:val="24"/>
    </w:rPr>
  </w:style>
  <w:style w:type="character" w:customStyle="1" w:styleId="175">
    <w:name w:val="Char Char5"/>
    <w:uiPriority w:val="0"/>
    <w:rPr>
      <w:rFonts w:ascii="宋体" w:hAnsi="Courier New" w:eastAsia="宋体"/>
      <w:kern w:val="2"/>
      <w:sz w:val="21"/>
      <w:lang w:val="en-US" w:eastAsia="zh-CN"/>
    </w:rPr>
  </w:style>
  <w:style w:type="character" w:customStyle="1" w:styleId="176">
    <w:name w:val="图名 Char"/>
    <w:aliases w:val="注意框体 Char,Annex Char,Appendix Char,不用8 Char,（A） Char,Legal Level 1.1.1. Char,heading 8 Char,resume Char,tt Char,tt1 Char,Figure Char,h8 Char,L1 Heading 8 Char,action Char,action1 Char,action2 Char,action11 Char,action3 Char,action4 Char,标题6 Char"/>
    <w:uiPriority w:val="0"/>
    <w:rPr>
      <w:rFonts w:ascii="Arial" w:hAnsi="Arial" w:eastAsia="黑体"/>
      <w:kern w:val="2"/>
      <w:sz w:val="24"/>
      <w:szCs w:val="24"/>
      <w:lang w:val="en-US" w:eastAsia="zh-CN" w:bidi="ar-SA"/>
    </w:rPr>
  </w:style>
  <w:style w:type="character" w:customStyle="1" w:styleId="177">
    <w:name w:val="b11_01b Char"/>
    <w:link w:val="178"/>
    <w:qFormat/>
    <w:uiPriority w:val="0"/>
    <w:rPr>
      <w:rFonts w:ascii="Verdana" w:hAnsi="Verdana"/>
      <w:b/>
      <w:bCs/>
      <w:color w:val="4A82CA"/>
      <w:sz w:val="17"/>
      <w:szCs w:val="17"/>
    </w:rPr>
  </w:style>
  <w:style w:type="paragraph" w:customStyle="1" w:styleId="178">
    <w:name w:val="b11_01b"/>
    <w:basedOn w:val="1"/>
    <w:next w:val="1"/>
    <w:link w:val="177"/>
    <w:uiPriority w:val="0"/>
    <w:pPr>
      <w:widowControl/>
      <w:adjustRightInd/>
      <w:spacing w:before="100" w:beforeLines="0" w:beforeAutospacing="1" w:after="100" w:afterLines="0" w:afterAutospacing="1" w:line="384" w:lineRule="auto"/>
      <w:jc w:val="left"/>
    </w:pPr>
    <w:rPr>
      <w:rFonts w:ascii="Verdana" w:hAnsi="Verdana"/>
      <w:b/>
      <w:bCs/>
      <w:color w:val="4A82CA"/>
      <w:kern w:val="0"/>
      <w:sz w:val="17"/>
      <w:szCs w:val="17"/>
    </w:rPr>
  </w:style>
  <w:style w:type="character" w:customStyle="1" w:styleId="179">
    <w:name w:val="h Char1"/>
    <w:aliases w:val="Ò³Ã¼ Char Char2"/>
    <w:uiPriority w:val="0"/>
    <w:rPr>
      <w:sz w:val="18"/>
      <w:szCs w:val="18"/>
    </w:rPr>
  </w:style>
  <w:style w:type="character" w:customStyle="1" w:styleId="180">
    <w:name w:val="tw4winError"/>
    <w:uiPriority w:val="0"/>
    <w:rPr>
      <w:rFonts w:ascii="Courier New" w:hAnsi="Courier New" w:cs="Courier New"/>
      <w:color w:val="00FF00"/>
      <w:sz w:val="40"/>
      <w:szCs w:val="40"/>
    </w:rPr>
  </w:style>
  <w:style w:type="character" w:customStyle="1" w:styleId="181">
    <w:name w:val="样式 样式 标题 4h4H4Fab-4T5Ref Heading 1rh1Heading sqlsect 1.2.3.... +... Char"/>
    <w:link w:val="182"/>
    <w:uiPriority w:val="0"/>
    <w:rPr>
      <w:rFonts w:ascii="微软雅黑" w:hAnsi="微软雅黑" w:eastAsia="微软雅黑"/>
      <w:b/>
      <w:bCs/>
      <w:kern w:val="2"/>
      <w:sz w:val="24"/>
      <w:szCs w:val="28"/>
    </w:rPr>
  </w:style>
  <w:style w:type="paragraph" w:customStyle="1" w:styleId="182">
    <w:name w:val="样式 样式 标题 4h4H4Fab-4T5Ref Heading 1rh1Heading sqlsect 1.2.3.... +..."/>
    <w:basedOn w:val="183"/>
    <w:link w:val="181"/>
    <w:uiPriority w:val="0"/>
    <w:pPr>
      <w:tabs>
        <w:tab w:val="left" w:pos="2356"/>
      </w:tabs>
    </w:pPr>
  </w:style>
  <w:style w:type="paragraph" w:customStyle="1" w:styleId="183">
    <w:name w:val="样式 标题 4h4H4Fab-4T5Ref Heading 1rh1Heading sqlsect 1.2.3...."/>
    <w:basedOn w:val="6"/>
    <w:link w:val="184"/>
    <w:uiPriority w:val="0"/>
    <w:pPr>
      <w:numPr>
        <w:ilvl w:val="3"/>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84">
    <w:name w:val="样式 标题 4h4H4Fab-4T5Ref Heading 1rh1Heading sqlsect 1.2.3.... Char"/>
    <w:link w:val="183"/>
    <w:uiPriority w:val="0"/>
    <w:rPr>
      <w:rFonts w:ascii="微软雅黑" w:hAnsi="微软雅黑" w:eastAsia="微软雅黑"/>
      <w:b/>
      <w:bCs/>
      <w:kern w:val="2"/>
      <w:sz w:val="24"/>
      <w:szCs w:val="28"/>
    </w:rPr>
  </w:style>
  <w:style w:type="character" w:customStyle="1" w:styleId="185">
    <w:name w:val="Char Char61"/>
    <w:uiPriority w:val="6"/>
    <w:rPr>
      <w:rFonts w:eastAsia="宋体"/>
      <w:kern w:val="2"/>
      <w:sz w:val="21"/>
      <w:szCs w:val="24"/>
      <w:lang w:val="en-US" w:eastAsia="zh-CN" w:bidi="ar-SA"/>
    </w:rPr>
  </w:style>
  <w:style w:type="character" w:customStyle="1" w:styleId="186">
    <w:name w:val="Char Char14"/>
    <w:uiPriority w:val="6"/>
    <w:rPr>
      <w:rFonts w:ascii="黑体" w:hAnsi="黑体" w:eastAsia="黑体"/>
    </w:rPr>
  </w:style>
  <w:style w:type="character" w:customStyle="1" w:styleId="187">
    <w:name w:val="正文文本缩进 2 Char1"/>
    <w:semiHidden/>
    <w:uiPriority w:val="99"/>
    <w:rPr>
      <w:rFonts w:ascii="Times New Roman" w:hAnsi="Times New Roman" w:eastAsia="宋体" w:cs="Times New Roman"/>
      <w:szCs w:val="24"/>
    </w:rPr>
  </w:style>
  <w:style w:type="character" w:customStyle="1" w:styleId="188">
    <w:name w:val="H5 Char"/>
    <w:aliases w:val="h5 Char,dash Char,ds Char,dd Char,Roman list Char,PIM 5 Char,5 Char,Block Label Char,1.1.1 Char,口 Char,heading 5 Char,Level 3 - i Char,标 5 Char,h51 Char,heading 51 Char,h52 Char,heading 52 Char,h53 Char,heading 53 Char,Second Subheading Char"/>
    <w:uiPriority w:val="0"/>
    <w:rPr>
      <w:b/>
      <w:bCs/>
      <w:kern w:val="2"/>
      <w:sz w:val="28"/>
      <w:szCs w:val="28"/>
    </w:rPr>
  </w:style>
  <w:style w:type="character" w:customStyle="1" w:styleId="189">
    <w:name w:val="Normal Indent Char Char"/>
    <w:aliases w:val="Normal Indent Char1 Char Char,Normal Indent Char Char Char Char,Normal Indent Char1 Char Char Char Char,Normal Indent Char Char Char Char Char Char,Normal Indent Char1 Char Char Char Char Char Char,特点 Char Char Char"/>
    <w:qFormat/>
    <w:uiPriority w:val="0"/>
    <w:rPr>
      <w:rFonts w:eastAsia="宋体"/>
      <w:kern w:val="2"/>
      <w:sz w:val="21"/>
      <w:lang w:val="en-US" w:eastAsia="zh-CN" w:bidi="ar-SA"/>
    </w:rPr>
  </w:style>
  <w:style w:type="character" w:customStyle="1" w:styleId="190">
    <w:name w:val="Char Char23"/>
    <w:qFormat/>
    <w:uiPriority w:val="6"/>
    <w:rPr>
      <w:color w:val="0000FF"/>
      <w:sz w:val="21"/>
    </w:rPr>
  </w:style>
  <w:style w:type="character" w:customStyle="1" w:styleId="191">
    <w:name w:val=" Char Char6"/>
    <w:uiPriority w:val="0"/>
    <w:rPr>
      <w:rFonts w:eastAsia="宋体"/>
      <w:kern w:val="2"/>
      <w:sz w:val="21"/>
      <w:szCs w:val="24"/>
      <w:lang w:val="en-US" w:eastAsia="zh-CN" w:bidi="ar-SA"/>
    </w:rPr>
  </w:style>
  <w:style w:type="character" w:customStyle="1" w:styleId="192">
    <w:name w:val="mdeck"/>
    <w:qFormat/>
    <w:uiPriority w:val="0"/>
    <w:rPr>
      <w:rFonts w:ascii="仿宋_GB2312" w:eastAsia="微软雅黑"/>
      <w:b/>
      <w:kern w:val="2"/>
      <w:sz w:val="32"/>
      <w:szCs w:val="32"/>
      <w:lang w:val="en-US" w:eastAsia="zh-CN" w:bidi="ar-SA"/>
    </w:rPr>
  </w:style>
  <w:style w:type="character" w:customStyle="1" w:styleId="193">
    <w:name w:val="标题 1 Char Char"/>
    <w:qFormat/>
    <w:uiPriority w:val="0"/>
    <w:rPr>
      <w:rFonts w:hint="eastAsia" w:ascii="宋体" w:hAnsi="宋体" w:eastAsia="宋体"/>
      <w:b/>
      <w:spacing w:val="-2"/>
      <w:sz w:val="24"/>
      <w:lang w:val="en-US" w:eastAsia="zh-CN" w:bidi="ar-SA"/>
    </w:rPr>
  </w:style>
  <w:style w:type="character" w:customStyle="1" w:styleId="194">
    <w:name w:val="Heading 7 Char"/>
    <w:qFormat/>
    <w:locked/>
    <w:uiPriority w:val="0"/>
    <w:rPr>
      <w:rFonts w:ascii="宋体" w:hAnsi="宋体" w:eastAsia="宋体"/>
      <w:b/>
      <w:bCs/>
      <w:kern w:val="2"/>
      <w:sz w:val="24"/>
      <w:szCs w:val="24"/>
      <w:lang w:val="en-US" w:eastAsia="zh-CN" w:bidi="ar-SA"/>
    </w:rPr>
  </w:style>
  <w:style w:type="character" w:customStyle="1" w:styleId="195">
    <w:name w:val="链接"/>
    <w:uiPriority w:val="0"/>
    <w:rPr>
      <w:color w:val="0000FF"/>
      <w:sz w:val="21"/>
      <w:szCs w:val="21"/>
      <w:u w:val="single"/>
    </w:rPr>
  </w:style>
  <w:style w:type="character" w:customStyle="1" w:styleId="196">
    <w:name w:val="页眉 字符"/>
    <w:uiPriority w:val="99"/>
    <w:rPr>
      <w:kern w:val="2"/>
      <w:sz w:val="18"/>
      <w:szCs w:val="18"/>
    </w:rPr>
  </w:style>
  <w:style w:type="character" w:customStyle="1" w:styleId="197">
    <w:name w:val="param-name"/>
    <w:uiPriority w:val="99"/>
    <w:rPr>
      <w:rFonts w:ascii="Arial" w:hAnsi="Arial" w:eastAsia="黑体" w:cs="Arial"/>
      <w:snapToGrid w:val="0"/>
      <w:kern w:val="0"/>
      <w:szCs w:val="21"/>
    </w:rPr>
  </w:style>
  <w:style w:type="character" w:customStyle="1" w:styleId="198">
    <w:name w:val="Heading 2 Hidden Char"/>
    <w:aliases w:val="Heading 2 CCBS Char,H2 Char,2 Char,h2 Char,Level 2 Head Char,第*章 Char,sect 1.2 Char,节 Char,标题 1.1 Char,Underrubrik1 Char,prop2 Char,l2 Char,Chapter Title Char,DO NOT USE_h2 Char,chn Char,Chapter Number/Appendix Letter Char,A Char"/>
    <w:uiPriority w:val="0"/>
    <w:rPr>
      <w:rFonts w:ascii="仿宋_GB2312" w:eastAsia="仿宋_GB2312"/>
      <w:b/>
      <w:bCs/>
      <w:kern w:val="2"/>
      <w:sz w:val="24"/>
      <w:szCs w:val="24"/>
      <w:lang w:val="zh-CN" w:eastAsia="zh-CN" w:bidi="ar-SA"/>
    </w:rPr>
  </w:style>
  <w:style w:type="character" w:customStyle="1" w:styleId="199">
    <w:name w:val="标书1 Char"/>
    <w:aliases w:val="h1 Char,H1 Char,L1 Char,boc Char,Section Head Char,1st level Char,l1 Char,1 Char,H11 Char,H12 Char,H13 Char,H14 Char,H15 Char,H16 Char,H17 Char,Level 1 Topic Heading Char,L1 Heading 1 Char,h11 Char,1st level1 Char,heading 11 Char,h12 Char"/>
    <w:uiPriority w:val="0"/>
    <w:rPr>
      <w:rFonts w:eastAsia="宋体"/>
      <w:b/>
      <w:bCs/>
      <w:kern w:val="44"/>
      <w:sz w:val="44"/>
      <w:szCs w:val="44"/>
      <w:lang w:val="en-US" w:eastAsia="zh-CN" w:bidi="ar-SA"/>
    </w:rPr>
  </w:style>
  <w:style w:type="character" w:customStyle="1" w:styleId="200">
    <w:name w:val="hui"/>
    <w:basedOn w:val="69"/>
    <w:qFormat/>
    <w:uiPriority w:val="0"/>
  </w:style>
  <w:style w:type="character" w:customStyle="1" w:styleId="201">
    <w:name w:val="Char Char24"/>
    <w:uiPriority w:val="6"/>
    <w:rPr>
      <w:kern w:val="1"/>
      <w:sz w:val="21"/>
    </w:rPr>
  </w:style>
  <w:style w:type="character" w:customStyle="1" w:styleId="202">
    <w:name w:val="Table Text Char"/>
    <w:link w:val="203"/>
    <w:uiPriority w:val="0"/>
    <w:rPr>
      <w:sz w:val="24"/>
      <w:szCs w:val="24"/>
    </w:rPr>
  </w:style>
  <w:style w:type="paragraph" w:customStyle="1" w:styleId="203">
    <w:name w:val="Table Text"/>
    <w:basedOn w:val="1"/>
    <w:link w:val="202"/>
    <w:qFormat/>
    <w:uiPriority w:val="0"/>
    <w:pPr>
      <w:widowControl/>
      <w:spacing w:before="60" w:beforeLines="0" w:after="60" w:afterLines="0"/>
      <w:jc w:val="left"/>
    </w:pPr>
    <w:rPr>
      <w:kern w:val="0"/>
      <w:sz w:val="24"/>
    </w:rPr>
  </w:style>
  <w:style w:type="character" w:customStyle="1" w:styleId="204">
    <w:name w:val="纯文本 Char1"/>
    <w:link w:val="205"/>
    <w:qFormat/>
    <w:uiPriority w:val="0"/>
    <w:rPr>
      <w:rFonts w:ascii="宋体" w:hAnsi="Courier New"/>
    </w:rPr>
  </w:style>
  <w:style w:type="paragraph" w:customStyle="1" w:styleId="205">
    <w:name w:val="纯文本1"/>
    <w:basedOn w:val="1"/>
    <w:link w:val="204"/>
    <w:qFormat/>
    <w:uiPriority w:val="0"/>
    <w:pPr>
      <w:adjustRightInd/>
    </w:pPr>
    <w:rPr>
      <w:rFonts w:ascii="宋体" w:hAnsi="Courier New"/>
      <w:kern w:val="0"/>
      <w:sz w:val="20"/>
      <w:szCs w:val="20"/>
    </w:rPr>
  </w:style>
  <w:style w:type="character" w:customStyle="1" w:styleId="206">
    <w:name w:val="tw4winJump"/>
    <w:qFormat/>
    <w:uiPriority w:val="0"/>
    <w:rPr>
      <w:rFonts w:ascii="Courier New" w:hAnsi="Courier New" w:cs="Courier New"/>
      <w:color w:val="008080"/>
      <w:lang/>
    </w:rPr>
  </w:style>
  <w:style w:type="character" w:customStyle="1" w:styleId="207">
    <w:name w:val="Char Char26"/>
    <w:uiPriority w:val="6"/>
    <w:rPr>
      <w:kern w:val="1"/>
      <w:sz w:val="21"/>
      <w:szCs w:val="24"/>
    </w:rPr>
  </w:style>
  <w:style w:type="character" w:customStyle="1" w:styleId="208">
    <w:name w:val="Char Char35"/>
    <w:uiPriority w:val="6"/>
    <w:rPr>
      <w:rFonts w:ascii="Arial" w:hAnsi="Arial" w:eastAsia="黑体"/>
      <w:b/>
      <w:kern w:val="1"/>
      <w:sz w:val="28"/>
      <w:szCs w:val="28"/>
      <w:lang w:val="zh-CN"/>
    </w:rPr>
  </w:style>
  <w:style w:type="character" w:customStyle="1" w:styleId="209">
    <w:name w:val="style36"/>
    <w:basedOn w:val="69"/>
    <w:qFormat/>
    <w:uiPriority w:val="0"/>
  </w:style>
  <w:style w:type="character" w:customStyle="1" w:styleId="210">
    <w:name w:val="Bold"/>
    <w:aliases w:val="b"/>
    <w:qFormat/>
    <w:uiPriority w:val="0"/>
    <w:rPr>
      <w:rFonts w:ascii="Arial" w:hAnsi="Arial" w:eastAsia="黑体" w:cs="Times New Roman"/>
      <w:b/>
      <w:kern w:val="2"/>
      <w:sz w:val="32"/>
      <w:szCs w:val="32"/>
      <w:lang w:val="en-US" w:eastAsia="zh-CN" w:bidi="ar-SA"/>
    </w:rPr>
  </w:style>
  <w:style w:type="character" w:customStyle="1" w:styleId="211">
    <w:name w:val="font21"/>
    <w:basedOn w:val="69"/>
    <w:uiPriority w:val="0"/>
    <w:rPr>
      <w:rFonts w:hint="eastAsia" w:ascii="宋体" w:hAnsi="宋体" w:eastAsia="宋体"/>
      <w:kern w:val="2"/>
      <w:sz w:val="28"/>
      <w:szCs w:val="28"/>
      <w:lang w:val="en-US" w:eastAsia="zh-CN" w:bidi="ar-SA"/>
    </w:rPr>
  </w:style>
  <w:style w:type="character" w:customStyle="1" w:styleId="212">
    <w:name w:val="Char Char31"/>
    <w:uiPriority w:val="6"/>
    <w:rPr>
      <w:rFonts w:ascii="Arial" w:hAnsi="Arial" w:eastAsia="黑体"/>
      <w:kern w:val="1"/>
      <w:sz w:val="24"/>
      <w:szCs w:val="24"/>
    </w:rPr>
  </w:style>
  <w:style w:type="character" w:customStyle="1" w:styleId="213">
    <w:name w:val="c7 style3"/>
    <w:qFormat/>
    <w:uiPriority w:val="0"/>
  </w:style>
  <w:style w:type="character" w:customStyle="1" w:styleId="214">
    <w:name w:val="带编号样式 Char"/>
    <w:uiPriority w:val="0"/>
    <w:rPr>
      <w:rFonts w:ascii="仿宋_GB2312" w:eastAsia="仿宋_GB2312"/>
      <w:color w:val="000000"/>
      <w:sz w:val="24"/>
      <w:lang w:bidi="ar-SA"/>
    </w:rPr>
  </w:style>
  <w:style w:type="character" w:customStyle="1" w:styleId="215">
    <w:name w:val="样式6 Char"/>
    <w:uiPriority w:val="0"/>
    <w:rPr>
      <w:rFonts w:ascii="仿宋_GB2312" w:hAnsi="宋体" w:eastAsia="仿宋_GB2312"/>
      <w:b/>
      <w:bCs/>
      <w:kern w:val="2"/>
      <w:sz w:val="24"/>
      <w:szCs w:val="24"/>
      <w:lang w:val="en-US" w:eastAsia="zh-CN" w:bidi="ar-SA"/>
    </w:rPr>
  </w:style>
  <w:style w:type="character" w:customStyle="1" w:styleId="216">
    <w:name w:val="Char Char4"/>
    <w:uiPriority w:val="0"/>
    <w:rPr>
      <w:rFonts w:eastAsia="宋体"/>
      <w:b/>
      <w:sz w:val="24"/>
      <w:lang w:val="en-GB" w:eastAsia="zh-CN" w:bidi="ar-SA"/>
    </w:rPr>
  </w:style>
  <w:style w:type="character" w:customStyle="1" w:styleId="217">
    <w:name w:val="H6 Char"/>
    <w:aliases w:val="BOD 4 Char,第五层条 Char,PIM 6 Char,L6 Char,h6 Char,Third Subheading Char,● Char,Bullet list Char,6 Char,l6 Char,hsm Char,submodule heading Char,Legal Level 1. Char,正文六级标题 Char,标题 6(ALT+6) Char,heading 6 Char,Heading6 Char,sub-dash Char,sd Char"/>
    <w:uiPriority w:val="0"/>
    <w:rPr>
      <w:rFonts w:ascii="Arial" w:hAnsi="Arial" w:eastAsia="黑体"/>
      <w:b/>
      <w:bCs/>
      <w:kern w:val="2"/>
      <w:sz w:val="24"/>
      <w:szCs w:val="24"/>
    </w:rPr>
  </w:style>
  <w:style w:type="character" w:customStyle="1" w:styleId="218">
    <w:name w:val="正文首行缩进 2 Char1"/>
    <w:uiPriority w:val="0"/>
    <w:rPr>
      <w:rFonts w:ascii="Times New Roman" w:hAnsi="Times New Roman" w:eastAsia="宋体" w:cs="Times New Roman"/>
      <w:kern w:val="2"/>
      <w:sz w:val="24"/>
      <w:szCs w:val="24"/>
    </w:rPr>
  </w:style>
  <w:style w:type="character" w:customStyle="1" w:styleId="219">
    <w:name w:val=" Char Char7"/>
    <w:semiHidden/>
    <w:uiPriority w:val="0"/>
    <w:rPr>
      <w:rFonts w:eastAsia="宋体"/>
      <w:kern w:val="2"/>
      <w:sz w:val="21"/>
      <w:szCs w:val="24"/>
      <w:lang w:val="en-US" w:eastAsia="zh-CN" w:bidi="ar-SA"/>
    </w:rPr>
  </w:style>
  <w:style w:type="character" w:customStyle="1" w:styleId="220">
    <w:name w:val="未用 Char"/>
    <w:aliases w:val="标题 9 Char Char Char Char,huh Char,PIM 9 Char,Annex1 Char, Appen 1 Char,Appen 1 Char,图号 Char,图的编号 Char,不用9 Char,figure label Char,figureNo Char,App Heading Char,ft Char,ft1 Char,heading 9 Char,table left Char,tl Char,HF Char,figures Char,h9 Char"/>
    <w:uiPriority w:val="0"/>
    <w:rPr>
      <w:rFonts w:ascii="Arial" w:hAnsi="Arial" w:eastAsia="黑体"/>
      <w:kern w:val="2"/>
      <w:sz w:val="21"/>
      <w:szCs w:val="21"/>
      <w:lang w:val="en-US" w:eastAsia="zh-CN" w:bidi="ar-SA"/>
    </w:rPr>
  </w:style>
  <w:style w:type="character" w:customStyle="1" w:styleId="221">
    <w:name w:val="pt9"/>
    <w:qFormat/>
    <w:uiPriority w:val="0"/>
    <w:rPr>
      <w:rFonts w:ascii="仿宋_GB2312" w:eastAsia="微软雅黑"/>
      <w:b/>
      <w:kern w:val="2"/>
      <w:sz w:val="32"/>
      <w:szCs w:val="32"/>
      <w:lang w:val="en-US" w:eastAsia="zh-CN" w:bidi="ar-SA"/>
    </w:rPr>
  </w:style>
  <w:style w:type="character" w:customStyle="1" w:styleId="222">
    <w:name w:val="此正文 Char"/>
    <w:link w:val="223"/>
    <w:qFormat/>
    <w:uiPriority w:val="0"/>
    <w:rPr>
      <w:kern w:val="2"/>
      <w:sz w:val="24"/>
      <w:szCs w:val="24"/>
    </w:rPr>
  </w:style>
  <w:style w:type="paragraph" w:customStyle="1" w:styleId="223">
    <w:name w:val="此正文"/>
    <w:basedOn w:val="1"/>
    <w:link w:val="222"/>
    <w:uiPriority w:val="0"/>
    <w:pPr>
      <w:adjustRightInd/>
      <w:spacing w:line="360" w:lineRule="auto"/>
      <w:ind w:firstLine="200" w:firstLineChars="200"/>
    </w:pPr>
    <w:rPr>
      <w:sz w:val="24"/>
    </w:rPr>
  </w:style>
  <w:style w:type="character" w:customStyle="1" w:styleId="224">
    <w:name w:val="content"/>
    <w:qFormat/>
    <w:uiPriority w:val="0"/>
  </w:style>
  <w:style w:type="character" w:customStyle="1" w:styleId="225">
    <w:name w:val="tw4winMark"/>
    <w:uiPriority w:val="0"/>
    <w:rPr>
      <w:rFonts w:ascii="Courier New" w:hAnsi="Courier New" w:cs="Courier New"/>
      <w:vanish/>
      <w:color w:val="800080"/>
      <w:sz w:val="24"/>
      <w:szCs w:val="24"/>
      <w:vertAlign w:val="subscript"/>
    </w:rPr>
  </w:style>
  <w:style w:type="character" w:customStyle="1" w:styleId="226">
    <w:name w:val="标题 Char"/>
    <w:uiPriority w:val="0"/>
    <w:rPr>
      <w:rFonts w:eastAsia="宋体"/>
      <w:b/>
      <w:sz w:val="24"/>
      <w:lang w:val="en-GB" w:eastAsia="zh-CN" w:bidi="ar-SA"/>
    </w:rPr>
  </w:style>
  <w:style w:type="character" w:customStyle="1" w:styleId="227">
    <w:name w:val="Used by Word for text of Help footnotes Char Char"/>
    <w:qFormat/>
    <w:uiPriority w:val="0"/>
    <w:rPr>
      <w:rFonts w:ascii="Times New Roman" w:hAnsi="Times New Roman" w:eastAsia="宋体" w:cs="Times New Roman"/>
      <w:sz w:val="20"/>
      <w:szCs w:val="20"/>
    </w:rPr>
  </w:style>
  <w:style w:type="character" w:customStyle="1" w:styleId="228">
    <w:name w:val="正文 项目 Char"/>
    <w:qFormat/>
    <w:uiPriority w:val="0"/>
    <w:rPr>
      <w:rFonts w:ascii="仿宋_GB2312" w:hAnsi="仿宋_GB2312" w:eastAsia="仿宋_GB2312"/>
      <w:kern w:val="2"/>
      <w:sz w:val="24"/>
      <w:lang w:bidi="ar-SA"/>
    </w:rPr>
  </w:style>
  <w:style w:type="character" w:customStyle="1" w:styleId="229">
    <w:name w:val="正文缩进 Char3"/>
    <w:uiPriority w:val="0"/>
    <w:rPr>
      <w:rFonts w:ascii="宋体" w:eastAsia="宋体"/>
      <w:snapToGrid w:val="0"/>
      <w:color w:val="000000"/>
      <w:kern w:val="28"/>
      <w:sz w:val="28"/>
      <w:lang w:val="en-US" w:eastAsia="zh-CN" w:bidi="ar-SA"/>
    </w:rPr>
  </w:style>
  <w:style w:type="character" w:customStyle="1" w:styleId="230">
    <w:name w:val="font142"/>
    <w:basedOn w:val="69"/>
    <w:qFormat/>
    <w:uiPriority w:val="0"/>
    <w:rPr>
      <w:rFonts w:hint="default" w:ascii="Times New Roman" w:hAnsi="Times New Roman" w:cs="Times New Roman"/>
      <w:color w:val="000000"/>
      <w:sz w:val="20"/>
      <w:szCs w:val="20"/>
      <w:u w:val="none"/>
    </w:rPr>
  </w:style>
  <w:style w:type="character" w:customStyle="1" w:styleId="231">
    <w:name w:val="公文正文 Char Char"/>
    <w:link w:val="232"/>
    <w:uiPriority w:val="0"/>
    <w:rPr>
      <w:rFonts w:ascii="仿宋_GB2312" w:eastAsia="仿宋_GB2312"/>
      <w:kern w:val="2"/>
      <w:sz w:val="24"/>
      <w:szCs w:val="24"/>
    </w:rPr>
  </w:style>
  <w:style w:type="paragraph" w:customStyle="1" w:styleId="232">
    <w:name w:val="公文正文"/>
    <w:basedOn w:val="1"/>
    <w:link w:val="231"/>
    <w:uiPriority w:val="0"/>
    <w:pPr>
      <w:adjustRightInd/>
      <w:spacing w:before="156" w:beforeLines="0" w:line="360" w:lineRule="auto"/>
      <w:ind w:firstLine="360" w:firstLineChars="200"/>
    </w:pPr>
    <w:rPr>
      <w:rFonts w:ascii="仿宋_GB2312" w:eastAsia="仿宋_GB2312"/>
      <w:sz w:val="24"/>
    </w:rPr>
  </w:style>
  <w:style w:type="character" w:customStyle="1" w:styleId="233">
    <w:name w:val="apple-converted-space"/>
    <w:uiPriority w:val="0"/>
  </w:style>
  <w:style w:type="character" w:customStyle="1" w:styleId="234">
    <w:name w:val="文本正文 Char Char"/>
    <w:qFormat/>
    <w:locked/>
    <w:uiPriority w:val="0"/>
    <w:rPr>
      <w:sz w:val="24"/>
      <w:lang w:bidi="ar-SA"/>
    </w:rPr>
  </w:style>
  <w:style w:type="character" w:customStyle="1" w:styleId="235">
    <w:name w:val="正文文本 2 Char"/>
    <w:uiPriority w:val="0"/>
    <w:rPr>
      <w:rFonts w:eastAsia="宋体"/>
      <w:kern w:val="2"/>
      <w:sz w:val="21"/>
      <w:szCs w:val="24"/>
      <w:lang w:val="en-US" w:eastAsia="zh-CN" w:bidi="ar-SA"/>
    </w:rPr>
  </w:style>
  <w:style w:type="character" w:customStyle="1" w:styleId="236">
    <w:name w:val="t21"/>
    <w:uiPriority w:val="0"/>
    <w:rPr>
      <w:rFonts w:ascii="仿宋_GB2312" w:eastAsia="微软雅黑"/>
      <w:b/>
      <w:kern w:val="2"/>
      <w:sz w:val="23"/>
      <w:szCs w:val="23"/>
      <w:lang w:val="en-US" w:eastAsia="zh-CN" w:bidi="ar-SA"/>
    </w:rPr>
  </w:style>
  <w:style w:type="character" w:customStyle="1" w:styleId="237">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uiPriority w:val="0"/>
    <w:rPr>
      <w:rFonts w:ascii="宋体" w:eastAsia="宋体"/>
      <w:snapToGrid w:val="0"/>
      <w:color w:val="000000"/>
      <w:kern w:val="28"/>
      <w:sz w:val="28"/>
      <w:lang w:val="en-US" w:eastAsia="zh-CN" w:bidi="ar-SA"/>
    </w:rPr>
  </w:style>
  <w:style w:type="character" w:customStyle="1" w:styleId="238">
    <w:name w:val="Char Char8"/>
    <w:uiPriority w:val="0"/>
    <w:rPr>
      <w:rFonts w:eastAsia="宋体"/>
      <w:b/>
      <w:sz w:val="24"/>
      <w:lang w:val="en-GB" w:eastAsia="zh-CN"/>
    </w:rPr>
  </w:style>
  <w:style w:type="character" w:customStyle="1" w:styleId="239">
    <w:name w:val="正文1 Char"/>
    <w:uiPriority w:val="0"/>
    <w:rPr>
      <w:rFonts w:ascii="宋体" w:eastAsia="宋体"/>
      <w:snapToGrid w:val="0"/>
      <w:color w:val="000000"/>
      <w:kern w:val="28"/>
      <w:sz w:val="28"/>
      <w:lang w:val="en-US" w:eastAsia="zh-CN" w:bidi="ar-SA"/>
    </w:rPr>
  </w:style>
  <w:style w:type="character" w:customStyle="1" w:styleId="240">
    <w:name w:val="Char Char11"/>
    <w:locked/>
    <w:uiPriority w:val="0"/>
    <w:rPr>
      <w:rFonts w:ascii="宋体" w:hAnsi="宋体" w:eastAsia="宋体"/>
      <w:b/>
      <w:kern w:val="2"/>
      <w:sz w:val="24"/>
      <w:szCs w:val="24"/>
      <w:lang w:val="en-US" w:eastAsia="zh-CN" w:bidi="ar-SA"/>
    </w:rPr>
  </w:style>
  <w:style w:type="character" w:customStyle="1" w:styleId="241">
    <w:name w:val="Char Char311"/>
    <w:uiPriority w:val="0"/>
    <w:rPr>
      <w:rFonts w:eastAsia="宋体"/>
      <w:kern w:val="2"/>
      <w:sz w:val="21"/>
      <w:szCs w:val="24"/>
      <w:lang w:val="en-US" w:eastAsia="zh-CN" w:bidi="ar-SA"/>
    </w:rPr>
  </w:style>
  <w:style w:type="character" w:customStyle="1" w:styleId="242">
    <w:name w:val="普通文字 Char1"/>
    <w:aliases w:val="普通文字 Char Char Char1,普通文字 Char Char3,纯文本 Char Char1,纯文本 Char Char Char Char,正 文 1 Char Char,普通文字7 Char,普通文 Char,纯文本 Char Char Char Char Char Char Char Char Char Char Char Char Char Char"/>
    <w:uiPriority w:val="0"/>
    <w:rPr>
      <w:rFonts w:ascii="宋体" w:hAnsi="Courier New" w:eastAsia="宋体"/>
      <w:kern w:val="2"/>
      <w:sz w:val="21"/>
      <w:lang w:val="en-US" w:eastAsia="zh-CN"/>
    </w:rPr>
  </w:style>
  <w:style w:type="character" w:customStyle="1" w:styleId="243">
    <w:name w:val="h3 Char1"/>
    <w:aliases w:val="H3 Char1,sect1.2.3 Char1,Bold Head Char1,bh Char1,l3 Char1,CT Char1,Level 3 Head Char1,Heading 3 - old Char1,level_3 Char1,PIM 3 Char1,prop3 Char1,3 Char1,3heading Char1,heading 3 Char1,Heading 31 Char1,1.1.1 Heading 3 Char1,heading 3TOC Char1"/>
    <w:qFormat/>
    <w:uiPriority w:val="0"/>
    <w:rPr>
      <w:rFonts w:eastAsia="宋体"/>
      <w:b/>
      <w:bCs/>
      <w:kern w:val="2"/>
      <w:sz w:val="32"/>
      <w:szCs w:val="32"/>
      <w:lang w:bidi="ar-SA"/>
    </w:rPr>
  </w:style>
  <w:style w:type="character" w:customStyle="1" w:styleId="244">
    <w:name w:val="Normal Indent Char"/>
    <w:locked/>
    <w:uiPriority w:val="0"/>
    <w:rPr>
      <w:rFonts w:ascii="Calibri" w:hAnsi="Calibri" w:eastAsia="宋体" w:cs="黑体"/>
      <w:snapToGrid w:val="0"/>
      <w:kern w:val="2"/>
      <w:sz w:val="24"/>
      <w:szCs w:val="22"/>
      <w:lang w:val="en-US" w:eastAsia="zh-CN" w:bidi="ar-SA"/>
    </w:rPr>
  </w:style>
  <w:style w:type="character" w:customStyle="1" w:styleId="245">
    <w:name w:val="Used by Word for text of Help footnotes Char Char1"/>
    <w:uiPriority w:val="0"/>
    <w:rPr>
      <w:color w:val="0000FF"/>
      <w:sz w:val="21"/>
    </w:rPr>
  </w:style>
  <w:style w:type="character" w:customStyle="1" w:styleId="246">
    <w:name w:val="纯文本 字符1"/>
    <w:qFormat/>
    <w:uiPriority w:val="0"/>
    <w:rPr>
      <w:rFonts w:ascii="宋体" w:hAnsi="Courier New" w:eastAsia="宋体" w:cs="Arial"/>
      <w:snapToGrid w:val="0"/>
      <w:kern w:val="2"/>
      <w:sz w:val="21"/>
      <w:szCs w:val="21"/>
      <w:lang w:val="en-US" w:eastAsia="zh-CN" w:bidi="ar-SA"/>
    </w:rPr>
  </w:style>
  <w:style w:type="character" w:customStyle="1" w:styleId="247">
    <w:name w:val="Char Char17"/>
    <w:qFormat/>
    <w:uiPriority w:val="6"/>
    <w:rPr>
      <w:rFonts w:eastAsia="仿宋_GB2312"/>
      <w:sz w:val="24"/>
    </w:rPr>
  </w:style>
  <w:style w:type="character" w:customStyle="1" w:styleId="248">
    <w:name w:val="font01"/>
    <w:basedOn w:val="69"/>
    <w:uiPriority w:val="0"/>
    <w:rPr>
      <w:rFonts w:hint="eastAsia" w:ascii="微软雅黑" w:hAnsi="微软雅黑" w:eastAsia="微软雅黑" w:cs="微软雅黑"/>
      <w:color w:val="000000"/>
      <w:sz w:val="20"/>
      <w:szCs w:val="20"/>
      <w:u w:val="none"/>
    </w:rPr>
  </w:style>
  <w:style w:type="character" w:customStyle="1" w:styleId="249">
    <w:name w:val="tw4winTerm"/>
    <w:qFormat/>
    <w:uiPriority w:val="0"/>
    <w:rPr>
      <w:color w:val="0000FF"/>
    </w:rPr>
  </w:style>
  <w:style w:type="character" w:customStyle="1" w:styleId="250">
    <w:name w:val="FA正文 Char Char"/>
    <w:qFormat/>
    <w:uiPriority w:val="0"/>
    <w:rPr>
      <w:rFonts w:hAnsi="宋体"/>
      <w:kern w:val="2"/>
      <w:sz w:val="24"/>
      <w:lang w:bidi="ar-SA"/>
    </w:rPr>
  </w:style>
  <w:style w:type="character" w:customStyle="1" w:styleId="251">
    <w:name w:val="标题 3 字符"/>
    <w:uiPriority w:val="9"/>
    <w:rPr>
      <w:b/>
      <w:bCs/>
      <w:kern w:val="2"/>
      <w:sz w:val="32"/>
      <w:szCs w:val="32"/>
    </w:rPr>
  </w:style>
  <w:style w:type="character" w:customStyle="1" w:styleId="252">
    <w:name w:val="正文首行缩进 Char1"/>
    <w:semiHidden/>
    <w:uiPriority w:val="99"/>
    <w:rPr>
      <w:rFonts w:ascii="宋体" w:hAnsi="Times New Roman" w:eastAsia="宋体" w:cs="Times New Roman"/>
      <w:snapToGrid w:val="0"/>
      <w:kern w:val="2"/>
      <w:sz w:val="24"/>
      <w:szCs w:val="21"/>
      <w:lang w:val="zh-CN"/>
    </w:rPr>
  </w:style>
  <w:style w:type="character" w:customStyle="1" w:styleId="253">
    <w:name w:val="标题 3 Char2"/>
    <w:aliases w:val="标题3 Char"/>
    <w:uiPriority w:val="0"/>
    <w:rPr>
      <w:rFonts w:eastAsia="宋体"/>
      <w:b/>
      <w:bCs/>
      <w:kern w:val="2"/>
      <w:sz w:val="32"/>
      <w:szCs w:val="32"/>
      <w:lang w:val="en-US" w:eastAsia="zh-CN" w:bidi="ar-SA"/>
    </w:rPr>
  </w:style>
  <w:style w:type="character" w:customStyle="1" w:styleId="254">
    <w:name w:val="Char Char71"/>
    <w:semiHidden/>
    <w:uiPriority w:val="0"/>
    <w:rPr>
      <w:rFonts w:eastAsia="宋体"/>
      <w:kern w:val="2"/>
      <w:sz w:val="21"/>
      <w:szCs w:val="24"/>
      <w:lang w:val="en-US" w:eastAsia="zh-CN" w:bidi="ar-SA"/>
    </w:rPr>
  </w:style>
  <w:style w:type="character" w:customStyle="1" w:styleId="255">
    <w:name w:val="Char Char18"/>
    <w:qFormat/>
    <w:uiPriority w:val="6"/>
    <w:rPr>
      <w:rFonts w:ascii="宋体" w:hAnsi="宋体"/>
      <w:sz w:val="28"/>
    </w:rPr>
  </w:style>
  <w:style w:type="character" w:customStyle="1" w:styleId="256">
    <w:name w:val="big1"/>
    <w:uiPriority w:val="0"/>
    <w:rPr>
      <w:rFonts w:hint="eastAsia" w:ascii="宋体" w:hAnsi="宋体" w:eastAsia="宋体"/>
      <w:color w:val="333333"/>
      <w:sz w:val="22"/>
      <w:szCs w:val="22"/>
    </w:rPr>
  </w:style>
  <w:style w:type="character" w:customStyle="1" w:styleId="257">
    <w:name w:val="tw4winPopup"/>
    <w:uiPriority w:val="0"/>
    <w:rPr>
      <w:rFonts w:ascii="Courier New" w:hAnsi="Courier New" w:cs="Courier New"/>
      <w:color w:val="008000"/>
      <w:lang/>
    </w:rPr>
  </w:style>
  <w:style w:type="character" w:customStyle="1" w:styleId="258">
    <w:name w:val="font11"/>
    <w:basedOn w:val="69"/>
    <w:uiPriority w:val="0"/>
    <w:rPr>
      <w:rFonts w:hint="default" w:ascii="Times New Roman" w:hAnsi="Times New Roman" w:cs="Times New Roman"/>
      <w:color w:val="000000"/>
      <w:sz w:val="22"/>
      <w:szCs w:val="22"/>
      <w:u w:val="none"/>
    </w:rPr>
  </w:style>
  <w:style w:type="character" w:customStyle="1" w:styleId="259">
    <w:name w:val="批注主题 Char"/>
    <w:uiPriority w:val="0"/>
    <w:rPr>
      <w:rFonts w:eastAsia="宋体"/>
      <w:b/>
      <w:bCs/>
      <w:kern w:val="2"/>
      <w:sz w:val="21"/>
      <w:szCs w:val="24"/>
      <w:lang w:val="en-US" w:eastAsia="zh-CN" w:bidi="ar-SA"/>
    </w:rPr>
  </w:style>
  <w:style w:type="character" w:customStyle="1" w:styleId="260">
    <w:name w:val="哈哈正文 Char"/>
    <w:link w:val="261"/>
    <w:qFormat/>
    <w:uiPriority w:val="0"/>
    <w:rPr>
      <w:rFonts w:ascii="宋体" w:hAnsi="宋体" w:eastAsia="宋体"/>
      <w:kern w:val="2"/>
      <w:sz w:val="24"/>
      <w:lang w:bidi="ar-SA"/>
    </w:rPr>
  </w:style>
  <w:style w:type="paragraph" w:customStyle="1" w:styleId="261">
    <w:name w:val="哈哈正文"/>
    <w:basedOn w:val="1"/>
    <w:link w:val="260"/>
    <w:uiPriority w:val="0"/>
    <w:pPr>
      <w:adjustRightInd/>
      <w:spacing w:line="360" w:lineRule="auto"/>
      <w:ind w:firstLine="200" w:firstLineChars="200"/>
    </w:pPr>
    <w:rPr>
      <w:rFonts w:ascii="宋体" w:hAnsi="宋体" w:eastAsia="宋体"/>
      <w:sz w:val="24"/>
      <w:szCs w:val="20"/>
    </w:rPr>
  </w:style>
  <w:style w:type="character" w:customStyle="1" w:styleId="262">
    <w:name w:val="font151"/>
    <w:qFormat/>
    <w:uiPriority w:val="0"/>
    <w:rPr>
      <w:rFonts w:hint="default" w:ascii="Times New Roman" w:hAnsi="Times New Roman" w:eastAsia="仿宋_GB2312" w:cs="Times New Roman"/>
      <w:b/>
      <w:color w:val="000000"/>
      <w:sz w:val="21"/>
      <w:szCs w:val="21"/>
      <w:u w:val="none"/>
    </w:rPr>
  </w:style>
  <w:style w:type="character" w:customStyle="1" w:styleId="263">
    <w:name w:val="Default Char"/>
    <w:link w:val="264"/>
    <w:uiPriority w:val="0"/>
    <w:rPr>
      <w:rFonts w:ascii="仿宋_GB2312" w:eastAsia="仿宋_GB2312" w:cs="仿宋_GB2312"/>
      <w:color w:val="000000"/>
      <w:sz w:val="24"/>
      <w:szCs w:val="24"/>
      <w:lang w:val="en-US" w:eastAsia="zh-CN" w:bidi="ar-SA"/>
    </w:rPr>
  </w:style>
  <w:style w:type="paragraph" w:customStyle="1" w:styleId="264">
    <w:name w:val="Default"/>
    <w:link w:val="263"/>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character" w:customStyle="1" w:styleId="265">
    <w:name w:val="正文文本 Char2"/>
    <w:semiHidden/>
    <w:uiPriority w:val="99"/>
    <w:rPr>
      <w:rFonts w:ascii="Times New Roman" w:hAnsi="Times New Roman" w:eastAsia="宋体" w:cs="Times New Roman"/>
      <w:snapToGrid w:val="0"/>
      <w:kern w:val="0"/>
      <w:szCs w:val="24"/>
    </w:rPr>
  </w:style>
  <w:style w:type="character" w:customStyle="1" w:styleId="266">
    <w:name w:val="哈哈正文 Char Char"/>
    <w:uiPriority w:val="0"/>
    <w:rPr>
      <w:rFonts w:ascii="宋体" w:hAnsi="宋体" w:eastAsia="宋体" w:cs="宋体"/>
      <w:kern w:val="2"/>
      <w:sz w:val="24"/>
      <w:lang w:val="en-US" w:eastAsia="zh-CN" w:bidi="ar-SA"/>
    </w:rPr>
  </w:style>
  <w:style w:type="character" w:customStyle="1" w:styleId="267">
    <w:name w:val="font31"/>
    <w:uiPriority w:val="0"/>
    <w:rPr>
      <w:rFonts w:hint="eastAsia" w:ascii="仿宋" w:hAnsi="仿宋" w:eastAsia="仿宋" w:cs="仿宋"/>
      <w:color w:val="000000"/>
      <w:sz w:val="20"/>
      <w:szCs w:val="20"/>
      <w:u w:val="none"/>
    </w:rPr>
  </w:style>
  <w:style w:type="character" w:customStyle="1" w:styleId="268">
    <w:name w:val="纯文本 Char2"/>
    <w:semiHidden/>
    <w:uiPriority w:val="99"/>
    <w:rPr>
      <w:rFonts w:ascii="宋体" w:hAnsi="Courier New" w:eastAsia="宋体" w:cs="Courier New"/>
    </w:rPr>
  </w:style>
  <w:style w:type="character" w:customStyle="1" w:styleId="269">
    <w:name w:val="Char Char101"/>
    <w:uiPriority w:val="6"/>
    <w:rPr>
      <w:rFonts w:ascii="宋体" w:hAnsi="宋体"/>
      <w:kern w:val="2"/>
      <w:sz w:val="21"/>
      <w:szCs w:val="24"/>
      <w:lang w:val="en-US" w:eastAsia="zh-CN"/>
    </w:rPr>
  </w:style>
  <w:style w:type="character" w:customStyle="1" w:styleId="270">
    <w:name w:val="hei16b1"/>
    <w:uiPriority w:val="0"/>
    <w:rPr>
      <w:rFonts w:hint="default" w:ascii="Arial" w:hAnsi="Arial" w:cs="Arial"/>
      <w:b/>
      <w:bCs/>
      <w:color w:val="000000"/>
      <w:sz w:val="24"/>
      <w:szCs w:val="24"/>
    </w:rPr>
  </w:style>
  <w:style w:type="character" w:customStyle="1" w:styleId="271">
    <w:name w:val="Body Text(ch) Char Char"/>
    <w:uiPriority w:val="0"/>
    <w:rPr>
      <w:rFonts w:ascii="宋体"/>
      <w:kern w:val="2"/>
      <w:sz w:val="24"/>
      <w:szCs w:val="21"/>
      <w:lang w:val="zh-CN"/>
    </w:rPr>
  </w:style>
  <w:style w:type="character" w:customStyle="1" w:styleId="272">
    <w:name w:val="标准正文格式 Char"/>
    <w:uiPriority w:val="0"/>
    <w:rPr>
      <w:rFonts w:ascii="宋体" w:eastAsia="仿宋_GB2312" w:cs="宋体"/>
      <w:color w:val="000000"/>
      <w:sz w:val="24"/>
      <w:lang w:val="en-US" w:eastAsia="zh-CN" w:bidi="ar-SA"/>
    </w:rPr>
  </w:style>
  <w:style w:type="character" w:customStyle="1" w:styleId="273">
    <w:name w:val="Char Char91"/>
    <w:uiPriority w:val="0"/>
    <w:rPr>
      <w:rFonts w:eastAsia="宋体"/>
      <w:kern w:val="2"/>
      <w:sz w:val="18"/>
      <w:szCs w:val="18"/>
      <w:lang w:val="en-US" w:eastAsia="zh-CN" w:bidi="ar-SA"/>
    </w:rPr>
  </w:style>
  <w:style w:type="character" w:customStyle="1" w:styleId="274">
    <w:name w:val="正文缩进 Char"/>
    <w:qFormat/>
    <w:uiPriority w:val="0"/>
    <w:rPr>
      <w:rFonts w:eastAsia="宋体"/>
      <w:kern w:val="2"/>
      <w:sz w:val="21"/>
      <w:lang w:val="en-US" w:eastAsia="zh-CN"/>
    </w:rPr>
  </w:style>
  <w:style w:type="character" w:customStyle="1" w:styleId="275">
    <w:name w:val="zbggmain style9"/>
    <w:uiPriority w:val="0"/>
  </w:style>
  <w:style w:type="character" w:customStyle="1" w:styleId="276">
    <w:name w:val="3级 Char"/>
    <w:link w:val="277"/>
    <w:qFormat/>
    <w:uiPriority w:val="0"/>
    <w:rPr>
      <w:rFonts w:ascii="宋体" w:hAnsi="宋体"/>
      <w:b/>
      <w:bCs/>
      <w:snapToGrid/>
      <w:sz w:val="28"/>
    </w:rPr>
  </w:style>
  <w:style w:type="paragraph" w:customStyle="1" w:styleId="277">
    <w:name w:val="3级"/>
    <w:basedOn w:val="278"/>
    <w:link w:val="276"/>
    <w:qFormat/>
    <w:uiPriority w:val="0"/>
    <w:pPr>
      <w:ind w:left="0" w:right="466" w:firstLine="288"/>
    </w:pPr>
    <w:rPr>
      <w:rFonts w:hAnsi="宋体"/>
      <w:snapToGrid/>
    </w:rPr>
  </w:style>
  <w:style w:type="paragraph" w:customStyle="1" w:styleId="278">
    <w:name w:val="样式 标题 3h33rd level3BOD 0H3l3CTHeading 3 - oldLevel 3 He..."/>
    <w:basedOn w:val="5"/>
    <w:uiPriority w:val="99"/>
    <w:pPr>
      <w:keepLines w:val="0"/>
      <w:widowControl/>
      <w:numPr>
        <w:ilvl w:val="0"/>
        <w:numId w:val="6"/>
      </w:numPr>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79">
    <w:name w:val="unnamed11"/>
    <w:qFormat/>
    <w:uiPriority w:val="0"/>
    <w:rPr>
      <w:sz w:val="20"/>
      <w:szCs w:val="20"/>
    </w:rPr>
  </w:style>
  <w:style w:type="character" w:customStyle="1" w:styleId="280">
    <w:name w:val="段落 Char Char"/>
    <w:link w:val="281"/>
    <w:uiPriority w:val="0"/>
    <w:rPr>
      <w:rFonts w:ascii="宋体" w:hAnsi="宋体"/>
      <w:sz w:val="24"/>
    </w:rPr>
  </w:style>
  <w:style w:type="paragraph" w:customStyle="1" w:styleId="281">
    <w:name w:val="段落"/>
    <w:basedOn w:val="1"/>
    <w:link w:val="280"/>
    <w:uiPriority w:val="0"/>
    <w:pPr>
      <w:adjustRightInd/>
      <w:spacing w:line="360" w:lineRule="auto"/>
      <w:ind w:firstLine="480" w:firstLineChars="200"/>
    </w:pPr>
    <w:rPr>
      <w:rFonts w:ascii="宋体" w:hAnsi="宋体"/>
      <w:kern w:val="0"/>
      <w:sz w:val="24"/>
      <w:szCs w:val="20"/>
    </w:rPr>
  </w:style>
  <w:style w:type="character" w:customStyle="1" w:styleId="282">
    <w:name w:val="样式5 Char"/>
    <w:uiPriority w:val="0"/>
    <w:rPr>
      <w:rFonts w:ascii="仿宋_GB2312" w:hAnsi="仿宋" w:eastAsia="仿宋_GB2312"/>
      <w:kern w:val="2"/>
      <w:sz w:val="24"/>
      <w:szCs w:val="24"/>
    </w:rPr>
  </w:style>
  <w:style w:type="character" w:customStyle="1" w:styleId="283">
    <w:name w:val="Char Char19"/>
    <w:qFormat/>
    <w:uiPriority w:val="6"/>
    <w:rPr>
      <w:rFonts w:ascii="宋体" w:hAnsi="宋体"/>
      <w:i/>
      <w:sz w:val="24"/>
      <w:szCs w:val="24"/>
    </w:rPr>
  </w:style>
  <w:style w:type="character" w:customStyle="1" w:styleId="284">
    <w:name w:val="Document Map Char"/>
    <w:qFormat/>
    <w:locked/>
    <w:uiPriority w:val="0"/>
    <w:rPr>
      <w:rFonts w:eastAsia="宋体"/>
      <w:kern w:val="2"/>
      <w:sz w:val="21"/>
      <w:szCs w:val="24"/>
      <w:lang w:val="en-US" w:eastAsia="zh-CN" w:bidi="ar-SA"/>
    </w:rPr>
  </w:style>
  <w:style w:type="character" w:customStyle="1" w:styleId="285">
    <w:name w:val="正文样式 Char"/>
    <w:link w:val="286"/>
    <w:uiPriority w:val="0"/>
    <w:rPr>
      <w:rFonts w:ascii="Calibri" w:hAnsi="Calibri"/>
      <w:sz w:val="24"/>
      <w:szCs w:val="24"/>
    </w:rPr>
  </w:style>
  <w:style w:type="paragraph" w:customStyle="1" w:styleId="286">
    <w:name w:val="正文样式"/>
    <w:basedOn w:val="1"/>
    <w:link w:val="285"/>
    <w:qFormat/>
    <w:uiPriority w:val="0"/>
    <w:pPr>
      <w:adjustRightInd/>
      <w:spacing w:line="360" w:lineRule="auto"/>
      <w:ind w:firstLine="480" w:firstLineChars="200"/>
    </w:pPr>
    <w:rPr>
      <w:rFonts w:ascii="Calibri" w:hAnsi="Calibri"/>
      <w:kern w:val="0"/>
      <w:sz w:val="24"/>
    </w:rPr>
  </w:style>
  <w:style w:type="character" w:customStyle="1" w:styleId="287">
    <w:name w:val="标题 3 Char1"/>
    <w:aliases w:val="标题 3 Char Char,Bold Head Char Char,bh Char Char,h3 Char Char,H3 Char Char,level_3 Char Char,PIM 3 Char Char,Level 3 Head Char Char,Heading 3 - old Char Char,sect1.2.3 Char Char,sect1.2.31 Char Char,sect1.2.32 Char Char,标题 3 Char,H3 C,h31 Char"/>
    <w:uiPriority w:val="0"/>
    <w:rPr>
      <w:rFonts w:hint="eastAsia" w:ascii="华文中宋" w:hAnsi="华文中宋" w:eastAsia="华文中宋"/>
      <w:b/>
      <w:bCs/>
      <w:kern w:val="2"/>
      <w:sz w:val="32"/>
      <w:szCs w:val="32"/>
      <w:lang w:val="en-US" w:eastAsia="zh-CN" w:bidi="ar-SA"/>
    </w:rPr>
  </w:style>
  <w:style w:type="character" w:customStyle="1" w:styleId="288">
    <w:name w:val="blue1"/>
    <w:basedOn w:val="69"/>
    <w:qFormat/>
    <w:uiPriority w:val="0"/>
  </w:style>
  <w:style w:type="character" w:customStyle="1" w:styleId="289">
    <w:name w:val="标书正文格式 Char"/>
    <w:uiPriority w:val="0"/>
    <w:rPr>
      <w:rFonts w:eastAsia="楷体_GB2312"/>
      <w:kern w:val="2"/>
      <w:sz w:val="24"/>
      <w:szCs w:val="24"/>
      <w:lang w:bidi="ar-SA"/>
    </w:rPr>
  </w:style>
  <w:style w:type="character" w:customStyle="1" w:styleId="290">
    <w:name w:val="Char Char25"/>
    <w:uiPriority w:val="6"/>
    <w:rPr>
      <w:rFonts w:ascii="宋体" w:hAnsi="宋体"/>
      <w:kern w:val="1"/>
      <w:sz w:val="24"/>
      <w:lang w:val="zh-CN"/>
    </w:rPr>
  </w:style>
  <w:style w:type="character" w:customStyle="1" w:styleId="291">
    <w:name w:val="批注框文本 字符"/>
    <w:semiHidden/>
    <w:uiPriority w:val="99"/>
    <w:rPr>
      <w:rFonts w:ascii="Arial" w:hAnsi="Arial" w:eastAsia="黑体" w:cs="Arial"/>
      <w:snapToGrid w:val="0"/>
      <w:kern w:val="0"/>
      <w:sz w:val="18"/>
      <w:szCs w:val="18"/>
    </w:rPr>
  </w:style>
  <w:style w:type="character" w:customStyle="1" w:styleId="292">
    <w:name w:val="页脚 字符1"/>
    <w:locked/>
    <w:uiPriority w:val="99"/>
    <w:rPr>
      <w:kern w:val="2"/>
      <w:sz w:val="18"/>
      <w:szCs w:val="18"/>
    </w:rPr>
  </w:style>
  <w:style w:type="character" w:customStyle="1" w:styleId="293">
    <w:name w:val="二级标题 Char Char"/>
    <w:uiPriority w:val="0"/>
    <w:rPr>
      <w:rFonts w:ascii="宋体" w:hAnsi="宋体" w:eastAsia="宋体"/>
      <w:b/>
      <w:snapToGrid w:val="0"/>
      <w:kern w:val="2"/>
      <w:sz w:val="24"/>
      <w:szCs w:val="24"/>
      <w:lang w:val="en-US" w:eastAsia="zh-CN" w:bidi="ar-SA"/>
    </w:rPr>
  </w:style>
  <w:style w:type="character" w:customStyle="1" w:styleId="294">
    <w:name w:val="Char Char13"/>
    <w:uiPriority w:val="6"/>
    <w:rPr>
      <w:rFonts w:ascii="宋体" w:hAnsi="宋体"/>
      <w:kern w:val="1"/>
      <w:sz w:val="21"/>
      <w:szCs w:val="24"/>
    </w:rPr>
  </w:style>
  <w:style w:type="character" w:customStyle="1" w:styleId="295">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uiPriority w:val="0"/>
    <w:rPr>
      <w:rFonts w:ascii="宋体" w:eastAsia="宋体"/>
      <w:snapToGrid w:val="0"/>
      <w:color w:val="000000"/>
      <w:kern w:val="28"/>
      <w:sz w:val="28"/>
    </w:rPr>
  </w:style>
  <w:style w:type="character" w:customStyle="1" w:styleId="296">
    <w:name w:val="插图说明 Char"/>
    <w:uiPriority w:val="0"/>
    <w:rPr>
      <w:rFonts w:eastAsia="黑体"/>
      <w:sz w:val="24"/>
      <w:lang w:val="en-US" w:eastAsia="zh-CN"/>
    </w:rPr>
  </w:style>
  <w:style w:type="character" w:customStyle="1" w:styleId="297">
    <w:name w:val="脚注文本 Char1"/>
    <w:uiPriority w:val="0"/>
    <w:rPr>
      <w:rFonts w:ascii="Times New Roman" w:hAnsi="Times New Roman" w:eastAsia="宋体" w:cs="Times New Roman"/>
      <w:sz w:val="18"/>
      <w:szCs w:val="18"/>
    </w:rPr>
  </w:style>
  <w:style w:type="character" w:customStyle="1" w:styleId="298">
    <w:name w:val="正文文本 3 Char1"/>
    <w:semiHidden/>
    <w:uiPriority w:val="99"/>
    <w:rPr>
      <w:rFonts w:ascii="Times New Roman" w:hAnsi="Times New Roman" w:eastAsia="宋体" w:cs="Times New Roman"/>
      <w:sz w:val="16"/>
      <w:szCs w:val="16"/>
    </w:rPr>
  </w:style>
  <w:style w:type="character" w:customStyle="1" w:styleId="299">
    <w:name w:val="font12gray1"/>
    <w:qFormat/>
    <w:uiPriority w:val="0"/>
    <w:rPr>
      <w:rFonts w:ascii="仿宋_GB2312" w:eastAsia="微软雅黑"/>
      <w:b/>
      <w:spacing w:val="300"/>
      <w:kern w:val="2"/>
      <w:sz w:val="18"/>
      <w:szCs w:val="18"/>
      <w:lang w:val="en-US" w:eastAsia="zh-CN" w:bidi="ar-SA"/>
    </w:rPr>
  </w:style>
  <w:style w:type="character" w:customStyle="1" w:styleId="300">
    <w:name w:val="冯 Char"/>
    <w:link w:val="301"/>
    <w:uiPriority w:val="0"/>
    <w:rPr>
      <w:rFonts w:ascii="宋体" w:hAnsi="宋体"/>
      <w:color w:val="000000"/>
      <w:sz w:val="24"/>
      <w:szCs w:val="24"/>
    </w:rPr>
  </w:style>
  <w:style w:type="paragraph" w:customStyle="1" w:styleId="301">
    <w:name w:val="冯"/>
    <w:basedOn w:val="1"/>
    <w:link w:val="300"/>
    <w:qFormat/>
    <w:uiPriority w:val="0"/>
    <w:pPr>
      <w:widowControl/>
      <w:adjustRightInd/>
      <w:spacing w:line="360" w:lineRule="auto"/>
      <w:ind w:firstLine="480" w:firstLineChars="200"/>
    </w:pPr>
    <w:rPr>
      <w:rFonts w:ascii="宋体" w:hAnsi="宋体"/>
      <w:color w:val="000000"/>
      <w:kern w:val="0"/>
      <w:sz w:val="24"/>
    </w:rPr>
  </w:style>
  <w:style w:type="character" w:customStyle="1" w:styleId="302">
    <w:name w:val="公文正文 Char"/>
    <w:uiPriority w:val="0"/>
    <w:rPr>
      <w:rFonts w:ascii="仿宋_GB2312" w:eastAsia="仿宋_GB2312"/>
      <w:kern w:val="2"/>
      <w:sz w:val="24"/>
      <w:szCs w:val="24"/>
      <w:lang w:val="en-US" w:eastAsia="zh-CN" w:bidi="ar-SA"/>
    </w:rPr>
  </w:style>
  <w:style w:type="character" w:customStyle="1" w:styleId="303">
    <w:name w:val="正文缩进 字符"/>
    <w:aliases w:val="表正文 字符,正文非缩进 字符,特点 字符,body text 字符,鋘drad 字符,???änd 字符,Body Text(ch) 字符,ALT+Z 字符,特点 Char Char Char Char Char Char Char Char Char Char Char Char Char Char Char Char Char Char Char Char Char Char Char Char Char Char Char Char Char Char Char Char 字符"/>
    <w:uiPriority w:val="0"/>
    <w:rPr>
      <w:rFonts w:ascii="宋体" w:eastAsia="宋体"/>
      <w:snapToGrid w:val="0"/>
      <w:color w:val="000000"/>
      <w:kern w:val="28"/>
      <w:sz w:val="28"/>
      <w:lang w:val="en-US" w:eastAsia="zh-CN" w:bidi="ar-SA"/>
    </w:rPr>
  </w:style>
  <w:style w:type="character" w:customStyle="1" w:styleId="304">
    <w:name w:val="页眉 Char1"/>
    <w:aliases w:val="h Char"/>
    <w:uiPriority w:val="0"/>
    <w:rPr>
      <w:rFonts w:eastAsia="宋体"/>
      <w:kern w:val="2"/>
      <w:sz w:val="18"/>
      <w:szCs w:val="18"/>
      <w:lang w:val="en-US" w:eastAsia="zh-CN" w:bidi="ar-SA"/>
    </w:rPr>
  </w:style>
  <w:style w:type="character" w:customStyle="1" w:styleId="305">
    <w:name w:val="普通文字 Char1 Char"/>
    <w:qFormat/>
    <w:uiPriority w:val="0"/>
    <w:rPr>
      <w:rFonts w:ascii="宋体" w:hAnsi="Courier New" w:eastAsia="宋体"/>
      <w:kern w:val="2"/>
      <w:sz w:val="21"/>
      <w:szCs w:val="24"/>
      <w:lang w:val="en-US" w:eastAsia="zh-CN" w:bidi="ar-SA"/>
    </w:rPr>
  </w:style>
  <w:style w:type="character" w:customStyle="1" w:styleId="306">
    <w:name w:val="Char Char211"/>
    <w:uiPriority w:val="0"/>
    <w:rPr>
      <w:rFonts w:eastAsia="宋体"/>
      <w:b/>
      <w:bCs/>
      <w:kern w:val="2"/>
      <w:sz w:val="21"/>
      <w:szCs w:val="24"/>
      <w:lang w:val="en-US" w:eastAsia="zh-CN" w:bidi="ar-SA"/>
    </w:rPr>
  </w:style>
  <w:style w:type="character" w:customStyle="1" w:styleId="307">
    <w:name w:val="DO_NOT_TRANSLATE"/>
    <w:uiPriority w:val="0"/>
    <w:rPr>
      <w:rFonts w:ascii="Courier New" w:hAnsi="Courier New" w:cs="Courier New"/>
      <w:color w:val="800000"/>
      <w:lang/>
    </w:rPr>
  </w:style>
  <w:style w:type="character" w:customStyle="1" w:styleId="308">
    <w:name w:val="页脚 Char"/>
    <w:aliases w:val="Footer-Even Char2,FtrF Char"/>
    <w:uiPriority w:val="99"/>
    <w:rPr>
      <w:rFonts w:eastAsia="仿宋_GB2312"/>
      <w:kern w:val="2"/>
      <w:sz w:val="18"/>
      <w:lang w:val="en-US" w:eastAsia="zh-CN"/>
    </w:rPr>
  </w:style>
  <w:style w:type="character" w:customStyle="1" w:styleId="309">
    <w:name w:val="Ò³Ã¼ Char Char"/>
    <w:uiPriority w:val="0"/>
    <w:rPr>
      <w:rFonts w:eastAsia="宋体"/>
      <w:kern w:val="2"/>
      <w:sz w:val="18"/>
      <w:lang w:val="en-US" w:eastAsia="zh-CN" w:bidi="ar-SA"/>
    </w:rPr>
  </w:style>
  <w:style w:type="character" w:customStyle="1" w:styleId="310">
    <w:name w:val="仿宋正文 Char"/>
    <w:link w:val="311"/>
    <w:qFormat/>
    <w:uiPriority w:val="0"/>
    <w:rPr>
      <w:rFonts w:ascii="仿宋_GB2312" w:eastAsia="仿宋_GB2312"/>
      <w:kern w:val="2"/>
      <w:sz w:val="24"/>
      <w:lang w:val="en-US" w:eastAsia="zh-CN" w:bidi="ar-SA"/>
    </w:rPr>
  </w:style>
  <w:style w:type="paragraph" w:customStyle="1" w:styleId="311">
    <w:name w:val="仿宋正文"/>
    <w:basedOn w:val="1"/>
    <w:link w:val="310"/>
    <w:qFormat/>
    <w:uiPriority w:val="0"/>
    <w:pPr>
      <w:adjustRightInd/>
      <w:spacing w:line="360" w:lineRule="auto"/>
      <w:ind w:firstLine="480" w:firstLineChars="200"/>
    </w:pPr>
    <w:rPr>
      <w:rFonts w:ascii="仿宋_GB2312" w:eastAsia="仿宋_GB2312"/>
      <w:sz w:val="24"/>
      <w:szCs w:val="20"/>
    </w:rPr>
  </w:style>
  <w:style w:type="character" w:customStyle="1" w:styleId="312">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uiPriority w:val="0"/>
    <w:rPr>
      <w:rFonts w:ascii="宋体" w:eastAsia="宋体"/>
      <w:snapToGrid w:val="0"/>
      <w:color w:val="000000"/>
      <w:kern w:val="28"/>
      <w:sz w:val="28"/>
      <w:lang w:val="en-US" w:eastAsia="zh-CN" w:bidi="ar-SA"/>
    </w:rPr>
  </w:style>
  <w:style w:type="character" w:customStyle="1" w:styleId="313">
    <w:name w:val="正文说明 Char"/>
    <w:link w:val="314"/>
    <w:uiPriority w:val="0"/>
    <w:rPr>
      <w:sz w:val="24"/>
      <w:szCs w:val="24"/>
    </w:rPr>
  </w:style>
  <w:style w:type="paragraph" w:customStyle="1" w:styleId="314">
    <w:name w:val="正文说明"/>
    <w:basedOn w:val="1"/>
    <w:link w:val="313"/>
    <w:uiPriority w:val="0"/>
    <w:pPr>
      <w:adjustRightInd/>
      <w:spacing w:line="360" w:lineRule="auto"/>
    </w:pPr>
    <w:rPr>
      <w:kern w:val="0"/>
      <w:sz w:val="24"/>
    </w:rPr>
  </w:style>
  <w:style w:type="character" w:customStyle="1" w:styleId="315">
    <w:name w:val="h3 Char"/>
    <w:aliases w:val="H3 Char,sect1.2.3 Char,Bold Head Char,bh Char,l3 Char,CT Char,Level 3 Head Char,Heading 3 - old Char,level_3 Char,PIM 3 Char,prop3 Char,3 Char,3heading Char,heading 3 Char,Heading 31 Char,1.1.1 Heading 3 Char,heading 3TOC Char,3rd level Char"/>
    <w:qFormat/>
    <w:uiPriority w:val="0"/>
    <w:rPr>
      <w:rFonts w:eastAsia="宋体"/>
      <w:b/>
      <w:kern w:val="2"/>
      <w:sz w:val="32"/>
      <w:lang w:val="en-US" w:eastAsia="zh-CN" w:bidi="ar-SA"/>
    </w:rPr>
  </w:style>
  <w:style w:type="character" w:customStyle="1" w:styleId="316">
    <w:name w:val=" Char Char5"/>
    <w:uiPriority w:val="0"/>
    <w:rPr>
      <w:rFonts w:ascii="宋体" w:hAnsi="Courier New" w:eastAsia="宋体"/>
      <w:kern w:val="2"/>
      <w:sz w:val="21"/>
      <w:lang w:val="en-US" w:eastAsia="zh-CN"/>
    </w:rPr>
  </w:style>
  <w:style w:type="character" w:customStyle="1" w:styleId="317">
    <w:name w:val="Char Char30"/>
    <w:uiPriority w:val="6"/>
    <w:rPr>
      <w:rFonts w:ascii="Arial" w:hAnsi="Arial" w:eastAsia="黑体"/>
      <w:kern w:val="1"/>
      <w:sz w:val="21"/>
      <w:szCs w:val="21"/>
    </w:rPr>
  </w:style>
  <w:style w:type="character" w:customStyle="1" w:styleId="318">
    <w:name w:val="Char Char3"/>
    <w:qFormat/>
    <w:uiPriority w:val="0"/>
    <w:rPr>
      <w:rFonts w:ascii="Times New Roman" w:hAnsi="Times New Roman" w:eastAsia="宋体" w:cs="Times New Roman"/>
      <w:b/>
      <w:kern w:val="2"/>
      <w:sz w:val="32"/>
      <w:szCs w:val="24"/>
      <w:lang w:val="en-US" w:eastAsia="zh-CN" w:bidi="ar-SA"/>
    </w:rPr>
  </w:style>
  <w:style w:type="character" w:customStyle="1" w:styleId="319">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uiPriority w:val="99"/>
    <w:rPr>
      <w:rFonts w:eastAsia="宋体"/>
      <w:kern w:val="2"/>
      <w:sz w:val="24"/>
      <w:szCs w:val="24"/>
      <w:lang w:val="en-US" w:eastAsia="zh-CN" w:bidi="ar-SA"/>
    </w:rPr>
  </w:style>
  <w:style w:type="character" w:customStyle="1" w:styleId="320">
    <w:name w:val="签名 Char1"/>
    <w:uiPriority w:val="0"/>
    <w:rPr>
      <w:rFonts w:ascii="Times New Roman" w:hAnsi="Times New Roman" w:eastAsia="宋体" w:cs="Times New Roman"/>
      <w:szCs w:val="24"/>
    </w:rPr>
  </w:style>
  <w:style w:type="character" w:customStyle="1" w:styleId="321">
    <w:name w:val="正文缩进 Char1"/>
    <w:aliases w:val="正文对齐 Char,bt4 Char"/>
    <w:qFormat/>
    <w:uiPriority w:val="0"/>
    <w:rPr>
      <w:rFonts w:ascii="宋体" w:eastAsia="宋体"/>
      <w:snapToGrid w:val="0"/>
      <w:color w:val="000000"/>
      <w:kern w:val="28"/>
      <w:sz w:val="28"/>
      <w:lang w:val="en-US" w:eastAsia="zh-CN" w:bidi="ar-SA"/>
    </w:rPr>
  </w:style>
  <w:style w:type="character" w:customStyle="1" w:styleId="322">
    <w:name w:val="tw4winInternal"/>
    <w:uiPriority w:val="0"/>
    <w:rPr>
      <w:rFonts w:ascii="Courier New" w:hAnsi="Courier New" w:cs="Courier New"/>
      <w:color w:val="FF0000"/>
      <w:lang/>
    </w:rPr>
  </w:style>
  <w:style w:type="character" w:customStyle="1" w:styleId="323">
    <w:name w:val="标题 1 字符"/>
    <w:aliases w:val="1 标题1 字符,jtz1 字符,H1 字符,卷标题 字符,h1 字符,1st level 字符,heading 1 字符,合同标题 字符,1 字符,TITRE1 字符,标题1 字符,Section Head 字符,l1 字符,H11 字符,H12 字符,H13 字符,H14 字符,H15 字符,H16 字符,H17 字符,1.0 字符,章节标题 字符,Title1 字符,Sec1 字符,h11 字符,1st level1 字符,h12 字符,1st level2 字符,h13 字符"/>
    <w:uiPriority w:val="9"/>
    <w:rPr>
      <w:rFonts w:ascii="Arial" w:hAnsi="Arial" w:eastAsia="黑体" w:cs="Arial"/>
      <w:b/>
      <w:bCs/>
      <w:snapToGrid w:val="0"/>
      <w:kern w:val="44"/>
      <w:sz w:val="44"/>
      <w:szCs w:val="44"/>
    </w:rPr>
  </w:style>
  <w:style w:type="character" w:customStyle="1" w:styleId="324">
    <w:name w:val="Char Char51"/>
    <w:uiPriority w:val="0"/>
    <w:rPr>
      <w:rFonts w:ascii="宋体" w:hAnsi="Courier New" w:eastAsia="宋体"/>
      <w:kern w:val="2"/>
      <w:sz w:val="21"/>
      <w:lang w:val="en-US" w:eastAsia="zh-CN"/>
    </w:rPr>
  </w:style>
  <w:style w:type="character" w:customStyle="1" w:styleId="325">
    <w:name w:val="样式2 Char"/>
    <w:qFormat/>
    <w:uiPriority w:val="0"/>
    <w:rPr>
      <w:rFonts w:ascii="仿宋_GB2312" w:hAnsi="仿宋" w:eastAsia="仿宋_GB2312" w:cs="仿宋_GB2312"/>
      <w:b/>
      <w:bCs/>
      <w:sz w:val="32"/>
      <w:szCs w:val="30"/>
      <w:lang w:val="zh-CN"/>
    </w:rPr>
  </w:style>
  <w:style w:type="character" w:customStyle="1" w:styleId="326">
    <w:name w:val="gf正文1 Char"/>
    <w:qFormat/>
    <w:uiPriority w:val="0"/>
    <w:rPr>
      <w:rFonts w:ascii="宋体" w:hAnsi="宋体" w:eastAsia="宋体" w:cs="宋体"/>
      <w:kern w:val="2"/>
      <w:sz w:val="24"/>
      <w:szCs w:val="24"/>
      <w:lang w:val="en-US" w:eastAsia="zh-CN" w:bidi="ar-SA"/>
    </w:rPr>
  </w:style>
  <w:style w:type="character" w:customStyle="1" w:styleId="327">
    <w:name w:val="gray6"/>
    <w:basedOn w:val="69"/>
    <w:uiPriority w:val="0"/>
  </w:style>
  <w:style w:type="character" w:customStyle="1" w:styleId="328">
    <w:name w:val="批注文字 字符"/>
    <w:qFormat/>
    <w:uiPriority w:val="99"/>
    <w:rPr>
      <w:rFonts w:ascii="Arial" w:hAnsi="Arial" w:eastAsia="黑体" w:cs="Arial"/>
      <w:snapToGrid w:val="0"/>
      <w:kern w:val="0"/>
      <w:szCs w:val="21"/>
    </w:rPr>
  </w:style>
  <w:style w:type="character" w:customStyle="1" w:styleId="329">
    <w:name w:val="pt141"/>
    <w:uiPriority w:val="0"/>
    <w:rPr>
      <w:color w:val="330066"/>
      <w:sz w:val="22"/>
      <w:szCs w:val="22"/>
    </w:rPr>
  </w:style>
  <w:style w:type="character" w:customStyle="1" w:styleId="330">
    <w:name w:val="正文文本缩进 Char"/>
    <w:qFormat/>
    <w:uiPriority w:val="0"/>
    <w:rPr>
      <w:rFonts w:ascii="宋体" w:hAnsi="宋体"/>
      <w:kern w:val="2"/>
      <w:sz w:val="24"/>
      <w:szCs w:val="24"/>
    </w:rPr>
  </w:style>
  <w:style w:type="character" w:customStyle="1" w:styleId="331">
    <w:name w:val="页眉 字符1"/>
    <w:uiPriority w:val="99"/>
    <w:rPr>
      <w:kern w:val="2"/>
      <w:sz w:val="18"/>
      <w:szCs w:val="18"/>
    </w:rPr>
  </w:style>
  <w:style w:type="character" w:customStyle="1" w:styleId="332">
    <w:name w:val="large1"/>
    <w:qFormat/>
    <w:uiPriority w:val="0"/>
    <w:rPr>
      <w:rFonts w:hint="eastAsia" w:ascii="宋体" w:hAnsi="宋体" w:eastAsia="宋体"/>
      <w:sz w:val="21"/>
      <w:szCs w:val="21"/>
    </w:rPr>
  </w:style>
  <w:style w:type="character" w:customStyle="1" w:styleId="333">
    <w:name w:val="表格非标题文字 Char"/>
    <w:link w:val="334"/>
    <w:uiPriority w:val="0"/>
    <w:rPr>
      <w:rFonts w:ascii="Futura Bk" w:hAnsi="Futura Bk"/>
      <w:kern w:val="2"/>
      <w:sz w:val="18"/>
      <w:szCs w:val="21"/>
      <w:lang w:val="en-US" w:eastAsia="zh-CN" w:bidi="ar-SA"/>
    </w:rPr>
  </w:style>
  <w:style w:type="paragraph" w:customStyle="1" w:styleId="334">
    <w:name w:val="表格非标题文字"/>
    <w:link w:val="333"/>
    <w:qFormat/>
    <w:uiPriority w:val="0"/>
    <w:pPr>
      <w:snapToGrid w:val="0"/>
      <w:spacing w:before="80" w:after="40"/>
    </w:pPr>
    <w:rPr>
      <w:rFonts w:ascii="Futura Bk" w:hAnsi="Futura Bk"/>
      <w:kern w:val="2"/>
      <w:sz w:val="18"/>
      <w:szCs w:val="21"/>
      <w:lang w:val="en-US" w:eastAsia="zh-CN" w:bidi="ar-SA"/>
    </w:rPr>
  </w:style>
  <w:style w:type="character" w:customStyle="1" w:styleId="335">
    <w:name w:val="h Char Char"/>
    <w:uiPriority w:val="0"/>
    <w:rPr>
      <w:rFonts w:eastAsia="宋体"/>
      <w:kern w:val="2"/>
      <w:sz w:val="18"/>
      <w:lang w:val="en-US" w:eastAsia="zh-CN" w:bidi="ar-SA"/>
    </w:rPr>
  </w:style>
  <w:style w:type="character" w:customStyle="1" w:styleId="336">
    <w:name w:val="font112"/>
    <w:basedOn w:val="69"/>
    <w:uiPriority w:val="0"/>
    <w:rPr>
      <w:rFonts w:hint="default" w:ascii="Times New Roman" w:hAnsi="Times New Roman" w:eastAsia="仿宋_GB2312" w:cs="Times New Roman"/>
      <w:b w:val="0"/>
      <w:color w:val="000000"/>
      <w:sz w:val="21"/>
      <w:szCs w:val="21"/>
      <w:u w:val="none"/>
    </w:rPr>
  </w:style>
  <w:style w:type="character" w:customStyle="1" w:styleId="337">
    <w:name w:val="标题4-dyf Char"/>
    <w:link w:val="338"/>
    <w:qFormat/>
    <w:uiPriority w:val="0"/>
    <w:rPr>
      <w:rFonts w:ascii="Cambria" w:hAnsi="Cambria"/>
      <w:b/>
      <w:bCs/>
      <w:color w:val="000000"/>
      <w:kern w:val="2"/>
      <w:sz w:val="21"/>
      <w:szCs w:val="21"/>
    </w:rPr>
  </w:style>
  <w:style w:type="paragraph" w:customStyle="1" w:styleId="338">
    <w:name w:val="标题4-dyf"/>
    <w:basedOn w:val="6"/>
    <w:link w:val="337"/>
    <w:qFormat/>
    <w:uiPriority w:val="0"/>
    <w:pPr>
      <w:numPr>
        <w:ilvl w:val="3"/>
        <w:numId w:val="0"/>
      </w:numPr>
      <w:tabs>
        <w:tab w:val="left" w:pos="851"/>
        <w:tab w:val="clear" w:pos="864"/>
      </w:tabs>
      <w:adjustRightInd/>
      <w:spacing w:line="376" w:lineRule="atLeast"/>
      <w:ind w:left="851" w:hanging="851"/>
    </w:pPr>
    <w:rPr>
      <w:rFonts w:ascii="Cambria" w:hAnsi="Cambria" w:eastAsia="等线"/>
      <w:color w:val="000000"/>
      <w:sz w:val="21"/>
      <w:szCs w:val="21"/>
    </w:rPr>
  </w:style>
  <w:style w:type="character" w:customStyle="1" w:styleId="339">
    <w:name w:val="hui3"/>
    <w:qFormat/>
    <w:uiPriority w:val="0"/>
    <w:rPr>
      <w:color w:val="333333"/>
    </w:rPr>
  </w:style>
  <w:style w:type="character" w:customStyle="1" w:styleId="340">
    <w:name w:val="myp11"/>
    <w:uiPriority w:val="0"/>
    <w:rPr>
      <w:rFonts w:ascii="仿宋_GB2312" w:eastAsia="微软雅黑"/>
      <w:b/>
      <w:kern w:val="2"/>
      <w:sz w:val="32"/>
      <w:szCs w:val="32"/>
      <w:lang w:val="en-US" w:eastAsia="zh-CN" w:bidi="ar-SA"/>
    </w:rPr>
  </w:style>
  <w:style w:type="character" w:customStyle="1" w:styleId="341">
    <w:name w:val="文档结构图 Char"/>
    <w:qFormat/>
    <w:uiPriority w:val="0"/>
    <w:rPr>
      <w:rFonts w:eastAsia="宋体"/>
      <w:kern w:val="2"/>
      <w:sz w:val="21"/>
      <w:szCs w:val="24"/>
      <w:lang w:val="en-US" w:eastAsia="zh-CN" w:bidi="ar-SA"/>
    </w:rPr>
  </w:style>
  <w:style w:type="character" w:customStyle="1" w:styleId="342">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uiPriority w:val="0"/>
    <w:rPr>
      <w:rFonts w:ascii="宋体" w:hAnsi="Courier New" w:eastAsia="宋体"/>
      <w:kern w:val="2"/>
      <w:sz w:val="21"/>
      <w:lang w:val="en-US" w:eastAsia="zh-CN" w:bidi="ar-SA"/>
    </w:rPr>
  </w:style>
  <w:style w:type="character" w:customStyle="1" w:styleId="343">
    <w:name w:val="message1"/>
    <w:qFormat/>
    <w:uiPriority w:val="0"/>
    <w:rPr>
      <w:rFonts w:hint="default" w:ascii="Tahoma" w:hAnsi="Tahoma" w:cs="Tahoma"/>
      <w:sz w:val="18"/>
      <w:szCs w:val="18"/>
    </w:rPr>
  </w:style>
  <w:style w:type="character" w:customStyle="1" w:styleId="344">
    <w:name w:val="冯广丽 Char"/>
    <w:link w:val="345"/>
    <w:uiPriority w:val="0"/>
    <w:rPr>
      <w:rFonts w:ascii="宋体" w:hAnsi="宋体"/>
      <w:kern w:val="2"/>
      <w:sz w:val="24"/>
      <w:szCs w:val="22"/>
    </w:rPr>
  </w:style>
  <w:style w:type="paragraph" w:customStyle="1" w:styleId="345">
    <w:name w:val="冯广丽"/>
    <w:basedOn w:val="1"/>
    <w:link w:val="344"/>
    <w:qFormat/>
    <w:uiPriority w:val="0"/>
    <w:pPr>
      <w:adjustRightInd/>
      <w:spacing w:line="360" w:lineRule="auto"/>
      <w:ind w:firstLine="480" w:firstLineChars="200"/>
    </w:pPr>
    <w:rPr>
      <w:rFonts w:ascii="宋体" w:hAnsi="宋体"/>
      <w:sz w:val="24"/>
      <w:szCs w:val="22"/>
    </w:rPr>
  </w:style>
  <w:style w:type="character" w:customStyle="1" w:styleId="346">
    <w:name w:val="Char Char27"/>
    <w:uiPriority w:val="6"/>
    <w:rPr>
      <w:rFonts w:ascii="宋体" w:hAnsi="宋体" w:eastAsia="宋体"/>
      <w:color w:val="000000"/>
      <w:kern w:val="1"/>
      <w:sz w:val="28"/>
      <w:lang w:val="en-US" w:eastAsia="zh-CN" w:bidi="ar-SA"/>
    </w:rPr>
  </w:style>
  <w:style w:type="character" w:customStyle="1" w:styleId="347">
    <w:name w:val="Char Char81"/>
    <w:uiPriority w:val="6"/>
    <w:rPr>
      <w:rFonts w:eastAsia="宋体"/>
      <w:b/>
      <w:sz w:val="24"/>
      <w:lang w:val="en-GB" w:eastAsia="zh-CN"/>
    </w:rPr>
  </w:style>
  <w:style w:type="character" w:customStyle="1" w:styleId="348">
    <w:name w:val="纯文本 Char_0"/>
    <w:link w:val="349"/>
    <w:uiPriority w:val="0"/>
    <w:rPr>
      <w:rFonts w:ascii="宋体" w:hAnsi="Courier New"/>
      <w:kern w:val="2"/>
      <w:sz w:val="21"/>
      <w:szCs w:val="21"/>
      <w:lang/>
    </w:rPr>
  </w:style>
  <w:style w:type="paragraph" w:customStyle="1" w:styleId="349">
    <w:name w:val="纯文本_0_0"/>
    <w:basedOn w:val="350"/>
    <w:link w:val="348"/>
    <w:uiPriority w:val="0"/>
    <w:rPr>
      <w:rFonts w:ascii="宋体" w:hAnsi="Courier New"/>
      <w:szCs w:val="21"/>
      <w:lang/>
    </w:rPr>
  </w:style>
  <w:style w:type="paragraph" w:customStyle="1" w:styleId="350">
    <w:name w:val="正文_1_0"/>
    <w:qFormat/>
    <w:uiPriority w:val="0"/>
    <w:pPr>
      <w:widowControl w:val="0"/>
      <w:jc w:val="both"/>
    </w:pPr>
    <w:rPr>
      <w:kern w:val="2"/>
      <w:sz w:val="21"/>
      <w:szCs w:val="24"/>
      <w:lang w:val="en-US" w:eastAsia="zh-CN" w:bidi="ar-SA"/>
    </w:rPr>
  </w:style>
  <w:style w:type="character" w:customStyle="1" w:styleId="351">
    <w:name w:val=" Char Char12"/>
    <w:uiPriority w:val="0"/>
    <w:rPr>
      <w:rFonts w:ascii="仿宋_GB2312" w:eastAsia="仿宋_GB2312"/>
      <w:b/>
      <w:bCs/>
      <w:kern w:val="2"/>
      <w:sz w:val="24"/>
      <w:szCs w:val="24"/>
      <w:lang w:val="zh-CN" w:eastAsia="zh-CN" w:bidi="ar-SA"/>
    </w:rPr>
  </w:style>
  <w:style w:type="character" w:customStyle="1" w:styleId="352">
    <w:name w:val="Char Char20"/>
    <w:uiPriority w:val="6"/>
    <w:rPr>
      <w:kern w:val="1"/>
      <w:sz w:val="24"/>
    </w:rPr>
  </w:style>
  <w:style w:type="character" w:customStyle="1" w:styleId="353">
    <w:name w:val=" Char Char8"/>
    <w:uiPriority w:val="0"/>
    <w:rPr>
      <w:rFonts w:eastAsia="宋体"/>
      <w:b/>
      <w:sz w:val="24"/>
      <w:lang w:val="en-GB" w:eastAsia="zh-CN"/>
    </w:rPr>
  </w:style>
  <w:style w:type="character" w:customStyle="1" w:styleId="354">
    <w:name w:val="页脚 Char1"/>
    <w:aliases w:val="FtrF Char1"/>
    <w:uiPriority w:val="0"/>
    <w:rPr>
      <w:rFonts w:eastAsia="宋体"/>
      <w:kern w:val="2"/>
      <w:sz w:val="18"/>
      <w:szCs w:val="18"/>
      <w:lang w:val="en-US" w:eastAsia="zh-CN" w:bidi="ar-SA"/>
    </w:rPr>
  </w:style>
  <w:style w:type="character" w:customStyle="1" w:styleId="355">
    <w:name w:val=" Char Char4"/>
    <w:uiPriority w:val="0"/>
    <w:rPr>
      <w:rFonts w:eastAsia="宋体"/>
      <w:b/>
      <w:sz w:val="24"/>
      <w:lang w:val="en-GB" w:eastAsia="zh-CN" w:bidi="ar-SA"/>
    </w:rPr>
  </w:style>
  <w:style w:type="character" w:customStyle="1" w:styleId="356">
    <w:name w:val="列出段落 Char1"/>
    <w:link w:val="357"/>
    <w:uiPriority w:val="0"/>
    <w:rPr>
      <w:rFonts w:ascii="Calibri" w:hAnsi="Calibri"/>
      <w:sz w:val="24"/>
      <w:lang w:eastAsia="en-US"/>
    </w:rPr>
  </w:style>
  <w:style w:type="paragraph" w:customStyle="1" w:styleId="357">
    <w:name w:val="List"/>
    <w:basedOn w:val="1"/>
    <w:next w:val="358"/>
    <w:link w:val="356"/>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358">
    <w:name w:val="List Paragraph"/>
    <w:basedOn w:val="1"/>
    <w:qFormat/>
    <w:uiPriority w:val="34"/>
    <w:pPr>
      <w:spacing w:line="360" w:lineRule="auto"/>
      <w:ind w:firstLine="200" w:firstLineChars="200"/>
    </w:pPr>
    <w:rPr>
      <w:rFonts w:eastAsia="楷体_GB2312" w:cs="Lucida Sans"/>
      <w:sz w:val="24"/>
    </w:rPr>
  </w:style>
  <w:style w:type="character" w:customStyle="1" w:styleId="359">
    <w:name w:val="question-title2"/>
    <w:uiPriority w:val="6"/>
    <w:rPr>
      <w:rFonts w:ascii="Arial" w:hAnsi="Arial" w:eastAsia="黑体" w:cs="Arial"/>
      <w:snapToGrid w:val="0"/>
      <w:kern w:val="0"/>
      <w:szCs w:val="21"/>
    </w:rPr>
  </w:style>
  <w:style w:type="character" w:customStyle="1" w:styleId="360">
    <w:name w:val="font101"/>
    <w:basedOn w:val="69"/>
    <w:uiPriority w:val="0"/>
    <w:rPr>
      <w:rFonts w:hint="eastAsia" w:ascii="宋体" w:hAnsi="宋体" w:eastAsia="宋体" w:cs="宋体"/>
      <w:b w:val="0"/>
      <w:color w:val="000000"/>
      <w:sz w:val="20"/>
      <w:szCs w:val="20"/>
      <w:u w:val="none"/>
    </w:rPr>
  </w:style>
  <w:style w:type="character" w:customStyle="1" w:styleId="361">
    <w:name w:val="样式7 Char"/>
    <w:uiPriority w:val="0"/>
    <w:rPr>
      <w:rFonts w:ascii="仿宋_GB2312" w:hAnsi="仿宋" w:eastAsia="仿宋_GB2312"/>
      <w:b/>
      <w:kern w:val="2"/>
      <w:sz w:val="24"/>
      <w:szCs w:val="24"/>
    </w:rPr>
  </w:style>
  <w:style w:type="character" w:customStyle="1" w:styleId="362">
    <w:name w:val="f141"/>
    <w:uiPriority w:val="0"/>
    <w:rPr>
      <w:rFonts w:ascii="Tahoma" w:hAnsi="Tahoma" w:eastAsia="宋体"/>
      <w:b/>
      <w:kern w:val="2"/>
      <w:sz w:val="21"/>
      <w:szCs w:val="21"/>
      <w:lang w:val="en-US" w:eastAsia="zh-CN" w:bidi="ar-SA"/>
    </w:rPr>
  </w:style>
  <w:style w:type="character" w:customStyle="1" w:styleId="363">
    <w:name w:val="Item List Char"/>
    <w:link w:val="364"/>
    <w:uiPriority w:val="0"/>
    <w:rPr>
      <w:rFonts w:ascii="Arial"/>
      <w:bCs/>
      <w:sz w:val="21"/>
      <w:szCs w:val="21"/>
      <w:lang w:val="en-US" w:eastAsia="zh-CN" w:bidi="ar-SA"/>
    </w:rPr>
  </w:style>
  <w:style w:type="paragraph" w:customStyle="1" w:styleId="364">
    <w:name w:val="Item List"/>
    <w:link w:val="363"/>
    <w:uiPriority w:val="0"/>
    <w:pPr>
      <w:spacing w:after="156" w:line="360" w:lineRule="auto"/>
      <w:ind w:firstLine="424" w:firstLineChars="202"/>
      <w:jc w:val="both"/>
    </w:pPr>
    <w:rPr>
      <w:rFonts w:ascii="Arial"/>
      <w:bCs/>
      <w:sz w:val="21"/>
      <w:szCs w:val="21"/>
      <w:lang w:val="en-US" w:eastAsia="zh-CN" w:bidi="ar-SA"/>
    </w:rPr>
  </w:style>
  <w:style w:type="character" w:customStyle="1" w:styleId="365">
    <w:name w:val="Char Char34"/>
    <w:uiPriority w:val="6"/>
    <w:rPr>
      <w:b/>
      <w:kern w:val="1"/>
      <w:sz w:val="28"/>
      <w:szCs w:val="28"/>
    </w:rPr>
  </w:style>
  <w:style w:type="character" w:customStyle="1" w:styleId="366">
    <w:name w:val="font131"/>
    <w:basedOn w:val="69"/>
    <w:qFormat/>
    <w:uiPriority w:val="0"/>
    <w:rPr>
      <w:rFonts w:hint="default" w:ascii="Times New Roman" w:hAnsi="Times New Roman" w:cs="Times New Roman"/>
      <w:color w:val="000000"/>
      <w:sz w:val="20"/>
      <w:szCs w:val="20"/>
      <w:u w:val="none"/>
    </w:rPr>
  </w:style>
  <w:style w:type="character" w:customStyle="1" w:styleId="367">
    <w:name w:val=" Char Char2"/>
    <w:uiPriority w:val="0"/>
    <w:rPr>
      <w:rFonts w:eastAsia="宋体"/>
      <w:b/>
      <w:bCs/>
      <w:kern w:val="2"/>
      <w:sz w:val="21"/>
      <w:szCs w:val="24"/>
      <w:lang w:val="en-US" w:eastAsia="zh-CN" w:bidi="ar-SA"/>
    </w:rPr>
  </w:style>
  <w:style w:type="character" w:customStyle="1" w:styleId="368">
    <w:name w:val="Char Char15"/>
    <w:uiPriority w:val="6"/>
    <w:rPr>
      <w:rFonts w:ascii="宋体" w:hAnsi="宋体"/>
      <w:kern w:val="1"/>
      <w:sz w:val="21"/>
    </w:rPr>
  </w:style>
  <w:style w:type="character" w:customStyle="1" w:styleId="369">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qFormat/>
    <w:uiPriority w:val="0"/>
    <w:rPr>
      <w:rFonts w:ascii="宋体" w:eastAsia="宋体"/>
      <w:snapToGrid w:val="0"/>
      <w:color w:val="000000"/>
      <w:kern w:val="28"/>
      <w:sz w:val="28"/>
      <w:lang w:val="en-US" w:eastAsia="zh-CN" w:bidi="ar-SA"/>
    </w:rPr>
  </w:style>
  <w:style w:type="character" w:customStyle="1" w:styleId="370">
    <w:name w:val="U_正文 Char"/>
    <w:link w:val="371"/>
    <w:uiPriority w:val="0"/>
    <w:rPr>
      <w:sz w:val="24"/>
      <w:szCs w:val="24"/>
    </w:rPr>
  </w:style>
  <w:style w:type="paragraph" w:customStyle="1" w:styleId="371">
    <w:name w:val="U_正文"/>
    <w:basedOn w:val="1"/>
    <w:link w:val="370"/>
    <w:uiPriority w:val="0"/>
    <w:pPr>
      <w:adjustRightInd/>
      <w:spacing w:beforeLines="20" w:afterLines="20" w:line="300" w:lineRule="auto"/>
      <w:ind w:firstLine="200" w:firstLineChars="200"/>
    </w:pPr>
    <w:rPr>
      <w:kern w:val="0"/>
      <w:sz w:val="24"/>
    </w:rPr>
  </w:style>
  <w:style w:type="character" w:customStyle="1" w:styleId="372">
    <w:name w:val="Char Char33"/>
    <w:qFormat/>
    <w:uiPriority w:val="6"/>
    <w:rPr>
      <w:rFonts w:ascii="Arial" w:hAnsi="Arial" w:eastAsia="黑体"/>
      <w:b/>
      <w:kern w:val="1"/>
      <w:sz w:val="24"/>
      <w:szCs w:val="24"/>
    </w:rPr>
  </w:style>
  <w:style w:type="character" w:customStyle="1" w:styleId="373">
    <w:name w:val="Char Char29"/>
    <w:uiPriority w:val="6"/>
    <w:rPr>
      <w:rFonts w:ascii="Arial" w:hAnsi="Arial" w:eastAsia="微软雅黑"/>
      <w:b/>
      <w:kern w:val="1"/>
      <w:sz w:val="44"/>
      <w:szCs w:val="32"/>
      <w:lang w:val="en-US" w:eastAsia="zh-CN" w:bidi="ar-SA"/>
    </w:rPr>
  </w:style>
  <w:style w:type="character" w:customStyle="1" w:styleId="374">
    <w:name w:val="PI Char1"/>
    <w:aliases w:val="正文文字首行缩进 Char1,正文文本缩进 Char Char1,正文小标题 Char1,正文文字3 Char1,正文顶格 Char,HD正文1 Char,Body Text 21 Char Char"/>
    <w:uiPriority w:val="0"/>
    <w:rPr>
      <w:rFonts w:ascii="宋体" w:hAnsi="宋体"/>
      <w:kern w:val="2"/>
      <w:sz w:val="24"/>
      <w:szCs w:val="24"/>
    </w:rPr>
  </w:style>
  <w:style w:type="character" w:customStyle="1" w:styleId="375">
    <w:name w:val="txt"/>
    <w:qFormat/>
    <w:uiPriority w:val="0"/>
    <w:rPr>
      <w:rFonts w:ascii="仿宋_GB2312" w:eastAsia="微软雅黑"/>
      <w:b/>
      <w:kern w:val="2"/>
      <w:sz w:val="32"/>
      <w:szCs w:val="32"/>
      <w:lang w:val="en-US" w:eastAsia="zh-CN" w:bidi="ar-SA"/>
    </w:rPr>
  </w:style>
  <w:style w:type="character" w:customStyle="1" w:styleId="376">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qFormat/>
    <w:uiPriority w:val="0"/>
    <w:rPr>
      <w:rFonts w:ascii="宋体" w:hAnsi="Courier New" w:eastAsia="宋体"/>
      <w:kern w:val="2"/>
      <w:sz w:val="21"/>
      <w:lang w:val="en-US" w:eastAsia="zh-CN" w:bidi="ar-SA"/>
    </w:rPr>
  </w:style>
  <w:style w:type="character" w:customStyle="1" w:styleId="377">
    <w:name w:val="Char Char2"/>
    <w:qFormat/>
    <w:uiPriority w:val="0"/>
    <w:rPr>
      <w:rFonts w:eastAsia="宋体"/>
      <w:b/>
      <w:bCs/>
      <w:kern w:val="2"/>
      <w:sz w:val="21"/>
      <w:szCs w:val="24"/>
      <w:lang w:val="en-US" w:eastAsia="zh-CN" w:bidi="ar-SA"/>
    </w:rPr>
  </w:style>
  <w:style w:type="character" w:customStyle="1" w:styleId="378">
    <w:name w:val="tw4winExternal"/>
    <w:qFormat/>
    <w:uiPriority w:val="0"/>
    <w:rPr>
      <w:rFonts w:ascii="Courier New" w:hAnsi="Courier New" w:cs="Courier New"/>
      <w:color w:val="808080"/>
      <w:lang/>
    </w:rPr>
  </w:style>
  <w:style w:type="character" w:customStyle="1" w:styleId="379">
    <w:name w:val="样式4 Char"/>
    <w:qFormat/>
    <w:uiPriority w:val="0"/>
    <w:rPr>
      <w:rFonts w:ascii="仿宋_GB2312" w:hAnsi="仿宋" w:eastAsia="仿宋_GB2312"/>
      <w:b/>
      <w:kern w:val="2"/>
      <w:sz w:val="32"/>
      <w:szCs w:val="32"/>
      <w:lang w:bidi="ar-SA"/>
    </w:rPr>
  </w:style>
  <w:style w:type="character" w:customStyle="1" w:styleId="380">
    <w:name w:val="Char Char21"/>
    <w:uiPriority w:val="6"/>
    <w:rPr>
      <w:rFonts w:ascii="宋体" w:hAnsi="宋体"/>
      <w:kern w:val="1"/>
      <w:sz w:val="24"/>
      <w:szCs w:val="21"/>
      <w:lang w:val="zh-CN"/>
    </w:rPr>
  </w:style>
  <w:style w:type="character" w:customStyle="1" w:styleId="38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382">
    <w:name w:val="No Spacing Char"/>
    <w:link w:val="383"/>
    <w:uiPriority w:val="1"/>
    <w:rPr>
      <w:sz w:val="22"/>
      <w:szCs w:val="22"/>
      <w:lang w:val="en-US" w:eastAsia="zh-CN" w:bidi="ar-SA"/>
    </w:rPr>
  </w:style>
  <w:style w:type="paragraph" w:customStyle="1" w:styleId="383">
    <w:name w:val="无间隔1"/>
    <w:link w:val="382"/>
    <w:qFormat/>
    <w:uiPriority w:val="1"/>
    <w:rPr>
      <w:sz w:val="22"/>
      <w:szCs w:val="22"/>
      <w:lang w:val="en-US" w:eastAsia="zh-CN" w:bidi="ar-SA"/>
    </w:rPr>
  </w:style>
  <w:style w:type="character" w:customStyle="1" w:styleId="384">
    <w:name w:val="纯文本 字符2"/>
    <w:qFormat/>
    <w:uiPriority w:val="0"/>
    <w:rPr>
      <w:rFonts w:ascii="宋体" w:hAnsi="Courier New" w:eastAsia="宋体" w:cs="Arial"/>
      <w:snapToGrid w:val="0"/>
      <w:kern w:val="2"/>
      <w:sz w:val="21"/>
      <w:szCs w:val="21"/>
      <w:lang w:val="en-US" w:eastAsia="zh-CN" w:bidi="ar-SA"/>
    </w:rPr>
  </w:style>
  <w:style w:type="character" w:customStyle="1" w:styleId="385">
    <w:name w:val="font81"/>
    <w:basedOn w:val="69"/>
    <w:uiPriority w:val="0"/>
    <w:rPr>
      <w:rFonts w:ascii="微软雅黑" w:hAnsi="微软雅黑" w:eastAsia="微软雅黑" w:cs="微软雅黑"/>
      <w:color w:val="000000"/>
      <w:sz w:val="20"/>
      <w:szCs w:val="20"/>
      <w:u w:val="none"/>
    </w:rPr>
  </w:style>
  <w:style w:type="character" w:customStyle="1" w:styleId="386">
    <w:name w:val="样式 宋体"/>
    <w:uiPriority w:val="0"/>
    <w:rPr>
      <w:rFonts w:ascii="宋体" w:hAnsi="宋体"/>
      <w:sz w:val="24"/>
    </w:rPr>
  </w:style>
  <w:style w:type="character" w:customStyle="1" w:styleId="387">
    <w:name w:val="表正文 Char3"/>
    <w:aliases w:val="正文非缩进 Char4,正文不缩进 Char4,特点 Char4,段1 Char4,标题4 Char4,特点标题 Char3,ALT+Z Char4,四号 Char4,缩进 Char4,正文（段落文字） Char3,正文编号 Char3,Justified Char3,plain paragraph Char3,pp Char3,Block text Char3,t Char3,BODY TEXT Char3,text Char3,sp Char3,sbs Char3"/>
    <w:uiPriority w:val="0"/>
    <w:rPr>
      <w:rFonts w:eastAsia="宋体"/>
    </w:rPr>
  </w:style>
  <w:style w:type="character" w:customStyle="1" w:styleId="388">
    <w:name w:val="标题 2 Char Char"/>
    <w:aliases w:val="H2 Char Char,h2 Char Char,2nd level Char Char,2 Char Char,Header 2 Char Char,l2 Char Char,Titre2 Char Char,Head 2 Char Char Char Char Char Char Char,Head 2 Char Char Char Char Char Char Char1"/>
    <w:uiPriority w:val="0"/>
    <w:rPr>
      <w:rFonts w:ascii="楷体_GB2312" w:hAnsi="Arial" w:eastAsia="楷体_GB2312"/>
      <w:b/>
      <w:bCs/>
      <w:kern w:val="2"/>
      <w:sz w:val="24"/>
      <w:szCs w:val="32"/>
      <w:lang w:val="en-US" w:eastAsia="zh-CN" w:bidi="ar-SA"/>
    </w:rPr>
  </w:style>
  <w:style w:type="character" w:customStyle="1" w:styleId="389">
    <w:name w:val="Char Char32"/>
    <w:uiPriority w:val="6"/>
    <w:rPr>
      <w:b/>
      <w:kern w:val="1"/>
      <w:sz w:val="24"/>
      <w:szCs w:val="24"/>
    </w:rPr>
  </w:style>
  <w:style w:type="character" w:customStyle="1" w:styleId="390">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391">
    <w:name w:val="maywed421"/>
    <w:uiPriority w:val="0"/>
    <w:rPr>
      <w:color w:val="366FB6"/>
      <w:u w:val="none"/>
    </w:rPr>
  </w:style>
  <w:style w:type="character" w:customStyle="1" w:styleId="392">
    <w:name w:val="Char Char6"/>
    <w:qFormat/>
    <w:uiPriority w:val="0"/>
    <w:rPr>
      <w:rFonts w:eastAsia="宋体"/>
      <w:kern w:val="2"/>
      <w:sz w:val="21"/>
      <w:szCs w:val="24"/>
      <w:lang w:val="en-US" w:eastAsia="zh-CN" w:bidi="ar-SA"/>
    </w:rPr>
  </w:style>
  <w:style w:type="character" w:customStyle="1" w:styleId="393">
    <w:name w:val="Char Char28"/>
    <w:uiPriority w:val="6"/>
    <w:rPr>
      <w:rFonts w:ascii="仿宋_GB2312" w:hAnsi="仿宋_GB2312" w:eastAsia="仿宋_GB2312"/>
      <w:kern w:val="1"/>
      <w:sz w:val="28"/>
    </w:rPr>
  </w:style>
  <w:style w:type="character" w:customStyle="1" w:styleId="394">
    <w:name w:val="javascript"/>
    <w:qFormat/>
    <w:uiPriority w:val="0"/>
  </w:style>
  <w:style w:type="character" w:customStyle="1" w:styleId="395">
    <w:name w:val="Char Char12"/>
    <w:qFormat/>
    <w:uiPriority w:val="0"/>
    <w:rPr>
      <w:rFonts w:ascii="仿宋_GB2312" w:eastAsia="仿宋_GB2312"/>
      <w:b/>
      <w:bCs/>
      <w:kern w:val="2"/>
      <w:sz w:val="24"/>
      <w:szCs w:val="24"/>
      <w:lang w:val="zh-CN" w:eastAsia="zh-CN" w:bidi="ar-SA"/>
    </w:rPr>
  </w:style>
  <w:style w:type="character" w:customStyle="1" w:styleId="396">
    <w:name w:val="方案正文 Char"/>
    <w:uiPriority w:val="0"/>
    <w:rPr>
      <w:rFonts w:ascii="仿宋_GB2312" w:eastAsia="仿宋_GB2312"/>
      <w:b/>
      <w:color w:val="000000"/>
      <w:kern w:val="2"/>
      <w:sz w:val="24"/>
      <w:lang w:val="en-US" w:eastAsia="zh-CN" w:bidi="ar-SA"/>
    </w:rPr>
  </w:style>
  <w:style w:type="character" w:customStyle="1" w:styleId="397">
    <w:name w:val="5正文 Char"/>
    <w:link w:val="398"/>
    <w:uiPriority w:val="0"/>
    <w:rPr>
      <w:rFonts w:ascii="仿宋_GB2312" w:hAnsi="微软雅黑" w:eastAsia="仿宋_GB2312"/>
      <w:sz w:val="28"/>
      <w:szCs w:val="21"/>
    </w:rPr>
  </w:style>
  <w:style w:type="paragraph" w:customStyle="1" w:styleId="398">
    <w:name w:val="5正文"/>
    <w:basedOn w:val="1"/>
    <w:link w:val="39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399">
    <w:name w:val="font51"/>
    <w:basedOn w:val="69"/>
    <w:uiPriority w:val="0"/>
    <w:rPr>
      <w:rFonts w:hint="eastAsia" w:ascii="仿宋" w:hAnsi="仿宋" w:eastAsia="仿宋" w:cs="仿宋"/>
      <w:color w:val="000000"/>
      <w:sz w:val="20"/>
      <w:szCs w:val="20"/>
      <w:u w:val="none"/>
    </w:rPr>
  </w:style>
  <w:style w:type="character" w:customStyle="1" w:styleId="400">
    <w:name w:val="Char Char10"/>
    <w:semiHidden/>
    <w:qFormat/>
    <w:uiPriority w:val="0"/>
    <w:rPr>
      <w:rFonts w:ascii="宋体" w:hAnsi="宋体"/>
      <w:kern w:val="2"/>
      <w:sz w:val="21"/>
      <w:szCs w:val="24"/>
      <w:lang w:val="en-US" w:eastAsia="zh-CN"/>
    </w:rPr>
  </w:style>
  <w:style w:type="character" w:customStyle="1" w:styleId="401">
    <w:name w:val="正文首行缩进 Char Char Char Char Char"/>
    <w:aliases w:val="正文首行缩进 Char Char Char Char Char Char Char1 Char,正文首行缩进 Char Char Char Char Char Char Char Char Char Char Char Char Char Char Char Char Char Char Char Char Char Char Char Char Char Char Char Char Char Char Char Char"/>
    <w:uiPriority w:val="0"/>
    <w:rPr>
      <w:rFonts w:ascii="宋体"/>
      <w:kern w:val="2"/>
      <w:sz w:val="24"/>
      <w:lang w:val="zh-CN"/>
    </w:rPr>
  </w:style>
  <w:style w:type="character" w:customStyle="1" w:styleId="402">
    <w:name w:val="副标题 Char2"/>
    <w:uiPriority w:val="0"/>
    <w:rPr>
      <w:rFonts w:ascii="Cambria" w:hAnsi="Cambria" w:eastAsia="宋体" w:cs="Times New Roman"/>
      <w:b/>
      <w:bCs/>
      <w:snapToGrid w:val="0"/>
      <w:kern w:val="28"/>
      <w:sz w:val="32"/>
      <w:szCs w:val="32"/>
    </w:rPr>
  </w:style>
  <w:style w:type="character" w:customStyle="1" w:styleId="403">
    <w:name w:val="font41"/>
    <w:uiPriority w:val="0"/>
    <w:rPr>
      <w:rFonts w:hint="eastAsia" w:ascii="仿宋_GB2312" w:eastAsia="仿宋_GB2312" w:cs="仿宋_GB2312"/>
      <w:b/>
      <w:color w:val="000000"/>
      <w:sz w:val="22"/>
      <w:szCs w:val="22"/>
      <w:u w:val="none"/>
    </w:rPr>
  </w:style>
  <w:style w:type="character" w:customStyle="1" w:styleId="404">
    <w:name w:val="批注文字 Char2"/>
    <w:uiPriority w:val="99"/>
    <w:rPr>
      <w:rFonts w:ascii="Times New Roman" w:hAnsi="Times New Roman" w:eastAsia="宋体" w:cs="Times New Roman"/>
      <w:snapToGrid w:val="0"/>
      <w:kern w:val="0"/>
      <w:szCs w:val="24"/>
    </w:rPr>
  </w:style>
  <w:style w:type="character" w:customStyle="1" w:styleId="405">
    <w:name w:val="Header Char"/>
    <w:qFormat/>
    <w:locked/>
    <w:uiPriority w:val="0"/>
    <w:rPr>
      <w:rFonts w:eastAsia="宋体"/>
      <w:kern w:val="2"/>
      <w:sz w:val="18"/>
      <w:szCs w:val="18"/>
      <w:lang w:val="en-US" w:eastAsia="zh-CN" w:bidi="ar-SA"/>
    </w:rPr>
  </w:style>
  <w:style w:type="character" w:customStyle="1" w:styleId="406">
    <w:name w:val="正文 项目2 Char"/>
    <w:basedOn w:val="228"/>
    <w:qFormat/>
    <w:uiPriority w:val="0"/>
  </w:style>
  <w:style w:type="character" w:customStyle="1" w:styleId="407">
    <w:name w:val="标题 2 字符"/>
    <w:aliases w:val="第*章 字符,H2 字符,sect 1.2 字符,节 字符,h2 字符,标题 1.1 字符,Underrubrik1 字符,prop2 字符,l2 字符,Chapter Title 字符,DO NOT USE_h2 字符,chn 字符,Chapter Number/Appendix Letter 字符,2nd level 字符,Titre2 字符,Header 2 字符,Heading2 字符,No Number 字符,A 字符,o 字符,Heading 2 Hidden 字符"/>
    <w:uiPriority w:val="9"/>
    <w:rPr>
      <w:rFonts w:ascii="仿宋_GB2312" w:hAnsi="Times New Roman" w:eastAsia="仿宋_GB2312" w:cs="Times New Roman"/>
      <w:b/>
      <w:kern w:val="2"/>
      <w:sz w:val="24"/>
      <w:lang w:val="zh-CN"/>
    </w:rPr>
  </w:style>
  <w:style w:type="character" w:customStyle="1" w:styleId="408">
    <w:name w:val="样式3 Char"/>
    <w:basedOn w:val="325"/>
    <w:qFormat/>
    <w:uiPriority w:val="0"/>
  </w:style>
  <w:style w:type="character" w:customStyle="1" w:styleId="409">
    <w:name w:val="首行缩进 Char"/>
    <w:uiPriority w:val="0"/>
    <w:rPr>
      <w:rFonts w:ascii="宋体" w:eastAsia="宋体"/>
      <w:kern w:val="2"/>
      <w:sz w:val="24"/>
      <w:lang w:val="en-US" w:eastAsia="zh-CN" w:bidi="ar-SA"/>
    </w:rPr>
  </w:style>
  <w:style w:type="character" w:customStyle="1" w:styleId="410">
    <w:name w:val="Footer Char"/>
    <w:qFormat/>
    <w:locked/>
    <w:uiPriority w:val="0"/>
    <w:rPr>
      <w:rFonts w:eastAsia="宋体"/>
      <w:kern w:val="2"/>
      <w:sz w:val="18"/>
      <w:lang w:val="en-US" w:eastAsia="zh-CN" w:bidi="ar-SA"/>
    </w:rPr>
  </w:style>
  <w:style w:type="character" w:customStyle="1" w:styleId="411">
    <w:name w:val="表格名称[858D7CFB-ED40-4347-BF05-701D383B685F]"/>
    <w:link w:val="412"/>
    <w:uiPriority w:val="0"/>
    <w:rPr>
      <w:sz w:val="32"/>
    </w:rPr>
  </w:style>
  <w:style w:type="paragraph" w:customStyle="1" w:styleId="412">
    <w:name w:val="表格名称"/>
    <w:basedOn w:val="4"/>
    <w:link w:val="411"/>
    <w:uiPriority w:val="0"/>
    <w:pPr>
      <w:numPr>
        <w:ilvl w:val="0"/>
        <w:numId w:val="0"/>
      </w:numPr>
      <w:snapToGrid w:val="0"/>
      <w:spacing w:before="240" w:after="240" w:line="240" w:lineRule="auto"/>
      <w:jc w:val="center"/>
    </w:pPr>
    <w:rPr>
      <w:rFonts w:ascii="等线" w:hAnsi="等线" w:eastAsia="等线"/>
      <w:b w:val="0"/>
      <w:bCs w:val="0"/>
      <w:kern w:val="0"/>
      <w:szCs w:val="20"/>
    </w:rPr>
  </w:style>
  <w:style w:type="character" w:customStyle="1" w:styleId="413">
    <w:name w:val="正文2 Char Char"/>
    <w:link w:val="414"/>
    <w:qFormat/>
    <w:uiPriority w:val="0"/>
    <w:rPr>
      <w:rFonts w:eastAsia="宋体"/>
      <w:kern w:val="2"/>
      <w:sz w:val="24"/>
      <w:lang w:val="en-US" w:eastAsia="zh-CN" w:bidi="ar-SA"/>
    </w:rPr>
  </w:style>
  <w:style w:type="paragraph" w:customStyle="1" w:styleId="414">
    <w:name w:val="正文2"/>
    <w:basedOn w:val="1"/>
    <w:link w:val="413"/>
    <w:qFormat/>
    <w:uiPriority w:val="0"/>
    <w:pPr>
      <w:spacing w:before="156" w:beforeLines="0" w:line="360" w:lineRule="auto"/>
      <w:ind w:firstLine="510" w:firstLineChars="200"/>
    </w:pPr>
    <w:rPr>
      <w:rFonts w:eastAsia="宋体"/>
      <w:sz w:val="24"/>
      <w:szCs w:val="20"/>
    </w:rPr>
  </w:style>
  <w:style w:type="character" w:customStyle="1" w:styleId="415">
    <w:name w:val="正文文字缩进 2 Char Char"/>
    <w:uiPriority w:val="0"/>
    <w:rPr>
      <w:rFonts w:ascii="宋体"/>
      <w:sz w:val="28"/>
    </w:rPr>
  </w:style>
  <w:style w:type="character" w:customStyle="1" w:styleId="416">
    <w:name w:val="正文段 Char"/>
    <w:link w:val="417"/>
    <w:uiPriority w:val="0"/>
    <w:rPr>
      <w:sz w:val="24"/>
    </w:rPr>
  </w:style>
  <w:style w:type="paragraph" w:customStyle="1" w:styleId="417">
    <w:name w:val="正文段"/>
    <w:basedOn w:val="1"/>
    <w:link w:val="416"/>
    <w:uiPriority w:val="0"/>
    <w:pPr>
      <w:widowControl/>
      <w:snapToGrid w:val="0"/>
      <w:spacing w:after="156" w:afterLines="50"/>
      <w:ind w:firstLine="200" w:firstLineChars="200"/>
    </w:pPr>
    <w:rPr>
      <w:kern w:val="0"/>
      <w:sz w:val="24"/>
      <w:szCs w:val="20"/>
    </w:rPr>
  </w:style>
  <w:style w:type="character" w:customStyle="1" w:styleId="418">
    <w:name w:val="样式8 Char"/>
    <w:qFormat/>
    <w:uiPriority w:val="0"/>
    <w:rPr>
      <w:rFonts w:ascii="仿宋_GB2312" w:hAnsi="宋体" w:eastAsia="仿宋_GB2312"/>
      <w:b/>
      <w:bCs/>
      <w:kern w:val="2"/>
      <w:sz w:val="24"/>
      <w:szCs w:val="24"/>
    </w:rPr>
  </w:style>
  <w:style w:type="character" w:customStyle="1" w:styleId="419">
    <w:name w:val="px14"/>
    <w:qFormat/>
    <w:uiPriority w:val="0"/>
    <w:rPr>
      <w:rFonts w:ascii="仿宋_GB2312" w:eastAsia="微软雅黑" w:cs="Times New Roman"/>
      <w:b/>
      <w:kern w:val="2"/>
      <w:sz w:val="32"/>
      <w:szCs w:val="32"/>
      <w:lang w:val="en-US" w:eastAsia="zh-CN" w:bidi="ar-SA"/>
    </w:rPr>
  </w:style>
  <w:style w:type="character" w:customStyle="1" w:styleId="420">
    <w:name w:val=" Char Char9"/>
    <w:uiPriority w:val="0"/>
    <w:rPr>
      <w:rFonts w:eastAsia="宋体"/>
      <w:kern w:val="2"/>
      <w:sz w:val="18"/>
      <w:szCs w:val="18"/>
      <w:lang w:val="en-US" w:eastAsia="zh-CN" w:bidi="ar-SA"/>
    </w:rPr>
  </w:style>
  <w:style w:type="character" w:customStyle="1" w:styleId="421">
    <w:name w:val="font71"/>
    <w:basedOn w:val="69"/>
    <w:qFormat/>
    <w:uiPriority w:val="0"/>
    <w:rPr>
      <w:rFonts w:ascii="Wingdings 2" w:hAnsi="Wingdings 2" w:eastAsia="Wingdings 2" w:cs="Wingdings 2"/>
      <w:color w:val="000000"/>
      <w:sz w:val="20"/>
      <w:szCs w:val="20"/>
      <w:u w:val="none"/>
    </w:rPr>
  </w:style>
  <w:style w:type="character" w:customStyle="1" w:styleId="422">
    <w:name w:val="标书表格字体格式 Char"/>
    <w:uiPriority w:val="0"/>
    <w:rPr>
      <w:kern w:val="2"/>
      <w:sz w:val="21"/>
      <w:szCs w:val="24"/>
      <w:lang w:bidi="ar-SA"/>
    </w:rPr>
  </w:style>
  <w:style w:type="character" w:customStyle="1" w:styleId="423">
    <w:name w:val="style91"/>
    <w:uiPriority w:val="0"/>
    <w:rPr>
      <w:color w:val="333333"/>
    </w:rPr>
  </w:style>
  <w:style w:type="character" w:customStyle="1" w:styleId="424">
    <w:name w:val="solutionfonts"/>
    <w:qFormat/>
    <w:uiPriority w:val="0"/>
  </w:style>
  <w:style w:type="character" w:customStyle="1" w:styleId="425">
    <w:name w:val="md"/>
    <w:basedOn w:val="69"/>
    <w:qFormat/>
    <w:uiPriority w:val="0"/>
  </w:style>
  <w:style w:type="character" w:customStyle="1" w:styleId="426">
    <w:name w:val="font111"/>
    <w:basedOn w:val="69"/>
    <w:qFormat/>
    <w:uiPriority w:val="0"/>
    <w:rPr>
      <w:rFonts w:ascii="Wingdings 2" w:hAnsi="Wingdings 2" w:eastAsia="Wingdings 2" w:cs="Wingdings 2"/>
      <w:color w:val="000000"/>
      <w:sz w:val="20"/>
      <w:szCs w:val="20"/>
      <w:u w:val="none"/>
    </w:rPr>
  </w:style>
  <w:style w:type="character" w:customStyle="1" w:styleId="427">
    <w:name w:val="HTML 预设格式 Char1"/>
    <w:uiPriority w:val="0"/>
    <w:rPr>
      <w:rFonts w:ascii="Courier New" w:hAnsi="Courier New" w:eastAsia="宋体" w:cs="Courier New"/>
      <w:sz w:val="20"/>
      <w:szCs w:val="20"/>
    </w:rPr>
  </w:style>
  <w:style w:type="character" w:customStyle="1" w:styleId="428">
    <w:name w:val="Char Char36"/>
    <w:uiPriority w:val="6"/>
    <w:rPr>
      <w:rFonts w:ascii="仿宋_GB2312" w:hAnsi="仿宋_GB2312" w:eastAsia="仿宋_GB2312" w:cs="Arial"/>
      <w:b/>
      <w:kern w:val="1"/>
      <w:sz w:val="32"/>
      <w:szCs w:val="32"/>
      <w:lang w:val="zh-CN" w:eastAsia="zh-CN" w:bidi="ar-SA"/>
    </w:rPr>
  </w:style>
  <w:style w:type="paragraph" w:customStyle="1" w:styleId="429">
    <w:name w:val="Char Char11 Char Char Char Char Char Char Char Char Char Char Char Char Char"/>
    <w:basedOn w:val="1"/>
    <w:uiPriority w:val="0"/>
    <w:pPr>
      <w:adjustRightInd/>
      <w:spacing w:line="360" w:lineRule="auto"/>
    </w:pPr>
    <w:rPr>
      <w:rFonts w:ascii="Arial" w:hAnsi="Arial" w:eastAsia="黑体"/>
      <w:snapToGrid w:val="0"/>
      <w:kern w:val="0"/>
      <w:sz w:val="20"/>
      <w:szCs w:val="21"/>
    </w:rPr>
  </w:style>
  <w:style w:type="paragraph" w:customStyle="1" w:styleId="430">
    <w:name w:val="xl30"/>
    <w:basedOn w:val="1"/>
    <w:uiPriority w:val="0"/>
    <w:pPr>
      <w:widowControl/>
      <w:pBdr>
        <w:left w:val="single" w:color="auto" w:sz="4" w:space="0"/>
        <w:right w:val="single" w:color="auto" w:sz="4" w:space="0"/>
      </w:pBdr>
      <w:adjustRightInd/>
      <w:spacing w:before="100" w:beforeLines="0" w:beforeAutospacing="1" w:after="100" w:afterLines="0" w:afterAutospacing="1"/>
      <w:jc w:val="center"/>
    </w:pPr>
    <w:rPr>
      <w:rFonts w:eastAsia="Arial Unicode MS"/>
      <w:kern w:val="0"/>
      <w:szCs w:val="21"/>
    </w:rPr>
  </w:style>
  <w:style w:type="paragraph" w:customStyle="1" w:styleId="431">
    <w:name w:val="无间隔2"/>
    <w:qFormat/>
    <w:uiPriority w:val="0"/>
    <w:pPr>
      <w:widowControl w:val="0"/>
      <w:jc w:val="both"/>
    </w:pPr>
    <w:rPr>
      <w:kern w:val="2"/>
      <w:sz w:val="21"/>
      <w:szCs w:val="22"/>
      <w:lang w:val="en-US" w:eastAsia="zh-CN" w:bidi="ar-SA"/>
    </w:rPr>
  </w:style>
  <w:style w:type="paragraph" w:customStyle="1" w:styleId="432">
    <w:name w:val="trs_edito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433">
    <w:name w:val="模板普通正文"/>
    <w:basedOn w:val="25"/>
    <w:uiPriority w:val="0"/>
    <w:pPr>
      <w:adjustRightInd/>
      <w:spacing w:before="156" w:beforeLines="50" w:after="10" w:afterLines="0" w:line="360" w:lineRule="auto"/>
      <w:ind w:firstLine="175" w:firstLineChars="175"/>
      <w:jc w:val="left"/>
    </w:pPr>
    <w:rPr>
      <w:rFonts w:ascii="Times New Roman" w:hAnsi="Times New Roman"/>
    </w:rPr>
  </w:style>
  <w:style w:type="paragraph" w:customStyle="1" w:styleId="434">
    <w:name w:val=" 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35">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36">
    <w:name w:val=" Char Char1 Char"/>
    <w:basedOn w:val="1"/>
    <w:uiPriority w:val="0"/>
    <w:rPr>
      <w:rFonts w:ascii="仿宋_GB2312" w:eastAsia="仿宋_GB2312"/>
      <w:b/>
      <w:sz w:val="32"/>
      <w:szCs w:val="32"/>
    </w:rPr>
  </w:style>
  <w:style w:type="paragraph" w:customStyle="1" w:styleId="437">
    <w:name w:val="规划正文"/>
    <w:basedOn w:val="1"/>
    <w:uiPriority w:val="0"/>
    <w:pPr>
      <w:adjustRightInd/>
      <w:spacing w:before="312" w:beforeLines="100" w:line="360" w:lineRule="auto"/>
      <w:jc w:val="left"/>
    </w:pPr>
    <w:rPr>
      <w:rFonts w:ascii="Arial" w:hAnsi="Arial" w:eastAsia="仿宋_GB2312"/>
      <w:bCs/>
      <w:sz w:val="28"/>
    </w:rPr>
  </w:style>
  <w:style w:type="paragraph" w:customStyle="1" w:styleId="438">
    <w:name w:val="文章总标题"/>
    <w:basedOn w:val="1"/>
    <w:uiPriority w:val="0"/>
    <w:pPr>
      <w:autoSpaceDE w:val="0"/>
      <w:autoSpaceDN w:val="0"/>
      <w:spacing w:before="566" w:beforeLines="0" w:after="544" w:afterLines="0" w:line="566" w:lineRule="atLeast"/>
      <w:ind w:firstLine="200" w:firstLineChars="200"/>
      <w:jc w:val="center"/>
    </w:pPr>
    <w:rPr>
      <w:rFonts w:ascii="Arial" w:hAnsi="Arial"/>
      <w:color w:val="000000"/>
      <w:kern w:val="0"/>
      <w:sz w:val="54"/>
      <w:szCs w:val="54"/>
    </w:rPr>
  </w:style>
  <w:style w:type="paragraph" w:customStyle="1" w:styleId="439">
    <w:name w:val="样式 标题 1Level 1 HeadPIM 1Section Headh1l11Heading 0Datash..."/>
    <w:basedOn w:val="3"/>
    <w:uiPriority w:val="0"/>
    <w:pPr>
      <w:keepNext w:val="0"/>
      <w:keepLines w:val="0"/>
      <w:widowControl/>
      <w:numPr>
        <w:ilvl w:val="0"/>
        <w:numId w:val="0"/>
      </w:numPr>
      <w:overflowPunct w:val="0"/>
      <w:autoSpaceDE w:val="0"/>
      <w:autoSpaceDN w:val="0"/>
      <w:spacing w:before="0" w:beforeLines="0" w:after="100" w:afterLines="0" w:line="360" w:lineRule="auto"/>
      <w:jc w:val="left"/>
      <w:textAlignment w:val="baseline"/>
    </w:pPr>
    <w:rPr>
      <w:rFonts w:ascii="宋体" w:hAnsi="宋体"/>
      <w:kern w:val="2"/>
      <w:sz w:val="24"/>
      <w:szCs w:val="20"/>
    </w:rPr>
  </w:style>
  <w:style w:type="paragraph" w:customStyle="1" w:styleId="440">
    <w:name w:val="xl6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41">
    <w:name w:val="RFI Heading 3rd Level"/>
    <w:basedOn w:val="1"/>
    <w:uiPriority w:val="0"/>
    <w:pPr>
      <w:widowControl/>
      <w:tabs>
        <w:tab w:val="left" w:pos="840"/>
      </w:tabs>
      <w:adjustRightInd/>
      <w:ind w:firstLineChars="200"/>
      <w:jc w:val="left"/>
    </w:pPr>
    <w:rPr>
      <w:rFonts w:ascii="Arial (W1)" w:hAnsi="Arial (W1)"/>
      <w:color w:val="000000"/>
      <w:kern w:val="0"/>
      <w:sz w:val="24"/>
      <w:lang w:val="en-GB" w:eastAsia="en-US"/>
    </w:rPr>
  </w:style>
  <w:style w:type="paragraph" w:customStyle="1" w:styleId="442">
    <w:name w:val="金宏发行正文"/>
    <w:basedOn w:val="1"/>
    <w:uiPriority w:val="0"/>
    <w:pPr>
      <w:adjustRightInd/>
      <w:spacing w:line="500" w:lineRule="exact"/>
      <w:ind w:firstLine="560" w:firstLineChars="200"/>
    </w:pPr>
    <w:rPr>
      <w:rFonts w:eastAsia="仿宋_GB2312"/>
      <w:sz w:val="28"/>
      <w:szCs w:val="20"/>
    </w:rPr>
  </w:style>
  <w:style w:type="paragraph" w:customStyle="1" w:styleId="443">
    <w:name w:val=" 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44">
    <w:name w:val="表正文"/>
    <w:uiPriority w:val="0"/>
    <w:pPr>
      <w:snapToGrid w:val="0"/>
      <w:spacing w:line="600" w:lineRule="atLeast"/>
      <w:ind w:firstLine="641"/>
      <w:jc w:val="both"/>
    </w:pPr>
    <w:rPr>
      <w:rFonts w:eastAsia="仿宋_GB2312"/>
      <w:sz w:val="32"/>
      <w:lang w:val="en-US" w:eastAsia="zh-CN" w:bidi="ar-SA"/>
    </w:rPr>
  </w:style>
  <w:style w:type="paragraph" w:customStyle="1" w:styleId="445">
    <w:name w:val="p0"/>
    <w:basedOn w:val="1"/>
    <w:qFormat/>
    <w:uiPriority w:val="0"/>
    <w:pPr>
      <w:widowControl/>
      <w:adjustRightInd/>
    </w:pPr>
    <w:rPr>
      <w:kern w:val="0"/>
      <w:szCs w:val="21"/>
    </w:rPr>
  </w:style>
  <w:style w:type="paragraph" w:customStyle="1" w:styleId="446">
    <w:name w:val="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447">
    <w:name w:val="Char11"/>
    <w:basedOn w:val="1"/>
    <w:uiPriority w:val="0"/>
    <w:pPr>
      <w:tabs>
        <w:tab w:val="left" w:pos="432"/>
      </w:tabs>
      <w:adjustRightInd/>
      <w:spacing w:before="156" w:beforeLines="50" w:after="156" w:afterLines="50"/>
      <w:ind w:left="432" w:hanging="432" w:firstLineChars="200"/>
    </w:pPr>
    <w:rPr>
      <w:sz w:val="24"/>
    </w:rPr>
  </w:style>
  <w:style w:type="paragraph" w:customStyle="1" w:styleId="448">
    <w:name w:val="样式 标题 3h33rd level3Heading 3 - oldH3l3CTheading 3Headin..."/>
    <w:basedOn w:val="5"/>
    <w:uiPriority w:val="0"/>
    <w:pPr>
      <w:snapToGrid w:val="0"/>
      <w:ind w:left="0" w:firstLine="0"/>
      <w:jc w:val="left"/>
    </w:pPr>
    <w:rPr>
      <w:rFonts w:eastAsia="黑体" w:cs="宋体"/>
      <w:sz w:val="28"/>
      <w:szCs w:val="20"/>
    </w:rPr>
  </w:style>
  <w:style w:type="paragraph" w:customStyle="1" w:styleId="449">
    <w:name w:val="xl8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50">
    <w:name w:val=" 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51">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452">
    <w:name w:val="正文文字格式"/>
    <w:basedOn w:val="1"/>
    <w:uiPriority w:val="0"/>
    <w:pPr>
      <w:adjustRightInd/>
      <w:spacing w:line="460" w:lineRule="exact"/>
      <w:ind w:firstLine="505"/>
      <w:jc w:val="left"/>
    </w:pPr>
    <w:rPr>
      <w:rFonts w:ascii="宋体"/>
      <w:kern w:val="24"/>
      <w:sz w:val="24"/>
      <w:szCs w:val="20"/>
    </w:rPr>
  </w:style>
  <w:style w:type="paragraph" w:customStyle="1" w:styleId="453">
    <w:name w:val="数字标题2"/>
    <w:basedOn w:val="4"/>
    <w:next w:val="1"/>
    <w:uiPriority w:val="0"/>
    <w:pPr>
      <w:numPr>
        <w:ilvl w:val="1"/>
        <w:numId w:val="7"/>
      </w:numPr>
    </w:pPr>
    <w:rPr>
      <w:rFonts w:ascii="Times New Roman" w:eastAsia="宋体"/>
      <w:i/>
      <w:sz w:val="36"/>
      <w:szCs w:val="36"/>
      <w:lang w:val="en-US"/>
    </w:rPr>
  </w:style>
  <w:style w:type="paragraph" w:customStyle="1" w:styleId="454">
    <w:name w:val=" Char Char11 Char Char Char Char Char Char Char Char Char"/>
    <w:basedOn w:val="1"/>
    <w:uiPriority w:val="0"/>
    <w:pPr>
      <w:spacing w:line="360" w:lineRule="auto"/>
    </w:pPr>
    <w:rPr>
      <w:szCs w:val="20"/>
    </w:rPr>
  </w:style>
  <w:style w:type="paragraph" w:customStyle="1" w:styleId="455">
    <w:name w:val="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456">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57">
    <w:name w:val="font5"/>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18"/>
      <w:szCs w:val="18"/>
    </w:rPr>
  </w:style>
  <w:style w:type="paragraph" w:customStyle="1" w:styleId="458">
    <w:name w:val="正文格式"/>
    <w:basedOn w:val="1"/>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59">
    <w:name w:val="Th"/>
    <w:uiPriority w:val="0"/>
    <w:pPr>
      <w:keepNext/>
      <w:keepLines/>
      <w:spacing w:before="20" w:after="60" w:line="220" w:lineRule="exact"/>
      <w:ind w:left="240"/>
    </w:pPr>
    <w:rPr>
      <w:b/>
      <w:sz w:val="19"/>
      <w:lang w:val="en-US" w:eastAsia="en-US" w:bidi="ar-SA"/>
    </w:rPr>
  </w:style>
  <w:style w:type="paragraph" w:customStyle="1" w:styleId="460">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461">
    <w:name w:val="xl9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62">
    <w:name w:val="xl7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63">
    <w:name w:val="Char1 Char Char Char2"/>
    <w:basedOn w:val="1"/>
    <w:uiPriority w:val="0"/>
    <w:pPr>
      <w:adjustRightInd/>
      <w:ind w:firstLine="200" w:firstLineChars="200"/>
    </w:pPr>
    <w:rPr>
      <w:rFonts w:ascii="Tahoma" w:hAnsi="Tahoma"/>
      <w:sz w:val="24"/>
      <w:szCs w:val="20"/>
    </w:rPr>
  </w:style>
  <w:style w:type="paragraph" w:customStyle="1" w:styleId="464">
    <w:name w:val="索引 11"/>
    <w:basedOn w:val="1"/>
    <w:next w:val="1"/>
    <w:qFormat/>
    <w:uiPriority w:val="0"/>
    <w:pPr>
      <w:adjustRightInd/>
      <w:spacing w:line="360" w:lineRule="auto"/>
    </w:pPr>
    <w:rPr>
      <w:rFonts w:ascii="仿宋_GB2312" w:eastAsia="仿宋_GB2312"/>
      <w:sz w:val="24"/>
      <w:szCs w:val="20"/>
    </w:rPr>
  </w:style>
  <w:style w:type="paragraph" w:customStyle="1" w:styleId="465">
    <w:name w:val="bt_content"/>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s="宋体"/>
      <w:kern w:val="0"/>
      <w:sz w:val="24"/>
    </w:rPr>
  </w:style>
  <w:style w:type="paragraph" w:customStyle="1" w:styleId="466">
    <w:name w:val="Char1 Char Char Char6"/>
    <w:basedOn w:val="1"/>
    <w:uiPriority w:val="6"/>
    <w:pPr>
      <w:widowControl/>
      <w:snapToGrid w:val="0"/>
      <w:spacing w:before="120" w:after="160" w:line="360" w:lineRule="auto"/>
      <w:ind w:right="-360"/>
      <w:jc w:val="left"/>
    </w:pPr>
    <w:rPr>
      <w:rFonts w:ascii="Arial" w:hAnsi="Arial"/>
      <w:kern w:val="0"/>
      <w:sz w:val="24"/>
      <w:lang w:eastAsia="en-US"/>
    </w:rPr>
  </w:style>
  <w:style w:type="paragraph" w:customStyle="1" w:styleId="467">
    <w:name w:val="Char31"/>
    <w:basedOn w:val="1"/>
    <w:uiPriority w:val="0"/>
    <w:pPr>
      <w:adjustRightInd/>
    </w:pPr>
    <w:rPr>
      <w:rFonts w:ascii="仿宋_GB2312" w:eastAsia="仿宋_GB2312"/>
      <w:b/>
      <w:sz w:val="32"/>
      <w:szCs w:val="32"/>
    </w:rPr>
  </w:style>
  <w:style w:type="paragraph" w:customStyle="1" w:styleId="468">
    <w:name w:val=" Char1"/>
    <w:basedOn w:val="1"/>
    <w:uiPriority w:val="0"/>
    <w:rPr>
      <w:rFonts w:ascii="仿宋_GB2312" w:eastAsia="仿宋_GB2312"/>
      <w:b/>
      <w:sz w:val="32"/>
      <w:szCs w:val="32"/>
    </w:rPr>
  </w:style>
  <w:style w:type="paragraph" w:customStyle="1" w:styleId="469">
    <w:name w:val="默认段落字体 Para Char Char Char Char"/>
    <w:basedOn w:val="1"/>
    <w:uiPriority w:val="0"/>
    <w:pPr>
      <w:spacing w:line="360" w:lineRule="auto"/>
    </w:pPr>
    <w:rPr>
      <w:szCs w:val="20"/>
    </w:rPr>
  </w:style>
  <w:style w:type="paragraph" w:customStyle="1" w:styleId="470">
    <w:name w:val="xl40"/>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471">
    <w:name w:val="Char5"/>
    <w:basedOn w:val="1"/>
    <w:uiPriority w:val="0"/>
    <w:rPr>
      <w:rFonts w:ascii="仿宋_GB2312" w:eastAsia="仿宋_GB2312"/>
      <w:b/>
      <w:sz w:val="32"/>
      <w:szCs w:val="32"/>
    </w:rPr>
  </w:style>
  <w:style w:type="paragraph" w:customStyle="1" w:styleId="472">
    <w:name w:val="Char1 Char Char Char Char Char Char Char Char Char Char Char1 Char Char Char Char Char Char Char Char Char Char Char Char Char Char1 Char Char Char Char1"/>
    <w:basedOn w:val="1"/>
    <w:uiPriority w:val="0"/>
    <w:pPr>
      <w:spacing w:line="360" w:lineRule="auto"/>
    </w:pPr>
    <w:rPr>
      <w:kern w:val="0"/>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左对齐表格文字"/>
    <w:basedOn w:val="1"/>
    <w:uiPriority w:val="0"/>
    <w:pPr>
      <w:adjustRightInd/>
      <w:ind w:firstLine="200" w:firstLineChars="200"/>
      <w:jc w:val="right"/>
    </w:pPr>
  </w:style>
  <w:style w:type="paragraph" w:customStyle="1" w:styleId="475">
    <w:name w:val=" Char Char Char Char Char Char Char Char Char Char Char Char1 Char"/>
    <w:basedOn w:val="1"/>
    <w:uiPriority w:val="0"/>
    <w:rPr>
      <w:rFonts w:ascii="Tahoma" w:hAnsi="Tahoma" w:cs="仿宋_GB2312"/>
      <w:sz w:val="24"/>
      <w:szCs w:val="20"/>
    </w:rPr>
  </w:style>
  <w:style w:type="paragraph" w:customStyle="1" w:styleId="476">
    <w:name w:val="样式 标题 3标题 3 Char第二层条h33Bold Headbh章标题1小标题level_3PIM 3..."/>
    <w:basedOn w:val="5"/>
    <w:uiPriority w:val="0"/>
    <w:pPr>
      <w:numPr>
        <w:ilvl w:val="2"/>
        <w:numId w:val="0"/>
      </w:numPr>
      <w:adjustRightInd w:val="0"/>
      <w:snapToGrid w:val="0"/>
      <w:spacing w:before="0" w:beforeLines="0" w:after="0" w:afterLines="0" w:line="360" w:lineRule="auto"/>
    </w:pPr>
    <w:rPr>
      <w:rFonts w:ascii="黑体" w:hAnsi="宋体" w:eastAsia="黑体" w:cs="宋体"/>
      <w:b w:val="0"/>
      <w:bCs w:val="0"/>
      <w:color w:val="000000"/>
      <w:kern w:val="0"/>
      <w:sz w:val="28"/>
      <w:szCs w:val="20"/>
    </w:rPr>
  </w:style>
  <w:style w:type="paragraph" w:customStyle="1" w:styleId="477">
    <w:name w:val="标准正文格式"/>
    <w:basedOn w:val="1"/>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 w:type="paragraph" w:customStyle="1" w:styleId="478">
    <w:name w:val="xl25"/>
    <w:basedOn w:val="1"/>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479">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480">
    <w:name w:val="Char2 Char Char Char"/>
    <w:basedOn w:val="1"/>
    <w:uiPriority w:val="0"/>
    <w:rPr>
      <w:rFonts w:ascii="仿宋_GB2312" w:eastAsia="仿宋_GB2312"/>
      <w:b/>
      <w:sz w:val="32"/>
      <w:szCs w:val="32"/>
    </w:rPr>
  </w:style>
  <w:style w:type="paragraph" w:customStyle="1" w:styleId="481">
    <w:name w:val="MM Topic 2"/>
    <w:basedOn w:val="4"/>
    <w:uiPriority w:val="0"/>
    <w:pPr>
      <w:numPr>
        <w:ilvl w:val="1"/>
        <w:numId w:val="5"/>
      </w:numPr>
    </w:pPr>
    <w:rPr>
      <w:rFonts w:ascii="Arial" w:hAnsi="Arial" w:eastAsia="黑体"/>
      <w:sz w:val="32"/>
      <w:szCs w:val="32"/>
      <w:lang w:val="en-US"/>
    </w:rPr>
  </w:style>
  <w:style w:type="paragraph" w:customStyle="1" w:styleId="482">
    <w:name w:val="正文－恩普"/>
    <w:basedOn w:val="17"/>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83">
    <w:name w:val="TOC 标题1"/>
    <w:basedOn w:val="3"/>
    <w:next w:val="1"/>
    <w:unhideWhenUsed/>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484">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85">
    <w:name w:val="Char2 Char Char"/>
    <w:basedOn w:val="1"/>
    <w:uiPriority w:val="0"/>
    <w:pPr>
      <w:adjustRightInd/>
    </w:pPr>
    <w:rPr>
      <w:rFonts w:ascii="Tahoma" w:hAnsi="Tahoma"/>
      <w:sz w:val="24"/>
      <w:szCs w:val="20"/>
    </w:rPr>
  </w:style>
  <w:style w:type="paragraph" w:customStyle="1" w:styleId="486">
    <w:name w:val="彩色底纹 - 强调文字颜色 11"/>
    <w:uiPriority w:val="0"/>
    <w:rPr>
      <w:kern w:val="2"/>
      <w:sz w:val="21"/>
      <w:szCs w:val="24"/>
      <w:lang w:val="en-US" w:eastAsia="zh-CN" w:bidi="ar-SA"/>
    </w:rPr>
  </w:style>
  <w:style w:type="paragraph" w:customStyle="1" w:styleId="487">
    <w:name w:val="xl70"/>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88">
    <w:name w:val="_Style 11"/>
    <w:basedOn w:val="1"/>
    <w:qFormat/>
    <w:uiPriority w:val="34"/>
    <w:pPr>
      <w:adjustRightInd/>
      <w:ind w:firstLine="420" w:firstLineChars="200"/>
    </w:pPr>
    <w:rPr>
      <w:rFonts w:eastAsia="仿宋_GB2312"/>
      <w:sz w:val="28"/>
    </w:rPr>
  </w:style>
  <w:style w:type="paragraph" w:customStyle="1" w:styleId="489">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90">
    <w:name w:val="Char Char Char Char1"/>
    <w:basedOn w:val="1"/>
    <w:uiPriority w:val="0"/>
    <w:pPr>
      <w:tabs>
        <w:tab w:val="left" w:pos="0"/>
      </w:tabs>
      <w:adjustRightInd/>
      <w:ind w:firstLine="200" w:firstLineChars="200"/>
    </w:pPr>
    <w:rPr>
      <w:rFonts w:ascii="宋体" w:hAnsi="宋体" w:eastAsia="仿宋_GB2312"/>
      <w:sz w:val="28"/>
    </w:rPr>
  </w:style>
  <w:style w:type="paragraph" w:customStyle="1" w:styleId="491">
    <w:name w:val="_Style 8"/>
    <w:basedOn w:val="1"/>
    <w:qFormat/>
    <w:uiPriority w:val="34"/>
    <w:pPr>
      <w:adjustRightInd/>
      <w:ind w:firstLine="420" w:firstLineChars="200"/>
    </w:pPr>
    <w:rPr>
      <w:rFonts w:eastAsia="仿宋_GB2312"/>
      <w:sz w:val="28"/>
    </w:rPr>
  </w:style>
  <w:style w:type="paragraph" w:customStyle="1" w:styleId="492">
    <w:name w:val="正文样式 首行缩进:  0.74 厘米"/>
    <w:basedOn w:val="1"/>
    <w:uiPriority w:val="0"/>
    <w:pPr>
      <w:adjustRightInd/>
      <w:spacing w:before="156" w:beforeLines="50" w:line="360" w:lineRule="auto"/>
      <w:ind w:firstLine="420"/>
    </w:pPr>
    <w:rPr>
      <w:rFonts w:cs="宋体"/>
      <w:sz w:val="24"/>
      <w:szCs w:val="20"/>
    </w:rPr>
  </w:style>
  <w:style w:type="paragraph" w:customStyle="1" w:styleId="493">
    <w:name w:val="标准小四"/>
    <w:basedOn w:val="1"/>
    <w:uiPriority w:val="0"/>
    <w:pPr>
      <w:spacing w:line="360" w:lineRule="auto"/>
      <w:ind w:firstLine="480" w:firstLineChars="200"/>
    </w:pPr>
    <w:rPr>
      <w:rFonts w:ascii="Arial" w:hAnsi="Arial"/>
      <w:sz w:val="24"/>
      <w:szCs w:val="21"/>
    </w:rPr>
  </w:style>
  <w:style w:type="paragraph" w:customStyle="1" w:styleId="494">
    <w:name w:val="Char Char Char1 Char"/>
    <w:basedOn w:val="1"/>
    <w:uiPriority w:val="0"/>
    <w:rPr>
      <w:szCs w:val="20"/>
    </w:rPr>
  </w:style>
  <w:style w:type="paragraph" w:customStyle="1" w:styleId="495">
    <w:name w:val="规范正文"/>
    <w:basedOn w:val="1"/>
    <w:uiPriority w:val="0"/>
    <w:pPr>
      <w:tabs>
        <w:tab w:val="left" w:pos="840"/>
      </w:tabs>
      <w:spacing w:before="156" w:beforeLines="50" w:line="360" w:lineRule="auto"/>
      <w:ind w:left="840" w:hanging="420"/>
      <w:textAlignment w:val="baseline"/>
    </w:pPr>
    <w:rPr>
      <w:szCs w:val="20"/>
    </w:rPr>
  </w:style>
  <w:style w:type="paragraph" w:customStyle="1" w:styleId="496">
    <w:name w:val="WW-正文文字缩进 2"/>
    <w:basedOn w:val="1"/>
    <w:uiPriority w:val="0"/>
    <w:pPr>
      <w:suppressAutoHyphens/>
      <w:adjustRightInd/>
      <w:ind w:firstLine="420"/>
    </w:pPr>
    <w:rPr>
      <w:kern w:val="1"/>
      <w:szCs w:val="20"/>
      <w:lang/>
    </w:rPr>
  </w:style>
  <w:style w:type="paragraph" w:customStyle="1" w:styleId="497">
    <w:name w:val="样式"/>
    <w:basedOn w:val="1"/>
    <w:uiPriority w:val="0"/>
    <w:pPr>
      <w:autoSpaceDE w:val="0"/>
      <w:autoSpaceDN w:val="0"/>
      <w:snapToGrid w:val="0"/>
      <w:spacing w:before="120" w:beforeLines="0" w:after="120" w:afterLines="0" w:line="360" w:lineRule="auto"/>
    </w:pPr>
    <w:rPr>
      <w:rFonts w:ascii="宋体"/>
      <w:sz w:val="24"/>
      <w:szCs w:val="20"/>
    </w:rPr>
  </w:style>
  <w:style w:type="paragraph" w:customStyle="1" w:styleId="498">
    <w:name w:val="_Style 1"/>
    <w:basedOn w:val="1"/>
    <w:qFormat/>
    <w:uiPriority w:val="34"/>
    <w:pPr>
      <w:adjustRightInd/>
      <w:ind w:firstLine="420" w:firstLineChars="200"/>
    </w:pPr>
    <w:rPr>
      <w:rFonts w:eastAsia="仿宋_GB2312"/>
      <w:sz w:val="28"/>
    </w:rPr>
  </w:style>
  <w:style w:type="paragraph" w:customStyle="1" w:styleId="499">
    <w:name w:val="节标题"/>
    <w:basedOn w:val="1"/>
    <w:uiPriority w:val="0"/>
    <w:pPr>
      <w:autoSpaceDE w:val="0"/>
      <w:autoSpaceDN w:val="0"/>
      <w:spacing w:line="289" w:lineRule="atLeast"/>
      <w:ind w:firstLine="200" w:firstLineChars="200"/>
      <w:jc w:val="center"/>
    </w:pPr>
    <w:rPr>
      <w:color w:val="000000"/>
      <w:kern w:val="0"/>
      <w:sz w:val="28"/>
      <w:szCs w:val="28"/>
    </w:rPr>
  </w:style>
  <w:style w:type="paragraph" w:customStyle="1" w:styleId="500">
    <w:name w:val="Test2"/>
    <w:basedOn w:val="4"/>
    <w:uiPriority w:val="0"/>
    <w:pPr>
      <w:widowControl/>
      <w:adjustRightInd w:val="0"/>
      <w:snapToGrid w:val="0"/>
      <w:spacing w:before="360" w:after="360" w:line="240" w:lineRule="atLeast"/>
    </w:pPr>
    <w:rPr>
      <w:rFonts w:ascii="宋体" w:hAnsi="Arial" w:eastAsia="宋体"/>
      <w:snapToGrid w:val="0"/>
      <w:kern w:val="0"/>
      <w:sz w:val="28"/>
      <w:szCs w:val="32"/>
      <w:lang w:val="en-US"/>
    </w:rPr>
  </w:style>
  <w:style w:type="paragraph" w:customStyle="1" w:styleId="501">
    <w:name w:val="Char Char11 Char Char Char Char Char Char Char Char Char Char Char Char Char11"/>
    <w:basedOn w:val="1"/>
    <w:uiPriority w:val="6"/>
    <w:pPr>
      <w:adjustRightInd/>
      <w:spacing w:line="360" w:lineRule="auto"/>
    </w:pPr>
    <w:rPr>
      <w:rFonts w:ascii="Arial" w:hAnsi="Arial" w:eastAsia="黑体" w:cs="Arial"/>
      <w:snapToGrid w:val="0"/>
      <w:kern w:val="0"/>
      <w:szCs w:val="21"/>
    </w:rPr>
  </w:style>
  <w:style w:type="paragraph" w:customStyle="1" w:styleId="502">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503">
    <w:name w:val="Char1 Char Char Char3"/>
    <w:basedOn w:val="1"/>
    <w:uiPriority w:val="0"/>
    <w:pPr>
      <w:adjustRightInd/>
      <w:ind w:firstLine="200" w:firstLineChars="200"/>
    </w:pPr>
    <w:rPr>
      <w:rFonts w:ascii="Tahoma" w:hAnsi="Tahoma"/>
      <w:sz w:val="24"/>
      <w:szCs w:val="20"/>
    </w:rPr>
  </w:style>
  <w:style w:type="paragraph" w:customStyle="1" w:styleId="504">
    <w:name w:val="样式 样式 宋体 小四 段前: 7.8 磅 段后: 7.8 磅 行距: 1.5 倍行距 + 小二 首行缩进:  2 字符"/>
    <w:basedOn w:val="1"/>
    <w:uiPriority w:val="0"/>
    <w:pPr>
      <w:adjustRightInd/>
      <w:spacing w:line="360" w:lineRule="auto"/>
      <w:ind w:firstLine="480" w:firstLineChars="200"/>
    </w:pPr>
    <w:rPr>
      <w:rFonts w:ascii="宋体" w:hAnsi="宋体" w:cs="宋体"/>
      <w:sz w:val="24"/>
      <w:szCs w:val="20"/>
    </w:rPr>
  </w:style>
  <w:style w:type="paragraph" w:customStyle="1" w:styleId="505">
    <w:name w:val="MM Topic 1"/>
    <w:basedOn w:val="3"/>
    <w:uiPriority w:val="0"/>
    <w:pPr>
      <w:numPr>
        <w:ilvl w:val="0"/>
        <w:numId w:val="0"/>
      </w:numPr>
      <w:tabs>
        <w:tab w:val="left" w:pos="840"/>
      </w:tabs>
      <w:adjustRightInd/>
      <w:ind w:left="840" w:hanging="420"/>
    </w:pPr>
  </w:style>
  <w:style w:type="paragraph" w:customStyle="1" w:styleId="506">
    <w:name w:val="_Style 3"/>
    <w:basedOn w:val="1"/>
    <w:qFormat/>
    <w:uiPriority w:val="34"/>
    <w:pPr>
      <w:adjustRightInd/>
      <w:ind w:firstLine="420" w:firstLineChars="200"/>
    </w:pPr>
    <w:rPr>
      <w:rFonts w:eastAsia="仿宋_GB2312"/>
      <w:sz w:val="28"/>
    </w:rPr>
  </w:style>
  <w:style w:type="paragraph" w:customStyle="1" w:styleId="507">
    <w:name w:val="样式 正文文本缩进 2 + 仿宋_GB2312 黑色 行距: 1.5 倍行距"/>
    <w:basedOn w:val="37"/>
    <w:uiPriority w:val="0"/>
    <w:pPr>
      <w:adjustRightInd/>
      <w:ind w:firstLine="560" w:firstLineChars="200"/>
      <w:textAlignment w:val="auto"/>
    </w:pPr>
    <w:rPr>
      <w:rFonts w:hAnsi="宋体" w:cs="宋体"/>
      <w:color w:val="000000"/>
      <w:kern w:val="2"/>
      <w:sz w:val="24"/>
    </w:rPr>
  </w:style>
  <w:style w:type="paragraph" w:customStyle="1" w:styleId="508">
    <w:name w:val="样式1"/>
    <w:basedOn w:val="1"/>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09">
    <w:name w:val="Char Char1"/>
    <w:basedOn w:val="1"/>
    <w:uiPriority w:val="0"/>
    <w:pPr>
      <w:widowControl/>
      <w:spacing w:after="160" w:afterLines="0" w:line="240" w:lineRule="exact"/>
      <w:jc w:val="left"/>
    </w:pPr>
    <w:rPr>
      <w:rFonts w:eastAsia="仿宋_GB2312"/>
      <w:sz w:val="28"/>
    </w:rPr>
  </w:style>
  <w:style w:type="paragraph" w:customStyle="1" w:styleId="510">
    <w:name w:val="Char1 Char Char Char Char Char Char Char Char Char Char Char1 Char Char Char Char Char Char Char Char Char Char Char Char Char Char1 Char Char Char Char"/>
    <w:basedOn w:val="1"/>
    <w:uiPriority w:val="0"/>
    <w:pPr>
      <w:spacing w:line="360" w:lineRule="auto"/>
    </w:pPr>
    <w:rPr>
      <w:kern w:val="0"/>
      <w:sz w:val="24"/>
      <w:szCs w:val="20"/>
    </w:rPr>
  </w:style>
  <w:style w:type="paragraph" w:customStyle="1" w:styleId="511">
    <w:name w:val="封面华为技术"/>
    <w:basedOn w:val="1"/>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12">
    <w:name w:val="!大节"/>
    <w:basedOn w:val="4"/>
    <w:uiPriority w:val="0"/>
    <w:pPr>
      <w:numPr>
        <w:ilvl w:val="0"/>
        <w:numId w:val="0"/>
      </w:numPr>
      <w:spacing w:before="260" w:beforeLines="0" w:after="260" w:afterLines="0" w:line="415" w:lineRule="auto"/>
      <w:ind w:left="420" w:hanging="420"/>
      <w:jc w:val="left"/>
    </w:pPr>
    <w:rPr>
      <w:rFonts w:ascii="Arial" w:hAnsi="Arial" w:eastAsia="微软雅黑"/>
      <w:sz w:val="32"/>
      <w:szCs w:val="32"/>
      <w:lang w:val="en-US"/>
    </w:rPr>
  </w:style>
  <w:style w:type="paragraph" w:customStyle="1" w:styleId="513">
    <w:name w:val="style3"/>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olor w:val="666666"/>
      <w:kern w:val="0"/>
      <w:sz w:val="24"/>
    </w:rPr>
  </w:style>
  <w:style w:type="paragraph" w:customStyle="1" w:styleId="514">
    <w:name w:val="表格文字"/>
    <w:basedOn w:val="1"/>
    <w:next w:val="17"/>
    <w:uiPriority w:val="0"/>
    <w:pPr>
      <w:adjustRightInd/>
      <w:ind w:firstLine="200" w:firstLineChars="200"/>
    </w:pPr>
    <w:rPr>
      <w:rFonts w:ascii="Arial" w:hAnsi="Arial"/>
      <w:spacing w:val="-5"/>
      <w:kern w:val="0"/>
      <w:sz w:val="24"/>
      <w:szCs w:val="20"/>
    </w:rPr>
  </w:style>
  <w:style w:type="paragraph" w:customStyle="1" w:styleId="515">
    <w:name w:val=" Char3 Char Char Char"/>
    <w:basedOn w:val="1"/>
    <w:uiPriority w:val="0"/>
    <w:pPr>
      <w:widowControl/>
      <w:adjustRightInd/>
      <w:spacing w:after="160" w:afterLines="0" w:line="240" w:lineRule="exact"/>
      <w:jc w:val="left"/>
    </w:pPr>
    <w:rPr>
      <w:szCs w:val="20"/>
    </w:rPr>
  </w:style>
  <w:style w:type="paragraph" w:customStyle="1" w:styleId="516">
    <w:name w:val="目录标题"/>
    <w:basedOn w:val="1"/>
    <w:uiPriority w:val="0"/>
    <w:pPr>
      <w:autoSpaceDE w:val="0"/>
      <w:autoSpaceDN w:val="0"/>
      <w:spacing w:before="566" w:beforeLines="0" w:after="544" w:afterLines="0" w:line="566" w:lineRule="atLeast"/>
      <w:ind w:firstLine="419" w:firstLineChars="200"/>
      <w:jc w:val="center"/>
    </w:pPr>
    <w:rPr>
      <w:rFonts w:ascii="Arial" w:hAnsi="Arial"/>
      <w:color w:val="000000"/>
      <w:spacing w:val="565"/>
      <w:kern w:val="0"/>
      <w:sz w:val="54"/>
      <w:szCs w:val="54"/>
    </w:rPr>
  </w:style>
  <w:style w:type="paragraph" w:customStyle="1" w:styleId="517">
    <w:name w:val="P1"/>
    <w:basedOn w:val="1"/>
    <w:uiPriority w:val="0"/>
    <w:pPr>
      <w:adjustRightInd/>
      <w:spacing w:line="288" w:lineRule="auto"/>
      <w:ind w:firstLine="425" w:firstLineChars="200"/>
    </w:pPr>
  </w:style>
  <w:style w:type="paragraph" w:customStyle="1" w:styleId="518">
    <w:name w:val=" Char Char Char Char Char Char Char Char"/>
    <w:basedOn w:val="1"/>
    <w:uiPriority w:val="0"/>
    <w:pPr>
      <w:tabs>
        <w:tab w:val="left" w:pos="360"/>
      </w:tabs>
    </w:pPr>
    <w:rPr>
      <w:sz w:val="24"/>
      <w:szCs w:val="20"/>
    </w:rPr>
  </w:style>
  <w:style w:type="paragraph" w:customStyle="1" w:styleId="519">
    <w:name w:val="tableheading"/>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520">
    <w:name w:val="_Style 5"/>
    <w:basedOn w:val="1"/>
    <w:qFormat/>
    <w:uiPriority w:val="34"/>
    <w:pPr>
      <w:adjustRightInd/>
      <w:ind w:firstLine="420" w:firstLineChars="200"/>
    </w:pPr>
    <w:rPr>
      <w:rFonts w:eastAsia="仿宋_GB2312"/>
      <w:sz w:val="28"/>
    </w:rPr>
  </w:style>
  <w:style w:type="paragraph" w:customStyle="1" w:styleId="521">
    <w:name w:val="正文（首行缩进）"/>
    <w:basedOn w:val="25"/>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22">
    <w:name w:val="章标题"/>
    <w:next w:val="523"/>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523">
    <w:name w:val="段"/>
    <w:qFormat/>
    <w:uiPriority w:val="0"/>
    <w:pPr>
      <w:autoSpaceDE w:val="0"/>
      <w:autoSpaceDN w:val="0"/>
      <w:ind w:firstLine="200" w:firstLineChars="200"/>
      <w:jc w:val="both"/>
    </w:pPr>
    <w:rPr>
      <w:rFonts w:ascii="宋体"/>
      <w:sz w:val="21"/>
      <w:lang w:val="en-US" w:eastAsia="zh-CN" w:bidi="ar-SA"/>
    </w:rPr>
  </w:style>
  <w:style w:type="paragraph" w:customStyle="1" w:styleId="524">
    <w:name w:val="标书表格字体格式"/>
    <w:next w:val="525"/>
    <w:uiPriority w:val="0"/>
    <w:rPr>
      <w:kern w:val="2"/>
      <w:sz w:val="21"/>
      <w:szCs w:val="24"/>
      <w:lang w:val="en-US" w:eastAsia="zh-CN" w:bidi="ar-SA"/>
    </w:rPr>
  </w:style>
  <w:style w:type="paragraph" w:customStyle="1" w:styleId="525">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526">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27">
    <w:name w:val="Char1 Char Char Char Char Char Char Char Char Char"/>
    <w:basedOn w:val="1"/>
    <w:uiPriority w:val="0"/>
    <w:pPr>
      <w:adjustRightInd/>
      <w:spacing w:before="240" w:beforeLines="0" w:after="120" w:afterLines="0" w:line="288" w:lineRule="auto"/>
      <w:ind w:firstLine="200" w:firstLineChars="200"/>
      <w:jc w:val="left"/>
    </w:pPr>
    <w:rPr>
      <w:rFonts w:ascii="Tahoma" w:hAnsi="Tahoma"/>
      <w:sz w:val="24"/>
    </w:rPr>
  </w:style>
  <w:style w:type="paragraph" w:customStyle="1" w:styleId="528">
    <w:name w:val="Body"/>
    <w:basedOn w:val="1"/>
    <w:uiPriority w:val="0"/>
    <w:pPr>
      <w:widowControl/>
      <w:adjustRightInd/>
      <w:spacing w:before="120" w:beforeLines="0" w:after="120" w:afterLines="0" w:line="240" w:lineRule="exact"/>
      <w:ind w:firstLine="200" w:firstLineChars="200"/>
      <w:jc w:val="left"/>
    </w:pPr>
    <w:rPr>
      <w:rFonts w:ascii="Arial" w:hAnsi="Arial"/>
      <w:kern w:val="0"/>
      <w:sz w:val="20"/>
      <w:szCs w:val="20"/>
      <w:lang w:eastAsia="en-US"/>
    </w:rPr>
  </w:style>
  <w:style w:type="paragraph" w:customStyle="1" w:styleId="529">
    <w:name w:val="正文文字缩进2字"/>
    <w:basedOn w:val="2"/>
    <w:uiPriority w:val="0"/>
    <w:pPr>
      <w:autoSpaceDE/>
      <w:autoSpaceDN/>
      <w:adjustRightInd/>
      <w:spacing w:before="60" w:beforeLines="0" w:after="60" w:afterLines="0"/>
      <w:ind w:firstLineChars="200"/>
    </w:pPr>
    <w:rPr>
      <w:rFonts w:ascii="Times New Roman"/>
      <w:szCs w:val="20"/>
      <w:lang w:val="en-US" w:eastAsia="zh-CN"/>
    </w:rPr>
  </w:style>
  <w:style w:type="paragraph" w:customStyle="1" w:styleId="530">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531">
    <w:name w:val="MM Topic 5"/>
    <w:basedOn w:val="7"/>
    <w:uiPriority w:val="0"/>
    <w:pPr>
      <w:numPr>
        <w:ilvl w:val="4"/>
        <w:numId w:val="5"/>
      </w:numPr>
      <w:adjustRightInd/>
    </w:pPr>
  </w:style>
  <w:style w:type="paragraph" w:customStyle="1" w:styleId="532">
    <w:name w:val="标书标题4"/>
    <w:basedOn w:val="6"/>
    <w:uiPriority w:val="0"/>
    <w:pPr>
      <w:keepLines w:val="0"/>
      <w:numPr>
        <w:ilvl w:val="3"/>
        <w:numId w:val="0"/>
      </w:numPr>
      <w:snapToGrid w:val="0"/>
      <w:spacing w:before="0" w:beforeLines="0" w:after="0" w:afterLines="0" w:line="300" w:lineRule="auto"/>
    </w:pPr>
    <w:rPr>
      <w:rFonts w:ascii="Arial Narrow" w:hAnsi="Arial Narrow" w:eastAsia="仿宋_GB2312"/>
      <w:bCs w:val="0"/>
      <w:color w:val="000000"/>
      <w:kern w:val="0"/>
      <w:szCs w:val="32"/>
      <w:lang w:val="en-US"/>
    </w:rPr>
  </w:style>
  <w:style w:type="paragraph" w:customStyle="1" w:styleId="533">
    <w:name w:val="zTableCellBody"/>
    <w:basedOn w:val="1"/>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534">
    <w:name w:val="Char23"/>
    <w:basedOn w:val="1"/>
    <w:uiPriority w:val="0"/>
    <w:rPr>
      <w:rFonts w:ascii="仿宋_GB2312" w:eastAsia="仿宋_GB2312"/>
      <w:b/>
      <w:sz w:val="32"/>
      <w:szCs w:val="32"/>
    </w:rPr>
  </w:style>
  <w:style w:type="paragraph" w:customStyle="1" w:styleId="535">
    <w:name w:val="Char3 Char Char Char"/>
    <w:basedOn w:val="1"/>
    <w:uiPriority w:val="0"/>
    <w:pPr>
      <w:widowControl/>
      <w:adjustRightInd/>
      <w:spacing w:after="160" w:line="240" w:lineRule="exact"/>
      <w:jc w:val="left"/>
    </w:pPr>
    <w:rPr>
      <w:szCs w:val="20"/>
    </w:rPr>
  </w:style>
  <w:style w:type="paragraph" w:customStyle="1" w:styleId="536">
    <w:name w:val="表内文字"/>
    <w:basedOn w:val="1"/>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537">
    <w:name w:val="封面表格文本"/>
    <w:basedOn w:val="1"/>
    <w:uiPriority w:val="0"/>
    <w:pPr>
      <w:autoSpaceDE w:val="0"/>
      <w:autoSpaceDN w:val="0"/>
      <w:ind w:firstLine="200" w:firstLineChars="200"/>
      <w:jc w:val="center"/>
    </w:pPr>
    <w:rPr>
      <w:rFonts w:ascii="Arial" w:hAnsi="Arial"/>
      <w:kern w:val="0"/>
      <w:szCs w:val="21"/>
    </w:rPr>
  </w:style>
  <w:style w:type="paragraph" w:customStyle="1" w:styleId="538">
    <w:name w:val="目录1"/>
    <w:basedOn w:val="1"/>
    <w:uiPriority w:val="0"/>
    <w:pPr>
      <w:tabs>
        <w:tab w:val="left" w:leader="dot" w:pos="8503"/>
      </w:tabs>
      <w:autoSpaceDE w:val="0"/>
      <w:autoSpaceDN w:val="0"/>
      <w:spacing w:after="136" w:afterLines="0" w:line="289" w:lineRule="atLeast"/>
      <w:ind w:firstLine="200" w:firstLineChars="200"/>
      <w:jc w:val="left"/>
    </w:pPr>
    <w:rPr>
      <w:rFonts w:ascii="Arial" w:hAnsi="Arial"/>
      <w:color w:val="000000"/>
      <w:kern w:val="0"/>
      <w:sz w:val="28"/>
      <w:szCs w:val="28"/>
    </w:rPr>
  </w:style>
  <w:style w:type="paragraph" w:customStyle="1" w:styleId="539">
    <w:name w:val="五级无标题条"/>
    <w:basedOn w:val="1"/>
    <w:uiPriority w:val="0"/>
    <w:pPr>
      <w:adjustRightInd/>
    </w:pPr>
  </w:style>
  <w:style w:type="paragraph" w:customStyle="1" w:styleId="540">
    <w:name w:val="dash bulle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541">
    <w:name w:val="单元格居中"/>
    <w:basedOn w:val="1"/>
    <w:uiPriority w:val="0"/>
    <w:pPr>
      <w:adjustRightInd/>
      <w:spacing w:line="360" w:lineRule="auto"/>
      <w:jc w:val="center"/>
    </w:pPr>
    <w:rPr>
      <w:sz w:val="24"/>
    </w:rPr>
  </w:style>
  <w:style w:type="paragraph" w:customStyle="1" w:styleId="54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3">
    <w:name w:val="列出段落4"/>
    <w:basedOn w:val="1"/>
    <w:uiPriority w:val="0"/>
    <w:pPr>
      <w:adjustRightInd/>
      <w:spacing w:line="360" w:lineRule="auto"/>
      <w:ind w:firstLine="420" w:firstLineChars="200"/>
    </w:pPr>
    <w:rPr>
      <w:rFonts w:ascii="Calibri" w:hAnsi="Calibri"/>
      <w:sz w:val="24"/>
      <w:szCs w:val="22"/>
    </w:rPr>
  </w:style>
  <w:style w:type="paragraph" w:customStyle="1" w:styleId="544">
    <w:name w:val="说明"/>
    <w:basedOn w:val="1"/>
    <w:uiPriority w:val="0"/>
    <w:pPr>
      <w:autoSpaceDE w:val="0"/>
      <w:autoSpaceDN w:val="0"/>
      <w:spacing w:line="440" w:lineRule="exact"/>
      <w:ind w:firstLine="200" w:firstLineChars="200"/>
    </w:pPr>
    <w:rPr>
      <w:rFonts w:ascii="宋体"/>
      <w:b/>
      <w:bCs/>
      <w:i/>
      <w:iCs/>
      <w:color w:val="0000FF"/>
      <w:kern w:val="0"/>
      <w:sz w:val="24"/>
    </w:rPr>
  </w:style>
  <w:style w:type="paragraph" w:customStyle="1" w:styleId="545">
    <w:name w:val=" Char Char Char Char"/>
    <w:basedOn w:val="1"/>
    <w:uiPriority w:val="0"/>
    <w:rPr>
      <w:rFonts w:ascii="Tahoma" w:hAnsi="Tahoma"/>
      <w:sz w:val="24"/>
      <w:szCs w:val="20"/>
    </w:rPr>
  </w:style>
  <w:style w:type="paragraph" w:customStyle="1" w:styleId="546">
    <w:name w:val="xl41"/>
    <w:basedOn w:val="1"/>
    <w:uiPriority w:val="0"/>
    <w:pPr>
      <w:widowControl/>
      <w:pBdr>
        <w:top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547">
    <w:name w:val="封面公司名"/>
    <w:uiPriority w:val="0"/>
    <w:pPr>
      <w:jc w:val="center"/>
    </w:pPr>
    <w:rPr>
      <w:rFonts w:ascii="Arial" w:hAnsi="Arial" w:eastAsia="楷体_GB2312" w:cs="宋体"/>
      <w:bCs/>
      <w:kern w:val="2"/>
      <w:sz w:val="28"/>
      <w:lang w:val="en-US" w:eastAsia="zh-CN" w:bidi="ar-SA"/>
    </w:rPr>
  </w:style>
  <w:style w:type="paragraph" w:customStyle="1" w:styleId="548">
    <w:name w:val="solutionfonts1"/>
    <w:basedOn w:val="1"/>
    <w:uiPriority w:val="0"/>
    <w:pPr>
      <w:widowControl/>
      <w:adjustRightInd/>
      <w:spacing w:before="100" w:beforeLines="0" w:beforeAutospacing="1" w:after="100" w:afterLines="0" w:afterAutospacing="1"/>
      <w:ind w:firstLine="200" w:firstLineChars="200"/>
      <w:jc w:val="left"/>
    </w:pPr>
    <w:rPr>
      <w:rFonts w:ascii="宋体" w:hAnsi="宋体" w:cs="宋体"/>
      <w:kern w:val="0"/>
      <w:sz w:val="24"/>
    </w:rPr>
  </w:style>
  <w:style w:type="paragraph" w:customStyle="1" w:styleId="549">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0">
    <w:name w:val="数字标题3"/>
    <w:basedOn w:val="5"/>
    <w:next w:val="1"/>
    <w:uiPriority w:val="0"/>
    <w:pPr>
      <w:numPr>
        <w:ilvl w:val="2"/>
        <w:numId w:val="0"/>
      </w:numPr>
      <w:spacing w:line="240" w:lineRule="auto"/>
    </w:pPr>
    <w:rPr>
      <w:sz w:val="28"/>
      <w:szCs w:val="28"/>
    </w:rPr>
  </w:style>
  <w:style w:type="paragraph" w:customStyle="1" w:styleId="551">
    <w:name w:val="插图题注"/>
    <w:next w:val="1"/>
    <w:uiPriority w:val="0"/>
    <w:pPr>
      <w:numPr>
        <w:ilvl w:val="7"/>
        <w:numId w:val="5"/>
      </w:numPr>
      <w:spacing w:after="312" w:afterLines="100"/>
      <w:ind w:left="1089" w:hanging="369"/>
      <w:jc w:val="center"/>
    </w:pPr>
    <w:rPr>
      <w:rFonts w:ascii="Arial" w:hAnsi="Arial"/>
      <w:sz w:val="18"/>
      <w:szCs w:val="18"/>
      <w:lang w:val="en-US" w:eastAsia="zh-CN" w:bidi="ar-SA"/>
    </w:rPr>
  </w:style>
  <w:style w:type="paragraph" w:customStyle="1" w:styleId="552">
    <w:name w:val="样式 标题 2 + 四号"/>
    <w:basedOn w:val="4"/>
    <w:uiPriority w:val="0"/>
    <w:pPr>
      <w:numPr>
        <w:ilvl w:val="0"/>
        <w:numId w:val="0"/>
      </w:numPr>
      <w:spacing w:before="120" w:after="120"/>
      <w:jc w:val="both"/>
    </w:pPr>
    <w:rPr>
      <w:rFonts w:ascii="宋体" w:hAnsi="Arial" w:eastAsia="宋体"/>
      <w:sz w:val="28"/>
      <w:lang w:val="en-US"/>
    </w:rPr>
  </w:style>
  <w:style w:type="paragraph" w:customStyle="1" w:styleId="553">
    <w:name w:val="a2"/>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554">
    <w:name w:val="列出段落*"/>
    <w:basedOn w:val="1"/>
    <w:uiPriority w:val="0"/>
    <w:pPr>
      <w:adjustRightInd/>
      <w:spacing w:line="360" w:lineRule="auto"/>
      <w:ind w:firstLine="200"/>
    </w:pPr>
    <w:rPr>
      <w:rFonts w:eastAsia="楷体_GB2312" w:cs="Lucida Sans Unicode"/>
      <w:color w:val="000000"/>
      <w:kern w:val="1"/>
      <w:sz w:val="24"/>
    </w:rPr>
  </w:style>
  <w:style w:type="paragraph" w:customStyle="1" w:styleId="555">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56">
    <w:name w:val="样式 正文文本缩进 + 段前: 2 字符"/>
    <w:basedOn w:val="1"/>
    <w:uiPriority w:val="0"/>
    <w:pPr>
      <w:adjustRightInd/>
      <w:ind w:left="420" w:leftChars="200"/>
      <w:jc w:val="left"/>
    </w:pPr>
    <w:rPr>
      <w:sz w:val="28"/>
      <w:szCs w:val="20"/>
      <w:lang w:eastAsia="zh-TW"/>
    </w:rPr>
  </w:style>
  <w:style w:type="paragraph" w:customStyle="1" w:styleId="557">
    <w:name w:val="样式 标题 2H2h2Underrubrik1prop2l2Chapter Titlesect 1.2DO NO..."/>
    <w:basedOn w:val="4"/>
    <w:uiPriority w:val="0"/>
    <w:pPr>
      <w:numPr>
        <w:ilvl w:val="0"/>
        <w:numId w:val="0"/>
      </w:numPr>
      <w:spacing w:before="120" w:beforeLines="0" w:after="120" w:afterLines="0"/>
      <w:ind w:left="425" w:hanging="425"/>
    </w:pPr>
    <w:rPr>
      <w:rFonts w:ascii="微软雅黑" w:hAnsi="微软雅黑" w:eastAsia="微软雅黑" w:cs="宋体"/>
      <w:sz w:val="32"/>
      <w:szCs w:val="20"/>
      <w:lang w:val="en-US"/>
    </w:rPr>
  </w:style>
  <w:style w:type="paragraph" w:customStyle="1" w:styleId="558">
    <w:name w:val="FA正文"/>
    <w:basedOn w:val="1"/>
    <w:uiPriority w:val="0"/>
    <w:pPr>
      <w:spacing w:line="360" w:lineRule="auto"/>
      <w:ind w:firstLine="480" w:firstLineChars="200"/>
    </w:pPr>
    <w:rPr>
      <w:rFonts w:hAnsi="宋体"/>
      <w:sz w:val="24"/>
      <w:szCs w:val="20"/>
    </w:rPr>
  </w:style>
  <w:style w:type="paragraph" w:customStyle="1" w:styleId="559">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560">
    <w:name w:val="bullet"/>
    <w:basedOn w:val="1"/>
    <w:uiPriority w:val="0"/>
    <w:pPr>
      <w:tabs>
        <w:tab w:val="left" w:pos="840"/>
      </w:tabs>
      <w:adjustRightInd/>
      <w:ind w:left="840" w:hanging="420"/>
    </w:pPr>
  </w:style>
  <w:style w:type="paragraph" w:customStyle="1" w:styleId="561">
    <w:name w:val="Char Char Char Char Char Char1"/>
    <w:basedOn w:val="1"/>
    <w:uiPriority w:val="6"/>
    <w:pPr>
      <w:widowControl/>
      <w:spacing w:beforeLines="50" w:afterLines="50" w:line="240" w:lineRule="exact"/>
      <w:jc w:val="left"/>
    </w:pPr>
    <w:rPr>
      <w:rFonts w:ascii="Verdana" w:hAnsi="Verdana"/>
      <w:kern w:val="0"/>
      <w:sz w:val="20"/>
      <w:szCs w:val="20"/>
      <w:lang w:eastAsia="en-US"/>
    </w:rPr>
  </w:style>
  <w:style w:type="paragraph" w:customStyle="1" w:styleId="562">
    <w:name w:val="样式3"/>
    <w:basedOn w:val="563"/>
    <w:qFormat/>
    <w:uiPriority w:val="0"/>
    <w:pPr>
      <w:tabs>
        <w:tab w:val="left" w:pos="2790"/>
        <w:tab w:val="left" w:pos="4230"/>
      </w:tabs>
      <w:spacing w:before="312" w:beforeLines="100"/>
      <w:jc w:val="left"/>
    </w:pPr>
  </w:style>
  <w:style w:type="paragraph" w:customStyle="1" w:styleId="563">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64">
    <w:name w:val="Picture"/>
    <w:basedOn w:val="1"/>
    <w:next w:val="18"/>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565">
    <w:name w:val="Char111"/>
    <w:basedOn w:val="1"/>
    <w:uiPriority w:val="0"/>
    <w:rPr>
      <w:rFonts w:ascii="仿宋_GB2312" w:eastAsia="仿宋_GB2312"/>
      <w:b/>
      <w:sz w:val="32"/>
      <w:szCs w:val="32"/>
    </w:rPr>
  </w:style>
  <w:style w:type="paragraph" w:customStyle="1" w:styleId="566">
    <w:name w:val=" Char Char11"/>
    <w:basedOn w:val="1"/>
    <w:uiPriority w:val="0"/>
    <w:pPr>
      <w:spacing w:line="360" w:lineRule="auto"/>
    </w:pPr>
    <w:rPr>
      <w:szCs w:val="20"/>
    </w:rPr>
  </w:style>
  <w:style w:type="paragraph" w:customStyle="1" w:styleId="567">
    <w:name w:val="font8"/>
    <w:basedOn w:val="1"/>
    <w:uiPriority w:val="0"/>
    <w:pPr>
      <w:widowControl/>
      <w:adjustRightInd/>
      <w:spacing w:before="100" w:beforeLines="0" w:beforeAutospacing="1" w:after="100" w:afterLines="0" w:afterAutospacing="1"/>
      <w:jc w:val="left"/>
    </w:pPr>
    <w:rPr>
      <w:color w:val="000000"/>
      <w:kern w:val="0"/>
      <w:sz w:val="20"/>
      <w:szCs w:val="20"/>
    </w:rPr>
  </w:style>
  <w:style w:type="paragraph" w:customStyle="1" w:styleId="568">
    <w:name w:val=" 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69">
    <w:name w:val=" 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70">
    <w:name w:val=" Char3 Char Char"/>
    <w:basedOn w:val="1"/>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571">
    <w:name w:val=" 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572">
    <w:name w:val="正文（标题三）"/>
    <w:basedOn w:val="1"/>
    <w:uiPriority w:val="0"/>
    <w:pPr>
      <w:spacing w:line="360" w:lineRule="auto"/>
      <w:ind w:firstLine="200" w:firstLineChars="200"/>
    </w:pPr>
    <w:rPr>
      <w:sz w:val="24"/>
    </w:rPr>
  </w:style>
  <w:style w:type="paragraph" w:customStyle="1" w:styleId="57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7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75">
    <w:name w:val=" Char2"/>
    <w:basedOn w:val="1"/>
    <w:uiPriority w:val="0"/>
    <w:rPr>
      <w:rFonts w:ascii="仿宋_GB2312" w:eastAsia="仿宋_GB2312"/>
      <w:b/>
      <w:sz w:val="32"/>
      <w:szCs w:val="32"/>
    </w:rPr>
  </w:style>
  <w:style w:type="paragraph" w:customStyle="1" w:styleId="576">
    <w:name w:val="chart text"/>
    <w:basedOn w:val="1"/>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77">
    <w:name w:val="0"/>
    <w:basedOn w:val="1"/>
    <w:uiPriority w:val="0"/>
    <w:pPr>
      <w:widowControl/>
    </w:pPr>
    <w:rPr>
      <w:kern w:val="0"/>
      <w:sz w:val="24"/>
      <w:szCs w:val="20"/>
    </w:rPr>
  </w:style>
  <w:style w:type="paragraph" w:customStyle="1" w:styleId="578">
    <w:name w:val="Char Char Char Char Char Char Char Char Char Char"/>
    <w:basedOn w:val="1"/>
    <w:uiPriority w:val="0"/>
    <w:rPr>
      <w:rFonts w:ascii="仿宋_GB2312" w:eastAsia="仿宋_GB2312"/>
      <w:b/>
      <w:sz w:val="32"/>
      <w:szCs w:val="32"/>
    </w:rPr>
  </w:style>
  <w:style w:type="paragraph" w:customStyle="1" w:styleId="579">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80">
    <w:name w:val="Char Char Char Char Char Char Char Char Char Char Char Char1 Char1"/>
    <w:basedOn w:val="1"/>
    <w:uiPriority w:val="6"/>
    <w:rPr>
      <w:rFonts w:ascii="Tahoma" w:hAnsi="Tahoma" w:cs="仿宋_GB2312"/>
      <w:sz w:val="24"/>
      <w:szCs w:val="20"/>
    </w:rPr>
  </w:style>
  <w:style w:type="paragraph" w:customStyle="1" w:styleId="581">
    <w:name w:val="Char Char Char Char Char Char1 Char1"/>
    <w:basedOn w:val="1"/>
    <w:uiPriority w:val="0"/>
    <w:pPr>
      <w:widowControl/>
      <w:spacing w:after="160" w:line="240" w:lineRule="exact"/>
      <w:jc w:val="left"/>
    </w:pPr>
    <w:rPr>
      <w:rFonts w:ascii="Verdana" w:hAnsi="Verdana"/>
      <w:kern w:val="0"/>
      <w:szCs w:val="20"/>
      <w:lang w:eastAsia="en-US"/>
    </w:rPr>
  </w:style>
  <w:style w:type="paragraph" w:customStyle="1" w:styleId="582">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83">
    <w:name w:val="xl35"/>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84">
    <w:name w:val="Body Text 2*"/>
    <w:basedOn w:val="1"/>
    <w:uiPriority w:val="6"/>
    <w:pPr>
      <w:widowControl/>
      <w:adjustRightInd/>
      <w:ind w:left="720" w:hanging="720"/>
    </w:pPr>
    <w:rPr>
      <w:color w:val="000000"/>
      <w:kern w:val="0"/>
      <w:sz w:val="24"/>
      <w:szCs w:val="20"/>
      <w:lang w:val="en-GB"/>
    </w:rPr>
  </w:style>
  <w:style w:type="paragraph" w:customStyle="1" w:styleId="585">
    <w:name w:val="数字标题1"/>
    <w:basedOn w:val="3"/>
    <w:next w:val="1"/>
    <w:uiPriority w:val="0"/>
    <w:pPr>
      <w:numPr>
        <w:ilvl w:val="0"/>
        <w:numId w:val="7"/>
      </w:numPr>
    </w:pPr>
  </w:style>
  <w:style w:type="paragraph" w:customStyle="1" w:styleId="586">
    <w:name w:val="GP正文(无首行缩进)"/>
    <w:basedOn w:val="587"/>
    <w:qFormat/>
    <w:uiPriority w:val="0"/>
    <w:pPr>
      <w:jc w:val="both"/>
    </w:pPr>
  </w:style>
  <w:style w:type="paragraph" w:customStyle="1" w:styleId="5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8">
    <w:name w:val="正文表标题"/>
    <w:next w:val="523"/>
    <w:uiPriority w:val="0"/>
    <w:pPr>
      <w:tabs>
        <w:tab w:val="left" w:pos="840"/>
      </w:tabs>
      <w:ind w:left="840" w:hanging="420"/>
      <w:jc w:val="center"/>
    </w:pPr>
    <w:rPr>
      <w:rFonts w:ascii="黑体" w:eastAsia="黑体"/>
      <w:sz w:val="21"/>
      <w:lang w:val="en-US" w:eastAsia="zh-CN" w:bidi="ar-SA"/>
    </w:rPr>
  </w:style>
  <w:style w:type="paragraph" w:customStyle="1" w:styleId="589">
    <w:name w:val="xl73"/>
    <w:basedOn w:val="1"/>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590">
    <w:name w:val=" Char Char1 Char Char Char Char Char Char"/>
    <w:basedOn w:val="1"/>
    <w:uiPriority w:val="0"/>
    <w:rPr>
      <w:rFonts w:ascii="仿宋_GB2312" w:eastAsia="仿宋_GB2312"/>
      <w:b/>
      <w:sz w:val="32"/>
      <w:szCs w:val="20"/>
    </w:rPr>
  </w:style>
  <w:style w:type="paragraph" w:customStyle="1" w:styleId="591">
    <w:name w:val="带编号样式"/>
    <w:basedOn w:val="592"/>
    <w:qFormat/>
    <w:uiPriority w:val="0"/>
    <w:pPr>
      <w:tabs>
        <w:tab w:val="left" w:pos="840"/>
      </w:tabs>
      <w:snapToGrid w:val="0"/>
      <w:ind w:left="840" w:hanging="420" w:firstLineChars="0"/>
    </w:pPr>
    <w:rPr>
      <w:rFonts w:ascii="仿宋_GB2312" w:eastAsia="仿宋_GB2312"/>
      <w:color w:val="000000"/>
    </w:rPr>
  </w:style>
  <w:style w:type="paragraph" w:customStyle="1" w:styleId="592">
    <w:name w:val="文本正文 Char"/>
    <w:basedOn w:val="1"/>
    <w:uiPriority w:val="0"/>
    <w:pPr>
      <w:spacing w:line="360" w:lineRule="auto"/>
      <w:ind w:firstLine="200" w:firstLineChars="200"/>
    </w:pPr>
    <w:rPr>
      <w:kern w:val="0"/>
      <w:sz w:val="24"/>
      <w:szCs w:val="20"/>
    </w:rPr>
  </w:style>
  <w:style w:type="paragraph" w:customStyle="1" w:styleId="593">
    <w:name w:val="默认段落字体 Para Char Char Char Char Char Char Char Char Char Char"/>
    <w:basedOn w:val="1"/>
    <w:uiPriority w:val="0"/>
    <w:pPr>
      <w:adjustRightInd/>
    </w:pPr>
    <w:rPr>
      <w:rFonts w:ascii="Tahoma" w:hAnsi="Tahoma"/>
      <w:color w:val="000000"/>
      <w:sz w:val="24"/>
      <w:szCs w:val="20"/>
    </w:rPr>
  </w:style>
  <w:style w:type="paragraph" w:customStyle="1" w:styleId="594">
    <w:name w:val="Bullet"/>
    <w:basedOn w:val="1"/>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5">
    <w:name w:val="xl84"/>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xl8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97">
    <w:name w:val="Char Char1 Char Char Char Char Char Char1"/>
    <w:basedOn w:val="1"/>
    <w:uiPriority w:val="0"/>
    <w:rPr>
      <w:rFonts w:ascii="仿宋_GB2312" w:eastAsia="仿宋_GB2312"/>
      <w:b/>
      <w:sz w:val="32"/>
      <w:szCs w:val="20"/>
    </w:rPr>
  </w:style>
  <w:style w:type="paragraph" w:customStyle="1" w:styleId="598">
    <w:name w:val="表格题注"/>
    <w:next w:val="1"/>
    <w:uiPriority w:val="0"/>
    <w:pPr>
      <w:keepLines/>
      <w:numPr>
        <w:ilvl w:val="8"/>
        <w:numId w:val="5"/>
      </w:numPr>
      <w:spacing w:before="312" w:beforeLines="100"/>
      <w:ind w:left="1089" w:hanging="369"/>
      <w:jc w:val="center"/>
    </w:pPr>
    <w:rPr>
      <w:rFonts w:ascii="Arial" w:hAnsi="Arial"/>
      <w:sz w:val="18"/>
      <w:szCs w:val="18"/>
      <w:lang w:val="en-US" w:eastAsia="zh-CN" w:bidi="ar-SA"/>
    </w:rPr>
  </w:style>
  <w:style w:type="paragraph" w:customStyle="1" w:styleId="599">
    <w:name w:val="subhead"/>
    <w:uiPriority w:val="0"/>
    <w:pPr>
      <w:spacing w:after="120" w:line="300" w:lineRule="exact"/>
    </w:pPr>
    <w:rPr>
      <w:rFonts w:ascii="Arial" w:hAnsi="Arial"/>
      <w:b/>
      <w:sz w:val="26"/>
      <w:lang w:val="en-US" w:eastAsia="en-US" w:bidi="ar-SA"/>
    </w:rPr>
  </w:style>
  <w:style w:type="paragraph" w:customStyle="1" w:styleId="600">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1">
    <w:name w:val="正文文字表格居中"/>
    <w:basedOn w:val="1"/>
    <w:next w:val="55"/>
    <w:uiPriority w:val="0"/>
    <w:pPr>
      <w:snapToGrid w:val="0"/>
      <w:spacing w:line="360" w:lineRule="auto"/>
    </w:pPr>
    <w:rPr>
      <w:rFonts w:ascii="宋体"/>
      <w:b/>
      <w:sz w:val="24"/>
      <w:szCs w:val="20"/>
    </w:rPr>
  </w:style>
  <w:style w:type="paragraph" w:customStyle="1" w:styleId="602">
    <w:name w:val="Char Char Char Char Char Char Char Char Char"/>
    <w:basedOn w:val="1"/>
    <w:uiPriority w:val="0"/>
    <w:pPr>
      <w:adjustRightInd/>
      <w:ind w:firstLine="200" w:firstLineChars="200"/>
    </w:pPr>
    <w:rPr>
      <w:rFonts w:ascii="Tahoma" w:hAnsi="Tahoma"/>
      <w:sz w:val="24"/>
      <w:szCs w:val="20"/>
    </w:rPr>
  </w:style>
  <w:style w:type="paragraph" w:customStyle="1" w:styleId="603">
    <w:name w:val=" Char Char11 Char Char Char Char Char Char Char Char Char Char Char Char Char"/>
    <w:basedOn w:val="1"/>
    <w:uiPriority w:val="0"/>
    <w:pPr>
      <w:adjustRightInd/>
      <w:spacing w:line="360" w:lineRule="auto"/>
    </w:pPr>
    <w:rPr>
      <w:rFonts w:ascii="Arial" w:hAnsi="Arial" w:eastAsia="黑体"/>
      <w:snapToGrid w:val="0"/>
      <w:kern w:val="0"/>
      <w:sz w:val="20"/>
      <w:szCs w:val="21"/>
      <w:lang/>
    </w:rPr>
  </w:style>
  <w:style w:type="paragraph" w:customStyle="1" w:styleId="604">
    <w:name w:val="xl55"/>
    <w:basedOn w:val="1"/>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05">
    <w:name w:val="样式 左侧:  0.85 厘米"/>
    <w:basedOn w:val="1"/>
    <w:uiPriority w:val="2"/>
    <w:pPr>
      <w:adjustRightInd/>
      <w:spacing w:line="360" w:lineRule="auto"/>
    </w:pPr>
    <w:rPr>
      <w:rFonts w:cs="宋体"/>
      <w:sz w:val="24"/>
      <w:szCs w:val="20"/>
    </w:rPr>
  </w:style>
  <w:style w:type="paragraph" w:customStyle="1" w:styleId="606">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607">
    <w:name w:val="四级条标题"/>
    <w:basedOn w:val="608"/>
    <w:next w:val="523"/>
    <w:uiPriority w:val="0"/>
    <w:pPr>
      <w:numPr>
        <w:ilvl w:val="5"/>
        <w:numId w:val="5"/>
      </w:numPr>
      <w:outlineLvl w:val="5"/>
    </w:pPr>
  </w:style>
  <w:style w:type="paragraph" w:customStyle="1" w:styleId="608">
    <w:name w:val="三级条标题"/>
    <w:basedOn w:val="609"/>
    <w:next w:val="523"/>
    <w:uiPriority w:val="0"/>
    <w:pPr>
      <w:numPr>
        <w:ilvl w:val="0"/>
        <w:numId w:val="0"/>
      </w:numPr>
      <w:tabs>
        <w:tab w:val="left" w:pos="2520"/>
      </w:tabs>
      <w:ind w:left="2520" w:hanging="420"/>
      <w:outlineLvl w:val="4"/>
    </w:pPr>
  </w:style>
  <w:style w:type="paragraph" w:customStyle="1" w:styleId="609">
    <w:name w:val="二级条标题"/>
    <w:basedOn w:val="610"/>
    <w:next w:val="523"/>
    <w:uiPriority w:val="0"/>
    <w:pPr>
      <w:tabs>
        <w:tab w:val="left" w:pos="2100"/>
      </w:tabs>
      <w:ind w:left="0"/>
      <w:outlineLvl w:val="3"/>
    </w:pPr>
  </w:style>
  <w:style w:type="paragraph" w:customStyle="1" w:styleId="610">
    <w:name w:val="一级条标题"/>
    <w:basedOn w:val="522"/>
    <w:next w:val="523"/>
    <w:uiPriority w:val="0"/>
    <w:pPr>
      <w:tabs>
        <w:tab w:val="left" w:pos="1680"/>
        <w:tab w:val="clear" w:pos="1260"/>
      </w:tabs>
      <w:spacing w:before="0" w:beforeLines="0" w:after="0" w:afterLines="0"/>
      <w:ind w:left="1680"/>
      <w:outlineLvl w:val="2"/>
    </w:pPr>
  </w:style>
  <w:style w:type="paragraph" w:customStyle="1" w:styleId="611">
    <w:name w:val="Char2 Char Char Char1"/>
    <w:basedOn w:val="1"/>
    <w:uiPriority w:val="6"/>
    <w:rPr>
      <w:rFonts w:ascii="仿宋_GB2312" w:eastAsia="仿宋_GB2312"/>
      <w:b/>
      <w:sz w:val="32"/>
      <w:szCs w:val="32"/>
    </w:rPr>
  </w:style>
  <w:style w:type="paragraph" w:customStyle="1" w:styleId="612">
    <w:name w:val="Char1"/>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613">
    <w:name w:val="数字标题5"/>
    <w:basedOn w:val="7"/>
    <w:next w:val="1"/>
    <w:uiPriority w:val="0"/>
    <w:pPr>
      <w:numPr>
        <w:ilvl w:val="4"/>
        <w:numId w:val="7"/>
      </w:numPr>
    </w:pPr>
  </w:style>
  <w:style w:type="paragraph" w:customStyle="1" w:styleId="614">
    <w:name w:val="缺省文本"/>
    <w:basedOn w:val="1"/>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lang/>
    </w:rPr>
  </w:style>
  <w:style w:type="paragraph" w:customStyle="1" w:styleId="615">
    <w:name w:val="样式 宋体 行距: 1.5 倍行距 首行缩进:  2 字符"/>
    <w:basedOn w:val="1"/>
    <w:uiPriority w:val="0"/>
    <w:pPr>
      <w:adjustRightInd/>
      <w:spacing w:line="360" w:lineRule="auto"/>
      <w:ind w:firstLine="420" w:firstLineChars="200"/>
    </w:pPr>
    <w:rPr>
      <w:rFonts w:ascii="宋体" w:hAnsi="宋体"/>
      <w:sz w:val="24"/>
      <w:szCs w:val="20"/>
    </w:rPr>
  </w:style>
  <w:style w:type="paragraph" w:customStyle="1" w:styleId="616">
    <w:name w:val="表格内文"/>
    <w:basedOn w:val="1"/>
    <w:uiPriority w:val="0"/>
    <w:pPr>
      <w:adjustRightInd/>
      <w:spacing w:line="360" w:lineRule="auto"/>
    </w:pPr>
    <w:rPr>
      <w:rFonts w:ascii="宋体" w:hAnsi="宋体" w:cs="宋体"/>
      <w:color w:val="000000"/>
      <w:szCs w:val="20"/>
    </w:rPr>
  </w:style>
  <w:style w:type="paragraph" w:customStyle="1" w:styleId="617">
    <w:name w:val=" Char1 Char Char Char Char Char Char Char Char Char Char Char1 Char Char Char Char Char Char Char Char Char Char Char Char Char Char1 Char Char Char Char"/>
    <w:basedOn w:val="1"/>
    <w:uiPriority w:val="0"/>
    <w:pPr>
      <w:adjustRightInd w:val="0"/>
      <w:spacing w:line="360" w:lineRule="auto"/>
    </w:pPr>
    <w:rPr>
      <w:kern w:val="0"/>
      <w:sz w:val="24"/>
      <w:szCs w:val="20"/>
    </w:rPr>
  </w:style>
  <w:style w:type="paragraph" w:customStyle="1" w:styleId="618">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19">
    <w:name w:val="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20">
    <w:name w:val="封面"/>
    <w:basedOn w:val="1"/>
    <w:uiPriority w:val="0"/>
    <w:pPr>
      <w:spacing w:line="360" w:lineRule="atLeast"/>
      <w:jc w:val="right"/>
      <w:textAlignment w:val="baseline"/>
    </w:pPr>
    <w:rPr>
      <w:rFonts w:ascii="Symbol" w:hAnsi="Symbol"/>
      <w:kern w:val="0"/>
      <w:szCs w:val="20"/>
    </w:rPr>
  </w:style>
  <w:style w:type="paragraph" w:customStyle="1" w:styleId="621">
    <w:name w:val="Char Char Char Char Char Char Char Char Char Char Char1 Char"/>
    <w:basedOn w:val="1"/>
    <w:uiPriority w:val="0"/>
    <w:pPr>
      <w:adjustRightInd/>
    </w:pPr>
    <w:rPr>
      <w:rFonts w:ascii="Tahoma" w:hAnsi="Tahoma"/>
      <w:sz w:val="24"/>
      <w:lang/>
    </w:rPr>
  </w:style>
  <w:style w:type="paragraph" w:customStyle="1" w:styleId="622">
    <w:name w:val="默认段落字体 Para Char Char Char Char Char Char Char Char Char1 Char Char Char Char"/>
    <w:basedOn w:val="1"/>
    <w:uiPriority w:val="0"/>
    <w:pPr>
      <w:adjustRightInd/>
    </w:pPr>
    <w:rPr>
      <w:rFonts w:ascii="Tahoma" w:hAnsi="Tahoma"/>
      <w:sz w:val="24"/>
      <w:szCs w:val="20"/>
    </w:rPr>
  </w:style>
  <w:style w:type="paragraph" w:customStyle="1" w:styleId="623">
    <w:name w:val="xl6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24">
    <w:name w:val="main"/>
    <w:basedOn w:val="1"/>
    <w:uiPriority w:val="0"/>
    <w:pPr>
      <w:widowControl/>
      <w:adjustRightInd/>
      <w:spacing w:before="100" w:beforeLines="0" w:beforeAutospacing="1" w:after="100" w:afterLines="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25">
    <w:name w:val="4级标题"/>
    <w:basedOn w:val="358"/>
    <w:qFormat/>
    <w:uiPriority w:val="0"/>
    <w:pPr>
      <w:keepLines/>
      <w:numPr>
        <w:ilvl w:val="3"/>
        <w:numId w:val="6"/>
      </w:numPr>
      <w:adjustRightInd/>
      <w:ind w:firstLineChars="0"/>
      <w:jc w:val="left"/>
      <w:outlineLvl w:val="3"/>
    </w:pPr>
    <w:rPr>
      <w:rFonts w:ascii="黑体" w:hAnsi="黑体" w:eastAsia="黑体" w:cs="Times New Roman"/>
      <w:kern w:val="0"/>
      <w:sz w:val="28"/>
      <w:lang w:eastAsia="en-US" w:bidi="en-US"/>
    </w:rPr>
  </w:style>
  <w:style w:type="paragraph" w:customStyle="1" w:styleId="626">
    <w:name w:val="List Paragraph1"/>
    <w:basedOn w:val="1"/>
    <w:qFormat/>
    <w:uiPriority w:val="34"/>
    <w:pPr>
      <w:spacing w:line="360" w:lineRule="auto"/>
      <w:ind w:firstLine="200" w:firstLineChars="200"/>
    </w:pPr>
    <w:rPr>
      <w:rFonts w:eastAsia="楷体_GB2312" w:cs="Lucida Sans"/>
      <w:sz w:val="24"/>
    </w:rPr>
  </w:style>
  <w:style w:type="paragraph" w:customStyle="1" w:styleId="627">
    <w:name w:val="RFI Heading 2nd Level"/>
    <w:basedOn w:val="1"/>
    <w:uiPriority w:val="0"/>
    <w:pPr>
      <w:widowControl/>
      <w:tabs>
        <w:tab w:val="left" w:pos="1260"/>
      </w:tabs>
      <w:adjustRightInd/>
      <w:ind w:firstLineChars="200"/>
      <w:jc w:val="left"/>
    </w:pPr>
    <w:rPr>
      <w:rFonts w:ascii="Arial (W1)" w:hAnsi="Arial (W1)"/>
      <w:b/>
      <w:bCs/>
      <w:color w:val="0000FF"/>
      <w:kern w:val="0"/>
      <w:sz w:val="28"/>
      <w:lang w:val="en-GB" w:eastAsia="en-US"/>
    </w:rPr>
  </w:style>
  <w:style w:type="paragraph" w:customStyle="1" w:styleId="628">
    <w:name w:val="Char Char11 Char Char Char Char Char Char Char Char Char1"/>
    <w:basedOn w:val="1"/>
    <w:uiPriority w:val="6"/>
    <w:pPr>
      <w:spacing w:line="360" w:lineRule="auto"/>
    </w:pPr>
    <w:rPr>
      <w:szCs w:val="20"/>
    </w:rPr>
  </w:style>
  <w:style w:type="paragraph" w:customStyle="1" w:styleId="629">
    <w:name w:val="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0">
    <w:name w:val="正文文字 2"/>
    <w:basedOn w:val="264"/>
    <w:next w:val="264"/>
    <w:uiPriority w:val="0"/>
    <w:rPr>
      <w:rFonts w:ascii="宋体" w:eastAsia="宋体" w:cs="Times New Roman"/>
      <w:color w:val="auto"/>
    </w:rPr>
  </w:style>
  <w:style w:type="paragraph" w:customStyle="1" w:styleId="631">
    <w:name w:val="Body Copy"/>
    <w:basedOn w:val="1"/>
    <w:uiPriority w:val="0"/>
    <w:pPr>
      <w:widowControl/>
      <w:tabs>
        <w:tab w:val="left" w:pos="1584"/>
        <w:tab w:val="left" w:pos="1613"/>
        <w:tab w:val="left" w:pos="1728"/>
        <w:tab w:val="left" w:pos="1872"/>
        <w:tab w:val="left" w:pos="2016"/>
      </w:tabs>
      <w:adjustRightInd/>
      <w:spacing w:after="180" w:afterLines="0" w:line="240" w:lineRule="exact"/>
      <w:ind w:left="1440" w:right="115" w:firstLine="200" w:firstLineChars="200"/>
      <w:jc w:val="left"/>
    </w:pPr>
    <w:rPr>
      <w:rFonts w:ascii="Aldine401 BT" w:hAnsi="Aldine401 BT"/>
      <w:kern w:val="0"/>
      <w:sz w:val="20"/>
      <w:szCs w:val="20"/>
    </w:rPr>
  </w:style>
  <w:style w:type="paragraph" w:customStyle="1" w:styleId="632">
    <w:name w:val="Char Char Char Char Char Char Char1"/>
    <w:basedOn w:val="1"/>
    <w:uiPriority w:val="6"/>
    <w:rPr>
      <w:rFonts w:ascii="仿宋_GB2312" w:eastAsia="仿宋_GB2312"/>
      <w:b/>
      <w:sz w:val="32"/>
      <w:szCs w:val="32"/>
    </w:rPr>
  </w:style>
  <w:style w:type="paragraph" w:customStyle="1" w:styleId="633">
    <w:name w:val="Char Char1 Char Char Char1"/>
    <w:basedOn w:val="1"/>
    <w:uiPriority w:val="6"/>
    <w:rPr>
      <w:rFonts w:ascii="仿宋_GB2312" w:eastAsia="仿宋_GB2312"/>
      <w:b/>
      <w:sz w:val="32"/>
      <w:szCs w:val="20"/>
    </w:rPr>
  </w:style>
  <w:style w:type="paragraph" w:customStyle="1" w:styleId="634">
    <w:name w:val=" Char Char Char1 Char"/>
    <w:basedOn w:val="1"/>
    <w:uiPriority w:val="0"/>
    <w:rPr>
      <w:szCs w:val="20"/>
    </w:rPr>
  </w:style>
  <w:style w:type="paragraph" w:customStyle="1" w:styleId="635">
    <w:name w:val=" Char Char Char"/>
    <w:basedOn w:val="1"/>
    <w:uiPriority w:val="0"/>
    <w:rPr>
      <w:rFonts w:ascii="Tahoma" w:hAnsi="Tahoma"/>
      <w:sz w:val="24"/>
      <w:szCs w:val="20"/>
    </w:rPr>
  </w:style>
  <w:style w:type="paragraph" w:customStyle="1" w:styleId="636">
    <w:name w:val="Char Char Char Char Char Char Char Char"/>
    <w:basedOn w:val="1"/>
    <w:uiPriority w:val="0"/>
    <w:pPr>
      <w:tabs>
        <w:tab w:val="left" w:pos="360"/>
      </w:tabs>
    </w:pPr>
    <w:rPr>
      <w:sz w:val="24"/>
      <w:szCs w:val="20"/>
    </w:rPr>
  </w:style>
  <w:style w:type="paragraph" w:customStyle="1" w:styleId="637">
    <w:name w:val="Char3 Char Char1"/>
    <w:basedOn w:val="1"/>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8">
    <w:name w:val="Char1 Char Char Char4"/>
    <w:basedOn w:val="1"/>
    <w:uiPriority w:val="0"/>
    <w:pPr>
      <w:adjustRightInd/>
      <w:ind w:firstLine="200" w:firstLineChars="200"/>
    </w:pPr>
    <w:rPr>
      <w:rFonts w:ascii="Tahoma" w:hAnsi="Tahoma"/>
      <w:sz w:val="24"/>
      <w:szCs w:val="20"/>
    </w:rPr>
  </w:style>
  <w:style w:type="paragraph" w:customStyle="1" w:styleId="639">
    <w:name w:val="批注框文本 Char Char"/>
    <w:basedOn w:val="1"/>
    <w:uiPriority w:val="0"/>
    <w:pPr>
      <w:adjustRightInd/>
    </w:pPr>
    <w:rPr>
      <w:sz w:val="18"/>
      <w:szCs w:val="20"/>
    </w:rPr>
  </w:style>
  <w:style w:type="paragraph" w:customStyle="1" w:styleId="640">
    <w:name w:val="目录2"/>
    <w:basedOn w:val="1"/>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641">
    <w:name w:val="xl39"/>
    <w:basedOn w:val="1"/>
    <w:uiPriority w:val="0"/>
    <w:pPr>
      <w:widowControl/>
      <w:pBdr>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642">
    <w:name w:val="表格文字（大）"/>
    <w:basedOn w:val="1"/>
    <w:uiPriority w:val="0"/>
    <w:pPr>
      <w:adjustRightInd/>
      <w:spacing w:before="20" w:beforeLines="0" w:after="20" w:afterLines="0"/>
      <w:ind w:firstLine="200" w:firstLineChars="200"/>
    </w:pPr>
    <w:rPr>
      <w:rFonts w:ascii="Century Gothic" w:hAnsi="Century Gothic"/>
      <w:sz w:val="24"/>
      <w:szCs w:val="20"/>
    </w:rPr>
  </w:style>
  <w:style w:type="paragraph" w:customStyle="1" w:styleId="643">
    <w:name w:val="表格标题2"/>
    <w:basedOn w:val="616"/>
    <w:uiPriority w:val="0"/>
    <w:rPr>
      <w:b/>
    </w:rPr>
  </w:style>
  <w:style w:type="paragraph" w:customStyle="1" w:styleId="644">
    <w:name w:val="表格（小）"/>
    <w:basedOn w:val="1"/>
    <w:qFormat/>
    <w:uiPriority w:val="0"/>
    <w:pPr>
      <w:adjustRightInd/>
      <w:snapToGrid w:val="0"/>
      <w:spacing w:line="300" w:lineRule="auto"/>
    </w:pPr>
    <w:rPr>
      <w:rFonts w:eastAsia="仿宋"/>
      <w:szCs w:val="21"/>
    </w:rPr>
  </w:style>
  <w:style w:type="paragraph" w:customStyle="1" w:styleId="645">
    <w:name w:val="msonormal"/>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646">
    <w:name w:val="正文缩进1"/>
    <w:basedOn w:val="1"/>
    <w:next w:val="25"/>
    <w:qFormat/>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647">
    <w:name w:val="xl23"/>
    <w:basedOn w:val="1"/>
    <w:uiPriority w:val="0"/>
    <w:pPr>
      <w:widowControl/>
      <w:adjustRightInd/>
      <w:spacing w:before="100" w:beforeLines="0" w:beforeAutospacing="1" w:after="100" w:afterLines="0" w:afterAutospacing="1" w:line="360" w:lineRule="auto"/>
      <w:ind w:firstLine="200" w:firstLineChars="200"/>
      <w:textAlignment w:val="top"/>
    </w:pPr>
    <w:rPr>
      <w:kern w:val="0"/>
      <w:sz w:val="24"/>
    </w:rPr>
  </w:style>
  <w:style w:type="paragraph" w:customStyle="1" w:styleId="648">
    <w:name w:val="无间隔*"/>
    <w:uiPriority w:val="0"/>
    <w:pPr>
      <w:widowControl w:val="0"/>
      <w:jc w:val="both"/>
    </w:pPr>
    <w:rPr>
      <w:rFonts w:cs="Calibri"/>
      <w:color w:val="000000"/>
      <w:kern w:val="1"/>
      <w:sz w:val="21"/>
      <w:szCs w:val="22"/>
      <w:lang w:val="en-US" w:eastAsia="zh-CN" w:bidi="ar-SA"/>
    </w:rPr>
  </w:style>
  <w:style w:type="paragraph" w:customStyle="1" w:styleId="649">
    <w:name w:val="MM Topic 3"/>
    <w:basedOn w:val="5"/>
    <w:uiPriority w:val="0"/>
    <w:pPr>
      <w:numPr>
        <w:ilvl w:val="2"/>
        <w:numId w:val="5"/>
      </w:numPr>
      <w:adjustRightInd/>
    </w:pPr>
    <w:rPr>
      <w:lang w:val="en-US" w:eastAsia="zh-CN"/>
    </w:rPr>
  </w:style>
  <w:style w:type="paragraph" w:customStyle="1" w:styleId="650">
    <w:name w:val="List Paragraph*"/>
    <w:basedOn w:val="1"/>
    <w:uiPriority w:val="7"/>
    <w:pPr>
      <w:adjustRightInd/>
      <w:spacing w:line="360" w:lineRule="auto"/>
      <w:ind w:firstLine="420"/>
    </w:pPr>
    <w:rPr>
      <w:rFonts w:ascii="Calibri" w:hAnsi="Calibri" w:cs="Calibri"/>
      <w:color w:val="000000"/>
      <w:kern w:val="1"/>
      <w:sz w:val="24"/>
      <w:szCs w:val="22"/>
    </w:rPr>
  </w:style>
  <w:style w:type="paragraph" w:customStyle="1" w:styleId="651">
    <w:name w:val="font7"/>
    <w:basedOn w:val="1"/>
    <w:uiPriority w:val="0"/>
    <w:pPr>
      <w:widowControl/>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652">
    <w:name w:val="五级条标题"/>
    <w:basedOn w:val="607"/>
    <w:next w:val="523"/>
    <w:uiPriority w:val="0"/>
    <w:pPr>
      <w:numPr>
        <w:ilvl w:val="6"/>
        <w:numId w:val="5"/>
      </w:numPr>
      <w:tabs>
        <w:tab w:val="clear" w:pos="2940"/>
      </w:tabs>
      <w:outlineLvl w:val="6"/>
    </w:pPr>
  </w:style>
  <w:style w:type="paragraph" w:customStyle="1" w:styleId="653">
    <w:name w:val="MM Title"/>
    <w:basedOn w:val="58"/>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654">
    <w:name w:val="列出段落5"/>
    <w:basedOn w:val="1"/>
    <w:qFormat/>
    <w:uiPriority w:val="0"/>
    <w:pPr>
      <w:spacing w:line="360" w:lineRule="auto"/>
      <w:ind w:firstLine="200" w:firstLineChars="200"/>
    </w:pPr>
    <w:rPr>
      <w:rFonts w:eastAsia="楷体_GB2312" w:cs="Lucida Sans"/>
      <w:sz w:val="24"/>
    </w:rPr>
  </w:style>
  <w:style w:type="paragraph" w:customStyle="1" w:styleId="655">
    <w:name w:val="样式 正1 + 首行缩进:  2 字符"/>
    <w:basedOn w:val="1"/>
    <w:uiPriority w:val="0"/>
    <w:pPr>
      <w:adjustRightInd/>
      <w:spacing w:line="360" w:lineRule="auto"/>
      <w:ind w:firstLine="480" w:firstLineChars="200"/>
    </w:pPr>
    <w:rPr>
      <w:rFonts w:ascii="仿宋_GB2312" w:eastAsia="仿宋_GB2312"/>
      <w:sz w:val="24"/>
    </w:rPr>
  </w:style>
  <w:style w:type="paragraph" w:customStyle="1" w:styleId="656">
    <w:name w:val="Char2 Char Char1"/>
    <w:basedOn w:val="1"/>
    <w:uiPriority w:val="6"/>
    <w:pPr>
      <w:adjustRightInd/>
    </w:pPr>
    <w:rPr>
      <w:rFonts w:ascii="Tahoma" w:hAnsi="Tahoma"/>
      <w:sz w:val="24"/>
      <w:szCs w:val="20"/>
    </w:rPr>
  </w:style>
  <w:style w:type="paragraph" w:customStyle="1" w:styleId="657">
    <w:name w:val=" Char Char Char Char Char Char Char"/>
    <w:basedOn w:val="1"/>
    <w:uiPriority w:val="0"/>
    <w:rPr>
      <w:rFonts w:ascii="仿宋_GB2312" w:eastAsia="仿宋_GB2312"/>
      <w:b/>
      <w:sz w:val="32"/>
      <w:szCs w:val="32"/>
    </w:rPr>
  </w:style>
  <w:style w:type="paragraph" w:customStyle="1" w:styleId="658">
    <w:name w:val="样式 标题 4PIM 4H4h4bulletblbbH41H42H43H44H45H46H47H48...1"/>
    <w:basedOn w:val="6"/>
    <w:uiPriority w:val="0"/>
    <w:pPr>
      <w:widowControl/>
      <w:jc w:val="left"/>
    </w:pPr>
    <w:rPr>
      <w:rFonts w:cs="宋体"/>
      <w:sz w:val="24"/>
      <w:szCs w:val="20"/>
    </w:rPr>
  </w:style>
  <w:style w:type="paragraph" w:customStyle="1" w:styleId="659">
    <w:name w:val="Bulleted List"/>
    <w:basedOn w:val="1"/>
    <w:uiPriority w:val="0"/>
    <w:pPr>
      <w:tabs>
        <w:tab w:val="left" w:pos="1260"/>
      </w:tabs>
      <w:adjustRightInd/>
      <w:ind w:left="1260" w:hanging="420"/>
    </w:pPr>
  </w:style>
  <w:style w:type="paragraph" w:customStyle="1" w:styleId="660">
    <w:name w:val="Char1 Char Char Char5"/>
    <w:basedOn w:val="1"/>
    <w:uiPriority w:val="0"/>
    <w:pPr>
      <w:adjustRightInd/>
      <w:ind w:firstLine="200" w:firstLineChars="200"/>
    </w:pPr>
    <w:rPr>
      <w:rFonts w:ascii="Tahoma" w:hAnsi="Tahoma"/>
      <w:sz w:val="24"/>
      <w:szCs w:val="20"/>
    </w:rPr>
  </w:style>
  <w:style w:type="paragraph" w:customStyle="1" w:styleId="661">
    <w:name w:val="Char Char Char Char Char Char Char Char Char Char Char Char1 Char"/>
    <w:basedOn w:val="1"/>
    <w:uiPriority w:val="0"/>
    <w:rPr>
      <w:rFonts w:ascii="Tahoma" w:hAnsi="Tahoma" w:cs="仿宋_GB2312"/>
      <w:sz w:val="24"/>
      <w:szCs w:val="20"/>
    </w:rPr>
  </w:style>
  <w:style w:type="paragraph" w:customStyle="1" w:styleId="662">
    <w:name w:val="小项目标题"/>
    <w:basedOn w:val="1"/>
    <w:uiPriority w:val="0"/>
    <w:pPr>
      <w:adjustRightInd/>
      <w:spacing w:before="100" w:beforeLines="0" w:beforeAutospacing="1" w:after="100" w:afterLines="0" w:afterAutospacing="1" w:line="360" w:lineRule="auto"/>
      <w:ind w:left="480" w:leftChars="200" w:firstLine="200" w:firstLineChars="200"/>
      <w:jc w:val="left"/>
    </w:pPr>
    <w:rPr>
      <w:sz w:val="24"/>
    </w:rPr>
  </w:style>
  <w:style w:type="paragraph" w:customStyle="1" w:styleId="663">
    <w:name w:val="Char Char1 Char Char Char Char Char Char"/>
    <w:basedOn w:val="1"/>
    <w:uiPriority w:val="0"/>
    <w:rPr>
      <w:rFonts w:ascii="仿宋_GB2312" w:eastAsia="仿宋_GB2312"/>
      <w:b/>
      <w:sz w:val="32"/>
      <w:szCs w:val="20"/>
    </w:rPr>
  </w:style>
  <w:style w:type="paragraph" w:customStyle="1" w:styleId="664">
    <w:name w:val="首行缩进"/>
    <w:basedOn w:val="1"/>
    <w:uiPriority w:val="0"/>
    <w:pPr>
      <w:spacing w:line="360" w:lineRule="auto"/>
      <w:ind w:firstLine="480" w:firstLineChars="200"/>
    </w:pPr>
    <w:rPr>
      <w:rFonts w:ascii="宋体"/>
      <w:sz w:val="24"/>
      <w:szCs w:val="20"/>
    </w:rPr>
  </w:style>
  <w:style w:type="paragraph" w:customStyle="1" w:styleId="665">
    <w:name w:val="样式 微软雅黑 行距: 1.5 倍行距"/>
    <w:basedOn w:val="1"/>
    <w:uiPriority w:val="0"/>
    <w:pPr>
      <w:adjustRightInd/>
      <w:spacing w:line="360" w:lineRule="auto"/>
      <w:ind w:firstLine="480" w:firstLineChars="200"/>
    </w:pPr>
    <w:rPr>
      <w:rFonts w:ascii="微软雅黑" w:hAnsi="宋体" w:eastAsia="微软雅黑" w:cs="宋体"/>
      <w:sz w:val="24"/>
      <w:szCs w:val="20"/>
    </w:rPr>
  </w:style>
  <w:style w:type="paragraph" w:customStyle="1" w:styleId="666">
    <w:name w:val="List Paragraph"/>
    <w:basedOn w:val="1"/>
    <w:qFormat/>
    <w:uiPriority w:val="0"/>
    <w:pPr>
      <w:adjustRightInd/>
      <w:spacing w:line="360" w:lineRule="auto"/>
      <w:ind w:firstLine="420" w:firstLineChars="200"/>
    </w:pPr>
    <w:rPr>
      <w:rFonts w:ascii="Calibri" w:hAnsi="Calibri"/>
      <w:sz w:val="24"/>
      <w:szCs w:val="22"/>
    </w:rPr>
  </w:style>
  <w:style w:type="paragraph" w:customStyle="1" w:styleId="667">
    <w:name w:val="Thf"/>
    <w:basedOn w:val="459"/>
    <w:uiPriority w:val="0"/>
    <w:pPr>
      <w:ind w:left="0"/>
    </w:pPr>
  </w:style>
  <w:style w:type="paragraph" w:customStyle="1" w:styleId="668">
    <w:name w:val="style82 f9a f9a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669">
    <w:name w:val="Char1 Char Char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670">
    <w:name w:val="正文 A"/>
    <w:uiPriority w:val="0"/>
    <w:pPr>
      <w:widowControl w:val="0"/>
      <w:jc w:val="both"/>
    </w:pPr>
    <w:rPr>
      <w:rFonts w:eastAsia="Arial Unicode MS" w:cs="Arial Unicode MS"/>
      <w:color w:val="000000"/>
      <w:kern w:val="2"/>
      <w:sz w:val="21"/>
      <w:szCs w:val="21"/>
      <w:lang w:val="en-US" w:eastAsia="zh-CN" w:bidi="ar-SA"/>
    </w:rPr>
  </w:style>
  <w:style w:type="paragraph" w:customStyle="1" w:styleId="671">
    <w:name w:val="xl91"/>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72">
    <w:name w:val="xl6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73">
    <w:name w:val="小节"/>
    <w:basedOn w:val="5"/>
    <w:uiPriority w:val="0"/>
    <w:pPr>
      <w:numPr>
        <w:ilvl w:val="2"/>
        <w:numId w:val="0"/>
      </w:numPr>
      <w:adjustRightInd/>
      <w:spacing w:before="200" w:beforeLines="0" w:after="200" w:afterLines="0" w:line="560" w:lineRule="exact"/>
      <w:jc w:val="left"/>
    </w:pPr>
    <w:rPr>
      <w:rFonts w:ascii="宋体" w:hAnsi="宋体"/>
      <w:bCs w:val="0"/>
      <w:color w:val="000000"/>
      <w:spacing w:val="10"/>
      <w:kern w:val="24"/>
      <w:sz w:val="28"/>
      <w:lang w:val="en-US" w:eastAsia="zh-CN"/>
    </w:rPr>
  </w:style>
  <w:style w:type="paragraph" w:customStyle="1" w:styleId="674">
    <w:name w:val="Char Char1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styleId="675">
    <w:name w:val=""/>
    <w:uiPriority w:val="0"/>
    <w:rPr>
      <w:kern w:val="2"/>
      <w:sz w:val="21"/>
      <w:lang w:val="en-US" w:eastAsia="zh-CN" w:bidi="ar-SA"/>
    </w:rPr>
  </w:style>
  <w:style w:type="paragraph" w:customStyle="1" w:styleId="676">
    <w:name w:val="xl94"/>
    <w:basedOn w:val="1"/>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77">
    <w:name w:val="La0b"/>
    <w:basedOn w:val="1"/>
    <w:uiPriority w:val="0"/>
    <w:pPr>
      <w:tabs>
        <w:tab w:val="left" w:pos="1500"/>
      </w:tabs>
      <w:adjustRightInd/>
      <w:spacing w:after="100" w:afterLines="0" w:line="240" w:lineRule="exact"/>
      <w:ind w:left="1500" w:hanging="420" w:firstLineChars="200"/>
    </w:pPr>
    <w:rPr>
      <w:rFonts w:ascii="宋体" w:hAnsi="宋体" w:eastAsia="微软雅黑"/>
      <w:b/>
      <w:sz w:val="24"/>
      <w:szCs w:val="20"/>
    </w:rPr>
  </w:style>
  <w:style w:type="paragraph" w:customStyle="1" w:styleId="678">
    <w:name w:val="正文4"/>
    <w:basedOn w:val="1"/>
    <w:uiPriority w:val="0"/>
    <w:pPr>
      <w:tabs>
        <w:tab w:val="left" w:pos="720"/>
      </w:tabs>
      <w:adjustRightInd/>
      <w:spacing w:before="60" w:beforeLines="0" w:after="60" w:afterLines="0" w:line="360" w:lineRule="auto"/>
      <w:ind w:left="575" w:leftChars="400" w:hanging="175" w:hangingChars="175"/>
    </w:pPr>
    <w:rPr>
      <w:sz w:val="24"/>
    </w:rPr>
  </w:style>
  <w:style w:type="paragraph" w:customStyle="1" w:styleId="679">
    <w:name w:val="样式 首行缩进:  0 字符"/>
    <w:basedOn w:val="1"/>
    <w:uiPriority w:val="0"/>
    <w:pPr>
      <w:adjustRightInd/>
      <w:spacing w:line="360" w:lineRule="auto"/>
      <w:ind w:firstLine="200" w:firstLineChars="200"/>
    </w:pPr>
    <w:rPr>
      <w:rFonts w:ascii="Arial" w:hAnsi="Arial" w:cs="宋体"/>
      <w:sz w:val="24"/>
      <w:szCs w:val="20"/>
    </w:rPr>
  </w:style>
  <w:style w:type="paragraph" w:customStyle="1" w:styleId="680">
    <w:name w:val="Char21"/>
    <w:basedOn w:val="1"/>
    <w:uiPriority w:val="0"/>
    <w:pPr>
      <w:adjustRightInd/>
      <w:ind w:firstLine="200" w:firstLineChars="200"/>
    </w:pPr>
    <w:rPr>
      <w:rFonts w:ascii="仿宋_GB2312" w:eastAsia="仿宋_GB2312"/>
      <w:b/>
      <w:sz w:val="32"/>
      <w:szCs w:val="32"/>
    </w:rPr>
  </w:style>
  <w:style w:type="paragraph" w:customStyle="1" w:styleId="681">
    <w:name w:val="ÕýÎÄÊ×ÐÐËõ½ø"/>
    <w:basedOn w:val="1"/>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82">
    <w:name w:val="表格标题1"/>
    <w:basedOn w:val="1"/>
    <w:uiPriority w:val="0"/>
    <w:pPr>
      <w:adjustRightInd/>
      <w:spacing w:line="360" w:lineRule="auto"/>
      <w:jc w:val="center"/>
    </w:pPr>
    <w:rPr>
      <w:rFonts w:ascii="宋体" w:hAnsi="宋体" w:cs="宋体"/>
      <w:b/>
      <w:bCs/>
      <w:color w:val="000000"/>
      <w:sz w:val="24"/>
      <w:szCs w:val="21"/>
    </w:rPr>
  </w:style>
  <w:style w:type="paragraph" w:customStyle="1" w:styleId="683">
    <w:name w:val="Bullet with text 4"/>
    <w:basedOn w:val="1"/>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84">
    <w:name w:val="文章附标题"/>
    <w:basedOn w:val="1"/>
    <w:uiPriority w:val="0"/>
    <w:pPr>
      <w:autoSpaceDE w:val="0"/>
      <w:autoSpaceDN w:val="0"/>
      <w:spacing w:before="187" w:beforeLines="0" w:after="175" w:afterLines="0" w:line="374" w:lineRule="atLeast"/>
      <w:ind w:firstLine="200" w:firstLineChars="200"/>
      <w:jc w:val="center"/>
    </w:pPr>
    <w:rPr>
      <w:color w:val="000000"/>
      <w:kern w:val="0"/>
      <w:sz w:val="36"/>
      <w:szCs w:val="36"/>
    </w:rPr>
  </w:style>
  <w:style w:type="paragraph" w:customStyle="1" w:styleId="685">
    <w:name w:val="正文首行缩进1"/>
    <w:basedOn w:val="2"/>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customStyle="1" w:styleId="686">
    <w:name w:val="默认段落字体 Para Char Char Char1 Char"/>
    <w:basedOn w:val="1"/>
    <w:uiPriority w:val="0"/>
    <w:pPr>
      <w:spacing w:line="240" w:lineRule="atLeast"/>
      <w:ind w:left="420" w:firstLine="420"/>
    </w:pPr>
    <w:rPr>
      <w:sz w:val="24"/>
    </w:rPr>
  </w:style>
  <w:style w:type="paragraph" w:customStyle="1" w:styleId="687">
    <w:name w:val="Char3 Char Char"/>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88">
    <w:name w:val="xl75"/>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89">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90">
    <w:name w:val="font6"/>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20"/>
      <w:szCs w:val="20"/>
    </w:rPr>
  </w:style>
  <w:style w:type="paragraph" w:customStyle="1" w:styleId="691">
    <w:name w:val="Char Char Char Char11"/>
    <w:basedOn w:val="1"/>
    <w:uiPriority w:val="0"/>
    <w:rPr>
      <w:rFonts w:ascii="Tahoma" w:hAnsi="Tahoma"/>
      <w:sz w:val="24"/>
      <w:szCs w:val="20"/>
    </w:rPr>
  </w:style>
  <w:style w:type="paragraph" w:customStyle="1" w:styleId="692">
    <w:name w:val="Char Char112"/>
    <w:basedOn w:val="1"/>
    <w:uiPriority w:val="6"/>
    <w:pPr>
      <w:widowControl/>
      <w:spacing w:after="160" w:line="240" w:lineRule="exact"/>
      <w:jc w:val="left"/>
    </w:pPr>
    <w:rPr>
      <w:rFonts w:eastAsia="仿宋_GB2312"/>
      <w:sz w:val="28"/>
    </w:rPr>
  </w:style>
  <w:style w:type="paragraph" w:customStyle="1" w:styleId="693">
    <w:name w:val="默认段落样式"/>
    <w:basedOn w:val="414"/>
    <w:qFormat/>
    <w:uiPriority w:val="0"/>
    <w:pPr>
      <w:spacing w:before="0" w:beforeLines="0"/>
      <w:ind w:firstLine="480"/>
      <w:outlineLvl w:val="2"/>
    </w:pPr>
    <w:rPr>
      <w:rFonts w:ascii="仿宋_GB2312" w:hAnsi="宋体" w:eastAsia="仿宋_GB2312"/>
      <w:color w:val="000000"/>
      <w:szCs w:val="24"/>
    </w:rPr>
  </w:style>
  <w:style w:type="paragraph" w:customStyle="1" w:styleId="694">
    <w:name w:val=" Char"/>
    <w:basedOn w:val="1"/>
    <w:uiPriority w:val="0"/>
    <w:rPr>
      <w:rFonts w:ascii="仿宋_GB2312" w:eastAsia="仿宋_GB2312"/>
      <w:b/>
      <w:sz w:val="32"/>
      <w:szCs w:val="32"/>
    </w:rPr>
  </w:style>
  <w:style w:type="paragraph" w:customStyle="1" w:styleId="695">
    <w:name w:val="subhead 2"/>
    <w:uiPriority w:val="0"/>
    <w:pPr>
      <w:spacing w:after="60" w:line="240" w:lineRule="exact"/>
    </w:pPr>
    <w:rPr>
      <w:rFonts w:ascii="Arial" w:hAnsi="Arial"/>
      <w:b/>
      <w:sz w:val="22"/>
      <w:lang w:val="en-US" w:eastAsia="en-US" w:bidi="ar-SA"/>
    </w:rPr>
  </w:style>
  <w:style w:type="paragraph" w:customStyle="1" w:styleId="696">
    <w:name w:val="修订2"/>
    <w:uiPriority w:val="0"/>
    <w:rPr>
      <w:kern w:val="2"/>
      <w:sz w:val="21"/>
      <w:lang w:val="en-US" w:eastAsia="zh-CN" w:bidi="ar-SA"/>
    </w:rPr>
  </w:style>
  <w:style w:type="paragraph" w:customStyle="1" w:styleId="697">
    <w:name w:val=" Char Char Char Char Char Char Char Char Char Char"/>
    <w:basedOn w:val="1"/>
    <w:uiPriority w:val="0"/>
    <w:rPr>
      <w:rFonts w:ascii="仿宋_GB2312" w:eastAsia="仿宋_GB2312"/>
      <w:b/>
      <w:sz w:val="32"/>
      <w:szCs w:val="32"/>
    </w:rPr>
  </w:style>
  <w:style w:type="paragraph" w:customStyle="1" w:styleId="698">
    <w:name w:val="Bulleting First Indent 1"/>
    <w:basedOn w:val="60"/>
    <w:uiPriority w:val="0"/>
    <w:pPr>
      <w:tabs>
        <w:tab w:val="left" w:pos="840"/>
      </w:tabs>
      <w:autoSpaceDE/>
      <w:autoSpaceDN/>
      <w:adjustRightInd/>
      <w:spacing w:before="20" w:after="20" w:line="300" w:lineRule="auto"/>
      <w:ind w:left="840" w:hanging="420"/>
    </w:pPr>
    <w:rPr>
      <w:rFonts w:ascii="Tahoma" w:hAnsi="Tahoma"/>
      <w:kern w:val="0"/>
      <w:sz w:val="21"/>
      <w:szCs w:val="21"/>
      <w:lang w:val="en-US" w:eastAsia="zh-CN"/>
    </w:rPr>
  </w:style>
  <w:style w:type="paragraph" w:customStyle="1" w:styleId="699">
    <w:name w:val="标1"/>
    <w:basedOn w:val="1"/>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00">
    <w:name w:val="标题 41"/>
    <w:basedOn w:val="1"/>
    <w:next w:val="1"/>
    <w:unhideWhenUsed/>
    <w:qFormat/>
    <w:uiPriority w:val="9"/>
    <w:pPr>
      <w:keepNext/>
      <w:keepLines/>
      <w:adjustRightInd/>
      <w:spacing w:before="280" w:beforeLines="0" w:after="290" w:afterLines="0" w:line="376" w:lineRule="auto"/>
      <w:outlineLvl w:val="3"/>
    </w:pPr>
    <w:rPr>
      <w:rFonts w:ascii="Cambria" w:hAnsi="Cambria"/>
      <w:b/>
      <w:bCs/>
      <w:sz w:val="28"/>
      <w:szCs w:val="28"/>
    </w:rPr>
  </w:style>
  <w:style w:type="paragraph" w:customStyle="1" w:styleId="701">
    <w:name w:val="表格项目符号 2"/>
    <w:basedOn w:val="29"/>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702">
    <w:name w:val="aspnumfaautoadjustrightr"/>
    <w:uiPriority w:val="0"/>
    <w:pPr>
      <w:widowControl w:val="0"/>
      <w:autoSpaceDE w:val="0"/>
      <w:autoSpaceDN w:val="0"/>
      <w:adjustRightInd w:val="0"/>
      <w:ind w:firstLine="720"/>
      <w:jc w:val="both"/>
    </w:pPr>
    <w:rPr>
      <w:lang w:val="en-US" w:eastAsia="zh-CN" w:bidi="ar-SA"/>
    </w:rPr>
  </w:style>
  <w:style w:type="paragraph" w:customStyle="1" w:styleId="7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04">
    <w:name w:val="Char Char1 Char Char1 Char Char1"/>
    <w:basedOn w:val="1"/>
    <w:uiPriority w:val="0"/>
    <w:pPr>
      <w:tabs>
        <w:tab w:val="left" w:pos="840"/>
      </w:tabs>
      <w:ind w:left="840" w:hanging="420"/>
    </w:pPr>
    <w:rPr>
      <w:rFonts w:ascii="Tahoma" w:hAnsi="Tahoma"/>
      <w:sz w:val="24"/>
    </w:rPr>
  </w:style>
  <w:style w:type="paragraph" w:customStyle="1" w:styleId="705">
    <w:name w:val="目录3"/>
    <w:basedOn w:val="1"/>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06">
    <w:name w:val="表文字"/>
    <w:uiPriority w:val="0"/>
    <w:rPr>
      <w:rFonts w:ascii="宋体"/>
      <w:kern w:val="2"/>
      <w:lang w:val="en-US" w:eastAsia="zh-CN" w:bidi="ar-SA"/>
    </w:rPr>
  </w:style>
  <w:style w:type="paragraph" w:customStyle="1" w:styleId="707">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708">
    <w:name w:val="Char3 Char Char Char1"/>
    <w:basedOn w:val="1"/>
    <w:uiPriority w:val="6"/>
    <w:pPr>
      <w:widowControl/>
      <w:adjustRightInd/>
      <w:spacing w:after="160" w:line="240" w:lineRule="exact"/>
      <w:jc w:val="left"/>
    </w:pPr>
    <w:rPr>
      <w:szCs w:val="20"/>
    </w:rPr>
  </w:style>
  <w:style w:type="paragraph" w:customStyle="1" w:styleId="709">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710">
    <w:name w:val="TOC 标题11"/>
    <w:basedOn w:val="3"/>
    <w:next w:val="1"/>
    <w:unhideWhenUsed/>
    <w:qFormat/>
    <w:uiPriority w:val="4"/>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711">
    <w:name w:val="样式 仿宋_GB2312 三号 加粗 黑色 居中 行距: 1.5 倍行距"/>
    <w:basedOn w:val="1"/>
    <w:uiPriority w:val="0"/>
    <w:pPr>
      <w:spacing w:line="360" w:lineRule="auto"/>
      <w:jc w:val="center"/>
    </w:pPr>
    <w:rPr>
      <w:rFonts w:ascii="仿宋_GB2312" w:eastAsia="仿宋_GB2312" w:cs="宋体"/>
      <w:b/>
      <w:bCs/>
      <w:color w:val="000000"/>
      <w:sz w:val="28"/>
      <w:szCs w:val="20"/>
    </w:rPr>
  </w:style>
  <w:style w:type="paragraph" w:customStyle="1" w:styleId="712">
    <w:name w:val="xl3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713">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1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715">
    <w:name w:val="4"/>
    <w:basedOn w:val="1"/>
    <w:next w:val="37"/>
    <w:uiPriority w:val="0"/>
    <w:pPr>
      <w:spacing w:after="120" w:afterLines="0" w:line="480" w:lineRule="auto"/>
      <w:ind w:left="420" w:leftChars="200"/>
    </w:pPr>
    <w:rPr>
      <w:sz w:val="24"/>
      <w:szCs w:val="20"/>
    </w:rPr>
  </w:style>
  <w:style w:type="paragraph" w:customStyle="1" w:styleId="716">
    <w:name w:val="Char Char Char1 Char1"/>
    <w:basedOn w:val="1"/>
    <w:uiPriority w:val="6"/>
    <w:rPr>
      <w:szCs w:val="20"/>
    </w:rPr>
  </w:style>
  <w:style w:type="paragraph" w:customStyle="1" w:styleId="717">
    <w:name w:val="样式1 + (中宋体"/>
    <w:basedOn w:val="508"/>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18">
    <w:name w:val="正文 首行缩进:  2 字符 Char"/>
    <w:basedOn w:val="1"/>
    <w:uiPriority w:val="0"/>
    <w:pPr>
      <w:adjustRightInd/>
      <w:spacing w:line="360" w:lineRule="auto"/>
      <w:ind w:firstLine="480"/>
    </w:pPr>
    <w:rPr>
      <w:rFonts w:cs="宋体"/>
      <w:sz w:val="24"/>
      <w:szCs w:val="20"/>
    </w:rPr>
  </w:style>
  <w:style w:type="paragraph" w:customStyle="1" w:styleId="719">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20">
    <w:name w:val="Char Char11 Char Char Char Char Char Char Char Char Char Char Char1"/>
    <w:basedOn w:val="1"/>
    <w:uiPriority w:val="6"/>
    <w:pPr>
      <w:adjustRightInd/>
      <w:spacing w:line="360" w:lineRule="auto"/>
    </w:pPr>
    <w:rPr>
      <w:rFonts w:ascii="Arial" w:hAnsi="Arial" w:eastAsia="黑体" w:cs="Arial"/>
      <w:snapToGrid w:val="0"/>
      <w:kern w:val="0"/>
      <w:szCs w:val="21"/>
    </w:rPr>
  </w:style>
  <w:style w:type="paragraph" w:customStyle="1" w:styleId="721">
    <w:name w:val="xl74"/>
    <w:basedOn w:val="1"/>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722">
    <w:name w:val="四号　首行缩进"/>
    <w:basedOn w:val="1"/>
    <w:uiPriority w:val="0"/>
    <w:pPr>
      <w:adjustRightInd/>
      <w:spacing w:line="360" w:lineRule="auto"/>
    </w:pPr>
    <w:rPr>
      <w:rFonts w:ascii="宋体" w:hAnsi="宋体"/>
      <w:szCs w:val="20"/>
    </w:rPr>
  </w:style>
  <w:style w:type="paragraph" w:customStyle="1" w:styleId="723">
    <w:name w:val="MM Empty"/>
    <w:basedOn w:val="1"/>
    <w:uiPriority w:val="0"/>
    <w:pPr>
      <w:adjustRightInd/>
    </w:pPr>
  </w:style>
  <w:style w:type="paragraph" w:customStyle="1" w:styleId="724">
    <w:name w:val="Char Char Char Char Char Char Char"/>
    <w:basedOn w:val="1"/>
    <w:uiPriority w:val="0"/>
    <w:rPr>
      <w:rFonts w:ascii="仿宋_GB2312" w:eastAsia="仿宋_GB2312"/>
      <w:b/>
      <w:sz w:val="32"/>
      <w:szCs w:val="32"/>
    </w:rPr>
  </w:style>
  <w:style w:type="paragraph" w:customStyle="1" w:styleId="725">
    <w:name w:val="Char Char110"/>
    <w:basedOn w:val="1"/>
    <w:uiPriority w:val="6"/>
    <w:pPr>
      <w:spacing w:line="360" w:lineRule="auto"/>
    </w:pPr>
    <w:rPr>
      <w:rFonts w:ascii="Tahoma" w:hAnsi="Tahoma"/>
      <w:sz w:val="24"/>
      <w:szCs w:val="20"/>
    </w:rPr>
  </w:style>
  <w:style w:type="paragraph" w:customStyle="1" w:styleId="726">
    <w:name w:val="有符号正文"/>
    <w:basedOn w:val="1"/>
    <w:uiPriority w:val="0"/>
    <w:pPr>
      <w:adjustRightInd/>
      <w:spacing w:line="400" w:lineRule="exact"/>
      <w:ind w:firstLine="200" w:firstLineChars="200"/>
    </w:pPr>
    <w:rPr>
      <w:rFonts w:ascii="Arial" w:hAnsi="Arial"/>
    </w:rPr>
  </w:style>
  <w:style w:type="paragraph" w:customStyle="1" w:styleId="727">
    <w:name w:val="Char Char11 Char Char Char"/>
    <w:basedOn w:val="1"/>
    <w:uiPriority w:val="0"/>
    <w:pPr>
      <w:spacing w:line="360" w:lineRule="auto"/>
    </w:pPr>
    <w:rPr>
      <w:szCs w:val="20"/>
    </w:rPr>
  </w:style>
  <w:style w:type="paragraph" w:customStyle="1" w:styleId="728">
    <w:name w:val="前言、引言标题"/>
    <w:next w:val="1"/>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729">
    <w:name w:val="样式 正文文本缩进 + 左侧:  2 字符 首行缩进:  2 字符"/>
    <w:basedOn w:val="25"/>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730">
    <w:name w:val="xl31"/>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731">
    <w:name w:val="Char Char"/>
    <w:basedOn w:val="1"/>
    <w:uiPriority w:val="0"/>
    <w:pPr>
      <w:spacing w:line="360" w:lineRule="auto"/>
    </w:pPr>
    <w:rPr>
      <w:rFonts w:ascii="Tahoma" w:hAnsi="Tahoma"/>
      <w:sz w:val="24"/>
      <w:szCs w:val="20"/>
    </w:rPr>
  </w:style>
  <w:style w:type="paragraph" w:customStyle="1" w:styleId="732">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733">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734">
    <w:name w:val="EB_表格"/>
    <w:basedOn w:val="1"/>
    <w:uiPriority w:val="0"/>
    <w:pPr>
      <w:adjustRightInd/>
      <w:spacing w:line="300" w:lineRule="auto"/>
      <w:jc w:val="center"/>
    </w:pPr>
  </w:style>
  <w:style w:type="paragraph" w:customStyle="1" w:styleId="735">
    <w:name w:val="Char Char4 Char Char"/>
    <w:basedOn w:val="1"/>
    <w:uiPriority w:val="0"/>
    <w:pPr>
      <w:widowControl/>
      <w:adjustRightInd/>
      <w:spacing w:after="160" w:line="240" w:lineRule="exact"/>
      <w:jc w:val="left"/>
    </w:pPr>
  </w:style>
  <w:style w:type="paragraph" w:customStyle="1" w:styleId="736">
    <w:name w:val="Char3 Char Char Char Char Char Char1"/>
    <w:basedOn w:val="1"/>
    <w:uiPriority w:val="6"/>
    <w:pPr>
      <w:adjustRightInd/>
      <w:spacing w:line="360" w:lineRule="auto"/>
    </w:pPr>
    <w:rPr>
      <w:rFonts w:ascii="Arial" w:hAnsi="Arial" w:eastAsia="黑体" w:cs="Arial"/>
      <w:snapToGrid w:val="0"/>
      <w:kern w:val="0"/>
      <w:szCs w:val="21"/>
    </w:rPr>
  </w:style>
  <w:style w:type="paragraph" w:customStyle="1" w:styleId="737">
    <w:name w:val="xl43"/>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738">
    <w:name w:val="Char Char11 Char Char Char Char Char Char Char Char Char"/>
    <w:basedOn w:val="1"/>
    <w:uiPriority w:val="0"/>
    <w:pPr>
      <w:spacing w:line="360" w:lineRule="auto"/>
    </w:pPr>
    <w:rPr>
      <w:szCs w:val="20"/>
    </w:rPr>
  </w:style>
  <w:style w:type="paragraph" w:customStyle="1" w:styleId="739">
    <w:name w:val="表格"/>
    <w:basedOn w:val="1"/>
    <w:uiPriority w:val="0"/>
    <w:pPr>
      <w:snapToGrid w:val="0"/>
      <w:ind w:firstLine="42" w:firstLineChars="21"/>
    </w:pPr>
    <w:rPr>
      <w:rFonts w:ascii="宋体" w:hAnsi="宋体"/>
      <w:kern w:val="0"/>
      <w:sz w:val="20"/>
      <w:szCs w:val="20"/>
    </w:rPr>
  </w:style>
  <w:style w:type="paragraph" w:customStyle="1" w:styleId="740">
    <w:name w:val=" Char2 Char Char"/>
    <w:basedOn w:val="1"/>
    <w:uiPriority w:val="0"/>
    <w:pPr>
      <w:adjustRightInd/>
    </w:pPr>
    <w:rPr>
      <w:rFonts w:ascii="Tahoma" w:hAnsi="Tahoma"/>
      <w:sz w:val="24"/>
      <w:szCs w:val="20"/>
    </w:rPr>
  </w:style>
  <w:style w:type="paragraph" w:customStyle="1" w:styleId="74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42">
    <w:name w:val="xl8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3">
    <w:name w:val="U_编号2"/>
    <w:basedOn w:val="1"/>
    <w:uiPriority w:val="0"/>
    <w:pPr>
      <w:tabs>
        <w:tab w:val="left" w:pos="785"/>
      </w:tabs>
      <w:adjustRightInd/>
      <w:spacing w:beforeLines="10" w:afterLines="10" w:line="300" w:lineRule="auto"/>
    </w:pPr>
    <w:rPr>
      <w:sz w:val="24"/>
    </w:rPr>
  </w:style>
  <w:style w:type="paragraph" w:customStyle="1" w:styleId="744">
    <w:name w:val=" Char Char11 Char Char Char"/>
    <w:basedOn w:val="1"/>
    <w:uiPriority w:val="0"/>
    <w:pPr>
      <w:spacing w:line="360" w:lineRule="auto"/>
    </w:pPr>
    <w:rPr>
      <w:szCs w:val="20"/>
    </w:rPr>
  </w:style>
  <w:style w:type="paragraph" w:customStyle="1" w:styleId="745">
    <w:name w:val="样式7"/>
    <w:basedOn w:val="746"/>
    <w:next w:val="1"/>
    <w:qFormat/>
    <w:uiPriority w:val="0"/>
    <w:pPr>
      <w:spacing w:after="156" w:afterLines="50"/>
      <w:jc w:val="left"/>
      <w:outlineLvl w:val="3"/>
    </w:pPr>
    <w:rPr>
      <w:sz w:val="24"/>
      <w:szCs w:val="24"/>
    </w:rPr>
  </w:style>
  <w:style w:type="paragraph" w:customStyle="1" w:styleId="7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747">
    <w:name w:val="数字标题6"/>
    <w:basedOn w:val="9"/>
    <w:next w:val="1"/>
    <w:uiPriority w:val="0"/>
    <w:pPr>
      <w:numPr>
        <w:ilvl w:val="5"/>
        <w:numId w:val="7"/>
      </w:numPr>
    </w:pPr>
    <w:rPr>
      <w:rFonts w:ascii="Times New Roman" w:hAnsi="Times New Roman" w:eastAsia="宋体"/>
      <w:i/>
    </w:rPr>
  </w:style>
  <w:style w:type="paragraph" w:customStyle="1" w:styleId="748">
    <w:name w:val="目录4"/>
    <w:basedOn w:val="1"/>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749">
    <w:name w:val="正文首行缩进两字"/>
    <w:uiPriority w:val="0"/>
    <w:pPr>
      <w:spacing w:after="156" w:afterLines="50" w:line="300" w:lineRule="auto"/>
      <w:ind w:right="210" w:rightChars="100" w:firstLine="523" w:firstLineChars="218"/>
    </w:pPr>
    <w:rPr>
      <w:sz w:val="24"/>
      <w:szCs w:val="24"/>
      <w:lang w:val="en-US" w:eastAsia="zh-CN" w:bidi="ar-SA"/>
    </w:rPr>
  </w:style>
  <w:style w:type="paragraph" w:customStyle="1" w:styleId="750">
    <w:name w:val="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751">
    <w:name w:val="xl3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752">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753">
    <w:name w:val="样式9"/>
    <w:basedOn w:val="1"/>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754">
    <w:name w:val="Char1 Char Char Char1"/>
    <w:basedOn w:val="1"/>
    <w:uiPriority w:val="0"/>
    <w:pPr>
      <w:adjustRightInd/>
      <w:ind w:firstLine="200" w:firstLineChars="200"/>
    </w:pPr>
    <w:rPr>
      <w:rFonts w:ascii="Tahoma" w:hAnsi="Tahoma"/>
      <w:sz w:val="24"/>
      <w:szCs w:val="20"/>
    </w:rPr>
  </w:style>
  <w:style w:type="paragraph" w:customStyle="1" w:styleId="755">
    <w:name w:val="_正文段落"/>
    <w:basedOn w:val="1"/>
    <w:qFormat/>
    <w:uiPriority w:val="0"/>
    <w:pPr>
      <w:adjustRightInd/>
      <w:ind w:firstLine="560"/>
    </w:pPr>
    <w:rPr>
      <w:rFonts w:ascii="仿宋_GB2312" w:hAnsi="仿宋" w:eastAsia="仿宋_GB2312"/>
      <w:kern w:val="0"/>
      <w:sz w:val="28"/>
      <w:szCs w:val="28"/>
    </w:rPr>
  </w:style>
  <w:style w:type="paragraph" w:customStyle="1" w:styleId="756">
    <w:name w:val=" Char Char28"/>
    <w:basedOn w:val="1"/>
    <w:uiPriority w:val="0"/>
    <w:pPr>
      <w:adjustRightInd/>
      <w:snapToGrid w:val="0"/>
      <w:spacing w:line="360" w:lineRule="auto"/>
    </w:pPr>
    <w:rPr>
      <w:rFonts w:ascii="Arial" w:hAnsi="Arial" w:eastAsia="黑体"/>
      <w:snapToGrid w:val="0"/>
      <w:kern w:val="0"/>
      <w:sz w:val="20"/>
      <w:szCs w:val="21"/>
      <w:lang/>
    </w:rPr>
  </w:style>
  <w:style w:type="paragraph" w:customStyle="1" w:styleId="757">
    <w:name w:val="方形箭头"/>
    <w:basedOn w:val="1"/>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58">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759">
    <w:name w:val="Char Char11 Char Char Char1"/>
    <w:basedOn w:val="1"/>
    <w:uiPriority w:val="6"/>
    <w:pPr>
      <w:spacing w:line="360" w:lineRule="auto"/>
    </w:pPr>
    <w:rPr>
      <w:szCs w:val="20"/>
    </w:rPr>
  </w:style>
  <w:style w:type="paragraph" w:customStyle="1" w:styleId="760">
    <w:name w:val="中文标题 3"/>
    <w:basedOn w:val="25"/>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61">
    <w:name w:val="xl72"/>
    <w:basedOn w:val="1"/>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62">
    <w:name w:val="默认段落字体 Para Char Char Char Char Char Char Char"/>
    <w:basedOn w:val="1"/>
    <w:uiPriority w:val="0"/>
    <w:rPr>
      <w:rFonts w:eastAsia="仿宋_GB2312"/>
      <w:sz w:val="28"/>
      <w:szCs w:val="20"/>
    </w:rPr>
  </w:style>
  <w:style w:type="paragraph" w:customStyle="1" w:styleId="763">
    <w:name w:val=" Char3"/>
    <w:basedOn w:val="1"/>
    <w:uiPriority w:val="0"/>
    <w:pPr>
      <w:adjustRightInd/>
    </w:pPr>
    <w:rPr>
      <w:rFonts w:ascii="仿宋_GB2312" w:eastAsia="仿宋_GB2312"/>
      <w:b/>
      <w:sz w:val="32"/>
      <w:szCs w:val="32"/>
    </w:rPr>
  </w:style>
  <w:style w:type="paragraph" w:customStyle="1" w:styleId="764">
    <w:name w:val="样式 列表编号 + 段后: 0.5 行"/>
    <w:basedOn w:val="16"/>
    <w:uiPriority w:val="2"/>
    <w:pPr>
      <w:tabs>
        <w:tab w:val="clear" w:pos="390"/>
        <w:tab w:val="clear" w:pos="454"/>
      </w:tabs>
      <w:spacing w:after="0"/>
      <w:ind w:left="840" w:hanging="420"/>
      <w:contextualSpacing/>
    </w:pPr>
    <w:rPr>
      <w:rFonts w:cs="宋体"/>
    </w:rPr>
  </w:style>
  <w:style w:type="paragraph" w:customStyle="1" w:styleId="765">
    <w:name w:val="方案正文"/>
    <w:basedOn w:val="1"/>
    <w:qFormat/>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766">
    <w:name w:val="xl2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767">
    <w:name w:val="样式 标题 22h2L1 Heading 2H2sect 1.2H21sect 1.21H22sect 1.2..."/>
    <w:basedOn w:val="4"/>
    <w:next w:val="1"/>
    <w:uiPriority w:val="0"/>
    <w:pPr>
      <w:numPr>
        <w:ilvl w:val="0"/>
        <w:numId w:val="0"/>
      </w:numPr>
      <w:tabs>
        <w:tab w:val="left" w:pos="425"/>
        <w:tab w:val="clear" w:pos="432"/>
      </w:tabs>
      <w:spacing w:before="260" w:beforeLines="0" w:after="260" w:afterLines="0" w:line="415" w:lineRule="auto"/>
      <w:ind w:left="425" w:hanging="425"/>
    </w:pPr>
    <w:rPr>
      <w:rFonts w:ascii="微软雅黑" w:hAnsi="微软雅黑" w:eastAsia="微软雅黑"/>
      <w:sz w:val="32"/>
      <w:szCs w:val="32"/>
      <w:lang w:val="en-US"/>
    </w:rPr>
  </w:style>
  <w:style w:type="paragraph" w:customStyle="1" w:styleId="768">
    <w:name w:val="Char Char1 Char Char Char Char Char Char Char Char Char Char Char Char Char Char Char"/>
    <w:basedOn w:val="1"/>
    <w:uiPriority w:val="0"/>
    <w:pPr>
      <w:widowControl/>
      <w:adjustRightInd/>
      <w:spacing w:after="160" w:afterLines="0" w:line="240" w:lineRule="exact"/>
      <w:ind w:firstLine="200" w:firstLineChars="200"/>
      <w:jc w:val="left"/>
    </w:pPr>
    <w:rPr>
      <w:rFonts w:ascii="Verdana" w:hAnsi="Verdana"/>
      <w:kern w:val="0"/>
      <w:sz w:val="20"/>
      <w:szCs w:val="20"/>
      <w:lang w:eastAsia="en-US"/>
    </w:rPr>
  </w:style>
  <w:style w:type="paragraph" w:customStyle="1" w:styleId="769">
    <w:name w:val="注释"/>
    <w:basedOn w:val="1"/>
    <w:uiPriority w:val="0"/>
    <w:pPr>
      <w:adjustRightInd/>
      <w:spacing w:line="360" w:lineRule="auto"/>
      <w:ind w:firstLine="480"/>
    </w:pPr>
    <w:rPr>
      <w:sz w:val="24"/>
    </w:rPr>
  </w:style>
  <w:style w:type="paragraph" w:customStyle="1" w:styleId="770">
    <w:name w:val="xl77"/>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71">
    <w:name w:val="CM14"/>
    <w:basedOn w:val="264"/>
    <w:next w:val="264"/>
    <w:uiPriority w:val="0"/>
    <w:pPr>
      <w:spacing w:after="68" w:afterLines="0"/>
    </w:pPr>
    <w:rPr>
      <w:rFonts w:ascii="FHLHE E+ Futura Bk" w:eastAsia="FHLHE E+ Futura Bk" w:cs="Times New Roman"/>
      <w:color w:val="auto"/>
    </w:rPr>
  </w:style>
  <w:style w:type="paragraph" w:customStyle="1" w:styleId="77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73">
    <w:name w:val="浅色底纹 - 强调文字颜色 51"/>
    <w:uiPriority w:val="0"/>
    <w:rPr>
      <w:kern w:val="2"/>
      <w:sz w:val="21"/>
      <w:szCs w:val="24"/>
      <w:lang w:val="en-US" w:eastAsia="zh-CN" w:bidi="ar-SA"/>
    </w:rPr>
  </w:style>
  <w:style w:type="paragraph" w:customStyle="1" w:styleId="774">
    <w:name w:val="样式 小四 首行缩进:  0.74 厘米 行距: 1.5 倍行距"/>
    <w:basedOn w:val="1"/>
    <w:uiPriority w:val="0"/>
    <w:pPr>
      <w:adjustRightInd/>
      <w:spacing w:before="100" w:beforeLines="0" w:beforeAutospacing="1" w:after="100" w:afterLines="0" w:afterAutospacing="1" w:line="300" w:lineRule="auto"/>
      <w:ind w:firstLine="480" w:firstLineChars="200"/>
    </w:pPr>
    <w:rPr>
      <w:rFonts w:ascii="宋体" w:hAnsi="宋体" w:eastAsia="微软雅黑"/>
      <w:sz w:val="24"/>
    </w:rPr>
  </w:style>
  <w:style w:type="paragraph" w:customStyle="1" w:styleId="775">
    <w:name w:val="标题2"/>
    <w:basedOn w:val="4"/>
    <w:next w:val="1"/>
    <w:qFormat/>
    <w:uiPriority w:val="0"/>
    <w:pPr>
      <w:numPr>
        <w:ilvl w:val="0"/>
        <w:numId w:val="0"/>
      </w:numPr>
      <w:tabs>
        <w:tab w:val="left" w:pos="578"/>
        <w:tab w:val="left" w:pos="900"/>
        <w:tab w:val="left" w:pos="1440"/>
      </w:tabs>
      <w:ind w:left="1440" w:hanging="360"/>
    </w:pPr>
    <w:rPr>
      <w:rFonts w:ascii="仿宋" w:eastAsia="仿宋" w:cs="宋体"/>
      <w:bCs w:val="0"/>
      <w:szCs w:val="28"/>
    </w:rPr>
  </w:style>
  <w:style w:type="paragraph" w:customStyle="1" w:styleId="776">
    <w:name w:val="样式 宋体 三号 加粗 居中"/>
    <w:basedOn w:val="1"/>
    <w:uiPriority w:val="0"/>
    <w:pPr>
      <w:adjustRightInd/>
      <w:spacing w:line="360" w:lineRule="auto"/>
      <w:jc w:val="center"/>
    </w:pPr>
    <w:rPr>
      <w:rFonts w:ascii="宋体" w:hAnsi="宋体" w:cs="宋体"/>
      <w:b/>
      <w:bCs/>
      <w:sz w:val="24"/>
      <w:szCs w:val="20"/>
    </w:rPr>
  </w:style>
  <w:style w:type="paragraph" w:customStyle="1" w:styleId="777">
    <w:name w:val="Table Contents"/>
    <w:basedOn w:val="1"/>
    <w:uiPriority w:val="0"/>
    <w:pPr>
      <w:suppressAutoHyphens/>
      <w:autoSpaceDE w:val="0"/>
      <w:spacing w:after="120" w:afterLines="0"/>
      <w:jc w:val="left"/>
    </w:pPr>
    <w:rPr>
      <w:rFonts w:ascii="Helvetica" w:hAnsi="Helvetica"/>
      <w:kern w:val="1"/>
      <w:sz w:val="20"/>
      <w:szCs w:val="20"/>
      <w:lang/>
    </w:rPr>
  </w:style>
  <w:style w:type="paragraph" w:customStyle="1" w:styleId="778">
    <w:name w:val="±íÑùÊ½"/>
    <w:basedOn w:val="1"/>
    <w:uiPriority w:val="0"/>
    <w:pPr>
      <w:widowControl/>
      <w:tabs>
        <w:tab w:val="left" w:pos="840"/>
      </w:tabs>
      <w:overflowPunct w:val="0"/>
      <w:autoSpaceDE w:val="0"/>
      <w:autoSpaceDN w:val="0"/>
      <w:jc w:val="left"/>
      <w:textAlignment w:val="baseline"/>
    </w:pPr>
    <w:rPr>
      <w:rFonts w:ascii="Arial Narrow" w:hAnsi="Arial Narrow"/>
      <w:kern w:val="0"/>
      <w:sz w:val="18"/>
      <w:szCs w:val="20"/>
      <w:lang/>
    </w:rPr>
  </w:style>
  <w:style w:type="paragraph" w:customStyle="1" w:styleId="779">
    <w:name w:val="Char Char Char 字元 字元"/>
    <w:basedOn w:val="1"/>
    <w:uiPriority w:val="0"/>
    <w:pPr>
      <w:adjustRightInd/>
      <w:spacing w:line="360" w:lineRule="auto"/>
      <w:ind w:firstLine="200" w:firstLineChars="200"/>
    </w:pPr>
    <w:rPr>
      <w:szCs w:val="20"/>
    </w:rPr>
  </w:style>
  <w:style w:type="paragraph" w:customStyle="1" w:styleId="780">
    <w:name w:val="方案正文无缩进"/>
    <w:qFormat/>
    <w:uiPriority w:val="0"/>
    <w:pPr>
      <w:spacing w:line="360" w:lineRule="auto"/>
    </w:pPr>
    <w:rPr>
      <w:kern w:val="2"/>
      <w:sz w:val="24"/>
      <w:szCs w:val="24"/>
      <w:lang w:val="en-US" w:eastAsia="zh-CN" w:bidi="ar-SA"/>
    </w:rPr>
  </w:style>
  <w:style w:type="paragraph" w:customStyle="1" w:styleId="781">
    <w:name w:val="样式 样式2 + 左侧:  1 字符 右侧:  1 字符"/>
    <w:basedOn w:val="563"/>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zh-CN"/>
    </w:rPr>
  </w:style>
  <w:style w:type="paragraph" w:customStyle="1" w:styleId="782">
    <w:name w:val="标准书眉_奇数页"/>
    <w:next w:val="1"/>
    <w:uiPriority w:val="0"/>
    <w:pPr>
      <w:tabs>
        <w:tab w:val="center" w:pos="4154"/>
        <w:tab w:val="right" w:pos="8306"/>
      </w:tabs>
      <w:spacing w:after="120"/>
      <w:jc w:val="right"/>
    </w:pPr>
    <w:rPr>
      <w:sz w:val="21"/>
      <w:lang w:val="en-US" w:eastAsia="zh-CN" w:bidi="ar-SA"/>
    </w:rPr>
  </w:style>
  <w:style w:type="paragraph" w:customStyle="1" w:styleId="783">
    <w:name w:val="xl80"/>
    <w:basedOn w:val="1"/>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784">
    <w:name w:val="Char Char1 Char Char Char"/>
    <w:basedOn w:val="1"/>
    <w:uiPriority w:val="0"/>
    <w:rPr>
      <w:rFonts w:ascii="仿宋_GB2312" w:eastAsia="仿宋_GB2312"/>
      <w:b/>
      <w:sz w:val="32"/>
      <w:szCs w:val="20"/>
    </w:rPr>
  </w:style>
  <w:style w:type="paragraph" w:customStyle="1" w:styleId="785">
    <w:name w:val="彩色列表 - 强调文字颜色 11"/>
    <w:basedOn w:val="1"/>
    <w:qFormat/>
    <w:uiPriority w:val="0"/>
    <w:pPr>
      <w:adjustRightInd/>
      <w:ind w:firstLine="420" w:firstLineChars="200"/>
    </w:pPr>
    <w:rPr>
      <w:rFonts w:ascii="Calibri" w:hAnsi="Calibri"/>
      <w:szCs w:val="22"/>
    </w:rPr>
  </w:style>
  <w:style w:type="paragraph" w:customStyle="1" w:styleId="786">
    <w:name w:val="正文文字缩进项目"/>
    <w:basedOn w:val="25"/>
    <w:uiPriority w:val="0"/>
    <w:pPr>
      <w:tabs>
        <w:tab w:val="left" w:pos="840"/>
      </w:tabs>
      <w:adjustRightInd/>
      <w:spacing w:after="120" w:line="240" w:lineRule="auto"/>
      <w:ind w:hanging="420" w:firstLineChars="0"/>
    </w:pPr>
    <w:rPr>
      <w:rFonts w:ascii="Tahoma" w:hAnsi="Tahoma"/>
      <w:sz w:val="22"/>
      <w:szCs w:val="20"/>
    </w:rPr>
  </w:style>
  <w:style w:type="paragraph" w:customStyle="1" w:styleId="787">
    <w:name w:val="xl38"/>
    <w:basedOn w:val="1"/>
    <w:uiPriority w:val="0"/>
    <w:pPr>
      <w:widowControl/>
      <w:pBdr>
        <w:top w:val="single" w:color="auto" w:sz="4" w:space="0"/>
        <w:left w:val="single" w:color="auto" w:sz="4" w:space="0"/>
        <w:right w:val="single" w:color="auto" w:sz="4" w:space="0"/>
      </w:pBdr>
      <w:adjustRightInd/>
      <w:spacing w:before="100" w:beforeLines="0" w:beforeAutospacing="1" w:after="100" w:afterLines="0" w:afterAutospacing="1" w:line="360" w:lineRule="auto"/>
      <w:ind w:firstLine="480" w:firstLineChars="200"/>
      <w:jc w:val="center"/>
    </w:pPr>
    <w:rPr>
      <w:rFonts w:ascii="宋体" w:hAnsi="宋体" w:eastAsia="微软雅黑"/>
      <w:kern w:val="0"/>
      <w:sz w:val="20"/>
      <w:szCs w:val="20"/>
    </w:rPr>
  </w:style>
  <w:style w:type="paragraph" w:customStyle="1" w:styleId="788">
    <w:name w:val="trademark"/>
    <w:uiPriority w:val="0"/>
    <w:pPr>
      <w:spacing w:after="60"/>
    </w:pPr>
    <w:rPr>
      <w:rFonts w:ascii="Futura Bk" w:hAnsi="Futura Bk"/>
      <w:sz w:val="15"/>
      <w:lang w:val="en-US" w:eastAsia="en-US" w:bidi="ar-SA"/>
    </w:rPr>
  </w:style>
  <w:style w:type="paragraph" w:customStyle="1" w:styleId="789">
    <w:name w:val="正文21"/>
    <w:basedOn w:val="1"/>
    <w:uiPriority w:val="0"/>
    <w:pPr>
      <w:adjustRightInd/>
      <w:spacing w:before="156" w:beforeLines="0" w:line="360" w:lineRule="auto"/>
      <w:ind w:firstLine="510" w:firstLineChars="200"/>
    </w:pPr>
    <w:rPr>
      <w:sz w:val="24"/>
      <w:szCs w:val="20"/>
    </w:rPr>
  </w:style>
  <w:style w:type="paragraph" w:customStyle="1" w:styleId="79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91">
    <w:name w:val="正文，首行缩进:  2 字符"/>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792">
    <w:name w:val="默认段落字体 Para Char"/>
    <w:basedOn w:val="1"/>
    <w:uiPriority w:val="0"/>
    <w:rPr>
      <w:rFonts w:ascii="Tahoma" w:hAnsi="Tahoma"/>
      <w:sz w:val="24"/>
      <w:szCs w:val="20"/>
    </w:rPr>
  </w:style>
  <w:style w:type="paragraph" w:customStyle="1" w:styleId="793">
    <w:name w:val="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794">
    <w:name w:val="列表内容"/>
    <w:basedOn w:val="1"/>
    <w:next w:val="1"/>
    <w:uiPriority w:val="0"/>
    <w:pPr>
      <w:widowControl/>
      <w:tabs>
        <w:tab w:val="left" w:pos="840"/>
      </w:tabs>
      <w:ind w:left="840" w:hanging="420"/>
      <w:jc w:val="left"/>
    </w:pPr>
    <w:rPr>
      <w:kern w:val="0"/>
      <w:sz w:val="18"/>
    </w:rPr>
  </w:style>
  <w:style w:type="paragraph" w:customStyle="1" w:styleId="795">
    <w:name w:val=" Char Char1 Char Char Char"/>
    <w:basedOn w:val="1"/>
    <w:uiPriority w:val="0"/>
    <w:rPr>
      <w:rFonts w:ascii="仿宋_GB2312" w:eastAsia="仿宋_GB2312"/>
      <w:b/>
      <w:sz w:val="32"/>
      <w:szCs w:val="32"/>
    </w:rPr>
  </w:style>
  <w:style w:type="paragraph" w:customStyle="1" w:styleId="796">
    <w:name w:val="Item Step in Table"/>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797">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798">
    <w:name w:val="xl8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99">
    <w:name w:val="xl76"/>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00">
    <w:name w:val="f9a style88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801">
    <w:name w:val="普通正文"/>
    <w:basedOn w:val="1"/>
    <w:uiPriority w:val="0"/>
    <w:pPr>
      <w:tabs>
        <w:tab w:val="left" w:pos="2280"/>
      </w:tabs>
      <w:spacing w:before="120" w:beforeLines="0" w:after="120" w:afterLines="0" w:line="360" w:lineRule="auto"/>
      <w:ind w:firstLine="480" w:firstLineChars="200"/>
      <w:jc w:val="left"/>
      <w:textAlignment w:val="baseline"/>
    </w:pPr>
    <w:rPr>
      <w:rFonts w:ascii="Arial" w:hAnsi="Arial"/>
      <w:kern w:val="0"/>
      <w:sz w:val="24"/>
    </w:rPr>
  </w:style>
  <w:style w:type="paragraph" w:customStyle="1" w:styleId="802">
    <w:name w:val="reader-word-laye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803">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eastAsia="新宋体"/>
      <w:sz w:val="24"/>
      <w:szCs w:val="20"/>
    </w:rPr>
  </w:style>
  <w:style w:type="paragraph" w:customStyle="1" w:styleId="804">
    <w:name w:val="标准有序列表（L1）"/>
    <w:basedOn w:val="17"/>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805">
    <w:name w:val=" 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806">
    <w:name w:val="大汉方案正文"/>
    <w:basedOn w:val="1"/>
    <w:uiPriority w:val="0"/>
    <w:pPr>
      <w:adjustRightInd/>
      <w:spacing w:line="360" w:lineRule="auto"/>
      <w:ind w:firstLine="200" w:firstLineChars="200"/>
    </w:pPr>
    <w:rPr>
      <w:rFonts w:ascii="Arial" w:hAnsi="Arial"/>
      <w:sz w:val="24"/>
      <w:szCs w:val="20"/>
    </w:rPr>
  </w:style>
  <w:style w:type="paragraph" w:customStyle="1" w:styleId="807">
    <w:name w:val="Char3"/>
    <w:basedOn w:val="1"/>
    <w:uiPriority w:val="0"/>
    <w:pPr>
      <w:adjustRightInd/>
      <w:ind w:firstLine="200" w:firstLineChars="200"/>
    </w:pPr>
    <w:rPr>
      <w:rFonts w:ascii="Tahoma" w:hAnsi="Tahoma"/>
      <w:sz w:val="24"/>
      <w:szCs w:val="20"/>
    </w:rPr>
  </w:style>
  <w:style w:type="paragraph" w:customStyle="1" w:styleId="808">
    <w:name w:val=" Char2 Char Char Char"/>
    <w:basedOn w:val="1"/>
    <w:uiPriority w:val="0"/>
    <w:rPr>
      <w:rFonts w:ascii="仿宋_GB2312" w:eastAsia="仿宋_GB2312"/>
      <w:b/>
      <w:sz w:val="32"/>
      <w:szCs w:val="32"/>
    </w:rPr>
  </w:style>
  <w:style w:type="paragraph" w:customStyle="1" w:styleId="809">
    <w:name w:val="加粗正文"/>
    <w:basedOn w:val="1"/>
    <w:uiPriority w:val="0"/>
    <w:pPr>
      <w:adjustRightInd/>
      <w:spacing w:before="156" w:beforeLines="50" w:after="156" w:afterLines="50" w:line="360" w:lineRule="auto"/>
      <w:ind w:firstLine="422" w:firstLineChars="200"/>
    </w:pPr>
    <w:rPr>
      <w:b/>
      <w:bCs/>
      <w:szCs w:val="21"/>
    </w:rPr>
  </w:style>
  <w:style w:type="paragraph" w:customStyle="1" w:styleId="810">
    <w:name w:val="Char Char Char1"/>
    <w:basedOn w:val="1"/>
    <w:uiPriority w:val="6"/>
    <w:pPr>
      <w:widowControl/>
      <w:spacing w:after="160" w:line="240" w:lineRule="exact"/>
      <w:jc w:val="left"/>
    </w:pPr>
    <w:rPr>
      <w:rFonts w:ascii="Verdana" w:hAnsi="Verdana"/>
      <w:kern w:val="0"/>
      <w:sz w:val="20"/>
      <w:szCs w:val="20"/>
      <w:lang w:eastAsia="en-US"/>
    </w:rPr>
  </w:style>
  <w:style w:type="paragraph" w:customStyle="1" w:styleId="811">
    <w:name w:val="Bul Text 9/14"/>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812">
    <w:name w:val="Table Paragraph"/>
    <w:basedOn w:val="1"/>
    <w:unhideWhenUsed/>
    <w:qFormat/>
    <w:uiPriority w:val="1"/>
    <w:pPr>
      <w:autoSpaceDE w:val="0"/>
      <w:autoSpaceDN w:val="0"/>
      <w:jc w:val="left"/>
    </w:pPr>
    <w:rPr>
      <w:kern w:val="0"/>
      <w:sz w:val="24"/>
    </w:rPr>
  </w:style>
  <w:style w:type="paragraph" w:customStyle="1" w:styleId="813">
    <w:name w:val="legal"/>
    <w:basedOn w:val="1"/>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14">
    <w:name w:val="Char19"/>
    <w:basedOn w:val="1"/>
    <w:uiPriority w:val="0"/>
    <w:pPr>
      <w:adjustRightInd/>
    </w:pPr>
    <w:rPr>
      <w:szCs w:val="20"/>
    </w:rPr>
  </w:style>
  <w:style w:type="paragraph" w:customStyle="1" w:styleId="81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816">
    <w:name w:val="??"/>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817">
    <w:name w:val="样式 标题 2标题2H2Heading 2 HiddenHeading 2 CCBSheading 22nd lev..."/>
    <w:basedOn w:val="4"/>
    <w:uiPriority w:val="0"/>
    <w:pPr>
      <w:widowControl/>
      <w:spacing w:before="260" w:after="260" w:line="416" w:lineRule="auto"/>
      <w:ind w:left="0" w:firstLine="0"/>
    </w:pPr>
    <w:rPr>
      <w:rFonts w:ascii="Arial" w:hAnsi="Arial" w:eastAsia="黑体"/>
      <w:sz w:val="30"/>
      <w:szCs w:val="21"/>
    </w:rPr>
  </w:style>
  <w:style w:type="paragraph" w:customStyle="1" w:styleId="818">
    <w:name w:val="Z5"/>
    <w:basedOn w:val="1"/>
    <w:next w:val="1"/>
    <w:uiPriority w:val="0"/>
    <w:pPr>
      <w:tabs>
        <w:tab w:val="left" w:pos="2100"/>
      </w:tabs>
      <w:adjustRightInd/>
      <w:spacing w:before="240" w:beforeLines="0"/>
      <w:ind w:firstLine="200" w:firstLineChars="200"/>
      <w:outlineLvl w:val="4"/>
    </w:pPr>
    <w:rPr>
      <w:rFonts w:ascii="Tahoma" w:hAnsi="Tahoma" w:eastAsia="幼圆"/>
    </w:rPr>
  </w:style>
  <w:style w:type="paragraph" w:customStyle="1" w:styleId="819">
    <w:name w:val="Char Char111"/>
    <w:basedOn w:val="1"/>
    <w:uiPriority w:val="0"/>
    <w:pPr>
      <w:spacing w:line="360" w:lineRule="auto"/>
    </w:pPr>
    <w:rPr>
      <w:szCs w:val="20"/>
    </w:rPr>
  </w:style>
  <w:style w:type="paragraph" w:customStyle="1" w:styleId="820">
    <w:name w:val="Char"/>
    <w:basedOn w:val="1"/>
    <w:uiPriority w:val="0"/>
    <w:rPr>
      <w:rFonts w:ascii="仿宋_GB2312" w:eastAsia="仿宋_GB2312"/>
      <w:b/>
      <w:sz w:val="32"/>
      <w:szCs w:val="32"/>
    </w:rPr>
  </w:style>
  <w:style w:type="paragraph" w:customStyle="1" w:styleId="821">
    <w:name w:val="正文文本 22"/>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822">
    <w:name w:val="正文文本 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823">
    <w:name w:val="正文（首行缩进2字符）"/>
    <w:basedOn w:val="1"/>
    <w:uiPriority w:val="0"/>
    <w:pPr>
      <w:adjustRightInd/>
      <w:spacing w:line="360" w:lineRule="auto"/>
      <w:ind w:firstLine="480" w:firstLineChars="200"/>
    </w:pPr>
    <w:rPr>
      <w:sz w:val="24"/>
      <w:szCs w:val="20"/>
    </w:rPr>
  </w:style>
  <w:style w:type="paragraph" w:customStyle="1" w:styleId="824">
    <w:name w:val="标书标题2"/>
    <w:basedOn w:val="4"/>
    <w:uiPriority w:val="0"/>
    <w:pPr>
      <w:keepLines w:val="0"/>
      <w:widowControl/>
      <w:numPr>
        <w:ilvl w:val="0"/>
        <w:numId w:val="0"/>
      </w:numPr>
      <w:tabs>
        <w:tab w:val="left" w:pos="840"/>
        <w:tab w:val="clear" w:pos="432"/>
      </w:tabs>
      <w:adjustRightInd w:val="0"/>
      <w:snapToGrid w:val="0"/>
      <w:spacing w:before="156" w:beforeLines="50" w:after="60" w:afterLines="0" w:line="300" w:lineRule="auto"/>
      <w:ind w:left="840" w:hanging="420"/>
    </w:pPr>
    <w:rPr>
      <w:rFonts w:ascii="Arial Narrow" w:hAnsi="Arial Narrow"/>
      <w:snapToGrid w:val="0"/>
      <w:kern w:val="0"/>
      <w:szCs w:val="20"/>
      <w:lang w:val="en-US"/>
    </w:rPr>
  </w:style>
  <w:style w:type="paragraph" w:customStyle="1" w:styleId="825">
    <w:name w:val="单元格左对齐"/>
    <w:basedOn w:val="1"/>
    <w:uiPriority w:val="0"/>
    <w:pPr>
      <w:adjustRightInd/>
      <w:spacing w:line="360" w:lineRule="auto"/>
    </w:pPr>
    <w:rPr>
      <w:sz w:val="24"/>
    </w:rPr>
  </w:style>
  <w:style w:type="paragraph" w:customStyle="1" w:styleId="826">
    <w:name w:val="列出段落2"/>
    <w:basedOn w:val="1"/>
    <w:qFormat/>
    <w:uiPriority w:val="0"/>
    <w:pPr>
      <w:adjustRightInd/>
      <w:ind w:firstLine="420" w:firstLineChars="200"/>
    </w:pPr>
    <w:rPr>
      <w:rFonts w:ascii="宋体" w:hAnsi="宋体"/>
      <w:sz w:val="24"/>
    </w:rPr>
  </w:style>
  <w:style w:type="paragraph" w:customStyle="1" w:styleId="827">
    <w:name w:val="Table Cell"/>
    <w:uiPriority w:val="0"/>
    <w:pPr>
      <w:adjustRightInd w:val="0"/>
      <w:snapToGrid w:val="0"/>
      <w:spacing w:before="20" w:after="20"/>
    </w:pPr>
    <w:rPr>
      <w:rFonts w:ascii="Courier New" w:hAnsi="Courier New"/>
      <w:sz w:val="24"/>
      <w:lang w:val="en-US" w:eastAsia="zh-CN" w:bidi="ar-SA"/>
    </w:rPr>
  </w:style>
  <w:style w:type="paragraph" w:customStyle="1" w:styleId="828">
    <w:name w:val="style25"/>
    <w:basedOn w:val="1"/>
    <w:uiPriority w:val="0"/>
    <w:pPr>
      <w:widowControl/>
      <w:adjustRightInd/>
      <w:spacing w:before="100" w:beforeLines="0" w:beforeAutospacing="1" w:after="100" w:afterLines="0" w:afterAutospacing="1"/>
      <w:ind w:firstLine="200" w:firstLineChars="200"/>
      <w:jc w:val="left"/>
    </w:pPr>
    <w:rPr>
      <w:rFonts w:ascii="宋体" w:hAnsi="宋体" w:cs="宋体"/>
      <w:color w:val="557AAF"/>
      <w:kern w:val="0"/>
      <w:sz w:val="18"/>
      <w:szCs w:val="18"/>
    </w:rPr>
  </w:style>
  <w:style w:type="paragraph" w:customStyle="1" w:styleId="829">
    <w:name w:val="xl71"/>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30">
    <w:name w:val="标题4_自定义"/>
    <w:basedOn w:val="6"/>
    <w:uiPriority w:val="0"/>
    <w:pPr>
      <w:numPr>
        <w:ilvl w:val="3"/>
        <w:numId w:val="0"/>
      </w:numPr>
      <w:adjustRightInd/>
      <w:spacing w:before="0" w:beforeLines="0" w:after="0" w:afterLines="0" w:line="360" w:lineRule="auto"/>
    </w:pPr>
    <w:rPr>
      <w:rFonts w:ascii="Verdana" w:eastAsia="Verdana"/>
      <w:sz w:val="21"/>
      <w:lang w:val="en-US"/>
    </w:rPr>
  </w:style>
  <w:style w:type="paragraph" w:customStyle="1" w:styleId="831">
    <w:name w:val="批注框文本1"/>
    <w:basedOn w:val="1"/>
    <w:uiPriority w:val="0"/>
    <w:pPr>
      <w:autoSpaceDE w:val="0"/>
      <w:autoSpaceDN w:val="0"/>
      <w:spacing w:line="351" w:lineRule="atLeast"/>
      <w:ind w:firstLine="419" w:firstLineChars="200"/>
    </w:pPr>
    <w:rPr>
      <w:color w:val="000000"/>
      <w:kern w:val="0"/>
      <w:sz w:val="18"/>
      <w:szCs w:val="18"/>
    </w:rPr>
  </w:style>
  <w:style w:type="paragraph" w:customStyle="1" w:styleId="832">
    <w:name w:val="_Style 6"/>
    <w:basedOn w:val="1"/>
    <w:qFormat/>
    <w:uiPriority w:val="34"/>
    <w:pPr>
      <w:adjustRightInd/>
      <w:ind w:firstLine="420" w:firstLineChars="200"/>
    </w:pPr>
    <w:rPr>
      <w:rFonts w:eastAsia="仿宋_GB2312"/>
      <w:sz w:val="28"/>
    </w:rPr>
  </w:style>
  <w:style w:type="paragraph" w:customStyle="1" w:styleId="833">
    <w:name w:val="文档正文"/>
    <w:basedOn w:val="1"/>
    <w:uiPriority w:val="0"/>
    <w:pPr>
      <w:adjustRightInd w:val="0"/>
      <w:spacing w:line="480" w:lineRule="atLeast"/>
      <w:ind w:firstLine="567"/>
      <w:textAlignment w:val="baseline"/>
    </w:pPr>
    <w:rPr>
      <w:kern w:val="0"/>
      <w:sz w:val="24"/>
      <w:szCs w:val="20"/>
    </w:rPr>
  </w:style>
  <w:style w:type="paragraph" w:customStyle="1" w:styleId="834">
    <w:name w:val="封面文档标题"/>
    <w:basedOn w:val="1"/>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835">
    <w:name w:val="列表段落1"/>
    <w:basedOn w:val="1"/>
    <w:qFormat/>
    <w:uiPriority w:val="34"/>
    <w:pPr>
      <w:adjustRightInd/>
      <w:ind w:right="238" w:firstLine="420"/>
    </w:pPr>
    <w:rPr>
      <w:rFonts w:ascii="Calibri" w:hAnsi="Calibri"/>
      <w:sz w:val="24"/>
    </w:rPr>
  </w:style>
  <w:style w:type="paragraph" w:customStyle="1" w:styleId="836">
    <w:name w:val="xl7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37">
    <w:name w:val="标准正文"/>
    <w:basedOn w:val="1"/>
    <w:uiPriority w:val="0"/>
    <w:pPr>
      <w:tabs>
        <w:tab w:val="left" w:pos="780"/>
      </w:tabs>
      <w:adjustRightInd/>
      <w:spacing w:line="360" w:lineRule="auto"/>
      <w:ind w:left="200" w:leftChars="200" w:firstLine="200" w:firstLineChars="200"/>
    </w:pPr>
    <w:rPr>
      <w:sz w:val="24"/>
    </w:rPr>
  </w:style>
  <w:style w:type="paragraph" w:customStyle="1" w:styleId="838">
    <w:name w:val="Char Char Char Char Char Char Char Char1"/>
    <w:basedOn w:val="1"/>
    <w:uiPriority w:val="0"/>
    <w:pPr>
      <w:tabs>
        <w:tab w:val="left" w:pos="360"/>
      </w:tabs>
    </w:pPr>
    <w:rPr>
      <w:sz w:val="24"/>
      <w:szCs w:val="20"/>
    </w:rPr>
  </w:style>
  <w:style w:type="paragraph" w:customStyle="1" w:styleId="839">
    <w:name w:val="CSS1级正文 Char"/>
    <w:basedOn w:val="2"/>
    <w:uiPriority w:val="0"/>
    <w:pPr>
      <w:autoSpaceDE/>
      <w:autoSpaceDN/>
      <w:snapToGrid w:val="0"/>
      <w:ind w:firstLine="480" w:firstLineChars="200"/>
    </w:pPr>
    <w:rPr>
      <w:rFonts w:ascii="Times New Roman"/>
      <w:szCs w:val="24"/>
      <w:lang w:val="en-US" w:eastAsia="zh-CN"/>
    </w:rPr>
  </w:style>
  <w:style w:type="paragraph" w:customStyle="1" w:styleId="840">
    <w:name w:val="标题五"/>
    <w:basedOn w:val="1"/>
    <w:uiPriority w:val="0"/>
    <w:pPr>
      <w:adjustRightInd/>
      <w:spacing w:before="156" w:beforeLines="50" w:line="360" w:lineRule="auto"/>
    </w:pPr>
    <w:rPr>
      <w:b/>
      <w:sz w:val="24"/>
    </w:rPr>
  </w:style>
  <w:style w:type="paragraph" w:styleId="841">
    <w:name w:val="No Spacing"/>
    <w:qFormat/>
    <w:uiPriority w:val="0"/>
    <w:pPr>
      <w:widowControl w:val="0"/>
      <w:jc w:val="both"/>
    </w:pPr>
    <w:rPr>
      <w:kern w:val="2"/>
      <w:sz w:val="21"/>
      <w:szCs w:val="22"/>
      <w:lang w:val="en-US" w:eastAsia="zh-CN" w:bidi="ar-SA"/>
    </w:rPr>
  </w:style>
  <w:style w:type="paragraph" w:customStyle="1" w:styleId="842">
    <w:name w:val="标书标题3"/>
    <w:basedOn w:val="5"/>
    <w:uiPriority w:val="0"/>
    <w:pPr>
      <w:keepLines w:val="0"/>
      <w:widowControl/>
      <w:numPr>
        <w:ilvl w:val="2"/>
        <w:numId w:val="0"/>
      </w:numPr>
      <w:snapToGrid w:val="0"/>
      <w:spacing w:before="120" w:beforeLines="0" w:after="60" w:afterLines="0" w:line="300" w:lineRule="auto"/>
      <w:jc w:val="left"/>
    </w:pPr>
    <w:rPr>
      <w:rFonts w:ascii="Arial Narrow" w:hAnsi="Arial Narrow" w:eastAsia="仿宋_GB2312"/>
      <w:b w:val="0"/>
      <w:bCs w:val="0"/>
      <w:color w:val="000000"/>
      <w:kern w:val="0"/>
      <w:sz w:val="28"/>
      <w:lang w:val="en-US" w:eastAsia="zh-CN"/>
    </w:rPr>
  </w:style>
  <w:style w:type="paragraph" w:customStyle="1" w:styleId="843">
    <w:name w:val="图中文字"/>
    <w:basedOn w:val="1"/>
    <w:uiPriority w:val="0"/>
    <w:pPr>
      <w:snapToGrid w:val="0"/>
      <w:spacing w:line="0" w:lineRule="atLeast"/>
      <w:ind w:firstLine="200" w:firstLineChars="200"/>
      <w:jc w:val="center"/>
    </w:pPr>
    <w:rPr>
      <w:sz w:val="24"/>
      <w:szCs w:val="20"/>
    </w:rPr>
  </w:style>
  <w:style w:type="paragraph" w:customStyle="1" w:styleId="844">
    <w:name w:val="正文3"/>
    <w:basedOn w:val="1"/>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845">
    <w:name w:val="正文文本 2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846">
    <w:name w:val=" Char Char1"/>
    <w:basedOn w:val="1"/>
    <w:uiPriority w:val="0"/>
    <w:pPr>
      <w:widowControl/>
      <w:spacing w:after="160" w:afterLines="0" w:line="240" w:lineRule="exact"/>
      <w:jc w:val="left"/>
    </w:pPr>
    <w:rPr>
      <w:rFonts w:eastAsia="仿宋_GB2312"/>
      <w:sz w:val="28"/>
    </w:rPr>
  </w:style>
  <w:style w:type="paragraph" w:styleId="847">
    <w:name w:val=""/>
    <w:basedOn w:val="3"/>
    <w:next w:val="1"/>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848">
    <w:name w:val="正文文字缩进"/>
    <w:basedOn w:val="1"/>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49">
    <w:name w:val="正文 New New New New"/>
    <w:uiPriority w:val="2"/>
    <w:pPr>
      <w:widowControl w:val="0"/>
      <w:jc w:val="both"/>
    </w:pPr>
    <w:rPr>
      <w:color w:val="000000"/>
      <w:szCs w:val="24"/>
      <w:lang w:val="en-US" w:eastAsia="zh-CN" w:bidi="ar-SA"/>
    </w:rPr>
  </w:style>
  <w:style w:type="paragraph" w:customStyle="1" w:styleId="850">
    <w:name w:val="Char Char Char Char Char Char Char Char Char Char1"/>
    <w:basedOn w:val="1"/>
    <w:uiPriority w:val="0"/>
    <w:rPr>
      <w:rFonts w:ascii="仿宋_GB2312" w:eastAsia="仿宋_GB2312"/>
      <w:b/>
      <w:sz w:val="32"/>
      <w:szCs w:val="32"/>
    </w:rPr>
  </w:style>
  <w:style w:type="paragraph" w:customStyle="1" w:styleId="851">
    <w:name w:val="彩色列表 - 强调文字颜色 12"/>
    <w:basedOn w:val="1"/>
    <w:qFormat/>
    <w:uiPriority w:val="0"/>
    <w:pPr>
      <w:adjustRightInd/>
      <w:ind w:firstLine="420" w:firstLineChars="200"/>
    </w:pPr>
    <w:rPr>
      <w:rFonts w:ascii="Calibri" w:hAnsi="Calibri"/>
      <w:szCs w:val="22"/>
    </w:rPr>
  </w:style>
  <w:style w:type="paragraph" w:customStyle="1" w:styleId="852">
    <w:name w:val="章正文"/>
    <w:basedOn w:val="1"/>
    <w:uiPriority w:val="0"/>
    <w:pPr>
      <w:adjustRightInd/>
      <w:spacing w:before="156" w:beforeLines="50" w:after="120" w:afterLines="0" w:line="300" w:lineRule="auto"/>
      <w:ind w:firstLine="480" w:firstLineChars="200"/>
    </w:pPr>
    <w:rPr>
      <w:rFonts w:ascii="Helvetica" w:hAnsi="Helvetica"/>
      <w:kern w:val="0"/>
      <w:sz w:val="24"/>
    </w:rPr>
  </w:style>
  <w:style w:type="paragraph" w:customStyle="1" w:styleId="853">
    <w:name w:val="正文 项目2"/>
    <w:basedOn w:val="741"/>
    <w:qFormat/>
    <w:uiPriority w:val="0"/>
    <w:pPr>
      <w:numPr>
        <w:ilvl w:val="0"/>
        <w:numId w:val="8"/>
      </w:numPr>
      <w:tabs>
        <w:tab w:val="clear" w:pos="840"/>
      </w:tabs>
      <w:spacing w:after="0"/>
    </w:pPr>
  </w:style>
  <w:style w:type="paragraph" w:customStyle="1" w:styleId="854">
    <w:name w:val="MM Topic 4"/>
    <w:basedOn w:val="6"/>
    <w:uiPriority w:val="0"/>
    <w:pPr>
      <w:numPr>
        <w:ilvl w:val="3"/>
        <w:numId w:val="5"/>
      </w:numPr>
      <w:adjustRightInd/>
    </w:pPr>
    <w:rPr>
      <w:lang w:val="en-US"/>
    </w:rPr>
  </w:style>
  <w:style w:type="paragraph" w:customStyle="1" w:styleId="855">
    <w:name w:val="修订1"/>
    <w:uiPriority w:val="3"/>
    <w:rPr>
      <w:color w:val="000000"/>
      <w:kern w:val="1"/>
      <w:sz w:val="21"/>
      <w:lang w:val="en-US" w:eastAsia="zh-CN" w:bidi="ar-SA"/>
    </w:rPr>
  </w:style>
  <w:style w:type="paragraph" w:customStyle="1" w:styleId="856">
    <w:name w:val="样式 样式 标题 4 + 非加粗 + (中文) 黑体 段前: 0 磅 段后: 0 磅 行距: 固定值 22 磅"/>
    <w:basedOn w:val="1"/>
    <w:uiPriority w:val="0"/>
    <w:pPr>
      <w:keepNext/>
      <w:keepLines/>
      <w:adjustRightInd/>
      <w:spacing w:beforeLines="50" w:afterLines="50" w:line="500" w:lineRule="exact"/>
      <w:outlineLvl w:val="3"/>
    </w:pPr>
    <w:rPr>
      <w:rFonts w:ascii="Arial" w:hAnsi="Arial"/>
      <w:b/>
      <w:bCs/>
      <w:sz w:val="24"/>
    </w:rPr>
  </w:style>
  <w:style w:type="paragraph" w:customStyle="1" w:styleId="857">
    <w:name w:val="数字标题4"/>
    <w:basedOn w:val="6"/>
    <w:uiPriority w:val="0"/>
    <w:pPr>
      <w:numPr>
        <w:ilvl w:val="3"/>
        <w:numId w:val="0"/>
      </w:numPr>
      <w:tabs>
        <w:tab w:val="left" w:pos="0"/>
        <w:tab w:val="clear" w:pos="864"/>
      </w:tabs>
      <w:spacing w:before="0" w:beforeLines="0" w:after="0" w:afterLines="0" w:line="360" w:lineRule="auto"/>
      <w:ind w:left="1"/>
    </w:pPr>
    <w:rPr>
      <w:rFonts w:eastAsia="仿宋_GB2312" w:cs="Arial"/>
      <w:b w:val="0"/>
      <w:bCs w:val="0"/>
      <w:color w:val="000000"/>
      <w:kern w:val="0"/>
      <w:sz w:val="24"/>
      <w:szCs w:val="24"/>
      <w:lang w:val="en-US"/>
    </w:rPr>
  </w:style>
  <w:style w:type="paragraph" w:customStyle="1" w:styleId="858">
    <w:name w:val="插图说明"/>
    <w:basedOn w:val="1"/>
    <w:uiPriority w:val="0"/>
    <w:pPr>
      <w:spacing w:after="240" w:afterLines="0"/>
      <w:ind w:firstLineChars="200"/>
      <w:jc w:val="center"/>
      <w:textAlignment w:val="baseline"/>
    </w:pPr>
    <w:rPr>
      <w:rFonts w:eastAsia="黑体"/>
      <w:sz w:val="24"/>
      <w:szCs w:val="20"/>
    </w:rPr>
  </w:style>
  <w:style w:type="paragraph" w:customStyle="1" w:styleId="859">
    <w:name w:val=" Char1 Char Char Char"/>
    <w:basedOn w:val="1"/>
    <w:uiPriority w:val="0"/>
    <w:rPr>
      <w:rFonts w:ascii="Tahoma" w:hAnsi="Tahoma"/>
      <w:sz w:val="24"/>
      <w:szCs w:val="20"/>
    </w:rPr>
  </w:style>
  <w:style w:type="paragraph" w:customStyle="1" w:styleId="860">
    <w:name w:val="a1"/>
    <w:basedOn w:val="1"/>
    <w:uiPriority w:val="0"/>
    <w:pPr>
      <w:widowControl/>
      <w:spacing w:line="300" w:lineRule="atLeast"/>
      <w:jc w:val="left"/>
    </w:pPr>
    <w:rPr>
      <w:rFonts w:ascii="宋体" w:hAnsi="宋体"/>
      <w:kern w:val="0"/>
      <w:sz w:val="18"/>
      <w:szCs w:val="20"/>
    </w:rPr>
  </w:style>
  <w:style w:type="paragraph" w:customStyle="1" w:styleId="861">
    <w:name w:val="font9"/>
    <w:basedOn w:val="1"/>
    <w:uiPriority w:val="0"/>
    <w:pPr>
      <w:widowControl/>
      <w:adjustRightInd/>
      <w:spacing w:before="100" w:beforeLines="0" w:beforeAutospacing="1" w:after="100" w:afterLines="0" w:afterAutospacing="1"/>
      <w:jc w:val="left"/>
    </w:pPr>
    <w:rPr>
      <w:rFonts w:hint="eastAsia" w:ascii="宋体" w:hAnsi="宋体"/>
      <w:kern w:val="0"/>
      <w:sz w:val="20"/>
      <w:szCs w:val="20"/>
    </w:rPr>
  </w:style>
  <w:style w:type="paragraph" w:customStyle="1" w:styleId="862">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3">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lang/>
    </w:rPr>
  </w:style>
  <w:style w:type="paragraph" w:customStyle="1" w:styleId="864">
    <w:name w:val="金宏发行正文 Char"/>
    <w:basedOn w:val="1"/>
    <w:uiPriority w:val="0"/>
    <w:pPr>
      <w:adjustRightInd/>
      <w:spacing w:line="500" w:lineRule="exact"/>
      <w:ind w:firstLine="560" w:firstLineChars="200"/>
    </w:pPr>
    <w:rPr>
      <w:rFonts w:eastAsia="仿宋_GB2312"/>
      <w:sz w:val="28"/>
      <w:szCs w:val="20"/>
    </w:rPr>
  </w:style>
  <w:style w:type="paragraph" w:customStyle="1" w:styleId="865">
    <w:name w:val="Char Char1 Char1"/>
    <w:basedOn w:val="1"/>
    <w:uiPriority w:val="6"/>
    <w:pPr>
      <w:widowControl/>
      <w:snapToGrid w:val="0"/>
      <w:spacing w:before="120" w:after="160" w:line="360" w:lineRule="auto"/>
      <w:ind w:right="-360"/>
      <w:jc w:val="left"/>
    </w:pPr>
    <w:rPr>
      <w:rFonts w:ascii="Arial" w:hAnsi="Arial"/>
      <w:kern w:val="0"/>
      <w:sz w:val="24"/>
      <w:lang w:eastAsia="en-US"/>
    </w:rPr>
  </w:style>
  <w:style w:type="paragraph" w:customStyle="1" w:styleId="866">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867">
    <w:name w:val="Char4"/>
    <w:basedOn w:val="1"/>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868">
    <w:name w:val="小标题"/>
    <w:basedOn w:val="1"/>
    <w:uiPriority w:val="0"/>
    <w:pPr>
      <w:spacing w:before="120" w:beforeLines="0" w:line="360" w:lineRule="atLeast"/>
      <w:ind w:left="1134"/>
      <w:jc w:val="left"/>
      <w:textAlignment w:val="baseline"/>
    </w:pPr>
    <w:rPr>
      <w:rFonts w:eastAsia="黑体"/>
      <w:kern w:val="0"/>
      <w:szCs w:val="20"/>
    </w:rPr>
  </w:style>
  <w:style w:type="paragraph" w:customStyle="1" w:styleId="869">
    <w:name w:val="样式 标题 1章节第一层h1H"/>
    <w:basedOn w:val="3"/>
    <w:uiPriority w:val="0"/>
    <w:pPr>
      <w:keepNext w:val="0"/>
      <w:keepLines w:val="0"/>
      <w:numPr>
        <w:ilvl w:val="0"/>
        <w:numId w:val="0"/>
      </w:numPr>
      <w:autoSpaceDE w:val="0"/>
      <w:autoSpaceDN w:val="0"/>
      <w:spacing w:before="0" w:beforeLines="0" w:after="0" w:afterLines="0" w:line="240" w:lineRule="auto"/>
      <w:jc w:val="left"/>
      <w:outlineLvl w:val="9"/>
    </w:pPr>
    <w:rPr>
      <w:kern w:val="0"/>
      <w:sz w:val="52"/>
      <w:szCs w:val="52"/>
      <w:lang w:val="zh-CN"/>
    </w:rPr>
  </w:style>
  <w:style w:type="paragraph" w:customStyle="1" w:styleId="870">
    <w:name w:val="样式 标题 1 + 黑色 段前: 0.5 行 段后: 0.5 行1"/>
    <w:basedOn w:val="3"/>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beforeLines="0" w:after="0" w:afterLines="0" w:line="640" w:lineRule="exact"/>
      <w:ind w:left="431" w:hanging="431"/>
      <w:jc w:val="center"/>
    </w:pPr>
    <w:rPr>
      <w:rFonts w:ascii="黑体" w:hAnsi="黑体" w:eastAsia="黑体" w:cs="Arial"/>
      <w:caps/>
      <w:color w:val="FFFFFF"/>
      <w:kern w:val="2"/>
      <w:sz w:val="30"/>
      <w:szCs w:val="20"/>
    </w:rPr>
  </w:style>
  <w:style w:type="paragraph" w:customStyle="1" w:styleId="871">
    <w:name w:val="样式 标题 3H3 + 两端对齐"/>
    <w:basedOn w:val="5"/>
    <w:uiPriority w:val="0"/>
    <w:pPr>
      <w:keepLines w:val="0"/>
      <w:numPr>
        <w:ilvl w:val="2"/>
        <w:numId w:val="0"/>
      </w:numPr>
      <w:spacing w:before="0" w:beforeLines="0" w:after="0" w:afterLines="0" w:line="240" w:lineRule="auto"/>
      <w:jc w:val="left"/>
    </w:pPr>
    <w:rPr>
      <w:rFonts w:cs="宋体"/>
      <w:sz w:val="21"/>
      <w:szCs w:val="20"/>
    </w:rPr>
  </w:style>
  <w:style w:type="paragraph" w:customStyle="1" w:styleId="872">
    <w:name w:val="_Style 12"/>
    <w:basedOn w:val="20"/>
    <w:uiPriority w:val="0"/>
    <w:pPr>
      <w:snapToGrid w:val="0"/>
      <w:spacing w:line="360" w:lineRule="auto"/>
    </w:pPr>
  </w:style>
  <w:style w:type="paragraph" w:customStyle="1" w:styleId="873">
    <w:name w:val="Plain Text1"/>
    <w:basedOn w:val="1"/>
    <w:uiPriority w:val="7"/>
    <w:pPr>
      <w:adjustRightInd/>
    </w:pPr>
    <w:rPr>
      <w:rFonts w:ascii="宋体" w:hAnsi="Courier New"/>
    </w:rPr>
  </w:style>
  <w:style w:type="paragraph" w:customStyle="1" w:styleId="874">
    <w:name w:val="样式 左侧:  0.85 厘米 首行缩进:  0.85 厘米"/>
    <w:basedOn w:val="1"/>
    <w:uiPriority w:val="0"/>
    <w:pPr>
      <w:adjustRightInd/>
      <w:spacing w:line="360" w:lineRule="auto"/>
      <w:ind w:firstLine="482"/>
    </w:pPr>
    <w:rPr>
      <w:rFonts w:cs="宋体"/>
      <w:sz w:val="24"/>
      <w:szCs w:val="20"/>
    </w:rPr>
  </w:style>
  <w:style w:type="paragraph" w:customStyle="1" w:styleId="875">
    <w:name w:val="xl42"/>
    <w:basedOn w:val="1"/>
    <w:uiPriority w:val="0"/>
    <w:pPr>
      <w:widowControl/>
      <w:pBdr>
        <w:top w:val="single" w:color="auto" w:sz="4" w:space="0"/>
        <w:left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876">
    <w:name w:val="小节标题"/>
    <w:basedOn w:val="1"/>
    <w:uiPriority w:val="0"/>
    <w:pPr>
      <w:autoSpaceDE w:val="0"/>
      <w:autoSpaceDN w:val="0"/>
      <w:spacing w:before="175" w:beforeLines="0" w:after="102" w:afterLines="0" w:line="351" w:lineRule="atLeast"/>
      <w:ind w:firstLine="200" w:firstLineChars="200"/>
    </w:pPr>
    <w:rPr>
      <w:color w:val="000000"/>
      <w:kern w:val="0"/>
      <w:szCs w:val="21"/>
    </w:rPr>
  </w:style>
  <w:style w:type="paragraph" w:customStyle="1" w:styleId="877">
    <w:name w:val="Normal0"/>
    <w:uiPriority w:val="0"/>
    <w:rPr>
      <w:lang w:val="en-US" w:eastAsia="en-US" w:bidi="ar-SA"/>
    </w:rPr>
  </w:style>
  <w:style w:type="paragraph" w:customStyle="1" w:styleId="878">
    <w:name w:val="正文1.25"/>
    <w:basedOn w:val="1"/>
    <w:qFormat/>
    <w:uiPriority w:val="0"/>
    <w:pPr>
      <w:adjustRightInd/>
      <w:spacing w:line="300" w:lineRule="auto"/>
      <w:ind w:firstLine="480" w:firstLineChars="200"/>
    </w:pPr>
    <w:rPr>
      <w:sz w:val="24"/>
      <w:szCs w:val="20"/>
    </w:rPr>
  </w:style>
  <w:style w:type="paragraph" w:customStyle="1" w:styleId="879">
    <w:name w:val="文章标题"/>
    <w:next w:val="547"/>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880">
    <w:name w:val="body text bold"/>
    <w:basedOn w:val="2"/>
    <w:uiPriority w:val="0"/>
    <w:pPr>
      <w:widowControl/>
      <w:autoSpaceDE/>
      <w:autoSpaceDN/>
      <w:adjustRightInd/>
      <w:spacing w:line="240" w:lineRule="auto"/>
      <w:ind w:firstLineChars="200"/>
      <w:jc w:val="left"/>
    </w:pPr>
    <w:rPr>
      <w:rFonts w:ascii="Futura Hv" w:hAnsi="Futura Hv"/>
      <w:kern w:val="0"/>
      <w:sz w:val="18"/>
      <w:szCs w:val="20"/>
      <w:lang w:val="en-US" w:eastAsia="en-U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header6.xml" Type="http://schemas.openxmlformats.org/officeDocument/2006/relationships/head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footer10.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numbering.xml" Type="http://schemas.openxmlformats.org/officeDocument/2006/relationships/numbering"/><Relationship Id="rId24"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126</Pages>
  <Words>12439</Words>
  <Characters>70903</Characters>
  <Lines>590</Lines>
  <Paragraphs>166</Paragraphs>
  <TotalTime>0</TotalTime>
  <ScaleCrop>false</ScaleCrop>
  <LinksUpToDate>false</LinksUpToDate>
  <CharactersWithSpaces>83176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2020-09-22T14:16:00Z</dcterms:created>
  <dc:creator>ww</dc:creator>
  <cp:lastModifiedBy>WPS_1701756769</cp:lastModifiedBy>
  <cp:lastPrinted>2021-09-22T13:57:45Z</cp:lastPrinted>
  <dcterms:modified xsi:type="dcterms:W3CDTF">2024-02-23T06:48:37Z</dcterms:modified>
  <cp:revision>7</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54478867EB5B4B4A9D0DAFD2F8186B04_13</vt:lpwstr>
  </property>
</Properties>
</file>