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 w:eastAsia="仿宋_GB2312" w:cs="仿宋_GB2312"/>
          <w:b/>
          <w:color w:val="auto"/>
          <w:sz w:val="24"/>
          <w:highlight w:val="none"/>
        </w:rPr>
      </w:pPr>
      <w:bookmarkStart w:id="456" w:name="_GoBack"/>
      <w:bookmarkEnd w:id="456"/>
    </w:p>
    <w:p>
      <w:pPr>
        <w:spacing w:line="360" w:lineRule="auto"/>
        <w:jc w:val="center"/>
        <w:rPr>
          <w:rFonts w:ascii="仿宋_GB2312" w:hAnsi="仿宋" w:eastAsia="仿宋_GB2312" w:cs="仿宋_GB2312"/>
          <w:b/>
          <w:color w:val="auto"/>
          <w:sz w:val="24"/>
          <w:highlight w:val="none"/>
        </w:rPr>
      </w:pPr>
    </w:p>
    <w:p>
      <w:pPr>
        <w:adjustRightInd/>
        <w:spacing w:line="360" w:lineRule="auto"/>
        <w:jc w:val="center"/>
        <w:rPr>
          <w:rFonts w:ascii="仿宋_GB2312" w:hAnsi="仿宋" w:eastAsia="仿宋_GB2312" w:cs="仿宋_GB2312"/>
          <w:b/>
          <w:color w:val="auto"/>
          <w:sz w:val="44"/>
          <w:szCs w:val="44"/>
          <w:highlight w:val="none"/>
        </w:rPr>
      </w:pPr>
    </w:p>
    <w:p>
      <w:pPr>
        <w:spacing w:line="360" w:lineRule="auto"/>
        <w:jc w:val="center"/>
        <w:rPr>
          <w:rFonts w:ascii="仿宋_GB2312" w:hAnsi="仿宋" w:eastAsia="仿宋_GB2312" w:cs="仿宋_GB2312"/>
          <w:b/>
          <w:color w:val="auto"/>
          <w:sz w:val="44"/>
          <w:szCs w:val="44"/>
          <w:highlight w:val="none"/>
        </w:rPr>
      </w:pPr>
      <w:r>
        <w:rPr>
          <w:rFonts w:hint="eastAsia" w:ascii="仿宋_GB2312" w:hAnsi="仿宋" w:eastAsia="仿宋_GB2312" w:cs="仿宋_GB2312"/>
          <w:b/>
          <w:color w:val="auto"/>
          <w:sz w:val="44"/>
          <w:szCs w:val="44"/>
          <w:highlight w:val="none"/>
        </w:rPr>
        <w:t xml:space="preserve"> </w:t>
      </w:r>
    </w:p>
    <w:p>
      <w:pPr>
        <w:adjustRightInd/>
        <w:spacing w:line="360" w:lineRule="auto"/>
        <w:jc w:val="center"/>
        <w:rPr>
          <w:rFonts w:ascii="仿宋_GB2312" w:hAnsi="仿宋" w:eastAsia="仿宋_GB2312" w:cs="仿宋_GB2312"/>
          <w:b/>
          <w:color w:val="auto"/>
          <w:sz w:val="44"/>
          <w:szCs w:val="44"/>
          <w:highlight w:val="none"/>
        </w:rPr>
      </w:pPr>
      <w:r>
        <w:rPr>
          <w:rFonts w:hint="eastAsia" w:ascii="仿宋_GB2312" w:hAnsi="仿宋" w:eastAsia="仿宋_GB2312" w:cs="仿宋_GB2312"/>
          <w:color w:val="auto"/>
          <w:sz w:val="48"/>
          <w:szCs w:val="48"/>
          <w:highlight w:val="none"/>
        </w:rPr>
        <w:t>杭州城市大脑**操作系统V3.0项目应用支撑和运营保障</w:t>
      </w:r>
    </w:p>
    <w:p>
      <w:pPr>
        <w:adjustRightInd/>
        <w:spacing w:line="360" w:lineRule="auto"/>
        <w:jc w:val="center"/>
        <w:rPr>
          <w:rFonts w:ascii="仿宋_GB2312" w:hAnsi="仿宋" w:eastAsia="仿宋_GB2312" w:cs="仿宋_GB2312"/>
          <w:b/>
          <w:color w:val="auto"/>
          <w:sz w:val="72"/>
          <w:szCs w:val="72"/>
          <w:highlight w:val="none"/>
        </w:rPr>
      </w:pPr>
      <w:r>
        <w:rPr>
          <w:rFonts w:hint="eastAsia" w:ascii="仿宋_GB2312" w:hAnsi="仿宋" w:eastAsia="仿宋_GB2312" w:cs="仿宋_GB2312"/>
          <w:b/>
          <w:color w:val="auto"/>
          <w:sz w:val="72"/>
          <w:szCs w:val="72"/>
          <w:highlight w:val="none"/>
        </w:rPr>
        <w:t>招标文件</w:t>
      </w:r>
    </w:p>
    <w:p>
      <w:pPr>
        <w:adjustRightInd/>
        <w:spacing w:line="360" w:lineRule="auto"/>
        <w:jc w:val="center"/>
        <w:rPr>
          <w:rFonts w:ascii="仿宋_GB2312" w:hAnsi="仿宋" w:eastAsia="仿宋_GB2312" w:cs="仿宋_GB2312"/>
          <w:b/>
          <w:color w:val="auto"/>
          <w:sz w:val="44"/>
          <w:szCs w:val="44"/>
          <w:highlight w:val="none"/>
        </w:rPr>
      </w:pPr>
      <w:r>
        <w:rPr>
          <w:rFonts w:hint="eastAsia" w:ascii="仿宋_GB2312" w:hAnsi="仿宋" w:eastAsia="仿宋_GB2312" w:cs="仿宋_GB2312"/>
          <w:b/>
          <w:color w:val="auto"/>
          <w:sz w:val="44"/>
          <w:szCs w:val="44"/>
          <w:highlight w:val="none"/>
        </w:rPr>
        <w:t xml:space="preserve"> （电子招投标）</w:t>
      </w:r>
    </w:p>
    <w:p>
      <w:pPr>
        <w:spacing w:line="360" w:lineRule="auto"/>
        <w:jc w:val="center"/>
        <w:rPr>
          <w:rFonts w:ascii="仿宋_GB2312" w:hAnsi="仿宋" w:eastAsia="仿宋_GB2312" w:cs="仿宋_GB2312"/>
          <w:b/>
          <w:color w:val="auto"/>
          <w:sz w:val="24"/>
          <w:highlight w:val="none"/>
        </w:rPr>
      </w:pPr>
    </w:p>
    <w:p>
      <w:pPr>
        <w:snapToGrid w:val="0"/>
        <w:spacing w:line="360" w:lineRule="auto"/>
        <w:jc w:val="center"/>
        <w:rPr>
          <w:rFonts w:hint="default" w:ascii="仿宋_GB2312" w:hAnsi="仿宋" w:eastAsia="仿宋_GB2312" w:cs="仿宋_GB2312"/>
          <w:color w:val="auto"/>
          <w:sz w:val="30"/>
          <w:szCs w:val="30"/>
          <w:highlight w:val="none"/>
          <w:lang w:val="en-US" w:eastAsia="zh-CN"/>
        </w:rPr>
      </w:pPr>
      <w:r>
        <w:rPr>
          <w:rFonts w:hint="eastAsia" w:ascii="仿宋_GB2312" w:hAnsi="仿宋" w:eastAsia="仿宋_GB2312" w:cs="仿宋_GB2312"/>
          <w:color w:val="auto"/>
          <w:sz w:val="30"/>
          <w:szCs w:val="30"/>
          <w:highlight w:val="none"/>
        </w:rPr>
        <w:t>编号:</w:t>
      </w:r>
      <w:r>
        <w:rPr>
          <w:rFonts w:hint="eastAsia" w:ascii="仿宋_GB2312" w:hAnsi="仿宋" w:eastAsia="仿宋_GB2312" w:cs="仿宋_GB2312"/>
          <w:color w:val="auto"/>
          <w:sz w:val="30"/>
          <w:szCs w:val="30"/>
          <w:highlight w:val="none"/>
          <w:lang w:val="en-US" w:eastAsia="zh-CN"/>
        </w:rPr>
        <w:t>HZZFCG-2020-110</w:t>
      </w:r>
    </w:p>
    <w:p>
      <w:pPr>
        <w:adjustRightInd/>
        <w:spacing w:line="360" w:lineRule="auto"/>
        <w:rPr>
          <w:rFonts w:ascii="仿宋_GB2312" w:hAnsi="仿宋" w:eastAsia="仿宋_GB2312" w:cs="仿宋_GB2312"/>
          <w:color w:val="auto"/>
          <w:sz w:val="28"/>
          <w:szCs w:val="20"/>
          <w:highlight w:val="none"/>
        </w:rPr>
      </w:pPr>
    </w:p>
    <w:p>
      <w:pPr>
        <w:spacing w:line="360" w:lineRule="auto"/>
        <w:jc w:val="center"/>
        <w:rPr>
          <w:rFonts w:ascii="仿宋_GB2312" w:hAnsi="仿宋" w:eastAsia="仿宋_GB2312" w:cs="仿宋_GB2312"/>
          <w:color w:val="auto"/>
          <w:sz w:val="30"/>
          <w:szCs w:val="30"/>
          <w:highlight w:val="none"/>
        </w:rPr>
      </w:pPr>
    </w:p>
    <w:p>
      <w:pPr>
        <w:spacing w:line="360" w:lineRule="auto"/>
        <w:rPr>
          <w:rFonts w:ascii="仿宋_GB2312" w:hAnsi="仿宋" w:eastAsia="仿宋_GB2312" w:cs="仿宋_GB2312"/>
          <w:color w:val="auto"/>
          <w:sz w:val="24"/>
          <w:highlight w:val="none"/>
        </w:rPr>
      </w:pPr>
    </w:p>
    <w:p>
      <w:pPr>
        <w:spacing w:line="360" w:lineRule="auto"/>
        <w:jc w:val="center"/>
        <w:rPr>
          <w:rFonts w:ascii="仿宋_GB2312" w:hAnsi="仿宋" w:eastAsia="仿宋_GB2312" w:cs="仿宋_GB2312"/>
          <w:color w:val="auto"/>
          <w:sz w:val="24"/>
          <w:highlight w:val="none"/>
        </w:rPr>
      </w:pPr>
    </w:p>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w:t>
      </w:r>
    </w:p>
    <w:p>
      <w:pPr>
        <w:spacing w:line="360" w:lineRule="auto"/>
        <w:rPr>
          <w:rFonts w:ascii="仿宋_GB2312" w:hAnsi="仿宋" w:eastAsia="仿宋_GB2312" w:cs="仿宋_GB2312"/>
          <w:color w:val="auto"/>
          <w:sz w:val="32"/>
          <w:szCs w:val="32"/>
          <w:highlight w:val="none"/>
        </w:rPr>
      </w:pPr>
    </w:p>
    <w:p>
      <w:pPr>
        <w:snapToGrid w:val="0"/>
        <w:spacing w:line="360" w:lineRule="auto"/>
        <w:jc w:val="center"/>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杭州市公安局</w:t>
      </w:r>
    </w:p>
    <w:p>
      <w:pPr>
        <w:spacing w:line="360" w:lineRule="auto"/>
        <w:jc w:val="center"/>
        <w:rPr>
          <w:rFonts w:ascii="仿宋_GB2312" w:hAnsi="仿宋" w:eastAsia="仿宋_GB2312" w:cs="仿宋_GB2312"/>
          <w:bCs/>
          <w:color w:val="auto"/>
          <w:sz w:val="32"/>
          <w:szCs w:val="32"/>
          <w:highlight w:val="none"/>
        </w:rPr>
      </w:pPr>
      <w:r>
        <w:rPr>
          <w:rFonts w:hint="eastAsia" w:ascii="仿宋_GB2312" w:hAnsi="仿宋" w:eastAsia="仿宋_GB2312" w:cs="仿宋_GB2312"/>
          <w:bCs/>
          <w:color w:val="auto"/>
          <w:sz w:val="32"/>
          <w:szCs w:val="32"/>
          <w:highlight w:val="none"/>
        </w:rPr>
        <w:t>杭州市公共资源交易中心（杭州市政府采购中心）</w:t>
      </w:r>
    </w:p>
    <w:p>
      <w:pPr>
        <w:snapToGrid w:val="0"/>
        <w:spacing w:line="360" w:lineRule="auto"/>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十一</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eastAsia="zh-CN"/>
        </w:rPr>
        <w:t>三十</w:t>
      </w:r>
      <w:r>
        <w:rPr>
          <w:rFonts w:hint="eastAsia" w:ascii="仿宋_GB2312" w:hAnsi="仿宋_GB2312" w:eastAsia="仿宋_GB2312" w:cs="仿宋_GB2312"/>
          <w:bCs/>
          <w:color w:val="auto"/>
          <w:sz w:val="32"/>
          <w:szCs w:val="32"/>
          <w:highlight w:val="none"/>
        </w:rPr>
        <w:t>日</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br w:type="page"/>
      </w:r>
      <w:bookmarkStart w:id="0" w:name="_Hlt67893495"/>
      <w:bookmarkEnd w:id="0"/>
    </w:p>
    <w:p>
      <w:pPr>
        <w:spacing w:line="360" w:lineRule="auto"/>
        <w:jc w:val="center"/>
        <w:rPr>
          <w:rFonts w:ascii="仿宋_GB2312" w:hAnsi="仿宋" w:eastAsia="仿宋_GB2312" w:cs="仿宋_GB2312"/>
          <w:color w:val="auto"/>
          <w:sz w:val="24"/>
          <w:highlight w:val="none"/>
        </w:rPr>
      </w:pPr>
    </w:p>
    <w:p>
      <w:pPr>
        <w:spacing w:line="360" w:lineRule="auto"/>
        <w:jc w:val="center"/>
        <w:rPr>
          <w:rFonts w:ascii="仿宋_GB2312" w:hAnsi="仿宋" w:eastAsia="仿宋_GB2312" w:cs="仿宋_GB2312"/>
          <w:b/>
          <w:color w:val="auto"/>
          <w:sz w:val="48"/>
          <w:szCs w:val="48"/>
          <w:highlight w:val="none"/>
        </w:rPr>
      </w:pPr>
      <w:r>
        <w:rPr>
          <w:rFonts w:hint="eastAsia" w:ascii="仿宋_GB2312" w:hAnsi="仿宋" w:eastAsia="仿宋_GB2312" w:cs="仿宋_GB2312"/>
          <w:b/>
          <w:color w:val="auto"/>
          <w:sz w:val="48"/>
          <w:szCs w:val="48"/>
          <w:highlight w:val="none"/>
        </w:rPr>
        <w:t>目  录</w:t>
      </w:r>
    </w:p>
    <w:p>
      <w:pPr>
        <w:spacing w:line="360" w:lineRule="auto"/>
        <w:rPr>
          <w:rFonts w:ascii="仿宋_GB2312" w:hAnsi="仿宋" w:eastAsia="仿宋_GB2312" w:cs="仿宋_GB2312"/>
          <w:color w:val="auto"/>
          <w:sz w:val="32"/>
          <w:szCs w:val="32"/>
          <w:highlight w:val="none"/>
        </w:rPr>
      </w:pPr>
    </w:p>
    <w:p>
      <w:pPr>
        <w:spacing w:line="360" w:lineRule="auto"/>
        <w:rPr>
          <w:rFonts w:ascii="仿宋_GB2312" w:hAnsi="仿宋" w:eastAsia="仿宋_GB2312" w:cs="仿宋_GB2312"/>
          <w:color w:val="auto"/>
          <w:sz w:val="32"/>
          <w:szCs w:val="32"/>
          <w:highlight w:val="none"/>
        </w:rPr>
      </w:pPr>
    </w:p>
    <w:p>
      <w:pPr>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第一部分      招标公告</w:t>
      </w:r>
    </w:p>
    <w:p>
      <w:pPr>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第二部分      投标人须知</w:t>
      </w:r>
    </w:p>
    <w:p>
      <w:pPr>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第三部分      采购需求</w:t>
      </w:r>
    </w:p>
    <w:p>
      <w:pPr>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第四部分      评标方法及评分标准</w:t>
      </w:r>
    </w:p>
    <w:p>
      <w:pPr>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第五部分      拟签订的合同文本</w:t>
      </w:r>
    </w:p>
    <w:p>
      <w:pPr>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第六部分      应提交的有关格式范例</w:t>
      </w:r>
    </w:p>
    <w:p>
      <w:pPr>
        <w:spacing w:line="360" w:lineRule="auto"/>
        <w:ind w:firstLine="549" w:firstLineChars="229"/>
        <w:rPr>
          <w:rFonts w:ascii="仿宋_GB2312" w:hAnsi="仿宋" w:eastAsia="仿宋_GB2312" w:cs="仿宋_GB2312"/>
          <w:color w:val="auto"/>
          <w:sz w:val="24"/>
          <w:highlight w:val="none"/>
        </w:rPr>
      </w:pPr>
      <w:bookmarkStart w:id="1" w:name="_Hlt91233176"/>
      <w:bookmarkEnd w:id="1"/>
      <w:bookmarkStart w:id="2" w:name="_Toc91899869"/>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rPr>
          <w:rFonts w:ascii="仿宋_GB2312" w:hAnsi="仿宋" w:eastAsia="仿宋_GB2312" w:cs="仿宋_GB2312"/>
          <w:color w:val="auto"/>
          <w:sz w:val="24"/>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bookmarkStart w:id="3" w:name="第一部分"/>
      <w:r>
        <w:rPr>
          <w:rFonts w:hint="eastAsia" w:ascii="仿宋_GB2312" w:hAnsi="仿宋" w:eastAsia="仿宋_GB2312" w:cs="仿宋_GB2312"/>
          <w:b/>
          <w:color w:val="auto"/>
          <w:sz w:val="36"/>
          <w:szCs w:val="36"/>
          <w:highlight w:val="none"/>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_GB2312" w:hAnsi="仿宋" w:eastAsia="仿宋_GB2312" w:cs="仿宋_GB2312"/>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rPr>
        <w:t>杭州城市大脑**操作系统V3.0项目应用支撑和运营保障</w:t>
      </w:r>
      <w:r>
        <w:rPr>
          <w:rFonts w:hint="eastAsia" w:ascii="仿宋_GB2312" w:hAnsi="仿宋" w:eastAsia="仿宋_GB2312"/>
          <w:color w:val="auto"/>
          <w:sz w:val="24"/>
          <w:highlight w:val="none"/>
        </w:rPr>
        <w:t>招标项目的潜在投标人应在政采云平台（https://www.zcygov.cn/）获取（下载）招标文件，并于</w:t>
      </w:r>
      <w:r>
        <w:rPr>
          <w:rFonts w:hint="eastAsia" w:ascii="仿宋_GB2312" w:hAnsi="仿宋" w:eastAsia="仿宋_GB2312"/>
          <w:color w:val="auto"/>
          <w:sz w:val="24"/>
          <w:highlight w:val="none"/>
          <w:u w:val="single"/>
        </w:rPr>
        <w:t>2020年</w:t>
      </w:r>
      <w:r>
        <w:rPr>
          <w:rFonts w:hint="eastAsia" w:ascii="仿宋_GB2312" w:hAnsi="仿宋" w:eastAsia="仿宋_GB2312"/>
          <w:color w:val="auto"/>
          <w:sz w:val="24"/>
          <w:highlight w:val="none"/>
          <w:u w:val="single"/>
          <w:lang w:val="en-US" w:eastAsia="zh-CN"/>
        </w:rPr>
        <w:t>12</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21</w:t>
      </w:r>
      <w:r>
        <w:rPr>
          <w:rFonts w:hint="eastAsia" w:ascii="仿宋_GB2312" w:hAnsi="仿宋" w:eastAsia="仿宋_GB2312"/>
          <w:color w:val="auto"/>
          <w:sz w:val="24"/>
          <w:highlight w:val="none"/>
          <w:u w:val="single"/>
        </w:rPr>
        <w:t>日10</w:t>
      </w:r>
      <w:r>
        <w:rPr>
          <w:rFonts w:hint="eastAsia" w:ascii="仿宋_GB2312" w:hAnsi="仿宋" w:eastAsia="仿宋_GB2312"/>
          <w:bCs/>
          <w:color w:val="auto"/>
          <w:sz w:val="24"/>
          <w:highlight w:val="none"/>
          <w:u w:val="single"/>
        </w:rPr>
        <w:t>点</w:t>
      </w:r>
      <w:r>
        <w:rPr>
          <w:rFonts w:hint="eastAsia" w:ascii="仿宋_GB2312" w:hAnsi="仿宋" w:eastAsia="仿宋_GB2312"/>
          <w:bCs/>
          <w:color w:val="auto"/>
          <w:sz w:val="24"/>
          <w:highlight w:val="none"/>
          <w:u w:val="single"/>
          <w:lang w:val="en-US" w:eastAsia="zh-CN"/>
        </w:rPr>
        <w:t>3</w:t>
      </w:r>
      <w:r>
        <w:rPr>
          <w:rFonts w:hint="eastAsia" w:ascii="仿宋_GB2312" w:hAnsi="仿宋" w:eastAsia="仿宋_GB2312"/>
          <w:bCs/>
          <w:color w:val="auto"/>
          <w:sz w:val="24"/>
          <w:highlight w:val="none"/>
          <w:u w:val="single"/>
        </w:rPr>
        <w:t>0分00秒</w:t>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 xml:space="preserve">一、项目基本情况                                            </w:t>
      </w:r>
    </w:p>
    <w:p>
      <w:pPr>
        <w:spacing w:line="360" w:lineRule="auto"/>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color w:val="auto"/>
          <w:sz w:val="24"/>
          <w:highlight w:val="none"/>
          <w:lang w:eastAsia="zh-CN"/>
        </w:rPr>
        <w:t>HZZFCG-2020-110</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w:t>
      </w:r>
      <w:r>
        <w:rPr>
          <w:rFonts w:hint="eastAsia" w:ascii="仿宋_GB2312" w:hAnsi="仿宋" w:eastAsia="仿宋_GB2312"/>
          <w:b/>
          <w:color w:val="auto"/>
          <w:sz w:val="24"/>
          <w:highlight w:val="none"/>
        </w:rPr>
        <w:t xml:space="preserve"> 项目名称：</w:t>
      </w:r>
      <w:r>
        <w:rPr>
          <w:rFonts w:hint="eastAsia" w:ascii="仿宋_GB2312" w:hAnsi="仿宋" w:eastAsia="仿宋_GB2312" w:cs="仿宋_GB2312"/>
          <w:color w:val="auto"/>
          <w:sz w:val="24"/>
          <w:highlight w:val="none"/>
        </w:rPr>
        <w:t>杭州城市大脑**操作系统V3.0项目应用支撑和运营保障</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w:t>
      </w:r>
      <w:r>
        <w:rPr>
          <w:rFonts w:hint="eastAsia" w:ascii="仿宋_GB2312" w:hAnsi="仿宋" w:eastAsia="仿宋_GB2312"/>
          <w:b/>
          <w:color w:val="auto"/>
          <w:sz w:val="24"/>
          <w:highlight w:val="none"/>
        </w:rPr>
        <w:t xml:space="preserve"> 预算金额（</w:t>
      </w:r>
      <w:r>
        <w:rPr>
          <w:rFonts w:hint="eastAsia" w:ascii="仿宋_GB2312" w:hAnsi="仿宋" w:eastAsia="仿宋_GB2312"/>
          <w:b/>
          <w:color w:val="auto"/>
          <w:sz w:val="24"/>
          <w:highlight w:val="none"/>
          <w:lang w:val="en-US" w:eastAsia="zh-CN"/>
        </w:rPr>
        <w:t>万</w:t>
      </w:r>
      <w:r>
        <w:rPr>
          <w:rFonts w:hint="eastAsia" w:ascii="仿宋_GB2312" w:hAnsi="仿宋" w:eastAsia="仿宋_GB2312"/>
          <w:b/>
          <w:color w:val="auto"/>
          <w:sz w:val="24"/>
          <w:highlight w:val="none"/>
        </w:rPr>
        <w:t>元）：</w:t>
      </w:r>
      <w:r>
        <w:rPr>
          <w:rFonts w:ascii="仿宋_GB2312" w:hAnsi="仿宋" w:eastAsia="仿宋_GB2312"/>
          <w:color w:val="auto"/>
          <w:sz w:val="24"/>
          <w:highlight w:val="none"/>
        </w:rPr>
        <w:t>1300</w:t>
      </w:r>
      <w:r>
        <w:rPr>
          <w:rFonts w:hint="eastAsia" w:ascii="仿宋_GB2312" w:hAnsi="仿宋" w:eastAsia="仿宋_GB2312"/>
          <w:color w:val="auto"/>
          <w:sz w:val="24"/>
          <w:highlight w:val="none"/>
        </w:rPr>
        <w:t>（2020年安排390万元，2021年安排910万元）</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最高限价（万元）：</w:t>
      </w:r>
      <w:r>
        <w:rPr>
          <w:rFonts w:ascii="仿宋_GB2312" w:hAnsi="仿宋" w:eastAsia="仿宋_GB2312"/>
          <w:color w:val="auto"/>
          <w:sz w:val="24"/>
          <w:highlight w:val="none"/>
        </w:rPr>
        <w:t>1300</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color w:val="auto"/>
          <w:sz w:val="24"/>
          <w:highlight w:val="none"/>
        </w:rPr>
        <w:t>杭州城市大脑**操作系统V3.0项目应用支撑和运营保障以“建设全局综合运营中心，实现全局资源统一纳管”以及“探索通用基础能力模式，赋能创新应用敏捷开发”为目标，建设“共享业务及内容”和“通用基础能力”两大模块。</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其中共享业务及内容建设支撑全市民警共性业务需求，提升业务成果共享，并通过全流程支撑管理赋能各警种高效云上应用开发，主要包括数字驾驶舱，通用业务应用体系如全息地图应用、关系网络分析应用、多图合一应用功能新增、布控智寻应用功能新增、**智搜应用功能新增等等，共享内容体系如共享模型体系、统一指标体系、统一标签体系等等，以及应用全流程管理如云资源评估、上云实施前集中赋能、上云过程技术支撑、交付质量保障建设、专题支撑、资产管理、运营专栏等等。</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通用基础能力建设统一标准的应用开发环境和应用开发规范，通过对通用基础能力的建设与沉淀，支撑微服务化的云上业务应用快速构建与部署，主要包括智能指标、可视化展示引擎、智能标签功能新增、数据魔方功能新增、能力共享开放功能新增、流程引擎功能新增、消息中心功能新增、智能研判能力、智能检索能力、布控预警能力、智能客服能力、智能视频能力、智能文本能力、地址相似匹配能力、地图支撑能力、实人认证能力等等。</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项目总体需完成系统设计、开发、系统集成实施、运行维护以及技术培训和不少于5年7*24小时售后技术服务等。详见招标文件。</w:t>
      </w:r>
    </w:p>
    <w:p>
      <w:pPr>
        <w:spacing w:line="360" w:lineRule="auto"/>
        <w:ind w:firstLine="480"/>
        <w:rPr>
          <w:rFonts w:hint="eastAsia" w:ascii="仿宋_GB2312" w:eastAsia="仿宋_GB2312"/>
          <w:color w:val="auto"/>
          <w:sz w:val="24"/>
          <w:highlight w:val="none"/>
          <w:lang w:eastAsia="zh-CN"/>
        </w:rPr>
      </w:pPr>
      <w:r>
        <w:rPr>
          <w:rFonts w:hint="eastAsia" w:ascii="仿宋_GB2312" w:hAnsi="仿宋" w:eastAsia="仿宋_GB2312"/>
          <w:b/>
          <w:color w:val="auto"/>
          <w:sz w:val="24"/>
          <w:highlight w:val="none"/>
        </w:rPr>
        <w:t>合同履约期限：</w:t>
      </w:r>
      <w:r>
        <w:rPr>
          <w:rFonts w:hint="eastAsia" w:ascii="仿宋_GB2312" w:eastAsia="仿宋_GB2312"/>
          <w:color w:val="auto"/>
          <w:sz w:val="24"/>
          <w:highlight w:val="none"/>
        </w:rPr>
        <w:t>8个月，其中建设工期为6个月，试运行2个月</w:t>
      </w:r>
      <w:r>
        <w:rPr>
          <w:rFonts w:hint="eastAsia" w:ascii="仿宋_GB2312" w:eastAsia="仿宋_GB2312"/>
          <w:color w:val="auto"/>
          <w:sz w:val="24"/>
          <w:highlight w:val="none"/>
          <w:lang w:eastAsia="zh-CN"/>
        </w:rPr>
        <w:t>。</w:t>
      </w:r>
    </w:p>
    <w:p>
      <w:pPr>
        <w:spacing w:line="360" w:lineRule="auto"/>
        <w:ind w:firstLine="480"/>
        <w:rPr>
          <w:rFonts w:ascii="仿宋_GB2312" w:eastAsia="仿宋_GB2312"/>
          <w:b/>
          <w:color w:val="auto"/>
          <w:sz w:val="24"/>
          <w:highlight w:val="none"/>
        </w:rPr>
      </w:pPr>
      <w:r>
        <w:rPr>
          <w:rFonts w:hint="eastAsia" w:ascii="仿宋_GB2312" w:eastAsia="仿宋_GB2312"/>
          <w:b/>
          <w:color w:val="auto"/>
          <w:sz w:val="24"/>
          <w:highlight w:val="none"/>
        </w:rPr>
        <w:t>本项目接受联合体投标。</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1.满足《中华人民共和国政府采购法》第二十二条规定；</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2.落实政府采购政策需满足的资格要求：无。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3.本项目的特定资格要求：无 </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 xml:space="preserve">三、获取招标文件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hint="eastAsia" w:ascii="仿宋_GB2312" w:hAnsi="仿宋" w:eastAsia="仿宋_GB2312"/>
          <w:color w:val="auto"/>
          <w:sz w:val="24"/>
          <w:highlight w:val="none"/>
        </w:rPr>
        <w:t>/至2020年1</w:t>
      </w:r>
      <w:r>
        <w:rPr>
          <w:rFonts w:hint="eastAsia" w:ascii="仿宋_GB2312" w:hAnsi="仿宋" w:eastAsia="仿宋_GB2312"/>
          <w:color w:val="auto"/>
          <w:sz w:val="24"/>
          <w:highlight w:val="none"/>
          <w:lang w:val="en-US" w:eastAsia="zh-CN"/>
        </w:rPr>
        <w:t>2</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val="en-US" w:eastAsia="zh-CN"/>
        </w:rPr>
        <w:t>21</w:t>
      </w:r>
      <w:r>
        <w:rPr>
          <w:rFonts w:hint="eastAsia" w:ascii="仿宋_GB2312" w:hAnsi="仿宋" w:eastAsia="仿宋_GB2312"/>
          <w:color w:val="auto"/>
          <w:sz w:val="24"/>
          <w:highlight w:val="none"/>
        </w:rPr>
        <w:t>日 ，每天上午00:00至12:00 ，下午12:00至23:59（北京时间，线上获取法定节假日均可，线下获取文件法定节假日除外）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 xml:space="preserve">政采云平台（https://www.zcygov.cn/）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 xml:space="preserve">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hint="eastAsia" w:ascii="仿宋_GB2312" w:hAnsi="仿宋" w:eastAsia="仿宋_GB2312"/>
          <w:color w:val="auto"/>
          <w:sz w:val="24"/>
          <w:highlight w:val="none"/>
        </w:rPr>
        <w:t xml:space="preserve">0 </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hint="eastAsia" w:ascii="仿宋_GB2312" w:hAnsi="仿宋" w:eastAsia="仿宋_GB2312"/>
          <w:color w:val="auto"/>
          <w:sz w:val="24"/>
          <w:highlight w:val="none"/>
          <w:u w:val="single"/>
        </w:rPr>
        <w:t>2020年</w:t>
      </w:r>
      <w:r>
        <w:rPr>
          <w:rFonts w:hint="eastAsia" w:ascii="仿宋_GB2312" w:hAnsi="仿宋" w:eastAsia="仿宋_GB2312"/>
          <w:color w:val="auto"/>
          <w:sz w:val="24"/>
          <w:highlight w:val="none"/>
          <w:u w:val="single"/>
          <w:lang w:val="en-US" w:eastAsia="zh-CN"/>
        </w:rPr>
        <w:t>12</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21</w:t>
      </w:r>
      <w:r>
        <w:rPr>
          <w:rFonts w:hint="eastAsia" w:ascii="仿宋_GB2312" w:hAnsi="仿宋" w:eastAsia="仿宋_GB2312"/>
          <w:color w:val="auto"/>
          <w:sz w:val="24"/>
          <w:highlight w:val="none"/>
          <w:u w:val="single"/>
        </w:rPr>
        <w:t>日10</w:t>
      </w:r>
      <w:r>
        <w:rPr>
          <w:rFonts w:hint="eastAsia" w:ascii="仿宋_GB2312" w:hAnsi="仿宋" w:eastAsia="仿宋_GB2312"/>
          <w:bCs/>
          <w:color w:val="auto"/>
          <w:sz w:val="24"/>
          <w:highlight w:val="none"/>
          <w:u w:val="single"/>
        </w:rPr>
        <w:t>点</w:t>
      </w:r>
      <w:r>
        <w:rPr>
          <w:rFonts w:hint="eastAsia" w:ascii="仿宋_GB2312" w:hAnsi="仿宋" w:eastAsia="仿宋_GB2312"/>
          <w:bCs/>
          <w:color w:val="auto"/>
          <w:sz w:val="24"/>
          <w:highlight w:val="none"/>
          <w:u w:val="single"/>
          <w:lang w:val="en-US" w:eastAsia="zh-CN"/>
        </w:rPr>
        <w:t>3</w:t>
      </w:r>
      <w:r>
        <w:rPr>
          <w:rFonts w:hint="eastAsia" w:ascii="仿宋_GB2312" w:hAnsi="仿宋" w:eastAsia="仿宋_GB2312"/>
          <w:bCs/>
          <w:color w:val="auto"/>
          <w:sz w:val="24"/>
          <w:highlight w:val="none"/>
          <w:u w:val="single"/>
        </w:rPr>
        <w:t>0分00秒</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 xml:space="preserve">政采云平台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2020年</w:t>
      </w:r>
      <w:r>
        <w:rPr>
          <w:rFonts w:hint="eastAsia" w:ascii="仿宋_GB2312" w:hAnsi="仿宋" w:eastAsia="仿宋_GB2312"/>
          <w:color w:val="auto"/>
          <w:sz w:val="24"/>
          <w:highlight w:val="none"/>
          <w:u w:val="single"/>
          <w:lang w:val="en-US" w:eastAsia="zh-CN"/>
        </w:rPr>
        <w:t>12</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21</w:t>
      </w:r>
      <w:r>
        <w:rPr>
          <w:rFonts w:hint="eastAsia" w:ascii="仿宋_GB2312" w:hAnsi="仿宋" w:eastAsia="仿宋_GB2312"/>
          <w:color w:val="auto"/>
          <w:sz w:val="24"/>
          <w:highlight w:val="none"/>
          <w:u w:val="single"/>
        </w:rPr>
        <w:t>日10</w:t>
      </w:r>
      <w:r>
        <w:rPr>
          <w:rFonts w:hint="eastAsia" w:ascii="仿宋_GB2312" w:hAnsi="仿宋" w:eastAsia="仿宋_GB2312"/>
          <w:bCs/>
          <w:color w:val="auto"/>
          <w:sz w:val="24"/>
          <w:highlight w:val="none"/>
          <w:u w:val="single"/>
        </w:rPr>
        <w:t>点</w:t>
      </w:r>
      <w:r>
        <w:rPr>
          <w:rFonts w:hint="eastAsia" w:ascii="仿宋_GB2312" w:hAnsi="仿宋" w:eastAsia="仿宋_GB2312"/>
          <w:bCs/>
          <w:color w:val="auto"/>
          <w:sz w:val="24"/>
          <w:highlight w:val="none"/>
          <w:u w:val="single"/>
          <w:lang w:val="en-US" w:eastAsia="zh-CN"/>
        </w:rPr>
        <w:t>3</w:t>
      </w:r>
      <w:r>
        <w:rPr>
          <w:rFonts w:hint="eastAsia" w:ascii="仿宋_GB2312" w:hAnsi="仿宋" w:eastAsia="仿宋_GB2312"/>
          <w:bCs/>
          <w:color w:val="auto"/>
          <w:sz w:val="24"/>
          <w:highlight w:val="none"/>
          <w:u w:val="single"/>
        </w:rPr>
        <w:t>0分00秒</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w:t>
      </w:r>
      <w:r>
        <w:rPr>
          <w:rFonts w:hint="eastAsia" w:ascii="仿宋_GB2312" w:hAnsi="仿宋" w:eastAsia="仿宋_GB2312"/>
          <w:color w:val="auto"/>
          <w:sz w:val="24"/>
          <w:highlight w:val="none"/>
        </w:rPr>
        <w:t xml:space="preserve">杭州市公共资源交易中心第四开标室[杭州市之江路925号（临江金座2号楼）三楼]  </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 xml:space="preserve">五、公告期限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 需要落实的政府采购政策：包括保护环境、节约能源、促进中小企业发展等。详见招标文件的第二部分总则。为支持和促进中小企业发展，杭州市财政局出台了政府采购信用融资政策，供应商可凭中标合同申请贷款，</w:t>
      </w:r>
      <w:r>
        <w:rPr>
          <w:rFonts w:hint="eastAsia" w:ascii="仿宋_GB2312" w:hAnsi="仿宋" w:eastAsia="仿宋_GB2312" w:cs="宋体"/>
          <w:color w:val="auto"/>
          <w:kern w:val="0"/>
          <w:sz w:val="24"/>
          <w:highlight w:val="none"/>
        </w:rPr>
        <w:t>利率一般不超过基准利率上浮10%。</w:t>
      </w:r>
      <w:r>
        <w:rPr>
          <w:rFonts w:hint="eastAsia" w:ascii="仿宋_GB2312" w:hAnsi="仿宋" w:eastAsia="仿宋_GB2312"/>
          <w:color w:val="auto"/>
          <w:sz w:val="24"/>
          <w:highlight w:val="none"/>
        </w:rPr>
        <w:t>。具体可登录http://220.191.208.230/login.do办理业务。</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3.电子招投标的说明：</w:t>
      </w:r>
      <w:r>
        <w:rPr>
          <w:rFonts w:hint="eastAsia" w:ascii="仿宋_GB2312" w:hAnsi="仿宋" w:eastAsia="仿宋_GB2312" w:cs="仿宋_GB2312"/>
          <w:color w:val="auto"/>
          <w:sz w:val="24"/>
          <w:highlight w:val="none"/>
        </w:rPr>
        <w:t xml:space="preserve"> 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招标文件的获取：使用账号登录或者使用CA登录政采云平台；进入“项目采购”应用，在获取采购文件菜单中选择项目，获取招标文件。4）投标文件的制作：在“政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5）采购人、采购机构将依托政采云平台完成本项目的电子交易活动，平台不接受未按上述方式获取招标文件的供应商进行投标活动； 6）对未按上述方式获取招标文件的供应商对该文件提出的质疑，采购人或采购代理机构将不予处理；7）不提供招标文件纸质版。</w:t>
      </w:r>
      <w:r>
        <w:rPr>
          <w:rFonts w:hint="eastAsia" w:ascii="仿宋_GB2312" w:hAnsi="仿宋" w:eastAsia="仿宋_GB2312" w:cs="仿宋_GB2312"/>
          <w:color w:val="auto"/>
          <w:sz w:val="24"/>
          <w:highlight w:val="none"/>
        </w:rPr>
        <w:t>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olor w:val="auto"/>
          <w:sz w:val="24"/>
          <w:highlight w:val="none"/>
        </w:rPr>
        <w:t>9）</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10）具体操作指南：详见政采云平台“服务中心-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1.采购人信息</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名    称：杭州市公安局</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地    址：</w:t>
      </w:r>
      <w:r>
        <w:rPr>
          <w:rFonts w:hint="eastAsia" w:ascii="仿宋_GB2312" w:hAnsi="仿宋" w:eastAsia="仿宋_GB2312" w:cs="仿宋_GB2312"/>
          <w:color w:val="auto"/>
          <w:sz w:val="24"/>
          <w:highlight w:val="none"/>
        </w:rPr>
        <w:t>杭州市华光路35号；</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传    真：</w:t>
      </w:r>
      <w:r>
        <w:rPr>
          <w:rFonts w:hint="eastAsia" w:ascii="仿宋_GB2312" w:hAnsi="仿宋_GB2312" w:eastAsia="仿宋_GB2312" w:cs="仿宋_GB2312"/>
          <w:color w:val="auto"/>
          <w:sz w:val="24"/>
          <w:highlight w:val="none"/>
        </w:rPr>
        <w:t>0571-87280237</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项目联系人（询问）：</w:t>
      </w:r>
      <w:r>
        <w:rPr>
          <w:rFonts w:hint="eastAsia" w:ascii="仿宋_GB2312" w:hAnsi="仿宋_GB2312" w:eastAsia="仿宋_GB2312" w:cs="仿宋_GB2312"/>
          <w:color w:val="auto"/>
          <w:sz w:val="24"/>
          <w:highlight w:val="none"/>
        </w:rPr>
        <w:t>张女士</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项目联系方式（询问）：</w:t>
      </w:r>
      <w:r>
        <w:rPr>
          <w:rFonts w:hint="eastAsia" w:ascii="仿宋_GB2312" w:hAnsi="仿宋_GB2312" w:eastAsia="仿宋_GB2312" w:cs="仿宋_GB2312"/>
          <w:color w:val="auto"/>
          <w:sz w:val="24"/>
          <w:highlight w:val="none"/>
        </w:rPr>
        <w:t>0571-</w:t>
      </w:r>
      <w:r>
        <w:rPr>
          <w:rFonts w:hint="eastAsia" w:ascii="仿宋_GB2312" w:hAnsi="仿宋_GB2312" w:eastAsia="仿宋_GB2312" w:cs="仿宋_GB2312"/>
          <w:color w:val="auto"/>
          <w:sz w:val="24"/>
          <w:highlight w:val="none"/>
          <w:lang w:val="en-US" w:eastAsia="zh-CN"/>
        </w:rPr>
        <w:t>87280232</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质疑联系人：</w:t>
      </w:r>
      <w:r>
        <w:rPr>
          <w:rFonts w:hint="eastAsia" w:ascii="仿宋_GB2312" w:hAnsi="仿宋_GB2312" w:eastAsia="仿宋_GB2312" w:cs="仿宋_GB2312"/>
          <w:color w:val="auto"/>
          <w:sz w:val="24"/>
          <w:highlight w:val="none"/>
        </w:rPr>
        <w:t>陈琦</w:t>
      </w:r>
    </w:p>
    <w:p>
      <w:pPr>
        <w:spacing w:line="360" w:lineRule="auto"/>
        <w:ind w:firstLine="465"/>
        <w:rPr>
          <w:rFonts w:ascii="仿宋_GB2312" w:hAnsi="仿宋" w:eastAsia="仿宋_GB2312"/>
          <w:color w:val="auto"/>
          <w:sz w:val="24"/>
          <w:highlight w:val="none"/>
        </w:rPr>
      </w:pPr>
      <w:r>
        <w:rPr>
          <w:rFonts w:hint="eastAsia" w:ascii="仿宋_GB2312" w:hAnsi="仿宋" w:eastAsia="仿宋_GB2312"/>
          <w:color w:val="auto"/>
          <w:sz w:val="24"/>
          <w:highlight w:val="none"/>
        </w:rPr>
        <w:t>质疑联系方式：</w:t>
      </w:r>
      <w:r>
        <w:rPr>
          <w:rFonts w:hint="eastAsia" w:ascii="仿宋_GB2312" w:hAnsi="仿宋_GB2312" w:eastAsia="仿宋_GB2312" w:cs="仿宋_GB2312"/>
          <w:color w:val="auto"/>
          <w:sz w:val="24"/>
          <w:highlight w:val="none"/>
        </w:rPr>
        <w:t>0571-87280237</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2.采购代理机构信息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名    称：杭州市公共资源交易中心（杭州市政府采购中心、杭州市建设工程交易中心）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地    址：浙江杭州上城区之江路925号临江金座2号楼</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传    真：/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lang w:eastAsia="zh-CN"/>
        </w:rPr>
        <w:t>陈星宇</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项目联系方式（询问）：0571-85085</w:t>
      </w:r>
      <w:r>
        <w:rPr>
          <w:rFonts w:hint="eastAsia" w:ascii="仿宋_GB2312" w:hAnsi="仿宋" w:eastAsia="仿宋_GB2312"/>
          <w:color w:val="auto"/>
          <w:sz w:val="24"/>
          <w:highlight w:val="none"/>
          <w:lang w:val="en-US" w:eastAsia="zh-CN"/>
        </w:rPr>
        <w:t>69</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质疑联系人：滕菲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质疑联系方式：0571-85085558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名    称：杭州市财政局政府采购监管处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地    址：杭州市中河中路152号617办公室 </w:t>
      </w:r>
    </w:p>
    <w:p>
      <w:pPr>
        <w:spacing w:line="360" w:lineRule="auto"/>
        <w:ind w:firstLine="240" w:firstLineChars="1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传    真：0571-87715261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联系人 ：吕先生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监督投诉电话：0571-87715261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CA问题联系电话（人工）：汇信CA 400-888-4636；天谷CA 400-087-8198。</w:t>
      </w:r>
    </w:p>
    <w:p>
      <w:pPr>
        <w:pStyle w:val="34"/>
        <w:spacing w:line="360" w:lineRule="auto"/>
        <w:ind w:firstLine="472" w:firstLineChars="196"/>
        <w:rPr>
          <w:rFonts w:ascii="仿宋_GB2312" w:hAnsi="仿宋" w:eastAsia="仿宋_GB2312" w:cs="仿宋_GB2312"/>
          <w:b/>
          <w:color w:val="auto"/>
          <w:sz w:val="24"/>
          <w:szCs w:val="24"/>
          <w:highlight w:val="none"/>
        </w:rPr>
      </w:pPr>
    </w:p>
    <w:p>
      <w:pPr>
        <w:spacing w:line="360" w:lineRule="auto"/>
        <w:ind w:firstLine="200"/>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w:t>
      </w:r>
    </w:p>
    <w:p>
      <w:pPr>
        <w:spacing w:line="360" w:lineRule="auto"/>
        <w:ind w:firstLine="200"/>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杭州市公共资源交易中心（杭州市政府采购中心）</w:t>
      </w:r>
    </w:p>
    <w:p>
      <w:pPr>
        <w:pStyle w:val="34"/>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 xml:space="preserve">                                         二○二○年</w:t>
      </w:r>
      <w:r>
        <w:rPr>
          <w:rFonts w:hint="eastAsia" w:ascii="仿宋_GB2312" w:hAnsi="仿宋" w:eastAsia="仿宋_GB2312" w:cs="仿宋_GB2312"/>
          <w:color w:val="auto"/>
          <w:sz w:val="24"/>
          <w:szCs w:val="24"/>
          <w:highlight w:val="none"/>
          <w:lang w:val="en-US" w:eastAsia="zh-CN"/>
        </w:rPr>
        <w:t>十一</w:t>
      </w:r>
      <w:r>
        <w:rPr>
          <w:rFonts w:hint="eastAsia" w:ascii="仿宋_GB2312" w:hAnsi="仿宋" w:eastAsia="仿宋_GB2312" w:cs="仿宋_GB2312"/>
          <w:color w:val="auto"/>
          <w:sz w:val="24"/>
          <w:szCs w:val="24"/>
          <w:highlight w:val="none"/>
        </w:rPr>
        <w:t>月</w:t>
      </w:r>
      <w:r>
        <w:rPr>
          <w:rFonts w:hint="eastAsia" w:ascii="仿宋_GB2312" w:hAnsi="仿宋" w:eastAsia="仿宋_GB2312" w:cs="仿宋_GB2312"/>
          <w:color w:val="auto"/>
          <w:sz w:val="24"/>
          <w:szCs w:val="24"/>
          <w:highlight w:val="none"/>
          <w:lang w:eastAsia="zh-CN"/>
        </w:rPr>
        <w:t>三十</w:t>
      </w:r>
      <w:r>
        <w:rPr>
          <w:rFonts w:hint="eastAsia" w:ascii="仿宋_GB2312" w:hAnsi="仿宋" w:eastAsia="仿宋_GB2312" w:cs="仿宋_GB2312"/>
          <w:color w:val="auto"/>
          <w:sz w:val="24"/>
          <w:szCs w:val="24"/>
          <w:highlight w:val="none"/>
        </w:rPr>
        <w:t>日</w:t>
      </w:r>
    </w:p>
    <w:p>
      <w:pPr>
        <w:adjustRightInd/>
        <w:spacing w:line="360" w:lineRule="auto"/>
        <w:jc w:val="center"/>
        <w:outlineLvl w:val="0"/>
        <w:rPr>
          <w:rFonts w:ascii="仿宋_GB2312" w:hAnsi="仿宋" w:eastAsia="仿宋_GB2312" w:cs="仿宋_GB2312"/>
          <w:b/>
          <w:color w:val="auto"/>
          <w:sz w:val="36"/>
          <w:szCs w:val="20"/>
          <w:highlight w:val="none"/>
        </w:rPr>
      </w:pPr>
      <w:r>
        <w:rPr>
          <w:rFonts w:hint="eastAsia" w:ascii="仿宋_GB2312" w:hAnsi="仿宋" w:eastAsia="仿宋_GB2312" w:cs="仿宋_GB2312"/>
          <w:b/>
          <w:color w:val="auto"/>
          <w:sz w:val="36"/>
          <w:szCs w:val="20"/>
          <w:highlight w:val="none"/>
        </w:rPr>
        <w:br w:type="page"/>
      </w:r>
      <w:r>
        <w:rPr>
          <w:rFonts w:hint="eastAsia" w:ascii="仿宋_GB2312" w:hAnsi="仿宋" w:eastAsia="仿宋_GB2312" w:cs="仿宋_GB2312"/>
          <w:b/>
          <w:color w:val="auto"/>
          <w:sz w:val="36"/>
          <w:szCs w:val="20"/>
          <w:highlight w:val="none"/>
        </w:rPr>
        <w:t>第二部分</w:t>
      </w:r>
      <w:bookmarkEnd w:id="8"/>
      <w:r>
        <w:rPr>
          <w:rFonts w:hint="eastAsia" w:ascii="仿宋_GB2312" w:hAnsi="仿宋" w:eastAsia="仿宋_GB2312" w:cs="仿宋_GB2312"/>
          <w:b/>
          <w:color w:val="auto"/>
          <w:sz w:val="36"/>
          <w:szCs w:val="20"/>
          <w:highlight w:val="none"/>
        </w:rPr>
        <w:t xml:space="preserve"> 投标人须知</w:t>
      </w:r>
      <w:bookmarkEnd w:id="9"/>
    </w:p>
    <w:p>
      <w:pPr>
        <w:snapToGrid w:val="0"/>
        <w:spacing w:line="360" w:lineRule="auto"/>
        <w:jc w:val="center"/>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前附表</w:t>
      </w:r>
    </w:p>
    <w:tbl>
      <w:tblPr>
        <w:tblStyle w:val="6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报价要求</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ascii="仿宋_GB2312" w:hAnsi="仿宋" w:eastAsia="仿宋_GB2312" w:cs="仿宋_GB2312"/>
                <w:color w:val="auto"/>
                <w:kern w:val="0"/>
                <w:sz w:val="24"/>
                <w:highlight w:val="none"/>
                <w:lang w:val="zh-CN"/>
              </w:rPr>
            </w:pPr>
            <w:r>
              <w:rPr>
                <w:rFonts w:hint="eastAsia" w:ascii="仿宋_GB2312" w:hAnsi="仿宋" w:eastAsia="仿宋_GB2312"/>
                <w:color w:val="auto"/>
                <w:kern w:val="0"/>
                <w:sz w:val="24"/>
                <w:highlight w:val="none"/>
                <w:lang w:val="zh-CN"/>
              </w:rPr>
              <w:t>有关本项目建设所需的所有费用和税金等费用均计入报价。</w:t>
            </w:r>
            <w:r>
              <w:rPr>
                <w:rFonts w:hint="eastAsia" w:ascii="仿宋_GB2312" w:hAnsi="仿宋" w:eastAsia="仿宋_GB2312"/>
                <w:color w:val="auto"/>
                <w:sz w:val="24"/>
                <w:highlight w:val="none"/>
              </w:rPr>
              <w:t>《投标（开标）一览表》是报价的唯一载体</w:t>
            </w:r>
            <w:r>
              <w:rPr>
                <w:rFonts w:hint="eastAsia" w:ascii="仿宋_GB2312" w:hAnsi="仿宋" w:eastAsia="仿宋_GB2312" w:cs="仿宋_GB2312"/>
                <w:color w:val="auto"/>
                <w:kern w:val="0"/>
                <w:sz w:val="24"/>
                <w:highlight w:val="none"/>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highlight w:val="none"/>
                <w:lang w:val="zh-CN"/>
              </w:rPr>
              <w:t>提醒：验收时</w:t>
            </w:r>
            <w:r>
              <w:rPr>
                <w:rFonts w:hint="eastAsia" w:ascii="仿宋_GB2312" w:hAnsi="宋体" w:eastAsia="仿宋_GB2312"/>
                <w:b/>
                <w:color w:val="auto"/>
                <w:highlight w:val="none"/>
              </w:rPr>
              <w:t>检测费用由采购人承担，不包含在投标总价中。</w:t>
            </w:r>
          </w:p>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投标报价出现下列情形的，投标无效：</w:t>
            </w:r>
          </w:p>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b/>
                <w:color w:val="auto"/>
                <w:sz w:val="24"/>
                <w:highlight w:val="none"/>
              </w:rPr>
              <w:t>▲</w:t>
            </w:r>
            <w:r>
              <w:rPr>
                <w:rFonts w:hint="eastAsia" w:ascii="仿宋_GB2312" w:hAnsi="仿宋" w:eastAsia="仿宋_GB2312" w:cs="仿宋_GB2312"/>
                <w:b/>
                <w:color w:val="auto"/>
                <w:kern w:val="0"/>
                <w:sz w:val="24"/>
                <w:highlight w:val="none"/>
                <w:lang w:val="zh-CN"/>
              </w:rPr>
              <w:t>投标文件出现不是唯一的、有选择性投标报价的；</w:t>
            </w:r>
          </w:p>
          <w:p>
            <w:pPr>
              <w:snapToGrid w:val="0"/>
              <w:spacing w:line="360" w:lineRule="auto"/>
              <w:jc w:val="left"/>
              <w:rPr>
                <w:rFonts w:ascii="仿宋_GB2312" w:hAnsi="仿宋" w:eastAsia="仿宋_GB2312" w:cs="仿宋_GB2312"/>
                <w:color w:val="auto"/>
                <w:kern w:val="0"/>
                <w:sz w:val="24"/>
                <w:highlight w:val="none"/>
                <w:lang w:val="zh-CN"/>
              </w:rPr>
            </w:pPr>
            <w:r>
              <w:rPr>
                <w:rFonts w:hint="eastAsia" w:ascii="仿宋_GB2312" w:hAnsi="仿宋" w:eastAsia="仿宋_GB2312"/>
                <w:b/>
                <w:color w:val="auto"/>
                <w:sz w:val="24"/>
                <w:highlight w:val="none"/>
              </w:rPr>
              <w:t>▲</w:t>
            </w:r>
            <w:r>
              <w:rPr>
                <w:rFonts w:hint="eastAsia" w:ascii="仿宋_GB2312" w:hAnsi="仿宋" w:eastAsia="仿宋_GB2312" w:cs="仿宋_GB2312"/>
                <w:b/>
                <w:color w:val="auto"/>
                <w:sz w:val="24"/>
                <w:highlight w:val="none"/>
              </w:rPr>
              <w:t>投标报价高于本项目采购预算或者最高限价的;</w:t>
            </w:r>
          </w:p>
          <w:p>
            <w:pPr>
              <w:spacing w:line="360" w:lineRule="auto"/>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w:t>
            </w:r>
            <w:r>
              <w:rPr>
                <w:rFonts w:hint="eastAsia" w:ascii="仿宋_GB2312" w:hAnsi="仿宋" w:eastAsia="仿宋_GB2312" w:cs="Arial"/>
                <w:b/>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仿宋_GB2312" w:hAnsi="仿宋" w:eastAsia="仿宋_GB2312" w:cs="仿宋_GB2312"/>
                <w:b/>
                <w:color w:val="auto"/>
                <w:sz w:val="24"/>
                <w:szCs w:val="21"/>
                <w:highlight w:val="none"/>
              </w:rPr>
              <w:t>;</w:t>
            </w:r>
          </w:p>
          <w:p>
            <w:pPr>
              <w:spacing w:line="360" w:lineRule="auto"/>
              <w:rPr>
                <w:rFonts w:ascii="仿宋_GB2312" w:hAnsi="仿宋" w:eastAsia="仿宋_GB2312" w:cs="仿宋_GB2312"/>
                <w:color w:val="auto"/>
                <w:sz w:val="24"/>
                <w:szCs w:val="21"/>
                <w:highlight w:val="none"/>
              </w:rPr>
            </w:pPr>
            <w:r>
              <w:rPr>
                <w:rFonts w:hint="eastAsia" w:ascii="仿宋_GB2312" w:hAnsi="仿宋" w:eastAsia="仿宋_GB2312"/>
                <w:b/>
                <w:color w:val="auto"/>
                <w:sz w:val="24"/>
                <w:highlight w:val="none"/>
              </w:rPr>
              <w:t>▲《投标（开标）一览表》填写不完整或字迹不能辨认或有漏项的；</w:t>
            </w:r>
          </w:p>
          <w:p>
            <w:pPr>
              <w:spacing w:line="360" w:lineRule="auto"/>
              <w:rPr>
                <w:rFonts w:ascii="仿宋_GB2312" w:hAnsi="仿宋" w:eastAsia="仿宋_GB2312"/>
                <w:color w:val="auto"/>
                <w:sz w:val="24"/>
                <w:highlight w:val="none"/>
              </w:rPr>
            </w:pPr>
            <w:r>
              <w:rPr>
                <w:rFonts w:hint="eastAsia" w:ascii="仿宋_GB2312" w:hAnsi="仿宋" w:eastAsia="仿宋_GB2312" w:cs="Arial"/>
                <w:b/>
                <w:color w:val="auto"/>
                <w:kern w:val="0"/>
                <w:sz w:val="24"/>
                <w:highlight w:val="none"/>
              </w:rPr>
              <w:t>▲投标人对根据修正原则修正后的报价不确认的</w:t>
            </w:r>
            <w:r>
              <w:rPr>
                <w:rFonts w:hint="eastAsia" w:ascii="仿宋_GB2312" w:hAnsi="仿宋" w:eastAsia="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7"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分包或转包。</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numPr>
                <w:ilvl w:val="0"/>
                <w:numId w:val="12"/>
              </w:numPr>
              <w:adjustRightInd/>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w:t>
            </w:r>
            <w:r>
              <w:rPr>
                <w:rFonts w:hint="eastAsia" w:ascii="仿宋_GB2312" w:hAnsi="仿宋" w:eastAsia="仿宋_GB2312" w:cs="仿宋_GB2312"/>
                <w:b/>
                <w:color w:val="auto"/>
                <w:sz w:val="24"/>
                <w:highlight w:val="none"/>
              </w:rPr>
              <w:t>不同意</w:t>
            </w:r>
            <w:r>
              <w:rPr>
                <w:rFonts w:hint="eastAsia" w:ascii="仿宋_GB2312" w:hAnsi="仿宋" w:eastAsia="仿宋_GB2312" w:cs="仿宋_GB2312"/>
                <w:color w:val="auto"/>
                <w:sz w:val="24"/>
                <w:highlight w:val="none"/>
              </w:rPr>
              <w:t>分包。</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5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投标人应当提供的资格、资信证明文件</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（1）资格证明文件：见招标文件第二部分</w:t>
            </w:r>
            <w:r>
              <w:rPr>
                <w:rFonts w:hint="eastAsia" w:ascii="仿宋_GB2312" w:hAnsi="仿宋" w:eastAsia="仿宋_GB2312" w:cs="仿宋_GB2312"/>
                <w:color w:val="auto"/>
                <w:sz w:val="24"/>
                <w:highlight w:val="none"/>
              </w:rPr>
              <w:t>11.1。</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（2）资信证明文件：根据招标文件第四部分具体评标标准提供。</w:t>
            </w:r>
          </w:p>
          <w:p>
            <w:pPr>
              <w:spacing w:line="360" w:lineRule="auto"/>
              <w:rPr>
                <w:rFonts w:ascii="仿宋_GB2312" w:hAnsi="仿宋" w:eastAsia="仿宋_GB2312"/>
                <w:color w:val="auto"/>
                <w:kern w:val="0"/>
                <w:sz w:val="24"/>
                <w:highlight w:val="none"/>
              </w:rPr>
            </w:pPr>
            <w:r>
              <w:rPr>
                <w:rFonts w:hint="eastAsia" w:ascii="仿宋_GB2312" w:hAnsi="仿宋" w:eastAsia="仿宋_GB2312"/>
                <w:color w:val="auto"/>
                <w:sz w:val="24"/>
                <w:highlight w:val="none"/>
              </w:rPr>
              <w:t>▲</w:t>
            </w:r>
            <w:r>
              <w:rPr>
                <w:rFonts w:hint="eastAsia" w:ascii="仿宋_GB2312" w:hAnsi="仿宋" w:eastAsia="仿宋_GB2312" w:cs="仿宋_GB2312"/>
                <w:b/>
                <w:color w:val="auto"/>
                <w:sz w:val="24"/>
                <w:highlight w:val="none"/>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4"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pStyle w:val="34"/>
              <w:spacing w:line="360" w:lineRule="auto"/>
              <w:rPr>
                <w:rFonts w:ascii="仿宋_GB2312" w:hAnsi="仿宋" w:eastAsia="仿宋_GB2312" w:cs="Times New Roman"/>
                <w:snapToGrid/>
                <w:color w:val="auto"/>
                <w:sz w:val="24"/>
                <w:szCs w:val="20"/>
                <w:highlight w:val="none"/>
              </w:rPr>
            </w:pPr>
            <w:r>
              <w:rPr>
                <w:rFonts w:hint="eastAsia" w:ascii="仿宋_GB2312" w:hAnsi="仿宋" w:eastAsia="仿宋_GB2312" w:cs="Times New Roman"/>
                <w:snapToGrid/>
                <w:color w:val="auto"/>
                <w:sz w:val="24"/>
                <w:szCs w:val="20"/>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样品提供</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widowControl/>
              <w:spacing w:before="100" w:beforeAutospacing="1" w:after="240" w:line="360" w:lineRule="auto"/>
              <w:jc w:val="left"/>
              <w:rPr>
                <w:rFonts w:ascii="仿宋_GB2312" w:hAnsi="仿宋" w:eastAsia="仿宋_GB2312"/>
                <w:b/>
                <w:color w:val="auto"/>
                <w:sz w:val="24"/>
                <w:highlight w:val="none"/>
              </w:rPr>
            </w:pPr>
            <w:r>
              <w:rPr>
                <w:rFonts w:hint="eastAsia" w:ascii="仿宋_GB2312" w:hAnsi="仿宋" w:eastAsia="仿宋_GB2312"/>
                <w:color w:val="auto"/>
                <w:sz w:val="24"/>
                <w:highlight w:val="none"/>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2"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Cs/>
                <w:color w:val="auto"/>
                <w:sz w:val="24"/>
                <w:highlight w:val="none"/>
              </w:rPr>
            </w:pPr>
            <w:r>
              <w:rPr>
                <w:rFonts w:hint="eastAsia" w:ascii="仿宋_GB2312" w:hAnsi="仿宋" w:eastAsia="仿宋_GB2312" w:cs="仿宋_GB2312"/>
                <w:b/>
                <w:color w:val="auto"/>
                <w:sz w:val="24"/>
                <w:highlight w:val="none"/>
              </w:rPr>
              <w:t>方案讲解演示</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在评标时安排每个投标人进行实施方案讲解。投标人可选择政采云平台在线讲解，也可选择交易中心现场讲解。交易中心现场讲解地点为杭州市公共资源交易中心4楼讲标室，讲解演示所用电脑等设备由投标人自备。政采云平台在线讲解需投标人根据政采云平台操作要求做好准备工作，提前完善软硬件配置环境。每个投标人时间不超过</w:t>
            </w:r>
            <w:r>
              <w:rPr>
                <w:rFonts w:hint="eastAsia" w:ascii="仿宋_GB2312" w:hAnsi="仿宋" w:eastAsia="仿宋_GB2312" w:cs="仿宋_GB2312"/>
                <w:color w:val="auto"/>
                <w:kern w:val="0"/>
                <w:sz w:val="24"/>
                <w:highlight w:val="none"/>
                <w:lang w:val="en-US" w:eastAsia="zh-CN"/>
              </w:rPr>
              <w:t>15</w:t>
            </w:r>
            <w:r>
              <w:rPr>
                <w:rFonts w:hint="eastAsia" w:ascii="仿宋_GB2312" w:hAnsi="仿宋" w:eastAsia="仿宋_GB2312" w:cs="仿宋_GB2312"/>
                <w:color w:val="auto"/>
                <w:kern w:val="0"/>
                <w:sz w:val="24"/>
                <w:highlight w:val="none"/>
                <w:lang w:val="zh-CN"/>
              </w:rPr>
              <w:t>分钟。实施方案讲解次序以投标文件解密时间先后次序为准。</w:t>
            </w:r>
            <w:r>
              <w:rPr>
                <w:rFonts w:hint="eastAsia" w:ascii="仿宋_GB2312" w:hAnsi="仿宋" w:eastAsia="仿宋_GB2312" w:cs="仿宋_GB2312"/>
                <w:b/>
                <w:color w:val="auto"/>
                <w:kern w:val="10"/>
                <w:sz w:val="24"/>
                <w:highlight w:val="none"/>
              </w:rPr>
              <w:t>投标方案讲解演示人员须与投标人存在劳动关系。</w:t>
            </w:r>
            <w:r>
              <w:rPr>
                <w:rFonts w:hint="eastAsia" w:ascii="仿宋_GB2312" w:hAnsi="仿宋" w:eastAsia="仿宋_GB2312" w:cs="仿宋_GB2312"/>
                <w:color w:val="auto"/>
                <w:kern w:val="10"/>
                <w:sz w:val="24"/>
                <w:highlight w:val="none"/>
              </w:rPr>
              <w:t>投标方案讲解演示</w:t>
            </w:r>
            <w:r>
              <w:rPr>
                <w:rFonts w:hint="eastAsia" w:ascii="仿宋_GB2312" w:hAnsi="仿宋" w:eastAsia="仿宋_GB2312" w:cs="仿宋_GB2312"/>
                <w:color w:val="auto"/>
                <w:kern w:val="0"/>
                <w:sz w:val="24"/>
                <w:highlight w:val="none"/>
                <w:lang w:val="zh-CN"/>
              </w:rPr>
              <w:t>人员不超过3人，且必须包含法定代表人或其授权代表。投标方案现场讲解人员进场时携带身份证、与投标人的劳动关系证明（注明姓名，身份证号），否则不得讲标。项目演示后按要求解答评标委员会的提问。</w:t>
            </w:r>
          </w:p>
          <w:p>
            <w:pPr>
              <w:snapToGrid w:val="0"/>
              <w:spacing w:line="360" w:lineRule="auto"/>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项目属性</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中小企业信用融资</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snapToGrid w:val="0"/>
                <w:color w:val="auto"/>
                <w:kern w:val="28"/>
                <w:sz w:val="24"/>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pPr>
        <w:snapToGrid w:val="0"/>
        <w:spacing w:line="360" w:lineRule="auto"/>
        <w:jc w:val="center"/>
        <w:rPr>
          <w:rFonts w:ascii="仿宋_GB2312" w:hAnsi="仿宋" w:eastAsia="仿宋_GB2312" w:cs="仿宋_GB2312"/>
          <w:b/>
          <w:color w:val="auto"/>
          <w:sz w:val="32"/>
          <w:szCs w:val="20"/>
          <w:highlight w:val="none"/>
        </w:rPr>
      </w:pPr>
    </w:p>
    <w:p>
      <w:pPr>
        <w:snapToGrid w:val="0"/>
        <w:spacing w:line="360" w:lineRule="auto"/>
        <w:jc w:val="center"/>
        <w:rPr>
          <w:rFonts w:ascii="仿宋_GB2312" w:hAnsi="仿宋" w:eastAsia="仿宋_GB2312" w:cs="仿宋_GB2312"/>
          <w:b/>
          <w:color w:val="auto"/>
          <w:sz w:val="32"/>
          <w:szCs w:val="20"/>
          <w:highlight w:val="none"/>
        </w:rPr>
      </w:pPr>
    </w:p>
    <w:p>
      <w:pPr>
        <w:pStyle w:val="2"/>
        <w:rPr>
          <w:color w:val="auto"/>
          <w:highlight w:val="none"/>
        </w:rPr>
      </w:pPr>
    </w:p>
    <w:p>
      <w:pPr>
        <w:rPr>
          <w:color w:val="auto"/>
          <w:highlight w:val="none"/>
        </w:rPr>
      </w:pPr>
    </w:p>
    <w:p>
      <w:pPr>
        <w:snapToGrid w:val="0"/>
        <w:spacing w:line="360" w:lineRule="auto"/>
        <w:jc w:val="center"/>
        <w:rPr>
          <w:rFonts w:ascii="仿宋_GB2312" w:hAnsi="仿宋" w:eastAsia="仿宋_GB2312" w:cs="仿宋_GB2312"/>
          <w:b/>
          <w:color w:val="auto"/>
          <w:sz w:val="32"/>
          <w:szCs w:val="20"/>
          <w:highlight w:val="none"/>
        </w:rPr>
      </w:pPr>
    </w:p>
    <w:bookmarkEnd w:id="10"/>
    <w:p>
      <w:pPr>
        <w:adjustRightInd/>
        <w:spacing w:line="360" w:lineRule="auto"/>
        <w:ind w:firstLine="3845" w:firstLineChars="1197"/>
        <w:outlineLvl w:val="0"/>
        <w:rPr>
          <w:rFonts w:ascii="仿宋_GB2312" w:hAnsi="仿宋" w:eastAsia="仿宋_GB2312" w:cs="仿宋_GB2312"/>
          <w:b/>
          <w:color w:val="auto"/>
          <w:sz w:val="32"/>
          <w:szCs w:val="20"/>
          <w:highlight w:val="none"/>
        </w:rPr>
      </w:pPr>
      <w:bookmarkStart w:id="11" w:name="第三部分"/>
      <w:bookmarkStart w:id="12" w:name="_Toc164416483"/>
      <w:r>
        <w:rPr>
          <w:rFonts w:hint="eastAsia" w:ascii="仿宋_GB2312" w:hAnsi="仿宋" w:eastAsia="仿宋_GB2312" w:cs="仿宋_GB2312"/>
          <w:b/>
          <w:color w:val="auto"/>
          <w:sz w:val="32"/>
          <w:szCs w:val="20"/>
          <w:highlight w:val="none"/>
        </w:rPr>
        <w:t>一、总则</w:t>
      </w:r>
    </w:p>
    <w:p>
      <w:pPr>
        <w:snapToGrid w:val="0"/>
        <w:spacing w:line="360" w:lineRule="auto"/>
        <w:ind w:firstLine="361" w:firstLineChars="150"/>
        <w:jc w:val="left"/>
        <w:outlineLvl w:val="1"/>
        <w:rPr>
          <w:rFonts w:ascii="仿宋_GB2312" w:hAnsi="仿宋" w:eastAsia="仿宋_GB2312"/>
          <w:b/>
          <w:color w:val="auto"/>
          <w:sz w:val="24"/>
          <w:highlight w:val="none"/>
        </w:rPr>
      </w:pPr>
      <w:r>
        <w:rPr>
          <w:rFonts w:hint="eastAsia" w:ascii="仿宋_GB2312" w:hAnsi="仿宋" w:eastAsia="仿宋_GB2312"/>
          <w:b/>
          <w:color w:val="auto"/>
          <w:sz w:val="24"/>
          <w:highlight w:val="none"/>
        </w:rPr>
        <w:t>1. 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2.1 “采购人”系指招标公告中载明的本项目的采购人。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2.2 “采购机构”系指招标公告中载明的本项目的采购机构。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2.3 “投标人”系指是指响应招标、参加投标竞争的法人、其他组织或者自然人。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2.5“电子签名”系指数据电文中以电子形式所含、所附用于识别签名人身份并表明签名人认可其中内容的数据。</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2.7 “▲” 系指实质性要求条款，“★”系产品采购项目中单一产品或核心产品。</w:t>
      </w:r>
    </w:p>
    <w:p>
      <w:pPr>
        <w:spacing w:line="360" w:lineRule="auto"/>
        <w:ind w:firstLine="241" w:firstLineChars="100"/>
        <w:rPr>
          <w:rFonts w:ascii="仿宋_GB2312" w:hAnsi="仿宋" w:eastAsia="仿宋_GB2312"/>
          <w:b/>
          <w:color w:val="auto"/>
          <w:sz w:val="24"/>
          <w:highlight w:val="none"/>
        </w:rPr>
      </w:pPr>
      <w:r>
        <w:rPr>
          <w:rFonts w:hint="eastAsia" w:ascii="仿宋_GB2312" w:hAnsi="仿宋" w:eastAsia="仿宋_GB2312"/>
          <w:b/>
          <w:color w:val="auto"/>
          <w:sz w:val="24"/>
          <w:highlight w:val="none"/>
        </w:rPr>
        <w:t>3.</w:t>
      </w:r>
      <w:r>
        <w:rPr>
          <w:rFonts w:hint="eastAsia"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hint="eastAsia" w:ascii="仿宋_GB2312" w:hAnsi="仿宋" w:eastAsia="仿宋_GB2312"/>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hint="eastAsia" w:ascii="仿宋_GB2312" w:hAnsi="仿宋" w:eastAsia="仿宋_GB2312"/>
          <w:color w:val="auto"/>
          <w:sz w:val="24"/>
          <w:highlight w:val="none"/>
        </w:rPr>
        <w:t>3.2 节能环保要求</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仿宋_GB2312" w:hAnsi="仿宋" w:eastAsia="仿宋_GB2312"/>
          <w:b/>
          <w:color w:val="auto"/>
          <w:sz w:val="24"/>
          <w:highlight w:val="none"/>
        </w:rPr>
      </w:pPr>
      <w:r>
        <w:rPr>
          <w:rFonts w:hint="eastAsia" w:ascii="仿宋_GB2312" w:hAnsi="仿宋" w:eastAsia="仿宋_GB2312"/>
          <w:color w:val="auto"/>
          <w:sz w:val="24"/>
          <w:highlight w:val="none"/>
        </w:rPr>
        <w:t>3.2.2</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采购人拟采购的产品属于政府强制采购的节能产品品目清单范围的，投标人未按招标文件要求提供国家确定的认证机构出具的、处于有效期之内的节能产品认证证书，投标无效。</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3.3</w:t>
      </w:r>
      <w:r>
        <w:rPr>
          <w:rFonts w:hint="eastAsia" w:ascii="仿宋_GB2312" w:eastAsia="仿宋_GB2312"/>
          <w:bCs/>
          <w:color w:val="auto"/>
          <w:sz w:val="24"/>
          <w:highlight w:val="none"/>
        </w:rPr>
        <w:t>支持中小企业发展</w:t>
      </w:r>
      <w:r>
        <w:rPr>
          <w:rFonts w:hint="eastAsia" w:ascii="仿宋_GB2312" w:hAnsi="仿宋" w:eastAsia="仿宋_GB2312"/>
          <w:color w:val="auto"/>
          <w:sz w:val="24"/>
          <w:highlight w:val="none"/>
        </w:rPr>
        <w:t>。</w:t>
      </w:r>
    </w:p>
    <w:p>
      <w:pPr>
        <w:spacing w:line="360" w:lineRule="auto"/>
        <w:ind w:firstLine="480" w:firstLineChars="200"/>
        <w:rPr>
          <w:rFonts w:ascii="仿宋_GB2312" w:eastAsia="仿宋_GB2312"/>
          <w:bCs/>
          <w:color w:val="auto"/>
          <w:sz w:val="24"/>
          <w:highlight w:val="none"/>
        </w:rPr>
      </w:pPr>
      <w:r>
        <w:rPr>
          <w:rFonts w:hint="eastAsia" w:ascii="仿宋_GB2312" w:hAnsi="仿宋" w:eastAsia="仿宋_GB2312"/>
          <w:color w:val="auto"/>
          <w:sz w:val="24"/>
          <w:highlight w:val="none"/>
        </w:rPr>
        <w:t>3.3.1</w:t>
      </w:r>
      <w:r>
        <w:rPr>
          <w:rFonts w:hint="eastAsia" w:ascii="仿宋_GB2312" w:eastAsia="仿宋_GB2312"/>
          <w:bCs/>
          <w:color w:val="auto"/>
          <w:sz w:val="24"/>
          <w:highlight w:val="none"/>
        </w:rPr>
        <w:t>小型、微型企业应当同时符合以下条件：</w:t>
      </w:r>
    </w:p>
    <w:p>
      <w:pPr>
        <w:spacing w:line="360" w:lineRule="auto"/>
        <w:ind w:firstLine="480" w:firstLineChars="200"/>
        <w:rPr>
          <w:rFonts w:ascii="仿宋_GB2312" w:eastAsia="仿宋_GB2312"/>
          <w:bCs/>
          <w:color w:val="auto"/>
          <w:sz w:val="24"/>
          <w:highlight w:val="none"/>
        </w:rPr>
      </w:pPr>
      <w:r>
        <w:rPr>
          <w:rFonts w:hint="eastAsia" w:ascii="仿宋_GB2312" w:eastAsia="仿宋_GB2312"/>
          <w:bCs/>
          <w:color w:val="auto"/>
          <w:sz w:val="24"/>
          <w:highlight w:val="none"/>
        </w:rPr>
        <w:t>（1）符合中小企业划分标准；</w:t>
      </w:r>
    </w:p>
    <w:p>
      <w:pPr>
        <w:spacing w:line="360" w:lineRule="auto"/>
        <w:ind w:firstLine="480" w:firstLineChars="200"/>
        <w:rPr>
          <w:rFonts w:ascii="仿宋_GB2312" w:eastAsia="仿宋_GB2312"/>
          <w:bCs/>
          <w:color w:val="auto"/>
          <w:sz w:val="24"/>
          <w:highlight w:val="none"/>
        </w:rPr>
      </w:pPr>
      <w:r>
        <w:rPr>
          <w:rFonts w:hint="eastAsia" w:ascii="仿宋_GB2312" w:eastAsia="仿宋_GB2312"/>
          <w:bCs/>
          <w:color w:val="auto"/>
          <w:sz w:val="24"/>
          <w:highlight w:val="none"/>
        </w:rPr>
        <w:t>（2）</w:t>
      </w:r>
      <w:r>
        <w:rPr>
          <w:rFonts w:hint="eastAsia" w:ascii="仿宋_GB2312" w:eastAsia="仿宋_GB2312"/>
          <w:b/>
          <w:bCs/>
          <w:color w:val="auto"/>
          <w:sz w:val="24"/>
          <w:highlight w:val="none"/>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3.3.2小型、微型企业应按照招标文件格式要求提供《中小企业声明函》。</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3.3.3对于非专门面中小类企业的项目，对小型和微型企业产品的投标价格给予10 %的扣除，用扣除后的价格参与评审。对于专面向中小企业的项目，对小型和微型企业产品的投标价格给予8%的扣除，用扣除后的价格参与评审。</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联合体各方均为小型、微型企业的，联合体视同为小型、微型企业。</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3.3.5符合《关于促进残疾人就业政府采购政策的通知》（财库〔2017〕141号）规定的条件并提供《残疾人福利性单位声明函》（附件1）的残疾人福利性单位视同小型、微型企业；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240" w:firstLineChars="100"/>
        <w:rPr>
          <w:rFonts w:ascii="仿宋_GB2312" w:hAnsi="仿宋" w:eastAsia="仿宋_GB2312"/>
          <w:b/>
          <w:color w:val="auto"/>
          <w:sz w:val="24"/>
          <w:highlight w:val="none"/>
        </w:rPr>
      </w:pPr>
      <w:r>
        <w:rPr>
          <w:rFonts w:hint="eastAsia" w:ascii="仿宋_GB2312" w:hAnsi="仿宋" w:eastAsia="仿宋_GB2312"/>
          <w:color w:val="auto"/>
          <w:sz w:val="24"/>
          <w:highlight w:val="none"/>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r>
        <w:rPr>
          <w:rFonts w:hint="eastAsia" w:ascii="仿宋_GB2312" w:hAnsi="仿宋" w:eastAsia="仿宋_GB2312"/>
          <w:color w:val="auto"/>
          <w:sz w:val="24"/>
          <w:highlight w:val="none"/>
        </w:rPr>
        <w:cr/>
      </w:r>
      <w:r>
        <w:rPr>
          <w:rFonts w:hint="eastAsia" w:ascii="仿宋_GB2312" w:hAnsi="仿宋" w:eastAsia="仿宋_GB2312"/>
          <w:b/>
          <w:color w:val="auto"/>
          <w:sz w:val="24"/>
          <w:highlight w:val="none"/>
        </w:rPr>
        <w:t>4. 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4.1供应商询问</w:t>
      </w:r>
    </w:p>
    <w:p>
      <w:pPr>
        <w:pStyle w:val="34"/>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根据采购人与采购机构签订的《杭州市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4.2供应商质疑</w:t>
      </w:r>
    </w:p>
    <w:p>
      <w:pPr>
        <w:pStyle w:val="34"/>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s="微软雅黑"/>
          <w:color w:val="auto"/>
          <w:kern w:val="0"/>
          <w:sz w:val="24"/>
          <w:highlight w:val="none"/>
          <w:lang w:val="zh-CN"/>
        </w:rPr>
        <w:t>4.2</w:t>
      </w:r>
      <w:r>
        <w:rPr>
          <w:rFonts w:hint="eastAsia" w:ascii="仿宋_GB2312" w:hAnsi="仿宋" w:eastAsia="仿宋_GB2312"/>
          <w:color w:val="auto"/>
          <w:sz w:val="24"/>
          <w:highlight w:val="none"/>
        </w:rPr>
        <w:t>.1提出质疑的供应商应当是参与所质疑项目采购活动的供应商。潜在供应商已依法获取其可质疑的采购文件的，可以对该文件提出质疑。</w:t>
      </w:r>
    </w:p>
    <w:p>
      <w:pPr>
        <w:pStyle w:val="34"/>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s="微软雅黑"/>
          <w:color w:val="auto"/>
          <w:kern w:val="0"/>
          <w:sz w:val="24"/>
          <w:highlight w:val="none"/>
          <w:lang w:val="zh-CN"/>
        </w:rPr>
        <w:t>4.2</w:t>
      </w:r>
      <w:r>
        <w:rPr>
          <w:rFonts w:hint="eastAsia" w:ascii="仿宋_GB2312" w:hAnsi="仿宋" w:eastAsia="仿宋_GB2312"/>
          <w:color w:val="auto"/>
          <w:sz w:val="24"/>
          <w:highlight w:val="none"/>
        </w:rPr>
        <w:t>.2供应商认为采购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34" w:firstLineChars="181"/>
        <w:rPr>
          <w:rFonts w:ascii="仿宋_GB2312" w:hAnsi="仿宋" w:eastAsia="仿宋_GB2312"/>
          <w:snapToGrid/>
          <w:color w:val="auto"/>
          <w:kern w:val="2"/>
          <w:sz w:val="24"/>
          <w:highlight w:val="none"/>
        </w:rPr>
      </w:pPr>
      <w:r>
        <w:rPr>
          <w:rFonts w:hint="eastAsia" w:ascii="仿宋_GB2312" w:hAnsi="仿宋" w:eastAsia="仿宋_GB2312"/>
          <w:snapToGrid/>
          <w:color w:val="auto"/>
          <w:kern w:val="2"/>
          <w:sz w:val="24"/>
          <w:highlight w:val="none"/>
        </w:rPr>
        <w:t>4.2.2.1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杭州市集中采购年度委托协议》的规定：对采购文件中特定资格条件、采购需求、评分办法提出的质疑，原则上由采购人负责答复；对采购文件中其他内容提出的质疑，原则上由采购机构负责答复。</w:t>
      </w:r>
    </w:p>
    <w:p>
      <w:pPr>
        <w:pStyle w:val="34"/>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4.2.2.2对采购过程提出质疑的，质疑期限为各采购程序环节结束之日起计算。对同一采购程序环节的质疑，供应商须一次性提出。根据采购人与采购机构签订的《杭州市集中采购年度委托协议》的规定：对采购过程中有关现场考察或开标前答疑会事项提出的质疑，原则上由采购人负责答复；对采购过程中其它事项提出的质疑，原则上由采购机构负责答复。</w:t>
      </w:r>
    </w:p>
    <w:p>
      <w:pPr>
        <w:pStyle w:val="34"/>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4.2.2.3对采购结果提出质疑的，质疑期限自采购结果公告期限届满之日起计算。对采购结果提出质疑的，采购机构负责答复。</w:t>
      </w:r>
    </w:p>
    <w:p>
      <w:pPr>
        <w:pStyle w:val="34"/>
        <w:snapToGrid w:val="0"/>
        <w:spacing w:line="360" w:lineRule="auto"/>
        <w:ind w:firstLine="240" w:firstLineChars="100"/>
        <w:contextualSpacing/>
        <w:rPr>
          <w:rFonts w:ascii="仿宋_GB2312" w:hAnsi="仿宋" w:eastAsia="仿宋_GB2312"/>
          <w:color w:val="auto"/>
          <w:sz w:val="24"/>
          <w:highlight w:val="none"/>
        </w:rPr>
      </w:pPr>
      <w:r>
        <w:rPr>
          <w:rFonts w:hint="eastAsia"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583"/>
        <w:shd w:val="clear" w:color="auto" w:fill="FFFFFF"/>
        <w:snapToGrid w:val="0"/>
        <w:spacing w:after="240" w:afterAutospacing="0" w:line="360" w:lineRule="auto"/>
        <w:contextualSpacing/>
        <w:rPr>
          <w:rFonts w:ascii="仿宋_GB2312" w:hAnsi="仿宋" w:eastAsia="仿宋_GB2312" w:cs="Arial"/>
          <w:snapToGrid w:val="0"/>
          <w:color w:val="auto"/>
          <w:kern w:val="2"/>
          <w:szCs w:val="21"/>
          <w:highlight w:val="none"/>
        </w:rPr>
      </w:pPr>
      <w:r>
        <w:rPr>
          <w:rFonts w:hint="eastAsia" w:ascii="仿宋_GB2312" w:hAnsi="仿宋" w:eastAsia="仿宋_GB2312" w:cs="Arial"/>
          <w:snapToGrid w:val="0"/>
          <w:color w:val="auto"/>
          <w:kern w:val="2"/>
          <w:szCs w:val="21"/>
          <w:highlight w:val="none"/>
        </w:rPr>
        <w:t>　　</w:t>
      </w:r>
      <w:r>
        <w:rPr>
          <w:rFonts w:hint="eastAsia" w:ascii="仿宋_GB2312" w:hAnsi="仿宋" w:eastAsia="仿宋_GB2312" w:cs="微软雅黑"/>
          <w:color w:val="auto"/>
          <w:highlight w:val="none"/>
          <w:lang w:val="zh-CN"/>
        </w:rPr>
        <w:t>4.2.3.1</w:t>
      </w:r>
      <w:r>
        <w:rPr>
          <w:rFonts w:hint="eastAsia" w:ascii="仿宋_GB2312" w:hAnsi="仿宋" w:eastAsia="仿宋_GB2312" w:cs="Arial"/>
          <w:snapToGrid w:val="0"/>
          <w:color w:val="auto"/>
          <w:kern w:val="2"/>
          <w:szCs w:val="21"/>
          <w:highlight w:val="none"/>
        </w:rPr>
        <w:t>供应商的姓名或者名称、地址、邮编、联系人及联系电话；</w:t>
      </w:r>
    </w:p>
    <w:p>
      <w:pPr>
        <w:pStyle w:val="583"/>
        <w:shd w:val="clear" w:color="auto" w:fill="FFFFFF"/>
        <w:snapToGrid w:val="0"/>
        <w:spacing w:after="240" w:afterAutospacing="0" w:line="360" w:lineRule="auto"/>
        <w:contextualSpacing/>
        <w:rPr>
          <w:rFonts w:ascii="仿宋_GB2312" w:hAnsi="仿宋" w:eastAsia="仿宋_GB2312" w:cs="Arial"/>
          <w:snapToGrid w:val="0"/>
          <w:color w:val="auto"/>
          <w:kern w:val="2"/>
          <w:szCs w:val="21"/>
          <w:highlight w:val="none"/>
        </w:rPr>
      </w:pPr>
      <w:r>
        <w:rPr>
          <w:rFonts w:hint="eastAsia" w:ascii="仿宋_GB2312" w:hAnsi="仿宋" w:eastAsia="仿宋_GB2312" w:cs="Arial"/>
          <w:snapToGrid w:val="0"/>
          <w:color w:val="auto"/>
          <w:kern w:val="2"/>
          <w:szCs w:val="21"/>
          <w:highlight w:val="none"/>
        </w:rPr>
        <w:t>　　</w:t>
      </w:r>
      <w:r>
        <w:rPr>
          <w:rFonts w:hint="eastAsia" w:ascii="仿宋_GB2312" w:hAnsi="仿宋" w:eastAsia="仿宋_GB2312" w:cs="微软雅黑"/>
          <w:color w:val="auto"/>
          <w:highlight w:val="none"/>
          <w:lang w:val="zh-CN"/>
        </w:rPr>
        <w:t>4.2.3.2</w:t>
      </w:r>
      <w:r>
        <w:rPr>
          <w:rFonts w:hint="eastAsia" w:ascii="仿宋_GB2312" w:hAnsi="仿宋" w:eastAsia="仿宋_GB2312" w:cs="Arial"/>
          <w:snapToGrid w:val="0"/>
          <w:color w:val="auto"/>
          <w:kern w:val="2"/>
          <w:szCs w:val="21"/>
          <w:highlight w:val="none"/>
        </w:rPr>
        <w:t>质疑项目的名称、编号；</w:t>
      </w:r>
    </w:p>
    <w:p>
      <w:pPr>
        <w:pStyle w:val="583"/>
        <w:shd w:val="clear" w:color="auto" w:fill="FFFFFF"/>
        <w:snapToGrid w:val="0"/>
        <w:spacing w:after="240" w:afterAutospacing="0" w:line="360" w:lineRule="auto"/>
        <w:contextualSpacing/>
        <w:rPr>
          <w:rFonts w:ascii="仿宋_GB2312" w:hAnsi="仿宋" w:eastAsia="仿宋_GB2312" w:cs="Arial"/>
          <w:snapToGrid w:val="0"/>
          <w:color w:val="auto"/>
          <w:kern w:val="2"/>
          <w:szCs w:val="21"/>
          <w:highlight w:val="none"/>
        </w:rPr>
      </w:pPr>
      <w:r>
        <w:rPr>
          <w:rFonts w:hint="eastAsia" w:ascii="仿宋_GB2312" w:hAnsi="仿宋" w:eastAsia="仿宋_GB2312" w:cs="Arial"/>
          <w:snapToGrid w:val="0"/>
          <w:color w:val="auto"/>
          <w:kern w:val="2"/>
          <w:szCs w:val="21"/>
          <w:highlight w:val="none"/>
        </w:rPr>
        <w:t>　　</w:t>
      </w:r>
      <w:r>
        <w:rPr>
          <w:rFonts w:hint="eastAsia" w:ascii="仿宋_GB2312" w:hAnsi="仿宋" w:eastAsia="仿宋_GB2312" w:cs="微软雅黑"/>
          <w:color w:val="auto"/>
          <w:highlight w:val="none"/>
          <w:lang w:val="zh-CN"/>
        </w:rPr>
        <w:t>4.2.3.3</w:t>
      </w:r>
      <w:r>
        <w:rPr>
          <w:rFonts w:hint="eastAsia" w:ascii="仿宋_GB2312" w:hAnsi="仿宋" w:eastAsia="仿宋_GB2312" w:cs="Arial"/>
          <w:snapToGrid w:val="0"/>
          <w:color w:val="auto"/>
          <w:kern w:val="2"/>
          <w:szCs w:val="21"/>
          <w:highlight w:val="none"/>
        </w:rPr>
        <w:t>具体、明确的质疑事项和与质疑事项相关的请求；</w:t>
      </w:r>
    </w:p>
    <w:p>
      <w:pPr>
        <w:pStyle w:val="583"/>
        <w:shd w:val="clear" w:color="auto" w:fill="FFFFFF"/>
        <w:snapToGrid w:val="0"/>
        <w:spacing w:after="240" w:afterAutospacing="0" w:line="360" w:lineRule="auto"/>
        <w:contextualSpacing/>
        <w:rPr>
          <w:rFonts w:ascii="仿宋_GB2312" w:hAnsi="仿宋" w:eastAsia="仿宋_GB2312" w:cs="Arial"/>
          <w:snapToGrid w:val="0"/>
          <w:color w:val="auto"/>
          <w:kern w:val="2"/>
          <w:szCs w:val="21"/>
          <w:highlight w:val="none"/>
        </w:rPr>
      </w:pPr>
      <w:r>
        <w:rPr>
          <w:rFonts w:hint="eastAsia" w:ascii="仿宋_GB2312" w:hAnsi="仿宋" w:eastAsia="仿宋_GB2312" w:cs="Arial"/>
          <w:snapToGrid w:val="0"/>
          <w:color w:val="auto"/>
          <w:kern w:val="2"/>
          <w:szCs w:val="21"/>
          <w:highlight w:val="none"/>
        </w:rPr>
        <w:t>　　</w:t>
      </w:r>
      <w:r>
        <w:rPr>
          <w:rFonts w:hint="eastAsia" w:ascii="仿宋_GB2312" w:hAnsi="仿宋" w:eastAsia="仿宋_GB2312" w:cs="微软雅黑"/>
          <w:color w:val="auto"/>
          <w:highlight w:val="none"/>
          <w:lang w:val="zh-CN"/>
        </w:rPr>
        <w:t>4.2.3.4</w:t>
      </w:r>
      <w:r>
        <w:rPr>
          <w:rFonts w:hint="eastAsia" w:ascii="仿宋_GB2312" w:hAnsi="仿宋" w:eastAsia="仿宋_GB2312" w:cs="Arial"/>
          <w:snapToGrid w:val="0"/>
          <w:color w:val="auto"/>
          <w:kern w:val="2"/>
          <w:szCs w:val="21"/>
          <w:highlight w:val="none"/>
        </w:rPr>
        <w:t>事实依据；</w:t>
      </w:r>
    </w:p>
    <w:p>
      <w:pPr>
        <w:pStyle w:val="583"/>
        <w:shd w:val="clear" w:color="auto" w:fill="FFFFFF"/>
        <w:snapToGrid w:val="0"/>
        <w:spacing w:after="240" w:afterAutospacing="0" w:line="360" w:lineRule="auto"/>
        <w:contextualSpacing/>
        <w:rPr>
          <w:rFonts w:ascii="仿宋_GB2312" w:hAnsi="仿宋" w:eastAsia="仿宋_GB2312" w:cs="Arial"/>
          <w:snapToGrid w:val="0"/>
          <w:color w:val="auto"/>
          <w:kern w:val="2"/>
          <w:szCs w:val="21"/>
          <w:highlight w:val="none"/>
        </w:rPr>
      </w:pPr>
      <w:r>
        <w:rPr>
          <w:rFonts w:hint="eastAsia" w:ascii="仿宋_GB2312" w:hAnsi="仿宋" w:eastAsia="仿宋_GB2312" w:cs="Arial"/>
          <w:snapToGrid w:val="0"/>
          <w:color w:val="auto"/>
          <w:kern w:val="2"/>
          <w:szCs w:val="21"/>
          <w:highlight w:val="none"/>
        </w:rPr>
        <w:t>　　</w:t>
      </w:r>
      <w:r>
        <w:rPr>
          <w:rFonts w:hint="eastAsia" w:ascii="仿宋_GB2312" w:hAnsi="仿宋" w:eastAsia="仿宋_GB2312" w:cs="微软雅黑"/>
          <w:color w:val="auto"/>
          <w:highlight w:val="none"/>
          <w:lang w:val="zh-CN"/>
        </w:rPr>
        <w:t>4.2.3.5</w:t>
      </w:r>
      <w:r>
        <w:rPr>
          <w:rFonts w:hint="eastAsia" w:ascii="仿宋_GB2312" w:hAnsi="仿宋" w:eastAsia="仿宋_GB2312" w:cs="Arial"/>
          <w:snapToGrid w:val="0"/>
          <w:color w:val="auto"/>
          <w:kern w:val="2"/>
          <w:szCs w:val="21"/>
          <w:highlight w:val="none"/>
        </w:rPr>
        <w:t>必要的法律依据；</w:t>
      </w:r>
    </w:p>
    <w:p>
      <w:pPr>
        <w:pStyle w:val="583"/>
        <w:shd w:val="clear" w:color="auto" w:fill="FFFFFF"/>
        <w:snapToGrid w:val="0"/>
        <w:spacing w:after="240" w:afterAutospacing="0" w:line="360" w:lineRule="auto"/>
        <w:ind w:firstLine="480"/>
        <w:contextualSpacing/>
        <w:rPr>
          <w:rFonts w:ascii="仿宋_GB2312" w:hAnsi="仿宋" w:eastAsia="仿宋_GB2312" w:cs="Arial"/>
          <w:snapToGrid w:val="0"/>
          <w:color w:val="auto"/>
          <w:kern w:val="2"/>
          <w:szCs w:val="21"/>
          <w:highlight w:val="none"/>
        </w:rPr>
      </w:pPr>
      <w:r>
        <w:rPr>
          <w:rFonts w:hint="eastAsia" w:ascii="仿宋_GB2312" w:hAnsi="仿宋" w:eastAsia="仿宋_GB2312" w:cs="微软雅黑"/>
          <w:color w:val="auto"/>
          <w:highlight w:val="none"/>
          <w:lang w:val="zh-CN"/>
        </w:rPr>
        <w:t>4.2.3.6</w:t>
      </w:r>
      <w:r>
        <w:rPr>
          <w:rFonts w:hint="eastAsia" w:ascii="仿宋_GB2312" w:hAnsi="仿宋" w:eastAsia="仿宋_GB2312" w:cs="Arial"/>
          <w:snapToGrid w:val="0"/>
          <w:color w:val="auto"/>
          <w:kern w:val="2"/>
          <w:szCs w:val="21"/>
          <w:highlight w:val="none"/>
        </w:rPr>
        <w:t>提出质疑的日期。</w:t>
      </w:r>
    </w:p>
    <w:p>
      <w:pPr>
        <w:pStyle w:val="58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8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质疑函范本及制作说明详见附件2。</w:t>
      </w:r>
    </w:p>
    <w:p>
      <w:pPr>
        <w:pStyle w:val="58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s="微软雅黑"/>
          <w:color w:val="auto"/>
          <w:highlight w:val="none"/>
          <w:lang w:val="zh-CN"/>
        </w:rPr>
        <w:t>4.2</w:t>
      </w:r>
      <w:r>
        <w:rPr>
          <w:rFonts w:hint="eastAsia" w:ascii="仿宋_GB2312" w:hAnsi="仿宋" w:eastAsia="仿宋_GB2312"/>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58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s="微软雅黑"/>
          <w:color w:val="auto"/>
          <w:highlight w:val="none"/>
          <w:lang w:val="zh-CN"/>
        </w:rPr>
        <w:t>4.2</w:t>
      </w:r>
      <w:r>
        <w:rPr>
          <w:rFonts w:hint="eastAsia" w:ascii="仿宋_GB2312" w:hAnsi="仿宋" w:eastAsia="仿宋_GB2312"/>
          <w:color w:val="auto"/>
          <w:highlight w:val="none"/>
        </w:rPr>
        <w:t>.5询问或者质疑事项可能影响采购结果的，采购人应当暂停签订合同，已经签订合同的，应当中止履行合同。</w:t>
      </w:r>
    </w:p>
    <w:p>
      <w:pPr>
        <w:pStyle w:val="583"/>
        <w:shd w:val="clear" w:color="auto" w:fill="FFFFFF"/>
        <w:snapToGrid w:val="0"/>
        <w:spacing w:after="240" w:afterAutospacing="0" w:line="360" w:lineRule="auto"/>
        <w:ind w:firstLine="480"/>
        <w:contextualSpacing/>
        <w:rPr>
          <w:rFonts w:ascii="仿宋_GB2312" w:hAnsi="仿宋" w:eastAsia="仿宋_GB2312" w:cs="微软雅黑"/>
          <w:color w:val="auto"/>
          <w:highlight w:val="none"/>
          <w:lang w:val="zh-CN"/>
        </w:rPr>
      </w:pPr>
      <w:r>
        <w:rPr>
          <w:rFonts w:hint="eastAsia" w:ascii="仿宋_GB2312" w:hAnsi="仿宋" w:eastAsia="仿宋_GB2312" w:cs="微软雅黑"/>
          <w:color w:val="auto"/>
          <w:highlight w:val="none"/>
          <w:lang w:val="zh-CN"/>
        </w:rPr>
        <w:t>4.3供应商投诉</w:t>
      </w:r>
    </w:p>
    <w:p>
      <w:pPr>
        <w:pStyle w:val="58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8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4.3.</w:t>
      </w:r>
      <w:r>
        <w:rPr>
          <w:rFonts w:hint="eastAsia"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58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4.3.3供应商投诉应当有明确的请求和必要的证明材料。</w:t>
      </w:r>
    </w:p>
    <w:p>
      <w:pPr>
        <w:pStyle w:val="58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4.3.5 以联合体形式参加政府采购活动的，其投诉应当由组成联合体的所有供应商共同提出。</w:t>
      </w:r>
    </w:p>
    <w:p>
      <w:pPr>
        <w:pStyle w:val="58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投诉书范本及制作说明详见附件3。</w:t>
      </w:r>
    </w:p>
    <w:p>
      <w:pPr>
        <w:pStyle w:val="124"/>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bookmarkStart w:id="13" w:name="_Hlt74714665"/>
      <w:bookmarkEnd w:id="13"/>
      <w:bookmarkStart w:id="14" w:name="_Hlt75236290"/>
      <w:bookmarkEnd w:id="14"/>
      <w:bookmarkStart w:id="15" w:name="_Hlt68072990"/>
      <w:bookmarkEnd w:id="15"/>
      <w:bookmarkStart w:id="16" w:name="_Hlt68057669"/>
      <w:bookmarkEnd w:id="16"/>
      <w:bookmarkStart w:id="17" w:name="_Hlt74707468"/>
      <w:bookmarkEnd w:id="17"/>
      <w:bookmarkStart w:id="18" w:name="_Hlt74729768"/>
      <w:bookmarkEnd w:id="18"/>
      <w:bookmarkStart w:id="19" w:name="_Hlt74730295"/>
      <w:bookmarkEnd w:id="19"/>
      <w:bookmarkStart w:id="20" w:name="_Toc91899879"/>
      <w:r>
        <w:rPr>
          <w:rFonts w:hint="eastAsia" w:ascii="仿宋_GB2312" w:hAnsi="仿宋" w:eastAsia="仿宋_GB2312" w:cs="仿宋_GB2312"/>
          <w:b/>
          <w:color w:val="auto"/>
          <w:sz w:val="32"/>
          <w:szCs w:val="20"/>
          <w:highlight w:val="none"/>
        </w:rPr>
        <w:t>二、招标文件</w:t>
      </w:r>
      <w:bookmarkEnd w:id="20"/>
      <w:r>
        <w:rPr>
          <w:rFonts w:hint="eastAsia" w:ascii="仿宋_GB2312" w:hAnsi="仿宋" w:eastAsia="仿宋_GB2312" w:cs="仿宋_GB2312"/>
          <w:b/>
          <w:color w:val="auto"/>
          <w:sz w:val="32"/>
          <w:szCs w:val="20"/>
          <w:highlight w:val="none"/>
        </w:rPr>
        <w:t>的构成、澄清、修改</w:t>
      </w:r>
    </w:p>
    <w:p>
      <w:pPr>
        <w:pStyle w:val="34"/>
        <w:spacing w:line="360" w:lineRule="auto"/>
        <w:rPr>
          <w:rFonts w:ascii="仿宋_GB2312" w:hAnsi="仿宋" w:eastAsia="仿宋_GB2312" w:cs="仿宋_GB2312"/>
          <w:b/>
          <w:color w:val="auto"/>
          <w:sz w:val="24"/>
          <w:szCs w:val="24"/>
          <w:highlight w:val="none"/>
        </w:rPr>
      </w:pPr>
      <w:bookmarkStart w:id="21" w:name="_Toc91899880"/>
      <w:bookmarkStart w:id="22" w:name="_Hlt74730307"/>
      <w:r>
        <w:rPr>
          <w:rFonts w:hint="eastAsia" w:ascii="仿宋_GB2312" w:hAnsi="仿宋" w:eastAsia="仿宋_GB2312" w:cs="仿宋_GB2312"/>
          <w:b/>
          <w:color w:val="auto"/>
          <w:sz w:val="24"/>
          <w:szCs w:val="24"/>
          <w:highlight w:val="none"/>
        </w:rPr>
        <w:t>5．招标文件的构成</w:t>
      </w:r>
      <w:bookmarkEnd w:id="21"/>
    </w:p>
    <w:bookmarkEnd w:id="22"/>
    <w:p>
      <w:pPr>
        <w:pStyle w:val="34"/>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5.1 招标文件包括下列文件及附件</w:t>
      </w:r>
    </w:p>
    <w:p>
      <w:pPr>
        <w:pStyle w:val="34"/>
        <w:numPr>
          <w:ilvl w:val="0"/>
          <w:numId w:val="5"/>
        </w:numPr>
        <w:spacing w:line="360" w:lineRule="auto"/>
        <w:ind w:left="839"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第一部分 招标公告</w:t>
      </w:r>
    </w:p>
    <w:p>
      <w:pPr>
        <w:pStyle w:val="34"/>
        <w:numPr>
          <w:ilvl w:val="0"/>
          <w:numId w:val="5"/>
        </w:numPr>
        <w:spacing w:line="360" w:lineRule="auto"/>
        <w:ind w:left="839"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第二部分 投标人须知</w:t>
      </w:r>
    </w:p>
    <w:p>
      <w:pPr>
        <w:pStyle w:val="34"/>
        <w:numPr>
          <w:ilvl w:val="0"/>
          <w:numId w:val="5"/>
        </w:numPr>
        <w:spacing w:line="360" w:lineRule="auto"/>
        <w:ind w:left="839"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第三部分 采购需求</w:t>
      </w:r>
    </w:p>
    <w:p>
      <w:pPr>
        <w:pStyle w:val="34"/>
        <w:numPr>
          <w:ilvl w:val="0"/>
          <w:numId w:val="5"/>
        </w:numPr>
        <w:spacing w:line="360" w:lineRule="auto"/>
        <w:ind w:left="839"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第四部分 评标方法及评分标准</w:t>
      </w:r>
    </w:p>
    <w:p>
      <w:pPr>
        <w:pStyle w:val="34"/>
        <w:numPr>
          <w:ilvl w:val="0"/>
          <w:numId w:val="5"/>
        </w:numPr>
        <w:spacing w:line="360" w:lineRule="auto"/>
        <w:ind w:left="839"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第五部分 拟签订的合同文本</w:t>
      </w:r>
    </w:p>
    <w:p>
      <w:pPr>
        <w:pStyle w:val="34"/>
        <w:numPr>
          <w:ilvl w:val="0"/>
          <w:numId w:val="5"/>
        </w:numPr>
        <w:spacing w:line="360" w:lineRule="auto"/>
        <w:ind w:left="839"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第六部分 应提交的有关格式范例</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4"/>
        <w:spacing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6. 招标文件的澄清、修改</w:t>
      </w:r>
    </w:p>
    <w:p>
      <w:pPr>
        <w:pStyle w:val="124"/>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6.1已获取招标文件的潜在投标人，若有问题需要澄清，应于投标截止时间前，以书面形式向采购机构提出。</w:t>
      </w:r>
    </w:p>
    <w:p>
      <w:pPr>
        <w:pStyle w:val="124"/>
        <w:snapToGrid w:val="0"/>
        <w:spacing w:before="0"/>
        <w:ind w:firstLine="480"/>
        <w:rPr>
          <w:rFonts w:ascii="仿宋_GB2312" w:hAnsi="仿宋" w:eastAsia="仿宋_GB2312"/>
          <w:color w:val="auto"/>
          <w:highlight w:val="none"/>
        </w:rPr>
      </w:pPr>
      <w:r>
        <w:rPr>
          <w:rFonts w:hint="eastAsia" w:ascii="仿宋_GB2312" w:hAnsi="仿宋" w:eastAsia="仿宋_GB2312"/>
          <w:color w:val="auto"/>
          <w:highlight w:val="none"/>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spacing w:line="360" w:lineRule="auto"/>
        <w:ind w:firstLine="482" w:firstLineChars="2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w:t>
      </w:r>
      <w:r>
        <w:rPr>
          <w:rFonts w:hint="eastAsia" w:ascii="仿宋_GB2312" w:hAnsi="仿宋" w:eastAsia="仿宋_GB2312" w:cs="仿宋_GB2312"/>
          <w:b/>
          <w:color w:val="auto"/>
          <w:sz w:val="24"/>
          <w:szCs w:val="21"/>
          <w:highlight w:val="none"/>
        </w:rPr>
        <w:t>投标文件未按招标文件的澄清、修改的内容编制，又不符合实质性要求的，投标无效。</w:t>
      </w:r>
    </w:p>
    <w:p>
      <w:pPr>
        <w:pStyle w:val="25"/>
        <w:rPr>
          <w:rFonts w:ascii="仿宋_GB2312" w:hAnsi="仿宋" w:eastAsia="仿宋_GB2312" w:cs="仿宋_GB2312"/>
          <w:color w:val="auto"/>
          <w:sz w:val="18"/>
          <w:szCs w:val="18"/>
          <w:highlight w:val="none"/>
          <w:lang w:val="en-US"/>
        </w:rPr>
      </w:pPr>
      <w:r>
        <w:rPr>
          <w:rFonts w:hint="eastAsia"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bookmarkStart w:id="23" w:name="_Hlt75236011"/>
      <w:bookmarkEnd w:id="23"/>
      <w:bookmarkStart w:id="24" w:name="_Toc91899884"/>
      <w:r>
        <w:rPr>
          <w:rFonts w:hint="eastAsia" w:ascii="仿宋_GB2312" w:hAnsi="仿宋" w:eastAsia="仿宋_GB2312" w:cs="仿宋_GB2312"/>
          <w:b/>
          <w:color w:val="auto"/>
          <w:sz w:val="30"/>
          <w:szCs w:val="20"/>
          <w:highlight w:val="none"/>
        </w:rPr>
        <w:t>三、投标</w:t>
      </w:r>
      <w:bookmarkEnd w:id="24"/>
    </w:p>
    <w:p>
      <w:pPr>
        <w:pStyle w:val="34"/>
        <w:spacing w:line="360" w:lineRule="auto"/>
        <w:rPr>
          <w:rFonts w:ascii="仿宋_GB2312" w:hAnsi="仿宋" w:eastAsia="仿宋_GB2312" w:cs="仿宋_GB2312"/>
          <w:b/>
          <w:color w:val="auto"/>
          <w:sz w:val="24"/>
          <w:szCs w:val="24"/>
          <w:highlight w:val="none"/>
        </w:rPr>
      </w:pPr>
      <w:bookmarkStart w:id="25" w:name="_Toc86216991"/>
      <w:bookmarkStart w:id="26" w:name="_Toc91899892"/>
      <w:r>
        <w:rPr>
          <w:rFonts w:hint="eastAsia" w:ascii="仿宋_GB2312" w:hAnsi="仿宋" w:eastAsia="仿宋_GB2312" w:cs="仿宋_GB2312"/>
          <w:b/>
          <w:color w:val="auto"/>
          <w:sz w:val="24"/>
          <w:szCs w:val="24"/>
          <w:highlight w:val="none"/>
        </w:rPr>
        <w:t>7. 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4"/>
        <w:spacing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8.开标前答疑会或现场考察</w:t>
      </w:r>
    </w:p>
    <w:p>
      <w:pPr>
        <w:pStyle w:val="34"/>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采购人组织潜在投标人现场考察或者召开开标前答疑会的，潜在投标人按前附表的规定参加现场考察或者开标前答疑会。</w:t>
      </w:r>
      <w:r>
        <w:rPr>
          <w:rFonts w:hint="eastAsia" w:ascii="仿宋_GB2312" w:hAnsi="仿宋" w:eastAsia="仿宋_GB2312"/>
          <w:b/>
          <w:color w:val="auto"/>
          <w:sz w:val="24"/>
          <w:szCs w:val="24"/>
          <w:highlight w:val="none"/>
        </w:rPr>
        <w:t>采购人不单独或分别组织只有一个供应商参加的现场考察和答疑会。</w:t>
      </w:r>
    </w:p>
    <w:p>
      <w:pPr>
        <w:pStyle w:val="34"/>
        <w:spacing w:line="360" w:lineRule="auto"/>
        <w:rPr>
          <w:rFonts w:ascii="仿宋_GB2312" w:hAnsi="仿宋" w:eastAsia="仿宋_GB2312" w:cs="仿宋_GB2312"/>
          <w:b/>
          <w:color w:val="auto"/>
          <w:szCs w:val="24"/>
          <w:highlight w:val="none"/>
        </w:rPr>
      </w:pPr>
      <w:r>
        <w:rPr>
          <w:rFonts w:hint="eastAsia" w:ascii="仿宋_GB2312" w:hAnsi="仿宋" w:eastAsia="仿宋_GB2312"/>
          <w:b/>
          <w:color w:val="auto"/>
          <w:kern w:val="28"/>
          <w:sz w:val="24"/>
          <w:szCs w:val="24"/>
          <w:highlight w:val="none"/>
        </w:rPr>
        <w:t>9.投标保证金</w:t>
      </w:r>
    </w:p>
    <w:p>
      <w:pPr>
        <w:pStyle w:val="17"/>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本项目不需要交纳投标保证金。</w:t>
      </w:r>
    </w:p>
    <w:p>
      <w:pPr>
        <w:pStyle w:val="34"/>
        <w:spacing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10. 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4"/>
        <w:spacing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11. 投标文件的组成</w:t>
      </w:r>
    </w:p>
    <w:p>
      <w:pPr>
        <w:pStyle w:val="34"/>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kern w:val="0"/>
          <w:sz w:val="24"/>
          <w:szCs w:val="24"/>
          <w:highlight w:val="none"/>
        </w:rPr>
        <w:t>投标文件应当包括以下主要内容：</w:t>
      </w:r>
      <w:r>
        <w:rPr>
          <w:rFonts w:hint="eastAsia" w:ascii="仿宋_GB2312" w:hAnsi="仿宋" w:eastAsia="仿宋_GB2312" w:cs="仿宋_GB2312"/>
          <w:b/>
          <w:color w:val="auto"/>
          <w:sz w:val="24"/>
          <w:szCs w:val="24"/>
          <w:highlight w:val="none"/>
        </w:rPr>
        <w:t>资格文件、报价文件、商务技术文件</w:t>
      </w:r>
      <w:r>
        <w:rPr>
          <w:rFonts w:hint="eastAsia" w:ascii="仿宋_GB2312" w:hAnsi="仿宋" w:eastAsia="仿宋_GB2312" w:cs="仿宋_GB2312"/>
          <w:color w:val="auto"/>
          <w:sz w:val="24"/>
          <w:szCs w:val="24"/>
          <w:highlight w:val="none"/>
        </w:rPr>
        <w:t>。投标文件应当对招标文件提出的要求和条件作出明确响应。</w:t>
      </w:r>
    </w:p>
    <w:p>
      <w:pPr>
        <w:snapToGrid w:val="0"/>
        <w:spacing w:line="360" w:lineRule="auto"/>
        <w:ind w:firstLine="480" w:firstLineChars="200"/>
        <w:rPr>
          <w:rFonts w:ascii="仿宋_GB2312" w:hAnsi="仿宋" w:eastAsia="仿宋_GB2312" w:cs="仿宋_GB2312"/>
          <w:b/>
          <w:color w:val="auto"/>
          <w:kern w:val="0"/>
          <w:sz w:val="24"/>
          <w:highlight w:val="none"/>
        </w:rPr>
      </w:pPr>
      <w:r>
        <w:rPr>
          <w:rFonts w:hint="eastAsia"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应包括以下内容（均需使用电子签名）：</w:t>
      </w:r>
      <w:r>
        <w:rPr>
          <w:rFonts w:hint="eastAsia" w:ascii="仿宋_GB2312" w:hAnsi="仿宋" w:eastAsia="仿宋_GB2312" w:cs="仿宋_GB2312"/>
          <w:color w:val="auto"/>
          <w:kern w:val="0"/>
          <w:sz w:val="24"/>
          <w:highlight w:val="none"/>
        </w:rPr>
        <w:t>证明其符合《中华人民共和国政府采购法》</w:t>
      </w:r>
      <w:r>
        <w:rPr>
          <w:rFonts w:hint="eastAsia" w:ascii="仿宋_GB2312" w:hAnsi="仿宋" w:eastAsia="仿宋_GB2312" w:cs="Arial"/>
          <w:color w:val="auto"/>
          <w:kern w:val="0"/>
          <w:sz w:val="24"/>
          <w:highlight w:val="none"/>
        </w:rPr>
        <w:t>规定的供应商基本条件和采购项目对供应商的特定条件</w:t>
      </w:r>
      <w:r>
        <w:rPr>
          <w:rFonts w:hint="eastAsia" w:ascii="仿宋_GB2312" w:hAnsi="仿宋" w:eastAsia="仿宋_GB2312" w:cs="仿宋_GB2312"/>
          <w:color w:val="auto"/>
          <w:sz w:val="24"/>
          <w:highlight w:val="none"/>
        </w:rPr>
        <w:t>（如果项目要求）</w:t>
      </w:r>
      <w:r>
        <w:rPr>
          <w:rFonts w:hint="eastAsia" w:ascii="仿宋_GB2312" w:hAnsi="仿宋" w:eastAsia="仿宋_GB2312" w:cs="仿宋_GB2312"/>
          <w:color w:val="auto"/>
          <w:kern w:val="0"/>
          <w:sz w:val="24"/>
          <w:highlight w:val="none"/>
        </w:rPr>
        <w:t>的有关资格证明文件。</w:t>
      </w:r>
      <w:r>
        <w:rPr>
          <w:rFonts w:hint="eastAsia" w:ascii="仿宋_GB2312" w:hAnsi="仿宋" w:eastAsia="仿宋_GB2312" w:cs="仿宋_GB2312"/>
          <w:b/>
          <w:color w:val="auto"/>
          <w:kern w:val="0"/>
          <w:sz w:val="24"/>
          <w:highlight w:val="none"/>
        </w:rPr>
        <w:t>（以联合体形式进行政府采购的，参加联合体的供应商均应当提供）</w:t>
      </w:r>
    </w:p>
    <w:p>
      <w:pPr>
        <w:pStyle w:val="34"/>
        <w:spacing w:line="360" w:lineRule="auto"/>
        <w:ind w:firstLine="480" w:firstLineChars="200"/>
        <w:rPr>
          <w:rFonts w:ascii="仿宋_GB2312" w:hAnsi="仿宋" w:eastAsia="仿宋_GB2312"/>
          <w:color w:val="auto"/>
          <w:sz w:val="24"/>
          <w:highlight w:val="none"/>
        </w:rPr>
      </w:pPr>
      <w:bookmarkStart w:id="27" w:name="_Hlt68073093"/>
      <w:bookmarkEnd w:id="27"/>
      <w:bookmarkStart w:id="28" w:name="_Hlt68072998"/>
      <w:bookmarkEnd w:id="28"/>
      <w:bookmarkStart w:id="29" w:name="_Hlt68403820"/>
      <w:bookmarkEnd w:id="29"/>
      <w:r>
        <w:rPr>
          <w:rFonts w:hint="eastAsia" w:ascii="仿宋_GB2312" w:hAnsi="仿宋" w:eastAsia="仿宋_GB2312" w:cs="仿宋_GB2312"/>
          <w:color w:val="auto"/>
          <w:sz w:val="24"/>
          <w:highlight w:val="none"/>
        </w:rPr>
        <w:t>11.1.1</w:t>
      </w:r>
      <w:r>
        <w:rPr>
          <w:rFonts w:hint="eastAsia" w:ascii="仿宋_GB2312" w:hAnsi="仿宋" w:eastAsia="仿宋_GB2312"/>
          <w:color w:val="auto"/>
          <w:sz w:val="24"/>
          <w:highlight w:val="none"/>
        </w:rPr>
        <w:t>营业执照(或事业法人登记证或其他工商等登记证明材料)复印件（投标人为自然人的，提供</w:t>
      </w:r>
      <w:r>
        <w:rPr>
          <w:rFonts w:hint="eastAsia" w:ascii="仿宋_GB2312" w:hAnsi="Helvetica" w:eastAsia="仿宋_GB2312" w:cs="Helvetica"/>
          <w:color w:val="auto"/>
          <w:kern w:val="0"/>
          <w:sz w:val="24"/>
          <w:highlight w:val="none"/>
        </w:rPr>
        <w:t>自然人的身份证明</w:t>
      </w:r>
      <w:r>
        <w:rPr>
          <w:rFonts w:hint="eastAsia" w:ascii="仿宋_GB2312" w:hAnsi="仿宋" w:eastAsia="仿宋_GB2312"/>
          <w:color w:val="auto"/>
          <w:sz w:val="24"/>
          <w:highlight w:val="none"/>
        </w:rPr>
        <w:t>）、税务登记证(</w:t>
      </w:r>
      <w:r>
        <w:rPr>
          <w:rFonts w:hint="eastAsia" w:ascii="仿宋_GB2312" w:hAnsi="Helvetica" w:eastAsia="仿宋_GB2312" w:cs="Helvetica"/>
          <w:color w:val="auto"/>
          <w:kern w:val="0"/>
          <w:sz w:val="24"/>
          <w:highlight w:val="none"/>
        </w:rPr>
        <w:t>或其它依法缴纳税收的相关材料</w:t>
      </w:r>
      <w:r>
        <w:rPr>
          <w:rFonts w:hint="eastAsia" w:ascii="仿宋_GB2312" w:hAnsi="仿宋" w:eastAsia="仿宋_GB2312"/>
          <w:color w:val="auto"/>
          <w:sz w:val="24"/>
          <w:highlight w:val="none"/>
        </w:rPr>
        <w:t>)复印件、社保登记证（</w:t>
      </w:r>
      <w:r>
        <w:rPr>
          <w:rFonts w:hint="eastAsia" w:ascii="仿宋_GB2312" w:hAnsi="Helvetica" w:eastAsia="仿宋_GB2312" w:cs="Helvetica"/>
          <w:color w:val="auto"/>
          <w:kern w:val="0"/>
          <w:sz w:val="24"/>
          <w:highlight w:val="none"/>
        </w:rPr>
        <w:t>或其它依法缴纳社会保障资金的相关材料</w:t>
      </w:r>
      <w:r>
        <w:rPr>
          <w:rFonts w:hint="eastAsia" w:ascii="仿宋_GB2312" w:hAnsi="仿宋" w:eastAsia="仿宋_GB2312"/>
          <w:color w:val="auto"/>
          <w:sz w:val="24"/>
          <w:highlight w:val="none"/>
        </w:rPr>
        <w:t>）复印件；实施“多证合一、一照一码”登记制度改革的，只需提供改革后取得的营业执照复印件；</w:t>
      </w:r>
    </w:p>
    <w:p>
      <w:pPr>
        <w:pStyle w:val="34"/>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11.1.2</w:t>
      </w:r>
      <w:r>
        <w:rPr>
          <w:rFonts w:hint="eastAsia" w:ascii="仿宋_GB2312" w:hAnsi="仿宋" w:eastAsia="仿宋_GB2312"/>
          <w:color w:val="auto"/>
          <w:sz w:val="24"/>
          <w:highlight w:val="none"/>
        </w:rPr>
        <w:t>法人授权书（如法定代表人直接参加投标并对相应文件签字的，只需提供其身份证复印件正反面；如以联合体形式参加政府采购活动的，按招标文件有关格式范例提供联合体投标授权书）；▲</w:t>
      </w:r>
      <w:r>
        <w:rPr>
          <w:rFonts w:hint="eastAsia" w:ascii="仿宋_GB2312" w:hAnsi="仿宋" w:eastAsia="仿宋_GB2312" w:cs="仿宋_GB2312"/>
          <w:b/>
          <w:color w:val="auto"/>
          <w:sz w:val="24"/>
          <w:highlight w:val="none"/>
        </w:rPr>
        <w:t>投标文件中法人授权书所载内容与本项目内容有异的，投标无效</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11.1.3</w:t>
      </w:r>
      <w:r>
        <w:rPr>
          <w:rFonts w:hint="eastAsia" w:ascii="仿宋_GB2312" w:hAnsi="仿宋" w:eastAsia="仿宋_GB2312"/>
          <w:color w:val="auto"/>
          <w:sz w:val="24"/>
          <w:highlight w:val="none"/>
        </w:rPr>
        <w:t>授权代表的身份证（复印件）；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11.1.4 2019年度资产负债表等财务报表资料文件 (或其它</w:t>
      </w:r>
      <w:r>
        <w:rPr>
          <w:rFonts w:hint="eastAsia" w:ascii="仿宋_GB2312" w:hAnsi="Helvetica" w:eastAsia="仿宋_GB2312" w:cs="Helvetica"/>
          <w:color w:val="auto"/>
          <w:kern w:val="0"/>
          <w:sz w:val="24"/>
          <w:highlight w:val="none"/>
        </w:rPr>
        <w:t>财务状况报告，</w:t>
      </w:r>
      <w:r>
        <w:rPr>
          <w:rFonts w:hint="eastAsia" w:ascii="仿宋_GB2312" w:hAnsi="仿宋" w:eastAsia="仿宋_GB2312" w:cs="仿宋_GB2312"/>
          <w:color w:val="auto"/>
          <w:sz w:val="24"/>
          <w:highlight w:val="none"/>
        </w:rPr>
        <w:t>新成立的公司，必须提供情况说明)；</w:t>
      </w:r>
    </w:p>
    <w:p>
      <w:pPr>
        <w:pStyle w:val="34"/>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11.1.5具有履行合同所必需的设备和专业技术能力的承诺函；</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11.1.6参加政府采购活动前三年内，在经营活动中没有重大违法记录的声明；</w:t>
      </w:r>
    </w:p>
    <w:p>
      <w:pPr>
        <w:spacing w:line="360" w:lineRule="auto"/>
        <w:ind w:firstLine="480" w:firstLineChars="200"/>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highlight w:val="none"/>
        </w:rPr>
        <w:t>11.1.7</w:t>
      </w:r>
      <w:r>
        <w:rPr>
          <w:rFonts w:hint="eastAsia" w:ascii="仿宋_GB2312" w:hAnsi="仿宋" w:eastAsia="仿宋_GB2312" w:cs="仿宋_GB2312"/>
          <w:color w:val="auto"/>
          <w:sz w:val="24"/>
          <w:szCs w:val="20"/>
          <w:highlight w:val="none"/>
        </w:rPr>
        <w:t xml:space="preserve">具有良好商业信誉的特别声明； </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11.1.8符合特定资格条件（如果项目要求）的有关证明材料（复印件）；</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hint="eastAsia" w:ascii="仿宋_GB2312" w:hAnsi="仿宋" w:eastAsia="仿宋_GB2312" w:cs="仿宋_GB2312"/>
          <w:color w:val="auto"/>
          <w:kern w:val="0"/>
          <w:sz w:val="24"/>
          <w:highlight w:val="none"/>
          <w:lang w:val="zh-CN"/>
        </w:rPr>
        <w:t xml:space="preserve">11.2 </w:t>
      </w:r>
      <w:r>
        <w:rPr>
          <w:rFonts w:hint="eastAsia" w:ascii="仿宋_GB2312" w:hAnsi="仿宋" w:eastAsia="仿宋_GB2312" w:cs="仿宋_GB2312"/>
          <w:color w:val="auto"/>
          <w:sz w:val="24"/>
          <w:highlight w:val="none"/>
        </w:rPr>
        <w:t>投标人的</w:t>
      </w:r>
      <w:r>
        <w:rPr>
          <w:rFonts w:hint="eastAsia" w:ascii="仿宋_GB2312" w:hAnsi="仿宋" w:eastAsia="仿宋_GB2312" w:cs="仿宋_GB2312"/>
          <w:b/>
          <w:color w:val="auto"/>
          <w:sz w:val="24"/>
          <w:highlight w:val="none"/>
        </w:rPr>
        <w:t>报价文件</w:t>
      </w:r>
      <w:r>
        <w:rPr>
          <w:rFonts w:hint="eastAsia" w:ascii="仿宋_GB2312" w:hAnsi="仿宋" w:eastAsia="仿宋_GB2312" w:cs="仿宋_GB2312"/>
          <w:color w:val="auto"/>
          <w:sz w:val="24"/>
          <w:highlight w:val="none"/>
        </w:rPr>
        <w:t>应包括以下内容（均需使用电子签名）：</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11.2.1</w:t>
      </w:r>
      <w:r>
        <w:rPr>
          <w:rFonts w:hint="eastAsia" w:ascii="仿宋_GB2312" w:hAnsi="仿宋" w:eastAsia="仿宋_GB2312" w:cs="仿宋_GB2312"/>
          <w:color w:val="auto"/>
          <w:kern w:val="0"/>
          <w:sz w:val="24"/>
          <w:highlight w:val="none"/>
        </w:rPr>
        <w:t>投标响应函</w:t>
      </w:r>
      <w:r>
        <w:rPr>
          <w:rFonts w:hint="eastAsia" w:ascii="仿宋_GB2312" w:hAnsi="仿宋" w:eastAsia="仿宋_GB2312" w:cs="仿宋_GB2312"/>
          <w:color w:val="auto"/>
          <w:sz w:val="24"/>
          <w:highlight w:val="none"/>
        </w:rPr>
        <w:t>；</w:t>
      </w:r>
    </w:p>
    <w:p>
      <w:pPr>
        <w:pStyle w:val="34"/>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11.2.2投标(开标)一览表；</w:t>
      </w:r>
    </w:p>
    <w:p>
      <w:pPr>
        <w:pStyle w:val="34"/>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11.2.3中小企业声明函。</w:t>
      </w:r>
    </w:p>
    <w:p>
      <w:pPr>
        <w:pStyle w:val="34"/>
        <w:spacing w:line="360" w:lineRule="auto"/>
        <w:ind w:firstLine="480" w:firstLineChars="200"/>
        <w:rPr>
          <w:rFonts w:ascii="仿宋_GB2312" w:hAnsi="仿宋" w:eastAsia="仿宋_GB2312" w:cs="仿宋_GB2312"/>
          <w:color w:val="auto"/>
          <w:sz w:val="24"/>
          <w:szCs w:val="24"/>
          <w:highlight w:val="none"/>
          <w:lang w:val="zh-CN"/>
        </w:rPr>
      </w:pPr>
      <w:r>
        <w:rPr>
          <w:rFonts w:hint="eastAsia" w:ascii="仿宋_GB2312" w:hAnsi="仿宋" w:eastAsia="仿宋_GB2312" w:cs="仿宋_GB2312"/>
          <w:color w:val="auto"/>
          <w:kern w:val="0"/>
          <w:sz w:val="24"/>
          <w:szCs w:val="24"/>
          <w:highlight w:val="none"/>
          <w:lang w:val="zh-CN"/>
        </w:rPr>
        <w:t>11.3  投标人的</w:t>
      </w:r>
      <w:r>
        <w:rPr>
          <w:rFonts w:hint="eastAsia" w:ascii="仿宋_GB2312" w:hAnsi="仿宋" w:eastAsia="仿宋_GB2312" w:cs="仿宋_GB2312"/>
          <w:b/>
          <w:color w:val="auto"/>
          <w:sz w:val="24"/>
          <w:szCs w:val="24"/>
          <w:highlight w:val="none"/>
        </w:rPr>
        <w:t>商务技术</w:t>
      </w:r>
      <w:r>
        <w:rPr>
          <w:rFonts w:hint="eastAsia" w:ascii="仿宋_GB2312" w:hAnsi="仿宋" w:eastAsia="仿宋_GB2312" w:cs="仿宋_GB2312"/>
          <w:b/>
          <w:color w:val="auto"/>
          <w:kern w:val="0"/>
          <w:sz w:val="24"/>
          <w:szCs w:val="24"/>
          <w:highlight w:val="none"/>
          <w:lang w:val="zh-CN"/>
        </w:rPr>
        <w:t>文件应</w:t>
      </w:r>
      <w:r>
        <w:rPr>
          <w:rFonts w:hint="eastAsia" w:ascii="仿宋_GB2312" w:hAnsi="仿宋" w:eastAsia="仿宋_GB2312" w:cs="仿宋_GB2312"/>
          <w:color w:val="auto"/>
          <w:kern w:val="0"/>
          <w:sz w:val="24"/>
          <w:szCs w:val="24"/>
          <w:highlight w:val="none"/>
          <w:lang w:val="zh-CN"/>
        </w:rPr>
        <w:t>包括以下内容</w:t>
      </w:r>
      <w:r>
        <w:rPr>
          <w:rFonts w:hint="eastAsia" w:ascii="仿宋_GB2312" w:hAnsi="仿宋" w:eastAsia="仿宋_GB2312" w:cs="仿宋_GB2312"/>
          <w:color w:val="auto"/>
          <w:sz w:val="24"/>
          <w:szCs w:val="24"/>
          <w:highlight w:val="none"/>
        </w:rPr>
        <w:t>（均需使用电子签名）</w:t>
      </w:r>
      <w:r>
        <w:rPr>
          <w:rFonts w:hint="eastAsia" w:ascii="仿宋_GB2312" w:hAnsi="仿宋" w:eastAsia="仿宋_GB2312" w:cs="仿宋_GB2312"/>
          <w:color w:val="auto"/>
          <w:kern w:val="0"/>
          <w:sz w:val="24"/>
          <w:szCs w:val="24"/>
          <w:highlight w:val="none"/>
          <w:lang w:val="zh-CN"/>
        </w:rPr>
        <w:t>：</w:t>
      </w:r>
      <w:r>
        <w:rPr>
          <w:rFonts w:hint="eastAsia" w:ascii="仿宋_GB2312" w:hAnsi="仿宋" w:eastAsia="仿宋_GB2312" w:cs="仿宋_GB2312"/>
          <w:color w:val="auto"/>
          <w:sz w:val="24"/>
          <w:szCs w:val="24"/>
          <w:highlight w:val="none"/>
          <w:lang w:val="zh-CN"/>
        </w:rPr>
        <w:t xml:space="preserve"> </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zh-CN"/>
        </w:rPr>
        <w:t>11.3.1</w:t>
      </w:r>
      <w:r>
        <w:rPr>
          <w:rFonts w:hint="eastAsia" w:ascii="仿宋_GB2312" w:hAnsi="仿宋" w:eastAsia="仿宋_GB2312"/>
          <w:color w:val="auto"/>
          <w:sz w:val="24"/>
          <w:highlight w:val="none"/>
        </w:rPr>
        <w:t>营业执照(或事业法人登记证或其他工商等登记证明材料)复印件（投标人为自然人的，须提供</w:t>
      </w:r>
      <w:r>
        <w:rPr>
          <w:rFonts w:hint="eastAsia" w:ascii="仿宋_GB2312" w:hAnsi="Helvetica" w:eastAsia="仿宋_GB2312" w:cs="Helvetica"/>
          <w:color w:val="auto"/>
          <w:kern w:val="0"/>
          <w:sz w:val="24"/>
          <w:highlight w:val="none"/>
        </w:rPr>
        <w:t>自然人的身份证明</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w:t>
      </w:r>
    </w:p>
    <w:p>
      <w:pPr>
        <w:pStyle w:val="34"/>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s="仿宋_GB2312"/>
          <w:color w:val="auto"/>
          <w:sz w:val="24"/>
          <w:highlight w:val="none"/>
          <w:lang w:val="zh-CN"/>
        </w:rPr>
        <w:t>11.3.2</w:t>
      </w:r>
      <w:r>
        <w:rPr>
          <w:rFonts w:hint="eastAsia" w:ascii="仿宋_GB2312" w:hAnsi="仿宋" w:eastAsia="仿宋_GB2312"/>
          <w:color w:val="auto"/>
          <w:sz w:val="24"/>
          <w:highlight w:val="none"/>
        </w:rPr>
        <w:t>如以联合体形式参加政府采购活动的，</w:t>
      </w:r>
      <w:r>
        <w:rPr>
          <w:rFonts w:hint="eastAsia" w:ascii="仿宋_GB2312" w:hAnsi="仿宋" w:eastAsia="仿宋_GB2312"/>
          <w:color w:val="auto"/>
          <w:sz w:val="24"/>
          <w:szCs w:val="24"/>
          <w:highlight w:val="none"/>
        </w:rPr>
        <w:t>联合体各方应当指定牵头人，授权其代表所有联合体成员负责投标和合同实施阶段的主办、协调工作，并应当向采购机构提交由所有联合体成员各方签署的授权书，同时</w:t>
      </w:r>
      <w:r>
        <w:rPr>
          <w:rFonts w:hint="eastAsia" w:ascii="仿宋_GB2312" w:hAnsi="仿宋" w:eastAsia="仿宋_GB2312"/>
          <w:color w:val="auto"/>
          <w:sz w:val="24"/>
          <w:highlight w:val="none"/>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_GB2312" w:hAnsi="仿宋" w:eastAsia="仿宋_GB2312"/>
          <w:b/>
          <w:color w:val="auto"/>
          <w:sz w:val="24"/>
          <w:highlight w:val="none"/>
        </w:rPr>
        <w:t>▲如以联合体形式参加政府采购活动的，联合体协议不符合招标文件规定的联合体协议要求的，投标无效。</w:t>
      </w:r>
      <w:r>
        <w:rPr>
          <w:rFonts w:hint="eastAsia" w:ascii="仿宋_GB2312" w:hAnsi="仿宋" w:eastAsia="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zh-CN"/>
        </w:rPr>
        <w:t>11.3.3</w:t>
      </w:r>
      <w:r>
        <w:rPr>
          <w:rFonts w:hint="eastAsia" w:ascii="仿宋_GB2312" w:hAnsi="仿宋" w:eastAsia="仿宋_GB2312" w:cs="仿宋_GB2312"/>
          <w:color w:val="auto"/>
          <w:sz w:val="24"/>
          <w:highlight w:val="none"/>
        </w:rPr>
        <w:t>资信文件：</w:t>
      </w:r>
      <w:r>
        <w:rPr>
          <w:rFonts w:hint="eastAsia" w:ascii="仿宋_GB2312" w:hAnsi="仿宋" w:eastAsia="仿宋_GB2312" w:cs="仿宋_GB2312"/>
          <w:color w:val="auto"/>
          <w:kern w:val="0"/>
          <w:sz w:val="24"/>
          <w:szCs w:val="20"/>
          <w:highlight w:val="none"/>
        </w:rPr>
        <w:t>见投标须知前附表所述；</w:t>
      </w:r>
    </w:p>
    <w:p>
      <w:pPr>
        <w:pStyle w:val="124"/>
        <w:snapToGrid w:val="0"/>
        <w:spacing w:before="0"/>
        <w:ind w:firstLine="480"/>
        <w:rPr>
          <w:rFonts w:ascii="仿宋_GB2312" w:hAnsi="仿宋" w:eastAsia="仿宋_GB2312"/>
          <w:color w:val="auto"/>
          <w:kern w:val="0"/>
          <w:highlight w:val="none"/>
          <w:lang w:val="zh-CN"/>
        </w:rPr>
      </w:pPr>
      <w:r>
        <w:rPr>
          <w:rFonts w:hint="eastAsia" w:ascii="仿宋_GB2312" w:hAnsi="仿宋" w:eastAsia="仿宋_GB2312" w:cs="仿宋_GB2312"/>
          <w:color w:val="auto"/>
          <w:highlight w:val="none"/>
          <w:lang w:val="zh-CN"/>
        </w:rPr>
        <w:t>11.3.4</w:t>
      </w:r>
      <w:r>
        <w:rPr>
          <w:rFonts w:hint="eastAsia" w:ascii="仿宋_GB2312" w:hAnsi="仿宋" w:eastAsia="仿宋_GB2312" w:cs="宋体"/>
          <w:color w:val="auto"/>
          <w:kern w:val="0"/>
          <w:highlight w:val="none"/>
        </w:rPr>
        <w:t>投标截止时间前三年投标人的主要业绩证明材料即</w:t>
      </w:r>
      <w:r>
        <w:rPr>
          <w:rFonts w:hint="eastAsia" w:ascii="仿宋_GB2312" w:hAnsi="仿宋" w:eastAsia="仿宋_GB2312"/>
          <w:color w:val="auto"/>
          <w:highlight w:val="none"/>
          <w:lang w:val="zh-CN"/>
        </w:rPr>
        <w:t>合同</w:t>
      </w:r>
      <w:r>
        <w:rPr>
          <w:rFonts w:hint="eastAsia" w:ascii="仿宋_GB2312" w:hAnsi="仿宋" w:eastAsia="仿宋_GB2312"/>
          <w:color w:val="auto"/>
          <w:highlight w:val="none"/>
        </w:rPr>
        <w:t>和用户验收报告</w:t>
      </w:r>
      <w:r>
        <w:rPr>
          <w:rFonts w:hint="eastAsia" w:ascii="仿宋_GB2312" w:hAnsi="仿宋" w:eastAsia="仿宋_GB2312"/>
          <w:color w:val="auto"/>
          <w:szCs w:val="24"/>
          <w:highlight w:val="none"/>
        </w:rPr>
        <w:t>（</w:t>
      </w:r>
      <w:r>
        <w:rPr>
          <w:rFonts w:hint="eastAsia" w:ascii="仿宋_GB2312" w:hAnsi="仿宋" w:eastAsia="仿宋_GB2312" w:cs="Arial"/>
          <w:color w:val="auto"/>
          <w:highlight w:val="none"/>
        </w:rPr>
        <w:t>联合体投标的，联合体各方</w:t>
      </w:r>
      <w:r>
        <w:rPr>
          <w:rFonts w:hint="eastAsia" w:ascii="仿宋_GB2312" w:hAnsi="仿宋" w:eastAsia="仿宋_GB2312" w:cs="Helvetica"/>
          <w:color w:val="auto"/>
          <w:kern w:val="0"/>
          <w:highlight w:val="none"/>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_GB2312" w:hAnsi="仿宋" w:eastAsia="仿宋_GB2312"/>
          <w:color w:val="auto"/>
          <w:szCs w:val="24"/>
          <w:highlight w:val="none"/>
        </w:rPr>
        <w:t>)</w:t>
      </w:r>
      <w:r>
        <w:rPr>
          <w:rFonts w:hint="eastAsia" w:ascii="仿宋_GB2312" w:hAnsi="仿宋" w:eastAsia="仿宋_GB2312" w:cs="宋体"/>
          <w:color w:val="auto"/>
          <w:kern w:val="0"/>
          <w:highlight w:val="none"/>
        </w:rPr>
        <w:t>；</w:t>
      </w:r>
    </w:p>
    <w:p>
      <w:pPr>
        <w:snapToGrid w:val="0"/>
        <w:spacing w:line="360" w:lineRule="auto"/>
        <w:ind w:firstLine="540" w:firstLineChars="225"/>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zh-CN"/>
        </w:rPr>
        <w:t>11.3.5</w:t>
      </w:r>
      <w:r>
        <w:rPr>
          <w:rFonts w:hint="eastAsia" w:ascii="仿宋_GB2312" w:hAnsi="仿宋" w:eastAsia="仿宋_GB2312" w:cs="仿宋_GB2312"/>
          <w:color w:val="auto"/>
          <w:kern w:val="0"/>
          <w:sz w:val="24"/>
          <w:highlight w:val="none"/>
          <w:lang w:val="zh-CN"/>
        </w:rPr>
        <w:t>投标人认为需要的其他商务文件或说明；</w:t>
      </w:r>
      <w:r>
        <w:rPr>
          <w:rFonts w:hint="eastAsia" w:ascii="仿宋_GB2312" w:hAnsi="仿宋" w:eastAsia="仿宋_GB2312" w:cs="仿宋_GB2312"/>
          <w:color w:val="auto"/>
          <w:sz w:val="24"/>
          <w:highlight w:val="none"/>
        </w:rPr>
        <w:t xml:space="preserve"> </w:t>
      </w:r>
    </w:p>
    <w:p>
      <w:pPr>
        <w:pStyle w:val="34"/>
        <w:snapToGrid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lang w:val="zh-CN"/>
        </w:rPr>
        <w:t>11.3.6投标人应提供针对项目的完整技术解决方案；</w:t>
      </w:r>
    </w:p>
    <w:p>
      <w:pPr>
        <w:snapToGrid w:val="0"/>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针对本项目的完整技术解决方案和实施方案；详细阐述项目方案的实现思路及关键技术；符合本项目对当前和未来发展的要求；以及对功能设计和实施计划的建议；</w:t>
      </w:r>
    </w:p>
    <w:p>
      <w:pPr>
        <w:pStyle w:val="34"/>
        <w:snapToGrid w:val="0"/>
        <w:spacing w:line="360" w:lineRule="auto"/>
        <w:ind w:firstLine="482" w:firstLineChars="200"/>
        <w:rPr>
          <w:rFonts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w:t>
      </w:r>
      <w:r>
        <w:rPr>
          <w:rFonts w:hint="eastAsia" w:ascii="仿宋_GB2312" w:hAnsi="仿宋" w:eastAsia="仿宋_GB2312" w:cs="仿宋_GB2312"/>
          <w:b/>
          <w:color w:val="auto"/>
          <w:kern w:val="0"/>
          <w:sz w:val="24"/>
          <w:highlight w:val="none"/>
          <w:lang w:val="zh-CN"/>
        </w:rPr>
        <w:t>任何含糊不清的</w:t>
      </w:r>
      <w:r>
        <w:rPr>
          <w:rFonts w:hint="eastAsia" w:ascii="仿宋_GB2312" w:hAnsi="仿宋" w:eastAsia="仿宋_GB2312" w:cs="仿宋_GB2312"/>
          <w:b/>
          <w:color w:val="auto"/>
          <w:sz w:val="24"/>
          <w:highlight w:val="none"/>
        </w:rPr>
        <w:t>表述导致</w:t>
      </w:r>
      <w:r>
        <w:rPr>
          <w:rFonts w:hint="eastAsia" w:ascii="仿宋_GB2312" w:hAnsi="仿宋" w:eastAsia="仿宋_GB2312" w:cs="仿宋_GB2312"/>
          <w:b/>
          <w:color w:val="auto"/>
          <w:kern w:val="0"/>
          <w:sz w:val="24"/>
          <w:highlight w:val="none"/>
          <w:lang w:val="zh-CN"/>
        </w:rPr>
        <w:t>评标委员会技术扣分直至认定为投标无效都将是投标人的责任</w:t>
      </w:r>
      <w:r>
        <w:rPr>
          <w:rFonts w:hint="eastAsia" w:ascii="仿宋_GB2312" w:hAnsi="仿宋" w:eastAsia="仿宋_GB2312" w:cs="仿宋_GB2312"/>
          <w:color w:val="auto"/>
          <w:sz w:val="24"/>
          <w:highlight w:val="none"/>
        </w:rPr>
        <w:t>。</w:t>
      </w:r>
    </w:p>
    <w:p>
      <w:pPr>
        <w:pStyle w:val="34"/>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本项目如需采购政府强制采购的节能产品的或</w:t>
      </w:r>
      <w:r>
        <w:rPr>
          <w:rFonts w:hint="eastAsia" w:ascii="仿宋_GB2312" w:hAnsi="仿宋" w:eastAsia="仿宋_GB2312"/>
          <w:color w:val="auto"/>
          <w:sz w:val="24"/>
          <w:highlight w:val="none"/>
        </w:rPr>
        <w:t>投标人提供的产品是环境标志产品，</w:t>
      </w:r>
      <w:r>
        <w:rPr>
          <w:rFonts w:hint="eastAsia" w:ascii="仿宋_GB2312" w:hAnsi="仿宋" w:eastAsia="仿宋_GB2312" w:cs="仿宋_GB2312"/>
          <w:color w:val="auto"/>
          <w:sz w:val="24"/>
          <w:highlight w:val="none"/>
        </w:rPr>
        <w:t>投标人按格式提供节能产品、环境标志产品认证证书复印件；</w:t>
      </w:r>
    </w:p>
    <w:p>
      <w:pPr>
        <w:pStyle w:val="34"/>
        <w:snapToGrid w:val="0"/>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11.3.7</w:t>
      </w:r>
      <w:r>
        <w:rPr>
          <w:rFonts w:hint="eastAsia" w:ascii="仿宋_GB2312" w:hAnsi="仿宋" w:eastAsia="仿宋_GB2312" w:cs="仿宋_GB2312"/>
          <w:color w:val="auto"/>
          <w:sz w:val="24"/>
          <w:highlight w:val="none"/>
        </w:rPr>
        <w:t>投标人在投标文件技术偏离说明表中，</w:t>
      </w:r>
      <w:r>
        <w:rPr>
          <w:rFonts w:hint="eastAsia" w:ascii="仿宋_GB2312" w:hAnsi="仿宋" w:eastAsia="仿宋_GB2312" w:cs="仿宋_GB2312"/>
          <w:color w:val="auto"/>
          <w:kern w:val="0"/>
          <w:sz w:val="24"/>
          <w:highlight w:val="none"/>
          <w:lang w:val="zh-CN"/>
        </w:rPr>
        <w:t>应对</w:t>
      </w:r>
      <w:r>
        <w:rPr>
          <w:rFonts w:hint="eastAsia" w:ascii="仿宋_GB2312" w:hAnsi="仿宋" w:eastAsia="仿宋_GB2312" w:cs="仿宋_GB2312"/>
          <w:color w:val="auto"/>
          <w:sz w:val="24"/>
          <w:highlight w:val="none"/>
        </w:rPr>
        <w:t>采购需求</w:t>
      </w:r>
      <w:r>
        <w:rPr>
          <w:rFonts w:hint="eastAsia" w:ascii="仿宋_GB2312" w:hAnsi="仿宋" w:eastAsia="仿宋_GB2312" w:cs="仿宋_GB2312"/>
          <w:color w:val="auto"/>
          <w:kern w:val="0"/>
          <w:sz w:val="24"/>
          <w:highlight w:val="none"/>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11.3.8</w:t>
      </w:r>
      <w:r>
        <w:rPr>
          <w:rFonts w:hint="eastAsia" w:ascii="仿宋_GB2312" w:hAnsi="仿宋" w:eastAsia="仿宋_GB2312" w:cs="仿宋_GB2312"/>
          <w:color w:val="auto"/>
          <w:kern w:val="0"/>
          <w:sz w:val="24"/>
          <w:highlight w:val="none"/>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11.3.9</w:t>
      </w:r>
      <w:r>
        <w:rPr>
          <w:rFonts w:hint="eastAsia" w:ascii="仿宋_GB2312" w:hAnsi="仿宋" w:eastAsia="仿宋_GB2312" w:cs="仿宋_GB2312"/>
          <w:color w:val="auto"/>
          <w:kern w:val="0"/>
          <w:sz w:val="24"/>
          <w:highlight w:val="none"/>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的。承诺质保期内均提供上门服务；</w:t>
      </w:r>
    </w:p>
    <w:p>
      <w:pPr>
        <w:snapToGrid w:val="0"/>
        <w:spacing w:line="360" w:lineRule="auto"/>
        <w:ind w:firstLine="360" w:firstLineChars="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11.3.10</w:t>
      </w:r>
      <w:r>
        <w:rPr>
          <w:rFonts w:hint="eastAsia" w:ascii="仿宋_GB2312" w:hAnsi="仿宋" w:eastAsia="仿宋_GB2312" w:cs="仿宋_GB2312"/>
          <w:color w:val="auto"/>
          <w:kern w:val="0"/>
          <w:sz w:val="24"/>
          <w:highlight w:val="none"/>
          <w:lang w:val="zh-CN"/>
        </w:rPr>
        <w:t>投标人为完成本项目组建的工作小组名单，每个专业人员的情况和人员数应该明确表示，明确各阶段投入人数，在提交的投标文件中安排的人员，须为公司的固定职员；每个参加项目人员的履历表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360" w:lineRule="auto"/>
        <w:ind w:firstLine="360" w:firstLineChars="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11.3.11</w:t>
      </w:r>
      <w:r>
        <w:rPr>
          <w:rFonts w:hint="eastAsia" w:ascii="仿宋_GB2312" w:hAnsi="仿宋" w:eastAsia="仿宋_GB2312" w:cs="仿宋_GB2312"/>
          <w:color w:val="auto"/>
          <w:kern w:val="0"/>
          <w:sz w:val="24"/>
          <w:highlight w:val="none"/>
          <w:lang w:val="zh-CN"/>
        </w:rPr>
        <w:t>优惠条件及特殊承诺；</w:t>
      </w:r>
    </w:p>
    <w:p>
      <w:pPr>
        <w:tabs>
          <w:tab w:val="left" w:pos="0"/>
          <w:tab w:val="left" w:pos="840"/>
        </w:tabs>
        <w:autoSpaceDE w:val="0"/>
        <w:autoSpaceDN w:val="0"/>
        <w:spacing w:line="360" w:lineRule="auto"/>
        <w:ind w:firstLine="360" w:firstLineChars="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11.3.12</w:t>
      </w:r>
      <w:r>
        <w:rPr>
          <w:rFonts w:hint="eastAsia" w:ascii="仿宋_GB2312" w:hAnsi="仿宋" w:eastAsia="仿宋_GB2312" w:cs="仿宋_GB2312"/>
          <w:color w:val="auto"/>
          <w:kern w:val="0"/>
          <w:sz w:val="24"/>
          <w:highlight w:val="none"/>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11.3.13</w:t>
      </w:r>
      <w:r>
        <w:rPr>
          <w:rFonts w:hint="eastAsia" w:ascii="仿宋_GB2312" w:hAnsi="仿宋" w:eastAsia="仿宋_GB2312" w:cs="仿宋_GB2312"/>
          <w:color w:val="auto"/>
          <w:kern w:val="0"/>
          <w:sz w:val="24"/>
          <w:highlight w:val="none"/>
          <w:lang w:val="zh-CN"/>
        </w:rPr>
        <w:t>培训计划；（如果有）</w:t>
      </w:r>
    </w:p>
    <w:p>
      <w:pPr>
        <w:pStyle w:val="34"/>
        <w:spacing w:line="360" w:lineRule="auto"/>
        <w:ind w:firstLine="360" w:firstLineChars="150"/>
        <w:rPr>
          <w:rFonts w:ascii="仿宋_GB2312" w:hAnsi="仿宋" w:eastAsia="仿宋_GB2312" w:cs="仿宋_GB2312"/>
          <w:color w:val="auto"/>
          <w:kern w:val="0"/>
          <w:sz w:val="24"/>
          <w:szCs w:val="24"/>
          <w:highlight w:val="none"/>
          <w:lang w:val="zh-CN"/>
        </w:rPr>
      </w:pPr>
      <w:r>
        <w:rPr>
          <w:rFonts w:hint="eastAsia" w:ascii="仿宋_GB2312" w:hAnsi="仿宋" w:eastAsia="仿宋_GB2312" w:cs="仿宋_GB2312"/>
          <w:color w:val="auto"/>
          <w:sz w:val="24"/>
          <w:highlight w:val="none"/>
          <w:lang w:val="zh-CN"/>
        </w:rPr>
        <w:t>11.3.14</w:t>
      </w:r>
      <w:r>
        <w:rPr>
          <w:rFonts w:hint="eastAsia" w:ascii="仿宋_GB2312" w:hAnsi="仿宋" w:eastAsia="仿宋_GB2312" w:cs="仿宋_GB2312"/>
          <w:color w:val="auto"/>
          <w:kern w:val="0"/>
          <w:sz w:val="24"/>
          <w:szCs w:val="24"/>
          <w:highlight w:val="none"/>
          <w:lang w:val="zh-CN"/>
        </w:rPr>
        <w:t>投标人认为需要的其他技术文件或说明；</w:t>
      </w:r>
    </w:p>
    <w:p>
      <w:pPr>
        <w:tabs>
          <w:tab w:val="left" w:pos="0"/>
        </w:tabs>
        <w:autoSpaceDE w:val="0"/>
        <w:autoSpaceDN w:val="0"/>
        <w:spacing w:line="360" w:lineRule="auto"/>
        <w:ind w:firstLine="360" w:firstLineChars="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11.3.15</w:t>
      </w:r>
      <w:r>
        <w:rPr>
          <w:rFonts w:hint="eastAsia" w:ascii="仿宋_GB2312" w:hAnsi="仿宋" w:eastAsia="仿宋_GB2312" w:cs="仿宋_GB2312"/>
          <w:color w:val="auto"/>
          <w:kern w:val="0"/>
          <w:sz w:val="24"/>
          <w:highlight w:val="none"/>
          <w:lang w:val="zh-CN"/>
        </w:rPr>
        <w:t>关于对招标文件商务、合同中有关条款的拒绝声明。（如果有）</w:t>
      </w:r>
    </w:p>
    <w:p>
      <w:pPr>
        <w:spacing w:line="360" w:lineRule="auto"/>
        <w:ind w:firstLine="482" w:firstLineChars="200"/>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w:t>
      </w:r>
      <w:r>
        <w:rPr>
          <w:rFonts w:hint="eastAsia" w:ascii="仿宋_GB2312" w:hAnsi="仿宋" w:eastAsia="仿宋_GB2312" w:cs="仿宋_GB2312"/>
          <w:b/>
          <w:color w:val="auto"/>
          <w:sz w:val="24"/>
          <w:highlight w:val="none"/>
        </w:rPr>
        <w:t>投标文件组成漏项，内容不全或内容字迹模糊辨认不清的，投标无效；</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482" w:firstLineChars="2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124"/>
        <w:snapToGrid w:val="0"/>
        <w:spacing w:before="0"/>
        <w:ind w:firstLine="0" w:firstLineChars="0"/>
        <w:outlineLvl w:val="0"/>
        <w:rPr>
          <w:rFonts w:ascii="仿宋_GB2312" w:hAnsi="仿宋" w:eastAsia="仿宋_GB2312" w:cs="仿宋_GB2312"/>
          <w:b/>
          <w:color w:val="auto"/>
          <w:szCs w:val="24"/>
          <w:highlight w:val="none"/>
        </w:rPr>
      </w:pPr>
      <w:bookmarkStart w:id="30" w:name="_Toc91899887"/>
      <w:r>
        <w:rPr>
          <w:rFonts w:hint="eastAsia" w:ascii="仿宋_GB2312" w:hAnsi="仿宋" w:eastAsia="仿宋_GB2312" w:cs="仿宋_GB2312"/>
          <w:b/>
          <w:color w:val="auto"/>
          <w:szCs w:val="24"/>
          <w:highlight w:val="none"/>
        </w:rPr>
        <w:t>12</w:t>
      </w:r>
      <w:r>
        <w:rPr>
          <w:rFonts w:hint="eastAsia"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hint="eastAsia"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仿宋_GB2312" w:hAnsi="仿宋" w:eastAsia="仿宋_GB2312"/>
          <w:b/>
          <w:color w:val="auto"/>
          <w:sz w:val="24"/>
          <w:highlight w:val="none"/>
        </w:rPr>
        <w:t>▲</w:t>
      </w:r>
      <w:r>
        <w:rPr>
          <w:rFonts w:hint="eastAsia" w:ascii="仿宋_GB2312" w:hAnsi="仿宋" w:eastAsia="仿宋_GB2312" w:cs="仿宋_GB2312"/>
          <w:b/>
          <w:color w:val="auto"/>
          <w:sz w:val="24"/>
          <w:highlight w:val="none"/>
        </w:rPr>
        <w:t>投标文件未按规定的格式编制的，投标无效；</w:t>
      </w:r>
    </w:p>
    <w:p>
      <w:pPr>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12.3使用“政采云电子交易客户端”需要提前申领CA数字证书，申领流程请自行前往“浙江政府采购网-下载专区-电子交易客户端-CA驱动和申领流程”进行查阅。</w:t>
      </w:r>
    </w:p>
    <w:bookmarkEnd w:id="30"/>
    <w:p>
      <w:pPr>
        <w:snapToGrid w:val="0"/>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13.投标文件的签署、盖章</w:t>
      </w:r>
    </w:p>
    <w:p>
      <w:pPr>
        <w:pStyle w:val="124"/>
        <w:snapToGrid w:val="0"/>
        <w:spacing w:before="0"/>
        <w:ind w:firstLine="480"/>
        <w:rPr>
          <w:rFonts w:ascii="仿宋_GB2312" w:hAnsi="仿宋" w:eastAsia="仿宋_GB2312" w:cs="仿宋_GB2312"/>
          <w:b/>
          <w:color w:val="auto"/>
          <w:highlight w:val="none"/>
        </w:rPr>
      </w:pPr>
      <w:r>
        <w:rPr>
          <w:rFonts w:hint="eastAsia"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124"/>
        <w:snapToGrid w:val="0"/>
        <w:spacing w:before="0"/>
        <w:ind w:firstLine="482"/>
        <w:rPr>
          <w:rFonts w:ascii="仿宋_GB2312" w:hAnsi="仿宋" w:eastAsia="仿宋_GB2312" w:cs="仿宋_GB2312"/>
          <w:color w:val="auto"/>
          <w:szCs w:val="24"/>
          <w:highlight w:val="none"/>
        </w:rPr>
      </w:pPr>
      <w:r>
        <w:rPr>
          <w:rFonts w:hint="eastAsia" w:ascii="仿宋_GB2312" w:hAnsi="仿宋" w:eastAsia="仿宋_GB2312" w:cs="仿宋_GB2312"/>
          <w:b/>
          <w:color w:val="auto"/>
          <w:highlight w:val="none"/>
        </w:rPr>
        <w:t>13.2</w:t>
      </w:r>
      <w:r>
        <w:rPr>
          <w:rFonts w:hint="eastAsia" w:ascii="仿宋_GB2312" w:hAnsi="仿宋" w:eastAsia="仿宋_GB2312" w:cs="仿宋_GB2312"/>
          <w:color w:val="auto"/>
          <w:highlight w:val="none"/>
        </w:rPr>
        <w:t>为确保网上操作合法、有效和安全，投标人应当在投标截止时间前完成在“政府采购云平台”的身份认证，确保在电子投标过程中能够对相关数据电文进行加密和使用电子签名。</w:t>
      </w:r>
    </w:p>
    <w:p>
      <w:pPr>
        <w:pStyle w:val="124"/>
        <w:spacing w:before="0"/>
        <w:ind w:firstLine="0" w:firstLineChars="0"/>
        <w:rPr>
          <w:rFonts w:ascii="仿宋_GB2312" w:hAnsi="仿宋" w:eastAsia="仿宋_GB2312" w:cs="仿宋_GB2312"/>
          <w:b/>
          <w:color w:val="auto"/>
          <w:szCs w:val="24"/>
          <w:highlight w:val="none"/>
        </w:rPr>
      </w:pPr>
      <w:r>
        <w:rPr>
          <w:rFonts w:hint="eastAsia" w:ascii="仿宋_GB2312" w:hAnsi="仿宋" w:eastAsia="仿宋_GB2312" w:cs="仿宋_GB2312"/>
          <w:b/>
          <w:color w:val="auto"/>
          <w:szCs w:val="24"/>
          <w:highlight w:val="none"/>
        </w:rPr>
        <w:t>14. 投标文件的提交、补充、修改、撤回</w:t>
      </w:r>
    </w:p>
    <w:p>
      <w:pPr>
        <w:pStyle w:val="124"/>
        <w:ind w:firstLine="480"/>
        <w:rPr>
          <w:rFonts w:ascii="仿宋_GB2312" w:hAnsi="仿宋" w:eastAsia="仿宋_GB2312" w:cs="仿宋_GB2312"/>
          <w:color w:val="auto"/>
          <w:szCs w:val="24"/>
          <w:highlight w:val="none"/>
        </w:rPr>
      </w:pPr>
      <w:r>
        <w:rPr>
          <w:rFonts w:hint="eastAsia" w:ascii="仿宋_GB2312" w:hAnsi="仿宋" w:eastAsia="仿宋_GB2312" w:cs="仿宋_GB2312"/>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4"/>
        <w:spacing w:before="0"/>
        <w:ind w:firstLine="600" w:firstLineChars="250"/>
        <w:rPr>
          <w:rFonts w:ascii="仿宋_GB2312" w:hAnsi="仿宋" w:eastAsia="仿宋_GB2312" w:cs="仿宋_GB2312"/>
          <w:color w:val="auto"/>
          <w:szCs w:val="24"/>
          <w:highlight w:val="none"/>
        </w:rPr>
      </w:pPr>
      <w:r>
        <w:rPr>
          <w:rFonts w:hint="eastAsia"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4"/>
        <w:spacing w:before="0"/>
        <w:ind w:firstLine="480"/>
        <w:rPr>
          <w:rFonts w:ascii="仿宋_GB2312" w:hAnsi="仿宋" w:eastAsia="仿宋_GB2312" w:cs="仿宋_GB2312"/>
          <w:color w:val="auto"/>
          <w:szCs w:val="24"/>
          <w:highlight w:val="none"/>
        </w:rPr>
      </w:pPr>
      <w:r>
        <w:rPr>
          <w:rFonts w:hint="eastAsia" w:ascii="仿宋_GB2312" w:hAnsi="仿宋" w:eastAsia="仿宋_GB2312" w:cs="仿宋_GB2312"/>
          <w:color w:val="auto"/>
          <w:szCs w:val="24"/>
          <w:highlight w:val="none"/>
        </w:rPr>
        <w:t>14.3采购机构可以视情况延长投标文件提交的截止时间。在上述情况下，采购机构与投标人以前在投标截止期方面的全部权利、责任和义务，将适用于延长至新的投标截止期。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15.备份投标文件</w:t>
      </w:r>
    </w:p>
    <w:p>
      <w:pPr>
        <w:pStyle w:val="34"/>
        <w:spacing w:line="360" w:lineRule="auto"/>
        <w:ind w:firstLine="360" w:firstLineChars="150"/>
        <w:rPr>
          <w:rFonts w:ascii="仿宋_GB2312" w:hAnsi="仿宋" w:eastAsia="仿宋_GB2312" w:cs="仿宋_GB2312"/>
          <w:b/>
          <w:color w:val="auto"/>
          <w:sz w:val="24"/>
          <w:szCs w:val="24"/>
          <w:highlight w:val="none"/>
        </w:rPr>
      </w:pPr>
      <w:r>
        <w:rPr>
          <w:rFonts w:hint="eastAsia"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4"/>
        <w:spacing w:line="360" w:lineRule="auto"/>
        <w:ind w:firstLine="360" w:firstLineChars="150"/>
        <w:rPr>
          <w:rFonts w:ascii="仿宋_GB2312" w:hAnsi="仿宋" w:eastAsia="仿宋_GB2312" w:cs="仿宋_GB2312"/>
          <w:b/>
          <w:color w:val="auto"/>
          <w:sz w:val="24"/>
          <w:szCs w:val="24"/>
          <w:highlight w:val="none"/>
        </w:rPr>
      </w:pPr>
      <w:r>
        <w:rPr>
          <w:rFonts w:hint="eastAsia" w:ascii="仿宋_GB2312" w:hAnsi="仿宋" w:eastAsia="仿宋_GB2312" w:cs="仿宋_GB2312"/>
          <w:color w:val="auto"/>
          <w:sz w:val="24"/>
          <w:szCs w:val="24"/>
          <w:highlight w:val="none"/>
        </w:rPr>
        <w:t>15.2备份投标文件须在“政采云投标客户端”制作生成，并储存在</w:t>
      </w:r>
      <w:r>
        <w:rPr>
          <w:rFonts w:hint="eastAsia"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中。备份投标文件应当密封包装并在包装上加盖公章并注明投标项目名称，投标人名称(联合体投标的，包装物封面需注明联合体投标，并注明联合体成员各方的名称和联合体协议中约定的牵头人的名称)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4"/>
        <w:spacing w:line="360" w:lineRule="auto"/>
        <w:ind w:firstLine="360" w:firstLineChars="15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360" w:firstLineChars="15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杭州市之江路925号临江金座2号楼1010室（杭州市公共资源交易中心政府采购处）；送达时间以签收人签收时间为准（签收人：徐莉， 联系电话：0571-87008103）。采购机构将拒绝接受逾期送达的备份投标文件。邮寄过程中，电子备份投标文件发生泄露、遗失、损坏或延期送达等情况的，由投标人自行负责。</w:t>
      </w:r>
    </w:p>
    <w:p>
      <w:pPr>
        <w:pStyle w:val="34"/>
        <w:spacing w:line="360" w:lineRule="auto"/>
        <w:ind w:firstLine="361" w:firstLineChars="150"/>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15.5投标人仅提交备份投标文件，没有在电子交易平台传输递交投标文件的，投标无效。</w:t>
      </w:r>
    </w:p>
    <w:bookmarkEnd w:id="25"/>
    <w:bookmarkEnd w:id="26"/>
    <w:p>
      <w:pPr>
        <w:pStyle w:val="124"/>
        <w:spacing w:before="0"/>
        <w:ind w:firstLine="0" w:firstLineChars="0"/>
        <w:rPr>
          <w:rFonts w:ascii="仿宋_GB2312" w:hAnsi="仿宋" w:eastAsia="仿宋_GB2312" w:cs="仿宋_GB2312"/>
          <w:b/>
          <w:color w:val="auto"/>
          <w:szCs w:val="24"/>
          <w:highlight w:val="none"/>
        </w:rPr>
      </w:pPr>
      <w:r>
        <w:rPr>
          <w:rFonts w:hint="eastAsia" w:ascii="仿宋_GB2312" w:hAnsi="仿宋" w:eastAsia="仿宋_GB2312" w:cs="仿宋_GB2312"/>
          <w:b/>
          <w:color w:val="auto"/>
          <w:szCs w:val="24"/>
          <w:highlight w:val="none"/>
        </w:rPr>
        <w:t>16.投标文件的无效处理</w:t>
      </w:r>
    </w:p>
    <w:p>
      <w:pPr>
        <w:pStyle w:val="26"/>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第13项规定</w:t>
      </w:r>
      <w:r>
        <w:rPr>
          <w:rFonts w:hint="eastAsia" w:ascii="仿宋_GB2312" w:hAnsi="仿宋" w:eastAsia="仿宋_GB2312" w:cs="仿宋_GB2312"/>
          <w:color w:val="auto"/>
          <w:szCs w:val="21"/>
          <w:highlight w:val="none"/>
        </w:rPr>
        <w:t>的情形之一的，投标无效：</w:t>
      </w:r>
    </w:p>
    <w:p>
      <w:pPr>
        <w:pStyle w:val="124"/>
        <w:spacing w:before="0"/>
        <w:ind w:firstLine="0" w:firstLineChars="0"/>
        <w:rPr>
          <w:rFonts w:ascii="仿宋_GB2312" w:hAnsi="仿宋" w:eastAsia="仿宋_GB2312" w:cs="仿宋_GB2312"/>
          <w:b/>
          <w:color w:val="auto"/>
          <w:szCs w:val="24"/>
          <w:highlight w:val="none"/>
        </w:rPr>
      </w:pPr>
      <w:r>
        <w:rPr>
          <w:rFonts w:hint="eastAsia"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hint="eastAsia"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124"/>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17.2投标文件合格投递后，自投标截止日期起，在投标有效期内有效。</w:t>
      </w:r>
    </w:p>
    <w:p>
      <w:pPr>
        <w:pStyle w:val="124"/>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4"/>
        <w:spacing w:before="0"/>
        <w:ind w:firstLine="643"/>
        <w:rPr>
          <w:rFonts w:ascii="仿宋_GB2312" w:hAnsi="仿宋" w:eastAsia="仿宋_GB2312" w:cs="仿宋_GB2312"/>
          <w:b/>
          <w:color w:val="auto"/>
          <w:sz w:val="32"/>
          <w:highlight w:val="none"/>
        </w:rPr>
      </w:pPr>
      <w:bookmarkStart w:id="31" w:name="_Toc91899897"/>
    </w:p>
    <w:p>
      <w:pPr>
        <w:pStyle w:val="124"/>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w:t>
      </w:r>
      <w:bookmarkEnd w:id="31"/>
      <w:r>
        <w:rPr>
          <w:rFonts w:hint="eastAsia" w:ascii="仿宋_GB2312" w:hAnsi="仿宋" w:eastAsia="仿宋_GB2312" w:cs="仿宋_GB2312"/>
          <w:b/>
          <w:color w:val="auto"/>
          <w:sz w:val="32"/>
          <w:highlight w:val="none"/>
        </w:rPr>
        <w:t>、资格审查与信用信息查询</w:t>
      </w:r>
    </w:p>
    <w:p>
      <w:pPr>
        <w:pStyle w:val="736"/>
        <w:spacing w:before="0" w:line="360" w:lineRule="auto"/>
        <w:ind w:left="0" w:firstLine="241" w:firstLineChars="100"/>
        <w:contextualSpacing/>
        <w:rPr>
          <w:rFonts w:ascii="仿宋_GB2312" w:eastAsia="仿宋_GB2312"/>
          <w:color w:val="auto"/>
          <w:sz w:val="24"/>
          <w:highlight w:val="none"/>
        </w:rPr>
      </w:pPr>
      <w:r>
        <w:rPr>
          <w:rFonts w:hint="eastAsia" w:ascii="仿宋_GB2312" w:hAnsi="仿宋" w:eastAsia="仿宋_GB2312" w:cs="仿宋_GB2312"/>
          <w:b/>
          <w:color w:val="auto"/>
          <w:sz w:val="24"/>
          <w:szCs w:val="24"/>
          <w:highlight w:val="none"/>
        </w:rPr>
        <w:t>18.开标</w:t>
      </w:r>
      <w:r>
        <w:rPr>
          <w:rFonts w:hint="eastAsia" w:ascii="仿宋_GB2312" w:eastAsia="仿宋_GB2312"/>
          <w:color w:val="auto"/>
          <w:sz w:val="24"/>
          <w:highlight w:val="none"/>
        </w:rPr>
        <w:t xml:space="preserve"> </w:t>
      </w:r>
    </w:p>
    <w:p>
      <w:pPr>
        <w:pStyle w:val="736"/>
        <w:spacing w:before="0" w:line="360" w:lineRule="auto"/>
        <w:ind w:left="0" w:firstLine="480" w:firstLineChars="2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736"/>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736"/>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19、资格审查</w:t>
      </w:r>
    </w:p>
    <w:p>
      <w:pPr>
        <w:pStyle w:val="124"/>
        <w:spacing w:before="0"/>
        <w:ind w:firstLine="48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124"/>
        <w:spacing w:before="0"/>
        <w:ind w:firstLine="480"/>
        <w:rPr>
          <w:rFonts w:ascii="仿宋_GB2312" w:hAnsi="仿宋" w:eastAsia="仿宋_GB2312" w:cs="仿宋_GB2312"/>
          <w:color w:val="auto"/>
          <w:highlight w:val="none"/>
        </w:rPr>
      </w:pPr>
      <w:r>
        <w:rPr>
          <w:rFonts w:hint="eastAsia"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124"/>
        <w:spacing w:before="0"/>
        <w:ind w:firstLine="480"/>
        <w:rPr>
          <w:rFonts w:ascii="仿宋_GB2312" w:hAnsi="仿宋" w:eastAsia="仿宋_GB2312" w:cs="仿宋_GB2312"/>
          <w:color w:val="auto"/>
          <w:highlight w:val="none"/>
        </w:rPr>
      </w:pPr>
      <w:r>
        <w:rPr>
          <w:rFonts w:hint="eastAsia" w:ascii="仿宋_GB2312" w:hAnsi="仿宋" w:eastAsia="仿宋_GB2312" w:cs="Arial"/>
          <w:color w:val="auto"/>
          <w:kern w:val="0"/>
          <w:szCs w:val="24"/>
          <w:highlight w:val="none"/>
        </w:rPr>
        <w:t>19.</w:t>
      </w:r>
      <w:r>
        <w:rPr>
          <w:rFonts w:hint="eastAsia" w:ascii="仿宋_GB2312" w:hAnsi="仿宋" w:eastAsia="仿宋_GB2312" w:cs="仿宋_GB2312"/>
          <w:color w:val="auto"/>
          <w:highlight w:val="none"/>
        </w:rPr>
        <w:t>4对未通过资格审查的投标人，采购人或采购机构告知其未通过的原因。</w:t>
      </w:r>
    </w:p>
    <w:p>
      <w:pPr>
        <w:pStyle w:val="124"/>
        <w:spacing w:before="0"/>
        <w:ind w:firstLine="480"/>
        <w:rPr>
          <w:rFonts w:ascii="仿宋_GB2312" w:hAnsi="仿宋" w:eastAsia="仿宋_GB2312" w:cs="仿宋_GB2312"/>
          <w:color w:val="auto"/>
          <w:highlight w:val="none"/>
        </w:rPr>
      </w:pPr>
      <w:r>
        <w:rPr>
          <w:rFonts w:hint="eastAsia" w:ascii="仿宋_GB2312" w:hAnsi="仿宋" w:eastAsia="仿宋_GB2312" w:cs="Arial"/>
          <w:color w:val="auto"/>
          <w:kern w:val="0"/>
          <w:szCs w:val="24"/>
          <w:highlight w:val="none"/>
        </w:rPr>
        <w:t>19.</w:t>
      </w:r>
      <w:r>
        <w:rPr>
          <w:rFonts w:hint="eastAsia" w:ascii="仿宋_GB2312" w:hAnsi="仿宋" w:eastAsia="仿宋_GB2312" w:cs="仿宋_GB2312"/>
          <w:color w:val="auto"/>
          <w:highlight w:val="none"/>
        </w:rPr>
        <w:t>5合格投标人不足3家的，不再评标。</w:t>
      </w:r>
    </w:p>
    <w:p>
      <w:pPr>
        <w:pStyle w:val="124"/>
        <w:spacing w:before="0"/>
        <w:ind w:firstLine="0" w:firstLineChars="0"/>
        <w:rPr>
          <w:rFonts w:ascii="仿宋_GB2312" w:hAnsi="仿宋" w:eastAsia="仿宋_GB2312" w:cs="仿宋_GB2312"/>
          <w:b/>
          <w:color w:val="auto"/>
          <w:szCs w:val="24"/>
          <w:highlight w:val="none"/>
        </w:rPr>
      </w:pPr>
      <w:r>
        <w:rPr>
          <w:rFonts w:hint="eastAsia" w:ascii="仿宋_GB2312" w:hAnsi="仿宋" w:eastAsia="仿宋_GB2312" w:cs="仿宋_GB2312"/>
          <w:b/>
          <w:color w:val="auto"/>
          <w:szCs w:val="24"/>
          <w:highlight w:val="none"/>
        </w:rPr>
        <w:t>20、信用信息查询</w:t>
      </w:r>
    </w:p>
    <w:p>
      <w:pPr>
        <w:pStyle w:val="124"/>
        <w:spacing w:before="0"/>
        <w:ind w:firstLine="495"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24"/>
        <w:spacing w:before="0"/>
        <w:ind w:firstLine="495"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124"/>
        <w:spacing w:before="0"/>
        <w:ind w:firstLine="495"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4"/>
        <w:spacing w:before="0"/>
        <w:ind w:firstLine="480"/>
        <w:rPr>
          <w:rFonts w:ascii="仿宋_GB2312" w:hAnsi="仿宋" w:eastAsia="仿宋_GB2312" w:cs="仿宋_GB2312"/>
          <w:color w:val="auto"/>
          <w:highlight w:val="none"/>
        </w:rPr>
      </w:pPr>
      <w:r>
        <w:rPr>
          <w:rFonts w:hint="eastAsia"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124"/>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bookmarkStart w:id="32" w:name="_Hlt75236101"/>
      <w:bookmarkEnd w:id="32"/>
      <w:bookmarkStart w:id="33" w:name="_Toc91899902"/>
      <w:r>
        <w:rPr>
          <w:rFonts w:hint="eastAsia" w:ascii="仿宋_GB2312" w:hAnsi="仿宋" w:eastAsia="仿宋_GB2312" w:cs="仿宋_GB2312"/>
          <w:b/>
          <w:color w:val="auto"/>
          <w:sz w:val="36"/>
          <w:szCs w:val="36"/>
          <w:highlight w:val="none"/>
        </w:rPr>
        <w:t>五、评标</w:t>
      </w:r>
      <w:bookmarkEnd w:id="33"/>
    </w:p>
    <w:p>
      <w:pPr>
        <w:spacing w:line="360" w:lineRule="auto"/>
        <w:rPr>
          <w:rFonts w:ascii="仿宋_GB2312" w:hAnsi="仿宋" w:eastAsia="仿宋_GB2312" w:cs="仿宋_GB2312"/>
          <w:b/>
          <w:color w:val="auto"/>
          <w:sz w:val="24"/>
          <w:highlight w:val="none"/>
        </w:rPr>
      </w:pPr>
      <w:bookmarkStart w:id="34" w:name="_Toc91899903"/>
      <w:r>
        <w:rPr>
          <w:rFonts w:hint="eastAsia" w:ascii="仿宋_GB2312" w:hAnsi="仿宋" w:eastAsia="仿宋_GB2312" w:cs="仿宋_GB2312"/>
          <w:b/>
          <w:color w:val="auto"/>
          <w:sz w:val="24"/>
          <w:highlight w:val="none"/>
        </w:rPr>
        <w:t>21.</w:t>
      </w:r>
      <w:r>
        <w:rPr>
          <w:rFonts w:hint="eastAsia" w:ascii="仿宋_GB2312"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详见招标文件第四部分“评标方法及评分标准”</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 标</w:t>
      </w:r>
    </w:p>
    <w:p>
      <w:pPr>
        <w:pStyle w:val="26"/>
        <w:spacing w:line="360" w:lineRule="auto"/>
        <w:ind w:left="479" w:hanging="479" w:hangingChars="199"/>
        <w:rPr>
          <w:rFonts w:ascii="仿宋_GB2312" w:hAnsi="仿宋" w:eastAsia="仿宋_GB2312" w:cs="仿宋_GB2312"/>
          <w:b/>
          <w:color w:val="auto"/>
          <w:highlight w:val="none"/>
        </w:rPr>
      </w:pPr>
      <w:r>
        <w:rPr>
          <w:rFonts w:hint="eastAsia" w:ascii="仿宋_GB2312" w:hAnsi="仿宋" w:eastAsia="仿宋_GB2312" w:cs="仿宋_GB2312"/>
          <w:b/>
          <w:color w:val="auto"/>
          <w:highlight w:val="none"/>
        </w:rPr>
        <w:t>22. 确定中标供应商</w:t>
      </w:r>
    </w:p>
    <w:p>
      <w:pPr>
        <w:pStyle w:val="124"/>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采购人将自收到评审报告之日起5个工作日内通过电子交易平台在评审报告推荐的中标候选人中按顺序确定中标供应商。</w:t>
      </w:r>
    </w:p>
    <w:p>
      <w:pPr>
        <w:pStyle w:val="124"/>
        <w:snapToGrid w:val="0"/>
        <w:spacing w:before="0"/>
        <w:ind w:firstLine="0" w:firstLineChars="0"/>
        <w:rPr>
          <w:rFonts w:ascii="仿宋_GB2312" w:hAnsi="仿宋" w:eastAsia="仿宋_GB2312" w:cs="仿宋_GB2312"/>
          <w:b/>
          <w:color w:val="auto"/>
          <w:szCs w:val="24"/>
          <w:highlight w:val="none"/>
        </w:rPr>
      </w:pPr>
      <w:r>
        <w:rPr>
          <w:rFonts w:hint="eastAsia" w:ascii="仿宋_GB2312" w:hAnsi="仿宋" w:eastAsia="仿宋_GB2312" w:cs="仿宋_GB2312"/>
          <w:b/>
          <w:color w:val="auto"/>
          <w:szCs w:val="24"/>
          <w:highlight w:val="none"/>
        </w:rPr>
        <w:t>23. 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23.1自中标人确定之日起2个工作日内，采购机构通过电子交易平台向中标人发出中标通知书，向未中标人发出中标结果通知书，同时编制发布采购结果公告。采购机构也可以以纸质形式进行中标通知。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的名称、规格型号、数量、单价、服务要求，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6"/>
        <w:spacing w:line="360" w:lineRule="auto"/>
        <w:ind w:left="479" w:hanging="479" w:hangingChars="199"/>
        <w:rPr>
          <w:rFonts w:ascii="仿宋_GB2312" w:hAnsi="仿宋" w:eastAsia="仿宋_GB2312" w:cs="仿宋_GB2312"/>
          <w:b/>
          <w:color w:val="auto"/>
          <w:highlight w:val="none"/>
        </w:rPr>
      </w:pPr>
      <w:r>
        <w:rPr>
          <w:rFonts w:hint="eastAsia" w:ascii="仿宋_GB2312" w:hAnsi="仿宋" w:eastAsia="仿宋_GB2312" w:cs="仿宋_GB2312"/>
          <w:b/>
          <w:color w:val="auto"/>
          <w:highlight w:val="none"/>
        </w:rPr>
        <w:t xml:space="preserve">24. </w:t>
      </w:r>
      <w:r>
        <w:rPr>
          <w:rFonts w:hint="eastAsia" w:ascii="仿宋_GB2312" w:hAnsi="仿宋" w:eastAsia="仿宋_GB2312" w:cs="仿宋_GB2312"/>
          <w:color w:val="auto"/>
          <w:highlight w:val="none"/>
        </w:rPr>
        <w:t>合同主要条款详见第五部分拟签订的合同文本。</w:t>
      </w:r>
    </w:p>
    <w:p>
      <w:pPr>
        <w:pStyle w:val="26"/>
        <w:spacing w:line="360" w:lineRule="auto"/>
        <w:ind w:left="479" w:hanging="479" w:hangingChars="199"/>
        <w:rPr>
          <w:rFonts w:ascii="仿宋_GB2312" w:hAnsi="仿宋" w:eastAsia="仿宋_GB2312" w:cs="仿宋_GB2312"/>
          <w:b/>
          <w:color w:val="auto"/>
          <w:highlight w:val="none"/>
        </w:rPr>
      </w:pPr>
      <w:r>
        <w:rPr>
          <w:rFonts w:hint="eastAsia" w:ascii="仿宋_GB2312" w:hAnsi="仿宋" w:eastAsia="仿宋_GB2312" w:cs="仿宋_GB2312"/>
          <w:b/>
          <w:color w:val="auto"/>
          <w:highlight w:val="none"/>
        </w:rPr>
        <w:t>25. 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hint="eastAsia" w:ascii="仿宋_GB2312" w:hAnsi="仿宋" w:eastAsia="仿宋_GB2312" w:cs="仿宋_GB2312"/>
          <w:color w:val="auto"/>
          <w:sz w:val="24"/>
          <w:highlight w:val="none"/>
        </w:rPr>
        <w:t>25.1</w:t>
      </w:r>
      <w:r>
        <w:rPr>
          <w:rFonts w:hint="eastAsia"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采购人与中标人应当通过电子交易平台在中标通知书发出之日起三十日内，按照招标文件确定的事项签订政府采购合同，并在规定时间内依法发布合同公告。</w:t>
      </w:r>
    </w:p>
    <w:p>
      <w:pPr>
        <w:pStyle w:val="124"/>
        <w:snapToGrid w:val="0"/>
        <w:spacing w:before="0"/>
        <w:ind w:firstLine="480"/>
        <w:rPr>
          <w:rFonts w:ascii="仿宋_GB2312" w:hAnsi="仿宋" w:eastAsia="仿宋_GB2312"/>
          <w:color w:val="auto"/>
          <w:kern w:val="0"/>
          <w:highlight w:val="none"/>
        </w:rPr>
      </w:pPr>
      <w:r>
        <w:rPr>
          <w:rFonts w:hint="eastAsia"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4"/>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124"/>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26"/>
        <w:spacing w:line="360" w:lineRule="auto"/>
        <w:ind w:left="479" w:hanging="479" w:hangingChars="199"/>
        <w:rPr>
          <w:rFonts w:ascii="仿宋_GB2312" w:hAnsi="仿宋" w:eastAsia="仿宋_GB2312" w:cs="仿宋_GB2312"/>
          <w:b/>
          <w:color w:val="auto"/>
          <w:highlight w:val="none"/>
        </w:rPr>
      </w:pPr>
      <w:r>
        <w:rPr>
          <w:rFonts w:hint="eastAsia" w:ascii="仿宋_GB2312" w:hAnsi="仿宋" w:eastAsia="仿宋_GB2312" w:cs="仿宋_GB2312"/>
          <w:b/>
          <w:color w:val="auto"/>
          <w:highlight w:val="none"/>
        </w:rPr>
        <w:t>26. 履约保证金</w:t>
      </w:r>
    </w:p>
    <w:p>
      <w:pPr>
        <w:tabs>
          <w:tab w:val="left" w:pos="0"/>
        </w:tabs>
        <w:spacing w:line="360" w:lineRule="auto"/>
        <w:ind w:firstLine="480"/>
        <w:rPr>
          <w:rFonts w:ascii="仿宋_GB2312" w:hAnsi="仿宋" w:eastAsia="仿宋_GB2312"/>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。履约保证金的数额不得超过政府采购合同金额的5%。</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124"/>
        <w:snapToGrid w:val="0"/>
        <w:spacing w:before="0"/>
        <w:ind w:firstLine="0" w:firstLineChars="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2</w:t>
      </w:r>
      <w:r>
        <w:rPr>
          <w:rFonts w:hint="eastAsia" w:ascii="仿宋_GB2312" w:hAnsi="仿宋" w:eastAsia="仿宋_GB2312" w:cs="仿宋_GB2312"/>
          <w:b/>
          <w:color w:val="auto"/>
          <w:szCs w:val="24"/>
          <w:highlight w:val="none"/>
        </w:rPr>
        <w:t>7. 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124"/>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 xml:space="preserve">27.1电子交易平台发生故障而无法登录访问的； </w:t>
      </w:r>
    </w:p>
    <w:p>
      <w:pPr>
        <w:pStyle w:val="124"/>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27.2电子交易平台应用或数据库出现错误，不能进行正常操作的；</w:t>
      </w:r>
    </w:p>
    <w:p>
      <w:pPr>
        <w:pStyle w:val="124"/>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27.3电子交易平台发现严重安全漏洞，有潜在泄密危险的；</w:t>
      </w:r>
    </w:p>
    <w:p>
      <w:pPr>
        <w:pStyle w:val="124"/>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 xml:space="preserve">27.4病毒发作导致不能进行正常操作的； </w:t>
      </w:r>
    </w:p>
    <w:p>
      <w:pPr>
        <w:pStyle w:val="124"/>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27.5其他无法保证电子交易的公平、公正和安全的情况。</w:t>
      </w:r>
    </w:p>
    <w:p>
      <w:pPr>
        <w:pStyle w:val="124"/>
        <w:snapToGrid w:val="0"/>
        <w:spacing w:before="0"/>
        <w:ind w:firstLine="0" w:firstLineChars="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6"/>
        <w:spacing w:line="360" w:lineRule="auto"/>
        <w:ind w:firstLine="0" w:firstLineChars="0"/>
        <w:rPr>
          <w:rFonts w:ascii="仿宋_GB2312" w:hAnsi="仿宋" w:eastAsia="仿宋_GB2312" w:cs="仿宋_GB2312"/>
          <w:b/>
          <w:color w:val="auto"/>
          <w:highlight w:val="none"/>
        </w:rPr>
      </w:pPr>
      <w:r>
        <w:rPr>
          <w:rFonts w:hint="eastAsia" w:ascii="仿宋_GB2312" w:hAnsi="仿宋" w:eastAsia="仿宋_GB2312" w:cs="仿宋_GB2312"/>
          <w:b/>
          <w:color w:val="auto"/>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hint="eastAsia"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bookmarkEnd w:id="34"/>
    <w:p>
      <w:pPr>
        <w:adjustRightInd/>
        <w:spacing w:line="360" w:lineRule="auto"/>
        <w:jc w:val="center"/>
        <w:rPr>
          <w:rFonts w:ascii="仿宋_GB2312" w:hAnsi="仿宋" w:eastAsia="仿宋_GB2312" w:cs="仿宋_GB2312"/>
          <w:b/>
          <w:color w:val="auto"/>
          <w:sz w:val="32"/>
          <w:szCs w:val="32"/>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1"/>
    <w:bookmarkEnd w:id="12"/>
    <w:p>
      <w:pPr>
        <w:adjustRightInd/>
        <w:spacing w:line="360" w:lineRule="auto"/>
        <w:jc w:val="center"/>
        <w:outlineLvl w:val="0"/>
        <w:rPr>
          <w:rFonts w:ascii="仿宋" w:hAnsi="仿宋" w:eastAsia="仿宋" w:cs="仿宋"/>
          <w:b/>
          <w:color w:val="auto"/>
          <w:sz w:val="36"/>
          <w:szCs w:val="36"/>
          <w:highlight w:val="none"/>
        </w:rPr>
      </w:pPr>
      <w:bookmarkStart w:id="35" w:name="第四部分"/>
      <w:r>
        <w:rPr>
          <w:rFonts w:hint="eastAsia" w:ascii="仿宋_GB2312" w:hAnsi="仿宋_GB2312" w:eastAsia="仿宋_GB2312" w:cs="仿宋_GB2312"/>
          <w:b/>
          <w:color w:val="auto"/>
          <w:sz w:val="36"/>
          <w:szCs w:val="36"/>
          <w:highlight w:val="none"/>
        </w:rPr>
        <w:t xml:space="preserve">第三部分   </w:t>
      </w:r>
      <w:r>
        <w:rPr>
          <w:rFonts w:hint="eastAsia" w:ascii="仿宋" w:hAnsi="仿宋" w:eastAsia="仿宋" w:cs="仿宋_GB2312"/>
          <w:b/>
          <w:color w:val="auto"/>
          <w:sz w:val="36"/>
          <w:szCs w:val="36"/>
          <w:highlight w:val="none"/>
        </w:rPr>
        <w:t>采购需求</w:t>
      </w:r>
    </w:p>
    <w:p>
      <w:pPr>
        <w:numPr>
          <w:ilvl w:val="1"/>
          <w:numId w:val="13"/>
        </w:numPr>
        <w:adjustRightInd/>
        <w:spacing w:line="360" w:lineRule="auto"/>
        <w:ind w:left="525" w:leftChars="50" w:hanging="420"/>
        <w:jc w:val="left"/>
        <w:outlineLvl w:val="1"/>
        <w:rPr>
          <w:rFonts w:ascii="仿宋" w:hAnsi="仿宋" w:eastAsia="仿宋" w:cs="仿宋"/>
          <w:b/>
          <w:color w:val="auto"/>
          <w:sz w:val="36"/>
          <w:szCs w:val="21"/>
          <w:highlight w:val="none"/>
        </w:rPr>
      </w:pPr>
      <w:r>
        <w:rPr>
          <w:rFonts w:hint="eastAsia" w:ascii="仿宋" w:hAnsi="仿宋" w:eastAsia="仿宋" w:cs="仿宋"/>
          <w:b/>
          <w:color w:val="auto"/>
          <w:sz w:val="36"/>
          <w:szCs w:val="21"/>
          <w:highlight w:val="none"/>
        </w:rPr>
        <w:t>建设目标与主要建设内容</w:t>
      </w:r>
    </w:p>
    <w:p>
      <w:pPr>
        <w:numPr>
          <w:ilvl w:val="2"/>
          <w:numId w:val="13"/>
        </w:numPr>
        <w:adjustRightInd/>
        <w:spacing w:line="360" w:lineRule="auto"/>
        <w:ind w:left="630"/>
        <w:jc w:val="left"/>
        <w:outlineLvl w:val="2"/>
        <w:rPr>
          <w:rFonts w:ascii="仿宋" w:hAnsi="仿宋" w:eastAsia="仿宋" w:cs="仿宋"/>
          <w:b/>
          <w:color w:val="auto"/>
          <w:sz w:val="32"/>
          <w:szCs w:val="21"/>
          <w:highlight w:val="none"/>
          <w:lang w:val="zh-CN"/>
        </w:rPr>
      </w:pPr>
      <w:r>
        <w:rPr>
          <w:rFonts w:hint="eastAsia" w:ascii="仿宋" w:hAnsi="仿宋" w:eastAsia="仿宋" w:cs="仿宋"/>
          <w:b/>
          <w:color w:val="auto"/>
          <w:sz w:val="32"/>
          <w:szCs w:val="21"/>
          <w:highlight w:val="none"/>
          <w:lang w:val="zh-CN"/>
        </w:rPr>
        <w:t>建设目标</w:t>
      </w:r>
    </w:p>
    <w:p>
      <w:pPr>
        <w:pStyle w:val="121"/>
        <w:widowControl/>
        <w:numPr>
          <w:ilvl w:val="0"/>
          <w:numId w:val="14"/>
        </w:numPr>
        <w:adjustRightInd/>
        <w:ind w:firstLineChars="0"/>
        <w:rPr>
          <w:rFonts w:ascii="仿宋" w:hAnsi="仿宋" w:eastAsia="仿宋" w:cs="仿宋"/>
          <w:snapToGrid w:val="0"/>
          <w:color w:val="auto"/>
          <w:kern w:val="28"/>
          <w:szCs w:val="20"/>
          <w:highlight w:val="none"/>
          <w:lang w:val="zh-CN"/>
        </w:rPr>
      </w:pPr>
      <w:r>
        <w:rPr>
          <w:rFonts w:hint="eastAsia" w:ascii="仿宋" w:hAnsi="仿宋" w:eastAsia="仿宋" w:cs="仿宋"/>
          <w:snapToGrid w:val="0"/>
          <w:color w:val="auto"/>
          <w:kern w:val="28"/>
          <w:szCs w:val="20"/>
          <w:highlight w:val="none"/>
          <w:lang w:val="zh-CN"/>
        </w:rPr>
        <w:t>建设全局综合运营中心，实现全局资源统一纳管</w:t>
      </w:r>
    </w:p>
    <w:p>
      <w:pPr>
        <w:widowControl/>
        <w:adjustRightInd/>
        <w:spacing w:line="360" w:lineRule="auto"/>
        <w:ind w:firstLine="420"/>
        <w:rPr>
          <w:rFonts w:ascii="仿宋" w:hAnsi="仿宋" w:eastAsia="仿宋" w:cs="仿宋"/>
          <w:snapToGrid w:val="0"/>
          <w:color w:val="auto"/>
          <w:kern w:val="28"/>
          <w:sz w:val="24"/>
          <w:szCs w:val="20"/>
          <w:highlight w:val="none"/>
          <w:lang w:val="zh-CN"/>
        </w:rPr>
      </w:pPr>
      <w:r>
        <w:rPr>
          <w:rFonts w:hint="eastAsia" w:ascii="仿宋" w:hAnsi="仿宋" w:eastAsia="仿宋" w:cs="仿宋"/>
          <w:snapToGrid w:val="0"/>
          <w:color w:val="auto"/>
          <w:kern w:val="28"/>
          <w:sz w:val="24"/>
          <w:szCs w:val="20"/>
          <w:highlight w:val="none"/>
          <w:lang w:val="zh-CN"/>
        </w:rPr>
        <w:t>杭州城市大脑**操作系统走出了一条以统筹统建为特色的公安大数据智能化建设的路子，为了有效的管理操作系统上运行的各类融合数据和实战业务应用，并对后续进一步上云建设的数据和应用进行统筹管理和统一技术支持，需要建设全局综合运营能力，实现对**操作系统上资源、服务、应用的监控、运营的集中管理，健全自维和专业外包相结合的运维模式，优化运营运维组织流程，打造面向服务的高度集成、感知灵敏、智能高效的一体化运营运维体系，保障**操作系统稳定运行，提高运营管理能力和服务质量。并借助统一门户实现的平台、流程、组织的整合和集中展现。</w:t>
      </w:r>
    </w:p>
    <w:p>
      <w:pPr>
        <w:pStyle w:val="121"/>
        <w:widowControl/>
        <w:numPr>
          <w:ilvl w:val="0"/>
          <w:numId w:val="14"/>
        </w:numPr>
        <w:adjustRightInd/>
        <w:ind w:firstLineChars="0"/>
        <w:rPr>
          <w:rFonts w:ascii="仿宋" w:hAnsi="仿宋" w:eastAsia="仿宋" w:cs="仿宋"/>
          <w:snapToGrid w:val="0"/>
          <w:color w:val="auto"/>
          <w:kern w:val="28"/>
          <w:szCs w:val="20"/>
          <w:highlight w:val="none"/>
          <w:lang w:val="zh-CN"/>
        </w:rPr>
      </w:pPr>
      <w:r>
        <w:rPr>
          <w:rFonts w:hint="eastAsia" w:ascii="仿宋" w:hAnsi="仿宋" w:eastAsia="仿宋" w:cs="仿宋"/>
          <w:snapToGrid w:val="0"/>
          <w:color w:val="auto"/>
          <w:kern w:val="28"/>
          <w:szCs w:val="20"/>
          <w:highlight w:val="none"/>
          <w:lang w:val="zh-CN"/>
        </w:rPr>
        <w:t>探索通用基础能力模式，赋能创新应用敏捷开发</w:t>
      </w:r>
    </w:p>
    <w:p>
      <w:pPr>
        <w:widowControl/>
        <w:adjustRightInd/>
        <w:spacing w:line="360" w:lineRule="auto"/>
        <w:ind w:firstLine="420"/>
        <w:rPr>
          <w:rFonts w:ascii="仿宋" w:hAnsi="仿宋" w:eastAsia="仿宋" w:cs="仿宋"/>
          <w:snapToGrid w:val="0"/>
          <w:color w:val="auto"/>
          <w:kern w:val="28"/>
          <w:sz w:val="24"/>
          <w:szCs w:val="20"/>
          <w:highlight w:val="none"/>
          <w:lang w:val="zh-CN"/>
        </w:rPr>
      </w:pPr>
      <w:r>
        <w:rPr>
          <w:rFonts w:hint="eastAsia" w:ascii="仿宋" w:hAnsi="仿宋" w:eastAsia="仿宋" w:cs="仿宋"/>
          <w:snapToGrid w:val="0"/>
          <w:color w:val="auto"/>
          <w:kern w:val="28"/>
          <w:sz w:val="24"/>
          <w:szCs w:val="20"/>
          <w:highlight w:val="none"/>
          <w:lang w:val="zh-CN"/>
        </w:rPr>
        <w:t>基于中台建设理念，探索基于通用基础能力的应用支撑模式。将各类业务应用中需要使用到的共性能力沉淀为通用基础能力，同时通用基础能力汇集了丰富的机器智能能力集，覆盖了文本、图像、音频、视频等主流场景，为各警种、分局的创新应用开发提供共性的、智能化的基础能力支撑。一方面免去新应用的部分模块重复开发带来的预算和时间成本，另一方面基于通用基础能力的技术架构规范，可有效提升新应用的稳定性，全方位的系统指标纳入到平台监控，时刻守护系统稳定，最终实现实战应用的敏捷创新，支撑百花齐放的众智开发生态。</w:t>
      </w:r>
    </w:p>
    <w:p>
      <w:pPr>
        <w:numPr>
          <w:ilvl w:val="2"/>
          <w:numId w:val="13"/>
        </w:numPr>
        <w:adjustRightInd/>
        <w:spacing w:line="360" w:lineRule="auto"/>
        <w:ind w:left="630"/>
        <w:jc w:val="left"/>
        <w:outlineLvl w:val="2"/>
        <w:rPr>
          <w:rFonts w:ascii="仿宋" w:hAnsi="仿宋" w:eastAsia="仿宋" w:cs="仿宋"/>
          <w:b/>
          <w:color w:val="auto"/>
          <w:sz w:val="32"/>
          <w:szCs w:val="21"/>
          <w:highlight w:val="none"/>
          <w:lang w:val="zh-CN"/>
        </w:rPr>
      </w:pPr>
      <w:r>
        <w:rPr>
          <w:rFonts w:hint="eastAsia" w:ascii="仿宋" w:hAnsi="仿宋" w:eastAsia="仿宋" w:cs="仿宋"/>
          <w:b/>
          <w:color w:val="auto"/>
          <w:sz w:val="32"/>
          <w:szCs w:val="21"/>
          <w:highlight w:val="none"/>
          <w:lang w:val="zh-CN"/>
        </w:rPr>
        <w:t>建设规模、内容</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杭州城市大脑**操作系统V3.0项目应用支撑和运营保障以“建设全局综合运营中心，实现全局资源统一纳管”以及“探索通用基础能力模式，赋能创新应用敏捷开发”为目标，建设“共享业务及内容”和“通用基础能力”两大模块。</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其中共享业务及内容建设支撑全市民警共性业务需求，提升业务成果共享，并通过全流程支撑管理赋能各警种高效云上应用开发，主要包括杭州城市大脑**操作系统V3.0项目数字驾驶舱，通用业务应用体系如全息地图应用、关系网络分析应用、多图合一应用功能新增、布控智寻应用功能新增、**智搜应用功能新增等等，共享内容体系如共享模型体系、统一指标体系、统一标签体系等等，以及应用全流程管理如云资源评估、上云实施前集中赋能、上云过程技术支撑、交付质量保障建设、专题支撑、资产管理、运营专栏等等。</w:t>
      </w:r>
    </w:p>
    <w:p>
      <w:pPr>
        <w:widowControl/>
        <w:adjustRightInd/>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通用基础能力建设统一标准的应用开发环境和应用开发规范，通过对通用基础能力的建设与沉淀，支撑微服务化的云上业务应用快速构建与部署，主要包括智能指标、可视化展示引擎、智能标签功能新增、数据魔方功能新增、能力共享开放功能新增、流程引擎功能新增、消息中心功能新增、智能研判能力、智能检索能力、布控预警能力、智能客服能力、智能视频能力、智能文本能力、地址相似匹配能力、地图支撑能力、实人认证能力等等。</w:t>
      </w:r>
    </w:p>
    <w:p>
      <w:pPr>
        <w:numPr>
          <w:ilvl w:val="1"/>
          <w:numId w:val="13"/>
        </w:numPr>
        <w:adjustRightInd/>
        <w:spacing w:line="360" w:lineRule="auto"/>
        <w:ind w:left="525" w:leftChars="50" w:hanging="420"/>
        <w:jc w:val="left"/>
        <w:outlineLvl w:val="1"/>
        <w:rPr>
          <w:rFonts w:ascii="仿宋" w:hAnsi="仿宋" w:eastAsia="仿宋" w:cs="仿宋"/>
          <w:b/>
          <w:color w:val="auto"/>
          <w:sz w:val="36"/>
          <w:szCs w:val="21"/>
          <w:highlight w:val="none"/>
        </w:rPr>
      </w:pPr>
      <w:r>
        <w:rPr>
          <w:rFonts w:hint="eastAsia" w:ascii="仿宋" w:hAnsi="仿宋" w:eastAsia="仿宋" w:cs="仿宋"/>
          <w:b/>
          <w:color w:val="auto"/>
          <w:sz w:val="36"/>
          <w:szCs w:val="21"/>
          <w:highlight w:val="none"/>
        </w:rPr>
        <w:t>系统设计原则</w:t>
      </w:r>
    </w:p>
    <w:p>
      <w:pPr>
        <w:widowControl/>
        <w:snapToGrid w:val="0"/>
        <w:spacing w:line="360" w:lineRule="auto"/>
        <w:ind w:firstLine="480"/>
        <w:rPr>
          <w:rFonts w:ascii="仿宋" w:hAnsi="仿宋" w:eastAsia="仿宋" w:cs="仿宋"/>
          <w:snapToGrid w:val="0"/>
          <w:color w:val="auto"/>
          <w:kern w:val="28"/>
          <w:sz w:val="24"/>
          <w:highlight w:val="none"/>
          <w:lang w:val="zh-CN"/>
        </w:rPr>
      </w:pPr>
      <w:r>
        <w:rPr>
          <w:rFonts w:hint="eastAsia" w:ascii="仿宋" w:hAnsi="仿宋" w:eastAsia="仿宋" w:cs="仿宋"/>
          <w:snapToGrid w:val="0"/>
          <w:color w:val="auto"/>
          <w:kern w:val="28"/>
          <w:sz w:val="24"/>
          <w:highlight w:val="none"/>
          <w:lang w:val="zh-CN"/>
        </w:rPr>
        <w:t>根据公安部《公安发展“十四五”规划》、《关于推进公安信息化发展若干问题的意见》、浙江省公安厅《浙江公安科技信息化建设“十四五”规划（征求意见稿）》，紧紧把握公安部大力实施公安大数据建设的战略机遇，按照统一运行网络、统一基础设施、统一数据资源、统一服务平台、统一安全策略、统一标准规范的六个统一原则和一切资源化，资源目录化，目录全局化、全局标准化的思路，坚持信息化建设“三个一”原则，以杭州公安问题需求为导向，以创新驱动为引擎，以大数据应用为核心，对标国内先进城市公安机关信息化建设总体规划与主要做法，结合全市公安信息化发展实际，优化完善新的公安大数据架构，推进数据融合共享，切实提升公安机关核心战斗力和公安工作智能化水平，提高预测预警预防各类风险防范能力，有效防范和打击各类违法犯罪，保护公民、法人和其它社会组织合法权益，促进社会公平正义，维护全市治安秩序和社会稳定，为保障新时代新形势下的社会公共安全工作提供高效有力的支撑。</w:t>
      </w:r>
    </w:p>
    <w:p>
      <w:pPr>
        <w:numPr>
          <w:ilvl w:val="2"/>
          <w:numId w:val="13"/>
        </w:numPr>
        <w:adjustRightInd/>
        <w:spacing w:line="360" w:lineRule="auto"/>
        <w:ind w:left="630"/>
        <w:jc w:val="left"/>
        <w:outlineLvl w:val="2"/>
        <w:rPr>
          <w:rFonts w:ascii="仿宋" w:hAnsi="仿宋" w:eastAsia="仿宋" w:cs="仿宋"/>
          <w:b/>
          <w:color w:val="auto"/>
          <w:sz w:val="32"/>
          <w:szCs w:val="21"/>
          <w:highlight w:val="none"/>
          <w:lang w:val="zh-CN"/>
        </w:rPr>
      </w:pPr>
      <w:r>
        <w:rPr>
          <w:rFonts w:hint="eastAsia" w:ascii="仿宋" w:hAnsi="仿宋" w:eastAsia="仿宋" w:cs="仿宋"/>
          <w:b/>
          <w:color w:val="auto"/>
          <w:sz w:val="32"/>
          <w:szCs w:val="21"/>
          <w:highlight w:val="none"/>
          <w:lang w:val="zh-CN"/>
        </w:rPr>
        <w:t>“六统一”原则</w:t>
      </w:r>
    </w:p>
    <w:p>
      <w:pPr>
        <w:widowControl/>
        <w:snapToGrid w:val="0"/>
        <w:spacing w:line="360" w:lineRule="auto"/>
        <w:ind w:firstLine="480"/>
        <w:rPr>
          <w:rFonts w:ascii="仿宋" w:hAnsi="仿宋" w:eastAsia="仿宋" w:cs="仿宋"/>
          <w:snapToGrid w:val="0"/>
          <w:color w:val="auto"/>
          <w:kern w:val="28"/>
          <w:sz w:val="24"/>
          <w:highlight w:val="none"/>
          <w:lang w:val="zh-CN"/>
        </w:rPr>
      </w:pPr>
      <w:r>
        <w:rPr>
          <w:rFonts w:hint="eastAsia" w:ascii="仿宋" w:hAnsi="仿宋" w:eastAsia="仿宋" w:cs="仿宋"/>
          <w:snapToGrid w:val="0"/>
          <w:color w:val="auto"/>
          <w:kern w:val="28"/>
          <w:sz w:val="24"/>
          <w:highlight w:val="none"/>
          <w:lang w:val="zh-CN"/>
        </w:rPr>
        <w:t>坚决贯彻、严格执行“统一运行网络、统一基础设施、统一数据资源、统一服务平台、统一安全策略、统一标准规范”基本原则，实现海量数据的互联互通和高速传输、软硬件资源统筹调度和高效利用、充分发挥大数据独特优势、统一提供数据共享服务、数据资源安全可控和合规使用。</w:t>
      </w:r>
    </w:p>
    <w:p>
      <w:pPr>
        <w:numPr>
          <w:ilvl w:val="2"/>
          <w:numId w:val="13"/>
        </w:numPr>
        <w:adjustRightInd/>
        <w:spacing w:line="360" w:lineRule="auto"/>
        <w:ind w:left="630"/>
        <w:jc w:val="left"/>
        <w:outlineLvl w:val="2"/>
        <w:rPr>
          <w:rFonts w:ascii="仿宋" w:hAnsi="仿宋" w:eastAsia="仿宋" w:cs="仿宋"/>
          <w:b/>
          <w:color w:val="auto"/>
          <w:sz w:val="32"/>
          <w:szCs w:val="21"/>
          <w:highlight w:val="none"/>
          <w:lang w:val="zh-CN"/>
        </w:rPr>
      </w:pPr>
      <w:r>
        <w:rPr>
          <w:rFonts w:hint="eastAsia" w:ascii="仿宋" w:hAnsi="仿宋" w:eastAsia="仿宋" w:cs="仿宋"/>
          <w:b/>
          <w:color w:val="auto"/>
          <w:sz w:val="32"/>
          <w:szCs w:val="21"/>
          <w:highlight w:val="none"/>
          <w:lang w:val="zh-CN"/>
        </w:rPr>
        <w:t xml:space="preserve"> “四化”原则</w:t>
      </w:r>
    </w:p>
    <w:p>
      <w:pPr>
        <w:widowControl/>
        <w:snapToGrid w:val="0"/>
        <w:spacing w:line="360" w:lineRule="auto"/>
        <w:ind w:firstLine="480"/>
        <w:rPr>
          <w:rFonts w:ascii="仿宋" w:hAnsi="仿宋" w:eastAsia="仿宋" w:cs="仿宋"/>
          <w:snapToGrid w:val="0"/>
          <w:color w:val="auto"/>
          <w:kern w:val="28"/>
          <w:sz w:val="24"/>
          <w:highlight w:val="none"/>
          <w:lang w:val="zh-CN"/>
        </w:rPr>
      </w:pPr>
      <w:r>
        <w:rPr>
          <w:rFonts w:hint="eastAsia" w:ascii="仿宋" w:hAnsi="仿宋" w:eastAsia="仿宋" w:cs="仿宋"/>
          <w:snapToGrid w:val="0"/>
          <w:color w:val="auto"/>
          <w:kern w:val="28"/>
          <w:sz w:val="24"/>
          <w:highlight w:val="none"/>
          <w:lang w:val="zh-CN"/>
        </w:rPr>
        <w:t>坚决按照“一切资源化，资源目录化，目录全局化、全局标准化”的原则，围绕着数据、计算、存储、网络、安全、服务、模型等资源，构建形成统一的资源目录体系，为数据驱动资源，应用调度资源提供关键支撑。</w:t>
      </w:r>
    </w:p>
    <w:p>
      <w:pPr>
        <w:numPr>
          <w:ilvl w:val="2"/>
          <w:numId w:val="13"/>
        </w:numPr>
        <w:adjustRightInd/>
        <w:spacing w:line="360" w:lineRule="auto"/>
        <w:ind w:left="630"/>
        <w:jc w:val="left"/>
        <w:outlineLvl w:val="2"/>
        <w:rPr>
          <w:rFonts w:ascii="仿宋" w:hAnsi="仿宋" w:eastAsia="仿宋" w:cs="仿宋"/>
          <w:b/>
          <w:color w:val="auto"/>
          <w:sz w:val="32"/>
          <w:szCs w:val="21"/>
          <w:highlight w:val="none"/>
          <w:lang w:val="zh-CN"/>
        </w:rPr>
      </w:pPr>
      <w:r>
        <w:rPr>
          <w:rFonts w:hint="eastAsia" w:ascii="仿宋" w:hAnsi="仿宋" w:eastAsia="仿宋" w:cs="仿宋"/>
          <w:b/>
          <w:color w:val="auto"/>
          <w:sz w:val="32"/>
          <w:szCs w:val="21"/>
          <w:highlight w:val="none"/>
          <w:lang w:val="zh-CN"/>
        </w:rPr>
        <w:t>“部省为枢纽，地市为中心”原则</w:t>
      </w:r>
    </w:p>
    <w:p>
      <w:pPr>
        <w:widowControl/>
        <w:snapToGrid w:val="0"/>
        <w:spacing w:line="360" w:lineRule="auto"/>
        <w:ind w:firstLine="480"/>
        <w:rPr>
          <w:rFonts w:ascii="仿宋" w:hAnsi="仿宋" w:eastAsia="仿宋" w:cs="仿宋"/>
          <w:snapToGrid w:val="0"/>
          <w:color w:val="auto"/>
          <w:kern w:val="28"/>
          <w:sz w:val="24"/>
          <w:highlight w:val="none"/>
          <w:lang w:val="zh-CN"/>
        </w:rPr>
      </w:pPr>
      <w:r>
        <w:rPr>
          <w:rFonts w:hint="eastAsia" w:ascii="仿宋" w:hAnsi="仿宋" w:eastAsia="仿宋" w:cs="仿宋"/>
          <w:snapToGrid w:val="0"/>
          <w:color w:val="auto"/>
          <w:kern w:val="28"/>
          <w:sz w:val="24"/>
          <w:highlight w:val="none"/>
          <w:lang w:val="zh-CN"/>
        </w:rPr>
        <w:t>坚决按照“部省为枢纽，地市为中心”原则，充分发挥地市级公安机关数据获取的优势，汇聚融合处理本地大数据资源，并以部省两级大数据中心为枢纽，实现全国、全省联查联控，联动分析。</w:t>
      </w:r>
    </w:p>
    <w:p>
      <w:pPr>
        <w:numPr>
          <w:ilvl w:val="2"/>
          <w:numId w:val="13"/>
        </w:numPr>
        <w:adjustRightInd/>
        <w:spacing w:line="360" w:lineRule="auto"/>
        <w:ind w:left="630"/>
        <w:jc w:val="left"/>
        <w:outlineLvl w:val="2"/>
        <w:rPr>
          <w:rFonts w:ascii="仿宋" w:hAnsi="仿宋" w:eastAsia="仿宋" w:cs="仿宋"/>
          <w:b/>
          <w:color w:val="auto"/>
          <w:sz w:val="32"/>
          <w:szCs w:val="21"/>
          <w:highlight w:val="none"/>
          <w:lang w:val="zh-CN"/>
        </w:rPr>
      </w:pPr>
      <w:r>
        <w:rPr>
          <w:rFonts w:hint="eastAsia" w:ascii="仿宋" w:hAnsi="仿宋" w:eastAsia="仿宋" w:cs="仿宋"/>
          <w:b/>
          <w:color w:val="auto"/>
          <w:sz w:val="32"/>
          <w:szCs w:val="21"/>
          <w:highlight w:val="none"/>
          <w:lang w:val="zh-CN"/>
        </w:rPr>
        <w:t>问题导向原则</w:t>
      </w:r>
    </w:p>
    <w:p>
      <w:pPr>
        <w:widowControl/>
        <w:snapToGrid w:val="0"/>
        <w:spacing w:line="360" w:lineRule="auto"/>
        <w:ind w:firstLine="480"/>
        <w:rPr>
          <w:rFonts w:ascii="仿宋" w:hAnsi="仿宋" w:eastAsia="仿宋" w:cs="仿宋"/>
          <w:snapToGrid w:val="0"/>
          <w:color w:val="auto"/>
          <w:kern w:val="28"/>
          <w:sz w:val="24"/>
          <w:highlight w:val="none"/>
          <w:lang w:val="zh-CN"/>
        </w:rPr>
      </w:pPr>
      <w:r>
        <w:rPr>
          <w:rFonts w:hint="eastAsia" w:ascii="仿宋" w:hAnsi="仿宋" w:eastAsia="仿宋" w:cs="仿宋"/>
          <w:snapToGrid w:val="0"/>
          <w:color w:val="auto"/>
          <w:kern w:val="28"/>
          <w:sz w:val="24"/>
          <w:highlight w:val="none"/>
          <w:lang w:val="zh-CN"/>
        </w:rPr>
        <w:t>当前的**模式需要用问题导向引导**建设，顶层设计核心围绕问题发现与问题解决的原则，根治**工作的“痛点”，解决**运行的“难点”，突出**应用的“重点”、抓准建设推进的“切入点”，以及安全保密的“风险点”。</w:t>
      </w:r>
    </w:p>
    <w:p>
      <w:pPr>
        <w:numPr>
          <w:ilvl w:val="2"/>
          <w:numId w:val="13"/>
        </w:numPr>
        <w:adjustRightInd/>
        <w:spacing w:line="360" w:lineRule="auto"/>
        <w:ind w:left="630"/>
        <w:jc w:val="left"/>
        <w:outlineLvl w:val="2"/>
        <w:rPr>
          <w:rFonts w:ascii="仿宋" w:hAnsi="仿宋" w:eastAsia="仿宋" w:cs="仿宋"/>
          <w:b/>
          <w:color w:val="auto"/>
          <w:sz w:val="32"/>
          <w:szCs w:val="21"/>
          <w:highlight w:val="none"/>
          <w:lang w:val="zh-CN"/>
        </w:rPr>
      </w:pPr>
      <w:r>
        <w:rPr>
          <w:rFonts w:hint="eastAsia" w:ascii="仿宋" w:hAnsi="仿宋" w:eastAsia="仿宋" w:cs="仿宋"/>
          <w:b/>
          <w:color w:val="auto"/>
          <w:sz w:val="32"/>
          <w:szCs w:val="21"/>
          <w:highlight w:val="none"/>
          <w:lang w:val="zh-CN"/>
        </w:rPr>
        <w:t>量体裁衣原则</w:t>
      </w:r>
    </w:p>
    <w:p>
      <w:pPr>
        <w:widowControl/>
        <w:snapToGrid w:val="0"/>
        <w:spacing w:line="360" w:lineRule="auto"/>
        <w:ind w:firstLine="480"/>
        <w:rPr>
          <w:rFonts w:ascii="仿宋" w:hAnsi="仿宋" w:eastAsia="仿宋" w:cs="仿宋"/>
          <w:snapToGrid w:val="0"/>
          <w:color w:val="auto"/>
          <w:kern w:val="28"/>
          <w:sz w:val="24"/>
          <w:highlight w:val="none"/>
          <w:lang w:val="zh-CN"/>
        </w:rPr>
      </w:pPr>
      <w:r>
        <w:rPr>
          <w:rFonts w:hint="eastAsia" w:ascii="仿宋" w:hAnsi="仿宋" w:eastAsia="仿宋" w:cs="仿宋"/>
          <w:snapToGrid w:val="0"/>
          <w:color w:val="auto"/>
          <w:kern w:val="28"/>
          <w:sz w:val="24"/>
          <w:highlight w:val="none"/>
          <w:lang w:val="zh-CN"/>
        </w:rPr>
        <w:t>依据杭州市公安**战略定位、人文特征、地理位置、治安形势、安全态势、队伍现状、信息化基础以及经济社会发展水平等方面进行科学定位，有针对性地进行规划和设计。</w:t>
      </w:r>
    </w:p>
    <w:p>
      <w:pPr>
        <w:numPr>
          <w:ilvl w:val="2"/>
          <w:numId w:val="13"/>
        </w:numPr>
        <w:adjustRightInd/>
        <w:spacing w:line="360" w:lineRule="auto"/>
        <w:ind w:left="630"/>
        <w:jc w:val="left"/>
        <w:outlineLvl w:val="2"/>
        <w:rPr>
          <w:rFonts w:ascii="仿宋" w:hAnsi="仿宋" w:eastAsia="仿宋" w:cs="仿宋"/>
          <w:b/>
          <w:color w:val="auto"/>
          <w:sz w:val="32"/>
          <w:szCs w:val="21"/>
          <w:highlight w:val="none"/>
          <w:lang w:val="zh-CN"/>
        </w:rPr>
      </w:pPr>
      <w:r>
        <w:rPr>
          <w:rFonts w:hint="eastAsia" w:ascii="仿宋" w:hAnsi="仿宋" w:eastAsia="仿宋" w:cs="仿宋"/>
          <w:b/>
          <w:color w:val="auto"/>
          <w:sz w:val="32"/>
          <w:szCs w:val="21"/>
          <w:highlight w:val="none"/>
          <w:lang w:val="zh-CN"/>
        </w:rPr>
        <w:t>效益导向原则</w:t>
      </w:r>
    </w:p>
    <w:p>
      <w:pPr>
        <w:widowControl/>
        <w:snapToGrid w:val="0"/>
        <w:spacing w:line="360" w:lineRule="auto"/>
        <w:ind w:firstLine="480"/>
        <w:rPr>
          <w:rFonts w:ascii="仿宋" w:hAnsi="仿宋" w:eastAsia="仿宋" w:cs="仿宋"/>
          <w:snapToGrid w:val="0"/>
          <w:color w:val="auto"/>
          <w:kern w:val="28"/>
          <w:sz w:val="24"/>
          <w:highlight w:val="none"/>
          <w:lang w:val="zh-CN"/>
        </w:rPr>
      </w:pPr>
      <w:r>
        <w:rPr>
          <w:rFonts w:hint="eastAsia" w:ascii="仿宋" w:hAnsi="仿宋" w:eastAsia="仿宋" w:cs="仿宋"/>
          <w:snapToGrid w:val="0"/>
          <w:color w:val="auto"/>
          <w:kern w:val="28"/>
          <w:sz w:val="24"/>
          <w:highlight w:val="none"/>
          <w:lang w:val="zh-CN"/>
        </w:rPr>
        <w:t>顶层设计需要坚持效益导向，保障设计与执行可落地性、同时建立长效评估机制，定期复审、及时修正，既可以检查部门执行效果又可以检查顶层设计是否符合实际，促进设计与建设两方面的质量提高及**模式改革的可持续发展。</w:t>
      </w:r>
    </w:p>
    <w:p>
      <w:pPr>
        <w:numPr>
          <w:ilvl w:val="2"/>
          <w:numId w:val="13"/>
        </w:numPr>
        <w:adjustRightInd/>
        <w:spacing w:line="360" w:lineRule="auto"/>
        <w:ind w:left="630"/>
        <w:jc w:val="left"/>
        <w:outlineLvl w:val="2"/>
        <w:rPr>
          <w:rFonts w:ascii="仿宋" w:hAnsi="仿宋" w:eastAsia="仿宋" w:cs="仿宋"/>
          <w:b/>
          <w:color w:val="auto"/>
          <w:sz w:val="32"/>
          <w:szCs w:val="21"/>
          <w:highlight w:val="none"/>
          <w:lang w:val="zh-CN"/>
        </w:rPr>
      </w:pPr>
      <w:r>
        <w:rPr>
          <w:rFonts w:hint="eastAsia" w:ascii="仿宋" w:hAnsi="仿宋" w:eastAsia="仿宋" w:cs="仿宋"/>
          <w:b/>
          <w:color w:val="auto"/>
          <w:sz w:val="32"/>
          <w:szCs w:val="21"/>
          <w:highlight w:val="none"/>
          <w:lang w:val="zh-CN"/>
        </w:rPr>
        <w:t>创新驱动原则</w:t>
      </w:r>
    </w:p>
    <w:p>
      <w:pPr>
        <w:widowControl/>
        <w:snapToGrid w:val="0"/>
        <w:spacing w:line="360" w:lineRule="auto"/>
        <w:ind w:firstLine="480"/>
        <w:rPr>
          <w:rFonts w:ascii="仿宋" w:hAnsi="仿宋" w:eastAsia="仿宋" w:cs="仿宋"/>
          <w:snapToGrid w:val="0"/>
          <w:color w:val="auto"/>
          <w:kern w:val="28"/>
          <w:sz w:val="24"/>
          <w:highlight w:val="none"/>
          <w:lang w:val="zh-CN"/>
        </w:rPr>
      </w:pPr>
      <w:r>
        <w:rPr>
          <w:rFonts w:hint="eastAsia" w:ascii="仿宋" w:hAnsi="仿宋" w:eastAsia="仿宋" w:cs="仿宋"/>
          <w:snapToGrid w:val="0"/>
          <w:color w:val="auto"/>
          <w:kern w:val="28"/>
          <w:sz w:val="24"/>
          <w:highlight w:val="none"/>
          <w:lang w:val="zh-CN"/>
        </w:rPr>
        <w:t>体现新技术在智慧**中的应用，实现智慧**与机制创新之间的有机结合，将智慧**作为创新驱动的重要载体，推动统筹机制、管理机制、运营机制创新；围绕跨部门、跨领域、跨层级的资源统筹、数据共享、业务协同，从体制机制和技术应用两方面进行创新。</w:t>
      </w:r>
    </w:p>
    <w:p>
      <w:pPr>
        <w:numPr>
          <w:ilvl w:val="2"/>
          <w:numId w:val="13"/>
        </w:numPr>
        <w:adjustRightInd/>
        <w:spacing w:line="360" w:lineRule="auto"/>
        <w:ind w:left="630"/>
        <w:jc w:val="left"/>
        <w:outlineLvl w:val="2"/>
        <w:rPr>
          <w:rFonts w:ascii="仿宋" w:hAnsi="仿宋" w:eastAsia="仿宋" w:cs="仿宋"/>
          <w:b/>
          <w:color w:val="auto"/>
          <w:sz w:val="32"/>
          <w:szCs w:val="21"/>
          <w:highlight w:val="none"/>
          <w:lang w:val="zh-CN"/>
        </w:rPr>
      </w:pPr>
      <w:r>
        <w:rPr>
          <w:rFonts w:hint="eastAsia" w:ascii="仿宋" w:hAnsi="仿宋" w:eastAsia="仿宋" w:cs="仿宋"/>
          <w:b/>
          <w:color w:val="auto"/>
          <w:sz w:val="32"/>
          <w:szCs w:val="21"/>
          <w:highlight w:val="none"/>
          <w:lang w:val="zh-CN"/>
        </w:rPr>
        <w:t>统筹规划，有序发展原则</w:t>
      </w:r>
    </w:p>
    <w:p>
      <w:pPr>
        <w:widowControl/>
        <w:snapToGrid w:val="0"/>
        <w:spacing w:line="360" w:lineRule="auto"/>
        <w:ind w:firstLine="480"/>
        <w:rPr>
          <w:rFonts w:ascii="仿宋" w:hAnsi="仿宋" w:eastAsia="仿宋" w:cs="仿宋"/>
          <w:snapToGrid w:val="0"/>
          <w:color w:val="auto"/>
          <w:kern w:val="28"/>
          <w:sz w:val="24"/>
          <w:highlight w:val="none"/>
          <w:lang w:val="zh-CN"/>
        </w:rPr>
      </w:pPr>
      <w:r>
        <w:rPr>
          <w:rFonts w:hint="eastAsia" w:ascii="仿宋" w:hAnsi="仿宋" w:eastAsia="仿宋" w:cs="仿宋"/>
          <w:snapToGrid w:val="0"/>
          <w:color w:val="auto"/>
          <w:kern w:val="28"/>
          <w:sz w:val="24"/>
          <w:highlight w:val="none"/>
          <w:lang w:val="zh-CN"/>
        </w:rPr>
        <w:t>按照“统筹、整合、共享”的建设要求，加强统一领导、统一规划，遵循统一标准，统筹各方资源，形成整体工作合力，解决在公安信息化建设中“各自为政、系统繁多、资源分散、重复建设”等突出问题，推动公安信息化朝着科学、有序、平衡、可持续的方向发展。除部、省两级统一建设的平台、系统以外，明确按照“市局建平台、分局建前端、***提需求”的任务分工开展信息化建设，充分利用现有信息基础设置、数据资源、应用系统，整合资源，互联互通，做到“经费统筹、平台统建、数据统管、应用统一”。</w:t>
      </w:r>
    </w:p>
    <w:p>
      <w:pPr>
        <w:numPr>
          <w:ilvl w:val="2"/>
          <w:numId w:val="13"/>
        </w:numPr>
        <w:adjustRightInd/>
        <w:spacing w:line="360" w:lineRule="auto"/>
        <w:ind w:left="630"/>
        <w:jc w:val="left"/>
        <w:outlineLvl w:val="2"/>
        <w:rPr>
          <w:rFonts w:ascii="仿宋" w:hAnsi="仿宋" w:eastAsia="仿宋" w:cs="仿宋"/>
          <w:b/>
          <w:color w:val="auto"/>
          <w:sz w:val="32"/>
          <w:szCs w:val="21"/>
          <w:highlight w:val="none"/>
          <w:lang w:val="zh-CN"/>
        </w:rPr>
      </w:pPr>
      <w:r>
        <w:rPr>
          <w:rFonts w:hint="eastAsia" w:ascii="仿宋" w:hAnsi="仿宋" w:eastAsia="仿宋" w:cs="仿宋"/>
          <w:b/>
          <w:color w:val="auto"/>
          <w:sz w:val="32"/>
          <w:szCs w:val="21"/>
          <w:highlight w:val="none"/>
          <w:lang w:val="zh-CN"/>
        </w:rPr>
        <w:t>科学规划，分步实施原则</w:t>
      </w:r>
    </w:p>
    <w:p>
      <w:pPr>
        <w:widowControl/>
        <w:snapToGrid w:val="0"/>
        <w:spacing w:line="360" w:lineRule="auto"/>
        <w:ind w:firstLine="480"/>
        <w:rPr>
          <w:rFonts w:ascii="仿宋" w:hAnsi="仿宋" w:eastAsia="仿宋" w:cs="仿宋"/>
          <w:snapToGrid w:val="0"/>
          <w:color w:val="auto"/>
          <w:kern w:val="28"/>
          <w:sz w:val="24"/>
          <w:highlight w:val="none"/>
          <w:lang w:val="zh-CN"/>
        </w:rPr>
      </w:pPr>
      <w:r>
        <w:rPr>
          <w:rFonts w:hint="eastAsia" w:ascii="仿宋" w:hAnsi="仿宋" w:eastAsia="仿宋" w:cs="仿宋"/>
          <w:snapToGrid w:val="0"/>
          <w:color w:val="auto"/>
          <w:kern w:val="28"/>
          <w:sz w:val="24"/>
          <w:highlight w:val="none"/>
          <w:lang w:val="zh-CN"/>
        </w:rPr>
        <w:t>要充分认识到公安大数据智能化建设是一个逐步完善的过程，对转型过渡期的信息化建设进行科学合理地规划。新建信息系统原则上必须按照统一规划，上云部署、运行。现有信息系统经充分评估确有必要的，逐步平滑迁移上云。对尚未迁移上云的信息系统，现阶段应当继续做好原有技术体系的运维保障和完善升级。</w:t>
      </w:r>
    </w:p>
    <w:p>
      <w:pPr>
        <w:numPr>
          <w:ilvl w:val="1"/>
          <w:numId w:val="13"/>
        </w:numPr>
        <w:adjustRightInd/>
        <w:spacing w:line="360" w:lineRule="auto"/>
        <w:ind w:left="525" w:leftChars="50" w:hanging="420"/>
        <w:jc w:val="left"/>
        <w:outlineLvl w:val="1"/>
        <w:rPr>
          <w:rFonts w:ascii="仿宋" w:hAnsi="仿宋" w:eastAsia="仿宋" w:cs="仿宋"/>
          <w:b/>
          <w:color w:val="auto"/>
          <w:sz w:val="36"/>
          <w:szCs w:val="21"/>
          <w:highlight w:val="none"/>
        </w:rPr>
      </w:pPr>
      <w:r>
        <w:rPr>
          <w:rFonts w:hint="eastAsia" w:ascii="仿宋" w:hAnsi="仿宋" w:eastAsia="仿宋" w:cs="仿宋"/>
          <w:b/>
          <w:color w:val="auto"/>
          <w:sz w:val="36"/>
          <w:szCs w:val="21"/>
          <w:highlight w:val="none"/>
        </w:rPr>
        <w:t>系统建设需求</w:t>
      </w:r>
    </w:p>
    <w:p>
      <w:pPr>
        <w:pStyle w:val="849"/>
        <w:numPr>
          <w:ilvl w:val="0"/>
          <w:numId w:val="14"/>
        </w:numPr>
        <w:snapToGrid w:val="0"/>
        <w:spacing w:line="360" w:lineRule="auto"/>
        <w:ind w:firstLineChars="0"/>
        <w:rPr>
          <w:rFonts w:cs="仿宋"/>
          <w:color w:val="auto"/>
          <w:sz w:val="24"/>
          <w:szCs w:val="24"/>
          <w:highlight w:val="none"/>
        </w:rPr>
      </w:pPr>
      <w:r>
        <w:rPr>
          <w:rFonts w:hint="eastAsia" w:cs="仿宋"/>
          <w:color w:val="auto"/>
          <w:sz w:val="24"/>
          <w:szCs w:val="24"/>
          <w:highlight w:val="none"/>
        </w:rPr>
        <w:t>共享业务及内容</w:t>
      </w:r>
    </w:p>
    <w:p>
      <w:pPr>
        <w:pStyle w:val="849"/>
        <w:snapToGrid w:val="0"/>
        <w:spacing w:line="360" w:lineRule="auto"/>
        <w:ind w:firstLine="480"/>
        <w:rPr>
          <w:rFonts w:cs="仿宋"/>
          <w:color w:val="auto"/>
          <w:sz w:val="24"/>
          <w:szCs w:val="24"/>
          <w:highlight w:val="none"/>
        </w:rPr>
      </w:pPr>
      <w:r>
        <w:rPr>
          <w:rFonts w:hint="eastAsia" w:cs="仿宋"/>
          <w:color w:val="auto"/>
          <w:sz w:val="24"/>
          <w:szCs w:val="24"/>
          <w:highlight w:val="none"/>
        </w:rPr>
        <w:t>公安业务体系建设中，针对多个警种都有的共性业务需求，如果各个警种条线都各自分别建设其实战业务应用，势必造成重复建设和资源浪费。因此杭州城市大脑**操作系统将按照条块结合的方式建设业务应用体系。其中条线业务即警种实战业务体系，而块业务则主要包含公安通用类业务场景，比如搜索、研判、布控、指挥等等，形成通用业务体系。</w:t>
      </w:r>
    </w:p>
    <w:p>
      <w:pPr>
        <w:pStyle w:val="849"/>
        <w:snapToGrid w:val="0"/>
        <w:spacing w:line="360" w:lineRule="auto"/>
        <w:ind w:firstLine="480"/>
        <w:rPr>
          <w:rFonts w:cs="仿宋"/>
          <w:color w:val="auto"/>
          <w:sz w:val="24"/>
          <w:szCs w:val="24"/>
          <w:highlight w:val="none"/>
        </w:rPr>
      </w:pPr>
      <w:r>
        <w:rPr>
          <w:rFonts w:hint="eastAsia" w:cs="仿宋"/>
          <w:color w:val="auto"/>
          <w:sz w:val="24"/>
          <w:szCs w:val="24"/>
          <w:highlight w:val="none"/>
        </w:rPr>
        <w:t>除了通用业务应用之外，一些重要业务内容如模型、标签、指标等等，为了避免各警种重复建设，同样需要按照统一共享的原则进行建设。</w:t>
      </w:r>
    </w:p>
    <w:p>
      <w:pPr>
        <w:pStyle w:val="849"/>
        <w:snapToGrid w:val="0"/>
        <w:spacing w:line="360" w:lineRule="auto"/>
        <w:ind w:firstLine="480"/>
        <w:rPr>
          <w:rFonts w:cs="仿宋"/>
          <w:color w:val="auto"/>
          <w:sz w:val="24"/>
          <w:szCs w:val="24"/>
          <w:highlight w:val="none"/>
        </w:rPr>
      </w:pPr>
      <w:r>
        <w:rPr>
          <w:rFonts w:hint="eastAsia" w:cs="仿宋"/>
          <w:color w:val="auto"/>
          <w:sz w:val="24"/>
          <w:szCs w:val="24"/>
          <w:highlight w:val="none"/>
        </w:rPr>
        <w:t>同时为了能快速高效的实现云上系统的开发，让**操作系统真正被基层民警会用、爱用，需要对所有通用业务应用以及共享内容提供全流程支撑管理。</w:t>
      </w:r>
    </w:p>
    <w:p>
      <w:pPr>
        <w:pStyle w:val="849"/>
        <w:numPr>
          <w:ilvl w:val="0"/>
          <w:numId w:val="14"/>
        </w:numPr>
        <w:snapToGrid w:val="0"/>
        <w:spacing w:line="360" w:lineRule="auto"/>
        <w:ind w:firstLineChars="0"/>
        <w:rPr>
          <w:rFonts w:cs="仿宋"/>
          <w:color w:val="auto"/>
          <w:sz w:val="24"/>
          <w:szCs w:val="24"/>
          <w:highlight w:val="none"/>
        </w:rPr>
      </w:pPr>
      <w:r>
        <w:rPr>
          <w:rFonts w:hint="eastAsia" w:cs="仿宋"/>
          <w:color w:val="auto"/>
          <w:sz w:val="24"/>
          <w:szCs w:val="24"/>
          <w:highlight w:val="none"/>
        </w:rPr>
        <w:t>通用基础能力</w:t>
      </w:r>
    </w:p>
    <w:p>
      <w:pPr>
        <w:pStyle w:val="849"/>
        <w:snapToGrid w:val="0"/>
        <w:spacing w:line="360" w:lineRule="auto"/>
        <w:ind w:firstLine="480"/>
        <w:rPr>
          <w:rFonts w:cs="仿宋"/>
          <w:color w:val="auto"/>
          <w:sz w:val="24"/>
          <w:szCs w:val="24"/>
          <w:highlight w:val="none"/>
        </w:rPr>
      </w:pPr>
      <w:r>
        <w:rPr>
          <w:rFonts w:hint="eastAsia" w:cs="仿宋"/>
          <w:color w:val="auto"/>
          <w:sz w:val="24"/>
          <w:szCs w:val="24"/>
          <w:highlight w:val="none"/>
        </w:rPr>
        <w:t>通用基础能力提供统一标准的应用开发环境和应用开发规范，是连接数据与应用的枢纽，实现各类数据资源、各应用系统之间的互联互通，是应用建设统筹规划、共性能力统一抽象复用的基本支撑。</w:t>
      </w:r>
    </w:p>
    <w:p>
      <w:pPr>
        <w:pStyle w:val="849"/>
        <w:snapToGrid w:val="0"/>
        <w:spacing w:line="360" w:lineRule="auto"/>
        <w:ind w:firstLine="480"/>
        <w:rPr>
          <w:rFonts w:cs="仿宋"/>
          <w:color w:val="auto"/>
          <w:sz w:val="24"/>
          <w:szCs w:val="24"/>
          <w:highlight w:val="none"/>
        </w:rPr>
      </w:pPr>
      <w:r>
        <w:rPr>
          <w:rFonts w:hint="eastAsia" w:cs="仿宋"/>
          <w:color w:val="auto"/>
          <w:sz w:val="24"/>
          <w:szCs w:val="24"/>
          <w:highlight w:val="none"/>
        </w:rPr>
        <w:t>通过通用基础能力的建设，主要实现以下二个目的：</w:t>
      </w:r>
    </w:p>
    <w:p>
      <w:pPr>
        <w:pStyle w:val="849"/>
        <w:snapToGrid w:val="0"/>
        <w:spacing w:line="360" w:lineRule="auto"/>
        <w:ind w:firstLine="480"/>
        <w:rPr>
          <w:rFonts w:cs="仿宋"/>
          <w:color w:val="auto"/>
          <w:sz w:val="24"/>
          <w:szCs w:val="24"/>
          <w:highlight w:val="none"/>
        </w:rPr>
      </w:pPr>
      <w:r>
        <w:rPr>
          <w:rFonts w:hint="eastAsia" w:cs="仿宋"/>
          <w:color w:val="auto"/>
          <w:sz w:val="24"/>
          <w:szCs w:val="24"/>
          <w:highlight w:val="none"/>
        </w:rPr>
        <w:t>降低应用开发成本：基于通用基础能力的技术架构，基于通用基础能力已经沉淀的能力集，为各警种、分局应用开发提供共性能力的支撑，以免去新应用的部分模块开发带来的预算和时间成本。同时基于通用基础能力的技术架构规范，可有效提升新应用的稳定性，全方位的系统指标纳入到平台监控，时刻守护系统稳定。</w:t>
      </w:r>
    </w:p>
    <w:p>
      <w:pPr>
        <w:pStyle w:val="849"/>
        <w:snapToGrid w:val="0"/>
        <w:spacing w:line="360" w:lineRule="auto"/>
        <w:ind w:firstLine="480"/>
        <w:rPr>
          <w:rFonts w:cs="仿宋"/>
          <w:color w:val="auto"/>
          <w:sz w:val="24"/>
          <w:szCs w:val="24"/>
          <w:highlight w:val="none"/>
        </w:rPr>
      </w:pPr>
      <w:r>
        <w:rPr>
          <w:rFonts w:hint="eastAsia" w:cs="仿宋"/>
          <w:color w:val="auto"/>
          <w:sz w:val="24"/>
          <w:szCs w:val="24"/>
          <w:highlight w:val="none"/>
        </w:rPr>
        <w:t>增强应用智能性：通用基础能力沉淀了丰富的ai能力集，覆盖了文本、图像、音频、视频等主流场景，同时也提供了部分禁毒、关系挖掘等场景化的ai能力，为新应用开发提供智能化的基础支撑。</w:t>
      </w:r>
    </w:p>
    <w:p>
      <w:pPr>
        <w:numPr>
          <w:ilvl w:val="1"/>
          <w:numId w:val="13"/>
        </w:numPr>
        <w:adjustRightInd/>
        <w:spacing w:line="360" w:lineRule="auto"/>
        <w:ind w:left="525" w:leftChars="50" w:hanging="420"/>
        <w:jc w:val="left"/>
        <w:outlineLvl w:val="1"/>
        <w:rPr>
          <w:rFonts w:ascii="仿宋" w:hAnsi="仿宋" w:eastAsia="仿宋" w:cs="仿宋"/>
          <w:b/>
          <w:color w:val="auto"/>
          <w:sz w:val="24"/>
          <w:highlight w:val="none"/>
        </w:rPr>
      </w:pPr>
      <w:bookmarkStart w:id="36" w:name="_Toc416685497"/>
      <w:r>
        <w:rPr>
          <w:rFonts w:hint="eastAsia" w:ascii="仿宋" w:hAnsi="仿宋" w:eastAsia="仿宋" w:cs="仿宋"/>
          <w:b/>
          <w:color w:val="auto"/>
          <w:sz w:val="24"/>
          <w:highlight w:val="none"/>
        </w:rPr>
        <w:t>功能和性能需求</w:t>
      </w:r>
      <w:bookmarkEnd w:id="36"/>
    </w:p>
    <w:p>
      <w:pPr>
        <w:numPr>
          <w:ilvl w:val="2"/>
          <w:numId w:val="13"/>
        </w:numPr>
        <w:adjustRightInd/>
        <w:spacing w:line="360" w:lineRule="auto"/>
        <w:ind w:left="630"/>
        <w:jc w:val="left"/>
        <w:outlineLvl w:val="2"/>
        <w:rPr>
          <w:rFonts w:ascii="仿宋" w:hAnsi="仿宋" w:eastAsia="仿宋" w:cs="仿宋"/>
          <w:b/>
          <w:color w:val="auto"/>
          <w:sz w:val="24"/>
          <w:highlight w:val="none"/>
        </w:rPr>
      </w:pPr>
      <w:bookmarkStart w:id="37" w:name="_Toc486105542"/>
      <w:bookmarkStart w:id="38" w:name="_Toc15598"/>
      <w:bookmarkStart w:id="39" w:name="_Toc514768497"/>
      <w:bookmarkStart w:id="40" w:name="_Toc21062"/>
      <w:r>
        <w:rPr>
          <w:rFonts w:hint="eastAsia" w:ascii="仿宋" w:hAnsi="仿宋" w:eastAsia="仿宋" w:cs="仿宋"/>
          <w:b/>
          <w:color w:val="auto"/>
          <w:sz w:val="24"/>
          <w:highlight w:val="none"/>
        </w:rPr>
        <w:t>系统功能需求</w:t>
      </w:r>
      <w:bookmarkEnd w:id="37"/>
      <w:bookmarkEnd w:id="38"/>
      <w:bookmarkEnd w:id="39"/>
      <w:bookmarkEnd w:id="40"/>
    </w:p>
    <w:p>
      <w:pPr>
        <w:numPr>
          <w:ilvl w:val="3"/>
          <w:numId w:val="13"/>
        </w:numPr>
        <w:adjustRightInd/>
        <w:spacing w:line="360" w:lineRule="auto"/>
        <w:jc w:val="left"/>
        <w:outlineLvl w:val="3"/>
        <w:rPr>
          <w:rFonts w:ascii="仿宋" w:hAnsi="仿宋" w:eastAsia="仿宋" w:cs="仿宋"/>
          <w:b/>
          <w:color w:val="auto"/>
          <w:sz w:val="24"/>
          <w:highlight w:val="none"/>
        </w:rPr>
      </w:pPr>
      <w:bookmarkStart w:id="41" w:name="_Toc31725"/>
      <w:r>
        <w:rPr>
          <w:rFonts w:hint="eastAsia" w:ascii="仿宋" w:hAnsi="仿宋" w:eastAsia="仿宋" w:cs="仿宋"/>
          <w:b/>
          <w:color w:val="auto"/>
          <w:sz w:val="24"/>
          <w:highlight w:val="none"/>
        </w:rPr>
        <w:t>共享业务及内容建设</w:t>
      </w:r>
      <w:bookmarkEnd w:id="41"/>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公安业务体系建设中，针对多个警种都有的共性业务需求，如果各个警种条线都各自分别建设其实战业务应用，势必造成重复建设和资源浪费。因此杭州城市大脑**操作系统将按照条块结合的方式建设业务应用体系。其中条线业务即警种实战业务体系，而块业务则主要包含公安通用类业务场景，比如搜索、研判、布控、指挥等等，形成通用业务体系。</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除了通用业务应用之外，一些重要业务内容如模型、标签、指标等等，为了避免各警种重复建设，同样需要按照统一共享的原则进行建设。</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同时为了能快速高效的实现云上系统的开发，让**操作系统真正被基层民警会用、爱用，需要对所有通用业务应用以及共享内容提供全流程支撑管理。</w:t>
      </w:r>
    </w:p>
    <w:p>
      <w:pPr>
        <w:numPr>
          <w:ilvl w:val="4"/>
          <w:numId w:val="13"/>
        </w:numPr>
        <w:adjustRightInd/>
        <w:spacing w:line="360" w:lineRule="auto"/>
        <w:jc w:val="left"/>
        <w:outlineLvl w:val="4"/>
        <w:rPr>
          <w:rFonts w:ascii="仿宋" w:hAnsi="仿宋" w:eastAsia="仿宋" w:cs="仿宋"/>
          <w:b/>
          <w:color w:val="auto"/>
          <w:sz w:val="24"/>
          <w:highlight w:val="none"/>
        </w:rPr>
      </w:pPr>
      <w:bookmarkStart w:id="42" w:name="_Toc23271"/>
      <w:r>
        <w:rPr>
          <w:rFonts w:hint="eastAsia" w:ascii="仿宋" w:hAnsi="仿宋" w:eastAsia="仿宋" w:cs="仿宋"/>
          <w:b/>
          <w:color w:val="auto"/>
          <w:sz w:val="24"/>
          <w:highlight w:val="none"/>
        </w:rPr>
        <w:t>数字驾驶舱建设</w:t>
      </w:r>
      <w:bookmarkEnd w:id="42"/>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建设数字驾驶舱，实现一屏观天下。依托地图搭建高度集中、数据 融合、分层分类的数字驾驶舱，一屏集成公安相关领域、相关场景的要素数据，实现公安业务全屏可视化，辅助领导决策、民警研判、部门协同。</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集成本期项目建设的业务模块的核心指标，进行抽象提炼，对相关业务的能力按照“可量化”的方式按照时空维度进行集中展示，实现业务流的打通及到管理流的转化。并按照实际业务情况设置指标预警，及时发现我们业务运转过程中的风险及问题。</w:t>
      </w:r>
    </w:p>
    <w:p>
      <w:pPr>
        <w:numPr>
          <w:ilvl w:val="4"/>
          <w:numId w:val="13"/>
        </w:numPr>
        <w:adjustRightInd/>
        <w:spacing w:line="360" w:lineRule="auto"/>
        <w:jc w:val="left"/>
        <w:outlineLvl w:val="4"/>
        <w:rPr>
          <w:rFonts w:ascii="仿宋" w:hAnsi="仿宋" w:eastAsia="仿宋" w:cs="仿宋"/>
          <w:b/>
          <w:color w:val="auto"/>
          <w:sz w:val="24"/>
          <w:highlight w:val="none"/>
        </w:rPr>
      </w:pPr>
      <w:bookmarkStart w:id="43" w:name="_Toc22346"/>
      <w:r>
        <w:rPr>
          <w:rFonts w:hint="eastAsia" w:ascii="仿宋" w:hAnsi="仿宋" w:eastAsia="仿宋" w:cs="仿宋"/>
          <w:b/>
          <w:color w:val="auto"/>
          <w:sz w:val="24"/>
          <w:highlight w:val="none"/>
        </w:rPr>
        <w:t>通用业务应用建设</w:t>
      </w:r>
      <w:bookmarkEnd w:id="43"/>
    </w:p>
    <w:p>
      <w:pPr>
        <w:pStyle w:val="626"/>
        <w:spacing w:line="360" w:lineRule="auto"/>
        <w:jc w:val="left"/>
        <w:rPr>
          <w:rFonts w:ascii="仿宋" w:hAnsi="仿宋" w:eastAsia="仿宋" w:cs="仿宋"/>
          <w:color w:val="auto"/>
          <w:highlight w:val="none"/>
        </w:rPr>
      </w:pPr>
      <w:r>
        <w:rPr>
          <w:rFonts w:hint="eastAsia" w:ascii="仿宋" w:hAnsi="仿宋" w:eastAsia="仿宋" w:cs="仿宋"/>
          <w:color w:val="auto"/>
          <w:highlight w:val="none"/>
        </w:rPr>
        <w:t>通用业务应用建设在**操作系统2.0已建的应用基础上进行功能新增，同时结合**操作系统3.0警种的需求、业务的变化、技术的革新，建设新的智能化应用，可直接以页面工具方式提供给各个业务警种使用，同时也可以以服务接口方式作为其他应用的支撑能力。</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全息地图应用建设</w:t>
      </w:r>
    </w:p>
    <w:p>
      <w:pPr>
        <w:pStyle w:val="626"/>
        <w:spacing w:line="360" w:lineRule="auto"/>
        <w:jc w:val="left"/>
        <w:rPr>
          <w:rFonts w:ascii="仿宋" w:hAnsi="仿宋" w:eastAsia="仿宋" w:cs="仿宋"/>
          <w:color w:val="auto"/>
          <w:highlight w:val="none"/>
        </w:rPr>
      </w:pPr>
      <w:r>
        <w:rPr>
          <w:rFonts w:hint="eastAsia" w:ascii="仿宋" w:hAnsi="仿宋" w:eastAsia="仿宋" w:cs="仿宋"/>
          <w:color w:val="auto"/>
          <w:highlight w:val="none"/>
        </w:rPr>
        <w:t>依托建设的各类工具能力和支撑能力，进一步挖掘海量数据基于空间的价值，建设全息地图应用。全息地图应用通过经纬度、地理位置信息数据元素的接入、采用可配置化的数据字段、数据列表、气泡按钮、地图展示方式，实现数据的快速展示，同时借助地图的空间分析能力，实现各类数据对实战应用的可视化支撑。</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关系网络分析应用建设</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sz w:val="24"/>
          <w:highlight w:val="none"/>
        </w:rPr>
        <w:t>依托建设的各类工具能力和支撑能力，可视化关系网络分析提供基于OLE的数据建模和可视化关系网络分析能力，实现包括OLE模型、关联反查、智能分析、信息立方、可视化操作和辅助支撑功能。</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多图合一应用功能新增</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可视化指挥以智能接警、处警为核心业务，在2.0多图合一的基础上进行功能扩展，拓展到互联网端，以警情处置流程业务闭环为轴心，提供一套及接警、指派、处警、结束流程闭环回溯的一体化应用模块。</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布控智寻应用功能新增</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依托杭州市**操作系统2.0项目布控智寻模块，结合业务需求的变化，新增部分功能，包括任务管理、预警推送等；同时借助通用基础能力建设的布控预警能力，为应用开发提供支撑。</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**智搜应用功能新增</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智搜的应用深化建设是依托通用基础能力沉淀的智能检索能力，进一步丰富功能、融合数据、增加场景，是从IT向DT发展的重要实践。建设全息档案功能、智查APP，并借助通用基础能力建设的智能检索能力丰富**智搜相关辅助功能支撑。</w:t>
      </w:r>
    </w:p>
    <w:p>
      <w:pPr>
        <w:numPr>
          <w:ilvl w:val="4"/>
          <w:numId w:val="13"/>
        </w:numPr>
        <w:adjustRightInd/>
        <w:spacing w:line="360" w:lineRule="auto"/>
        <w:jc w:val="left"/>
        <w:outlineLvl w:val="4"/>
        <w:rPr>
          <w:rFonts w:ascii="仿宋" w:hAnsi="仿宋" w:eastAsia="仿宋" w:cs="仿宋"/>
          <w:b/>
          <w:color w:val="auto"/>
          <w:sz w:val="24"/>
          <w:highlight w:val="none"/>
        </w:rPr>
      </w:pPr>
      <w:bookmarkStart w:id="44" w:name="_Toc11361"/>
      <w:r>
        <w:rPr>
          <w:rFonts w:hint="eastAsia" w:ascii="仿宋" w:hAnsi="仿宋" w:eastAsia="仿宋" w:cs="仿宋"/>
          <w:b/>
          <w:color w:val="auto"/>
          <w:sz w:val="24"/>
          <w:highlight w:val="none"/>
        </w:rPr>
        <w:t>共享内容建设</w:t>
      </w:r>
      <w:bookmarkEnd w:id="44"/>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共享模型体系建设</w:t>
      </w:r>
    </w:p>
    <w:p>
      <w:pPr>
        <w:pStyle w:val="626"/>
        <w:spacing w:line="360" w:lineRule="auto"/>
        <w:ind w:right="240"/>
        <w:rPr>
          <w:rFonts w:ascii="仿宋" w:hAnsi="仿宋" w:eastAsia="仿宋" w:cs="仿宋"/>
          <w:color w:val="auto"/>
          <w:highlight w:val="none"/>
        </w:rPr>
      </w:pPr>
      <w:r>
        <w:rPr>
          <w:rFonts w:hint="eastAsia" w:ascii="仿宋" w:hAnsi="仿宋" w:eastAsia="仿宋" w:cs="仿宋"/>
          <w:color w:val="auto"/>
          <w:highlight w:val="none"/>
        </w:rPr>
        <w:t>为了让大数据服务到日常工作中成为现实，将抽象的业务思维，固化成可见、可用的模型。从以往依赖单兵经验作战，到数据指挥作战；从少量人工比对，到海量数据碰撞；从单个经验丰富的专家，到全警共享经验，整体能力提升。</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本期项目在2.0已建设的技战法模型的基础上，建立共享模型体系，从业务出发覆盖刑各个相关警种业务领域提供业务输出。各警种业务部门在开发实战业务应用的过程中，统一通过建模平台进行技战法模型的构建，建成的模型向全警共享，形成众智开发，百花齐放的模型开发生态。</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针对部分算法逻辑较为复杂，各警种业务专家难以独立完成建模的业务模型，在需求单位的配合下，集中技术专家团队进行攻坚开发。</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模型建设是一个长期持续的过程，在本期**操作系统V3.0项目中，模型建设支撑工作主要包含民生专题、治安专题、涉诈专题、安全专题等等模型类型，</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统一指标体系建设</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通过建立技术和管理规范，约束并支撑各个应用的开发者将开发过程中生产的指标在智能指标中心中统一汇集、统一调度、统一使用。并在指标超市中分门别类的展示，便于后续其它用户可以便捷的找到所需的已有指标，提高开发效率。最终形成统一汇集、统一调度、统一展示、统一服务的统一指标体系。</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统一标签体系建设</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统一标签体系主要包含实体基础属性标签、实体不良属性标签、实体行为标签、实体关系标签、实体轨迹标签等具体的标签类型。</w:t>
      </w:r>
    </w:p>
    <w:p>
      <w:pPr>
        <w:pStyle w:val="626"/>
        <w:spacing w:line="360" w:lineRule="auto"/>
        <w:rPr>
          <w:rFonts w:ascii="仿宋" w:hAnsi="仿宋" w:eastAsia="仿宋" w:cs="仿宋"/>
          <w:color w:val="auto"/>
          <w:highlight w:val="none"/>
        </w:rPr>
      </w:pPr>
    </w:p>
    <w:p>
      <w:pPr>
        <w:numPr>
          <w:ilvl w:val="4"/>
          <w:numId w:val="13"/>
        </w:numPr>
        <w:adjustRightInd/>
        <w:spacing w:line="360" w:lineRule="auto"/>
        <w:jc w:val="left"/>
        <w:outlineLvl w:val="4"/>
        <w:rPr>
          <w:rFonts w:ascii="仿宋" w:hAnsi="仿宋" w:eastAsia="仿宋" w:cs="仿宋"/>
          <w:b/>
          <w:color w:val="auto"/>
          <w:sz w:val="24"/>
          <w:highlight w:val="none"/>
        </w:rPr>
      </w:pPr>
      <w:bookmarkStart w:id="45" w:name="_Toc19401"/>
      <w:r>
        <w:rPr>
          <w:rFonts w:hint="eastAsia" w:ascii="仿宋" w:hAnsi="仿宋" w:eastAsia="仿宋" w:cs="仿宋"/>
          <w:b/>
          <w:color w:val="auto"/>
          <w:sz w:val="24"/>
          <w:highlight w:val="none"/>
        </w:rPr>
        <w:t>应用全流程管理</w:t>
      </w:r>
      <w:bookmarkEnd w:id="45"/>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本期项目建设将会有众多的应用由传统的云下开发模式变成云上开发，为了让应用充分利用好云上开发的优势，充分利用好云平台的算力、存储能力，以及云上建设的通用基础能力（业务中台）和数据支撑能力（数据中台），需要对云上开发进行规范指导，技术保障，以及质量把控。建立应用全流程管理，包括应用上云、交付质量保障、运营专栏、资产管理等</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云资源评估</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运用云资源评估方法论指导，进行产品资源的评估。</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上云实施前集中赋能</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在应用上云正式开始实施之前，对需求单位和实施方进行集中赋能，主要包含以下内容：</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上云服务–服务体系贯穿上云前、中、后。服务目录面向客户不同阶段设计。支持计划、迁云咨询服务、迁云实施支持服务。</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上云流程-上云流程图、每个环节的标准过程资产输入、输出、系统部署架构、资源申请流程及要求、各个接口对接及要求。</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支持应用上云常见问题处理赋能，包括对虚拟机数量评估、CPU、内存等使用量评估等。</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上云过程技术支撑</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上云警种的开发厂商技术能力参差不齐，所以出现的问题各异，为提高问题的解决效率，需要按照公安部大数据智能化建设的规范标准，以及杭州市城市大脑**操作系统V3.0的技术架构管理规范，对开发厂商的开发过程进行技术支撑，同时整理并持续更新《上云过程技术FAQ》。</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交付质量保障建设</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大量业务系统在云上进行建设开发，大部分都是核心业务应用，系统运行的质量直接影响了**工作的效率，所以系统交付的质量则显得尤为重要，交付过程的质量保障建设也成为必要的一环。</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专题支撑</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针对重大或者临时突发事件等，利用系统已建设能力进行支撑建设，在关键时刻发挥出**操作系统的价值，产出专题支撑战果，推动操作系统核心能力基层实战中发挥应有的作用，并不断的沉淀专题支撑的最佳实践，形成**操作系统的专题知识库。</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资产管理</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为保障操作系统的安全、确保公安系统内部和对外业务的正常运转，科学、安全、可靠的**操作系统资产管理变得格外重要。</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1、应用管理</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资源管</w:t>
      </w:r>
      <w:r>
        <w:rPr>
          <w:rStyle w:val="360"/>
          <w:rFonts w:hint="eastAsia" w:ascii="仿宋" w:hAnsi="仿宋" w:eastAsia="仿宋" w:cs="仿宋"/>
          <w:color w:val="auto"/>
          <w:sz w:val="24"/>
          <w:highlight w:val="none"/>
        </w:rPr>
        <w:t>理平台对杭州城市大脑**操作系统中的云上应用进行统一管理，管理应用云上开发要求的各阶段实施情况。结合2.0方案中的应用申请和资源申请的功能进一步完成应用管理闭环，增加功能包括：应用全流程管理和应用档案</w:t>
      </w:r>
      <w:r>
        <w:rPr>
          <w:rFonts w:hint="eastAsia" w:ascii="仿宋" w:hAnsi="仿宋" w:eastAsia="仿宋" w:cs="仿宋"/>
          <w:color w:val="auto"/>
          <w:highlight w:val="none"/>
        </w:rPr>
        <w:t>。</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2、资产管理</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运营管理平台对杭州城市大脑**操作系统中的所有资产进行统一管理，实现“一切资源化、资源目录化、目录全局化，全局标准化”的资源管控要求。根据云上资源情况分为平台资源管理、数据资产管理和服务资产管理三部分。</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运营专栏</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**操作系统已经面向多个警种完成多个系统的建设，并已经在实际工作中，为了能推进**操作系统普及度，使用度，建设运营专栏，提升使用率，增加用户粘性。</w:t>
      </w:r>
    </w:p>
    <w:p>
      <w:pPr>
        <w:widowControl/>
        <w:spacing w:line="360" w:lineRule="auto"/>
        <w:jc w:val="left"/>
        <w:rPr>
          <w:rFonts w:ascii="仿宋" w:hAnsi="仿宋" w:eastAsia="仿宋" w:cs="仿宋"/>
          <w:b/>
          <w:bCs/>
          <w:color w:val="auto"/>
          <w:kern w:val="44"/>
          <w:sz w:val="24"/>
          <w:highlight w:val="none"/>
        </w:rPr>
      </w:pPr>
      <w:r>
        <w:rPr>
          <w:rFonts w:hint="eastAsia" w:ascii="仿宋" w:hAnsi="仿宋" w:eastAsia="仿宋" w:cs="仿宋"/>
          <w:color w:val="auto"/>
          <w:sz w:val="24"/>
          <w:highlight w:val="none"/>
        </w:rPr>
        <w:br w:type="page"/>
      </w:r>
    </w:p>
    <w:p>
      <w:pPr>
        <w:numPr>
          <w:ilvl w:val="3"/>
          <w:numId w:val="13"/>
        </w:numPr>
        <w:adjustRightInd/>
        <w:spacing w:line="360" w:lineRule="auto"/>
        <w:jc w:val="left"/>
        <w:outlineLvl w:val="3"/>
        <w:rPr>
          <w:rFonts w:ascii="仿宋" w:hAnsi="仿宋" w:eastAsia="仿宋" w:cs="仿宋"/>
          <w:b/>
          <w:color w:val="auto"/>
          <w:sz w:val="24"/>
          <w:highlight w:val="none"/>
        </w:rPr>
      </w:pPr>
      <w:bookmarkStart w:id="46" w:name="_Toc22840"/>
      <w:r>
        <w:rPr>
          <w:rFonts w:hint="eastAsia" w:ascii="仿宋" w:hAnsi="仿宋" w:eastAsia="仿宋" w:cs="仿宋"/>
          <w:b/>
          <w:color w:val="auto"/>
          <w:sz w:val="24"/>
          <w:highlight w:val="none"/>
        </w:rPr>
        <w:t>通用基础能力建设</w:t>
      </w:r>
      <w:bookmarkEnd w:id="46"/>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通用基础能力提供统一标准的应用开发环境和应用开发规范，是连接数据与应用的枢纽，实现各类数据资源、各应用系统之间的互联互通，是应用建设统筹规划、共性能力统一抽象复用的基本支撑。</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通过通用基础能力的建设，主要实现以下二个目的：</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降低应用开发成本：基于通用基础能力的技术架构，基于通用基础能力已经沉淀的能力集，为各警种、分局应用开发提供共性能力的支撑，以免去新应用的部分模块开发带来的预算和时间成本。同时基于通用基础能力的技术架构规范，可有效提升新应用的稳定性，全方位的系统指标纳入到平台监控，时刻守护系统稳定。</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增强应用智能性：通用基础能力沉淀了丰富的ai能力集，覆盖了文本、图像、音频、视频等主流场景，同时也提供了部分场景化的ai能力如关系挖掘等，为新应用开发提供智能化的基础支撑。</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本期通用基础能力的能力集，一方面会直接导入**操作系统2.0已经建设的能力，一方面3.0会继续新增警种应用建设所需的共性能力。</w:t>
      </w:r>
    </w:p>
    <w:p>
      <w:pPr>
        <w:pStyle w:val="626"/>
        <w:spacing w:line="360" w:lineRule="auto"/>
        <w:ind w:firstLine="0" w:firstLineChars="0"/>
        <w:rPr>
          <w:rFonts w:ascii="仿宋" w:hAnsi="仿宋" w:eastAsia="仿宋" w:cs="仿宋"/>
          <w:color w:val="auto"/>
          <w:highlight w:val="none"/>
        </w:rPr>
      </w:pPr>
    </w:p>
    <w:p>
      <w:pPr>
        <w:numPr>
          <w:ilvl w:val="4"/>
          <w:numId w:val="13"/>
        </w:numPr>
        <w:adjustRightInd/>
        <w:spacing w:line="360" w:lineRule="auto"/>
        <w:jc w:val="left"/>
        <w:outlineLvl w:val="4"/>
        <w:rPr>
          <w:rFonts w:ascii="仿宋" w:hAnsi="仿宋" w:eastAsia="仿宋" w:cs="仿宋"/>
          <w:b/>
          <w:color w:val="auto"/>
          <w:sz w:val="24"/>
          <w:highlight w:val="none"/>
        </w:rPr>
      </w:pPr>
      <w:bookmarkStart w:id="47" w:name="_Toc28935"/>
      <w:r>
        <w:rPr>
          <w:rFonts w:hint="eastAsia" w:ascii="仿宋" w:hAnsi="仿宋" w:eastAsia="仿宋" w:cs="仿宋"/>
          <w:b/>
          <w:color w:val="auto"/>
          <w:sz w:val="24"/>
          <w:highlight w:val="none"/>
        </w:rPr>
        <w:t>智能指标</w:t>
      </w:r>
      <w:bookmarkEnd w:id="47"/>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业务指标是服务**信息化建设的重要元素，为各级民警提供业务态势信息的直观展示，无需依赖民警个人经验从海量的数据中花费大量时间精力进行分析研究。</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传统公安信息化建设中，各类指标的开发往往是由各个业务系统和大屏的建设过程中分别开发，一些优秀的指标设计无法有效共享，而常用的指标往往又在重复开发。同时，在指标发生异常的情况下，往往无法快速的溯源，找到异常发生的根因。</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智能指标工具的建设目的就是为了解决上述传统指标建设生产过程中出现的问题，规范并支撑形成共享开放、便捷高效的共享指标体系。</w:t>
      </w:r>
    </w:p>
    <w:p>
      <w:pPr>
        <w:numPr>
          <w:ilvl w:val="4"/>
          <w:numId w:val="13"/>
        </w:numPr>
        <w:adjustRightInd/>
        <w:spacing w:line="360" w:lineRule="auto"/>
        <w:jc w:val="left"/>
        <w:outlineLvl w:val="4"/>
        <w:rPr>
          <w:rFonts w:ascii="仿宋" w:hAnsi="仿宋" w:eastAsia="仿宋" w:cs="仿宋"/>
          <w:b/>
          <w:color w:val="auto"/>
          <w:sz w:val="24"/>
          <w:highlight w:val="none"/>
        </w:rPr>
      </w:pPr>
      <w:bookmarkStart w:id="48" w:name="_Toc6536"/>
      <w:r>
        <w:rPr>
          <w:rFonts w:hint="eastAsia" w:ascii="仿宋" w:hAnsi="仿宋" w:eastAsia="仿宋" w:cs="仿宋"/>
          <w:b/>
          <w:color w:val="auto"/>
          <w:sz w:val="24"/>
          <w:highlight w:val="none"/>
        </w:rPr>
        <w:t>可视化展示引擎</w:t>
      </w:r>
      <w:bookmarkEnd w:id="48"/>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为适应新形势下对**实战提出的新要求，应对当前复杂社会治安态势和**维稳工作面临的新挑战，满足**操作系统V3.0上各类应用模块的建设需要，破解当前**工作分散化、单一化、离线化的展示模式与**云发展趋势不相适应的问题，需要统一建设一套完整、灵活、实用的数据可视化展示引擎,满足各级公安机关**大数据可视化展示需求。</w:t>
      </w:r>
    </w:p>
    <w:p>
      <w:pPr>
        <w:numPr>
          <w:ilvl w:val="4"/>
          <w:numId w:val="13"/>
        </w:numPr>
        <w:adjustRightInd/>
        <w:spacing w:line="360" w:lineRule="auto"/>
        <w:jc w:val="left"/>
        <w:outlineLvl w:val="4"/>
        <w:rPr>
          <w:rFonts w:ascii="仿宋" w:hAnsi="仿宋" w:eastAsia="仿宋" w:cs="仿宋"/>
          <w:b/>
          <w:color w:val="auto"/>
          <w:sz w:val="24"/>
          <w:highlight w:val="none"/>
        </w:rPr>
      </w:pPr>
      <w:bookmarkStart w:id="49" w:name="_Toc27170"/>
      <w:r>
        <w:rPr>
          <w:rFonts w:hint="eastAsia" w:ascii="仿宋" w:hAnsi="仿宋" w:eastAsia="仿宋" w:cs="仿宋"/>
          <w:b/>
          <w:color w:val="auto"/>
          <w:sz w:val="24"/>
          <w:highlight w:val="none"/>
        </w:rPr>
        <w:t>智能标签功能新增</w:t>
      </w:r>
      <w:bookmarkEnd w:id="49"/>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在2.0已有的智能标签工厂的基础上，新增标签类目、标签生产、标签服务、标签权限等功能，构建服务整个**操作系统各类应用的统一标签体系。</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标签类目能力</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标签类目体系为所有实体的所有标签共用的一套标签类目，根据标签使用场景对标签类目做规划。各自的二级类目可以分别设置。标签类目体系建议的类目层级为不超过三层。</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标签权限能力</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标签数据是客户的属性信息，需要安全的保护措施，符合国家法律法规和监管机构的各项要求，同时又能比较方便的让符合安全要求的人进行快速查看，不影响标签使用的流畅程度，所以项目组对标签进行了两个层面的数据安全定义。在横向层面，标签安全管理主要体现在业务人员只能看到下辖业务对象群（人员、车辆、案事件、组织等）的信息，不能看到非下辖业务对象的任何内容。在纵向的层面，将标签中的敏感信息进行特殊定义，对于这类信息大量涉及保密身份、特殊贡献等内容，对于业务对象来说极为敏感，所以只允许被授权的业务人员进行查看。</w:t>
      </w:r>
    </w:p>
    <w:p>
      <w:pPr>
        <w:numPr>
          <w:ilvl w:val="4"/>
          <w:numId w:val="13"/>
        </w:numPr>
        <w:adjustRightInd/>
        <w:spacing w:line="360" w:lineRule="auto"/>
        <w:jc w:val="left"/>
        <w:outlineLvl w:val="4"/>
        <w:rPr>
          <w:rFonts w:ascii="仿宋" w:hAnsi="仿宋" w:eastAsia="仿宋" w:cs="仿宋"/>
          <w:b/>
          <w:color w:val="auto"/>
          <w:sz w:val="24"/>
          <w:highlight w:val="none"/>
        </w:rPr>
      </w:pPr>
      <w:bookmarkStart w:id="50" w:name="_Toc19953"/>
      <w:r>
        <w:rPr>
          <w:rFonts w:hint="eastAsia" w:ascii="仿宋" w:hAnsi="仿宋" w:eastAsia="仿宋" w:cs="仿宋"/>
          <w:b/>
          <w:color w:val="auto"/>
          <w:sz w:val="24"/>
          <w:highlight w:val="none"/>
        </w:rPr>
        <w:t>数据魔方功能新增</w:t>
      </w:r>
      <w:bookmarkEnd w:id="50"/>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作为生产技战法模型的工具，在2.0建设的数据魔方的基础上，新增逻辑组件类型、</w:t>
      </w:r>
      <w:r>
        <w:rPr>
          <w:rFonts w:hint="eastAsia" w:ascii="仿宋" w:hAnsi="仿宋" w:eastAsia="仿宋" w:cs="仿宋"/>
          <w:color w:val="auto"/>
          <w:highlight w:val="none"/>
        </w:rPr>
        <w:tab/>
      </w:r>
      <w:r>
        <w:rPr>
          <w:rFonts w:hint="eastAsia" w:ascii="仿宋" w:hAnsi="仿宋" w:eastAsia="仿宋" w:cs="仿宋"/>
          <w:color w:val="auto"/>
          <w:highlight w:val="none"/>
        </w:rPr>
        <w:t>模型算子及调度依赖、高敏数据安全使用、数据编目，以及微应用等功能，形成通用基础能力的数据魔方工具。</w:t>
      </w:r>
    </w:p>
    <w:p>
      <w:pPr>
        <w:numPr>
          <w:ilvl w:val="4"/>
          <w:numId w:val="13"/>
        </w:numPr>
        <w:adjustRightInd/>
        <w:spacing w:line="360" w:lineRule="auto"/>
        <w:jc w:val="left"/>
        <w:outlineLvl w:val="4"/>
        <w:rPr>
          <w:rFonts w:ascii="仿宋" w:hAnsi="仿宋" w:eastAsia="仿宋" w:cs="仿宋"/>
          <w:b/>
          <w:color w:val="auto"/>
          <w:sz w:val="24"/>
          <w:highlight w:val="none"/>
        </w:rPr>
      </w:pPr>
      <w:bookmarkStart w:id="51" w:name="_Toc17888"/>
      <w:r>
        <w:rPr>
          <w:rFonts w:hint="eastAsia" w:ascii="仿宋" w:hAnsi="仿宋" w:eastAsia="仿宋" w:cs="仿宋"/>
          <w:b/>
          <w:color w:val="auto"/>
          <w:sz w:val="24"/>
          <w:highlight w:val="none"/>
        </w:rPr>
        <w:t>能力共享开放功能新增</w:t>
      </w:r>
      <w:bookmarkEnd w:id="51"/>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作为通用基础能力的重要支撑能力之一，在2.0已建成的能力共享开放平台的基础上，新增快捷窗口、分类推荐、服务管理、产品管理、</w:t>
      </w:r>
      <w:r>
        <w:rPr>
          <w:rFonts w:hint="eastAsia" w:ascii="仿宋" w:hAnsi="仿宋" w:eastAsia="仿宋" w:cs="仿宋"/>
          <w:color w:val="auto"/>
          <w:kern w:val="0"/>
          <w:highlight w:val="none"/>
        </w:rPr>
        <w:t>自定义授权链路</w:t>
      </w:r>
      <w:r>
        <w:rPr>
          <w:rFonts w:hint="eastAsia" w:ascii="仿宋" w:hAnsi="仿宋" w:eastAsia="仿宋" w:cs="仿宋"/>
          <w:color w:val="auto"/>
          <w:highlight w:val="none"/>
        </w:rPr>
        <w:t>等等功能，构建通用基础能力的能力共享开放平台工具。</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能力共享开放平台工具提供统一标准的应用开发环境和应用开发规范，是连接数据与应用的枢纽，实现各类数据资源、各应用系统之间的互联互通。是应用建设统筹规划、共性能力模块统一抽象复用的基本支撑，是高效使用资源、缩短应用开发周期、加速迭代、降低故障影响范围的有力保障。</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基于能力共享开放平台的技术架构，以及平台已经沉淀的能力集，为各警种、应用开发提供共性能力的支撑，以免去新应用的部分模块开发带来的预算和时间成本。同时基于能力共享开放平台工具的技术架构规范，可有效提升新应用的稳定性，全方位的系统指标纳入到平台监控，时刻守护系统稳定。</w:t>
      </w:r>
    </w:p>
    <w:p>
      <w:pPr>
        <w:numPr>
          <w:ilvl w:val="4"/>
          <w:numId w:val="13"/>
        </w:numPr>
        <w:adjustRightInd/>
        <w:spacing w:line="360" w:lineRule="auto"/>
        <w:jc w:val="left"/>
        <w:outlineLvl w:val="4"/>
        <w:rPr>
          <w:rFonts w:ascii="仿宋" w:hAnsi="仿宋" w:eastAsia="仿宋" w:cs="仿宋"/>
          <w:b/>
          <w:color w:val="auto"/>
          <w:sz w:val="24"/>
          <w:highlight w:val="none"/>
        </w:rPr>
      </w:pPr>
      <w:bookmarkStart w:id="52" w:name="_Toc18281"/>
      <w:r>
        <w:rPr>
          <w:rFonts w:hint="eastAsia" w:ascii="仿宋" w:hAnsi="仿宋" w:eastAsia="仿宋" w:cs="仿宋"/>
          <w:b/>
          <w:color w:val="auto"/>
          <w:sz w:val="24"/>
          <w:highlight w:val="none"/>
        </w:rPr>
        <w:t>流程引擎功能新增</w:t>
      </w:r>
      <w:bookmarkEnd w:id="52"/>
    </w:p>
    <w:p>
      <w:pPr>
        <w:pStyle w:val="626"/>
        <w:spacing w:line="360" w:lineRule="auto"/>
        <w:rPr>
          <w:rFonts w:ascii="仿宋" w:hAnsi="仿宋" w:eastAsia="仿宋" w:cs="仿宋"/>
          <w:b/>
          <w:color w:val="auto"/>
          <w:highlight w:val="none"/>
        </w:rPr>
      </w:pPr>
      <w:r>
        <w:rPr>
          <w:rFonts w:hint="eastAsia" w:ascii="仿宋" w:hAnsi="仿宋" w:eastAsia="仿宋" w:cs="仿宋"/>
          <w:color w:val="auto"/>
          <w:highlight w:val="none"/>
        </w:rPr>
        <w:t>流程引擎是前端发起任务处理后，控制任务串行执行或并行执行，并将每个任务执行的结果一并发给调用方的一种底层能力支撑。作为生产各应用业务流程的工具，在2.0已建成的流程引擎的基础上，新增流程表单组建、业务场景联动、流程服务和流程权限管理等功能。</w:t>
      </w:r>
    </w:p>
    <w:p>
      <w:pPr>
        <w:numPr>
          <w:ilvl w:val="4"/>
          <w:numId w:val="13"/>
        </w:numPr>
        <w:adjustRightInd/>
        <w:spacing w:line="360" w:lineRule="auto"/>
        <w:jc w:val="left"/>
        <w:outlineLvl w:val="4"/>
        <w:rPr>
          <w:rFonts w:ascii="仿宋" w:hAnsi="仿宋" w:eastAsia="仿宋" w:cs="仿宋"/>
          <w:b/>
          <w:color w:val="auto"/>
          <w:sz w:val="24"/>
          <w:highlight w:val="none"/>
        </w:rPr>
      </w:pPr>
      <w:bookmarkStart w:id="53" w:name="_Toc19583"/>
      <w:r>
        <w:rPr>
          <w:rFonts w:hint="eastAsia" w:ascii="仿宋" w:hAnsi="仿宋" w:eastAsia="仿宋" w:cs="仿宋"/>
          <w:b/>
          <w:color w:val="auto"/>
          <w:sz w:val="24"/>
          <w:highlight w:val="none"/>
        </w:rPr>
        <w:t>消息中心功能新增</w:t>
      </w:r>
      <w:bookmarkEnd w:id="53"/>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消息中心为更好的建立与用户的联系而建设的服务模块，可以为用户提供各类通知消息的接收和管理，用户可以及时快捷的接收消息，从而避免信息遗漏造成不必要的损失。作为生产各类跨网消息发送链路的工具，在2.0已建成的消息中心的基础上，新增消息模板管理、消息任务、统计分析等功能。</w:t>
      </w:r>
    </w:p>
    <w:p>
      <w:pPr>
        <w:numPr>
          <w:ilvl w:val="4"/>
          <w:numId w:val="13"/>
        </w:numPr>
        <w:adjustRightInd/>
        <w:spacing w:line="360" w:lineRule="auto"/>
        <w:jc w:val="left"/>
        <w:outlineLvl w:val="4"/>
        <w:rPr>
          <w:rFonts w:ascii="仿宋" w:hAnsi="仿宋" w:eastAsia="仿宋" w:cs="仿宋"/>
          <w:b/>
          <w:color w:val="auto"/>
          <w:sz w:val="24"/>
          <w:highlight w:val="none"/>
        </w:rPr>
      </w:pPr>
      <w:bookmarkStart w:id="54" w:name="_Toc3871"/>
      <w:r>
        <w:rPr>
          <w:rFonts w:hint="eastAsia" w:ascii="仿宋" w:hAnsi="仿宋" w:eastAsia="仿宋" w:cs="仿宋"/>
          <w:b/>
          <w:color w:val="auto"/>
          <w:sz w:val="24"/>
          <w:highlight w:val="none"/>
        </w:rPr>
        <w:t>智能研判能力</w:t>
      </w:r>
      <w:bookmarkEnd w:id="54"/>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关联反查算法</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关联反查可以自动发现不同数据来源、不同信息之间的公共元素和联系，建立起不同实体之间的关联，实现信息串联。</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智能分析算法</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1）群体分析</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通过聚类算法，对内在有若干联系的案事件、人员等进行关联串并，从中发现相同的规律和特征，从而将单个的案事件、人员等归并到相应的团伙中。</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2）共同邻居</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通过在海量数据中查找两个或多个ID的共同联系人或联系介质，支持直接、间接、复杂关系的分析。</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3）血缘分析</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血缘分析通过后台的血缘关系配置，查询特定类型实体的血缘关系。</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4）路径分析</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选中两个对象，确定两者在关系图中的最短路径及连通路径。</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5）骨干分析</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在复杂关系网络中识别关键节点，通过定义节点间关联边的权重及算法进行判别。</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6）时序分析</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以时间为坐标，将所有实体和关联以时间序列的顺序进行排列，以揭示事件发生的过程和规律。</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7）行为分析</w:t>
      </w:r>
    </w:p>
    <w:p>
      <w:pPr>
        <w:snapToGrid w:val="0"/>
        <w:spacing w:line="360" w:lineRule="auto"/>
        <w:ind w:right="240"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通过提取对象在行为上的特征，可以分析对象的行为信息，找出异常规律。</w:t>
      </w:r>
    </w:p>
    <w:p>
      <w:pPr>
        <w:numPr>
          <w:ilvl w:val="4"/>
          <w:numId w:val="13"/>
        </w:numPr>
        <w:adjustRightInd/>
        <w:spacing w:line="360" w:lineRule="auto"/>
        <w:jc w:val="left"/>
        <w:outlineLvl w:val="4"/>
        <w:rPr>
          <w:rFonts w:ascii="仿宋" w:hAnsi="仿宋" w:eastAsia="仿宋" w:cs="仿宋"/>
          <w:b/>
          <w:color w:val="auto"/>
          <w:sz w:val="24"/>
          <w:highlight w:val="none"/>
        </w:rPr>
      </w:pPr>
      <w:bookmarkStart w:id="55" w:name="_Toc17605"/>
      <w:r>
        <w:rPr>
          <w:rFonts w:hint="eastAsia" w:ascii="仿宋" w:hAnsi="仿宋" w:eastAsia="仿宋" w:cs="仿宋"/>
          <w:b/>
          <w:color w:val="auto"/>
          <w:sz w:val="24"/>
          <w:highlight w:val="none"/>
        </w:rPr>
        <w:t>智能检索能力</w:t>
      </w:r>
      <w:bookmarkEnd w:id="55"/>
    </w:p>
    <w:p>
      <w:pPr>
        <w:snapToGrid w:val="0"/>
        <w:spacing w:line="360" w:lineRule="auto"/>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提供了多模态与跨模态搜索、搜索结果轻应用等多种输入输出形式，实现了文本、图像、视频的边界打通，也实现了搜索结果的快速应用，改造提升业务流程。依托2.0建设的搜索原子能力，3.0需提供功能新增，包括跨模态搜索、多模态搜索、以及多样化的智搜结果展示管理功能。</w:t>
      </w:r>
    </w:p>
    <w:p>
      <w:pPr>
        <w:numPr>
          <w:ilvl w:val="4"/>
          <w:numId w:val="13"/>
        </w:numPr>
        <w:adjustRightInd/>
        <w:spacing w:line="360" w:lineRule="auto"/>
        <w:jc w:val="left"/>
        <w:outlineLvl w:val="4"/>
        <w:rPr>
          <w:rFonts w:ascii="仿宋" w:hAnsi="仿宋" w:eastAsia="仿宋" w:cs="仿宋"/>
          <w:b/>
          <w:color w:val="auto"/>
          <w:sz w:val="24"/>
          <w:highlight w:val="none"/>
        </w:rPr>
      </w:pPr>
      <w:bookmarkStart w:id="56" w:name="_Toc4529"/>
      <w:r>
        <w:rPr>
          <w:rFonts w:hint="eastAsia" w:ascii="仿宋" w:hAnsi="仿宋" w:eastAsia="仿宋" w:cs="仿宋"/>
          <w:b/>
          <w:color w:val="auto"/>
          <w:sz w:val="24"/>
          <w:highlight w:val="none"/>
        </w:rPr>
        <w:t>布控预警能力</w:t>
      </w:r>
      <w:bookmarkEnd w:id="56"/>
    </w:p>
    <w:p>
      <w:pPr>
        <w:snapToGrid w:val="0"/>
        <w:spacing w:line="360" w:lineRule="auto"/>
        <w:ind w:firstLine="4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依托2.0建设的布控智寻，3.0需沉淀其中布控预警的能力，提供以下新增功能：预警推送、目标追踪、多维布控等等，并进一步强化布控库管理，改造提升业务流程。</w:t>
      </w:r>
    </w:p>
    <w:p>
      <w:pPr>
        <w:numPr>
          <w:ilvl w:val="4"/>
          <w:numId w:val="13"/>
        </w:numPr>
        <w:adjustRightInd/>
        <w:spacing w:line="360" w:lineRule="auto"/>
        <w:jc w:val="left"/>
        <w:outlineLvl w:val="4"/>
        <w:rPr>
          <w:rFonts w:ascii="仿宋" w:hAnsi="仿宋" w:eastAsia="仿宋" w:cs="仿宋"/>
          <w:b/>
          <w:color w:val="auto"/>
          <w:sz w:val="24"/>
          <w:highlight w:val="none"/>
        </w:rPr>
      </w:pPr>
      <w:bookmarkStart w:id="57" w:name="_Toc28170"/>
      <w:bookmarkStart w:id="58" w:name="_Toc51401549"/>
      <w:r>
        <w:rPr>
          <w:rFonts w:hint="eastAsia" w:ascii="仿宋" w:hAnsi="仿宋" w:eastAsia="仿宋" w:cs="仿宋"/>
          <w:b/>
          <w:color w:val="auto"/>
          <w:sz w:val="24"/>
          <w:highlight w:val="none"/>
        </w:rPr>
        <w:t>智能客服能力</w:t>
      </w:r>
      <w:bookmarkEnd w:id="57"/>
      <w:bookmarkEnd w:id="58"/>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智能客服系统将作为通用基础能力，能够支持电话、app、微信、网页等多渠道接入，实现语音或文字的智能交互功能。系统对外提供统一的服务以及接口，可实现各渠道共用统一的流程服务与知识库系统。着力打造一个基于智能语音、自然语言理解等先进技术的多渠道智能交互系统，采用可视化配置界面及不停服上线等功能提高业务更新效率，并支持用户自主运营优化。智能客服系统将在此次项目中支撑公安查号台的自动答复功能。</w:t>
      </w:r>
    </w:p>
    <w:p>
      <w:pPr>
        <w:numPr>
          <w:ilvl w:val="4"/>
          <w:numId w:val="13"/>
        </w:numPr>
        <w:adjustRightInd/>
        <w:spacing w:line="360" w:lineRule="auto"/>
        <w:jc w:val="left"/>
        <w:outlineLvl w:val="4"/>
        <w:rPr>
          <w:rFonts w:ascii="仿宋" w:hAnsi="仿宋" w:eastAsia="仿宋" w:cs="仿宋"/>
          <w:b/>
          <w:color w:val="auto"/>
          <w:sz w:val="24"/>
          <w:highlight w:val="none"/>
        </w:rPr>
      </w:pPr>
      <w:bookmarkStart w:id="59" w:name="_Toc10646"/>
      <w:bookmarkStart w:id="60" w:name="_Toc51401551"/>
      <w:r>
        <w:rPr>
          <w:rFonts w:hint="eastAsia" w:ascii="仿宋" w:hAnsi="仿宋" w:eastAsia="仿宋" w:cs="仿宋"/>
          <w:b/>
          <w:color w:val="auto"/>
          <w:sz w:val="24"/>
          <w:highlight w:val="none"/>
        </w:rPr>
        <w:t>智能视频能力</w:t>
      </w:r>
      <w:bookmarkEnd w:id="59"/>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感知中心负责对感知数据进行深加工，依托前沿智能视频分析技术，提取人、物、事件等要素，最大化有价值视频信息提取，结合云计算、大数据技术运用。依托**操作系统2.0建设内容，在3.0需提供功能新增，包括历史视频接结构化、视频碰撞、多维人脸搜索、截图搜索、高点人流分析、人流撞杆分析、人流分析统计、结伴人员人脸查询、人脸车辆融合分析、视频分析结果导出、视频点播、分局结构化数据对接，分局算力动态调度等能力，实现视频价值数据的比对碰撞、深入挖掘，服务于公安各项业务。</w:t>
      </w:r>
    </w:p>
    <w:p>
      <w:pPr>
        <w:numPr>
          <w:ilvl w:val="4"/>
          <w:numId w:val="13"/>
        </w:numPr>
        <w:adjustRightInd/>
        <w:spacing w:line="360" w:lineRule="auto"/>
        <w:jc w:val="left"/>
        <w:outlineLvl w:val="4"/>
        <w:rPr>
          <w:rFonts w:ascii="仿宋" w:hAnsi="仿宋" w:eastAsia="仿宋" w:cs="仿宋"/>
          <w:b/>
          <w:color w:val="auto"/>
          <w:sz w:val="24"/>
          <w:highlight w:val="none"/>
        </w:rPr>
      </w:pPr>
      <w:bookmarkStart w:id="61" w:name="_Toc30556"/>
      <w:r>
        <w:rPr>
          <w:rFonts w:hint="eastAsia" w:ascii="仿宋" w:hAnsi="仿宋" w:eastAsia="仿宋" w:cs="仿宋"/>
          <w:b/>
          <w:color w:val="auto"/>
          <w:sz w:val="24"/>
          <w:highlight w:val="none"/>
        </w:rPr>
        <w:t>智能文本能力</w:t>
      </w:r>
      <w:bookmarkEnd w:id="61"/>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公安业务数中数据来源丰富，如各种信息登记数据、出行数据，视频数据、笔录数据、报案信息数据等。这其中有大量结构化数据，也有大量非结构化数据。在传统的业务应用中，民警可以通过系统快速的查询结构化数据进行线索的查找，而对于非结构化数据，民警需要人工对文本理解，获得其中的关键信息，再和其他的各类数据组合，形成自己的分析“脑图”进行案件的分析和侦破。对大量的非结构化数据是一件非常耗时耗力的工作，需要人工细读以及抽取关键信息。此外，通过人工将结构化数据和非结构化数据有效的组织分析也几乎不可能，在庞大的信息和关系网络规模下，人工难以高效完成信息的数据和线索的发现。</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智能研案产品的目标是结合人工智能的手段，一方面能从非结构化的数据（如笔录、案情数据）中挖掘出关键的要素和基础线索，例如人物、物件、关系等。另一方面，将结构化（家族关系、同行、同住、交易转账等数据）和非机构化（笔录、案情等）的信息组合，构建人、案、物、事件、时间等实体的异构网络，形成公安领域的案件图谱，可被计算机计算大数据的“脑图”。基于该案件图谱，可以帮助民警完成案件相关信息的查询，此外，结合智能的图算法能力，可以智能的进行案件串并，相似/相关案件的发现，结合图推理算法，还可以进一步进行案件线索的发现和推荐。从而协助公安部门高效的完成案件的研判工作。</w:t>
      </w:r>
    </w:p>
    <w:p>
      <w:pPr>
        <w:snapToGrid w:val="0"/>
        <w:spacing w:line="360" w:lineRule="auto"/>
        <w:ind w:firstLine="420"/>
        <w:rPr>
          <w:rFonts w:ascii="仿宋" w:hAnsi="仿宋" w:eastAsia="仿宋" w:cs="仿宋"/>
          <w:color w:val="auto"/>
          <w:highlight w:val="none"/>
        </w:rPr>
      </w:pPr>
      <w:r>
        <w:rPr>
          <w:rFonts w:hint="eastAsia" w:ascii="仿宋" w:hAnsi="仿宋" w:eastAsia="仿宋" w:cs="仿宋"/>
          <w:color w:val="auto"/>
          <w:sz w:val="24"/>
          <w:highlight w:val="none"/>
        </w:rPr>
        <w:t>该模块在**操作系统2.0建设的基础上，新增案件关系推断、案情分类、增量适配学习等功能。</w:t>
      </w:r>
    </w:p>
    <w:bookmarkEnd w:id="60"/>
    <w:p>
      <w:pPr>
        <w:numPr>
          <w:ilvl w:val="4"/>
          <w:numId w:val="13"/>
        </w:numPr>
        <w:adjustRightInd/>
        <w:spacing w:line="360" w:lineRule="auto"/>
        <w:jc w:val="left"/>
        <w:outlineLvl w:val="4"/>
        <w:rPr>
          <w:rFonts w:ascii="仿宋" w:hAnsi="仿宋" w:eastAsia="仿宋" w:cs="仿宋"/>
          <w:b/>
          <w:color w:val="auto"/>
          <w:sz w:val="24"/>
          <w:highlight w:val="none"/>
        </w:rPr>
      </w:pPr>
      <w:bookmarkStart w:id="62" w:name="_Toc51401552"/>
      <w:bookmarkStart w:id="63" w:name="_Toc30263"/>
      <w:r>
        <w:rPr>
          <w:rFonts w:hint="eastAsia" w:ascii="仿宋" w:hAnsi="仿宋" w:eastAsia="仿宋" w:cs="仿宋"/>
          <w:b/>
          <w:color w:val="auto"/>
          <w:sz w:val="24"/>
          <w:highlight w:val="none"/>
        </w:rPr>
        <w:t>地址相似匹配</w:t>
      </w:r>
      <w:bookmarkEnd w:id="62"/>
      <w:r>
        <w:rPr>
          <w:rFonts w:hint="eastAsia" w:ascii="仿宋" w:hAnsi="仿宋" w:eastAsia="仿宋" w:cs="仿宋"/>
          <w:b/>
          <w:color w:val="auto"/>
          <w:sz w:val="24"/>
          <w:highlight w:val="none"/>
        </w:rPr>
        <w:t>能力</w:t>
      </w:r>
      <w:bookmarkEnd w:id="63"/>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在公安部门的日常业务里，最常用的数据便是地址信息，在如常住人口地址、出租屋地址、报警地址、案件发生地址等，地址表述的多样性使得同一个地址而在不同的系统或应用里却存在不同的描述，给公安部门的管理者造成了很大的困扰。并且公安的各个业务系统之间数据都是孤立存在的，系统不断建设中，产生各种的数据烟囱，同时已建设的系统存在大量的存量地址数据，如何对现有的存量地址数据进行标准化处理，从源头上将地址数据标准化，对算法及处理的能力要求非常高。</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在杭州市公安局建设中，2.0阶段实施了地址标准化，解决了地址标准化使用的难题，但针对不同来源地址之间的关联关系的建立，解决报警地址、案件发生地址或者出租屋、水电地址等不同来源地址之间的关联关系，从而将不同来源数据建立linking的关系，达到不同数据之间的关联匹配，利用规划化各个业务地址数据，从而解决为行业模型分析，如警情分析等提供业务支撑，服务于业务系统。</w:t>
      </w:r>
    </w:p>
    <w:p>
      <w:pPr>
        <w:snapToGrid w:val="0"/>
        <w:spacing w:line="360" w:lineRule="auto"/>
        <w:ind w:firstLine="420"/>
        <w:rPr>
          <w:rFonts w:ascii="仿宋" w:hAnsi="仿宋" w:eastAsia="仿宋" w:cs="仿宋"/>
          <w:color w:val="auto"/>
          <w:highlight w:val="none"/>
        </w:rPr>
      </w:pPr>
      <w:r>
        <w:rPr>
          <w:rFonts w:hint="eastAsia" w:ascii="仿宋" w:hAnsi="仿宋" w:eastAsia="仿宋" w:cs="仿宋"/>
          <w:color w:val="auto"/>
          <w:sz w:val="24"/>
          <w:highlight w:val="none"/>
        </w:rPr>
        <w:t>因此此次项目新增地址关联匹配、定向地址类型扩充和标准化、问题地址质检、地址纠错、地址空间围栏、地址逆编码、地址搜索、地址推荐、物流面单信息提取等功能。</w:t>
      </w:r>
    </w:p>
    <w:p>
      <w:pPr>
        <w:numPr>
          <w:ilvl w:val="4"/>
          <w:numId w:val="13"/>
        </w:numPr>
        <w:adjustRightInd/>
        <w:spacing w:line="360" w:lineRule="auto"/>
        <w:jc w:val="left"/>
        <w:outlineLvl w:val="4"/>
        <w:rPr>
          <w:rFonts w:ascii="仿宋" w:hAnsi="仿宋" w:eastAsia="仿宋" w:cs="仿宋"/>
          <w:b/>
          <w:color w:val="auto"/>
          <w:sz w:val="24"/>
          <w:highlight w:val="none"/>
        </w:rPr>
      </w:pPr>
      <w:bookmarkStart w:id="64" w:name="_Toc17614"/>
      <w:r>
        <w:rPr>
          <w:rFonts w:hint="eastAsia" w:ascii="仿宋" w:hAnsi="仿宋" w:eastAsia="仿宋" w:cs="仿宋"/>
          <w:b/>
          <w:color w:val="auto"/>
          <w:sz w:val="24"/>
          <w:highlight w:val="none"/>
        </w:rPr>
        <w:t>地图支撑能力</w:t>
      </w:r>
      <w:bookmarkEnd w:id="64"/>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地图能力是公安信息化的重要支撑，当前，随着“**云”、“大数据”、“云计算”等技术的快速发展，原有地图能力已不能满足各级各单位业务系统对地图数据、引擎的需求，迫切需要原有地图能力架构进行升级改造，同时实时鲜活对原有地图数据进行升级。本项目将升级改造杭州市公安统一地图支撑能力，将基于互联网基础地图数据、影像数据、标准地址数据形成警用地理核心数据库，对市局关注的矢量引擎、互联网地图数据、影像处理发布、地图运维等一系列专业功能进行深化，构建矢量地图展现、数据服务、基础地图应用、API接口服务等，支撑公安“多应用”建设与对接，更好地服务**维稳、侦查破案、社会管理、服务民生等实战应用需要。</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地图引擎服务</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引入新的地图引擎服务，建设覆盖杭州全市的基础电子地图，数据来源权威，要素齐全，信息丰富，能提供稳定更新。同时基于基础地图数据建设矢量地图引擎，支持栅格、矢量、影像等不同格式的地图数据展示，满足不同场景需要。矢量地图可通过Web浏览器端或移动端查看地图，并进行地图的相关应用，包括地图浏览、平移、缩放、旋转、测距、点选、地图绘制、空间搜索、撒点分析以及地图打印等引擎功能，并以接口服务形式提供开发API、JavaScript API、移动端SDK。矢量地图在开放、可灵活扩展的架构基础上，可实现信息全面共享、充分整合，为跨领域跨部门信息交换提供技术手段，为综合大数据分析和智能应用提供技术支撑。</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地图运维管理</w:t>
      </w:r>
    </w:p>
    <w:p>
      <w:pPr>
        <w:snapToGrid w:val="0"/>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地图平台提供地图运维管理模块，实现对数据应用权限、资源运行情况及服务访问情况进行全方位的监控，通过线上注册方式给与用户平台数据资源及引擎使用的权限，可实时查看在线用户访问情况的功能，分析地图服务调用状态，跟踪服务使用流程，监控当前请求列表的监控，实时掌握服务的请求访问情况。通过平台监控能够及时发现并处理用户的恶意访问行为，保障平台安全稳定运行。</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数据更新</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为了保持数据的鲜活，延续市局当前的业务应用对地图的需求，本次地图建设需要更新市局接入的规划局、国安局的影像数据以及天地图矢量数据，对影像数据、天地图数据进行整理、矢影叠加、配色、切图处理等一系列服务，通过地图平台统一对外发布图层服务供应用系统使用。根据用户需求，本次项目建设需要提供正摄影像图、天地图矢量瓦片地图、路网POI-影像叠加图等，按源数据情况，数据加工更新定每年至少更新1次。</w:t>
      </w:r>
    </w:p>
    <w:p>
      <w:pPr>
        <w:numPr>
          <w:ilvl w:val="5"/>
          <w:numId w:val="13"/>
        </w:numPr>
        <w:adjustRightInd/>
        <w:spacing w:line="360" w:lineRule="auto"/>
        <w:jc w:val="left"/>
        <w:outlineLvl w:val="5"/>
        <w:rPr>
          <w:rFonts w:ascii="仿宋" w:hAnsi="仿宋" w:eastAsia="仿宋" w:cs="仿宋"/>
          <w:b/>
          <w:color w:val="auto"/>
          <w:sz w:val="24"/>
          <w:highlight w:val="none"/>
        </w:rPr>
      </w:pPr>
      <w:r>
        <w:rPr>
          <w:rFonts w:hint="eastAsia" w:ascii="仿宋" w:hAnsi="仿宋" w:eastAsia="仿宋" w:cs="仿宋"/>
          <w:b/>
          <w:color w:val="auto"/>
          <w:sz w:val="24"/>
          <w:highlight w:val="none"/>
        </w:rPr>
        <w:t>资源撒点</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资源撒点以地图为基础，通过将**常用信息数据叠加到地图图层，实现**对象数据跟地图数据的融合，更好服务**日常实战应用。资源撒点主要包括设备资源、警力资源、重点区域、重点人员、辖区边界、热力图、工具箱等功能。</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1、设备资源</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设备资源主要针对公安信息化建设为主的视频监控点位，可通过人脸卡口、车辆卡口、全景监控、高点监控、治安监控、WIFI探针、移动基站等类型进行地图图层撒点，辅助民警在系统应用中快速寻找点位信息及数据。</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2、警力资源</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警力资源主要针对警员、警车、移动终端等进行地图图层撒点，让指挥中心人员及领导快速掌控警力资源信息，方便应急指挥调度。</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3、重点区域</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重点区域主要针对公安重点关注的场所，如政府单位、学校、医院、加油站、汽车站、火车站、飞机场、地铁站、检查站、商业中心、娱乐场所等，跟地图图层进行融合叠加，方便**调度中及时掌控重点区域信息。</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4、重点人员</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重点人员主要针对**、涉稳、涉毒、在逃、重大前科、重点上访、肇事肇祸、精神病人等数据在地图上的融合叠加，便于民警能够实时掌控重点人员位置及分布信息。</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5、辖区边界</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辖区边界主要针对分局、***、巡区、交警、街道、社区等不同行政区域及单位属性数据跟地图图层进行融合，便于指挥中心对辖区分布的快速定位。</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6、热力图</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热力图主要针对警情密度、人员密度、警力资源、治安状态等数据在地图图层上的叠加，方便领导从不同维度看全局状态。</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7、工具箱</w:t>
      </w:r>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工具箱主要针对民警在地图操作过程中需要的一些辅助功能，如测距、标记、分享等。</w:t>
      </w:r>
    </w:p>
    <w:p>
      <w:pPr>
        <w:numPr>
          <w:ilvl w:val="4"/>
          <w:numId w:val="13"/>
        </w:numPr>
        <w:adjustRightInd/>
        <w:spacing w:line="360" w:lineRule="auto"/>
        <w:jc w:val="left"/>
        <w:outlineLvl w:val="4"/>
        <w:rPr>
          <w:rFonts w:ascii="仿宋" w:hAnsi="仿宋" w:eastAsia="仿宋" w:cs="仿宋"/>
          <w:b/>
          <w:color w:val="auto"/>
          <w:sz w:val="24"/>
          <w:highlight w:val="none"/>
        </w:rPr>
      </w:pPr>
      <w:bookmarkStart w:id="65" w:name="_Toc11393"/>
      <w:r>
        <w:rPr>
          <w:rFonts w:hint="eastAsia" w:ascii="仿宋" w:hAnsi="仿宋" w:eastAsia="仿宋" w:cs="仿宋"/>
          <w:b/>
          <w:color w:val="auto"/>
          <w:sz w:val="24"/>
          <w:highlight w:val="none"/>
        </w:rPr>
        <w:t>实人认证能力</w:t>
      </w:r>
      <w:bookmarkEnd w:id="65"/>
    </w:p>
    <w:p>
      <w:pPr>
        <w:pStyle w:val="626"/>
        <w:spacing w:line="360" w:lineRule="auto"/>
        <w:rPr>
          <w:rFonts w:ascii="仿宋" w:hAnsi="仿宋" w:eastAsia="仿宋" w:cs="仿宋"/>
          <w:color w:val="auto"/>
          <w:highlight w:val="none"/>
        </w:rPr>
      </w:pPr>
      <w:r>
        <w:rPr>
          <w:rFonts w:hint="eastAsia" w:ascii="仿宋" w:hAnsi="仿宋" w:eastAsia="仿宋" w:cs="仿宋"/>
          <w:color w:val="auto"/>
          <w:highlight w:val="none"/>
        </w:rPr>
        <w:t>通过动作活体的方式采集用户的人脸照片并验证其真实性，并通过与业务已留存的人脸照片进行人脸比对，验证两者是否为同一个人。</w:t>
      </w:r>
    </w:p>
    <w:p>
      <w:pPr>
        <w:adjustRightInd/>
        <w:spacing w:line="360" w:lineRule="auto"/>
        <w:ind w:firstLine="482"/>
        <w:rPr>
          <w:rFonts w:ascii="仿宋" w:hAnsi="仿宋" w:eastAsia="仿宋" w:cs="仿宋"/>
          <w:color w:val="auto"/>
          <w:sz w:val="24"/>
          <w:highlight w:val="none"/>
        </w:rPr>
      </w:pPr>
    </w:p>
    <w:p>
      <w:pPr>
        <w:numPr>
          <w:ilvl w:val="2"/>
          <w:numId w:val="13"/>
        </w:numPr>
        <w:adjustRightInd/>
        <w:spacing w:line="360" w:lineRule="auto"/>
        <w:ind w:left="630"/>
        <w:jc w:val="left"/>
        <w:outlineLvl w:val="2"/>
        <w:rPr>
          <w:rFonts w:ascii="仿宋" w:hAnsi="仿宋" w:eastAsia="仿宋" w:cs="仿宋"/>
          <w:b/>
          <w:color w:val="auto"/>
          <w:sz w:val="32"/>
          <w:szCs w:val="21"/>
          <w:highlight w:val="none"/>
        </w:rPr>
      </w:pPr>
      <w:bookmarkStart w:id="66" w:name="_Toc514768498"/>
      <w:bookmarkStart w:id="67" w:name="_Toc24834"/>
      <w:bookmarkStart w:id="68" w:name="_Toc31342"/>
      <w:bookmarkStart w:id="69" w:name="_Toc486105543"/>
      <w:r>
        <w:rPr>
          <w:rFonts w:hint="eastAsia" w:ascii="仿宋" w:hAnsi="仿宋" w:eastAsia="仿宋" w:cs="仿宋"/>
          <w:b/>
          <w:color w:val="auto"/>
          <w:sz w:val="32"/>
          <w:szCs w:val="21"/>
          <w:highlight w:val="none"/>
        </w:rPr>
        <w:t>系统性能需求</w:t>
      </w:r>
      <w:bookmarkEnd w:id="66"/>
      <w:bookmarkEnd w:id="67"/>
      <w:bookmarkEnd w:id="68"/>
      <w:bookmarkEnd w:id="69"/>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本系统中，需要满足的性能要求包括：</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（1）平台运行指标应该达到：</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应用认证时间≤0.2s；</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有效工作时间：≥99.9%；</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系统故障平均间隔时间：≥300天。</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（2）数据共享服务指标应该达到：</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服务接口支持访问量：≥500万次/天；</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服务接口支持并发数：≥1000个/秒；</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系统响应时间：</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单一条件精确查询≤1秒返回结果，单一条件模糊查询≤3秒返回结果；</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多个条件精确查询≤1秒返回结果，多个条件模糊查询≤3秒返回结果。</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（3）安全服务指标应该达到：</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有效工作时间：≥99.9%；</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系统故障平均间隔时间：≥300天。</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（4）数据抽取指标应该达到：</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平均抽取效率：≥4000条/秒；</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数据一致性：单次抽取任务错误率≤0.05%；</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数据更新效率：5000万级以下数据表≤1天，5000万级以上数据表≤2天。</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（5）应用软件性能指标应该达到：</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新增业务数据的响应时间≤3秒；</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查询业务数据的响应时间≤3秒；</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简单报表的响应时间≤3秒；</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复杂报表（涉及到5个以上的数据查询或者涉及到大数量表（数据行超过1000000行）的查询）的响应时间≤20秒；</w:t>
      </w:r>
    </w:p>
    <w:p>
      <w:pPr>
        <w:adjustRightInd/>
        <w:spacing w:line="360" w:lineRule="auto"/>
        <w:ind w:firstLine="482"/>
        <w:rPr>
          <w:rFonts w:ascii="仿宋" w:hAnsi="仿宋" w:eastAsia="仿宋" w:cs="仿宋"/>
          <w:color w:val="auto"/>
          <w:sz w:val="24"/>
          <w:highlight w:val="none"/>
        </w:rPr>
      </w:pPr>
      <w:r>
        <w:rPr>
          <w:rFonts w:hint="eastAsia" w:ascii="仿宋" w:hAnsi="仿宋" w:eastAsia="仿宋" w:cs="仿宋"/>
          <w:color w:val="auto"/>
          <w:sz w:val="24"/>
          <w:highlight w:val="none"/>
        </w:rPr>
        <w:t>系统的可用性、可靠性、稳定性以及易用性要求按照相关国家标准。</w:t>
      </w:r>
    </w:p>
    <w:p>
      <w:pPr>
        <w:numPr>
          <w:ilvl w:val="1"/>
          <w:numId w:val="13"/>
        </w:numPr>
        <w:adjustRightInd/>
        <w:spacing w:line="360" w:lineRule="auto"/>
        <w:ind w:left="525" w:leftChars="50" w:hanging="420"/>
        <w:jc w:val="left"/>
        <w:outlineLvl w:val="1"/>
        <w:rPr>
          <w:rFonts w:ascii="仿宋" w:hAnsi="仿宋" w:eastAsia="仿宋" w:cs="仿宋"/>
          <w:b/>
          <w:color w:val="auto"/>
          <w:sz w:val="36"/>
          <w:szCs w:val="21"/>
          <w:highlight w:val="none"/>
        </w:rPr>
      </w:pPr>
      <w:r>
        <w:rPr>
          <w:rFonts w:hint="eastAsia" w:ascii="仿宋" w:hAnsi="仿宋" w:eastAsia="仿宋" w:cs="仿宋"/>
          <w:b/>
          <w:color w:val="auto"/>
          <w:sz w:val="36"/>
          <w:szCs w:val="21"/>
          <w:highlight w:val="none"/>
        </w:rPr>
        <w:t>项目实施要求</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项目建设总工期为8个月，其中建设工期为6个月，试运行2个月。</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详细实施进度要求如下：</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 合同签订后10个工作日内，进一步优化需求分析、概要设计、详细设计，并细化系统建设计划、目标任务书和测试验收方案。</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2) 合同签订后6个月内，完成项目开发、编码，测试，实现系统全部功能，完成调试、集成等，通过初步验收，进入试运行；</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3）项目通过初验后2个月内完成培训、试运行，系统修改完善后正常、稳定运行，经竣工验收，进入维护期。</w:t>
      </w:r>
      <w:r>
        <w:rPr>
          <w:rFonts w:hint="eastAsia" w:ascii="仿宋" w:hAnsi="仿宋" w:eastAsia="仿宋" w:cs="仿宋"/>
          <w:color w:val="auto"/>
          <w:sz w:val="24"/>
          <w:szCs w:val="20"/>
          <w:highlight w:val="none"/>
        </w:rPr>
        <w:tab/>
      </w:r>
      <w:r>
        <w:rPr>
          <w:rFonts w:hint="eastAsia" w:ascii="仿宋" w:hAnsi="仿宋" w:eastAsia="仿宋" w:cs="仿宋"/>
          <w:color w:val="auto"/>
          <w:sz w:val="24"/>
          <w:szCs w:val="20"/>
          <w:highlight w:val="none"/>
        </w:rPr>
        <w:tab/>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实施地点：杭州市公安局及其指定地点。</w:t>
      </w:r>
    </w:p>
    <w:p>
      <w:pPr>
        <w:numPr>
          <w:ilvl w:val="1"/>
          <w:numId w:val="13"/>
        </w:numPr>
        <w:adjustRightInd/>
        <w:spacing w:line="360" w:lineRule="auto"/>
        <w:ind w:left="525" w:leftChars="50" w:hanging="420"/>
        <w:jc w:val="left"/>
        <w:outlineLvl w:val="1"/>
        <w:rPr>
          <w:rFonts w:ascii="仿宋" w:hAnsi="仿宋" w:eastAsia="仿宋" w:cs="仿宋"/>
          <w:b/>
          <w:color w:val="auto"/>
          <w:sz w:val="36"/>
          <w:szCs w:val="21"/>
          <w:highlight w:val="none"/>
        </w:rPr>
      </w:pPr>
      <w:r>
        <w:rPr>
          <w:rFonts w:hint="eastAsia" w:ascii="仿宋" w:hAnsi="仿宋" w:eastAsia="仿宋" w:cs="仿宋"/>
          <w:b/>
          <w:color w:val="auto"/>
          <w:sz w:val="36"/>
          <w:szCs w:val="21"/>
          <w:highlight w:val="none"/>
        </w:rPr>
        <w:t>质量保证</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投标人须保证所提供产品符合国家有关规定。投标人须保证所提供产品具有合法的版权或使用权，本项目采购的产品，如在本项目范围内使用过程中出现版权或使用权纠纷，应由投标人负责，采购人不承担责任。</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2、投标人必须保证解决项目所涉及的技术问题，如因技术原因无法满足采购人需求，由此产生的风险由投标人承担。</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3、投标人在质保期内，如遇软件产品升级、改版，应提供更新、升级服务。</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注：中标人对数据没有任何的处置权和使用权。</w:t>
      </w:r>
    </w:p>
    <w:p>
      <w:pPr>
        <w:numPr>
          <w:ilvl w:val="1"/>
          <w:numId w:val="13"/>
        </w:numPr>
        <w:adjustRightInd/>
        <w:spacing w:line="360" w:lineRule="auto"/>
        <w:ind w:left="525" w:leftChars="50" w:hanging="420"/>
        <w:jc w:val="left"/>
        <w:outlineLvl w:val="1"/>
        <w:rPr>
          <w:rFonts w:ascii="仿宋" w:hAnsi="仿宋" w:eastAsia="仿宋" w:cs="仿宋"/>
          <w:b/>
          <w:color w:val="auto"/>
          <w:sz w:val="36"/>
          <w:szCs w:val="21"/>
          <w:highlight w:val="none"/>
        </w:rPr>
      </w:pPr>
      <w:r>
        <w:rPr>
          <w:rFonts w:hint="eastAsia" w:ascii="仿宋" w:hAnsi="仿宋" w:eastAsia="仿宋" w:cs="仿宋"/>
          <w:b/>
          <w:color w:val="auto"/>
          <w:sz w:val="36"/>
          <w:szCs w:val="21"/>
          <w:highlight w:val="none"/>
        </w:rPr>
        <w:t>项目培训和售后服务要求</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1、技术力量和人员配置</w:t>
      </w:r>
    </w:p>
    <w:p>
      <w:pPr>
        <w:adjustRightInd/>
        <w:spacing w:line="360" w:lineRule="auto"/>
        <w:ind w:left="105" w:firstLine="470"/>
        <w:rPr>
          <w:rFonts w:hint="eastAsia" w:ascii="仿宋" w:hAnsi="仿宋" w:eastAsia="仿宋_GB2312" w:cs="仿宋"/>
          <w:color w:val="auto"/>
          <w:sz w:val="24"/>
          <w:szCs w:val="20"/>
          <w:highlight w:val="none"/>
        </w:rPr>
      </w:pPr>
      <w:r>
        <w:rPr>
          <w:rFonts w:hint="eastAsia" w:ascii="仿宋_GB2312" w:hAnsi="仿宋" w:eastAsia="仿宋_GB2312" w:cs="宋体"/>
          <w:color w:val="auto"/>
          <w:kern w:val="0"/>
          <w:sz w:val="24"/>
          <w:highlight w:val="none"/>
          <w:lang w:val="zh-CN"/>
        </w:rPr>
        <w:t>①</w:t>
      </w:r>
      <w:r>
        <w:rPr>
          <w:rFonts w:hint="eastAsia" w:ascii="仿宋" w:hAnsi="仿宋" w:eastAsia="仿宋" w:cs="仿宋"/>
          <w:color w:val="auto"/>
          <w:sz w:val="24"/>
          <w:szCs w:val="20"/>
          <w:highlight w:val="none"/>
        </w:rPr>
        <w:t>要求项目投标人选派具有深厚应用软件开发、系统集成与实施经验的项目经理和精深专业技术的工程师</w:t>
      </w:r>
      <w:r>
        <w:rPr>
          <w:rFonts w:hint="eastAsia" w:ascii="仿宋_GB2312" w:hAnsi="仿宋" w:eastAsia="仿宋_GB2312"/>
          <w:color w:val="auto"/>
          <w:sz w:val="24"/>
          <w:highlight w:val="none"/>
        </w:rPr>
        <w:t>，</w:t>
      </w:r>
      <w:r>
        <w:rPr>
          <w:rFonts w:hint="eastAsia" w:ascii="仿宋_GB2312" w:hAnsi="仿宋_GB2312" w:eastAsia="仿宋_GB2312" w:cs="仿宋_GB2312"/>
          <w:color w:val="auto"/>
          <w:sz w:val="24"/>
          <w:highlight w:val="none"/>
        </w:rPr>
        <w:t>技术负责人具备</w:t>
      </w:r>
      <w:r>
        <w:rPr>
          <w:rFonts w:hint="eastAsia" w:ascii="仿宋_GB2312" w:hAnsi="仿宋" w:eastAsia="仿宋_GB2312"/>
          <w:color w:val="auto"/>
          <w:sz w:val="24"/>
          <w:highlight w:val="none"/>
        </w:rPr>
        <w:t>软件开发经验，具有系统架构设计师及高级程序员</w:t>
      </w:r>
      <w:r>
        <w:rPr>
          <w:rFonts w:hint="eastAsia" w:ascii="仿宋_GB2312" w:hAnsi="仿宋_GB2312" w:eastAsia="仿宋_GB2312" w:cs="仿宋_GB2312"/>
          <w:color w:val="auto"/>
          <w:sz w:val="24"/>
          <w:highlight w:val="none"/>
        </w:rPr>
        <w:t>资质证书。能</w:t>
      </w:r>
      <w:r>
        <w:rPr>
          <w:rFonts w:hint="eastAsia" w:ascii="仿宋" w:hAnsi="仿宋" w:eastAsia="仿宋" w:cs="仿宋"/>
          <w:color w:val="auto"/>
          <w:sz w:val="24"/>
          <w:szCs w:val="20"/>
          <w:highlight w:val="none"/>
        </w:rPr>
        <w:t>结合其在应用软件开发、系统集成与实施方面的积累经验，提出较详细的项目实施计划，确定软件系统需求调研、系统分析和开发、实施、试运行、正式运行、验收等的各项规范；提出项目完善的售后服务体系，为该项目在服务保证期内和将来提供统一技术服务界面，融合系统软件集成商、应用软件开发商的售后服务；制定详细的培训计划，保证系统各级用户正常系统使用和运行维护管理。</w:t>
      </w:r>
      <w:r>
        <w:rPr>
          <w:rFonts w:hint="eastAsia" w:ascii="仿宋_GB2312" w:hAnsi="仿宋_GB2312" w:eastAsia="仿宋_GB2312" w:cs="仿宋_GB2312"/>
          <w:color w:val="auto"/>
          <w:sz w:val="24"/>
          <w:szCs w:val="22"/>
          <w:highlight w:val="none"/>
        </w:rPr>
        <w:t>项目组实施人员具有专业人员素质、技术能力，具有类似项目实施经历；具有注册信息安全专业人员资格证书</w:t>
      </w:r>
      <w:r>
        <w:rPr>
          <w:rFonts w:hint="eastAsia" w:ascii="仿宋_GB2312" w:hAnsi="仿宋_GB2312" w:eastAsia="仿宋_GB2312" w:cs="仿宋_GB2312"/>
          <w:color w:val="auto"/>
          <w:sz w:val="24"/>
          <w:highlight w:val="none"/>
        </w:rPr>
        <w:t>、软件设计师等资格证书。</w:t>
      </w:r>
    </w:p>
    <w:p>
      <w:pPr>
        <w:snapToGrid w:val="0"/>
        <w:spacing w:line="360" w:lineRule="auto"/>
        <w:ind w:firstLine="480" w:firstLineChars="200"/>
        <w:rPr>
          <w:rFonts w:ascii="仿宋_GB2312" w:eastAsia="仿宋_GB2312"/>
          <w:color w:val="auto"/>
          <w:sz w:val="24"/>
          <w:highlight w:val="none"/>
          <w:lang w:val="zh-CN"/>
        </w:rPr>
      </w:pPr>
      <w:r>
        <w:rPr>
          <w:rFonts w:hint="eastAsia" w:ascii="仿宋_GB2312" w:hAnsi="仿宋" w:eastAsia="仿宋_GB2312" w:cs="宋体"/>
          <w:color w:val="auto"/>
          <w:kern w:val="0"/>
          <w:sz w:val="24"/>
          <w:highlight w:val="none"/>
          <w:lang w:val="zh-CN"/>
        </w:rPr>
        <w:t>②投标人具有完备的项目实施规范和管理制度、</w:t>
      </w:r>
      <w:r>
        <w:rPr>
          <w:rFonts w:hint="eastAsia" w:ascii="仿宋_GB2312" w:hAnsi="仿宋" w:eastAsia="仿宋_GB2312" w:cs="宋体"/>
          <w:color w:val="auto"/>
          <w:sz w:val="24"/>
          <w:highlight w:val="none"/>
        </w:rPr>
        <w:t>ISO9000</w:t>
      </w:r>
      <w:r>
        <w:rPr>
          <w:rFonts w:hint="eastAsia" w:ascii="仿宋_GB2312" w:hAnsi="仿宋" w:eastAsia="仿宋_GB2312" w:cs="宋体"/>
          <w:color w:val="auto"/>
          <w:sz w:val="24"/>
          <w:highlight w:val="none"/>
          <w:lang w:val="zh-CN"/>
        </w:rPr>
        <w:t>质量管理体系</w:t>
      </w:r>
      <w:r>
        <w:rPr>
          <w:rFonts w:hint="eastAsia" w:ascii="仿宋_GB2312" w:hAnsi="仿宋" w:eastAsia="仿宋_GB2312" w:cs="宋体"/>
          <w:color w:val="auto"/>
          <w:kern w:val="0"/>
          <w:sz w:val="24"/>
          <w:highlight w:val="none"/>
          <w:lang w:val="zh-CN"/>
        </w:rPr>
        <w:t>，并能有效实施；</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2、售后服务要求</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①本项目要求承建单位提供软件五年维护技术支持。</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为了保证本次项目顺利成功，要求投标人承诺项目验收后提供软件五年7*24小时售后技术服务，1小时内做出明确响应和安排，现场响应时间要求是接到用户需求电话后4小时内到达。包括升级、功能完善、故障排除、性能调优、技术咨询等，并负责系统的开发、集成，处理、协调与各系统软件等供应商的关系。</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3、人员培训</w:t>
      </w:r>
    </w:p>
    <w:p>
      <w:pPr>
        <w:pStyle w:val="2"/>
        <w:rPr>
          <w:rFonts w:hint="eastAsia" w:ascii="仿宋" w:hAnsi="仿宋" w:eastAsia="仿宋" w:cs="仿宋"/>
          <w:color w:val="auto"/>
          <w:highlight w:val="none"/>
        </w:rPr>
      </w:pPr>
      <w:r>
        <w:rPr>
          <w:rFonts w:hint="eastAsia" w:ascii="仿宋" w:hAnsi="仿宋" w:eastAsia="仿宋" w:cs="仿宋"/>
          <w:color w:val="auto"/>
          <w:highlight w:val="none"/>
        </w:rPr>
        <w:t>培训方式为工程培训，通过技术培训班结合现场操作对实际操作人员培训，使他们对产品及技术有较深的理解，能熟练地进行系统操作，且能进行日常的系统保养、检修工作，提供两次不少于5人次的现场培训。</w:t>
      </w:r>
    </w:p>
    <w:p>
      <w:pPr>
        <w:pStyle w:val="2"/>
        <w:rPr>
          <w:rFonts w:hint="eastAsia" w:ascii="仿宋" w:hAnsi="仿宋" w:eastAsia="仿宋" w:cs="仿宋"/>
          <w:color w:val="auto"/>
          <w:highlight w:val="none"/>
        </w:rPr>
      </w:pPr>
      <w:r>
        <w:rPr>
          <w:rFonts w:hint="eastAsia" w:ascii="仿宋" w:hAnsi="仿宋" w:eastAsia="仿宋" w:cs="仿宋"/>
          <w:color w:val="auto"/>
          <w:highlight w:val="none"/>
        </w:rPr>
        <w:t>培训方法：</w:t>
      </w:r>
    </w:p>
    <w:p>
      <w:pPr>
        <w:pStyle w:val="2"/>
        <w:rPr>
          <w:rFonts w:hint="eastAsia" w:ascii="仿宋" w:hAnsi="仿宋" w:eastAsia="仿宋" w:cs="仿宋"/>
          <w:color w:val="auto"/>
          <w:highlight w:val="none"/>
        </w:rPr>
      </w:pPr>
      <w:r>
        <w:rPr>
          <w:rFonts w:hint="eastAsia" w:ascii="仿宋" w:hAnsi="仿宋" w:eastAsia="仿宋" w:cs="仿宋"/>
          <w:color w:val="auto"/>
          <w:highlight w:val="none"/>
        </w:rPr>
        <w:t>①  培训班：进行理论及系统操作、维护的培训</w:t>
      </w:r>
    </w:p>
    <w:p>
      <w:pPr>
        <w:pStyle w:val="2"/>
        <w:rPr>
          <w:rFonts w:hint="eastAsia" w:ascii="仿宋" w:hAnsi="仿宋" w:eastAsia="仿宋" w:cs="仿宋"/>
          <w:color w:val="auto"/>
          <w:highlight w:val="none"/>
        </w:rPr>
      </w:pPr>
      <w:r>
        <w:rPr>
          <w:rFonts w:hint="eastAsia" w:ascii="仿宋" w:hAnsi="仿宋" w:eastAsia="仿宋" w:cs="仿宋"/>
          <w:color w:val="auto"/>
          <w:highlight w:val="none"/>
        </w:rPr>
        <w:t>②  现场培训：在整个系统安装、调试进程中进行现场培训。</w:t>
      </w:r>
    </w:p>
    <w:p>
      <w:pPr>
        <w:pStyle w:val="2"/>
        <w:rPr>
          <w:rFonts w:hint="eastAsia" w:ascii="仿宋" w:hAnsi="仿宋" w:eastAsia="仿宋" w:cs="仿宋"/>
          <w:color w:val="auto"/>
          <w:highlight w:val="none"/>
        </w:rPr>
      </w:pPr>
      <w:r>
        <w:rPr>
          <w:rFonts w:hint="eastAsia" w:ascii="仿宋" w:hAnsi="仿宋" w:eastAsia="仿宋" w:cs="仿宋"/>
          <w:color w:val="auto"/>
          <w:highlight w:val="none"/>
        </w:rPr>
        <w:t>培训结合工程进度，与系统验收时间同步进行。</w:t>
      </w:r>
    </w:p>
    <w:p>
      <w:pPr>
        <w:numPr>
          <w:ilvl w:val="1"/>
          <w:numId w:val="13"/>
        </w:numPr>
        <w:adjustRightInd/>
        <w:spacing w:line="360" w:lineRule="auto"/>
        <w:ind w:left="525" w:leftChars="50" w:hanging="420"/>
        <w:jc w:val="left"/>
        <w:outlineLvl w:val="1"/>
        <w:rPr>
          <w:rFonts w:ascii="仿宋" w:hAnsi="仿宋" w:eastAsia="仿宋" w:cs="仿宋"/>
          <w:b/>
          <w:color w:val="auto"/>
          <w:sz w:val="36"/>
          <w:szCs w:val="21"/>
          <w:highlight w:val="none"/>
        </w:rPr>
      </w:pPr>
      <w:r>
        <w:rPr>
          <w:rFonts w:hint="eastAsia" w:ascii="仿宋" w:hAnsi="仿宋" w:eastAsia="仿宋" w:cs="仿宋"/>
          <w:b/>
          <w:color w:val="auto"/>
          <w:sz w:val="36"/>
          <w:szCs w:val="21"/>
          <w:highlight w:val="none"/>
        </w:rPr>
        <w:t>技术服务要求</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投标人应确保其技术建议以及所提供的设备的完整性、实用性，保证全部系统及时投入正常运行。否则若出现因投标人提供的设备不满足要求、不合理，或者其所提供的技术支持和服务不全面，而导致系统无法实现或不能完全实现的状况，投标人负全部责任。</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2、特别提示：采购人需求在开发期和试运行期内，仍有可能不断完善，投标人须承诺在采购需求或政策法规范围内，随着采购人需求的变动随时做出响应，修改应用软件。正式验收通过后，若有需求变动，在维护期内，投标人须承诺在采购需求和政策法规范围内，仍应按采购人需求对整个系统做出相应修改，以满足采购人的需求软件。版权归杭州市公安局所有。</w:t>
      </w:r>
    </w:p>
    <w:p>
      <w:pPr>
        <w:numPr>
          <w:ilvl w:val="1"/>
          <w:numId w:val="13"/>
        </w:numPr>
        <w:adjustRightInd/>
        <w:spacing w:line="360" w:lineRule="auto"/>
        <w:ind w:left="525" w:leftChars="50" w:hanging="420"/>
        <w:jc w:val="left"/>
        <w:outlineLvl w:val="1"/>
        <w:rPr>
          <w:rFonts w:ascii="仿宋" w:hAnsi="仿宋" w:eastAsia="仿宋" w:cs="仿宋"/>
          <w:b/>
          <w:color w:val="auto"/>
          <w:sz w:val="36"/>
          <w:szCs w:val="21"/>
          <w:highlight w:val="none"/>
        </w:rPr>
      </w:pPr>
      <w:r>
        <w:rPr>
          <w:rFonts w:hint="eastAsia" w:ascii="仿宋" w:hAnsi="仿宋" w:eastAsia="仿宋" w:cs="仿宋"/>
          <w:b/>
          <w:color w:val="auto"/>
          <w:sz w:val="36"/>
          <w:szCs w:val="21"/>
          <w:highlight w:val="none"/>
        </w:rPr>
        <w:t>验收要求</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项目的工作内容及成果文档的提交应覆盖以下内容，电子文档是成果不可分割的部分。文档的提交应覆盖以下内容，电子文档是成果不可分割的部分。要求如下文档：</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1、项目实施前：施工方案、项目实施计划；</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2、项目实施期间：项目实施过程中衍生的其它相关资料；</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3、项目实施后：系统试运行和自测报告、故障诊断与排除手册、工作总结报告；</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4、培训期间：培训计划、培训实施情况、用户使用手册；</w:t>
      </w:r>
    </w:p>
    <w:p>
      <w:pPr>
        <w:adjustRightInd/>
        <w:spacing w:line="360" w:lineRule="auto"/>
        <w:ind w:left="105" w:firstLine="470"/>
        <w:rPr>
          <w:rFonts w:ascii="仿宋" w:hAnsi="仿宋" w:eastAsia="仿宋" w:cs="仿宋"/>
          <w:color w:val="auto"/>
          <w:sz w:val="24"/>
          <w:szCs w:val="20"/>
          <w:highlight w:val="none"/>
        </w:rPr>
      </w:pPr>
      <w:r>
        <w:rPr>
          <w:rFonts w:hint="eastAsia" w:ascii="仿宋" w:hAnsi="仿宋" w:eastAsia="仿宋" w:cs="仿宋"/>
          <w:color w:val="auto"/>
          <w:sz w:val="24"/>
          <w:szCs w:val="20"/>
          <w:highlight w:val="none"/>
        </w:rPr>
        <w:t>5、其他需要提交的材料</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rPr>
        <w:t>第三方检测报告。</w:t>
      </w:r>
    </w:p>
    <w:p>
      <w:pPr>
        <w:numPr>
          <w:ilvl w:val="1"/>
          <w:numId w:val="13"/>
        </w:numPr>
        <w:adjustRightInd/>
        <w:spacing w:line="360" w:lineRule="auto"/>
        <w:ind w:left="525" w:leftChars="50" w:hanging="420"/>
        <w:jc w:val="left"/>
        <w:outlineLvl w:val="1"/>
        <w:rPr>
          <w:rFonts w:ascii="仿宋" w:hAnsi="仿宋" w:eastAsia="仿宋" w:cs="仿宋"/>
          <w:b/>
          <w:color w:val="auto"/>
          <w:sz w:val="36"/>
          <w:szCs w:val="21"/>
          <w:highlight w:val="none"/>
        </w:rPr>
      </w:pPr>
      <w:r>
        <w:rPr>
          <w:rFonts w:hint="eastAsia" w:ascii="仿宋" w:hAnsi="仿宋" w:eastAsia="仿宋" w:cs="仿宋"/>
          <w:b/>
          <w:color w:val="auto"/>
          <w:sz w:val="36"/>
          <w:szCs w:val="21"/>
          <w:highlight w:val="none"/>
        </w:rPr>
        <w:t>投标文件编制要求：</w:t>
      </w:r>
    </w:p>
    <w:p>
      <w:pPr>
        <w:pStyle w:val="449"/>
        <w:snapToGrid w:val="0"/>
        <w:rPr>
          <w:rFonts w:ascii="仿宋_GB2312" w:hAnsi="仿宋" w:eastAsia="仿宋_GB2312"/>
          <w:color w:val="auto"/>
          <w:highlight w:val="none"/>
        </w:rPr>
      </w:pPr>
      <w:r>
        <w:rPr>
          <w:rFonts w:hint="eastAsia" w:ascii="仿宋_GB2312" w:hAnsi="仿宋" w:eastAsia="仿宋_GB2312"/>
          <w:color w:val="auto"/>
          <w:highlight w:val="none"/>
        </w:rPr>
        <w:t>1、投标人须保证所提供产品符合国家有关规定。投标人须保证所提供产品具有合法的版权或使用权，本项目采购的产品，如在本项目范围内使用过程中出现版权或使用权纠纷，应由投标人负责，采购人不承担责任。</w:t>
      </w:r>
    </w:p>
    <w:p>
      <w:pPr>
        <w:pStyle w:val="449"/>
        <w:snapToGrid w:val="0"/>
        <w:rPr>
          <w:rFonts w:ascii="仿宋_GB2312" w:hAnsi="仿宋" w:eastAsia="仿宋_GB2312"/>
          <w:color w:val="auto"/>
          <w:highlight w:val="none"/>
        </w:rPr>
      </w:pPr>
      <w:r>
        <w:rPr>
          <w:rFonts w:hint="eastAsia" w:ascii="仿宋_GB2312" w:hAnsi="仿宋" w:eastAsia="仿宋_GB2312"/>
          <w:color w:val="auto"/>
          <w:highlight w:val="none"/>
        </w:rPr>
        <w:t>2、投标人必须保证解决项目所涉及的技术问题，如因技术原因无法满足采购人需求，由此产生的风险由投标人承担。</w:t>
      </w:r>
    </w:p>
    <w:p>
      <w:pPr>
        <w:pStyle w:val="449"/>
        <w:snapToGrid w:val="0"/>
        <w:rPr>
          <w:rFonts w:ascii="仿宋_GB2312" w:hAnsi="仿宋" w:eastAsia="仿宋_GB2312"/>
          <w:color w:val="auto"/>
          <w:highlight w:val="none"/>
        </w:rPr>
      </w:pPr>
      <w:r>
        <w:rPr>
          <w:rFonts w:hint="eastAsia" w:ascii="仿宋_GB2312" w:hAnsi="仿宋" w:eastAsia="仿宋_GB2312"/>
          <w:color w:val="auto"/>
          <w:highlight w:val="none"/>
        </w:rPr>
        <w:t>3、投标人在质保期内，如遇软件产品升级、改版，应提供更新、升级服务。</w:t>
      </w:r>
    </w:p>
    <w:p>
      <w:pPr>
        <w:pStyle w:val="449"/>
        <w:snapToGrid w:val="0"/>
        <w:rPr>
          <w:rFonts w:ascii="仿宋_GB2312" w:hAnsi="仿宋" w:eastAsia="仿宋_GB2312"/>
          <w:color w:val="auto"/>
          <w:highlight w:val="none"/>
        </w:rPr>
      </w:pPr>
      <w:r>
        <w:rPr>
          <w:rFonts w:hint="eastAsia" w:ascii="仿宋_GB2312" w:hAnsi="仿宋" w:eastAsia="仿宋_GB2312"/>
          <w:color w:val="auto"/>
          <w:highlight w:val="none"/>
        </w:rPr>
        <w:t>4、</w:t>
      </w:r>
      <w:r>
        <w:rPr>
          <w:rFonts w:hint="eastAsia" w:ascii="仿宋_GB2312" w:hAnsi="仿宋" w:eastAsia="仿宋_GB2312" w:cs="宋体"/>
          <w:color w:val="auto"/>
          <w:highlight w:val="none"/>
        </w:rPr>
        <w:t>投标人按采购人要求有明确的建设质量目标，质量保证措施，并具有详细可行的实施内容及工期保证，以及合理可行的</w:t>
      </w:r>
      <w:r>
        <w:rPr>
          <w:rFonts w:hint="eastAsia" w:ascii="仿宋_GB2312" w:hAnsi="仿宋" w:eastAsia="仿宋_GB2312"/>
          <w:color w:val="auto"/>
          <w:highlight w:val="none"/>
        </w:rPr>
        <w:t>功能测试及验收方案等。</w:t>
      </w:r>
    </w:p>
    <w:p>
      <w:pPr>
        <w:pStyle w:val="4"/>
        <w:numPr>
          <w:ilvl w:val="0"/>
          <w:numId w:val="0"/>
        </w:numPr>
        <w:jc w:val="center"/>
        <w:rPr>
          <w:rFonts w:ascii="仿宋_GB2312" w:hAnsi="仿宋" w:eastAsia="仿宋_GB2312" w:cs="仿宋_GB2312"/>
          <w:b w:val="0"/>
          <w:color w:val="auto"/>
          <w:sz w:val="36"/>
          <w:szCs w:val="36"/>
          <w:highlight w:val="none"/>
        </w:rPr>
      </w:pPr>
      <w:r>
        <w:rPr>
          <w:rFonts w:hint="eastAsia" w:ascii="仿宋_GB2312" w:hAnsi="仿宋" w:eastAsia="仿宋_GB2312" w:cs="仿宋_GB2312"/>
          <w:b w:val="0"/>
          <w:color w:val="auto"/>
          <w:sz w:val="36"/>
          <w:szCs w:val="36"/>
          <w:highlight w:val="none"/>
        </w:rPr>
        <w:br w:type="page"/>
      </w:r>
      <w:r>
        <w:rPr>
          <w:rFonts w:hint="eastAsia" w:ascii="仿宋_GB2312" w:hAnsi="仿宋" w:eastAsia="仿宋_GB2312" w:cs="仿宋_GB2312"/>
          <w:bCs w:val="0"/>
          <w:color w:val="auto"/>
          <w:kern w:val="2"/>
          <w:sz w:val="36"/>
          <w:szCs w:val="36"/>
          <w:highlight w:val="none"/>
        </w:rPr>
        <w:t>第四部分   评标方法及评分标准</w:t>
      </w:r>
    </w:p>
    <w:p>
      <w:pPr>
        <w:snapToGrid w:val="0"/>
        <w:spacing w:line="360" w:lineRule="auto"/>
        <w:ind w:firstLine="3052" w:firstLineChars="950"/>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Arial"/>
          <w:b/>
          <w:color w:val="auto"/>
          <w:kern w:val="0"/>
          <w:sz w:val="24"/>
          <w:highlight w:val="none"/>
        </w:rPr>
        <w:t>1.综合评分法。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highlight w:val="none"/>
        </w:rPr>
      </w:pPr>
    </w:p>
    <w:p>
      <w:pPr>
        <w:snapToGrid w:val="0"/>
        <w:spacing w:line="360" w:lineRule="auto"/>
        <w:ind w:left="120" w:leftChars="57" w:firstLine="422" w:firstLineChars="150"/>
        <w:jc w:val="center"/>
        <w:rPr>
          <w:rFonts w:ascii="仿宋_GB2312" w:hAnsi="仿宋" w:eastAsia="仿宋_GB2312" w:cs="仿宋_GB2312"/>
          <w:b/>
          <w:color w:val="auto"/>
          <w:sz w:val="32"/>
          <w:highlight w:val="none"/>
        </w:rPr>
      </w:pPr>
      <w:r>
        <w:rPr>
          <w:rFonts w:hint="eastAsia" w:ascii="仿宋_GB2312" w:hAnsi="仿宋" w:eastAsia="仿宋_GB2312"/>
          <w:b/>
          <w:color w:val="auto"/>
          <w:sz w:val="28"/>
          <w:szCs w:val="28"/>
          <w:highlight w:val="none"/>
        </w:rPr>
        <w:t xml:space="preserve">   </w:t>
      </w:r>
      <w:r>
        <w:rPr>
          <w:rFonts w:hint="eastAsia" w:ascii="仿宋_GB2312" w:hAnsi="仿宋" w:eastAsia="仿宋_GB2312" w:cs="仿宋_GB2312"/>
          <w:b/>
          <w:color w:val="auto"/>
          <w:sz w:val="32"/>
          <w:highlight w:val="none"/>
        </w:rPr>
        <w:t>二、评标委员会的组成</w:t>
      </w:r>
    </w:p>
    <w:p>
      <w:pPr>
        <w:snapToGri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b/>
          <w:color w:val="auto"/>
          <w:kern w:val="0"/>
          <w:sz w:val="24"/>
          <w:highlight w:val="none"/>
        </w:rPr>
        <w:t>2.评标委员会的组成。</w:t>
      </w:r>
      <w:r>
        <w:rPr>
          <w:rFonts w:hint="eastAsia" w:ascii="仿宋_GB2312" w:hAnsi="仿宋" w:eastAsia="仿宋_GB2312" w:cs="Arial"/>
          <w:color w:val="auto"/>
          <w:kern w:val="0"/>
          <w:sz w:val="24"/>
          <w:highlight w:val="none"/>
        </w:rPr>
        <w:t>评标委员会由采购人代表和评审专家组成，成员人数为5人以上单数，其中评审专家不少于成员总数的三分之二。</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b/>
          <w:color w:val="auto"/>
          <w:kern w:val="0"/>
          <w:highlight w:val="none"/>
        </w:rPr>
        <w:t>3.评</w:t>
      </w:r>
      <w:r>
        <w:rPr>
          <w:rFonts w:hint="eastAsia" w:ascii="仿宋_GB2312" w:hAnsi="仿宋" w:eastAsia="仿宋_GB2312" w:cs="Arial"/>
          <w:b/>
          <w:color w:val="auto"/>
          <w:kern w:val="0"/>
          <w:szCs w:val="24"/>
          <w:highlight w:val="none"/>
        </w:rPr>
        <w:t>标委员会的组成人员的回避。</w:t>
      </w:r>
      <w:r>
        <w:rPr>
          <w:rFonts w:hint="eastAsia" w:ascii="仿宋_GB2312" w:hAnsi="仿宋" w:eastAsia="仿宋_GB2312" w:cs="Arial"/>
          <w:color w:val="auto"/>
          <w:kern w:val="0"/>
          <w:highlight w:val="none"/>
        </w:rPr>
        <w:t>在政府采购活动中，评标委员会的组成人员与供应商有下列利害关系之一的，应当回避：</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3.1参加采购活动前3年内与供应商存在劳动关系；</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3.2参加采购活动前3年内担任供应商的董事、监事；</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3.3参加采购活动前3年内是供应商的控股股东或者实际控制人；</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3.4与供应商的法定代表人或者负责人有夫妻、直系血亲、三代以内旁系血亲或者近姻亲关系；</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3.5与供应商有其他可能影响政府采购活动公平、公正进行的关系。</w:t>
      </w:r>
    </w:p>
    <w:p>
      <w:pPr>
        <w:snapToGrid w:val="0"/>
        <w:spacing w:line="360" w:lineRule="auto"/>
        <w:ind w:left="120" w:leftChars="57" w:firstLine="482" w:firstLineChars="150"/>
        <w:jc w:val="center"/>
        <w:rPr>
          <w:rFonts w:ascii="仿宋_GB2312" w:hAnsi="仿宋" w:eastAsia="仿宋_GB2312"/>
          <w:b/>
          <w:color w:val="auto"/>
          <w:sz w:val="32"/>
          <w:szCs w:val="32"/>
          <w:highlight w:val="none"/>
        </w:rPr>
      </w:pPr>
    </w:p>
    <w:p>
      <w:pPr>
        <w:snapToGrid w:val="0"/>
        <w:spacing w:line="360" w:lineRule="auto"/>
        <w:ind w:left="120" w:leftChars="57" w:firstLine="482" w:firstLineChars="150"/>
        <w:jc w:val="center"/>
        <w:rPr>
          <w:rFonts w:ascii="仿宋_GB2312" w:hAnsi="仿宋" w:eastAsia="仿宋_GB2312"/>
          <w:b/>
          <w:color w:val="auto"/>
          <w:sz w:val="32"/>
          <w:szCs w:val="32"/>
          <w:highlight w:val="none"/>
        </w:rPr>
      </w:pPr>
      <w:r>
        <w:rPr>
          <w:rFonts w:hint="eastAsia" w:ascii="仿宋_GB2312" w:hAnsi="仿宋" w:eastAsia="仿宋_GB2312"/>
          <w:b/>
          <w:color w:val="auto"/>
          <w:sz w:val="32"/>
          <w:szCs w:val="32"/>
          <w:highlight w:val="none"/>
        </w:rPr>
        <w:t>　</w:t>
      </w:r>
      <w:r>
        <w:rPr>
          <w:rFonts w:hint="eastAsia" w:ascii="仿宋_GB2312" w:hAnsi="仿宋" w:eastAsia="仿宋_GB2312" w:cs="仿宋_GB2312"/>
          <w:b/>
          <w:color w:val="auto"/>
          <w:sz w:val="32"/>
          <w:highlight w:val="none"/>
        </w:rPr>
        <w:t>　三、评标委员会的职责</w:t>
      </w:r>
    </w:p>
    <w:p>
      <w:pPr>
        <w:pStyle w:val="124"/>
        <w:spacing w:before="0"/>
        <w:ind w:firstLine="0" w:firstLineChars="0"/>
        <w:rPr>
          <w:rFonts w:ascii="仿宋_GB2312" w:hAnsi="仿宋" w:eastAsia="仿宋_GB2312" w:cs="Arial"/>
          <w:b/>
          <w:color w:val="auto"/>
          <w:kern w:val="0"/>
          <w:szCs w:val="24"/>
          <w:highlight w:val="none"/>
        </w:rPr>
      </w:pPr>
      <w:r>
        <w:rPr>
          <w:rFonts w:hint="eastAsia" w:ascii="仿宋_GB2312" w:hAnsi="仿宋" w:eastAsia="仿宋_GB2312" w:cs="Arial"/>
          <w:b/>
          <w:color w:val="auto"/>
          <w:kern w:val="0"/>
          <w:szCs w:val="24"/>
          <w:highlight w:val="none"/>
        </w:rPr>
        <w:t>4.评标委员会负责具体评标事务，并独立履行下列职责：</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4.1审查、评价投标文件是否符合招标文件的商务、技术等实质性要求；</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4.2要求投标人对投标文件有关事项作出澄清或者说明；</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4.3对投标文件进行比较和评价；</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4.4确定中标候选人名单，以及根据采购人委托直接确定中标人；</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4.5向采购人、采购机构或者有关部门报告评标中发现的违法行为；</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4.6法律、法规、规章、招标文件等规定的其它事项。</w:t>
      </w:r>
    </w:p>
    <w:p>
      <w:pPr>
        <w:pStyle w:val="124"/>
        <w:spacing w:before="0"/>
        <w:ind w:firstLine="0" w:firstLineChars="0"/>
        <w:rPr>
          <w:rFonts w:ascii="仿宋_GB2312" w:hAnsi="仿宋" w:eastAsia="仿宋_GB2312" w:cs="Arial"/>
          <w:b/>
          <w:color w:val="auto"/>
          <w:kern w:val="0"/>
          <w:szCs w:val="24"/>
          <w:highlight w:val="none"/>
        </w:rPr>
      </w:pPr>
      <w:r>
        <w:rPr>
          <w:rFonts w:hint="eastAsia" w:ascii="仿宋_GB2312" w:hAnsi="仿宋" w:eastAsia="仿宋_GB2312" w:cs="Arial"/>
          <w:b/>
          <w:color w:val="auto"/>
          <w:kern w:val="0"/>
          <w:szCs w:val="24"/>
          <w:highlight w:val="none"/>
        </w:rPr>
        <w:t>5.评标委员会及其成员不得有下列行为：</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5.1确定参与评标至评标结束前私自接触投标人；</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5.2接受投标人提出的与投标文件不一致的澄清或者说明，《政府采购货物和服务招标投标管理办法》（财政部令第87号）第五十一条规定的情形除外；</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5.3违反评标纪律发表倾向性意见或者征询采购人的倾向性意见；</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5.4对需要专业判断的主观评审因素协商评分；</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5.5在评标过程中擅离职守，影响评标程序正常进行的；</w:t>
      </w:r>
    </w:p>
    <w:p>
      <w:pPr>
        <w:pStyle w:val="124"/>
        <w:spacing w:before="0"/>
        <w:ind w:firstLine="240" w:firstLineChars="10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5.6记录、复制或者带走任何评标资料；</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5.7其他不遵守评标纪律的行为。</w:t>
      </w:r>
    </w:p>
    <w:p>
      <w:pPr>
        <w:pStyle w:val="124"/>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评标委员会成员有5.1-5.5行为之一的，其评审意见无效，并不得获取评审劳务报酬和报销异地评审差旅费。</w:t>
      </w:r>
    </w:p>
    <w:p>
      <w:pPr>
        <w:pStyle w:val="124"/>
        <w:spacing w:before="0"/>
        <w:ind w:firstLine="0" w:firstLineChars="0"/>
        <w:rPr>
          <w:rFonts w:ascii="仿宋_GB2312" w:hAnsi="仿宋" w:eastAsia="仿宋_GB2312" w:cs="Arial"/>
          <w:color w:val="auto"/>
          <w:kern w:val="0"/>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四、评审程序</w:t>
      </w:r>
    </w:p>
    <w:p>
      <w:pPr>
        <w:pStyle w:val="124"/>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b/>
          <w:color w:val="auto"/>
          <w:kern w:val="0"/>
          <w:szCs w:val="24"/>
          <w:highlight w:val="none"/>
        </w:rPr>
        <w:t xml:space="preserve">6.符合性审查。 </w:t>
      </w:r>
      <w:r>
        <w:rPr>
          <w:rFonts w:hint="eastAsia" w:ascii="仿宋_GB2312" w:hAnsi="仿宋" w:eastAsia="仿宋_GB2312" w:cs="Arial"/>
          <w:color w:val="auto"/>
          <w:kern w:val="0"/>
          <w:szCs w:val="24"/>
          <w:highlight w:val="none"/>
        </w:rPr>
        <w:t>评标委员会应当对符合资格的投标人的投标文件进行符合性审查，以确定其是否满足招标文件的实质性要求。符合投标无效情形的，投标无效。</w:t>
      </w:r>
    </w:p>
    <w:p>
      <w:pPr>
        <w:pStyle w:val="124"/>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b/>
          <w:color w:val="auto"/>
          <w:kern w:val="0"/>
          <w:szCs w:val="24"/>
          <w:highlight w:val="none"/>
        </w:rPr>
        <w:t>7.投标人澄清、说明或者补正。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24"/>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b/>
          <w:color w:val="auto"/>
          <w:kern w:val="0"/>
          <w:szCs w:val="24"/>
          <w:highlight w:val="none"/>
        </w:rPr>
        <w:t>8. 比较与评价。</w:t>
      </w:r>
      <w:r>
        <w:rPr>
          <w:rFonts w:hint="eastAsia" w:ascii="仿宋_GB2312" w:hAnsi="仿宋" w:eastAsia="仿宋_GB2312" w:cs="Arial"/>
          <w:color w:val="auto"/>
          <w:kern w:val="0"/>
          <w:szCs w:val="24"/>
          <w:highlight w:val="none"/>
        </w:rPr>
        <w:t>评标委员会应当按照评标标准，对符合性审查合格的投标文件进行商务和技术评估，综合比较与评价。</w:t>
      </w:r>
    </w:p>
    <w:p>
      <w:pPr>
        <w:pStyle w:val="124"/>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b/>
          <w:color w:val="auto"/>
          <w:kern w:val="0"/>
          <w:szCs w:val="24"/>
          <w:highlight w:val="none"/>
        </w:rPr>
        <w:t>9. 汇总（商务技术得分情况）。</w:t>
      </w:r>
      <w:r>
        <w:rPr>
          <w:rFonts w:hint="eastAsia" w:ascii="仿宋_GB2312" w:hAnsi="仿宋" w:eastAsia="仿宋_GB2312" w:cs="Arial"/>
          <w:color w:val="auto"/>
          <w:kern w:val="0"/>
          <w:szCs w:val="24"/>
          <w:highlight w:val="none"/>
        </w:rPr>
        <w:t>评标委员会各成员应当独立对每个投标人的商务和技术文件进行评价，并汇总商务技术得分情况。</w:t>
      </w:r>
    </w:p>
    <w:p>
      <w:pPr>
        <w:pStyle w:val="124"/>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b/>
          <w:color w:val="auto"/>
          <w:kern w:val="0"/>
          <w:szCs w:val="24"/>
          <w:highlight w:val="none"/>
        </w:rPr>
        <w:t>10. 报价审核。</w:t>
      </w:r>
      <w:r>
        <w:rPr>
          <w:rFonts w:hint="eastAsia" w:ascii="仿宋_GB2312" w:hAnsi="仿宋" w:eastAsia="仿宋_GB2312" w:cs="Arial"/>
          <w:color w:val="auto"/>
          <w:kern w:val="0"/>
          <w:szCs w:val="24"/>
          <w:highlight w:val="none"/>
        </w:rPr>
        <w:t>对经商务和技术评审符合采购需求的投标人的报价的合理性、准确性等进行审查核实。</w:t>
      </w:r>
    </w:p>
    <w:p>
      <w:pPr>
        <w:pStyle w:val="124"/>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10.1评标委员会认为投标人的报价明显低于其他通过符合性审查投标人的报价，有可能影响产品质量或者不能诚信履约的，应当要求其在合理的时间内提供书面说明，必要时提交相关证明材料。</w:t>
      </w:r>
    </w:p>
    <w:p>
      <w:pPr>
        <w:pStyle w:val="124"/>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10.2根据财政部发布的《政府采购促进中小企业发展暂行办法》规定，对于非专门面向中小企业的项目，对小型和微型企业产品的价格给予一定的扣除，用扣除后的价格参与评审。</w:t>
      </w:r>
    </w:p>
    <w:p>
      <w:pPr>
        <w:pStyle w:val="124"/>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10.3投标价格的修正原则。投标文件报价出现前后不一致的，按照下列规定修正：</w:t>
      </w:r>
    </w:p>
    <w:p>
      <w:pPr>
        <w:pStyle w:val="124"/>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10.3.1投标文件中开标一览表(报价表)内容与投标文件中相应内容不一致的，以开标一览表(报价表)为准;</w:t>
      </w:r>
    </w:p>
    <w:p>
      <w:pPr>
        <w:pStyle w:val="124"/>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10.3.2大写金额和小写金额不一致的，以大写金额为准;</w:t>
      </w:r>
    </w:p>
    <w:p>
      <w:pPr>
        <w:pStyle w:val="124"/>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10.3.3单价金额小数点或者百分比有明显错位的，以开标一览表的总价为准，并修改单价;</w:t>
      </w:r>
    </w:p>
    <w:p>
      <w:pPr>
        <w:pStyle w:val="124"/>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10.3.4总价金额与按单价汇总金额不一致的，以单价金额计算结果为准。</w:t>
      </w:r>
    </w:p>
    <w:p>
      <w:pPr>
        <w:pStyle w:val="124"/>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ascii="仿宋_GB2312" w:hAnsi="仿宋" w:eastAsia="仿宋_GB2312" w:cs="仿宋_GB2312"/>
          <w:b/>
          <w:bCs/>
          <w:color w:val="auto"/>
          <w:sz w:val="24"/>
          <w:highlight w:val="none"/>
        </w:rPr>
      </w:pPr>
      <w:r>
        <w:rPr>
          <w:rFonts w:hint="eastAsia" w:ascii="仿宋_GB2312" w:hAnsi="仿宋" w:eastAsia="仿宋_GB2312" w:cs="仿宋_GB2312"/>
          <w:bCs/>
          <w:color w:val="auto"/>
          <w:sz w:val="24"/>
          <w:highlight w:val="none"/>
        </w:rPr>
        <w:t>▲</w:t>
      </w:r>
      <w:r>
        <w:rPr>
          <w:rFonts w:hint="eastAsia" w:ascii="仿宋_GB2312" w:hAnsi="仿宋" w:eastAsia="仿宋_GB2312" w:cs="仿宋_GB2312"/>
          <w:b/>
          <w:bCs/>
          <w:color w:val="auto"/>
          <w:sz w:val="24"/>
          <w:highlight w:val="none"/>
        </w:rPr>
        <w:t>投标人对根据修正原则修正后的报价不确认的，投标无效。</w:t>
      </w:r>
    </w:p>
    <w:p>
      <w:pPr>
        <w:spacing w:line="360" w:lineRule="auto"/>
        <w:rPr>
          <w:rFonts w:ascii="仿宋_GB2312" w:hAnsi="仿宋" w:eastAsia="仿宋_GB2312" w:cs="Arial"/>
          <w:color w:val="auto"/>
          <w:kern w:val="0"/>
          <w:sz w:val="24"/>
          <w:highlight w:val="none"/>
        </w:rPr>
      </w:pPr>
      <w:r>
        <w:rPr>
          <w:rFonts w:hint="eastAsia" w:ascii="仿宋_GB2312" w:hAnsi="仿宋" w:eastAsia="仿宋_GB2312" w:cs="Arial"/>
          <w:b/>
          <w:color w:val="auto"/>
          <w:kern w:val="0"/>
          <w:sz w:val="24"/>
          <w:highlight w:val="none"/>
        </w:rPr>
        <w:t>11.汇总得分。</w:t>
      </w:r>
      <w:r>
        <w:rPr>
          <w:rFonts w:hint="eastAsia" w:ascii="仿宋_GB2312" w:hAnsi="仿宋" w:eastAsia="仿宋_GB2312" w:cs="Arial"/>
          <w:color w:val="auto"/>
          <w:kern w:val="0"/>
          <w:sz w:val="24"/>
          <w:highlight w:val="none"/>
        </w:rPr>
        <w:t>评标委员会各成员应当独立对每个投标人的投标文件进行评价，并汇总每个投标人的得分。</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b/>
          <w:color w:val="auto"/>
          <w:kern w:val="0"/>
          <w:sz w:val="24"/>
          <w:highlight w:val="none"/>
        </w:rPr>
        <w:t>12.顺序排列与中标候选推荐。</w:t>
      </w:r>
    </w:p>
    <w:p>
      <w:pPr>
        <w:spacing w:line="360" w:lineRule="auto"/>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12.1评标结果按评审后得分由高到低顺序排列。得分相同的，按投标报价由低到高顺序排列。得分且投标报价相同的并列。得分最高的投标人为排名第一的中标候选人。</w:t>
      </w:r>
    </w:p>
    <w:p>
      <w:pPr>
        <w:spacing w:line="360" w:lineRule="auto"/>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6"/>
        <w:spacing w:line="360" w:lineRule="auto"/>
        <w:ind w:left="559" w:hanging="559" w:hangingChars="199"/>
        <w:rPr>
          <w:rFonts w:ascii="仿宋_GB2312" w:hAnsi="仿宋" w:eastAsia="仿宋_GB2312" w:cs="仿宋_GB2312"/>
          <w:color w:val="auto"/>
          <w:szCs w:val="21"/>
          <w:highlight w:val="none"/>
        </w:rPr>
      </w:pPr>
      <w:r>
        <w:rPr>
          <w:rFonts w:hint="eastAsia" w:ascii="仿宋_GB2312" w:hAnsi="仿宋" w:eastAsia="仿宋_GB2312" w:cs="仿宋_GB2312"/>
          <w:b/>
          <w:color w:val="auto"/>
          <w:spacing w:val="20"/>
          <w:highlight w:val="none"/>
        </w:rPr>
        <w:t>13.投标无效。</w:t>
      </w:r>
      <w:r>
        <w:rPr>
          <w:rFonts w:hint="eastAsia" w:ascii="仿宋_GB2312" w:hAnsi="仿宋" w:eastAsia="仿宋_GB2312" w:cs="仿宋_GB2312"/>
          <w:color w:val="auto"/>
          <w:szCs w:val="21"/>
          <w:highlight w:val="none"/>
        </w:rPr>
        <w:t>有下列情况之一的，投标无效：</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w:t>
      </w:r>
      <w:r>
        <w:rPr>
          <w:rFonts w:hint="eastAsia" w:ascii="仿宋_GB2312" w:hAnsi="仿宋" w:eastAsia="仿宋_GB2312" w:cs="仿宋_GB2312"/>
          <w:color w:val="auto"/>
          <w:sz w:val="24"/>
          <w:highlight w:val="none"/>
        </w:rPr>
        <w:t>单位负责人为同一人或者存在直接控股、管理关系的不同供应商参加同一合同项下的政府采购活动的（均无效）；</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w:t>
      </w:r>
      <w:r>
        <w:rPr>
          <w:rFonts w:hint="eastAsia" w:ascii="仿宋_GB2312" w:hAnsi="仿宋" w:eastAsia="仿宋_GB2312" w:cs="仿宋_GB2312"/>
          <w:color w:val="auto"/>
          <w:sz w:val="24"/>
          <w:highlight w:val="none"/>
        </w:rPr>
        <w:t xml:space="preserve">为采购项目提供整体设计、规范编制或者项目管理、监理、检测等服务的供应商再参加该采购项目的其他采购活动的； </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13.3</w:t>
      </w:r>
      <w:r>
        <w:rPr>
          <w:rFonts w:hint="eastAsia" w:ascii="仿宋_GB2312" w:hAnsi="仿宋" w:eastAsia="仿宋_GB2312" w:cs="仿宋_GB2312"/>
          <w:color w:val="auto"/>
          <w:sz w:val="24"/>
          <w:highlight w:val="none"/>
        </w:rPr>
        <w:t>投标人不具备招标文件中规定的资格要求的（投标人未提供有效的资格证明文件的，视为投标人不具备招标文件中规定的资格要求）；</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13.4</w:t>
      </w:r>
      <w:r>
        <w:rPr>
          <w:rFonts w:hint="eastAsia" w:ascii="仿宋_GB2312" w:hAnsi="仿宋" w:eastAsia="仿宋_GB2312" w:cs="仿宋_GB2312"/>
          <w:color w:val="auto"/>
          <w:sz w:val="24"/>
          <w:highlight w:val="none"/>
        </w:rPr>
        <w:t>如以联合体形式参加政府采购活动的，联合体协议不符合招标文件规定的联合体协议要求的；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13.5</w:t>
      </w:r>
      <w:r>
        <w:rPr>
          <w:rFonts w:hint="eastAsia" w:ascii="仿宋_GB2312" w:hAnsi="仿宋" w:eastAsia="仿宋_GB2312" w:cs="仿宋_GB2312"/>
          <w:color w:val="auto"/>
          <w:sz w:val="24"/>
          <w:highlight w:val="none"/>
        </w:rPr>
        <w:t>投标文件未按规定的格式编制的；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13.6</w:t>
      </w:r>
      <w:r>
        <w:rPr>
          <w:rFonts w:hint="eastAsia" w:ascii="仿宋_GB2312" w:hAnsi="仿宋" w:eastAsia="仿宋_GB2312" w:cs="仿宋_GB2312"/>
          <w:color w:val="auto"/>
          <w:sz w:val="24"/>
          <w:highlight w:val="none"/>
        </w:rPr>
        <w:t>投标文件未按招标文件的澄清、修改的内容编制，又不符合实质性要求的；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13.7</w:t>
      </w:r>
      <w:r>
        <w:rPr>
          <w:rFonts w:hint="eastAsia" w:ascii="仿宋_GB2312" w:hAnsi="仿宋" w:eastAsia="仿宋_GB2312" w:cs="仿宋_GB2312"/>
          <w:color w:val="auto"/>
          <w:sz w:val="24"/>
          <w:highlight w:val="none"/>
        </w:rPr>
        <w:t>投标文件组成漏项，内容不全或内容字迹模糊辨认不清的；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13.8</w:t>
      </w:r>
      <w:r>
        <w:rPr>
          <w:rFonts w:hint="eastAsia" w:ascii="仿宋_GB2312" w:hAnsi="仿宋" w:eastAsia="仿宋_GB2312" w:cs="仿宋_GB2312"/>
          <w:color w:val="auto"/>
          <w:sz w:val="24"/>
          <w:highlight w:val="none"/>
        </w:rPr>
        <w:t>投标文件中法人授权书所载内容与本项目内容有异的；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13.9</w:t>
      </w:r>
      <w:r>
        <w:rPr>
          <w:rFonts w:hint="eastAsia" w:ascii="仿宋_GB2312" w:hAnsi="仿宋" w:eastAsia="仿宋_GB2312" w:cs="仿宋_GB2312"/>
          <w:color w:val="auto"/>
          <w:sz w:val="24"/>
          <w:highlight w:val="none"/>
        </w:rPr>
        <w:t>投标文件未按照招标文件要求签署、盖章的；</w:t>
      </w:r>
    </w:p>
    <w:p>
      <w:pPr>
        <w:spacing w:line="360" w:lineRule="auto"/>
        <w:ind w:firstLine="480" w:firstLineChars="200"/>
        <w:rPr>
          <w:rFonts w:ascii="仿宋_GB2312" w:hAnsi="仿宋" w:eastAsia="仿宋_GB2312"/>
          <w:b/>
          <w:color w:val="auto"/>
          <w:sz w:val="24"/>
          <w:highlight w:val="none"/>
        </w:rPr>
      </w:pPr>
      <w:r>
        <w:rPr>
          <w:rFonts w:hint="eastAsia" w:ascii="仿宋_GB2312" w:hAnsi="仿宋" w:eastAsia="仿宋_GB2312"/>
          <w:color w:val="auto"/>
          <w:sz w:val="24"/>
          <w:highlight w:val="none"/>
        </w:rPr>
        <w:t>13.10</w:t>
      </w:r>
      <w:r>
        <w:rPr>
          <w:rFonts w:hint="eastAsia" w:ascii="仿宋_GB2312" w:hAnsi="仿宋" w:eastAsia="仿宋_GB2312" w:cs="仿宋_GB2312"/>
          <w:color w:val="auto"/>
          <w:sz w:val="24"/>
          <w:highlight w:val="none"/>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13.11</w:t>
      </w:r>
      <w:r>
        <w:rPr>
          <w:rFonts w:hint="eastAsia" w:ascii="仿宋_GB2312" w:hAnsi="仿宋" w:eastAsia="仿宋_GB2312" w:cs="仿宋_GB2312"/>
          <w:color w:val="auto"/>
          <w:sz w:val="24"/>
          <w:highlight w:val="none"/>
        </w:rPr>
        <w:t>投标文件含有采购人不能接受的附加条件的；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13.12</w:t>
      </w:r>
      <w:r>
        <w:rPr>
          <w:rFonts w:hint="eastAsia" w:ascii="仿宋_GB2312" w:hAnsi="仿宋" w:eastAsia="仿宋_GB2312" w:cs="仿宋_GB2312"/>
          <w:color w:val="auto"/>
          <w:sz w:val="24"/>
          <w:highlight w:val="none"/>
        </w:rPr>
        <w:t>投标文件中承诺的投标有效期少于招标文件中载明的投标有效期的；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13.13</w:t>
      </w:r>
      <w:r>
        <w:rPr>
          <w:rFonts w:hint="eastAsia" w:ascii="仿宋_GB2312" w:hAnsi="仿宋" w:eastAsia="仿宋_GB2312" w:cs="仿宋_GB2312"/>
          <w:color w:val="auto"/>
          <w:sz w:val="24"/>
          <w:highlight w:val="none"/>
        </w:rPr>
        <w:t>投标人所投内容不符合采购需求中实质性要求的；</w:t>
      </w:r>
    </w:p>
    <w:p>
      <w:pPr>
        <w:snapToGrid w:val="0"/>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w:t>
      </w:r>
      <w:r>
        <w:rPr>
          <w:rFonts w:hint="eastAsia" w:ascii="仿宋_GB2312" w:hAnsi="仿宋" w:eastAsia="仿宋_GB2312"/>
          <w:color w:val="auto"/>
          <w:sz w:val="24"/>
          <w:highlight w:val="none"/>
        </w:rPr>
        <w:t>13.14</w:t>
      </w:r>
      <w:r>
        <w:rPr>
          <w:rFonts w:hint="eastAsia" w:ascii="仿宋_GB2312" w:hAnsi="仿宋" w:eastAsia="仿宋_GB2312" w:cs="仿宋_GB2312"/>
          <w:color w:val="auto"/>
          <w:sz w:val="24"/>
          <w:highlight w:val="none"/>
        </w:rPr>
        <w:t>投标文件出现不是唯一的、有选择性投标报价的;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13.15</w:t>
      </w:r>
      <w:r>
        <w:rPr>
          <w:rFonts w:hint="eastAsia" w:ascii="仿宋_GB2312" w:hAnsi="仿宋" w:eastAsia="仿宋_GB2312" w:cs="仿宋_GB2312"/>
          <w:color w:val="auto"/>
          <w:sz w:val="24"/>
          <w:highlight w:val="none"/>
        </w:rPr>
        <w:t>投标报价高于本项目采购预算或者最高限价的;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13.16</w:t>
      </w:r>
      <w:r>
        <w:rPr>
          <w:rFonts w:hint="eastAsia" w:ascii="仿宋_GB2312" w:hAnsi="仿宋" w:eastAsia="仿宋_GB2312" w:cs="仿宋_GB2312"/>
          <w:color w:val="auto"/>
          <w:sz w:val="24"/>
          <w:highlight w:val="none"/>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13.17</w:t>
      </w:r>
      <w:r>
        <w:rPr>
          <w:rFonts w:hint="eastAsia" w:ascii="仿宋_GB2312" w:hAnsi="仿宋" w:eastAsia="仿宋_GB2312" w:cs="仿宋_GB2312"/>
          <w:color w:val="auto"/>
          <w:sz w:val="24"/>
          <w:highlight w:val="none"/>
        </w:rPr>
        <w:t>《投标（开标）一览表》填写不完整或字迹不能辨认或有漏项的；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13.18</w:t>
      </w:r>
      <w:r>
        <w:rPr>
          <w:rFonts w:hint="eastAsia" w:ascii="仿宋_GB2312" w:hAnsi="仿宋" w:eastAsia="仿宋_GB2312" w:cs="仿宋_GB2312"/>
          <w:color w:val="auto"/>
          <w:sz w:val="24"/>
          <w:highlight w:val="none"/>
        </w:rPr>
        <w:t>投标人对根据修正原则修正后的报价不确认的；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13.19</w:t>
      </w:r>
      <w:r>
        <w:rPr>
          <w:rFonts w:hint="eastAsia" w:ascii="仿宋_GB2312" w:hAnsi="仿宋" w:eastAsia="仿宋_GB2312" w:cs="仿宋_GB2312"/>
          <w:color w:val="auto"/>
          <w:sz w:val="24"/>
          <w:highlight w:val="none"/>
        </w:rPr>
        <w:t>投标人提供虚假材料投标的（包括但不限于以下情节）；</w:t>
      </w:r>
    </w:p>
    <w:p>
      <w:pPr>
        <w:spacing w:line="360" w:lineRule="auto"/>
        <w:ind w:firstLine="720" w:firstLineChars="3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13.19.1</w:t>
      </w:r>
      <w:r>
        <w:rPr>
          <w:rFonts w:hint="eastAsia" w:ascii="仿宋_GB2312" w:hAnsi="仿宋" w:eastAsia="仿宋_GB2312" w:cs="仿宋_GB2312"/>
          <w:color w:val="auto"/>
          <w:sz w:val="24"/>
          <w:highlight w:val="none"/>
        </w:rPr>
        <w:t>使用伪造、变造的许可证件；</w:t>
      </w:r>
      <w:r>
        <w:rPr>
          <w:rFonts w:hint="eastAsia" w:ascii="仿宋_GB2312" w:hAnsi="仿宋" w:eastAsia="仿宋_GB2312" w:cs="仿宋_GB2312"/>
          <w:color w:val="auto"/>
          <w:sz w:val="24"/>
          <w:highlight w:val="none"/>
        </w:rPr>
        <w:br w:type="textWrapping"/>
      </w:r>
      <w:r>
        <w:rPr>
          <w:rFonts w:hint="eastAsia" w:ascii="宋体" w:hAnsi="宋体" w:cs="宋体"/>
          <w:color w:val="auto"/>
          <w:sz w:val="24"/>
          <w:highlight w:val="none"/>
        </w:rPr>
        <w:t>  </w:t>
      </w:r>
      <w:r>
        <w:rPr>
          <w:rFonts w:hint="eastAsia" w:ascii="仿宋_GB2312" w:hAnsi="仿宋" w:eastAsia="仿宋_GB2312" w:cs="仿宋_GB2312"/>
          <w:color w:val="auto"/>
          <w:sz w:val="24"/>
          <w:highlight w:val="none"/>
        </w:rPr>
        <w:t xml:space="preserve"> </w:t>
      </w:r>
      <w:r>
        <w:rPr>
          <w:rFonts w:hint="eastAsia" w:ascii="仿宋_GB2312" w:hAnsi="仿宋" w:eastAsia="仿宋_GB2312"/>
          <w:color w:val="auto"/>
          <w:sz w:val="24"/>
          <w:highlight w:val="none"/>
        </w:rPr>
        <w:t xml:space="preserve"> 13.19.2</w:t>
      </w:r>
      <w:r>
        <w:rPr>
          <w:rFonts w:hint="eastAsia" w:ascii="仿宋_GB2312" w:hAnsi="仿宋" w:eastAsia="仿宋_GB2312" w:cs="仿宋_GB2312"/>
          <w:color w:val="auto"/>
          <w:sz w:val="24"/>
          <w:highlight w:val="none"/>
        </w:rPr>
        <w:t>提供虚假的财务状况或者业绩；</w:t>
      </w:r>
      <w:r>
        <w:rPr>
          <w:rFonts w:hint="eastAsia" w:ascii="仿宋_GB2312" w:hAnsi="仿宋" w:eastAsia="仿宋_GB2312" w:cs="仿宋_GB2312"/>
          <w:color w:val="auto"/>
          <w:sz w:val="24"/>
          <w:highlight w:val="none"/>
        </w:rPr>
        <w:br w:type="textWrapping"/>
      </w:r>
      <w:r>
        <w:rPr>
          <w:rFonts w:hint="eastAsia" w:ascii="宋体" w:hAnsi="宋体" w:cs="宋体"/>
          <w:color w:val="auto"/>
          <w:sz w:val="24"/>
          <w:highlight w:val="none"/>
        </w:rPr>
        <w:t>  </w:t>
      </w:r>
      <w:r>
        <w:rPr>
          <w:rFonts w:hint="eastAsia" w:ascii="仿宋_GB2312" w:hAnsi="仿宋" w:eastAsia="仿宋_GB2312" w:cs="仿宋_GB2312"/>
          <w:color w:val="auto"/>
          <w:sz w:val="24"/>
          <w:highlight w:val="none"/>
        </w:rPr>
        <w:t xml:space="preserve"> </w:t>
      </w:r>
      <w:r>
        <w:rPr>
          <w:rFonts w:hint="eastAsia" w:ascii="仿宋_GB2312" w:hAnsi="仿宋" w:eastAsia="仿宋_GB2312"/>
          <w:color w:val="auto"/>
          <w:sz w:val="24"/>
          <w:highlight w:val="none"/>
        </w:rPr>
        <w:t xml:space="preserve"> 13.19.3</w:t>
      </w:r>
      <w:r>
        <w:rPr>
          <w:rFonts w:hint="eastAsia" w:ascii="仿宋_GB2312" w:hAnsi="仿宋" w:eastAsia="仿宋_GB2312" w:cs="仿宋_GB2312"/>
          <w:color w:val="auto"/>
          <w:sz w:val="24"/>
          <w:highlight w:val="none"/>
        </w:rPr>
        <w:t>提供虚假的项目负责人或者主要技术人员简历、劳动关系证明；</w:t>
      </w:r>
      <w:r>
        <w:rPr>
          <w:rFonts w:hint="eastAsia" w:ascii="仿宋_GB2312" w:hAnsi="仿宋" w:eastAsia="仿宋_GB2312" w:cs="仿宋_GB2312"/>
          <w:color w:val="auto"/>
          <w:sz w:val="24"/>
          <w:highlight w:val="none"/>
        </w:rPr>
        <w:br w:type="textWrapping"/>
      </w:r>
      <w:r>
        <w:rPr>
          <w:rFonts w:hint="eastAsia" w:ascii="宋体" w:hAnsi="宋体" w:cs="宋体"/>
          <w:color w:val="auto"/>
          <w:sz w:val="24"/>
          <w:highlight w:val="none"/>
        </w:rPr>
        <w:t>  </w:t>
      </w:r>
      <w:r>
        <w:rPr>
          <w:rFonts w:hint="eastAsia" w:ascii="仿宋_GB2312" w:hAnsi="仿宋" w:eastAsia="仿宋_GB2312" w:cs="仿宋_GB2312"/>
          <w:color w:val="auto"/>
          <w:sz w:val="24"/>
          <w:highlight w:val="none"/>
        </w:rPr>
        <w:t xml:space="preserve"> </w:t>
      </w:r>
      <w:r>
        <w:rPr>
          <w:rFonts w:hint="eastAsia" w:ascii="仿宋_GB2312" w:hAnsi="仿宋" w:eastAsia="仿宋_GB2312"/>
          <w:color w:val="auto"/>
          <w:sz w:val="24"/>
          <w:highlight w:val="none"/>
        </w:rPr>
        <w:t xml:space="preserve"> 13.19.4</w:t>
      </w:r>
      <w:r>
        <w:rPr>
          <w:rFonts w:hint="eastAsia" w:ascii="仿宋_GB2312" w:hAnsi="仿宋" w:eastAsia="仿宋_GB2312" w:cs="仿宋_GB2312"/>
          <w:color w:val="auto"/>
          <w:sz w:val="24"/>
          <w:highlight w:val="none"/>
        </w:rPr>
        <w:t>提供虚假的信用状况；</w:t>
      </w:r>
      <w:r>
        <w:rPr>
          <w:rFonts w:hint="eastAsia" w:ascii="仿宋_GB2312" w:hAnsi="仿宋" w:eastAsia="仿宋_GB2312" w:cs="仿宋_GB2312"/>
          <w:color w:val="auto"/>
          <w:sz w:val="24"/>
          <w:highlight w:val="none"/>
        </w:rPr>
        <w:br w:type="textWrapping"/>
      </w:r>
      <w:r>
        <w:rPr>
          <w:rFonts w:hint="eastAsia" w:ascii="宋体" w:hAnsi="宋体" w:cs="宋体"/>
          <w:color w:val="auto"/>
          <w:sz w:val="24"/>
          <w:highlight w:val="none"/>
        </w:rPr>
        <w:t> </w:t>
      </w:r>
      <w:r>
        <w:rPr>
          <w:rFonts w:hint="eastAsia" w:ascii="仿宋_GB2312" w:hAnsi="仿宋" w:eastAsia="仿宋_GB2312" w:cs="仿宋_GB2312"/>
          <w:color w:val="auto"/>
          <w:sz w:val="24"/>
          <w:highlight w:val="none"/>
        </w:rPr>
        <w:t xml:space="preserve">   </w:t>
      </w:r>
      <w:r>
        <w:rPr>
          <w:rFonts w:hint="eastAsia" w:ascii="仿宋_GB2312" w:hAnsi="仿宋" w:eastAsia="仿宋_GB2312"/>
          <w:color w:val="auto"/>
          <w:sz w:val="24"/>
          <w:highlight w:val="none"/>
        </w:rPr>
        <w:t xml:space="preserve"> 13.19.5</w:t>
      </w:r>
      <w:r>
        <w:rPr>
          <w:rFonts w:hint="eastAsia" w:ascii="仿宋_GB2312" w:hAnsi="仿宋" w:eastAsia="仿宋_GB2312" w:cs="仿宋_GB2312"/>
          <w:color w:val="auto"/>
          <w:sz w:val="24"/>
          <w:highlight w:val="none"/>
        </w:rPr>
        <w:t>其他弄虚作假的行为。</w:t>
      </w:r>
      <w:r>
        <w:rPr>
          <w:rFonts w:hint="eastAsia" w:ascii="仿宋_GB2312" w:hAnsi="仿宋" w:eastAsia="仿宋_GB2312" w:cs="仿宋_GB2312"/>
          <w:color w:val="auto"/>
          <w:sz w:val="24"/>
          <w:highlight w:val="none"/>
        </w:rPr>
        <w:br w:type="textWrapping"/>
      </w:r>
      <w:r>
        <w:rPr>
          <w:rFonts w:hint="eastAsia" w:ascii="仿宋_GB2312" w:hAnsi="仿宋" w:eastAsia="仿宋_GB2312"/>
          <w:color w:val="auto"/>
          <w:sz w:val="24"/>
          <w:highlight w:val="none"/>
        </w:rPr>
        <w:t xml:space="preserve">   13.20</w:t>
      </w:r>
      <w:r>
        <w:rPr>
          <w:rFonts w:hint="eastAsia" w:ascii="仿宋_GB2312" w:hAnsi="仿宋" w:eastAsia="仿宋_GB2312" w:cs="仿宋_GB2312"/>
          <w:color w:val="auto"/>
          <w:sz w:val="24"/>
          <w:highlight w:val="none"/>
        </w:rPr>
        <w:t>投标人有恶意串通、妨碍其他投标人的竞争行为、损害采购人或者其他投标人的合法权益情形的；有下列情形之一的，属于或视为恶意串通，其投标无效：</w:t>
      </w:r>
    </w:p>
    <w:p>
      <w:pPr>
        <w:spacing w:line="360" w:lineRule="auto"/>
        <w:ind w:firstLine="600" w:firstLineChars="25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13.20.1</w:t>
      </w:r>
      <w:r>
        <w:rPr>
          <w:rFonts w:hint="eastAsia" w:ascii="仿宋_GB2312" w:hAnsi="仿宋" w:eastAsia="仿宋_GB2312" w:cs="仿宋_GB2312"/>
          <w:color w:val="auto"/>
          <w:sz w:val="24"/>
          <w:highlight w:val="none"/>
        </w:rPr>
        <w:t>供应商直接或者间接从采购人或者采购机构处获得其他供应商的相关情况并修改其投标文件或者响应文件；</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13.20.2</w:t>
      </w:r>
      <w:r>
        <w:rPr>
          <w:rFonts w:hint="eastAsia" w:ascii="仿宋_GB2312" w:hAnsi="仿宋" w:eastAsia="仿宋_GB2312" w:cs="仿宋_GB2312"/>
          <w:color w:val="auto"/>
          <w:sz w:val="24"/>
          <w:highlight w:val="none"/>
        </w:rPr>
        <w:t>供应商按照采购人或者采购机构的授意撤换、修改投标文件或者响应文件；</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13.20.3</w:t>
      </w:r>
      <w:r>
        <w:rPr>
          <w:rFonts w:hint="eastAsia" w:ascii="仿宋_GB2312" w:hAnsi="仿宋" w:eastAsia="仿宋_GB2312" w:cs="仿宋_GB2312"/>
          <w:color w:val="auto"/>
          <w:sz w:val="24"/>
          <w:highlight w:val="none"/>
        </w:rPr>
        <w:t>供应商之间协商报价、技术方案等投标文件或者响应文件的实质性内容；</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13.20.4</w:t>
      </w:r>
      <w:r>
        <w:rPr>
          <w:rFonts w:hint="eastAsia" w:ascii="仿宋_GB2312" w:hAnsi="仿宋" w:eastAsia="仿宋_GB2312" w:cs="仿宋_GB2312"/>
          <w:color w:val="auto"/>
          <w:sz w:val="24"/>
          <w:highlight w:val="none"/>
        </w:rPr>
        <w:t>属于同一集团、协会、商会等组织成员的供应商按照该组织要求协同参加政府采购活动；</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13.20.5</w:t>
      </w:r>
      <w:r>
        <w:rPr>
          <w:rFonts w:hint="eastAsia" w:ascii="仿宋_GB2312" w:hAnsi="仿宋" w:eastAsia="仿宋_GB2312" w:cs="仿宋_GB2312"/>
          <w:color w:val="auto"/>
          <w:sz w:val="24"/>
          <w:highlight w:val="none"/>
        </w:rPr>
        <w:t>供应商之间事先约定由某一特定供应商中标、成交；</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13.20.6</w:t>
      </w:r>
      <w:r>
        <w:rPr>
          <w:rFonts w:hint="eastAsia" w:ascii="仿宋_GB2312" w:hAnsi="仿宋" w:eastAsia="仿宋_GB2312" w:cs="仿宋_GB2312"/>
          <w:color w:val="auto"/>
          <w:sz w:val="24"/>
          <w:highlight w:val="none"/>
        </w:rPr>
        <w:t>供应商之间商定部分供应商放弃参加政府采购活动或者放弃中标、成交；</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13.20.7</w:t>
      </w:r>
      <w:r>
        <w:rPr>
          <w:rFonts w:hint="eastAsia" w:ascii="仿宋_GB2312" w:hAnsi="仿宋" w:eastAsia="仿宋_GB2312" w:cs="仿宋_GB2312"/>
          <w:color w:val="auto"/>
          <w:sz w:val="24"/>
          <w:highlight w:val="none"/>
        </w:rPr>
        <w:t>供应商与采购人或者采购机构之间、供应商相互之间，为谋求特定供应商中标、成交或者排斥其他供应商的其他串通行为。</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13.20.8</w:t>
      </w:r>
      <w:r>
        <w:rPr>
          <w:rFonts w:hint="eastAsia" w:ascii="仿宋_GB2312" w:hAnsi="仿宋" w:eastAsia="仿宋_GB2312" w:cs="仿宋_GB2312"/>
          <w:color w:val="auto"/>
          <w:sz w:val="24"/>
          <w:highlight w:val="none"/>
        </w:rPr>
        <w:t>不同投标人的投标文件由同一单位或者个人编制；</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13.20.9</w:t>
      </w:r>
      <w:r>
        <w:rPr>
          <w:rFonts w:hint="eastAsia" w:ascii="仿宋_GB2312" w:hAnsi="仿宋" w:eastAsia="仿宋_GB2312" w:cs="仿宋_GB2312"/>
          <w:color w:val="auto"/>
          <w:sz w:val="24"/>
          <w:highlight w:val="none"/>
        </w:rPr>
        <w:t>不同投标人委托同一单位或者个人办理投标事宜；</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13.20.10</w:t>
      </w:r>
      <w:r>
        <w:rPr>
          <w:rFonts w:hint="eastAsia" w:ascii="仿宋_GB2312" w:hAnsi="仿宋" w:eastAsia="仿宋_GB2312" w:cs="仿宋_GB2312"/>
          <w:color w:val="auto"/>
          <w:sz w:val="24"/>
          <w:highlight w:val="none"/>
        </w:rPr>
        <w:t>不同投标人的投标文件载明的项目管理成员或者联系人员为同一人；</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13.20.11</w:t>
      </w:r>
      <w:r>
        <w:rPr>
          <w:rFonts w:hint="eastAsia" w:ascii="仿宋_GB2312" w:hAnsi="仿宋" w:eastAsia="仿宋_GB2312" w:cs="仿宋_GB2312"/>
          <w:color w:val="auto"/>
          <w:sz w:val="24"/>
          <w:highlight w:val="none"/>
        </w:rPr>
        <w:t>不同投标人的投标文件异常一致或者投标报价呈规律性差异；</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13.20.12</w:t>
      </w:r>
      <w:r>
        <w:rPr>
          <w:rFonts w:hint="eastAsia" w:ascii="仿宋_GB2312" w:hAnsi="仿宋" w:eastAsia="仿宋_GB2312" w:cs="仿宋_GB2312"/>
          <w:color w:val="auto"/>
          <w:sz w:val="24"/>
          <w:highlight w:val="none"/>
        </w:rPr>
        <w:t>不同投标人的投标文件相互混装；</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13.21</w:t>
      </w:r>
      <w:r>
        <w:rPr>
          <w:rFonts w:hint="eastAsia" w:ascii="仿宋_GB2312" w:hAnsi="仿宋" w:eastAsia="仿宋_GB2312" w:cs="仿宋_GB2312"/>
          <w:color w:val="auto"/>
          <w:sz w:val="24"/>
          <w:highlight w:val="none"/>
        </w:rPr>
        <w:t>投标人仅提交备份投标文件，没有在电子交易平台传输递交投标文件的，投标无效；</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13.22</w:t>
      </w:r>
      <w:r>
        <w:rPr>
          <w:rFonts w:hint="eastAsia" w:ascii="仿宋_GB2312" w:hAnsi="仿宋" w:eastAsia="仿宋_GB2312" w:cs="仿宋_GB2312"/>
          <w:color w:val="auto"/>
          <w:sz w:val="24"/>
          <w:highlight w:val="none"/>
        </w:rPr>
        <w:t>法律、法规、规章（适用本市的）及省级以上规范性文件（适用本市的）规定的其他无效情形。</w:t>
      </w:r>
    </w:p>
    <w:p>
      <w:pPr>
        <w:spacing w:line="360" w:lineRule="auto"/>
        <w:ind w:firstLine="480" w:firstLineChars="200"/>
        <w:rPr>
          <w:rFonts w:ascii="仿宋_GB2312" w:hAnsi="仿宋" w:eastAsia="仿宋_GB2312" w:cs="仿宋_GB2312"/>
          <w:color w:val="auto"/>
          <w:sz w:val="24"/>
          <w:szCs w:val="21"/>
          <w:highlight w:val="none"/>
        </w:rPr>
      </w:pPr>
    </w:p>
    <w:p>
      <w:pPr>
        <w:spacing w:line="360" w:lineRule="auto"/>
        <w:ind w:firstLine="240" w:firstLineChars="100"/>
        <w:rPr>
          <w:rFonts w:ascii="仿宋_GB2312" w:hAnsi="仿宋" w:eastAsia="仿宋_GB2312" w:cs="仿宋_GB2312"/>
          <w:color w:val="auto"/>
          <w:sz w:val="24"/>
          <w:szCs w:val="21"/>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 xml:space="preserve">五、评标报告。 </w:t>
      </w:r>
    </w:p>
    <w:p>
      <w:pPr>
        <w:pStyle w:val="124"/>
        <w:spacing w:before="0"/>
        <w:ind w:firstLine="0" w:firstLineChars="0"/>
        <w:rPr>
          <w:rFonts w:ascii="仿宋_GB2312" w:hAnsi="仿宋" w:eastAsia="仿宋_GB2312" w:cs="仿宋_GB2312"/>
          <w:color w:val="auto"/>
          <w:szCs w:val="24"/>
          <w:highlight w:val="none"/>
        </w:rPr>
      </w:pPr>
      <w:r>
        <w:rPr>
          <w:rFonts w:hint="eastAsia" w:ascii="仿宋_GB2312" w:hAnsi="仿宋" w:eastAsia="仿宋_GB2312" w:cs="仿宋_GB2312"/>
          <w:b/>
          <w:color w:val="auto"/>
          <w:szCs w:val="24"/>
          <w:highlight w:val="none"/>
        </w:rPr>
        <w:t>14. 评标报告与推荐中标候选人。</w:t>
      </w:r>
      <w:r>
        <w:rPr>
          <w:rFonts w:hint="eastAsia" w:ascii="仿宋_GB2312" w:hAnsi="仿宋" w:eastAsia="仿宋_GB2312" w:cs="仿宋_GB2312"/>
          <w:color w:val="auto"/>
          <w:szCs w:val="24"/>
          <w:highlight w:val="none"/>
        </w:rPr>
        <w:t>评标委员会根据原始评标记录和评标结果编写评标报告，并通过电子交易平台向采购人、采购机构提交。</w:t>
      </w:r>
    </w:p>
    <w:p>
      <w:pPr>
        <w:widowControl/>
        <w:adjustRightInd/>
        <w:spacing w:before="100" w:beforeAutospacing="1" w:after="100" w:afterAutospacing="1" w:line="360" w:lineRule="auto"/>
        <w:jc w:val="left"/>
        <w:rPr>
          <w:rFonts w:ascii="仿宋_GB2312" w:hAnsi="ˎ̥" w:eastAsia="仿宋_GB2312" w:cs="宋体"/>
          <w:color w:val="auto"/>
          <w:kern w:val="0"/>
          <w:sz w:val="24"/>
          <w:highlight w:val="none"/>
        </w:rPr>
      </w:pPr>
      <w:r>
        <w:rPr>
          <w:rFonts w:hint="eastAsia" w:ascii="仿宋_GB2312" w:hAnsi="仿宋" w:eastAsia="仿宋_GB2312" w:cs="仿宋_GB2312"/>
          <w:b/>
          <w:color w:val="auto"/>
          <w:sz w:val="24"/>
          <w:highlight w:val="none"/>
        </w:rPr>
        <w:t>15. 评标争议事项处理。</w:t>
      </w:r>
      <w:r>
        <w:rPr>
          <w:rFonts w:hint="eastAsia" w:ascii="仿宋_GB2312" w:hAnsi="仿宋" w:eastAsia="仿宋_GB2312" w:cs="仿宋_GB2312"/>
          <w:color w:val="auto"/>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before="100" w:beforeAutospacing="1" w:after="100" w:afterAutospacing="1" w:line="360" w:lineRule="auto"/>
        <w:jc w:val="left"/>
        <w:rPr>
          <w:rFonts w:ascii="仿宋_GB2312" w:hAnsi="仿宋" w:eastAsia="仿宋_GB2312" w:cs="仿宋_GB2312"/>
          <w:b/>
          <w:color w:val="auto"/>
          <w:sz w:val="32"/>
          <w:highlight w:val="none"/>
        </w:rPr>
      </w:pPr>
      <w:r>
        <w:rPr>
          <w:rFonts w:hint="eastAsia" w:ascii="仿宋_GB2312" w:hAnsi="ˎ̥" w:eastAsia="仿宋_GB2312" w:cs="宋体"/>
          <w:color w:val="auto"/>
          <w:kern w:val="0"/>
          <w:sz w:val="24"/>
          <w:highlight w:val="none"/>
        </w:rPr>
        <w:t xml:space="preserve">　                      </w:t>
      </w:r>
      <w:r>
        <w:rPr>
          <w:rFonts w:hint="eastAsia" w:ascii="仿宋_GB2312" w:hAnsi="仿宋" w:eastAsia="仿宋_GB2312" w:cs="仿宋_GB2312"/>
          <w:b/>
          <w:color w:val="auto"/>
          <w:sz w:val="32"/>
          <w:highlight w:val="none"/>
        </w:rPr>
        <w:t>六、 废标</w:t>
      </w:r>
    </w:p>
    <w:p>
      <w:pPr>
        <w:pStyle w:val="26"/>
        <w:snapToGrid w:val="0"/>
        <w:spacing w:line="360" w:lineRule="auto"/>
        <w:ind w:firstLine="0" w:firstLineChars="0"/>
        <w:rPr>
          <w:rFonts w:ascii="仿宋_GB2312" w:hAnsi="仿宋" w:eastAsia="仿宋_GB2312" w:cs="仿宋_GB2312"/>
          <w:color w:val="auto"/>
          <w:highlight w:val="none"/>
        </w:rPr>
      </w:pPr>
      <w:r>
        <w:rPr>
          <w:rFonts w:hint="eastAsia" w:ascii="仿宋_GB2312" w:hAnsi="仿宋" w:eastAsia="仿宋_GB2312" w:cs="仿宋_GB2312"/>
          <w:b/>
          <w:color w:val="auto"/>
          <w:highlight w:val="none"/>
        </w:rPr>
        <w:t>16.废标。</w:t>
      </w:r>
      <w:r>
        <w:rPr>
          <w:rFonts w:hint="eastAsia" w:ascii="仿宋_GB2312" w:hAnsi="仿宋" w:eastAsia="仿宋_GB2312" w:cs="仿宋_GB2312"/>
          <w:color w:val="auto"/>
          <w:highlight w:val="none"/>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16.1符合专业条件的供应商或者对招标文件作实质响应的供应商不足3家的；</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16.2出现影响采购公正的违法、违规行为的；</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16.3投标人的报价均超过了采购预算，采购人不能支付的；</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16.4因重大变故，采购任务取消的。</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废标后，采购机构应当将废标理由通知所有投标人。</w:t>
      </w:r>
    </w:p>
    <w:p>
      <w:pPr>
        <w:pStyle w:val="26"/>
        <w:snapToGrid w:val="0"/>
        <w:spacing w:line="360" w:lineRule="auto"/>
        <w:rPr>
          <w:rFonts w:ascii="仿宋_GB2312" w:hAnsi="仿宋" w:eastAsia="仿宋_GB2312" w:cs="仿宋_GB2312"/>
          <w:color w:val="auto"/>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 重新组织采购</w:t>
      </w:r>
    </w:p>
    <w:p>
      <w:pPr>
        <w:pStyle w:val="26"/>
        <w:snapToGrid w:val="0"/>
        <w:spacing w:line="360" w:lineRule="auto"/>
        <w:ind w:firstLine="482"/>
        <w:rPr>
          <w:rFonts w:ascii="仿宋_GB2312" w:hAnsi="仿宋" w:eastAsia="仿宋_GB2312" w:cs="仿宋_GB2312"/>
          <w:color w:val="auto"/>
          <w:highlight w:val="none"/>
        </w:rPr>
      </w:pPr>
      <w:r>
        <w:rPr>
          <w:rFonts w:hint="eastAsia" w:ascii="仿宋_GB2312" w:hAnsi="仿宋" w:eastAsia="仿宋_GB2312" w:cs="仿宋_GB2312"/>
          <w:b/>
          <w:color w:val="auto"/>
          <w:highlight w:val="none"/>
        </w:rPr>
        <w:t>17.修改招标文件，重新组织采购活动。</w:t>
      </w:r>
      <w:r>
        <w:rPr>
          <w:rFonts w:hint="eastAsia" w:ascii="仿宋_GB2312" w:hAnsi="仿宋" w:eastAsia="仿宋_GB2312"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ascii="仿宋_GB2312" w:hAnsi="仿宋" w:eastAsia="仿宋_GB2312" w:cs="仿宋_GB2312"/>
          <w:color w:val="auto"/>
          <w:highlight w:val="none"/>
        </w:rPr>
      </w:pPr>
      <w:r>
        <w:rPr>
          <w:rFonts w:hint="eastAsia" w:ascii="仿宋_GB2312" w:hAnsi="Helvetica" w:eastAsia="仿宋_GB2312" w:cs="Helvetica"/>
          <w:b/>
          <w:color w:val="auto"/>
          <w:kern w:val="0"/>
          <w:highlight w:val="none"/>
        </w:rPr>
        <w:t>18.重新开展采购。</w:t>
      </w:r>
      <w:r>
        <w:rPr>
          <w:rFonts w:hint="eastAsia" w:ascii="仿宋_GB2312" w:hAnsi="仿宋" w:eastAsia="仿宋_GB2312" w:cs="仿宋_GB2312"/>
          <w:color w:val="auto"/>
          <w:highlight w:val="none"/>
        </w:rPr>
        <w:t>有政府采购法第七十一条、第七十二条规定的违法行为之一，影响或者可能影响中标、成交结果的，依照下列规定处理：</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18.1未确定中标或者中标人的，终止本次政府采购活动，重新开展政府采购活动。</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18.2已确定中标或者中标人但尚未签订政府采购合同的，中标或者成交结果无效，从合格的中标或者成交候选人中另行确定中标或者中标人；没有合格的中标或者成交候选人的，重新开展政府采购活动。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18.3政府采购合同已签订但尚未履行的，撤销合同，从合格的中标或者成交候选人中另行确定中标或者中标人；没有合格的中标或者成交候选人的，重新开展政府采购活动。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18.4政府采购合同已经履行，给采购人、供应商造成损失的，由责任人承担赔偿责任。</w:t>
      </w:r>
    </w:p>
    <w:p>
      <w:pPr>
        <w:pStyle w:val="26"/>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18.5政府采购当事人有其他违反政府采购法或者本条例规定的行为，经改正后仍然影响或者可能影响中标、成交结果或者依法被认定为中标、成交无效的，依照18.1-18.4规定处理。</w:t>
      </w:r>
    </w:p>
    <w:p>
      <w:pPr>
        <w:pStyle w:val="26"/>
        <w:snapToGrid w:val="0"/>
        <w:spacing w:line="360" w:lineRule="auto"/>
        <w:rPr>
          <w:rFonts w:ascii="仿宋_GB2312" w:hAnsi="仿宋" w:eastAsia="仿宋_GB2312" w:cs="仿宋_GB2312"/>
          <w:color w:val="auto"/>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八、评审过程的保密与录像</w:t>
      </w:r>
    </w:p>
    <w:p>
      <w:pPr>
        <w:widowControl/>
        <w:spacing w:line="360" w:lineRule="auto"/>
        <w:ind w:firstLine="482" w:firstLineChars="200"/>
        <w:rPr>
          <w:rFonts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19.保密。</w:t>
      </w:r>
      <w:r>
        <w:rPr>
          <w:rFonts w:hint="eastAsia" w:ascii="仿宋_GB2312" w:hAnsi="仿宋" w:eastAsia="仿宋_GB2312" w:cs="仿宋_GB2312"/>
          <w:color w:val="auto"/>
          <w:sz w:val="24"/>
          <w:highlight w:val="none"/>
        </w:rPr>
        <w:t>评审活动在严格保密的情况下进行。评审过程中凡是与采购响应文件评审和比较、中标中标人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20.录音录像。</w:t>
      </w:r>
      <w:r>
        <w:rPr>
          <w:rFonts w:hint="eastAsia" w:ascii="仿宋_GB2312" w:hAnsi="仿宋" w:eastAsia="仿宋_GB2312" w:cs="仿宋_GB2312"/>
          <w:color w:val="auto"/>
          <w:sz w:val="24"/>
          <w:highlight w:val="none"/>
        </w:rPr>
        <w:t>采购机构对评审工作现场进行全过程录音录像，录音录像资料作为采购项目文件随其他文件一并存档。</w:t>
      </w:r>
    </w:p>
    <w:p>
      <w:pPr>
        <w:pStyle w:val="2"/>
        <w:rPr>
          <w:color w:val="auto"/>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九、具体评标标准</w:t>
      </w:r>
    </w:p>
    <w:p>
      <w:pPr>
        <w:spacing w:line="360" w:lineRule="auto"/>
        <w:ind w:left="0" w:leftChars="0" w:firstLine="482"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b/>
          <w:bCs/>
          <w:color w:val="auto"/>
          <w:sz w:val="24"/>
          <w:highlight w:val="none"/>
        </w:rPr>
        <w:t>一、本项目采用综合评分法，</w:t>
      </w:r>
      <w:r>
        <w:rPr>
          <w:rFonts w:hint="eastAsia" w:ascii="仿宋_GB2312" w:hAnsi="仿宋" w:eastAsia="仿宋_GB2312" w:cs="仿宋_GB2312"/>
          <w:color w:val="auto"/>
          <w:sz w:val="24"/>
          <w:highlight w:val="none"/>
        </w:rPr>
        <w:t xml:space="preserve">评标委员会将对各投标人的投标报价、技术和服务方案、投标人提供的资质和业绩情况等方面进行综合评审，评标委员会各成员应当独立对每个有效投标人的投标文件进行评价、打分。经统计，得出各投标人的最终评审分,按最终评审分由高到低顺序排列。得分相同的，按投标报价由低到高顺序排列。得分且投标报价相同的，按技术指标优劣顺序排列，并形成评标意见。 </w:t>
      </w:r>
    </w:p>
    <w:p>
      <w:pPr>
        <w:spacing w:line="360" w:lineRule="auto"/>
        <w:ind w:left="105" w:leftChars="50" w:firstLine="427" w:firstLineChars="178"/>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各投标人的综合得分为：投标价格得分+</w:t>
      </w:r>
      <w:r>
        <w:rPr>
          <w:rFonts w:hint="eastAsia" w:ascii="仿宋_GB2312" w:hAnsi="仿宋" w:eastAsia="仿宋_GB2312" w:cs="仿宋_GB2312"/>
          <w:bCs/>
          <w:color w:val="auto"/>
          <w:sz w:val="24"/>
          <w:highlight w:val="none"/>
        </w:rPr>
        <w:t>技术和服务方案</w:t>
      </w:r>
      <w:r>
        <w:rPr>
          <w:rFonts w:hint="eastAsia" w:ascii="仿宋_GB2312" w:hAnsi="仿宋" w:eastAsia="仿宋_GB2312" w:cs="仿宋_GB2312"/>
          <w:color w:val="auto"/>
          <w:sz w:val="24"/>
          <w:highlight w:val="none"/>
        </w:rPr>
        <w:t>得分+投标人的资质和业绩情况得分之和，</w:t>
      </w:r>
      <w:r>
        <w:rPr>
          <w:rFonts w:hint="eastAsia" w:ascii="仿宋_GB2312" w:hAnsi="仿宋" w:eastAsia="仿宋_GB2312" w:cs="仿宋_GB2312"/>
          <w:b/>
          <w:color w:val="auto"/>
          <w:sz w:val="24"/>
          <w:highlight w:val="none"/>
        </w:rPr>
        <w:t>总和为</w:t>
      </w:r>
      <w:r>
        <w:rPr>
          <w:rFonts w:hint="eastAsia" w:ascii="仿宋_GB2312" w:hAnsi="仿宋" w:eastAsia="仿宋_GB2312" w:cs="仿宋_GB2312"/>
          <w:b/>
          <w:color w:val="auto"/>
          <w:sz w:val="24"/>
          <w:highlight w:val="none"/>
          <w:u w:val="single"/>
        </w:rPr>
        <w:t>100</w:t>
      </w:r>
      <w:r>
        <w:rPr>
          <w:rFonts w:hint="eastAsia" w:ascii="仿宋_GB2312" w:hAnsi="仿宋" w:eastAsia="仿宋_GB2312" w:cs="仿宋_GB2312"/>
          <w:b/>
          <w:color w:val="auto"/>
          <w:sz w:val="24"/>
          <w:highlight w:val="none"/>
        </w:rPr>
        <w:t>分</w:t>
      </w:r>
      <w:r>
        <w:rPr>
          <w:rFonts w:hint="eastAsia" w:ascii="仿宋_GB2312" w:hAnsi="仿宋" w:eastAsia="仿宋_GB2312" w:cs="仿宋_GB2312"/>
          <w:color w:val="auto"/>
          <w:sz w:val="24"/>
          <w:highlight w:val="none"/>
        </w:rPr>
        <w:t>，其中：</w:t>
      </w:r>
      <w:r>
        <w:rPr>
          <w:rFonts w:hint="eastAsia" w:ascii="仿宋_GB2312" w:hAnsi="仿宋" w:eastAsia="仿宋_GB2312" w:cs="仿宋_GB2312"/>
          <w:b/>
          <w:color w:val="auto"/>
          <w:sz w:val="24"/>
          <w:highlight w:val="none"/>
        </w:rPr>
        <w:t>投标价格得分</w:t>
      </w:r>
      <w:r>
        <w:rPr>
          <w:rFonts w:hint="eastAsia" w:ascii="仿宋_GB2312" w:hAnsi="仿宋" w:eastAsia="仿宋_GB2312" w:cs="仿宋_GB2312"/>
          <w:b/>
          <w:color w:val="auto"/>
          <w:sz w:val="24"/>
          <w:highlight w:val="none"/>
          <w:u w:val="single"/>
        </w:rPr>
        <w:t>10</w:t>
      </w:r>
      <w:r>
        <w:rPr>
          <w:rFonts w:hint="eastAsia" w:ascii="仿宋_GB2312" w:hAnsi="仿宋" w:eastAsia="仿宋_GB2312" w:cs="仿宋_GB2312"/>
          <w:b/>
          <w:color w:val="auto"/>
          <w:sz w:val="24"/>
          <w:highlight w:val="none"/>
        </w:rPr>
        <w:t>分，</w:t>
      </w:r>
      <w:r>
        <w:rPr>
          <w:rFonts w:hint="eastAsia" w:ascii="仿宋_GB2312" w:hAnsi="仿宋" w:eastAsia="仿宋_GB2312" w:cs="仿宋_GB2312"/>
          <w:b/>
          <w:bCs/>
          <w:color w:val="auto"/>
          <w:sz w:val="24"/>
          <w:highlight w:val="none"/>
        </w:rPr>
        <w:t>技术和服务方案得分</w:t>
      </w:r>
      <w:r>
        <w:rPr>
          <w:rFonts w:hint="eastAsia" w:ascii="仿宋_GB2312" w:hAnsi="仿宋" w:eastAsia="仿宋_GB2312" w:cs="仿宋_GB2312"/>
          <w:b/>
          <w:color w:val="auto"/>
          <w:sz w:val="24"/>
          <w:highlight w:val="none"/>
          <w:u w:val="single"/>
        </w:rPr>
        <w:t xml:space="preserve"> 84</w:t>
      </w:r>
      <w:r>
        <w:rPr>
          <w:rFonts w:hint="eastAsia" w:ascii="仿宋_GB2312" w:hAnsi="仿宋" w:eastAsia="仿宋_GB2312" w:cs="仿宋_GB2312"/>
          <w:b/>
          <w:color w:val="auto"/>
          <w:sz w:val="24"/>
          <w:highlight w:val="none"/>
        </w:rPr>
        <w:t>分，投标人的资质和业绩情况得分</w:t>
      </w:r>
      <w:r>
        <w:rPr>
          <w:rFonts w:hint="eastAsia" w:ascii="仿宋_GB2312" w:hAnsi="仿宋" w:eastAsia="仿宋_GB2312" w:cs="仿宋_GB2312"/>
          <w:b/>
          <w:color w:val="auto"/>
          <w:sz w:val="24"/>
          <w:highlight w:val="none"/>
          <w:u w:val="single"/>
        </w:rPr>
        <w:t>6</w:t>
      </w:r>
      <w:r>
        <w:rPr>
          <w:rFonts w:hint="eastAsia" w:ascii="仿宋_GB2312" w:hAnsi="仿宋" w:eastAsia="仿宋_GB2312" w:cs="仿宋_GB2312"/>
          <w:b/>
          <w:color w:val="auto"/>
          <w:sz w:val="24"/>
          <w:highlight w:val="none"/>
        </w:rPr>
        <w:t>分。</w:t>
      </w:r>
    </w:p>
    <w:p>
      <w:pPr>
        <w:tabs>
          <w:tab w:val="left" w:pos="0"/>
        </w:tabs>
        <w:spacing w:line="360" w:lineRule="auto"/>
        <w:ind w:firstLine="542" w:firstLineChars="225"/>
        <w:rPr>
          <w:rFonts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各投标人的技术和服务方案、投标人的资质和业绩情况得分为：评标委员会各成员评分的算术平均值。各投标人的投标价格得分按投标价格评分</w:t>
      </w:r>
      <w:r>
        <w:rPr>
          <w:rFonts w:hint="eastAsia" w:ascii="仿宋_GB2312" w:hAnsi="仿宋" w:eastAsia="仿宋_GB2312" w:cs="仿宋_GB2312"/>
          <w:b/>
          <w:color w:val="auto"/>
          <w:kern w:val="0"/>
          <w:sz w:val="24"/>
          <w:highlight w:val="none"/>
        </w:rPr>
        <w:t>公式由采购机构计算，</w:t>
      </w:r>
      <w:r>
        <w:rPr>
          <w:rFonts w:hint="eastAsia" w:ascii="仿宋_GB2312" w:hAnsi="仿宋" w:eastAsia="仿宋_GB2312" w:cs="仿宋_GB2312"/>
          <w:b/>
          <w:color w:val="auto"/>
          <w:sz w:val="24"/>
          <w:highlight w:val="none"/>
        </w:rPr>
        <w:t>评标委员会审核。</w:t>
      </w:r>
      <w:r>
        <w:rPr>
          <w:rFonts w:hint="eastAsia" w:ascii="仿宋_GB2312" w:hAnsi="仿宋" w:eastAsia="仿宋_GB2312" w:cs="仿宋_GB2312"/>
          <w:color w:val="auto"/>
          <w:sz w:val="24"/>
          <w:highlight w:val="none"/>
        </w:rPr>
        <w:t>根据上述评标原则，分值安排如下：</w:t>
      </w:r>
    </w:p>
    <w:p>
      <w:pPr>
        <w:spacing w:line="360" w:lineRule="auto"/>
        <w:ind w:firstLine="482" w:firstLineChars="20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A、投标价格【A=10分】：</w:t>
      </w:r>
    </w:p>
    <w:p>
      <w:pPr>
        <w:autoSpaceDE w:val="0"/>
        <w:autoSpaceDN w:val="0"/>
        <w:spacing w:line="360" w:lineRule="auto"/>
        <w:ind w:firstLine="482"/>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18"/>
          <w:szCs w:val="18"/>
          <w:highlight w:val="none"/>
        </w:rPr>
        <w:t xml:space="preserve">● </w:t>
      </w:r>
      <w:r>
        <w:rPr>
          <w:rFonts w:hint="eastAsia" w:ascii="仿宋_GB2312" w:hAnsi="仿宋" w:eastAsia="仿宋_GB2312" w:cs="仿宋_GB2312"/>
          <w:b/>
          <w:color w:val="auto"/>
          <w:sz w:val="24"/>
          <w:highlight w:val="none"/>
        </w:rPr>
        <w:t>投标价格的合理性</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zh-CN"/>
        </w:rPr>
        <w:t>分析总报价及各个分项报价是否合理，报价范围是否完整，有否重大错漏项</w:t>
      </w:r>
      <w:r>
        <w:rPr>
          <w:rFonts w:hint="eastAsia" w:ascii="仿宋_GB2312" w:hAnsi="仿宋" w:eastAsia="仿宋_GB2312" w:cs="仿宋_GB2312"/>
          <w:color w:val="auto"/>
          <w:sz w:val="24"/>
          <w:highlight w:val="none"/>
        </w:rPr>
        <w:t>，评标委员会认为投标报价出现异常时，有权要求投标人在评标期间对投标报价的详细组成和投标设备的供应渠道等事项作出解释和澄清，并确认其投标报价是否有效</w:t>
      </w:r>
      <w:r>
        <w:rPr>
          <w:rFonts w:hint="eastAsia" w:ascii="仿宋_GB2312" w:hAnsi="仿宋" w:eastAsia="仿宋_GB2312" w:cs="仿宋_GB2312"/>
          <w:color w:val="auto"/>
          <w:sz w:val="24"/>
          <w:highlight w:val="none"/>
          <w:lang w:val="zh-CN"/>
        </w:rPr>
        <w:t>。</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lang w:val="zh-CN"/>
        </w:rPr>
        <w:t>报价分计算方法：根据各投标人的有效投标报价，以满足招标文件要求且有效投标价格的最低的投标报价为评标基准价，其价格分为</w:t>
      </w:r>
      <w:r>
        <w:rPr>
          <w:rFonts w:hint="eastAsia" w:ascii="仿宋_GB2312" w:hAnsi="仿宋" w:eastAsia="仿宋_GB2312" w:cs="仿宋_GB2312"/>
          <w:color w:val="auto"/>
          <w:sz w:val="24"/>
          <w:highlight w:val="none"/>
          <w:u w:val="single"/>
          <w:lang w:val="zh-CN"/>
        </w:rPr>
        <w:t>10</w:t>
      </w:r>
      <w:r>
        <w:rPr>
          <w:rFonts w:hint="eastAsia" w:ascii="仿宋_GB2312" w:hAnsi="仿宋" w:eastAsia="仿宋_GB2312" w:cs="仿宋_GB2312"/>
          <w:color w:val="auto"/>
          <w:sz w:val="24"/>
          <w:highlight w:val="none"/>
        </w:rPr>
        <w:t>分</w:t>
      </w:r>
      <w:r>
        <w:rPr>
          <w:rFonts w:hint="eastAsia" w:ascii="仿宋_GB2312" w:hAnsi="仿宋" w:eastAsia="仿宋_GB2312" w:cs="仿宋_GB2312"/>
          <w:color w:val="auto"/>
          <w:sz w:val="24"/>
          <w:highlight w:val="none"/>
          <w:lang w:val="zh-CN"/>
        </w:rPr>
        <w:t>。其他投标人的价格分统一按照下列公式计算：投标报价得分＝(评标基准价/有效投标报价)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zh-CN"/>
        </w:rPr>
        <w:t>价格权值</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val="zh-CN"/>
        </w:rPr>
        <w:t>100(精确到小数点后二位，由采购机构当场统一计算)。</w:t>
      </w:r>
    </w:p>
    <w:p>
      <w:pPr>
        <w:snapToGrid w:val="0"/>
        <w:spacing w:line="360" w:lineRule="auto"/>
        <w:ind w:firstLine="482" w:firstLineChars="200"/>
        <w:rPr>
          <w:rFonts w:ascii="仿宋_GB2312" w:hAnsi="仿宋" w:eastAsia="仿宋_GB2312" w:cs="仿宋_GB2312"/>
          <w:color w:val="auto"/>
          <w:sz w:val="24"/>
          <w:highlight w:val="none"/>
        </w:rPr>
      </w:pPr>
      <w:r>
        <w:rPr>
          <w:rFonts w:hint="eastAsia" w:ascii="仿宋_GB2312" w:hAnsi="仿宋" w:eastAsia="仿宋_GB2312" w:cs="仿宋_GB2312"/>
          <w:b/>
          <w:bCs/>
          <w:color w:val="auto"/>
          <w:sz w:val="24"/>
          <w:highlight w:val="none"/>
        </w:rPr>
        <w:t>B、技术和服务方案（B= 84分）：</w:t>
      </w:r>
      <w:r>
        <w:rPr>
          <w:rFonts w:hint="eastAsia" w:ascii="仿宋_GB2312" w:hAnsi="仿宋" w:eastAsia="仿宋_GB2312" w:cs="仿宋_GB2312"/>
          <w:color w:val="auto"/>
          <w:sz w:val="24"/>
          <w:highlight w:val="none"/>
        </w:rPr>
        <w:t>主要包含方案的</w:t>
      </w:r>
      <w:r>
        <w:rPr>
          <w:rFonts w:hint="eastAsia" w:ascii="仿宋_GB2312" w:hAnsi="仿宋" w:eastAsia="仿宋_GB2312" w:cs="仿宋_GB2312"/>
          <w:bCs/>
          <w:color w:val="auto"/>
          <w:sz w:val="24"/>
          <w:highlight w:val="none"/>
        </w:rPr>
        <w:t>先进性、科学性和完整性，产品与</w:t>
      </w:r>
      <w:r>
        <w:rPr>
          <w:rFonts w:hint="eastAsia" w:ascii="仿宋_GB2312" w:hAnsi="仿宋" w:eastAsia="仿宋_GB2312" w:cs="仿宋_GB2312"/>
          <w:color w:val="auto"/>
          <w:sz w:val="24"/>
          <w:highlight w:val="none"/>
        </w:rPr>
        <w:t>需求的吻合程度</w:t>
      </w:r>
      <w:r>
        <w:rPr>
          <w:rFonts w:hint="eastAsia" w:ascii="仿宋_GB2312" w:hAnsi="仿宋" w:eastAsia="仿宋_GB2312" w:cs="仿宋_GB2312"/>
          <w:bCs/>
          <w:color w:val="auto"/>
          <w:sz w:val="24"/>
          <w:highlight w:val="none"/>
        </w:rPr>
        <w:t>，</w:t>
      </w:r>
      <w:r>
        <w:rPr>
          <w:rFonts w:hint="eastAsia" w:ascii="仿宋_GB2312" w:hAnsi="仿宋" w:eastAsia="仿宋_GB2312" w:cs="仿宋_GB2312"/>
          <w:color w:val="auto"/>
          <w:sz w:val="24"/>
          <w:highlight w:val="none"/>
        </w:rPr>
        <w:t>提供的售后服务方案、维护人员和机构等情况的服务优劣程度等方面的因素</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sz w:val="24"/>
          <w:highlight w:val="none"/>
        </w:rPr>
        <w:t>以及承诺和优惠。</w:t>
      </w:r>
    </w:p>
    <w:p>
      <w:pPr>
        <w:snapToGrid w:val="0"/>
        <w:spacing w:line="360" w:lineRule="auto"/>
        <w:ind w:left="361" w:right="-109" w:rightChars="-52"/>
        <w:rPr>
          <w:rFonts w:ascii="仿宋_GB2312" w:eastAsia="仿宋_GB2312"/>
          <w:b/>
          <w:color w:val="auto"/>
          <w:sz w:val="24"/>
          <w:highlight w:val="none"/>
        </w:rPr>
      </w:pPr>
      <w:r>
        <w:rPr>
          <w:rFonts w:hint="eastAsia" w:ascii="仿宋_GB2312" w:eastAsia="仿宋_GB2312"/>
          <w:b/>
          <w:color w:val="auto"/>
          <w:sz w:val="24"/>
          <w:highlight w:val="none"/>
        </w:rPr>
        <w:t>（1）投标方案的</w:t>
      </w:r>
      <w:r>
        <w:rPr>
          <w:rFonts w:hint="eastAsia" w:ascii="仿宋_GB2312" w:eastAsia="仿宋_GB2312"/>
          <w:b/>
          <w:bCs/>
          <w:color w:val="auto"/>
          <w:sz w:val="24"/>
          <w:highlight w:val="none"/>
        </w:rPr>
        <w:t>科学性和完整性</w:t>
      </w:r>
      <w:r>
        <w:rPr>
          <w:rFonts w:hint="eastAsia" w:ascii="仿宋_GB2312" w:eastAsia="仿宋_GB2312"/>
          <w:b/>
          <w:color w:val="auto"/>
          <w:sz w:val="24"/>
          <w:highlight w:val="none"/>
        </w:rPr>
        <w:t>（</w:t>
      </w:r>
      <w:r>
        <w:rPr>
          <w:rFonts w:ascii="仿宋_GB2312" w:hAnsi="宋体" w:eastAsia="仿宋_GB2312"/>
          <w:b/>
          <w:color w:val="auto"/>
          <w:sz w:val="24"/>
          <w:highlight w:val="none"/>
        </w:rPr>
        <w:t>40</w:t>
      </w:r>
      <w:r>
        <w:rPr>
          <w:rFonts w:hint="eastAsia" w:ascii="仿宋_GB2312" w:eastAsia="仿宋_GB2312"/>
          <w:b/>
          <w:color w:val="auto"/>
          <w:sz w:val="24"/>
          <w:highlight w:val="none"/>
        </w:rPr>
        <w:t>分）：</w:t>
      </w:r>
    </w:p>
    <w:p>
      <w:pPr>
        <w:spacing w:line="360" w:lineRule="auto"/>
        <w:ind w:firstLine="600" w:firstLineChars="250"/>
        <w:rPr>
          <w:rFonts w:hint="eastAsia" w:ascii="仿宋_GB2312" w:hAnsi="仿宋" w:eastAsia="仿宋_GB2312" w:cs="宋体"/>
          <w:color w:val="auto"/>
          <w:sz w:val="24"/>
          <w:szCs w:val="24"/>
          <w:highlight w:val="none"/>
        </w:rPr>
      </w:pPr>
      <w:r>
        <w:rPr>
          <w:rFonts w:hint="eastAsia" w:ascii="仿宋_GB2312" w:hAnsi="仿宋" w:eastAsia="仿宋_GB2312" w:cs="宋体"/>
          <w:color w:val="auto"/>
          <w:sz w:val="24"/>
          <w:szCs w:val="24"/>
          <w:highlight w:val="none"/>
        </w:rPr>
        <w:t>●投标方案系统设计原则（10分）：</w:t>
      </w:r>
    </w:p>
    <w:p>
      <w:pPr>
        <w:spacing w:line="360" w:lineRule="auto"/>
        <w:ind w:firstLine="600" w:firstLineChars="250"/>
        <w:rPr>
          <w:rFonts w:hint="eastAsia" w:ascii="仿宋_GB2312" w:hAnsi="仿宋" w:eastAsia="仿宋_GB2312" w:cs="宋体"/>
          <w:color w:val="auto"/>
          <w:sz w:val="24"/>
          <w:szCs w:val="24"/>
          <w:highlight w:val="none"/>
        </w:rPr>
      </w:pPr>
      <w:r>
        <w:rPr>
          <w:rFonts w:hint="eastAsia" w:ascii="仿宋_GB2312" w:hAnsi="仿宋" w:eastAsia="仿宋_GB2312" w:cs="宋体"/>
          <w:color w:val="auto"/>
          <w:sz w:val="24"/>
          <w:szCs w:val="24"/>
          <w:highlight w:val="none"/>
        </w:rPr>
        <w:t>1）投标人是否选用稳定可靠且通用的系统软件、数据库软件、中间件软件、工具软件开发系统。满足得2分，不满足不得分（2分）；</w:t>
      </w:r>
    </w:p>
    <w:p>
      <w:pPr>
        <w:spacing w:line="360" w:lineRule="auto"/>
        <w:ind w:firstLine="600" w:firstLineChars="250"/>
        <w:rPr>
          <w:rFonts w:hint="eastAsia" w:ascii="仿宋_GB2312" w:hAnsi="仿宋" w:eastAsia="仿宋_GB2312" w:cs="宋体"/>
          <w:color w:val="auto"/>
          <w:sz w:val="24"/>
          <w:szCs w:val="24"/>
          <w:highlight w:val="none"/>
        </w:rPr>
      </w:pPr>
      <w:r>
        <w:rPr>
          <w:rFonts w:hint="eastAsia" w:ascii="仿宋_GB2312" w:hAnsi="仿宋" w:eastAsia="仿宋_GB2312" w:cs="宋体"/>
          <w:color w:val="auto"/>
          <w:sz w:val="24"/>
          <w:szCs w:val="24"/>
          <w:highlight w:val="none"/>
        </w:rPr>
        <w:t>2）投标方案需要符合公安部总体规划要求；符合公安部、省公安厅有关技术规范；符合省各类公安业务信息系统的要求；符合公安业务综合信息系统现有规范；系统必须具有实用性；系统的所有软、硬件应统一考虑，融为一体。符合得2分，不符合不得分（2分）；</w:t>
      </w:r>
    </w:p>
    <w:p>
      <w:pPr>
        <w:spacing w:line="360" w:lineRule="auto"/>
        <w:ind w:firstLine="600" w:firstLineChars="250"/>
        <w:rPr>
          <w:rFonts w:hint="eastAsia" w:ascii="仿宋_GB2312" w:hAnsi="仿宋" w:eastAsia="仿宋_GB2312" w:cs="宋体"/>
          <w:color w:val="auto"/>
          <w:sz w:val="24"/>
          <w:szCs w:val="24"/>
          <w:highlight w:val="none"/>
        </w:rPr>
      </w:pPr>
      <w:r>
        <w:rPr>
          <w:rFonts w:hint="eastAsia" w:ascii="仿宋_GB2312" w:hAnsi="仿宋" w:eastAsia="仿宋_GB2312" w:cs="宋体"/>
          <w:color w:val="auto"/>
          <w:sz w:val="24"/>
          <w:szCs w:val="24"/>
          <w:highlight w:val="none"/>
        </w:rPr>
        <w:t>3）投标系统的设计能力需要考虑满足未来数据和应用的增长需求，要具有灵活扩充和调整的特性，便于维护、升级和扩充以及二次开发，并具有支持多种接口的能力。满足得2分，不满足不得分（2分）；</w:t>
      </w:r>
    </w:p>
    <w:p>
      <w:pPr>
        <w:spacing w:line="360" w:lineRule="auto"/>
        <w:ind w:firstLine="600" w:firstLineChars="250"/>
        <w:rPr>
          <w:rFonts w:hint="eastAsia" w:ascii="仿宋_GB2312" w:hAnsi="仿宋" w:eastAsia="仿宋_GB2312" w:cs="宋体"/>
          <w:color w:val="auto"/>
          <w:sz w:val="24"/>
          <w:szCs w:val="24"/>
          <w:highlight w:val="none"/>
        </w:rPr>
      </w:pPr>
      <w:r>
        <w:rPr>
          <w:rFonts w:hint="eastAsia" w:ascii="仿宋_GB2312" w:hAnsi="仿宋" w:eastAsia="仿宋_GB2312" w:cs="宋体"/>
          <w:color w:val="auto"/>
          <w:sz w:val="24"/>
          <w:szCs w:val="24"/>
          <w:highlight w:val="none"/>
        </w:rPr>
        <w:t>4）投标方案在保证数据和信息为全体民警和其它应用共享的同时，系统需要保证信息的安全。系统应有完整的、统一的用户权限管理机制，防止非法访问、越级访问和非法操作，同时提供安全日志的功能。满足得2分，不满足不得分（2分）；</w:t>
      </w:r>
    </w:p>
    <w:p>
      <w:pPr>
        <w:spacing w:line="360" w:lineRule="auto"/>
        <w:ind w:firstLine="600" w:firstLineChars="250"/>
        <w:rPr>
          <w:rFonts w:hint="eastAsia" w:ascii="仿宋_GB2312" w:hAnsi="仿宋" w:eastAsia="仿宋_GB2312" w:cs="宋体"/>
          <w:color w:val="auto"/>
          <w:sz w:val="24"/>
          <w:szCs w:val="24"/>
          <w:highlight w:val="none"/>
        </w:rPr>
      </w:pPr>
      <w:r>
        <w:rPr>
          <w:rFonts w:hint="eastAsia" w:ascii="仿宋_GB2312" w:hAnsi="仿宋" w:eastAsia="仿宋_GB2312" w:cs="宋体"/>
          <w:color w:val="auto"/>
          <w:sz w:val="24"/>
          <w:szCs w:val="24"/>
          <w:highlight w:val="none"/>
        </w:rPr>
        <w:t>5）投标方案需要解决现有系统中存在的开发、维护、推广，周期长、投入大、成本高等问题;充分考虑业务需求和投资规模，力求达到最佳性价比和最优平衡点；系统数据建设成本低，系统滚动开发成本低；系统维护成本低。满足得2分，不满足不得分（2分）；</w:t>
      </w:r>
    </w:p>
    <w:p>
      <w:pPr>
        <w:spacing w:line="360" w:lineRule="auto"/>
        <w:ind w:firstLine="600" w:firstLineChars="250"/>
        <w:rPr>
          <w:rFonts w:ascii="仿宋_GB2312" w:hAnsi="仿宋" w:eastAsia="仿宋_GB2312" w:cs="宋体"/>
          <w:color w:val="auto"/>
          <w:sz w:val="24"/>
          <w:highlight w:val="none"/>
        </w:rPr>
      </w:pPr>
      <w:r>
        <w:rPr>
          <w:rFonts w:hint="eastAsia" w:ascii="仿宋_GB2312" w:hAnsi="仿宋" w:eastAsia="仿宋_GB2312" w:cs="宋体"/>
          <w:color w:val="auto"/>
          <w:sz w:val="24"/>
          <w:highlight w:val="none"/>
        </w:rPr>
        <w:t>●投标方案总体设计、建设方案等，详细阐述业务系统的体系架构、功能模块，技术解决方案中体现包括</w:t>
      </w:r>
      <w:r>
        <w:rPr>
          <w:rFonts w:hint="eastAsia" w:ascii="仿宋_GB2312" w:hAnsi="仿宋" w:eastAsia="仿宋_GB2312" w:cs="宋体"/>
          <w:color w:val="auto"/>
          <w:sz w:val="24"/>
          <w:szCs w:val="22"/>
          <w:highlight w:val="none"/>
        </w:rPr>
        <w:t xml:space="preserve"> “</w:t>
      </w:r>
      <w:r>
        <w:rPr>
          <w:rFonts w:hint="eastAsia"/>
          <w:color w:val="auto"/>
          <w:highlight w:val="none"/>
        </w:rPr>
        <w:t xml:space="preserve"> </w:t>
      </w:r>
      <w:r>
        <w:rPr>
          <w:rFonts w:hint="eastAsia" w:ascii="仿宋_GB2312" w:hAnsi="仿宋" w:eastAsia="仿宋_GB2312" w:cs="宋体"/>
          <w:color w:val="auto"/>
          <w:sz w:val="24"/>
          <w:szCs w:val="22"/>
          <w:highlight w:val="none"/>
        </w:rPr>
        <w:t>数字驾驶舱建设”、“</w:t>
      </w:r>
      <w:r>
        <w:rPr>
          <w:rFonts w:hint="eastAsia"/>
          <w:color w:val="auto"/>
          <w:highlight w:val="none"/>
        </w:rPr>
        <w:t xml:space="preserve"> </w:t>
      </w:r>
      <w:r>
        <w:rPr>
          <w:rFonts w:hint="eastAsia" w:ascii="仿宋_GB2312" w:hAnsi="仿宋" w:eastAsia="仿宋_GB2312" w:cs="宋体"/>
          <w:color w:val="auto"/>
          <w:sz w:val="24"/>
          <w:szCs w:val="22"/>
          <w:highlight w:val="none"/>
        </w:rPr>
        <w:t>通用业务应用建设”、“</w:t>
      </w:r>
      <w:r>
        <w:rPr>
          <w:rFonts w:hint="eastAsia"/>
          <w:color w:val="auto"/>
          <w:highlight w:val="none"/>
        </w:rPr>
        <w:t xml:space="preserve"> </w:t>
      </w:r>
      <w:r>
        <w:rPr>
          <w:rFonts w:hint="eastAsia" w:ascii="仿宋_GB2312" w:hAnsi="仿宋" w:eastAsia="仿宋_GB2312" w:cs="宋体"/>
          <w:color w:val="auto"/>
          <w:sz w:val="24"/>
          <w:szCs w:val="22"/>
          <w:highlight w:val="none"/>
        </w:rPr>
        <w:t>共享内容建设”、“</w:t>
      </w:r>
      <w:r>
        <w:rPr>
          <w:rFonts w:hint="eastAsia"/>
          <w:color w:val="auto"/>
          <w:highlight w:val="none"/>
        </w:rPr>
        <w:t xml:space="preserve"> </w:t>
      </w:r>
      <w:r>
        <w:rPr>
          <w:rFonts w:hint="eastAsia" w:ascii="仿宋_GB2312" w:hAnsi="仿宋" w:eastAsia="仿宋_GB2312" w:cs="宋体"/>
          <w:color w:val="auto"/>
          <w:sz w:val="24"/>
          <w:szCs w:val="22"/>
          <w:highlight w:val="none"/>
        </w:rPr>
        <w:t>应用全流程管理”、 “</w:t>
      </w:r>
      <w:r>
        <w:rPr>
          <w:rFonts w:hint="eastAsia" w:ascii="仿宋_GB2312" w:hAnsi="仿宋" w:eastAsia="仿宋_GB2312"/>
          <w:color w:val="auto"/>
          <w:sz w:val="24"/>
          <w:highlight w:val="none"/>
        </w:rPr>
        <w:t>智能指标</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可视化展示引擎</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智能标签工具</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数据魔方工具功能新增</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能力共享开放平台工具功能新增</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流程引擎工具功能新增</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消息中心工具功能新增</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智能研判能力</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智能信息检索能力</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布控预警能力</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智能客服能力</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智能视频能力</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智能文本能力</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地址相似匹配能力</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地图支撑能力</w:t>
      </w:r>
      <w:r>
        <w:rPr>
          <w:rFonts w:hint="eastAsia" w:ascii="仿宋_GB2312" w:hAnsi="仿宋" w:eastAsia="仿宋_GB2312" w:cs="宋体"/>
          <w:color w:val="auto"/>
          <w:sz w:val="24"/>
          <w:szCs w:val="22"/>
          <w:highlight w:val="none"/>
        </w:rPr>
        <w:t>”、“</w:t>
      </w:r>
      <w:r>
        <w:rPr>
          <w:rFonts w:hint="eastAsia" w:ascii="仿宋_GB2312" w:hAnsi="仿宋" w:eastAsia="仿宋_GB2312"/>
          <w:color w:val="auto"/>
          <w:sz w:val="24"/>
          <w:highlight w:val="none"/>
        </w:rPr>
        <w:t>实人认证能力</w:t>
      </w:r>
      <w:r>
        <w:rPr>
          <w:rFonts w:hint="eastAsia" w:ascii="仿宋_GB2312" w:hAnsi="仿宋" w:eastAsia="仿宋_GB2312" w:cs="宋体"/>
          <w:color w:val="auto"/>
          <w:sz w:val="24"/>
          <w:szCs w:val="22"/>
          <w:highlight w:val="none"/>
        </w:rPr>
        <w:t>”等。根据提供的方案内容进行评分，</w:t>
      </w:r>
      <w:r>
        <w:rPr>
          <w:rFonts w:hint="eastAsia" w:ascii="仿宋_GB2312" w:hAnsi="仿宋" w:eastAsia="仿宋_GB2312" w:cs="宋体"/>
          <w:color w:val="auto"/>
          <w:sz w:val="24"/>
          <w:highlight w:val="none"/>
        </w:rPr>
        <w:t>功能需求一项不满足的扣</w:t>
      </w:r>
      <w:r>
        <w:rPr>
          <w:rFonts w:ascii="仿宋_GB2312" w:hAnsi="仿宋" w:eastAsia="仿宋_GB2312" w:cs="宋体"/>
          <w:color w:val="auto"/>
          <w:sz w:val="24"/>
          <w:highlight w:val="none"/>
        </w:rPr>
        <w:t>1</w:t>
      </w:r>
      <w:r>
        <w:rPr>
          <w:rFonts w:hint="eastAsia" w:ascii="仿宋_GB2312" w:hAnsi="仿宋" w:eastAsia="仿宋_GB2312" w:cs="宋体"/>
          <w:color w:val="auto"/>
          <w:sz w:val="24"/>
          <w:highlight w:val="none"/>
        </w:rPr>
        <w:t>分，扣完为止（</w:t>
      </w:r>
      <w:r>
        <w:rPr>
          <w:rFonts w:hint="eastAsia" w:ascii="仿宋_GB2312" w:hAnsi="仿宋" w:eastAsia="仿宋_GB2312" w:cs="宋体"/>
          <w:color w:val="auto"/>
          <w:sz w:val="24"/>
          <w:highlight w:val="none"/>
          <w:lang w:val="en-US" w:eastAsia="zh-CN"/>
        </w:rPr>
        <w:t>15</w:t>
      </w:r>
      <w:r>
        <w:rPr>
          <w:rFonts w:hint="eastAsia" w:ascii="仿宋_GB2312" w:hAnsi="仿宋" w:eastAsia="仿宋_GB2312" w:cs="宋体"/>
          <w:color w:val="auto"/>
          <w:sz w:val="24"/>
          <w:highlight w:val="none"/>
        </w:rPr>
        <w:t>分）；</w:t>
      </w:r>
    </w:p>
    <w:p>
      <w:pPr>
        <w:spacing w:line="360" w:lineRule="auto"/>
        <w:ind w:firstLine="600" w:firstLineChars="250"/>
        <w:rPr>
          <w:rFonts w:ascii="仿宋_GB2312" w:hAnsi="仿宋" w:eastAsia="仿宋_GB2312" w:cs="宋体"/>
          <w:color w:val="auto"/>
          <w:sz w:val="24"/>
          <w:highlight w:val="none"/>
        </w:rPr>
      </w:pPr>
      <w:r>
        <w:rPr>
          <w:rFonts w:hint="eastAsia" w:ascii="仿宋_GB2312" w:hAnsi="仿宋" w:eastAsia="仿宋_GB2312" w:cs="宋体"/>
          <w:color w:val="auto"/>
          <w:sz w:val="24"/>
          <w:highlight w:val="none"/>
        </w:rPr>
        <w:t>● 投标人对现有城市大脑**操作系统现状的了解情况，有详细客观的描述，包括①系统架构、②数据结构和数据量、③业务应用体系和④能力支撑建设情况等。对系统现状有简单了解，每简单阐述一项得1分；对系统现状有较深入全面了解的，每详细客观分析阐述一项得2分。最高得8分（8分）。</w:t>
      </w:r>
    </w:p>
    <w:p>
      <w:pPr>
        <w:spacing w:line="360" w:lineRule="auto"/>
        <w:ind w:firstLine="600" w:firstLineChars="250"/>
        <w:rPr>
          <w:rFonts w:ascii="仿宋_GB2312" w:hAnsi="仿宋" w:eastAsia="仿宋_GB2312" w:cs="宋体"/>
          <w:color w:val="auto"/>
          <w:sz w:val="24"/>
          <w:highlight w:val="none"/>
        </w:rPr>
      </w:pPr>
      <w:r>
        <w:rPr>
          <w:rFonts w:hint="eastAsia" w:ascii="仿宋_GB2312" w:hAnsi="仿宋" w:eastAsia="仿宋_GB2312" w:cs="宋体"/>
          <w:color w:val="auto"/>
          <w:sz w:val="24"/>
          <w:highlight w:val="none"/>
        </w:rPr>
        <w:t>●投标方案中①对系统提出整合建议和措施；②详细阐述对系统建设目标、功能模块、实现思路和关键技术的理解。根据提供的方案内容进行评分，每一项内容完整、措施有效、符合采购人实际视为合理，合理得1分，不合理得0分，最高得2分（2分）；</w:t>
      </w:r>
    </w:p>
    <w:p>
      <w:pPr>
        <w:spacing w:line="360" w:lineRule="auto"/>
        <w:ind w:firstLine="600" w:firstLineChars="250"/>
        <w:rPr>
          <w:rFonts w:ascii="仿宋_GB2312" w:hAnsi="仿宋" w:eastAsia="仿宋_GB2312" w:cs="宋体"/>
          <w:color w:val="auto"/>
          <w:sz w:val="24"/>
          <w:highlight w:val="none"/>
        </w:rPr>
      </w:pPr>
      <w:r>
        <w:rPr>
          <w:rFonts w:hint="eastAsia" w:ascii="仿宋_GB2312" w:hAnsi="仿宋" w:eastAsia="仿宋_GB2312" w:cs="宋体"/>
          <w:color w:val="auto"/>
          <w:sz w:val="24"/>
          <w:highlight w:val="none"/>
        </w:rPr>
        <w:t>● ①投标人是否全面熟知平台系统的相关标准、准则、要求、要素；②投标方案在确保阶段性任务实现的同时，是否统筹考虑了总体目标的实现。根据提供的方案内容进行评分，每一项内容完整、措施有效、符合采购人实际视为合理，合理得1分，不合理得0分，最高得2分（2分）；</w:t>
      </w:r>
    </w:p>
    <w:p>
      <w:pPr>
        <w:snapToGrid w:val="0"/>
        <w:spacing w:line="360" w:lineRule="auto"/>
        <w:ind w:firstLine="450" w:firstLineChars="250"/>
        <w:rPr>
          <w:rFonts w:ascii="仿宋_GB2312" w:hAnsi="仿宋" w:eastAsia="仿宋_GB2312" w:cs="Wingdings"/>
          <w:color w:val="auto"/>
          <w:sz w:val="24"/>
          <w:highlight w:val="none"/>
        </w:rPr>
      </w:pPr>
      <w:r>
        <w:rPr>
          <w:rFonts w:hint="eastAsia" w:ascii="仿宋_GB2312" w:hAnsi="仿宋" w:eastAsia="仿宋_GB2312"/>
          <w:color w:val="auto"/>
          <w:sz w:val="18"/>
          <w:szCs w:val="18"/>
          <w:highlight w:val="none"/>
        </w:rPr>
        <w:t xml:space="preserve">● </w:t>
      </w:r>
      <w:r>
        <w:rPr>
          <w:rFonts w:hint="eastAsia" w:ascii="仿宋_GB2312" w:hAnsi="仿宋" w:eastAsia="仿宋_GB2312"/>
          <w:color w:val="auto"/>
          <w:sz w:val="24"/>
          <w:highlight w:val="none"/>
        </w:rPr>
        <w:t>系统的应急方案</w:t>
      </w:r>
      <w:r>
        <w:rPr>
          <w:rFonts w:hint="eastAsia" w:ascii="仿宋_GB2312" w:hAnsi="仿宋" w:eastAsia="仿宋_GB2312" w:cs="宋体"/>
          <w:color w:val="auto"/>
          <w:kern w:val="0"/>
          <w:sz w:val="24"/>
          <w:highlight w:val="none"/>
        </w:rPr>
        <w:t>①</w:t>
      </w:r>
      <w:r>
        <w:rPr>
          <w:rFonts w:hint="eastAsia" w:ascii="仿宋_GB2312" w:hAnsi="仿宋" w:eastAsia="仿宋_GB2312"/>
          <w:color w:val="auto"/>
          <w:sz w:val="24"/>
          <w:highlight w:val="none"/>
        </w:rPr>
        <w:t>设计</w:t>
      </w:r>
      <w:r>
        <w:rPr>
          <w:rFonts w:hint="eastAsia" w:ascii="仿宋_GB2312" w:hAnsi="仿宋" w:eastAsia="仿宋_GB2312" w:cs="Wingdings"/>
          <w:color w:val="auto"/>
          <w:sz w:val="24"/>
          <w:highlight w:val="none"/>
        </w:rPr>
        <w:t>是否</w:t>
      </w:r>
      <w:r>
        <w:rPr>
          <w:rFonts w:hint="eastAsia" w:ascii="仿宋_GB2312" w:hAnsi="仿宋" w:eastAsia="仿宋_GB2312"/>
          <w:color w:val="auto"/>
          <w:sz w:val="24"/>
          <w:highlight w:val="none"/>
        </w:rPr>
        <w:t>合理，</w:t>
      </w:r>
      <w:r>
        <w:rPr>
          <w:rFonts w:hint="eastAsia" w:ascii="仿宋_GB2312" w:hAnsi="仿宋" w:eastAsia="仿宋_GB2312" w:cs="宋体"/>
          <w:color w:val="auto"/>
          <w:kern w:val="0"/>
          <w:sz w:val="24"/>
          <w:highlight w:val="none"/>
        </w:rPr>
        <w:t>②</w:t>
      </w:r>
      <w:r>
        <w:rPr>
          <w:rFonts w:hint="eastAsia" w:ascii="仿宋_GB2312" w:hAnsi="仿宋" w:eastAsia="仿宋_GB2312" w:cs="Wingdings"/>
          <w:color w:val="auto"/>
          <w:sz w:val="24"/>
          <w:highlight w:val="none"/>
        </w:rPr>
        <w:t>是否</w:t>
      </w:r>
      <w:r>
        <w:rPr>
          <w:rFonts w:hint="eastAsia" w:ascii="仿宋_GB2312" w:hAnsi="仿宋" w:eastAsia="仿宋_GB2312"/>
          <w:color w:val="auto"/>
          <w:sz w:val="24"/>
          <w:highlight w:val="none"/>
        </w:rPr>
        <w:t>充分考虑用户实际使用需求，</w:t>
      </w:r>
      <w:r>
        <w:rPr>
          <w:rFonts w:hint="eastAsia" w:ascii="仿宋_GB2312" w:hAnsi="仿宋" w:eastAsia="仿宋_GB2312" w:cs="宋体"/>
          <w:color w:val="auto"/>
          <w:kern w:val="0"/>
          <w:sz w:val="24"/>
          <w:highlight w:val="none"/>
        </w:rPr>
        <w:t>③</w:t>
      </w:r>
      <w:r>
        <w:rPr>
          <w:rFonts w:hint="eastAsia" w:ascii="仿宋_GB2312" w:hAnsi="仿宋" w:eastAsia="仿宋_GB2312"/>
          <w:color w:val="auto"/>
          <w:sz w:val="24"/>
          <w:highlight w:val="none"/>
        </w:rPr>
        <w:t>是否符合本项目对当前和未来发展的要求。</w:t>
      </w:r>
      <w:r>
        <w:rPr>
          <w:rFonts w:hint="eastAsia" w:ascii="仿宋_GB2312" w:hAnsi="仿宋" w:eastAsia="仿宋_GB2312" w:cs="宋体"/>
          <w:color w:val="auto"/>
          <w:kern w:val="0"/>
          <w:sz w:val="24"/>
          <w:highlight w:val="none"/>
        </w:rPr>
        <w:t>根据提供的方案内容进行评分，每一项内容完整、措施有效、符合采购人实际视为合理，合理得</w:t>
      </w:r>
      <w:r>
        <w:rPr>
          <w:rFonts w:hint="eastAsia" w:ascii="仿宋_GB2312" w:hAnsi="仿宋" w:eastAsia="仿宋_GB2312" w:cs="宋体"/>
          <w:color w:val="auto"/>
          <w:highlight w:val="none"/>
        </w:rPr>
        <w:t>1</w:t>
      </w:r>
      <w:r>
        <w:rPr>
          <w:rFonts w:hint="eastAsia" w:ascii="仿宋_GB2312" w:hAnsi="仿宋" w:eastAsia="仿宋_GB2312" w:cs="宋体"/>
          <w:color w:val="auto"/>
          <w:kern w:val="0"/>
          <w:sz w:val="24"/>
          <w:highlight w:val="none"/>
        </w:rPr>
        <w:t>分，不合理得0分，最高得3分</w:t>
      </w:r>
      <w:r>
        <w:rPr>
          <w:rFonts w:hint="eastAsia" w:ascii="仿宋_GB2312" w:hAnsi="仿宋" w:eastAsia="仿宋_GB2312" w:cs="Wingdings"/>
          <w:color w:val="auto"/>
          <w:sz w:val="24"/>
          <w:highlight w:val="none"/>
        </w:rPr>
        <w:t>（3分）；</w:t>
      </w:r>
    </w:p>
    <w:p>
      <w:pPr>
        <w:snapToGrid w:val="0"/>
        <w:spacing w:line="360" w:lineRule="auto"/>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（2）投标系统现场演示、方案现场讲解和项目功能的实现情况（2</w:t>
      </w:r>
      <w:r>
        <w:rPr>
          <w:rFonts w:ascii="仿宋_GB2312" w:hAnsi="宋体" w:eastAsia="仿宋_GB2312"/>
          <w:b/>
          <w:color w:val="auto"/>
          <w:sz w:val="24"/>
          <w:highlight w:val="none"/>
        </w:rPr>
        <w:t>0</w:t>
      </w:r>
      <w:r>
        <w:rPr>
          <w:rFonts w:hint="eastAsia" w:ascii="仿宋_GB2312" w:hAnsi="宋体" w:eastAsia="仿宋_GB2312"/>
          <w:b/>
          <w:color w:val="auto"/>
          <w:sz w:val="24"/>
          <w:highlight w:val="none"/>
        </w:rPr>
        <w:t>分）：</w:t>
      </w:r>
    </w:p>
    <w:p>
      <w:pPr>
        <w:snapToGrid w:val="0"/>
        <w:spacing w:line="360" w:lineRule="auto"/>
        <w:ind w:firstLine="600" w:firstLineChars="250"/>
        <w:rPr>
          <w:rFonts w:ascii="仿宋_GB2312" w:eastAsia="仿宋_GB2312"/>
          <w:color w:val="auto"/>
          <w:sz w:val="24"/>
          <w:highlight w:val="none"/>
        </w:rPr>
      </w:pPr>
      <w:r>
        <w:rPr>
          <w:rFonts w:hint="eastAsia" w:ascii="仿宋_GB2312" w:hAnsi="仿宋" w:eastAsia="仿宋_GB2312" w:cs="宋体"/>
          <w:color w:val="auto"/>
          <w:sz w:val="24"/>
          <w:highlight w:val="none"/>
        </w:rPr>
        <w:t>●</w:t>
      </w:r>
      <w:r>
        <w:rPr>
          <w:rFonts w:hint="eastAsia" w:ascii="仿宋_GB2312" w:eastAsia="仿宋_GB2312"/>
          <w:color w:val="auto"/>
          <w:sz w:val="24"/>
          <w:highlight w:val="none"/>
        </w:rPr>
        <w:t>是否有可演示的原型，原型系统是否紧密结合业务，体现与现有系统在系统架构、功能、数据结构上的无缝集成，能符合单位实际情况。无原型演示或演示不符合业务实际情况(采用图片、PPT等属非原型演示)此项不得分（20分）：</w:t>
      </w:r>
    </w:p>
    <w:p>
      <w:pPr>
        <w:numPr>
          <w:ilvl w:val="0"/>
          <w:numId w:val="15"/>
        </w:numPr>
        <w:adjustRightInd/>
        <w:snapToGrid w:val="0"/>
        <w:spacing w:line="360" w:lineRule="auto"/>
        <w:ind w:firstLine="600" w:firstLineChars="250"/>
        <w:rPr>
          <w:rFonts w:ascii="仿宋_GB2312" w:eastAsia="仿宋_GB2312" w:cs="宋体"/>
          <w:color w:val="auto"/>
          <w:sz w:val="24"/>
          <w:highlight w:val="none"/>
          <w:lang w:val="zh-CN"/>
        </w:rPr>
      </w:pPr>
      <w:r>
        <w:rPr>
          <w:rFonts w:hint="eastAsia" w:ascii="仿宋_GB2312" w:eastAsia="仿宋_GB2312" w:cs="宋体"/>
          <w:color w:val="auto"/>
          <w:sz w:val="24"/>
          <w:highlight w:val="none"/>
          <w:lang w:val="zh-CN"/>
        </w:rPr>
        <w:t>共享业务及内容建设：包括“</w:t>
      </w:r>
      <w:r>
        <w:rPr>
          <w:rFonts w:hint="eastAsia" w:ascii="仿宋_GB2312" w:hAnsi="仿宋" w:eastAsia="仿宋_GB2312" w:cs="宋体"/>
          <w:color w:val="auto"/>
          <w:sz w:val="24"/>
          <w:szCs w:val="22"/>
          <w:highlight w:val="none"/>
        </w:rPr>
        <w:t>数字驾驶舱建设</w:t>
      </w:r>
      <w:r>
        <w:rPr>
          <w:rFonts w:hint="eastAsia" w:ascii="仿宋_GB2312" w:eastAsia="仿宋_GB2312" w:cs="宋体"/>
          <w:color w:val="auto"/>
          <w:sz w:val="24"/>
          <w:highlight w:val="none"/>
          <w:lang w:val="zh-CN"/>
        </w:rPr>
        <w:t>功能”、“</w:t>
      </w:r>
      <w:r>
        <w:rPr>
          <w:rFonts w:hint="eastAsia" w:ascii="仿宋_GB2312" w:hAnsi="仿宋" w:eastAsia="仿宋_GB2312" w:cs="宋体"/>
          <w:color w:val="auto"/>
          <w:sz w:val="24"/>
          <w:szCs w:val="22"/>
          <w:highlight w:val="none"/>
        </w:rPr>
        <w:t>通用业务应用建设</w:t>
      </w:r>
      <w:r>
        <w:rPr>
          <w:rFonts w:hint="eastAsia" w:ascii="仿宋_GB2312" w:eastAsia="仿宋_GB2312" w:cs="宋体"/>
          <w:color w:val="auto"/>
          <w:sz w:val="24"/>
          <w:highlight w:val="none"/>
          <w:lang w:val="zh-CN"/>
        </w:rPr>
        <w:t>”、“</w:t>
      </w:r>
      <w:r>
        <w:rPr>
          <w:rFonts w:hint="eastAsia" w:ascii="仿宋_GB2312" w:hAnsi="仿宋" w:eastAsia="仿宋_GB2312" w:cs="宋体"/>
          <w:color w:val="auto"/>
          <w:sz w:val="24"/>
          <w:szCs w:val="22"/>
          <w:highlight w:val="none"/>
        </w:rPr>
        <w:t>共享内容建设”</w:t>
      </w:r>
      <w:r>
        <w:rPr>
          <w:rFonts w:hint="eastAsia" w:ascii="仿宋_GB2312" w:eastAsia="仿宋_GB2312" w:cs="宋体"/>
          <w:color w:val="auto"/>
          <w:sz w:val="24"/>
          <w:highlight w:val="none"/>
          <w:lang w:val="zh-CN"/>
        </w:rPr>
        <w:t>、“</w:t>
      </w:r>
      <w:r>
        <w:rPr>
          <w:rFonts w:hint="eastAsia" w:ascii="仿宋_GB2312" w:hAnsi="仿宋" w:eastAsia="仿宋_GB2312" w:cs="宋体"/>
          <w:color w:val="auto"/>
          <w:sz w:val="24"/>
          <w:szCs w:val="22"/>
          <w:highlight w:val="none"/>
        </w:rPr>
        <w:t>应用全流程管理”</w:t>
      </w:r>
      <w:r>
        <w:rPr>
          <w:rFonts w:hint="eastAsia" w:ascii="仿宋_GB2312" w:eastAsia="仿宋_GB2312" w:cs="宋体"/>
          <w:color w:val="auto"/>
          <w:sz w:val="24"/>
          <w:highlight w:val="none"/>
          <w:lang w:val="zh-CN"/>
        </w:rPr>
        <w:t>；每演示一个功能得</w:t>
      </w:r>
      <w:r>
        <w:rPr>
          <w:rFonts w:ascii="仿宋_GB2312" w:eastAsia="仿宋_GB2312" w:cs="宋体"/>
          <w:color w:val="auto"/>
          <w:sz w:val="24"/>
          <w:highlight w:val="none"/>
          <w:lang w:val="zh-CN"/>
        </w:rPr>
        <w:t>4</w:t>
      </w:r>
      <w:r>
        <w:rPr>
          <w:rFonts w:hint="eastAsia" w:ascii="仿宋_GB2312" w:eastAsia="仿宋_GB2312" w:cs="宋体"/>
          <w:color w:val="auto"/>
          <w:sz w:val="24"/>
          <w:highlight w:val="none"/>
          <w:lang w:val="zh-CN"/>
        </w:rPr>
        <w:t>分，共</w:t>
      </w:r>
      <w:r>
        <w:rPr>
          <w:rFonts w:ascii="仿宋_GB2312" w:eastAsia="仿宋_GB2312" w:cs="宋体"/>
          <w:color w:val="auto"/>
          <w:sz w:val="24"/>
          <w:highlight w:val="none"/>
          <w:lang w:val="zh-CN"/>
        </w:rPr>
        <w:t>4</w:t>
      </w:r>
      <w:r>
        <w:rPr>
          <w:rFonts w:hint="eastAsia" w:ascii="仿宋_GB2312" w:eastAsia="仿宋_GB2312" w:cs="宋体"/>
          <w:color w:val="auto"/>
          <w:sz w:val="24"/>
          <w:highlight w:val="none"/>
          <w:lang w:val="zh-CN"/>
        </w:rPr>
        <w:t>分（</w:t>
      </w:r>
      <w:r>
        <w:rPr>
          <w:rFonts w:ascii="仿宋_GB2312" w:eastAsia="仿宋_GB2312" w:cs="宋体"/>
          <w:color w:val="auto"/>
          <w:sz w:val="24"/>
          <w:highlight w:val="none"/>
          <w:lang w:val="zh-CN"/>
        </w:rPr>
        <w:t>4</w:t>
      </w:r>
      <w:r>
        <w:rPr>
          <w:rFonts w:hint="eastAsia" w:ascii="仿宋_GB2312" w:eastAsia="仿宋_GB2312" w:cs="宋体"/>
          <w:color w:val="auto"/>
          <w:sz w:val="24"/>
          <w:highlight w:val="none"/>
          <w:lang w:val="zh-CN"/>
        </w:rPr>
        <w:t>分）；</w:t>
      </w:r>
    </w:p>
    <w:p>
      <w:pPr>
        <w:numPr>
          <w:ilvl w:val="0"/>
          <w:numId w:val="15"/>
        </w:numPr>
        <w:adjustRightInd/>
        <w:snapToGrid w:val="0"/>
        <w:spacing w:line="360" w:lineRule="auto"/>
        <w:ind w:firstLine="600" w:firstLineChars="250"/>
        <w:rPr>
          <w:rFonts w:ascii="仿宋_GB2312" w:eastAsia="仿宋_GB2312" w:cs="宋体"/>
          <w:color w:val="auto"/>
          <w:sz w:val="24"/>
          <w:highlight w:val="none"/>
          <w:lang w:val="zh-CN"/>
        </w:rPr>
      </w:pPr>
      <w:r>
        <w:rPr>
          <w:rFonts w:hint="eastAsia" w:ascii="仿宋_GB2312" w:eastAsia="仿宋_GB2312" w:cs="宋体"/>
          <w:color w:val="auto"/>
          <w:sz w:val="24"/>
          <w:highlight w:val="none"/>
          <w:lang w:val="zh-CN"/>
        </w:rPr>
        <w:t>通用基础能力建设：包括</w:t>
      </w:r>
      <w:r>
        <w:rPr>
          <w:rFonts w:hint="eastAsia" w:ascii="仿宋_GB2312" w:eastAsia="仿宋_GB2312" w:cs="宋体"/>
          <w:color w:val="auto"/>
          <w:sz w:val="24"/>
          <w:highlight w:val="none"/>
        </w:rPr>
        <w:t>“智能指标”、“可视化展示引擎”、“智能标签工具功能”、“数据魔方工具功能”、“能力共享开放平台工具功能”、“流程引擎工具功能”、“消息中心工具功能”、“智能研判能力”、“智能信息检索能力”、“布控预警能力”、“智能客服能力”、“智能视频能力”、“智能文本能力”、“地址相似匹配能力”、“地图支撑能力”、“实人认证能力”</w:t>
      </w:r>
      <w:r>
        <w:rPr>
          <w:rFonts w:hint="eastAsia" w:ascii="仿宋_GB2312" w:hAnsi="仿宋" w:eastAsia="仿宋_GB2312" w:cs="宋体"/>
          <w:color w:val="auto"/>
          <w:sz w:val="24"/>
          <w:szCs w:val="22"/>
          <w:highlight w:val="none"/>
        </w:rPr>
        <w:t>，</w:t>
      </w:r>
      <w:r>
        <w:rPr>
          <w:rFonts w:hint="eastAsia" w:ascii="仿宋_GB2312" w:eastAsia="仿宋_GB2312" w:cs="宋体"/>
          <w:color w:val="auto"/>
          <w:sz w:val="24"/>
          <w:highlight w:val="none"/>
          <w:lang w:val="zh-CN"/>
        </w:rPr>
        <w:t>每演示一个功能得1分，共</w:t>
      </w:r>
      <w:r>
        <w:rPr>
          <w:rFonts w:ascii="仿宋_GB2312" w:eastAsia="仿宋_GB2312" w:cs="宋体"/>
          <w:color w:val="auto"/>
          <w:sz w:val="24"/>
          <w:highlight w:val="none"/>
          <w:lang w:val="zh-CN"/>
        </w:rPr>
        <w:t>16</w:t>
      </w:r>
      <w:r>
        <w:rPr>
          <w:rFonts w:hint="eastAsia" w:ascii="仿宋_GB2312" w:eastAsia="仿宋_GB2312" w:cs="宋体"/>
          <w:color w:val="auto"/>
          <w:sz w:val="24"/>
          <w:highlight w:val="none"/>
          <w:lang w:val="zh-CN"/>
        </w:rPr>
        <w:t>分（</w:t>
      </w:r>
      <w:r>
        <w:rPr>
          <w:rFonts w:ascii="仿宋_GB2312" w:eastAsia="仿宋_GB2312" w:cs="宋体"/>
          <w:color w:val="auto"/>
          <w:sz w:val="24"/>
          <w:highlight w:val="none"/>
          <w:lang w:val="zh-CN"/>
        </w:rPr>
        <w:t>16</w:t>
      </w:r>
      <w:r>
        <w:rPr>
          <w:rFonts w:hint="eastAsia" w:ascii="仿宋_GB2312" w:eastAsia="仿宋_GB2312" w:cs="宋体"/>
          <w:color w:val="auto"/>
          <w:sz w:val="24"/>
          <w:highlight w:val="none"/>
          <w:lang w:val="zh-CN"/>
        </w:rPr>
        <w:t>分）；</w:t>
      </w:r>
    </w:p>
    <w:p>
      <w:pPr>
        <w:pStyle w:val="2"/>
        <w:ind w:firstLine="482"/>
        <w:rPr>
          <w:rFonts w:hint="eastAsia" w:ascii="仿宋" w:hAnsi="仿宋" w:eastAsia="仿宋"/>
          <w:b/>
          <w:bCs/>
          <w:color w:val="auto"/>
          <w:highlight w:val="none"/>
          <w:lang w:val="zh-CN"/>
        </w:rPr>
      </w:pPr>
      <w:r>
        <w:rPr>
          <w:rFonts w:hint="eastAsia" w:ascii="仿宋" w:hAnsi="仿宋" w:eastAsia="仿宋"/>
          <w:b/>
          <w:bCs/>
          <w:color w:val="auto"/>
          <w:highlight w:val="none"/>
          <w:lang w:val="zh-CN"/>
        </w:rPr>
        <w:t>（注：无原型演示或演示不符合业务实际情况(采用图片、PPT等属非原型演示)此项不得分）（2</w:t>
      </w:r>
      <w:r>
        <w:rPr>
          <w:rFonts w:ascii="仿宋" w:hAnsi="仿宋" w:eastAsia="仿宋"/>
          <w:b/>
          <w:bCs/>
          <w:color w:val="auto"/>
          <w:highlight w:val="none"/>
          <w:lang w:val="zh-CN"/>
        </w:rPr>
        <w:t>0</w:t>
      </w:r>
      <w:r>
        <w:rPr>
          <w:rFonts w:hint="eastAsia" w:ascii="仿宋" w:hAnsi="仿宋" w:eastAsia="仿宋"/>
          <w:b/>
          <w:bCs/>
          <w:color w:val="auto"/>
          <w:highlight w:val="none"/>
          <w:lang w:val="zh-CN"/>
        </w:rPr>
        <w:t>分）；</w:t>
      </w:r>
    </w:p>
    <w:p>
      <w:pPr>
        <w:snapToGrid w:val="0"/>
        <w:spacing w:line="360" w:lineRule="auto"/>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（3）售后服务方案情况（4分）：</w:t>
      </w:r>
    </w:p>
    <w:p>
      <w:pPr>
        <w:tabs>
          <w:tab w:val="left" w:pos="0"/>
        </w:tabs>
        <w:spacing w:line="360" w:lineRule="auto"/>
        <w:ind w:firstLine="405" w:firstLineChars="225"/>
        <w:rPr>
          <w:rFonts w:ascii="仿宋_GB2312" w:hAnsi="仿宋" w:eastAsia="仿宋_GB2312"/>
          <w:color w:val="auto"/>
          <w:sz w:val="24"/>
          <w:highlight w:val="none"/>
        </w:rPr>
      </w:pPr>
      <w:r>
        <w:rPr>
          <w:rFonts w:hint="eastAsia" w:ascii="仿宋_GB2312" w:hAnsi="仿宋" w:eastAsia="仿宋_GB2312"/>
          <w:color w:val="auto"/>
          <w:sz w:val="18"/>
          <w:szCs w:val="18"/>
          <w:highlight w:val="none"/>
        </w:rPr>
        <w:t>●</w:t>
      </w:r>
      <w:r>
        <w:rPr>
          <w:rFonts w:hint="eastAsia" w:ascii="仿宋_GB2312" w:hAnsi="仿宋" w:eastAsia="仿宋_GB2312" w:cs="宋体"/>
          <w:color w:val="auto"/>
          <w:sz w:val="24"/>
          <w:highlight w:val="none"/>
        </w:rPr>
        <w:t>售后服务内容包括升级、功能完善、故障排除、性能调优、技术咨询等，并负责系统的开发、集成，处理、协调与各系统软件等供应商的关系，提供证明材料（满足要求得2分，不满足不得分）（2分）</w:t>
      </w:r>
      <w:r>
        <w:rPr>
          <w:rFonts w:hint="eastAsia" w:ascii="仿宋_GB2312" w:hAnsi="仿宋" w:eastAsia="仿宋_GB2312"/>
          <w:color w:val="auto"/>
          <w:sz w:val="24"/>
          <w:highlight w:val="none"/>
        </w:rPr>
        <w:t>；</w:t>
      </w:r>
    </w:p>
    <w:p>
      <w:pPr>
        <w:tabs>
          <w:tab w:val="left" w:pos="0"/>
        </w:tabs>
        <w:spacing w:line="360" w:lineRule="auto"/>
        <w:ind w:firstLine="405" w:firstLineChars="225"/>
        <w:rPr>
          <w:rFonts w:ascii="仿宋_GB2312" w:hAnsi="仿宋" w:eastAsia="仿宋_GB2312"/>
          <w:color w:val="auto"/>
          <w:sz w:val="24"/>
          <w:highlight w:val="none"/>
        </w:rPr>
      </w:pPr>
      <w:r>
        <w:rPr>
          <w:rFonts w:hint="eastAsia" w:ascii="仿宋_GB2312" w:hAnsi="仿宋" w:eastAsia="仿宋_GB2312"/>
          <w:color w:val="auto"/>
          <w:sz w:val="18"/>
          <w:szCs w:val="18"/>
          <w:highlight w:val="none"/>
        </w:rPr>
        <w:t xml:space="preserve">● </w:t>
      </w:r>
      <w:r>
        <w:rPr>
          <w:rFonts w:hint="eastAsia" w:ascii="仿宋_GB2312" w:hAnsi="仿宋" w:eastAsia="仿宋_GB2312"/>
          <w:color w:val="auto"/>
          <w:sz w:val="24"/>
          <w:highlight w:val="none"/>
        </w:rPr>
        <w:t>投标人提供的售后服务时间满足采购人要求的得</w:t>
      </w:r>
      <w:r>
        <w:rPr>
          <w:rFonts w:ascii="仿宋_GB2312" w:hAnsi="仿宋" w:eastAsia="仿宋_GB2312"/>
          <w:color w:val="auto"/>
          <w:sz w:val="24"/>
          <w:highlight w:val="none"/>
        </w:rPr>
        <w:t>1</w:t>
      </w:r>
      <w:r>
        <w:rPr>
          <w:rFonts w:hint="eastAsia" w:ascii="仿宋_GB2312" w:hAnsi="仿宋" w:eastAsia="仿宋_GB2312"/>
          <w:color w:val="auto"/>
          <w:sz w:val="24"/>
          <w:highlight w:val="none"/>
        </w:rPr>
        <w:t>分，不满足不得分（</w:t>
      </w:r>
      <w:r>
        <w:rPr>
          <w:rFonts w:ascii="仿宋_GB2312" w:hAnsi="仿宋" w:eastAsia="仿宋_GB2312"/>
          <w:color w:val="auto"/>
          <w:sz w:val="24"/>
          <w:highlight w:val="none"/>
        </w:rPr>
        <w:t>1</w:t>
      </w:r>
      <w:r>
        <w:rPr>
          <w:rFonts w:hint="eastAsia" w:ascii="仿宋_GB2312" w:hAnsi="仿宋" w:eastAsia="仿宋_GB2312"/>
          <w:color w:val="auto"/>
          <w:sz w:val="24"/>
          <w:highlight w:val="none"/>
        </w:rPr>
        <w:t>分）；</w:t>
      </w:r>
    </w:p>
    <w:p>
      <w:pPr>
        <w:tabs>
          <w:tab w:val="left" w:pos="0"/>
        </w:tabs>
        <w:spacing w:line="360" w:lineRule="auto"/>
        <w:ind w:firstLine="405" w:firstLineChars="225"/>
        <w:rPr>
          <w:rFonts w:ascii="仿宋_GB2312" w:hAnsi="仿宋" w:eastAsia="仿宋_GB2312" w:cs="Wingdings"/>
          <w:color w:val="auto"/>
          <w:sz w:val="24"/>
          <w:highlight w:val="none"/>
        </w:rPr>
      </w:pPr>
      <w:r>
        <w:rPr>
          <w:rFonts w:hint="eastAsia" w:ascii="仿宋_GB2312" w:hAnsi="仿宋" w:eastAsia="仿宋_GB2312"/>
          <w:color w:val="auto"/>
          <w:sz w:val="18"/>
          <w:szCs w:val="18"/>
          <w:highlight w:val="none"/>
        </w:rPr>
        <w:t xml:space="preserve">● </w:t>
      </w:r>
      <w:r>
        <w:rPr>
          <w:rFonts w:hint="eastAsia" w:ascii="仿宋_GB2312" w:hAnsi="仿宋" w:eastAsia="仿宋_GB2312"/>
          <w:color w:val="auto"/>
          <w:sz w:val="24"/>
          <w:highlight w:val="none"/>
        </w:rPr>
        <w:t>投标人</w:t>
      </w:r>
      <w:r>
        <w:rPr>
          <w:rFonts w:hint="eastAsia" w:ascii="仿宋_GB2312" w:eastAsia="仿宋_GB2312" w:cs="MT Extra"/>
          <w:color w:val="auto"/>
          <w:sz w:val="24"/>
          <w:szCs w:val="20"/>
          <w:highlight w:val="none"/>
        </w:rPr>
        <w:t>现场响应时间小于4小时的得</w:t>
      </w:r>
      <w:r>
        <w:rPr>
          <w:rFonts w:ascii="仿宋_GB2312" w:eastAsia="仿宋_GB2312" w:cs="MT Extra"/>
          <w:color w:val="auto"/>
          <w:sz w:val="24"/>
          <w:szCs w:val="20"/>
          <w:highlight w:val="none"/>
        </w:rPr>
        <w:t>1</w:t>
      </w:r>
      <w:r>
        <w:rPr>
          <w:rFonts w:hint="eastAsia" w:ascii="仿宋_GB2312" w:eastAsia="仿宋_GB2312" w:cs="MT Extra"/>
          <w:color w:val="auto"/>
          <w:sz w:val="24"/>
          <w:szCs w:val="20"/>
          <w:highlight w:val="none"/>
        </w:rPr>
        <w:t>分，不满足不得分。提供证明材料（</w:t>
      </w:r>
      <w:r>
        <w:rPr>
          <w:rFonts w:ascii="仿宋_GB2312" w:eastAsia="仿宋_GB2312" w:cs="MT Extra"/>
          <w:color w:val="auto"/>
          <w:sz w:val="24"/>
          <w:szCs w:val="20"/>
          <w:highlight w:val="none"/>
        </w:rPr>
        <w:t>1</w:t>
      </w:r>
      <w:r>
        <w:rPr>
          <w:rFonts w:hint="eastAsia" w:ascii="仿宋_GB2312" w:eastAsia="仿宋_GB2312" w:cs="MT Extra"/>
          <w:color w:val="auto"/>
          <w:sz w:val="24"/>
          <w:szCs w:val="20"/>
          <w:highlight w:val="none"/>
        </w:rPr>
        <w:t>分）</w:t>
      </w:r>
      <w:r>
        <w:rPr>
          <w:rFonts w:hint="eastAsia" w:ascii="仿宋_GB2312" w:hAnsi="仿宋" w:eastAsia="仿宋_GB2312"/>
          <w:color w:val="auto"/>
          <w:sz w:val="24"/>
          <w:highlight w:val="none"/>
        </w:rPr>
        <w:t>。</w:t>
      </w:r>
    </w:p>
    <w:p>
      <w:pPr>
        <w:snapToGrid w:val="0"/>
        <w:spacing w:line="360" w:lineRule="auto"/>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（4）项目组人员素质情况（10分）：</w:t>
      </w:r>
    </w:p>
    <w:p>
      <w:pPr>
        <w:snapToGrid w:val="0"/>
        <w:spacing w:line="360" w:lineRule="auto"/>
        <w:ind w:firstLine="360" w:firstLineChars="200"/>
        <w:rPr>
          <w:rFonts w:ascii="仿宋_GB2312" w:eastAsia="仿宋_GB2312"/>
          <w:color w:val="auto"/>
          <w:sz w:val="24"/>
          <w:highlight w:val="none"/>
          <w:lang w:val="zh-CN"/>
        </w:rPr>
      </w:pPr>
      <w:r>
        <w:rPr>
          <w:rFonts w:hint="eastAsia" w:ascii="仿宋_GB2312" w:hAnsi="仿宋" w:eastAsia="仿宋_GB2312"/>
          <w:color w:val="auto"/>
          <w:sz w:val="18"/>
          <w:highlight w:val="none"/>
        </w:rPr>
        <w:t>●</w:t>
      </w:r>
      <w:r>
        <w:rPr>
          <w:rFonts w:hint="eastAsia" w:ascii="仿宋_GB2312" w:hAnsi="仿宋" w:eastAsia="仿宋_GB2312" w:cs="宋体"/>
          <w:color w:val="auto"/>
          <w:kern w:val="0"/>
          <w:sz w:val="24"/>
          <w:highlight w:val="none"/>
          <w:lang w:val="zh-CN"/>
        </w:rPr>
        <w:t>①具有完备的项目实施规范和管理制度；②具有</w:t>
      </w:r>
      <w:r>
        <w:rPr>
          <w:rFonts w:hint="eastAsia" w:ascii="仿宋_GB2312" w:hAnsi="仿宋" w:eastAsia="仿宋_GB2312" w:cs="宋体"/>
          <w:color w:val="auto"/>
          <w:sz w:val="24"/>
          <w:highlight w:val="none"/>
        </w:rPr>
        <w:t>ISO9000</w:t>
      </w:r>
      <w:r>
        <w:rPr>
          <w:rFonts w:hint="eastAsia" w:ascii="仿宋_GB2312" w:hAnsi="仿宋" w:eastAsia="仿宋_GB2312" w:cs="宋体"/>
          <w:color w:val="auto"/>
          <w:sz w:val="24"/>
          <w:highlight w:val="none"/>
          <w:lang w:val="zh-CN"/>
        </w:rPr>
        <w:t>质量管理体系</w:t>
      </w:r>
      <w:r>
        <w:rPr>
          <w:rFonts w:hint="eastAsia" w:ascii="仿宋_GB2312" w:hAnsi="仿宋" w:eastAsia="仿宋_GB2312" w:cs="宋体"/>
          <w:color w:val="auto"/>
          <w:kern w:val="0"/>
          <w:sz w:val="24"/>
          <w:highlight w:val="none"/>
          <w:lang w:val="zh-CN"/>
        </w:rPr>
        <w:t>，并能有效实施；每一项得1分，共2分（2分）；</w:t>
      </w:r>
    </w:p>
    <w:p>
      <w:pPr>
        <w:tabs>
          <w:tab w:val="left" w:pos="0"/>
        </w:tabs>
        <w:spacing w:line="360" w:lineRule="auto"/>
        <w:ind w:firstLine="405" w:firstLineChars="225"/>
        <w:rPr>
          <w:rFonts w:ascii="仿宋_GB2312" w:hAnsi="仿宋" w:eastAsia="仿宋_GB2312"/>
          <w:color w:val="auto"/>
          <w:sz w:val="24"/>
          <w:highlight w:val="none"/>
        </w:rPr>
      </w:pPr>
      <w:r>
        <w:rPr>
          <w:rFonts w:hint="eastAsia" w:ascii="仿宋_GB2312" w:hAnsi="仿宋" w:eastAsia="仿宋_GB2312"/>
          <w:color w:val="auto"/>
          <w:sz w:val="18"/>
          <w:highlight w:val="none"/>
        </w:rPr>
        <w:t>●</w:t>
      </w:r>
      <w:r>
        <w:rPr>
          <w:rFonts w:hint="eastAsia" w:ascii="仿宋_GB2312" w:hAnsi="仿宋" w:eastAsia="仿宋_GB2312"/>
          <w:color w:val="auto"/>
          <w:sz w:val="24"/>
          <w:highlight w:val="none"/>
        </w:rPr>
        <w:t>拟担任本</w:t>
      </w:r>
      <w:r>
        <w:rPr>
          <w:rFonts w:hint="eastAsia" w:ascii="仿宋_GB2312" w:hAnsi="仿宋" w:eastAsia="仿宋_GB2312" w:cs="Wingdings"/>
          <w:color w:val="auto"/>
          <w:sz w:val="24"/>
          <w:highlight w:val="none"/>
        </w:rPr>
        <w:t>项目项目经理</w:t>
      </w:r>
      <w:r>
        <w:rPr>
          <w:rFonts w:hint="eastAsia" w:ascii="仿宋_GB2312" w:hAnsi="仿宋_GB2312" w:eastAsia="仿宋_GB2312" w:cs="仿宋_GB2312"/>
          <w:color w:val="auto"/>
          <w:sz w:val="24"/>
          <w:highlight w:val="none"/>
        </w:rPr>
        <w:t>的专业素质、技术能力、经验等情况</w:t>
      </w:r>
      <w:r>
        <w:rPr>
          <w:rFonts w:hint="eastAsia" w:ascii="仿宋_GB2312" w:hAnsi="仿宋_GB2312" w:eastAsia="仿宋_GB2312" w:cs="仿宋_GB2312"/>
          <w:color w:val="auto"/>
          <w:sz w:val="24"/>
          <w:szCs w:val="22"/>
          <w:highlight w:val="none"/>
        </w:rPr>
        <w:t>，</w:t>
      </w:r>
      <w:r>
        <w:rPr>
          <w:rFonts w:hint="eastAsia" w:ascii="仿宋_GB2312" w:hAnsi="仿宋" w:eastAsia="仿宋_GB2312"/>
          <w:color w:val="auto"/>
          <w:sz w:val="24"/>
          <w:highlight w:val="none"/>
        </w:rPr>
        <w:t>具有类似项目建设经验（需提供相关业绩证明材料）得</w:t>
      </w:r>
      <w:r>
        <w:rPr>
          <w:rFonts w:ascii="仿宋_GB2312" w:hAnsi="仿宋" w:eastAsia="仿宋_GB2312"/>
          <w:color w:val="auto"/>
          <w:sz w:val="24"/>
          <w:highlight w:val="none"/>
        </w:rPr>
        <w:t>2</w:t>
      </w:r>
      <w:r>
        <w:rPr>
          <w:rFonts w:hint="eastAsia" w:ascii="仿宋_GB2312" w:hAnsi="仿宋" w:eastAsia="仿宋_GB2312"/>
          <w:color w:val="auto"/>
          <w:sz w:val="24"/>
          <w:highlight w:val="none"/>
        </w:rPr>
        <w:t>分</w:t>
      </w:r>
      <w:r>
        <w:rPr>
          <w:rFonts w:hint="eastAsia" w:ascii="仿宋_GB2312" w:hAnsi="仿宋_GB2312" w:eastAsia="仿宋_GB2312" w:cs="仿宋_GB2312"/>
          <w:color w:val="auto"/>
          <w:sz w:val="24"/>
          <w:highlight w:val="none"/>
        </w:rPr>
        <w:t>。</w:t>
      </w:r>
      <w:r>
        <w:rPr>
          <w:rFonts w:hint="eastAsia" w:ascii="仿宋_GB2312" w:hAnsi="仿宋" w:eastAsia="仿宋_GB2312" w:cs="Wingdings"/>
          <w:color w:val="auto"/>
          <w:sz w:val="24"/>
          <w:highlight w:val="none"/>
        </w:rPr>
        <w:t>项目经理</w:t>
      </w:r>
      <w:r>
        <w:rPr>
          <w:rFonts w:hint="eastAsia" w:ascii="仿宋_GB2312" w:hAnsi="仿宋_GB2312" w:eastAsia="仿宋_GB2312" w:cs="仿宋_GB2312"/>
          <w:color w:val="auto"/>
          <w:sz w:val="24"/>
          <w:highlight w:val="none"/>
        </w:rPr>
        <w:t>具备</w:t>
      </w:r>
      <w:r>
        <w:rPr>
          <w:rFonts w:hint="eastAsia" w:ascii="仿宋_GB2312" w:hAnsi="仿宋" w:eastAsia="仿宋_GB2312"/>
          <w:color w:val="auto"/>
          <w:sz w:val="24"/>
          <w:highlight w:val="none"/>
        </w:rPr>
        <w:t>软件开发经验，具有系统架构设计师及高级程序员</w:t>
      </w:r>
      <w:r>
        <w:rPr>
          <w:rFonts w:hint="eastAsia" w:ascii="仿宋_GB2312" w:hAnsi="仿宋_GB2312" w:eastAsia="仿宋_GB2312" w:cs="仿宋_GB2312"/>
          <w:color w:val="auto"/>
          <w:sz w:val="24"/>
          <w:highlight w:val="none"/>
        </w:rPr>
        <w:t>资质证书的得2分，否则不得分。本项共4分。</w:t>
      </w:r>
      <w:r>
        <w:rPr>
          <w:rFonts w:hint="eastAsia" w:ascii="仿宋_GB2312" w:hAnsi="仿宋" w:eastAsia="仿宋_GB2312"/>
          <w:color w:val="auto"/>
          <w:sz w:val="24"/>
          <w:highlight w:val="none"/>
        </w:rPr>
        <w:t>（4分）；</w:t>
      </w:r>
    </w:p>
    <w:p>
      <w:pPr>
        <w:tabs>
          <w:tab w:val="left" w:pos="0"/>
        </w:tabs>
        <w:spacing w:line="360" w:lineRule="auto"/>
        <w:ind w:firstLine="540" w:firstLineChars="225"/>
        <w:rPr>
          <w:rFonts w:ascii="仿宋_GB2312" w:hAnsi="仿宋_GB2312" w:eastAsia="仿宋_GB2312" w:cs="仿宋_GB2312"/>
          <w:color w:val="auto"/>
          <w:sz w:val="24"/>
          <w:szCs w:val="22"/>
          <w:highlight w:val="none"/>
        </w:rPr>
      </w:pPr>
      <w:r>
        <w:rPr>
          <w:rFonts w:hint="eastAsia" w:ascii="仿宋_GB2312" w:hAnsi="仿宋_GB2312" w:eastAsia="仿宋_GB2312" w:cs="仿宋_GB2312"/>
          <w:color w:val="auto"/>
          <w:sz w:val="24"/>
          <w:szCs w:val="22"/>
          <w:highlight w:val="none"/>
        </w:rPr>
        <w:t>● 项目组实施人员专业人员素质、技术能力、专业分布等情况，</w:t>
      </w:r>
      <w:r>
        <w:rPr>
          <w:rFonts w:hint="eastAsia" w:ascii="仿宋_GB2312" w:hAnsi="仿宋" w:eastAsia="仿宋_GB2312"/>
          <w:color w:val="auto"/>
          <w:sz w:val="24"/>
          <w:highlight w:val="none"/>
        </w:rPr>
        <w:t>具有类似项目建设经验</w:t>
      </w:r>
      <w:bookmarkStart w:id="70" w:name="_Hlk57157896"/>
      <w:r>
        <w:rPr>
          <w:rFonts w:hint="eastAsia" w:ascii="仿宋_GB2312" w:hAnsi="仿宋" w:eastAsia="仿宋_GB2312"/>
          <w:color w:val="auto"/>
          <w:sz w:val="24"/>
          <w:highlight w:val="none"/>
        </w:rPr>
        <w:t>（</w:t>
      </w:r>
      <w:bookmarkStart w:id="71" w:name="_Hlk57154876"/>
      <w:r>
        <w:rPr>
          <w:rFonts w:hint="eastAsia" w:ascii="仿宋_GB2312" w:hAnsi="仿宋" w:eastAsia="仿宋_GB2312"/>
          <w:color w:val="auto"/>
          <w:sz w:val="24"/>
          <w:highlight w:val="none"/>
        </w:rPr>
        <w:t>需提供相关业绩证明材料</w:t>
      </w:r>
      <w:bookmarkEnd w:id="71"/>
      <w:r>
        <w:rPr>
          <w:rFonts w:hint="eastAsia" w:ascii="仿宋_GB2312" w:hAnsi="仿宋" w:eastAsia="仿宋_GB2312"/>
          <w:color w:val="auto"/>
          <w:sz w:val="24"/>
          <w:highlight w:val="none"/>
        </w:rPr>
        <w:t>）</w:t>
      </w:r>
      <w:bookmarkEnd w:id="70"/>
      <w:r>
        <w:rPr>
          <w:rFonts w:hint="eastAsia" w:ascii="仿宋_GB2312" w:hAnsi="仿宋" w:eastAsia="仿宋_GB2312"/>
          <w:color w:val="auto"/>
          <w:sz w:val="24"/>
          <w:highlight w:val="none"/>
        </w:rPr>
        <w:t>得</w:t>
      </w:r>
      <w:r>
        <w:rPr>
          <w:rFonts w:ascii="仿宋_GB2312" w:hAnsi="仿宋" w:eastAsia="仿宋_GB2312"/>
          <w:color w:val="auto"/>
          <w:sz w:val="24"/>
          <w:highlight w:val="none"/>
        </w:rPr>
        <w:t>2</w:t>
      </w:r>
      <w:r>
        <w:rPr>
          <w:rFonts w:hint="eastAsia" w:ascii="仿宋_GB2312" w:hAnsi="仿宋" w:eastAsia="仿宋_GB2312"/>
          <w:color w:val="auto"/>
          <w:sz w:val="24"/>
          <w:highlight w:val="none"/>
        </w:rPr>
        <w:t>分，否则不得分</w:t>
      </w:r>
      <w:r>
        <w:rPr>
          <w:rFonts w:hint="eastAsia" w:ascii="仿宋_GB2312" w:hAnsi="仿宋_GB2312" w:eastAsia="仿宋_GB2312" w:cs="仿宋_GB2312"/>
          <w:color w:val="auto"/>
          <w:sz w:val="24"/>
          <w:szCs w:val="22"/>
          <w:highlight w:val="none"/>
        </w:rPr>
        <w:t>；注册信息安全专业人员资格证书</w:t>
      </w:r>
      <w:r>
        <w:rPr>
          <w:rFonts w:hint="eastAsia" w:ascii="仿宋_GB2312" w:hAnsi="仿宋_GB2312" w:eastAsia="仿宋_GB2312" w:cs="仿宋_GB2312"/>
          <w:color w:val="auto"/>
          <w:sz w:val="24"/>
          <w:highlight w:val="none"/>
        </w:rPr>
        <w:t>、软件设计师</w:t>
      </w:r>
      <w:r>
        <w:rPr>
          <w:rFonts w:hint="eastAsia" w:ascii="仿宋_GB2312" w:hAnsi="仿宋_GB2312" w:eastAsia="仿宋_GB2312" w:cs="仿宋_GB2312"/>
          <w:color w:val="auto"/>
          <w:sz w:val="24"/>
          <w:szCs w:val="22"/>
          <w:highlight w:val="none"/>
        </w:rPr>
        <w:t>（每个证书得1.5分，最高得3分）（4分）。</w:t>
      </w:r>
    </w:p>
    <w:p>
      <w:pPr>
        <w:snapToGrid w:val="0"/>
        <w:spacing w:line="360" w:lineRule="auto"/>
        <w:ind w:firstLine="480" w:firstLineChars="200"/>
        <w:rPr>
          <w:rFonts w:ascii="仿宋_GB2312" w:hAnsi="宋体" w:eastAsia="仿宋_GB2312"/>
          <w:color w:val="auto"/>
          <w:sz w:val="24"/>
          <w:highlight w:val="none"/>
        </w:rPr>
      </w:pPr>
      <w:r>
        <w:rPr>
          <w:rFonts w:hint="eastAsia" w:ascii="仿宋_GB2312" w:hAnsi="仿宋" w:eastAsia="仿宋_GB2312"/>
          <w:color w:val="auto"/>
          <w:sz w:val="24"/>
          <w:highlight w:val="none"/>
        </w:rPr>
        <w:t>注：要求提供所有人员近3个月的社保缴纳清单扫描件和上述人员身份证扫描件及证书扫描件，</w:t>
      </w:r>
      <w:r>
        <w:rPr>
          <w:rFonts w:hint="eastAsia" w:ascii="仿宋_GB2312" w:hAnsi="仿宋_GB2312" w:eastAsia="仿宋_GB2312" w:cs="仿宋_GB2312"/>
          <w:color w:val="auto"/>
          <w:sz w:val="24"/>
          <w:szCs w:val="22"/>
          <w:highlight w:val="none"/>
        </w:rPr>
        <w:t>以上涉及到的</w:t>
      </w:r>
      <w:r>
        <w:rPr>
          <w:rFonts w:hint="eastAsia" w:ascii="仿宋_GB2312" w:hAnsi="仿宋" w:eastAsia="仿宋_GB2312"/>
          <w:color w:val="auto"/>
          <w:sz w:val="24"/>
          <w:highlight w:val="none"/>
        </w:rPr>
        <w:t>证书均需相关政府部门颁发，</w:t>
      </w:r>
      <w:r>
        <w:rPr>
          <w:rFonts w:hint="eastAsia" w:ascii="仿宋_GB2312" w:hAnsi="仿宋_GB2312" w:eastAsia="仿宋_GB2312" w:cs="仿宋_GB2312"/>
          <w:color w:val="auto"/>
          <w:sz w:val="24"/>
          <w:szCs w:val="22"/>
          <w:highlight w:val="none"/>
          <w:lang w:val="zh-CN"/>
        </w:rPr>
        <w:t>培训等机构颁发的无效</w:t>
      </w:r>
      <w:r>
        <w:rPr>
          <w:rFonts w:hint="eastAsia" w:ascii="仿宋_GB2312" w:hAnsi="仿宋" w:eastAsia="仿宋_GB2312"/>
          <w:color w:val="auto"/>
          <w:sz w:val="24"/>
          <w:highlight w:val="none"/>
        </w:rPr>
        <w:t>。</w:t>
      </w:r>
      <w:r>
        <w:rPr>
          <w:rFonts w:hint="eastAsia" w:ascii="仿宋_GB2312" w:hAnsi="宋体" w:eastAsia="仿宋_GB2312"/>
          <w:color w:val="auto"/>
          <w:sz w:val="24"/>
          <w:highlight w:val="none"/>
        </w:rPr>
        <w:t xml:space="preserve"> </w:t>
      </w:r>
    </w:p>
    <w:p>
      <w:pPr>
        <w:snapToGrid w:val="0"/>
        <w:spacing w:line="360" w:lineRule="auto"/>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（5）培训、测试、试运行和验收（6分）：</w:t>
      </w:r>
    </w:p>
    <w:p>
      <w:pPr>
        <w:spacing w:line="360" w:lineRule="auto"/>
        <w:ind w:firstLine="540" w:firstLineChars="300"/>
        <w:rPr>
          <w:rFonts w:ascii="仿宋_GB2312" w:hAnsi="仿宋" w:eastAsia="仿宋_GB2312"/>
          <w:color w:val="auto"/>
          <w:sz w:val="24"/>
          <w:highlight w:val="none"/>
        </w:rPr>
      </w:pPr>
      <w:r>
        <w:rPr>
          <w:rFonts w:hint="eastAsia" w:ascii="仿宋_GB2312" w:hAnsi="仿宋" w:eastAsia="仿宋_GB2312"/>
          <w:color w:val="auto"/>
          <w:sz w:val="18"/>
          <w:highlight w:val="none"/>
        </w:rPr>
        <w:t xml:space="preserve">● </w:t>
      </w:r>
      <w:r>
        <w:rPr>
          <w:rFonts w:hint="eastAsia" w:ascii="仿宋_GB2312" w:hAnsi="仿宋" w:eastAsia="仿宋_GB2312" w:cs="宋体"/>
          <w:color w:val="auto"/>
          <w:sz w:val="24"/>
          <w:highlight w:val="none"/>
        </w:rPr>
        <w:t>投标人是否提出合理可行的功能测试及验收方案。满足得1分，不满足不得分</w:t>
      </w:r>
      <w:r>
        <w:rPr>
          <w:rFonts w:hint="eastAsia" w:ascii="仿宋_GB2312" w:hAnsi="仿宋" w:eastAsia="仿宋_GB2312"/>
          <w:color w:val="auto"/>
          <w:sz w:val="24"/>
          <w:highlight w:val="none"/>
        </w:rPr>
        <w:t>（1分）；</w:t>
      </w:r>
    </w:p>
    <w:p>
      <w:pPr>
        <w:spacing w:line="360" w:lineRule="auto"/>
        <w:ind w:firstLine="540" w:firstLineChars="300"/>
        <w:rPr>
          <w:rFonts w:ascii="仿宋_GB2312" w:eastAsia="仿宋_GB2312" w:cs="MT Extra"/>
          <w:color w:val="auto"/>
          <w:sz w:val="24"/>
          <w:szCs w:val="20"/>
          <w:highlight w:val="none"/>
        </w:rPr>
      </w:pPr>
      <w:r>
        <w:rPr>
          <w:rFonts w:hint="eastAsia" w:ascii="仿宋_GB2312" w:hAnsi="仿宋" w:eastAsia="仿宋_GB2312"/>
          <w:color w:val="auto"/>
          <w:sz w:val="18"/>
          <w:highlight w:val="none"/>
        </w:rPr>
        <w:t xml:space="preserve">● </w:t>
      </w:r>
      <w:r>
        <w:rPr>
          <w:rFonts w:hint="eastAsia" w:ascii="仿宋_GB2312" w:eastAsia="仿宋_GB2312" w:cs="MT Extra"/>
          <w:color w:val="auto"/>
          <w:sz w:val="24"/>
          <w:szCs w:val="20"/>
          <w:highlight w:val="none"/>
        </w:rPr>
        <w:t>投标人提供的培训方式是否为工程培训。满足得1分，不满足不得分（1分）；</w:t>
      </w:r>
    </w:p>
    <w:p>
      <w:pPr>
        <w:spacing w:line="360" w:lineRule="auto"/>
        <w:ind w:firstLine="540" w:firstLineChars="300"/>
        <w:rPr>
          <w:rFonts w:ascii="仿宋_GB2312" w:hAnsi="仿宋" w:eastAsia="仿宋_GB2312" w:cs="宋体"/>
          <w:color w:val="auto"/>
          <w:sz w:val="24"/>
          <w:highlight w:val="none"/>
        </w:rPr>
      </w:pPr>
      <w:r>
        <w:rPr>
          <w:rFonts w:hint="eastAsia" w:ascii="仿宋_GB2312" w:hAnsi="仿宋" w:eastAsia="仿宋_GB2312"/>
          <w:color w:val="auto"/>
          <w:sz w:val="18"/>
          <w:highlight w:val="none"/>
        </w:rPr>
        <w:t xml:space="preserve">● </w:t>
      </w:r>
      <w:r>
        <w:rPr>
          <w:rFonts w:hint="eastAsia" w:ascii="仿宋_GB2312" w:hAnsi="仿宋" w:eastAsia="仿宋_GB2312" w:cs="宋体"/>
          <w:color w:val="auto"/>
          <w:sz w:val="24"/>
          <w:highlight w:val="none"/>
        </w:rPr>
        <w:t>培训计划包括培训内容、培训时间地点、培训对象，培训师资力量等；根据投标方案内容进行评分，每一项符合采购人要求得0.5分，共2分（2分）；</w:t>
      </w:r>
    </w:p>
    <w:p>
      <w:pPr>
        <w:spacing w:line="360" w:lineRule="auto"/>
        <w:ind w:firstLine="540" w:firstLineChars="300"/>
        <w:rPr>
          <w:rFonts w:ascii="仿宋_GB2312" w:hAnsi="仿宋" w:eastAsia="仿宋_GB2312" w:cs="宋体"/>
          <w:color w:val="auto"/>
          <w:sz w:val="24"/>
          <w:highlight w:val="none"/>
        </w:rPr>
      </w:pPr>
      <w:r>
        <w:rPr>
          <w:rFonts w:hint="eastAsia" w:ascii="仿宋_GB2312" w:hAnsi="仿宋" w:eastAsia="仿宋_GB2312"/>
          <w:color w:val="auto"/>
          <w:sz w:val="18"/>
          <w:highlight w:val="none"/>
        </w:rPr>
        <w:t xml:space="preserve">● </w:t>
      </w:r>
      <w:r>
        <w:rPr>
          <w:rFonts w:hint="eastAsia" w:ascii="仿宋_GB2312" w:hAnsi="仿宋" w:eastAsia="仿宋_GB2312" w:cs="宋体"/>
          <w:color w:val="auto"/>
          <w:sz w:val="24"/>
          <w:highlight w:val="none"/>
        </w:rPr>
        <w:t>投标人承诺提供</w:t>
      </w:r>
      <w:r>
        <w:rPr>
          <w:rFonts w:hint="eastAsia" w:ascii="仿宋_GB2312" w:eastAsia="仿宋_GB2312" w:cs="MT Extra"/>
          <w:color w:val="auto"/>
          <w:sz w:val="24"/>
          <w:szCs w:val="20"/>
          <w:highlight w:val="none"/>
        </w:rPr>
        <w:t>用户使用手册的得</w:t>
      </w:r>
      <w:r>
        <w:rPr>
          <w:rFonts w:ascii="仿宋_GB2312" w:eastAsia="仿宋_GB2312" w:cs="MT Extra"/>
          <w:color w:val="auto"/>
          <w:sz w:val="24"/>
          <w:szCs w:val="20"/>
          <w:highlight w:val="none"/>
        </w:rPr>
        <w:t>2</w:t>
      </w:r>
      <w:r>
        <w:rPr>
          <w:rFonts w:hint="eastAsia" w:ascii="仿宋_GB2312" w:eastAsia="仿宋_GB2312" w:cs="MT Extra"/>
          <w:color w:val="auto"/>
          <w:sz w:val="24"/>
          <w:szCs w:val="20"/>
          <w:highlight w:val="none"/>
        </w:rPr>
        <w:t>分，不承诺不得分（</w:t>
      </w:r>
      <w:r>
        <w:rPr>
          <w:rFonts w:ascii="仿宋_GB2312" w:eastAsia="仿宋_GB2312" w:cs="MT Extra"/>
          <w:color w:val="auto"/>
          <w:sz w:val="24"/>
          <w:szCs w:val="20"/>
          <w:highlight w:val="none"/>
        </w:rPr>
        <w:t>2</w:t>
      </w:r>
      <w:r>
        <w:rPr>
          <w:rFonts w:hint="eastAsia" w:ascii="仿宋_GB2312" w:eastAsia="仿宋_GB2312" w:cs="MT Extra"/>
          <w:color w:val="auto"/>
          <w:sz w:val="24"/>
          <w:szCs w:val="20"/>
          <w:highlight w:val="none"/>
        </w:rPr>
        <w:t>分）。</w:t>
      </w:r>
    </w:p>
    <w:p>
      <w:pPr>
        <w:snapToGrid w:val="0"/>
        <w:spacing w:line="360" w:lineRule="auto"/>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（6）质量保证措施和建设工期情况（2分）：</w:t>
      </w:r>
    </w:p>
    <w:p>
      <w:pPr>
        <w:snapToGrid w:val="0"/>
        <w:spacing w:line="360" w:lineRule="auto"/>
        <w:ind w:firstLine="360" w:firstLineChars="200"/>
        <w:rPr>
          <w:rFonts w:ascii="仿宋_GB2312" w:hAnsi="仿宋" w:eastAsia="仿宋_GB2312" w:cs="宋体"/>
          <w:color w:val="auto"/>
          <w:kern w:val="0"/>
          <w:sz w:val="24"/>
          <w:highlight w:val="none"/>
        </w:rPr>
      </w:pPr>
      <w:r>
        <w:rPr>
          <w:rFonts w:hint="eastAsia" w:ascii="仿宋_GB2312" w:hAnsi="仿宋" w:eastAsia="仿宋_GB2312"/>
          <w:color w:val="auto"/>
          <w:sz w:val="18"/>
          <w:szCs w:val="18"/>
          <w:highlight w:val="none"/>
        </w:rPr>
        <w:t xml:space="preserve">● </w:t>
      </w:r>
      <w:r>
        <w:rPr>
          <w:rFonts w:hint="eastAsia" w:ascii="仿宋_GB2312" w:hAnsi="仿宋" w:eastAsia="仿宋_GB2312" w:cs="宋体"/>
          <w:color w:val="auto"/>
          <w:kern w:val="0"/>
          <w:sz w:val="24"/>
          <w:highlight w:val="none"/>
        </w:rPr>
        <w:t>投标人按采购人要求有明确的建设质量目标，质量保证措施，并具有详细可行的实施内容及工期保证等（满足得1分，不满足得0分）（1分）；</w:t>
      </w:r>
    </w:p>
    <w:p>
      <w:pPr>
        <w:snapToGrid w:val="0"/>
        <w:spacing w:line="360" w:lineRule="auto"/>
        <w:ind w:firstLine="360" w:firstLineChars="200"/>
        <w:rPr>
          <w:rFonts w:ascii="仿宋_GB2312" w:hAnsi="仿宋" w:eastAsia="仿宋_GB2312" w:cs="宋体"/>
          <w:color w:val="auto"/>
          <w:kern w:val="0"/>
          <w:sz w:val="24"/>
          <w:highlight w:val="none"/>
        </w:rPr>
      </w:pPr>
      <w:r>
        <w:rPr>
          <w:rFonts w:hint="eastAsia" w:ascii="仿宋_GB2312" w:hAnsi="仿宋" w:eastAsia="仿宋_GB2312"/>
          <w:color w:val="auto"/>
          <w:sz w:val="18"/>
          <w:szCs w:val="18"/>
          <w:highlight w:val="none"/>
        </w:rPr>
        <w:t xml:space="preserve">● </w:t>
      </w:r>
      <w:r>
        <w:rPr>
          <w:rFonts w:hint="eastAsia" w:ascii="仿宋_GB2312" w:hAnsi="仿宋" w:eastAsia="仿宋_GB2312" w:cs="宋体"/>
          <w:color w:val="auto"/>
          <w:kern w:val="0"/>
          <w:sz w:val="24"/>
          <w:highlight w:val="none"/>
        </w:rPr>
        <w:t>投标方案是否提出符合招标文件和采购人要求，按期完成上线运行、验收等措施（满足得1分，不满足得0分）（1分）。</w:t>
      </w:r>
    </w:p>
    <w:p>
      <w:pPr>
        <w:snapToGrid w:val="0"/>
        <w:spacing w:line="360" w:lineRule="auto"/>
        <w:ind w:firstLine="482" w:firstLineChars="200"/>
        <w:rPr>
          <w:rFonts w:ascii="仿宋_GB2312" w:hAnsi="仿宋" w:eastAsia="仿宋_GB2312" w:cs="宋体"/>
          <w:color w:val="auto"/>
          <w:kern w:val="0"/>
          <w:sz w:val="24"/>
          <w:highlight w:val="none"/>
        </w:rPr>
      </w:pPr>
      <w:r>
        <w:rPr>
          <w:rFonts w:hint="eastAsia" w:ascii="仿宋_GB2312" w:hAnsi="宋体" w:eastAsia="仿宋_GB2312"/>
          <w:b/>
          <w:color w:val="auto"/>
          <w:sz w:val="24"/>
          <w:highlight w:val="none"/>
        </w:rPr>
        <w:t>（7）投标文件的制作情况（2分）：</w:t>
      </w:r>
      <w:r>
        <w:rPr>
          <w:rFonts w:hint="eastAsia" w:ascii="仿宋_GB2312" w:hAnsi="仿宋" w:eastAsia="仿宋_GB2312" w:cs="宋体"/>
          <w:color w:val="auto"/>
          <w:kern w:val="0"/>
          <w:sz w:val="24"/>
          <w:highlight w:val="none"/>
        </w:rPr>
        <w:t xml:space="preserve"> </w:t>
      </w:r>
    </w:p>
    <w:p>
      <w:pPr>
        <w:snapToGrid w:val="0"/>
        <w:spacing w:line="360" w:lineRule="auto"/>
        <w:ind w:firstLine="360" w:firstLineChars="200"/>
        <w:rPr>
          <w:rFonts w:ascii="仿宋_GB2312" w:hAnsi="仿宋" w:eastAsia="仿宋_GB2312" w:cs="宋体"/>
          <w:color w:val="auto"/>
          <w:kern w:val="0"/>
          <w:sz w:val="24"/>
          <w:highlight w:val="none"/>
        </w:rPr>
      </w:pPr>
      <w:r>
        <w:rPr>
          <w:rFonts w:hint="eastAsia" w:ascii="仿宋_GB2312" w:hAnsi="仿宋" w:eastAsia="仿宋_GB2312"/>
          <w:color w:val="auto"/>
          <w:sz w:val="18"/>
          <w:szCs w:val="18"/>
          <w:highlight w:val="none"/>
        </w:rPr>
        <w:t xml:space="preserve">● </w:t>
      </w:r>
      <w:r>
        <w:rPr>
          <w:rFonts w:hint="eastAsia" w:ascii="仿宋_GB2312" w:hAnsi="仿宋" w:eastAsia="仿宋_GB2312" w:cs="宋体"/>
          <w:color w:val="auto"/>
          <w:kern w:val="0"/>
          <w:sz w:val="24"/>
          <w:highlight w:val="none"/>
        </w:rPr>
        <w:t>相关资料的提供情况真实、完整、清晰、有序、合理（满足得1分，不满足得0分） （1分）；</w:t>
      </w:r>
    </w:p>
    <w:p>
      <w:pPr>
        <w:snapToGrid w:val="0"/>
        <w:spacing w:line="360" w:lineRule="auto"/>
        <w:ind w:firstLine="360" w:firstLineChars="200"/>
        <w:rPr>
          <w:rFonts w:ascii="仿宋_GB2312" w:hAnsi="仿宋_GB2312" w:eastAsia="仿宋_GB2312" w:cs="仿宋_GB2312"/>
          <w:b/>
          <w:bCs/>
          <w:color w:val="auto"/>
          <w:sz w:val="24"/>
          <w:highlight w:val="none"/>
        </w:rPr>
      </w:pPr>
      <w:r>
        <w:rPr>
          <w:rFonts w:hint="eastAsia" w:ascii="仿宋_GB2312" w:hAnsi="仿宋" w:eastAsia="仿宋_GB2312"/>
          <w:color w:val="auto"/>
          <w:sz w:val="18"/>
          <w:szCs w:val="18"/>
          <w:highlight w:val="none"/>
        </w:rPr>
        <w:t xml:space="preserve">● </w:t>
      </w:r>
      <w:r>
        <w:rPr>
          <w:rFonts w:hint="eastAsia" w:ascii="仿宋_GB2312" w:hAnsi="仿宋" w:eastAsia="仿宋_GB2312" w:cs="宋体"/>
          <w:color w:val="auto"/>
          <w:kern w:val="0"/>
          <w:sz w:val="24"/>
          <w:highlight w:val="none"/>
        </w:rPr>
        <w:t>投标文件编制完整、格式规范、内容齐全、表述准确、条理清晰，内容无前后矛盾，符合招标文件要求（满足得1分，不满足得0分）（1分）。</w:t>
      </w:r>
    </w:p>
    <w:p>
      <w:pPr>
        <w:snapToGrid w:val="0"/>
        <w:spacing w:line="360" w:lineRule="auto"/>
        <w:ind w:firstLine="482" w:firstLineChars="200"/>
        <w:rPr>
          <w:rFonts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C、投标人的资质和业绩情况</w:t>
      </w:r>
      <w:r>
        <w:rPr>
          <w:rFonts w:hint="eastAsia" w:ascii="仿宋_GB2312" w:hAnsi="仿宋" w:eastAsia="仿宋_GB2312" w:cs="仿宋_GB2312"/>
          <w:b/>
          <w:bCs/>
          <w:color w:val="auto"/>
          <w:sz w:val="24"/>
          <w:highlight w:val="none"/>
        </w:rPr>
        <w:t>（C=6分）：</w:t>
      </w:r>
      <w:r>
        <w:rPr>
          <w:rFonts w:hint="eastAsia" w:ascii="仿宋_GB2312" w:hAnsi="仿宋" w:eastAsia="仿宋_GB2312" w:cs="仿宋_GB2312"/>
          <w:color w:val="auto"/>
          <w:sz w:val="24"/>
          <w:highlight w:val="none"/>
        </w:rPr>
        <w:t>主要包含投标人的资质、类似</w:t>
      </w:r>
      <w:r>
        <w:rPr>
          <w:rFonts w:hint="eastAsia" w:ascii="仿宋_GB2312" w:hAnsi="仿宋" w:eastAsia="仿宋_GB2312" w:cs="仿宋_GB2312"/>
          <w:color w:val="auto"/>
          <w:kern w:val="28"/>
          <w:sz w:val="24"/>
          <w:highlight w:val="none"/>
        </w:rPr>
        <w:t>项目建设</w:t>
      </w:r>
      <w:r>
        <w:rPr>
          <w:rFonts w:hint="eastAsia" w:ascii="仿宋_GB2312" w:hAnsi="仿宋" w:eastAsia="仿宋_GB2312" w:cs="仿宋_GB2312"/>
          <w:color w:val="auto"/>
          <w:sz w:val="24"/>
          <w:highlight w:val="none"/>
        </w:rPr>
        <w:t xml:space="preserve">成功案例等方面的因素。  </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评审要点为：</w:t>
      </w:r>
    </w:p>
    <w:p>
      <w:pPr>
        <w:snapToGrid w:val="0"/>
        <w:spacing w:line="360" w:lineRule="auto"/>
        <w:ind w:firstLine="482" w:firstLineChars="200"/>
        <w:rPr>
          <w:rFonts w:ascii="仿宋_GB2312" w:hAnsi="仿宋" w:eastAsia="仿宋_GB2312"/>
          <w:b/>
          <w:sz w:val="24"/>
        </w:rPr>
      </w:pPr>
      <w:r>
        <w:rPr>
          <w:rFonts w:hint="eastAsia" w:ascii="仿宋_GB2312" w:hAnsi="仿宋" w:eastAsia="仿宋_GB2312"/>
          <w:b/>
          <w:sz w:val="24"/>
        </w:rPr>
        <w:t>（1）投标人基本情况（1分）：</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●投标人</w:t>
      </w:r>
      <w:r>
        <w:rPr>
          <w:rFonts w:hint="eastAsia" w:ascii="仿宋_GB2312" w:hAnsi="仿宋" w:eastAsia="仿宋_GB2312" w:cs="仿宋_GB2312"/>
          <w:sz w:val="24"/>
          <w:highlight w:val="none"/>
        </w:rPr>
        <w:t>具有有效期内高新技术</w:t>
      </w:r>
      <w:r>
        <w:rPr>
          <w:rFonts w:hint="eastAsia" w:ascii="仿宋_GB2312" w:hAnsi="仿宋" w:eastAsia="仿宋_GB2312" w:cs="仿宋_GB2312"/>
          <w:sz w:val="24"/>
        </w:rPr>
        <w:t>企业证书</w:t>
      </w:r>
      <w:r>
        <w:rPr>
          <w:rFonts w:hint="eastAsia" w:ascii="仿宋_GB2312" w:hAnsi="仿宋_GB2312" w:eastAsia="仿宋_GB2312" w:cs="仿宋_GB2312"/>
          <w:sz w:val="24"/>
        </w:rPr>
        <w:t>的得1分，没有不得分</w:t>
      </w:r>
      <w:r>
        <w:rPr>
          <w:rFonts w:hint="eastAsia" w:ascii="仿宋_GB2312" w:hAnsi="仿宋" w:eastAsia="仿宋_GB2312" w:cs="仿宋_GB2312"/>
          <w:sz w:val="24"/>
        </w:rPr>
        <w:t>（</w:t>
      </w:r>
      <w:r>
        <w:rPr>
          <w:rFonts w:ascii="仿宋_GB2312" w:hAnsi="仿宋" w:eastAsia="仿宋_GB2312" w:cs="仿宋_GB2312"/>
          <w:sz w:val="24"/>
        </w:rPr>
        <w:t>1</w:t>
      </w:r>
      <w:r>
        <w:rPr>
          <w:rFonts w:hint="eastAsia" w:ascii="仿宋_GB2312" w:hAnsi="仿宋" w:eastAsia="仿宋_GB2312" w:cs="仿宋_GB2312"/>
          <w:sz w:val="24"/>
        </w:rPr>
        <w:t>分）；</w:t>
      </w:r>
    </w:p>
    <w:p>
      <w:pPr>
        <w:spacing w:line="360" w:lineRule="auto"/>
        <w:ind w:firstLine="472" w:firstLineChars="196"/>
        <w:rPr>
          <w:rFonts w:ascii="仿宋_GB2312" w:hAnsi="仿宋_GB2312" w:eastAsia="仿宋_GB2312" w:cs="仿宋_GB2312"/>
          <w:b/>
          <w:sz w:val="24"/>
        </w:rPr>
      </w:pPr>
      <w:r>
        <w:rPr>
          <w:rFonts w:hint="eastAsia" w:ascii="仿宋_GB2312" w:hAnsi="仿宋" w:eastAsia="仿宋_GB2312"/>
          <w:b/>
          <w:sz w:val="24"/>
        </w:rPr>
        <w:t>（2）</w:t>
      </w:r>
      <w:r>
        <w:rPr>
          <w:rFonts w:hint="eastAsia" w:ascii="仿宋_GB2312" w:hAnsi="仿宋" w:eastAsia="仿宋_GB2312" w:cs="仿宋_GB2312"/>
          <w:b/>
          <w:sz w:val="24"/>
        </w:rPr>
        <w:t>投标人类似项目建设的成功经验（5分）：</w:t>
      </w:r>
      <w:r>
        <w:rPr>
          <w:rFonts w:hint="eastAsia" w:ascii="MS Mincho" w:hAnsi="MS Mincho" w:eastAsia="MS Mincho" w:cs="MS Mincho"/>
          <w:bCs/>
          <w:sz w:val="24"/>
        </w:rPr>
        <w:t> </w:t>
      </w:r>
      <w:r>
        <w:rPr>
          <w:rFonts w:hint="eastAsia" w:ascii="仿宋_GB2312" w:hAnsi="仿宋_GB2312" w:eastAsia="仿宋_GB2312" w:cs="仿宋_GB2312"/>
          <w:bCs/>
          <w:sz w:val="24"/>
        </w:rPr>
        <w:t>截止投标时间前三年，投标人承担类似项目实施的经验情况。依照投标人提供的合同、合格的用户验收报告。只提供合同的案例（以合同签订时间为准），每个得</w:t>
      </w:r>
      <w:r>
        <w:rPr>
          <w:rFonts w:ascii="仿宋_GB2312" w:hAnsi="仿宋_GB2312" w:eastAsia="仿宋_GB2312" w:cs="仿宋_GB2312"/>
          <w:bCs/>
          <w:sz w:val="24"/>
        </w:rPr>
        <w:t>0.5</w:t>
      </w:r>
      <w:r>
        <w:rPr>
          <w:rFonts w:hint="eastAsia" w:ascii="仿宋_GB2312" w:hAnsi="仿宋_GB2312" w:eastAsia="仿宋_GB2312" w:cs="仿宋_GB2312"/>
          <w:bCs/>
          <w:sz w:val="24"/>
        </w:rPr>
        <w:t>分，最高得2.5分；同时提供合同和合格的用户验收报告的案例（以验收报告时间为准），每个得</w:t>
      </w:r>
      <w:r>
        <w:rPr>
          <w:rFonts w:ascii="仿宋_GB2312" w:hAnsi="仿宋_GB2312" w:eastAsia="仿宋_GB2312" w:cs="仿宋_GB2312"/>
          <w:bCs/>
          <w:sz w:val="24"/>
        </w:rPr>
        <w:t>1</w:t>
      </w:r>
      <w:r>
        <w:rPr>
          <w:rFonts w:hint="eastAsia" w:ascii="仿宋_GB2312" w:hAnsi="仿宋_GB2312" w:eastAsia="仿宋_GB2312" w:cs="仿宋_GB2312"/>
          <w:bCs/>
          <w:sz w:val="24"/>
        </w:rPr>
        <w:t>分，本条最高得5分。</w:t>
      </w:r>
      <w:r>
        <w:rPr>
          <w:rFonts w:hint="eastAsia" w:ascii="仿宋_GB2312" w:hAnsi="仿宋_GB2312" w:eastAsia="仿宋_GB2312" w:cs="仿宋_GB2312"/>
          <w:sz w:val="24"/>
        </w:rPr>
        <w:t>【</w:t>
      </w:r>
      <w:r>
        <w:rPr>
          <w:rFonts w:hint="eastAsia" w:ascii="仿宋_GB2312" w:hAnsi="仿宋_GB2312" w:eastAsia="仿宋_GB2312" w:cs="仿宋_GB2312"/>
          <w:b/>
          <w:sz w:val="24"/>
        </w:rPr>
        <w:t>采购机构在项目评审直至合同签订、履约期间，有权要求投标人出具投标文件中的合同和用户验收报告，予以确认其的真实性和有效性，如出现与事实不符等情况，将根据有关规定以“提供虚假材料谋取中标（成交）”予以处理</w:t>
      </w:r>
      <w:r>
        <w:rPr>
          <w:rFonts w:hint="eastAsia" w:ascii="仿宋_GB2312" w:hAnsi="仿宋_GB2312" w:eastAsia="仿宋_GB2312" w:cs="仿宋_GB2312"/>
          <w:sz w:val="24"/>
        </w:rPr>
        <w:t>】，是否有良好的工作业绩和履约记录</w:t>
      </w:r>
      <w:r>
        <w:rPr>
          <w:rFonts w:hint="eastAsia" w:ascii="仿宋_GB2312" w:hAnsi="仿宋_GB2312" w:eastAsia="仿宋_GB2312" w:cs="仿宋_GB2312"/>
          <w:sz w:val="24"/>
          <w:lang w:val="zh-CN"/>
        </w:rPr>
        <w:t>等情况</w:t>
      </w:r>
      <w:r>
        <w:rPr>
          <w:rFonts w:hint="eastAsia" w:ascii="仿宋_GB2312" w:hAnsi="仿宋_GB2312" w:eastAsia="仿宋_GB2312" w:cs="仿宋_GB2312"/>
          <w:sz w:val="24"/>
        </w:rPr>
        <w:t>；</w:t>
      </w:r>
      <w:r>
        <w:rPr>
          <w:rFonts w:hint="eastAsia" w:ascii="仿宋_GB2312" w:hAnsi="仿宋_GB2312" w:eastAsia="仿宋_GB2312" w:cs="仿宋_GB2312"/>
          <w:b/>
          <w:sz w:val="24"/>
        </w:rPr>
        <w:t>以分包方式履行政府采购合同的，还需提供该项目采购方同意分包的证明材料;如投标人提供的合同复印件等实施项目证明材料与投标主体无关或违规转包分包的，评标委员会将进行扣分直至认定投标无效。</w:t>
      </w:r>
    </w:p>
    <w:p>
      <w:pPr>
        <w:spacing w:line="360" w:lineRule="auto"/>
        <w:ind w:firstLine="472" w:firstLineChars="196"/>
        <w:rPr>
          <w:rFonts w:ascii="仿宋_GB2312" w:hAnsi="仿宋_GB2312" w:eastAsia="仿宋_GB2312" w:cs="仿宋_GB2312"/>
          <w:b/>
          <w:color w:val="auto"/>
          <w:sz w:val="24"/>
          <w:highlight w:val="none"/>
        </w:rPr>
      </w:pPr>
    </w:p>
    <w:p>
      <w:pPr>
        <w:spacing w:line="360" w:lineRule="auto"/>
        <w:ind w:firstLine="472" w:firstLineChars="196"/>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综合得分=A+B+C</w:t>
      </w:r>
    </w:p>
    <w:p>
      <w:pPr>
        <w:rPr>
          <w:color w:val="auto"/>
          <w:highlight w:val="none"/>
        </w:rPr>
      </w:pPr>
    </w:p>
    <w:p>
      <w:pPr>
        <w:rPr>
          <w:color w:val="auto"/>
          <w:highlight w:val="none"/>
        </w:rPr>
      </w:pPr>
    </w:p>
    <w:p>
      <w:pPr>
        <w:autoSpaceDE w:val="0"/>
        <w:autoSpaceDN w:val="0"/>
        <w:spacing w:line="360" w:lineRule="auto"/>
        <w:ind w:firstLine="482"/>
        <w:rPr>
          <w:rFonts w:ascii="仿宋_GB2312" w:hAnsi="仿宋" w:eastAsia="仿宋_GB2312" w:cs="仿宋_GB2312"/>
          <w:color w:val="auto"/>
          <w:sz w:val="24"/>
          <w:highlight w:val="none"/>
        </w:rPr>
      </w:pPr>
    </w:p>
    <w:p>
      <w:pPr>
        <w:pStyle w:val="34"/>
        <w:spacing w:line="360" w:lineRule="auto"/>
        <w:ind w:firstLine="472" w:firstLineChars="196"/>
        <w:rPr>
          <w:rFonts w:ascii="仿宋_GB2312" w:hAnsi="仿宋" w:eastAsia="仿宋_GB2312" w:cs="仿宋_GB2312"/>
          <w:b/>
          <w:color w:val="auto"/>
          <w:sz w:val="24"/>
          <w:highlight w:val="none"/>
        </w:rPr>
      </w:pPr>
    </w:p>
    <w:p>
      <w:pPr>
        <w:spacing w:line="360" w:lineRule="auto"/>
        <w:jc w:val="center"/>
        <w:outlineLvl w:val="0"/>
        <w:rPr>
          <w:rFonts w:ascii="仿宋_GB2312" w:hAnsi="仿宋" w:eastAsia="仿宋_GB2312" w:cs="仿宋_GB2312"/>
          <w:b/>
          <w:color w:val="auto"/>
          <w:sz w:val="36"/>
          <w:szCs w:val="36"/>
          <w:highlight w:val="none"/>
        </w:rPr>
      </w:pPr>
      <w:bookmarkStart w:id="72" w:name="_Toc184314433"/>
      <w:bookmarkEnd w:id="72"/>
      <w:bookmarkStart w:id="73" w:name="_Toc184314411"/>
      <w:bookmarkEnd w:id="73"/>
      <w:bookmarkStart w:id="74" w:name="_Toc184308104"/>
      <w:bookmarkEnd w:id="74"/>
      <w:bookmarkStart w:id="75" w:name="_Toc184310342"/>
      <w:bookmarkEnd w:id="75"/>
      <w:bookmarkStart w:id="76" w:name="_Toc184308045"/>
      <w:bookmarkEnd w:id="76"/>
      <w:bookmarkStart w:id="77" w:name="_Toc184314457"/>
      <w:bookmarkEnd w:id="77"/>
      <w:bookmarkStart w:id="78" w:name="_Toc184314477"/>
      <w:bookmarkEnd w:id="78"/>
      <w:bookmarkStart w:id="79" w:name="_Toc184310316"/>
      <w:bookmarkEnd w:id="79"/>
      <w:bookmarkStart w:id="80" w:name="_Toc184308073"/>
      <w:bookmarkEnd w:id="80"/>
      <w:bookmarkStart w:id="81" w:name="_Toc184308075"/>
      <w:bookmarkEnd w:id="81"/>
      <w:bookmarkStart w:id="82" w:name="_Toc184308095"/>
      <w:bookmarkEnd w:id="82"/>
      <w:bookmarkStart w:id="83" w:name="_Toc184308093"/>
      <w:bookmarkEnd w:id="83"/>
      <w:bookmarkStart w:id="84" w:name="_Toc184313260"/>
      <w:bookmarkEnd w:id="84"/>
      <w:bookmarkStart w:id="85" w:name="_Toc184314467"/>
      <w:bookmarkEnd w:id="85"/>
      <w:bookmarkStart w:id="86" w:name="_Toc184312124"/>
      <w:bookmarkEnd w:id="86"/>
      <w:bookmarkStart w:id="87" w:name="_Toc184314465"/>
      <w:bookmarkEnd w:id="87"/>
      <w:bookmarkStart w:id="88" w:name="_Toc184313296"/>
      <w:bookmarkEnd w:id="88"/>
      <w:bookmarkStart w:id="89" w:name="_Toc184308103"/>
      <w:bookmarkEnd w:id="89"/>
      <w:bookmarkStart w:id="90" w:name="_Toc184308097"/>
      <w:bookmarkEnd w:id="90"/>
      <w:bookmarkStart w:id="91" w:name="_Toc184313298"/>
      <w:bookmarkEnd w:id="91"/>
      <w:bookmarkStart w:id="92" w:name="_Toc184313305"/>
      <w:bookmarkEnd w:id="92"/>
      <w:bookmarkStart w:id="93" w:name="_Toc184314415"/>
      <w:bookmarkEnd w:id="93"/>
      <w:bookmarkStart w:id="94" w:name="_Toc184308092"/>
      <w:bookmarkEnd w:id="94"/>
      <w:bookmarkStart w:id="95" w:name="_Toc184310330"/>
      <w:bookmarkEnd w:id="95"/>
      <w:bookmarkStart w:id="96" w:name="_Toc184310281"/>
      <w:bookmarkEnd w:id="96"/>
      <w:bookmarkStart w:id="97" w:name="_Toc184312091"/>
      <w:bookmarkEnd w:id="97"/>
      <w:bookmarkStart w:id="98" w:name="_Toc184314460"/>
      <w:bookmarkEnd w:id="98"/>
      <w:bookmarkStart w:id="99" w:name="_Toc184310327"/>
      <w:bookmarkEnd w:id="99"/>
      <w:bookmarkStart w:id="100" w:name="_Toc184313246"/>
      <w:bookmarkEnd w:id="100"/>
      <w:bookmarkStart w:id="101" w:name="_Toc184310299"/>
      <w:bookmarkEnd w:id="101"/>
      <w:bookmarkStart w:id="102" w:name="_Toc184314470"/>
      <w:bookmarkEnd w:id="102"/>
      <w:bookmarkStart w:id="103" w:name="_Toc184308094"/>
      <w:bookmarkEnd w:id="103"/>
      <w:bookmarkStart w:id="104" w:name="_Toc184310288"/>
      <w:bookmarkEnd w:id="104"/>
      <w:bookmarkStart w:id="105" w:name="_Toc184313293"/>
      <w:bookmarkEnd w:id="105"/>
      <w:bookmarkStart w:id="106" w:name="_Toc184310333"/>
      <w:bookmarkEnd w:id="106"/>
      <w:bookmarkStart w:id="107" w:name="_Toc184313300"/>
      <w:bookmarkEnd w:id="107"/>
      <w:bookmarkStart w:id="108" w:name="_Toc184313294"/>
      <w:bookmarkEnd w:id="108"/>
      <w:bookmarkStart w:id="109" w:name="_Toc184310329"/>
      <w:bookmarkEnd w:id="109"/>
      <w:bookmarkStart w:id="110" w:name="_Toc184314478"/>
      <w:bookmarkEnd w:id="110"/>
      <w:bookmarkStart w:id="111" w:name="_Toc184310328"/>
      <w:bookmarkEnd w:id="111"/>
      <w:bookmarkStart w:id="112" w:name="_Toc184313297"/>
      <w:bookmarkEnd w:id="112"/>
      <w:bookmarkStart w:id="113" w:name="_Toc184310334"/>
      <w:bookmarkEnd w:id="113"/>
      <w:bookmarkStart w:id="114" w:name="_Toc184310338"/>
      <w:bookmarkEnd w:id="114"/>
      <w:bookmarkStart w:id="115" w:name="_Toc184314472"/>
      <w:bookmarkEnd w:id="115"/>
      <w:bookmarkStart w:id="116" w:name="_Toc184314452"/>
      <w:bookmarkEnd w:id="116"/>
      <w:bookmarkStart w:id="117" w:name="_Toc184312111"/>
      <w:bookmarkEnd w:id="117"/>
      <w:bookmarkStart w:id="118" w:name="_Toc184313301"/>
      <w:bookmarkEnd w:id="118"/>
      <w:bookmarkStart w:id="119" w:name="_Toc184312082"/>
      <w:bookmarkEnd w:id="119"/>
      <w:bookmarkStart w:id="120" w:name="_Toc184310290"/>
      <w:bookmarkEnd w:id="120"/>
      <w:bookmarkStart w:id="121" w:name="_Toc184312134"/>
      <w:bookmarkEnd w:id="121"/>
      <w:bookmarkStart w:id="122" w:name="_Toc184312132"/>
      <w:bookmarkEnd w:id="122"/>
      <w:bookmarkStart w:id="123" w:name="_Toc184312077"/>
      <w:bookmarkEnd w:id="123"/>
      <w:bookmarkStart w:id="124" w:name="_Toc184308099"/>
      <w:bookmarkEnd w:id="124"/>
      <w:bookmarkStart w:id="125" w:name="_Toc184313304"/>
      <w:bookmarkEnd w:id="125"/>
      <w:bookmarkStart w:id="126" w:name="_Toc184312130"/>
      <w:bookmarkEnd w:id="126"/>
      <w:bookmarkStart w:id="127" w:name="_Toc184310339"/>
      <w:bookmarkEnd w:id="127"/>
      <w:bookmarkStart w:id="128" w:name="_Toc184313276"/>
      <w:bookmarkEnd w:id="128"/>
      <w:bookmarkStart w:id="129" w:name="_Toc184310335"/>
      <w:bookmarkEnd w:id="129"/>
      <w:bookmarkStart w:id="130" w:name="_Toc184308080"/>
      <w:bookmarkEnd w:id="130"/>
      <w:bookmarkStart w:id="131" w:name="_Toc184314476"/>
      <w:bookmarkEnd w:id="131"/>
      <w:bookmarkStart w:id="132" w:name="_Toc184312115"/>
      <w:bookmarkEnd w:id="132"/>
      <w:bookmarkStart w:id="133" w:name="_Toc184308096"/>
      <w:bookmarkEnd w:id="133"/>
      <w:bookmarkStart w:id="134" w:name="_Toc184312129"/>
      <w:bookmarkEnd w:id="134"/>
      <w:bookmarkStart w:id="135" w:name="_Toc184314427"/>
      <w:bookmarkEnd w:id="135"/>
      <w:bookmarkStart w:id="136" w:name="_Toc184310318"/>
      <w:bookmarkEnd w:id="136"/>
      <w:bookmarkStart w:id="137" w:name="_Toc184312133"/>
      <w:bookmarkEnd w:id="137"/>
      <w:bookmarkStart w:id="138" w:name="_Toc184312089"/>
      <w:bookmarkEnd w:id="138"/>
      <w:bookmarkStart w:id="139" w:name="_Toc184310340"/>
      <w:bookmarkEnd w:id="139"/>
      <w:bookmarkStart w:id="140" w:name="_Toc184313299"/>
      <w:bookmarkEnd w:id="140"/>
      <w:bookmarkStart w:id="141" w:name="_Toc184313309"/>
      <w:bookmarkEnd w:id="141"/>
      <w:bookmarkStart w:id="142" w:name="_Toc184312090"/>
      <w:bookmarkEnd w:id="142"/>
      <w:bookmarkStart w:id="143" w:name="_Toc184312092"/>
      <w:bookmarkEnd w:id="143"/>
      <w:bookmarkStart w:id="144" w:name="_Toc184308098"/>
      <w:bookmarkEnd w:id="144"/>
      <w:bookmarkStart w:id="145" w:name="_Toc184314471"/>
      <w:bookmarkEnd w:id="145"/>
      <w:bookmarkStart w:id="146" w:name="_Toc184308108"/>
      <w:bookmarkEnd w:id="146"/>
      <w:bookmarkStart w:id="147" w:name="_Toc184310325"/>
      <w:bookmarkEnd w:id="147"/>
      <w:bookmarkStart w:id="148" w:name="_Toc184312071"/>
      <w:bookmarkEnd w:id="148"/>
      <w:bookmarkStart w:id="149" w:name="_Toc184308088"/>
      <w:bookmarkEnd w:id="149"/>
      <w:bookmarkStart w:id="150" w:name="_Toc184314420"/>
      <w:bookmarkEnd w:id="150"/>
      <w:bookmarkStart w:id="151" w:name="_Toc184308048"/>
      <w:bookmarkEnd w:id="151"/>
      <w:bookmarkStart w:id="152" w:name="_Toc184313302"/>
      <w:bookmarkEnd w:id="152"/>
      <w:bookmarkStart w:id="153" w:name="_Toc184308070"/>
      <w:bookmarkEnd w:id="153"/>
      <w:bookmarkStart w:id="154" w:name="_Toc184308068"/>
      <w:bookmarkEnd w:id="154"/>
      <w:bookmarkStart w:id="155" w:name="_Toc184314463"/>
      <w:bookmarkEnd w:id="155"/>
      <w:bookmarkStart w:id="156" w:name="_Toc184313254"/>
      <w:bookmarkEnd w:id="156"/>
      <w:bookmarkStart w:id="157" w:name="_Toc184308090"/>
      <w:bookmarkEnd w:id="157"/>
      <w:bookmarkStart w:id="158" w:name="_Toc184312118"/>
      <w:bookmarkEnd w:id="158"/>
      <w:bookmarkStart w:id="159" w:name="_Toc184314422"/>
      <w:bookmarkEnd w:id="159"/>
      <w:bookmarkStart w:id="160" w:name="_Toc184310324"/>
      <w:bookmarkEnd w:id="160"/>
      <w:bookmarkStart w:id="161" w:name="_Toc184312119"/>
      <w:bookmarkEnd w:id="161"/>
      <w:bookmarkStart w:id="162" w:name="_Toc184312106"/>
      <w:bookmarkEnd w:id="162"/>
      <w:bookmarkStart w:id="163" w:name="_Toc184308087"/>
      <w:bookmarkEnd w:id="163"/>
      <w:bookmarkStart w:id="164" w:name="_Toc184313308"/>
      <w:bookmarkEnd w:id="164"/>
      <w:bookmarkStart w:id="165" w:name="_Toc184314462"/>
      <w:bookmarkEnd w:id="165"/>
      <w:bookmarkStart w:id="166" w:name="_Toc184314481"/>
      <w:bookmarkEnd w:id="166"/>
      <w:bookmarkStart w:id="167" w:name="_Toc184313258"/>
      <w:bookmarkEnd w:id="167"/>
      <w:bookmarkStart w:id="168" w:name="_Toc184314455"/>
      <w:bookmarkEnd w:id="168"/>
      <w:bookmarkStart w:id="169" w:name="_Toc184313288"/>
      <w:bookmarkEnd w:id="169"/>
      <w:bookmarkStart w:id="170" w:name="_Toc184312127"/>
      <w:bookmarkEnd w:id="170"/>
      <w:bookmarkStart w:id="171" w:name="_Toc184313279"/>
      <w:bookmarkEnd w:id="171"/>
      <w:bookmarkStart w:id="172" w:name="_Toc184313289"/>
      <w:bookmarkEnd w:id="172"/>
      <w:bookmarkStart w:id="173" w:name="_Toc184314428"/>
      <w:bookmarkEnd w:id="173"/>
      <w:bookmarkStart w:id="174" w:name="_Toc184308086"/>
      <w:bookmarkEnd w:id="174"/>
      <w:bookmarkStart w:id="175" w:name="_Toc184313290"/>
      <w:bookmarkEnd w:id="175"/>
      <w:bookmarkStart w:id="176" w:name="_Toc184313306"/>
      <w:bookmarkEnd w:id="176"/>
      <w:bookmarkStart w:id="177" w:name="_Toc184308082"/>
      <w:bookmarkEnd w:id="177"/>
      <w:bookmarkStart w:id="178" w:name="_Toc184313271"/>
      <w:bookmarkEnd w:id="178"/>
      <w:bookmarkStart w:id="179" w:name="_Toc184313251"/>
      <w:bookmarkEnd w:id="179"/>
      <w:bookmarkStart w:id="180" w:name="_Toc184312114"/>
      <w:bookmarkEnd w:id="180"/>
      <w:bookmarkStart w:id="181" w:name="_Toc184312088"/>
      <w:bookmarkEnd w:id="181"/>
      <w:bookmarkStart w:id="182" w:name="_Toc184310315"/>
      <w:bookmarkEnd w:id="182"/>
      <w:bookmarkStart w:id="183" w:name="_Toc184312068"/>
      <w:bookmarkEnd w:id="183"/>
      <w:bookmarkStart w:id="184" w:name="_Toc184312109"/>
      <w:bookmarkEnd w:id="184"/>
      <w:bookmarkStart w:id="185" w:name="_Toc184312137"/>
      <w:bookmarkEnd w:id="185"/>
      <w:bookmarkStart w:id="186" w:name="_Toc184308107"/>
      <w:bookmarkEnd w:id="186"/>
      <w:bookmarkStart w:id="187" w:name="_Toc184313257"/>
      <w:bookmarkEnd w:id="187"/>
      <w:bookmarkStart w:id="188" w:name="_Toc184310336"/>
      <w:bookmarkEnd w:id="188"/>
      <w:bookmarkStart w:id="189" w:name="_Toc184314436"/>
      <w:bookmarkEnd w:id="189"/>
      <w:bookmarkStart w:id="190" w:name="_Toc184314432"/>
      <w:bookmarkEnd w:id="190"/>
      <w:bookmarkStart w:id="191" w:name="_Toc184312078"/>
      <w:bookmarkEnd w:id="191"/>
      <w:bookmarkStart w:id="192" w:name="_Toc184313248"/>
      <w:bookmarkEnd w:id="192"/>
      <w:bookmarkStart w:id="193" w:name="_Toc184310284"/>
      <w:bookmarkEnd w:id="193"/>
      <w:bookmarkStart w:id="194" w:name="_Toc184310323"/>
      <w:bookmarkEnd w:id="194"/>
      <w:bookmarkStart w:id="195" w:name="_Toc184308089"/>
      <w:bookmarkEnd w:id="195"/>
      <w:bookmarkStart w:id="196" w:name="_Toc184308051"/>
      <w:bookmarkEnd w:id="196"/>
      <w:bookmarkStart w:id="197" w:name="_Toc184310310"/>
      <w:bookmarkEnd w:id="197"/>
      <w:bookmarkStart w:id="198" w:name="_Toc184308055"/>
      <w:bookmarkEnd w:id="198"/>
      <w:bookmarkStart w:id="199" w:name="_Toc184312098"/>
      <w:bookmarkEnd w:id="199"/>
      <w:bookmarkStart w:id="200" w:name="_Toc184314440"/>
      <w:bookmarkEnd w:id="200"/>
      <w:bookmarkStart w:id="201" w:name="_Toc184310303"/>
      <w:bookmarkEnd w:id="201"/>
      <w:bookmarkStart w:id="202" w:name="_Toc184310322"/>
      <w:bookmarkEnd w:id="202"/>
      <w:bookmarkStart w:id="203" w:name="_Toc184313259"/>
      <w:bookmarkEnd w:id="203"/>
      <w:bookmarkStart w:id="204" w:name="_Toc184314473"/>
      <w:bookmarkEnd w:id="204"/>
      <w:bookmarkStart w:id="205" w:name="_Toc184310292"/>
      <w:bookmarkEnd w:id="205"/>
      <w:bookmarkStart w:id="206" w:name="_Toc184313238"/>
      <w:bookmarkEnd w:id="206"/>
      <w:bookmarkStart w:id="207" w:name="_Toc184312138"/>
      <w:bookmarkEnd w:id="207"/>
      <w:bookmarkStart w:id="208" w:name="_Toc184308084"/>
      <w:bookmarkEnd w:id="208"/>
      <w:bookmarkStart w:id="209" w:name="_Toc184308100"/>
      <w:bookmarkEnd w:id="209"/>
      <w:bookmarkStart w:id="210" w:name="_Toc184308057"/>
      <w:bookmarkEnd w:id="210"/>
      <w:bookmarkStart w:id="211" w:name="_Toc184314447"/>
      <w:bookmarkEnd w:id="211"/>
      <w:bookmarkStart w:id="212" w:name="_Toc184314443"/>
      <w:bookmarkEnd w:id="212"/>
      <w:bookmarkStart w:id="213" w:name="_Toc184313266"/>
      <w:bookmarkEnd w:id="213"/>
      <w:bookmarkStart w:id="214" w:name="_Toc184314434"/>
      <w:bookmarkEnd w:id="214"/>
      <w:bookmarkStart w:id="215" w:name="_Toc184314446"/>
      <w:bookmarkEnd w:id="215"/>
      <w:bookmarkStart w:id="216" w:name="_Toc184313240"/>
      <w:bookmarkEnd w:id="216"/>
      <w:bookmarkStart w:id="217" w:name="_Toc184312126"/>
      <w:bookmarkEnd w:id="217"/>
      <w:bookmarkStart w:id="218" w:name="_Toc184308102"/>
      <w:bookmarkEnd w:id="218"/>
      <w:bookmarkStart w:id="219" w:name="_Toc184312084"/>
      <w:bookmarkEnd w:id="219"/>
      <w:bookmarkStart w:id="220" w:name="_Toc184314410"/>
      <w:bookmarkEnd w:id="220"/>
      <w:bookmarkStart w:id="221" w:name="_Toc184313247"/>
      <w:bookmarkEnd w:id="221"/>
      <w:bookmarkStart w:id="222" w:name="_Toc184313249"/>
      <w:bookmarkEnd w:id="222"/>
      <w:bookmarkStart w:id="223" w:name="_Toc184310306"/>
      <w:bookmarkEnd w:id="223"/>
      <w:bookmarkStart w:id="224" w:name="_Toc184308056"/>
      <w:bookmarkEnd w:id="224"/>
      <w:bookmarkStart w:id="225" w:name="_Toc184310337"/>
      <w:bookmarkEnd w:id="225"/>
      <w:bookmarkStart w:id="226" w:name="_Toc184312081"/>
      <w:bookmarkEnd w:id="226"/>
      <w:bookmarkStart w:id="227" w:name="_Toc184314426"/>
      <w:bookmarkEnd w:id="227"/>
      <w:bookmarkStart w:id="228" w:name="_Toc184310282"/>
      <w:bookmarkEnd w:id="228"/>
      <w:bookmarkStart w:id="229" w:name="_Toc184314419"/>
      <w:bookmarkEnd w:id="229"/>
      <w:bookmarkStart w:id="230" w:name="_Toc184310283"/>
      <w:bookmarkEnd w:id="230"/>
      <w:bookmarkStart w:id="231" w:name="_Toc184313242"/>
      <w:bookmarkEnd w:id="231"/>
      <w:bookmarkStart w:id="232" w:name="_Toc184310273"/>
      <w:bookmarkEnd w:id="232"/>
      <w:bookmarkStart w:id="233" w:name="_Toc184312113"/>
      <w:bookmarkEnd w:id="233"/>
      <w:bookmarkStart w:id="234" w:name="_Toc184312067"/>
      <w:bookmarkEnd w:id="234"/>
      <w:bookmarkStart w:id="235" w:name="_Toc184313250"/>
      <w:bookmarkEnd w:id="235"/>
      <w:bookmarkStart w:id="236" w:name="_Toc184308052"/>
      <w:bookmarkEnd w:id="236"/>
      <w:bookmarkStart w:id="237" w:name="_Toc184314479"/>
      <w:bookmarkEnd w:id="237"/>
      <w:bookmarkStart w:id="238" w:name="_Toc184313303"/>
      <w:bookmarkEnd w:id="238"/>
      <w:bookmarkStart w:id="239" w:name="_Toc184310311"/>
      <w:bookmarkEnd w:id="239"/>
      <w:bookmarkStart w:id="240" w:name="_Toc184312120"/>
      <w:bookmarkEnd w:id="240"/>
      <w:bookmarkStart w:id="241" w:name="_Toc184313268"/>
      <w:bookmarkEnd w:id="241"/>
      <w:bookmarkStart w:id="242" w:name="_Toc184313281"/>
      <w:bookmarkEnd w:id="242"/>
      <w:bookmarkStart w:id="243" w:name="_Toc184314475"/>
      <w:bookmarkEnd w:id="243"/>
      <w:bookmarkStart w:id="244" w:name="_Toc184310343"/>
      <w:bookmarkEnd w:id="244"/>
      <w:bookmarkStart w:id="245" w:name="_Toc184313267"/>
      <w:bookmarkEnd w:id="245"/>
      <w:bookmarkStart w:id="246" w:name="_Toc184312095"/>
      <w:bookmarkEnd w:id="246"/>
      <w:bookmarkStart w:id="247" w:name="_Toc184313291"/>
      <w:bookmarkEnd w:id="247"/>
      <w:bookmarkStart w:id="248" w:name="_Toc184312139"/>
      <w:bookmarkEnd w:id="248"/>
      <w:bookmarkStart w:id="249" w:name="_Toc184308085"/>
      <w:bookmarkEnd w:id="249"/>
      <w:bookmarkStart w:id="250" w:name="_Toc184312097"/>
      <w:bookmarkEnd w:id="250"/>
      <w:bookmarkStart w:id="251" w:name="_Toc184314464"/>
      <w:bookmarkEnd w:id="251"/>
      <w:bookmarkStart w:id="252" w:name="_Toc184314454"/>
      <w:bookmarkEnd w:id="252"/>
      <w:bookmarkStart w:id="253" w:name="_Toc184314421"/>
      <w:bookmarkEnd w:id="253"/>
      <w:bookmarkStart w:id="254" w:name="_Toc184313252"/>
      <w:bookmarkEnd w:id="254"/>
      <w:bookmarkStart w:id="255" w:name="_Toc184313255"/>
      <w:bookmarkEnd w:id="255"/>
      <w:bookmarkStart w:id="256" w:name="_Toc184312096"/>
      <w:bookmarkEnd w:id="256"/>
      <w:bookmarkStart w:id="257" w:name="_Toc184308078"/>
      <w:bookmarkEnd w:id="257"/>
      <w:bookmarkStart w:id="258" w:name="_Toc184310300"/>
      <w:bookmarkEnd w:id="258"/>
      <w:bookmarkStart w:id="259" w:name="_Toc184314453"/>
      <w:bookmarkEnd w:id="259"/>
      <w:bookmarkStart w:id="260" w:name="_Toc184314451"/>
      <w:bookmarkEnd w:id="260"/>
      <w:bookmarkStart w:id="261" w:name="_Toc184313274"/>
      <w:bookmarkEnd w:id="261"/>
      <w:bookmarkStart w:id="262" w:name="_Toc184312080"/>
      <w:bookmarkEnd w:id="262"/>
      <w:bookmarkStart w:id="263" w:name="_Toc184308083"/>
      <w:bookmarkEnd w:id="263"/>
      <w:bookmarkStart w:id="264" w:name="_Toc184312131"/>
      <w:bookmarkEnd w:id="264"/>
      <w:bookmarkStart w:id="265" w:name="_Toc184310331"/>
      <w:bookmarkEnd w:id="265"/>
      <w:bookmarkStart w:id="266" w:name="_Toc184312093"/>
      <w:bookmarkEnd w:id="266"/>
      <w:bookmarkStart w:id="267" w:name="_Toc184313239"/>
      <w:bookmarkEnd w:id="267"/>
      <w:bookmarkStart w:id="268" w:name="_Toc184308101"/>
      <w:bookmarkEnd w:id="268"/>
      <w:bookmarkStart w:id="269" w:name="_Toc184308065"/>
      <w:bookmarkEnd w:id="269"/>
      <w:bookmarkStart w:id="270" w:name="_Toc184310301"/>
      <w:bookmarkEnd w:id="270"/>
      <w:bookmarkStart w:id="271" w:name="_Toc184310289"/>
      <w:bookmarkEnd w:id="271"/>
      <w:bookmarkStart w:id="272" w:name="_Toc184313264"/>
      <w:bookmarkEnd w:id="272"/>
      <w:bookmarkStart w:id="273" w:name="_Toc184310309"/>
      <w:bookmarkEnd w:id="273"/>
      <w:bookmarkStart w:id="274" w:name="_Toc184312136"/>
      <w:bookmarkEnd w:id="274"/>
      <w:bookmarkStart w:id="275" w:name="_Toc184312104"/>
      <w:bookmarkEnd w:id="275"/>
      <w:bookmarkStart w:id="276" w:name="_Toc184308067"/>
      <w:bookmarkEnd w:id="276"/>
      <w:bookmarkStart w:id="277" w:name="_Toc184313310"/>
      <w:bookmarkEnd w:id="277"/>
      <w:bookmarkStart w:id="278" w:name="_Toc184310285"/>
      <w:bookmarkEnd w:id="278"/>
      <w:bookmarkStart w:id="279" w:name="_Toc184312102"/>
      <w:bookmarkEnd w:id="279"/>
      <w:bookmarkStart w:id="280" w:name="_Toc184310308"/>
      <w:bookmarkEnd w:id="280"/>
      <w:bookmarkStart w:id="281" w:name="_Toc184312079"/>
      <w:bookmarkEnd w:id="281"/>
      <w:bookmarkStart w:id="282" w:name="_Toc184308072"/>
      <w:bookmarkEnd w:id="282"/>
      <w:bookmarkStart w:id="283" w:name="_Toc184308071"/>
      <w:bookmarkEnd w:id="283"/>
      <w:bookmarkStart w:id="284" w:name="_Toc184312103"/>
      <w:bookmarkEnd w:id="284"/>
      <w:bookmarkStart w:id="285" w:name="_Toc184310319"/>
      <w:bookmarkEnd w:id="285"/>
      <w:bookmarkStart w:id="286" w:name="_Toc184308063"/>
      <w:bookmarkEnd w:id="286"/>
      <w:bookmarkStart w:id="287" w:name="_Toc184313275"/>
      <w:bookmarkEnd w:id="287"/>
      <w:bookmarkStart w:id="288" w:name="_Toc184310313"/>
      <w:bookmarkEnd w:id="288"/>
      <w:bookmarkStart w:id="289" w:name="_Toc184310286"/>
      <w:bookmarkEnd w:id="289"/>
      <w:bookmarkStart w:id="290" w:name="_Toc184314423"/>
      <w:bookmarkEnd w:id="290"/>
      <w:bookmarkStart w:id="291" w:name="_Toc184312105"/>
      <w:bookmarkEnd w:id="291"/>
      <w:bookmarkStart w:id="292" w:name="_Toc184313283"/>
      <w:bookmarkEnd w:id="292"/>
      <w:bookmarkStart w:id="293" w:name="_Toc184312108"/>
      <w:bookmarkEnd w:id="293"/>
      <w:bookmarkStart w:id="294" w:name="_Toc184308064"/>
      <w:bookmarkEnd w:id="294"/>
      <w:bookmarkStart w:id="295" w:name="_Toc184314482"/>
      <w:bookmarkEnd w:id="295"/>
      <w:bookmarkStart w:id="296" w:name="_Toc184312100"/>
      <w:bookmarkEnd w:id="296"/>
      <w:bookmarkStart w:id="297" w:name="_Toc184310341"/>
      <w:bookmarkEnd w:id="297"/>
      <w:bookmarkStart w:id="298" w:name="_Toc184313273"/>
      <w:bookmarkEnd w:id="298"/>
      <w:bookmarkStart w:id="299" w:name="_Toc184312083"/>
      <w:bookmarkEnd w:id="299"/>
      <w:bookmarkStart w:id="300" w:name="_Toc184314438"/>
      <w:bookmarkEnd w:id="300"/>
      <w:bookmarkStart w:id="301" w:name="_Toc184308074"/>
      <w:bookmarkEnd w:id="301"/>
      <w:bookmarkStart w:id="302" w:name="_Toc184310293"/>
      <w:bookmarkEnd w:id="302"/>
      <w:bookmarkStart w:id="303" w:name="_Toc184313245"/>
      <w:bookmarkEnd w:id="303"/>
      <w:bookmarkStart w:id="304" w:name="_Toc184312116"/>
      <w:bookmarkEnd w:id="304"/>
      <w:bookmarkStart w:id="305" w:name="_Toc184310307"/>
      <w:bookmarkEnd w:id="305"/>
      <w:bookmarkStart w:id="306" w:name="_Toc184314413"/>
      <w:bookmarkEnd w:id="306"/>
      <w:bookmarkStart w:id="307" w:name="_Toc184312128"/>
      <w:bookmarkEnd w:id="307"/>
      <w:bookmarkStart w:id="308" w:name="_Toc184308049"/>
      <w:bookmarkEnd w:id="308"/>
      <w:bookmarkStart w:id="309" w:name="_Toc184312086"/>
      <w:bookmarkEnd w:id="309"/>
      <w:bookmarkStart w:id="310" w:name="_Toc184314439"/>
      <w:bookmarkEnd w:id="310"/>
      <w:bookmarkStart w:id="311" w:name="_Toc184314430"/>
      <w:bookmarkEnd w:id="311"/>
      <w:bookmarkStart w:id="312" w:name="_Toc184313270"/>
      <w:bookmarkEnd w:id="312"/>
      <w:bookmarkStart w:id="313" w:name="_Toc184314445"/>
      <w:bookmarkEnd w:id="313"/>
      <w:bookmarkStart w:id="314" w:name="_Toc184313307"/>
      <w:bookmarkEnd w:id="314"/>
      <w:bookmarkStart w:id="315" w:name="_Toc184313272"/>
      <w:bookmarkEnd w:id="315"/>
      <w:bookmarkStart w:id="316" w:name="_Toc184313287"/>
      <w:bookmarkEnd w:id="316"/>
      <w:bookmarkStart w:id="317" w:name="_Toc184314458"/>
      <w:bookmarkEnd w:id="317"/>
      <w:bookmarkStart w:id="318" w:name="_Toc184314417"/>
      <w:bookmarkEnd w:id="318"/>
      <w:bookmarkStart w:id="319" w:name="_Toc184314444"/>
      <w:bookmarkEnd w:id="319"/>
      <w:bookmarkStart w:id="320" w:name="_Toc184312101"/>
      <w:bookmarkEnd w:id="320"/>
      <w:bookmarkStart w:id="321" w:name="_Toc184312087"/>
      <w:bookmarkEnd w:id="321"/>
      <w:bookmarkStart w:id="322" w:name="_Toc184308081"/>
      <w:bookmarkEnd w:id="322"/>
      <w:bookmarkStart w:id="323" w:name="_Toc184314429"/>
      <w:bookmarkEnd w:id="323"/>
      <w:bookmarkStart w:id="324" w:name="_Toc184308066"/>
      <w:bookmarkEnd w:id="324"/>
      <w:bookmarkStart w:id="325" w:name="_Toc184313295"/>
      <w:bookmarkEnd w:id="325"/>
      <w:bookmarkStart w:id="326" w:name="_Toc184312069"/>
      <w:bookmarkEnd w:id="326"/>
      <w:bookmarkStart w:id="327" w:name="_Toc184308047"/>
      <w:bookmarkEnd w:id="327"/>
      <w:bookmarkStart w:id="328" w:name="_Toc184310305"/>
      <w:bookmarkEnd w:id="328"/>
      <w:bookmarkStart w:id="329" w:name="_Toc184313256"/>
      <w:bookmarkEnd w:id="329"/>
      <w:bookmarkStart w:id="330" w:name="_Toc184308069"/>
      <w:bookmarkEnd w:id="330"/>
      <w:bookmarkStart w:id="331" w:name="_Toc184310302"/>
      <w:bookmarkEnd w:id="331"/>
      <w:bookmarkStart w:id="332" w:name="_Toc184312099"/>
      <w:bookmarkEnd w:id="332"/>
      <w:bookmarkStart w:id="333" w:name="_Toc184314449"/>
      <w:bookmarkEnd w:id="333"/>
      <w:bookmarkStart w:id="334" w:name="_Toc184312122"/>
      <w:bookmarkEnd w:id="334"/>
      <w:bookmarkStart w:id="335" w:name="_Toc184313277"/>
      <w:bookmarkEnd w:id="335"/>
      <w:bookmarkStart w:id="336" w:name="_Toc184312094"/>
      <w:bookmarkEnd w:id="336"/>
      <w:bookmarkStart w:id="337" w:name="_Toc184310275"/>
      <w:bookmarkEnd w:id="337"/>
      <w:bookmarkStart w:id="338" w:name="_Toc184310296"/>
      <w:bookmarkEnd w:id="338"/>
      <w:bookmarkStart w:id="339" w:name="_Toc184313269"/>
      <w:bookmarkEnd w:id="339"/>
      <w:bookmarkStart w:id="340" w:name="_Toc184308044"/>
      <w:bookmarkEnd w:id="340"/>
      <w:bookmarkStart w:id="341" w:name="_Toc184308054"/>
      <w:bookmarkEnd w:id="341"/>
      <w:bookmarkStart w:id="342" w:name="_Toc184312074"/>
      <w:bookmarkEnd w:id="342"/>
      <w:bookmarkStart w:id="343" w:name="_Toc184312073"/>
      <w:bookmarkEnd w:id="343"/>
      <w:bookmarkStart w:id="344" w:name="_Toc184310291"/>
      <w:bookmarkEnd w:id="344"/>
      <w:bookmarkStart w:id="345" w:name="_Toc184312085"/>
      <w:bookmarkEnd w:id="345"/>
      <w:bookmarkStart w:id="346" w:name="_Toc184308041"/>
      <w:bookmarkEnd w:id="346"/>
      <w:bookmarkStart w:id="347" w:name="_Toc184308039"/>
      <w:bookmarkEnd w:id="347"/>
      <w:bookmarkStart w:id="348" w:name="_Toc184313292"/>
      <w:bookmarkEnd w:id="348"/>
      <w:bookmarkStart w:id="349" w:name="_Toc184313280"/>
      <w:bookmarkEnd w:id="349"/>
      <w:bookmarkStart w:id="350" w:name="_Toc184310332"/>
      <w:bookmarkEnd w:id="350"/>
      <w:bookmarkStart w:id="351" w:name="_Toc184312070"/>
      <w:bookmarkEnd w:id="351"/>
      <w:bookmarkStart w:id="352" w:name="_Toc184308058"/>
      <w:bookmarkEnd w:id="352"/>
      <w:bookmarkStart w:id="353" w:name="_Toc184313263"/>
      <w:bookmarkEnd w:id="353"/>
      <w:bookmarkStart w:id="354" w:name="_Toc184314468"/>
      <w:bookmarkEnd w:id="354"/>
      <w:bookmarkStart w:id="355" w:name="_Toc184308040"/>
      <w:bookmarkEnd w:id="355"/>
      <w:bookmarkStart w:id="356" w:name="_Toc184314466"/>
      <w:bookmarkEnd w:id="356"/>
      <w:bookmarkStart w:id="357" w:name="_Toc184314431"/>
      <w:bookmarkEnd w:id="357"/>
      <w:bookmarkStart w:id="358" w:name="_Toc184314450"/>
      <w:bookmarkEnd w:id="358"/>
      <w:bookmarkStart w:id="359" w:name="_Toc184312135"/>
      <w:bookmarkEnd w:id="359"/>
      <w:bookmarkStart w:id="360" w:name="_Toc184314442"/>
      <w:bookmarkEnd w:id="360"/>
      <w:bookmarkStart w:id="361" w:name="_Toc184308077"/>
      <w:bookmarkEnd w:id="361"/>
      <w:bookmarkStart w:id="362" w:name="_Toc184308043"/>
      <w:bookmarkEnd w:id="362"/>
      <w:bookmarkStart w:id="363" w:name="_Toc184313262"/>
      <w:bookmarkEnd w:id="363"/>
      <w:bookmarkStart w:id="364" w:name="_Toc184312125"/>
      <w:bookmarkEnd w:id="364"/>
      <w:bookmarkStart w:id="365" w:name="_Toc184310314"/>
      <w:bookmarkEnd w:id="365"/>
      <w:bookmarkStart w:id="366" w:name="_Toc184308061"/>
      <w:bookmarkEnd w:id="366"/>
      <w:bookmarkStart w:id="367" w:name="_Toc184314459"/>
      <w:bookmarkEnd w:id="367"/>
      <w:bookmarkStart w:id="368" w:name="_Toc184312112"/>
      <w:bookmarkEnd w:id="368"/>
      <w:bookmarkStart w:id="369" w:name="_Toc184310297"/>
      <w:bookmarkEnd w:id="369"/>
      <w:bookmarkStart w:id="370" w:name="_Toc184310279"/>
      <w:bookmarkEnd w:id="370"/>
      <w:bookmarkStart w:id="371" w:name="_Toc184308053"/>
      <w:bookmarkEnd w:id="371"/>
      <w:bookmarkStart w:id="372" w:name="_Toc184312117"/>
      <w:bookmarkEnd w:id="372"/>
      <w:bookmarkStart w:id="373" w:name="_Toc184310277"/>
      <w:bookmarkEnd w:id="373"/>
      <w:bookmarkStart w:id="374" w:name="_Toc184308042"/>
      <w:bookmarkEnd w:id="374"/>
      <w:bookmarkStart w:id="375" w:name="_Toc184314418"/>
      <w:bookmarkEnd w:id="375"/>
      <w:bookmarkStart w:id="376" w:name="_Toc184313253"/>
      <w:bookmarkEnd w:id="376"/>
      <w:bookmarkStart w:id="377" w:name="_Toc184312075"/>
      <w:bookmarkEnd w:id="377"/>
      <w:bookmarkStart w:id="378" w:name="_Toc184312072"/>
      <w:bookmarkEnd w:id="378"/>
      <w:bookmarkStart w:id="379" w:name="_Toc184313244"/>
      <w:bookmarkEnd w:id="379"/>
      <w:bookmarkStart w:id="380" w:name="_Toc184310278"/>
      <w:bookmarkEnd w:id="380"/>
      <w:bookmarkStart w:id="381" w:name="_Toc184310317"/>
      <w:bookmarkEnd w:id="381"/>
      <w:bookmarkStart w:id="382" w:name="_Toc184310274"/>
      <w:bookmarkEnd w:id="382"/>
      <w:bookmarkStart w:id="383" w:name="_Toc184308105"/>
      <w:bookmarkEnd w:id="383"/>
      <w:bookmarkStart w:id="384" w:name="_Toc184313243"/>
      <w:bookmarkEnd w:id="384"/>
      <w:bookmarkStart w:id="385" w:name="_Toc184314416"/>
      <w:bookmarkEnd w:id="385"/>
      <w:bookmarkStart w:id="386" w:name="_Toc184310280"/>
      <w:bookmarkEnd w:id="386"/>
      <w:bookmarkStart w:id="387" w:name="_Toc184310298"/>
      <w:bookmarkEnd w:id="387"/>
      <w:bookmarkStart w:id="388" w:name="_Toc184308091"/>
      <w:bookmarkEnd w:id="388"/>
      <w:bookmarkStart w:id="389" w:name="_Toc184314480"/>
      <w:bookmarkEnd w:id="389"/>
      <w:bookmarkStart w:id="390" w:name="_Toc184312110"/>
      <w:bookmarkEnd w:id="390"/>
      <w:bookmarkStart w:id="391" w:name="_Toc184314424"/>
      <w:bookmarkEnd w:id="391"/>
      <w:bookmarkStart w:id="392" w:name="_Toc184313284"/>
      <w:bookmarkEnd w:id="392"/>
      <w:bookmarkStart w:id="393" w:name="_Toc184308076"/>
      <w:bookmarkEnd w:id="393"/>
      <w:bookmarkStart w:id="394" w:name="_Toc184308079"/>
      <w:bookmarkEnd w:id="394"/>
      <w:bookmarkStart w:id="395" w:name="_Toc184314474"/>
      <w:bookmarkEnd w:id="395"/>
      <w:bookmarkStart w:id="396" w:name="_Toc184310312"/>
      <w:bookmarkEnd w:id="396"/>
      <w:bookmarkStart w:id="397" w:name="_Toc184308060"/>
      <w:bookmarkEnd w:id="397"/>
      <w:bookmarkStart w:id="398" w:name="_Toc184308050"/>
      <w:bookmarkEnd w:id="398"/>
      <w:bookmarkStart w:id="399" w:name="_Toc184313278"/>
      <w:bookmarkEnd w:id="399"/>
      <w:bookmarkStart w:id="400" w:name="_Toc184308062"/>
      <w:bookmarkEnd w:id="400"/>
      <w:bookmarkStart w:id="401" w:name="_Toc184314437"/>
      <w:bookmarkEnd w:id="401"/>
      <w:bookmarkStart w:id="402" w:name="_Toc184313285"/>
      <w:bookmarkEnd w:id="402"/>
      <w:bookmarkStart w:id="403" w:name="_Toc184308046"/>
      <w:bookmarkEnd w:id="403"/>
      <w:bookmarkStart w:id="404" w:name="_Toc184314448"/>
      <w:bookmarkEnd w:id="404"/>
      <w:bookmarkStart w:id="405" w:name="_Toc184310344"/>
      <w:bookmarkEnd w:id="405"/>
      <w:bookmarkStart w:id="406" w:name="_Toc184312107"/>
      <w:bookmarkEnd w:id="406"/>
      <w:bookmarkStart w:id="407" w:name="_Toc184313265"/>
      <w:bookmarkEnd w:id="407"/>
      <w:bookmarkStart w:id="408" w:name="_Toc184313282"/>
      <w:bookmarkEnd w:id="408"/>
      <w:bookmarkStart w:id="409" w:name="_Toc184314441"/>
      <w:bookmarkEnd w:id="409"/>
      <w:bookmarkStart w:id="410" w:name="_Toc184308059"/>
      <w:bookmarkEnd w:id="410"/>
      <w:bookmarkStart w:id="411" w:name="_Toc184308106"/>
      <w:bookmarkEnd w:id="411"/>
      <w:bookmarkStart w:id="412" w:name="_Toc184310320"/>
      <w:bookmarkEnd w:id="412"/>
      <w:bookmarkStart w:id="413" w:name="_Toc184308038"/>
      <w:bookmarkEnd w:id="413"/>
      <w:bookmarkStart w:id="414" w:name="_Toc184314435"/>
      <w:bookmarkEnd w:id="414"/>
      <w:bookmarkStart w:id="415" w:name="_Toc184313286"/>
      <w:bookmarkEnd w:id="415"/>
      <w:bookmarkStart w:id="416" w:name="_Toc184314461"/>
      <w:bookmarkEnd w:id="416"/>
      <w:bookmarkStart w:id="417" w:name="_Toc184310276"/>
      <w:bookmarkEnd w:id="417"/>
      <w:bookmarkStart w:id="418" w:name="_Toc184314469"/>
      <w:bookmarkEnd w:id="418"/>
      <w:bookmarkStart w:id="419" w:name="_Toc184310287"/>
      <w:bookmarkEnd w:id="419"/>
      <w:bookmarkStart w:id="420" w:name="_Toc184310304"/>
      <w:bookmarkEnd w:id="420"/>
      <w:bookmarkStart w:id="421" w:name="_Toc184314456"/>
      <w:bookmarkEnd w:id="421"/>
      <w:bookmarkStart w:id="422" w:name="_Toc184310294"/>
      <w:bookmarkEnd w:id="422"/>
      <w:bookmarkStart w:id="423" w:name="_Toc184308037"/>
      <w:bookmarkEnd w:id="423"/>
      <w:bookmarkStart w:id="424" w:name="_Toc184313241"/>
      <w:bookmarkEnd w:id="424"/>
      <w:bookmarkStart w:id="425" w:name="_Toc184312123"/>
      <w:bookmarkEnd w:id="425"/>
      <w:bookmarkStart w:id="426" w:name="_Toc184314414"/>
      <w:bookmarkEnd w:id="426"/>
      <w:bookmarkStart w:id="427" w:name="_Toc184310272"/>
      <w:bookmarkEnd w:id="427"/>
      <w:bookmarkStart w:id="428" w:name="_Toc184310326"/>
      <w:bookmarkEnd w:id="428"/>
      <w:bookmarkStart w:id="429" w:name="_Toc184312076"/>
      <w:bookmarkEnd w:id="429"/>
      <w:bookmarkStart w:id="430" w:name="_Toc184313261"/>
      <w:bookmarkEnd w:id="430"/>
      <w:bookmarkStart w:id="431" w:name="_Toc184310295"/>
      <w:bookmarkEnd w:id="431"/>
      <w:bookmarkStart w:id="432" w:name="_Toc184308036"/>
      <w:bookmarkEnd w:id="432"/>
      <w:bookmarkStart w:id="433" w:name="_Toc184314412"/>
      <w:bookmarkEnd w:id="433"/>
      <w:bookmarkStart w:id="434" w:name="_Toc184312121"/>
      <w:bookmarkEnd w:id="434"/>
      <w:bookmarkStart w:id="435" w:name="_Toc184310321"/>
      <w:bookmarkEnd w:id="435"/>
      <w:bookmarkStart w:id="436" w:name="_Toc184314425"/>
      <w:bookmarkEnd w:id="436"/>
      <w:r>
        <w:rPr>
          <w:rFonts w:hint="eastAsia" w:ascii="仿宋_GB2312" w:hAnsi="仿宋" w:eastAsia="仿宋_GB2312" w:cs="仿宋_GB2312"/>
          <w:b/>
          <w:color w:val="auto"/>
          <w:sz w:val="36"/>
          <w:szCs w:val="36"/>
          <w:highlight w:val="none"/>
        </w:rPr>
        <w:br w:type="page"/>
      </w:r>
      <w:bookmarkEnd w:id="35"/>
      <w:bookmarkStart w:id="437" w:name="_Hlk57158064"/>
      <w:bookmarkStart w:id="438" w:name="第五部分"/>
      <w:bookmarkStart w:id="439" w:name="_Toc86217003"/>
      <w:r>
        <w:rPr>
          <w:rFonts w:hint="eastAsia" w:ascii="仿宋_GB2312" w:hAnsi="仿宋" w:eastAsia="仿宋_GB2312" w:cs="仿宋_GB2312"/>
          <w:b/>
          <w:color w:val="auto"/>
          <w:sz w:val="36"/>
          <w:szCs w:val="36"/>
          <w:highlight w:val="none"/>
        </w:rPr>
        <w:t>第五部分 拟签订的合同文本</w:t>
      </w:r>
    </w:p>
    <w:p>
      <w:pPr>
        <w:spacing w:line="360" w:lineRule="auto"/>
        <w:rPr>
          <w:rFonts w:ascii="仿宋_GB2312" w:hAnsi="仿宋" w:eastAsia="仿宋_GB2312"/>
          <w:color w:val="auto"/>
          <w:sz w:val="24"/>
          <w:highlight w:val="none"/>
        </w:rPr>
      </w:pPr>
    </w:p>
    <w:p>
      <w:pPr>
        <w:spacing w:line="360" w:lineRule="auto"/>
        <w:ind w:firstLine="960" w:firstLineChars="400"/>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合同编号：</w:t>
      </w:r>
      <w:r>
        <w:rPr>
          <w:rFonts w:hint="eastAsia" w:ascii="仿宋_GB2312" w:hAnsi="仿宋" w:eastAsia="仿宋_GB2312"/>
          <w:color w:val="auto"/>
          <w:sz w:val="24"/>
          <w:highlight w:val="none"/>
          <w:u w:val="single"/>
        </w:rPr>
        <w:t xml:space="preserve">           </w:t>
      </w:r>
    </w:p>
    <w:p>
      <w:pPr>
        <w:pStyle w:val="988"/>
        <w:ind w:firstLine="482"/>
        <w:jc w:val="center"/>
        <w:rPr>
          <w:rFonts w:ascii="仿宋_GB2312" w:hAnsi="仿宋" w:eastAsia="仿宋_GB2312"/>
          <w:b/>
          <w:color w:val="auto"/>
          <w:szCs w:val="24"/>
          <w:highlight w:val="none"/>
        </w:rPr>
      </w:pPr>
    </w:p>
    <w:p>
      <w:pPr>
        <w:pStyle w:val="988"/>
        <w:rPr>
          <w:rFonts w:ascii="仿宋_GB2312" w:hAnsi="仿宋" w:eastAsia="仿宋_GB2312"/>
          <w:color w:val="auto"/>
          <w:szCs w:val="24"/>
          <w:highlight w:val="none"/>
        </w:rPr>
      </w:pPr>
    </w:p>
    <w:p>
      <w:pPr>
        <w:pStyle w:val="988"/>
        <w:rPr>
          <w:rFonts w:ascii="仿宋_GB2312" w:hAnsi="仿宋" w:eastAsia="仿宋_GB2312"/>
          <w:color w:val="auto"/>
          <w:szCs w:val="24"/>
          <w:highlight w:val="none"/>
        </w:rPr>
      </w:pPr>
    </w:p>
    <w:p>
      <w:pPr>
        <w:spacing w:before="120" w:line="360" w:lineRule="auto"/>
        <w:rPr>
          <w:rFonts w:ascii="仿宋_GB2312" w:hAnsi="仿宋" w:eastAsia="仿宋_GB2312"/>
          <w:color w:val="auto"/>
          <w:sz w:val="24"/>
          <w:highlight w:val="none"/>
        </w:rPr>
      </w:pPr>
    </w:p>
    <w:p>
      <w:pPr>
        <w:spacing w:before="120" w:line="360" w:lineRule="auto"/>
        <w:ind w:left="960"/>
        <w:rPr>
          <w:rFonts w:ascii="仿宋_GB2312" w:hAnsi="仿宋" w:eastAsia="仿宋_GB2312"/>
          <w:color w:val="auto"/>
          <w:sz w:val="24"/>
          <w:highlight w:val="none"/>
        </w:rPr>
      </w:pPr>
      <w:r>
        <w:rPr>
          <w:rFonts w:hint="eastAsia" w:ascii="仿宋_GB2312" w:hAnsi="仿宋" w:eastAsia="仿宋_GB2312"/>
          <w:color w:val="auto"/>
          <w:sz w:val="24"/>
          <w:highlight w:val="none"/>
        </w:rPr>
        <w:t>项目名称：</w:t>
      </w:r>
      <w:r>
        <w:rPr>
          <w:rFonts w:hint="eastAsia" w:ascii="仿宋_GB2312" w:hAnsi="仿宋" w:eastAsia="仿宋_GB2312" w:cs="仿宋_GB2312"/>
          <w:color w:val="auto"/>
          <w:sz w:val="24"/>
          <w:highlight w:val="none"/>
          <w:u w:val="single"/>
        </w:rPr>
        <w:t>杭州城市大脑**操作系统V3.0项目应用支撑和运营保障</w:t>
      </w:r>
    </w:p>
    <w:p>
      <w:pPr>
        <w:pStyle w:val="952"/>
        <w:spacing w:before="120"/>
        <w:rPr>
          <w:rFonts w:hAnsi="仿宋"/>
          <w:color w:val="auto"/>
          <w:szCs w:val="24"/>
          <w:highlight w:val="none"/>
        </w:rPr>
      </w:pPr>
    </w:p>
    <w:p>
      <w:pPr>
        <w:pStyle w:val="952"/>
        <w:spacing w:before="120"/>
        <w:rPr>
          <w:rFonts w:hAnsi="仿宋"/>
          <w:color w:val="auto"/>
          <w:szCs w:val="24"/>
          <w:highlight w:val="none"/>
        </w:rPr>
      </w:pPr>
    </w:p>
    <w:p>
      <w:pPr>
        <w:spacing w:line="360" w:lineRule="auto"/>
        <w:rPr>
          <w:rFonts w:ascii="仿宋_GB2312" w:hAnsi="仿宋" w:eastAsia="仿宋_GB2312"/>
          <w:color w:val="auto"/>
          <w:sz w:val="24"/>
          <w:highlight w:val="none"/>
        </w:rPr>
      </w:pPr>
    </w:p>
    <w:p>
      <w:pPr>
        <w:spacing w:before="120" w:line="360" w:lineRule="auto"/>
        <w:ind w:left="960"/>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甲方：</w:t>
      </w:r>
      <w:r>
        <w:rPr>
          <w:rFonts w:hint="eastAsia" w:ascii="仿宋_GB2312" w:hAnsi="仿宋" w:eastAsia="仿宋_GB2312"/>
          <w:color w:val="auto"/>
          <w:sz w:val="24"/>
          <w:highlight w:val="none"/>
          <w:u w:val="single"/>
        </w:rPr>
        <w:t xml:space="preserve">                                       </w:t>
      </w:r>
    </w:p>
    <w:p>
      <w:pPr>
        <w:spacing w:before="120" w:line="360" w:lineRule="auto"/>
        <w:rPr>
          <w:rFonts w:ascii="仿宋_GB2312" w:hAnsi="仿宋" w:eastAsia="仿宋_GB2312"/>
          <w:color w:val="auto"/>
          <w:sz w:val="24"/>
          <w:highlight w:val="none"/>
        </w:rPr>
      </w:pPr>
    </w:p>
    <w:p>
      <w:pPr>
        <w:spacing w:before="120" w:line="360" w:lineRule="auto"/>
        <w:ind w:left="960"/>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乙方：</w:t>
      </w:r>
      <w:r>
        <w:rPr>
          <w:rFonts w:hint="eastAsia" w:ascii="仿宋_GB2312" w:hAnsi="仿宋" w:eastAsia="仿宋_GB2312"/>
          <w:color w:val="auto"/>
          <w:sz w:val="24"/>
          <w:highlight w:val="none"/>
          <w:u w:val="single"/>
        </w:rPr>
        <w:t xml:space="preserve">                                       </w:t>
      </w:r>
    </w:p>
    <w:p>
      <w:pPr>
        <w:spacing w:before="120" w:line="360" w:lineRule="auto"/>
        <w:rPr>
          <w:rFonts w:ascii="仿宋_GB2312" w:hAnsi="仿宋" w:eastAsia="仿宋_GB2312"/>
          <w:color w:val="auto"/>
          <w:sz w:val="24"/>
          <w:highlight w:val="none"/>
        </w:rPr>
      </w:pPr>
    </w:p>
    <w:p>
      <w:pPr>
        <w:spacing w:before="120" w:line="360" w:lineRule="auto"/>
        <w:ind w:firstLine="960" w:firstLineChars="400"/>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签订地：</w:t>
      </w:r>
      <w:r>
        <w:rPr>
          <w:rFonts w:hint="eastAsia" w:ascii="仿宋_GB2312" w:hAnsi="仿宋" w:eastAsia="仿宋_GB2312"/>
          <w:color w:val="auto"/>
          <w:sz w:val="24"/>
          <w:highlight w:val="none"/>
          <w:u w:val="single"/>
        </w:rPr>
        <w:t xml:space="preserve">                                     </w:t>
      </w:r>
    </w:p>
    <w:p>
      <w:pPr>
        <w:spacing w:before="120" w:line="360" w:lineRule="auto"/>
        <w:rPr>
          <w:rFonts w:ascii="仿宋_GB2312" w:hAnsi="仿宋" w:eastAsia="仿宋_GB2312"/>
          <w:color w:val="auto"/>
          <w:sz w:val="24"/>
          <w:highlight w:val="none"/>
        </w:rPr>
      </w:pPr>
    </w:p>
    <w:p>
      <w:pPr>
        <w:spacing w:before="120" w:line="360" w:lineRule="auto"/>
        <w:ind w:firstLine="960" w:firstLineChars="400"/>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签订日期：</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年</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日</w:t>
      </w:r>
    </w:p>
    <w:p>
      <w:pPr>
        <w:autoSpaceDE w:val="0"/>
        <w:autoSpaceDN w:val="0"/>
        <w:spacing w:line="360" w:lineRule="auto"/>
        <w:ind w:firstLine="640"/>
        <w:jc w:val="center"/>
        <w:rPr>
          <w:rFonts w:eastAsia="等线"/>
          <w:color w:val="auto"/>
          <w:highlight w:val="none"/>
        </w:rPr>
        <w:sectPr>
          <w:headerReference r:id="rId8" w:type="default"/>
          <w:footerReference r:id="rId9" w:type="default"/>
          <w:pgSz w:w="11907" w:h="16840"/>
          <w:pgMar w:top="1474" w:right="1814" w:bottom="1474" w:left="1814" w:header="851" w:footer="851" w:gutter="0"/>
          <w:cols w:space="720" w:num="1"/>
          <w:docGrid w:linePitch="462" w:charSpace="0"/>
        </w:sectPr>
      </w:pPr>
    </w:p>
    <w:p>
      <w:pPr>
        <w:spacing w:line="360" w:lineRule="auto"/>
        <w:ind w:firstLine="480" w:firstLineChars="200"/>
        <w:rPr>
          <w:rFonts w:ascii="仿宋_GB2312" w:hAnsi="仿宋" w:eastAsia="等线"/>
          <w:color w:val="auto"/>
          <w:sz w:val="24"/>
          <w:highlight w:val="none"/>
        </w:rPr>
      </w:pPr>
      <w:r>
        <w:rPr>
          <w:rFonts w:hint="eastAsia" w:ascii="仿宋_GB2312" w:hAnsi="仿宋" w:eastAsia="仿宋_GB2312"/>
          <w:color w:val="auto"/>
          <w:sz w:val="24"/>
          <w:highlight w:val="none"/>
          <w:u w:val="single"/>
          <w:lang w:val="zh-CN"/>
        </w:rPr>
        <w:t xml:space="preserve">        </w:t>
      </w:r>
      <w:r>
        <w:rPr>
          <w:rFonts w:hint="eastAsia" w:ascii="仿宋_GB2312" w:hAnsi="仿宋" w:eastAsia="仿宋_GB2312"/>
          <w:color w:val="auto"/>
          <w:sz w:val="24"/>
          <w:highlight w:val="none"/>
          <w:lang w:val="zh-CN"/>
        </w:rPr>
        <w:t>年</w:t>
      </w:r>
      <w:r>
        <w:rPr>
          <w:rFonts w:hint="eastAsia" w:ascii="仿宋_GB2312" w:hAnsi="仿宋" w:eastAsia="仿宋_GB2312"/>
          <w:color w:val="auto"/>
          <w:sz w:val="24"/>
          <w:highlight w:val="none"/>
          <w:u w:val="single"/>
          <w:lang w:val="zh-CN"/>
        </w:rPr>
        <w:t xml:space="preserve">    </w:t>
      </w:r>
      <w:r>
        <w:rPr>
          <w:rFonts w:hint="eastAsia" w:ascii="仿宋_GB2312" w:hAnsi="仿宋" w:eastAsia="仿宋_GB2312"/>
          <w:color w:val="auto"/>
          <w:sz w:val="24"/>
          <w:highlight w:val="none"/>
          <w:lang w:val="zh-CN"/>
        </w:rPr>
        <w:t>月</w:t>
      </w:r>
      <w:r>
        <w:rPr>
          <w:rFonts w:hint="eastAsia" w:ascii="仿宋_GB2312" w:hAnsi="仿宋" w:eastAsia="仿宋_GB2312"/>
          <w:color w:val="auto"/>
          <w:sz w:val="24"/>
          <w:highlight w:val="none"/>
          <w:u w:val="single"/>
          <w:lang w:val="zh-CN"/>
        </w:rPr>
        <w:t xml:space="preserve">    </w:t>
      </w:r>
      <w:r>
        <w:rPr>
          <w:rFonts w:hint="eastAsia" w:ascii="仿宋_GB2312" w:hAnsi="仿宋" w:eastAsia="仿宋_GB2312"/>
          <w:color w:val="auto"/>
          <w:sz w:val="24"/>
          <w:highlight w:val="none"/>
          <w:lang w:val="zh-CN"/>
        </w:rPr>
        <w:t>日</w:t>
      </w: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u w:val="single"/>
        </w:rPr>
        <w:t>杭州市公安局</w:t>
      </w:r>
      <w:r>
        <w:rPr>
          <w:rFonts w:hint="eastAsia" w:ascii="仿宋_GB2312" w:hAnsi="仿宋" w:eastAsia="仿宋_GB2312"/>
          <w:color w:val="auto"/>
          <w:sz w:val="24"/>
          <w:highlight w:val="none"/>
        </w:rPr>
        <w:t>以</w:t>
      </w:r>
      <w:r>
        <w:rPr>
          <w:rFonts w:hint="eastAsia" w:ascii="仿宋_GB2312" w:hAnsi="仿宋" w:eastAsia="仿宋_GB2312"/>
          <w:color w:val="auto"/>
          <w:sz w:val="24"/>
          <w:highlight w:val="none"/>
          <w:u w:val="single"/>
        </w:rPr>
        <w:t>公开招标</w:t>
      </w:r>
      <w:r>
        <w:rPr>
          <w:rFonts w:hint="eastAsia" w:ascii="仿宋_GB2312" w:hAnsi="仿宋" w:eastAsia="仿宋_GB2312"/>
          <w:color w:val="auto"/>
          <w:sz w:val="24"/>
          <w:highlight w:val="none"/>
        </w:rPr>
        <w:t>对</w:t>
      </w:r>
      <w:r>
        <w:rPr>
          <w:rFonts w:hint="eastAsia" w:ascii="仿宋_GB2312" w:hAnsi="仿宋" w:eastAsia="仿宋_GB2312" w:cs="仿宋_GB2312"/>
          <w:color w:val="auto"/>
          <w:sz w:val="24"/>
          <w:highlight w:val="none"/>
          <w:u w:val="single"/>
        </w:rPr>
        <w:t>杭州城市大脑**操作系统V3.0项目应用支撑和运营保障</w:t>
      </w:r>
      <w:r>
        <w:rPr>
          <w:rFonts w:hint="eastAsia" w:ascii="仿宋_GB2312" w:hAnsi="仿宋" w:eastAsia="仿宋_GB2312"/>
          <w:color w:val="auto"/>
          <w:sz w:val="24"/>
          <w:highlight w:val="none"/>
        </w:rPr>
        <w:t>进行了采购。经</w:t>
      </w:r>
      <w:r>
        <w:rPr>
          <w:rFonts w:hint="eastAsia" w:ascii="仿宋_GB2312" w:hAnsi="仿宋" w:eastAsia="仿宋_GB2312"/>
          <w:color w:val="auto"/>
          <w:sz w:val="24"/>
          <w:highlight w:val="none"/>
          <w:u w:val="single"/>
        </w:rPr>
        <w:t xml:space="preserve">   （相关评定主体名称）   </w:t>
      </w:r>
      <w:r>
        <w:rPr>
          <w:rFonts w:hint="eastAsia" w:ascii="仿宋_GB2312" w:hAnsi="仿宋" w:eastAsia="仿宋_GB2312"/>
          <w:color w:val="auto"/>
          <w:sz w:val="24"/>
          <w:highlight w:val="none"/>
        </w:rPr>
        <w:t>评定，</w:t>
      </w:r>
      <w:r>
        <w:rPr>
          <w:rFonts w:hint="eastAsia" w:ascii="仿宋_GB2312" w:hAnsi="仿宋" w:eastAsia="仿宋_GB2312"/>
          <w:color w:val="auto"/>
          <w:sz w:val="24"/>
          <w:highlight w:val="none"/>
          <w:u w:val="single"/>
        </w:rPr>
        <w:t xml:space="preserve">   （中标供应商名称）</w:t>
      </w:r>
      <w:r>
        <w:rPr>
          <w:rFonts w:hint="eastAsia" w:ascii="仿宋_GB2312" w:hAnsi="仿宋" w:eastAsia="仿宋_GB2312"/>
          <w:color w:val="auto"/>
          <w:sz w:val="24"/>
          <w:highlight w:val="none"/>
        </w:rPr>
        <w:t xml:space="preserve">为该项目中标供应商。现于中标通知书发出之日起三十日内，按照采购文件确定的事项签订本合同（由“第一部分 合同书”、“第二部分 </w:t>
      </w:r>
      <w:r>
        <w:rPr>
          <w:rFonts w:hint="eastAsia" w:eastAsia="仿宋_GB2312"/>
          <w:color w:val="auto"/>
          <w:highlight w:val="none"/>
        </w:rPr>
        <w:t>合同一般条款”、“第三部分</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合同专用条款”三部分共同组成）。</w:t>
      </w:r>
    </w:p>
    <w:p>
      <w:pPr>
        <w:spacing w:line="360" w:lineRule="auto"/>
        <w:ind w:firstLine="562" w:firstLineChars="200"/>
        <w:jc w:val="center"/>
        <w:rPr>
          <w:rFonts w:ascii="仿宋_GB2312" w:hAnsi="仿宋" w:eastAsia="等线"/>
          <w:color w:val="auto"/>
          <w:sz w:val="24"/>
          <w:highlight w:val="none"/>
        </w:rPr>
      </w:pPr>
      <w:r>
        <w:rPr>
          <w:rFonts w:hint="eastAsia" w:ascii="仿宋_GB2312" w:hAnsi="仿宋" w:eastAsia="仿宋_GB2312"/>
          <w:b/>
          <w:color w:val="auto"/>
          <w:sz w:val="28"/>
          <w:szCs w:val="28"/>
          <w:highlight w:val="none"/>
        </w:rPr>
        <w:t>第一部分 合同书</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lang w:val="zh-CN"/>
        </w:rPr>
        <w:t>根据《中华人民共和国合同法》、《中华人民共和国政府采购法》等相关法律法规之规定，按照平等、自愿、公平和诚实信用的原则，经</w:t>
      </w:r>
      <w:r>
        <w:rPr>
          <w:rFonts w:hint="eastAsia" w:ascii="仿宋_GB2312" w:hAnsi="仿宋" w:eastAsia="仿宋_GB2312"/>
          <w:color w:val="auto"/>
          <w:sz w:val="24"/>
          <w:highlight w:val="none"/>
          <w:u w:val="single"/>
        </w:rPr>
        <w:t xml:space="preserve">  （采购人名称）   </w:t>
      </w:r>
      <w:r>
        <w:rPr>
          <w:rFonts w:hint="eastAsia" w:ascii="仿宋_GB2312" w:hAnsi="仿宋" w:eastAsia="仿宋_GB2312"/>
          <w:color w:val="auto"/>
          <w:sz w:val="24"/>
          <w:highlight w:val="none"/>
          <w:lang w:val="zh-CN"/>
        </w:rPr>
        <w:t>(以下简称：甲方)和</w:t>
      </w:r>
      <w:r>
        <w:rPr>
          <w:rFonts w:hint="eastAsia" w:ascii="仿宋_GB2312" w:hAnsi="仿宋" w:eastAsia="仿宋_GB2312"/>
          <w:color w:val="auto"/>
          <w:sz w:val="24"/>
          <w:highlight w:val="none"/>
          <w:u w:val="single"/>
        </w:rPr>
        <w:t xml:space="preserve">   （中标供应商名称）   </w:t>
      </w:r>
      <w:r>
        <w:rPr>
          <w:rFonts w:hint="eastAsia" w:ascii="仿宋_GB2312" w:hAnsi="仿宋" w:eastAsia="仿宋_GB2312"/>
          <w:color w:val="auto"/>
          <w:sz w:val="24"/>
          <w:highlight w:val="none"/>
          <w:lang w:val="zh-CN"/>
        </w:rPr>
        <w:t>(以下简称：乙方)协商一致，约定以下合同</w:t>
      </w:r>
      <w:r>
        <w:rPr>
          <w:rFonts w:hint="eastAsia" w:ascii="仿宋_GB2312" w:hAnsi="仿宋" w:eastAsia="仿宋_GB2312"/>
          <w:color w:val="auto"/>
          <w:sz w:val="24"/>
          <w:highlight w:val="none"/>
        </w:rPr>
        <w:t>条款，以兹共同遵守、全面履行。</w:t>
      </w:r>
    </w:p>
    <w:p>
      <w:pPr>
        <w:spacing w:line="360" w:lineRule="auto"/>
        <w:ind w:firstLine="482" w:firstLineChars="200"/>
        <w:outlineLvl w:val="0"/>
        <w:rPr>
          <w:rFonts w:ascii="仿宋_GB2312" w:hAnsi="仿宋" w:eastAsia="仿宋_GB2312"/>
          <w:b/>
          <w:color w:val="auto"/>
          <w:sz w:val="24"/>
          <w:highlight w:val="none"/>
        </w:rPr>
      </w:pPr>
      <w:r>
        <w:rPr>
          <w:rFonts w:hint="eastAsia" w:ascii="仿宋_GB2312" w:hAnsi="仿宋" w:eastAsia="仿宋_GB2312"/>
          <w:b/>
          <w:color w:val="auto"/>
          <w:sz w:val="24"/>
          <w:highlight w:val="none"/>
        </w:rPr>
        <w:t>1.1 合同组成部分</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1.1.1 本合同及其补充合同、变更协议；</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1.1.2 中标通知书；</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1.1.3 投标文件（含澄清或者说明文件）；</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1.1.4 招标文件（含澄清或者修改文件）；</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1.1.5 其他相关采购文件。</w:t>
      </w:r>
    </w:p>
    <w:p>
      <w:pPr>
        <w:spacing w:line="360" w:lineRule="auto"/>
        <w:ind w:firstLine="482" w:firstLineChars="200"/>
        <w:outlineLvl w:val="0"/>
        <w:rPr>
          <w:rFonts w:ascii="仿宋_GB2312" w:hAnsi="仿宋" w:eastAsia="仿宋_GB2312"/>
          <w:b/>
          <w:color w:val="auto"/>
          <w:sz w:val="24"/>
          <w:highlight w:val="none"/>
        </w:rPr>
      </w:pPr>
      <w:r>
        <w:rPr>
          <w:rFonts w:hint="eastAsia" w:ascii="仿宋_GB2312" w:hAnsi="仿宋" w:eastAsia="仿宋_GB2312"/>
          <w:b/>
          <w:color w:val="auto"/>
          <w:sz w:val="24"/>
          <w:highlight w:val="none"/>
        </w:rPr>
        <w:t xml:space="preserve">1.2 </w:t>
      </w:r>
      <w:r>
        <w:rPr>
          <w:rFonts w:hint="eastAsia" w:ascii="等线" w:hAnsi="等线" w:eastAsia="等线"/>
          <w:b/>
          <w:color w:val="auto"/>
          <w:sz w:val="24"/>
          <w:highlight w:val="none"/>
        </w:rPr>
        <w:t>标的物</w:t>
      </w:r>
    </w:p>
    <w:p>
      <w:pPr>
        <w:spacing w:line="360" w:lineRule="auto"/>
        <w:ind w:firstLine="480" w:firstLineChars="200"/>
        <w:rPr>
          <w:rFonts w:ascii="仿宋_GB2312" w:hAnsi="仿宋" w:eastAsia="等线"/>
          <w:color w:val="auto"/>
          <w:sz w:val="24"/>
          <w:highlight w:val="none"/>
        </w:rPr>
      </w:pPr>
      <w:r>
        <w:rPr>
          <w:rFonts w:hint="eastAsia" w:ascii="仿宋_GB2312" w:hAnsi="仿宋" w:eastAsia="仿宋_GB2312"/>
          <w:color w:val="auto"/>
          <w:sz w:val="24"/>
          <w:highlight w:val="none"/>
        </w:rPr>
        <w:t>1.2.1 标的物名称：</w:t>
      </w:r>
      <w:r>
        <w:rPr>
          <w:rFonts w:hint="eastAsia" w:ascii="仿宋_GB2312" w:hAnsi="仿宋" w:eastAsia="仿宋_GB2312"/>
          <w:color w:val="auto"/>
          <w:sz w:val="24"/>
          <w:highlight w:val="none"/>
          <w:u w:val="single"/>
        </w:rPr>
        <w:t xml:space="preserve">               </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pacing w:line="360" w:lineRule="auto"/>
        <w:ind w:firstLine="480" w:firstLineChars="200"/>
        <w:rPr>
          <w:rFonts w:eastAsia="等线"/>
          <w:color w:val="auto"/>
          <w:highlight w:val="none"/>
        </w:rPr>
      </w:pPr>
      <w:r>
        <w:rPr>
          <w:rFonts w:hint="eastAsia" w:ascii="仿宋_GB2312" w:hAnsi="仿宋" w:eastAsia="等线"/>
          <w:color w:val="auto"/>
          <w:sz w:val="24"/>
          <w:highlight w:val="none"/>
        </w:rPr>
        <w:t>1.2.2</w:t>
      </w:r>
      <w:r>
        <w:rPr>
          <w:rFonts w:ascii="仿宋_GB2312" w:hAnsi="仿宋" w:eastAsia="等线"/>
          <w:color w:val="auto"/>
          <w:sz w:val="24"/>
          <w:highlight w:val="none"/>
        </w:rPr>
        <w:t xml:space="preserve">  </w:t>
      </w:r>
      <w:r>
        <w:rPr>
          <w:rFonts w:hint="eastAsia" w:ascii="仿宋_GB2312" w:hAnsi="仿宋" w:eastAsia="等线"/>
          <w:color w:val="auto"/>
          <w:sz w:val="24"/>
          <w:highlight w:val="none"/>
        </w:rPr>
        <w:t xml:space="preserve">标的物内容：                           </w:t>
      </w:r>
      <w:r>
        <w:rPr>
          <w:rFonts w:ascii="仿宋_GB2312" w:hAnsi="仿宋" w:eastAsia="等线"/>
          <w:color w:val="auto"/>
          <w:sz w:val="24"/>
          <w:highlight w:val="none"/>
        </w:rPr>
        <w:t xml:space="preserve">            </w:t>
      </w:r>
      <w:r>
        <w:rPr>
          <w:rFonts w:hint="eastAsia" w:ascii="仿宋_GB2312" w:hAnsi="仿宋" w:eastAsia="等线"/>
          <w:color w:val="auto"/>
          <w:sz w:val="24"/>
          <w:highlight w:val="none"/>
        </w:rPr>
        <w:t xml:space="preserve">    ；</w:t>
      </w:r>
    </w:p>
    <w:p>
      <w:pP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1.2.</w:t>
      </w:r>
      <w:r>
        <w:rPr>
          <w:rFonts w:ascii="仿宋_GB2312" w:hAnsi="仿宋" w:eastAsia="仿宋_GB2312"/>
          <w:color w:val="auto"/>
          <w:sz w:val="24"/>
          <w:highlight w:val="none"/>
        </w:rPr>
        <w:t>3</w:t>
      </w:r>
      <w:r>
        <w:rPr>
          <w:rFonts w:hint="eastAsia" w:ascii="仿宋_GB2312" w:hAnsi="仿宋" w:eastAsia="仿宋_GB2312"/>
          <w:color w:val="auto"/>
          <w:sz w:val="24"/>
          <w:highlight w:val="none"/>
        </w:rPr>
        <w:t xml:space="preserve"> 标的物数量：</w:t>
      </w:r>
      <w:r>
        <w:rPr>
          <w:rFonts w:hint="eastAsia" w:ascii="仿宋_GB2312" w:hAnsi="仿宋" w:eastAsia="仿宋_GB2312"/>
          <w:color w:val="auto"/>
          <w:sz w:val="24"/>
          <w:highlight w:val="none"/>
          <w:u w:val="single"/>
        </w:rPr>
        <w:t xml:space="preserve">   （1批/1套 ）                               </w:t>
      </w:r>
      <w:r>
        <w:rPr>
          <w:rFonts w:hint="eastAsia" w:ascii="仿宋_GB2312" w:hAnsi="仿宋" w:eastAsia="仿宋_GB2312"/>
          <w:color w:val="auto"/>
          <w:sz w:val="24"/>
          <w:highlight w:val="none"/>
        </w:rPr>
        <w:t>；</w:t>
      </w:r>
    </w:p>
    <w:p>
      <w:pPr>
        <w:spacing w:line="360" w:lineRule="auto"/>
        <w:ind w:firstLine="480" w:firstLineChars="200"/>
        <w:rPr>
          <w:rFonts w:eastAsia="等线"/>
          <w:color w:val="auto"/>
          <w:highlight w:val="none"/>
        </w:rPr>
      </w:pPr>
      <w:r>
        <w:rPr>
          <w:rFonts w:hint="eastAsia" w:ascii="仿宋_GB2312" w:hAnsi="仿宋" w:eastAsia="仿宋_GB2312"/>
          <w:color w:val="auto"/>
          <w:sz w:val="24"/>
          <w:highlight w:val="none"/>
        </w:rPr>
        <w:t>1.2.3 标的物质量：</w:t>
      </w:r>
      <w:r>
        <w:rPr>
          <w:rFonts w:hint="eastAsia" w:ascii="仿宋_GB2312" w:hAnsi="仿宋" w:eastAsia="仿宋_GB2312"/>
          <w:color w:val="auto"/>
          <w:sz w:val="24"/>
          <w:highlight w:val="none"/>
          <w:u w:val="single"/>
        </w:rPr>
        <w:t xml:space="preserve">　　　合格　　　　         </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pacing w:line="360" w:lineRule="auto"/>
        <w:ind w:firstLine="482" w:firstLineChars="200"/>
        <w:outlineLvl w:val="0"/>
        <w:rPr>
          <w:rFonts w:ascii="仿宋_GB2312" w:hAnsi="仿宋" w:eastAsia="仿宋_GB2312"/>
          <w:b/>
          <w:color w:val="auto"/>
          <w:sz w:val="24"/>
          <w:highlight w:val="none"/>
        </w:rPr>
      </w:pPr>
      <w:r>
        <w:rPr>
          <w:rFonts w:hint="eastAsia" w:ascii="仿宋_GB2312" w:hAnsi="仿宋" w:eastAsia="仿宋_GB2312"/>
          <w:b/>
          <w:color w:val="auto"/>
          <w:sz w:val="24"/>
          <w:highlight w:val="none"/>
        </w:rPr>
        <w:t>1.3 价款</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本合同总价为：人民币</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元（大写：</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元人民币）。</w:t>
      </w:r>
    </w:p>
    <w:p>
      <w:pP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8"/>
              <w:spacing w:line="360" w:lineRule="auto"/>
              <w:ind w:firstLine="48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序号</w:t>
            </w:r>
          </w:p>
        </w:tc>
        <w:tc>
          <w:tcPr>
            <w:tcW w:w="3402" w:type="dxa"/>
            <w:noWrap w:val="0"/>
            <w:vAlign w:val="center"/>
          </w:tcPr>
          <w:p>
            <w:pPr>
              <w:pStyle w:val="18"/>
              <w:spacing w:line="360" w:lineRule="auto"/>
              <w:ind w:firstLine="48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分项名称</w:t>
            </w:r>
          </w:p>
        </w:tc>
        <w:tc>
          <w:tcPr>
            <w:tcW w:w="2552" w:type="dxa"/>
            <w:noWrap w:val="0"/>
            <w:vAlign w:val="center"/>
          </w:tcPr>
          <w:p>
            <w:pPr>
              <w:pStyle w:val="18"/>
              <w:spacing w:line="360" w:lineRule="auto"/>
              <w:ind w:firstLine="48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8"/>
              <w:spacing w:line="360" w:lineRule="auto"/>
              <w:ind w:firstLine="480"/>
              <w:jc w:val="center"/>
              <w:rPr>
                <w:rFonts w:ascii="仿宋_GB2312" w:hAnsi="仿宋" w:eastAsia="仿宋_GB2312"/>
                <w:color w:val="auto"/>
                <w:sz w:val="24"/>
                <w:szCs w:val="24"/>
                <w:highlight w:val="none"/>
              </w:rPr>
            </w:pPr>
          </w:p>
        </w:tc>
        <w:tc>
          <w:tcPr>
            <w:tcW w:w="3402" w:type="dxa"/>
            <w:noWrap w:val="0"/>
            <w:vAlign w:val="center"/>
          </w:tcPr>
          <w:p>
            <w:pPr>
              <w:pStyle w:val="18"/>
              <w:spacing w:line="360" w:lineRule="auto"/>
              <w:ind w:firstLine="480"/>
              <w:jc w:val="center"/>
              <w:rPr>
                <w:rFonts w:ascii="仿宋_GB2312" w:hAnsi="仿宋" w:eastAsia="仿宋_GB2312"/>
                <w:color w:val="auto"/>
                <w:sz w:val="24"/>
                <w:szCs w:val="24"/>
                <w:highlight w:val="none"/>
              </w:rPr>
            </w:pPr>
          </w:p>
        </w:tc>
        <w:tc>
          <w:tcPr>
            <w:tcW w:w="2552" w:type="dxa"/>
            <w:noWrap w:val="0"/>
            <w:vAlign w:val="center"/>
          </w:tcPr>
          <w:p>
            <w:pPr>
              <w:pStyle w:val="18"/>
              <w:spacing w:line="360" w:lineRule="auto"/>
              <w:ind w:firstLine="480"/>
              <w:jc w:val="center"/>
              <w:rPr>
                <w:rFonts w:ascii="仿宋_GB2312" w:hAnsi="仿宋"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8"/>
              <w:spacing w:line="360" w:lineRule="auto"/>
              <w:ind w:firstLine="480"/>
              <w:jc w:val="center"/>
              <w:rPr>
                <w:rFonts w:ascii="仿宋_GB2312" w:hAnsi="仿宋" w:eastAsia="仿宋_GB2312"/>
                <w:color w:val="auto"/>
                <w:sz w:val="24"/>
                <w:szCs w:val="24"/>
                <w:highlight w:val="none"/>
              </w:rPr>
            </w:pPr>
          </w:p>
        </w:tc>
        <w:tc>
          <w:tcPr>
            <w:tcW w:w="3402" w:type="dxa"/>
            <w:noWrap w:val="0"/>
            <w:vAlign w:val="center"/>
          </w:tcPr>
          <w:p>
            <w:pPr>
              <w:pStyle w:val="18"/>
              <w:spacing w:line="360" w:lineRule="auto"/>
              <w:ind w:firstLine="480"/>
              <w:jc w:val="center"/>
              <w:rPr>
                <w:rFonts w:ascii="仿宋_GB2312" w:hAnsi="仿宋" w:eastAsia="仿宋_GB2312"/>
                <w:color w:val="auto"/>
                <w:sz w:val="24"/>
                <w:szCs w:val="24"/>
                <w:highlight w:val="none"/>
              </w:rPr>
            </w:pPr>
          </w:p>
        </w:tc>
        <w:tc>
          <w:tcPr>
            <w:tcW w:w="2552" w:type="dxa"/>
            <w:noWrap w:val="0"/>
            <w:vAlign w:val="center"/>
          </w:tcPr>
          <w:p>
            <w:pPr>
              <w:pStyle w:val="18"/>
              <w:spacing w:line="360" w:lineRule="auto"/>
              <w:ind w:firstLine="480"/>
              <w:jc w:val="center"/>
              <w:rPr>
                <w:rFonts w:ascii="仿宋_GB2312" w:hAnsi="仿宋"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8"/>
              <w:spacing w:line="360" w:lineRule="auto"/>
              <w:ind w:firstLine="480"/>
              <w:jc w:val="center"/>
              <w:rPr>
                <w:rFonts w:ascii="仿宋_GB2312" w:hAnsi="仿宋" w:eastAsia="仿宋_GB2312"/>
                <w:color w:val="auto"/>
                <w:sz w:val="24"/>
                <w:szCs w:val="24"/>
                <w:highlight w:val="none"/>
              </w:rPr>
            </w:pPr>
          </w:p>
        </w:tc>
        <w:tc>
          <w:tcPr>
            <w:tcW w:w="3402" w:type="dxa"/>
            <w:noWrap w:val="0"/>
            <w:vAlign w:val="center"/>
          </w:tcPr>
          <w:p>
            <w:pPr>
              <w:pStyle w:val="18"/>
              <w:spacing w:line="360" w:lineRule="auto"/>
              <w:ind w:firstLine="480"/>
              <w:jc w:val="center"/>
              <w:rPr>
                <w:rFonts w:ascii="仿宋_GB2312" w:hAnsi="仿宋" w:eastAsia="仿宋_GB2312"/>
                <w:color w:val="auto"/>
                <w:sz w:val="24"/>
                <w:szCs w:val="24"/>
                <w:highlight w:val="none"/>
              </w:rPr>
            </w:pPr>
          </w:p>
        </w:tc>
        <w:tc>
          <w:tcPr>
            <w:tcW w:w="2552" w:type="dxa"/>
            <w:noWrap w:val="0"/>
            <w:vAlign w:val="center"/>
          </w:tcPr>
          <w:p>
            <w:pPr>
              <w:pStyle w:val="18"/>
              <w:spacing w:line="360" w:lineRule="auto"/>
              <w:ind w:firstLine="480"/>
              <w:jc w:val="center"/>
              <w:rPr>
                <w:rFonts w:ascii="仿宋_GB2312" w:hAnsi="仿宋"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18"/>
              <w:spacing w:line="360" w:lineRule="auto"/>
              <w:ind w:firstLine="48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总价</w:t>
            </w:r>
          </w:p>
        </w:tc>
        <w:tc>
          <w:tcPr>
            <w:tcW w:w="2552" w:type="dxa"/>
            <w:noWrap w:val="0"/>
            <w:vAlign w:val="center"/>
          </w:tcPr>
          <w:p>
            <w:pPr>
              <w:pStyle w:val="18"/>
              <w:spacing w:line="360" w:lineRule="auto"/>
              <w:ind w:firstLine="480"/>
              <w:jc w:val="center"/>
              <w:rPr>
                <w:rFonts w:ascii="仿宋_GB2312" w:hAnsi="仿宋" w:eastAsia="仿宋_GB2312"/>
                <w:color w:val="auto"/>
                <w:sz w:val="24"/>
                <w:szCs w:val="24"/>
                <w:highlight w:val="none"/>
              </w:rPr>
            </w:pPr>
          </w:p>
        </w:tc>
      </w:tr>
    </w:tbl>
    <w:p>
      <w:pPr>
        <w:spacing w:line="360" w:lineRule="auto"/>
        <w:ind w:firstLine="482" w:firstLineChars="200"/>
        <w:outlineLvl w:val="0"/>
        <w:rPr>
          <w:rFonts w:ascii="仿宋_GB2312" w:hAnsi="仿宋" w:eastAsia="仿宋_GB2312"/>
          <w:b/>
          <w:color w:val="auto"/>
          <w:sz w:val="24"/>
          <w:highlight w:val="none"/>
        </w:rPr>
      </w:pPr>
      <w:r>
        <w:rPr>
          <w:rFonts w:hint="eastAsia" w:ascii="仿宋_GB2312" w:hAnsi="仿宋" w:eastAsia="仿宋_GB2312"/>
          <w:b/>
          <w:color w:val="auto"/>
          <w:sz w:val="24"/>
          <w:highlight w:val="none"/>
        </w:rPr>
        <w:t>1.4 付款方式和发票开具方式</w:t>
      </w:r>
    </w:p>
    <w:p>
      <w:pPr>
        <w:spacing w:line="360" w:lineRule="auto"/>
        <w:ind w:left="105" w:leftChars="50"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rPr>
        <w:t>1.4.1 付款方式：</w:t>
      </w:r>
      <w:r>
        <w:rPr>
          <w:rFonts w:hint="eastAsia" w:ascii="仿宋_GB2312" w:hAnsi="仿宋" w:eastAsia="仿宋_GB2312"/>
          <w:color w:val="auto"/>
          <w:sz w:val="24"/>
          <w:highlight w:val="none"/>
          <w:u w:val="single"/>
        </w:rPr>
        <w:t xml:space="preserve"> 分期付款。具体参见“第三部分</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 xml:space="preserve">合同专用条款”“第2.6条结算方式和付款条件”部分的约定内容          </w:t>
      </w:r>
      <w:r>
        <w:rPr>
          <w:rFonts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1.4.2 发票开具方式：</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pacing w:line="360" w:lineRule="auto"/>
        <w:ind w:firstLine="482" w:firstLineChars="200"/>
        <w:outlineLvl w:val="0"/>
        <w:rPr>
          <w:rFonts w:ascii="仿宋_GB2312" w:hAnsi="仿宋" w:eastAsia="仿宋_GB2312"/>
          <w:b/>
          <w:color w:val="auto"/>
          <w:sz w:val="24"/>
          <w:highlight w:val="none"/>
        </w:rPr>
      </w:pPr>
      <w:r>
        <w:rPr>
          <w:rFonts w:hint="eastAsia" w:ascii="仿宋_GB2312" w:hAnsi="仿宋" w:eastAsia="仿宋_GB2312"/>
          <w:b/>
          <w:color w:val="auto"/>
          <w:sz w:val="24"/>
          <w:highlight w:val="none"/>
        </w:rPr>
        <w:t>1.5 标的物交付期限、地点和方式</w:t>
      </w:r>
    </w:p>
    <w:p>
      <w:pP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1.5.1 交付期限：</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1.5.2 交付地点：</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1.5.3 交付方式：</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w:t>
      </w:r>
    </w:p>
    <w:p>
      <w:pPr>
        <w:spacing w:line="360" w:lineRule="auto"/>
        <w:ind w:firstLine="482" w:firstLineChars="200"/>
        <w:outlineLvl w:val="0"/>
        <w:rPr>
          <w:rFonts w:ascii="仿宋_GB2312" w:hAnsi="仿宋" w:eastAsia="仿宋_GB2312"/>
          <w:b/>
          <w:color w:val="auto"/>
          <w:sz w:val="24"/>
          <w:highlight w:val="none"/>
        </w:rPr>
      </w:pPr>
      <w:r>
        <w:rPr>
          <w:rFonts w:hint="eastAsia" w:ascii="仿宋_GB2312" w:hAnsi="仿宋" w:eastAsia="仿宋_GB2312"/>
          <w:b/>
          <w:color w:val="auto"/>
          <w:sz w:val="24"/>
          <w:highlight w:val="none"/>
        </w:rPr>
        <w:t>1.6 违约责任</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1.6.1 除不可抗力外，如果乙方没有按照本合同约定的期限、地点和方式交付标的物，那么甲方可要求乙方支付违约金，违约金按本合同总价的</w:t>
      </w:r>
      <w:r>
        <w:rPr>
          <w:rFonts w:hint="eastAsia" w:ascii="仿宋_GB2312" w:hAnsi="仿宋" w:eastAsia="仿宋_GB2312"/>
          <w:color w:val="auto"/>
          <w:sz w:val="24"/>
          <w:highlight w:val="none"/>
          <w:u w:val="single"/>
        </w:rPr>
        <w:t xml:space="preserve">  0.5  </w:t>
      </w:r>
      <w:r>
        <w:rPr>
          <w:rFonts w:hint="eastAsia" w:ascii="仿宋_GB2312" w:hAnsi="仿宋" w:eastAsia="仿宋_GB2312"/>
          <w:color w:val="auto"/>
          <w:sz w:val="24"/>
          <w:highlight w:val="none"/>
        </w:rPr>
        <w:t>%／日计算，最高限额为本合同总价的</w:t>
      </w:r>
      <w:r>
        <w:rPr>
          <w:rFonts w:hint="eastAsia" w:ascii="仿宋_GB2312" w:hAnsi="仿宋" w:eastAsia="仿宋_GB2312"/>
          <w:color w:val="auto"/>
          <w:sz w:val="24"/>
          <w:highlight w:val="none"/>
          <w:u w:val="single"/>
        </w:rPr>
        <w:t xml:space="preserve">  20  </w:t>
      </w:r>
      <w:r>
        <w:rPr>
          <w:rFonts w:hint="eastAsia" w:ascii="仿宋_GB2312" w:hAnsi="仿宋" w:eastAsia="仿宋_GB2312"/>
          <w:color w:val="auto"/>
          <w:sz w:val="24"/>
          <w:highlight w:val="none"/>
        </w:rPr>
        <w:t>%；迟延交付标的物的违约金计算数额达到前述最高限额之日起，甲方有权在要求乙方支付违约金的同时，书面通知乙方解除本合同；</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1.6.2 除不可抗力外，如果甲方没有按照本合同约定的付款方式付款，那么乙方可要求甲方支付违约金，违约金按应付而未付款的</w:t>
      </w:r>
      <w:r>
        <w:rPr>
          <w:rFonts w:hint="eastAsia" w:ascii="仿宋_GB2312" w:hAnsi="仿宋" w:eastAsia="仿宋_GB2312"/>
          <w:color w:val="auto"/>
          <w:sz w:val="24"/>
          <w:highlight w:val="none"/>
          <w:u w:val="single"/>
        </w:rPr>
        <w:t xml:space="preserve"> 0.5  </w:t>
      </w:r>
      <w:r>
        <w:rPr>
          <w:rFonts w:hint="eastAsia" w:ascii="仿宋_GB2312" w:hAnsi="仿宋" w:eastAsia="仿宋_GB2312"/>
          <w:color w:val="auto"/>
          <w:sz w:val="24"/>
          <w:highlight w:val="none"/>
        </w:rPr>
        <w:t>%</w:t>
      </w:r>
      <w:r>
        <w:rPr>
          <w:rFonts w:hint="eastAsia" w:ascii="仿宋_GB2312" w:hAnsi="仿宋" w:eastAsia="等线"/>
          <w:color w:val="auto"/>
          <w:sz w:val="24"/>
          <w:highlight w:val="none"/>
        </w:rPr>
        <w:t>／日</w:t>
      </w:r>
      <w:r>
        <w:rPr>
          <w:rFonts w:hint="eastAsia" w:ascii="仿宋_GB2312" w:hAnsi="仿宋" w:eastAsia="仿宋_GB2312"/>
          <w:color w:val="auto"/>
          <w:sz w:val="24"/>
          <w:highlight w:val="none"/>
        </w:rPr>
        <w:t>计算，最高限额为应付而未付款的</w:t>
      </w:r>
      <w:r>
        <w:rPr>
          <w:rFonts w:hint="eastAsia" w:ascii="仿宋_GB2312" w:hAnsi="仿宋" w:eastAsia="仿宋_GB2312"/>
          <w:color w:val="auto"/>
          <w:sz w:val="24"/>
          <w:highlight w:val="none"/>
          <w:u w:val="single"/>
        </w:rPr>
        <w:t xml:space="preserve">20 </w:t>
      </w:r>
      <w:r>
        <w:rPr>
          <w:rFonts w:hint="eastAsia" w:ascii="仿宋_GB2312" w:hAnsi="仿宋" w:eastAsia="仿宋_GB2312"/>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outlineLvl w:val="0"/>
        <w:rPr>
          <w:rFonts w:ascii="仿宋_GB2312" w:hAnsi="仿宋" w:eastAsia="仿宋_GB2312"/>
          <w:b/>
          <w:color w:val="auto"/>
          <w:sz w:val="24"/>
          <w:highlight w:val="none"/>
        </w:rPr>
      </w:pPr>
      <w:r>
        <w:rPr>
          <w:rFonts w:hint="eastAsia" w:ascii="仿宋_GB2312" w:hAnsi="仿宋" w:eastAsia="仿宋_GB2312"/>
          <w:b/>
          <w:color w:val="auto"/>
          <w:sz w:val="24"/>
          <w:highlight w:val="none"/>
        </w:rPr>
        <w:t>1.7 中小企业信用融资</w:t>
      </w:r>
    </w:p>
    <w:p>
      <w:pPr>
        <w:spacing w:line="360" w:lineRule="auto"/>
        <w:ind w:firstLine="480" w:firstLineChars="200"/>
        <w:outlineLvl w:val="0"/>
        <w:rPr>
          <w:rFonts w:ascii="仿宋_GB2312" w:hAnsi="仿宋" w:eastAsia="仿宋_GB2312"/>
          <w:color w:val="auto"/>
          <w:sz w:val="24"/>
          <w:highlight w:val="none"/>
        </w:rPr>
      </w:pPr>
      <w:r>
        <w:rPr>
          <w:rFonts w:hint="eastAsia" w:ascii="仿宋_GB2312" w:hAnsi="仿宋" w:eastAsia="仿宋_GB2312"/>
          <w:color w:val="auto"/>
          <w:sz w:val="24"/>
          <w:highlight w:val="none"/>
        </w:rPr>
        <w:t>本合同拟采用下列第</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种方式进行：</w:t>
      </w:r>
    </w:p>
    <w:p>
      <w:pPr>
        <w:spacing w:line="360" w:lineRule="auto"/>
        <w:ind w:firstLine="480" w:firstLineChars="200"/>
        <w:outlineLvl w:val="0"/>
        <w:rPr>
          <w:rFonts w:ascii="仿宋_GB2312" w:hAnsi="仿宋" w:eastAsia="仿宋_GB2312"/>
          <w:color w:val="auto"/>
          <w:sz w:val="24"/>
          <w:highlight w:val="none"/>
        </w:rPr>
      </w:pPr>
      <w:r>
        <w:rPr>
          <w:rFonts w:hint="eastAsia" w:ascii="仿宋_GB2312" w:hAnsi="仿宋" w:eastAsia="仿宋_GB2312"/>
          <w:color w:val="auto"/>
          <w:sz w:val="24"/>
          <w:highlight w:val="none"/>
        </w:rPr>
        <w:t>1.7.1 本合同不采用中小企业信用融资；</w:t>
      </w:r>
    </w:p>
    <w:p>
      <w:pPr>
        <w:spacing w:line="360" w:lineRule="auto"/>
        <w:ind w:firstLine="480" w:firstLineChars="200"/>
        <w:outlineLvl w:val="0"/>
        <w:rPr>
          <w:rFonts w:ascii="仿宋_GB2312" w:hAnsi="仿宋" w:eastAsia="仿宋_GB2312"/>
          <w:color w:val="auto"/>
          <w:sz w:val="24"/>
          <w:highlight w:val="none"/>
        </w:rPr>
      </w:pPr>
      <w:r>
        <w:rPr>
          <w:rFonts w:hint="eastAsia" w:ascii="仿宋_GB2312" w:hAnsi="仿宋" w:eastAsia="仿宋_GB2312"/>
          <w:color w:val="auto"/>
          <w:sz w:val="24"/>
          <w:highlight w:val="none"/>
        </w:rPr>
        <w:t>1.7.2 本合同拟采用中小企业信用融资。</w:t>
      </w:r>
    </w:p>
    <w:p>
      <w:pPr>
        <w:spacing w:line="360" w:lineRule="auto"/>
        <w:ind w:firstLine="480" w:firstLineChars="200"/>
        <w:outlineLvl w:val="0"/>
        <w:rPr>
          <w:rFonts w:ascii="仿宋_GB2312" w:hAnsi="仿宋" w:eastAsia="仿宋_GB2312"/>
          <w:color w:val="auto"/>
          <w:sz w:val="24"/>
          <w:highlight w:val="none"/>
        </w:rPr>
      </w:pPr>
      <w:r>
        <w:rPr>
          <w:rFonts w:hint="eastAsia" w:ascii="仿宋_GB2312" w:hAnsi="仿宋" w:eastAsia="仿宋_GB2312"/>
          <w:color w:val="auto"/>
          <w:sz w:val="24"/>
          <w:highlight w:val="none"/>
        </w:rPr>
        <w:t>融资银行名称            ，账号            作为在该银行的唯一收款账号。市级政府采购资金支付时，采购单位必须将采购资金支付到备案合同中指定的融资银行及收款账号，以保障贷款资金的安全回收。已融资的政府采购合同，系统自动锁定账号，在没有合作银行出具书面意见同意修改的情况下，不得对该合同进行修改、变更或另行签订补充协议。</w:t>
      </w:r>
    </w:p>
    <w:p>
      <w:pPr>
        <w:spacing w:line="360" w:lineRule="auto"/>
        <w:ind w:firstLine="482" w:firstLineChars="200"/>
        <w:outlineLvl w:val="0"/>
        <w:rPr>
          <w:rFonts w:ascii="仿宋_GB2312" w:hAnsi="仿宋" w:eastAsia="仿宋_GB2312"/>
          <w:b/>
          <w:color w:val="auto"/>
          <w:sz w:val="24"/>
          <w:highlight w:val="none"/>
        </w:rPr>
      </w:pPr>
      <w:r>
        <w:rPr>
          <w:rFonts w:hint="eastAsia" w:ascii="仿宋_GB2312" w:hAnsi="仿宋" w:eastAsia="仿宋_GB2312"/>
          <w:b/>
          <w:color w:val="auto"/>
          <w:sz w:val="24"/>
          <w:highlight w:val="none"/>
        </w:rPr>
        <w:t>1.8 合同争议的解决</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本合同履行过程中发生的任何争议，双方当事人均可通过和解或者调解解决；不愿和解、调解或者和解、调解不成的，应将争议提交</w:t>
      </w:r>
      <w:r>
        <w:rPr>
          <w:rFonts w:hint="eastAsia" w:ascii="仿宋_GB2312" w:hAnsi="仿宋" w:eastAsia="仿宋_GB2312"/>
          <w:color w:val="auto"/>
          <w:sz w:val="24"/>
          <w:highlight w:val="none"/>
          <w:u w:val="single"/>
        </w:rPr>
        <w:t>杭州市</w:t>
      </w:r>
      <w:r>
        <w:rPr>
          <w:rFonts w:hint="eastAsia" w:ascii="仿宋_GB2312" w:hAnsi="仿宋" w:eastAsia="仿宋_GB2312"/>
          <w:color w:val="auto"/>
          <w:sz w:val="24"/>
          <w:highlight w:val="none"/>
        </w:rPr>
        <w:t>仲裁委员会依申请仲裁时其现行有效的仲裁规则裁决。</w:t>
      </w:r>
    </w:p>
    <w:p>
      <w:pPr>
        <w:spacing w:line="360" w:lineRule="auto"/>
        <w:ind w:firstLine="482" w:firstLineChars="200"/>
        <w:outlineLvl w:val="0"/>
        <w:rPr>
          <w:rFonts w:ascii="仿宋_GB2312" w:hAnsi="仿宋" w:eastAsia="仿宋_GB2312"/>
          <w:b/>
          <w:color w:val="auto"/>
          <w:sz w:val="24"/>
          <w:highlight w:val="none"/>
        </w:rPr>
      </w:pPr>
      <w:r>
        <w:rPr>
          <w:rFonts w:hint="eastAsia" w:ascii="仿宋_GB2312" w:hAnsi="仿宋" w:eastAsia="仿宋_GB2312"/>
          <w:b/>
          <w:color w:val="auto"/>
          <w:sz w:val="24"/>
          <w:highlight w:val="none"/>
        </w:rPr>
        <w:t>1.9 合同生效</w:t>
      </w:r>
    </w:p>
    <w:p>
      <w:pPr>
        <w:spacing w:line="360" w:lineRule="auto"/>
        <w:ind w:firstLine="480" w:firstLineChars="200"/>
        <w:rPr>
          <w:rFonts w:ascii="仿宋_GB2312" w:hAnsi="仿宋" w:eastAsia="仿宋_GB2312"/>
          <w:b/>
          <w:color w:val="auto"/>
          <w:sz w:val="24"/>
          <w:highlight w:val="none"/>
        </w:rPr>
      </w:pPr>
      <w:r>
        <w:rPr>
          <w:rFonts w:hint="eastAsia" w:ascii="仿宋_GB2312" w:hAnsi="仿宋" w:eastAsia="仿宋_GB2312"/>
          <w:color w:val="auto"/>
          <w:sz w:val="24"/>
          <w:highlight w:val="none"/>
        </w:rPr>
        <w:t>本合同自双方当事人盖章或者签字时生效。</w:t>
      </w:r>
    </w:p>
    <w:p>
      <w:pPr>
        <w:autoSpaceDE w:val="0"/>
        <w:autoSpaceDN w:val="0"/>
        <w:spacing w:line="360" w:lineRule="auto"/>
        <w:rPr>
          <w:rFonts w:ascii="仿宋_GB2312" w:hAnsi="仿宋" w:eastAsia="仿宋_GB2312"/>
          <w:color w:val="auto"/>
          <w:sz w:val="24"/>
          <w:highlight w:val="none"/>
          <w:lang w:val="zh-CN"/>
        </w:rPr>
      </w:pPr>
    </w:p>
    <w:p>
      <w:pPr>
        <w:autoSpaceDE w:val="0"/>
        <w:autoSpaceDN w:val="0"/>
        <w:spacing w:line="360" w:lineRule="auto"/>
        <w:rPr>
          <w:rFonts w:ascii="仿宋_GB2312" w:hAnsi="仿宋" w:eastAsia="仿宋_GB2312"/>
          <w:color w:val="auto"/>
          <w:sz w:val="24"/>
          <w:highlight w:val="none"/>
          <w:lang w:val="zh-CN"/>
        </w:rPr>
      </w:pPr>
      <w:r>
        <w:rPr>
          <w:rFonts w:hint="eastAsia" w:ascii="仿宋_GB2312" w:hAnsi="仿宋" w:eastAsia="仿宋_GB2312"/>
          <w:b/>
          <w:color w:val="auto"/>
          <w:sz w:val="24"/>
          <w:highlight w:val="none"/>
          <w:lang w:val="zh-CN"/>
        </w:rPr>
        <w:t>甲方</w:t>
      </w:r>
      <w:r>
        <w:rPr>
          <w:rFonts w:hint="eastAsia" w:ascii="仿宋_GB2312" w:hAnsi="仿宋" w:eastAsia="仿宋_GB2312"/>
          <w:color w:val="auto"/>
          <w:sz w:val="24"/>
          <w:highlight w:val="none"/>
          <w:lang w:val="zh-CN"/>
        </w:rPr>
        <w:t xml:space="preserve">：                             </w:t>
      </w:r>
      <w:r>
        <w:rPr>
          <w:rFonts w:hint="eastAsia" w:ascii="仿宋_GB2312" w:hAnsi="仿宋" w:eastAsia="仿宋_GB2312"/>
          <w:b/>
          <w:color w:val="auto"/>
          <w:sz w:val="24"/>
          <w:highlight w:val="none"/>
          <w:lang w:val="zh-CN"/>
        </w:rPr>
        <w:t xml:space="preserve">      乙方</w:t>
      </w:r>
      <w:r>
        <w:rPr>
          <w:rFonts w:hint="eastAsia" w:ascii="仿宋_GB2312" w:hAnsi="仿宋" w:eastAsia="仿宋_GB2312"/>
          <w:color w:val="auto"/>
          <w:sz w:val="24"/>
          <w:highlight w:val="none"/>
          <w:lang w:val="zh-CN"/>
        </w:rPr>
        <w:t>：</w:t>
      </w:r>
    </w:p>
    <w:p>
      <w:pPr>
        <w:autoSpaceDE w:val="0"/>
        <w:autoSpaceDN w:val="0"/>
        <w:spacing w:line="360" w:lineRule="auto"/>
        <w:rPr>
          <w:rFonts w:ascii="仿宋_GB2312" w:hAnsi="仿宋" w:eastAsia="仿宋_GB2312"/>
          <w:color w:val="auto"/>
          <w:sz w:val="24"/>
          <w:highlight w:val="none"/>
          <w:lang w:val="zh-CN"/>
        </w:rPr>
      </w:pPr>
      <w:r>
        <w:rPr>
          <w:rFonts w:hint="eastAsia" w:ascii="仿宋_GB2312" w:hAnsi="仿宋" w:eastAsia="仿宋_GB2312"/>
          <w:color w:val="auto"/>
          <w:sz w:val="24"/>
          <w:highlight w:val="none"/>
          <w:lang w:val="zh-CN"/>
        </w:rPr>
        <w:t>统一社会信用代码：                       统一社会信用代码或身份证号码：</w:t>
      </w:r>
    </w:p>
    <w:p>
      <w:pPr>
        <w:autoSpaceDE w:val="0"/>
        <w:autoSpaceDN w:val="0"/>
        <w:spacing w:line="360" w:lineRule="auto"/>
        <w:rPr>
          <w:rFonts w:ascii="仿宋_GB2312" w:hAnsi="仿宋" w:eastAsia="仿宋_GB2312"/>
          <w:color w:val="auto"/>
          <w:sz w:val="24"/>
          <w:highlight w:val="none"/>
          <w:lang w:val="zh-CN"/>
        </w:rPr>
      </w:pPr>
      <w:r>
        <w:rPr>
          <w:rFonts w:hint="eastAsia" w:ascii="仿宋_GB2312" w:hAnsi="仿宋" w:eastAsia="仿宋_GB2312"/>
          <w:color w:val="auto"/>
          <w:sz w:val="24"/>
          <w:highlight w:val="none"/>
          <w:lang w:val="zh-CN"/>
        </w:rPr>
        <w:t>住所：                                   住所：</w:t>
      </w:r>
    </w:p>
    <w:p>
      <w:pPr>
        <w:autoSpaceDE w:val="0"/>
        <w:autoSpaceDN w:val="0"/>
        <w:spacing w:line="360" w:lineRule="auto"/>
        <w:rPr>
          <w:rFonts w:ascii="仿宋_GB2312" w:hAnsi="仿宋" w:eastAsia="仿宋_GB2312"/>
          <w:color w:val="auto"/>
          <w:sz w:val="24"/>
          <w:highlight w:val="none"/>
          <w:lang w:val="zh-CN"/>
        </w:rPr>
      </w:pPr>
      <w:r>
        <w:rPr>
          <w:rFonts w:hint="eastAsia" w:ascii="仿宋_GB2312" w:hAnsi="仿宋" w:eastAsia="仿宋_GB2312"/>
          <w:color w:val="auto"/>
          <w:sz w:val="24"/>
          <w:highlight w:val="none"/>
          <w:lang w:val="zh-CN"/>
        </w:rPr>
        <w:t>法定代表人或                             法定代表人或</w:t>
      </w:r>
    </w:p>
    <w:p>
      <w:pPr>
        <w:autoSpaceDE w:val="0"/>
        <w:autoSpaceDN w:val="0"/>
        <w:spacing w:line="360" w:lineRule="auto"/>
        <w:rPr>
          <w:rFonts w:ascii="仿宋_GB2312" w:hAnsi="仿宋" w:eastAsia="仿宋_GB2312"/>
          <w:color w:val="auto"/>
          <w:sz w:val="24"/>
          <w:highlight w:val="none"/>
          <w:lang w:val="zh-CN"/>
        </w:rPr>
      </w:pPr>
      <w:r>
        <w:rPr>
          <w:rFonts w:hint="eastAsia" w:ascii="仿宋_GB2312" w:hAnsi="仿宋" w:eastAsia="仿宋_GB2312"/>
          <w:color w:val="auto"/>
          <w:sz w:val="24"/>
          <w:highlight w:val="none"/>
          <w:lang w:val="zh-CN"/>
        </w:rPr>
        <w:t xml:space="preserve">授权代表（签字）：                       授权代表（签字）: </w:t>
      </w:r>
    </w:p>
    <w:p>
      <w:pPr>
        <w:autoSpaceDE w:val="0"/>
        <w:autoSpaceDN w:val="0"/>
        <w:spacing w:line="360" w:lineRule="auto"/>
        <w:rPr>
          <w:rFonts w:ascii="仿宋_GB2312" w:hAnsi="仿宋" w:eastAsia="仿宋_GB2312"/>
          <w:color w:val="auto"/>
          <w:sz w:val="24"/>
          <w:highlight w:val="none"/>
          <w:lang w:val="zh-CN"/>
        </w:rPr>
      </w:pPr>
      <w:r>
        <w:rPr>
          <w:rFonts w:hint="eastAsia" w:ascii="仿宋_GB2312" w:hAnsi="仿宋" w:eastAsia="仿宋_GB2312"/>
          <w:color w:val="auto"/>
          <w:sz w:val="24"/>
          <w:highlight w:val="none"/>
          <w:lang w:val="zh-CN"/>
        </w:rPr>
        <w:t>联系人：                                 联系人：</w:t>
      </w:r>
    </w:p>
    <w:p>
      <w:pPr>
        <w:autoSpaceDE w:val="0"/>
        <w:autoSpaceDN w:val="0"/>
        <w:spacing w:line="360" w:lineRule="auto"/>
        <w:rPr>
          <w:rFonts w:ascii="仿宋_GB2312" w:hAnsi="仿宋" w:eastAsia="仿宋_GB2312"/>
          <w:color w:val="auto"/>
          <w:sz w:val="24"/>
          <w:highlight w:val="none"/>
          <w:lang w:val="zh-CN"/>
        </w:rPr>
      </w:pPr>
      <w:r>
        <w:rPr>
          <w:rFonts w:hint="eastAsia" w:ascii="仿宋_GB2312" w:hAnsi="仿宋" w:eastAsia="仿宋_GB2312"/>
          <w:color w:val="auto"/>
          <w:sz w:val="24"/>
          <w:highlight w:val="none"/>
          <w:lang w:val="zh-CN"/>
        </w:rPr>
        <w:t>约定送达地址：                           约定送达地址：</w:t>
      </w:r>
    </w:p>
    <w:p>
      <w:pPr>
        <w:autoSpaceDE w:val="0"/>
        <w:autoSpaceDN w:val="0"/>
        <w:spacing w:line="360" w:lineRule="auto"/>
        <w:rPr>
          <w:rFonts w:ascii="仿宋_GB2312" w:hAnsi="仿宋" w:eastAsia="仿宋_GB2312"/>
          <w:color w:val="auto"/>
          <w:sz w:val="24"/>
          <w:highlight w:val="none"/>
          <w:lang w:val="zh-CN"/>
        </w:rPr>
      </w:pPr>
      <w:r>
        <w:rPr>
          <w:rFonts w:hint="eastAsia" w:ascii="仿宋_GB2312" w:hAnsi="仿宋" w:eastAsia="仿宋_GB2312"/>
          <w:color w:val="auto"/>
          <w:sz w:val="24"/>
          <w:highlight w:val="none"/>
          <w:lang w:val="zh-CN"/>
        </w:rPr>
        <w:t>邮政编码：                               邮政编码：</w:t>
      </w:r>
    </w:p>
    <w:p>
      <w:pPr>
        <w:autoSpaceDE w:val="0"/>
        <w:autoSpaceDN w:val="0"/>
        <w:spacing w:line="360" w:lineRule="auto"/>
        <w:rPr>
          <w:rFonts w:ascii="仿宋_GB2312" w:hAnsi="仿宋" w:eastAsia="仿宋_GB2312"/>
          <w:color w:val="auto"/>
          <w:sz w:val="24"/>
          <w:highlight w:val="none"/>
          <w:lang w:val="zh-CN"/>
        </w:rPr>
      </w:pPr>
      <w:r>
        <w:rPr>
          <w:rFonts w:hint="eastAsia" w:ascii="仿宋_GB2312" w:hAnsi="仿宋" w:eastAsia="仿宋_GB2312"/>
          <w:color w:val="auto"/>
          <w:sz w:val="24"/>
          <w:highlight w:val="none"/>
          <w:lang w:val="zh-CN"/>
        </w:rPr>
        <w:t xml:space="preserve">电话:                                    电话: </w:t>
      </w:r>
    </w:p>
    <w:p>
      <w:pPr>
        <w:autoSpaceDE w:val="0"/>
        <w:autoSpaceDN w:val="0"/>
        <w:spacing w:line="360" w:lineRule="auto"/>
        <w:rPr>
          <w:rFonts w:ascii="仿宋_GB2312" w:hAnsi="仿宋" w:eastAsia="仿宋_GB2312"/>
          <w:color w:val="auto"/>
          <w:sz w:val="24"/>
          <w:highlight w:val="none"/>
          <w:lang w:val="zh-CN"/>
        </w:rPr>
      </w:pPr>
      <w:r>
        <w:rPr>
          <w:rFonts w:hint="eastAsia" w:ascii="仿宋_GB2312" w:hAnsi="仿宋" w:eastAsia="仿宋_GB2312"/>
          <w:color w:val="auto"/>
          <w:sz w:val="24"/>
          <w:highlight w:val="none"/>
          <w:lang w:val="zh-CN"/>
        </w:rPr>
        <w:t>传真:                                    传真:</w:t>
      </w:r>
    </w:p>
    <w:p>
      <w:pPr>
        <w:autoSpaceDE w:val="0"/>
        <w:autoSpaceDN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lang w:val="zh-CN"/>
        </w:rPr>
        <w:t>电子邮箱：                               电子邮箱：</w:t>
      </w:r>
    </w:p>
    <w:p>
      <w:pPr>
        <w:autoSpaceDE w:val="0"/>
        <w:autoSpaceDN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开户银行：                               开户银行： </w:t>
      </w:r>
    </w:p>
    <w:p>
      <w:pPr>
        <w:autoSpaceDE w:val="0"/>
        <w:autoSpaceDN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开户名称：                               开户名称： </w:t>
      </w:r>
    </w:p>
    <w:p>
      <w:pPr>
        <w:autoSpaceDE w:val="0"/>
        <w:autoSpaceDN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开户账号：</w:t>
      </w:r>
      <w:r>
        <w:rPr>
          <w:rFonts w:hint="eastAsia" w:ascii="仿宋_GB2312" w:hAnsi="仿宋" w:eastAsia="仿宋_GB2312"/>
          <w:color w:val="auto"/>
          <w:sz w:val="24"/>
          <w:highlight w:val="none"/>
          <w:lang w:val="zh-CN"/>
        </w:rPr>
        <w:t xml:space="preserve">                               </w:t>
      </w:r>
      <w:r>
        <w:rPr>
          <w:rFonts w:hint="eastAsia" w:ascii="仿宋_GB2312" w:hAnsi="仿宋" w:eastAsia="仿宋_GB2312"/>
          <w:color w:val="auto"/>
          <w:sz w:val="24"/>
          <w:highlight w:val="none"/>
        </w:rPr>
        <w:t>开户账号：</w:t>
      </w:r>
    </w:p>
    <w:p>
      <w:pPr>
        <w:pStyle w:val="988"/>
        <w:ind w:firstLine="482"/>
        <w:jc w:val="center"/>
        <w:rPr>
          <w:rFonts w:ascii="仿宋_GB2312" w:hAnsi="仿宋" w:eastAsia="仿宋_GB2312"/>
          <w:b/>
          <w:color w:val="auto"/>
          <w:sz w:val="28"/>
          <w:szCs w:val="28"/>
          <w:highlight w:val="none"/>
        </w:rPr>
      </w:pPr>
      <w:r>
        <w:rPr>
          <w:rFonts w:hint="eastAsia" w:ascii="仿宋_GB2312" w:hAnsi="仿宋" w:eastAsia="仿宋_GB2312"/>
          <w:b/>
          <w:color w:val="auto"/>
          <w:szCs w:val="24"/>
          <w:highlight w:val="none"/>
        </w:rPr>
        <w:br w:type="page"/>
      </w:r>
      <w:r>
        <w:rPr>
          <w:rFonts w:hint="eastAsia" w:ascii="仿宋_GB2312" w:hAnsi="仿宋" w:eastAsia="仿宋_GB2312"/>
          <w:b/>
          <w:color w:val="auto"/>
          <w:sz w:val="28"/>
          <w:szCs w:val="28"/>
          <w:highlight w:val="none"/>
        </w:rPr>
        <w:t>第二部分 合同一般条款</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 定义</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本合同中的下列词语应按以下内容进行解释：</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2.1.1 “合同”系指采购人和中标供应商签订的载明双方当事人所达成的协议，并包括所有的附件、附录和构成合同的其他文件。</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2.1.2 “合同价”系指根据合同约定，中标供应商在完全履行合同义务后，采购人应支付给中标供应商的价格，与“第一部分 合同书”“第1.3条 价款”项下的“本合同总价”及“第三部分  合同专用条款”“ 第2.6条 结算方式和付款条件”项下的“本次项目合同总价”含义相同。</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2.1.3 “标的物”系指中标供应商根据合同约定应向采购人交付的一切各种形态和种类的货物、服务和工程，包括但不限于原材料、燃料、设备、机械、仪表、备件、计算机软件、信息化系统、信息化维保、物业服务、产品等，并包括工具、手册等其他相关资料。</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2.1.4 “甲方”系指与中标供应商签署合同的采购人；采购人委托采购机构代表其与乙方签订合同的，采购人的授权委托书作为合同附件。</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2.1.5 “乙方”系指根据合同约定交付标的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2.1.6 “现场”系指合同约定标的物将要运至或者实施或者安装的地点。</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2.1.7 “验收”系指合同约定的标的物交付后的正式验收，与“第三部分  合同专用条款”“ 第2.6条 结算方式和付款条件”项下的“终验”含义相同。</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 技术规范</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标的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2.3 知识产权</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2.3.1 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2.3.2具有知识产权的计算机软件等标的物的知识产权归属，详见</w:t>
      </w:r>
      <w:r>
        <w:rPr>
          <w:rFonts w:hint="eastAsia" w:ascii="仿宋_GB2312" w:hAnsi="仿宋_GB2312" w:eastAsia="仿宋_GB2312" w:cs="仿宋_GB2312"/>
          <w:color w:val="auto"/>
          <w:kern w:val="0"/>
          <w:sz w:val="24"/>
          <w:highlight w:val="none"/>
          <w:u w:val="single"/>
          <w:lang w:val="zh-CN"/>
        </w:rPr>
        <w:t>合同专用</w:t>
      </w:r>
      <w:r>
        <w:rPr>
          <w:rFonts w:hint="eastAsia" w:ascii="仿宋_GB2312" w:hAnsi="仿宋_GB2312" w:eastAsia="仿宋_GB2312" w:cs="仿宋_GB2312"/>
          <w:color w:val="auto"/>
          <w:kern w:val="0"/>
          <w:sz w:val="24"/>
          <w:highlight w:val="none"/>
          <w:lang w:val="zh-CN"/>
        </w:rPr>
        <w:t>条款。</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2.4 包装和装运</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2.4.1除</w:t>
      </w:r>
      <w:r>
        <w:rPr>
          <w:rFonts w:hint="eastAsia" w:ascii="仿宋_GB2312" w:hAnsi="仿宋_GB2312" w:eastAsia="仿宋_GB2312" w:cs="仿宋_GB2312"/>
          <w:color w:val="auto"/>
          <w:kern w:val="0"/>
          <w:sz w:val="24"/>
          <w:highlight w:val="none"/>
          <w:u w:val="single"/>
          <w:lang w:val="zh-CN"/>
        </w:rPr>
        <w:t>合同专用条款</w:t>
      </w:r>
      <w:r>
        <w:rPr>
          <w:rFonts w:hint="eastAsia" w:ascii="仿宋_GB2312" w:hAnsi="仿宋_GB2312" w:eastAsia="仿宋_GB2312" w:cs="仿宋_GB2312"/>
          <w:color w:val="auto"/>
          <w:kern w:val="0"/>
          <w:sz w:val="24"/>
          <w:highlight w:val="none"/>
          <w:lang w:val="zh-CN"/>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2.4.2 装运标的物的要求和通知，详见</w:t>
      </w:r>
      <w:r>
        <w:rPr>
          <w:rFonts w:hint="eastAsia" w:ascii="仿宋_GB2312" w:hAnsi="仿宋_GB2312" w:eastAsia="仿宋_GB2312" w:cs="仿宋_GB2312"/>
          <w:color w:val="auto"/>
          <w:kern w:val="0"/>
          <w:sz w:val="24"/>
          <w:highlight w:val="none"/>
          <w:u w:val="single"/>
          <w:lang w:val="zh-CN"/>
        </w:rPr>
        <w:t>合同专用条款</w:t>
      </w:r>
      <w:r>
        <w:rPr>
          <w:rFonts w:hint="eastAsia" w:ascii="仿宋_GB2312" w:hAnsi="仿宋_GB2312" w:eastAsia="仿宋_GB2312" w:cs="仿宋_GB2312"/>
          <w:color w:val="auto"/>
          <w:kern w:val="0"/>
          <w:sz w:val="24"/>
          <w:highlight w:val="none"/>
          <w:lang w:val="zh-CN"/>
        </w:rPr>
        <w:t>。</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2.5 履约检查和问题反馈</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2.5.1甲方有权在其认为必要时，对乙方是否能够按照合同约定交付标的物进行履约检查，以确保乙方所交付的标的物能够依约满足甲方之项目需求，但不得因履约检查妨碍乙方的正常工作，乙方应予积极配合；</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2.5.2 合同履行期间，甲方有权将履行过程中出现的问题反馈给乙方，双方当事人应以书面形式约定需要完善和改进的内容。</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2.6 结算方式和付款条件</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详见</w:t>
      </w:r>
      <w:r>
        <w:rPr>
          <w:rFonts w:hint="eastAsia" w:ascii="仿宋_GB2312" w:hAnsi="仿宋_GB2312" w:eastAsia="仿宋_GB2312" w:cs="仿宋_GB2312"/>
          <w:color w:val="auto"/>
          <w:kern w:val="0"/>
          <w:sz w:val="24"/>
          <w:highlight w:val="none"/>
          <w:u w:val="single"/>
          <w:lang w:val="zh-CN"/>
        </w:rPr>
        <w:t>合同专用条款</w:t>
      </w:r>
      <w:r>
        <w:rPr>
          <w:rFonts w:hint="eastAsia" w:ascii="仿宋_GB2312" w:hAnsi="仿宋_GB2312" w:eastAsia="仿宋_GB2312" w:cs="仿宋_GB2312"/>
          <w:color w:val="auto"/>
          <w:kern w:val="0"/>
          <w:sz w:val="24"/>
          <w:highlight w:val="none"/>
          <w:lang w:val="zh-CN"/>
        </w:rPr>
        <w:t>。</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2.7 技术资料和保密义务</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2.7.1 乙方有权依据合同约定和项目需要，向甲方了解有关情况，调阅有关资料等，甲方应予积极配合；</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2.7.2 乙方有义务妥善保管和保护由甲方提供的前款信息和资料等；</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2.8 质量保证</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2.8.1 乙方应建立和完善履行合同的内部质量保证体系，并提供相关内部规章制度给甲方，以便甲方进行监督检查；</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2.8.2 乙方应保证履行合同的人员数量和素质、软件和硬件设备的配置、场地、环境和设施等满足全面履行合同的要求，并应接受甲方的监督检查。</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2.8.3 项目验收后乙方 提供5年7*24小时售后技术服务，1小时内做出明确响应和安排，现场响应时间要求是接到用户需求电话后4小时内到达。</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2.9 标的物的风险负担</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标的物或者在途标的物或者交付给第一承运人后的标的物毁损、灭失的风险负担详见</w:t>
      </w:r>
      <w:r>
        <w:rPr>
          <w:rFonts w:hint="eastAsia" w:ascii="仿宋_GB2312" w:hAnsi="仿宋_GB2312" w:eastAsia="仿宋_GB2312" w:cs="仿宋_GB2312"/>
          <w:color w:val="auto"/>
          <w:kern w:val="0"/>
          <w:sz w:val="24"/>
          <w:highlight w:val="none"/>
          <w:u w:val="single"/>
          <w:lang w:val="zh-CN"/>
        </w:rPr>
        <w:t>合同专用条款</w:t>
      </w:r>
      <w:r>
        <w:rPr>
          <w:rFonts w:hint="eastAsia" w:ascii="仿宋_GB2312" w:hAnsi="仿宋_GB2312" w:eastAsia="仿宋_GB2312" w:cs="仿宋_GB2312"/>
          <w:color w:val="auto"/>
          <w:kern w:val="0"/>
          <w:sz w:val="24"/>
          <w:highlight w:val="none"/>
          <w:lang w:val="zh-CN"/>
        </w:rPr>
        <w:t>。</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2.10 延迟交付</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付的具体时间。</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2.11 合同变更</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2.11.2 合同继续履行将损害国家利益和社会公共利益的，双方当事人应当以书面形式变更合同。有过错的一方应当承担赔偿责任，双方当事人都有过错的，各自承担相应的责任。</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2.12 合同转让和分包</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bookmarkStart w:id="440" w:name="_Hlk57155040"/>
      <w:r>
        <w:rPr>
          <w:rFonts w:hint="eastAsia" w:ascii="仿宋_GB2312" w:hAnsi="仿宋_GB2312" w:eastAsia="仿宋_GB2312" w:cs="仿宋_GB2312"/>
          <w:color w:val="auto"/>
          <w:kern w:val="0"/>
          <w:sz w:val="24"/>
          <w:highlight w:val="none"/>
          <w:lang w:val="zh-CN"/>
        </w:rPr>
        <w:t>合同的权利义务依法不得转让，乙方不得采取分包方式履行合同。</w:t>
      </w:r>
    </w:p>
    <w:bookmarkEnd w:id="440"/>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2.13 不可抗力</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2.13.1如果任何一方遭遇法律规定的不可抗力，致使合同履行受阻时，履行合同的期限应予延长，延长的期限应相当于不可抗力所影响的时间；</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2.13.2受不可抗力影响的一方在不可抗力发生后，应在</w:t>
      </w:r>
      <w:r>
        <w:rPr>
          <w:rFonts w:hint="eastAsia" w:ascii="仿宋_GB2312" w:hAnsi="仿宋_GB2312" w:eastAsia="仿宋_GB2312" w:cs="仿宋_GB2312"/>
          <w:color w:val="auto"/>
          <w:kern w:val="0"/>
          <w:sz w:val="24"/>
          <w:highlight w:val="none"/>
          <w:u w:val="single"/>
          <w:lang w:val="zh-CN"/>
        </w:rPr>
        <w:t>3日</w:t>
      </w:r>
      <w:r>
        <w:rPr>
          <w:rFonts w:hint="eastAsia" w:ascii="仿宋_GB2312" w:hAnsi="仿宋_GB2312" w:eastAsia="仿宋_GB2312" w:cs="仿宋_GB2312"/>
          <w:color w:val="auto"/>
          <w:kern w:val="0"/>
          <w:sz w:val="24"/>
          <w:highlight w:val="none"/>
          <w:lang w:val="zh-CN"/>
        </w:rPr>
        <w:t>内以书面形式通知对方当事人，并在15日内，将有关部门出具的证明文件送达对方当事人。</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2.13.3 因不可抗力致使不能实现合同目的的，当事人可以解除合同；</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2.13.4 因不可抗力致使合同有变更必要的，双方当事人应在</w:t>
      </w:r>
      <w:r>
        <w:rPr>
          <w:rFonts w:hint="eastAsia" w:ascii="仿宋_GB2312" w:hAnsi="仿宋_GB2312" w:eastAsia="仿宋_GB2312" w:cs="仿宋_GB2312"/>
          <w:color w:val="auto"/>
          <w:kern w:val="0"/>
          <w:sz w:val="24"/>
          <w:highlight w:val="none"/>
          <w:u w:val="single"/>
          <w:lang w:val="zh-CN"/>
        </w:rPr>
        <w:t>15日</w:t>
      </w:r>
      <w:r>
        <w:rPr>
          <w:rFonts w:hint="eastAsia" w:ascii="仿宋_GB2312" w:hAnsi="仿宋_GB2312" w:eastAsia="仿宋_GB2312" w:cs="仿宋_GB2312"/>
          <w:color w:val="auto"/>
          <w:kern w:val="0"/>
          <w:sz w:val="24"/>
          <w:highlight w:val="none"/>
          <w:lang w:val="zh-CN"/>
        </w:rPr>
        <w:t>内以书面形式变更合同；</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2.14 税费</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与合同有关的一切税费，均按照中华人民共和国法律的相关规定执行。</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2.15 乙方破产</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2.16 合同中止、终止</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2.16.1 双方当事人不得擅自中止或者终止合同；</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2.16.2合同继续履行将损害国家利益和社会公共利益的，双方当事人应当中止或者终止合同。有过错的一方应当承担赔偿责任，双方当事人都有过错的，各自承担相应的责任。</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2.17 检验和验收</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2.17.1标的物交付前，乙方应对标的物的质量、数量等方面进行详细、全面的检验，并向甲方出具证明标的物符合合同约定的文件；标的物交付时，乙方在</w:t>
      </w:r>
      <w:r>
        <w:rPr>
          <w:rFonts w:hint="eastAsia" w:ascii="仿宋_GB2312" w:hAnsi="仿宋_GB2312" w:eastAsia="仿宋_GB2312" w:cs="仿宋_GB2312"/>
          <w:b/>
          <w:bCs/>
          <w:color w:val="auto"/>
          <w:kern w:val="0"/>
          <w:sz w:val="24"/>
          <w:highlight w:val="none"/>
          <w:u w:val="single"/>
          <w:lang w:val="zh-CN"/>
        </w:rPr>
        <w:t>标的物交付后15日</w:t>
      </w:r>
      <w:r>
        <w:rPr>
          <w:rFonts w:hint="eastAsia" w:ascii="仿宋_GB2312" w:hAnsi="仿宋_GB2312" w:eastAsia="仿宋_GB2312" w:cs="仿宋_GB2312"/>
          <w:color w:val="auto"/>
          <w:kern w:val="0"/>
          <w:sz w:val="24"/>
          <w:highlight w:val="none"/>
          <w:lang w:val="zh-CN"/>
        </w:rPr>
        <w:t>内组织验收，并可依法邀请相关方参加，验收应出具验收书。</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2.17.2标的物交付时，甲方有权组织（包括依法邀请国家认可的质量检测机构参加）对乙方履约的验收，即：按照合同约定的技术、服务、安全标准，组织对每一项技术、服务、安全标准的履约情况的验收，并出具验收书。</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2.17.3 检验和验收标准、程序等具体内容以及前述验收书的效力详见</w:t>
      </w:r>
      <w:r>
        <w:rPr>
          <w:rFonts w:hint="eastAsia" w:ascii="仿宋_GB2312" w:hAnsi="仿宋_GB2312" w:eastAsia="仿宋_GB2312" w:cs="仿宋_GB2312"/>
          <w:b/>
          <w:bCs/>
          <w:color w:val="auto"/>
          <w:kern w:val="0"/>
          <w:sz w:val="24"/>
          <w:highlight w:val="none"/>
          <w:u w:val="single"/>
          <w:lang w:val="zh-CN"/>
        </w:rPr>
        <w:t>合同专用条款</w:t>
      </w:r>
      <w:r>
        <w:rPr>
          <w:rFonts w:hint="eastAsia" w:ascii="仿宋_GB2312" w:hAnsi="仿宋_GB2312" w:eastAsia="仿宋_GB2312" w:cs="仿宋_GB2312"/>
          <w:color w:val="auto"/>
          <w:kern w:val="0"/>
          <w:sz w:val="24"/>
          <w:highlight w:val="none"/>
          <w:lang w:val="zh-CN"/>
        </w:rPr>
        <w:t>。</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2.18 通知和送达</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2.18.1 任何一方因履行合同而以合同第一部分尾部所列明的</w:t>
      </w:r>
      <w:r>
        <w:rPr>
          <w:rFonts w:hint="eastAsia" w:ascii="仿宋_GB2312" w:hAnsi="仿宋_GB2312" w:eastAsia="仿宋_GB2312" w:cs="仿宋_GB2312"/>
          <w:color w:val="auto"/>
          <w:kern w:val="0"/>
          <w:sz w:val="24"/>
          <w:highlight w:val="none"/>
          <w:u w:val="single"/>
          <w:lang w:val="zh-CN"/>
        </w:rPr>
        <w:t>“约定送达地址”为收件地址</w:t>
      </w:r>
      <w:r>
        <w:rPr>
          <w:rFonts w:hint="eastAsia" w:ascii="仿宋_GB2312" w:hAnsi="仿宋_GB2312" w:eastAsia="仿宋_GB2312" w:cs="仿宋_GB2312"/>
          <w:color w:val="auto"/>
          <w:kern w:val="0"/>
          <w:sz w:val="24"/>
          <w:highlight w:val="none"/>
          <w:lang w:val="zh-CN"/>
        </w:rPr>
        <w:t>的所有通知、文件、材料，均视为已向对方当事人送达；任何一方变更上述送达方式或者地址的，应于</w:t>
      </w:r>
      <w:r>
        <w:rPr>
          <w:rFonts w:hint="eastAsia" w:ascii="仿宋_GB2312" w:hAnsi="仿宋_GB2312" w:eastAsia="仿宋_GB2312" w:cs="仿宋_GB2312"/>
          <w:color w:val="auto"/>
          <w:kern w:val="0"/>
          <w:sz w:val="24"/>
          <w:highlight w:val="none"/>
          <w:u w:val="single"/>
          <w:lang w:val="zh-CN"/>
        </w:rPr>
        <w:t>3个</w:t>
      </w:r>
      <w:r>
        <w:rPr>
          <w:rFonts w:hint="eastAsia" w:ascii="仿宋_GB2312" w:hAnsi="仿宋_GB2312" w:eastAsia="仿宋_GB2312" w:cs="仿宋_GB2312"/>
          <w:color w:val="auto"/>
          <w:kern w:val="0"/>
          <w:sz w:val="24"/>
          <w:highlight w:val="none"/>
          <w:lang w:val="zh-CN"/>
        </w:rPr>
        <w:t>工作日内书面通知对方当事人，在对方当事人收到有关变更通知之前，变更前的约定送达方式或者地址仍视为有效。</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2.18.2以当面交付方式送达的，交付之时视为送达；以电子邮件方式送达的，发出电子邮件之时视为送达；以传真方式送达的，发出传真之时视为送达；以邮寄方式送达的，邮件挂号寄出或者交邮之日之次日视为送达。</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2.19 计量单位</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除技术规范中另有规定外,合同的计量单位均使用国家法定计量单位。</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2.20 合同使用的文字和适用的法律</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2.20.1 合同使用汉语书就、变更和解释；</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2.20.2 合同适用中华人民共和国法律。</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 履约保证金</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2.21.1 采购文件要求乙方提交履约保证金的，乙方应在合同签订起</w:t>
      </w:r>
      <w:r>
        <w:rPr>
          <w:rFonts w:ascii="仿宋_GB2312" w:hAnsi="仿宋_GB2312" w:eastAsia="仿宋_GB2312" w:cs="仿宋_GB2312"/>
          <w:color w:val="auto"/>
          <w:kern w:val="0"/>
          <w:sz w:val="24"/>
          <w:highlight w:val="none"/>
          <w:lang w:val="zh-CN"/>
        </w:rPr>
        <w:t>3</w:t>
      </w:r>
      <w:r>
        <w:rPr>
          <w:rFonts w:hint="eastAsia" w:ascii="仿宋_GB2312" w:hAnsi="仿宋_GB2312" w:eastAsia="仿宋_GB2312" w:cs="仿宋_GB2312"/>
          <w:color w:val="auto"/>
          <w:kern w:val="0"/>
          <w:sz w:val="24"/>
          <w:highlight w:val="none"/>
          <w:lang w:val="zh-CN"/>
        </w:rPr>
        <w:t>日内，以支票、汇票、本票或者金融机构、担保机构出具的保函等非现金形式，提交合同价5%的履约保证金；</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2.21.2  履约保证金在标的物质量保证期内（即项目验收后5年内）不予退还或者应完全有效，前述标的物质量保证期届满之日起</w:t>
      </w:r>
      <w:r>
        <w:rPr>
          <w:rFonts w:hint="eastAsia" w:ascii="仿宋_GB2312" w:hAnsi="仿宋_GB2312" w:eastAsia="仿宋_GB2312" w:cs="仿宋_GB2312"/>
          <w:color w:val="auto"/>
          <w:kern w:val="0"/>
          <w:sz w:val="24"/>
          <w:highlight w:val="none"/>
          <w:u w:val="single"/>
          <w:lang w:val="zh-CN"/>
        </w:rPr>
        <w:t xml:space="preserve"> 7 </w:t>
      </w:r>
      <w:r>
        <w:rPr>
          <w:rFonts w:hint="eastAsia" w:ascii="仿宋_GB2312" w:hAnsi="仿宋_GB2312" w:eastAsia="仿宋_GB2312" w:cs="仿宋_GB2312"/>
          <w:color w:val="auto"/>
          <w:kern w:val="0"/>
          <w:sz w:val="24"/>
          <w:highlight w:val="none"/>
          <w:lang w:val="zh-CN"/>
        </w:rPr>
        <w:t>个工作日内，甲方应将履约保证金（无息）退还乙方；</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2.22 合同份数</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本合同一式</w:t>
      </w:r>
      <w:r>
        <w:rPr>
          <w:rFonts w:hint="eastAsia" w:ascii="仿宋_GB2312" w:hAnsi="仿宋_GB2312" w:eastAsia="仿宋_GB2312" w:cs="仿宋_GB2312"/>
          <w:color w:val="auto"/>
          <w:kern w:val="0"/>
          <w:sz w:val="24"/>
          <w:highlight w:val="none"/>
          <w:u w:val="single"/>
          <w:lang w:val="zh-CN"/>
        </w:rPr>
        <w:t xml:space="preserve">    </w:t>
      </w:r>
      <w:r>
        <w:rPr>
          <w:rFonts w:hint="eastAsia" w:ascii="仿宋_GB2312" w:hAnsi="仿宋_GB2312" w:eastAsia="仿宋_GB2312" w:cs="仿宋_GB2312"/>
          <w:color w:val="auto"/>
          <w:kern w:val="0"/>
          <w:sz w:val="24"/>
          <w:highlight w:val="none"/>
          <w:lang w:val="zh-CN"/>
        </w:rPr>
        <w:t>份，甲方执</w:t>
      </w:r>
      <w:r>
        <w:rPr>
          <w:rFonts w:hint="eastAsia" w:ascii="仿宋_GB2312" w:hAnsi="仿宋_GB2312" w:eastAsia="仿宋_GB2312" w:cs="仿宋_GB2312"/>
          <w:color w:val="auto"/>
          <w:kern w:val="0"/>
          <w:sz w:val="24"/>
          <w:highlight w:val="none"/>
          <w:u w:val="single"/>
          <w:lang w:val="zh-CN"/>
        </w:rPr>
        <w:t xml:space="preserve">    </w:t>
      </w:r>
      <w:r>
        <w:rPr>
          <w:rFonts w:hint="eastAsia" w:ascii="仿宋_GB2312" w:hAnsi="仿宋_GB2312" w:eastAsia="仿宋_GB2312" w:cs="仿宋_GB2312"/>
          <w:color w:val="auto"/>
          <w:kern w:val="0"/>
          <w:sz w:val="24"/>
          <w:highlight w:val="none"/>
          <w:lang w:val="zh-CN"/>
        </w:rPr>
        <w:t>份，乙方执</w:t>
      </w:r>
      <w:r>
        <w:rPr>
          <w:rFonts w:hint="eastAsia" w:ascii="仿宋_GB2312" w:hAnsi="仿宋_GB2312" w:eastAsia="仿宋_GB2312" w:cs="仿宋_GB2312"/>
          <w:color w:val="auto"/>
          <w:kern w:val="0"/>
          <w:sz w:val="24"/>
          <w:highlight w:val="none"/>
          <w:u w:val="single"/>
          <w:lang w:val="zh-CN"/>
        </w:rPr>
        <w:t xml:space="preserve">   </w:t>
      </w:r>
      <w:r>
        <w:rPr>
          <w:rFonts w:hint="eastAsia" w:ascii="仿宋_GB2312" w:hAnsi="仿宋_GB2312" w:eastAsia="仿宋_GB2312" w:cs="仿宋_GB2312"/>
          <w:color w:val="auto"/>
          <w:kern w:val="0"/>
          <w:sz w:val="24"/>
          <w:highlight w:val="none"/>
          <w:lang w:val="zh-CN"/>
        </w:rPr>
        <w:t>份。每份均具有同等法律效力。</w:t>
      </w:r>
    </w:p>
    <w:p>
      <w:pPr>
        <w:pStyle w:val="988"/>
        <w:jc w:val="center"/>
        <w:rPr>
          <w:rFonts w:ascii="仿宋_GB2312" w:hAnsi="仿宋_GB2312" w:eastAsia="仿宋_GB2312" w:cs="仿宋_GB2312"/>
          <w:color w:val="auto"/>
          <w:kern w:val="0"/>
          <w:szCs w:val="24"/>
          <w:highlight w:val="none"/>
          <w:lang w:val="zh-CN"/>
        </w:rPr>
      </w:pPr>
      <w:r>
        <w:rPr>
          <w:rFonts w:hint="eastAsia" w:ascii="仿宋_GB2312" w:hAnsi="仿宋_GB2312" w:eastAsia="仿宋_GB2312" w:cs="仿宋_GB2312"/>
          <w:color w:val="auto"/>
          <w:kern w:val="0"/>
          <w:szCs w:val="24"/>
          <w:highlight w:val="none"/>
          <w:lang w:val="zh-CN"/>
        </w:rPr>
        <w:br w:type="page"/>
      </w:r>
      <w:r>
        <w:rPr>
          <w:rFonts w:hint="eastAsia" w:ascii="仿宋_GB2312" w:hAnsi="仿宋" w:eastAsia="仿宋_GB2312"/>
          <w:b/>
          <w:color w:val="auto"/>
          <w:sz w:val="28"/>
          <w:szCs w:val="28"/>
          <w:highlight w:val="none"/>
        </w:rPr>
        <w:t>第三部分  合同专用条款</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本部分是对前两部分的补充和修改，如果前两部分和本部分的约定不一致，应以本部分的约定为准。本部分的条款号应与前两部分的条款号保持对应；与前两部分无对应关系的内容可另行编制条款号。</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2.3.2具有知识产权的计算机软件等标的物的知识产权归属：</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u w:val="single"/>
          <w:lang w:val="zh-CN"/>
        </w:rPr>
      </w:pPr>
      <w:r>
        <w:rPr>
          <w:rFonts w:hint="eastAsia" w:ascii="仿宋_GB2312" w:hAnsi="仿宋_GB2312" w:eastAsia="仿宋_GB2312" w:cs="仿宋_GB2312"/>
          <w:color w:val="auto"/>
          <w:kern w:val="0"/>
          <w:sz w:val="24"/>
          <w:highlight w:val="none"/>
          <w:u w:val="single"/>
          <w:lang w:val="zh-CN"/>
        </w:rPr>
        <w:t xml:space="preserve">对本项目中可能产生的计算机软件的知识产权均归属于甲方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2.4.1包装和装运专用条款：</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u w:val="single"/>
          <w:lang w:val="zh-CN"/>
        </w:rPr>
      </w:pPr>
      <w:r>
        <w:rPr>
          <w:rFonts w:hint="eastAsia" w:ascii="仿宋_GB2312" w:hAnsi="仿宋_GB2312" w:eastAsia="仿宋_GB2312" w:cs="仿宋_GB2312"/>
          <w:color w:val="auto"/>
          <w:kern w:val="0"/>
          <w:sz w:val="24"/>
          <w:highlight w:val="none"/>
          <w:u w:val="single"/>
          <w:lang w:val="zh-CN"/>
        </w:rPr>
        <w:t xml:space="preserve"> 参照行业通用标准予以包装和转运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2.4.2装运标的物的要求和通知：</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u w:val="single"/>
          <w:lang w:val="zh-CN"/>
        </w:rPr>
      </w:pPr>
      <w:r>
        <w:rPr>
          <w:rFonts w:hint="eastAsia" w:ascii="仿宋_GB2312" w:hAnsi="仿宋_GB2312" w:eastAsia="仿宋_GB2312" w:cs="仿宋_GB2312"/>
          <w:color w:val="auto"/>
          <w:kern w:val="0"/>
          <w:sz w:val="24"/>
          <w:highlight w:val="none"/>
          <w:u w:val="single"/>
          <w:lang w:val="zh-CN"/>
        </w:rPr>
        <w:t xml:space="preserve"> 参照行业通用标准予以进行。                                                            </w:t>
      </w:r>
    </w:p>
    <w:p>
      <w:pPr>
        <w:autoSpaceDE w:val="0"/>
        <w:autoSpaceDN w:val="0"/>
        <w:spacing w:line="360" w:lineRule="auto"/>
        <w:ind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2.6结算方式和付款条件</w:t>
      </w:r>
    </w:p>
    <w:p>
      <w:pPr>
        <w:autoSpaceDE w:val="0"/>
        <w:autoSpaceDN w:val="0"/>
        <w:spacing w:line="360" w:lineRule="auto"/>
        <w:ind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本次项目合同总价为大写人民币            （￥    元），合同总价清单、人员清单作为合同附件附后，采用分期付款方式，具体如下：</w:t>
      </w:r>
    </w:p>
    <w:p>
      <w:pPr>
        <w:autoSpaceDE w:val="0"/>
        <w:autoSpaceDN w:val="0"/>
        <w:spacing w:line="360" w:lineRule="auto"/>
        <w:ind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第一期付款：合同签订后15日内，缴纳完成履约保证金后，乙方凭甲方签字盖章的支付通知书和等额发票向甲方办理人民币      万元整（￥    元）款项结算手续。</w:t>
      </w:r>
    </w:p>
    <w:p>
      <w:pPr>
        <w:autoSpaceDE w:val="0"/>
        <w:autoSpaceDN w:val="0"/>
        <w:spacing w:line="360" w:lineRule="auto"/>
        <w:ind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第二期付款：合同签订后6个月内，完成项目开发、编码，测试，实现系统全部功能，完成调试、集成等，通过初步验收，进入试运行；并出具初步验收报告且经甲方审查通过后15日内，乙方凭甲方签字盖章的支付通知书、初验报告和等额发票向甲方办理合同总额50%的款项结算手续，计人民币   万元整（￥）。</w:t>
      </w:r>
    </w:p>
    <w:p>
      <w:pPr>
        <w:autoSpaceDE w:val="0"/>
        <w:autoSpaceDN w:val="0"/>
        <w:spacing w:line="360" w:lineRule="auto"/>
        <w:ind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第三期付款：项目通过初验后2个月内完成培训、试运行，提交全部报告材料，并通过正式验收，出具项目终验报告后15日内，乙方凭甲方签字盖章的支付通知书、发票复印件、双方签字盖章的终验报告，向甲方办理合同尾款结算手续。</w:t>
      </w:r>
    </w:p>
    <w:p>
      <w:pPr>
        <w:autoSpaceDE w:val="0"/>
        <w:autoSpaceDN w:val="0"/>
        <w:spacing w:line="360" w:lineRule="auto"/>
        <w:ind w:firstLine="480" w:firstLineChars="200"/>
        <w:jc w:val="left"/>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注：根据市财政资金支付计划，2020年安排支付资金不超过</w:t>
      </w:r>
      <w:r>
        <w:rPr>
          <w:rFonts w:hint="eastAsia" w:ascii="仿宋_GB2312" w:hAnsi="仿宋_GB2312" w:eastAsia="仿宋_GB2312" w:cs="仿宋_GB2312"/>
          <w:color w:val="auto"/>
          <w:kern w:val="0"/>
          <w:sz w:val="24"/>
          <w:highlight w:val="none"/>
          <w:lang w:val="en-US" w:eastAsia="zh-CN"/>
        </w:rPr>
        <w:t>390</w:t>
      </w:r>
      <w:r>
        <w:rPr>
          <w:rFonts w:hint="eastAsia" w:ascii="仿宋_GB2312" w:hAnsi="仿宋_GB2312" w:eastAsia="仿宋_GB2312" w:cs="仿宋_GB2312"/>
          <w:color w:val="auto"/>
          <w:kern w:val="0"/>
          <w:sz w:val="24"/>
          <w:highlight w:val="none"/>
          <w:lang w:val="zh-CN"/>
        </w:rPr>
        <w:t>万元，其余费用在2021年安排支付。</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2.9标的物的风险负担</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标的物或者在途标度或者交付给第一承运人后的标的物毁损、灭失的风险负担：</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u w:val="single"/>
          <w:lang w:val="zh-CN"/>
        </w:rPr>
      </w:pPr>
      <w:r>
        <w:rPr>
          <w:rFonts w:hint="eastAsia" w:ascii="仿宋_GB2312" w:hAnsi="仿宋_GB2312" w:eastAsia="仿宋_GB2312" w:cs="仿宋_GB2312"/>
          <w:color w:val="auto"/>
          <w:kern w:val="0"/>
          <w:sz w:val="24"/>
          <w:highlight w:val="none"/>
          <w:u w:val="single"/>
          <w:lang w:val="zh-CN"/>
        </w:rPr>
        <w:t xml:space="preserve">在本项目完成交付验收前，相应一切风险由乙方承担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2.17.3 检验和验收标准、程序等具体内容以及前述验收书的效力：</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u w:val="single"/>
          <w:lang w:val="zh-CN"/>
        </w:rPr>
      </w:pPr>
      <w:r>
        <w:rPr>
          <w:rFonts w:hint="eastAsia" w:ascii="仿宋_GB2312" w:hAnsi="仿宋_GB2312" w:eastAsia="仿宋_GB2312" w:cs="仿宋_GB2312"/>
          <w:color w:val="auto"/>
          <w:kern w:val="0"/>
          <w:sz w:val="24"/>
          <w:highlight w:val="none"/>
          <w:u w:val="single"/>
          <w:lang w:val="zh-CN"/>
        </w:rPr>
        <w:t>项目完成后，乙方应提供项目软件清单和系统功能清单，会同甲方对照清单逐项验收。软件清单与系统功能清单应符合招投标所承诺提供软件与系统功能。</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u w:val="single"/>
          <w:lang w:val="zh-CN"/>
        </w:rPr>
      </w:pPr>
      <w:r>
        <w:rPr>
          <w:rFonts w:hint="eastAsia" w:ascii="仿宋_GB2312" w:hAnsi="仿宋_GB2312" w:eastAsia="仿宋_GB2312" w:cs="仿宋_GB2312"/>
          <w:color w:val="auto"/>
          <w:kern w:val="0"/>
          <w:sz w:val="24"/>
          <w:highlight w:val="none"/>
          <w:u w:val="single"/>
          <w:lang w:val="zh-CN"/>
        </w:rPr>
        <w:t>若根据第2.17.1条约定的乙方验收结果与第2.17.</w:t>
      </w:r>
      <w:r>
        <w:rPr>
          <w:rFonts w:ascii="仿宋_GB2312" w:hAnsi="仿宋_GB2312" w:eastAsia="仿宋_GB2312" w:cs="仿宋_GB2312"/>
          <w:color w:val="auto"/>
          <w:kern w:val="0"/>
          <w:sz w:val="24"/>
          <w:highlight w:val="none"/>
          <w:u w:val="single"/>
          <w:lang w:val="zh-CN"/>
        </w:rPr>
        <w:t>2</w:t>
      </w:r>
      <w:r>
        <w:rPr>
          <w:rFonts w:hint="eastAsia" w:ascii="仿宋_GB2312" w:hAnsi="仿宋_GB2312" w:eastAsia="仿宋_GB2312" w:cs="仿宋_GB2312"/>
          <w:color w:val="auto"/>
          <w:kern w:val="0"/>
          <w:sz w:val="24"/>
          <w:highlight w:val="none"/>
          <w:u w:val="single"/>
          <w:lang w:val="zh-CN"/>
        </w:rPr>
        <w:t xml:space="preserve">条约定的甲方验收结果有差异的，以甲方验收结果为准。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u w:val="single"/>
          <w:lang w:val="zh-CN"/>
        </w:rPr>
      </w:pPr>
      <w:r>
        <w:rPr>
          <w:rFonts w:hint="eastAsia" w:ascii="仿宋_GB2312" w:hAnsi="仿宋_GB2312" w:eastAsia="仿宋_GB2312" w:cs="仿宋_GB2312"/>
          <w:color w:val="auto"/>
          <w:kern w:val="0"/>
          <w:sz w:val="24"/>
          <w:highlight w:val="none"/>
          <w:u w:val="single"/>
          <w:lang w:val="zh-CN"/>
        </w:rPr>
        <w:t>除前述项目完成后的正式验收程序，双方约定相关初步验收程序的由双方按具体约定执行。</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3.1 其他：</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u w:val="single"/>
          <w:lang w:val="zh-CN"/>
        </w:rPr>
      </w:pPr>
      <w:r>
        <w:rPr>
          <w:rFonts w:hint="eastAsia" w:ascii="仿宋_GB2312" w:hAnsi="仿宋_GB2312" w:eastAsia="仿宋_GB2312" w:cs="仿宋_GB2312"/>
          <w:color w:val="auto"/>
          <w:kern w:val="0"/>
          <w:sz w:val="24"/>
          <w:highlight w:val="none"/>
          <w:u w:val="single"/>
          <w:lang w:val="zh-CN"/>
        </w:rPr>
        <w:t>乙方未按合同及招投标文件承诺提供服务，每发生1起扣除履约保证金3000元，累计发生3次以上，甲方有权没收全部履约保证金，并就由此造成的损失向乙方提出索赔。</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u w:val="single"/>
          <w:lang w:val="zh-CN"/>
        </w:rPr>
      </w:pPr>
      <w:r>
        <w:rPr>
          <w:rFonts w:hint="eastAsia" w:ascii="仿宋_GB2312" w:hAnsi="仿宋_GB2312" w:eastAsia="仿宋_GB2312" w:cs="仿宋_GB2312"/>
          <w:color w:val="auto"/>
          <w:kern w:val="0"/>
          <w:sz w:val="24"/>
          <w:highlight w:val="none"/>
          <w:u w:val="single"/>
          <w:lang w:val="zh-CN"/>
        </w:rPr>
        <w:t>如乙方未按合同及招投标文件约定要求完成项目建设内容，在整改完成的基础上扣除10%—50%履约保证金，拒不整改的，甲方有权没收全部履约保证金并由此造成的损失向乙方提出索赔。</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u w:val="single"/>
          <w:lang w:val="zh-CN"/>
        </w:rPr>
      </w:pPr>
      <w:r>
        <w:rPr>
          <w:rFonts w:hint="eastAsia" w:ascii="仿宋_GB2312" w:hAnsi="仿宋_GB2312" w:eastAsia="仿宋_GB2312" w:cs="仿宋_GB2312"/>
          <w:color w:val="auto"/>
          <w:kern w:val="0"/>
          <w:sz w:val="24"/>
          <w:highlight w:val="none"/>
          <w:u w:val="single"/>
          <w:lang w:val="zh-CN"/>
        </w:rPr>
        <w:t>在合同实施过程中，合同建设内容如发生变化，乙方在实施前需事先取得甲方签署的书面意见同意后按《杭州市公安局科技建设项目管理办法》变更管理规定实施，否则该变更内容在款项结算时，甲方有权不予认可。同时，扣除履约保证金</w:t>
      </w:r>
      <w:r>
        <w:rPr>
          <w:rFonts w:ascii="仿宋_GB2312" w:hAnsi="仿宋_GB2312" w:eastAsia="仿宋_GB2312" w:cs="仿宋_GB2312"/>
          <w:color w:val="auto"/>
          <w:kern w:val="0"/>
          <w:sz w:val="24"/>
          <w:highlight w:val="none"/>
          <w:u w:val="single"/>
          <w:lang w:val="zh-CN"/>
        </w:rPr>
        <w:t>5</w:t>
      </w:r>
      <w:r>
        <w:rPr>
          <w:rFonts w:hint="eastAsia" w:ascii="仿宋_GB2312" w:hAnsi="仿宋_GB2312" w:eastAsia="仿宋_GB2312" w:cs="仿宋_GB2312"/>
          <w:color w:val="auto"/>
          <w:kern w:val="0"/>
          <w:sz w:val="24"/>
          <w:highlight w:val="none"/>
          <w:u w:val="single"/>
          <w:lang w:val="zh-CN"/>
        </w:rPr>
        <w:t>000元。</w:t>
      </w:r>
    </w:p>
    <w:bookmarkEnd w:id="437"/>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u w:val="single"/>
          <w:lang w:val="zh-CN"/>
        </w:rPr>
      </w:pPr>
    </w:p>
    <w:p>
      <w:pPr>
        <w:spacing w:line="360" w:lineRule="auto"/>
        <w:outlineLvl w:val="0"/>
        <w:rPr>
          <w:rFonts w:ascii="仿宋_GB2312" w:hAnsi="仿宋_GB2312" w:eastAsia="仿宋_GB2312" w:cs="仿宋_GB2312"/>
          <w:b/>
          <w:color w:val="auto"/>
          <w:sz w:val="24"/>
          <w:highlight w:val="none"/>
        </w:rPr>
      </w:pPr>
    </w:p>
    <w:p>
      <w:pPr>
        <w:widowControl/>
        <w:adjustRightInd/>
        <w:jc w:val="left"/>
        <w:rPr>
          <w:rFonts w:ascii="仿宋_GB2312" w:hAnsi="仿宋_GB2312" w:eastAsia="仿宋_GB2312" w:cs="仿宋_GB2312"/>
          <w:b/>
          <w:color w:val="auto"/>
          <w:sz w:val="24"/>
          <w:highlight w:val="none"/>
        </w:rPr>
      </w:pPr>
    </w:p>
    <w:p>
      <w:pPr>
        <w:snapToGrid w:val="0"/>
        <w:spacing w:line="360" w:lineRule="auto"/>
        <w:jc w:val="center"/>
        <w:rPr>
          <w:rFonts w:ascii="仿宋_GB2312" w:hAnsi="仿宋" w:eastAsia="仿宋_GB2312" w:cs="仿宋_GB2312"/>
          <w:b/>
          <w:color w:val="auto"/>
          <w:sz w:val="36"/>
          <w:szCs w:val="20"/>
          <w:highlight w:val="none"/>
        </w:rPr>
      </w:pPr>
      <w:r>
        <w:rPr>
          <w:rFonts w:hint="eastAsia" w:ascii="仿宋_GB2312" w:hAnsi="仿宋" w:eastAsia="仿宋_GB2312" w:cs="仿宋_GB2312"/>
          <w:b/>
          <w:color w:val="auto"/>
          <w:sz w:val="36"/>
          <w:szCs w:val="20"/>
          <w:highlight w:val="none"/>
        </w:rPr>
        <w:br w:type="page"/>
      </w:r>
      <w:r>
        <w:rPr>
          <w:rFonts w:hint="eastAsia" w:ascii="仿宋_GB2312" w:hAnsi="仿宋" w:eastAsia="仿宋_GB2312" w:cs="仿宋_GB2312"/>
          <w:b/>
          <w:color w:val="auto"/>
          <w:sz w:val="36"/>
          <w:szCs w:val="20"/>
          <w:highlight w:val="none"/>
        </w:rPr>
        <w:t>第六部分</w:t>
      </w:r>
      <w:bookmarkEnd w:id="438"/>
      <w:r>
        <w:rPr>
          <w:rFonts w:hint="eastAsia" w:ascii="仿宋_GB2312" w:hAnsi="仿宋" w:eastAsia="仿宋_GB2312" w:cs="仿宋_GB2312"/>
          <w:b/>
          <w:color w:val="auto"/>
          <w:sz w:val="36"/>
          <w:szCs w:val="20"/>
          <w:highlight w:val="none"/>
        </w:rPr>
        <w:t xml:space="preserve"> </w:t>
      </w:r>
      <w:bookmarkEnd w:id="439"/>
      <w:r>
        <w:rPr>
          <w:rFonts w:hint="eastAsia" w:ascii="仿宋_GB2312" w:hAnsi="仿宋" w:eastAsia="仿宋_GB2312" w:cs="仿宋_GB2312"/>
          <w:b/>
          <w:color w:val="auto"/>
          <w:sz w:val="36"/>
          <w:szCs w:val="20"/>
          <w:highlight w:val="none"/>
        </w:rPr>
        <w:t>应提交的有关格式范例</w:t>
      </w:r>
    </w:p>
    <w:p>
      <w:pPr>
        <w:spacing w:line="360" w:lineRule="auto"/>
        <w:ind w:firstLine="480" w:firstLineChars="200"/>
        <w:outlineLvl w:val="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投标人按照以下格式编制投标文件。</w:t>
      </w:r>
    </w:p>
    <w:p>
      <w:pPr>
        <w:spacing w:line="360" w:lineRule="auto"/>
        <w:jc w:val="center"/>
        <w:outlineLvl w:val="0"/>
        <w:rPr>
          <w:rFonts w:ascii="仿宋_GB2312" w:hAnsi="仿宋" w:eastAsia="仿宋_GB2312" w:cs="仿宋_GB2312"/>
          <w:color w:val="auto"/>
          <w:sz w:val="36"/>
          <w:szCs w:val="36"/>
          <w:highlight w:val="none"/>
          <w:lang w:val="zh-CN"/>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w:t>
      </w:r>
      <w:r>
        <w:rPr>
          <w:rFonts w:hint="eastAsia" w:ascii="仿宋_GB2312" w:hAnsi="仿宋" w:eastAsia="仿宋_GB2312"/>
          <w:color w:val="auto"/>
          <w:sz w:val="24"/>
          <w:highlight w:val="none"/>
        </w:rPr>
        <w:t>营业执照(或事业法人登记证或其他工商等登记证明材料)复印件（投标人为自然人的，须提供</w:t>
      </w:r>
      <w:r>
        <w:rPr>
          <w:rFonts w:hint="eastAsia" w:ascii="仿宋_GB2312" w:hAnsi="仿宋" w:eastAsia="仿宋_GB2312" w:cs="Helvetica"/>
          <w:color w:val="auto"/>
          <w:kern w:val="0"/>
          <w:sz w:val="24"/>
          <w:highlight w:val="none"/>
        </w:rPr>
        <w:t>自然人的身份证明</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、税务登记证(或其它缴纳证明材料)复印件、社保登记证</w:t>
      </w:r>
      <w:r>
        <w:rPr>
          <w:rFonts w:hint="eastAsia" w:ascii="仿宋_GB2312" w:hAnsi="仿宋" w:eastAsia="仿宋_GB2312"/>
          <w:color w:val="auto"/>
          <w:sz w:val="24"/>
          <w:highlight w:val="none"/>
        </w:rPr>
        <w:t>（或其它缴纳证明材料）</w:t>
      </w:r>
      <w:r>
        <w:rPr>
          <w:rFonts w:hint="eastAsia" w:ascii="仿宋_GB2312" w:hAnsi="仿宋" w:eastAsia="仿宋_GB2312" w:cs="仿宋_GB2312"/>
          <w:color w:val="auto"/>
          <w:sz w:val="24"/>
          <w:highlight w:val="none"/>
        </w:rPr>
        <w:t>复印件</w:t>
      </w:r>
      <w:r>
        <w:rPr>
          <w:rFonts w:hint="eastAsia" w:ascii="仿宋_GB2312" w:hAnsi="仿宋" w:eastAsia="仿宋_GB2312" w:cs="仿宋_GB2312"/>
          <w:color w:val="auto"/>
          <w:kern w:val="0"/>
          <w:sz w:val="24"/>
          <w:highlight w:val="none"/>
        </w:rPr>
        <w:t>………………………………………………………………………………………（页码）</w:t>
      </w:r>
    </w:p>
    <w:p>
      <w:pPr>
        <w:snapToGrid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（2）法人授权书 ……………………………………………………………………（页码）</w:t>
      </w:r>
    </w:p>
    <w:p>
      <w:pPr>
        <w:snapToGrid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（3）授权代表的身份证（复印件）………………………………………………（页码）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rPr>
        <w:t>（4）</w:t>
      </w:r>
      <w:r>
        <w:rPr>
          <w:rFonts w:hint="eastAsia" w:ascii="仿宋_GB2312" w:hAnsi="仿宋" w:eastAsia="仿宋_GB2312" w:cs="仿宋_GB2312"/>
          <w:color w:val="auto"/>
          <w:sz w:val="24"/>
          <w:highlight w:val="none"/>
        </w:rPr>
        <w:t>2019年度资产负债表等财务报表资料文件(新成立的公司，提供情况说明)</w:t>
      </w:r>
      <w:r>
        <w:rPr>
          <w:rFonts w:hint="eastAsia" w:ascii="仿宋_GB2312" w:hAnsi="仿宋" w:eastAsia="仿宋_GB2312" w:cs="仿宋_GB2312"/>
          <w:color w:val="auto"/>
          <w:kern w:val="0"/>
          <w:sz w:val="24"/>
          <w:highlight w:val="none"/>
        </w:rPr>
        <w:t>（页码）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（5）具有履行合同所必需的设备和专业技术能力的承诺函………………………（页码）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（6）参加政府采购活动前三年内，在经营活动中没有重大违法记录的声明</w:t>
      </w:r>
      <w:r>
        <w:rPr>
          <w:rFonts w:hint="eastAsia" w:ascii="仿宋_GB2312" w:hAnsi="仿宋" w:eastAsia="仿宋_GB2312" w:cs="仿宋_GB2312"/>
          <w:color w:val="auto"/>
          <w:kern w:val="0"/>
          <w:sz w:val="24"/>
          <w:highlight w:val="none"/>
        </w:rPr>
        <w:t xml:space="preserve"> …（页码）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（7）具有良好商业信誉特别声明</w:t>
      </w:r>
      <w:r>
        <w:rPr>
          <w:rFonts w:hint="eastAsia" w:ascii="仿宋_GB2312" w:hAnsi="仿宋" w:eastAsia="仿宋_GB2312" w:cs="仿宋_GB2312"/>
          <w:color w:val="auto"/>
          <w:kern w:val="0"/>
          <w:sz w:val="24"/>
          <w:highlight w:val="none"/>
        </w:rPr>
        <w:t>……………………………………………………（页码）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（8）</w:t>
      </w:r>
      <w:r>
        <w:rPr>
          <w:rFonts w:hint="eastAsia" w:ascii="仿宋_GB2312" w:hAnsi="仿宋" w:eastAsia="仿宋_GB2312" w:cs="仿宋_GB2312"/>
          <w:color w:val="auto"/>
          <w:sz w:val="24"/>
          <w:highlight w:val="none"/>
        </w:rPr>
        <w:t>符合特定资格条件（如果项目要求）的有关证明材料（复印件）</w:t>
      </w:r>
      <w:r>
        <w:rPr>
          <w:rFonts w:hint="eastAsia" w:ascii="仿宋_GB2312" w:hAnsi="仿宋" w:eastAsia="仿宋_GB2312" w:cs="仿宋_GB2312"/>
          <w:color w:val="auto"/>
          <w:kern w:val="0"/>
          <w:sz w:val="24"/>
          <w:highlight w:val="none"/>
        </w:rPr>
        <w:t>…………（页码）</w:t>
      </w:r>
    </w:p>
    <w:p>
      <w:pPr>
        <w:pStyle w:val="2"/>
        <w:ind w:firstLine="0" w:firstLineChars="0"/>
        <w:rPr>
          <w:rFonts w:hint="eastAsia" w:eastAsia="仿宋_GB2312"/>
          <w:color w:val="auto"/>
          <w:highlight w:val="none"/>
          <w:lang w:eastAsia="zh-CN"/>
        </w:rPr>
      </w:pPr>
      <w:r>
        <w:rPr>
          <w:rFonts w:hint="eastAsia" w:ascii="仿宋_GB2312" w:hAnsi="仿宋" w:eastAsia="仿宋_GB2312" w:cs="仿宋_GB2312"/>
          <w:color w:val="auto"/>
          <w:kern w:val="0"/>
          <w:sz w:val="24"/>
          <w:highlight w:val="none"/>
          <w:lang w:eastAsia="zh-CN"/>
        </w:rPr>
        <w:t>（</w:t>
      </w:r>
      <w:r>
        <w:rPr>
          <w:rFonts w:hint="eastAsia" w:ascii="仿宋_GB2312" w:hAnsi="仿宋" w:eastAsia="仿宋_GB2312" w:cs="仿宋_GB2312"/>
          <w:color w:val="auto"/>
          <w:kern w:val="0"/>
          <w:sz w:val="24"/>
          <w:highlight w:val="none"/>
          <w:lang w:val="en-US" w:eastAsia="zh-CN"/>
        </w:rPr>
        <w:t>9</w:t>
      </w:r>
      <w:r>
        <w:rPr>
          <w:rFonts w:hint="eastAsia" w:ascii="仿宋_GB2312" w:hAnsi="仿宋" w:eastAsia="仿宋_GB2312" w:cs="仿宋_GB2312"/>
          <w:color w:val="auto"/>
          <w:kern w:val="0"/>
          <w:sz w:val="24"/>
          <w:highlight w:val="none"/>
          <w:lang w:eastAsia="zh-CN"/>
        </w:rPr>
        <w:t>）以联合体形式投标的，提供联合体协议；本项目不允许联合体投标或者投标人不以联合体形式投标的，则不需要提供</w:t>
      </w:r>
      <w:r>
        <w:rPr>
          <w:rFonts w:hint="eastAsia" w:ascii="仿宋_GB2312" w:hAnsi="仿宋" w:eastAsia="仿宋_GB2312" w:cs="仿宋_GB2312"/>
          <w:color w:val="auto"/>
          <w:kern w:val="0"/>
          <w:sz w:val="24"/>
          <w:highlight w:val="none"/>
        </w:rPr>
        <w:t>………………………………………………（页码）</w:t>
      </w:r>
    </w:p>
    <w:p>
      <w:pPr>
        <w:spacing w:line="360" w:lineRule="auto"/>
        <w:ind w:firstLine="0" w:firstLineChars="0"/>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b/>
          <w:color w:val="auto"/>
          <w:sz w:val="30"/>
          <w:szCs w:val="30"/>
          <w:highlight w:val="none"/>
        </w:rPr>
      </w:pPr>
      <w:r>
        <w:rPr>
          <w:rFonts w:hint="eastAsia" w:ascii="仿宋_GB2312" w:hAnsi="仿宋" w:eastAsia="仿宋_GB2312" w:cs="仿宋_GB2312"/>
          <w:color w:val="auto"/>
          <w:kern w:val="0"/>
          <w:sz w:val="24"/>
          <w:highlight w:val="none"/>
        </w:rPr>
        <w:br w:type="page"/>
      </w:r>
      <w:r>
        <w:rPr>
          <w:rFonts w:hint="eastAsia" w:ascii="仿宋_GB2312" w:hAnsi="仿宋" w:eastAsia="仿宋_GB2312" w:cs="仿宋_GB2312"/>
          <w:b/>
          <w:color w:val="auto"/>
          <w:kern w:val="0"/>
          <w:sz w:val="32"/>
          <w:szCs w:val="32"/>
          <w:highlight w:val="none"/>
          <w:lang w:val="zh-CN"/>
        </w:rPr>
        <w:t>一、</w:t>
      </w:r>
      <w:r>
        <w:rPr>
          <w:rFonts w:hint="eastAsia" w:ascii="仿宋_GB2312" w:hAnsi="仿宋" w:eastAsia="仿宋_GB2312" w:cs="仿宋_GB2312"/>
          <w:b/>
          <w:color w:val="auto"/>
          <w:sz w:val="30"/>
          <w:szCs w:val="30"/>
          <w:highlight w:val="none"/>
        </w:rPr>
        <w:t>营业执照或事业法人登记证证明材料（复印件）、税务缴纳证明文件（复印件）、社保缴纳证明文件（复印件）</w:t>
      </w:r>
    </w:p>
    <w:p>
      <w:pPr>
        <w:spacing w:line="360" w:lineRule="auto"/>
        <w:jc w:val="center"/>
        <w:rPr>
          <w:rFonts w:ascii="仿宋_GB2312" w:hAnsi="仿宋" w:eastAsia="仿宋_GB2312" w:cs="仿宋_GB2312"/>
          <w:b/>
          <w:color w:val="auto"/>
          <w:sz w:val="30"/>
          <w:szCs w:val="30"/>
          <w:highlight w:val="none"/>
        </w:rPr>
      </w:pP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b/>
          <w:color w:val="auto"/>
          <w:sz w:val="30"/>
          <w:szCs w:val="30"/>
          <w:highlight w:val="none"/>
        </w:rPr>
      </w:pPr>
      <w:r>
        <w:rPr>
          <w:rFonts w:hint="eastAsia" w:ascii="仿宋_GB2312" w:hAnsi="仿宋" w:eastAsia="仿宋_GB2312" w:cs="仿宋_GB2312"/>
          <w:color w:val="auto"/>
          <w:kern w:val="0"/>
          <w:sz w:val="24"/>
          <w:highlight w:val="none"/>
          <w:lang w:val="zh-CN"/>
        </w:rPr>
        <w:t xml:space="preserve">                   日期：  年  月</w:t>
      </w:r>
    </w:p>
    <w:p>
      <w:pPr>
        <w:spacing w:line="360" w:lineRule="auto"/>
        <w:jc w:val="center"/>
        <w:rPr>
          <w:rFonts w:ascii="仿宋_GB2312" w:hAnsi="仿宋" w:eastAsia="仿宋_GB2312" w:cs="仿宋_GB2312"/>
          <w:b/>
          <w:color w:val="auto"/>
          <w:sz w:val="30"/>
          <w:szCs w:val="30"/>
          <w:highlight w:val="none"/>
        </w:rPr>
      </w:pPr>
    </w:p>
    <w:p>
      <w:pPr>
        <w:spacing w:line="360" w:lineRule="auto"/>
        <w:jc w:val="center"/>
        <w:rPr>
          <w:rFonts w:ascii="仿宋_GB2312" w:hAnsi="仿宋" w:eastAsia="仿宋_GB2312" w:cs="仿宋_GB2312"/>
          <w:b/>
          <w:color w:val="auto"/>
          <w:sz w:val="30"/>
          <w:szCs w:val="30"/>
          <w:highlight w:val="none"/>
        </w:rPr>
      </w:pPr>
    </w:p>
    <w:p>
      <w:pPr>
        <w:snapToGrid w:val="0"/>
        <w:spacing w:line="360" w:lineRule="auto"/>
        <w:ind w:firstLine="2570" w:firstLineChars="800"/>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二、法人授权书</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杭州市公安局、杭州市公共资源交易中心（杭州市政府采购中心）</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兹委派我公司</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先生/女士(其在本公司的职务是：</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 ，联系电话：</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)，代表我公司全权处理</w:t>
      </w:r>
      <w:r>
        <w:rPr>
          <w:rFonts w:hint="eastAsia" w:ascii="仿宋_GB2312" w:hAnsi="仿宋" w:eastAsia="仿宋_GB2312" w:cs="仿宋_GB2312"/>
          <w:color w:val="auto"/>
          <w:sz w:val="24"/>
          <w:highlight w:val="none"/>
        </w:rPr>
        <w:t>杭州城市大脑**操作系统V3.0项目应用支撑和运营保障</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】政府采购投标的一切事项，若中标则全权代表本公司签订相关合同，并负责处理合同履行等事宜。</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本授权书有效期：自   年 月  日起至  年  月  日止。</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特此告知。</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签发日期：  年  月   日</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br w:type="page"/>
      </w:r>
      <w:r>
        <w:rPr>
          <w:rFonts w:hint="eastAsia" w:ascii="仿宋_GB2312" w:hAnsi="仿宋" w:eastAsia="仿宋_GB2312" w:cs="仿宋_GB2312"/>
          <w:b/>
          <w:color w:val="auto"/>
          <w:kern w:val="0"/>
          <w:sz w:val="32"/>
          <w:szCs w:val="32"/>
          <w:highlight w:val="none"/>
          <w:lang w:val="zh-CN"/>
        </w:rPr>
        <w:t xml:space="preserve">   联合体投标授权书（适用联合体投标）</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兹委派</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公司</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先生/女士(其在该公司的职务是：</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 ，联系电话：</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公司</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先生/女士(其在该公司的职务是：</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 ，联系电话：</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)；……，代表本联合体全权处理</w:t>
      </w:r>
      <w:r>
        <w:rPr>
          <w:rFonts w:hint="eastAsia" w:ascii="仿宋_GB2312" w:hAnsi="仿宋" w:eastAsia="仿宋_GB2312" w:cs="仿宋_GB2312"/>
          <w:color w:val="auto"/>
          <w:sz w:val="24"/>
          <w:highlight w:val="none"/>
        </w:rPr>
        <w:t>杭州城市大脑**操作系统V3.0项目应用支撑和运营保障</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】政府采购投标的一切事项，若中标则全权代表本联合体签订相关合同，并负责处理合同履行等事宜。</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本授权书有效期：自   年 月  日起至  年  月  日止。</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特此告知。</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单位：            （电子签名）         单位：          （电子签名）</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    年   月   日             日期：    年   月   日</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w:t>
      </w:r>
    </w:p>
    <w:p>
      <w:pPr>
        <w:spacing w:line="360" w:lineRule="auto"/>
        <w:rPr>
          <w:rFonts w:ascii="仿宋_GB2312" w:hAnsi="仿宋" w:eastAsia="仿宋_GB2312" w:cs="仿宋_GB2312"/>
          <w:color w:val="auto"/>
          <w:sz w:val="28"/>
          <w:szCs w:val="28"/>
          <w:highlight w:val="none"/>
        </w:rPr>
      </w:pPr>
    </w:p>
    <w:p>
      <w:pPr>
        <w:spacing w:line="360" w:lineRule="auto"/>
        <w:rPr>
          <w:rFonts w:ascii="仿宋_GB2312" w:hAnsi="仿宋" w:eastAsia="仿宋_GB2312" w:cs="仿宋_GB2312"/>
          <w:color w:val="auto"/>
          <w:sz w:val="28"/>
          <w:szCs w:val="28"/>
          <w:highlight w:val="none"/>
        </w:rPr>
      </w:pP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b/>
          <w:bCs/>
          <w:color w:val="auto"/>
          <w:sz w:val="30"/>
          <w:szCs w:val="30"/>
          <w:highlight w:val="none"/>
        </w:rPr>
        <w:br w:type="page"/>
      </w:r>
      <w:r>
        <w:rPr>
          <w:rFonts w:hint="eastAsia" w:ascii="仿宋_GB2312" w:hAnsi="仿宋" w:eastAsia="仿宋_GB2312" w:cs="仿宋_GB2312"/>
          <w:b/>
          <w:bCs/>
          <w:color w:val="auto"/>
          <w:sz w:val="30"/>
          <w:szCs w:val="30"/>
          <w:highlight w:val="none"/>
        </w:rPr>
        <w:t>三、</w:t>
      </w:r>
      <w:r>
        <w:rPr>
          <w:rFonts w:hint="eastAsia" w:ascii="仿宋_GB2312" w:hAnsi="仿宋" w:eastAsia="仿宋_GB2312" w:cs="仿宋_GB2312"/>
          <w:b/>
          <w:color w:val="auto"/>
          <w:sz w:val="30"/>
          <w:szCs w:val="30"/>
          <w:highlight w:val="none"/>
        </w:rPr>
        <w:t>授权代表的身份证（复印件）</w:t>
      </w:r>
    </w:p>
    <w:p>
      <w:pPr>
        <w:pStyle w:val="475"/>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475"/>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                                 反面：</w:t>
            </w:r>
          </w:p>
          <w:p>
            <w:pPr>
              <w:pStyle w:val="475"/>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w:t>
      </w:r>
    </w:p>
    <w:p>
      <w:pPr>
        <w:spacing w:line="360" w:lineRule="auto"/>
        <w:jc w:val="center"/>
        <w:rPr>
          <w:rFonts w:ascii="仿宋_GB2312" w:hAnsi="仿宋" w:eastAsia="仿宋_GB2312" w:cs="仿宋_GB2312"/>
          <w:color w:val="auto"/>
          <w:kern w:val="0"/>
          <w:sz w:val="24"/>
          <w:highlight w:val="none"/>
          <w:lang w:val="zh-CN"/>
        </w:rPr>
      </w:pPr>
    </w:p>
    <w:p>
      <w:pPr>
        <w:spacing w:line="360" w:lineRule="auto"/>
        <w:jc w:val="center"/>
        <w:rPr>
          <w:rFonts w:ascii="仿宋_GB2312" w:hAnsi="仿宋" w:eastAsia="仿宋_GB2312" w:cs="仿宋_GB2312"/>
          <w:b/>
          <w:color w:val="auto"/>
          <w:sz w:val="30"/>
          <w:szCs w:val="30"/>
          <w:highlight w:val="none"/>
        </w:rPr>
      </w:pPr>
    </w:p>
    <w:p>
      <w:pPr>
        <w:spacing w:line="360" w:lineRule="auto"/>
        <w:jc w:val="center"/>
        <w:rPr>
          <w:rFonts w:ascii="仿宋_GB2312" w:hAnsi="仿宋" w:eastAsia="仿宋_GB2312" w:cs="仿宋_GB2312"/>
          <w:b/>
          <w:color w:val="auto"/>
          <w:sz w:val="30"/>
          <w:szCs w:val="30"/>
          <w:highlight w:val="none"/>
        </w:rPr>
      </w:pPr>
    </w:p>
    <w:p>
      <w:pPr>
        <w:spacing w:line="360" w:lineRule="auto"/>
        <w:jc w:val="center"/>
        <w:rPr>
          <w:rFonts w:ascii="仿宋_GB2312" w:hAnsi="仿宋" w:eastAsia="仿宋_GB2312" w:cs="仿宋_GB2312"/>
          <w:b/>
          <w:color w:val="auto"/>
          <w:sz w:val="30"/>
          <w:szCs w:val="30"/>
          <w:highlight w:val="none"/>
        </w:rPr>
      </w:pPr>
    </w:p>
    <w:p>
      <w:pPr>
        <w:spacing w:line="360" w:lineRule="auto"/>
        <w:rPr>
          <w:rFonts w:ascii="仿宋_GB2312" w:hAnsi="仿宋" w:eastAsia="仿宋_GB2312" w:cs="仿宋_GB2312"/>
          <w:b/>
          <w:color w:val="auto"/>
          <w:sz w:val="30"/>
          <w:szCs w:val="30"/>
          <w:highlight w:val="none"/>
        </w:rPr>
      </w:pPr>
      <w:r>
        <w:rPr>
          <w:rFonts w:hint="eastAsia" w:ascii="仿宋_GB2312" w:hAnsi="仿宋" w:eastAsia="仿宋_GB2312" w:cs="仿宋_GB2312"/>
          <w:b/>
          <w:color w:val="auto"/>
          <w:sz w:val="30"/>
          <w:szCs w:val="30"/>
          <w:highlight w:val="none"/>
        </w:rPr>
        <w:t>四、2019年度资产负债表等财务报表资料文件（复印件）</w:t>
      </w:r>
    </w:p>
    <w:p>
      <w:pPr>
        <w:spacing w:line="360" w:lineRule="auto"/>
        <w:rPr>
          <w:rFonts w:ascii="仿宋_GB2312" w:hAnsi="仿宋" w:eastAsia="仿宋_GB2312" w:cs="仿宋_GB2312"/>
          <w:b/>
          <w:color w:val="auto"/>
          <w:sz w:val="30"/>
          <w:szCs w:val="30"/>
          <w:highlight w:val="none"/>
        </w:rPr>
      </w:pP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投标人名称(电子签名)：                              </w:t>
      </w:r>
    </w:p>
    <w:p>
      <w:pPr>
        <w:snapToGrid w:val="0"/>
        <w:spacing w:line="360" w:lineRule="auto"/>
        <w:ind w:right="480"/>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w:t>
      </w:r>
    </w:p>
    <w:p>
      <w:pPr>
        <w:snapToGrid w:val="0"/>
        <w:spacing w:line="360" w:lineRule="auto"/>
        <w:ind w:right="480"/>
        <w:jc w:val="center"/>
        <w:rPr>
          <w:rFonts w:ascii="仿宋_GB2312" w:hAnsi="仿宋" w:eastAsia="仿宋_GB2312" w:cs="仿宋_GB2312"/>
          <w:b/>
          <w:color w:val="auto"/>
          <w:kern w:val="0"/>
          <w:sz w:val="32"/>
          <w:szCs w:val="32"/>
          <w:highlight w:val="none"/>
          <w:lang w:val="zh-CN"/>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r>
        <w:rPr>
          <w:rFonts w:hint="eastAsia" w:ascii="仿宋_GB2312" w:hAnsi="仿宋" w:eastAsia="仿宋_GB2312" w:cs="仿宋_GB2312"/>
          <w:b/>
          <w:color w:val="auto"/>
          <w:kern w:val="0"/>
          <w:sz w:val="32"/>
          <w:szCs w:val="32"/>
          <w:highlight w:val="none"/>
        </w:rPr>
        <w:t>五、具有履行合同所必需的设备和专业技术能力的承诺函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杭州市公安局、杭州市公共资源交易中心（杭州市政府采购中心）：</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我方郑重承诺，我方具有履行杭州城市大脑**操作系统V3.0项目应用支撑和运营保障【招标编号：HZZFCG-2020-083】合同所必需的设备和专业技术能力。如中标，我方将保证合同顺利履行。</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040" w:firstLineChars="21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160" w:firstLineChars="2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center"/>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六、参加政府采购活动前三年内，在经营活动中</w:t>
      </w:r>
    </w:p>
    <w:p>
      <w:pPr>
        <w:spacing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没有重大违法记录的声明</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杭州市公安局、杭州市公共资源交易中心（杭州市政府采购中心）</w:t>
      </w:r>
      <w:r>
        <w:rPr>
          <w:rFonts w:hint="eastAsia" w:ascii="仿宋_GB2312" w:hAnsi="仿宋" w:eastAsia="仿宋_GB2312" w:cs="仿宋_GB2312"/>
          <w:color w:val="auto"/>
          <w:kern w:val="0"/>
          <w:sz w:val="24"/>
          <w:highlight w:val="none"/>
          <w:lang w:val="zh-CN"/>
        </w:rPr>
        <w:t>：</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lang w:val="zh-CN"/>
        </w:rPr>
        <w:t>我方</w:t>
      </w:r>
      <w:r>
        <w:rPr>
          <w:rFonts w:hint="eastAsia" w:ascii="仿宋_GB2312" w:hAnsi="仿宋" w:eastAsia="仿宋_GB2312" w:cs="仿宋_GB2312"/>
          <w:color w:val="auto"/>
          <w:sz w:val="24"/>
          <w:highlight w:val="none"/>
        </w:rPr>
        <w:t>声明投标截止时间前三年，在</w:t>
      </w:r>
      <w:r>
        <w:rPr>
          <w:rFonts w:hint="eastAsia" w:ascii="仿宋_GB2312" w:hAnsi="仿宋" w:eastAsia="仿宋_GB2312" w:cs="仿宋_GB2312"/>
          <w:color w:val="auto"/>
          <w:kern w:val="0"/>
          <w:sz w:val="24"/>
          <w:highlight w:val="none"/>
        </w:rPr>
        <w:t>经营活动中</w:t>
      </w:r>
      <w:r>
        <w:rPr>
          <w:rFonts w:hint="eastAsia" w:ascii="仿宋_GB2312" w:hAnsi="仿宋" w:eastAsia="仿宋_GB2312" w:cs="仿宋_GB2312"/>
          <w:color w:val="auto"/>
          <w:sz w:val="24"/>
          <w:highlight w:val="none"/>
        </w:rPr>
        <w:t xml:space="preserve">没有重大违法记录。 </w:t>
      </w: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firstLine="5160" w:firstLineChars="2150"/>
        <w:rPr>
          <w:rFonts w:ascii="仿宋_GB2312" w:hAnsi="仿宋" w:eastAsia="仿宋_GB2312" w:cs="仿宋_GB2312"/>
          <w:color w:val="auto"/>
          <w:kern w:val="0"/>
          <w:sz w:val="24"/>
          <w:highlight w:val="none"/>
          <w:lang w:val="zh-CN"/>
        </w:rPr>
      </w:pPr>
    </w:p>
    <w:p>
      <w:pPr>
        <w:snapToGrid w:val="0"/>
        <w:spacing w:line="360" w:lineRule="auto"/>
        <w:ind w:firstLine="5160" w:firstLineChars="2150"/>
        <w:rPr>
          <w:rFonts w:ascii="仿宋_GB2312" w:hAnsi="仿宋" w:eastAsia="仿宋_GB2312" w:cs="仿宋_GB2312"/>
          <w:color w:val="auto"/>
          <w:kern w:val="0"/>
          <w:sz w:val="24"/>
          <w:highlight w:val="none"/>
          <w:lang w:val="zh-CN"/>
        </w:rPr>
      </w:pPr>
    </w:p>
    <w:p>
      <w:pPr>
        <w:snapToGrid w:val="0"/>
        <w:spacing w:line="360" w:lineRule="auto"/>
        <w:ind w:firstLine="5160" w:firstLineChars="2150"/>
        <w:rPr>
          <w:rFonts w:ascii="仿宋_GB2312" w:hAnsi="仿宋" w:eastAsia="仿宋_GB2312" w:cs="仿宋_GB2312"/>
          <w:color w:val="auto"/>
          <w:kern w:val="0"/>
          <w:sz w:val="24"/>
          <w:highlight w:val="none"/>
          <w:lang w:val="zh-CN"/>
        </w:rPr>
      </w:pPr>
    </w:p>
    <w:p>
      <w:pPr>
        <w:snapToGrid w:val="0"/>
        <w:spacing w:line="360" w:lineRule="auto"/>
        <w:ind w:firstLine="5160" w:firstLineChars="2150"/>
        <w:rPr>
          <w:rFonts w:ascii="仿宋_GB2312" w:hAnsi="仿宋" w:eastAsia="仿宋_GB2312" w:cs="仿宋_GB2312"/>
          <w:color w:val="auto"/>
          <w:kern w:val="0"/>
          <w:sz w:val="24"/>
          <w:highlight w:val="none"/>
          <w:lang w:val="zh-CN"/>
        </w:rPr>
      </w:pPr>
    </w:p>
    <w:p>
      <w:pPr>
        <w:snapToGrid w:val="0"/>
        <w:spacing w:line="360" w:lineRule="auto"/>
        <w:ind w:firstLine="5160" w:firstLineChars="2150"/>
        <w:rPr>
          <w:rFonts w:ascii="仿宋_GB2312" w:hAnsi="仿宋" w:eastAsia="仿宋_GB2312" w:cs="仿宋_GB2312"/>
          <w:color w:val="auto"/>
          <w:kern w:val="0"/>
          <w:sz w:val="24"/>
          <w:highlight w:val="none"/>
          <w:lang w:val="zh-CN"/>
        </w:rPr>
      </w:pPr>
    </w:p>
    <w:p>
      <w:pPr>
        <w:snapToGrid w:val="0"/>
        <w:spacing w:line="360" w:lineRule="auto"/>
        <w:ind w:firstLine="1606" w:firstLineChars="500"/>
        <w:rPr>
          <w:rFonts w:ascii="仿宋_GB2312" w:hAnsi="仿宋" w:eastAsia="仿宋_GB2312" w:cs="仿宋_GB2312"/>
          <w:b/>
          <w:color w:val="auto"/>
          <w:kern w:val="0"/>
          <w:sz w:val="32"/>
          <w:szCs w:val="32"/>
          <w:highlight w:val="none"/>
        </w:rPr>
      </w:pPr>
    </w:p>
    <w:p>
      <w:pPr>
        <w:snapToGrid w:val="0"/>
        <w:spacing w:line="360" w:lineRule="auto"/>
        <w:ind w:firstLine="1606" w:firstLineChars="5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七、具有良好商业信誉特别声明</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杭州市公安局、杭州市公共资源交易中心（杭州市政府采购中心）</w:t>
      </w:r>
      <w:r>
        <w:rPr>
          <w:rFonts w:hint="eastAsia" w:ascii="仿宋_GB2312" w:hAnsi="仿宋" w:eastAsia="仿宋_GB2312" w:cs="仿宋_GB2312"/>
          <w:color w:val="auto"/>
          <w:kern w:val="0"/>
          <w:sz w:val="24"/>
          <w:highlight w:val="none"/>
          <w:lang w:val="zh-CN"/>
        </w:rPr>
        <w:t>：</w:t>
      </w:r>
    </w:p>
    <w:p>
      <w:pPr>
        <w:snapToGrid w:val="0"/>
        <w:spacing w:line="360" w:lineRule="auto"/>
        <w:ind w:firstLine="48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rPr>
        <w:t>截至投标截止时间，我方具有良好的商业信誉，不存在下列情形（包括但不限于）。否则，我方将承担在资格审查时不被通过的后果。</w:t>
      </w:r>
    </w:p>
    <w:p>
      <w:pPr>
        <w:pStyle w:val="124"/>
        <w:spacing w:before="0"/>
        <w:ind w:firstLine="495" w:firstLineChars="0"/>
        <w:rPr>
          <w:rFonts w:ascii="仿宋_GB2312" w:hAnsi="仿宋" w:eastAsia="仿宋_GB2312"/>
          <w:color w:val="auto"/>
          <w:highlight w:val="none"/>
        </w:rPr>
      </w:pPr>
      <w:r>
        <w:rPr>
          <w:rFonts w:hint="eastAsia" w:ascii="仿宋_GB2312" w:hAnsi="仿宋" w:eastAsia="仿宋_GB2312"/>
          <w:color w:val="auto"/>
          <w:highlight w:val="none"/>
        </w:rPr>
        <w:t>1</w:t>
      </w:r>
      <w:r>
        <w:rPr>
          <w:rFonts w:hint="eastAsia" w:ascii="仿宋_GB2312" w:hAnsi="仿宋" w:eastAsia="仿宋_GB2312" w:cs="仿宋_GB2312"/>
          <w:b/>
          <w:color w:val="auto"/>
          <w:szCs w:val="24"/>
          <w:highlight w:val="none"/>
        </w:rPr>
        <w:t>、</w:t>
      </w:r>
      <w:r>
        <w:rPr>
          <w:rFonts w:hint="eastAsia" w:ascii="仿宋_GB2312" w:hAnsi="仿宋" w:eastAsia="仿宋_GB2312"/>
          <w:color w:val="auto"/>
          <w:highlight w:val="none"/>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ascii="仿宋_GB2312" w:hAnsi="仿宋" w:eastAsia="仿宋_GB2312"/>
          <w:color w:val="auto"/>
          <w:sz w:val="24"/>
          <w:highlight w:val="none"/>
        </w:rPr>
      </w:pPr>
    </w:p>
    <w:p>
      <w:pPr>
        <w:snapToGrid w:val="0"/>
        <w:spacing w:line="360" w:lineRule="auto"/>
        <w:ind w:firstLine="4680" w:firstLineChars="19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center"/>
        <w:rPr>
          <w:rFonts w:ascii="仿宋_GB2312" w:hAnsi="仿宋" w:eastAsia="仿宋_GB2312" w:cs="仿宋_GB2312"/>
          <w:b/>
          <w:color w:val="auto"/>
          <w:sz w:val="30"/>
          <w:szCs w:val="30"/>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八、特定资格条件要求的资质文件（复印件）</w:t>
      </w:r>
    </w:p>
    <w:p>
      <w:pPr>
        <w:widowControl/>
        <w:spacing w:line="360" w:lineRule="auto"/>
        <w:ind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firstLine="2891" w:firstLineChars="9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bCs/>
          <w:color w:val="auto"/>
          <w:sz w:val="32"/>
          <w:szCs w:val="32"/>
          <w:highlight w:val="none"/>
        </w:rPr>
        <w:br w:type="page"/>
      </w: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（1）投标响应函……………………………………………………（页码）</w:t>
      </w:r>
    </w:p>
    <w:p>
      <w:pPr>
        <w:spacing w:line="360" w:lineRule="auto"/>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（2）投标（开标）一览表…………………………………………（页码）</w:t>
      </w:r>
    </w:p>
    <w:p>
      <w:pPr>
        <w:spacing w:line="360" w:lineRule="auto"/>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（3）中小企业声明函………………………………………………（页码）</w:t>
      </w:r>
    </w:p>
    <w:p>
      <w:pPr>
        <w:spacing w:line="360" w:lineRule="auto"/>
        <w:ind w:left="2" w:firstLine="480" w:firstLineChars="200"/>
        <w:rPr>
          <w:rFonts w:ascii="仿宋_GB2312" w:hAnsi="仿宋" w:eastAsia="仿宋_GB2312" w:cs="仿宋_GB2312"/>
          <w:color w:val="auto"/>
          <w:sz w:val="24"/>
          <w:highlight w:val="none"/>
        </w:rPr>
      </w:pPr>
    </w:p>
    <w:p>
      <w:pPr>
        <w:spacing w:line="360" w:lineRule="auto"/>
        <w:ind w:left="2" w:firstLine="480" w:firstLineChars="200"/>
        <w:rPr>
          <w:rFonts w:ascii="仿宋_GB2312" w:hAnsi="仿宋" w:eastAsia="仿宋_GB2312" w:cs="仿宋_GB2312"/>
          <w:color w:val="auto"/>
          <w:sz w:val="24"/>
          <w:highlight w:val="none"/>
        </w:rPr>
      </w:pPr>
    </w:p>
    <w:p>
      <w:pPr>
        <w:spacing w:line="360" w:lineRule="auto"/>
        <w:ind w:left="2" w:firstLine="480" w:firstLineChars="200"/>
        <w:rPr>
          <w:rFonts w:ascii="仿宋_GB2312" w:hAnsi="仿宋" w:eastAsia="仿宋_GB2312" w:cs="仿宋_GB2312"/>
          <w:color w:val="auto"/>
          <w:sz w:val="24"/>
          <w:highlight w:val="none"/>
        </w:rPr>
      </w:pPr>
    </w:p>
    <w:p>
      <w:pPr>
        <w:spacing w:line="360" w:lineRule="auto"/>
        <w:ind w:left="2" w:firstLine="480" w:firstLineChars="200"/>
        <w:rPr>
          <w:rFonts w:ascii="仿宋_GB2312" w:hAnsi="仿宋" w:eastAsia="仿宋_GB2312" w:cs="仿宋_GB2312"/>
          <w:color w:val="auto"/>
          <w:sz w:val="24"/>
          <w:highlight w:val="none"/>
        </w:rPr>
      </w:pPr>
    </w:p>
    <w:p>
      <w:pPr>
        <w:spacing w:line="360" w:lineRule="auto"/>
        <w:ind w:left="2" w:firstLine="480" w:firstLineChars="200"/>
        <w:rPr>
          <w:rFonts w:ascii="仿宋_GB2312" w:hAnsi="仿宋" w:eastAsia="仿宋_GB2312" w:cs="仿宋_GB2312"/>
          <w:color w:val="auto"/>
          <w:sz w:val="24"/>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一、投标响应</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杭州市公安局、杭州市公共资源交易中心（杭州市政府采购中心）：</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sz w:val="24"/>
          <w:highlight w:val="none"/>
        </w:rPr>
        <w:t>(投标人全称)授权</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sz w:val="24"/>
          <w:highlight w:val="none"/>
        </w:rPr>
        <w:t>(全权代表姓名)</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sz w:val="24"/>
          <w:highlight w:val="none"/>
        </w:rPr>
        <w:t>(职务、职称)为全权代表，参加贵方组织的杭州城市大脑**操作系统V3.0项目应用支撑和运营保障【招标编号：      】招标的有关活动，并对此项目进行投标。为此：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1、我方同意在投标人</w:t>
      </w:r>
      <w:r>
        <w:rPr>
          <w:rFonts w:hint="eastAsia" w:ascii="仿宋_GB2312" w:hAnsi="仿宋" w:eastAsia="仿宋_GB2312" w:cs="仿宋_GB2312"/>
          <w:color w:val="auto"/>
          <w:kern w:val="44"/>
          <w:sz w:val="24"/>
          <w:highlight w:val="none"/>
        </w:rPr>
        <w:t>投标人须知</w:t>
      </w:r>
      <w:r>
        <w:rPr>
          <w:rFonts w:hint="eastAsia" w:ascii="仿宋_GB2312" w:hAnsi="仿宋" w:eastAsia="仿宋_GB2312" w:cs="仿宋_GB2312"/>
          <w:color w:val="auto"/>
          <w:sz w:val="24"/>
          <w:highlight w:val="none"/>
        </w:rPr>
        <w:t>规定的开标日期起遵守本投标文件中的承诺且在投标有效期满之前均具有约束力。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2、我方承诺已经具备《中华人民共和国政府采购法》中规定的参加政府采购活动的供应商应当具备的条件：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(1)具有独立承担民事责任的能力；</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(2)遵守国家法律、行政法规，具有良好的信誉和商业道德；</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(3)具有履行合同的能力和良好的履行合同记录；</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(4)良好的资金、财务状况；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(5)产品及生产所需装备符合中国政府规定的相应技术标准和环保标准；</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(6)没有违反政府采购法规、政策的记录；</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(7)没有发生重大经济纠纷和走私犯罪记录。</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3、我方中标后拟在中标后将</w:t>
      </w:r>
      <w:r>
        <w:rPr>
          <w:rFonts w:hint="eastAsia"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工作分包，分包承担主体是</w:t>
      </w:r>
      <w:r>
        <w:rPr>
          <w:rFonts w:hint="eastAsia"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，我方承诺分包承担主体具备相应资质条件</w:t>
      </w:r>
      <w:r>
        <w:rPr>
          <w:rFonts w:hint="eastAsia"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，且不再次分包。（不再将工作进行分包或本项目不允许分包的，下划线处填写“/”。）</w:t>
      </w:r>
    </w:p>
    <w:p>
      <w:pPr>
        <w:pStyle w:val="34"/>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4、提供</w:t>
      </w:r>
      <w:r>
        <w:rPr>
          <w:rFonts w:hint="eastAsia" w:ascii="仿宋_GB2312" w:hAnsi="仿宋" w:eastAsia="仿宋_GB2312" w:cs="仿宋_GB2312"/>
          <w:color w:val="auto"/>
          <w:kern w:val="44"/>
          <w:sz w:val="24"/>
          <w:highlight w:val="none"/>
        </w:rPr>
        <w:t>投标人须知</w:t>
      </w:r>
      <w:r>
        <w:rPr>
          <w:rFonts w:hint="eastAsia" w:ascii="仿宋_GB2312" w:hAnsi="仿宋" w:eastAsia="仿宋_GB2312" w:cs="仿宋_GB2312"/>
          <w:color w:val="auto"/>
          <w:sz w:val="24"/>
          <w:highlight w:val="none"/>
        </w:rPr>
        <w:t>规定的全部投标文件</w:t>
      </w:r>
      <w:r>
        <w:rPr>
          <w:rFonts w:hint="eastAsia" w:ascii="仿宋_GB2312" w:hAnsi="仿宋" w:eastAsia="仿宋_GB2312" w:cs="仿宋_GB2312"/>
          <w:color w:val="auto"/>
          <w:kern w:val="44"/>
          <w:sz w:val="24"/>
          <w:highlight w:val="none"/>
        </w:rPr>
        <w:t>。</w:t>
      </w:r>
      <w:r>
        <w:rPr>
          <w:rFonts w:hint="eastAsia" w:ascii="仿宋_GB2312" w:hAnsi="仿宋" w:eastAsia="仿宋_GB2312" w:cs="仿宋_GB2312"/>
          <w:color w:val="auto"/>
          <w:sz w:val="24"/>
          <w:highlight w:val="none"/>
        </w:rPr>
        <w:t>具体内容为：</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(1)投标(开标)一览表；</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(2)投标</w:t>
      </w:r>
      <w:r>
        <w:rPr>
          <w:rFonts w:hint="eastAsia" w:ascii="仿宋_GB2312" w:hAnsi="仿宋" w:eastAsia="仿宋_GB2312" w:cs="仿宋_GB2312"/>
          <w:color w:val="auto"/>
          <w:kern w:val="0"/>
          <w:sz w:val="24"/>
          <w:highlight w:val="none"/>
          <w:lang w:val="zh-CN"/>
        </w:rPr>
        <w:t>技术文件和</w:t>
      </w:r>
      <w:r>
        <w:rPr>
          <w:rFonts w:hint="eastAsia" w:ascii="仿宋_GB2312" w:hAnsi="仿宋" w:eastAsia="仿宋_GB2312" w:cs="仿宋_GB2312"/>
          <w:color w:val="auto"/>
          <w:sz w:val="24"/>
          <w:highlight w:val="none"/>
          <w:lang w:val="zh-CN"/>
        </w:rPr>
        <w:t>商务文件</w:t>
      </w:r>
      <w:r>
        <w:rPr>
          <w:rFonts w:hint="eastAsia"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w:t>
      </w:r>
      <w:r>
        <w:rPr>
          <w:rFonts w:hint="eastAsia" w:ascii="仿宋_GB2312" w:hAnsi="仿宋" w:eastAsia="仿宋_GB2312" w:cs="仿宋_GB2312"/>
          <w:color w:val="auto"/>
          <w:kern w:val="44"/>
          <w:sz w:val="24"/>
          <w:highlight w:val="none"/>
        </w:rPr>
        <w:t>投标人须知</w:t>
      </w:r>
      <w:r>
        <w:rPr>
          <w:rFonts w:hint="eastAsia" w:ascii="仿宋_GB2312" w:hAnsi="仿宋" w:eastAsia="仿宋_GB2312" w:cs="仿宋_GB2312"/>
          <w:color w:val="auto"/>
          <w:sz w:val="24"/>
          <w:highlight w:val="none"/>
        </w:rPr>
        <w:t>要求投标人提交的全部文件；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(4)按招标文件要求提供和交付的货物和服务的投标报价详见投标(开标)一览表；</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(5)保证忠实地执行双方所签订的合同，并承担合同规定的责任和义务；</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(6)保证遵守招标文件中的其他有关规定。</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5、我方承诺投标有效期从提交投标文件的截止之日起</w:t>
      </w:r>
      <w:r>
        <w:rPr>
          <w:rFonts w:hint="eastAsia"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天，不少于招标文件中载明的投标有效期（从提交投标文件的截止之日起90天）。</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6、我方完全理解贵方不一定要接受最低价的投标。</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8、我方已详细审核全部招标文件，包括招标文件修改书(如果有)、参考资料及有关附件，确认无误。</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a)提供虚假材料谋取中标、成交的；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b)采取不正当手段诋毁、排挤其他供应商的；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c)与采购人、其它供应商或者采购机构恶意串通的；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d)向采购人、采购机构行贿或者提供其他不正当利益的；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e)在招标采购过程中与采购人进行协商谈判的；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f)拒绝有关部门监督检查或提供虚假情况的。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供应商有前款第a)至e)项情形之一的，中标、成交无效。</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投标人名称（电子签名）：                          </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ind w:left="420" w:left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联系人：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联系电话： </w:t>
      </w:r>
      <w:r>
        <w:rPr>
          <w:rFonts w:hint="eastAsia" w:ascii="仿宋_GB2312" w:hAnsi="仿宋" w:eastAsia="仿宋_GB2312" w:cs="仿宋_GB2312"/>
          <w:color w:val="auto"/>
          <w:kern w:val="0"/>
          <w:sz w:val="24"/>
          <w:highlight w:val="none"/>
          <w:u w:val="single"/>
          <w:lang w:val="zh-CN"/>
        </w:rPr>
        <w:t xml:space="preserve">                </w:t>
      </w:r>
    </w:p>
    <w:p>
      <w:pPr>
        <w:snapToGrid w:val="0"/>
        <w:spacing w:line="360" w:lineRule="auto"/>
        <w:ind w:left="420" w:left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联系地址：</w:t>
      </w:r>
      <w:r>
        <w:rPr>
          <w:rFonts w:hint="eastAsia" w:ascii="仿宋_GB2312" w:hAnsi="仿宋" w:eastAsia="仿宋_GB2312" w:cs="仿宋_GB2312"/>
          <w:color w:val="auto"/>
          <w:kern w:val="0"/>
          <w:sz w:val="24"/>
          <w:highlight w:val="none"/>
          <w:u w:val="single"/>
          <w:lang w:val="zh-CN"/>
        </w:rPr>
        <w:t xml:space="preserve">                                                    </w:t>
      </w:r>
    </w:p>
    <w:p>
      <w:pPr>
        <w:snapToGrid w:val="0"/>
        <w:spacing w:line="360" w:lineRule="auto"/>
        <w:ind w:left="420" w:left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邮政编码：</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传真号码：</w:t>
      </w:r>
      <w:r>
        <w:rPr>
          <w:rFonts w:hint="eastAsia" w:ascii="仿宋_GB2312" w:hAnsi="仿宋" w:eastAsia="仿宋_GB2312" w:cs="仿宋_GB2312"/>
          <w:color w:val="auto"/>
          <w:kern w:val="0"/>
          <w:sz w:val="24"/>
          <w:highlight w:val="none"/>
          <w:u w:val="single"/>
          <w:lang w:val="zh-CN"/>
        </w:rPr>
        <w:t xml:space="preserve">                     </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b/>
          <w:color w:val="auto"/>
          <w:kern w:val="0"/>
          <w:sz w:val="24"/>
          <w:highlight w:val="none"/>
          <w:lang w:val="zh-CN"/>
        </w:rPr>
        <w:t>注：未按照本投标响应函要求填报的将被视为非实质性响应投标，从而可能导致该投标被拒绝。</w:t>
      </w:r>
    </w:p>
    <w:p>
      <w:pPr>
        <w:pStyle w:val="618"/>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2" w:type="first"/>
          <w:footerReference r:id="rId15" w:type="first"/>
          <w:headerReference r:id="rId10" w:type="default"/>
          <w:footerReference r:id="rId13" w:type="default"/>
          <w:headerReference r:id="rId11" w:type="even"/>
          <w:footerReference r:id="rId14" w:type="even"/>
          <w:pgSz w:w="11906" w:h="16838"/>
          <w:pgMar w:top="1247" w:right="1418" w:bottom="1276" w:left="1418" w:header="851" w:footer="992" w:gutter="0"/>
          <w:cols w:space="720" w:num="1"/>
          <w:titlePg/>
          <w:docGrid w:linePitch="312" w:charSpace="0"/>
        </w:sectPr>
      </w:pPr>
    </w:p>
    <w:p>
      <w:pPr>
        <w:pStyle w:val="618"/>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二、投标(开标)一览表</w:t>
      </w:r>
    </w:p>
    <w:p>
      <w:pPr>
        <w:snapToGrid w:val="0"/>
        <w:spacing w:line="360" w:lineRule="auto"/>
        <w:rPr>
          <w:rFonts w:ascii="仿宋_GB2312" w:hAnsi="仿宋" w:eastAsia="仿宋_GB2312" w:cs="仿宋_GB2312"/>
          <w:color w:val="auto"/>
          <w:kern w:val="0"/>
          <w:sz w:val="24"/>
          <w:highlight w:val="none"/>
        </w:rPr>
      </w:pPr>
      <w:bookmarkStart w:id="441" w:name="_Toc86217005"/>
      <w:r>
        <w:rPr>
          <w:rFonts w:hint="eastAsia" w:ascii="仿宋_GB2312" w:hAnsi="仿宋" w:eastAsia="仿宋_GB2312" w:cs="仿宋_GB2312"/>
          <w:color w:val="auto"/>
          <w:sz w:val="24"/>
          <w:highlight w:val="none"/>
        </w:rPr>
        <w:t>杭州市公安局、杭州市公共资源交易中心（杭州市政府采购中心）</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按你方招标文件要求，我们，本投标文件签字方，谨此向你方发出要约如下：如你方接受本投标，我方承诺按照如下投标(开标)一览表的价格完成</w:t>
      </w:r>
      <w:r>
        <w:rPr>
          <w:rFonts w:hint="eastAsia" w:ascii="仿宋_GB2312" w:hAnsi="仿宋" w:eastAsia="仿宋_GB2312" w:cs="仿宋_GB2312"/>
          <w:color w:val="auto"/>
          <w:sz w:val="24"/>
          <w:highlight w:val="none"/>
        </w:rPr>
        <w:t>杭州城市大脑**操作系统V3.0项目应用支撑和运营保障</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投标(开标)一览表(单位均为人民币元)</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534"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1417"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1843" w:type="dxa"/>
            <w:noWrap w:val="0"/>
            <w:vAlign w:val="top"/>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品牌（如果有）</w:t>
            </w:r>
          </w:p>
        </w:tc>
        <w:tc>
          <w:tcPr>
            <w:tcW w:w="3118"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规格型号（或具体服务）</w:t>
            </w:r>
          </w:p>
        </w:tc>
        <w:tc>
          <w:tcPr>
            <w:tcW w:w="993"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1559"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1984"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总价</w:t>
            </w:r>
          </w:p>
        </w:tc>
        <w:tc>
          <w:tcPr>
            <w:tcW w:w="3119" w:type="dxa"/>
            <w:noWrap w:val="0"/>
            <w:vAlign w:val="center"/>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服务要求（年限）</w:t>
            </w:r>
          </w:p>
          <w:p>
            <w:pPr>
              <w:spacing w:line="360" w:lineRule="auto"/>
              <w:jc w:val="center"/>
              <w:rPr>
                <w:rFonts w:ascii="仿宋_GB2312" w:hAnsi="仿宋"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w:t>
            </w: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w:t>
            </w: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w:t>
            </w:r>
          </w:p>
        </w:tc>
        <w:tc>
          <w:tcPr>
            <w:tcW w:w="1417"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84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3118"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993"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1559" w:type="dxa"/>
            <w:noWrap w:val="0"/>
            <w:vAlign w:val="center"/>
          </w:tcPr>
          <w:p>
            <w:pPr>
              <w:spacing w:line="360" w:lineRule="auto"/>
              <w:jc w:val="center"/>
              <w:rPr>
                <w:rFonts w:ascii="仿宋_GB2312" w:hAnsi="仿宋" w:eastAsia="仿宋_GB2312" w:cs="仿宋_GB2312"/>
                <w:color w:val="auto"/>
                <w:sz w:val="24"/>
                <w:highlight w:val="none"/>
              </w:rPr>
            </w:pPr>
          </w:p>
        </w:tc>
        <w:tc>
          <w:tcPr>
            <w:tcW w:w="1984" w:type="dxa"/>
            <w:noWrap w:val="0"/>
            <w:vAlign w:val="center"/>
          </w:tcPr>
          <w:p>
            <w:pPr>
              <w:spacing w:line="360" w:lineRule="auto"/>
              <w:jc w:val="center"/>
              <w:rPr>
                <w:rFonts w:ascii="仿宋_GB2312" w:hAnsi="仿宋" w:eastAsia="仿宋_GB2312" w:cs="仿宋_GB2312"/>
                <w:color w:val="auto"/>
                <w:sz w:val="24"/>
                <w:highlight w:val="none"/>
              </w:rPr>
            </w:pPr>
          </w:p>
        </w:tc>
        <w:tc>
          <w:tcPr>
            <w:tcW w:w="3119"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4567" w:type="dxa"/>
            <w:gridSpan w:val="8"/>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b/>
                <w:color w:val="auto"/>
                <w:sz w:val="24"/>
                <w:highlight w:val="none"/>
              </w:rPr>
              <w:t>其中核心产品，由</w:t>
            </w:r>
            <w:r>
              <w:rPr>
                <w:rFonts w:hint="eastAsia" w:ascii="仿宋_GB2312" w:hAnsi="仿宋" w:eastAsia="仿宋_GB2312"/>
                <w:b/>
                <w:color w:val="auto"/>
                <w:sz w:val="24"/>
                <w:highlight w:val="none"/>
                <w:u w:val="single"/>
              </w:rPr>
              <w:t xml:space="preserve">            </w:t>
            </w:r>
            <w:r>
              <w:rPr>
                <w:rFonts w:hint="eastAsia" w:ascii="仿宋_GB2312" w:hAnsi="仿宋" w:eastAsia="仿宋_GB2312"/>
                <w:b/>
                <w:color w:val="auto"/>
                <w:sz w:val="24"/>
                <w:highlight w:val="none"/>
              </w:rPr>
              <w:t>（请填写企业名称）制造，该企业</w:t>
            </w:r>
            <w:r>
              <w:rPr>
                <w:rFonts w:hint="eastAsia" w:ascii="仿宋_GB2312" w:hAnsi="仿宋" w:eastAsia="仿宋_GB2312"/>
                <w:b/>
                <w:color w:val="auto"/>
                <w:sz w:val="24"/>
                <w:highlight w:val="none"/>
                <w:u w:val="single"/>
              </w:rPr>
              <w:t xml:space="preserve">         </w:t>
            </w:r>
            <w:r>
              <w:rPr>
                <w:rFonts w:hint="eastAsia" w:ascii="仿宋_GB2312" w:hAnsi="仿宋" w:eastAsia="仿宋_GB2312"/>
                <w:b/>
                <w:color w:val="auto"/>
                <w:sz w:val="24"/>
                <w:highlight w:val="none"/>
              </w:rPr>
              <w:t>（请填写属于或不属于）小型、微型企业。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7655" w:type="dxa"/>
            <w:gridSpan w:val="4"/>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7655" w:type="dxa"/>
            <w:gridSpan w:val="4"/>
            <w:noWrap w:val="0"/>
            <w:vAlign w:val="center"/>
          </w:tcPr>
          <w:p>
            <w:pPr>
              <w:spacing w:line="360" w:lineRule="auto"/>
              <w:jc w:val="center"/>
              <w:rPr>
                <w:rFonts w:ascii="仿宋_GB2312" w:hAnsi="仿宋" w:eastAsia="仿宋_GB2312" w:cs="仿宋_GB2312"/>
                <w:color w:val="auto"/>
                <w:sz w:val="24"/>
                <w:highlight w:val="none"/>
              </w:rPr>
            </w:pPr>
          </w:p>
        </w:tc>
      </w:tr>
    </w:tbl>
    <w:p>
      <w:pPr>
        <w:spacing w:line="360" w:lineRule="auto"/>
        <w:ind w:left="-2" w:leftChars="-1"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1、投标人需按本表格式填写，不得自行更改。</w:t>
      </w:r>
    </w:p>
    <w:p>
      <w:pPr>
        <w:snapToGrid w:val="0"/>
        <w:spacing w:line="360" w:lineRule="auto"/>
        <w:ind w:left="48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2、有关本项目实施所涉及的一切费用均计入报价。</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各项明细费用请按实填写（不得出现“0元”“免费赠送”等形式的无偿报价）。</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3、特别提示：采购机构将对项目名称和项目编号，中标供应商名称、地址和中标金额，主要中标标的的名称、规格型号、数量、单价、服务要求等予以公示。</w:t>
      </w:r>
    </w:p>
    <w:p>
      <w:pPr>
        <w:spacing w:line="360" w:lineRule="auto"/>
        <w:ind w:firstLine="480" w:firstLineChars="200"/>
        <w:rPr>
          <w:rFonts w:ascii="仿宋_GB2312" w:hAnsi="仿宋" w:eastAsia="仿宋_GB2312" w:cs="仿宋_GB2312"/>
          <w:color w:val="auto"/>
          <w:highlight w:val="none"/>
        </w:rPr>
      </w:pPr>
      <w:r>
        <w:rPr>
          <w:rFonts w:hint="eastAsia" w:ascii="仿宋_GB2312" w:hAnsi="仿宋" w:eastAsia="仿宋_GB2312" w:cs="仿宋_GB2312"/>
          <w:color w:val="auto"/>
          <w:kern w:val="0"/>
          <w:sz w:val="24"/>
          <w:szCs w:val="22"/>
          <w:highlight w:val="none"/>
          <w:lang w:val="zh-CN"/>
        </w:rPr>
        <w:t>4、</w:t>
      </w:r>
      <w:r>
        <w:rPr>
          <w:rFonts w:hint="eastAsia" w:ascii="仿宋_GB2312" w:hAnsi="仿宋" w:eastAsia="仿宋_GB2312" w:cs="仿宋_GB2312"/>
          <w:color w:val="auto"/>
          <w:kern w:val="0"/>
          <w:sz w:val="24"/>
          <w:highlight w:val="none"/>
          <w:lang w:val="zh-CN"/>
        </w:rPr>
        <w:t>根据采购项目技术构成、产品价格比重等确定了本项目核心产品。投标人为小型、微型企业的，同时本项目所有核心产品均由小型、微型企业制造的，才视为投标人参加本项目采购活动提供了小型、微型企业产品，对投标报价给予10 %的扣除（专门面向中小企业的项目，对小微企业给予 8%的价格扣除），用扣除后的价格参与评审。符合上述条件的，请填写中小企业声明函。</w:t>
      </w:r>
    </w:p>
    <w:p>
      <w:pPr>
        <w:spacing w:line="360" w:lineRule="auto"/>
        <w:ind w:firstLine="482" w:firstLineChars="200"/>
        <w:rPr>
          <w:rFonts w:ascii="仿宋_GB2312" w:hAnsi="仿宋" w:eastAsia="仿宋_GB2312" w:cs="仿宋_GB2312"/>
          <w:color w:val="auto"/>
          <w:kern w:val="0"/>
          <w:sz w:val="24"/>
          <w:highlight w:val="none"/>
          <w:u w:val="single"/>
          <w:lang w:val="zh-CN"/>
        </w:rPr>
      </w:pPr>
      <w:r>
        <w:rPr>
          <w:rFonts w:hint="eastAsia" w:ascii="仿宋_GB2312" w:hAnsi="仿宋" w:eastAsia="仿宋_GB2312"/>
          <w:b/>
          <w:color w:val="auto"/>
          <w:sz w:val="24"/>
          <w:highlight w:val="none"/>
          <w:u w:val="single"/>
        </w:rPr>
        <w:t>投标人应如实填写是否可享受价格扣除，否则投标价格不可享受价格扣除。</w:t>
      </w:r>
    </w:p>
    <w:p>
      <w:pPr>
        <w:snapToGrid w:val="0"/>
        <w:spacing w:line="360" w:lineRule="auto"/>
        <w:ind w:firstLine="482" w:firstLineChars="200"/>
        <w:jc w:val="right"/>
        <w:rPr>
          <w:rFonts w:ascii="仿宋_GB2312" w:hAnsi="仿宋" w:eastAsia="仿宋_GB2312"/>
          <w:b/>
          <w:color w:val="auto"/>
          <w:kern w:val="0"/>
          <w:sz w:val="24"/>
          <w:highlight w:val="none"/>
        </w:rPr>
      </w:pPr>
    </w:p>
    <w:p>
      <w:pPr>
        <w:spacing w:line="360" w:lineRule="auto"/>
        <w:ind w:right="960" w:firstLine="10440" w:firstLineChars="43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p>
    <w:p>
      <w:pPr>
        <w:spacing w:line="360" w:lineRule="auto"/>
        <w:ind w:right="480"/>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日期：  年   月   日</w:t>
      </w:r>
    </w:p>
    <w:bookmarkEnd w:id="441"/>
    <w:p>
      <w:pPr>
        <w:spacing w:line="360" w:lineRule="auto"/>
        <w:jc w:val="center"/>
        <w:outlineLvl w:val="0"/>
        <w:rPr>
          <w:rFonts w:ascii="仿宋_GB2312" w:hAnsi="仿宋" w:eastAsia="仿宋_GB2312" w:cs="仿宋_GB2312"/>
          <w:color w:val="auto"/>
          <w:sz w:val="36"/>
          <w:szCs w:val="36"/>
          <w:highlight w:val="none"/>
          <w:lang w:val="zh-CN"/>
        </w:rPr>
        <w:sectPr>
          <w:pgSz w:w="16838" w:h="11906" w:orient="landscape"/>
          <w:pgMar w:top="1418" w:right="1276" w:bottom="1418" w:left="1247" w:header="851" w:footer="992" w:gutter="0"/>
          <w:cols w:space="720" w:num="1"/>
          <w:titlePg/>
          <w:docGrid w:linePitch="312" w:charSpace="0"/>
        </w:sectPr>
      </w:pPr>
    </w:p>
    <w:p>
      <w:pPr>
        <w:pStyle w:val="618"/>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三、中小企业声明函</w:t>
      </w:r>
    </w:p>
    <w:p>
      <w:pPr>
        <w:spacing w:line="360" w:lineRule="auto"/>
        <w:rPr>
          <w:rFonts w:ascii="仿宋_GB2312" w:hAnsi="仿宋" w:eastAsia="仿宋_GB2312"/>
          <w:color w:val="auto"/>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本公司郑重声明，根据《政府采购促进中小企业发展暂行办法》（财库[2011]181号）的规定，本公司为</w:t>
      </w:r>
      <w:r>
        <w:rPr>
          <w:rFonts w:hint="eastAsia"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（请填写：中型、小型、微型）企业。即，本公司同时满足以下条件：</w:t>
      </w:r>
    </w:p>
    <w:p>
      <w:pPr>
        <w:pStyle w:val="969"/>
        <w:widowControl/>
        <w:numPr>
          <w:ilvl w:val="0"/>
          <w:numId w:val="16"/>
        </w:numPr>
        <w:spacing w:after="120"/>
        <w:ind w:left="1320" w:firstLineChars="0"/>
        <w:rPr>
          <w:rFonts w:ascii="仿宋_GB2312" w:hAnsi="仿宋" w:eastAsia="仿宋_GB2312" w:cs="仿宋_GB2312"/>
          <w:color w:val="auto"/>
          <w:szCs w:val="24"/>
          <w:highlight w:val="none"/>
        </w:rPr>
      </w:pPr>
      <w:r>
        <w:rPr>
          <w:rFonts w:hint="eastAsia" w:ascii="仿宋_GB2312" w:hAnsi="仿宋" w:eastAsia="仿宋_GB2312" w:cs="仿宋_GB2312"/>
          <w:color w:val="auto"/>
          <w:szCs w:val="24"/>
          <w:highlight w:val="none"/>
        </w:rPr>
        <w:t>根据《工业和信息化部、国家统计局、国家发展和改革委员会、财政部关于印发中小企业划型标准规定的通知》（工信部联企业[2011]300号）规定的划分标准，本公司为</w:t>
      </w:r>
      <w:r>
        <w:rPr>
          <w:rFonts w:hint="eastAsia" w:ascii="仿宋_GB2312" w:hAnsi="仿宋" w:eastAsia="仿宋_GB2312" w:cs="仿宋_GB2312"/>
          <w:color w:val="auto"/>
          <w:szCs w:val="24"/>
          <w:highlight w:val="none"/>
          <w:u w:val="single"/>
        </w:rPr>
        <w:t xml:space="preserve">   </w:t>
      </w:r>
      <w:r>
        <w:rPr>
          <w:rFonts w:hint="eastAsia" w:ascii="仿宋_GB2312" w:hAnsi="仿宋" w:eastAsia="仿宋_GB2312" w:cs="仿宋_GB2312"/>
          <w:color w:val="auto"/>
          <w:szCs w:val="24"/>
          <w:highlight w:val="none"/>
        </w:rPr>
        <w:t>（请填写：中型、小型、微型）企业。</w:t>
      </w:r>
    </w:p>
    <w:p>
      <w:pPr>
        <w:pStyle w:val="969"/>
        <w:widowControl/>
        <w:numPr>
          <w:ilvl w:val="0"/>
          <w:numId w:val="16"/>
        </w:numPr>
        <w:spacing w:after="120"/>
        <w:ind w:left="1320" w:firstLineChars="0"/>
        <w:rPr>
          <w:rFonts w:ascii="仿宋_GB2312" w:hAnsi="仿宋" w:eastAsia="仿宋_GB2312" w:cs="仿宋_GB2312"/>
          <w:color w:val="auto"/>
          <w:szCs w:val="24"/>
          <w:highlight w:val="none"/>
        </w:rPr>
      </w:pPr>
      <w:r>
        <w:rPr>
          <w:rFonts w:hint="eastAsia" w:ascii="仿宋_GB2312" w:hAnsi="仿宋" w:eastAsia="仿宋_GB2312" w:cs="仿宋_GB2312"/>
          <w:color w:val="auto"/>
          <w:szCs w:val="24"/>
          <w:highlight w:val="none"/>
        </w:rPr>
        <w:t>本公司参加</w:t>
      </w:r>
      <w:r>
        <w:rPr>
          <w:rFonts w:hint="eastAsia" w:ascii="仿宋_GB2312" w:hAnsi="仿宋" w:eastAsia="仿宋_GB2312" w:cs="仿宋_GB2312"/>
          <w:color w:val="auto"/>
          <w:szCs w:val="24"/>
          <w:highlight w:val="none"/>
          <w:u w:val="single"/>
        </w:rPr>
        <w:t xml:space="preserve">         </w:t>
      </w:r>
      <w:r>
        <w:rPr>
          <w:rFonts w:hint="eastAsia" w:ascii="仿宋_GB2312" w:hAnsi="仿宋" w:eastAsia="仿宋_GB2312" w:cs="仿宋_GB2312"/>
          <w:color w:val="auto"/>
          <w:szCs w:val="24"/>
          <w:highlight w:val="none"/>
        </w:rPr>
        <w:t>单位的</w:t>
      </w:r>
      <w:r>
        <w:rPr>
          <w:rFonts w:hint="eastAsia" w:ascii="仿宋_GB2312" w:hAnsi="仿宋" w:eastAsia="仿宋_GB2312" w:cs="仿宋_GB2312"/>
          <w:color w:val="auto"/>
          <w:szCs w:val="24"/>
          <w:highlight w:val="none"/>
          <w:u w:val="single"/>
        </w:rPr>
        <w:t xml:space="preserve">       </w:t>
      </w:r>
      <w:r>
        <w:rPr>
          <w:rFonts w:hint="eastAsia" w:ascii="仿宋_GB2312" w:hAnsi="仿宋" w:eastAsia="仿宋_GB2312" w:cs="仿宋_GB2312"/>
          <w:color w:val="auto"/>
          <w:szCs w:val="24"/>
          <w:highlight w:val="none"/>
        </w:rPr>
        <w:t xml:space="preserve">项目采购活动提供本企业制造的货物，由本企业承担工程、提供服务，或者提供其他 </w:t>
      </w:r>
      <w:r>
        <w:rPr>
          <w:rFonts w:hint="eastAsia" w:ascii="仿宋_GB2312" w:hAnsi="仿宋" w:eastAsia="仿宋_GB2312" w:cs="仿宋_GB2312"/>
          <w:color w:val="auto"/>
          <w:szCs w:val="24"/>
          <w:highlight w:val="none"/>
          <w:u w:val="single"/>
        </w:rPr>
        <w:t xml:space="preserve">        </w:t>
      </w:r>
      <w:r>
        <w:rPr>
          <w:rFonts w:hint="eastAsia" w:ascii="仿宋_GB2312" w:hAnsi="仿宋" w:eastAsia="仿宋_GB2312" w:cs="仿宋_GB2312"/>
          <w:color w:val="auto"/>
          <w:szCs w:val="24"/>
          <w:highlight w:val="none"/>
        </w:rPr>
        <w:t>（请填写：中型、小型、微型）企业制造的货物。本条所称货物不包括使用大型企业注册商标的货物。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本公司对上述声明的真实性负责。如有虚假，将依法承担相应责任。</w:t>
      </w:r>
    </w:p>
    <w:p>
      <w:pPr>
        <w:spacing w:line="360" w:lineRule="auto"/>
        <w:jc w:val="right"/>
        <w:rPr>
          <w:rFonts w:ascii="仿宋_GB2312" w:hAnsi="仿宋" w:eastAsia="仿宋_GB2312" w:cs="仿宋_GB2312"/>
          <w:color w:val="auto"/>
          <w:sz w:val="24"/>
          <w:highlight w:val="none"/>
        </w:rPr>
      </w:pPr>
    </w:p>
    <w:p>
      <w:pPr>
        <w:spacing w:line="360" w:lineRule="auto"/>
        <w:jc w:val="center"/>
        <w:outlineLvl w:val="0"/>
        <w:rPr>
          <w:rFonts w:ascii="仿宋_GB2312" w:hAnsi="仿宋" w:eastAsia="仿宋_GB2312" w:cs="仿宋_GB2312"/>
          <w:color w:val="auto"/>
          <w:sz w:val="36"/>
          <w:szCs w:val="36"/>
          <w:highlight w:val="none"/>
          <w:lang w:val="zh-CN"/>
        </w:rPr>
      </w:pPr>
      <w:r>
        <w:rPr>
          <w:rFonts w:hint="eastAsia" w:ascii="仿宋_GB2312" w:hAnsi="仿宋" w:eastAsia="仿宋_GB2312" w:cs="仿宋_GB2312"/>
          <w:color w:val="auto"/>
          <w:sz w:val="24"/>
          <w:highlight w:val="none"/>
        </w:rPr>
        <w:t xml:space="preserve">投标人名称（电子签名）：               </w:t>
      </w:r>
    </w:p>
    <w:p>
      <w:pPr>
        <w:spacing w:line="360" w:lineRule="auto"/>
        <w:jc w:val="center"/>
        <w:outlineLvl w:val="0"/>
        <w:rPr>
          <w:rFonts w:ascii="仿宋_GB2312" w:hAnsi="仿宋" w:eastAsia="仿宋_GB2312" w:cs="仿宋_GB2312"/>
          <w:color w:val="auto"/>
          <w:sz w:val="36"/>
          <w:szCs w:val="36"/>
          <w:highlight w:val="none"/>
          <w:lang w:val="zh-CN"/>
        </w:rPr>
      </w:pPr>
    </w:p>
    <w:p>
      <w:pPr>
        <w:spacing w:line="360" w:lineRule="auto"/>
        <w:ind w:right="42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w:t>
      </w:r>
      <w:r>
        <w:rPr>
          <w:rFonts w:hint="eastAsia" w:ascii="仿宋_GB2312" w:hAnsi="仿宋" w:eastAsia="仿宋_GB2312"/>
          <w:b/>
          <w:color w:val="auto"/>
          <w:sz w:val="24"/>
          <w:highlight w:val="none"/>
        </w:rPr>
        <w:t>投标人应如实填写是否可享受价格扣除，否则投标价格不可享受价格扣除。</w:t>
      </w:r>
      <w:r>
        <w:rPr>
          <w:rFonts w:hint="eastAsia" w:ascii="仿宋_GB2312" w:hAnsi="仿宋" w:eastAsia="仿宋_GB2312" w:cs="仿宋_GB2312"/>
          <w:color w:val="auto"/>
          <w:sz w:val="24"/>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outlineLvl w:val="0"/>
        <w:rPr>
          <w:rFonts w:ascii="仿宋_GB2312" w:hAnsi="仿宋" w:eastAsia="仿宋_GB2312" w:cs="仿宋_GB2312"/>
          <w:color w:val="auto"/>
          <w:sz w:val="36"/>
          <w:szCs w:val="36"/>
          <w:highlight w:val="none"/>
        </w:rPr>
        <w:sectPr>
          <w:pgSz w:w="11906" w:h="16838"/>
          <w:pgMar w:top="1247" w:right="1418" w:bottom="1276"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pStyle w:val="892"/>
        <w:spacing w:line="360" w:lineRule="auto"/>
        <w:rPr>
          <w:rFonts w:cs="仿宋_GB2312"/>
          <w:color w:val="auto"/>
          <w:highlight w:val="none"/>
        </w:rPr>
      </w:pPr>
      <w:r>
        <w:rPr>
          <w:rFonts w:hint="eastAsia" w:cs="仿宋_GB2312"/>
          <w:color w:val="auto"/>
          <w:highlight w:val="none"/>
        </w:rPr>
        <w:t>（1）营业执照(或事业法人登记证或其他工商等登记证明材料)复印件（投标人为 然人的，提供自然人的身份证明）………………………………………（页码）</w:t>
      </w:r>
    </w:p>
    <w:p>
      <w:pPr>
        <w:pStyle w:val="892"/>
        <w:spacing w:line="360" w:lineRule="auto"/>
        <w:rPr>
          <w:rFonts w:cs="仿宋_GB2312"/>
          <w:color w:val="auto"/>
          <w:highlight w:val="none"/>
        </w:rPr>
      </w:pPr>
      <w:r>
        <w:rPr>
          <w:rFonts w:hint="eastAsia" w:cs="仿宋_GB2312"/>
          <w:color w:val="auto"/>
          <w:highlight w:val="none"/>
        </w:rPr>
        <w:t>（2）联合体协议</w:t>
      </w:r>
      <w:r>
        <w:rPr>
          <w:rFonts w:hint="eastAsia" w:cs="仿宋_GB2312"/>
          <w:color w:val="auto"/>
          <w:highlight w:val="none"/>
          <w:lang w:val="zh-CN"/>
        </w:rPr>
        <w:t>… ……………………………………………………</w:t>
      </w:r>
      <w:r>
        <w:rPr>
          <w:rFonts w:hint="eastAsia" w:cs="仿宋_GB2312"/>
          <w:color w:val="auto"/>
          <w:highlight w:val="none"/>
        </w:rPr>
        <w:t>（页码）</w:t>
      </w:r>
    </w:p>
    <w:p>
      <w:pPr>
        <w:pStyle w:val="892"/>
        <w:spacing w:line="360" w:lineRule="auto"/>
        <w:rPr>
          <w:rFonts w:cs="仿宋_GB2312"/>
          <w:color w:val="auto"/>
          <w:highlight w:val="none"/>
        </w:rPr>
      </w:pPr>
      <w:r>
        <w:rPr>
          <w:rFonts w:hint="eastAsia" w:cs="仿宋_GB2312"/>
          <w:color w:val="auto"/>
          <w:highlight w:val="none"/>
        </w:rPr>
        <w:t>（3）资信文件复印件（如果要求提供）……………………………（页码）</w:t>
      </w:r>
    </w:p>
    <w:p>
      <w:pPr>
        <w:pStyle w:val="892"/>
        <w:spacing w:line="360" w:lineRule="auto"/>
        <w:rPr>
          <w:rFonts w:cs="仿宋_GB2312"/>
          <w:color w:val="auto"/>
          <w:highlight w:val="none"/>
        </w:rPr>
      </w:pPr>
      <w:r>
        <w:rPr>
          <w:rFonts w:hint="eastAsia" w:cs="仿宋_GB2312"/>
          <w:color w:val="auto"/>
          <w:highlight w:val="none"/>
        </w:rPr>
        <w:t>（4）</w:t>
      </w:r>
      <w:r>
        <w:rPr>
          <w:rFonts w:hint="eastAsia" w:cs="仿宋_GB2312"/>
          <w:color w:val="auto"/>
          <w:highlight w:val="none"/>
          <w:lang w:val="zh-CN"/>
        </w:rPr>
        <w:t>主要业绩证明… …………………………………………………</w:t>
      </w:r>
      <w:r>
        <w:rPr>
          <w:rFonts w:hint="eastAsia" w:cs="仿宋_GB2312"/>
          <w:color w:val="auto"/>
          <w:highlight w:val="none"/>
        </w:rPr>
        <w:t>（页码）</w:t>
      </w:r>
    </w:p>
    <w:p>
      <w:pPr>
        <w:pStyle w:val="892"/>
        <w:spacing w:line="360" w:lineRule="auto"/>
        <w:rPr>
          <w:rFonts w:cs="仿宋_GB2312"/>
          <w:color w:val="auto"/>
          <w:highlight w:val="none"/>
        </w:rPr>
      </w:pPr>
      <w:bookmarkStart w:id="442" w:name="OLE_LINK6"/>
      <w:bookmarkStart w:id="443" w:name="OLE_LINK7"/>
      <w:bookmarkStart w:id="444" w:name="OLE_LINK5"/>
      <w:r>
        <w:rPr>
          <w:rFonts w:hint="eastAsia" w:cs="仿宋_GB2312"/>
          <w:color w:val="auto"/>
          <w:highlight w:val="none"/>
        </w:rPr>
        <w:t>（5）其他商务文件或说明</w:t>
      </w:r>
      <w:r>
        <w:rPr>
          <w:rFonts w:hint="eastAsia" w:cs="仿宋_GB2312"/>
          <w:color w:val="auto"/>
          <w:highlight w:val="none"/>
          <w:lang w:val="zh-CN"/>
        </w:rPr>
        <w:t>………………………………………………</w:t>
      </w:r>
      <w:r>
        <w:rPr>
          <w:rFonts w:hint="eastAsia" w:cs="仿宋_GB2312"/>
          <w:color w:val="auto"/>
          <w:highlight w:val="none"/>
        </w:rPr>
        <w:t>（页码）</w:t>
      </w:r>
      <w:bookmarkEnd w:id="442"/>
      <w:bookmarkEnd w:id="443"/>
    </w:p>
    <w:bookmarkEnd w:id="444"/>
    <w:p>
      <w:pPr>
        <w:spacing w:line="360" w:lineRule="auto"/>
        <w:ind w:firstLine="480" w:firstLineChars="200"/>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（6）技术解决方案……………………………………………………（页码）</w:t>
      </w:r>
    </w:p>
    <w:p>
      <w:pPr>
        <w:spacing w:line="360" w:lineRule="auto"/>
        <w:ind w:firstLine="480" w:firstLineChars="200"/>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（7）技术偏离说明表…………………………………………………（页码）</w:t>
      </w:r>
    </w:p>
    <w:p>
      <w:pPr>
        <w:spacing w:line="360" w:lineRule="auto"/>
        <w:ind w:firstLine="480" w:firstLineChars="200"/>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（8）组织实施方案……………………………………………………（页码）</w:t>
      </w:r>
    </w:p>
    <w:p>
      <w:pPr>
        <w:spacing w:line="360" w:lineRule="auto"/>
        <w:ind w:firstLine="480" w:firstLine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（9）售后服务方案……………………………………………………（页码）</w:t>
      </w:r>
    </w:p>
    <w:p>
      <w:pPr>
        <w:spacing w:line="360" w:lineRule="auto"/>
        <w:ind w:firstLine="480" w:firstLine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（10）项目小组人员名单………………………………………………（页码）</w:t>
      </w:r>
    </w:p>
    <w:p>
      <w:pPr>
        <w:spacing w:line="360" w:lineRule="auto"/>
        <w:ind w:firstLine="480" w:firstLine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（11）</w:t>
      </w:r>
      <w:r>
        <w:rPr>
          <w:rFonts w:hint="eastAsia" w:ascii="仿宋_GB2312" w:hAnsi="仿宋" w:eastAsia="仿宋_GB2312" w:cs="仿宋_GB2312"/>
          <w:color w:val="auto"/>
          <w:kern w:val="0"/>
          <w:sz w:val="24"/>
          <w:highlight w:val="none"/>
          <w:lang w:val="zh-CN"/>
        </w:rPr>
        <w:t>优惠条件及特殊承诺……………………………………………</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（12）</w:t>
      </w:r>
      <w:r>
        <w:rPr>
          <w:rFonts w:hint="eastAsia" w:ascii="仿宋_GB2312" w:hAnsi="仿宋" w:eastAsia="仿宋_GB2312" w:cs="仿宋_GB2312"/>
          <w:color w:val="auto"/>
          <w:kern w:val="0"/>
          <w:sz w:val="24"/>
          <w:highlight w:val="none"/>
          <w:lang w:val="zh-CN"/>
        </w:rPr>
        <w:t>备品备件及供选择的配套零部件清单…………………………</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（13）</w:t>
      </w:r>
      <w:r>
        <w:rPr>
          <w:rFonts w:hint="eastAsia" w:ascii="仿宋_GB2312" w:hAnsi="仿宋" w:eastAsia="仿宋_GB2312" w:cs="仿宋_GB2312"/>
          <w:color w:val="auto"/>
          <w:kern w:val="0"/>
          <w:sz w:val="24"/>
          <w:highlight w:val="none"/>
          <w:lang w:val="zh-CN"/>
        </w:rPr>
        <w:t>培训计划…………………………………………………………</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b/>
          <w:bCs/>
          <w:color w:val="auto"/>
          <w:sz w:val="24"/>
          <w:highlight w:val="none"/>
        </w:rPr>
      </w:pPr>
      <w:r>
        <w:rPr>
          <w:rFonts w:hint="eastAsia" w:ascii="仿宋_GB2312" w:hAnsi="仿宋" w:eastAsia="仿宋_GB2312" w:cs="仿宋_GB2312"/>
          <w:color w:val="auto"/>
          <w:kern w:val="0"/>
          <w:sz w:val="24"/>
          <w:highlight w:val="none"/>
        </w:rPr>
        <w:t>（14）</w:t>
      </w:r>
      <w:r>
        <w:rPr>
          <w:rFonts w:hint="eastAsia" w:ascii="仿宋_GB2312" w:hAnsi="仿宋" w:eastAsia="仿宋_GB2312" w:cs="仿宋_GB2312"/>
          <w:color w:val="auto"/>
          <w:kern w:val="0"/>
          <w:sz w:val="24"/>
          <w:highlight w:val="none"/>
          <w:lang w:val="zh-CN"/>
        </w:rPr>
        <w:t>认为需要的其他技术文件或说明………………………………</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rPr>
        <w:t>（15）</w:t>
      </w:r>
      <w:r>
        <w:rPr>
          <w:rFonts w:hint="eastAsia" w:ascii="仿宋_GB2312" w:hAnsi="仿宋" w:eastAsia="仿宋_GB2312" w:cs="仿宋_GB2312"/>
          <w:color w:val="auto"/>
          <w:kern w:val="0"/>
          <w:sz w:val="24"/>
          <w:highlight w:val="none"/>
          <w:lang w:val="zh-CN"/>
        </w:rPr>
        <w:t>关于对招标文件中商务、合同有关条款的拒绝声明……………</w:t>
      </w:r>
      <w:r>
        <w:rPr>
          <w:rFonts w:hint="eastAsia" w:ascii="仿宋_GB2312" w:hAnsi="仿宋" w:eastAsia="仿宋_GB2312" w:cs="仿宋_GB2312"/>
          <w:color w:val="auto"/>
          <w:kern w:val="0"/>
          <w:sz w:val="24"/>
          <w:highlight w:val="none"/>
        </w:rPr>
        <w:t>（页码）</w:t>
      </w:r>
    </w:p>
    <w:p>
      <w:pPr>
        <w:spacing w:line="360" w:lineRule="auto"/>
        <w:rPr>
          <w:rFonts w:ascii="仿宋_GB2312" w:hAnsi="仿宋" w:eastAsia="仿宋_GB2312" w:cs="仿宋_GB2312"/>
          <w:b/>
          <w:bCs/>
          <w:color w:val="auto"/>
          <w:sz w:val="24"/>
          <w:highlight w:val="none"/>
        </w:rPr>
      </w:pPr>
      <w:r>
        <w:rPr>
          <w:rFonts w:hint="eastAsia" w:ascii="仿宋_GB2312" w:hAnsi="仿宋" w:eastAsia="仿宋_GB2312" w:cs="仿宋_GB2312"/>
          <w:b/>
          <w:bCs/>
          <w:color w:val="auto"/>
          <w:sz w:val="24"/>
          <w:highlight w:val="none"/>
        </w:rPr>
        <w:t>注：以上目录是基本格式要求，各投标人可根据自身情况进一步细化。</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pacing w:line="360" w:lineRule="auto"/>
        <w:jc w:val="center"/>
        <w:rPr>
          <w:rFonts w:ascii="仿宋_GB2312" w:hAnsi="仿宋" w:eastAsia="仿宋_GB2312" w:cs="仿宋_GB2312"/>
          <w:b/>
          <w:color w:val="auto"/>
          <w:sz w:val="30"/>
          <w:szCs w:val="30"/>
          <w:highlight w:val="none"/>
        </w:rPr>
      </w:pPr>
      <w:r>
        <w:rPr>
          <w:rFonts w:hint="eastAsia" w:ascii="仿宋_GB2312" w:hAnsi="仿宋" w:eastAsia="仿宋_GB2312" w:cs="仿宋_GB2312"/>
          <w:b/>
          <w:color w:val="auto"/>
          <w:kern w:val="0"/>
          <w:sz w:val="32"/>
          <w:szCs w:val="32"/>
          <w:highlight w:val="none"/>
          <w:lang w:val="zh-CN"/>
        </w:rPr>
        <w:t>一、</w:t>
      </w:r>
      <w:r>
        <w:rPr>
          <w:rFonts w:hint="eastAsia" w:ascii="仿宋_GB2312" w:hAnsi="仿宋" w:eastAsia="仿宋_GB2312" w:cs="仿宋_GB2312"/>
          <w:b/>
          <w:color w:val="auto"/>
          <w:sz w:val="30"/>
          <w:szCs w:val="30"/>
          <w:highlight w:val="none"/>
        </w:rPr>
        <w:t>营业执照(或事业法人登记证或其他工商等登记证明材料)复印件（投标人为自然人的，提供自然人的身份证明）</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投标人名称(电子签名)：                              </w:t>
      </w:r>
    </w:p>
    <w:p>
      <w:pPr>
        <w:snapToGrid w:val="0"/>
        <w:spacing w:line="360" w:lineRule="auto"/>
        <w:ind w:firstLine="1440" w:firstLineChars="600"/>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before="50" w:after="50" w:line="360" w:lineRule="auto"/>
        <w:jc w:val="center"/>
        <w:rPr>
          <w:rFonts w:ascii="仿宋_GB2312" w:hAnsi="仿宋" w:eastAsia="仿宋_GB2312" w:cs="仿宋_GB2312"/>
          <w:b/>
          <w:color w:val="auto"/>
          <w:sz w:val="30"/>
          <w:szCs w:val="30"/>
          <w:highlight w:val="none"/>
        </w:rPr>
      </w:pPr>
      <w:r>
        <w:rPr>
          <w:rFonts w:hint="eastAsia" w:ascii="仿宋_GB2312" w:hAnsi="仿宋" w:eastAsia="仿宋_GB2312" w:cs="仿宋_GB2312"/>
          <w:b/>
          <w:color w:val="auto"/>
          <w:sz w:val="30"/>
          <w:szCs w:val="30"/>
          <w:highlight w:val="none"/>
        </w:rPr>
        <w:t>二、联合体协议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甲方：</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乙方：</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各方经协商一致，决定组成一个联合体，以一个投标人的身份就杭州市公共资源交易中心组织实施的</w:t>
      </w:r>
      <w:r>
        <w:rPr>
          <w:rFonts w:hint="eastAsia" w:ascii="仿宋_GB2312" w:hAnsi="仿宋" w:eastAsia="仿宋_GB2312" w:cs="仿宋_GB2312"/>
          <w:color w:val="auto"/>
          <w:sz w:val="24"/>
          <w:highlight w:val="none"/>
        </w:rPr>
        <w:t>杭州城市大脑**操作系统V3.0项目应用支撑和运营保障（2020）</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】共同投标。</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Arial"/>
          <w:color w:val="auto"/>
          <w:sz w:val="24"/>
          <w:highlight w:val="none"/>
        </w:rPr>
        <w:t>指定</w:t>
      </w:r>
      <w:r>
        <w:rPr>
          <w:rFonts w:hint="eastAsia" w:ascii="仿宋_GB2312" w:hAnsi="仿宋" w:eastAsia="仿宋_GB2312"/>
          <w:color w:val="auto"/>
          <w:highlight w:val="none"/>
          <w:u w:val="single"/>
        </w:rPr>
        <w:t xml:space="preserve">   </w:t>
      </w:r>
      <w:r>
        <w:rPr>
          <w:rFonts w:hint="eastAsia" w:ascii="仿宋_GB2312" w:hAnsi="仿宋" w:eastAsia="仿宋_GB2312" w:cs="Arial"/>
          <w:color w:val="auto"/>
          <w:sz w:val="24"/>
          <w:highlight w:val="none"/>
        </w:rPr>
        <w:t>方牵头人，代表所有联合体成员负责投标和合同实施阶段的主办、协调工作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三、本次联合投标中，分工如下：甲方承担的工作和义务为：</w:t>
      </w:r>
      <w:r>
        <w:rPr>
          <w:rFonts w:hint="eastAsia"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；乙方承担的工作和义务为：</w:t>
      </w:r>
      <w:r>
        <w:rPr>
          <w:rFonts w:hint="eastAsia"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76"/>
        <w:rPr>
          <w:rFonts w:ascii="仿宋_GB2312" w:hAnsi="仿宋" w:eastAsia="仿宋_GB2312" w:cs="仿宋_GB2312"/>
          <w:color w:val="auto"/>
          <w:kern w:val="0"/>
          <w:sz w:val="24"/>
          <w:highlight w:val="none"/>
          <w:lang w:val="zh-CN"/>
        </w:rPr>
      </w:pP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甲方单位：            （电子签名）          乙方单位：          （电子签名）</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    年   月   日                  日期：    年   月   日</w:t>
      </w:r>
    </w:p>
    <w:p>
      <w:pPr>
        <w:snapToGrid w:val="0"/>
        <w:spacing w:line="360" w:lineRule="auto"/>
        <w:ind w:right="480"/>
        <w:jc w:val="center"/>
        <w:rPr>
          <w:rFonts w:ascii="仿宋_GB2312" w:hAnsi="仿宋" w:eastAsia="仿宋_GB2312" w:cs="仿宋_GB2312"/>
          <w:b/>
          <w:color w:val="auto"/>
          <w:kern w:val="0"/>
          <w:sz w:val="32"/>
          <w:szCs w:val="32"/>
          <w:highlight w:val="none"/>
          <w:lang w:val="zh-CN"/>
        </w:rPr>
        <w:sectPr>
          <w:pgSz w:w="11906" w:h="16838"/>
          <w:pgMar w:top="1247" w:right="1418" w:bottom="1276" w:left="1418" w:header="851" w:footer="992" w:gutter="0"/>
          <w:cols w:space="720" w:num="1"/>
          <w:titlePg/>
          <w:docGrid w:linePitch="312" w:charSpace="0"/>
        </w:sectPr>
      </w:pPr>
    </w:p>
    <w:p>
      <w:pPr>
        <w:spacing w:line="360" w:lineRule="auto"/>
        <w:jc w:val="center"/>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三、资信文件复印件（如果要求提供）</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spacing w:line="360" w:lineRule="auto"/>
        <w:jc w:val="center"/>
        <w:rPr>
          <w:rFonts w:ascii="仿宋_GB2312" w:hAnsi="仿宋" w:eastAsia="仿宋_GB2312" w:cs="仿宋_GB2312"/>
          <w:b/>
          <w:bCs/>
          <w:color w:val="auto"/>
          <w:sz w:val="32"/>
          <w:szCs w:val="32"/>
          <w:highlight w:val="none"/>
        </w:rPr>
      </w:pP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color w:val="auto"/>
          <w:kern w:val="0"/>
          <w:sz w:val="24"/>
          <w:highlight w:val="none"/>
          <w:lang w:val="zh-CN"/>
        </w:rPr>
        <w:t xml:space="preserve">                   日期：  年  月 日</w:t>
      </w: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四、</w:t>
      </w:r>
      <w:r>
        <w:rPr>
          <w:rFonts w:hint="eastAsia" w:ascii="仿宋_GB2312" w:hAnsi="仿宋" w:eastAsia="仿宋_GB2312" w:cs="仿宋_GB2312"/>
          <w:b/>
          <w:color w:val="auto"/>
          <w:kern w:val="0"/>
          <w:sz w:val="32"/>
          <w:szCs w:val="32"/>
          <w:highlight w:val="none"/>
          <w:lang w:val="zh-CN"/>
        </w:rPr>
        <w:t>主要业绩证明</w:t>
      </w:r>
    </w:p>
    <w:p>
      <w:pPr>
        <w:autoSpaceDE w:val="0"/>
        <w:autoSpaceDN w:val="0"/>
        <w:spacing w:line="360" w:lineRule="auto"/>
        <w:ind w:firstLine="12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附表 :相关项目建设业绩一览表</w:t>
      </w:r>
    </w:p>
    <w:tbl>
      <w:tblPr>
        <w:tblStyle w:val="64"/>
        <w:tblW w:w="0" w:type="auto"/>
        <w:tblInd w:w="-7"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项目</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项目</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投资</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r>
    </w:tbl>
    <w:p>
      <w:pPr>
        <w:autoSpaceDE w:val="0"/>
        <w:autoSpaceDN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注：投标人可按上述的格式自行编制，须随表提交相应的合同复印件和用户单位验收证明并注明所在投标人商务技术文件页码。</w:t>
      </w:r>
    </w:p>
    <w:p>
      <w:pPr>
        <w:autoSpaceDE w:val="0"/>
        <w:autoSpaceDN w:val="0"/>
        <w:spacing w:line="360" w:lineRule="auto"/>
        <w:ind w:firstLine="4560" w:firstLineChars="1900"/>
        <w:rPr>
          <w:rFonts w:ascii="仿宋_GB2312" w:hAnsi="仿宋" w:eastAsia="仿宋_GB2312" w:cs="仿宋_GB2312"/>
          <w:color w:val="auto"/>
          <w:kern w:val="0"/>
          <w:sz w:val="24"/>
          <w:highlight w:val="none"/>
        </w:rPr>
      </w:pPr>
    </w:p>
    <w:p>
      <w:pPr>
        <w:autoSpaceDE w:val="0"/>
        <w:autoSpaceDN w:val="0"/>
        <w:spacing w:line="360" w:lineRule="auto"/>
        <w:ind w:firstLine="4560" w:firstLineChars="19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投标人名称（电子签名）：                       </w:t>
      </w:r>
    </w:p>
    <w:p>
      <w:pPr>
        <w:autoSpaceDE w:val="0"/>
        <w:autoSpaceDN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                                     日期：  年  月   日</w:t>
      </w:r>
    </w:p>
    <w:p>
      <w:pPr>
        <w:spacing w:line="360" w:lineRule="auto"/>
        <w:rPr>
          <w:rFonts w:ascii="仿宋_GB2312" w:hAnsi="仿宋" w:eastAsia="仿宋_GB2312" w:cs="仿宋_GB2312"/>
          <w:color w:val="auto"/>
          <w:kern w:val="0"/>
          <w:sz w:val="24"/>
          <w:highlight w:val="none"/>
        </w:rPr>
      </w:pPr>
    </w:p>
    <w:p>
      <w:pPr>
        <w:spacing w:line="360" w:lineRule="auto"/>
        <w:rPr>
          <w:rFonts w:ascii="仿宋_GB2312" w:hAnsi="仿宋" w:eastAsia="仿宋_GB2312" w:cs="仿宋_GB2312"/>
          <w:color w:val="auto"/>
          <w:kern w:val="0"/>
          <w:sz w:val="24"/>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五、</w:t>
      </w:r>
      <w:bookmarkStart w:id="445" w:name="OLE_LINK17"/>
      <w:bookmarkStart w:id="446" w:name="OLE_LINK16"/>
      <w:r>
        <w:rPr>
          <w:rFonts w:hint="eastAsia" w:ascii="仿宋_GB2312" w:hAnsi="仿宋" w:eastAsia="仿宋_GB2312" w:cs="仿宋_GB2312"/>
          <w:b/>
          <w:bCs/>
          <w:color w:val="auto"/>
          <w:sz w:val="32"/>
          <w:szCs w:val="32"/>
          <w:highlight w:val="none"/>
        </w:rPr>
        <w:t>其他商务文件或说明</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bookmarkStart w:id="447" w:name="OLE_LINK10"/>
      <w:bookmarkStart w:id="448" w:name="OLE_LINK11"/>
      <w:r>
        <w:rPr>
          <w:rFonts w:hint="eastAsia" w:ascii="仿宋_GB2312" w:hAnsi="仿宋" w:eastAsia="仿宋_GB2312" w:cs="仿宋_GB2312"/>
          <w:color w:val="auto"/>
          <w:sz w:val="24"/>
          <w:highlight w:val="none"/>
        </w:rPr>
        <w:t>其他商务文件或说明由投标人根据采购需求自行编制</w:t>
      </w:r>
      <w:bookmarkEnd w:id="447"/>
      <w:bookmarkEnd w:id="448"/>
      <w:r>
        <w:rPr>
          <w:rFonts w:hint="eastAsia" w:ascii="仿宋_GB2312" w:hAnsi="仿宋" w:eastAsia="仿宋_GB2312" w:cs="仿宋_GB2312"/>
          <w:color w:val="auto"/>
          <w:sz w:val="24"/>
          <w:highlight w:val="none"/>
        </w:rPr>
        <w:t>）</w:t>
      </w:r>
    </w:p>
    <w:bookmarkEnd w:id="445"/>
    <w:bookmarkEnd w:id="446"/>
    <w:p>
      <w:pPr>
        <w:spacing w:line="360" w:lineRule="auto"/>
        <w:jc w:val="center"/>
        <w:rPr>
          <w:rFonts w:ascii="仿宋_GB2312" w:hAnsi="仿宋" w:eastAsia="仿宋_GB2312" w:cs="仿宋_GB2312"/>
          <w:color w:val="auto"/>
          <w:sz w:val="24"/>
          <w:highlight w:val="none"/>
        </w:rPr>
      </w:pPr>
    </w:p>
    <w:p>
      <w:pPr>
        <w:autoSpaceDE w:val="0"/>
        <w:autoSpaceDN w:val="0"/>
        <w:spacing w:line="360" w:lineRule="auto"/>
        <w:ind w:firstLine="4800" w:firstLineChars="20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投标人名称（电子签名）：      </w:t>
      </w:r>
    </w:p>
    <w:p>
      <w:pPr>
        <w:autoSpaceDE w:val="0"/>
        <w:autoSpaceDN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autoSpaceDE w:val="0"/>
        <w:autoSpaceDN w:val="0"/>
        <w:spacing w:line="360" w:lineRule="auto"/>
        <w:rPr>
          <w:rFonts w:ascii="仿宋_GB2312" w:hAnsi="仿宋" w:eastAsia="仿宋_GB2312" w:cs="仿宋_GB2312"/>
          <w:color w:val="auto"/>
          <w:kern w:val="0"/>
          <w:sz w:val="24"/>
          <w:highlight w:val="none"/>
          <w:lang w:val="zh-CN"/>
        </w:rPr>
      </w:pPr>
    </w:p>
    <w:p>
      <w:pPr>
        <w:autoSpaceDE w:val="0"/>
        <w:autoSpaceDN w:val="0"/>
        <w:spacing w:line="360" w:lineRule="auto"/>
        <w:rPr>
          <w:rFonts w:ascii="仿宋_GB2312" w:hAnsi="仿宋" w:eastAsia="仿宋_GB2312" w:cs="仿宋_GB2312"/>
          <w:color w:val="auto"/>
          <w:kern w:val="0"/>
          <w:sz w:val="24"/>
          <w:highlight w:val="none"/>
          <w:lang w:val="zh-CN"/>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color w:val="auto"/>
          <w:sz w:val="32"/>
          <w:szCs w:val="32"/>
          <w:highlight w:val="none"/>
        </w:rPr>
        <w:t>六</w:t>
      </w:r>
      <w:r>
        <w:rPr>
          <w:rFonts w:hint="eastAsia" w:ascii="仿宋_GB2312" w:hAnsi="仿宋" w:eastAsia="仿宋_GB2312" w:cs="仿宋_GB2312"/>
          <w:b/>
          <w:bCs/>
          <w:color w:val="auto"/>
          <w:sz w:val="32"/>
          <w:szCs w:val="32"/>
          <w:highlight w:val="none"/>
        </w:rPr>
        <w:t>、技术解决方案</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snapToGrid w:val="0"/>
        <w:spacing w:line="360" w:lineRule="auto"/>
        <w:jc w:val="center"/>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（一）投标产品规格配置清单</w:t>
      </w:r>
    </w:p>
    <w:tbl>
      <w:tblPr>
        <w:tblStyle w:val="64"/>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531"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设备名称</w:t>
            </w:r>
          </w:p>
        </w:tc>
        <w:tc>
          <w:tcPr>
            <w:tcW w:w="2160"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投标品牌及型号</w:t>
            </w:r>
          </w:p>
        </w:tc>
        <w:tc>
          <w:tcPr>
            <w:tcW w:w="2340"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规格配置详细说明</w:t>
            </w:r>
          </w:p>
        </w:tc>
        <w:tc>
          <w:tcPr>
            <w:tcW w:w="1080"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数量</w:t>
            </w:r>
          </w:p>
        </w:tc>
        <w:tc>
          <w:tcPr>
            <w:tcW w:w="1332"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p>
        </w:tc>
        <w:tc>
          <w:tcPr>
            <w:tcW w:w="1531"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2160"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2340" w:type="dxa"/>
            <w:noWrap w:val="0"/>
            <w:vAlign w:val="center"/>
          </w:tcPr>
          <w:p>
            <w:pPr>
              <w:spacing w:line="360" w:lineRule="auto"/>
              <w:jc w:val="center"/>
              <w:rPr>
                <w:rFonts w:ascii="仿宋_GB2312" w:hAnsi="仿宋" w:eastAsia="仿宋_GB2312" w:cs="仿宋_GB2312"/>
                <w:color w:val="auto"/>
                <w:sz w:val="24"/>
                <w:highlight w:val="none"/>
              </w:rPr>
            </w:pPr>
          </w:p>
        </w:tc>
        <w:tc>
          <w:tcPr>
            <w:tcW w:w="1080" w:type="dxa"/>
            <w:noWrap w:val="0"/>
            <w:vAlign w:val="center"/>
          </w:tcPr>
          <w:p>
            <w:pPr>
              <w:spacing w:line="360" w:lineRule="auto"/>
              <w:jc w:val="center"/>
              <w:rPr>
                <w:rFonts w:ascii="仿宋_GB2312" w:hAnsi="仿宋" w:eastAsia="仿宋_GB2312" w:cs="仿宋_GB2312"/>
                <w:color w:val="auto"/>
                <w:sz w:val="24"/>
                <w:highlight w:val="none"/>
              </w:rPr>
            </w:pPr>
          </w:p>
        </w:tc>
        <w:tc>
          <w:tcPr>
            <w:tcW w:w="1332"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p>
        </w:tc>
        <w:tc>
          <w:tcPr>
            <w:tcW w:w="1531"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2160"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2340" w:type="dxa"/>
            <w:noWrap w:val="0"/>
            <w:vAlign w:val="center"/>
          </w:tcPr>
          <w:p>
            <w:pPr>
              <w:spacing w:line="360" w:lineRule="auto"/>
              <w:jc w:val="center"/>
              <w:rPr>
                <w:rFonts w:ascii="仿宋_GB2312" w:hAnsi="仿宋" w:eastAsia="仿宋_GB2312" w:cs="仿宋_GB2312"/>
                <w:color w:val="auto"/>
                <w:sz w:val="24"/>
                <w:highlight w:val="none"/>
              </w:rPr>
            </w:pPr>
          </w:p>
        </w:tc>
        <w:tc>
          <w:tcPr>
            <w:tcW w:w="1080" w:type="dxa"/>
            <w:noWrap w:val="0"/>
            <w:vAlign w:val="center"/>
          </w:tcPr>
          <w:p>
            <w:pPr>
              <w:spacing w:line="360" w:lineRule="auto"/>
              <w:jc w:val="center"/>
              <w:rPr>
                <w:rFonts w:ascii="仿宋_GB2312" w:hAnsi="仿宋" w:eastAsia="仿宋_GB2312" w:cs="仿宋_GB2312"/>
                <w:color w:val="auto"/>
                <w:sz w:val="24"/>
                <w:highlight w:val="none"/>
              </w:rPr>
            </w:pPr>
          </w:p>
        </w:tc>
        <w:tc>
          <w:tcPr>
            <w:tcW w:w="1332" w:type="dxa"/>
            <w:noWrap w:val="0"/>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p>
        </w:tc>
        <w:tc>
          <w:tcPr>
            <w:tcW w:w="1531"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2160" w:type="dxa"/>
            <w:noWrap w:val="0"/>
            <w:vAlign w:val="center"/>
          </w:tcPr>
          <w:p>
            <w:pPr>
              <w:snapToGrid w:val="0"/>
              <w:spacing w:line="360" w:lineRule="auto"/>
              <w:jc w:val="center"/>
              <w:rPr>
                <w:rFonts w:ascii="仿宋_GB2312" w:hAnsi="仿宋" w:eastAsia="仿宋_GB2312" w:cs="仿宋_GB2312"/>
                <w:color w:val="auto"/>
                <w:sz w:val="24"/>
                <w:highlight w:val="none"/>
              </w:rPr>
            </w:pPr>
          </w:p>
        </w:tc>
        <w:tc>
          <w:tcPr>
            <w:tcW w:w="2340" w:type="dxa"/>
            <w:noWrap w:val="0"/>
            <w:vAlign w:val="center"/>
          </w:tcPr>
          <w:p>
            <w:pPr>
              <w:spacing w:line="360" w:lineRule="auto"/>
              <w:jc w:val="center"/>
              <w:rPr>
                <w:rFonts w:ascii="仿宋_GB2312" w:hAnsi="仿宋" w:eastAsia="仿宋_GB2312" w:cs="仿宋_GB2312"/>
                <w:color w:val="auto"/>
                <w:sz w:val="24"/>
                <w:highlight w:val="none"/>
              </w:rPr>
            </w:pPr>
          </w:p>
        </w:tc>
        <w:tc>
          <w:tcPr>
            <w:tcW w:w="1080" w:type="dxa"/>
            <w:noWrap w:val="0"/>
            <w:vAlign w:val="center"/>
          </w:tcPr>
          <w:p>
            <w:pPr>
              <w:spacing w:line="360" w:lineRule="auto"/>
              <w:jc w:val="center"/>
              <w:rPr>
                <w:rFonts w:ascii="仿宋_GB2312" w:hAnsi="仿宋" w:eastAsia="仿宋_GB2312" w:cs="仿宋_GB2312"/>
                <w:color w:val="auto"/>
                <w:sz w:val="24"/>
                <w:highlight w:val="none"/>
              </w:rPr>
            </w:pPr>
          </w:p>
        </w:tc>
        <w:tc>
          <w:tcPr>
            <w:tcW w:w="1332" w:type="dxa"/>
            <w:noWrap w:val="0"/>
            <w:vAlign w:val="center"/>
          </w:tcPr>
          <w:p>
            <w:pPr>
              <w:spacing w:line="360" w:lineRule="auto"/>
              <w:jc w:val="center"/>
              <w:rPr>
                <w:rFonts w:ascii="仿宋_GB2312" w:hAnsi="仿宋" w:eastAsia="仿宋_GB2312" w:cs="仿宋_GB2312"/>
                <w:color w:val="auto"/>
                <w:sz w:val="24"/>
                <w:highlight w:val="none"/>
              </w:rPr>
            </w:pPr>
          </w:p>
        </w:tc>
      </w:tr>
    </w:tbl>
    <w:p>
      <w:pPr>
        <w:autoSpaceDE w:val="0"/>
        <w:autoSpaceDN w:val="0"/>
        <w:spacing w:line="360" w:lineRule="auto"/>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sz w:val="24"/>
          <w:highlight w:val="none"/>
        </w:rPr>
        <w:t>注：如果本项目涉及硬件设备采购，须在技术文件中提供此配置清单</w:t>
      </w:r>
      <w:r>
        <w:rPr>
          <w:rFonts w:hint="eastAsia" w:ascii="仿宋_GB2312" w:hAnsi="仿宋" w:eastAsia="仿宋_GB2312" w:cs="仿宋_GB2312"/>
          <w:b/>
          <w:color w:val="auto"/>
          <w:sz w:val="28"/>
          <w:szCs w:val="28"/>
          <w:highlight w:val="none"/>
        </w:rPr>
        <w:t>。</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 w:eastAsia="仿宋_GB2312" w:cs="仿宋_GB2312"/>
          <w:b/>
          <w:bCs/>
          <w:color w:val="auto"/>
          <w:kern w:val="0"/>
          <w:sz w:val="24"/>
          <w:highlight w:val="none"/>
          <w:lang w:val="zh-CN"/>
        </w:rPr>
      </w:pPr>
      <w:r>
        <w:rPr>
          <w:rFonts w:hint="eastAsia" w:ascii="仿宋_GB2312" w:hAnsi="仿宋" w:eastAsia="仿宋_GB2312" w:cs="仿宋_GB2312"/>
          <w:b/>
          <w:bCs/>
          <w:color w:val="auto"/>
          <w:kern w:val="0"/>
          <w:sz w:val="24"/>
          <w:highlight w:val="none"/>
          <w:lang w:val="zh-CN"/>
        </w:rPr>
        <w:tab/>
      </w:r>
      <w:r>
        <w:rPr>
          <w:rFonts w:hint="eastAsia" w:ascii="仿宋_GB2312" w:hAnsi="仿宋" w:eastAsia="仿宋_GB2312" w:cs="仿宋_GB2312"/>
          <w:b/>
          <w:bCs/>
          <w:color w:val="auto"/>
          <w:kern w:val="0"/>
          <w:sz w:val="24"/>
          <w:highlight w:val="none"/>
          <w:lang w:val="zh-CN"/>
        </w:rPr>
        <w:tab/>
      </w:r>
      <w:r>
        <w:rPr>
          <w:rFonts w:hint="eastAsia" w:ascii="仿宋_GB2312" w:hAnsi="仿宋" w:eastAsia="仿宋_GB2312" w:cs="仿宋_GB2312"/>
          <w:b/>
          <w:bCs/>
          <w:color w:val="auto"/>
          <w:kern w:val="0"/>
          <w:sz w:val="24"/>
          <w:highlight w:val="none"/>
          <w:lang w:val="zh-CN"/>
        </w:rPr>
        <w:t xml:space="preserve">                        </w:t>
      </w:r>
    </w:p>
    <w:p>
      <w:pPr>
        <w:spacing w:line="360" w:lineRule="auto"/>
        <w:ind w:firstLine="1333" w:firstLineChars="400"/>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（二）节能产品认证证书复印件（电子签名）</w:t>
      </w:r>
    </w:p>
    <w:p>
      <w:pPr>
        <w:spacing w:line="360" w:lineRule="auto"/>
        <w:ind w:firstLine="1333" w:firstLineChars="400"/>
        <w:jc w:val="left"/>
        <w:rPr>
          <w:rFonts w:ascii="仿宋_GB2312" w:hAnsi="仿宋" w:eastAsia="仿宋_GB2312"/>
          <w:b/>
          <w:color w:val="auto"/>
          <w:spacing w:val="6"/>
          <w:sz w:val="32"/>
          <w:szCs w:val="32"/>
          <w:highlight w:val="none"/>
        </w:rPr>
      </w:pPr>
    </w:p>
    <w:p>
      <w:pPr>
        <w:spacing w:line="360" w:lineRule="auto"/>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 xml:space="preserve"> </w:t>
      </w:r>
    </w:p>
    <w:p>
      <w:pPr>
        <w:spacing w:line="360" w:lineRule="auto"/>
        <w:ind w:firstLine="1000" w:firstLineChars="300"/>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（三）环境标志产品认证证书复印件（电子签名）</w:t>
      </w:r>
    </w:p>
    <w:p>
      <w:pPr>
        <w:autoSpaceDE w:val="0"/>
        <w:autoSpaceDN w:val="0"/>
        <w:spacing w:line="360" w:lineRule="auto"/>
        <w:ind w:firstLine="4560" w:firstLineChars="1900"/>
        <w:rPr>
          <w:rFonts w:ascii="仿宋_GB2312" w:hAnsi="仿宋" w:eastAsia="仿宋_GB2312"/>
          <w:color w:val="auto"/>
          <w:kern w:val="0"/>
          <w:sz w:val="24"/>
          <w:highlight w:val="none"/>
        </w:rPr>
      </w:pPr>
    </w:p>
    <w:p>
      <w:pPr>
        <w:autoSpaceDE w:val="0"/>
        <w:autoSpaceDN w:val="0"/>
        <w:spacing w:line="360" w:lineRule="auto"/>
        <w:ind w:firstLine="4560" w:firstLineChars="1900"/>
        <w:rPr>
          <w:rFonts w:ascii="仿宋_GB2312" w:hAnsi="仿宋" w:eastAsia="仿宋_GB2312"/>
          <w:color w:val="auto"/>
          <w:kern w:val="0"/>
          <w:sz w:val="24"/>
          <w:highlight w:val="none"/>
        </w:rPr>
      </w:pPr>
    </w:p>
    <w:p>
      <w:pPr>
        <w:autoSpaceDE w:val="0"/>
        <w:autoSpaceDN w:val="0"/>
        <w:spacing w:line="360" w:lineRule="auto"/>
        <w:ind w:firstLine="4560" w:firstLineChars="1900"/>
        <w:rPr>
          <w:rFonts w:ascii="仿宋_GB2312" w:hAnsi="仿宋" w:eastAsia="仿宋_GB2312"/>
          <w:color w:val="auto"/>
          <w:kern w:val="0"/>
          <w:sz w:val="24"/>
          <w:highlight w:val="none"/>
        </w:rPr>
      </w:pPr>
    </w:p>
    <w:p>
      <w:pPr>
        <w:autoSpaceDE w:val="0"/>
        <w:autoSpaceDN w:val="0"/>
        <w:spacing w:line="360" w:lineRule="auto"/>
        <w:ind w:firstLine="4560" w:firstLineChars="1900"/>
        <w:rPr>
          <w:rFonts w:ascii="仿宋_GB2312" w:hAnsi="仿宋" w:eastAsia="仿宋_GB2312"/>
          <w:color w:val="auto"/>
          <w:kern w:val="0"/>
          <w:sz w:val="24"/>
          <w:highlight w:val="none"/>
        </w:rPr>
      </w:pPr>
    </w:p>
    <w:p>
      <w:pPr>
        <w:autoSpaceDE w:val="0"/>
        <w:autoSpaceDN w:val="0"/>
        <w:spacing w:line="360" w:lineRule="auto"/>
        <w:ind w:firstLine="4560" w:firstLineChars="1900"/>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 xml:space="preserve">供应商名称（电子签名）：                       </w:t>
      </w:r>
    </w:p>
    <w:p>
      <w:pPr>
        <w:autoSpaceDE w:val="0"/>
        <w:autoSpaceDN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 xml:space="preserve">                                      日期：   年  月   日</w:t>
      </w: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七、技术偏离说明表</w:t>
      </w:r>
    </w:p>
    <w:p>
      <w:pPr>
        <w:spacing w:line="360" w:lineRule="auto"/>
        <w:jc w:val="center"/>
        <w:rPr>
          <w:rFonts w:ascii="仿宋_GB2312" w:hAnsi="仿宋" w:eastAsia="仿宋_GB2312" w:cs="仿宋_GB2312"/>
          <w:b/>
          <w:bCs/>
          <w:color w:val="auto"/>
          <w:sz w:val="18"/>
          <w:szCs w:val="18"/>
          <w:highlight w:val="none"/>
        </w:rPr>
      </w:pPr>
    </w:p>
    <w:tbl>
      <w:tblPr>
        <w:tblStyle w:val="64"/>
        <w:tblW w:w="0" w:type="auto"/>
        <w:tblInd w:w="-1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hAnsi="仿宋" w:eastAsia="仿宋_GB2312" w:cs="仿宋_GB2312"/>
                <w:color w:val="auto"/>
                <w:sz w:val="24"/>
                <w:highlight w:val="none"/>
              </w:rPr>
            </w:pPr>
          </w:p>
        </w:tc>
      </w:tr>
    </w:tbl>
    <w:p>
      <w:pPr>
        <w:autoSpaceDE w:val="0"/>
        <w:autoSpaceDN w:val="0"/>
        <w:spacing w:line="360" w:lineRule="auto"/>
        <w:ind w:firstLine="5040" w:firstLineChars="2100"/>
        <w:rPr>
          <w:rFonts w:ascii="仿宋_GB2312" w:hAnsi="仿宋" w:eastAsia="仿宋_GB2312" w:cs="仿宋_GB2312"/>
          <w:color w:val="auto"/>
          <w:kern w:val="0"/>
          <w:sz w:val="24"/>
          <w:highlight w:val="none"/>
          <w:lang w:val="zh-CN"/>
        </w:rPr>
      </w:pPr>
    </w:p>
    <w:p>
      <w:pPr>
        <w:autoSpaceDE w:val="0"/>
        <w:autoSpaceDN w:val="0"/>
        <w:spacing w:line="360" w:lineRule="auto"/>
        <w:ind w:firstLine="5040" w:firstLineChars="21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投标人名称（电子签名）：      </w:t>
      </w:r>
    </w:p>
    <w:p>
      <w:pPr>
        <w:autoSpaceDE w:val="0"/>
        <w:autoSpaceDN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color w:val="auto"/>
          <w:kern w:val="0"/>
          <w:sz w:val="24"/>
          <w:highlight w:val="none"/>
          <w:lang w:val="zh-CN"/>
        </w:rPr>
        <w:t xml:space="preserve">                           </w:t>
      </w: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6"/>
          <w:szCs w:val="36"/>
          <w:highlight w:val="none"/>
          <w:lang w:val="zh-CN"/>
        </w:rPr>
      </w:pPr>
      <w:r>
        <w:rPr>
          <w:rFonts w:hint="eastAsia" w:ascii="仿宋_GB2312" w:hAnsi="仿宋" w:eastAsia="仿宋_GB2312" w:cs="仿宋_GB2312"/>
          <w:b/>
          <w:bCs/>
          <w:color w:val="auto"/>
          <w:kern w:val="0"/>
          <w:sz w:val="36"/>
          <w:szCs w:val="36"/>
          <w:highlight w:val="none"/>
          <w:lang w:val="zh-CN"/>
        </w:rPr>
        <w:t xml:space="preserve"> </w:t>
      </w: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r>
        <w:rPr>
          <w:rFonts w:hint="eastAsia" w:ascii="仿宋_GB2312" w:hAnsi="仿宋" w:eastAsia="仿宋_GB2312" w:cs="仿宋_GB2312"/>
          <w:b/>
          <w:bCs/>
          <w:color w:val="auto"/>
          <w:kern w:val="0"/>
          <w:sz w:val="32"/>
          <w:szCs w:val="32"/>
          <w:highlight w:val="none"/>
          <w:lang w:val="zh-CN"/>
        </w:rPr>
        <w:t>八、组织实施方案</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tabs>
          <w:tab w:val="left" w:pos="2790"/>
          <w:tab w:val="left" w:pos="4230"/>
        </w:tabs>
        <w:autoSpaceDE w:val="0"/>
        <w:autoSpaceDN w:val="0"/>
        <w:spacing w:line="360" w:lineRule="auto"/>
        <w:ind w:right="1400"/>
        <w:outlineLvl w:val="1"/>
        <w:rPr>
          <w:rFonts w:ascii="仿宋_GB2312" w:hAnsi="仿宋" w:eastAsia="仿宋_GB2312" w:cs="仿宋_GB2312"/>
          <w:b/>
          <w:bCs/>
          <w:color w:val="auto"/>
          <w:kern w:val="0"/>
          <w:sz w:val="24"/>
          <w:highlight w:val="none"/>
          <w:lang w:val="zh-CN"/>
        </w:rPr>
      </w:pPr>
    </w:p>
    <w:p>
      <w:pPr>
        <w:tabs>
          <w:tab w:val="left" w:pos="2790"/>
          <w:tab w:val="left" w:pos="4230"/>
        </w:tabs>
        <w:autoSpaceDE w:val="0"/>
        <w:autoSpaceDN w:val="0"/>
        <w:spacing w:line="360" w:lineRule="auto"/>
        <w:ind w:right="1400"/>
        <w:outlineLvl w:val="1"/>
        <w:rPr>
          <w:rFonts w:ascii="仿宋_GB2312" w:hAnsi="仿宋" w:eastAsia="仿宋_GB2312" w:cs="仿宋_GB2312"/>
          <w:b/>
          <w:bCs/>
          <w:color w:val="auto"/>
          <w:kern w:val="0"/>
          <w:sz w:val="24"/>
          <w:highlight w:val="none"/>
          <w:lang w:val="zh-CN"/>
        </w:rPr>
      </w:pPr>
      <w:r>
        <w:rPr>
          <w:rFonts w:hint="eastAsia" w:ascii="仿宋_GB2312" w:hAnsi="仿宋" w:eastAsia="仿宋_GB2312" w:cs="仿宋_GB2312"/>
          <w:b/>
          <w:bCs/>
          <w:color w:val="auto"/>
          <w:kern w:val="0"/>
          <w:sz w:val="24"/>
          <w:highlight w:val="none"/>
          <w:lang w:val="zh-CN"/>
        </w:rPr>
        <w:t>附表:项目实施进度计划表</w:t>
      </w:r>
      <w:r>
        <w:rPr>
          <w:rFonts w:hint="eastAsia" w:ascii="仿宋_GB2312" w:hAnsi="仿宋" w:eastAsia="仿宋_GB2312" w:cs="仿宋_GB2312"/>
          <w:b/>
          <w:color w:val="auto"/>
          <w:sz w:val="24"/>
          <w:highlight w:val="none"/>
        </w:rPr>
        <w:t xml:space="preserve">(以生效日算起) </w:t>
      </w:r>
    </w:p>
    <w:tbl>
      <w:tblPr>
        <w:tblStyle w:val="64"/>
        <w:tblW w:w="0" w:type="auto"/>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188"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eastAsia="仿宋_GB2312"/>
                <w:color w:val="auto"/>
                <w:highlight w:val="none"/>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10" name="组合 10"/>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1" name="__TH_L2"/>
                              <wps:cNvCnPr/>
                              <wps:spPr bwMode="auto">
                                <a:xfrm>
                                  <a:off x="0" y="0"/>
                                  <a:ext cx="1178" cy="1860"/>
                                </a:xfrm>
                                <a:prstGeom prst="line">
                                  <a:avLst/>
                                </a:prstGeom>
                                <a:noFill/>
                                <a:ln w="6350">
                                  <a:solidFill>
                                    <a:srgbClr val="000000"/>
                                  </a:solidFill>
                                  <a:round/>
                                </a:ln>
                                <a:effectLst/>
                              </wps:spPr>
                              <wps:bodyPr/>
                            </wps:wsp>
                            <wps:wsp>
                              <wps:cNvPr id="12" name="__TH_B113"/>
                              <wps:cNvSpPr txBox="1"/>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13" name="__TH_B124"/>
                              <wps:cNvSpPr txBox="1"/>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14" name="__TH_B135"/>
                              <wps:cNvSpPr txBox="1"/>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15pt;margin-top:0pt;height:93pt;width:58.9pt;z-index:251659264;mso-width-relative:page;mso-height-relative:page;" coordsize="1178,1860" o:gfxdata="UEsDBAoAAAAAAIdO4kAAAAAAAAAAAAAAAAAEAAAAZHJzL1BLAwQUAAAACACHTuJA9ctcntgAAAAI AQAADwAAAGRycy9kb3ducmV2LnhtbE2PwWrDMBBE74X+g9hCb4mkhqTBtRxKaHsKhSaF0tvG2tgm lmQsxU7+vptTc9thhtk3+ersWjFQH5vgDeipAkG+DLbxlYHv3ftkCSIm9Bbb4MnAhSKsivu7HDMb Rv9FwzZVgkt8zNBAnVKXSRnLmhzGaejIs3cIvcPEsq+k7XHkctfKJ6UW0mHj+UONHa1rKo/bkzPw MeL4OtNvw+Z4WF9+d/PPn40mYx4ftHoBkeic/sNwxWd0KJhpH07eRtEamGg146gBXnS11fMcxJ6P 5UKBLHJ5O6D4A1BLAwQUAAAACACHTuJAKNZTtfkCAAC5CgAADgAAAGRycy9lMm9Eb2MueG1s7VbN btQwEL4j8Q6W7zRx9peo2Yq2UJAKVGo5V17H+ZES29jezZYzB468D8+DeA3GTrK73QpYlR9x6B6y ztgez3zfNxMfHq3qCi25NqUUCSYHIUZcMJmWIk/wu6sXT6YYGUtFSispeIJvuMFHs8ePDhsV80gW skq5RuBEmLhRCS6sVXEQGFbwmpoDqbiAyUzqmlp41XmQatqA97oKojAcB43UqdKScWPAetpO4s6j 3sehzLKS8VPJFjUXtvWqeUUtpGSKUhk889FmGWf2bZYZblGVYMjU+iccAuO5ewazQxrnmqqiZF0I dJ8QdnKqaSng0LWrU2opWujyjqu6ZFoamdkDJuugTcQjAlmQcAebMy0XyueSx02u1qADUTuo39st e7O80KhMQQkAiaA1MP7ty8evnz8hMAA6jcpjWHSm1aW60J0hb99cwqtM1+4fUkErj+vNGle+soiB cTKchgNwz2CKkCkhYQc8K4CdO9tY8bzbSMgE1Oi3Tcd+T7A5kXt6z42FoAIX5jqqRoE0zQYv83t4 XRZUcU+DcVD0ePVwXV9fvbw+j1qw/IoT0SFlYgOgoXnzWqYALF1Y6VWyD2g/zV1pY8+4rJEbJLgq hQuQxnTZ4UHjfokzC/mirCqv9UqgJsHjwSj0G4ysytRNumVG5/OTSqMlddXify4rwPzWMlClSFt7 Jdy+HSbarJ10TDyX6Y0HAxjypLTmv89OdIueY0IGWwQ5KSO7OpYgTtLb96JqOBph5GQcecIh906q 0WjQKjUa+5O2hNoz0ZGloSntTdYt9sDnLwG3q/kKuNlgj7Rsux70fBgUUn/AqIGOl2DzfkE1x6h6 JaBEXHvsB7ofzPsBFQy2Jthi1A5PbNtGF0qXeQGeiU9KyGeg8qzsqrJXgC/RfyoAoKNtZ74+j0k0 7ImGGr6/AMZDcAwCGJKnzt+DAND/KoDhjgAGoz8igOmAeAFMyOSHAvC94aEDdEXffgO2O4D/XMON xn9butuXuzJtv/v1mxvn7DtQSwMECgAAAAAAh07iQAAAAAAAAAAAAAAAAAYAAABfcmVscy9QSwME FAAAAAgAh07iQIoUZjzRAAAAlAEAAAsAAABfcmVscy8ucmVsc6WQwWrDMAyG74O9g9F9cZrDGKNO L6PQa+kewNiKYxpbRjLZ+vbzDoNl9LajfqHvE//+8JkWtSJLpGxg1/WgMDvyMQcD75fj0wsoqTZ7 u1BGAzcUOIyPD/szLra2I5ljEdUoWQzMtZZXrcXNmKx0VDC3zUScbG0jB12su9qAeuj7Z82/GTBu mOrkDfDJD6Aut9LMf9gpOiahqXaOkqZpiu4eVQe2ZY7uyDbhG7lGsxywGvAsGgdqWdd+BH1fv/un 3tNHPuO61X6HjOuPV2+6HL8AUEsDBBQAAAAIAIdO4kB+5uUg9wAAAOEBAAATAAAAW0NvbnRlbnRf VHlwZXNdLnhtbJWRQU7DMBBF90jcwfIWJU67QAgl6YK0S0CoHGBkTxKLZGx5TGhvj5O2G0SRWNoz /78nu9wcxkFMGNg6quQqL6RA0s5Y6ir5vt9lD1JwBDIwOMJKHpHlpr69KfdHjyxSmriSfYz+USnW PY7AufNIadK6MEJMx9ApD/oDOlTrorhX2lFEilmcO2RdNtjC5xDF9pCuTyYBB5bi6bQ4syoJ3g9W Q0ymaiLzg5KdCXlKLjvcW893SUOqXwnz5DrgnHtJTxOsQfEKIT7DmDSUCayM+6KAU/53yWw5cuba 1mrMm8BNir3hdLG61o5r1zj93/Ltkrp0q+WD6m9QSwECFAAUAAAACACHTuJAfublIPcAAADhAQAA EwAAAAAAAAABACAAAABqBQAAW0NvbnRlbnRfVHlwZXNdLnhtbFBLAQIUAAoAAAAAAIdO4kAAAAAA AAAAAAAAAAAGAAAAAAAAAAAAEAAAAEwEAABfcmVscy9QSwECFAAUAAAACACHTuJAihRmPNEAAACU AQAACwAAAAAAAAABACAAAABwBAAAX3JlbHMvLnJlbHNQSwECFAAKAAAAAACHTuJAAAAAAAAAAAAA AAAABAAAAAAAAAAAABAAAAAAAAAAZHJzL1BLAQIUABQAAAAIAIdO4kD1y1ye2AAAAAgBAAAPAAAA AAAAAAEAIAAAACIAAABkcnMvZG93bnJldi54bWxQSwECFAAUAAAACACHTuJAKNZTtfkCAAC5CgAA DgAAAAAAAAABACAAAAAnAQAAZHJzL2Uyb0RvYy54bWxQSwUGAAAAAAYABgBZAQAAkgYAAAAA ">
                      <o:lock v:ext="edit" aspectratio="f"/>
                      <v:line id="__TH_L2" o:spid="_x0000_s1026" o:spt="20" style="position:absolute;left:0;top:0;height:1860;width:1178;" filled="f" stroked="t" coordsize="21600,21600" o:gfxdata="UEsDBAoAAAAAAIdO4kAAAAAAAAAAAAAAAAAEAAAAZHJzL1BLAwQUAAAACACHTuJA2wcIfbgAAADa AAAADwAAAGRycy9kb3ducmV2LnhtbEVPTUsDMRC9C/0PYQrebLLCiqxNexC29OLBKp6Hzbi7uJks yXRT/fWmIHgaHu9ztvuLn9RCMY2BLVQbA4q4C27k3sL7W3v3CCoJssMpMFn4pgT73epmi40LmV9p OUmvSginBi0MInOjdeoG8pg2YSYu3GeIHqXA2GsXMZdwP+l7Yx60x5FLw4AzPQ/UfZ3O3gJX8jHl LHmJP/Whrur2aF5aa2/XlXkCJXSRf/Gf++jKfLi+cr169wtQSwMEFAAAAAgAh07iQDMvBZ47AAAA OQAAABAAAABkcnMvc2hhcGV4bWwueG1ss7GvyM1RKEstKs7Mz7NVMtQzUFJIzUvOT8nMS7dVCg1x 07VQUiguScxLSczJz0u1VapMLVayt+PlAgBQSwMECgAAAAAAh07iQAAAAAAAAAAAAAAAAAYAAABf cmVscy9QSwMEFAAAAAgAh07iQNVcJijMAAAAjwEAAAsAAABfcmVscy8ucmVsc6WQsWoDMQyG90Df wWjv+ZKhlBBftkLWkEJXYevuTM6Wscw1efu4lEIvZMugQb/Q9wnt9pcwqZmyeI4G1k0LiqJl5+Ng 4PP08foOSgpGhxNHMnAlgX33stodacJSl2T0SVSlRDEwlpK2WosdKaA0nCjWSc85YKltHnRCe8aB 9KZt33T+z4BuwVQHZyAf3AbU6Zqq+Y4dvM0s3JfGctDc994+omoZMdFXmCoG80DFgMvym9bTmlqg H5vXT5odf8cjzUvxT5hp/vPqxRu7G1BLAwQUAAAACACHTuJAWuMRZvcAAADiAQAAEwAAAFtDb250 ZW50X1R5cGVzXS54bWyVkU1PxCAQhu8m/gcyV9NSPRhjSvdg9ahG1x8wgWlLtgXCYN3999L9uBjX xCPMvM/7BOrVdhrFTJGtdwquywoEOe2Ndb2Cj/VTcQeCEzqDo3ekYEcMq+byol7vArHIaccKhpTC vZSsB5qQSx/I5Unn44QpH2MvA+oN9iRvqupWau8SuVSkhQFN3VKHn2MSj9t8fTCJNDKIh8Pi0qUA QxitxpRN5ezMj5bi2FDm5H6HBxv4KmuA/LVhmZwvOOZe8tNEa0i8YkzPOGUNaSJL479cpLn8G7JY Tlz4rrOayjZym2NvNJ+sztF5wEAZ/V/8+5I7weX+h5pvUEsBAhQAFAAAAAgAh07iQFrjEWb3AAAA 4gEAABMAAAAAAAAAAQAgAAAAiQIAAFtDb250ZW50X1R5cGVzXS54bWxQSwECFAAKAAAAAACHTuJA AAAAAAAAAAAAAAAABgAAAAAAAAAAABAAAABwAQAAX3JlbHMvUEsBAhQAFAAAAAgAh07iQNVcJijM AAAAjwEAAAsAAAAAAAAAAQAgAAAAlAEAAF9yZWxzLy5yZWxzUEsBAhQACgAAAAAAh07iQAAAAAAA AAAAAAAAAAQAAAAAAAAAAAAQAAAAAAAAAGRycy9QSwECFAAUAAAACACHTuJA2wcIfbgAAADaAAAA DwAAAAAAAAABACAAAAAiAAAAZHJzL2Rvd25yZXYueG1sUEsBAhQAFAAAAAgAh07iQDMvBZ47AAAA OQAAABAAAAAAAAAAAQAgAAAABwEAAGRycy9zaGFwZXhtbC54bWxQSwUGAAAAAAYABgBbAQAAsQMA AAAA ">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lZTKVLwAAADb AAAADwAAAGRycy9kb3ducmV2LnhtbEVPS2sCMRC+C/0PYQq9aaIHaVezi0gLhULpuh48jptxN7iZ bDepj39vBKG3+fiesywurhMnGoL1rGE6USCIa28sNxq21cf4FUSIyAY7z6ThSgGK/Gm0xMz4M5d0 2sRGpBAOGWpoY+wzKUPdksMw8T1x4g5+cBgTHBppBjyncNfJmVJz6dByamixp3VL9XHz5zSsdly+ 29/v/U95KG1VvSn+mh+1fnmeqgWISJf4L364P02aP4P7L+kAmd8A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JWUylS8AAAA 2wAAAA8AAAAAAAAAAQAgAAAAIgAAAGRycy9kb3ducmV2LnhtbFBLAQIUABQAAAAIAIdO4kAzLwWe OwAAADkAAAAQAAAAAAAAAAEAIAAAAAsBAABkcnMvc2hhcGV4bWwueG1sUEsFBgAAAAAGAAYAWwEA ALUDAAAAAA== ">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thvz7wAAADb AAAADwAAAGRycy9kb3ducmV2LnhtbEVP32vCMBB+F/Y/hBv4pokTRDtjGcPBYCCr3cMeb83ZhjaX 2mTq/nszEHy7j+/nrfOL68SJhmA9a5hNFQjiyhvLtYav8m2yBBEissHOM2n4owD55mG0xsz4Mxd0 2sdapBAOGWpoYuwzKUPVkMMw9T1x4g5+cBgTHGppBjyncNfJJ6UW0qHl1NBgT68NVe3+12l4+eZi a4+7n8/iUNiyXCn+WLRajx9n6hlEpEu8i2/ud5Pmz+H/l3SA3FwB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PrYb8+8AAAA 2wAAAA8AAAAAAAAAAQAgAAAAIgAAAGRycy9kb3ducmV2LnhtbFBLAQIUABQAAAAIAIdO4kAzLwWe OwAAADkAAAAQAAAAAAAAAAEAIAAAAAsBAABkcnMvc2hhcGV4bWwueG1sUEsFBgAAAAAGAAYAWwEA ALUDAAAAAA== ">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dTH3u7wAAADb AAAADwAAAGRycy9kb3ducmV2LnhtbEVP32vCMBB+F/Y/hBv4polDRDtjGcPBYCCr3cMeb83ZhjaX 2mTq/nszEHy7j+/nrfOL68SJhmA9a5hNFQjiyhvLtYav8m2yBBEissHOM2n4owD55mG0xsz4Mxd0 2sdapBAOGWpoYuwzKUPVkMMw9T1x4g5+cBgTHGppBjyncNfJJ6UW0qHl1NBgT68NVe3+12l4+eZi a4+7n8/iUNiyXCn+WLRajx9n6hlEpEu8i2/ud5Pmz+H/l3SA3FwBUEsDBBQAAAAIAIdO4kAzLwWe OwAAADkAAAAQAAAAZHJzL3NoYXBleG1sLnhtbLOxr8jNUShLLSrOzM+zVTLUM1BSSM1Lzk/JzEu3 VQoNcdO1UFIoLknMS0nMyc9LtVWqTC1Wsrfj5QIAUEsDBAoAAAAAAIdO4kAAAAAAAAAAAAAAAAAG AAAAX3JlbHMvUEsDBBQAAAAIAIdO4kDVXCYozAAAAI8BAAALAAAAX3JlbHMvLnJlbHOlkLFqAzEM hvdA38Fo7/mSoZQQX7ZC1pBCV2Hr7kzOlrHMNXn7uJRCL2TLoEG/0PcJ7faXMKmZsniOBtZNC4qi ZefjYODz9PH6DkoKRocTRzJwJYF997LaHWnCUpdk9ElUpUQxMJaStlqLHSmgNJwo1knPOWCpbR50 QnvGgfSmbd90/s+AbsFUB2cgH9wG1OmaqvmOHbzNLNyXxnLQ3PfePqJqGTHRV5gqBvNAxYDL8pvW 05paoB+b10+aHX/HI81L8U+Yaf7z6sUbuxtQSwMEFAAAAAgAh07iQFrjEWb3AAAA4gEAABMAAABb Q29udGVudF9UeXBlc10ueG1slZFNT8QgEIbvJv4HMlfTUj0YY0r3YPWoRtcfMIFpS7YFwmDd/ffS /bgY18QjzLzP+wTq1XYaxUyRrXcKrssKBDntjXW9go/1U3EHghM6g6N3pGBHDKvm8qJe7wKxyGnH CoaUwr2UrAeakEsfyOVJ5+OEKR9jLwPqDfYkb6rqVmrvErlUpIUBTd1Sh59jEo/bfH0wiTQyiIfD 4tKlAEMYrcaUTeXszI+W4thQ5uR+hwcb+CprgPy1YZmcLzjmXvLTRGtIvGJMzzhlDWkiS+O/XKS5 /BuyWE5c+K6zmso2cptjbzSfrM7RecBAGf1f/PuSO8Hl/oeab1BLAQIUABQAAAAIAIdO4kBa4xFm 9wAAAOIBAAATAAAAAAAAAAEAIAAAAI0CAABbQ29udGVudF9UeXBlc10ueG1sUEsBAhQACgAAAAAA h07iQAAAAAAAAAAAAAAAAAYAAAAAAAAAAAAQAAAAdAEAAF9yZWxzL1BLAQIUABQAAAAIAIdO4kDV XCYozAAAAI8BAAALAAAAAAAAAAEAIAAAAJgBAABfcmVscy8ucmVsc1BLAQIUAAoAAAAAAIdO4kAA AAAAAAAAAAAAAAAEAAAAAAAAAAAAEAAAAAAAAABkcnMvUEsBAhQAFAAAAAgAh07iQHUx97u8AAAA 2wAAAA8AAAAAAAAAAQAgAAAAIgAAAGRycy9kb3ducmV2LnhtbFBLAQIUABQAAAAIAIdO4kAzLwWe OwAAADkAAAAQAAAAAAAAAAEAIAAAAAsBAABkcnMvc2hhcGV4bWwueG1sUEsFBgAAAAAGAAYAWwEA ALUDAAAAAA== ">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ascii="仿宋_GB2312" w:hAnsi="仿宋" w:eastAsia="仿宋_GB2312" w:cs="仿宋_GB2312"/>
                <w:color w:val="auto"/>
                <w:sz w:val="24"/>
                <w:highlight w:val="none"/>
              </w:rPr>
            </w:pPr>
          </w:p>
          <w:p>
            <w:pPr>
              <w:spacing w:line="360" w:lineRule="auto"/>
              <w:rPr>
                <w:rFonts w:ascii="仿宋_GB2312" w:hAnsi="仿宋" w:eastAsia="仿宋_GB2312" w:cs="仿宋_GB2312"/>
                <w:color w:val="auto"/>
                <w:sz w:val="24"/>
                <w:highlight w:val="none"/>
              </w:rPr>
            </w:pPr>
          </w:p>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内容</w:t>
            </w:r>
          </w:p>
        </w:tc>
        <w:tc>
          <w:tcPr>
            <w:tcW w:w="552"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p>
        </w:tc>
        <w:tc>
          <w:tcPr>
            <w:tcW w:w="552"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p>
        </w:tc>
        <w:tc>
          <w:tcPr>
            <w:tcW w:w="552"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w:t>
            </w:r>
          </w:p>
        </w:tc>
        <w:tc>
          <w:tcPr>
            <w:tcW w:w="552"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w:t>
            </w:r>
          </w:p>
        </w:tc>
        <w:tc>
          <w:tcPr>
            <w:tcW w:w="552"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w:t>
            </w:r>
          </w:p>
        </w:tc>
        <w:tc>
          <w:tcPr>
            <w:tcW w:w="552"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6</w:t>
            </w:r>
          </w:p>
        </w:tc>
        <w:tc>
          <w:tcPr>
            <w:tcW w:w="553"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7</w:t>
            </w:r>
          </w:p>
        </w:tc>
        <w:tc>
          <w:tcPr>
            <w:tcW w:w="553"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8</w:t>
            </w:r>
          </w:p>
        </w:tc>
        <w:tc>
          <w:tcPr>
            <w:tcW w:w="553"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9</w:t>
            </w:r>
          </w:p>
        </w:tc>
        <w:tc>
          <w:tcPr>
            <w:tcW w:w="553"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10</w:t>
            </w:r>
          </w:p>
        </w:tc>
        <w:tc>
          <w:tcPr>
            <w:tcW w:w="553"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w:t>
            </w:r>
          </w:p>
        </w:tc>
        <w:tc>
          <w:tcPr>
            <w:tcW w:w="553"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12</w:t>
            </w:r>
          </w:p>
        </w:tc>
        <w:tc>
          <w:tcPr>
            <w:tcW w:w="553"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13</w:t>
            </w:r>
          </w:p>
        </w:tc>
        <w:tc>
          <w:tcPr>
            <w:tcW w:w="553"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14</w:t>
            </w:r>
          </w:p>
        </w:tc>
        <w:tc>
          <w:tcPr>
            <w:tcW w:w="553"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15</w:t>
            </w:r>
          </w:p>
        </w:tc>
        <w:tc>
          <w:tcPr>
            <w:tcW w:w="553" w:type="dxa"/>
            <w:noWrap w:val="0"/>
            <w:vAlign w:val="center"/>
          </w:tcPr>
          <w:p>
            <w:pPr>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2"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c>
          <w:tcPr>
            <w:tcW w:w="553" w:type="dxa"/>
            <w:noWrap w:val="0"/>
            <w:vAlign w:val="top"/>
          </w:tcPr>
          <w:p>
            <w:pPr>
              <w:spacing w:line="360" w:lineRule="auto"/>
              <w:rPr>
                <w:rFonts w:ascii="仿宋_GB2312" w:hAnsi="仿宋" w:eastAsia="仿宋_GB2312" w:cs="仿宋_GB2312"/>
                <w:color w:val="auto"/>
                <w:sz w:val="24"/>
                <w:highlight w:val="none"/>
              </w:rPr>
            </w:pPr>
          </w:p>
        </w:tc>
      </w:tr>
    </w:tbl>
    <w:p>
      <w:pPr>
        <w:autoSpaceDE w:val="0"/>
        <w:autoSpaceDN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b/>
          <w:color w:val="auto"/>
          <w:sz w:val="24"/>
          <w:highlight w:val="none"/>
        </w:rPr>
        <w:t>注：投标人可按上述时间表的格式自行编制切合实际的具体时间表。</w:t>
      </w: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投标人名称（电子签名）：</w:t>
      </w:r>
    </w:p>
    <w:p>
      <w:pPr>
        <w:autoSpaceDE w:val="0"/>
        <w:autoSpaceDN w:val="0"/>
        <w:spacing w:line="360" w:lineRule="auto"/>
        <w:rPr>
          <w:rFonts w:ascii="仿宋_GB2312" w:hAnsi="仿宋" w:eastAsia="仿宋_GB2312" w:cs="仿宋_GB2312"/>
          <w:b/>
          <w:bCs/>
          <w:color w:val="auto"/>
          <w:sz w:val="32"/>
          <w:szCs w:val="32"/>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br w:type="page"/>
      </w:r>
      <w:r>
        <w:rPr>
          <w:rFonts w:hint="eastAsia" w:ascii="仿宋_GB2312" w:hAnsi="仿宋" w:eastAsia="仿宋_GB2312" w:cs="仿宋_GB2312"/>
          <w:b/>
          <w:bCs/>
          <w:color w:val="auto"/>
          <w:sz w:val="32"/>
          <w:szCs w:val="32"/>
          <w:highlight w:val="none"/>
        </w:rPr>
        <w:t>九、售后服务方案</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autoSpaceDE w:val="0"/>
        <w:autoSpaceDN w:val="0"/>
        <w:spacing w:line="360" w:lineRule="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附表A:售后服务机构情况表</w:t>
      </w:r>
      <w:r>
        <w:rPr>
          <w:rFonts w:hint="eastAsia" w:ascii="仿宋_GB2312" w:hAnsi="仿宋" w:eastAsia="仿宋_GB2312" w:cs="仿宋_GB2312"/>
          <w:color w:val="auto"/>
          <w:sz w:val="24"/>
          <w:highlight w:val="none"/>
        </w:rPr>
        <w:t>（按此格式自制）</w:t>
      </w:r>
    </w:p>
    <w:tbl>
      <w:tblPr>
        <w:tblStyle w:val="64"/>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2340" w:type="dxa"/>
            <w:noWrap w:val="0"/>
            <w:vAlign w:val="top"/>
          </w:tcPr>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机构名称</w:t>
            </w:r>
          </w:p>
        </w:tc>
        <w:tc>
          <w:tcPr>
            <w:tcW w:w="1095" w:type="dxa"/>
            <w:noWrap w:val="0"/>
            <w:vAlign w:val="top"/>
          </w:tcPr>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机构性质</w:t>
            </w:r>
          </w:p>
        </w:tc>
        <w:tc>
          <w:tcPr>
            <w:tcW w:w="1245" w:type="dxa"/>
            <w:noWrap w:val="0"/>
            <w:vAlign w:val="top"/>
          </w:tcPr>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注册地址</w:t>
            </w:r>
          </w:p>
        </w:tc>
        <w:tc>
          <w:tcPr>
            <w:tcW w:w="1980" w:type="dxa"/>
            <w:noWrap w:val="0"/>
            <w:vAlign w:val="top"/>
          </w:tcPr>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服务技术人员数量</w:t>
            </w:r>
          </w:p>
        </w:tc>
        <w:tc>
          <w:tcPr>
            <w:tcW w:w="1260" w:type="dxa"/>
            <w:noWrap w:val="0"/>
            <w:vAlign w:val="top"/>
          </w:tcPr>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2340"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1095"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1245"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1980"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2340"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1095"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1245"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1980"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2340"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1095"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1245"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1980"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r>
    </w:tbl>
    <w:p>
      <w:pPr>
        <w:autoSpaceDE w:val="0"/>
        <w:autoSpaceDN w:val="0"/>
        <w:spacing w:line="360" w:lineRule="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注：关于项目涉及的所有售后服务机构均在本表注明，包括投标人本单位和符合条件的第三方服务机构；</w:t>
      </w:r>
    </w:p>
    <w:p>
      <w:pPr>
        <w:autoSpaceDE w:val="0"/>
        <w:autoSpaceDN w:val="0"/>
        <w:spacing w:line="360" w:lineRule="auto"/>
        <w:rPr>
          <w:rFonts w:ascii="仿宋_GB2312" w:hAnsi="仿宋" w:eastAsia="仿宋_GB2312" w:cs="仿宋_GB2312"/>
          <w:color w:val="auto"/>
          <w:kern w:val="0"/>
          <w:sz w:val="24"/>
          <w:highlight w:val="none"/>
        </w:rPr>
      </w:pPr>
    </w:p>
    <w:p>
      <w:pPr>
        <w:autoSpaceDE w:val="0"/>
        <w:autoSpaceDN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b/>
          <w:color w:val="auto"/>
          <w:kern w:val="0"/>
          <w:sz w:val="24"/>
          <w:highlight w:val="none"/>
        </w:rPr>
        <w:t>附表B：售后服务人员情况表</w:t>
      </w:r>
      <w:r>
        <w:rPr>
          <w:rFonts w:hint="eastAsia" w:ascii="仿宋_GB2312" w:hAnsi="仿宋" w:eastAsia="仿宋_GB2312" w:cs="仿宋_GB2312"/>
          <w:color w:val="auto"/>
          <w:sz w:val="24"/>
          <w:highlight w:val="none"/>
        </w:rPr>
        <w:t>（按此格式自制）</w:t>
      </w:r>
    </w:p>
    <w:tbl>
      <w:tblPr>
        <w:tblStyle w:val="64"/>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序号</w:t>
            </w:r>
          </w:p>
          <w:p>
            <w:pPr>
              <w:autoSpaceDE w:val="0"/>
              <w:autoSpaceDN w:val="0"/>
              <w:spacing w:line="360" w:lineRule="auto"/>
              <w:jc w:val="center"/>
              <w:rPr>
                <w:rFonts w:ascii="仿宋_GB2312" w:hAnsi="仿宋"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类别</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性别</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年龄</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学历</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专业</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职称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响应时间</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到达现场时间</w:t>
            </w:r>
          </w:p>
        </w:tc>
      </w:tr>
      <w:tr>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总协调人</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售后人员</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r>
    </w:tbl>
    <w:p>
      <w:pPr>
        <w:autoSpaceDE w:val="0"/>
        <w:autoSpaceDN w:val="0"/>
        <w:spacing w:line="360" w:lineRule="auto"/>
        <w:rPr>
          <w:rFonts w:ascii="仿宋_GB2312" w:hAnsi="仿宋" w:eastAsia="仿宋_GB2312" w:cs="仿宋_GB2312"/>
          <w:color w:val="auto"/>
          <w:kern w:val="0"/>
          <w:sz w:val="24"/>
          <w:highlight w:val="none"/>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投标人名称（电子签名）：</w:t>
      </w:r>
    </w:p>
    <w:p>
      <w:pPr>
        <w:autoSpaceDE w:val="0"/>
        <w:autoSpaceDN w:val="0"/>
        <w:spacing w:line="360" w:lineRule="auto"/>
        <w:rPr>
          <w:rFonts w:ascii="仿宋_GB2312" w:hAnsi="仿宋" w:eastAsia="仿宋_GB2312" w:cs="仿宋_GB2312"/>
          <w:b/>
          <w:bCs/>
          <w:color w:val="auto"/>
          <w:sz w:val="24"/>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br w:type="page"/>
      </w:r>
      <w:r>
        <w:rPr>
          <w:rFonts w:hint="eastAsia" w:ascii="仿宋_GB2312" w:hAnsi="仿宋" w:eastAsia="仿宋_GB2312" w:cs="仿宋_GB2312"/>
          <w:b/>
          <w:bCs/>
          <w:color w:val="auto"/>
          <w:sz w:val="32"/>
          <w:szCs w:val="32"/>
          <w:highlight w:val="none"/>
        </w:rPr>
        <w:t>十、项目小组人员名单</w:t>
      </w:r>
    </w:p>
    <w:p>
      <w:pPr>
        <w:spacing w:line="360" w:lineRule="auto"/>
        <w:jc w:val="center"/>
        <w:rPr>
          <w:rFonts w:ascii="仿宋_GB2312" w:hAnsi="仿宋" w:eastAsia="仿宋_GB2312" w:cs="仿宋_GB2312"/>
          <w:b/>
          <w:bCs/>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keepNext/>
        <w:autoSpaceDE w:val="0"/>
        <w:autoSpaceDN w:val="0"/>
        <w:spacing w:line="360" w:lineRule="auto"/>
        <w:ind w:firstLine="477"/>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附表A:本项目的项目经理情况表</w:t>
      </w:r>
    </w:p>
    <w:tbl>
      <w:tblPr>
        <w:tblStyle w:val="64"/>
        <w:tblW w:w="0" w:type="auto"/>
        <w:tblInd w:w="-115"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投标截止时间前三年业绩及承担的主要工作情况，曾担任项目经理的项目应列明细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p>
        </w:tc>
      </w:tr>
    </w:tbl>
    <w:p>
      <w:pPr>
        <w:autoSpaceDE w:val="0"/>
        <w:autoSpaceDN w:val="0"/>
        <w:spacing w:line="360" w:lineRule="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注：须随表提交相应的证书复印件并注明所在投标技术文件页码。</w:t>
      </w:r>
    </w:p>
    <w:p>
      <w:pPr>
        <w:autoSpaceDE w:val="0"/>
        <w:autoSpaceDN w:val="0"/>
        <w:spacing w:line="360" w:lineRule="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附表B:本项目的项目小组人员情况表</w:t>
      </w:r>
      <w:r>
        <w:rPr>
          <w:rFonts w:hint="eastAsia" w:ascii="仿宋_GB2312" w:hAnsi="仿宋" w:eastAsia="仿宋_GB2312" w:cs="仿宋_GB2312"/>
          <w:color w:val="auto"/>
          <w:sz w:val="24"/>
          <w:highlight w:val="none"/>
        </w:rPr>
        <w:t>（按此格式自制）</w:t>
      </w:r>
    </w:p>
    <w:tbl>
      <w:tblPr>
        <w:tblStyle w:val="64"/>
        <w:tblW w:w="0" w:type="auto"/>
        <w:tblInd w:w="-7"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学历</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专业</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职称</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ascii="仿宋_GB2312" w:hAnsi="仿宋"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 w:eastAsia="仿宋_GB2312" w:cs="仿宋_GB2312"/>
                <w:color w:val="auto"/>
                <w:sz w:val="24"/>
                <w:highlight w:val="none"/>
              </w:rPr>
            </w:pPr>
          </w:p>
        </w:tc>
      </w:tr>
    </w:tbl>
    <w:p>
      <w:pPr>
        <w:spacing w:line="360" w:lineRule="auto"/>
        <w:rPr>
          <w:rFonts w:ascii="仿宋_GB2312" w:hAnsi="仿宋" w:eastAsia="仿宋_GB2312" w:cs="仿宋_GB2312"/>
          <w:b/>
          <w:bCs/>
          <w:color w:val="auto"/>
          <w:sz w:val="24"/>
          <w:highlight w:val="none"/>
        </w:rPr>
      </w:pPr>
      <w:r>
        <w:rPr>
          <w:rFonts w:hint="eastAsia" w:ascii="仿宋_GB2312" w:hAnsi="仿宋" w:eastAsia="仿宋_GB2312" w:cs="仿宋_GB2312"/>
          <w:b/>
          <w:color w:val="auto"/>
          <w:sz w:val="24"/>
          <w:highlight w:val="none"/>
        </w:rPr>
        <w:t>注：投标人可按上述的格式自行编制，须随表提交相应的证书复印件并注明所在投标技术文件页码。</w:t>
      </w:r>
    </w:p>
    <w:p>
      <w:pPr>
        <w:spacing w:line="360" w:lineRule="auto"/>
        <w:rPr>
          <w:rFonts w:ascii="仿宋_GB2312" w:hAnsi="仿宋" w:eastAsia="仿宋_GB2312" w:cs="仿宋_GB2312"/>
          <w:b/>
          <w:bCs/>
          <w:color w:val="auto"/>
          <w:sz w:val="24"/>
          <w:highlight w:val="none"/>
        </w:rPr>
      </w:pPr>
      <w:r>
        <w:rPr>
          <w:rFonts w:hint="eastAsia" w:ascii="仿宋_GB2312" w:hAnsi="仿宋" w:eastAsia="仿宋_GB2312" w:cs="仿宋_GB2312"/>
          <w:b/>
          <w:color w:val="auto"/>
          <w:sz w:val="24"/>
          <w:highlight w:val="none"/>
        </w:rPr>
        <w:t>附表C:本项目的项目经理和小组人员近3个月交纳社保记录情况表</w:t>
      </w:r>
      <w:r>
        <w:rPr>
          <w:rFonts w:hint="eastAsia" w:ascii="仿宋_GB2312" w:hAnsi="仿宋" w:eastAsia="仿宋_GB2312" w:cs="仿宋_GB2312"/>
          <w:color w:val="auto"/>
          <w:sz w:val="24"/>
          <w:highlight w:val="none"/>
        </w:rPr>
        <w:t>（以社保局缴纳凭证作附件）</w:t>
      </w: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投标人名称（电子签名）：</w:t>
      </w:r>
    </w:p>
    <w:p>
      <w:pPr>
        <w:autoSpaceDE w:val="0"/>
        <w:autoSpaceDN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bCs/>
          <w:color w:val="auto"/>
          <w:sz w:val="32"/>
          <w:szCs w:val="32"/>
          <w:highlight w:val="none"/>
        </w:rPr>
        <w:t>十一、</w:t>
      </w:r>
      <w:r>
        <w:rPr>
          <w:rFonts w:hint="eastAsia" w:ascii="仿宋_GB2312" w:hAnsi="仿宋" w:eastAsia="仿宋_GB2312" w:cs="仿宋_GB2312"/>
          <w:b/>
          <w:color w:val="auto"/>
          <w:kern w:val="0"/>
          <w:sz w:val="32"/>
          <w:szCs w:val="32"/>
          <w:highlight w:val="none"/>
          <w:lang w:val="zh-CN"/>
        </w:rPr>
        <w:t>优惠条件及特殊承诺</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（由投标人根据采购需求自行编制）</w:t>
      </w:r>
    </w:p>
    <w:p>
      <w:pPr>
        <w:spacing w:line="360" w:lineRule="auto"/>
        <w:jc w:val="center"/>
        <w:rPr>
          <w:rFonts w:ascii="仿宋_GB2312" w:hAnsi="仿宋" w:eastAsia="仿宋_GB2312" w:cs="仿宋_GB2312"/>
          <w:color w:val="auto"/>
          <w:sz w:val="18"/>
          <w:szCs w:val="18"/>
          <w:highlight w:val="none"/>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投标人名称（电子签名）：</w:t>
      </w:r>
    </w:p>
    <w:p>
      <w:pPr>
        <w:autoSpaceDE w:val="0"/>
        <w:autoSpaceDN w:val="0"/>
        <w:spacing w:line="360" w:lineRule="auto"/>
        <w:rPr>
          <w:rFonts w:ascii="仿宋_GB2312" w:hAnsi="仿宋" w:eastAsia="仿宋_GB2312" w:cs="仿宋_GB2312"/>
          <w:b/>
          <w:bCs/>
          <w:color w:val="auto"/>
          <w:sz w:val="18"/>
          <w:szCs w:val="18"/>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bCs/>
          <w:color w:val="auto"/>
          <w:sz w:val="32"/>
          <w:szCs w:val="32"/>
          <w:highlight w:val="none"/>
        </w:rPr>
        <w:t>十二、</w:t>
      </w:r>
      <w:r>
        <w:rPr>
          <w:rFonts w:hint="eastAsia" w:ascii="仿宋_GB2312" w:hAnsi="仿宋" w:eastAsia="仿宋_GB2312" w:cs="仿宋_GB2312"/>
          <w:b/>
          <w:color w:val="auto"/>
          <w:kern w:val="0"/>
          <w:sz w:val="32"/>
          <w:szCs w:val="32"/>
          <w:highlight w:val="none"/>
          <w:lang w:val="zh-CN"/>
        </w:rPr>
        <w:t>备品备件及供选择的配套零部件清单</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（由投标人根据采购需求自行编制）</w:t>
      </w:r>
    </w:p>
    <w:p>
      <w:pPr>
        <w:autoSpaceDE w:val="0"/>
        <w:autoSpaceDN w:val="0"/>
        <w:spacing w:line="360" w:lineRule="auto"/>
        <w:ind w:firstLine="4440" w:firstLineChars="1850"/>
        <w:rPr>
          <w:rFonts w:ascii="仿宋_GB2312" w:hAnsi="仿宋" w:eastAsia="仿宋_GB2312" w:cs="仿宋_GB2312"/>
          <w:color w:val="auto"/>
          <w:kern w:val="0"/>
          <w:sz w:val="24"/>
          <w:highlight w:val="none"/>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投标人名称（电子签名）：</w:t>
      </w:r>
    </w:p>
    <w:p>
      <w:pPr>
        <w:autoSpaceDE w:val="0"/>
        <w:autoSpaceDN w:val="0"/>
        <w:spacing w:line="360" w:lineRule="auto"/>
        <w:rPr>
          <w:rFonts w:ascii="仿宋_GB2312" w:hAnsi="仿宋" w:eastAsia="仿宋_GB2312" w:cs="仿宋_GB2312"/>
          <w:b/>
          <w:bCs/>
          <w:color w:val="auto"/>
          <w:sz w:val="18"/>
          <w:szCs w:val="18"/>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bCs/>
          <w:color w:val="auto"/>
          <w:sz w:val="32"/>
          <w:szCs w:val="32"/>
          <w:highlight w:val="none"/>
        </w:rPr>
        <w:t>十三、</w:t>
      </w:r>
      <w:r>
        <w:rPr>
          <w:rFonts w:hint="eastAsia" w:ascii="仿宋_GB2312" w:hAnsi="仿宋" w:eastAsia="仿宋_GB2312" w:cs="仿宋_GB2312"/>
          <w:b/>
          <w:color w:val="auto"/>
          <w:kern w:val="0"/>
          <w:sz w:val="32"/>
          <w:szCs w:val="32"/>
          <w:highlight w:val="none"/>
          <w:lang w:val="zh-CN"/>
        </w:rPr>
        <w:t>培训计划</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（由投标人根据采购需求自行编制）</w:t>
      </w:r>
    </w:p>
    <w:p>
      <w:pPr>
        <w:keepNext/>
        <w:autoSpaceDE w:val="0"/>
        <w:autoSpaceDN w:val="0"/>
        <w:spacing w:line="360" w:lineRule="auto"/>
        <w:ind w:firstLine="477"/>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附表: 培训日程及费用</w:t>
      </w:r>
    </w:p>
    <w:tbl>
      <w:tblPr>
        <w:tblStyle w:val="64"/>
        <w:tblW w:w="0" w:type="auto"/>
        <w:tblInd w:w="-7"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pct10" w:color="auto" w:fill="auto"/>
            <w:noWrap w:val="0"/>
            <w:vAlign w:val="center"/>
          </w:tcPr>
          <w:p>
            <w:pPr>
              <w:tabs>
                <w:tab w:val="center" w:pos="1690"/>
              </w:tabs>
              <w:suppressAutoHyphens/>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课程名称</w:t>
            </w:r>
          </w:p>
        </w:tc>
        <w:tc>
          <w:tcPr>
            <w:tcW w:w="1254" w:type="dxa"/>
            <w:tcBorders>
              <w:top w:val="single" w:color="auto" w:sz="6" w:space="0"/>
              <w:left w:val="single" w:color="auto" w:sz="6" w:space="0"/>
              <w:bottom w:val="nil"/>
              <w:right w:val="single" w:color="auto" w:sz="6" w:space="0"/>
            </w:tcBorders>
            <w:shd w:val="pct10" w:color="auto" w:fill="auto"/>
            <w:noWrap w:val="0"/>
            <w:vAlign w:val="top"/>
          </w:tcPr>
          <w:p>
            <w:pPr>
              <w:tabs>
                <w:tab w:val="center" w:pos="595"/>
              </w:tabs>
              <w:suppressAutoHyphens/>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提供的资料</w:t>
            </w:r>
          </w:p>
        </w:tc>
        <w:tc>
          <w:tcPr>
            <w:tcW w:w="930"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持续时间</w:t>
            </w:r>
          </w:p>
        </w:tc>
        <w:tc>
          <w:tcPr>
            <w:tcW w:w="953" w:type="dxa"/>
            <w:tcBorders>
              <w:top w:val="single" w:color="auto" w:sz="6" w:space="0"/>
              <w:left w:val="single" w:color="auto" w:sz="6" w:space="0"/>
              <w:bottom w:val="nil"/>
              <w:right w:val="nil"/>
            </w:tcBorders>
            <w:shd w:val="pct10" w:color="auto" w:fill="auto"/>
            <w:noWrap w:val="0"/>
            <w:vAlign w:val="center"/>
          </w:tcPr>
          <w:p>
            <w:pPr>
              <w:tabs>
                <w:tab w:val="center" w:pos="1028"/>
              </w:tabs>
              <w:suppressAutoHyphens/>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授课教师</w:t>
            </w:r>
          </w:p>
        </w:tc>
        <w:tc>
          <w:tcPr>
            <w:tcW w:w="997"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培训对象</w:t>
            </w:r>
          </w:p>
        </w:tc>
        <w:tc>
          <w:tcPr>
            <w:tcW w:w="1440" w:type="dxa"/>
            <w:tcBorders>
              <w:top w:val="single" w:color="auto" w:sz="6" w:space="0"/>
              <w:left w:val="single" w:color="auto" w:sz="6" w:space="0"/>
              <w:bottom w:val="nil"/>
              <w:right w:val="nil"/>
            </w:tcBorders>
            <w:shd w:val="pct10" w:color="auto" w:fill="auto"/>
            <w:noWrap w:val="0"/>
            <w:vAlign w:val="center"/>
          </w:tcPr>
          <w:p>
            <w:pPr>
              <w:tabs>
                <w:tab w:val="center" w:pos="520"/>
              </w:tabs>
              <w:suppressAutoHyphens/>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培训地点</w:t>
            </w:r>
          </w:p>
        </w:tc>
        <w:tc>
          <w:tcPr>
            <w:tcW w:w="1620" w:type="dxa"/>
            <w:tcBorders>
              <w:top w:val="single" w:color="auto" w:sz="6" w:space="0"/>
              <w:left w:val="single" w:color="auto" w:sz="6" w:space="0"/>
              <w:bottom w:val="nil"/>
              <w:right w:val="single" w:color="auto" w:sz="6" w:space="0"/>
            </w:tcBorders>
            <w:shd w:val="pct10" w:color="auto" w:fill="auto"/>
            <w:noWrap w:val="0"/>
            <w:vAlign w:val="center"/>
          </w:tcPr>
          <w:p>
            <w:pPr>
              <w:suppressAutoHyphens/>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课程费用</w:t>
            </w:r>
          </w:p>
        </w:tc>
      </w:tr>
      <w:tr>
        <w:tblPrEx>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 w:eastAsia="仿宋_GB2312" w:cs="仿宋_GB2312"/>
                <w:color w:val="auto"/>
                <w:sz w:val="24"/>
                <w:highlight w:val="none"/>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color w:val="auto"/>
                <w:sz w:val="24"/>
                <w:highlight w:val="none"/>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color w:val="auto"/>
                <w:sz w:val="24"/>
                <w:highlight w:val="none"/>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 w:eastAsia="仿宋_GB2312" w:cs="仿宋_GB2312"/>
                <w:color w:val="auto"/>
                <w:sz w:val="24"/>
                <w:highlight w:val="none"/>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ascii="仿宋_GB2312" w:hAnsi="仿宋" w:eastAsia="仿宋_GB2312" w:cs="仿宋_GB2312"/>
                <w:color w:val="auto"/>
                <w:sz w:val="24"/>
                <w:highlight w:val="none"/>
              </w:rPr>
            </w:pPr>
          </w:p>
        </w:tc>
        <w:tc>
          <w:tcPr>
            <w:tcW w:w="1440"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 w:eastAsia="仿宋_GB2312" w:cs="仿宋_GB2312"/>
                <w:color w:val="auto"/>
                <w:sz w:val="24"/>
                <w:highlight w:val="none"/>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ascii="仿宋_GB2312" w:hAnsi="仿宋" w:eastAsia="仿宋_GB2312" w:cs="仿宋_GB2312"/>
                <w:color w:val="auto"/>
                <w:sz w:val="24"/>
                <w:highlight w:val="none"/>
              </w:rPr>
            </w:pPr>
          </w:p>
        </w:tc>
      </w:tr>
      <w:tr>
        <w:tblPrEx>
          <w:tblCellMar>
            <w:top w:w="0" w:type="dxa"/>
            <w:left w:w="120" w:type="dxa"/>
            <w:bottom w:w="0" w:type="dxa"/>
            <w:right w:w="120" w:type="dxa"/>
          </w:tblCellMar>
        </w:tblPrEx>
        <w:trPr>
          <w:trHeight w:val="273"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 w:eastAsia="仿宋_GB2312" w:cs="仿宋_GB2312"/>
                <w:color w:val="auto"/>
                <w:sz w:val="24"/>
                <w:highlight w:val="none"/>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color w:val="auto"/>
                <w:sz w:val="24"/>
                <w:highlight w:val="none"/>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color w:val="auto"/>
                <w:sz w:val="24"/>
                <w:highlight w:val="none"/>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 w:eastAsia="仿宋_GB2312" w:cs="仿宋_GB2312"/>
                <w:color w:val="auto"/>
                <w:sz w:val="24"/>
                <w:highlight w:val="none"/>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ascii="仿宋_GB2312" w:hAnsi="仿宋" w:eastAsia="仿宋_GB2312" w:cs="仿宋_GB2312"/>
                <w:color w:val="auto"/>
                <w:sz w:val="24"/>
                <w:highlight w:val="none"/>
              </w:rPr>
            </w:pPr>
          </w:p>
        </w:tc>
        <w:tc>
          <w:tcPr>
            <w:tcW w:w="1440" w:type="dxa"/>
            <w:tcBorders>
              <w:top w:val="single" w:color="auto" w:sz="6" w:space="0"/>
              <w:left w:val="single" w:color="auto" w:sz="6" w:space="0"/>
              <w:bottom w:val="nil"/>
              <w:right w:val="nil"/>
            </w:tcBorders>
            <w:noWrap w:val="0"/>
            <w:vAlign w:val="top"/>
          </w:tcPr>
          <w:p>
            <w:pPr>
              <w:tabs>
                <w:tab w:val="left" w:pos="7"/>
              </w:tabs>
              <w:suppressAutoHyphens/>
              <w:autoSpaceDE w:val="0"/>
              <w:autoSpaceDN w:val="0"/>
              <w:spacing w:line="360" w:lineRule="auto"/>
              <w:rPr>
                <w:rFonts w:ascii="仿宋_GB2312" w:hAnsi="仿宋" w:eastAsia="仿宋_GB2312" w:cs="仿宋_GB2312"/>
                <w:color w:val="auto"/>
                <w:sz w:val="24"/>
                <w:highlight w:val="none"/>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ascii="仿宋_GB2312" w:hAnsi="仿宋" w:eastAsia="仿宋_GB2312" w:cs="仿宋_GB2312"/>
                <w:color w:val="auto"/>
                <w:sz w:val="24"/>
                <w:highlight w:val="none"/>
              </w:rPr>
            </w:pPr>
          </w:p>
        </w:tc>
      </w:tr>
      <w:tr>
        <w:tblPrEx>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noWrap w:val="0"/>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费用总计</w:t>
            </w:r>
          </w:p>
        </w:tc>
        <w:tc>
          <w:tcPr>
            <w:tcW w:w="1254"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color w:val="auto"/>
                <w:sz w:val="24"/>
                <w:highlight w:val="none"/>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 w:eastAsia="仿宋_GB2312" w:cs="仿宋_GB2312"/>
                <w:color w:val="auto"/>
                <w:sz w:val="24"/>
                <w:highlight w:val="none"/>
              </w:rPr>
            </w:pPr>
          </w:p>
        </w:tc>
        <w:tc>
          <w:tcPr>
            <w:tcW w:w="953" w:type="dxa"/>
            <w:tcBorders>
              <w:top w:val="single" w:color="auto" w:sz="6" w:space="0"/>
              <w:left w:val="single" w:color="auto" w:sz="6" w:space="0"/>
              <w:bottom w:val="single" w:color="auto" w:sz="6" w:space="0"/>
              <w:right w:val="single" w:color="auto" w:sz="6" w:space="0"/>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 w:eastAsia="仿宋_GB2312" w:cs="仿宋_GB2312"/>
                <w:color w:val="auto"/>
                <w:sz w:val="24"/>
                <w:highlight w:val="none"/>
              </w:rPr>
            </w:pPr>
          </w:p>
        </w:tc>
        <w:tc>
          <w:tcPr>
            <w:tcW w:w="997" w:type="dxa"/>
            <w:tcBorders>
              <w:top w:val="single" w:color="auto" w:sz="6" w:space="0"/>
              <w:left w:val="single" w:color="auto" w:sz="6" w:space="0"/>
              <w:bottom w:val="single" w:color="auto" w:sz="6" w:space="0"/>
              <w:right w:val="single" w:color="auto" w:sz="6" w:space="0"/>
            </w:tcBorders>
            <w:noWrap w:val="0"/>
            <w:vAlign w:val="top"/>
          </w:tcPr>
          <w:p>
            <w:pPr>
              <w:tabs>
                <w:tab w:val="left" w:pos="440"/>
                <w:tab w:val="left" w:pos="1154"/>
                <w:tab w:val="left" w:pos="1936"/>
                <w:tab w:val="left" w:pos="2368"/>
              </w:tabs>
              <w:suppressAutoHyphens/>
              <w:autoSpaceDE w:val="0"/>
              <w:autoSpaceDN w:val="0"/>
              <w:spacing w:line="360" w:lineRule="auto"/>
              <w:rPr>
                <w:rFonts w:ascii="仿宋_GB2312" w:hAnsi="仿宋" w:eastAsia="仿宋_GB2312" w:cs="仿宋_GB2312"/>
                <w:color w:val="auto"/>
                <w:sz w:val="24"/>
                <w:highlight w:val="none"/>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tabs>
                <w:tab w:val="left" w:pos="7"/>
              </w:tabs>
              <w:suppressAutoHyphens/>
              <w:autoSpaceDE w:val="0"/>
              <w:autoSpaceDN w:val="0"/>
              <w:spacing w:line="360" w:lineRule="auto"/>
              <w:rPr>
                <w:rFonts w:ascii="仿宋_GB2312" w:hAnsi="仿宋" w:eastAsia="仿宋_GB2312" w:cs="仿宋_GB2312"/>
                <w:color w:val="auto"/>
                <w:sz w:val="24"/>
                <w:highlight w:val="none"/>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uppressAutoHyphens/>
              <w:autoSpaceDE w:val="0"/>
              <w:autoSpaceDN w:val="0"/>
              <w:spacing w:line="360" w:lineRule="auto"/>
              <w:rPr>
                <w:rFonts w:ascii="仿宋_GB2312" w:hAnsi="仿宋" w:eastAsia="仿宋_GB2312" w:cs="仿宋_GB2312"/>
                <w:color w:val="auto"/>
                <w:sz w:val="24"/>
                <w:highlight w:val="none"/>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注解:A</w:t>
      </w:r>
      <w:r>
        <w:rPr>
          <w:rFonts w:hint="eastAsia" w:ascii="仿宋_GB2312" w:hAnsi="仿宋" w:eastAsia="仿宋_GB2312" w:cs="仿宋_GB2312"/>
          <w:color w:val="auto"/>
          <w:sz w:val="24"/>
          <w:highlight w:val="none"/>
        </w:rPr>
        <w:tab/>
      </w:r>
      <w:r>
        <w:rPr>
          <w:rFonts w:hint="eastAsia" w:ascii="仿宋_GB2312" w:hAnsi="仿宋" w:eastAsia="仿宋_GB2312" w:cs="仿宋_GB2312"/>
          <w:color w:val="auto"/>
          <w:sz w:val="24"/>
          <w:highlight w:val="none"/>
        </w:rPr>
        <w:t>课程清单按时间顺序排列，并提供以下详细资料：</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课程概要</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课程目的</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教学方式</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先决条件</w:t>
      </w:r>
    </w:p>
    <w:p>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教材目录</w:t>
      </w:r>
    </w:p>
    <w:p>
      <w:pPr>
        <w:autoSpaceDE w:val="0"/>
        <w:autoSpaceDN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B  按照附表A提供授课教师的简历</w:t>
      </w:r>
    </w:p>
    <w:p>
      <w:pPr>
        <w:autoSpaceDE w:val="0"/>
        <w:autoSpaceDN w:val="0"/>
        <w:spacing w:line="360" w:lineRule="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注：须随表提交相应的证书复印件并注明所在投标技术文件页码。</w:t>
      </w:r>
    </w:p>
    <w:p>
      <w:pPr>
        <w:autoSpaceDE w:val="0"/>
        <w:autoSpaceDN w:val="0"/>
        <w:spacing w:line="360" w:lineRule="auto"/>
        <w:ind w:firstLine="4800" w:firstLineChars="2000"/>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rPr>
        <w:t xml:space="preserve">投标人名称（电子签名）：                       </w:t>
      </w:r>
    </w:p>
    <w:p>
      <w:pPr>
        <w:autoSpaceDE w:val="0"/>
        <w:autoSpaceDN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autoSpaceDE w:val="0"/>
        <w:autoSpaceDN w:val="0"/>
        <w:spacing w:line="360" w:lineRule="auto"/>
        <w:ind w:firstLine="120"/>
        <w:rPr>
          <w:rFonts w:ascii="仿宋_GB2312" w:hAnsi="仿宋" w:eastAsia="仿宋_GB2312" w:cs="仿宋_GB2312"/>
          <w:color w:val="auto"/>
          <w:sz w:val="24"/>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十四、认为需要的其他技术文件或说明</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（由投标人根据采购需求自行编制）</w:t>
      </w:r>
    </w:p>
    <w:p>
      <w:pPr>
        <w:spacing w:line="360" w:lineRule="auto"/>
        <w:jc w:val="center"/>
        <w:rPr>
          <w:rFonts w:ascii="仿宋_GB2312" w:hAnsi="仿宋" w:eastAsia="仿宋_GB2312" w:cs="仿宋_GB2312"/>
          <w:color w:val="auto"/>
          <w:sz w:val="24"/>
          <w:highlight w:val="none"/>
        </w:rPr>
      </w:pPr>
    </w:p>
    <w:p>
      <w:pPr>
        <w:autoSpaceDE w:val="0"/>
        <w:autoSpaceDN w:val="0"/>
        <w:spacing w:line="360" w:lineRule="auto"/>
        <w:ind w:firstLine="4800" w:firstLineChars="2000"/>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rPr>
        <w:t xml:space="preserve">投标人名称（电子签名）：                       </w:t>
      </w:r>
    </w:p>
    <w:p>
      <w:pPr>
        <w:autoSpaceDE w:val="0"/>
        <w:autoSpaceDN w:val="0"/>
        <w:spacing w:line="360" w:lineRule="auto"/>
        <w:rPr>
          <w:rFonts w:ascii="仿宋_GB2312" w:hAnsi="仿宋" w:eastAsia="仿宋_GB2312" w:cs="仿宋_GB2312"/>
          <w:b/>
          <w:bCs/>
          <w:color w:val="auto"/>
          <w:sz w:val="30"/>
          <w:szCs w:val="30"/>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0"/>
          <w:szCs w:val="30"/>
          <w:highlight w:val="none"/>
        </w:rPr>
      </w:pPr>
    </w:p>
    <w:p>
      <w:pPr>
        <w:spacing w:line="360" w:lineRule="auto"/>
        <w:jc w:val="center"/>
        <w:rPr>
          <w:rFonts w:ascii="仿宋_GB2312" w:hAnsi="仿宋" w:eastAsia="仿宋_GB2312" w:cs="仿宋_GB2312"/>
          <w:b/>
          <w:color w:val="auto"/>
          <w:kern w:val="0"/>
          <w:sz w:val="30"/>
          <w:szCs w:val="30"/>
          <w:highlight w:val="none"/>
          <w:lang w:val="zh-CN"/>
        </w:rPr>
      </w:pPr>
      <w:r>
        <w:rPr>
          <w:rFonts w:hint="eastAsia" w:ascii="仿宋_GB2312" w:hAnsi="仿宋" w:eastAsia="仿宋_GB2312" w:cs="仿宋_GB2312"/>
          <w:b/>
          <w:bCs/>
          <w:color w:val="auto"/>
          <w:sz w:val="30"/>
          <w:szCs w:val="30"/>
          <w:highlight w:val="none"/>
        </w:rPr>
        <w:t>十五、关于</w:t>
      </w:r>
      <w:r>
        <w:rPr>
          <w:rFonts w:hint="eastAsia" w:ascii="仿宋_GB2312" w:hAnsi="仿宋" w:eastAsia="仿宋_GB2312" w:cs="仿宋_GB2312"/>
          <w:b/>
          <w:color w:val="auto"/>
          <w:kern w:val="0"/>
          <w:sz w:val="30"/>
          <w:szCs w:val="30"/>
          <w:highlight w:val="none"/>
          <w:lang w:val="zh-CN"/>
        </w:rPr>
        <w:t>对招标文件中有关商务、合同条款的拒绝声明</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（由投标人根据采购需求自行编制）</w:t>
      </w:r>
    </w:p>
    <w:p>
      <w:pPr>
        <w:spacing w:line="360" w:lineRule="auto"/>
        <w:rPr>
          <w:rFonts w:ascii="仿宋_GB2312" w:hAnsi="仿宋" w:eastAsia="仿宋_GB2312" w:cs="仿宋_GB2312"/>
          <w:color w:val="auto"/>
          <w:sz w:val="24"/>
          <w:highlight w:val="none"/>
        </w:rPr>
      </w:pPr>
    </w:p>
    <w:p>
      <w:pPr>
        <w:autoSpaceDE w:val="0"/>
        <w:autoSpaceDN w:val="0"/>
        <w:spacing w:line="360" w:lineRule="auto"/>
        <w:ind w:firstLine="5040" w:firstLineChars="21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投标人名称（电子签名）：      </w:t>
      </w:r>
    </w:p>
    <w:p>
      <w:pPr>
        <w:autoSpaceDE w:val="0"/>
        <w:autoSpaceDN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pgSz w:w="11906" w:h="16838"/>
          <w:pgMar w:top="1247" w:right="1418" w:bottom="1276" w:left="1418" w:header="851" w:footer="992" w:gutter="0"/>
          <w:cols w:space="720" w:num="1"/>
          <w:titlePg/>
          <w:docGrid w:linePitch="312" w:charSpace="0"/>
        </w:sectPr>
      </w:pPr>
    </w:p>
    <w:p>
      <w:pPr>
        <w:tabs>
          <w:tab w:val="left" w:pos="8085"/>
        </w:tabs>
        <w:spacing w:line="360" w:lineRule="auto"/>
        <w:jc w:val="left"/>
        <w:rPr>
          <w:rFonts w:ascii="仿宋_GB2312" w:hAnsi="仿宋" w:eastAsia="仿宋_GB2312" w:cs="仿宋_GB2312"/>
          <w:b/>
          <w:color w:val="auto"/>
          <w:sz w:val="32"/>
          <w:szCs w:val="32"/>
          <w:highlight w:val="none"/>
        </w:rPr>
      </w:pP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一、适用对象</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在浙江政府采购网注册入库，并取得杭州市政府采购合同的杭州市内中小企业供应商。</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二、相关信息获取方式</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请登陆杭州市政府采购网“中小企业信用融资”模块，查看信用融资政策文件及各相关银行服务方案。</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三、申请方式和步骤</w:t>
      </w:r>
    </w:p>
    <w:p>
      <w:pPr>
        <w:spacing w:line="360" w:lineRule="auto"/>
        <w:ind w:firstLine="482" w:firstLineChars="200"/>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（一）“云采贷”融资</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1、供应商先与银行对接，办理融资前期手续；</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2、供应商中标后，登陆“中小企业信用融资”模块测算授信额度，并向银行发出融资申请；</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3、银行线上审批通过后，办理放贷手续。</w:t>
      </w:r>
    </w:p>
    <w:p>
      <w:pPr>
        <w:spacing w:line="360" w:lineRule="auto"/>
        <w:ind w:firstLine="482" w:firstLineChars="200"/>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（二）一般融资</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1、供应商先与银行对接，办理融资前期手续；</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2、供应商中标后，登陆杭州市政府采购网“中小企业信用融资”模块，向相关合作银行发出融资申请；</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3、银行在“中小企业信用融资”模块受理申请；</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4、银行、供应商线下办理审批、放贷事宜。</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四、注意事项</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1、供应商需确保政府采购合同的收款银行与融资银行一致。</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2、请各采购单位积极支持和配合政府采购信用融资工作，在合同备案环节仔细核对收款银行、账号信息等内容，一旦录入将无法修改。</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3、技术服务热线：87210880；如有业务问题可与各合作银行联系</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4"/>
        <w:keepNext w:val="0"/>
        <w:keepLines w:val="0"/>
        <w:pageBreakBefore/>
        <w:widowControl/>
        <w:numPr>
          <w:ilvl w:val="0"/>
          <w:numId w:val="0"/>
        </w:numPr>
        <w:spacing w:before="100" w:beforeAutospacing="1" w:after="100" w:afterAutospacing="1" w:line="360" w:lineRule="auto"/>
        <w:ind w:left="1290" w:firstLine="3092" w:firstLineChars="700"/>
        <w:rPr>
          <w:rFonts w:ascii="仿宋_GB2312" w:hAnsi="仿宋" w:eastAsia="仿宋_GB2312"/>
          <w:color w:val="auto"/>
          <w:highlight w:val="none"/>
        </w:rPr>
      </w:pPr>
      <w:bookmarkStart w:id="449" w:name="_Toc465665161"/>
      <w:r>
        <w:rPr>
          <w:rFonts w:hint="eastAsia" w:ascii="仿宋_GB2312" w:hAnsi="仿宋" w:eastAsia="仿宋_GB2312"/>
          <w:color w:val="auto"/>
          <w:highlight w:val="none"/>
        </w:rPr>
        <w:t>附件</w:t>
      </w:r>
      <w:bookmarkEnd w:id="449"/>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附件1：</w:t>
      </w:r>
    </w:p>
    <w:p>
      <w:pPr>
        <w:spacing w:line="360" w:lineRule="auto"/>
        <w:jc w:val="center"/>
        <w:rPr>
          <w:rFonts w:ascii="仿宋_GB2312" w:hAnsi="仿宋" w:eastAsia="仿宋_GB2312"/>
          <w:b/>
          <w:color w:val="auto"/>
          <w:spacing w:val="6"/>
          <w:sz w:val="32"/>
          <w:szCs w:val="32"/>
          <w:highlight w:val="none"/>
        </w:rPr>
      </w:pPr>
      <w:bookmarkStart w:id="450" w:name="OLE_LINK13"/>
      <w:bookmarkStart w:id="451" w:name="OLE_LINK14"/>
      <w:r>
        <w:rPr>
          <w:rFonts w:hint="eastAsia" w:ascii="仿宋_GB2312" w:hAnsi="仿宋" w:eastAsia="仿宋_GB2312"/>
          <w:b/>
          <w:color w:val="auto"/>
          <w:spacing w:val="6"/>
          <w:sz w:val="32"/>
          <w:szCs w:val="32"/>
          <w:highlight w:val="none"/>
        </w:rPr>
        <w:t>残疾人福利性单位声明函</w:t>
      </w:r>
    </w:p>
    <w:bookmarkEnd w:id="450"/>
    <w:bookmarkEnd w:id="451"/>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hint="eastAsia"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hint="eastAsia"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hint="eastAsia"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 xml:space="preserve">地址： </w:t>
      </w:r>
      <w:r>
        <w:rPr>
          <w:rFonts w:hint="eastAsia"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hint="eastAsia"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质疑事项1：</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hint="eastAsia"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签字(签章)：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日期：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2.质疑供应商若委托代理人进行质疑的，质疑函应按要求列明“授权代表”的有关内容，并在附件中提交由质疑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     址：</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法定代表人/主要负责人：</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     址：</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被投诉人1：</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     址：</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     址：</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hint="eastAsia" w:ascii="仿宋_GB2312" w:hAnsi="仿宋" w:eastAsia="仿宋_GB2312"/>
          <w:color w:val="auto"/>
          <w:sz w:val="24"/>
          <w:highlight w:val="none"/>
          <w:u w:val="dotted"/>
        </w:rPr>
        <w:t xml:space="preserve">是/否 </w:t>
      </w:r>
      <w:r>
        <w:rPr>
          <w:rFonts w:hint="eastAsia" w:ascii="仿宋_GB2312" w:hAnsi="仿宋" w:eastAsia="仿宋_GB2312"/>
          <w:color w:val="auto"/>
          <w:sz w:val="24"/>
          <w:highlight w:val="none"/>
        </w:rPr>
        <w:t>公告期限：</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hint="eastAsia" w:ascii="仿宋_GB2312" w:hAnsi="仿宋" w:eastAsia="仿宋_GB2312"/>
          <w:color w:val="auto"/>
          <w:sz w:val="24"/>
          <w:highlight w:val="none"/>
          <w:u w:val="dotted"/>
        </w:rPr>
        <w:t xml:space="preserve">是/否 </w:t>
      </w:r>
      <w:r>
        <w:rPr>
          <w:rFonts w:hint="eastAsia" w:ascii="仿宋_GB2312" w:hAnsi="仿宋" w:eastAsia="仿宋_GB2312"/>
          <w:color w:val="auto"/>
          <w:sz w:val="24"/>
          <w:highlight w:val="none"/>
        </w:rPr>
        <w:t>公告期限：</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日,向</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采购人/代理机构</w:t>
      </w:r>
      <w:r>
        <w:rPr>
          <w:rFonts w:hint="eastAsia" w:ascii="仿宋_GB2312" w:hAnsi="仿宋" w:eastAsia="仿宋_GB2312"/>
          <w:color w:val="auto"/>
          <w:sz w:val="24"/>
          <w:highlight w:val="none"/>
        </w:rPr>
        <w:t>于</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日,就质疑事项作出了答复/没有在法定期限内作出答复。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 1：</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签字(签章)：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日期：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hint="eastAsia"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hint="eastAsia"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hint="eastAsia"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sectPr>
      <w:headerReference r:id="rId17" w:type="first"/>
      <w:footerReference r:id="rId20" w:type="first"/>
      <w:headerReference r:id="rId16" w:type="default"/>
      <w:footerReference r:id="rId18" w:type="default"/>
      <w:footerReference r:id="rId19" w:type="even"/>
      <w:pgSz w:w="11906" w:h="16838"/>
      <w:pgMar w:top="1440" w:right="1797" w:bottom="1440" w:left="1559"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长城仿宋">
    <w:altName w:val="黑体"/>
    <w:panose1 w:val="00000000000000000000"/>
    <w:charset w:val="00"/>
    <w:family w:val="auto"/>
    <w:pitch w:val="default"/>
    <w:sig w:usb0="00000000" w:usb1="00000000" w:usb2="00000000" w:usb3="00000000" w:csb0="00040001" w:csb1="00000000"/>
  </w:font>
  <w:font w:name="Futura Bk">
    <w:altName w:val="Century Gothic"/>
    <w:panose1 w:val="00000000000000000000"/>
    <w:charset w:val="00"/>
    <w:family w:val="swiss"/>
    <w:pitch w:val="default"/>
    <w:sig w:usb0="00000000" w:usb1="00000000" w:usb2="00000000" w:usb3="00000000" w:csb0="0000009F" w:csb1="00000000"/>
  </w:font>
  <w:font w:name="新宋体">
    <w:panose1 w:val="02010609030101010101"/>
    <w:charset w:val="86"/>
    <w:family w:val="modern"/>
    <w:pitch w:val="default"/>
    <w:sig w:usb0="00000203" w:usb1="288F0000" w:usb2="00000006" w:usb3="00000000" w:csb0="00040001" w:csb1="00000000"/>
  </w:font>
  <w:font w:name="幼圆">
    <w:panose1 w:val="02010509060101010101"/>
    <w:charset w:val="86"/>
    <w:family w:val="modern"/>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Aldine401 BT">
    <w:altName w:val="Courier New"/>
    <w:panose1 w:val="00000000000000000000"/>
    <w:charset w:val="00"/>
    <w:family w:val="roman"/>
    <w:pitch w:val="default"/>
    <w:sig w:usb0="00000000" w:usb1="00000000" w:usb2="00000000" w:usb3="00000000" w:csb0="00000011"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Futura Hv">
    <w:altName w:val="Segoe Print"/>
    <w:panose1 w:val="00000000000000000000"/>
    <w:charset w:val="00"/>
    <w:family w:val="swiss"/>
    <w:pitch w:val="default"/>
    <w:sig w:usb0="00000000" w:usb1="00000000" w:usb2="00000000" w:usb3="00000000" w:csb0="0000009F" w:csb1="00000000"/>
  </w:font>
  <w:font w:name="Helvetica">
    <w:altName w:val="Arial"/>
    <w:panose1 w:val="020B0604020202030204"/>
    <w:charset w:val="00"/>
    <w:family w:val="swiss"/>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MT Extra">
    <w:panose1 w:val="05050102010205020202"/>
    <w:charset w:val="02"/>
    <w:family w:val="roman"/>
    <w:pitch w:val="default"/>
    <w:sig w:usb0="80000000" w:usb1="00000000" w:usb2="00000000" w:usb3="00000000" w:csb0="00000000" w:csb1="00000000"/>
  </w:font>
  <w:font w:name="MS Mincho">
    <w:altName w:val="MS UI Gothic"/>
    <w:panose1 w:val="02020609040205080304"/>
    <w:charset w:val="80"/>
    <w:family w:val="modern"/>
    <w:pitch w:val="default"/>
    <w:sig w:usb0="00000000" w:usb1="00000000"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bookmarkStart w:id="452" w:name="_Toc91899912"/>
    <w:bookmarkStart w:id="453" w:name="_Toc131845147"/>
    <w:bookmarkStart w:id="454" w:name="_Toc36110187"/>
    <w:bookmarkStart w:id="455" w:name="_Toc164085800"/>
    <w:r>
      <w:rPr>
        <w:rFonts w:hint="eastAsia" w:ascii="仿宋_GB2312" w:eastAsia="仿宋_GB2312"/>
        <w:kern w:val="0"/>
        <w:szCs w:val="21"/>
      </w:rPr>
      <w:t xml:space="preserve"> 页</w:t>
    </w:r>
    <w:bookmarkEnd w:id="452"/>
    <w:bookmarkEnd w:id="453"/>
    <w:bookmarkEnd w:id="454"/>
    <w:bookmarkEnd w:id="45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w:t>
    </w:r>
  </w:p>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 xml:space="preserve">                                                                  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rFonts w:hint="eastAsia"/>
        <w:lang w:val="zh-CN"/>
      </w:rPr>
      <w:t xml:space="preserve"> </w:t>
    </w:r>
    <w:r>
      <w:tab/>
    </w:r>
    <w:r>
      <w:rPr>
        <w:rFonts w:hint="eastAsia"/>
        <w:lang w:val="zh-CN"/>
      </w:rPr>
      <w:t xml:space="preserve"> </w:t>
    </w:r>
    <w:r>
      <w:tab/>
    </w:r>
    <w:r>
      <w:rPr>
        <w:rFonts w:hint="eastAsia"/>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2"/>
      </w:pBdr>
    </w:pPr>
    <w:r>
      <w:rPr>
        <w:lang w:val="zh-CN"/>
      </w:rPr>
      <w:t></w:t>
    </w:r>
    <w:r>
      <w:tab/>
    </w:r>
    <w:r>
      <w:rPr>
        <w:rFonts w:hint="eastAsia"/>
      </w:rPr>
      <w:t xml:space="preserve">                                        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p>
    <w:pPr>
      <w:tabs>
        <w:tab w:val="right" w:pos="8279"/>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iCs/>
        <w:u w:val="single"/>
      </w:rPr>
    </w:pPr>
    <w:r>
      <w:rPr>
        <w:rFonts w:hint="eastAsia"/>
      </w:rPr>
      <w:t xml:space="preserve">                                                            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 xml:space="preserve">                                                               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5"/>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35"/>
      <w:lvlText w:val=""/>
      <w:lvlJc w:val="left"/>
      <w:pPr>
        <w:tabs>
          <w:tab w:val="left" w:pos="840"/>
        </w:tabs>
        <w:ind w:left="840" w:hanging="420"/>
      </w:pPr>
      <w:rPr>
        <w:rFonts w:hint="default" w:ascii="Wingdings" w:hAnsi="Wingdings"/>
      </w:rPr>
    </w:lvl>
    <w:lvl w:ilvl="1" w:tentative="0">
      <w:start w:val="1"/>
      <w:numFmt w:val="bullet"/>
      <w:pStyle w:val="836"/>
      <w:lvlText w:val=""/>
      <w:lvlJc w:val="left"/>
      <w:pPr>
        <w:tabs>
          <w:tab w:val="left" w:pos="1260"/>
        </w:tabs>
        <w:ind w:left="1260" w:hanging="420"/>
      </w:pPr>
      <w:rPr>
        <w:rFonts w:hint="default" w:ascii="Wingdings" w:hAnsi="Wingdings"/>
      </w:rPr>
    </w:lvl>
    <w:lvl w:ilvl="2" w:tentative="0">
      <w:start w:val="1"/>
      <w:numFmt w:val="bullet"/>
      <w:pStyle w:val="783"/>
      <w:lvlText w:val=""/>
      <w:lvlJc w:val="left"/>
      <w:pPr>
        <w:tabs>
          <w:tab w:val="left" w:pos="1680"/>
        </w:tabs>
        <w:ind w:left="1680" w:hanging="420"/>
      </w:pPr>
      <w:rPr>
        <w:rFonts w:hint="default" w:ascii="Wingdings" w:hAnsi="Wingdings"/>
      </w:rPr>
    </w:lvl>
    <w:lvl w:ilvl="3" w:tentative="0">
      <w:start w:val="1"/>
      <w:numFmt w:val="bullet"/>
      <w:pStyle w:val="790"/>
      <w:lvlText w:val=""/>
      <w:lvlJc w:val="left"/>
      <w:pPr>
        <w:tabs>
          <w:tab w:val="left" w:pos="2100"/>
        </w:tabs>
        <w:ind w:left="2100" w:hanging="420"/>
      </w:pPr>
      <w:rPr>
        <w:rFonts w:hint="default" w:ascii="Wingdings" w:hAnsi="Wingdings"/>
      </w:rPr>
    </w:lvl>
    <w:lvl w:ilvl="4" w:tentative="0">
      <w:start w:val="1"/>
      <w:numFmt w:val="bullet"/>
      <w:pStyle w:val="608"/>
      <w:lvlText w:val=""/>
      <w:lvlJc w:val="left"/>
      <w:pPr>
        <w:tabs>
          <w:tab w:val="left" w:pos="2520"/>
        </w:tabs>
        <w:ind w:left="2520" w:hanging="420"/>
      </w:pPr>
      <w:rPr>
        <w:rFonts w:hint="default" w:ascii="Wingdings" w:hAnsi="Wingdings"/>
      </w:rPr>
    </w:lvl>
    <w:lvl w:ilvl="5" w:tentative="0">
      <w:start w:val="1"/>
      <w:numFmt w:val="bullet"/>
      <w:pStyle w:val="526"/>
      <w:lvlText w:val=""/>
      <w:lvlJc w:val="left"/>
      <w:pPr>
        <w:tabs>
          <w:tab w:val="left" w:pos="2940"/>
        </w:tabs>
        <w:ind w:left="2940" w:hanging="420"/>
      </w:pPr>
      <w:rPr>
        <w:rFonts w:hint="default" w:ascii="Wingdings" w:hAnsi="Wingdings"/>
      </w:rPr>
    </w:lvl>
    <w:lvl w:ilvl="6" w:tentative="0">
      <w:start w:val="1"/>
      <w:numFmt w:val="bullet"/>
      <w:pStyle w:val="754"/>
      <w:lvlText w:val=""/>
      <w:lvlJc w:val="left"/>
      <w:pPr>
        <w:tabs>
          <w:tab w:val="left" w:pos="3360"/>
        </w:tabs>
        <w:ind w:left="3360" w:hanging="420"/>
      </w:pPr>
      <w:rPr>
        <w:rFonts w:hint="default" w:ascii="Wingdings" w:hAnsi="Wingdings"/>
      </w:rPr>
    </w:lvl>
    <w:lvl w:ilvl="7" w:tentative="0">
      <w:start w:val="1"/>
      <w:numFmt w:val="bullet"/>
      <w:pStyle w:val="942"/>
      <w:lvlText w:val=""/>
      <w:lvlJc w:val="left"/>
      <w:pPr>
        <w:tabs>
          <w:tab w:val="left" w:pos="3780"/>
        </w:tabs>
        <w:ind w:left="3780" w:hanging="420"/>
      </w:pPr>
      <w:rPr>
        <w:rFonts w:hint="default" w:ascii="Wingdings" w:hAnsi="Wingdings"/>
      </w:rPr>
    </w:lvl>
    <w:lvl w:ilvl="8" w:tentative="0">
      <w:start w:val="1"/>
      <w:numFmt w:val="bullet"/>
      <w:pStyle w:val="518"/>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11F3D51"/>
    <w:multiLevelType w:val="multilevel"/>
    <w:tmpl w:val="011F3D51"/>
    <w:lvl w:ilvl="0" w:tentative="0">
      <w:start w:val="1"/>
      <w:numFmt w:val="decimal"/>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suff w:val="space"/>
      <w:lvlText w:val="%1.%2.%3"/>
      <w:lvlJc w:val="left"/>
      <w:pPr>
        <w:ind w:left="0" w:firstLine="0"/>
      </w:pPr>
      <w:rPr>
        <w:rFonts w:hint="eastAsia" w:ascii="黑体" w:hAnsi="黑体" w:eastAsia="黑体"/>
        <w:sz w:val="28"/>
      </w:rPr>
    </w:lvl>
    <w:lvl w:ilvl="3" w:tentative="0">
      <w:start w:val="1"/>
      <w:numFmt w:val="decimal"/>
      <w:pStyle w:val="909"/>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0A760F1C"/>
    <w:multiLevelType w:val="multilevel"/>
    <w:tmpl w:val="0A760F1C"/>
    <w:lvl w:ilvl="0" w:tentative="0">
      <w:start w:val="1"/>
      <w:numFmt w:val="decimal"/>
      <w:pStyle w:val="741"/>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pStyle w:val="727"/>
      <w:suff w:val="space"/>
      <w:lvlText w:val="%1.%2.%3"/>
      <w:lvlJc w:val="left"/>
      <w:pPr>
        <w:ind w:left="0" w:firstLine="0"/>
      </w:pPr>
      <w:rPr>
        <w:rFonts w:hint="eastAsia" w:ascii="黑体" w:hAnsi="黑体" w:eastAsia="黑体"/>
        <w:sz w:val="28"/>
      </w:rPr>
    </w:lvl>
    <w:lvl w:ilvl="3" w:tentative="0">
      <w:start w:val="1"/>
      <w:numFmt w:val="decimal"/>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
    <w:nsid w:val="11744E57"/>
    <w:multiLevelType w:val="multilevel"/>
    <w:tmpl w:val="11744E57"/>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900"/>
        </w:tabs>
        <w:ind w:left="90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6">
    <w:nsid w:val="25E539EC"/>
    <w:multiLevelType w:val="singleLevel"/>
    <w:tmpl w:val="25E539EC"/>
    <w:lvl w:ilvl="0" w:tentative="0">
      <w:start w:val="1"/>
      <w:numFmt w:val="decimal"/>
      <w:suff w:val="nothing"/>
      <w:lvlText w:val="%1）"/>
      <w:lvlJc w:val="left"/>
    </w:lvl>
  </w:abstractNum>
  <w:abstractNum w:abstractNumId="7">
    <w:nsid w:val="284D45A8"/>
    <w:multiLevelType w:val="multilevel"/>
    <w:tmpl w:val="284D45A8"/>
    <w:lvl w:ilvl="0" w:tentative="0">
      <w:start w:val="1"/>
      <w:numFmt w:val="decimal"/>
      <w:pStyle w:val="489"/>
      <w:lvlText w:val="%1."/>
      <w:lvlJc w:val="left"/>
      <w:pPr>
        <w:ind w:left="0" w:firstLine="0"/>
      </w:pPr>
      <w:rPr>
        <w:rFonts w:hint="eastAsia" w:ascii="宋体" w:eastAsia="宋体"/>
      </w:rPr>
    </w:lvl>
    <w:lvl w:ilvl="1" w:tentative="0">
      <w:start w:val="1"/>
      <w:numFmt w:val="decimal"/>
      <w:pStyle w:val="507"/>
      <w:lvlText w:val="%1.%2."/>
      <w:lvlJc w:val="left"/>
      <w:pPr>
        <w:ind w:left="0" w:firstLine="0"/>
      </w:pPr>
      <w:rPr>
        <w:rFonts w:hint="eastAsia" w:ascii="宋体" w:eastAsia="宋体"/>
      </w:rPr>
    </w:lvl>
    <w:lvl w:ilvl="2" w:tentative="0">
      <w:start w:val="1"/>
      <w:numFmt w:val="decimal"/>
      <w:pStyle w:val="688"/>
      <w:lvlText w:val="%1.%2.%3."/>
      <w:lvlJc w:val="left"/>
      <w:pPr>
        <w:ind w:left="0" w:firstLine="0"/>
      </w:pPr>
      <w:rPr>
        <w:rFonts w:hint="eastAsia" w:ascii="宋体" w:hAnsi="宋体" w:eastAsia="宋体"/>
      </w:rPr>
    </w:lvl>
    <w:lvl w:ilvl="3" w:tentative="0">
      <w:start w:val="1"/>
      <w:numFmt w:val="decimal"/>
      <w:pStyle w:val="487"/>
      <w:lvlText w:val="%1.%2.%3.%4."/>
      <w:lvlJc w:val="left"/>
      <w:pPr>
        <w:ind w:left="0" w:firstLine="0"/>
      </w:pPr>
      <w:rPr>
        <w:rFonts w:hint="eastAsia" w:ascii="宋体" w:eastAsia="宋体"/>
      </w:rPr>
    </w:lvl>
    <w:lvl w:ilvl="4" w:tentative="0">
      <w:start w:val="1"/>
      <w:numFmt w:val="decimal"/>
      <w:lvlText w:val="%1.%2.%3.%4.%5."/>
      <w:lvlJc w:val="left"/>
      <w:pPr>
        <w:ind w:left="0" w:firstLine="0"/>
      </w:pPr>
      <w:rPr>
        <w:rFonts w:hint="eastAsia" w:ascii="宋体" w:eastAsia="宋体"/>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abstractNum w:abstractNumId="8">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3740B8A"/>
    <w:multiLevelType w:val="multilevel"/>
    <w:tmpl w:val="43740B8A"/>
    <w:lvl w:ilvl="0" w:tentative="0">
      <w:start w:val="1"/>
      <w:numFmt w:val="chineseCountingThousand"/>
      <w:suff w:val="space"/>
      <w:lvlText w:val="第%1章"/>
      <w:lvlJc w:val="left"/>
      <w:pPr>
        <w:ind w:left="0" w:firstLine="0"/>
      </w:pPr>
      <w:rPr>
        <w:rFonts w:hint="default" w:ascii="Times New Roman" w:hAnsi="Times New Roman" w:eastAsia="宋体"/>
        <w:b/>
        <w:i w:val="0"/>
        <w:sz w:val="36"/>
      </w:rPr>
    </w:lvl>
    <w:lvl w:ilvl="1" w:tentative="0">
      <w:start w:val="1"/>
      <w:numFmt w:val="decimal"/>
      <w:isLgl/>
      <w:suff w:val="space"/>
      <w:lvlText w:val="%1.%2."/>
      <w:lvlJc w:val="left"/>
      <w:pPr>
        <w:ind w:left="0" w:firstLine="0"/>
      </w:pPr>
      <w:rPr>
        <w:rFonts w:hint="default" w:ascii="Times New Roman" w:hAnsi="Times New Roman" w:eastAsia="宋体"/>
        <w:b/>
        <w:i w:val="0"/>
        <w:sz w:val="28"/>
      </w:rPr>
    </w:lvl>
    <w:lvl w:ilvl="2" w:tentative="0">
      <w:start w:val="1"/>
      <w:numFmt w:val="decimal"/>
      <w:isLgl/>
      <w:suff w:val="space"/>
      <w:lvlText w:val="%1.%2.%3."/>
      <w:lvlJc w:val="left"/>
      <w:pPr>
        <w:ind w:left="0" w:firstLine="0"/>
      </w:pPr>
      <w:rPr>
        <w:rFonts w:hint="default" w:ascii="Times New Roman" w:hAnsi="Times New Roman" w:eastAsia="宋体"/>
        <w:b/>
        <w:i w:val="0"/>
        <w:sz w:val="28"/>
      </w:rPr>
    </w:lvl>
    <w:lvl w:ilvl="3" w:tentative="0">
      <w:start w:val="1"/>
      <w:numFmt w:val="decimal"/>
      <w:isLgl/>
      <w:suff w:val="space"/>
      <w:lvlText w:val="%1.%2.%3.%4."/>
      <w:lvlJc w:val="left"/>
      <w:pPr>
        <w:ind w:left="0" w:firstLine="0"/>
      </w:pPr>
      <w:rPr>
        <w:rFonts w:hint="default" w:ascii="Times New Roman" w:hAnsi="Times New Roman" w:eastAsia="宋体"/>
        <w:b/>
        <w:i w:val="0"/>
        <w:sz w:val="24"/>
      </w:rPr>
    </w:lvl>
    <w:lvl w:ilvl="4" w:tentative="0">
      <w:start w:val="1"/>
      <w:numFmt w:val="decimal"/>
      <w:isLgl/>
      <w:suff w:val="space"/>
      <w:lvlText w:val="%1.%2.%3.%4.%5."/>
      <w:lvlJc w:val="left"/>
      <w:pPr>
        <w:ind w:left="0" w:firstLine="0"/>
      </w:pPr>
      <w:rPr>
        <w:rFonts w:hint="default" w:ascii="Times New Roman" w:hAnsi="Times New Roman" w:eastAsia="宋体"/>
        <w:b/>
        <w:i w:val="0"/>
        <w:sz w:val="24"/>
      </w:rPr>
    </w:lvl>
    <w:lvl w:ilvl="5" w:tentative="0">
      <w:start w:val="1"/>
      <w:numFmt w:val="decimal"/>
      <w:isLgl/>
      <w:suff w:val="space"/>
      <w:lvlText w:val="%1.%2.%3.%4.%5.%6."/>
      <w:lvlJc w:val="left"/>
      <w:pPr>
        <w:ind w:left="0" w:firstLine="0"/>
      </w:pPr>
      <w:rPr>
        <w:rFonts w:hint="default" w:ascii="Times New Roman" w:hAnsi="Times New Roman" w:eastAsia="宋体"/>
        <w:b/>
        <w:i w:val="0"/>
        <w:sz w:val="24"/>
      </w:rPr>
    </w:lvl>
    <w:lvl w:ilvl="6" w:tentative="0">
      <w:start w:val="1"/>
      <w:numFmt w:val="decimal"/>
      <w:isLgl/>
      <w:suff w:val="space"/>
      <w:lvlText w:val="%1.%2.%3.%4.%5.%6.%7."/>
      <w:lvlJc w:val="left"/>
      <w:pPr>
        <w:ind w:left="0" w:firstLine="0"/>
      </w:pPr>
      <w:rPr>
        <w:rFonts w:hint="default" w:ascii="Times New Roman" w:hAnsi="Times New Roman" w:eastAsia="宋体"/>
        <w:b/>
        <w:i w:val="0"/>
        <w:sz w:val="24"/>
      </w:rPr>
    </w:lvl>
    <w:lvl w:ilvl="7" w:tentative="0">
      <w:start w:val="1"/>
      <w:numFmt w:val="decimal"/>
      <w:isLgl/>
      <w:suff w:val="space"/>
      <w:lvlText w:val="%1.%2.%3.%4.%5.%6.%7.%8."/>
      <w:lvlJc w:val="left"/>
      <w:pPr>
        <w:ind w:left="0" w:firstLine="0"/>
      </w:pPr>
      <w:rPr>
        <w:rFonts w:hint="default" w:ascii="Times New Roman" w:hAnsi="Times New Roman" w:eastAsia="宋体"/>
        <w:b/>
        <w:i w:val="0"/>
        <w:sz w:val="24"/>
      </w:rPr>
    </w:lvl>
    <w:lvl w:ilvl="8" w:tentative="0">
      <w:start w:val="1"/>
      <w:numFmt w:val="decimal"/>
      <w:isLgl/>
      <w:suff w:val="space"/>
      <w:lvlText w:val="%1.%2.%3.%4.%5.%6.%7.%8.%9."/>
      <w:lvlJc w:val="left"/>
      <w:pPr>
        <w:ind w:left="0" w:firstLine="0"/>
      </w:pPr>
      <w:rPr>
        <w:rFonts w:hint="default" w:ascii="Times New Roman" w:hAnsi="Times New Roman" w:eastAsia="宋体"/>
        <w:b/>
        <w:i w:val="0"/>
        <w:sz w:val="24"/>
      </w:rPr>
    </w:lvl>
  </w:abstractNum>
  <w:abstractNum w:abstractNumId="10">
    <w:nsid w:val="4EC46CD8"/>
    <w:multiLevelType w:val="multilevel"/>
    <w:tmpl w:val="4EC46CD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578B3BD2"/>
    <w:multiLevelType w:val="multilevel"/>
    <w:tmpl w:val="578B3BD2"/>
    <w:lvl w:ilvl="0" w:tentative="0">
      <w:start w:val="1"/>
      <w:numFmt w:val="decimal"/>
      <w:pStyle w:val="902"/>
      <w:lvlText w:val="%1"/>
      <w:lvlJc w:val="left"/>
      <w:pPr>
        <w:tabs>
          <w:tab w:val="left" w:pos="480"/>
        </w:tabs>
        <w:ind w:left="480" w:hanging="480"/>
      </w:pPr>
      <w:rPr>
        <w:rFonts w:hint="eastAsia"/>
        <w:sz w:val="44"/>
        <w:szCs w:val="44"/>
      </w:rPr>
    </w:lvl>
    <w:lvl w:ilvl="1" w:tentative="0">
      <w:start w:val="1"/>
      <w:numFmt w:val="decimal"/>
      <w:pStyle w:val="499"/>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792"/>
      <w:lvlText w:val="%1.%2.%3.%4.%5"/>
      <w:lvlJc w:val="left"/>
      <w:pPr>
        <w:tabs>
          <w:tab w:val="left" w:pos="1080"/>
        </w:tabs>
        <w:ind w:left="1080" w:hanging="1080"/>
      </w:pPr>
      <w:rPr>
        <w:rFonts w:hint="default"/>
      </w:rPr>
    </w:lvl>
    <w:lvl w:ilvl="5" w:tentative="0">
      <w:start w:val="1"/>
      <w:numFmt w:val="decimal"/>
      <w:pStyle w:val="939"/>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581446B1"/>
    <w:multiLevelType w:val="multilevel"/>
    <w:tmpl w:val="581446B1"/>
    <w:lvl w:ilvl="0" w:tentative="0">
      <w:start w:val="1"/>
      <w:numFmt w:val="decimal"/>
      <w:pStyle w:val="405"/>
      <w:lvlText w:val="图%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3596DCC"/>
    <w:multiLevelType w:val="multilevel"/>
    <w:tmpl w:val="73596DCC"/>
    <w:lvl w:ilvl="0" w:tentative="0">
      <w:start w:val="1"/>
      <w:numFmt w:val="bullet"/>
      <w:pStyle w:val="532"/>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7B17697D"/>
    <w:multiLevelType w:val="multilevel"/>
    <w:tmpl w:val="7B17697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E265E1C"/>
    <w:multiLevelType w:val="multilevel"/>
    <w:tmpl w:val="7E265E1C"/>
    <w:lvl w:ilvl="0" w:tentative="0">
      <w:start w:val="1"/>
      <w:numFmt w:val="decimal"/>
      <w:pStyle w:val="24"/>
      <w:lvlText w:val="%1."/>
      <w:lvlJc w:val="left"/>
      <w:pPr>
        <w:ind w:left="360" w:hanging="360"/>
      </w:pPr>
      <w:rPr>
        <w:rFonts w:hint="default"/>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0"/>
  </w:num>
  <w:num w:numId="4">
    <w:abstractNumId w:val="15"/>
  </w:num>
  <w:num w:numId="5">
    <w:abstractNumId w:val="1"/>
  </w:num>
  <w:num w:numId="6">
    <w:abstractNumId w:val="12"/>
  </w:num>
  <w:num w:numId="7">
    <w:abstractNumId w:val="7"/>
  </w:num>
  <w:num w:numId="8">
    <w:abstractNumId w:val="11"/>
  </w:num>
  <w:num w:numId="9">
    <w:abstractNumId w:val="13"/>
  </w:num>
  <w:num w:numId="10">
    <w:abstractNumId w:val="4"/>
  </w:num>
  <w:num w:numId="11">
    <w:abstractNumId w:val="3"/>
  </w:num>
  <w:num w:numId="12">
    <w:abstractNumId w:val="14"/>
  </w:num>
  <w:num w:numId="13">
    <w:abstractNumId w:val="9"/>
    <w:lvlOverride w:ilvl="0">
      <w:lvl w:ilvl="0" w:tentative="1">
        <w:start w:val="1"/>
        <w:numFmt w:val="chineseCountingThousand"/>
        <w:suff w:val="space"/>
        <w:lvlText w:val="第%1章"/>
        <w:lvlJc w:val="left"/>
        <w:pPr>
          <w:ind w:left="0" w:firstLine="0"/>
        </w:pPr>
        <w:rPr>
          <w:rFonts w:hint="default" w:ascii="Times New Roman" w:hAnsi="Times New Roman" w:eastAsia="黑体"/>
          <w:b/>
          <w:i w:val="0"/>
          <w:sz w:val="44"/>
          <w:lang w:val="en-US"/>
        </w:rPr>
      </w:lvl>
    </w:lvlOverride>
    <w:lvlOverride w:ilvl="1">
      <w:lvl w:ilvl="1" w:tentative="1">
        <w:start w:val="1"/>
        <w:numFmt w:val="decimal"/>
        <w:isLgl/>
        <w:suff w:val="space"/>
        <w:lvlText w:val="%1.%2."/>
        <w:lvlJc w:val="left"/>
        <w:pPr>
          <w:ind w:left="0" w:firstLine="0"/>
        </w:pPr>
        <w:rPr>
          <w:rFonts w:hint="default" w:ascii="Times New Roman" w:hAnsi="Times New Roman" w:eastAsia="宋体"/>
          <w:b/>
          <w:i w:val="0"/>
          <w:sz w:val="36"/>
        </w:rPr>
      </w:lvl>
    </w:lvlOverride>
    <w:lvlOverride w:ilvl="2">
      <w:lvl w:ilvl="2" w:tentative="1">
        <w:start w:val="1"/>
        <w:numFmt w:val="decimal"/>
        <w:isLgl/>
        <w:suff w:val="space"/>
        <w:lvlText w:val="%1.%2.%3."/>
        <w:lvlJc w:val="left"/>
        <w:pPr>
          <w:ind w:left="0" w:firstLine="0"/>
        </w:pPr>
        <w:rPr>
          <w:rFonts w:hint="default" w:ascii="Times New Roman" w:hAnsi="Times New Roman" w:eastAsia="宋体"/>
          <w:b/>
          <w:i w:val="0"/>
          <w:sz w:val="32"/>
        </w:rPr>
      </w:lvl>
    </w:lvlOverride>
    <w:lvlOverride w:ilvl="3">
      <w:lvl w:ilvl="3" w:tentative="1">
        <w:start w:val="1"/>
        <w:numFmt w:val="decimal"/>
        <w:isLgl/>
        <w:suff w:val="space"/>
        <w:lvlText w:val="%1.%2.%3.%4."/>
        <w:lvlJc w:val="left"/>
        <w:pPr>
          <w:ind w:left="0" w:firstLine="0"/>
        </w:pPr>
        <w:rPr>
          <w:rFonts w:hint="default" w:ascii="Times New Roman" w:hAnsi="Times New Roman" w:eastAsia="宋体"/>
          <w:b/>
          <w:i w:val="0"/>
          <w:sz w:val="30"/>
        </w:rPr>
      </w:lvl>
    </w:lvlOverride>
    <w:lvlOverride w:ilvl="4">
      <w:lvl w:ilvl="4" w:tentative="1">
        <w:start w:val="1"/>
        <w:numFmt w:val="decimal"/>
        <w:isLgl/>
        <w:suff w:val="space"/>
        <w:lvlText w:val="%1.%2.%3.%4.%5."/>
        <w:lvlJc w:val="left"/>
        <w:pPr>
          <w:ind w:left="0" w:firstLine="0"/>
        </w:pPr>
        <w:rPr>
          <w:rFonts w:hint="default" w:ascii="Times New Roman" w:hAnsi="Times New Roman" w:eastAsia="宋体"/>
          <w:b/>
          <w:i w:val="0"/>
          <w:sz w:val="28"/>
        </w:rPr>
      </w:lvl>
    </w:lvlOverride>
  </w:num>
  <w:num w:numId="14">
    <w:abstractNumId w:val="1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63"/>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33D"/>
    <w:rsid w:val="00002457"/>
    <w:rsid w:val="000058BD"/>
    <w:rsid w:val="00006109"/>
    <w:rsid w:val="00006725"/>
    <w:rsid w:val="0000675E"/>
    <w:rsid w:val="00007CAA"/>
    <w:rsid w:val="00010FE9"/>
    <w:rsid w:val="0001122F"/>
    <w:rsid w:val="00011CD0"/>
    <w:rsid w:val="0001337C"/>
    <w:rsid w:val="000138C4"/>
    <w:rsid w:val="00013F31"/>
    <w:rsid w:val="000140D8"/>
    <w:rsid w:val="00014530"/>
    <w:rsid w:val="00014BBC"/>
    <w:rsid w:val="000153A5"/>
    <w:rsid w:val="000168D8"/>
    <w:rsid w:val="000170C8"/>
    <w:rsid w:val="000173F4"/>
    <w:rsid w:val="00020287"/>
    <w:rsid w:val="000202FE"/>
    <w:rsid w:val="000211BC"/>
    <w:rsid w:val="000232FD"/>
    <w:rsid w:val="00023323"/>
    <w:rsid w:val="000233E4"/>
    <w:rsid w:val="00024130"/>
    <w:rsid w:val="00024584"/>
    <w:rsid w:val="00024962"/>
    <w:rsid w:val="000249AA"/>
    <w:rsid w:val="000253E5"/>
    <w:rsid w:val="00025776"/>
    <w:rsid w:val="00026EAC"/>
    <w:rsid w:val="000270F2"/>
    <w:rsid w:val="00027540"/>
    <w:rsid w:val="00030572"/>
    <w:rsid w:val="00030CB3"/>
    <w:rsid w:val="0003206A"/>
    <w:rsid w:val="000326A7"/>
    <w:rsid w:val="00032EA0"/>
    <w:rsid w:val="000331B0"/>
    <w:rsid w:val="000336D4"/>
    <w:rsid w:val="00034FA7"/>
    <w:rsid w:val="00035101"/>
    <w:rsid w:val="0003533D"/>
    <w:rsid w:val="000357E4"/>
    <w:rsid w:val="00035ACA"/>
    <w:rsid w:val="00040447"/>
    <w:rsid w:val="00040494"/>
    <w:rsid w:val="00040B70"/>
    <w:rsid w:val="00042533"/>
    <w:rsid w:val="00042B6F"/>
    <w:rsid w:val="00042DBB"/>
    <w:rsid w:val="00042E65"/>
    <w:rsid w:val="0004347C"/>
    <w:rsid w:val="00043907"/>
    <w:rsid w:val="000440DA"/>
    <w:rsid w:val="00044F48"/>
    <w:rsid w:val="00047354"/>
    <w:rsid w:val="00050656"/>
    <w:rsid w:val="000511B6"/>
    <w:rsid w:val="00051B00"/>
    <w:rsid w:val="00051C72"/>
    <w:rsid w:val="0005238F"/>
    <w:rsid w:val="00052BB8"/>
    <w:rsid w:val="0005417A"/>
    <w:rsid w:val="00054D39"/>
    <w:rsid w:val="0005501B"/>
    <w:rsid w:val="000550F5"/>
    <w:rsid w:val="00055337"/>
    <w:rsid w:val="000554C7"/>
    <w:rsid w:val="00056145"/>
    <w:rsid w:val="00056402"/>
    <w:rsid w:val="00056791"/>
    <w:rsid w:val="000568DF"/>
    <w:rsid w:val="000578A3"/>
    <w:rsid w:val="00057D4C"/>
    <w:rsid w:val="00060262"/>
    <w:rsid w:val="00060C48"/>
    <w:rsid w:val="00060E6F"/>
    <w:rsid w:val="00061A3C"/>
    <w:rsid w:val="00061C48"/>
    <w:rsid w:val="00063F7D"/>
    <w:rsid w:val="00064278"/>
    <w:rsid w:val="000646CA"/>
    <w:rsid w:val="000665C4"/>
    <w:rsid w:val="00067821"/>
    <w:rsid w:val="0006785E"/>
    <w:rsid w:val="00067F92"/>
    <w:rsid w:val="00067FA7"/>
    <w:rsid w:val="0007038E"/>
    <w:rsid w:val="0007077C"/>
    <w:rsid w:val="00070825"/>
    <w:rsid w:val="0007170A"/>
    <w:rsid w:val="00071CD8"/>
    <w:rsid w:val="00071DB2"/>
    <w:rsid w:val="00072AED"/>
    <w:rsid w:val="00072B56"/>
    <w:rsid w:val="00072D2B"/>
    <w:rsid w:val="000730B1"/>
    <w:rsid w:val="00073860"/>
    <w:rsid w:val="000738EA"/>
    <w:rsid w:val="00074078"/>
    <w:rsid w:val="0007495C"/>
    <w:rsid w:val="00075D0E"/>
    <w:rsid w:val="00075F6A"/>
    <w:rsid w:val="00076159"/>
    <w:rsid w:val="0007616C"/>
    <w:rsid w:val="000763F3"/>
    <w:rsid w:val="00076801"/>
    <w:rsid w:val="00077577"/>
    <w:rsid w:val="00077607"/>
    <w:rsid w:val="00077756"/>
    <w:rsid w:val="00080970"/>
    <w:rsid w:val="00081671"/>
    <w:rsid w:val="00082373"/>
    <w:rsid w:val="00082AD4"/>
    <w:rsid w:val="00084D27"/>
    <w:rsid w:val="0008580E"/>
    <w:rsid w:val="00085A0E"/>
    <w:rsid w:val="00085C4F"/>
    <w:rsid w:val="00086F8A"/>
    <w:rsid w:val="00086FAA"/>
    <w:rsid w:val="00087031"/>
    <w:rsid w:val="00090243"/>
    <w:rsid w:val="000904F6"/>
    <w:rsid w:val="00090918"/>
    <w:rsid w:val="00090ED8"/>
    <w:rsid w:val="00090F9F"/>
    <w:rsid w:val="0009145F"/>
    <w:rsid w:val="0009184E"/>
    <w:rsid w:val="00091B4E"/>
    <w:rsid w:val="00092FE9"/>
    <w:rsid w:val="000936BF"/>
    <w:rsid w:val="00093A30"/>
    <w:rsid w:val="00093FE9"/>
    <w:rsid w:val="00094342"/>
    <w:rsid w:val="00094413"/>
    <w:rsid w:val="00095954"/>
    <w:rsid w:val="000960BA"/>
    <w:rsid w:val="0009662A"/>
    <w:rsid w:val="0009690D"/>
    <w:rsid w:val="00096C65"/>
    <w:rsid w:val="00096DFF"/>
    <w:rsid w:val="000A0E69"/>
    <w:rsid w:val="000A1A52"/>
    <w:rsid w:val="000A1F98"/>
    <w:rsid w:val="000A3D58"/>
    <w:rsid w:val="000A3FE3"/>
    <w:rsid w:val="000A41A1"/>
    <w:rsid w:val="000A47B0"/>
    <w:rsid w:val="000A49BB"/>
    <w:rsid w:val="000A4F22"/>
    <w:rsid w:val="000A5674"/>
    <w:rsid w:val="000A5A46"/>
    <w:rsid w:val="000A7299"/>
    <w:rsid w:val="000B0E04"/>
    <w:rsid w:val="000B268D"/>
    <w:rsid w:val="000B291B"/>
    <w:rsid w:val="000B456C"/>
    <w:rsid w:val="000B45B9"/>
    <w:rsid w:val="000B47CE"/>
    <w:rsid w:val="000B4831"/>
    <w:rsid w:val="000B4B56"/>
    <w:rsid w:val="000B4C62"/>
    <w:rsid w:val="000B54C1"/>
    <w:rsid w:val="000B666E"/>
    <w:rsid w:val="000C0A43"/>
    <w:rsid w:val="000C0CB1"/>
    <w:rsid w:val="000C1411"/>
    <w:rsid w:val="000C1ADE"/>
    <w:rsid w:val="000C1C38"/>
    <w:rsid w:val="000C2264"/>
    <w:rsid w:val="000C256B"/>
    <w:rsid w:val="000C3970"/>
    <w:rsid w:val="000C3B1A"/>
    <w:rsid w:val="000C41A8"/>
    <w:rsid w:val="000C4727"/>
    <w:rsid w:val="000C47AE"/>
    <w:rsid w:val="000C51AD"/>
    <w:rsid w:val="000C5374"/>
    <w:rsid w:val="000C5AEF"/>
    <w:rsid w:val="000C5EC0"/>
    <w:rsid w:val="000C6162"/>
    <w:rsid w:val="000C6688"/>
    <w:rsid w:val="000C7BEB"/>
    <w:rsid w:val="000D0124"/>
    <w:rsid w:val="000D11E5"/>
    <w:rsid w:val="000D19E8"/>
    <w:rsid w:val="000D1FA1"/>
    <w:rsid w:val="000D2834"/>
    <w:rsid w:val="000D2CAC"/>
    <w:rsid w:val="000D34C8"/>
    <w:rsid w:val="000D34FD"/>
    <w:rsid w:val="000D3BE5"/>
    <w:rsid w:val="000D3C37"/>
    <w:rsid w:val="000D453A"/>
    <w:rsid w:val="000D5E50"/>
    <w:rsid w:val="000D5EA6"/>
    <w:rsid w:val="000D5F00"/>
    <w:rsid w:val="000D68BD"/>
    <w:rsid w:val="000D6C9F"/>
    <w:rsid w:val="000D6E3B"/>
    <w:rsid w:val="000D6F30"/>
    <w:rsid w:val="000D7172"/>
    <w:rsid w:val="000D7C9D"/>
    <w:rsid w:val="000D7CE0"/>
    <w:rsid w:val="000E1101"/>
    <w:rsid w:val="000E2785"/>
    <w:rsid w:val="000E27BB"/>
    <w:rsid w:val="000E3153"/>
    <w:rsid w:val="000E386F"/>
    <w:rsid w:val="000E4051"/>
    <w:rsid w:val="000E4765"/>
    <w:rsid w:val="000E5B7E"/>
    <w:rsid w:val="000E5FF9"/>
    <w:rsid w:val="000E6AE1"/>
    <w:rsid w:val="000E7142"/>
    <w:rsid w:val="000E7632"/>
    <w:rsid w:val="000E7737"/>
    <w:rsid w:val="000E7739"/>
    <w:rsid w:val="000E77EE"/>
    <w:rsid w:val="000F12FD"/>
    <w:rsid w:val="000F2940"/>
    <w:rsid w:val="000F2AB3"/>
    <w:rsid w:val="000F3AEA"/>
    <w:rsid w:val="000F3D08"/>
    <w:rsid w:val="000F4495"/>
    <w:rsid w:val="000F4A05"/>
    <w:rsid w:val="000F4AEA"/>
    <w:rsid w:val="000F505B"/>
    <w:rsid w:val="000F68A0"/>
    <w:rsid w:val="000F6CC2"/>
    <w:rsid w:val="000F7C28"/>
    <w:rsid w:val="000F7D4B"/>
    <w:rsid w:val="0010118C"/>
    <w:rsid w:val="0010125E"/>
    <w:rsid w:val="00101967"/>
    <w:rsid w:val="00101E27"/>
    <w:rsid w:val="00103EBD"/>
    <w:rsid w:val="00104E5B"/>
    <w:rsid w:val="00104EEC"/>
    <w:rsid w:val="001050DC"/>
    <w:rsid w:val="00105482"/>
    <w:rsid w:val="001056A5"/>
    <w:rsid w:val="00105BA9"/>
    <w:rsid w:val="00105FE1"/>
    <w:rsid w:val="00106AAA"/>
    <w:rsid w:val="00107BBD"/>
    <w:rsid w:val="00107BC7"/>
    <w:rsid w:val="001102B5"/>
    <w:rsid w:val="00111AA0"/>
    <w:rsid w:val="00111C7D"/>
    <w:rsid w:val="00112038"/>
    <w:rsid w:val="001127FF"/>
    <w:rsid w:val="00112B0B"/>
    <w:rsid w:val="00112EB5"/>
    <w:rsid w:val="001135FF"/>
    <w:rsid w:val="0011383E"/>
    <w:rsid w:val="00113EE3"/>
    <w:rsid w:val="00114847"/>
    <w:rsid w:val="0011585B"/>
    <w:rsid w:val="00115B1A"/>
    <w:rsid w:val="001160FF"/>
    <w:rsid w:val="001168F8"/>
    <w:rsid w:val="001176FF"/>
    <w:rsid w:val="0012159D"/>
    <w:rsid w:val="00121804"/>
    <w:rsid w:val="00121EC9"/>
    <w:rsid w:val="001221A4"/>
    <w:rsid w:val="001224FE"/>
    <w:rsid w:val="001231D3"/>
    <w:rsid w:val="001232A7"/>
    <w:rsid w:val="00123B8F"/>
    <w:rsid w:val="00123F7C"/>
    <w:rsid w:val="0012419E"/>
    <w:rsid w:val="001248EF"/>
    <w:rsid w:val="00124AC0"/>
    <w:rsid w:val="00124FC4"/>
    <w:rsid w:val="001253AB"/>
    <w:rsid w:val="0012574C"/>
    <w:rsid w:val="001257C7"/>
    <w:rsid w:val="001259B8"/>
    <w:rsid w:val="001264B9"/>
    <w:rsid w:val="0012693E"/>
    <w:rsid w:val="00131C2D"/>
    <w:rsid w:val="0013202C"/>
    <w:rsid w:val="00132CBF"/>
    <w:rsid w:val="00133742"/>
    <w:rsid w:val="00133B70"/>
    <w:rsid w:val="001350F7"/>
    <w:rsid w:val="00135769"/>
    <w:rsid w:val="00135BE9"/>
    <w:rsid w:val="00135E5C"/>
    <w:rsid w:val="00136762"/>
    <w:rsid w:val="00136E33"/>
    <w:rsid w:val="0013773D"/>
    <w:rsid w:val="0014042F"/>
    <w:rsid w:val="00140693"/>
    <w:rsid w:val="00140D7A"/>
    <w:rsid w:val="00141DFE"/>
    <w:rsid w:val="001433BC"/>
    <w:rsid w:val="00143872"/>
    <w:rsid w:val="00144649"/>
    <w:rsid w:val="00145022"/>
    <w:rsid w:val="00145662"/>
    <w:rsid w:val="00145C6D"/>
    <w:rsid w:val="00146151"/>
    <w:rsid w:val="00147032"/>
    <w:rsid w:val="00147EA7"/>
    <w:rsid w:val="00150C74"/>
    <w:rsid w:val="00151820"/>
    <w:rsid w:val="001518BA"/>
    <w:rsid w:val="00151B2F"/>
    <w:rsid w:val="001524DC"/>
    <w:rsid w:val="001525E5"/>
    <w:rsid w:val="00153859"/>
    <w:rsid w:val="00153915"/>
    <w:rsid w:val="00154BBA"/>
    <w:rsid w:val="00155B95"/>
    <w:rsid w:val="00156853"/>
    <w:rsid w:val="00157432"/>
    <w:rsid w:val="00161185"/>
    <w:rsid w:val="00161FA9"/>
    <w:rsid w:val="001623AC"/>
    <w:rsid w:val="00162BAA"/>
    <w:rsid w:val="0016488B"/>
    <w:rsid w:val="00165758"/>
    <w:rsid w:val="00165A65"/>
    <w:rsid w:val="00167478"/>
    <w:rsid w:val="00167594"/>
    <w:rsid w:val="001702BE"/>
    <w:rsid w:val="001704B3"/>
    <w:rsid w:val="0017105C"/>
    <w:rsid w:val="00171622"/>
    <w:rsid w:val="0017204F"/>
    <w:rsid w:val="001721CF"/>
    <w:rsid w:val="001728FD"/>
    <w:rsid w:val="00172A27"/>
    <w:rsid w:val="00172F02"/>
    <w:rsid w:val="00173631"/>
    <w:rsid w:val="0017372D"/>
    <w:rsid w:val="00173826"/>
    <w:rsid w:val="00173C58"/>
    <w:rsid w:val="00173E59"/>
    <w:rsid w:val="001741DC"/>
    <w:rsid w:val="00174F57"/>
    <w:rsid w:val="00175078"/>
    <w:rsid w:val="001755DC"/>
    <w:rsid w:val="00176AA6"/>
    <w:rsid w:val="00177063"/>
    <w:rsid w:val="00180A47"/>
    <w:rsid w:val="001827B7"/>
    <w:rsid w:val="001827EF"/>
    <w:rsid w:val="00182982"/>
    <w:rsid w:val="00182D68"/>
    <w:rsid w:val="00183031"/>
    <w:rsid w:val="00183468"/>
    <w:rsid w:val="0018397E"/>
    <w:rsid w:val="0018453D"/>
    <w:rsid w:val="00184DBF"/>
    <w:rsid w:val="001852A8"/>
    <w:rsid w:val="00187243"/>
    <w:rsid w:val="00187978"/>
    <w:rsid w:val="00187C29"/>
    <w:rsid w:val="00190942"/>
    <w:rsid w:val="001909A7"/>
    <w:rsid w:val="001909C3"/>
    <w:rsid w:val="00191459"/>
    <w:rsid w:val="0019174E"/>
    <w:rsid w:val="001923D5"/>
    <w:rsid w:val="00192991"/>
    <w:rsid w:val="00193B94"/>
    <w:rsid w:val="00193F92"/>
    <w:rsid w:val="001940A7"/>
    <w:rsid w:val="00194BB1"/>
    <w:rsid w:val="00194BC6"/>
    <w:rsid w:val="00195070"/>
    <w:rsid w:val="0019526D"/>
    <w:rsid w:val="001956BE"/>
    <w:rsid w:val="0019602C"/>
    <w:rsid w:val="00196721"/>
    <w:rsid w:val="001969F2"/>
    <w:rsid w:val="00196CD6"/>
    <w:rsid w:val="0019756A"/>
    <w:rsid w:val="001A07F8"/>
    <w:rsid w:val="001A0A23"/>
    <w:rsid w:val="001A0C98"/>
    <w:rsid w:val="001A128B"/>
    <w:rsid w:val="001A1475"/>
    <w:rsid w:val="001A1F0E"/>
    <w:rsid w:val="001A2365"/>
    <w:rsid w:val="001A3857"/>
    <w:rsid w:val="001A473A"/>
    <w:rsid w:val="001A4ED9"/>
    <w:rsid w:val="001A5785"/>
    <w:rsid w:val="001A5FD7"/>
    <w:rsid w:val="001A66A6"/>
    <w:rsid w:val="001A6BAF"/>
    <w:rsid w:val="001A6BBB"/>
    <w:rsid w:val="001A79A2"/>
    <w:rsid w:val="001B13BF"/>
    <w:rsid w:val="001B1413"/>
    <w:rsid w:val="001B16F5"/>
    <w:rsid w:val="001B1C1F"/>
    <w:rsid w:val="001B219B"/>
    <w:rsid w:val="001B2703"/>
    <w:rsid w:val="001B46B2"/>
    <w:rsid w:val="001B4725"/>
    <w:rsid w:val="001B48B2"/>
    <w:rsid w:val="001B49DA"/>
    <w:rsid w:val="001B4CA8"/>
    <w:rsid w:val="001B572D"/>
    <w:rsid w:val="001B5B10"/>
    <w:rsid w:val="001B6D58"/>
    <w:rsid w:val="001B6FA7"/>
    <w:rsid w:val="001B7A15"/>
    <w:rsid w:val="001B7B69"/>
    <w:rsid w:val="001C08DB"/>
    <w:rsid w:val="001C10BD"/>
    <w:rsid w:val="001C1F01"/>
    <w:rsid w:val="001C2092"/>
    <w:rsid w:val="001C232F"/>
    <w:rsid w:val="001C2544"/>
    <w:rsid w:val="001C2A17"/>
    <w:rsid w:val="001C31F5"/>
    <w:rsid w:val="001C6047"/>
    <w:rsid w:val="001C6698"/>
    <w:rsid w:val="001C7CE0"/>
    <w:rsid w:val="001D005B"/>
    <w:rsid w:val="001D0947"/>
    <w:rsid w:val="001D16F5"/>
    <w:rsid w:val="001D1970"/>
    <w:rsid w:val="001D1D55"/>
    <w:rsid w:val="001D21EF"/>
    <w:rsid w:val="001D29A4"/>
    <w:rsid w:val="001D3136"/>
    <w:rsid w:val="001D330D"/>
    <w:rsid w:val="001D37BD"/>
    <w:rsid w:val="001D4AB6"/>
    <w:rsid w:val="001D4AD3"/>
    <w:rsid w:val="001D5281"/>
    <w:rsid w:val="001E17E3"/>
    <w:rsid w:val="001E2052"/>
    <w:rsid w:val="001E257C"/>
    <w:rsid w:val="001E2F34"/>
    <w:rsid w:val="001E2F5D"/>
    <w:rsid w:val="001E35EE"/>
    <w:rsid w:val="001E4B2C"/>
    <w:rsid w:val="001E507F"/>
    <w:rsid w:val="001E59FB"/>
    <w:rsid w:val="001F0FD1"/>
    <w:rsid w:val="001F1526"/>
    <w:rsid w:val="001F19D1"/>
    <w:rsid w:val="001F1CB9"/>
    <w:rsid w:val="001F1F18"/>
    <w:rsid w:val="001F2F92"/>
    <w:rsid w:val="001F5DA1"/>
    <w:rsid w:val="001F612E"/>
    <w:rsid w:val="001F77E8"/>
    <w:rsid w:val="00201B0F"/>
    <w:rsid w:val="00202800"/>
    <w:rsid w:val="00202D33"/>
    <w:rsid w:val="00202E58"/>
    <w:rsid w:val="00202F99"/>
    <w:rsid w:val="00203C85"/>
    <w:rsid w:val="0020449A"/>
    <w:rsid w:val="00205298"/>
    <w:rsid w:val="00206698"/>
    <w:rsid w:val="00206736"/>
    <w:rsid w:val="00206C88"/>
    <w:rsid w:val="00210B9C"/>
    <w:rsid w:val="00211A94"/>
    <w:rsid w:val="00214028"/>
    <w:rsid w:val="002141C3"/>
    <w:rsid w:val="002141DC"/>
    <w:rsid w:val="0021440C"/>
    <w:rsid w:val="00214479"/>
    <w:rsid w:val="002144F3"/>
    <w:rsid w:val="002146C3"/>
    <w:rsid w:val="00215A2A"/>
    <w:rsid w:val="00215A3F"/>
    <w:rsid w:val="00215D21"/>
    <w:rsid w:val="00216387"/>
    <w:rsid w:val="00216E7B"/>
    <w:rsid w:val="002204BC"/>
    <w:rsid w:val="00220F7B"/>
    <w:rsid w:val="002213CE"/>
    <w:rsid w:val="00221AF7"/>
    <w:rsid w:val="00222494"/>
    <w:rsid w:val="00222775"/>
    <w:rsid w:val="00222A31"/>
    <w:rsid w:val="00222CF6"/>
    <w:rsid w:val="00224037"/>
    <w:rsid w:val="002244E4"/>
    <w:rsid w:val="00224D2A"/>
    <w:rsid w:val="00224D8D"/>
    <w:rsid w:val="0022555A"/>
    <w:rsid w:val="00225FD3"/>
    <w:rsid w:val="00227214"/>
    <w:rsid w:val="00227DDC"/>
    <w:rsid w:val="0023079F"/>
    <w:rsid w:val="00231135"/>
    <w:rsid w:val="00231C68"/>
    <w:rsid w:val="0023244E"/>
    <w:rsid w:val="00232555"/>
    <w:rsid w:val="00233538"/>
    <w:rsid w:val="0023449F"/>
    <w:rsid w:val="002344F5"/>
    <w:rsid w:val="0023454D"/>
    <w:rsid w:val="00234679"/>
    <w:rsid w:val="002359FC"/>
    <w:rsid w:val="00236690"/>
    <w:rsid w:val="0023669D"/>
    <w:rsid w:val="00237DAF"/>
    <w:rsid w:val="00237FA2"/>
    <w:rsid w:val="002403D5"/>
    <w:rsid w:val="00240F67"/>
    <w:rsid w:val="00241144"/>
    <w:rsid w:val="00242510"/>
    <w:rsid w:val="00242F79"/>
    <w:rsid w:val="0024415B"/>
    <w:rsid w:val="00245565"/>
    <w:rsid w:val="002458C1"/>
    <w:rsid w:val="00246357"/>
    <w:rsid w:val="00246FB3"/>
    <w:rsid w:val="00247422"/>
    <w:rsid w:val="00247BA2"/>
    <w:rsid w:val="00250870"/>
    <w:rsid w:val="0025151C"/>
    <w:rsid w:val="0025184F"/>
    <w:rsid w:val="00251967"/>
    <w:rsid w:val="002527CC"/>
    <w:rsid w:val="00253586"/>
    <w:rsid w:val="002537FC"/>
    <w:rsid w:val="00253FC7"/>
    <w:rsid w:val="002542F8"/>
    <w:rsid w:val="002543EF"/>
    <w:rsid w:val="00254F2A"/>
    <w:rsid w:val="00255784"/>
    <w:rsid w:val="0025631F"/>
    <w:rsid w:val="00256986"/>
    <w:rsid w:val="00256D61"/>
    <w:rsid w:val="00256E23"/>
    <w:rsid w:val="00257246"/>
    <w:rsid w:val="00257438"/>
    <w:rsid w:val="0026212A"/>
    <w:rsid w:val="002621D7"/>
    <w:rsid w:val="00263044"/>
    <w:rsid w:val="0026309A"/>
    <w:rsid w:val="00263759"/>
    <w:rsid w:val="002638BD"/>
    <w:rsid w:val="0026470B"/>
    <w:rsid w:val="0026486D"/>
    <w:rsid w:val="00264C4B"/>
    <w:rsid w:val="00264ED0"/>
    <w:rsid w:val="00265346"/>
    <w:rsid w:val="00265EEA"/>
    <w:rsid w:val="002660C3"/>
    <w:rsid w:val="00266DE1"/>
    <w:rsid w:val="00267A92"/>
    <w:rsid w:val="00267E43"/>
    <w:rsid w:val="00270282"/>
    <w:rsid w:val="00270CF6"/>
    <w:rsid w:val="00271097"/>
    <w:rsid w:val="0027244F"/>
    <w:rsid w:val="002739CE"/>
    <w:rsid w:val="00273C5F"/>
    <w:rsid w:val="002743AC"/>
    <w:rsid w:val="002751CA"/>
    <w:rsid w:val="0027544D"/>
    <w:rsid w:val="002775ED"/>
    <w:rsid w:val="002778AB"/>
    <w:rsid w:val="002802A5"/>
    <w:rsid w:val="00280CFB"/>
    <w:rsid w:val="00280D24"/>
    <w:rsid w:val="002814B2"/>
    <w:rsid w:val="002815C4"/>
    <w:rsid w:val="00281BCB"/>
    <w:rsid w:val="00281C76"/>
    <w:rsid w:val="00281CE2"/>
    <w:rsid w:val="00283296"/>
    <w:rsid w:val="0028583E"/>
    <w:rsid w:val="00285853"/>
    <w:rsid w:val="00285A79"/>
    <w:rsid w:val="00285B1A"/>
    <w:rsid w:val="00285FF3"/>
    <w:rsid w:val="002866EC"/>
    <w:rsid w:val="0028744E"/>
    <w:rsid w:val="00287936"/>
    <w:rsid w:val="002903C5"/>
    <w:rsid w:val="0029041B"/>
    <w:rsid w:val="00290A99"/>
    <w:rsid w:val="00290EAF"/>
    <w:rsid w:val="0029159A"/>
    <w:rsid w:val="00292AA1"/>
    <w:rsid w:val="0029499D"/>
    <w:rsid w:val="00294A13"/>
    <w:rsid w:val="00294B10"/>
    <w:rsid w:val="00294DF9"/>
    <w:rsid w:val="00295073"/>
    <w:rsid w:val="00295468"/>
    <w:rsid w:val="00296C32"/>
    <w:rsid w:val="002977CE"/>
    <w:rsid w:val="00297AF5"/>
    <w:rsid w:val="002A02D6"/>
    <w:rsid w:val="002A07C4"/>
    <w:rsid w:val="002A0921"/>
    <w:rsid w:val="002A0CB3"/>
    <w:rsid w:val="002A1559"/>
    <w:rsid w:val="002A1887"/>
    <w:rsid w:val="002A2001"/>
    <w:rsid w:val="002A4060"/>
    <w:rsid w:val="002A4A05"/>
    <w:rsid w:val="002A4EB3"/>
    <w:rsid w:val="002A51D9"/>
    <w:rsid w:val="002A5968"/>
    <w:rsid w:val="002A5CAB"/>
    <w:rsid w:val="002A5D40"/>
    <w:rsid w:val="002A64E7"/>
    <w:rsid w:val="002A7ED3"/>
    <w:rsid w:val="002A7FC9"/>
    <w:rsid w:val="002B139C"/>
    <w:rsid w:val="002B1881"/>
    <w:rsid w:val="002B1F61"/>
    <w:rsid w:val="002B2070"/>
    <w:rsid w:val="002B2906"/>
    <w:rsid w:val="002B34E3"/>
    <w:rsid w:val="002B3BDA"/>
    <w:rsid w:val="002B5AEE"/>
    <w:rsid w:val="002B6177"/>
    <w:rsid w:val="002B650C"/>
    <w:rsid w:val="002B68E6"/>
    <w:rsid w:val="002B6985"/>
    <w:rsid w:val="002C0301"/>
    <w:rsid w:val="002C0326"/>
    <w:rsid w:val="002C0A9F"/>
    <w:rsid w:val="002C1AB3"/>
    <w:rsid w:val="002C1BB7"/>
    <w:rsid w:val="002C1E5E"/>
    <w:rsid w:val="002C1FB3"/>
    <w:rsid w:val="002C2665"/>
    <w:rsid w:val="002C28E1"/>
    <w:rsid w:val="002C327D"/>
    <w:rsid w:val="002C3890"/>
    <w:rsid w:val="002C3AD9"/>
    <w:rsid w:val="002C43FC"/>
    <w:rsid w:val="002C45C3"/>
    <w:rsid w:val="002C483B"/>
    <w:rsid w:val="002C544B"/>
    <w:rsid w:val="002C5D5E"/>
    <w:rsid w:val="002C6116"/>
    <w:rsid w:val="002C643D"/>
    <w:rsid w:val="002C70E7"/>
    <w:rsid w:val="002D0E88"/>
    <w:rsid w:val="002D0FF5"/>
    <w:rsid w:val="002D1593"/>
    <w:rsid w:val="002D22A6"/>
    <w:rsid w:val="002D2819"/>
    <w:rsid w:val="002D2CD6"/>
    <w:rsid w:val="002D2F81"/>
    <w:rsid w:val="002D38A3"/>
    <w:rsid w:val="002D3BA3"/>
    <w:rsid w:val="002D4892"/>
    <w:rsid w:val="002D4D06"/>
    <w:rsid w:val="002D4DDE"/>
    <w:rsid w:val="002D4EE7"/>
    <w:rsid w:val="002D4EED"/>
    <w:rsid w:val="002D5AAD"/>
    <w:rsid w:val="002D6097"/>
    <w:rsid w:val="002D65AD"/>
    <w:rsid w:val="002D6782"/>
    <w:rsid w:val="002D74A4"/>
    <w:rsid w:val="002D7DB2"/>
    <w:rsid w:val="002D7DBD"/>
    <w:rsid w:val="002D7EA8"/>
    <w:rsid w:val="002E00E1"/>
    <w:rsid w:val="002E03AE"/>
    <w:rsid w:val="002E0542"/>
    <w:rsid w:val="002E05F2"/>
    <w:rsid w:val="002E0E87"/>
    <w:rsid w:val="002E13CF"/>
    <w:rsid w:val="002E201C"/>
    <w:rsid w:val="002E22CA"/>
    <w:rsid w:val="002E236F"/>
    <w:rsid w:val="002E3956"/>
    <w:rsid w:val="002E3C08"/>
    <w:rsid w:val="002E469E"/>
    <w:rsid w:val="002E4C01"/>
    <w:rsid w:val="002E4D50"/>
    <w:rsid w:val="002E55FF"/>
    <w:rsid w:val="002E587E"/>
    <w:rsid w:val="002E672A"/>
    <w:rsid w:val="002E6853"/>
    <w:rsid w:val="002E7EC1"/>
    <w:rsid w:val="002E7EE5"/>
    <w:rsid w:val="002F0323"/>
    <w:rsid w:val="002F134F"/>
    <w:rsid w:val="002F1D0B"/>
    <w:rsid w:val="002F1F02"/>
    <w:rsid w:val="002F27E5"/>
    <w:rsid w:val="002F2D81"/>
    <w:rsid w:val="002F2F66"/>
    <w:rsid w:val="002F3240"/>
    <w:rsid w:val="002F36B5"/>
    <w:rsid w:val="002F4BA9"/>
    <w:rsid w:val="002F541B"/>
    <w:rsid w:val="002F5BFE"/>
    <w:rsid w:val="002F5DA5"/>
    <w:rsid w:val="002F647C"/>
    <w:rsid w:val="002F6EFF"/>
    <w:rsid w:val="002F7DF0"/>
    <w:rsid w:val="002F7FAF"/>
    <w:rsid w:val="00300573"/>
    <w:rsid w:val="003025FE"/>
    <w:rsid w:val="00303AB6"/>
    <w:rsid w:val="00304640"/>
    <w:rsid w:val="00304AC1"/>
    <w:rsid w:val="00305090"/>
    <w:rsid w:val="00305454"/>
    <w:rsid w:val="00305B9F"/>
    <w:rsid w:val="00305E21"/>
    <w:rsid w:val="003066C6"/>
    <w:rsid w:val="003066FA"/>
    <w:rsid w:val="00306AD6"/>
    <w:rsid w:val="003077F4"/>
    <w:rsid w:val="00307DC7"/>
    <w:rsid w:val="00310EDB"/>
    <w:rsid w:val="00311D56"/>
    <w:rsid w:val="00312DFC"/>
    <w:rsid w:val="0031318C"/>
    <w:rsid w:val="00313C9D"/>
    <w:rsid w:val="0031430C"/>
    <w:rsid w:val="00314919"/>
    <w:rsid w:val="00314C5A"/>
    <w:rsid w:val="00314E5B"/>
    <w:rsid w:val="0031531A"/>
    <w:rsid w:val="00315394"/>
    <w:rsid w:val="00315D77"/>
    <w:rsid w:val="00315D8E"/>
    <w:rsid w:val="00316002"/>
    <w:rsid w:val="00316CDE"/>
    <w:rsid w:val="0031752D"/>
    <w:rsid w:val="00317709"/>
    <w:rsid w:val="00320688"/>
    <w:rsid w:val="003206DD"/>
    <w:rsid w:val="00321542"/>
    <w:rsid w:val="00321DB7"/>
    <w:rsid w:val="0032226D"/>
    <w:rsid w:val="00322BB7"/>
    <w:rsid w:val="003232DC"/>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1FDA"/>
    <w:rsid w:val="003320D7"/>
    <w:rsid w:val="00332862"/>
    <w:rsid w:val="00332D52"/>
    <w:rsid w:val="00333337"/>
    <w:rsid w:val="00333A28"/>
    <w:rsid w:val="00333B6C"/>
    <w:rsid w:val="003360AD"/>
    <w:rsid w:val="0033631D"/>
    <w:rsid w:val="00337409"/>
    <w:rsid w:val="003405AF"/>
    <w:rsid w:val="0034088F"/>
    <w:rsid w:val="00340B3E"/>
    <w:rsid w:val="003413D2"/>
    <w:rsid w:val="0034257E"/>
    <w:rsid w:val="00343079"/>
    <w:rsid w:val="00344066"/>
    <w:rsid w:val="00344BBF"/>
    <w:rsid w:val="0034509B"/>
    <w:rsid w:val="00345644"/>
    <w:rsid w:val="00345D7A"/>
    <w:rsid w:val="0034607E"/>
    <w:rsid w:val="00346A96"/>
    <w:rsid w:val="00346B6D"/>
    <w:rsid w:val="00346BA3"/>
    <w:rsid w:val="00347356"/>
    <w:rsid w:val="0035005C"/>
    <w:rsid w:val="00350896"/>
    <w:rsid w:val="00350C31"/>
    <w:rsid w:val="00351391"/>
    <w:rsid w:val="003519CD"/>
    <w:rsid w:val="00351A3A"/>
    <w:rsid w:val="0035455F"/>
    <w:rsid w:val="00355D8F"/>
    <w:rsid w:val="00356FF0"/>
    <w:rsid w:val="003577EF"/>
    <w:rsid w:val="00360304"/>
    <w:rsid w:val="00360A78"/>
    <w:rsid w:val="00361750"/>
    <w:rsid w:val="00361AF6"/>
    <w:rsid w:val="00363B2A"/>
    <w:rsid w:val="00363BF1"/>
    <w:rsid w:val="003640AD"/>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2842"/>
    <w:rsid w:val="003729A5"/>
    <w:rsid w:val="00372C89"/>
    <w:rsid w:val="00372E9A"/>
    <w:rsid w:val="003735B9"/>
    <w:rsid w:val="00373634"/>
    <w:rsid w:val="00374677"/>
    <w:rsid w:val="00375850"/>
    <w:rsid w:val="0037632F"/>
    <w:rsid w:val="00377B26"/>
    <w:rsid w:val="0038033B"/>
    <w:rsid w:val="00381014"/>
    <w:rsid w:val="00381604"/>
    <w:rsid w:val="003816E2"/>
    <w:rsid w:val="00381C68"/>
    <w:rsid w:val="00381F60"/>
    <w:rsid w:val="00382F8D"/>
    <w:rsid w:val="00383AB0"/>
    <w:rsid w:val="00384460"/>
    <w:rsid w:val="003847BB"/>
    <w:rsid w:val="00384814"/>
    <w:rsid w:val="00384C0A"/>
    <w:rsid w:val="00385B16"/>
    <w:rsid w:val="00385B96"/>
    <w:rsid w:val="0038637D"/>
    <w:rsid w:val="003869DC"/>
    <w:rsid w:val="00386C07"/>
    <w:rsid w:val="00386F58"/>
    <w:rsid w:val="0038700D"/>
    <w:rsid w:val="00390B8F"/>
    <w:rsid w:val="00390C0D"/>
    <w:rsid w:val="00391447"/>
    <w:rsid w:val="003919D9"/>
    <w:rsid w:val="00391BDD"/>
    <w:rsid w:val="003922DE"/>
    <w:rsid w:val="00392E35"/>
    <w:rsid w:val="00393551"/>
    <w:rsid w:val="00393816"/>
    <w:rsid w:val="00393FCD"/>
    <w:rsid w:val="003944EA"/>
    <w:rsid w:val="00394639"/>
    <w:rsid w:val="00394DF6"/>
    <w:rsid w:val="00395CD9"/>
    <w:rsid w:val="003962E6"/>
    <w:rsid w:val="00396597"/>
    <w:rsid w:val="00396831"/>
    <w:rsid w:val="003971A1"/>
    <w:rsid w:val="003A0F6B"/>
    <w:rsid w:val="003A12B6"/>
    <w:rsid w:val="003A20D5"/>
    <w:rsid w:val="003A24CC"/>
    <w:rsid w:val="003A2EE8"/>
    <w:rsid w:val="003A373C"/>
    <w:rsid w:val="003A5378"/>
    <w:rsid w:val="003A56DF"/>
    <w:rsid w:val="003A5EDA"/>
    <w:rsid w:val="003A6008"/>
    <w:rsid w:val="003A703F"/>
    <w:rsid w:val="003A78D1"/>
    <w:rsid w:val="003A7E2B"/>
    <w:rsid w:val="003A7E40"/>
    <w:rsid w:val="003B0336"/>
    <w:rsid w:val="003B0A3A"/>
    <w:rsid w:val="003B0D79"/>
    <w:rsid w:val="003B2930"/>
    <w:rsid w:val="003B31A7"/>
    <w:rsid w:val="003B3FBF"/>
    <w:rsid w:val="003B4587"/>
    <w:rsid w:val="003B4B51"/>
    <w:rsid w:val="003B4FE1"/>
    <w:rsid w:val="003B514E"/>
    <w:rsid w:val="003B5531"/>
    <w:rsid w:val="003B636A"/>
    <w:rsid w:val="003B69CE"/>
    <w:rsid w:val="003C011C"/>
    <w:rsid w:val="003C0BB9"/>
    <w:rsid w:val="003C0E32"/>
    <w:rsid w:val="003C16CB"/>
    <w:rsid w:val="003C1B97"/>
    <w:rsid w:val="003C247B"/>
    <w:rsid w:val="003C2C9F"/>
    <w:rsid w:val="003C3292"/>
    <w:rsid w:val="003C3C1E"/>
    <w:rsid w:val="003C4134"/>
    <w:rsid w:val="003C435B"/>
    <w:rsid w:val="003C4EBE"/>
    <w:rsid w:val="003C62EC"/>
    <w:rsid w:val="003C685A"/>
    <w:rsid w:val="003C6CE5"/>
    <w:rsid w:val="003C6E9C"/>
    <w:rsid w:val="003C746F"/>
    <w:rsid w:val="003C7570"/>
    <w:rsid w:val="003C76E6"/>
    <w:rsid w:val="003C7F12"/>
    <w:rsid w:val="003D03D6"/>
    <w:rsid w:val="003D075D"/>
    <w:rsid w:val="003D14C8"/>
    <w:rsid w:val="003D1517"/>
    <w:rsid w:val="003D2DA0"/>
    <w:rsid w:val="003D34C3"/>
    <w:rsid w:val="003D3D83"/>
    <w:rsid w:val="003D43C2"/>
    <w:rsid w:val="003D4685"/>
    <w:rsid w:val="003D4A41"/>
    <w:rsid w:val="003D5ADB"/>
    <w:rsid w:val="003D6448"/>
    <w:rsid w:val="003D646C"/>
    <w:rsid w:val="003D663E"/>
    <w:rsid w:val="003D6793"/>
    <w:rsid w:val="003D6B03"/>
    <w:rsid w:val="003D75D8"/>
    <w:rsid w:val="003E006E"/>
    <w:rsid w:val="003E0E96"/>
    <w:rsid w:val="003E20F7"/>
    <w:rsid w:val="003E2FF2"/>
    <w:rsid w:val="003E336A"/>
    <w:rsid w:val="003E3E2F"/>
    <w:rsid w:val="003E4048"/>
    <w:rsid w:val="003E48BD"/>
    <w:rsid w:val="003E604C"/>
    <w:rsid w:val="003E60DA"/>
    <w:rsid w:val="003E6E00"/>
    <w:rsid w:val="003E6E21"/>
    <w:rsid w:val="003E7111"/>
    <w:rsid w:val="003E7940"/>
    <w:rsid w:val="003F01BD"/>
    <w:rsid w:val="003F0486"/>
    <w:rsid w:val="003F048E"/>
    <w:rsid w:val="003F0AFF"/>
    <w:rsid w:val="003F1AA2"/>
    <w:rsid w:val="003F26DC"/>
    <w:rsid w:val="003F42FF"/>
    <w:rsid w:val="003F4B48"/>
    <w:rsid w:val="003F4DDC"/>
    <w:rsid w:val="003F56B8"/>
    <w:rsid w:val="003F6327"/>
    <w:rsid w:val="003F7425"/>
    <w:rsid w:val="003F765B"/>
    <w:rsid w:val="003F7CB8"/>
    <w:rsid w:val="00400CB4"/>
    <w:rsid w:val="00401386"/>
    <w:rsid w:val="004013E6"/>
    <w:rsid w:val="00401E31"/>
    <w:rsid w:val="00402789"/>
    <w:rsid w:val="00402BBA"/>
    <w:rsid w:val="004035D0"/>
    <w:rsid w:val="0040361D"/>
    <w:rsid w:val="00403795"/>
    <w:rsid w:val="004041FB"/>
    <w:rsid w:val="004056B6"/>
    <w:rsid w:val="00405764"/>
    <w:rsid w:val="00406745"/>
    <w:rsid w:val="0040674B"/>
    <w:rsid w:val="00406B32"/>
    <w:rsid w:val="004074FA"/>
    <w:rsid w:val="00407A56"/>
    <w:rsid w:val="00407C32"/>
    <w:rsid w:val="00407FCC"/>
    <w:rsid w:val="0041035A"/>
    <w:rsid w:val="004112D1"/>
    <w:rsid w:val="004113C9"/>
    <w:rsid w:val="00411DF2"/>
    <w:rsid w:val="004120DF"/>
    <w:rsid w:val="00414909"/>
    <w:rsid w:val="00415034"/>
    <w:rsid w:val="00415B1A"/>
    <w:rsid w:val="00415DFD"/>
    <w:rsid w:val="0041690F"/>
    <w:rsid w:val="00416D41"/>
    <w:rsid w:val="00417264"/>
    <w:rsid w:val="004210C0"/>
    <w:rsid w:val="004211DD"/>
    <w:rsid w:val="00421762"/>
    <w:rsid w:val="00421D4B"/>
    <w:rsid w:val="00421ED8"/>
    <w:rsid w:val="00422907"/>
    <w:rsid w:val="00423125"/>
    <w:rsid w:val="00423309"/>
    <w:rsid w:val="004233AD"/>
    <w:rsid w:val="00424446"/>
    <w:rsid w:val="00425341"/>
    <w:rsid w:val="00425674"/>
    <w:rsid w:val="00426B2C"/>
    <w:rsid w:val="00427C27"/>
    <w:rsid w:val="00427FA8"/>
    <w:rsid w:val="0043009D"/>
    <w:rsid w:val="0043026B"/>
    <w:rsid w:val="004306D4"/>
    <w:rsid w:val="00432ECA"/>
    <w:rsid w:val="0043554E"/>
    <w:rsid w:val="004355D4"/>
    <w:rsid w:val="004357B1"/>
    <w:rsid w:val="00435821"/>
    <w:rsid w:val="0043583E"/>
    <w:rsid w:val="00436CCE"/>
    <w:rsid w:val="00436EAD"/>
    <w:rsid w:val="004375E1"/>
    <w:rsid w:val="00437A2F"/>
    <w:rsid w:val="00440262"/>
    <w:rsid w:val="004406BF"/>
    <w:rsid w:val="00440814"/>
    <w:rsid w:val="00441424"/>
    <w:rsid w:val="00442731"/>
    <w:rsid w:val="00442C12"/>
    <w:rsid w:val="004434DF"/>
    <w:rsid w:val="0044354B"/>
    <w:rsid w:val="0044493E"/>
    <w:rsid w:val="00444FC6"/>
    <w:rsid w:val="00445874"/>
    <w:rsid w:val="00445C38"/>
    <w:rsid w:val="004475F7"/>
    <w:rsid w:val="0045057B"/>
    <w:rsid w:val="0045069B"/>
    <w:rsid w:val="00450B22"/>
    <w:rsid w:val="00451709"/>
    <w:rsid w:val="0045178D"/>
    <w:rsid w:val="00451A02"/>
    <w:rsid w:val="00451E79"/>
    <w:rsid w:val="0045277C"/>
    <w:rsid w:val="004543AB"/>
    <w:rsid w:val="00455967"/>
    <w:rsid w:val="00455F71"/>
    <w:rsid w:val="00456272"/>
    <w:rsid w:val="00457517"/>
    <w:rsid w:val="00457CF7"/>
    <w:rsid w:val="00457D37"/>
    <w:rsid w:val="0046028A"/>
    <w:rsid w:val="00460E68"/>
    <w:rsid w:val="004614BC"/>
    <w:rsid w:val="004619A5"/>
    <w:rsid w:val="00461F80"/>
    <w:rsid w:val="0046240D"/>
    <w:rsid w:val="00462898"/>
    <w:rsid w:val="00463208"/>
    <w:rsid w:val="00463576"/>
    <w:rsid w:val="0046399D"/>
    <w:rsid w:val="00463EA4"/>
    <w:rsid w:val="00465A21"/>
    <w:rsid w:val="00465DE5"/>
    <w:rsid w:val="00466978"/>
    <w:rsid w:val="00466ABA"/>
    <w:rsid w:val="004672E3"/>
    <w:rsid w:val="0046775D"/>
    <w:rsid w:val="00467823"/>
    <w:rsid w:val="004705FA"/>
    <w:rsid w:val="004708AC"/>
    <w:rsid w:val="00470917"/>
    <w:rsid w:val="00471387"/>
    <w:rsid w:val="0047146C"/>
    <w:rsid w:val="0047149F"/>
    <w:rsid w:val="00471963"/>
    <w:rsid w:val="00471BE0"/>
    <w:rsid w:val="004724B8"/>
    <w:rsid w:val="004728FB"/>
    <w:rsid w:val="00472CA7"/>
    <w:rsid w:val="00472CEC"/>
    <w:rsid w:val="00473308"/>
    <w:rsid w:val="0047377C"/>
    <w:rsid w:val="0047471E"/>
    <w:rsid w:val="004749DA"/>
    <w:rsid w:val="00474DEF"/>
    <w:rsid w:val="00475729"/>
    <w:rsid w:val="00475771"/>
    <w:rsid w:val="004758E7"/>
    <w:rsid w:val="00475BAB"/>
    <w:rsid w:val="004764B7"/>
    <w:rsid w:val="004764C6"/>
    <w:rsid w:val="00476F97"/>
    <w:rsid w:val="00477247"/>
    <w:rsid w:val="004776BB"/>
    <w:rsid w:val="0047780E"/>
    <w:rsid w:val="0048055E"/>
    <w:rsid w:val="00480C2B"/>
    <w:rsid w:val="00480DC5"/>
    <w:rsid w:val="004824A9"/>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DC6"/>
    <w:rsid w:val="00496CCE"/>
    <w:rsid w:val="00497AAD"/>
    <w:rsid w:val="00497BD7"/>
    <w:rsid w:val="00497D1A"/>
    <w:rsid w:val="00497F63"/>
    <w:rsid w:val="004A03D0"/>
    <w:rsid w:val="004A1049"/>
    <w:rsid w:val="004A1A41"/>
    <w:rsid w:val="004A1AFA"/>
    <w:rsid w:val="004A1EA7"/>
    <w:rsid w:val="004A26F5"/>
    <w:rsid w:val="004A2EF8"/>
    <w:rsid w:val="004A3A21"/>
    <w:rsid w:val="004A4E3B"/>
    <w:rsid w:val="004A6110"/>
    <w:rsid w:val="004A61B8"/>
    <w:rsid w:val="004A6415"/>
    <w:rsid w:val="004A64F9"/>
    <w:rsid w:val="004B026C"/>
    <w:rsid w:val="004B0271"/>
    <w:rsid w:val="004B0BE8"/>
    <w:rsid w:val="004B0E4A"/>
    <w:rsid w:val="004B18F4"/>
    <w:rsid w:val="004B1A98"/>
    <w:rsid w:val="004B2463"/>
    <w:rsid w:val="004B305F"/>
    <w:rsid w:val="004B34C4"/>
    <w:rsid w:val="004B34E8"/>
    <w:rsid w:val="004B3981"/>
    <w:rsid w:val="004B3A03"/>
    <w:rsid w:val="004B419F"/>
    <w:rsid w:val="004B4EA9"/>
    <w:rsid w:val="004B6E50"/>
    <w:rsid w:val="004B7317"/>
    <w:rsid w:val="004B74E0"/>
    <w:rsid w:val="004B75B2"/>
    <w:rsid w:val="004C0BF0"/>
    <w:rsid w:val="004C0D40"/>
    <w:rsid w:val="004C114F"/>
    <w:rsid w:val="004C11A9"/>
    <w:rsid w:val="004C27CF"/>
    <w:rsid w:val="004C2CA7"/>
    <w:rsid w:val="004C45C8"/>
    <w:rsid w:val="004C4F8F"/>
    <w:rsid w:val="004C5E47"/>
    <w:rsid w:val="004C5F4B"/>
    <w:rsid w:val="004C612E"/>
    <w:rsid w:val="004C61B8"/>
    <w:rsid w:val="004C6A2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3EC9"/>
    <w:rsid w:val="004D4523"/>
    <w:rsid w:val="004D51D6"/>
    <w:rsid w:val="004D56C3"/>
    <w:rsid w:val="004D6BF2"/>
    <w:rsid w:val="004D6F29"/>
    <w:rsid w:val="004D7BF5"/>
    <w:rsid w:val="004D7F9C"/>
    <w:rsid w:val="004E03F4"/>
    <w:rsid w:val="004E068F"/>
    <w:rsid w:val="004E0860"/>
    <w:rsid w:val="004E09CF"/>
    <w:rsid w:val="004E0B75"/>
    <w:rsid w:val="004E0C29"/>
    <w:rsid w:val="004E0DC4"/>
    <w:rsid w:val="004E109C"/>
    <w:rsid w:val="004E1D6F"/>
    <w:rsid w:val="004E2393"/>
    <w:rsid w:val="004E3117"/>
    <w:rsid w:val="004E3A2A"/>
    <w:rsid w:val="004E3AB1"/>
    <w:rsid w:val="004E4003"/>
    <w:rsid w:val="004E4626"/>
    <w:rsid w:val="004E4984"/>
    <w:rsid w:val="004E5380"/>
    <w:rsid w:val="004E6746"/>
    <w:rsid w:val="004E6CAC"/>
    <w:rsid w:val="004E6F69"/>
    <w:rsid w:val="004E75C1"/>
    <w:rsid w:val="004E777F"/>
    <w:rsid w:val="004F07F2"/>
    <w:rsid w:val="004F07F9"/>
    <w:rsid w:val="004F0E30"/>
    <w:rsid w:val="004F0E82"/>
    <w:rsid w:val="004F1523"/>
    <w:rsid w:val="004F1847"/>
    <w:rsid w:val="004F1F9E"/>
    <w:rsid w:val="004F2CB6"/>
    <w:rsid w:val="004F2E6E"/>
    <w:rsid w:val="004F3015"/>
    <w:rsid w:val="004F313F"/>
    <w:rsid w:val="004F367F"/>
    <w:rsid w:val="004F3EEF"/>
    <w:rsid w:val="004F43A7"/>
    <w:rsid w:val="004F447B"/>
    <w:rsid w:val="004F4558"/>
    <w:rsid w:val="004F497C"/>
    <w:rsid w:val="004F4FAC"/>
    <w:rsid w:val="004F4FE8"/>
    <w:rsid w:val="004F531B"/>
    <w:rsid w:val="004F560C"/>
    <w:rsid w:val="004F5DBB"/>
    <w:rsid w:val="004F61A3"/>
    <w:rsid w:val="004F6874"/>
    <w:rsid w:val="004F7922"/>
    <w:rsid w:val="004F7A1F"/>
    <w:rsid w:val="004F7B47"/>
    <w:rsid w:val="0050079C"/>
    <w:rsid w:val="00500B9E"/>
    <w:rsid w:val="0050106A"/>
    <w:rsid w:val="005010BC"/>
    <w:rsid w:val="0050214F"/>
    <w:rsid w:val="00502B31"/>
    <w:rsid w:val="0050537D"/>
    <w:rsid w:val="005060AE"/>
    <w:rsid w:val="0050790B"/>
    <w:rsid w:val="0051037C"/>
    <w:rsid w:val="0051050F"/>
    <w:rsid w:val="0051058B"/>
    <w:rsid w:val="00510DDC"/>
    <w:rsid w:val="00511166"/>
    <w:rsid w:val="0051219C"/>
    <w:rsid w:val="005131A2"/>
    <w:rsid w:val="005137E4"/>
    <w:rsid w:val="00513BB9"/>
    <w:rsid w:val="0051440E"/>
    <w:rsid w:val="00515180"/>
    <w:rsid w:val="00515973"/>
    <w:rsid w:val="00517767"/>
    <w:rsid w:val="00517AC8"/>
    <w:rsid w:val="00517C3E"/>
    <w:rsid w:val="0052091D"/>
    <w:rsid w:val="005212F4"/>
    <w:rsid w:val="00521908"/>
    <w:rsid w:val="00522928"/>
    <w:rsid w:val="00523946"/>
    <w:rsid w:val="0052397A"/>
    <w:rsid w:val="005256D6"/>
    <w:rsid w:val="00525AD8"/>
    <w:rsid w:val="00526429"/>
    <w:rsid w:val="005266C1"/>
    <w:rsid w:val="005267F4"/>
    <w:rsid w:val="00527317"/>
    <w:rsid w:val="00527ED6"/>
    <w:rsid w:val="0053019E"/>
    <w:rsid w:val="00531064"/>
    <w:rsid w:val="00531911"/>
    <w:rsid w:val="00531E92"/>
    <w:rsid w:val="005324D7"/>
    <w:rsid w:val="00532C5F"/>
    <w:rsid w:val="005335A2"/>
    <w:rsid w:val="00533DEC"/>
    <w:rsid w:val="00534026"/>
    <w:rsid w:val="00534ADB"/>
    <w:rsid w:val="00534D55"/>
    <w:rsid w:val="00535B53"/>
    <w:rsid w:val="00536B03"/>
    <w:rsid w:val="00537456"/>
    <w:rsid w:val="00537B3D"/>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DB9"/>
    <w:rsid w:val="005462ED"/>
    <w:rsid w:val="0054680A"/>
    <w:rsid w:val="00546BF8"/>
    <w:rsid w:val="00547BA2"/>
    <w:rsid w:val="00550AC5"/>
    <w:rsid w:val="00550B7E"/>
    <w:rsid w:val="00551052"/>
    <w:rsid w:val="0055168A"/>
    <w:rsid w:val="005524ED"/>
    <w:rsid w:val="00552E0A"/>
    <w:rsid w:val="00554007"/>
    <w:rsid w:val="00554C03"/>
    <w:rsid w:val="00554C58"/>
    <w:rsid w:val="00554D5D"/>
    <w:rsid w:val="005550F9"/>
    <w:rsid w:val="00556338"/>
    <w:rsid w:val="00556441"/>
    <w:rsid w:val="00557031"/>
    <w:rsid w:val="00557F87"/>
    <w:rsid w:val="00560428"/>
    <w:rsid w:val="00560FCB"/>
    <w:rsid w:val="0056111C"/>
    <w:rsid w:val="00561140"/>
    <w:rsid w:val="00561412"/>
    <w:rsid w:val="00561903"/>
    <w:rsid w:val="00561A9B"/>
    <w:rsid w:val="00561E54"/>
    <w:rsid w:val="005621F7"/>
    <w:rsid w:val="0056278F"/>
    <w:rsid w:val="00562FB1"/>
    <w:rsid w:val="00563068"/>
    <w:rsid w:val="0056376A"/>
    <w:rsid w:val="00563B3C"/>
    <w:rsid w:val="0056419C"/>
    <w:rsid w:val="00564DA7"/>
    <w:rsid w:val="00565204"/>
    <w:rsid w:val="00565473"/>
    <w:rsid w:val="00565DAC"/>
    <w:rsid w:val="00565F0D"/>
    <w:rsid w:val="00565F88"/>
    <w:rsid w:val="005662DC"/>
    <w:rsid w:val="00566329"/>
    <w:rsid w:val="00567623"/>
    <w:rsid w:val="005701C2"/>
    <w:rsid w:val="00570325"/>
    <w:rsid w:val="00571313"/>
    <w:rsid w:val="00572297"/>
    <w:rsid w:val="0057345D"/>
    <w:rsid w:val="00573560"/>
    <w:rsid w:val="00574E7B"/>
    <w:rsid w:val="00576B5C"/>
    <w:rsid w:val="005770CE"/>
    <w:rsid w:val="005802F9"/>
    <w:rsid w:val="005806D5"/>
    <w:rsid w:val="00580DFC"/>
    <w:rsid w:val="005815CD"/>
    <w:rsid w:val="00581F05"/>
    <w:rsid w:val="00582476"/>
    <w:rsid w:val="005827A7"/>
    <w:rsid w:val="00583D43"/>
    <w:rsid w:val="005846C3"/>
    <w:rsid w:val="00584F04"/>
    <w:rsid w:val="0058544C"/>
    <w:rsid w:val="00585623"/>
    <w:rsid w:val="005857F7"/>
    <w:rsid w:val="0058598B"/>
    <w:rsid w:val="00587D7B"/>
    <w:rsid w:val="005904DB"/>
    <w:rsid w:val="005905ED"/>
    <w:rsid w:val="00590B5A"/>
    <w:rsid w:val="00592825"/>
    <w:rsid w:val="00593B26"/>
    <w:rsid w:val="00594437"/>
    <w:rsid w:val="00594B70"/>
    <w:rsid w:val="0059584C"/>
    <w:rsid w:val="00596BF6"/>
    <w:rsid w:val="00596CFA"/>
    <w:rsid w:val="00596EC6"/>
    <w:rsid w:val="005975CE"/>
    <w:rsid w:val="00597C1A"/>
    <w:rsid w:val="005A0088"/>
    <w:rsid w:val="005A04F6"/>
    <w:rsid w:val="005A0BE8"/>
    <w:rsid w:val="005A0E8A"/>
    <w:rsid w:val="005A14F0"/>
    <w:rsid w:val="005A1861"/>
    <w:rsid w:val="005A1A31"/>
    <w:rsid w:val="005A361D"/>
    <w:rsid w:val="005A36C2"/>
    <w:rsid w:val="005A3719"/>
    <w:rsid w:val="005A3DD7"/>
    <w:rsid w:val="005A4AB0"/>
    <w:rsid w:val="005A4C20"/>
    <w:rsid w:val="005A4F48"/>
    <w:rsid w:val="005A54F1"/>
    <w:rsid w:val="005A5DDE"/>
    <w:rsid w:val="005A64A8"/>
    <w:rsid w:val="005A65C5"/>
    <w:rsid w:val="005A6875"/>
    <w:rsid w:val="005A77C8"/>
    <w:rsid w:val="005A7A32"/>
    <w:rsid w:val="005A7F85"/>
    <w:rsid w:val="005B00DD"/>
    <w:rsid w:val="005B07D5"/>
    <w:rsid w:val="005B1A8A"/>
    <w:rsid w:val="005B1AAB"/>
    <w:rsid w:val="005B2578"/>
    <w:rsid w:val="005B2930"/>
    <w:rsid w:val="005B2B87"/>
    <w:rsid w:val="005B33C8"/>
    <w:rsid w:val="005B387B"/>
    <w:rsid w:val="005B3B01"/>
    <w:rsid w:val="005B4333"/>
    <w:rsid w:val="005B433B"/>
    <w:rsid w:val="005B48BE"/>
    <w:rsid w:val="005B58F7"/>
    <w:rsid w:val="005B5994"/>
    <w:rsid w:val="005B6474"/>
    <w:rsid w:val="005B666D"/>
    <w:rsid w:val="005B667A"/>
    <w:rsid w:val="005B6865"/>
    <w:rsid w:val="005B6F9A"/>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6D5D"/>
    <w:rsid w:val="005C6FD0"/>
    <w:rsid w:val="005D01C3"/>
    <w:rsid w:val="005D05FF"/>
    <w:rsid w:val="005D0FB4"/>
    <w:rsid w:val="005D1176"/>
    <w:rsid w:val="005D1747"/>
    <w:rsid w:val="005D1A0D"/>
    <w:rsid w:val="005D1FA8"/>
    <w:rsid w:val="005D266D"/>
    <w:rsid w:val="005D306D"/>
    <w:rsid w:val="005D3327"/>
    <w:rsid w:val="005D5BCF"/>
    <w:rsid w:val="005D635D"/>
    <w:rsid w:val="005D6D84"/>
    <w:rsid w:val="005D70A1"/>
    <w:rsid w:val="005D79F2"/>
    <w:rsid w:val="005D7EAE"/>
    <w:rsid w:val="005D7F57"/>
    <w:rsid w:val="005E0141"/>
    <w:rsid w:val="005E09CA"/>
    <w:rsid w:val="005E1AB4"/>
    <w:rsid w:val="005E4543"/>
    <w:rsid w:val="005E4A1C"/>
    <w:rsid w:val="005E56C9"/>
    <w:rsid w:val="005E5CF7"/>
    <w:rsid w:val="005E642A"/>
    <w:rsid w:val="005E721E"/>
    <w:rsid w:val="005F0857"/>
    <w:rsid w:val="005F15A9"/>
    <w:rsid w:val="005F2807"/>
    <w:rsid w:val="005F2CD5"/>
    <w:rsid w:val="005F3469"/>
    <w:rsid w:val="005F3720"/>
    <w:rsid w:val="005F5506"/>
    <w:rsid w:val="005F5A0D"/>
    <w:rsid w:val="005F60DF"/>
    <w:rsid w:val="005F615B"/>
    <w:rsid w:val="005F61DF"/>
    <w:rsid w:val="005F680A"/>
    <w:rsid w:val="005F6B3E"/>
    <w:rsid w:val="005F77F8"/>
    <w:rsid w:val="005F7CA8"/>
    <w:rsid w:val="00600ACA"/>
    <w:rsid w:val="00600DE1"/>
    <w:rsid w:val="00601506"/>
    <w:rsid w:val="00601596"/>
    <w:rsid w:val="00601C92"/>
    <w:rsid w:val="00601F66"/>
    <w:rsid w:val="00602764"/>
    <w:rsid w:val="00602B29"/>
    <w:rsid w:val="00602DAD"/>
    <w:rsid w:val="00603373"/>
    <w:rsid w:val="006036D0"/>
    <w:rsid w:val="006042CD"/>
    <w:rsid w:val="00605217"/>
    <w:rsid w:val="006054A5"/>
    <w:rsid w:val="006059E4"/>
    <w:rsid w:val="00605D60"/>
    <w:rsid w:val="006062A0"/>
    <w:rsid w:val="0060639A"/>
    <w:rsid w:val="00607015"/>
    <w:rsid w:val="00610350"/>
    <w:rsid w:val="0061098D"/>
    <w:rsid w:val="00611B59"/>
    <w:rsid w:val="00611FBA"/>
    <w:rsid w:val="00612098"/>
    <w:rsid w:val="0061272A"/>
    <w:rsid w:val="006130D0"/>
    <w:rsid w:val="006139F7"/>
    <w:rsid w:val="00613AA2"/>
    <w:rsid w:val="006155F1"/>
    <w:rsid w:val="00615846"/>
    <w:rsid w:val="006160F0"/>
    <w:rsid w:val="0061624B"/>
    <w:rsid w:val="00616C1E"/>
    <w:rsid w:val="00617B48"/>
    <w:rsid w:val="00617EFC"/>
    <w:rsid w:val="00620055"/>
    <w:rsid w:val="006204B3"/>
    <w:rsid w:val="006212D3"/>
    <w:rsid w:val="00621639"/>
    <w:rsid w:val="00621754"/>
    <w:rsid w:val="00622B22"/>
    <w:rsid w:val="00623571"/>
    <w:rsid w:val="00623A5E"/>
    <w:rsid w:val="00623EE4"/>
    <w:rsid w:val="00624DC0"/>
    <w:rsid w:val="00625008"/>
    <w:rsid w:val="0062548B"/>
    <w:rsid w:val="00626930"/>
    <w:rsid w:val="00626BAC"/>
    <w:rsid w:val="006271C3"/>
    <w:rsid w:val="00627B14"/>
    <w:rsid w:val="0063001E"/>
    <w:rsid w:val="00630023"/>
    <w:rsid w:val="00630C70"/>
    <w:rsid w:val="00630D67"/>
    <w:rsid w:val="00631005"/>
    <w:rsid w:val="00632727"/>
    <w:rsid w:val="0063283D"/>
    <w:rsid w:val="00633769"/>
    <w:rsid w:val="00633FE3"/>
    <w:rsid w:val="00634276"/>
    <w:rsid w:val="00634570"/>
    <w:rsid w:val="0063487C"/>
    <w:rsid w:val="00634C6C"/>
    <w:rsid w:val="00635633"/>
    <w:rsid w:val="00635B73"/>
    <w:rsid w:val="00635BB7"/>
    <w:rsid w:val="00636CC7"/>
    <w:rsid w:val="00637F27"/>
    <w:rsid w:val="00641A84"/>
    <w:rsid w:val="00641DA1"/>
    <w:rsid w:val="00641E5B"/>
    <w:rsid w:val="00642C69"/>
    <w:rsid w:val="0064330A"/>
    <w:rsid w:val="00643F89"/>
    <w:rsid w:val="00644334"/>
    <w:rsid w:val="00644BED"/>
    <w:rsid w:val="00644E2E"/>
    <w:rsid w:val="00645B87"/>
    <w:rsid w:val="00645CB4"/>
    <w:rsid w:val="00646084"/>
    <w:rsid w:val="006468ED"/>
    <w:rsid w:val="00647664"/>
    <w:rsid w:val="006508DC"/>
    <w:rsid w:val="00650D19"/>
    <w:rsid w:val="00651144"/>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3DC"/>
    <w:rsid w:val="006576BA"/>
    <w:rsid w:val="006600BF"/>
    <w:rsid w:val="00660D3E"/>
    <w:rsid w:val="006616E4"/>
    <w:rsid w:val="00661D8D"/>
    <w:rsid w:val="00662D3D"/>
    <w:rsid w:val="00662F1F"/>
    <w:rsid w:val="00663D15"/>
    <w:rsid w:val="00665030"/>
    <w:rsid w:val="00665670"/>
    <w:rsid w:val="006659EA"/>
    <w:rsid w:val="006661E8"/>
    <w:rsid w:val="00666424"/>
    <w:rsid w:val="00666F9F"/>
    <w:rsid w:val="006673B9"/>
    <w:rsid w:val="0066790C"/>
    <w:rsid w:val="00667FF0"/>
    <w:rsid w:val="00670C7C"/>
    <w:rsid w:val="00671480"/>
    <w:rsid w:val="006717E7"/>
    <w:rsid w:val="00671FD5"/>
    <w:rsid w:val="006720BC"/>
    <w:rsid w:val="00672C73"/>
    <w:rsid w:val="00673B64"/>
    <w:rsid w:val="00675430"/>
    <w:rsid w:val="006755F0"/>
    <w:rsid w:val="00675749"/>
    <w:rsid w:val="006759FE"/>
    <w:rsid w:val="00677382"/>
    <w:rsid w:val="0067772D"/>
    <w:rsid w:val="00677991"/>
    <w:rsid w:val="00677AD2"/>
    <w:rsid w:val="00680714"/>
    <w:rsid w:val="0068071D"/>
    <w:rsid w:val="00680C6B"/>
    <w:rsid w:val="006811F3"/>
    <w:rsid w:val="00681240"/>
    <w:rsid w:val="00683068"/>
    <w:rsid w:val="00683DAD"/>
    <w:rsid w:val="00684963"/>
    <w:rsid w:val="00685033"/>
    <w:rsid w:val="0068517F"/>
    <w:rsid w:val="00685718"/>
    <w:rsid w:val="00685D65"/>
    <w:rsid w:val="00685FC8"/>
    <w:rsid w:val="00686E80"/>
    <w:rsid w:val="0068790B"/>
    <w:rsid w:val="00687AF2"/>
    <w:rsid w:val="006901AC"/>
    <w:rsid w:val="00690C8D"/>
    <w:rsid w:val="00691890"/>
    <w:rsid w:val="00691AAD"/>
    <w:rsid w:val="00692416"/>
    <w:rsid w:val="00692AFF"/>
    <w:rsid w:val="00693B73"/>
    <w:rsid w:val="006945A1"/>
    <w:rsid w:val="00694A53"/>
    <w:rsid w:val="00695C78"/>
    <w:rsid w:val="00695E6C"/>
    <w:rsid w:val="00695EAC"/>
    <w:rsid w:val="00697068"/>
    <w:rsid w:val="00697D5F"/>
    <w:rsid w:val="006A035B"/>
    <w:rsid w:val="006A0582"/>
    <w:rsid w:val="006A060C"/>
    <w:rsid w:val="006A071C"/>
    <w:rsid w:val="006A0DC7"/>
    <w:rsid w:val="006A150D"/>
    <w:rsid w:val="006A1B00"/>
    <w:rsid w:val="006A2766"/>
    <w:rsid w:val="006A39D0"/>
    <w:rsid w:val="006A3F53"/>
    <w:rsid w:val="006A4321"/>
    <w:rsid w:val="006A4E20"/>
    <w:rsid w:val="006A4F11"/>
    <w:rsid w:val="006A54F3"/>
    <w:rsid w:val="006A563C"/>
    <w:rsid w:val="006A6364"/>
    <w:rsid w:val="006A7C29"/>
    <w:rsid w:val="006B0580"/>
    <w:rsid w:val="006B0DA2"/>
    <w:rsid w:val="006B1486"/>
    <w:rsid w:val="006B169F"/>
    <w:rsid w:val="006B1D06"/>
    <w:rsid w:val="006B2823"/>
    <w:rsid w:val="006B29DC"/>
    <w:rsid w:val="006B33DB"/>
    <w:rsid w:val="006B3669"/>
    <w:rsid w:val="006B36E5"/>
    <w:rsid w:val="006B3D00"/>
    <w:rsid w:val="006B4CF8"/>
    <w:rsid w:val="006B5FBC"/>
    <w:rsid w:val="006B6ED2"/>
    <w:rsid w:val="006C0230"/>
    <w:rsid w:val="006C05C7"/>
    <w:rsid w:val="006C25AB"/>
    <w:rsid w:val="006C2DA6"/>
    <w:rsid w:val="006C3581"/>
    <w:rsid w:val="006C35C1"/>
    <w:rsid w:val="006C3EFE"/>
    <w:rsid w:val="006C46C7"/>
    <w:rsid w:val="006C53A4"/>
    <w:rsid w:val="006C54DF"/>
    <w:rsid w:val="006C5D5D"/>
    <w:rsid w:val="006C6303"/>
    <w:rsid w:val="006C6EBD"/>
    <w:rsid w:val="006C7E04"/>
    <w:rsid w:val="006C7F79"/>
    <w:rsid w:val="006D015F"/>
    <w:rsid w:val="006D060E"/>
    <w:rsid w:val="006D0681"/>
    <w:rsid w:val="006D0A80"/>
    <w:rsid w:val="006D0AE8"/>
    <w:rsid w:val="006D0BC1"/>
    <w:rsid w:val="006D135C"/>
    <w:rsid w:val="006D2F72"/>
    <w:rsid w:val="006D43C1"/>
    <w:rsid w:val="006D5442"/>
    <w:rsid w:val="006D6E4E"/>
    <w:rsid w:val="006D77FB"/>
    <w:rsid w:val="006D7A8E"/>
    <w:rsid w:val="006E00E3"/>
    <w:rsid w:val="006E01FF"/>
    <w:rsid w:val="006E045C"/>
    <w:rsid w:val="006E0569"/>
    <w:rsid w:val="006E065E"/>
    <w:rsid w:val="006E17AC"/>
    <w:rsid w:val="006E189B"/>
    <w:rsid w:val="006E2902"/>
    <w:rsid w:val="006E2F9D"/>
    <w:rsid w:val="006E37C6"/>
    <w:rsid w:val="006E3CF3"/>
    <w:rsid w:val="006E4098"/>
    <w:rsid w:val="006E41ED"/>
    <w:rsid w:val="006E4667"/>
    <w:rsid w:val="006E46B7"/>
    <w:rsid w:val="006E486D"/>
    <w:rsid w:val="006E48BB"/>
    <w:rsid w:val="006E6D31"/>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700405"/>
    <w:rsid w:val="00700B0D"/>
    <w:rsid w:val="00700D18"/>
    <w:rsid w:val="0070168D"/>
    <w:rsid w:val="00701C36"/>
    <w:rsid w:val="00702F2D"/>
    <w:rsid w:val="0070353F"/>
    <w:rsid w:val="0070415E"/>
    <w:rsid w:val="00704631"/>
    <w:rsid w:val="00704B79"/>
    <w:rsid w:val="00704DD2"/>
    <w:rsid w:val="00704E7D"/>
    <w:rsid w:val="00705060"/>
    <w:rsid w:val="00705351"/>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3E6A"/>
    <w:rsid w:val="0071499C"/>
    <w:rsid w:val="007154D8"/>
    <w:rsid w:val="00715577"/>
    <w:rsid w:val="0071604D"/>
    <w:rsid w:val="0071664C"/>
    <w:rsid w:val="00716C67"/>
    <w:rsid w:val="007170AB"/>
    <w:rsid w:val="0071779C"/>
    <w:rsid w:val="00717808"/>
    <w:rsid w:val="007208A7"/>
    <w:rsid w:val="00720B6A"/>
    <w:rsid w:val="007210F6"/>
    <w:rsid w:val="0072129A"/>
    <w:rsid w:val="0072139F"/>
    <w:rsid w:val="0072198A"/>
    <w:rsid w:val="00721FC3"/>
    <w:rsid w:val="00722002"/>
    <w:rsid w:val="00722A86"/>
    <w:rsid w:val="00722BC6"/>
    <w:rsid w:val="00722C69"/>
    <w:rsid w:val="0072388C"/>
    <w:rsid w:val="00724866"/>
    <w:rsid w:val="007249D1"/>
    <w:rsid w:val="00724FE4"/>
    <w:rsid w:val="00726250"/>
    <w:rsid w:val="007263A2"/>
    <w:rsid w:val="007266B9"/>
    <w:rsid w:val="00726859"/>
    <w:rsid w:val="00727351"/>
    <w:rsid w:val="00727AC5"/>
    <w:rsid w:val="00727C65"/>
    <w:rsid w:val="007300F0"/>
    <w:rsid w:val="00730904"/>
    <w:rsid w:val="0073245C"/>
    <w:rsid w:val="00732493"/>
    <w:rsid w:val="00733772"/>
    <w:rsid w:val="00733A43"/>
    <w:rsid w:val="00733D5F"/>
    <w:rsid w:val="00734932"/>
    <w:rsid w:val="00735D53"/>
    <w:rsid w:val="007364A3"/>
    <w:rsid w:val="00736740"/>
    <w:rsid w:val="007378FD"/>
    <w:rsid w:val="007403FE"/>
    <w:rsid w:val="007413EB"/>
    <w:rsid w:val="00742D32"/>
    <w:rsid w:val="00742E9B"/>
    <w:rsid w:val="007444E6"/>
    <w:rsid w:val="007449A9"/>
    <w:rsid w:val="0074592C"/>
    <w:rsid w:val="00746098"/>
    <w:rsid w:val="00746D58"/>
    <w:rsid w:val="00747578"/>
    <w:rsid w:val="00751073"/>
    <w:rsid w:val="00751AF2"/>
    <w:rsid w:val="00751B1A"/>
    <w:rsid w:val="00751BD2"/>
    <w:rsid w:val="00752188"/>
    <w:rsid w:val="00752CC6"/>
    <w:rsid w:val="00752FF6"/>
    <w:rsid w:val="00753938"/>
    <w:rsid w:val="00753A57"/>
    <w:rsid w:val="007543CE"/>
    <w:rsid w:val="0075497E"/>
    <w:rsid w:val="00754A29"/>
    <w:rsid w:val="00755BCF"/>
    <w:rsid w:val="00756C5F"/>
    <w:rsid w:val="00756D69"/>
    <w:rsid w:val="00757029"/>
    <w:rsid w:val="0075723D"/>
    <w:rsid w:val="007602D4"/>
    <w:rsid w:val="00760D96"/>
    <w:rsid w:val="0076124A"/>
    <w:rsid w:val="0076161B"/>
    <w:rsid w:val="00761CB5"/>
    <w:rsid w:val="0076216B"/>
    <w:rsid w:val="00763137"/>
    <w:rsid w:val="00763F8B"/>
    <w:rsid w:val="0076417E"/>
    <w:rsid w:val="007662C7"/>
    <w:rsid w:val="00766862"/>
    <w:rsid w:val="007675DD"/>
    <w:rsid w:val="007702BF"/>
    <w:rsid w:val="007705F0"/>
    <w:rsid w:val="00771CAC"/>
    <w:rsid w:val="00772036"/>
    <w:rsid w:val="007739A3"/>
    <w:rsid w:val="00773BD9"/>
    <w:rsid w:val="00773CB0"/>
    <w:rsid w:val="00773D71"/>
    <w:rsid w:val="00775526"/>
    <w:rsid w:val="00775651"/>
    <w:rsid w:val="0077765A"/>
    <w:rsid w:val="00780032"/>
    <w:rsid w:val="00780636"/>
    <w:rsid w:val="00780E86"/>
    <w:rsid w:val="00781727"/>
    <w:rsid w:val="00782CF3"/>
    <w:rsid w:val="00783959"/>
    <w:rsid w:val="00785091"/>
    <w:rsid w:val="007869F9"/>
    <w:rsid w:val="00786CBB"/>
    <w:rsid w:val="00786E21"/>
    <w:rsid w:val="0079038E"/>
    <w:rsid w:val="0079080A"/>
    <w:rsid w:val="00790E02"/>
    <w:rsid w:val="00790EBB"/>
    <w:rsid w:val="00791C6E"/>
    <w:rsid w:val="007921F7"/>
    <w:rsid w:val="00792909"/>
    <w:rsid w:val="00792BC6"/>
    <w:rsid w:val="00792C3F"/>
    <w:rsid w:val="00792EE2"/>
    <w:rsid w:val="00793105"/>
    <w:rsid w:val="007931E8"/>
    <w:rsid w:val="00793333"/>
    <w:rsid w:val="0079472B"/>
    <w:rsid w:val="0079493C"/>
    <w:rsid w:val="00794E46"/>
    <w:rsid w:val="00794EEE"/>
    <w:rsid w:val="007952DE"/>
    <w:rsid w:val="00795479"/>
    <w:rsid w:val="00795662"/>
    <w:rsid w:val="00796292"/>
    <w:rsid w:val="007965D9"/>
    <w:rsid w:val="007972D5"/>
    <w:rsid w:val="007A0789"/>
    <w:rsid w:val="007A130E"/>
    <w:rsid w:val="007A18B1"/>
    <w:rsid w:val="007A1BBD"/>
    <w:rsid w:val="007A1F08"/>
    <w:rsid w:val="007A2555"/>
    <w:rsid w:val="007A25FA"/>
    <w:rsid w:val="007A2FCB"/>
    <w:rsid w:val="007A3520"/>
    <w:rsid w:val="007A3604"/>
    <w:rsid w:val="007A3878"/>
    <w:rsid w:val="007A3D85"/>
    <w:rsid w:val="007A3E0D"/>
    <w:rsid w:val="007A436D"/>
    <w:rsid w:val="007A54F6"/>
    <w:rsid w:val="007A55FE"/>
    <w:rsid w:val="007A5950"/>
    <w:rsid w:val="007A6D91"/>
    <w:rsid w:val="007A7618"/>
    <w:rsid w:val="007A7A8A"/>
    <w:rsid w:val="007B02C7"/>
    <w:rsid w:val="007B0306"/>
    <w:rsid w:val="007B08E4"/>
    <w:rsid w:val="007B09AB"/>
    <w:rsid w:val="007B0D86"/>
    <w:rsid w:val="007B28C3"/>
    <w:rsid w:val="007B3A8E"/>
    <w:rsid w:val="007B3C9B"/>
    <w:rsid w:val="007B4271"/>
    <w:rsid w:val="007B497D"/>
    <w:rsid w:val="007B4EE9"/>
    <w:rsid w:val="007B5234"/>
    <w:rsid w:val="007B54C7"/>
    <w:rsid w:val="007B5DC5"/>
    <w:rsid w:val="007B5F32"/>
    <w:rsid w:val="007B63FC"/>
    <w:rsid w:val="007B6708"/>
    <w:rsid w:val="007B6C20"/>
    <w:rsid w:val="007B6E8D"/>
    <w:rsid w:val="007C029E"/>
    <w:rsid w:val="007C0636"/>
    <w:rsid w:val="007C10E4"/>
    <w:rsid w:val="007C17B4"/>
    <w:rsid w:val="007C20F8"/>
    <w:rsid w:val="007C21C5"/>
    <w:rsid w:val="007C2229"/>
    <w:rsid w:val="007C3590"/>
    <w:rsid w:val="007C387A"/>
    <w:rsid w:val="007C43D6"/>
    <w:rsid w:val="007C47FF"/>
    <w:rsid w:val="007C4FC9"/>
    <w:rsid w:val="007C60A8"/>
    <w:rsid w:val="007C660F"/>
    <w:rsid w:val="007C6664"/>
    <w:rsid w:val="007C69AE"/>
    <w:rsid w:val="007C6FE9"/>
    <w:rsid w:val="007C7688"/>
    <w:rsid w:val="007C76E3"/>
    <w:rsid w:val="007C76F3"/>
    <w:rsid w:val="007C7DD9"/>
    <w:rsid w:val="007D0DC9"/>
    <w:rsid w:val="007D0ECD"/>
    <w:rsid w:val="007D14BE"/>
    <w:rsid w:val="007D2882"/>
    <w:rsid w:val="007D2915"/>
    <w:rsid w:val="007D296C"/>
    <w:rsid w:val="007D2C31"/>
    <w:rsid w:val="007D3D74"/>
    <w:rsid w:val="007D445F"/>
    <w:rsid w:val="007D4DED"/>
    <w:rsid w:val="007D5BA2"/>
    <w:rsid w:val="007D5ED3"/>
    <w:rsid w:val="007D682F"/>
    <w:rsid w:val="007D6FB9"/>
    <w:rsid w:val="007D7211"/>
    <w:rsid w:val="007E0552"/>
    <w:rsid w:val="007E0595"/>
    <w:rsid w:val="007E0A63"/>
    <w:rsid w:val="007E0C63"/>
    <w:rsid w:val="007E0E05"/>
    <w:rsid w:val="007E0F5D"/>
    <w:rsid w:val="007E23A1"/>
    <w:rsid w:val="007E259F"/>
    <w:rsid w:val="007E347E"/>
    <w:rsid w:val="007E54B8"/>
    <w:rsid w:val="007E5D12"/>
    <w:rsid w:val="007E677F"/>
    <w:rsid w:val="007E6B25"/>
    <w:rsid w:val="007E7AF0"/>
    <w:rsid w:val="007F120F"/>
    <w:rsid w:val="007F13A3"/>
    <w:rsid w:val="007F152D"/>
    <w:rsid w:val="007F20EE"/>
    <w:rsid w:val="007F307A"/>
    <w:rsid w:val="007F30C6"/>
    <w:rsid w:val="007F4318"/>
    <w:rsid w:val="007F4709"/>
    <w:rsid w:val="007F47DA"/>
    <w:rsid w:val="007F4E52"/>
    <w:rsid w:val="007F4F84"/>
    <w:rsid w:val="007F5382"/>
    <w:rsid w:val="007F55A4"/>
    <w:rsid w:val="007F5D28"/>
    <w:rsid w:val="007F6260"/>
    <w:rsid w:val="007F682B"/>
    <w:rsid w:val="007F6C56"/>
    <w:rsid w:val="00800509"/>
    <w:rsid w:val="0080078E"/>
    <w:rsid w:val="00800B7F"/>
    <w:rsid w:val="00801D63"/>
    <w:rsid w:val="0080348B"/>
    <w:rsid w:val="00803D82"/>
    <w:rsid w:val="00803D98"/>
    <w:rsid w:val="008052CE"/>
    <w:rsid w:val="008058D0"/>
    <w:rsid w:val="0080705B"/>
    <w:rsid w:val="0080723C"/>
    <w:rsid w:val="00807F71"/>
    <w:rsid w:val="0081000F"/>
    <w:rsid w:val="00812657"/>
    <w:rsid w:val="00812A1A"/>
    <w:rsid w:val="00812DFF"/>
    <w:rsid w:val="0081362F"/>
    <w:rsid w:val="0081383A"/>
    <w:rsid w:val="0081497F"/>
    <w:rsid w:val="00814B90"/>
    <w:rsid w:val="00814FC7"/>
    <w:rsid w:val="00815472"/>
    <w:rsid w:val="0081660C"/>
    <w:rsid w:val="00817195"/>
    <w:rsid w:val="00817416"/>
    <w:rsid w:val="00821271"/>
    <w:rsid w:val="00821306"/>
    <w:rsid w:val="008213D9"/>
    <w:rsid w:val="00821D85"/>
    <w:rsid w:val="008220F6"/>
    <w:rsid w:val="00822650"/>
    <w:rsid w:val="0082367C"/>
    <w:rsid w:val="00823819"/>
    <w:rsid w:val="00823C4B"/>
    <w:rsid w:val="0082427D"/>
    <w:rsid w:val="00825441"/>
    <w:rsid w:val="008254C9"/>
    <w:rsid w:val="00825554"/>
    <w:rsid w:val="00826C3C"/>
    <w:rsid w:val="00830052"/>
    <w:rsid w:val="008300D0"/>
    <w:rsid w:val="008320D2"/>
    <w:rsid w:val="008321CE"/>
    <w:rsid w:val="0083257C"/>
    <w:rsid w:val="0083261B"/>
    <w:rsid w:val="00832B44"/>
    <w:rsid w:val="00832EC9"/>
    <w:rsid w:val="00833307"/>
    <w:rsid w:val="00833583"/>
    <w:rsid w:val="00833B5B"/>
    <w:rsid w:val="00833E9A"/>
    <w:rsid w:val="00834FEF"/>
    <w:rsid w:val="00836323"/>
    <w:rsid w:val="008364FD"/>
    <w:rsid w:val="00837E9B"/>
    <w:rsid w:val="008404AA"/>
    <w:rsid w:val="008406D7"/>
    <w:rsid w:val="0084074F"/>
    <w:rsid w:val="008407BA"/>
    <w:rsid w:val="00840AAC"/>
    <w:rsid w:val="0084101C"/>
    <w:rsid w:val="0084181B"/>
    <w:rsid w:val="00841F29"/>
    <w:rsid w:val="008425CC"/>
    <w:rsid w:val="00842DC2"/>
    <w:rsid w:val="008444B1"/>
    <w:rsid w:val="008465B4"/>
    <w:rsid w:val="00846D25"/>
    <w:rsid w:val="00850013"/>
    <w:rsid w:val="008500DD"/>
    <w:rsid w:val="00850A0A"/>
    <w:rsid w:val="00850A94"/>
    <w:rsid w:val="00851E96"/>
    <w:rsid w:val="00852FA5"/>
    <w:rsid w:val="00853AA9"/>
    <w:rsid w:val="00853F7D"/>
    <w:rsid w:val="0085517F"/>
    <w:rsid w:val="0085562D"/>
    <w:rsid w:val="00855A78"/>
    <w:rsid w:val="00855FF0"/>
    <w:rsid w:val="00856154"/>
    <w:rsid w:val="00856286"/>
    <w:rsid w:val="0085657E"/>
    <w:rsid w:val="008573AF"/>
    <w:rsid w:val="008576B0"/>
    <w:rsid w:val="00860296"/>
    <w:rsid w:val="00860C8D"/>
    <w:rsid w:val="00860D65"/>
    <w:rsid w:val="00860DA4"/>
    <w:rsid w:val="00861146"/>
    <w:rsid w:val="00861948"/>
    <w:rsid w:val="00861C6B"/>
    <w:rsid w:val="00862011"/>
    <w:rsid w:val="00862A15"/>
    <w:rsid w:val="00862CC9"/>
    <w:rsid w:val="00862D8E"/>
    <w:rsid w:val="00862EF2"/>
    <w:rsid w:val="0086598A"/>
    <w:rsid w:val="00865C3D"/>
    <w:rsid w:val="00866453"/>
    <w:rsid w:val="0086707F"/>
    <w:rsid w:val="00867501"/>
    <w:rsid w:val="00867D8E"/>
    <w:rsid w:val="008700C0"/>
    <w:rsid w:val="0087099A"/>
    <w:rsid w:val="00870D79"/>
    <w:rsid w:val="00871333"/>
    <w:rsid w:val="00871952"/>
    <w:rsid w:val="00872386"/>
    <w:rsid w:val="008726D7"/>
    <w:rsid w:val="00873128"/>
    <w:rsid w:val="008735BC"/>
    <w:rsid w:val="00873AAC"/>
    <w:rsid w:val="00873C61"/>
    <w:rsid w:val="00873DFD"/>
    <w:rsid w:val="008749BF"/>
    <w:rsid w:val="00875542"/>
    <w:rsid w:val="00875E14"/>
    <w:rsid w:val="0087677E"/>
    <w:rsid w:val="0087712C"/>
    <w:rsid w:val="00877746"/>
    <w:rsid w:val="00877C5D"/>
    <w:rsid w:val="0088093C"/>
    <w:rsid w:val="00880BC0"/>
    <w:rsid w:val="0088127A"/>
    <w:rsid w:val="00881328"/>
    <w:rsid w:val="00881D59"/>
    <w:rsid w:val="00882EC1"/>
    <w:rsid w:val="0088434F"/>
    <w:rsid w:val="00884371"/>
    <w:rsid w:val="008848E2"/>
    <w:rsid w:val="00884B7A"/>
    <w:rsid w:val="00884D47"/>
    <w:rsid w:val="008856C5"/>
    <w:rsid w:val="00886ED8"/>
    <w:rsid w:val="008872B3"/>
    <w:rsid w:val="00887392"/>
    <w:rsid w:val="00890A64"/>
    <w:rsid w:val="00890C40"/>
    <w:rsid w:val="0089122E"/>
    <w:rsid w:val="008912A7"/>
    <w:rsid w:val="0089183A"/>
    <w:rsid w:val="00891B2B"/>
    <w:rsid w:val="008920B4"/>
    <w:rsid w:val="008925EB"/>
    <w:rsid w:val="00892B43"/>
    <w:rsid w:val="00893432"/>
    <w:rsid w:val="0089349E"/>
    <w:rsid w:val="00893936"/>
    <w:rsid w:val="00893CE2"/>
    <w:rsid w:val="00893F41"/>
    <w:rsid w:val="00895144"/>
    <w:rsid w:val="00895A10"/>
    <w:rsid w:val="008972B6"/>
    <w:rsid w:val="00897339"/>
    <w:rsid w:val="00897697"/>
    <w:rsid w:val="008977E1"/>
    <w:rsid w:val="00897D19"/>
    <w:rsid w:val="008A0044"/>
    <w:rsid w:val="008A0BFE"/>
    <w:rsid w:val="008A156F"/>
    <w:rsid w:val="008A1932"/>
    <w:rsid w:val="008A1A92"/>
    <w:rsid w:val="008A21D9"/>
    <w:rsid w:val="008A3182"/>
    <w:rsid w:val="008A3D54"/>
    <w:rsid w:val="008A3E10"/>
    <w:rsid w:val="008A411C"/>
    <w:rsid w:val="008A46B6"/>
    <w:rsid w:val="008A47CE"/>
    <w:rsid w:val="008A4B38"/>
    <w:rsid w:val="008A4DFA"/>
    <w:rsid w:val="008A5645"/>
    <w:rsid w:val="008A5F2F"/>
    <w:rsid w:val="008A6BAE"/>
    <w:rsid w:val="008A7350"/>
    <w:rsid w:val="008A7504"/>
    <w:rsid w:val="008A7A72"/>
    <w:rsid w:val="008B09F3"/>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67E6"/>
    <w:rsid w:val="008B69B8"/>
    <w:rsid w:val="008B7042"/>
    <w:rsid w:val="008B770C"/>
    <w:rsid w:val="008C094A"/>
    <w:rsid w:val="008C1570"/>
    <w:rsid w:val="008C1E3E"/>
    <w:rsid w:val="008C2059"/>
    <w:rsid w:val="008C21D0"/>
    <w:rsid w:val="008C2DBC"/>
    <w:rsid w:val="008C3A4E"/>
    <w:rsid w:val="008C5371"/>
    <w:rsid w:val="008C57F6"/>
    <w:rsid w:val="008C623D"/>
    <w:rsid w:val="008C65F4"/>
    <w:rsid w:val="008C6683"/>
    <w:rsid w:val="008C6E0C"/>
    <w:rsid w:val="008C7273"/>
    <w:rsid w:val="008C78F8"/>
    <w:rsid w:val="008D09E8"/>
    <w:rsid w:val="008D0E65"/>
    <w:rsid w:val="008D110A"/>
    <w:rsid w:val="008D1612"/>
    <w:rsid w:val="008D2259"/>
    <w:rsid w:val="008D2531"/>
    <w:rsid w:val="008D2833"/>
    <w:rsid w:val="008D313A"/>
    <w:rsid w:val="008D3381"/>
    <w:rsid w:val="008D33FE"/>
    <w:rsid w:val="008D3B9F"/>
    <w:rsid w:val="008D3D02"/>
    <w:rsid w:val="008D4226"/>
    <w:rsid w:val="008D4D7C"/>
    <w:rsid w:val="008D4F68"/>
    <w:rsid w:val="008D5432"/>
    <w:rsid w:val="008D54C0"/>
    <w:rsid w:val="008D5558"/>
    <w:rsid w:val="008D5806"/>
    <w:rsid w:val="008D5ED9"/>
    <w:rsid w:val="008D7567"/>
    <w:rsid w:val="008D7846"/>
    <w:rsid w:val="008E0EE4"/>
    <w:rsid w:val="008E1C24"/>
    <w:rsid w:val="008E2626"/>
    <w:rsid w:val="008E27A9"/>
    <w:rsid w:val="008E323C"/>
    <w:rsid w:val="008E35A6"/>
    <w:rsid w:val="008E36D9"/>
    <w:rsid w:val="008E3A5C"/>
    <w:rsid w:val="008E3A9A"/>
    <w:rsid w:val="008E429E"/>
    <w:rsid w:val="008E58A3"/>
    <w:rsid w:val="008E5938"/>
    <w:rsid w:val="008E6109"/>
    <w:rsid w:val="008E76BB"/>
    <w:rsid w:val="008F1764"/>
    <w:rsid w:val="008F1E3D"/>
    <w:rsid w:val="008F235C"/>
    <w:rsid w:val="008F290B"/>
    <w:rsid w:val="008F2F11"/>
    <w:rsid w:val="008F33A6"/>
    <w:rsid w:val="008F35EC"/>
    <w:rsid w:val="008F4FE8"/>
    <w:rsid w:val="008F4FED"/>
    <w:rsid w:val="008F6200"/>
    <w:rsid w:val="008F62F8"/>
    <w:rsid w:val="008F65B4"/>
    <w:rsid w:val="008F6893"/>
    <w:rsid w:val="008F7292"/>
    <w:rsid w:val="008F76C0"/>
    <w:rsid w:val="009000F2"/>
    <w:rsid w:val="0090079D"/>
    <w:rsid w:val="0090086A"/>
    <w:rsid w:val="00900D2C"/>
    <w:rsid w:val="00901807"/>
    <w:rsid w:val="00901F0E"/>
    <w:rsid w:val="00902A26"/>
    <w:rsid w:val="00902B29"/>
    <w:rsid w:val="00903C83"/>
    <w:rsid w:val="0090408F"/>
    <w:rsid w:val="0090446A"/>
    <w:rsid w:val="00904DC3"/>
    <w:rsid w:val="00905469"/>
    <w:rsid w:val="0090629C"/>
    <w:rsid w:val="00906EA2"/>
    <w:rsid w:val="00907278"/>
    <w:rsid w:val="0091112B"/>
    <w:rsid w:val="009128B8"/>
    <w:rsid w:val="0091472C"/>
    <w:rsid w:val="00915351"/>
    <w:rsid w:val="00915679"/>
    <w:rsid w:val="009159C2"/>
    <w:rsid w:val="0091627F"/>
    <w:rsid w:val="009200C2"/>
    <w:rsid w:val="0092077A"/>
    <w:rsid w:val="009219F3"/>
    <w:rsid w:val="009221CB"/>
    <w:rsid w:val="00922320"/>
    <w:rsid w:val="009231EA"/>
    <w:rsid w:val="00923643"/>
    <w:rsid w:val="00923E1A"/>
    <w:rsid w:val="00924453"/>
    <w:rsid w:val="0092490A"/>
    <w:rsid w:val="00925A3E"/>
    <w:rsid w:val="009261DB"/>
    <w:rsid w:val="00926939"/>
    <w:rsid w:val="00926F4C"/>
    <w:rsid w:val="00927710"/>
    <w:rsid w:val="009307CA"/>
    <w:rsid w:val="009312F9"/>
    <w:rsid w:val="009313EC"/>
    <w:rsid w:val="00931445"/>
    <w:rsid w:val="00931AB8"/>
    <w:rsid w:val="00931C63"/>
    <w:rsid w:val="00931D10"/>
    <w:rsid w:val="0093218A"/>
    <w:rsid w:val="0093386D"/>
    <w:rsid w:val="00934C8E"/>
    <w:rsid w:val="00935194"/>
    <w:rsid w:val="009356CC"/>
    <w:rsid w:val="00936EA5"/>
    <w:rsid w:val="00937114"/>
    <w:rsid w:val="009372AE"/>
    <w:rsid w:val="00937F9D"/>
    <w:rsid w:val="0094015D"/>
    <w:rsid w:val="00940916"/>
    <w:rsid w:val="00941B13"/>
    <w:rsid w:val="0094215C"/>
    <w:rsid w:val="00942F8E"/>
    <w:rsid w:val="009441DB"/>
    <w:rsid w:val="00944834"/>
    <w:rsid w:val="00944A9C"/>
    <w:rsid w:val="00944AC3"/>
    <w:rsid w:val="00946128"/>
    <w:rsid w:val="0094633F"/>
    <w:rsid w:val="00947BA5"/>
    <w:rsid w:val="00950805"/>
    <w:rsid w:val="0095096B"/>
    <w:rsid w:val="009517E4"/>
    <w:rsid w:val="009518D4"/>
    <w:rsid w:val="009520BC"/>
    <w:rsid w:val="009521D2"/>
    <w:rsid w:val="00952403"/>
    <w:rsid w:val="00952ABA"/>
    <w:rsid w:val="00952B02"/>
    <w:rsid w:val="00952BD8"/>
    <w:rsid w:val="00953573"/>
    <w:rsid w:val="00956647"/>
    <w:rsid w:val="009569AD"/>
    <w:rsid w:val="00957225"/>
    <w:rsid w:val="00957380"/>
    <w:rsid w:val="00957409"/>
    <w:rsid w:val="00957499"/>
    <w:rsid w:val="00957E51"/>
    <w:rsid w:val="00957ED2"/>
    <w:rsid w:val="009604AE"/>
    <w:rsid w:val="00960DE4"/>
    <w:rsid w:val="009610C7"/>
    <w:rsid w:val="00961164"/>
    <w:rsid w:val="00961A4F"/>
    <w:rsid w:val="00962FB8"/>
    <w:rsid w:val="0096373F"/>
    <w:rsid w:val="00964007"/>
    <w:rsid w:val="00964283"/>
    <w:rsid w:val="009643F4"/>
    <w:rsid w:val="009645A6"/>
    <w:rsid w:val="00964F5A"/>
    <w:rsid w:val="009653ED"/>
    <w:rsid w:val="0096679F"/>
    <w:rsid w:val="00966AD2"/>
    <w:rsid w:val="009716D8"/>
    <w:rsid w:val="00971F54"/>
    <w:rsid w:val="00972057"/>
    <w:rsid w:val="0097227B"/>
    <w:rsid w:val="0097262E"/>
    <w:rsid w:val="0097293F"/>
    <w:rsid w:val="00974022"/>
    <w:rsid w:val="009745D8"/>
    <w:rsid w:val="00974F3B"/>
    <w:rsid w:val="0097552A"/>
    <w:rsid w:val="0097564A"/>
    <w:rsid w:val="00975D06"/>
    <w:rsid w:val="00975DAE"/>
    <w:rsid w:val="00976A50"/>
    <w:rsid w:val="00976BBE"/>
    <w:rsid w:val="0098055B"/>
    <w:rsid w:val="009806D4"/>
    <w:rsid w:val="009810BE"/>
    <w:rsid w:val="009817BC"/>
    <w:rsid w:val="009819A7"/>
    <w:rsid w:val="0098220A"/>
    <w:rsid w:val="00983337"/>
    <w:rsid w:val="009836AA"/>
    <w:rsid w:val="00984B21"/>
    <w:rsid w:val="009851F5"/>
    <w:rsid w:val="0098534B"/>
    <w:rsid w:val="00986281"/>
    <w:rsid w:val="00986FC9"/>
    <w:rsid w:val="0098764E"/>
    <w:rsid w:val="00987683"/>
    <w:rsid w:val="00987826"/>
    <w:rsid w:val="00987B4F"/>
    <w:rsid w:val="00987D58"/>
    <w:rsid w:val="009906D4"/>
    <w:rsid w:val="00990EB7"/>
    <w:rsid w:val="00990F5F"/>
    <w:rsid w:val="009911A7"/>
    <w:rsid w:val="009913B8"/>
    <w:rsid w:val="009914E4"/>
    <w:rsid w:val="00991799"/>
    <w:rsid w:val="00992141"/>
    <w:rsid w:val="009921DB"/>
    <w:rsid w:val="009929C3"/>
    <w:rsid w:val="00992D5B"/>
    <w:rsid w:val="00993135"/>
    <w:rsid w:val="00993AC7"/>
    <w:rsid w:val="00993BAD"/>
    <w:rsid w:val="00993E49"/>
    <w:rsid w:val="00994120"/>
    <w:rsid w:val="009942F5"/>
    <w:rsid w:val="00994568"/>
    <w:rsid w:val="00994602"/>
    <w:rsid w:val="00995B01"/>
    <w:rsid w:val="00996EF4"/>
    <w:rsid w:val="00997044"/>
    <w:rsid w:val="00997BC9"/>
    <w:rsid w:val="009A0D45"/>
    <w:rsid w:val="009A113D"/>
    <w:rsid w:val="009A1ECA"/>
    <w:rsid w:val="009A2BE9"/>
    <w:rsid w:val="009A2BF3"/>
    <w:rsid w:val="009A3713"/>
    <w:rsid w:val="009A3C3E"/>
    <w:rsid w:val="009A4153"/>
    <w:rsid w:val="009A4C2C"/>
    <w:rsid w:val="009A53EA"/>
    <w:rsid w:val="009A59B3"/>
    <w:rsid w:val="009A5FAE"/>
    <w:rsid w:val="009A6B3A"/>
    <w:rsid w:val="009A7E7C"/>
    <w:rsid w:val="009B05D2"/>
    <w:rsid w:val="009B152B"/>
    <w:rsid w:val="009B207B"/>
    <w:rsid w:val="009B2731"/>
    <w:rsid w:val="009B2DCF"/>
    <w:rsid w:val="009B3815"/>
    <w:rsid w:val="009B3D38"/>
    <w:rsid w:val="009B4368"/>
    <w:rsid w:val="009B4D4C"/>
    <w:rsid w:val="009B7505"/>
    <w:rsid w:val="009C0020"/>
    <w:rsid w:val="009C03F7"/>
    <w:rsid w:val="009C10DA"/>
    <w:rsid w:val="009C184B"/>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48A"/>
    <w:rsid w:val="009D03B7"/>
    <w:rsid w:val="009D07AD"/>
    <w:rsid w:val="009D0824"/>
    <w:rsid w:val="009D1654"/>
    <w:rsid w:val="009D1BDB"/>
    <w:rsid w:val="009D2F9C"/>
    <w:rsid w:val="009D4207"/>
    <w:rsid w:val="009D4E4A"/>
    <w:rsid w:val="009D4F55"/>
    <w:rsid w:val="009D5130"/>
    <w:rsid w:val="009D53D1"/>
    <w:rsid w:val="009D53FB"/>
    <w:rsid w:val="009D56A4"/>
    <w:rsid w:val="009D6081"/>
    <w:rsid w:val="009D678C"/>
    <w:rsid w:val="009D6B9A"/>
    <w:rsid w:val="009D76B5"/>
    <w:rsid w:val="009D7BC7"/>
    <w:rsid w:val="009D7FAC"/>
    <w:rsid w:val="009E0109"/>
    <w:rsid w:val="009E0342"/>
    <w:rsid w:val="009E098B"/>
    <w:rsid w:val="009E09AB"/>
    <w:rsid w:val="009E19BB"/>
    <w:rsid w:val="009E1C47"/>
    <w:rsid w:val="009E38D1"/>
    <w:rsid w:val="009E3DF1"/>
    <w:rsid w:val="009E50C5"/>
    <w:rsid w:val="009E514A"/>
    <w:rsid w:val="009E5177"/>
    <w:rsid w:val="009E5701"/>
    <w:rsid w:val="009E5711"/>
    <w:rsid w:val="009E758E"/>
    <w:rsid w:val="009E7D6B"/>
    <w:rsid w:val="009E7E81"/>
    <w:rsid w:val="009F020A"/>
    <w:rsid w:val="009F05AD"/>
    <w:rsid w:val="009F0659"/>
    <w:rsid w:val="009F1109"/>
    <w:rsid w:val="009F143E"/>
    <w:rsid w:val="009F1DE8"/>
    <w:rsid w:val="009F2186"/>
    <w:rsid w:val="009F28DC"/>
    <w:rsid w:val="009F2EDB"/>
    <w:rsid w:val="009F33DC"/>
    <w:rsid w:val="009F4550"/>
    <w:rsid w:val="009F56C0"/>
    <w:rsid w:val="009F5C76"/>
    <w:rsid w:val="00A000C5"/>
    <w:rsid w:val="00A007B4"/>
    <w:rsid w:val="00A00CA0"/>
    <w:rsid w:val="00A00E00"/>
    <w:rsid w:val="00A01221"/>
    <w:rsid w:val="00A012A8"/>
    <w:rsid w:val="00A012F1"/>
    <w:rsid w:val="00A016FF"/>
    <w:rsid w:val="00A01886"/>
    <w:rsid w:val="00A0207F"/>
    <w:rsid w:val="00A021AF"/>
    <w:rsid w:val="00A03A7C"/>
    <w:rsid w:val="00A044AA"/>
    <w:rsid w:val="00A0700C"/>
    <w:rsid w:val="00A102F8"/>
    <w:rsid w:val="00A10A20"/>
    <w:rsid w:val="00A117D5"/>
    <w:rsid w:val="00A126B2"/>
    <w:rsid w:val="00A13121"/>
    <w:rsid w:val="00A131F5"/>
    <w:rsid w:val="00A133C1"/>
    <w:rsid w:val="00A13414"/>
    <w:rsid w:val="00A13675"/>
    <w:rsid w:val="00A138B7"/>
    <w:rsid w:val="00A13F2D"/>
    <w:rsid w:val="00A14F81"/>
    <w:rsid w:val="00A1535F"/>
    <w:rsid w:val="00A15CB1"/>
    <w:rsid w:val="00A15DCC"/>
    <w:rsid w:val="00A15E84"/>
    <w:rsid w:val="00A16021"/>
    <w:rsid w:val="00A176DD"/>
    <w:rsid w:val="00A21838"/>
    <w:rsid w:val="00A22C3E"/>
    <w:rsid w:val="00A22C4D"/>
    <w:rsid w:val="00A23442"/>
    <w:rsid w:val="00A249D2"/>
    <w:rsid w:val="00A254AB"/>
    <w:rsid w:val="00A26096"/>
    <w:rsid w:val="00A266CC"/>
    <w:rsid w:val="00A26DB4"/>
    <w:rsid w:val="00A27425"/>
    <w:rsid w:val="00A3023E"/>
    <w:rsid w:val="00A305C5"/>
    <w:rsid w:val="00A30919"/>
    <w:rsid w:val="00A31F05"/>
    <w:rsid w:val="00A31FD2"/>
    <w:rsid w:val="00A33784"/>
    <w:rsid w:val="00A3404D"/>
    <w:rsid w:val="00A341AB"/>
    <w:rsid w:val="00A34290"/>
    <w:rsid w:val="00A355F9"/>
    <w:rsid w:val="00A357D3"/>
    <w:rsid w:val="00A35A7C"/>
    <w:rsid w:val="00A35AA9"/>
    <w:rsid w:val="00A35F3C"/>
    <w:rsid w:val="00A36CF6"/>
    <w:rsid w:val="00A37309"/>
    <w:rsid w:val="00A37558"/>
    <w:rsid w:val="00A3786A"/>
    <w:rsid w:val="00A4008C"/>
    <w:rsid w:val="00A402A8"/>
    <w:rsid w:val="00A40685"/>
    <w:rsid w:val="00A40E2F"/>
    <w:rsid w:val="00A41819"/>
    <w:rsid w:val="00A41C9A"/>
    <w:rsid w:val="00A41D73"/>
    <w:rsid w:val="00A433E8"/>
    <w:rsid w:val="00A43A1D"/>
    <w:rsid w:val="00A44854"/>
    <w:rsid w:val="00A44A45"/>
    <w:rsid w:val="00A4665D"/>
    <w:rsid w:val="00A46859"/>
    <w:rsid w:val="00A46D39"/>
    <w:rsid w:val="00A47019"/>
    <w:rsid w:val="00A472B8"/>
    <w:rsid w:val="00A47CDA"/>
    <w:rsid w:val="00A5004A"/>
    <w:rsid w:val="00A502F5"/>
    <w:rsid w:val="00A504F4"/>
    <w:rsid w:val="00A508AA"/>
    <w:rsid w:val="00A526CE"/>
    <w:rsid w:val="00A54909"/>
    <w:rsid w:val="00A54DC0"/>
    <w:rsid w:val="00A550C9"/>
    <w:rsid w:val="00A55228"/>
    <w:rsid w:val="00A55A04"/>
    <w:rsid w:val="00A564DE"/>
    <w:rsid w:val="00A6054E"/>
    <w:rsid w:val="00A60799"/>
    <w:rsid w:val="00A61B7F"/>
    <w:rsid w:val="00A61B91"/>
    <w:rsid w:val="00A63335"/>
    <w:rsid w:val="00A63685"/>
    <w:rsid w:val="00A63EA5"/>
    <w:rsid w:val="00A645AC"/>
    <w:rsid w:val="00A65EFB"/>
    <w:rsid w:val="00A66E28"/>
    <w:rsid w:val="00A67429"/>
    <w:rsid w:val="00A67CE9"/>
    <w:rsid w:val="00A70590"/>
    <w:rsid w:val="00A7062E"/>
    <w:rsid w:val="00A70834"/>
    <w:rsid w:val="00A71542"/>
    <w:rsid w:val="00A71FA0"/>
    <w:rsid w:val="00A71FBD"/>
    <w:rsid w:val="00A72727"/>
    <w:rsid w:val="00A727D8"/>
    <w:rsid w:val="00A72C1A"/>
    <w:rsid w:val="00A7463E"/>
    <w:rsid w:val="00A7543F"/>
    <w:rsid w:val="00A758E2"/>
    <w:rsid w:val="00A765B1"/>
    <w:rsid w:val="00A772F2"/>
    <w:rsid w:val="00A77828"/>
    <w:rsid w:val="00A800F9"/>
    <w:rsid w:val="00A803A6"/>
    <w:rsid w:val="00A8073D"/>
    <w:rsid w:val="00A809A2"/>
    <w:rsid w:val="00A80D02"/>
    <w:rsid w:val="00A81AEB"/>
    <w:rsid w:val="00A82A7C"/>
    <w:rsid w:val="00A82D32"/>
    <w:rsid w:val="00A82D7F"/>
    <w:rsid w:val="00A82EAE"/>
    <w:rsid w:val="00A832E5"/>
    <w:rsid w:val="00A847F9"/>
    <w:rsid w:val="00A84F27"/>
    <w:rsid w:val="00A8519C"/>
    <w:rsid w:val="00A8597A"/>
    <w:rsid w:val="00A85B87"/>
    <w:rsid w:val="00A85F83"/>
    <w:rsid w:val="00A86019"/>
    <w:rsid w:val="00A86EED"/>
    <w:rsid w:val="00A8733A"/>
    <w:rsid w:val="00A91603"/>
    <w:rsid w:val="00A9196B"/>
    <w:rsid w:val="00A91BB5"/>
    <w:rsid w:val="00A91BEE"/>
    <w:rsid w:val="00A91D4B"/>
    <w:rsid w:val="00A920B2"/>
    <w:rsid w:val="00A92604"/>
    <w:rsid w:val="00A92A96"/>
    <w:rsid w:val="00A92AF0"/>
    <w:rsid w:val="00A933FE"/>
    <w:rsid w:val="00A937D5"/>
    <w:rsid w:val="00A93C70"/>
    <w:rsid w:val="00A94A32"/>
    <w:rsid w:val="00A94AFC"/>
    <w:rsid w:val="00A94BF5"/>
    <w:rsid w:val="00A96B4A"/>
    <w:rsid w:val="00A97BDA"/>
    <w:rsid w:val="00AA0779"/>
    <w:rsid w:val="00AA08F3"/>
    <w:rsid w:val="00AA0A7E"/>
    <w:rsid w:val="00AA0F23"/>
    <w:rsid w:val="00AA1067"/>
    <w:rsid w:val="00AA1163"/>
    <w:rsid w:val="00AA1DA8"/>
    <w:rsid w:val="00AA222C"/>
    <w:rsid w:val="00AA238E"/>
    <w:rsid w:val="00AA253B"/>
    <w:rsid w:val="00AA29F8"/>
    <w:rsid w:val="00AA30DA"/>
    <w:rsid w:val="00AA3243"/>
    <w:rsid w:val="00AA388F"/>
    <w:rsid w:val="00AA408E"/>
    <w:rsid w:val="00AA4F6D"/>
    <w:rsid w:val="00AA536B"/>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C19"/>
    <w:rsid w:val="00AC1D82"/>
    <w:rsid w:val="00AC3C11"/>
    <w:rsid w:val="00AC4094"/>
    <w:rsid w:val="00AC42B6"/>
    <w:rsid w:val="00AC4AB7"/>
    <w:rsid w:val="00AC6D24"/>
    <w:rsid w:val="00AC6E18"/>
    <w:rsid w:val="00AD1065"/>
    <w:rsid w:val="00AD2AB1"/>
    <w:rsid w:val="00AD3132"/>
    <w:rsid w:val="00AD3DA6"/>
    <w:rsid w:val="00AD3F3C"/>
    <w:rsid w:val="00AD4B2F"/>
    <w:rsid w:val="00AD5F0A"/>
    <w:rsid w:val="00AD6B4F"/>
    <w:rsid w:val="00AD6D19"/>
    <w:rsid w:val="00AD7812"/>
    <w:rsid w:val="00AD7C42"/>
    <w:rsid w:val="00AD7CFA"/>
    <w:rsid w:val="00AE0BD6"/>
    <w:rsid w:val="00AE11C1"/>
    <w:rsid w:val="00AE163D"/>
    <w:rsid w:val="00AE1C5C"/>
    <w:rsid w:val="00AE315E"/>
    <w:rsid w:val="00AE319F"/>
    <w:rsid w:val="00AE31D9"/>
    <w:rsid w:val="00AE3CF0"/>
    <w:rsid w:val="00AE5CB1"/>
    <w:rsid w:val="00AE71EE"/>
    <w:rsid w:val="00AF03CF"/>
    <w:rsid w:val="00AF0A0A"/>
    <w:rsid w:val="00AF14FC"/>
    <w:rsid w:val="00AF1ED2"/>
    <w:rsid w:val="00AF1F4E"/>
    <w:rsid w:val="00AF2302"/>
    <w:rsid w:val="00AF262A"/>
    <w:rsid w:val="00AF3557"/>
    <w:rsid w:val="00AF3F86"/>
    <w:rsid w:val="00AF4CEE"/>
    <w:rsid w:val="00AF584C"/>
    <w:rsid w:val="00AF5D84"/>
    <w:rsid w:val="00AF6476"/>
    <w:rsid w:val="00AF669D"/>
    <w:rsid w:val="00AF672C"/>
    <w:rsid w:val="00AF673E"/>
    <w:rsid w:val="00AF7389"/>
    <w:rsid w:val="00AF79DF"/>
    <w:rsid w:val="00AF7C37"/>
    <w:rsid w:val="00B00378"/>
    <w:rsid w:val="00B00D91"/>
    <w:rsid w:val="00B00E84"/>
    <w:rsid w:val="00B01DD9"/>
    <w:rsid w:val="00B038F1"/>
    <w:rsid w:val="00B03C1B"/>
    <w:rsid w:val="00B04678"/>
    <w:rsid w:val="00B04A04"/>
    <w:rsid w:val="00B04B78"/>
    <w:rsid w:val="00B04C37"/>
    <w:rsid w:val="00B04F00"/>
    <w:rsid w:val="00B05BA6"/>
    <w:rsid w:val="00B066FE"/>
    <w:rsid w:val="00B06912"/>
    <w:rsid w:val="00B07F74"/>
    <w:rsid w:val="00B10B04"/>
    <w:rsid w:val="00B10CC6"/>
    <w:rsid w:val="00B11A61"/>
    <w:rsid w:val="00B12082"/>
    <w:rsid w:val="00B12648"/>
    <w:rsid w:val="00B1270C"/>
    <w:rsid w:val="00B13389"/>
    <w:rsid w:val="00B1364C"/>
    <w:rsid w:val="00B141A5"/>
    <w:rsid w:val="00B14F47"/>
    <w:rsid w:val="00B15286"/>
    <w:rsid w:val="00B1550D"/>
    <w:rsid w:val="00B15BEA"/>
    <w:rsid w:val="00B15F6C"/>
    <w:rsid w:val="00B163E8"/>
    <w:rsid w:val="00B1767E"/>
    <w:rsid w:val="00B20760"/>
    <w:rsid w:val="00B21676"/>
    <w:rsid w:val="00B219E1"/>
    <w:rsid w:val="00B21ECF"/>
    <w:rsid w:val="00B22150"/>
    <w:rsid w:val="00B226DE"/>
    <w:rsid w:val="00B22FB5"/>
    <w:rsid w:val="00B241D5"/>
    <w:rsid w:val="00B24BE9"/>
    <w:rsid w:val="00B25F8C"/>
    <w:rsid w:val="00B260BE"/>
    <w:rsid w:val="00B26677"/>
    <w:rsid w:val="00B26A96"/>
    <w:rsid w:val="00B274E3"/>
    <w:rsid w:val="00B2765C"/>
    <w:rsid w:val="00B27C4B"/>
    <w:rsid w:val="00B3052E"/>
    <w:rsid w:val="00B30563"/>
    <w:rsid w:val="00B30A76"/>
    <w:rsid w:val="00B31246"/>
    <w:rsid w:val="00B31BAE"/>
    <w:rsid w:val="00B32295"/>
    <w:rsid w:val="00B33AB5"/>
    <w:rsid w:val="00B3412E"/>
    <w:rsid w:val="00B343E0"/>
    <w:rsid w:val="00B35B6D"/>
    <w:rsid w:val="00B367C4"/>
    <w:rsid w:val="00B37B8E"/>
    <w:rsid w:val="00B40222"/>
    <w:rsid w:val="00B404C3"/>
    <w:rsid w:val="00B4311F"/>
    <w:rsid w:val="00B431AE"/>
    <w:rsid w:val="00B44288"/>
    <w:rsid w:val="00B448BF"/>
    <w:rsid w:val="00B45A59"/>
    <w:rsid w:val="00B45F9F"/>
    <w:rsid w:val="00B4627C"/>
    <w:rsid w:val="00B46793"/>
    <w:rsid w:val="00B46953"/>
    <w:rsid w:val="00B47455"/>
    <w:rsid w:val="00B47979"/>
    <w:rsid w:val="00B47A59"/>
    <w:rsid w:val="00B503D6"/>
    <w:rsid w:val="00B513D1"/>
    <w:rsid w:val="00B51520"/>
    <w:rsid w:val="00B515C3"/>
    <w:rsid w:val="00B517C2"/>
    <w:rsid w:val="00B518CE"/>
    <w:rsid w:val="00B51F56"/>
    <w:rsid w:val="00B52234"/>
    <w:rsid w:val="00B53623"/>
    <w:rsid w:val="00B53D1D"/>
    <w:rsid w:val="00B53E98"/>
    <w:rsid w:val="00B53F9B"/>
    <w:rsid w:val="00B55F64"/>
    <w:rsid w:val="00B56ECA"/>
    <w:rsid w:val="00B57093"/>
    <w:rsid w:val="00B6053C"/>
    <w:rsid w:val="00B60613"/>
    <w:rsid w:val="00B61AEC"/>
    <w:rsid w:val="00B6244C"/>
    <w:rsid w:val="00B62A2F"/>
    <w:rsid w:val="00B62B7B"/>
    <w:rsid w:val="00B62F0A"/>
    <w:rsid w:val="00B631F9"/>
    <w:rsid w:val="00B634B7"/>
    <w:rsid w:val="00B63C0A"/>
    <w:rsid w:val="00B63EF6"/>
    <w:rsid w:val="00B6440A"/>
    <w:rsid w:val="00B657F0"/>
    <w:rsid w:val="00B65844"/>
    <w:rsid w:val="00B66054"/>
    <w:rsid w:val="00B6677F"/>
    <w:rsid w:val="00B66C7A"/>
    <w:rsid w:val="00B672EA"/>
    <w:rsid w:val="00B6747B"/>
    <w:rsid w:val="00B70200"/>
    <w:rsid w:val="00B702D7"/>
    <w:rsid w:val="00B70389"/>
    <w:rsid w:val="00B70E01"/>
    <w:rsid w:val="00B72CF0"/>
    <w:rsid w:val="00B7338C"/>
    <w:rsid w:val="00B7380E"/>
    <w:rsid w:val="00B740F6"/>
    <w:rsid w:val="00B74615"/>
    <w:rsid w:val="00B755B6"/>
    <w:rsid w:val="00B75A48"/>
    <w:rsid w:val="00B75CC0"/>
    <w:rsid w:val="00B76021"/>
    <w:rsid w:val="00B804F8"/>
    <w:rsid w:val="00B8095A"/>
    <w:rsid w:val="00B80FEA"/>
    <w:rsid w:val="00B81274"/>
    <w:rsid w:val="00B815D3"/>
    <w:rsid w:val="00B823A6"/>
    <w:rsid w:val="00B833E2"/>
    <w:rsid w:val="00B83E76"/>
    <w:rsid w:val="00B83FA0"/>
    <w:rsid w:val="00B86289"/>
    <w:rsid w:val="00B863B3"/>
    <w:rsid w:val="00B869D3"/>
    <w:rsid w:val="00B86CF8"/>
    <w:rsid w:val="00B86E44"/>
    <w:rsid w:val="00B87359"/>
    <w:rsid w:val="00B87A2F"/>
    <w:rsid w:val="00B87F1C"/>
    <w:rsid w:val="00B905B4"/>
    <w:rsid w:val="00B90D8D"/>
    <w:rsid w:val="00B91263"/>
    <w:rsid w:val="00B91B61"/>
    <w:rsid w:val="00B93849"/>
    <w:rsid w:val="00B938BD"/>
    <w:rsid w:val="00B9407F"/>
    <w:rsid w:val="00B944E9"/>
    <w:rsid w:val="00B94896"/>
    <w:rsid w:val="00B94CDD"/>
    <w:rsid w:val="00B94DA7"/>
    <w:rsid w:val="00B96DD9"/>
    <w:rsid w:val="00B97BD8"/>
    <w:rsid w:val="00BA050E"/>
    <w:rsid w:val="00BA078A"/>
    <w:rsid w:val="00BA0BAD"/>
    <w:rsid w:val="00BA10EB"/>
    <w:rsid w:val="00BA14B2"/>
    <w:rsid w:val="00BA15DC"/>
    <w:rsid w:val="00BA2C82"/>
    <w:rsid w:val="00BA4399"/>
    <w:rsid w:val="00BA4452"/>
    <w:rsid w:val="00BA4ACF"/>
    <w:rsid w:val="00BA4F0D"/>
    <w:rsid w:val="00BA5039"/>
    <w:rsid w:val="00BA543D"/>
    <w:rsid w:val="00BA583B"/>
    <w:rsid w:val="00BA5EC7"/>
    <w:rsid w:val="00BA6319"/>
    <w:rsid w:val="00BA63CE"/>
    <w:rsid w:val="00BA676E"/>
    <w:rsid w:val="00BA6980"/>
    <w:rsid w:val="00BA6EF2"/>
    <w:rsid w:val="00BA7227"/>
    <w:rsid w:val="00BA763C"/>
    <w:rsid w:val="00BA7CD7"/>
    <w:rsid w:val="00BB00E5"/>
    <w:rsid w:val="00BB1EFB"/>
    <w:rsid w:val="00BB27CC"/>
    <w:rsid w:val="00BB2ACE"/>
    <w:rsid w:val="00BB2E4E"/>
    <w:rsid w:val="00BB2E62"/>
    <w:rsid w:val="00BB36C9"/>
    <w:rsid w:val="00BB40D1"/>
    <w:rsid w:val="00BB4474"/>
    <w:rsid w:val="00BB7EC0"/>
    <w:rsid w:val="00BC0207"/>
    <w:rsid w:val="00BC0A5A"/>
    <w:rsid w:val="00BC0E64"/>
    <w:rsid w:val="00BC25D1"/>
    <w:rsid w:val="00BC2DBD"/>
    <w:rsid w:val="00BC311E"/>
    <w:rsid w:val="00BC3BCB"/>
    <w:rsid w:val="00BC428A"/>
    <w:rsid w:val="00BC4C40"/>
    <w:rsid w:val="00BC5AE3"/>
    <w:rsid w:val="00BC5BAD"/>
    <w:rsid w:val="00BC7621"/>
    <w:rsid w:val="00BC76C5"/>
    <w:rsid w:val="00BD10B7"/>
    <w:rsid w:val="00BD138A"/>
    <w:rsid w:val="00BD164A"/>
    <w:rsid w:val="00BD1BDD"/>
    <w:rsid w:val="00BD1D7D"/>
    <w:rsid w:val="00BD2B4D"/>
    <w:rsid w:val="00BD2F08"/>
    <w:rsid w:val="00BD2FB9"/>
    <w:rsid w:val="00BD31C2"/>
    <w:rsid w:val="00BD3683"/>
    <w:rsid w:val="00BD450A"/>
    <w:rsid w:val="00BD4717"/>
    <w:rsid w:val="00BD48EA"/>
    <w:rsid w:val="00BD4BA8"/>
    <w:rsid w:val="00BD60DD"/>
    <w:rsid w:val="00BD62E6"/>
    <w:rsid w:val="00BD6B0E"/>
    <w:rsid w:val="00BD7941"/>
    <w:rsid w:val="00BE0C55"/>
    <w:rsid w:val="00BE11A2"/>
    <w:rsid w:val="00BE1EF0"/>
    <w:rsid w:val="00BE246C"/>
    <w:rsid w:val="00BE2657"/>
    <w:rsid w:val="00BE2FD2"/>
    <w:rsid w:val="00BE37AE"/>
    <w:rsid w:val="00BE3B14"/>
    <w:rsid w:val="00BE3C65"/>
    <w:rsid w:val="00BE4222"/>
    <w:rsid w:val="00BE472D"/>
    <w:rsid w:val="00BE4C03"/>
    <w:rsid w:val="00BE7F4D"/>
    <w:rsid w:val="00BF03C0"/>
    <w:rsid w:val="00BF0EBF"/>
    <w:rsid w:val="00BF21D4"/>
    <w:rsid w:val="00BF2DDC"/>
    <w:rsid w:val="00BF4A15"/>
    <w:rsid w:val="00BF4E0E"/>
    <w:rsid w:val="00BF4E27"/>
    <w:rsid w:val="00BF537B"/>
    <w:rsid w:val="00BF626A"/>
    <w:rsid w:val="00BF688E"/>
    <w:rsid w:val="00BF6D77"/>
    <w:rsid w:val="00BF7EF5"/>
    <w:rsid w:val="00C005F6"/>
    <w:rsid w:val="00C0234A"/>
    <w:rsid w:val="00C0247B"/>
    <w:rsid w:val="00C0378E"/>
    <w:rsid w:val="00C04314"/>
    <w:rsid w:val="00C04AE3"/>
    <w:rsid w:val="00C05730"/>
    <w:rsid w:val="00C05AF4"/>
    <w:rsid w:val="00C05AFD"/>
    <w:rsid w:val="00C0661C"/>
    <w:rsid w:val="00C0675F"/>
    <w:rsid w:val="00C0702A"/>
    <w:rsid w:val="00C0724C"/>
    <w:rsid w:val="00C0726B"/>
    <w:rsid w:val="00C075A4"/>
    <w:rsid w:val="00C07C11"/>
    <w:rsid w:val="00C07E10"/>
    <w:rsid w:val="00C10015"/>
    <w:rsid w:val="00C11689"/>
    <w:rsid w:val="00C12414"/>
    <w:rsid w:val="00C12ECB"/>
    <w:rsid w:val="00C148B2"/>
    <w:rsid w:val="00C14ABD"/>
    <w:rsid w:val="00C151E0"/>
    <w:rsid w:val="00C155A8"/>
    <w:rsid w:val="00C159FD"/>
    <w:rsid w:val="00C15B31"/>
    <w:rsid w:val="00C1604F"/>
    <w:rsid w:val="00C166D4"/>
    <w:rsid w:val="00C168E5"/>
    <w:rsid w:val="00C1696D"/>
    <w:rsid w:val="00C17AB5"/>
    <w:rsid w:val="00C20051"/>
    <w:rsid w:val="00C20B86"/>
    <w:rsid w:val="00C21145"/>
    <w:rsid w:val="00C215ED"/>
    <w:rsid w:val="00C23615"/>
    <w:rsid w:val="00C2397E"/>
    <w:rsid w:val="00C23A83"/>
    <w:rsid w:val="00C24381"/>
    <w:rsid w:val="00C24801"/>
    <w:rsid w:val="00C24C2E"/>
    <w:rsid w:val="00C24C7A"/>
    <w:rsid w:val="00C24FFB"/>
    <w:rsid w:val="00C25CFF"/>
    <w:rsid w:val="00C25EA6"/>
    <w:rsid w:val="00C26164"/>
    <w:rsid w:val="00C261C1"/>
    <w:rsid w:val="00C26DBF"/>
    <w:rsid w:val="00C27204"/>
    <w:rsid w:val="00C304E9"/>
    <w:rsid w:val="00C30B0B"/>
    <w:rsid w:val="00C31320"/>
    <w:rsid w:val="00C316B4"/>
    <w:rsid w:val="00C332D4"/>
    <w:rsid w:val="00C33E51"/>
    <w:rsid w:val="00C34C45"/>
    <w:rsid w:val="00C34C47"/>
    <w:rsid w:val="00C34FCE"/>
    <w:rsid w:val="00C35EED"/>
    <w:rsid w:val="00C36B2C"/>
    <w:rsid w:val="00C3701A"/>
    <w:rsid w:val="00C405C8"/>
    <w:rsid w:val="00C40C2F"/>
    <w:rsid w:val="00C415AC"/>
    <w:rsid w:val="00C4297A"/>
    <w:rsid w:val="00C4360C"/>
    <w:rsid w:val="00C43A0B"/>
    <w:rsid w:val="00C43EDA"/>
    <w:rsid w:val="00C4414C"/>
    <w:rsid w:val="00C45135"/>
    <w:rsid w:val="00C45512"/>
    <w:rsid w:val="00C4602B"/>
    <w:rsid w:val="00C46564"/>
    <w:rsid w:val="00C46BFA"/>
    <w:rsid w:val="00C46DDF"/>
    <w:rsid w:val="00C47108"/>
    <w:rsid w:val="00C47F2B"/>
    <w:rsid w:val="00C500A1"/>
    <w:rsid w:val="00C50A02"/>
    <w:rsid w:val="00C50BD7"/>
    <w:rsid w:val="00C51149"/>
    <w:rsid w:val="00C5117E"/>
    <w:rsid w:val="00C512D1"/>
    <w:rsid w:val="00C51856"/>
    <w:rsid w:val="00C51B04"/>
    <w:rsid w:val="00C53CE9"/>
    <w:rsid w:val="00C5531B"/>
    <w:rsid w:val="00C55375"/>
    <w:rsid w:val="00C56C98"/>
    <w:rsid w:val="00C56DEE"/>
    <w:rsid w:val="00C56F9E"/>
    <w:rsid w:val="00C57120"/>
    <w:rsid w:val="00C571D5"/>
    <w:rsid w:val="00C575D4"/>
    <w:rsid w:val="00C61223"/>
    <w:rsid w:val="00C61246"/>
    <w:rsid w:val="00C618A8"/>
    <w:rsid w:val="00C61A78"/>
    <w:rsid w:val="00C62B88"/>
    <w:rsid w:val="00C634F9"/>
    <w:rsid w:val="00C643ED"/>
    <w:rsid w:val="00C64534"/>
    <w:rsid w:val="00C64D93"/>
    <w:rsid w:val="00C64F49"/>
    <w:rsid w:val="00C64F71"/>
    <w:rsid w:val="00C65200"/>
    <w:rsid w:val="00C65BD3"/>
    <w:rsid w:val="00C65C91"/>
    <w:rsid w:val="00C665DE"/>
    <w:rsid w:val="00C667C3"/>
    <w:rsid w:val="00C6728B"/>
    <w:rsid w:val="00C71528"/>
    <w:rsid w:val="00C717E4"/>
    <w:rsid w:val="00C7191B"/>
    <w:rsid w:val="00C71F09"/>
    <w:rsid w:val="00C72588"/>
    <w:rsid w:val="00C727B9"/>
    <w:rsid w:val="00C72F44"/>
    <w:rsid w:val="00C73472"/>
    <w:rsid w:val="00C73670"/>
    <w:rsid w:val="00C73721"/>
    <w:rsid w:val="00C737D1"/>
    <w:rsid w:val="00C73DE0"/>
    <w:rsid w:val="00C74609"/>
    <w:rsid w:val="00C749AB"/>
    <w:rsid w:val="00C75A8F"/>
    <w:rsid w:val="00C76C0C"/>
    <w:rsid w:val="00C76FFC"/>
    <w:rsid w:val="00C774E0"/>
    <w:rsid w:val="00C776BA"/>
    <w:rsid w:val="00C7791E"/>
    <w:rsid w:val="00C81716"/>
    <w:rsid w:val="00C832CB"/>
    <w:rsid w:val="00C83E89"/>
    <w:rsid w:val="00C84085"/>
    <w:rsid w:val="00C854A8"/>
    <w:rsid w:val="00C85677"/>
    <w:rsid w:val="00C85E17"/>
    <w:rsid w:val="00C868A7"/>
    <w:rsid w:val="00C86BF7"/>
    <w:rsid w:val="00C87164"/>
    <w:rsid w:val="00C8786A"/>
    <w:rsid w:val="00C87BD0"/>
    <w:rsid w:val="00C90356"/>
    <w:rsid w:val="00C905E5"/>
    <w:rsid w:val="00C90754"/>
    <w:rsid w:val="00C90B95"/>
    <w:rsid w:val="00C90BC4"/>
    <w:rsid w:val="00C90CA9"/>
    <w:rsid w:val="00C91802"/>
    <w:rsid w:val="00C92734"/>
    <w:rsid w:val="00C92E41"/>
    <w:rsid w:val="00C92F62"/>
    <w:rsid w:val="00C93097"/>
    <w:rsid w:val="00C93B40"/>
    <w:rsid w:val="00C93DB5"/>
    <w:rsid w:val="00C94419"/>
    <w:rsid w:val="00C94CB9"/>
    <w:rsid w:val="00C95C2F"/>
    <w:rsid w:val="00C95F87"/>
    <w:rsid w:val="00C968EF"/>
    <w:rsid w:val="00C972CE"/>
    <w:rsid w:val="00C97736"/>
    <w:rsid w:val="00CA0492"/>
    <w:rsid w:val="00CA0632"/>
    <w:rsid w:val="00CA0A04"/>
    <w:rsid w:val="00CA2528"/>
    <w:rsid w:val="00CA3CAB"/>
    <w:rsid w:val="00CA3FC0"/>
    <w:rsid w:val="00CA6A2E"/>
    <w:rsid w:val="00CA7D3E"/>
    <w:rsid w:val="00CB0317"/>
    <w:rsid w:val="00CB0662"/>
    <w:rsid w:val="00CB0A82"/>
    <w:rsid w:val="00CB0F2F"/>
    <w:rsid w:val="00CB1556"/>
    <w:rsid w:val="00CB2913"/>
    <w:rsid w:val="00CB3728"/>
    <w:rsid w:val="00CB3970"/>
    <w:rsid w:val="00CB42B9"/>
    <w:rsid w:val="00CB4F39"/>
    <w:rsid w:val="00CB52A4"/>
    <w:rsid w:val="00CB537C"/>
    <w:rsid w:val="00CB5A26"/>
    <w:rsid w:val="00CB645B"/>
    <w:rsid w:val="00CB6A93"/>
    <w:rsid w:val="00CB77C3"/>
    <w:rsid w:val="00CB7E9C"/>
    <w:rsid w:val="00CC0072"/>
    <w:rsid w:val="00CC0915"/>
    <w:rsid w:val="00CC1AF5"/>
    <w:rsid w:val="00CC1B74"/>
    <w:rsid w:val="00CC291E"/>
    <w:rsid w:val="00CC2D03"/>
    <w:rsid w:val="00CC2EB0"/>
    <w:rsid w:val="00CC3B3A"/>
    <w:rsid w:val="00CC4701"/>
    <w:rsid w:val="00CC56B4"/>
    <w:rsid w:val="00CC5F95"/>
    <w:rsid w:val="00CC642A"/>
    <w:rsid w:val="00CC733D"/>
    <w:rsid w:val="00CC7E97"/>
    <w:rsid w:val="00CD1255"/>
    <w:rsid w:val="00CD1484"/>
    <w:rsid w:val="00CD1892"/>
    <w:rsid w:val="00CD1C01"/>
    <w:rsid w:val="00CD1D00"/>
    <w:rsid w:val="00CD27AC"/>
    <w:rsid w:val="00CD2A82"/>
    <w:rsid w:val="00CD3CAB"/>
    <w:rsid w:val="00CD46A7"/>
    <w:rsid w:val="00CD4E4A"/>
    <w:rsid w:val="00CD4E50"/>
    <w:rsid w:val="00CD57CB"/>
    <w:rsid w:val="00CD64E1"/>
    <w:rsid w:val="00CD699D"/>
    <w:rsid w:val="00CD6BA3"/>
    <w:rsid w:val="00CD70DB"/>
    <w:rsid w:val="00CD7544"/>
    <w:rsid w:val="00CD78D4"/>
    <w:rsid w:val="00CE0697"/>
    <w:rsid w:val="00CE0AD1"/>
    <w:rsid w:val="00CE2E2E"/>
    <w:rsid w:val="00CE3A51"/>
    <w:rsid w:val="00CE41F9"/>
    <w:rsid w:val="00CE59F6"/>
    <w:rsid w:val="00CE66CD"/>
    <w:rsid w:val="00CE6BA9"/>
    <w:rsid w:val="00CE71C3"/>
    <w:rsid w:val="00CF029C"/>
    <w:rsid w:val="00CF0AF0"/>
    <w:rsid w:val="00CF157E"/>
    <w:rsid w:val="00CF1834"/>
    <w:rsid w:val="00CF1AAA"/>
    <w:rsid w:val="00CF1EC2"/>
    <w:rsid w:val="00CF2615"/>
    <w:rsid w:val="00CF2ACF"/>
    <w:rsid w:val="00CF2B75"/>
    <w:rsid w:val="00CF345B"/>
    <w:rsid w:val="00CF475F"/>
    <w:rsid w:val="00CF5008"/>
    <w:rsid w:val="00CF5069"/>
    <w:rsid w:val="00CF5E34"/>
    <w:rsid w:val="00CF6ED2"/>
    <w:rsid w:val="00CF7101"/>
    <w:rsid w:val="00CF7327"/>
    <w:rsid w:val="00CF7385"/>
    <w:rsid w:val="00CF75C6"/>
    <w:rsid w:val="00CF7B77"/>
    <w:rsid w:val="00CF7DF5"/>
    <w:rsid w:val="00D001D2"/>
    <w:rsid w:val="00D02A80"/>
    <w:rsid w:val="00D0352D"/>
    <w:rsid w:val="00D04268"/>
    <w:rsid w:val="00D04F01"/>
    <w:rsid w:val="00D04F8B"/>
    <w:rsid w:val="00D054EF"/>
    <w:rsid w:val="00D05637"/>
    <w:rsid w:val="00D05BA9"/>
    <w:rsid w:val="00D05EB1"/>
    <w:rsid w:val="00D0650B"/>
    <w:rsid w:val="00D06E71"/>
    <w:rsid w:val="00D0714B"/>
    <w:rsid w:val="00D0764E"/>
    <w:rsid w:val="00D07D82"/>
    <w:rsid w:val="00D10327"/>
    <w:rsid w:val="00D103C9"/>
    <w:rsid w:val="00D10BE1"/>
    <w:rsid w:val="00D11FE3"/>
    <w:rsid w:val="00D12530"/>
    <w:rsid w:val="00D12945"/>
    <w:rsid w:val="00D12CC0"/>
    <w:rsid w:val="00D12DA1"/>
    <w:rsid w:val="00D1343A"/>
    <w:rsid w:val="00D13D50"/>
    <w:rsid w:val="00D14101"/>
    <w:rsid w:val="00D14919"/>
    <w:rsid w:val="00D14E25"/>
    <w:rsid w:val="00D15AE3"/>
    <w:rsid w:val="00D160C4"/>
    <w:rsid w:val="00D165D8"/>
    <w:rsid w:val="00D1724E"/>
    <w:rsid w:val="00D17C26"/>
    <w:rsid w:val="00D206F6"/>
    <w:rsid w:val="00D20FD1"/>
    <w:rsid w:val="00D21176"/>
    <w:rsid w:val="00D214D4"/>
    <w:rsid w:val="00D21AAA"/>
    <w:rsid w:val="00D21E6F"/>
    <w:rsid w:val="00D22360"/>
    <w:rsid w:val="00D2371E"/>
    <w:rsid w:val="00D237E0"/>
    <w:rsid w:val="00D23A17"/>
    <w:rsid w:val="00D23E94"/>
    <w:rsid w:val="00D253E0"/>
    <w:rsid w:val="00D25676"/>
    <w:rsid w:val="00D265A7"/>
    <w:rsid w:val="00D2690C"/>
    <w:rsid w:val="00D27129"/>
    <w:rsid w:val="00D279E7"/>
    <w:rsid w:val="00D27F75"/>
    <w:rsid w:val="00D3046D"/>
    <w:rsid w:val="00D30497"/>
    <w:rsid w:val="00D30F5F"/>
    <w:rsid w:val="00D31243"/>
    <w:rsid w:val="00D31353"/>
    <w:rsid w:val="00D31B07"/>
    <w:rsid w:val="00D31B9D"/>
    <w:rsid w:val="00D3272E"/>
    <w:rsid w:val="00D32FA0"/>
    <w:rsid w:val="00D33112"/>
    <w:rsid w:val="00D331CB"/>
    <w:rsid w:val="00D3497A"/>
    <w:rsid w:val="00D36BB8"/>
    <w:rsid w:val="00D37267"/>
    <w:rsid w:val="00D377D4"/>
    <w:rsid w:val="00D37E36"/>
    <w:rsid w:val="00D401A1"/>
    <w:rsid w:val="00D40217"/>
    <w:rsid w:val="00D40385"/>
    <w:rsid w:val="00D404CE"/>
    <w:rsid w:val="00D40E8F"/>
    <w:rsid w:val="00D412BF"/>
    <w:rsid w:val="00D417C6"/>
    <w:rsid w:val="00D42B0C"/>
    <w:rsid w:val="00D42D6E"/>
    <w:rsid w:val="00D43DEF"/>
    <w:rsid w:val="00D44259"/>
    <w:rsid w:val="00D44EA7"/>
    <w:rsid w:val="00D45DDC"/>
    <w:rsid w:val="00D5064C"/>
    <w:rsid w:val="00D50C94"/>
    <w:rsid w:val="00D517ED"/>
    <w:rsid w:val="00D5251C"/>
    <w:rsid w:val="00D52F56"/>
    <w:rsid w:val="00D539DA"/>
    <w:rsid w:val="00D54A50"/>
    <w:rsid w:val="00D54FFD"/>
    <w:rsid w:val="00D5552C"/>
    <w:rsid w:val="00D5556D"/>
    <w:rsid w:val="00D55C81"/>
    <w:rsid w:val="00D5674B"/>
    <w:rsid w:val="00D56B56"/>
    <w:rsid w:val="00D56BF5"/>
    <w:rsid w:val="00D56F99"/>
    <w:rsid w:val="00D5743F"/>
    <w:rsid w:val="00D60270"/>
    <w:rsid w:val="00D605C2"/>
    <w:rsid w:val="00D60733"/>
    <w:rsid w:val="00D61E1D"/>
    <w:rsid w:val="00D629A4"/>
    <w:rsid w:val="00D62AD3"/>
    <w:rsid w:val="00D62BDF"/>
    <w:rsid w:val="00D64F0F"/>
    <w:rsid w:val="00D64F1C"/>
    <w:rsid w:val="00D6570C"/>
    <w:rsid w:val="00D659EA"/>
    <w:rsid w:val="00D65A89"/>
    <w:rsid w:val="00D65E85"/>
    <w:rsid w:val="00D675B0"/>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56E"/>
    <w:rsid w:val="00D753A9"/>
    <w:rsid w:val="00D755F7"/>
    <w:rsid w:val="00D75DDB"/>
    <w:rsid w:val="00D75E4B"/>
    <w:rsid w:val="00D774F4"/>
    <w:rsid w:val="00D77AF6"/>
    <w:rsid w:val="00D804C5"/>
    <w:rsid w:val="00D812DE"/>
    <w:rsid w:val="00D81A28"/>
    <w:rsid w:val="00D82B00"/>
    <w:rsid w:val="00D82B04"/>
    <w:rsid w:val="00D82BE4"/>
    <w:rsid w:val="00D82E05"/>
    <w:rsid w:val="00D82F83"/>
    <w:rsid w:val="00D834F9"/>
    <w:rsid w:val="00D83C0D"/>
    <w:rsid w:val="00D83C80"/>
    <w:rsid w:val="00D8665E"/>
    <w:rsid w:val="00D869C1"/>
    <w:rsid w:val="00D86EC6"/>
    <w:rsid w:val="00D87418"/>
    <w:rsid w:val="00D87A39"/>
    <w:rsid w:val="00D87FE6"/>
    <w:rsid w:val="00D90BC3"/>
    <w:rsid w:val="00D90DB9"/>
    <w:rsid w:val="00D91001"/>
    <w:rsid w:val="00D910FF"/>
    <w:rsid w:val="00D91337"/>
    <w:rsid w:val="00D915C9"/>
    <w:rsid w:val="00D918DA"/>
    <w:rsid w:val="00D9198F"/>
    <w:rsid w:val="00D92078"/>
    <w:rsid w:val="00D92A87"/>
    <w:rsid w:val="00D9384E"/>
    <w:rsid w:val="00D93AEE"/>
    <w:rsid w:val="00D9413E"/>
    <w:rsid w:val="00D94C8D"/>
    <w:rsid w:val="00D95F88"/>
    <w:rsid w:val="00D96698"/>
    <w:rsid w:val="00D96876"/>
    <w:rsid w:val="00D96940"/>
    <w:rsid w:val="00D96B12"/>
    <w:rsid w:val="00D96F59"/>
    <w:rsid w:val="00DA099C"/>
    <w:rsid w:val="00DA0F18"/>
    <w:rsid w:val="00DA2125"/>
    <w:rsid w:val="00DA21EC"/>
    <w:rsid w:val="00DA24DE"/>
    <w:rsid w:val="00DA270C"/>
    <w:rsid w:val="00DA281F"/>
    <w:rsid w:val="00DA341F"/>
    <w:rsid w:val="00DA3D23"/>
    <w:rsid w:val="00DA4A61"/>
    <w:rsid w:val="00DA5AFE"/>
    <w:rsid w:val="00DA61AB"/>
    <w:rsid w:val="00DA61CD"/>
    <w:rsid w:val="00DA6EE2"/>
    <w:rsid w:val="00DA708E"/>
    <w:rsid w:val="00DA78CF"/>
    <w:rsid w:val="00DA78D5"/>
    <w:rsid w:val="00DA7A89"/>
    <w:rsid w:val="00DA7BF4"/>
    <w:rsid w:val="00DA7C5A"/>
    <w:rsid w:val="00DB052F"/>
    <w:rsid w:val="00DB14D3"/>
    <w:rsid w:val="00DB154B"/>
    <w:rsid w:val="00DB196A"/>
    <w:rsid w:val="00DB1BDC"/>
    <w:rsid w:val="00DB26A5"/>
    <w:rsid w:val="00DB3490"/>
    <w:rsid w:val="00DB3593"/>
    <w:rsid w:val="00DB440B"/>
    <w:rsid w:val="00DB4426"/>
    <w:rsid w:val="00DB4B40"/>
    <w:rsid w:val="00DB4F12"/>
    <w:rsid w:val="00DB4F21"/>
    <w:rsid w:val="00DB540C"/>
    <w:rsid w:val="00DB6F96"/>
    <w:rsid w:val="00DB71B9"/>
    <w:rsid w:val="00DC025B"/>
    <w:rsid w:val="00DC1395"/>
    <w:rsid w:val="00DC32FC"/>
    <w:rsid w:val="00DC351F"/>
    <w:rsid w:val="00DC3D89"/>
    <w:rsid w:val="00DC4567"/>
    <w:rsid w:val="00DC46AD"/>
    <w:rsid w:val="00DC4D6C"/>
    <w:rsid w:val="00DC4F47"/>
    <w:rsid w:val="00DC56F6"/>
    <w:rsid w:val="00DC5BD0"/>
    <w:rsid w:val="00DC5BE2"/>
    <w:rsid w:val="00DC628E"/>
    <w:rsid w:val="00DC6747"/>
    <w:rsid w:val="00DC6AF3"/>
    <w:rsid w:val="00DC72F7"/>
    <w:rsid w:val="00DC7608"/>
    <w:rsid w:val="00DC761E"/>
    <w:rsid w:val="00DC7B3B"/>
    <w:rsid w:val="00DC7CFC"/>
    <w:rsid w:val="00DD09F2"/>
    <w:rsid w:val="00DD0DEE"/>
    <w:rsid w:val="00DD1205"/>
    <w:rsid w:val="00DD1633"/>
    <w:rsid w:val="00DD17A0"/>
    <w:rsid w:val="00DD1F71"/>
    <w:rsid w:val="00DD2831"/>
    <w:rsid w:val="00DD2A6D"/>
    <w:rsid w:val="00DD2E17"/>
    <w:rsid w:val="00DD42DE"/>
    <w:rsid w:val="00DD4309"/>
    <w:rsid w:val="00DD4344"/>
    <w:rsid w:val="00DD4FA9"/>
    <w:rsid w:val="00DD525D"/>
    <w:rsid w:val="00DD573B"/>
    <w:rsid w:val="00DD57E7"/>
    <w:rsid w:val="00DD5A1E"/>
    <w:rsid w:val="00DD5B8C"/>
    <w:rsid w:val="00DD5DFA"/>
    <w:rsid w:val="00DD720D"/>
    <w:rsid w:val="00DE0229"/>
    <w:rsid w:val="00DE04E0"/>
    <w:rsid w:val="00DE0C34"/>
    <w:rsid w:val="00DE1A9D"/>
    <w:rsid w:val="00DE1CB1"/>
    <w:rsid w:val="00DE2073"/>
    <w:rsid w:val="00DE2727"/>
    <w:rsid w:val="00DE30AC"/>
    <w:rsid w:val="00DE4106"/>
    <w:rsid w:val="00DE466B"/>
    <w:rsid w:val="00DE48F4"/>
    <w:rsid w:val="00DE5563"/>
    <w:rsid w:val="00DE57C4"/>
    <w:rsid w:val="00DE5D48"/>
    <w:rsid w:val="00DE6E4D"/>
    <w:rsid w:val="00DE7498"/>
    <w:rsid w:val="00DE75EF"/>
    <w:rsid w:val="00DE7611"/>
    <w:rsid w:val="00DF05A0"/>
    <w:rsid w:val="00DF1162"/>
    <w:rsid w:val="00DF1BA8"/>
    <w:rsid w:val="00DF1F63"/>
    <w:rsid w:val="00DF28F2"/>
    <w:rsid w:val="00DF2BFF"/>
    <w:rsid w:val="00DF3798"/>
    <w:rsid w:val="00DF4FF1"/>
    <w:rsid w:val="00DF6DCA"/>
    <w:rsid w:val="00DF6FD2"/>
    <w:rsid w:val="00DF72EF"/>
    <w:rsid w:val="00DF743D"/>
    <w:rsid w:val="00DF7724"/>
    <w:rsid w:val="00E000D8"/>
    <w:rsid w:val="00E003DD"/>
    <w:rsid w:val="00E00C1E"/>
    <w:rsid w:val="00E00F5F"/>
    <w:rsid w:val="00E01377"/>
    <w:rsid w:val="00E014E7"/>
    <w:rsid w:val="00E0232F"/>
    <w:rsid w:val="00E026A9"/>
    <w:rsid w:val="00E0356F"/>
    <w:rsid w:val="00E03B42"/>
    <w:rsid w:val="00E03C10"/>
    <w:rsid w:val="00E0479F"/>
    <w:rsid w:val="00E04816"/>
    <w:rsid w:val="00E04982"/>
    <w:rsid w:val="00E04D6A"/>
    <w:rsid w:val="00E05950"/>
    <w:rsid w:val="00E05CD4"/>
    <w:rsid w:val="00E06100"/>
    <w:rsid w:val="00E0614E"/>
    <w:rsid w:val="00E06E97"/>
    <w:rsid w:val="00E07B8F"/>
    <w:rsid w:val="00E10DD1"/>
    <w:rsid w:val="00E1103B"/>
    <w:rsid w:val="00E1224C"/>
    <w:rsid w:val="00E1254C"/>
    <w:rsid w:val="00E12BDF"/>
    <w:rsid w:val="00E13326"/>
    <w:rsid w:val="00E14356"/>
    <w:rsid w:val="00E14961"/>
    <w:rsid w:val="00E14D76"/>
    <w:rsid w:val="00E15183"/>
    <w:rsid w:val="00E15D6C"/>
    <w:rsid w:val="00E1720B"/>
    <w:rsid w:val="00E203DE"/>
    <w:rsid w:val="00E20CE7"/>
    <w:rsid w:val="00E217B1"/>
    <w:rsid w:val="00E222FA"/>
    <w:rsid w:val="00E229CE"/>
    <w:rsid w:val="00E22B4A"/>
    <w:rsid w:val="00E24A62"/>
    <w:rsid w:val="00E24F52"/>
    <w:rsid w:val="00E25289"/>
    <w:rsid w:val="00E25755"/>
    <w:rsid w:val="00E266DD"/>
    <w:rsid w:val="00E26A38"/>
    <w:rsid w:val="00E26D2E"/>
    <w:rsid w:val="00E279B2"/>
    <w:rsid w:val="00E30255"/>
    <w:rsid w:val="00E3055B"/>
    <w:rsid w:val="00E31699"/>
    <w:rsid w:val="00E31761"/>
    <w:rsid w:val="00E31812"/>
    <w:rsid w:val="00E31889"/>
    <w:rsid w:val="00E31CE7"/>
    <w:rsid w:val="00E333D5"/>
    <w:rsid w:val="00E3394F"/>
    <w:rsid w:val="00E34A2F"/>
    <w:rsid w:val="00E35A45"/>
    <w:rsid w:val="00E35F7F"/>
    <w:rsid w:val="00E36392"/>
    <w:rsid w:val="00E36B32"/>
    <w:rsid w:val="00E37007"/>
    <w:rsid w:val="00E37A6F"/>
    <w:rsid w:val="00E37A9C"/>
    <w:rsid w:val="00E40222"/>
    <w:rsid w:val="00E40406"/>
    <w:rsid w:val="00E4082B"/>
    <w:rsid w:val="00E408EC"/>
    <w:rsid w:val="00E40BCB"/>
    <w:rsid w:val="00E4208F"/>
    <w:rsid w:val="00E42E94"/>
    <w:rsid w:val="00E43006"/>
    <w:rsid w:val="00E4312A"/>
    <w:rsid w:val="00E43551"/>
    <w:rsid w:val="00E437FA"/>
    <w:rsid w:val="00E45A2C"/>
    <w:rsid w:val="00E46A9C"/>
    <w:rsid w:val="00E47DB1"/>
    <w:rsid w:val="00E50BDD"/>
    <w:rsid w:val="00E510CF"/>
    <w:rsid w:val="00E513D7"/>
    <w:rsid w:val="00E5206C"/>
    <w:rsid w:val="00E52AAB"/>
    <w:rsid w:val="00E5448E"/>
    <w:rsid w:val="00E54E0D"/>
    <w:rsid w:val="00E558E5"/>
    <w:rsid w:val="00E56795"/>
    <w:rsid w:val="00E57932"/>
    <w:rsid w:val="00E606C4"/>
    <w:rsid w:val="00E60811"/>
    <w:rsid w:val="00E60AB8"/>
    <w:rsid w:val="00E6185A"/>
    <w:rsid w:val="00E61D32"/>
    <w:rsid w:val="00E63C60"/>
    <w:rsid w:val="00E64050"/>
    <w:rsid w:val="00E6514D"/>
    <w:rsid w:val="00E65161"/>
    <w:rsid w:val="00E652C9"/>
    <w:rsid w:val="00E658CF"/>
    <w:rsid w:val="00E6593B"/>
    <w:rsid w:val="00E672C6"/>
    <w:rsid w:val="00E70192"/>
    <w:rsid w:val="00E70C55"/>
    <w:rsid w:val="00E71809"/>
    <w:rsid w:val="00E71D1E"/>
    <w:rsid w:val="00E728E2"/>
    <w:rsid w:val="00E738FA"/>
    <w:rsid w:val="00E74A2B"/>
    <w:rsid w:val="00E75667"/>
    <w:rsid w:val="00E756D3"/>
    <w:rsid w:val="00E75A5A"/>
    <w:rsid w:val="00E76004"/>
    <w:rsid w:val="00E7608F"/>
    <w:rsid w:val="00E760D7"/>
    <w:rsid w:val="00E769CC"/>
    <w:rsid w:val="00E76AEB"/>
    <w:rsid w:val="00E77341"/>
    <w:rsid w:val="00E7783E"/>
    <w:rsid w:val="00E778B8"/>
    <w:rsid w:val="00E801C7"/>
    <w:rsid w:val="00E80AF8"/>
    <w:rsid w:val="00E80BED"/>
    <w:rsid w:val="00E816E8"/>
    <w:rsid w:val="00E82592"/>
    <w:rsid w:val="00E827BB"/>
    <w:rsid w:val="00E82D24"/>
    <w:rsid w:val="00E8357D"/>
    <w:rsid w:val="00E83C4F"/>
    <w:rsid w:val="00E84212"/>
    <w:rsid w:val="00E8455C"/>
    <w:rsid w:val="00E849C5"/>
    <w:rsid w:val="00E84C04"/>
    <w:rsid w:val="00E84F72"/>
    <w:rsid w:val="00E856A2"/>
    <w:rsid w:val="00E8572B"/>
    <w:rsid w:val="00E8575B"/>
    <w:rsid w:val="00E85929"/>
    <w:rsid w:val="00E85AD2"/>
    <w:rsid w:val="00E87CF7"/>
    <w:rsid w:val="00E900BD"/>
    <w:rsid w:val="00E9036E"/>
    <w:rsid w:val="00E9078A"/>
    <w:rsid w:val="00E90C5C"/>
    <w:rsid w:val="00E912FD"/>
    <w:rsid w:val="00E91B26"/>
    <w:rsid w:val="00E92C6E"/>
    <w:rsid w:val="00E92D0B"/>
    <w:rsid w:val="00E93195"/>
    <w:rsid w:val="00E951D8"/>
    <w:rsid w:val="00E95C2A"/>
    <w:rsid w:val="00E961CB"/>
    <w:rsid w:val="00E963BC"/>
    <w:rsid w:val="00E966A6"/>
    <w:rsid w:val="00E96E91"/>
    <w:rsid w:val="00E97DC6"/>
    <w:rsid w:val="00E97F7A"/>
    <w:rsid w:val="00E97FF5"/>
    <w:rsid w:val="00EA0010"/>
    <w:rsid w:val="00EA0143"/>
    <w:rsid w:val="00EA089B"/>
    <w:rsid w:val="00EA263C"/>
    <w:rsid w:val="00EA2E21"/>
    <w:rsid w:val="00EA2EAA"/>
    <w:rsid w:val="00EA380C"/>
    <w:rsid w:val="00EA7308"/>
    <w:rsid w:val="00EB089C"/>
    <w:rsid w:val="00EB0AA8"/>
    <w:rsid w:val="00EB0C65"/>
    <w:rsid w:val="00EB1624"/>
    <w:rsid w:val="00EB169F"/>
    <w:rsid w:val="00EB2635"/>
    <w:rsid w:val="00EB2961"/>
    <w:rsid w:val="00EB2E1A"/>
    <w:rsid w:val="00EB2F8A"/>
    <w:rsid w:val="00EB3215"/>
    <w:rsid w:val="00EB324F"/>
    <w:rsid w:val="00EB3268"/>
    <w:rsid w:val="00EB3298"/>
    <w:rsid w:val="00EB3939"/>
    <w:rsid w:val="00EB3ABF"/>
    <w:rsid w:val="00EB3CE6"/>
    <w:rsid w:val="00EB3E92"/>
    <w:rsid w:val="00EB54AB"/>
    <w:rsid w:val="00EB6257"/>
    <w:rsid w:val="00EB68E6"/>
    <w:rsid w:val="00EB6B2D"/>
    <w:rsid w:val="00EB71C9"/>
    <w:rsid w:val="00EB7B67"/>
    <w:rsid w:val="00EC07F1"/>
    <w:rsid w:val="00EC1E8A"/>
    <w:rsid w:val="00EC328C"/>
    <w:rsid w:val="00EC3852"/>
    <w:rsid w:val="00EC5241"/>
    <w:rsid w:val="00EC594C"/>
    <w:rsid w:val="00EC5C7B"/>
    <w:rsid w:val="00EC66AA"/>
    <w:rsid w:val="00EC6B8F"/>
    <w:rsid w:val="00EC7154"/>
    <w:rsid w:val="00EC7371"/>
    <w:rsid w:val="00EC73F5"/>
    <w:rsid w:val="00EC7A28"/>
    <w:rsid w:val="00EC7B48"/>
    <w:rsid w:val="00ED0257"/>
    <w:rsid w:val="00ED071B"/>
    <w:rsid w:val="00ED1ADE"/>
    <w:rsid w:val="00ED347D"/>
    <w:rsid w:val="00ED4623"/>
    <w:rsid w:val="00ED4A77"/>
    <w:rsid w:val="00ED52BD"/>
    <w:rsid w:val="00ED5981"/>
    <w:rsid w:val="00ED613A"/>
    <w:rsid w:val="00ED6514"/>
    <w:rsid w:val="00ED66B2"/>
    <w:rsid w:val="00ED71BA"/>
    <w:rsid w:val="00ED71C6"/>
    <w:rsid w:val="00ED73A1"/>
    <w:rsid w:val="00ED75F0"/>
    <w:rsid w:val="00ED7CA2"/>
    <w:rsid w:val="00EE13DA"/>
    <w:rsid w:val="00EE1595"/>
    <w:rsid w:val="00EE1E71"/>
    <w:rsid w:val="00EE2087"/>
    <w:rsid w:val="00EE20C2"/>
    <w:rsid w:val="00EE2A9D"/>
    <w:rsid w:val="00EE3384"/>
    <w:rsid w:val="00EE499F"/>
    <w:rsid w:val="00EE56E2"/>
    <w:rsid w:val="00EE6D45"/>
    <w:rsid w:val="00EE6E01"/>
    <w:rsid w:val="00EE6E89"/>
    <w:rsid w:val="00EF0D4B"/>
    <w:rsid w:val="00EF0FE6"/>
    <w:rsid w:val="00EF1432"/>
    <w:rsid w:val="00EF1511"/>
    <w:rsid w:val="00EF2C39"/>
    <w:rsid w:val="00EF2C5F"/>
    <w:rsid w:val="00EF3AC4"/>
    <w:rsid w:val="00EF3FF9"/>
    <w:rsid w:val="00EF41AF"/>
    <w:rsid w:val="00EF4DB4"/>
    <w:rsid w:val="00EF55E9"/>
    <w:rsid w:val="00EF5B41"/>
    <w:rsid w:val="00EF611C"/>
    <w:rsid w:val="00EF625F"/>
    <w:rsid w:val="00EF71C2"/>
    <w:rsid w:val="00F00630"/>
    <w:rsid w:val="00F00922"/>
    <w:rsid w:val="00F00924"/>
    <w:rsid w:val="00F01BE6"/>
    <w:rsid w:val="00F0217A"/>
    <w:rsid w:val="00F026D3"/>
    <w:rsid w:val="00F027E8"/>
    <w:rsid w:val="00F03395"/>
    <w:rsid w:val="00F034E6"/>
    <w:rsid w:val="00F03E4C"/>
    <w:rsid w:val="00F06340"/>
    <w:rsid w:val="00F0665D"/>
    <w:rsid w:val="00F06D42"/>
    <w:rsid w:val="00F07134"/>
    <w:rsid w:val="00F0724D"/>
    <w:rsid w:val="00F07378"/>
    <w:rsid w:val="00F10B81"/>
    <w:rsid w:val="00F113C9"/>
    <w:rsid w:val="00F11C01"/>
    <w:rsid w:val="00F11D80"/>
    <w:rsid w:val="00F14B4B"/>
    <w:rsid w:val="00F14CD1"/>
    <w:rsid w:val="00F15115"/>
    <w:rsid w:val="00F15A85"/>
    <w:rsid w:val="00F15C81"/>
    <w:rsid w:val="00F15D8C"/>
    <w:rsid w:val="00F15F18"/>
    <w:rsid w:val="00F16B86"/>
    <w:rsid w:val="00F16E1A"/>
    <w:rsid w:val="00F16F92"/>
    <w:rsid w:val="00F17C3E"/>
    <w:rsid w:val="00F20022"/>
    <w:rsid w:val="00F20197"/>
    <w:rsid w:val="00F20369"/>
    <w:rsid w:val="00F20607"/>
    <w:rsid w:val="00F208BB"/>
    <w:rsid w:val="00F213D8"/>
    <w:rsid w:val="00F21A5D"/>
    <w:rsid w:val="00F21C13"/>
    <w:rsid w:val="00F22362"/>
    <w:rsid w:val="00F22796"/>
    <w:rsid w:val="00F2363A"/>
    <w:rsid w:val="00F238F7"/>
    <w:rsid w:val="00F23BA0"/>
    <w:rsid w:val="00F2420C"/>
    <w:rsid w:val="00F254C4"/>
    <w:rsid w:val="00F25641"/>
    <w:rsid w:val="00F256D8"/>
    <w:rsid w:val="00F25824"/>
    <w:rsid w:val="00F26065"/>
    <w:rsid w:val="00F266E3"/>
    <w:rsid w:val="00F2689C"/>
    <w:rsid w:val="00F27E44"/>
    <w:rsid w:val="00F30313"/>
    <w:rsid w:val="00F303BC"/>
    <w:rsid w:val="00F30472"/>
    <w:rsid w:val="00F318A1"/>
    <w:rsid w:val="00F31CF5"/>
    <w:rsid w:val="00F3265C"/>
    <w:rsid w:val="00F33262"/>
    <w:rsid w:val="00F343EE"/>
    <w:rsid w:val="00F353F4"/>
    <w:rsid w:val="00F35494"/>
    <w:rsid w:val="00F35607"/>
    <w:rsid w:val="00F35DBA"/>
    <w:rsid w:val="00F3619D"/>
    <w:rsid w:val="00F365FB"/>
    <w:rsid w:val="00F36907"/>
    <w:rsid w:val="00F3722A"/>
    <w:rsid w:val="00F372C7"/>
    <w:rsid w:val="00F37366"/>
    <w:rsid w:val="00F37C99"/>
    <w:rsid w:val="00F37FCC"/>
    <w:rsid w:val="00F419B8"/>
    <w:rsid w:val="00F41C0F"/>
    <w:rsid w:val="00F42856"/>
    <w:rsid w:val="00F43777"/>
    <w:rsid w:val="00F4477D"/>
    <w:rsid w:val="00F4482B"/>
    <w:rsid w:val="00F44F02"/>
    <w:rsid w:val="00F4526B"/>
    <w:rsid w:val="00F45298"/>
    <w:rsid w:val="00F45F64"/>
    <w:rsid w:val="00F462DF"/>
    <w:rsid w:val="00F4662D"/>
    <w:rsid w:val="00F467BA"/>
    <w:rsid w:val="00F4689E"/>
    <w:rsid w:val="00F468AC"/>
    <w:rsid w:val="00F4696F"/>
    <w:rsid w:val="00F46A5F"/>
    <w:rsid w:val="00F47316"/>
    <w:rsid w:val="00F47507"/>
    <w:rsid w:val="00F47A01"/>
    <w:rsid w:val="00F47CEE"/>
    <w:rsid w:val="00F5052D"/>
    <w:rsid w:val="00F51A82"/>
    <w:rsid w:val="00F51B78"/>
    <w:rsid w:val="00F521CE"/>
    <w:rsid w:val="00F5254B"/>
    <w:rsid w:val="00F53073"/>
    <w:rsid w:val="00F53A44"/>
    <w:rsid w:val="00F54E5E"/>
    <w:rsid w:val="00F551DB"/>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302"/>
    <w:rsid w:val="00F67738"/>
    <w:rsid w:val="00F67B58"/>
    <w:rsid w:val="00F67E81"/>
    <w:rsid w:val="00F7044B"/>
    <w:rsid w:val="00F71342"/>
    <w:rsid w:val="00F71C68"/>
    <w:rsid w:val="00F724E2"/>
    <w:rsid w:val="00F72E17"/>
    <w:rsid w:val="00F74103"/>
    <w:rsid w:val="00F745A4"/>
    <w:rsid w:val="00F74C0C"/>
    <w:rsid w:val="00F75BB5"/>
    <w:rsid w:val="00F75FD5"/>
    <w:rsid w:val="00F7604C"/>
    <w:rsid w:val="00F773A9"/>
    <w:rsid w:val="00F805B7"/>
    <w:rsid w:val="00F810C1"/>
    <w:rsid w:val="00F81623"/>
    <w:rsid w:val="00F81D25"/>
    <w:rsid w:val="00F82928"/>
    <w:rsid w:val="00F829B9"/>
    <w:rsid w:val="00F83045"/>
    <w:rsid w:val="00F83615"/>
    <w:rsid w:val="00F8421D"/>
    <w:rsid w:val="00F85329"/>
    <w:rsid w:val="00F85683"/>
    <w:rsid w:val="00F85841"/>
    <w:rsid w:val="00F86079"/>
    <w:rsid w:val="00F86149"/>
    <w:rsid w:val="00F87282"/>
    <w:rsid w:val="00F8730F"/>
    <w:rsid w:val="00F878CD"/>
    <w:rsid w:val="00F87905"/>
    <w:rsid w:val="00F87A66"/>
    <w:rsid w:val="00F9062C"/>
    <w:rsid w:val="00F90C1F"/>
    <w:rsid w:val="00F91A44"/>
    <w:rsid w:val="00F9217B"/>
    <w:rsid w:val="00F9295A"/>
    <w:rsid w:val="00F95170"/>
    <w:rsid w:val="00F97A34"/>
    <w:rsid w:val="00F97E4A"/>
    <w:rsid w:val="00F97EA1"/>
    <w:rsid w:val="00FA05C8"/>
    <w:rsid w:val="00FA0678"/>
    <w:rsid w:val="00FA0DB6"/>
    <w:rsid w:val="00FA23F7"/>
    <w:rsid w:val="00FA2583"/>
    <w:rsid w:val="00FA27EB"/>
    <w:rsid w:val="00FA3EBC"/>
    <w:rsid w:val="00FA423C"/>
    <w:rsid w:val="00FA44D0"/>
    <w:rsid w:val="00FA4590"/>
    <w:rsid w:val="00FA55A2"/>
    <w:rsid w:val="00FA672F"/>
    <w:rsid w:val="00FA7792"/>
    <w:rsid w:val="00FA7AA8"/>
    <w:rsid w:val="00FA7F1D"/>
    <w:rsid w:val="00FB0D60"/>
    <w:rsid w:val="00FB2BF5"/>
    <w:rsid w:val="00FB2F8E"/>
    <w:rsid w:val="00FB30C3"/>
    <w:rsid w:val="00FB39B0"/>
    <w:rsid w:val="00FB5138"/>
    <w:rsid w:val="00FB5A71"/>
    <w:rsid w:val="00FB7823"/>
    <w:rsid w:val="00FC05B2"/>
    <w:rsid w:val="00FC08B3"/>
    <w:rsid w:val="00FC09D7"/>
    <w:rsid w:val="00FC0ABE"/>
    <w:rsid w:val="00FC22D0"/>
    <w:rsid w:val="00FC38D4"/>
    <w:rsid w:val="00FC391E"/>
    <w:rsid w:val="00FC3BB7"/>
    <w:rsid w:val="00FC4345"/>
    <w:rsid w:val="00FC444A"/>
    <w:rsid w:val="00FC453D"/>
    <w:rsid w:val="00FC4A89"/>
    <w:rsid w:val="00FC619B"/>
    <w:rsid w:val="00FC665F"/>
    <w:rsid w:val="00FC69E8"/>
    <w:rsid w:val="00FC6D59"/>
    <w:rsid w:val="00FC78F5"/>
    <w:rsid w:val="00FC7AD2"/>
    <w:rsid w:val="00FD10B3"/>
    <w:rsid w:val="00FD11C3"/>
    <w:rsid w:val="00FD154E"/>
    <w:rsid w:val="00FD24D7"/>
    <w:rsid w:val="00FD29CE"/>
    <w:rsid w:val="00FD3AE2"/>
    <w:rsid w:val="00FD3E41"/>
    <w:rsid w:val="00FD3EFA"/>
    <w:rsid w:val="00FD4F43"/>
    <w:rsid w:val="00FD5AE4"/>
    <w:rsid w:val="00FD5F25"/>
    <w:rsid w:val="00FD60BE"/>
    <w:rsid w:val="00FD6894"/>
    <w:rsid w:val="00FD6AF0"/>
    <w:rsid w:val="00FD704D"/>
    <w:rsid w:val="00FD73F7"/>
    <w:rsid w:val="00FD74EF"/>
    <w:rsid w:val="00FD79B8"/>
    <w:rsid w:val="00FD79F6"/>
    <w:rsid w:val="00FD7DB9"/>
    <w:rsid w:val="00FE0AD1"/>
    <w:rsid w:val="00FE1852"/>
    <w:rsid w:val="00FE1C60"/>
    <w:rsid w:val="00FE33DB"/>
    <w:rsid w:val="00FE33F5"/>
    <w:rsid w:val="00FE37DD"/>
    <w:rsid w:val="00FE3ACF"/>
    <w:rsid w:val="00FE3C31"/>
    <w:rsid w:val="00FE4015"/>
    <w:rsid w:val="00FE44F5"/>
    <w:rsid w:val="00FE4783"/>
    <w:rsid w:val="00FE480D"/>
    <w:rsid w:val="00FE4ACC"/>
    <w:rsid w:val="00FE713E"/>
    <w:rsid w:val="00FE7DD1"/>
    <w:rsid w:val="00FF07AC"/>
    <w:rsid w:val="00FF0B4F"/>
    <w:rsid w:val="00FF0F58"/>
    <w:rsid w:val="00FF1A06"/>
    <w:rsid w:val="00FF1AD3"/>
    <w:rsid w:val="00FF1B46"/>
    <w:rsid w:val="00FF219D"/>
    <w:rsid w:val="00FF2A7B"/>
    <w:rsid w:val="00FF3D2B"/>
    <w:rsid w:val="00FF3F41"/>
    <w:rsid w:val="00FF49B4"/>
    <w:rsid w:val="00FF49F4"/>
    <w:rsid w:val="00FF5C6A"/>
    <w:rsid w:val="00FF651D"/>
    <w:rsid w:val="00FF6843"/>
    <w:rsid w:val="01036F7F"/>
    <w:rsid w:val="010651D9"/>
    <w:rsid w:val="03DD35E4"/>
    <w:rsid w:val="04105B92"/>
    <w:rsid w:val="065A6178"/>
    <w:rsid w:val="06D7830A"/>
    <w:rsid w:val="0A3E0929"/>
    <w:rsid w:val="0A5B7E63"/>
    <w:rsid w:val="0C611F32"/>
    <w:rsid w:val="0C7F530F"/>
    <w:rsid w:val="0C826AD6"/>
    <w:rsid w:val="0C87121B"/>
    <w:rsid w:val="0DF702FE"/>
    <w:rsid w:val="0E447679"/>
    <w:rsid w:val="0F816ACD"/>
    <w:rsid w:val="10FC16EA"/>
    <w:rsid w:val="118963A1"/>
    <w:rsid w:val="127723A9"/>
    <w:rsid w:val="13072A44"/>
    <w:rsid w:val="143B5E73"/>
    <w:rsid w:val="16A836BA"/>
    <w:rsid w:val="1822266C"/>
    <w:rsid w:val="19FF57B7"/>
    <w:rsid w:val="1B2A271F"/>
    <w:rsid w:val="1B552A9F"/>
    <w:rsid w:val="1D196939"/>
    <w:rsid w:val="1D266CE1"/>
    <w:rsid w:val="1D3963AF"/>
    <w:rsid w:val="1E073F8C"/>
    <w:rsid w:val="1E714A66"/>
    <w:rsid w:val="1FE868A9"/>
    <w:rsid w:val="208D2B14"/>
    <w:rsid w:val="262B6609"/>
    <w:rsid w:val="28292E3F"/>
    <w:rsid w:val="2DD15014"/>
    <w:rsid w:val="2FD25781"/>
    <w:rsid w:val="319C6071"/>
    <w:rsid w:val="342E63AB"/>
    <w:rsid w:val="365302AE"/>
    <w:rsid w:val="391D3632"/>
    <w:rsid w:val="3AE57152"/>
    <w:rsid w:val="3B2B5B53"/>
    <w:rsid w:val="3C5F759A"/>
    <w:rsid w:val="3E065491"/>
    <w:rsid w:val="3EE12643"/>
    <w:rsid w:val="40CC62E5"/>
    <w:rsid w:val="419F44F0"/>
    <w:rsid w:val="42E1381E"/>
    <w:rsid w:val="49AB6DDF"/>
    <w:rsid w:val="4E096C2A"/>
    <w:rsid w:val="4F4F4CC6"/>
    <w:rsid w:val="50F42D3D"/>
    <w:rsid w:val="51A0432A"/>
    <w:rsid w:val="51EB7B91"/>
    <w:rsid w:val="527B6B77"/>
    <w:rsid w:val="52A96B6F"/>
    <w:rsid w:val="550764A4"/>
    <w:rsid w:val="58AE4F0C"/>
    <w:rsid w:val="5A2A7C7B"/>
    <w:rsid w:val="5ACC2B68"/>
    <w:rsid w:val="5C80234E"/>
    <w:rsid w:val="5DBDC2C2"/>
    <w:rsid w:val="5E261785"/>
    <w:rsid w:val="5E7A13A4"/>
    <w:rsid w:val="5FCC5339"/>
    <w:rsid w:val="5FF71C1F"/>
    <w:rsid w:val="61054A27"/>
    <w:rsid w:val="611D2366"/>
    <w:rsid w:val="62885958"/>
    <w:rsid w:val="64B06627"/>
    <w:rsid w:val="64CE2EAA"/>
    <w:rsid w:val="662E75B1"/>
    <w:rsid w:val="66342C2E"/>
    <w:rsid w:val="663E784C"/>
    <w:rsid w:val="66DC6FC9"/>
    <w:rsid w:val="681D4A09"/>
    <w:rsid w:val="6E8E12EF"/>
    <w:rsid w:val="71D43752"/>
    <w:rsid w:val="736A4B49"/>
    <w:rsid w:val="740B2300"/>
    <w:rsid w:val="749C4185"/>
    <w:rsid w:val="75DA2C18"/>
    <w:rsid w:val="75E80E0F"/>
    <w:rsid w:val="7A67303B"/>
    <w:rsid w:val="7AAB1D04"/>
    <w:rsid w:val="7ABA4368"/>
    <w:rsid w:val="7B257FFD"/>
    <w:rsid w:val="BDBD2C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77"/>
    <w:qFormat/>
    <w:uiPriority w:val="9"/>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162"/>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8">
    <w:name w:val="heading 5"/>
    <w:basedOn w:val="1"/>
    <w:next w:val="1"/>
    <w:link w:val="237"/>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284"/>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0">
    <w:name w:val="heading 7"/>
    <w:basedOn w:val="1"/>
    <w:next w:val="1"/>
    <w:link w:val="226"/>
    <w:qFormat/>
    <w:uiPriority w:val="9"/>
    <w:pPr>
      <w:keepNext/>
      <w:keepLines/>
      <w:numPr>
        <w:ilvl w:val="6"/>
        <w:numId w:val="1"/>
      </w:numPr>
      <w:spacing w:before="240" w:after="64" w:line="320" w:lineRule="auto"/>
      <w:outlineLvl w:val="6"/>
    </w:pPr>
    <w:rPr>
      <w:b/>
      <w:bCs/>
      <w:sz w:val="24"/>
    </w:rPr>
  </w:style>
  <w:style w:type="paragraph" w:styleId="11">
    <w:name w:val="heading 8"/>
    <w:basedOn w:val="1"/>
    <w:next w:val="1"/>
    <w:link w:val="335"/>
    <w:qFormat/>
    <w:uiPriority w:val="9"/>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1"/>
    <w:link w:val="310"/>
    <w:qFormat/>
    <w:uiPriority w:val="9"/>
    <w:pPr>
      <w:keepNext/>
      <w:keepLines/>
      <w:numPr>
        <w:ilvl w:val="8"/>
        <w:numId w:val="1"/>
      </w:numPr>
      <w:spacing w:before="240" w:after="64" w:line="320" w:lineRule="auto"/>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customStyle="1" w:styleId="2">
    <w:name w:val="首行缩进"/>
    <w:basedOn w:val="1"/>
    <w:next w:val="1"/>
    <w:qFormat/>
    <w:uiPriority w:val="0"/>
    <w:pPr>
      <w:spacing w:line="360" w:lineRule="auto"/>
      <w:ind w:firstLine="480" w:firstLineChars="200"/>
    </w:pPr>
    <w:rPr>
      <w:rFonts w:ascii="宋体"/>
      <w:sz w:val="24"/>
      <w:szCs w:val="20"/>
    </w:rPr>
  </w:style>
  <w:style w:type="paragraph" w:styleId="3">
    <w:name w:val="macro"/>
    <w:link w:val="258"/>
    <w:qFormat/>
    <w:uiPriority w:val="0"/>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jc w:val="both"/>
      <w:textAlignment w:val="baseline"/>
    </w:pPr>
    <w:rPr>
      <w:rFonts w:ascii="Times New Roman" w:hAnsi="Times New Roman" w:eastAsia="Times New Roman" w:cs="Times New Roman"/>
      <w:lang w:val="en-US" w:eastAsia="zh-CN" w:bidi="ar-SA"/>
    </w:rPr>
  </w:style>
  <w:style w:type="paragraph" w:styleId="13">
    <w:name w:val="toc 7"/>
    <w:basedOn w:val="1"/>
    <w:next w:val="1"/>
    <w:qFormat/>
    <w:uiPriority w:val="39"/>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178"/>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9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402"/>
    <w:qFormat/>
    <w:uiPriority w:val="0"/>
    <w:pPr>
      <w:shd w:val="clear" w:color="auto" w:fill="000080"/>
    </w:pPr>
  </w:style>
  <w:style w:type="paragraph" w:styleId="21">
    <w:name w:val="annotation text"/>
    <w:basedOn w:val="1"/>
    <w:link w:val="268"/>
    <w:qFormat/>
    <w:uiPriority w:val="99"/>
    <w:pPr>
      <w:jc w:val="left"/>
    </w:pPr>
  </w:style>
  <w:style w:type="paragraph" w:styleId="22">
    <w:name w:val="Salutation"/>
    <w:basedOn w:val="1"/>
    <w:next w:val="1"/>
    <w:link w:val="367"/>
    <w:qFormat/>
    <w:uiPriority w:val="0"/>
    <w:rPr>
      <w:rFonts w:ascii="仿宋_GB2312" w:eastAsia="仿宋_GB2312"/>
      <w:sz w:val="28"/>
      <w:szCs w:val="20"/>
    </w:rPr>
  </w:style>
  <w:style w:type="paragraph" w:styleId="23">
    <w:name w:val="Body Text 3"/>
    <w:basedOn w:val="1"/>
    <w:link w:val="230"/>
    <w:qFormat/>
    <w:uiPriority w:val="0"/>
    <w:pPr>
      <w:jc w:val="center"/>
    </w:pPr>
    <w:rPr>
      <w:szCs w:val="20"/>
    </w:rPr>
  </w:style>
  <w:style w:type="paragraph" w:styleId="24">
    <w:name w:val="List Bullet 3"/>
    <w:basedOn w:val="1"/>
    <w:unhideWhenUsed/>
    <w:qFormat/>
    <w:uiPriority w:val="0"/>
    <w:pPr>
      <w:numPr>
        <w:ilvl w:val="0"/>
        <w:numId w:val="4"/>
      </w:numPr>
      <w:snapToGrid w:val="0"/>
      <w:spacing w:line="360" w:lineRule="auto"/>
      <w:ind w:right="238"/>
      <w:contextualSpacing/>
    </w:pPr>
    <w:rPr>
      <w:sz w:val="24"/>
    </w:rPr>
  </w:style>
  <w:style w:type="paragraph" w:styleId="25">
    <w:name w:val="Body Text"/>
    <w:basedOn w:val="1"/>
    <w:link w:val="436"/>
    <w:autoRedefine/>
    <w:qFormat/>
    <w:uiPriority w:val="99"/>
    <w:pPr>
      <w:autoSpaceDE w:val="0"/>
      <w:autoSpaceDN w:val="0"/>
      <w:spacing w:line="360" w:lineRule="auto"/>
    </w:pPr>
    <w:rPr>
      <w:rFonts w:ascii="宋体" w:hAnsi="Arial" w:cs="Arial"/>
      <w:snapToGrid w:val="0"/>
      <w:sz w:val="24"/>
      <w:szCs w:val="21"/>
      <w:lang w:val="zh-CN"/>
    </w:rPr>
  </w:style>
  <w:style w:type="paragraph" w:styleId="26">
    <w:name w:val="Body Text Indent"/>
    <w:basedOn w:val="1"/>
    <w:link w:val="131"/>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0"/>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39"/>
    <w:pPr>
      <w:ind w:left="1680" w:leftChars="800"/>
    </w:pPr>
  </w:style>
  <w:style w:type="paragraph" w:styleId="33">
    <w:name w:val="toc 3"/>
    <w:basedOn w:val="1"/>
    <w:next w:val="1"/>
    <w:qFormat/>
    <w:uiPriority w:val="39"/>
    <w:pPr>
      <w:tabs>
        <w:tab w:val="right" w:leader="dot" w:pos="8268"/>
      </w:tabs>
      <w:spacing w:line="460" w:lineRule="exact"/>
      <w:ind w:left="840" w:leftChars="400" w:firstLine="482"/>
    </w:pPr>
    <w:rPr>
      <w:rFonts w:ascii="宋体" w:hAnsi="宋体"/>
    </w:rPr>
  </w:style>
  <w:style w:type="paragraph" w:styleId="34">
    <w:name w:val="Plain Text"/>
    <w:basedOn w:val="1"/>
    <w:link w:val="301"/>
    <w:autoRedefine/>
    <w:qFormat/>
    <w:uiPriority w:val="0"/>
    <w:rPr>
      <w:rFonts w:ascii="宋体" w:hAnsi="Courier New" w:cs="Arial"/>
      <w:snapToGrid w:val="0"/>
      <w:szCs w:val="21"/>
    </w:rPr>
  </w:style>
  <w:style w:type="paragraph" w:styleId="35">
    <w:name w:val="List Number 4"/>
    <w:basedOn w:val="1"/>
    <w:autoRedefine/>
    <w:qFormat/>
    <w:uiPriority w:val="0"/>
    <w:pPr>
      <w:numPr>
        <w:ilvl w:val="0"/>
        <w:numId w:val="5"/>
      </w:numPr>
      <w:autoSpaceDE w:val="0"/>
      <w:autoSpaceDN w:val="0"/>
      <w:spacing w:line="360" w:lineRule="atLeast"/>
    </w:pPr>
    <w:rPr>
      <w:kern w:val="0"/>
      <w:sz w:val="24"/>
    </w:rPr>
  </w:style>
  <w:style w:type="paragraph" w:styleId="36">
    <w:name w:val="toc 8"/>
    <w:basedOn w:val="1"/>
    <w:next w:val="1"/>
    <w:qFormat/>
    <w:uiPriority w:val="39"/>
    <w:pPr>
      <w:ind w:left="2940" w:leftChars="1400"/>
    </w:pPr>
  </w:style>
  <w:style w:type="paragraph" w:styleId="37">
    <w:name w:val="Date"/>
    <w:basedOn w:val="1"/>
    <w:next w:val="1"/>
    <w:link w:val="346"/>
    <w:autoRedefine/>
    <w:qFormat/>
    <w:uiPriority w:val="0"/>
    <w:pPr>
      <w:ind w:left="100" w:leftChars="2500"/>
    </w:pPr>
    <w:rPr>
      <w:rFonts w:ascii="宋体"/>
      <w:sz w:val="24"/>
      <w:szCs w:val="21"/>
      <w:lang w:val="zh-CN"/>
    </w:rPr>
  </w:style>
  <w:style w:type="paragraph" w:styleId="38">
    <w:name w:val="Body Text Indent 2"/>
    <w:basedOn w:val="1"/>
    <w:link w:val="395"/>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153"/>
    <w:qFormat/>
    <w:uiPriority w:val="0"/>
    <w:pPr>
      <w:adjustRightInd/>
      <w:snapToGrid w:val="0"/>
      <w:jc w:val="left"/>
    </w:pPr>
    <w:rPr>
      <w:lang w:val="zh-CN"/>
    </w:rPr>
  </w:style>
  <w:style w:type="paragraph" w:styleId="40">
    <w:name w:val="Balloon Text"/>
    <w:basedOn w:val="1"/>
    <w:link w:val="203"/>
    <w:autoRedefine/>
    <w:qFormat/>
    <w:uiPriority w:val="99"/>
    <w:rPr>
      <w:sz w:val="18"/>
      <w:szCs w:val="18"/>
    </w:rPr>
  </w:style>
  <w:style w:type="paragraph" w:styleId="41">
    <w:name w:val="footer"/>
    <w:basedOn w:val="1"/>
    <w:link w:val="319"/>
    <w:autoRedefine/>
    <w:qFormat/>
    <w:uiPriority w:val="99"/>
    <w:pPr>
      <w:tabs>
        <w:tab w:val="center" w:pos="4153"/>
        <w:tab w:val="right" w:pos="8306"/>
      </w:tabs>
      <w:snapToGrid w:val="0"/>
      <w:jc w:val="left"/>
    </w:pPr>
    <w:rPr>
      <w:sz w:val="18"/>
      <w:szCs w:val="18"/>
    </w:rPr>
  </w:style>
  <w:style w:type="paragraph" w:styleId="42">
    <w:name w:val="header"/>
    <w:basedOn w:val="1"/>
    <w:link w:val="115"/>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269"/>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39"/>
  </w:style>
  <w:style w:type="paragraph" w:styleId="45">
    <w:name w:val="toc 4"/>
    <w:basedOn w:val="1"/>
    <w:next w:val="1"/>
    <w:autoRedefine/>
    <w:qFormat/>
    <w:uiPriority w:val="39"/>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34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7"/>
    <w:link w:val="139"/>
    <w:autoRedefine/>
    <w:qFormat/>
    <w:uiPriority w:val="0"/>
    <w:pPr>
      <w:adjustRightInd/>
      <w:snapToGrid/>
      <w:spacing w:before="60" w:after="60" w:line="300" w:lineRule="exact"/>
      <w:ind w:firstLine="0"/>
    </w:pPr>
    <w:rPr>
      <w:rFonts w:ascii="Times New Roman"/>
      <w:snapToGrid/>
      <w:color w:val="0000FF"/>
      <w:kern w:val="0"/>
      <w:sz w:val="21"/>
    </w:rPr>
  </w:style>
  <w:style w:type="paragraph" w:styleId="52">
    <w:name w:val="toc 6"/>
    <w:basedOn w:val="1"/>
    <w:next w:val="1"/>
    <w:autoRedefine/>
    <w:qFormat/>
    <w:uiPriority w:val="39"/>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94"/>
    <w:autoRedefine/>
    <w:qFormat/>
    <w:uiPriority w:val="0"/>
    <w:pPr>
      <w:spacing w:line="360" w:lineRule="auto"/>
      <w:ind w:firstLine="420"/>
    </w:pPr>
    <w:rPr>
      <w:sz w:val="24"/>
      <w:szCs w:val="20"/>
    </w:rPr>
  </w:style>
  <w:style w:type="paragraph" w:styleId="55">
    <w:name w:val="toc 2"/>
    <w:basedOn w:val="1"/>
    <w:next w:val="1"/>
    <w:autoRedefine/>
    <w:qFormat/>
    <w:uiPriority w:val="39"/>
    <w:pPr>
      <w:ind w:left="420" w:leftChars="200"/>
    </w:pPr>
  </w:style>
  <w:style w:type="paragraph" w:styleId="56">
    <w:name w:val="toc 9"/>
    <w:basedOn w:val="1"/>
    <w:next w:val="1"/>
    <w:qFormat/>
    <w:uiPriority w:val="39"/>
    <w:pPr>
      <w:ind w:left="3360" w:leftChars="1600"/>
    </w:pPr>
  </w:style>
  <w:style w:type="paragraph" w:styleId="57">
    <w:name w:val="Body Text 2"/>
    <w:basedOn w:val="1"/>
    <w:link w:val="110"/>
    <w:autoRedefine/>
    <w:qFormat/>
    <w:uiPriority w:val="0"/>
    <w:pPr>
      <w:spacing w:after="120" w:line="480" w:lineRule="auto"/>
    </w:pPr>
  </w:style>
  <w:style w:type="paragraph" w:styleId="58">
    <w:name w:val="HTML Preformatted"/>
    <w:basedOn w:val="1"/>
    <w:link w:val="15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link w:val="438"/>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427"/>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358"/>
    <w:autoRedefine/>
    <w:qFormat/>
    <w:uiPriority w:val="99"/>
    <w:rPr>
      <w:b/>
      <w:bCs/>
    </w:rPr>
  </w:style>
  <w:style w:type="paragraph" w:styleId="62">
    <w:name w:val="Body Text First Indent"/>
    <w:basedOn w:val="25"/>
    <w:link w:val="240"/>
    <w:autoRedefine/>
    <w:qFormat/>
    <w:uiPriority w:val="0"/>
    <w:pPr>
      <w:ind w:firstLine="420"/>
    </w:pPr>
    <w:rPr>
      <w:rFonts w:hAnsi="Times New Roman" w:cs="Times New Roman"/>
      <w:snapToGrid/>
      <w:szCs w:val="20"/>
    </w:rPr>
  </w:style>
  <w:style w:type="paragraph" w:styleId="63">
    <w:name w:val="Body Text First Indent 2"/>
    <w:basedOn w:val="26"/>
    <w:link w:val="101"/>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0"/>
    <w:rPr>
      <w:b/>
      <w:bCs/>
    </w:rPr>
  </w:style>
  <w:style w:type="character" w:styleId="73">
    <w:name w:val="page number"/>
    <w:basedOn w:val="71"/>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qFormat/>
    <w:uiPriority w:val="0"/>
    <w:rPr>
      <w:color w:val="CC0033"/>
    </w:rPr>
  </w:style>
  <w:style w:type="character" w:styleId="76">
    <w:name w:val="line number"/>
    <w:basedOn w:val="71"/>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apple-converted-space"/>
    <w:autoRedefine/>
    <w:qFormat/>
    <w:uiPriority w:val="0"/>
  </w:style>
  <w:style w:type="character" w:customStyle="1" w:styleId="81">
    <w:name w:val="h Char Char"/>
    <w:qFormat/>
    <w:uiPriority w:val="0"/>
    <w:rPr>
      <w:rFonts w:eastAsia="宋体"/>
      <w:kern w:val="2"/>
      <w:sz w:val="18"/>
      <w:lang w:val="en-US" w:eastAsia="zh-CN" w:bidi="ar-SA"/>
    </w:rPr>
  </w:style>
  <w:style w:type="character" w:customStyle="1" w:styleId="82">
    <w:name w:val="标题 Char"/>
    <w:autoRedefine/>
    <w:qFormat/>
    <w:uiPriority w:val="0"/>
    <w:rPr>
      <w:rFonts w:eastAsia="宋体"/>
      <w:b/>
      <w:sz w:val="24"/>
      <w:lang w:val="en-GB" w:eastAsia="zh-CN" w:bidi="ar-SA"/>
    </w:rPr>
  </w:style>
  <w:style w:type="character" w:customStyle="1" w:styleId="83">
    <w:name w:val="页眉 Char1"/>
    <w:qFormat/>
    <w:uiPriority w:val="0"/>
    <w:rPr>
      <w:rFonts w:eastAsia="宋体"/>
      <w:kern w:val="2"/>
      <w:sz w:val="18"/>
      <w:szCs w:val="18"/>
      <w:lang w:val="en-US" w:eastAsia="zh-CN" w:bidi="ar-SA"/>
    </w:rPr>
  </w:style>
  <w:style w:type="character" w:customStyle="1" w:styleId="84">
    <w:name w:val="Char Char41"/>
    <w:qFormat/>
    <w:uiPriority w:val="0"/>
    <w:rPr>
      <w:rFonts w:eastAsia="宋体"/>
      <w:b/>
      <w:sz w:val="24"/>
      <w:lang w:val="en-GB" w:eastAsia="zh-CN" w:bidi="ar-SA"/>
    </w:rPr>
  </w:style>
  <w:style w:type="character" w:customStyle="1" w:styleId="85">
    <w:name w:val="正文文本 3 Char1"/>
    <w:semiHidden/>
    <w:qFormat/>
    <w:uiPriority w:val="99"/>
    <w:rPr>
      <w:rFonts w:ascii="Times New Roman" w:hAnsi="Times New Roman" w:eastAsia="宋体" w:cs="Times New Roman"/>
      <w:sz w:val="16"/>
      <w:szCs w:val="16"/>
    </w:rPr>
  </w:style>
  <w:style w:type="character" w:customStyle="1" w:styleId="86">
    <w:name w:val="明显参考1"/>
    <w:autoRedefine/>
    <w:qFormat/>
    <w:uiPriority w:val="32"/>
    <w:rPr>
      <w:rFonts w:ascii="Arial" w:hAnsi="Arial" w:eastAsia="黑体"/>
      <w:b/>
      <w:bCs/>
      <w:smallCaps/>
      <w:snapToGrid w:val="0"/>
      <w:color w:val="5B9BD5"/>
      <w:spacing w:val="5"/>
      <w:kern w:val="0"/>
      <w:sz w:val="20"/>
      <w:szCs w:val="21"/>
      <w:lang w:val="en-US" w:eastAsia="zh-CN"/>
    </w:rPr>
  </w:style>
  <w:style w:type="character" w:customStyle="1" w:styleId="8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88">
    <w:name w:val="Char Char62"/>
    <w:qFormat/>
    <w:uiPriority w:val="0"/>
    <w:rPr>
      <w:rFonts w:eastAsia="宋体"/>
      <w:kern w:val="2"/>
      <w:sz w:val="21"/>
      <w:szCs w:val="24"/>
      <w:lang w:val="en-US" w:eastAsia="zh-CN" w:bidi="ar-SA"/>
    </w:rPr>
  </w:style>
  <w:style w:type="character" w:customStyle="1" w:styleId="89">
    <w:name w:val="unnamed11"/>
    <w:qFormat/>
    <w:uiPriority w:val="0"/>
    <w:rPr>
      <w:sz w:val="20"/>
      <w:szCs w:val="20"/>
    </w:rPr>
  </w:style>
  <w:style w:type="character" w:customStyle="1" w:styleId="90">
    <w:name w:val="Char Char71"/>
    <w:autoRedefine/>
    <w:semiHidden/>
    <w:qFormat/>
    <w:uiPriority w:val="0"/>
    <w:rPr>
      <w:rFonts w:eastAsia="宋体"/>
      <w:kern w:val="2"/>
      <w:sz w:val="21"/>
      <w:szCs w:val="24"/>
      <w:lang w:val="en-US" w:eastAsia="zh-CN" w:bidi="ar-SA"/>
    </w:rPr>
  </w:style>
  <w:style w:type="character" w:customStyle="1" w:styleId="91">
    <w:name w:val="Comment Text Char"/>
    <w:autoRedefine/>
    <w:qFormat/>
    <w:locked/>
    <w:uiPriority w:val="0"/>
    <w:rPr>
      <w:rFonts w:ascii="宋体" w:hAnsi="宋体" w:eastAsia="宋体"/>
      <w:kern w:val="2"/>
      <w:sz w:val="24"/>
      <w:lang w:val="en-US" w:eastAsia="zh-CN" w:bidi="ar-SA"/>
    </w:rPr>
  </w:style>
  <w:style w:type="character" w:customStyle="1" w:styleId="92">
    <w:name w:val="tw4winMark"/>
    <w:qFormat/>
    <w:uiPriority w:val="0"/>
    <w:rPr>
      <w:rFonts w:ascii="Courier New" w:hAnsi="Courier New" w:cs="Courier New"/>
      <w:vanish/>
      <w:color w:val="800080"/>
      <w:sz w:val="24"/>
      <w:szCs w:val="24"/>
      <w:vertAlign w:val="subscript"/>
    </w:rPr>
  </w:style>
  <w:style w:type="character" w:customStyle="1" w:styleId="93">
    <w:name w:val="Char Char8"/>
    <w:autoRedefine/>
    <w:qFormat/>
    <w:uiPriority w:val="0"/>
    <w:rPr>
      <w:rFonts w:eastAsia="宋体"/>
      <w:b/>
      <w:sz w:val="24"/>
      <w:lang w:val="en-GB" w:eastAsia="zh-CN"/>
    </w:rPr>
  </w:style>
  <w:style w:type="character" w:customStyle="1" w:styleId="94">
    <w:name w:val="正文1 Char1"/>
    <w:autoRedefine/>
    <w:qFormat/>
    <w:uiPriority w:val="0"/>
    <w:rPr>
      <w:rFonts w:ascii="仿宋_GB2312" w:hAnsi="Courier New" w:eastAsia="仿宋_GB2312"/>
      <w:kern w:val="28"/>
      <w:sz w:val="24"/>
      <w:szCs w:val="24"/>
      <w:lang w:val="en-US" w:eastAsia="zh-CN"/>
    </w:rPr>
  </w:style>
  <w:style w:type="character" w:customStyle="1" w:styleId="95">
    <w:name w:val="页眉 Char"/>
    <w:autoRedefine/>
    <w:qFormat/>
    <w:uiPriority w:val="99"/>
    <w:rPr>
      <w:rFonts w:eastAsia="仿宋_GB2312"/>
      <w:kern w:val="2"/>
      <w:sz w:val="18"/>
      <w:lang w:val="en-US" w:eastAsia="zh-CN"/>
    </w:rPr>
  </w:style>
  <w:style w:type="character" w:customStyle="1" w:styleId="96">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97">
    <w:name w:val="style36"/>
    <w:basedOn w:val="71"/>
    <w:autoRedefine/>
    <w:qFormat/>
    <w:uiPriority w:val="0"/>
    <w:rPr>
      <w:rFonts w:ascii="Arial" w:hAnsi="Arial" w:eastAsia="黑体" w:cs="Arial"/>
      <w:snapToGrid w:val="0"/>
      <w:kern w:val="0"/>
      <w:szCs w:val="21"/>
    </w:rPr>
  </w:style>
  <w:style w:type="character" w:customStyle="1" w:styleId="98">
    <w:name w:val="题注 字符1"/>
    <w:link w:val="18"/>
    <w:autoRedefine/>
    <w:qFormat/>
    <w:uiPriority w:val="0"/>
    <w:rPr>
      <w:b/>
      <w:kern w:val="2"/>
      <w:sz w:val="28"/>
    </w:rPr>
  </w:style>
  <w:style w:type="character" w:customStyle="1" w:styleId="99">
    <w:name w:val="正文文本 2 Char"/>
    <w:qFormat/>
    <w:uiPriority w:val="0"/>
    <w:rPr>
      <w:rFonts w:eastAsia="宋体"/>
      <w:kern w:val="2"/>
      <w:sz w:val="21"/>
      <w:szCs w:val="24"/>
      <w:lang w:val="en-US" w:eastAsia="zh-CN" w:bidi="ar-SA"/>
    </w:rPr>
  </w:style>
  <w:style w:type="character" w:customStyle="1" w:styleId="100">
    <w:name w:val="font41"/>
    <w:autoRedefine/>
    <w:qFormat/>
    <w:uiPriority w:val="0"/>
    <w:rPr>
      <w:rFonts w:hint="eastAsia" w:ascii="仿宋_GB2312" w:eastAsia="仿宋_GB2312" w:cs="仿宋_GB2312"/>
      <w:color w:val="000000"/>
      <w:sz w:val="22"/>
      <w:szCs w:val="22"/>
      <w:u w:val="none"/>
    </w:rPr>
  </w:style>
  <w:style w:type="character" w:customStyle="1" w:styleId="101">
    <w:name w:val="正文文本首行缩进 2 字符"/>
    <w:link w:val="63"/>
    <w:autoRedefine/>
    <w:qFormat/>
    <w:uiPriority w:val="0"/>
    <w:rPr>
      <w:rFonts w:ascii="宋体" w:hAnsi="宋体"/>
      <w:kern w:val="2"/>
      <w:sz w:val="21"/>
      <w:szCs w:val="24"/>
    </w:rPr>
  </w:style>
  <w:style w:type="character" w:customStyle="1" w:styleId="102">
    <w:name w:val="标题 6 字符"/>
    <w:qFormat/>
    <w:uiPriority w:val="0"/>
    <w:rPr>
      <w:rFonts w:ascii="Arial" w:hAnsi="Arial" w:eastAsia="黑体" w:cs="Times New Roman"/>
      <w:b/>
      <w:kern w:val="2"/>
      <w:sz w:val="24"/>
    </w:rPr>
  </w:style>
  <w:style w:type="character" w:customStyle="1" w:styleId="103">
    <w:name w:val="批注文字 字符"/>
    <w:autoRedefine/>
    <w:qFormat/>
    <w:uiPriority w:val="99"/>
    <w:rPr>
      <w:rFonts w:ascii="Arial" w:hAnsi="Arial" w:eastAsia="黑体" w:cs="Arial"/>
      <w:snapToGrid w:val="0"/>
      <w:kern w:val="0"/>
      <w:szCs w:val="21"/>
    </w:rPr>
  </w:style>
  <w:style w:type="character" w:customStyle="1" w:styleId="104">
    <w:name w:val="h4 Char"/>
    <w:autoRedefine/>
    <w:qFormat/>
    <w:uiPriority w:val="0"/>
    <w:rPr>
      <w:rFonts w:ascii="Arial" w:hAnsi="Arial" w:eastAsia="黑体"/>
      <w:b/>
      <w:bCs/>
      <w:kern w:val="2"/>
      <w:sz w:val="28"/>
      <w:szCs w:val="28"/>
      <w:lang w:val="zh-CN" w:eastAsia="zh-CN" w:bidi="ar-SA"/>
    </w:rPr>
  </w:style>
  <w:style w:type="character" w:customStyle="1" w:styleId="105">
    <w:name w:val="中等深浅网格 1 - 强调文字颜色 2 Char"/>
    <w:link w:val="106"/>
    <w:qFormat/>
    <w:uiPriority w:val="0"/>
    <w:rPr>
      <w:rFonts w:eastAsia="楷体_GB2312" w:cs="Lucida Sans"/>
      <w:kern w:val="2"/>
      <w:sz w:val="24"/>
      <w:szCs w:val="24"/>
    </w:rPr>
  </w:style>
  <w:style w:type="paragraph" w:customStyle="1" w:styleId="106">
    <w:name w:val="中等深浅网格 1 - 强调文字颜色 22"/>
    <w:basedOn w:val="1"/>
    <w:link w:val="105"/>
    <w:autoRedefine/>
    <w:qFormat/>
    <w:uiPriority w:val="0"/>
    <w:pPr>
      <w:adjustRightInd/>
      <w:spacing w:line="360" w:lineRule="auto"/>
      <w:ind w:firstLine="200" w:firstLineChars="200"/>
    </w:pPr>
    <w:rPr>
      <w:rFonts w:eastAsia="楷体_GB2312"/>
      <w:sz w:val="24"/>
    </w:rPr>
  </w:style>
  <w:style w:type="character" w:customStyle="1" w:styleId="107">
    <w:name w:val="普通文字 Char1"/>
    <w:qFormat/>
    <w:uiPriority w:val="0"/>
    <w:rPr>
      <w:rFonts w:ascii="宋体" w:hAnsi="Courier New" w:eastAsia="宋体"/>
      <w:kern w:val="2"/>
      <w:sz w:val="21"/>
      <w:lang w:val="en-US" w:eastAsia="zh-CN"/>
    </w:rPr>
  </w:style>
  <w:style w:type="character" w:customStyle="1" w:styleId="108">
    <w:name w:val="正文首行缩进 Char Char Char Char Char Char"/>
    <w:autoRedefine/>
    <w:qFormat/>
    <w:uiPriority w:val="0"/>
    <w:rPr>
      <w:rFonts w:ascii="宋体" w:eastAsia="宋体"/>
      <w:kern w:val="2"/>
      <w:sz w:val="24"/>
      <w:lang w:val="zh-CN" w:bidi="ar-SA"/>
    </w:rPr>
  </w:style>
  <w:style w:type="character" w:customStyle="1" w:styleId="109">
    <w:name w:val="正文首行缩进 2 字符"/>
    <w:autoRedefine/>
    <w:qFormat/>
    <w:uiPriority w:val="0"/>
    <w:rPr>
      <w:rFonts w:ascii="宋体" w:hAnsi="宋体"/>
      <w:kern w:val="2"/>
      <w:sz w:val="21"/>
      <w:szCs w:val="24"/>
    </w:rPr>
  </w:style>
  <w:style w:type="character" w:customStyle="1" w:styleId="110">
    <w:name w:val="正文文本 2 字符"/>
    <w:link w:val="57"/>
    <w:autoRedefine/>
    <w:qFormat/>
    <w:uiPriority w:val="0"/>
    <w:rPr>
      <w:kern w:val="2"/>
      <w:sz w:val="21"/>
      <w:szCs w:val="24"/>
    </w:rPr>
  </w:style>
  <w:style w:type="character" w:customStyle="1" w:styleId="111">
    <w:name w:val="PI Char1"/>
    <w:autoRedefine/>
    <w:qFormat/>
    <w:uiPriority w:val="0"/>
    <w:rPr>
      <w:rFonts w:ascii="宋体" w:hAnsi="宋体"/>
      <w:kern w:val="2"/>
      <w:sz w:val="24"/>
      <w:szCs w:val="24"/>
    </w:rPr>
  </w:style>
  <w:style w:type="character" w:customStyle="1" w:styleId="112">
    <w:name w:val="文本正文 Char Char"/>
    <w:qFormat/>
    <w:locked/>
    <w:uiPriority w:val="0"/>
    <w:rPr>
      <w:sz w:val="24"/>
      <w:lang w:bidi="ar-SA"/>
    </w:rPr>
  </w:style>
  <w:style w:type="character" w:customStyle="1" w:styleId="113">
    <w:name w:val="批注框文本 Char1"/>
    <w:semiHidden/>
    <w:qFormat/>
    <w:uiPriority w:val="99"/>
    <w:rPr>
      <w:rFonts w:ascii="Times New Roman" w:hAnsi="Times New Roman" w:eastAsia="宋体" w:cs="Times New Roman"/>
      <w:sz w:val="18"/>
      <w:szCs w:val="18"/>
    </w:rPr>
  </w:style>
  <w:style w:type="character" w:customStyle="1" w:styleId="114">
    <w:name w:val="普通文字 Char Char1"/>
    <w:autoRedefine/>
    <w:qFormat/>
    <w:uiPriority w:val="0"/>
    <w:rPr>
      <w:rFonts w:ascii="宋体" w:hAnsi="Courier New"/>
      <w:kern w:val="2"/>
      <w:sz w:val="21"/>
    </w:rPr>
  </w:style>
  <w:style w:type="character" w:customStyle="1" w:styleId="115">
    <w:name w:val="页眉 字符1"/>
    <w:link w:val="42"/>
    <w:autoRedefine/>
    <w:qFormat/>
    <w:uiPriority w:val="99"/>
    <w:rPr>
      <w:kern w:val="2"/>
      <w:sz w:val="18"/>
      <w:szCs w:val="18"/>
    </w:rPr>
  </w:style>
  <w:style w:type="character" w:customStyle="1" w:styleId="116">
    <w:name w:val="页脚 Char1"/>
    <w:qFormat/>
    <w:uiPriority w:val="0"/>
    <w:rPr>
      <w:rFonts w:eastAsia="宋体"/>
      <w:kern w:val="2"/>
      <w:sz w:val="18"/>
      <w:szCs w:val="18"/>
      <w:lang w:val="en-US" w:eastAsia="zh-CN" w:bidi="ar-SA"/>
    </w:rPr>
  </w:style>
  <w:style w:type="character" w:customStyle="1" w:styleId="117">
    <w:name w:val="Normal Indent Char Char"/>
    <w:qFormat/>
    <w:uiPriority w:val="0"/>
    <w:rPr>
      <w:rFonts w:eastAsia="宋体"/>
      <w:kern w:val="2"/>
      <w:sz w:val="21"/>
      <w:lang w:val="en-US" w:eastAsia="zh-CN" w:bidi="ar-SA"/>
    </w:rPr>
  </w:style>
  <w:style w:type="character" w:customStyle="1" w:styleId="118">
    <w:name w:val="副标题 Char2"/>
    <w:qFormat/>
    <w:uiPriority w:val="0"/>
    <w:rPr>
      <w:rFonts w:ascii="Cambria" w:hAnsi="Cambria" w:eastAsia="宋体" w:cs="Times New Roman"/>
      <w:b/>
      <w:bCs/>
      <w:snapToGrid w:val="0"/>
      <w:kern w:val="28"/>
      <w:sz w:val="32"/>
      <w:szCs w:val="32"/>
    </w:rPr>
  </w:style>
  <w:style w:type="character" w:customStyle="1" w:styleId="119">
    <w:name w:val="2级标题 Char"/>
    <w:link w:val="120"/>
    <w:qFormat/>
    <w:uiPriority w:val="0"/>
    <w:rPr>
      <w:rFonts w:ascii="黑体" w:hAnsi="黑体" w:eastAsia="黑体"/>
      <w:sz w:val="32"/>
      <w:szCs w:val="36"/>
      <w:lang w:eastAsia="en-US" w:bidi="en-US"/>
    </w:rPr>
  </w:style>
  <w:style w:type="paragraph" w:customStyle="1" w:styleId="120">
    <w:name w:val="2级标题"/>
    <w:basedOn w:val="121"/>
    <w:link w:val="119"/>
    <w:autoRedefine/>
    <w:qFormat/>
    <w:uiPriority w:val="0"/>
    <w:pPr>
      <w:keepLines/>
      <w:adjustRightInd/>
      <w:spacing w:before="240" w:after="120"/>
      <w:ind w:firstLine="0" w:firstLineChars="0"/>
      <w:contextualSpacing/>
      <w:jc w:val="left"/>
      <w:outlineLvl w:val="1"/>
    </w:pPr>
    <w:rPr>
      <w:rFonts w:ascii="黑体" w:hAnsi="黑体" w:eastAsia="黑体" w:cs="Times New Roman"/>
      <w:kern w:val="0"/>
      <w:sz w:val="32"/>
      <w:szCs w:val="36"/>
      <w:lang w:eastAsia="en-US" w:bidi="en-US"/>
    </w:rPr>
  </w:style>
  <w:style w:type="paragraph" w:styleId="121">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122">
    <w:name w:val="Char Char3"/>
    <w:qFormat/>
    <w:uiPriority w:val="0"/>
    <w:rPr>
      <w:rFonts w:ascii="Times New Roman" w:hAnsi="Times New Roman" w:eastAsia="宋体" w:cs="Times New Roman"/>
      <w:b/>
      <w:kern w:val="2"/>
      <w:sz w:val="32"/>
      <w:szCs w:val="24"/>
      <w:lang w:val="en-US" w:eastAsia="zh-CN" w:bidi="ar-SA"/>
    </w:rPr>
  </w:style>
  <w:style w:type="character" w:customStyle="1" w:styleId="123">
    <w:name w:val="正文2 Char Char"/>
    <w:link w:val="124"/>
    <w:autoRedefine/>
    <w:qFormat/>
    <w:uiPriority w:val="0"/>
    <w:rPr>
      <w:rFonts w:eastAsia="宋体"/>
      <w:kern w:val="2"/>
      <w:sz w:val="24"/>
      <w:lang w:val="en-US" w:eastAsia="zh-CN" w:bidi="ar-SA"/>
    </w:rPr>
  </w:style>
  <w:style w:type="paragraph" w:customStyle="1" w:styleId="124">
    <w:name w:val="正文2"/>
    <w:basedOn w:val="1"/>
    <w:link w:val="123"/>
    <w:autoRedefine/>
    <w:qFormat/>
    <w:uiPriority w:val="0"/>
    <w:pPr>
      <w:spacing w:before="156" w:line="360" w:lineRule="auto"/>
      <w:ind w:firstLine="510" w:firstLineChars="200"/>
    </w:pPr>
    <w:rPr>
      <w:sz w:val="24"/>
      <w:szCs w:val="20"/>
    </w:rPr>
  </w:style>
  <w:style w:type="character" w:customStyle="1" w:styleId="125">
    <w:name w:val="font21"/>
    <w:qFormat/>
    <w:uiPriority w:val="0"/>
    <w:rPr>
      <w:rFonts w:hint="eastAsia" w:ascii="宋体" w:hAnsi="宋体" w:eastAsia="宋体"/>
      <w:kern w:val="2"/>
      <w:sz w:val="28"/>
      <w:szCs w:val="28"/>
      <w:lang w:val="en-US" w:eastAsia="zh-CN" w:bidi="ar-SA"/>
    </w:rPr>
  </w:style>
  <w:style w:type="character" w:customStyle="1" w:styleId="126">
    <w:name w:val="Char Char24"/>
    <w:autoRedefine/>
    <w:qFormat/>
    <w:uiPriority w:val="6"/>
    <w:rPr>
      <w:kern w:val="1"/>
      <w:sz w:val="21"/>
    </w:rPr>
  </w:style>
  <w:style w:type="character" w:customStyle="1" w:styleId="127">
    <w:name w:val="h3 Char"/>
    <w:autoRedefine/>
    <w:qFormat/>
    <w:uiPriority w:val="0"/>
    <w:rPr>
      <w:rFonts w:eastAsia="宋体"/>
      <w:b/>
      <w:kern w:val="2"/>
      <w:sz w:val="32"/>
      <w:lang w:val="en-US" w:eastAsia="zh-CN" w:bidi="ar-SA"/>
    </w:rPr>
  </w:style>
  <w:style w:type="character" w:customStyle="1" w:styleId="128">
    <w:name w:val="正文首行缩进 Char Char Char Char Char Char1"/>
    <w:autoRedefine/>
    <w:qFormat/>
    <w:uiPriority w:val="0"/>
    <w:rPr>
      <w:rFonts w:ascii="宋体" w:eastAsia="宋体"/>
      <w:kern w:val="2"/>
      <w:sz w:val="24"/>
      <w:szCs w:val="24"/>
      <w:lang w:val="zh-CN" w:bidi="ar-SA"/>
    </w:rPr>
  </w:style>
  <w:style w:type="character" w:customStyle="1" w:styleId="129">
    <w:name w:val="Heading 2 Hidden Char"/>
    <w:autoRedefine/>
    <w:qFormat/>
    <w:uiPriority w:val="0"/>
    <w:rPr>
      <w:rFonts w:ascii="仿宋_GB2312" w:eastAsia="仿宋_GB2312"/>
      <w:b/>
      <w:bCs/>
      <w:kern w:val="2"/>
      <w:sz w:val="24"/>
      <w:szCs w:val="24"/>
      <w:lang w:val="zh-CN" w:eastAsia="zh-CN" w:bidi="ar-SA"/>
    </w:rPr>
  </w:style>
  <w:style w:type="character" w:customStyle="1" w:styleId="130">
    <w:name w:val="正文首行缩进 Char1"/>
    <w:autoRedefine/>
    <w:semiHidden/>
    <w:qFormat/>
    <w:uiPriority w:val="99"/>
    <w:rPr>
      <w:rFonts w:ascii="宋体" w:hAnsi="Times New Roman" w:eastAsia="宋体" w:cs="Times New Roman"/>
      <w:snapToGrid w:val="0"/>
      <w:kern w:val="2"/>
      <w:sz w:val="24"/>
      <w:szCs w:val="21"/>
      <w:lang w:val="zh-CN"/>
    </w:rPr>
  </w:style>
  <w:style w:type="character" w:customStyle="1" w:styleId="131">
    <w:name w:val="正文文本缩进 字符1"/>
    <w:link w:val="26"/>
    <w:autoRedefine/>
    <w:qFormat/>
    <w:uiPriority w:val="0"/>
    <w:rPr>
      <w:rFonts w:ascii="宋体" w:hAnsi="宋体"/>
      <w:kern w:val="2"/>
      <w:sz w:val="24"/>
      <w:szCs w:val="24"/>
    </w:rPr>
  </w:style>
  <w:style w:type="character" w:customStyle="1" w:styleId="132">
    <w:name w:val="Char Char101"/>
    <w:autoRedefine/>
    <w:qFormat/>
    <w:uiPriority w:val="6"/>
    <w:rPr>
      <w:rFonts w:ascii="宋体" w:hAnsi="宋体"/>
      <w:kern w:val="2"/>
      <w:sz w:val="21"/>
      <w:szCs w:val="24"/>
      <w:lang w:val="en-US" w:eastAsia="zh-CN"/>
    </w:rPr>
  </w:style>
  <w:style w:type="character" w:customStyle="1" w:styleId="133">
    <w:name w:val="标题 4 Char1"/>
    <w:qFormat/>
    <w:uiPriority w:val="9"/>
    <w:rPr>
      <w:rFonts w:ascii="Cambria" w:hAnsi="Cambria" w:eastAsia="宋体" w:cs="Times New Roman"/>
      <w:b/>
      <w:bCs/>
      <w:kern w:val="2"/>
      <w:sz w:val="28"/>
      <w:szCs w:val="28"/>
    </w:rPr>
  </w:style>
  <w:style w:type="character" w:customStyle="1" w:styleId="134">
    <w:name w:val="样式3 Char"/>
    <w:basedOn w:val="135"/>
    <w:autoRedefine/>
    <w:qFormat/>
    <w:uiPriority w:val="0"/>
    <w:rPr>
      <w:rFonts w:ascii="仿宋_GB2312" w:hAnsi="仿宋" w:eastAsia="仿宋_GB2312" w:cs="仿宋_GB2312"/>
      <w:sz w:val="32"/>
      <w:szCs w:val="30"/>
      <w:lang w:val="zh-CN"/>
    </w:rPr>
  </w:style>
  <w:style w:type="character" w:customStyle="1" w:styleId="135">
    <w:name w:val="样式2 Char"/>
    <w:autoRedefine/>
    <w:qFormat/>
    <w:uiPriority w:val="0"/>
    <w:rPr>
      <w:rFonts w:ascii="仿宋_GB2312" w:hAnsi="仿宋" w:eastAsia="仿宋_GB2312" w:cs="仿宋_GB2312"/>
      <w:b/>
      <w:bCs/>
      <w:sz w:val="32"/>
      <w:szCs w:val="30"/>
      <w:lang w:val="zh-CN"/>
    </w:rPr>
  </w:style>
  <w:style w:type="character" w:customStyle="1" w:styleId="136">
    <w:name w:val="tw4winExternal"/>
    <w:qFormat/>
    <w:uiPriority w:val="0"/>
    <w:rPr>
      <w:rFonts w:ascii="Courier New" w:hAnsi="Courier New" w:cs="Courier New"/>
      <w:color w:val="808080"/>
      <w:lang w:val="en-US" w:eastAsia="zh-CN"/>
    </w:rPr>
  </w:style>
  <w:style w:type="character" w:customStyle="1" w:styleId="137">
    <w:name w:val="Char Char91"/>
    <w:qFormat/>
    <w:uiPriority w:val="0"/>
    <w:rPr>
      <w:rFonts w:eastAsia="宋体"/>
      <w:kern w:val="2"/>
      <w:sz w:val="18"/>
      <w:szCs w:val="18"/>
      <w:lang w:val="en-US" w:eastAsia="zh-CN" w:bidi="ar-SA"/>
    </w:rPr>
  </w:style>
  <w:style w:type="character" w:customStyle="1" w:styleId="138">
    <w:name w:val="正文 项目 Char"/>
    <w:autoRedefine/>
    <w:qFormat/>
    <w:uiPriority w:val="0"/>
    <w:rPr>
      <w:rFonts w:ascii="仿宋_GB2312" w:hAnsi="仿宋_GB2312" w:eastAsia="仿宋_GB2312"/>
      <w:kern w:val="2"/>
      <w:sz w:val="24"/>
      <w:lang w:bidi="ar-SA"/>
    </w:rPr>
  </w:style>
  <w:style w:type="character" w:customStyle="1" w:styleId="139">
    <w:name w:val="脚注文本 字符1"/>
    <w:link w:val="51"/>
    <w:qFormat/>
    <w:uiPriority w:val="0"/>
    <w:rPr>
      <w:color w:val="0000FF"/>
      <w:sz w:val="21"/>
    </w:rPr>
  </w:style>
  <w:style w:type="character" w:customStyle="1" w:styleId="140">
    <w:name w:val="列出段落 Char1"/>
    <w:link w:val="141"/>
    <w:autoRedefine/>
    <w:qFormat/>
    <w:uiPriority w:val="0"/>
    <w:rPr>
      <w:rFonts w:ascii="Calibri" w:hAnsi="Calibri"/>
      <w:sz w:val="24"/>
      <w:lang w:eastAsia="en-US"/>
    </w:rPr>
  </w:style>
  <w:style w:type="paragraph" w:customStyle="1" w:styleId="141">
    <w:name w:val="列表1"/>
    <w:basedOn w:val="1"/>
    <w:next w:val="121"/>
    <w:link w:val="140"/>
    <w:qFormat/>
    <w:uiPriority w:val="0"/>
    <w:pPr>
      <w:widowControl/>
      <w:adjustRightInd/>
      <w:spacing w:after="200" w:line="360" w:lineRule="auto"/>
      <w:ind w:left="720" w:firstLine="200" w:firstLineChars="200"/>
      <w:jc w:val="left"/>
    </w:pPr>
    <w:rPr>
      <w:rFonts w:ascii="Calibri" w:hAnsi="Calibri"/>
      <w:kern w:val="0"/>
      <w:sz w:val="24"/>
      <w:szCs w:val="20"/>
      <w:lang w:eastAsia="en-US"/>
    </w:rPr>
  </w:style>
  <w:style w:type="character" w:customStyle="1" w:styleId="142">
    <w:name w:val="正文 项目2 Char"/>
    <w:basedOn w:val="138"/>
    <w:autoRedefine/>
    <w:qFormat/>
    <w:uiPriority w:val="0"/>
    <w:rPr>
      <w:rFonts w:ascii="仿宋_GB2312" w:hAnsi="仿宋_GB2312" w:eastAsia="仿宋_GB2312"/>
      <w:kern w:val="2"/>
      <w:sz w:val="24"/>
      <w:lang w:bidi="ar-SA"/>
    </w:rPr>
  </w:style>
  <w:style w:type="character" w:customStyle="1" w:styleId="143">
    <w:name w:val="hei16b1"/>
    <w:autoRedefine/>
    <w:qFormat/>
    <w:uiPriority w:val="0"/>
    <w:rPr>
      <w:rFonts w:hint="default" w:ascii="Arial" w:hAnsi="Arial" w:cs="Arial"/>
      <w:b/>
      <w:bCs/>
      <w:color w:val="000000"/>
      <w:sz w:val="24"/>
      <w:szCs w:val="24"/>
    </w:rPr>
  </w:style>
  <w:style w:type="character" w:customStyle="1" w:styleId="144">
    <w:name w:val="Char Char42"/>
    <w:qFormat/>
    <w:uiPriority w:val="0"/>
    <w:rPr>
      <w:rFonts w:eastAsia="宋体"/>
      <w:b/>
      <w:sz w:val="24"/>
      <w:lang w:val="en-GB" w:eastAsia="zh-CN" w:bidi="ar-SA"/>
    </w:rPr>
  </w:style>
  <w:style w:type="character" w:customStyle="1" w:styleId="145">
    <w:name w:val="标题 5 字符"/>
    <w:autoRedefine/>
    <w:qFormat/>
    <w:uiPriority w:val="0"/>
    <w:rPr>
      <w:rFonts w:ascii="Times New Roman" w:hAnsi="Times New Roman" w:cs="Times New Roman"/>
      <w:b/>
      <w:kern w:val="2"/>
      <w:sz w:val="28"/>
    </w:rPr>
  </w:style>
  <w:style w:type="character" w:customStyle="1" w:styleId="146">
    <w:name w:val="font71"/>
    <w:autoRedefine/>
    <w:qFormat/>
    <w:uiPriority w:val="0"/>
    <w:rPr>
      <w:rFonts w:hint="eastAsia" w:ascii="仿宋_GB2312" w:hAnsi="Arial" w:eastAsia="仿宋_GB2312" w:cs="仿宋_GB2312"/>
      <w:snapToGrid w:val="0"/>
      <w:color w:val="FF0000"/>
      <w:kern w:val="0"/>
      <w:sz w:val="24"/>
      <w:szCs w:val="24"/>
      <w:u w:val="none"/>
      <w:lang w:val="en-US" w:eastAsia="zh-CN"/>
    </w:rPr>
  </w:style>
  <w:style w:type="character" w:customStyle="1" w:styleId="147">
    <w:name w:val="链接"/>
    <w:uiPriority w:val="0"/>
    <w:rPr>
      <w:color w:val="0000FF"/>
      <w:sz w:val="21"/>
      <w:szCs w:val="21"/>
      <w:u w:val="single"/>
    </w:rPr>
  </w:style>
  <w:style w:type="character" w:customStyle="1" w:styleId="148">
    <w:name w:val="正文缩进 Char3"/>
    <w:qFormat/>
    <w:uiPriority w:val="0"/>
    <w:rPr>
      <w:rFonts w:ascii="宋体" w:eastAsia="宋体"/>
      <w:snapToGrid w:val="0"/>
      <w:color w:val="000000"/>
      <w:kern w:val="28"/>
      <w:sz w:val="28"/>
      <w:lang w:val="en-US" w:eastAsia="zh-CN" w:bidi="ar-SA"/>
    </w:rPr>
  </w:style>
  <w:style w:type="character" w:customStyle="1" w:styleId="149">
    <w:name w:val="表正文 Char"/>
    <w:qFormat/>
    <w:uiPriority w:val="0"/>
    <w:rPr>
      <w:rFonts w:ascii="宋体" w:eastAsia="宋体"/>
      <w:snapToGrid w:val="0"/>
      <w:color w:val="000000"/>
      <w:kern w:val="28"/>
      <w:sz w:val="28"/>
      <w:lang w:val="en-US" w:eastAsia="zh-CN" w:bidi="ar-SA"/>
    </w:rPr>
  </w:style>
  <w:style w:type="character" w:customStyle="1" w:styleId="150">
    <w:name w:val="txt"/>
    <w:qFormat/>
    <w:uiPriority w:val="0"/>
    <w:rPr>
      <w:rFonts w:ascii="仿宋_GB2312" w:eastAsia="微软雅黑"/>
      <w:b/>
      <w:kern w:val="2"/>
      <w:sz w:val="32"/>
      <w:szCs w:val="32"/>
      <w:lang w:val="en-US" w:eastAsia="zh-CN" w:bidi="ar-SA"/>
    </w:rPr>
  </w:style>
  <w:style w:type="character" w:customStyle="1" w:styleId="151">
    <w:name w:val="首行缩进 Char"/>
    <w:qFormat/>
    <w:uiPriority w:val="0"/>
    <w:rPr>
      <w:rFonts w:ascii="宋体" w:eastAsia="宋体"/>
      <w:kern w:val="2"/>
      <w:sz w:val="24"/>
      <w:lang w:val="en-US" w:eastAsia="zh-CN" w:bidi="ar-SA"/>
    </w:rPr>
  </w:style>
  <w:style w:type="character" w:customStyle="1" w:styleId="152">
    <w:name w:val="solutionfonts"/>
    <w:qFormat/>
    <w:uiPriority w:val="0"/>
  </w:style>
  <w:style w:type="character" w:customStyle="1" w:styleId="153">
    <w:name w:val="尾注文本 字符"/>
    <w:basedOn w:val="71"/>
    <w:link w:val="39"/>
    <w:qFormat/>
    <w:uiPriority w:val="0"/>
    <w:rPr>
      <w:kern w:val="2"/>
      <w:sz w:val="21"/>
      <w:szCs w:val="24"/>
      <w:lang w:val="zh-CN"/>
    </w:rPr>
  </w:style>
  <w:style w:type="character" w:customStyle="1" w:styleId="154">
    <w:name w:val="正文（缩进2汉字） Char"/>
    <w:link w:val="155"/>
    <w:qFormat/>
    <w:uiPriority w:val="0"/>
    <w:rPr>
      <w:rFonts w:ascii="宋体"/>
    </w:rPr>
  </w:style>
  <w:style w:type="paragraph" w:customStyle="1" w:styleId="155">
    <w:name w:val="正文（缩进2汉字）"/>
    <w:basedOn w:val="1"/>
    <w:link w:val="1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56">
    <w:name w:val="样式 正文缩进 + 首行缩进:  2 字符 Char Char"/>
    <w:link w:val="157"/>
    <w:qFormat/>
    <w:uiPriority w:val="0"/>
    <w:rPr>
      <w:rFonts w:cs="宋体"/>
      <w:kern w:val="2"/>
      <w:sz w:val="24"/>
    </w:rPr>
  </w:style>
  <w:style w:type="paragraph" w:customStyle="1" w:styleId="157">
    <w:name w:val="样式 正文缩进 + 首行缩进:  2 字符"/>
    <w:basedOn w:val="17"/>
    <w:link w:val="156"/>
    <w:qFormat/>
    <w:uiPriority w:val="0"/>
    <w:pPr>
      <w:widowControl w:val="0"/>
      <w:adjustRightInd/>
      <w:snapToGrid/>
      <w:spacing w:line="360" w:lineRule="auto"/>
      <w:ind w:firstLine="200" w:firstLineChars="200"/>
    </w:pPr>
    <w:rPr>
      <w:rFonts w:ascii="Times New Roman"/>
      <w:snapToGrid/>
      <w:color w:val="auto"/>
      <w:kern w:val="2"/>
      <w:sz w:val="24"/>
    </w:rPr>
  </w:style>
  <w:style w:type="character" w:customStyle="1" w:styleId="158">
    <w:name w:val="图名 Char"/>
    <w:qFormat/>
    <w:uiPriority w:val="0"/>
    <w:rPr>
      <w:rFonts w:ascii="Arial" w:hAnsi="Arial" w:eastAsia="黑体"/>
      <w:kern w:val="2"/>
      <w:sz w:val="24"/>
      <w:szCs w:val="24"/>
      <w:lang w:val="en-US" w:eastAsia="zh-CN" w:bidi="ar-SA"/>
    </w:rPr>
  </w:style>
  <w:style w:type="character" w:customStyle="1" w:styleId="159">
    <w:name w:val="HTML 预设格式 字符1"/>
    <w:link w:val="58"/>
    <w:qFormat/>
    <w:uiPriority w:val="0"/>
    <w:rPr>
      <w:rFonts w:ascii="黑体" w:hAnsi="Courier New" w:eastAsia="黑体"/>
    </w:rPr>
  </w:style>
  <w:style w:type="character" w:customStyle="1" w:styleId="160">
    <w:name w:val="Char Char92"/>
    <w:qFormat/>
    <w:uiPriority w:val="0"/>
    <w:rPr>
      <w:rFonts w:eastAsia="宋体"/>
      <w:kern w:val="2"/>
      <w:sz w:val="18"/>
      <w:szCs w:val="18"/>
      <w:lang w:val="en-US" w:eastAsia="zh-CN" w:bidi="ar-SA"/>
    </w:rPr>
  </w:style>
  <w:style w:type="character" w:customStyle="1" w:styleId="161">
    <w:name w:val="纯文本 Char Char Char"/>
    <w:qFormat/>
    <w:uiPriority w:val="0"/>
    <w:rPr>
      <w:rFonts w:ascii="宋体" w:hAnsi="Courier New" w:eastAsia="宋体"/>
      <w:kern w:val="2"/>
      <w:sz w:val="21"/>
      <w:lang w:val="en-US" w:eastAsia="zh-CN" w:bidi="ar-SA"/>
    </w:rPr>
  </w:style>
  <w:style w:type="character" w:customStyle="1" w:styleId="162">
    <w:name w:val="标题 4 字符1"/>
    <w:link w:val="7"/>
    <w:qFormat/>
    <w:uiPriority w:val="0"/>
    <w:rPr>
      <w:rFonts w:ascii="Arial" w:hAnsi="Arial" w:eastAsia="黑体"/>
      <w:b/>
      <w:bCs/>
      <w:kern w:val="2"/>
      <w:sz w:val="28"/>
      <w:szCs w:val="28"/>
      <w:lang w:val="zh-CN"/>
    </w:rPr>
  </w:style>
  <w:style w:type="character" w:customStyle="1" w:styleId="163">
    <w:name w:val="纯文本 Char2"/>
    <w:semiHidden/>
    <w:qFormat/>
    <w:uiPriority w:val="99"/>
    <w:rPr>
      <w:rFonts w:ascii="宋体" w:hAnsi="Courier New" w:eastAsia="宋体" w:cs="Courier New"/>
    </w:rPr>
  </w:style>
  <w:style w:type="character" w:customStyle="1" w:styleId="164">
    <w:name w:val="Header Char"/>
    <w:qFormat/>
    <w:locked/>
    <w:uiPriority w:val="0"/>
    <w:rPr>
      <w:rFonts w:eastAsia="宋体"/>
      <w:kern w:val="2"/>
      <w:sz w:val="18"/>
      <w:szCs w:val="18"/>
      <w:lang w:val="en-US" w:eastAsia="zh-CN" w:bidi="ar-SA"/>
    </w:rPr>
  </w:style>
  <w:style w:type="character" w:customStyle="1" w:styleId="165">
    <w:name w:val="Char Char22"/>
    <w:qFormat/>
    <w:uiPriority w:val="6"/>
    <w:rPr>
      <w:rFonts w:ascii="宋体" w:hAnsi="宋体"/>
      <w:kern w:val="1"/>
      <w:sz w:val="24"/>
      <w:szCs w:val="24"/>
    </w:rPr>
  </w:style>
  <w:style w:type="character" w:customStyle="1" w:styleId="166">
    <w:name w:val="Body Text(ch) Char Char"/>
    <w:qFormat/>
    <w:uiPriority w:val="0"/>
    <w:rPr>
      <w:rFonts w:ascii="宋体"/>
      <w:kern w:val="2"/>
      <w:sz w:val="24"/>
      <w:szCs w:val="21"/>
      <w:lang w:val="zh-CN"/>
    </w:rPr>
  </w:style>
  <w:style w:type="character" w:customStyle="1" w:styleId="167">
    <w:name w:val="message1"/>
    <w:qFormat/>
    <w:uiPriority w:val="0"/>
    <w:rPr>
      <w:rFonts w:hint="default" w:ascii="Tahoma" w:hAnsi="Tahoma" w:cs="Tahoma"/>
      <w:sz w:val="18"/>
      <w:szCs w:val="18"/>
    </w:rPr>
  </w:style>
  <w:style w:type="character" w:customStyle="1" w:styleId="168">
    <w:name w:val="标准正文格式 Char"/>
    <w:qFormat/>
    <w:uiPriority w:val="0"/>
    <w:rPr>
      <w:rFonts w:ascii="宋体" w:eastAsia="仿宋_GB2312" w:cs="宋体"/>
      <w:color w:val="000000"/>
      <w:sz w:val="24"/>
      <w:lang w:val="en-US" w:eastAsia="zh-CN" w:bidi="ar-SA"/>
    </w:rPr>
  </w:style>
  <w:style w:type="character" w:customStyle="1" w:styleId="169">
    <w:name w:val="冯广丽 Char"/>
    <w:link w:val="170"/>
    <w:qFormat/>
    <w:uiPriority w:val="0"/>
    <w:rPr>
      <w:rFonts w:ascii="宋体" w:hAnsi="宋体"/>
      <w:kern w:val="2"/>
      <w:sz w:val="24"/>
      <w:szCs w:val="22"/>
    </w:rPr>
  </w:style>
  <w:style w:type="paragraph" w:customStyle="1" w:styleId="170">
    <w:name w:val="冯广丽"/>
    <w:basedOn w:val="1"/>
    <w:link w:val="169"/>
    <w:qFormat/>
    <w:uiPriority w:val="0"/>
    <w:pPr>
      <w:adjustRightInd/>
      <w:spacing w:line="360" w:lineRule="auto"/>
      <w:ind w:firstLine="480" w:firstLineChars="200"/>
    </w:pPr>
    <w:rPr>
      <w:rFonts w:ascii="宋体" w:hAnsi="宋体"/>
      <w:sz w:val="24"/>
      <w:szCs w:val="22"/>
    </w:rPr>
  </w:style>
  <w:style w:type="character" w:customStyle="1" w:styleId="171">
    <w:name w:val="Heading 1 Char"/>
    <w:qFormat/>
    <w:uiPriority w:val="6"/>
    <w:rPr>
      <w:rFonts w:ascii="Times New Roman" w:hAnsi="Times New Roman" w:eastAsia="黑体" w:cs="Times New Roman"/>
      <w:b/>
      <w:kern w:val="0"/>
      <w:sz w:val="24"/>
      <w:szCs w:val="24"/>
    </w:rPr>
  </w:style>
  <w:style w:type="character" w:customStyle="1" w:styleId="172">
    <w:name w:val="正文说明 Char"/>
    <w:link w:val="173"/>
    <w:qFormat/>
    <w:uiPriority w:val="0"/>
    <w:rPr>
      <w:sz w:val="24"/>
      <w:szCs w:val="24"/>
    </w:rPr>
  </w:style>
  <w:style w:type="paragraph" w:customStyle="1" w:styleId="173">
    <w:name w:val="正文说明"/>
    <w:basedOn w:val="1"/>
    <w:link w:val="172"/>
    <w:qFormat/>
    <w:uiPriority w:val="0"/>
    <w:pPr>
      <w:adjustRightInd/>
      <w:spacing w:line="360" w:lineRule="auto"/>
    </w:pPr>
    <w:rPr>
      <w:kern w:val="0"/>
      <w:sz w:val="24"/>
    </w:rPr>
  </w:style>
  <w:style w:type="character" w:customStyle="1" w:styleId="174">
    <w:name w:val="Char Char14"/>
    <w:qFormat/>
    <w:uiPriority w:val="6"/>
    <w:rPr>
      <w:rFonts w:ascii="黑体" w:hAnsi="黑体" w:eastAsia="黑体"/>
    </w:rPr>
  </w:style>
  <w:style w:type="character" w:customStyle="1" w:styleId="175">
    <w:name w:val="Char Char7"/>
    <w:qFormat/>
    <w:uiPriority w:val="0"/>
    <w:rPr>
      <w:rFonts w:eastAsia="宋体"/>
      <w:kern w:val="2"/>
      <w:sz w:val="21"/>
      <w:szCs w:val="24"/>
      <w:lang w:val="en-US" w:eastAsia="zh-CN" w:bidi="ar-SA"/>
    </w:rPr>
  </w:style>
  <w:style w:type="character" w:customStyle="1" w:styleId="176">
    <w:name w:val="Char Char38"/>
    <w:uiPriority w:val="0"/>
    <w:rPr>
      <w:rFonts w:eastAsia="宋体"/>
      <w:kern w:val="2"/>
      <w:sz w:val="21"/>
      <w:szCs w:val="24"/>
      <w:lang w:val="en-US" w:eastAsia="zh-CN" w:bidi="ar-SA"/>
    </w:rPr>
  </w:style>
  <w:style w:type="character" w:customStyle="1" w:styleId="177">
    <w:name w:val="标题 4 字符"/>
    <w:qFormat/>
    <w:uiPriority w:val="0"/>
    <w:rPr>
      <w:rFonts w:ascii="等线 Light" w:hAnsi="等线 Light" w:eastAsia="等线 Light" w:cs="Times New Roman"/>
      <w:b/>
      <w:bCs/>
      <w:snapToGrid w:val="0"/>
      <w:kern w:val="0"/>
      <w:sz w:val="28"/>
      <w:szCs w:val="28"/>
    </w:rPr>
  </w:style>
  <w:style w:type="character" w:customStyle="1" w:styleId="178">
    <w:name w:val="正文缩进 字符2"/>
    <w:link w:val="17"/>
    <w:qFormat/>
    <w:uiPriority w:val="0"/>
    <w:rPr>
      <w:rFonts w:ascii="宋体" w:eastAsia="宋体"/>
      <w:snapToGrid w:val="0"/>
      <w:color w:val="000000"/>
      <w:kern w:val="28"/>
      <w:sz w:val="28"/>
      <w:lang w:val="en-US" w:eastAsia="zh-CN" w:bidi="ar-SA"/>
    </w:rPr>
  </w:style>
  <w:style w:type="character" w:customStyle="1" w:styleId="179">
    <w:name w:val="表名 Char"/>
    <w:qFormat/>
    <w:uiPriority w:val="0"/>
    <w:rPr>
      <w:rFonts w:eastAsia="宋体"/>
      <w:b/>
      <w:bCs/>
      <w:kern w:val="2"/>
      <w:sz w:val="24"/>
      <w:szCs w:val="24"/>
      <w:lang w:val="en-US" w:eastAsia="zh-CN" w:bidi="ar-SA"/>
    </w:rPr>
  </w:style>
  <w:style w:type="character" w:customStyle="1" w:styleId="180">
    <w:name w:val="页脚 Char"/>
    <w:qFormat/>
    <w:uiPriority w:val="0"/>
    <w:rPr>
      <w:rFonts w:eastAsia="仿宋_GB2312"/>
      <w:kern w:val="2"/>
      <w:sz w:val="18"/>
      <w:lang w:val="en-US" w:eastAsia="zh-CN"/>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Char Char311"/>
    <w:qFormat/>
    <w:uiPriority w:val="0"/>
    <w:rPr>
      <w:rFonts w:eastAsia="宋体"/>
      <w:kern w:val="2"/>
      <w:sz w:val="21"/>
      <w:szCs w:val="24"/>
      <w:lang w:val="en-US" w:eastAsia="zh-CN" w:bidi="ar-SA"/>
    </w:rPr>
  </w:style>
  <w:style w:type="character" w:customStyle="1" w:styleId="183">
    <w:name w:val="Char Char33"/>
    <w:qFormat/>
    <w:uiPriority w:val="6"/>
    <w:rPr>
      <w:rFonts w:ascii="Arial" w:hAnsi="Arial" w:eastAsia="黑体"/>
      <w:b/>
      <w:kern w:val="1"/>
      <w:sz w:val="24"/>
      <w:szCs w:val="24"/>
    </w:rPr>
  </w:style>
  <w:style w:type="character" w:customStyle="1" w:styleId="184">
    <w:name w:val="Char Char51"/>
    <w:uiPriority w:val="0"/>
    <w:rPr>
      <w:rFonts w:ascii="宋体" w:hAnsi="Courier New" w:eastAsia="宋体"/>
      <w:kern w:val="2"/>
      <w:sz w:val="21"/>
      <w:lang w:val="en-US" w:eastAsia="zh-CN"/>
    </w:rPr>
  </w:style>
  <w:style w:type="character" w:customStyle="1" w:styleId="185">
    <w:name w:val="big1"/>
    <w:qFormat/>
    <w:uiPriority w:val="0"/>
    <w:rPr>
      <w:rFonts w:hint="eastAsia" w:ascii="宋体" w:hAnsi="宋体" w:eastAsia="宋体"/>
      <w:color w:val="333333"/>
      <w:sz w:val="22"/>
      <w:szCs w:val="22"/>
    </w:rPr>
  </w:style>
  <w:style w:type="character" w:customStyle="1" w:styleId="186">
    <w:name w:val="段落 Char Char"/>
    <w:link w:val="187"/>
    <w:uiPriority w:val="0"/>
    <w:rPr>
      <w:rFonts w:ascii="宋体" w:hAnsi="宋体"/>
      <w:sz w:val="24"/>
    </w:rPr>
  </w:style>
  <w:style w:type="paragraph" w:customStyle="1" w:styleId="187">
    <w:name w:val="段落"/>
    <w:basedOn w:val="1"/>
    <w:link w:val="186"/>
    <w:qFormat/>
    <w:uiPriority w:val="0"/>
    <w:pPr>
      <w:adjustRightInd/>
      <w:spacing w:line="360" w:lineRule="auto"/>
      <w:ind w:firstLine="480" w:firstLineChars="200"/>
    </w:pPr>
    <w:rPr>
      <w:rFonts w:ascii="宋体" w:hAnsi="宋体"/>
      <w:kern w:val="0"/>
      <w:sz w:val="24"/>
      <w:szCs w:val="20"/>
    </w:rPr>
  </w:style>
  <w:style w:type="character" w:customStyle="1" w:styleId="188">
    <w:name w:val="Footer-Even Char1"/>
    <w:qFormat/>
    <w:uiPriority w:val="0"/>
    <w:rPr>
      <w:rFonts w:eastAsia="宋体"/>
      <w:kern w:val="2"/>
      <w:sz w:val="18"/>
      <w:szCs w:val="18"/>
      <w:lang w:val="en-US" w:eastAsia="zh-CN" w:bidi="ar-SA"/>
    </w:rPr>
  </w:style>
  <w:style w:type="character" w:customStyle="1" w:styleId="189">
    <w:name w:val="此正文 Char"/>
    <w:link w:val="190"/>
    <w:qFormat/>
    <w:uiPriority w:val="0"/>
    <w:rPr>
      <w:kern w:val="2"/>
      <w:sz w:val="24"/>
      <w:szCs w:val="24"/>
    </w:rPr>
  </w:style>
  <w:style w:type="paragraph" w:customStyle="1" w:styleId="190">
    <w:name w:val="此正文"/>
    <w:basedOn w:val="1"/>
    <w:link w:val="189"/>
    <w:qFormat/>
    <w:uiPriority w:val="0"/>
    <w:pPr>
      <w:adjustRightInd/>
      <w:spacing w:line="360" w:lineRule="auto"/>
      <w:ind w:firstLine="200" w:firstLineChars="200"/>
    </w:pPr>
    <w:rPr>
      <w:sz w:val="24"/>
    </w:rPr>
  </w:style>
  <w:style w:type="character" w:customStyle="1" w:styleId="191">
    <w:name w:val="正文文本缩进 3 Char1"/>
    <w:semiHidden/>
    <w:qFormat/>
    <w:uiPriority w:val="99"/>
    <w:rPr>
      <w:rFonts w:ascii="Times New Roman" w:hAnsi="Times New Roman" w:eastAsia="宋体" w:cs="Times New Roman"/>
      <w:sz w:val="16"/>
      <w:szCs w:val="16"/>
    </w:rPr>
  </w:style>
  <w:style w:type="character" w:customStyle="1" w:styleId="192">
    <w:name w:val="批注文字 Char2"/>
    <w:qFormat/>
    <w:uiPriority w:val="99"/>
    <w:rPr>
      <w:rFonts w:ascii="Times New Roman" w:hAnsi="Times New Roman" w:eastAsia="宋体" w:cs="Times New Roman"/>
      <w:snapToGrid w:val="0"/>
      <w:kern w:val="0"/>
      <w:szCs w:val="24"/>
    </w:rPr>
  </w:style>
  <w:style w:type="character" w:customStyle="1" w:styleId="193">
    <w:name w:val="公文正文 Char Char"/>
    <w:link w:val="194"/>
    <w:uiPriority w:val="0"/>
    <w:rPr>
      <w:rFonts w:ascii="仿宋_GB2312" w:eastAsia="仿宋_GB2312"/>
      <w:kern w:val="2"/>
      <w:sz w:val="24"/>
      <w:szCs w:val="24"/>
    </w:rPr>
  </w:style>
  <w:style w:type="paragraph" w:customStyle="1" w:styleId="194">
    <w:name w:val="公文正文"/>
    <w:basedOn w:val="1"/>
    <w:link w:val="193"/>
    <w:qFormat/>
    <w:uiPriority w:val="0"/>
    <w:pPr>
      <w:adjustRightInd/>
      <w:spacing w:before="156" w:line="360" w:lineRule="auto"/>
      <w:ind w:firstLine="360" w:firstLineChars="200"/>
    </w:pPr>
    <w:rPr>
      <w:rFonts w:ascii="仿宋_GB2312" w:eastAsia="仿宋_GB2312"/>
      <w:sz w:val="24"/>
    </w:rPr>
  </w:style>
  <w:style w:type="character" w:customStyle="1" w:styleId="195">
    <w:name w:val="Char Char34"/>
    <w:qFormat/>
    <w:uiPriority w:val="6"/>
    <w:rPr>
      <w:b/>
      <w:kern w:val="1"/>
      <w:sz w:val="28"/>
      <w:szCs w:val="28"/>
    </w:rPr>
  </w:style>
  <w:style w:type="character" w:customStyle="1" w:styleId="196">
    <w:name w:val="表正文 Char1"/>
    <w:qFormat/>
    <w:uiPriority w:val="0"/>
    <w:rPr>
      <w:rFonts w:ascii="宋体" w:eastAsia="宋体"/>
      <w:snapToGrid w:val="0"/>
      <w:color w:val="000000"/>
      <w:kern w:val="28"/>
      <w:sz w:val="28"/>
    </w:rPr>
  </w:style>
  <w:style w:type="character" w:customStyle="1" w:styleId="197">
    <w:name w:val="PI Char"/>
    <w:qFormat/>
    <w:uiPriority w:val="0"/>
    <w:rPr>
      <w:rFonts w:ascii="宋体" w:hAnsi="宋体" w:eastAsia="宋体"/>
      <w:kern w:val="2"/>
      <w:sz w:val="24"/>
      <w:szCs w:val="24"/>
      <w:lang w:val="en-US" w:eastAsia="zh-CN" w:bidi="ar-SA"/>
    </w:rPr>
  </w:style>
  <w:style w:type="character" w:customStyle="1" w:styleId="198">
    <w:name w:val="称呼 字符"/>
    <w:qFormat/>
    <w:uiPriority w:val="0"/>
    <w:rPr>
      <w:rFonts w:ascii="仿宋_GB2312" w:eastAsia="仿宋_GB2312"/>
      <w:kern w:val="2"/>
      <w:sz w:val="28"/>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样式 样式 标题 4h4H4Fab-4T5Ref Heading 1rh1Heading sqlsect 1.2.3.... +... Char"/>
    <w:link w:val="201"/>
    <w:qFormat/>
    <w:uiPriority w:val="0"/>
    <w:rPr>
      <w:rFonts w:ascii="微软雅黑" w:hAnsi="微软雅黑" w:eastAsia="微软雅黑"/>
      <w:b/>
      <w:bCs/>
      <w:kern w:val="2"/>
      <w:sz w:val="24"/>
      <w:szCs w:val="28"/>
    </w:rPr>
  </w:style>
  <w:style w:type="paragraph" w:customStyle="1" w:styleId="201">
    <w:name w:val="样式 样式 标题 4h4H4Fab-4T5Ref Heading 1rh1Heading sqlsect 1.2.3.... +..."/>
    <w:basedOn w:val="202"/>
    <w:link w:val="200"/>
    <w:qFormat/>
    <w:uiPriority w:val="0"/>
    <w:pPr>
      <w:tabs>
        <w:tab w:val="left" w:pos="864"/>
        <w:tab w:val="left" w:pos="2356"/>
      </w:tabs>
    </w:pPr>
  </w:style>
  <w:style w:type="paragraph" w:customStyle="1" w:styleId="202">
    <w:name w:val="样式 标题 4h4H4Fab-4T5Ref Heading 1rh1Heading sqlsect 1.2.3...."/>
    <w:basedOn w:val="7"/>
    <w:link w:val="314"/>
    <w:qFormat/>
    <w:uiPriority w:val="0"/>
    <w:pPr>
      <w:numPr>
        <w:ilvl w:val="0"/>
        <w:numId w:val="0"/>
      </w:numPr>
      <w:tabs>
        <w:tab w:val="left" w:pos="2356"/>
      </w:tabs>
      <w:adjustRightInd/>
      <w:spacing w:line="360" w:lineRule="auto"/>
      <w:ind w:left="1984" w:leftChars="75" w:hanging="708" w:firstLineChars="200"/>
    </w:pPr>
    <w:rPr>
      <w:rFonts w:ascii="微软雅黑" w:hAnsi="微软雅黑" w:eastAsia="微软雅黑"/>
      <w:sz w:val="24"/>
    </w:rPr>
  </w:style>
  <w:style w:type="character" w:customStyle="1" w:styleId="203">
    <w:name w:val="批注框文本 字符1"/>
    <w:link w:val="40"/>
    <w:qFormat/>
    <w:uiPriority w:val="0"/>
    <w:rPr>
      <w:kern w:val="2"/>
      <w:sz w:val="18"/>
      <w:szCs w:val="18"/>
    </w:rPr>
  </w:style>
  <w:style w:type="character" w:customStyle="1" w:styleId="204">
    <w:name w:val="tw4winJump"/>
    <w:qFormat/>
    <w:uiPriority w:val="0"/>
    <w:rPr>
      <w:rFonts w:ascii="Courier New" w:hAnsi="Courier New" w:cs="Courier New"/>
      <w:color w:val="008080"/>
      <w:lang w:val="en-US" w:eastAsia="zh-CN"/>
    </w:rPr>
  </w:style>
  <w:style w:type="character" w:customStyle="1" w:styleId="205">
    <w:name w:val="unnamed31"/>
    <w:qFormat/>
    <w:uiPriority w:val="0"/>
    <w:rPr>
      <w:rFonts w:ascii="Tahoma" w:hAnsi="Tahoma" w:eastAsia="宋体"/>
      <w:b/>
      <w:kern w:val="2"/>
      <w:sz w:val="24"/>
      <w:szCs w:val="32"/>
      <w:u w:val="none"/>
      <w:lang w:val="en-US" w:eastAsia="zh-CN" w:bidi="ar-SA"/>
    </w:rPr>
  </w:style>
  <w:style w:type="character" w:customStyle="1" w:styleId="206">
    <w:name w:val="插图说明 Char"/>
    <w:qFormat/>
    <w:uiPriority w:val="0"/>
    <w:rPr>
      <w:rFonts w:eastAsia="黑体"/>
      <w:sz w:val="24"/>
      <w:lang w:val="en-US" w:eastAsia="zh-CN"/>
    </w:rPr>
  </w:style>
  <w:style w:type="character" w:customStyle="1" w:styleId="207">
    <w:name w:val="Table Text Char"/>
    <w:link w:val="208"/>
    <w:qFormat/>
    <w:uiPriority w:val="0"/>
    <w:rPr>
      <w:sz w:val="24"/>
      <w:szCs w:val="24"/>
    </w:rPr>
  </w:style>
  <w:style w:type="paragraph" w:customStyle="1" w:styleId="208">
    <w:name w:val="Table Text"/>
    <w:basedOn w:val="1"/>
    <w:link w:val="207"/>
    <w:qFormat/>
    <w:uiPriority w:val="0"/>
    <w:pPr>
      <w:widowControl/>
      <w:spacing w:before="60" w:after="60"/>
      <w:jc w:val="left"/>
    </w:pPr>
    <w:rPr>
      <w:kern w:val="0"/>
      <w:sz w:val="24"/>
    </w:rPr>
  </w:style>
  <w:style w:type="character" w:customStyle="1" w:styleId="209">
    <w:name w:val="Char Char15"/>
    <w:qFormat/>
    <w:uiPriority w:val="6"/>
    <w:rPr>
      <w:rFonts w:ascii="宋体" w:hAnsi="宋体"/>
      <w:kern w:val="1"/>
      <w:sz w:val="21"/>
    </w:rPr>
  </w:style>
  <w:style w:type="character" w:customStyle="1" w:styleId="210">
    <w:name w:val="HTML 地址 字符1"/>
    <w:link w:val="31"/>
    <w:qFormat/>
    <w:uiPriority w:val="0"/>
    <w:rPr>
      <w:rFonts w:ascii="宋体" w:hAnsi="宋体"/>
      <w:i/>
      <w:iCs/>
      <w:sz w:val="24"/>
      <w:szCs w:val="24"/>
    </w:rPr>
  </w:style>
  <w:style w:type="character" w:customStyle="1" w:styleId="211">
    <w:name w:val="Char Char20"/>
    <w:qFormat/>
    <w:uiPriority w:val="6"/>
    <w:rPr>
      <w:kern w:val="1"/>
      <w:sz w:val="24"/>
    </w:rPr>
  </w:style>
  <w:style w:type="character" w:customStyle="1" w:styleId="212">
    <w:name w:val="正文缩进 字符"/>
    <w:qFormat/>
    <w:uiPriority w:val="0"/>
    <w:rPr>
      <w:rFonts w:ascii="宋体" w:eastAsia="宋体"/>
      <w:snapToGrid w:val="0"/>
      <w:color w:val="000000"/>
      <w:kern w:val="28"/>
      <w:sz w:val="28"/>
      <w:lang w:val="en-US" w:eastAsia="zh-CN" w:bidi="ar-SA"/>
    </w:rPr>
  </w:style>
  <w:style w:type="character" w:customStyle="1" w:styleId="213">
    <w:name w:val="Char Char161"/>
    <w:qFormat/>
    <w:uiPriority w:val="6"/>
    <w:rPr>
      <w:kern w:val="1"/>
      <w:sz w:val="18"/>
      <w:szCs w:val="18"/>
    </w:rPr>
  </w:style>
  <w:style w:type="character" w:customStyle="1" w:styleId="214">
    <w:name w:val="样式 宋体"/>
    <w:qFormat/>
    <w:uiPriority w:val="0"/>
    <w:rPr>
      <w:rFonts w:ascii="宋体" w:hAnsi="宋体"/>
      <w:sz w:val="24"/>
    </w:rPr>
  </w:style>
  <w:style w:type="character" w:customStyle="1" w:styleId="215">
    <w:name w:val="Char Char23"/>
    <w:qFormat/>
    <w:uiPriority w:val="6"/>
    <w:rPr>
      <w:color w:val="0000FF"/>
      <w:sz w:val="21"/>
    </w:rPr>
  </w:style>
  <w:style w:type="character" w:customStyle="1" w:styleId="216">
    <w:name w:val="批注主题 Char"/>
    <w:qFormat/>
    <w:uiPriority w:val="0"/>
    <w:rPr>
      <w:rFonts w:eastAsia="宋体"/>
      <w:b/>
      <w:bCs/>
      <w:kern w:val="2"/>
      <w:sz w:val="21"/>
      <w:szCs w:val="24"/>
      <w:lang w:val="en-US" w:eastAsia="zh-CN" w:bidi="ar-SA"/>
    </w:rPr>
  </w:style>
  <w:style w:type="character" w:customStyle="1" w:styleId="217">
    <w:name w:val="脚注文本 字符"/>
    <w:uiPriority w:val="0"/>
    <w:rPr>
      <w:color w:val="0000FF"/>
      <w:sz w:val="21"/>
    </w:rPr>
  </w:style>
  <w:style w:type="character" w:customStyle="1" w:styleId="218">
    <w:name w:val="font31"/>
    <w:qFormat/>
    <w:uiPriority w:val="0"/>
    <w:rPr>
      <w:rFonts w:hint="eastAsia" w:ascii="仿宋" w:hAnsi="仿宋" w:eastAsia="仿宋" w:cs="仿宋"/>
      <w:color w:val="000000"/>
      <w:sz w:val="20"/>
      <w:szCs w:val="20"/>
      <w:u w:val="none"/>
    </w:rPr>
  </w:style>
  <w:style w:type="character" w:customStyle="1" w:styleId="219">
    <w:name w:val="pt141"/>
    <w:qFormat/>
    <w:uiPriority w:val="0"/>
    <w:rPr>
      <w:color w:val="330066"/>
      <w:sz w:val="22"/>
      <w:szCs w:val="22"/>
    </w:rPr>
  </w:style>
  <w:style w:type="character" w:customStyle="1" w:styleId="220">
    <w:name w:val="题注 字符"/>
    <w:qFormat/>
    <w:uiPriority w:val="0"/>
    <w:rPr>
      <w:rFonts w:ascii="Cambria" w:hAnsi="Cambria" w:eastAsia="黑体" w:cs="Times New Roman"/>
      <w:kern w:val="2"/>
    </w:rPr>
  </w:style>
  <w:style w:type="character" w:customStyle="1" w:styleId="221">
    <w:name w:val="Char Char18"/>
    <w:qFormat/>
    <w:uiPriority w:val="6"/>
    <w:rPr>
      <w:rFonts w:ascii="宋体" w:hAnsi="宋体"/>
      <w:sz w:val="28"/>
    </w:rPr>
  </w:style>
  <w:style w:type="character" w:customStyle="1" w:styleId="222">
    <w:name w:val="t21"/>
    <w:qFormat/>
    <w:uiPriority w:val="0"/>
    <w:rPr>
      <w:rFonts w:ascii="仿宋_GB2312" w:eastAsia="微软雅黑"/>
      <w:b/>
      <w:kern w:val="2"/>
      <w:sz w:val="23"/>
      <w:szCs w:val="23"/>
      <w:lang w:val="en-US" w:eastAsia="zh-CN" w:bidi="ar-SA"/>
    </w:rPr>
  </w:style>
  <w:style w:type="character" w:customStyle="1" w:styleId="223">
    <w:name w:val="正文缩进 Char"/>
    <w:qFormat/>
    <w:uiPriority w:val="0"/>
    <w:rPr>
      <w:rFonts w:eastAsia="宋体"/>
      <w:kern w:val="2"/>
      <w:sz w:val="21"/>
      <w:lang w:val="en-US" w:eastAsia="zh-CN"/>
    </w:rPr>
  </w:style>
  <w:style w:type="character" w:customStyle="1" w:styleId="224">
    <w:name w:val="gf正文1 Char"/>
    <w:qFormat/>
    <w:uiPriority w:val="0"/>
    <w:rPr>
      <w:rFonts w:ascii="宋体" w:hAnsi="宋体" w:eastAsia="宋体" w:cs="宋体"/>
      <w:kern w:val="2"/>
      <w:sz w:val="24"/>
      <w:szCs w:val="24"/>
      <w:lang w:val="en-US" w:eastAsia="zh-CN" w:bidi="ar-SA"/>
    </w:rPr>
  </w:style>
  <w:style w:type="character" w:customStyle="1" w:styleId="225">
    <w:name w:val="Char Char19"/>
    <w:qFormat/>
    <w:uiPriority w:val="6"/>
    <w:rPr>
      <w:rFonts w:ascii="宋体" w:hAnsi="宋体"/>
      <w:i/>
      <w:sz w:val="24"/>
      <w:szCs w:val="24"/>
    </w:rPr>
  </w:style>
  <w:style w:type="character" w:customStyle="1" w:styleId="226">
    <w:name w:val="标题 7 字符1"/>
    <w:link w:val="10"/>
    <w:qFormat/>
    <w:uiPriority w:val="9"/>
    <w:rPr>
      <w:b/>
      <w:bCs/>
      <w:kern w:val="2"/>
      <w:sz w:val="24"/>
      <w:szCs w:val="24"/>
    </w:rPr>
  </w:style>
  <w:style w:type="character" w:customStyle="1" w:styleId="227">
    <w:name w:val="表格名称[858D7CFB-ED40-4347-BF05-701D383B685F]"/>
    <w:link w:val="228"/>
    <w:qFormat/>
    <w:uiPriority w:val="0"/>
    <w:rPr>
      <w:sz w:val="32"/>
    </w:rPr>
  </w:style>
  <w:style w:type="paragraph" w:customStyle="1" w:styleId="228">
    <w:name w:val="表格名称"/>
    <w:basedOn w:val="5"/>
    <w:link w:val="227"/>
    <w:qFormat/>
    <w:uiPriority w:val="0"/>
    <w:pPr>
      <w:numPr>
        <w:ilvl w:val="0"/>
        <w:numId w:val="0"/>
      </w:numPr>
      <w:snapToGrid w:val="0"/>
      <w:spacing w:before="240" w:after="240" w:line="240" w:lineRule="auto"/>
      <w:jc w:val="center"/>
    </w:pPr>
    <w:rPr>
      <w:rFonts w:ascii="Times New Roman" w:hAnsi="Times New Roman" w:eastAsia="宋体"/>
      <w:b w:val="0"/>
      <w:bCs w:val="0"/>
      <w:kern w:val="0"/>
      <w:szCs w:val="20"/>
    </w:rPr>
  </w:style>
  <w:style w:type="character" w:customStyle="1" w:styleId="229">
    <w:name w:val="正文文本缩进 字符"/>
    <w:qFormat/>
    <w:uiPriority w:val="0"/>
    <w:rPr>
      <w:rFonts w:ascii="宋体" w:hAnsi="宋体" w:cs="Times New Roman"/>
      <w:kern w:val="2"/>
      <w:sz w:val="24"/>
    </w:rPr>
  </w:style>
  <w:style w:type="character" w:customStyle="1" w:styleId="230">
    <w:name w:val="正文文本 3 字符1"/>
    <w:link w:val="23"/>
    <w:qFormat/>
    <w:uiPriority w:val="0"/>
    <w:rPr>
      <w:kern w:val="2"/>
      <w:sz w:val="21"/>
    </w:rPr>
  </w:style>
  <w:style w:type="character" w:customStyle="1" w:styleId="231">
    <w:name w:val="Char Char11"/>
    <w:qFormat/>
    <w:locked/>
    <w:uiPriority w:val="0"/>
    <w:rPr>
      <w:rFonts w:ascii="宋体" w:hAnsi="宋体" w:eastAsia="宋体"/>
      <w:b/>
      <w:kern w:val="2"/>
      <w:sz w:val="24"/>
      <w:szCs w:val="24"/>
      <w:lang w:val="en-US" w:eastAsia="zh-CN" w:bidi="ar-SA"/>
    </w:rPr>
  </w:style>
  <w:style w:type="character" w:customStyle="1" w:styleId="232">
    <w:name w:val="样式-情指 字符"/>
    <w:basedOn w:val="71"/>
    <w:link w:val="233"/>
    <w:qFormat/>
    <w:uiPriority w:val="0"/>
    <w:rPr>
      <w:rFonts w:ascii="仿宋" w:hAnsi="仿宋" w:eastAsia="仿宋" w:cs="Times New Roman"/>
      <w:kern w:val="2"/>
      <w:sz w:val="32"/>
      <w:szCs w:val="22"/>
    </w:rPr>
  </w:style>
  <w:style w:type="paragraph" w:customStyle="1" w:styleId="233">
    <w:name w:val="样式-情指"/>
    <w:basedOn w:val="1"/>
    <w:link w:val="232"/>
    <w:qFormat/>
    <w:uiPriority w:val="0"/>
    <w:pPr>
      <w:adjustRightInd/>
      <w:spacing w:line="360" w:lineRule="auto"/>
      <w:ind w:firstLine="420"/>
    </w:pPr>
    <w:rPr>
      <w:rFonts w:ascii="仿宋" w:hAnsi="仿宋" w:eastAsia="仿宋" w:cs="Times New Roman"/>
      <w:sz w:val="32"/>
      <w:szCs w:val="22"/>
    </w:rPr>
  </w:style>
  <w:style w:type="character" w:customStyle="1" w:styleId="234">
    <w:name w:val="style91"/>
    <w:qFormat/>
    <w:uiPriority w:val="0"/>
    <w:rPr>
      <w:color w:val="333333"/>
    </w:rPr>
  </w:style>
  <w:style w:type="character" w:customStyle="1" w:styleId="235">
    <w:name w:val="标题 1 字符"/>
    <w:qFormat/>
    <w:uiPriority w:val="9"/>
    <w:rPr>
      <w:rFonts w:ascii="Arial" w:hAnsi="Arial" w:eastAsia="黑体" w:cs="Arial"/>
      <w:b/>
      <w:bCs/>
      <w:snapToGrid w:val="0"/>
      <w:kern w:val="44"/>
      <w:sz w:val="44"/>
      <w:szCs w:val="44"/>
    </w:rPr>
  </w:style>
  <w:style w:type="character" w:customStyle="1" w:styleId="236">
    <w:name w:val="书籍标题1"/>
    <w:qFormat/>
    <w:uiPriority w:val="33"/>
    <w:rPr>
      <w:rFonts w:ascii="Arial" w:hAnsi="Arial" w:eastAsia="黑体"/>
      <w:b/>
      <w:bCs/>
      <w:i/>
      <w:iCs/>
      <w:snapToGrid w:val="0"/>
      <w:spacing w:val="5"/>
      <w:kern w:val="0"/>
      <w:sz w:val="20"/>
      <w:szCs w:val="21"/>
      <w:lang w:val="en-US" w:eastAsia="zh-CN"/>
    </w:rPr>
  </w:style>
  <w:style w:type="character" w:customStyle="1" w:styleId="237">
    <w:name w:val="标题 5 字符1"/>
    <w:link w:val="8"/>
    <w:qFormat/>
    <w:uiPriority w:val="0"/>
    <w:rPr>
      <w:b/>
      <w:bCs/>
      <w:kern w:val="2"/>
      <w:sz w:val="28"/>
      <w:szCs w:val="28"/>
    </w:rPr>
  </w:style>
  <w:style w:type="character" w:customStyle="1" w:styleId="238">
    <w:name w:val="Char Char211"/>
    <w:qFormat/>
    <w:uiPriority w:val="0"/>
    <w:rPr>
      <w:rFonts w:eastAsia="宋体"/>
      <w:b/>
      <w:bCs/>
      <w:kern w:val="2"/>
      <w:sz w:val="21"/>
      <w:szCs w:val="24"/>
      <w:lang w:val="en-US" w:eastAsia="zh-CN" w:bidi="ar-SA"/>
    </w:rPr>
  </w:style>
  <w:style w:type="character" w:customStyle="1" w:styleId="239">
    <w:name w:val="tw4winTerm"/>
    <w:qFormat/>
    <w:uiPriority w:val="0"/>
    <w:rPr>
      <w:color w:val="0000FF"/>
    </w:rPr>
  </w:style>
  <w:style w:type="character" w:customStyle="1" w:styleId="240">
    <w:name w:val="正文文本首行缩进 字符"/>
    <w:link w:val="62"/>
    <w:qFormat/>
    <w:uiPriority w:val="0"/>
    <w:rPr>
      <w:rFonts w:ascii="宋体"/>
      <w:kern w:val="2"/>
      <w:sz w:val="24"/>
      <w:lang w:val="zh-CN"/>
    </w:rPr>
  </w:style>
  <w:style w:type="character" w:customStyle="1" w:styleId="241">
    <w:name w:val="可研正文 Char"/>
    <w:link w:val="242"/>
    <w:qFormat/>
    <w:uiPriority w:val="0"/>
    <w:rPr>
      <w:rFonts w:ascii="仿宋_GB2312" w:hAnsi="宋体" w:eastAsia="仿宋_GB2312" w:cs="宋体"/>
      <w:sz w:val="28"/>
    </w:rPr>
  </w:style>
  <w:style w:type="paragraph" w:customStyle="1" w:styleId="242">
    <w:name w:val="可研正文"/>
    <w:basedOn w:val="1"/>
    <w:link w:val="241"/>
    <w:qFormat/>
    <w:uiPriority w:val="0"/>
    <w:pPr>
      <w:widowControl/>
      <w:adjustRightInd/>
      <w:spacing w:line="440" w:lineRule="exact"/>
      <w:ind w:firstLine="567"/>
      <w:jc w:val="left"/>
    </w:pPr>
    <w:rPr>
      <w:rFonts w:ascii="仿宋_GB2312" w:hAnsi="宋体" w:eastAsia="仿宋_GB2312" w:cs="宋体"/>
      <w:kern w:val="0"/>
      <w:sz w:val="28"/>
      <w:szCs w:val="20"/>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Ò³Ã¼ Char Char1"/>
    <w:qFormat/>
    <w:uiPriority w:val="0"/>
    <w:rPr>
      <w:rFonts w:eastAsia="宋体"/>
      <w:kern w:val="2"/>
      <w:sz w:val="18"/>
      <w:szCs w:val="18"/>
      <w:lang w:val="en-US" w:eastAsia="zh-CN" w:bidi="ar-SA"/>
    </w:rPr>
  </w:style>
  <w:style w:type="character" w:customStyle="1" w:styleId="245">
    <w:name w:val="h Char Char1"/>
    <w:qFormat/>
    <w:uiPriority w:val="0"/>
    <w:rPr>
      <w:rFonts w:eastAsia="宋体"/>
      <w:kern w:val="2"/>
      <w:sz w:val="18"/>
      <w:szCs w:val="18"/>
      <w:lang w:val="en-US" w:eastAsia="zh-CN" w:bidi="ar-SA"/>
    </w:rPr>
  </w:style>
  <w:style w:type="character" w:customStyle="1" w:styleId="246">
    <w:name w:val="zbggmain style9"/>
    <w:uiPriority w:val="0"/>
  </w:style>
  <w:style w:type="character" w:customStyle="1" w:styleId="247">
    <w:name w:val="Char Char26"/>
    <w:qFormat/>
    <w:uiPriority w:val="6"/>
    <w:rPr>
      <w:kern w:val="1"/>
      <w:sz w:val="21"/>
      <w:szCs w:val="24"/>
    </w:rPr>
  </w:style>
  <w:style w:type="character" w:customStyle="1" w:styleId="248">
    <w:name w:val="正文文本 Char2"/>
    <w:semiHidden/>
    <w:uiPriority w:val="99"/>
    <w:rPr>
      <w:rFonts w:ascii="Times New Roman" w:hAnsi="Times New Roman" w:eastAsia="宋体" w:cs="Times New Roman"/>
      <w:snapToGrid w:val="0"/>
      <w:kern w:val="0"/>
      <w:szCs w:val="24"/>
    </w:rPr>
  </w:style>
  <w:style w:type="character" w:customStyle="1" w:styleId="249">
    <w:name w:val="large1"/>
    <w:qFormat/>
    <w:uiPriority w:val="0"/>
    <w:rPr>
      <w:rFonts w:hint="eastAsia" w:ascii="宋体" w:hAnsi="宋体" w:eastAsia="宋体"/>
      <w:sz w:val="21"/>
      <w:szCs w:val="21"/>
    </w:rPr>
  </w:style>
  <w:style w:type="character" w:customStyle="1" w:styleId="250">
    <w:name w:val="b11_01b Char"/>
    <w:link w:val="251"/>
    <w:qFormat/>
    <w:uiPriority w:val="0"/>
    <w:rPr>
      <w:rFonts w:ascii="Verdana" w:hAnsi="Verdana"/>
      <w:b/>
      <w:bCs/>
      <w:color w:val="4A82CA"/>
      <w:sz w:val="17"/>
      <w:szCs w:val="17"/>
    </w:rPr>
  </w:style>
  <w:style w:type="paragraph" w:customStyle="1" w:styleId="251">
    <w:name w:val="b11_01b"/>
    <w:basedOn w:val="1"/>
    <w:next w:val="1"/>
    <w:link w:val="25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252">
    <w:name w:val="纯文本 Char1"/>
    <w:link w:val="253"/>
    <w:qFormat/>
    <w:uiPriority w:val="0"/>
    <w:rPr>
      <w:rFonts w:ascii="宋体" w:hAnsi="Courier New"/>
    </w:rPr>
  </w:style>
  <w:style w:type="paragraph" w:customStyle="1" w:styleId="253">
    <w:name w:val="纯文本1"/>
    <w:basedOn w:val="1"/>
    <w:link w:val="252"/>
    <w:qFormat/>
    <w:uiPriority w:val="0"/>
    <w:pPr>
      <w:adjustRightInd/>
    </w:pPr>
    <w:rPr>
      <w:rFonts w:ascii="宋体" w:hAnsi="Courier New"/>
      <w:kern w:val="0"/>
      <w:sz w:val="20"/>
      <w:szCs w:val="20"/>
    </w:rPr>
  </w:style>
  <w:style w:type="character" w:customStyle="1" w:styleId="254">
    <w:name w:val="正文1 字符"/>
    <w:qFormat/>
    <w:uiPriority w:val="0"/>
    <w:rPr>
      <w:rFonts w:ascii="宋体" w:hAnsi="宋体" w:eastAsia="等线" w:cs="宋体"/>
      <w:sz w:val="28"/>
      <w:szCs w:val="28"/>
    </w:rPr>
  </w:style>
  <w:style w:type="character" w:customStyle="1" w:styleId="255">
    <w:name w:val="标题 8 字符"/>
    <w:qFormat/>
    <w:uiPriority w:val="9"/>
    <w:rPr>
      <w:rFonts w:ascii="Arial" w:hAnsi="Arial" w:eastAsia="黑体" w:cs="Times New Roman"/>
      <w:kern w:val="2"/>
      <w:sz w:val="24"/>
    </w:rPr>
  </w:style>
  <w:style w:type="character" w:customStyle="1" w:styleId="256">
    <w:name w:val="页脚 字符"/>
    <w:qFormat/>
    <w:uiPriority w:val="99"/>
    <w:rPr>
      <w:kern w:val="2"/>
      <w:sz w:val="18"/>
      <w:szCs w:val="18"/>
    </w:rPr>
  </w:style>
  <w:style w:type="character" w:customStyle="1" w:styleId="257">
    <w:name w:val="样式7 Char"/>
    <w:qFormat/>
    <w:uiPriority w:val="0"/>
    <w:rPr>
      <w:rFonts w:ascii="仿宋_GB2312" w:hAnsi="仿宋" w:eastAsia="仿宋_GB2312"/>
      <w:b/>
      <w:kern w:val="2"/>
      <w:sz w:val="24"/>
      <w:szCs w:val="24"/>
    </w:rPr>
  </w:style>
  <w:style w:type="character" w:customStyle="1" w:styleId="258">
    <w:name w:val="宏文本 字符"/>
    <w:basedOn w:val="71"/>
    <w:link w:val="3"/>
    <w:qFormat/>
    <w:uiPriority w:val="0"/>
    <w:rPr>
      <w:rFonts w:eastAsia="Times New Roman"/>
    </w:rPr>
  </w:style>
  <w:style w:type="character" w:customStyle="1" w:styleId="259">
    <w:name w:val="未处理的提及1"/>
    <w:basedOn w:val="71"/>
    <w:unhideWhenUsed/>
    <w:qFormat/>
    <w:uiPriority w:val="99"/>
    <w:rPr>
      <w:color w:val="605E5C"/>
      <w:shd w:val="clear" w:color="auto" w:fill="E1DFDD"/>
    </w:rPr>
  </w:style>
  <w:style w:type="character" w:customStyle="1" w:styleId="260">
    <w:name w:val="HTML 地址 Char1"/>
    <w:qFormat/>
    <w:uiPriority w:val="0"/>
    <w:rPr>
      <w:rFonts w:ascii="Times New Roman" w:hAnsi="Times New Roman" w:eastAsia="宋体" w:cs="Times New Roman"/>
      <w:i/>
      <w:iCs/>
      <w:szCs w:val="24"/>
    </w:rPr>
  </w:style>
  <w:style w:type="character" w:customStyle="1" w:styleId="261">
    <w:name w:val="mdeck"/>
    <w:qFormat/>
    <w:uiPriority w:val="0"/>
    <w:rPr>
      <w:rFonts w:ascii="仿宋_GB2312" w:eastAsia="微软雅黑"/>
      <w:b/>
      <w:kern w:val="2"/>
      <w:sz w:val="32"/>
      <w:szCs w:val="32"/>
      <w:lang w:val="en-US" w:eastAsia="zh-CN" w:bidi="ar-SA"/>
    </w:rPr>
  </w:style>
  <w:style w:type="character" w:customStyle="1" w:styleId="262">
    <w:name w:val="Char Char82"/>
    <w:qFormat/>
    <w:uiPriority w:val="0"/>
    <w:rPr>
      <w:rFonts w:eastAsia="宋体"/>
      <w:b/>
      <w:sz w:val="24"/>
      <w:lang w:val="en-GB" w:eastAsia="zh-CN"/>
    </w:rPr>
  </w:style>
  <w:style w:type="character" w:customStyle="1" w:styleId="263">
    <w:name w:val="HTML 地址 字符"/>
    <w:qFormat/>
    <w:uiPriority w:val="0"/>
    <w:rPr>
      <w:rFonts w:ascii="宋体" w:hAnsi="宋体"/>
      <w:i/>
      <w:iCs/>
      <w:sz w:val="24"/>
      <w:szCs w:val="24"/>
    </w:rPr>
  </w:style>
  <w:style w:type="character" w:customStyle="1" w:styleId="264">
    <w:name w:val="maywed421"/>
    <w:qFormat/>
    <w:uiPriority w:val="0"/>
    <w:rPr>
      <w:color w:val="366FB6"/>
      <w:u w:val="none"/>
    </w:rPr>
  </w:style>
  <w:style w:type="character" w:customStyle="1" w:styleId="265">
    <w:name w:val="正文2 Char"/>
    <w:qFormat/>
    <w:uiPriority w:val="0"/>
    <w:rPr>
      <w:rFonts w:eastAsia="宋体"/>
      <w:kern w:val="2"/>
      <w:sz w:val="24"/>
      <w:lang w:val="en-US" w:eastAsia="zh-CN" w:bidi="ar-SA"/>
    </w:rPr>
  </w:style>
  <w:style w:type="character" w:customStyle="1" w:styleId="266">
    <w:name w:val="ca-131"/>
    <w:qFormat/>
    <w:uiPriority w:val="0"/>
    <w:rPr>
      <w:rFonts w:hint="eastAsia" w:ascii="仿宋_GB2312" w:eastAsia="仿宋_GB2312"/>
      <w:b/>
      <w:bCs/>
      <w:color w:val="000000"/>
      <w:spacing w:val="-20"/>
      <w:sz w:val="24"/>
      <w:szCs w:val="24"/>
    </w:rPr>
  </w:style>
  <w:style w:type="character" w:customStyle="1" w:styleId="267">
    <w:name w:val="标题 1 Char Char"/>
    <w:qFormat/>
    <w:uiPriority w:val="0"/>
    <w:rPr>
      <w:rFonts w:hint="eastAsia" w:ascii="宋体" w:hAnsi="宋体" w:eastAsia="宋体"/>
      <w:b/>
      <w:spacing w:val="-2"/>
      <w:sz w:val="24"/>
      <w:lang w:val="en-US" w:eastAsia="zh-CN" w:bidi="ar-SA"/>
    </w:rPr>
  </w:style>
  <w:style w:type="character" w:customStyle="1" w:styleId="268">
    <w:name w:val="批注文字 字符1"/>
    <w:link w:val="21"/>
    <w:qFormat/>
    <w:uiPriority w:val="0"/>
    <w:rPr>
      <w:kern w:val="2"/>
      <w:sz w:val="21"/>
      <w:szCs w:val="24"/>
    </w:rPr>
  </w:style>
  <w:style w:type="character" w:customStyle="1" w:styleId="269">
    <w:name w:val="签名 字符1"/>
    <w:link w:val="43"/>
    <w:qFormat/>
    <w:uiPriority w:val="0"/>
    <w:rPr>
      <w:rFonts w:eastAsia="仿宋_GB2312"/>
      <w:sz w:val="24"/>
    </w:rPr>
  </w:style>
  <w:style w:type="character" w:customStyle="1" w:styleId="270">
    <w:name w:val="正文首行缩进两字 Char"/>
    <w:qFormat/>
    <w:uiPriority w:val="0"/>
    <w:rPr>
      <w:sz w:val="24"/>
      <w:szCs w:val="24"/>
      <w:lang w:val="en-US" w:eastAsia="zh-CN" w:bidi="ar-SA"/>
    </w:rPr>
  </w:style>
  <w:style w:type="character" w:customStyle="1" w:styleId="271">
    <w:name w:val="Char Char1211"/>
    <w:qFormat/>
    <w:uiPriority w:val="0"/>
    <w:rPr>
      <w:rFonts w:ascii="仿宋_GB2312" w:eastAsia="仿宋_GB2312"/>
      <w:b/>
      <w:bCs/>
      <w:kern w:val="2"/>
      <w:sz w:val="24"/>
      <w:szCs w:val="24"/>
      <w:lang w:val="zh-CN" w:eastAsia="zh-CN" w:bidi="ar-SA"/>
    </w:rPr>
  </w:style>
  <w:style w:type="character" w:customStyle="1" w:styleId="272">
    <w:name w:val="样式8 Char"/>
    <w:qFormat/>
    <w:uiPriority w:val="0"/>
    <w:rPr>
      <w:rFonts w:ascii="仿宋_GB2312" w:hAnsi="宋体" w:eastAsia="仿宋_GB2312"/>
      <w:b/>
      <w:bCs/>
      <w:kern w:val="2"/>
      <w:sz w:val="24"/>
      <w:szCs w:val="24"/>
    </w:rPr>
  </w:style>
  <w:style w:type="character" w:customStyle="1" w:styleId="273">
    <w:name w:val="Used by Word for text of Help footnotes Char Char"/>
    <w:qFormat/>
    <w:uiPriority w:val="0"/>
    <w:rPr>
      <w:rFonts w:ascii="Times New Roman" w:hAnsi="Times New Roman" w:eastAsia="宋体" w:cs="Times New Roman"/>
      <w:sz w:val="20"/>
      <w:szCs w:val="20"/>
    </w:rPr>
  </w:style>
  <w:style w:type="character" w:customStyle="1" w:styleId="274">
    <w:name w:val="Char Char27"/>
    <w:qFormat/>
    <w:uiPriority w:val="6"/>
    <w:rPr>
      <w:rFonts w:ascii="宋体" w:hAnsi="宋体" w:eastAsia="宋体"/>
      <w:color w:val="000000"/>
      <w:kern w:val="1"/>
      <w:sz w:val="28"/>
      <w:lang w:val="en-US" w:eastAsia="zh-CN" w:bidi="ar-SA"/>
    </w:rPr>
  </w:style>
  <w:style w:type="character" w:customStyle="1" w:styleId="275">
    <w:name w:val="font81"/>
    <w:qFormat/>
    <w:uiPriority w:val="0"/>
    <w:rPr>
      <w:rFonts w:ascii="微软雅黑" w:hAnsi="微软雅黑" w:eastAsia="微软雅黑" w:cs="微软雅黑"/>
      <w:color w:val="000000"/>
      <w:sz w:val="20"/>
      <w:szCs w:val="20"/>
      <w:u w:val="none"/>
    </w:rPr>
  </w:style>
  <w:style w:type="character" w:customStyle="1" w:styleId="276">
    <w:name w:val="正文非缩进 Char3"/>
    <w:qFormat/>
    <w:uiPriority w:val="0"/>
    <w:rPr>
      <w:rFonts w:ascii="宋体" w:eastAsia="宋体"/>
      <w:snapToGrid w:val="0"/>
      <w:color w:val="000000"/>
      <w:kern w:val="28"/>
      <w:sz w:val="28"/>
      <w:lang w:val="en-US" w:eastAsia="zh-CN" w:bidi="ar-SA"/>
    </w:rPr>
  </w:style>
  <w:style w:type="character" w:customStyle="1" w:styleId="277">
    <w:name w:val="Char Char121"/>
    <w:qFormat/>
    <w:uiPriority w:val="6"/>
    <w:rPr>
      <w:rFonts w:ascii="仿宋_GB2312" w:eastAsia="仿宋_GB2312"/>
      <w:b/>
      <w:bCs/>
      <w:kern w:val="2"/>
      <w:sz w:val="24"/>
      <w:szCs w:val="24"/>
      <w:lang w:val="zh-CN" w:eastAsia="zh-CN" w:bidi="ar-SA"/>
    </w:rPr>
  </w:style>
  <w:style w:type="character" w:customStyle="1" w:styleId="278">
    <w:name w:val="公文正文 Char"/>
    <w:qFormat/>
    <w:uiPriority w:val="0"/>
    <w:rPr>
      <w:rFonts w:ascii="仿宋_GB2312" w:eastAsia="仿宋_GB2312"/>
      <w:kern w:val="2"/>
      <w:sz w:val="24"/>
      <w:szCs w:val="24"/>
      <w:lang w:val="en-US" w:eastAsia="zh-CN" w:bidi="ar-SA"/>
    </w:rPr>
  </w:style>
  <w:style w:type="character" w:customStyle="1" w:styleId="279">
    <w:name w:val="U_正文 Char"/>
    <w:link w:val="280"/>
    <w:qFormat/>
    <w:uiPriority w:val="0"/>
    <w:rPr>
      <w:sz w:val="24"/>
      <w:szCs w:val="24"/>
    </w:rPr>
  </w:style>
  <w:style w:type="paragraph" w:customStyle="1" w:styleId="280">
    <w:name w:val="U_正文"/>
    <w:basedOn w:val="1"/>
    <w:link w:val="279"/>
    <w:qFormat/>
    <w:uiPriority w:val="0"/>
    <w:pPr>
      <w:adjustRightInd/>
      <w:spacing w:beforeLines="20" w:afterLines="20" w:line="300" w:lineRule="auto"/>
      <w:ind w:firstLine="200" w:firstLineChars="200"/>
    </w:pPr>
    <w:rPr>
      <w:kern w:val="0"/>
      <w:sz w:val="24"/>
    </w:rPr>
  </w:style>
  <w:style w:type="character" w:customStyle="1" w:styleId="281">
    <w:name w:val="副标题 字符"/>
    <w:qFormat/>
    <w:uiPriority w:val="0"/>
    <w:rPr>
      <w:rFonts w:ascii="Arial" w:hAnsi="Arial" w:eastAsia="隶书"/>
      <w:b/>
      <w:bCs/>
      <w:kern w:val="28"/>
      <w:sz w:val="44"/>
      <w:szCs w:val="32"/>
      <w:lang w:val="en-US" w:eastAsia="zh-CN" w:bidi="ar-SA"/>
    </w:rPr>
  </w:style>
  <w:style w:type="character" w:customStyle="1" w:styleId="282">
    <w:name w:val="正文文本缩进 Char"/>
    <w:qFormat/>
    <w:uiPriority w:val="0"/>
    <w:rPr>
      <w:rFonts w:ascii="宋体" w:hAnsi="宋体"/>
      <w:kern w:val="2"/>
      <w:sz w:val="24"/>
      <w:szCs w:val="24"/>
    </w:rPr>
  </w:style>
  <w:style w:type="character" w:customStyle="1" w:styleId="283">
    <w:name w:val="FA正文 Char Char"/>
    <w:qFormat/>
    <w:uiPriority w:val="0"/>
    <w:rPr>
      <w:rFonts w:hAnsi="宋体"/>
      <w:kern w:val="2"/>
      <w:sz w:val="24"/>
      <w:lang w:bidi="ar-SA"/>
    </w:rPr>
  </w:style>
  <w:style w:type="character" w:customStyle="1" w:styleId="284">
    <w:name w:val="标题 6 字符1"/>
    <w:link w:val="9"/>
    <w:qFormat/>
    <w:uiPriority w:val="0"/>
    <w:rPr>
      <w:rFonts w:ascii="Arial" w:hAnsi="Arial" w:eastAsia="黑体"/>
      <w:b/>
      <w:bCs/>
      <w:kern w:val="2"/>
      <w:sz w:val="24"/>
      <w:szCs w:val="24"/>
    </w:rPr>
  </w:style>
  <w:style w:type="character" w:customStyle="1" w:styleId="285">
    <w:name w:val="标题 7 字符"/>
    <w:qFormat/>
    <w:uiPriority w:val="9"/>
    <w:rPr>
      <w:rFonts w:ascii="Times New Roman" w:hAnsi="Times New Roman" w:cs="Times New Roman"/>
      <w:b/>
      <w:kern w:val="2"/>
      <w:sz w:val="24"/>
    </w:rPr>
  </w:style>
  <w:style w:type="character" w:customStyle="1" w:styleId="286">
    <w:name w:val="shadow11"/>
    <w:qFormat/>
    <w:uiPriority w:val="0"/>
    <w:rPr>
      <w:color w:val="000000"/>
      <w:sz w:val="21"/>
    </w:rPr>
  </w:style>
  <w:style w:type="character" w:customStyle="1" w:styleId="287">
    <w:name w:val="正文文本缩进 2 字符"/>
    <w:qFormat/>
    <w:uiPriority w:val="0"/>
    <w:rPr>
      <w:rFonts w:ascii="宋体" w:eastAsia="宋体"/>
      <w:sz w:val="28"/>
      <w:lang w:val="en-US" w:eastAsia="zh-CN" w:bidi="ar-SA"/>
    </w:rPr>
  </w:style>
  <w:style w:type="character" w:customStyle="1" w:styleId="288">
    <w:name w:val="正文首行缩进 字符"/>
    <w:qFormat/>
    <w:uiPriority w:val="0"/>
    <w:rPr>
      <w:rFonts w:ascii="宋体" w:hAnsi="Times New Roman" w:cs="Times New Roman"/>
      <w:kern w:val="2"/>
      <w:sz w:val="24"/>
      <w:lang w:val="zh-CN"/>
    </w:rPr>
  </w:style>
  <w:style w:type="character" w:customStyle="1" w:styleId="289">
    <w:name w:val="Char Char6"/>
    <w:qFormat/>
    <w:uiPriority w:val="0"/>
    <w:rPr>
      <w:rFonts w:eastAsia="宋体"/>
      <w:kern w:val="2"/>
      <w:sz w:val="21"/>
      <w:szCs w:val="24"/>
      <w:lang w:val="en-US" w:eastAsia="zh-CN" w:bidi="ar-SA"/>
    </w:rPr>
  </w:style>
  <w:style w:type="character" w:customStyle="1" w:styleId="290">
    <w:name w:val="md"/>
    <w:basedOn w:val="71"/>
    <w:qFormat/>
    <w:uiPriority w:val="0"/>
    <w:rPr>
      <w:rFonts w:ascii="Arial" w:hAnsi="Arial" w:eastAsia="黑体" w:cs="Arial"/>
      <w:snapToGrid w:val="0"/>
      <w:kern w:val="0"/>
      <w:szCs w:val="21"/>
    </w:rPr>
  </w:style>
  <w:style w:type="character" w:customStyle="1" w:styleId="291">
    <w:name w:val="未用 Char"/>
    <w:qFormat/>
    <w:uiPriority w:val="0"/>
    <w:rPr>
      <w:rFonts w:ascii="Arial" w:hAnsi="Arial" w:eastAsia="黑体"/>
      <w:kern w:val="2"/>
      <w:sz w:val="21"/>
      <w:szCs w:val="21"/>
      <w:lang w:val="en-US" w:eastAsia="zh-CN" w:bidi="ar-SA"/>
    </w:rPr>
  </w:style>
  <w:style w:type="character" w:customStyle="1" w:styleId="292">
    <w:name w:val="Ò³Ã¼ Char Char"/>
    <w:uiPriority w:val="0"/>
    <w:rPr>
      <w:rFonts w:eastAsia="宋体"/>
      <w:kern w:val="2"/>
      <w:sz w:val="18"/>
      <w:lang w:val="en-US" w:eastAsia="zh-CN" w:bidi="ar-SA"/>
    </w:rPr>
  </w:style>
  <w:style w:type="character" w:customStyle="1" w:styleId="293">
    <w:name w:val="哈哈正文 Char"/>
    <w:link w:val="294"/>
    <w:qFormat/>
    <w:uiPriority w:val="0"/>
    <w:rPr>
      <w:rFonts w:ascii="宋体" w:hAnsi="宋体" w:eastAsia="宋体"/>
      <w:kern w:val="2"/>
      <w:sz w:val="24"/>
      <w:lang w:bidi="ar-SA"/>
    </w:rPr>
  </w:style>
  <w:style w:type="paragraph" w:customStyle="1" w:styleId="294">
    <w:name w:val="哈哈正文"/>
    <w:basedOn w:val="1"/>
    <w:link w:val="293"/>
    <w:qFormat/>
    <w:uiPriority w:val="0"/>
    <w:pPr>
      <w:adjustRightInd/>
      <w:spacing w:line="360" w:lineRule="auto"/>
      <w:ind w:firstLine="200" w:firstLineChars="200"/>
    </w:pPr>
    <w:rPr>
      <w:rFonts w:ascii="宋体" w:hAnsi="宋体"/>
      <w:sz w:val="24"/>
      <w:szCs w:val="20"/>
    </w:rPr>
  </w:style>
  <w:style w:type="character" w:customStyle="1" w:styleId="295">
    <w:name w:val="dectext1"/>
    <w:qFormat/>
    <w:uiPriority w:val="0"/>
    <w:rPr>
      <w:rFonts w:ascii="宋体" w:hAnsi="宋体" w:eastAsia="宋体"/>
      <w:color w:val="333333"/>
      <w:sz w:val="21"/>
      <w:szCs w:val="21"/>
      <w:u w:val="none"/>
    </w:rPr>
  </w:style>
  <w:style w:type="character" w:customStyle="1" w:styleId="296">
    <w:name w:val="Char Char12"/>
    <w:qFormat/>
    <w:uiPriority w:val="0"/>
    <w:rPr>
      <w:rFonts w:ascii="仿宋_GB2312" w:eastAsia="仿宋_GB2312"/>
      <w:b/>
      <w:bCs/>
      <w:kern w:val="2"/>
      <w:sz w:val="24"/>
      <w:szCs w:val="24"/>
      <w:lang w:val="zh-CN" w:eastAsia="zh-CN" w:bidi="ar-SA"/>
    </w:rPr>
  </w:style>
  <w:style w:type="character" w:customStyle="1" w:styleId="297">
    <w:name w:val="正文内容 字符"/>
    <w:basedOn w:val="71"/>
    <w:link w:val="298"/>
    <w:qFormat/>
    <w:uiPriority w:val="0"/>
    <w:rPr>
      <w:rFonts w:ascii="宋体" w:hAnsi="宋体"/>
      <w:kern w:val="2"/>
      <w:sz w:val="28"/>
      <w:szCs w:val="28"/>
    </w:rPr>
  </w:style>
  <w:style w:type="paragraph" w:customStyle="1" w:styleId="298">
    <w:name w:val="正文内容"/>
    <w:basedOn w:val="1"/>
    <w:link w:val="297"/>
    <w:qFormat/>
    <w:uiPriority w:val="0"/>
    <w:pPr>
      <w:adjustRightInd/>
      <w:snapToGrid w:val="0"/>
      <w:spacing w:line="360" w:lineRule="auto"/>
      <w:ind w:firstLine="560" w:firstLineChars="200"/>
      <w:jc w:val="left"/>
    </w:pPr>
    <w:rPr>
      <w:rFonts w:ascii="宋体" w:hAnsi="宋体"/>
      <w:sz w:val="28"/>
      <w:szCs w:val="28"/>
    </w:rPr>
  </w:style>
  <w:style w:type="character" w:customStyle="1" w:styleId="299">
    <w:name w:val="哈哈正文 Char Char"/>
    <w:uiPriority w:val="0"/>
    <w:rPr>
      <w:rFonts w:ascii="宋体" w:hAnsi="宋体" w:eastAsia="宋体" w:cs="宋体"/>
      <w:kern w:val="2"/>
      <w:sz w:val="24"/>
      <w:lang w:val="en-US" w:eastAsia="zh-CN" w:bidi="ar-SA"/>
    </w:rPr>
  </w:style>
  <w:style w:type="character" w:customStyle="1" w:styleId="300">
    <w:name w:val="批注文字 Char"/>
    <w:qFormat/>
    <w:uiPriority w:val="99"/>
    <w:rPr>
      <w:kern w:val="2"/>
      <w:sz w:val="21"/>
      <w:szCs w:val="24"/>
    </w:rPr>
  </w:style>
  <w:style w:type="character" w:customStyle="1" w:styleId="301">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302">
    <w:name w:val="Char Char72"/>
    <w:semiHidden/>
    <w:qFormat/>
    <w:uiPriority w:val="0"/>
    <w:rPr>
      <w:rFonts w:eastAsia="宋体"/>
      <w:kern w:val="2"/>
      <w:sz w:val="21"/>
      <w:szCs w:val="24"/>
      <w:lang w:val="en-US" w:eastAsia="zh-CN" w:bidi="ar-SA"/>
    </w:rPr>
  </w:style>
  <w:style w:type="character" w:customStyle="1" w:styleId="303">
    <w:name w:val="正文 编号 Char"/>
    <w:qFormat/>
    <w:uiPriority w:val="0"/>
    <w:rPr>
      <w:rFonts w:ascii="仿宋_GB2312" w:hAnsi="仿宋_GB2312" w:eastAsia="仿宋_GB2312"/>
      <w:kern w:val="2"/>
      <w:sz w:val="24"/>
      <w:lang w:bidi="ar-SA"/>
    </w:rPr>
  </w:style>
  <w:style w:type="character" w:customStyle="1" w:styleId="304">
    <w:name w:val="HTML 预设格式 字符"/>
    <w:qFormat/>
    <w:uiPriority w:val="0"/>
    <w:rPr>
      <w:rFonts w:ascii="黑体" w:hAnsi="Courier New" w:eastAsia="黑体"/>
    </w:rPr>
  </w:style>
  <w:style w:type="character" w:customStyle="1" w:styleId="305">
    <w:name w:val="*正文 Char Char"/>
    <w:link w:val="306"/>
    <w:qFormat/>
    <w:uiPriority w:val="0"/>
    <w:rPr>
      <w:rFonts w:ascii="宋体" w:hAnsi="宋体"/>
      <w:color w:val="000000"/>
      <w:sz w:val="24"/>
      <w:szCs w:val="24"/>
    </w:rPr>
  </w:style>
  <w:style w:type="paragraph" w:customStyle="1" w:styleId="306">
    <w:name w:val="*正文"/>
    <w:basedOn w:val="1"/>
    <w:link w:val="305"/>
    <w:qFormat/>
    <w:uiPriority w:val="0"/>
    <w:pPr>
      <w:widowControl/>
      <w:adjustRightInd/>
      <w:spacing w:afterLines="50" w:line="360" w:lineRule="auto"/>
      <w:ind w:firstLine="200" w:firstLineChars="200"/>
      <w:jc w:val="left"/>
    </w:pPr>
    <w:rPr>
      <w:rFonts w:ascii="宋体" w:hAnsi="宋体"/>
      <w:color w:val="000000"/>
      <w:kern w:val="0"/>
      <w:sz w:val="24"/>
    </w:rPr>
  </w:style>
  <w:style w:type="character" w:customStyle="1" w:styleId="307">
    <w:name w:val="Char Char10"/>
    <w:semiHidden/>
    <w:qFormat/>
    <w:uiPriority w:val="0"/>
    <w:rPr>
      <w:rFonts w:ascii="宋体" w:hAnsi="宋体"/>
      <w:kern w:val="2"/>
      <w:sz w:val="21"/>
      <w:szCs w:val="24"/>
      <w:lang w:val="en-US" w:eastAsia="zh-CN"/>
    </w:rPr>
  </w:style>
  <w:style w:type="character" w:customStyle="1" w:styleId="308">
    <w:name w:val="标准正文 Char"/>
    <w:link w:val="309"/>
    <w:qFormat/>
    <w:uiPriority w:val="0"/>
    <w:rPr>
      <w:kern w:val="2"/>
      <w:sz w:val="24"/>
      <w:szCs w:val="24"/>
    </w:rPr>
  </w:style>
  <w:style w:type="paragraph" w:customStyle="1" w:styleId="309">
    <w:name w:val="标准正文"/>
    <w:basedOn w:val="1"/>
    <w:link w:val="308"/>
    <w:qFormat/>
    <w:uiPriority w:val="0"/>
    <w:pPr>
      <w:tabs>
        <w:tab w:val="left" w:pos="780"/>
      </w:tabs>
      <w:adjustRightInd/>
      <w:spacing w:line="360" w:lineRule="auto"/>
      <w:ind w:left="200" w:leftChars="200" w:firstLine="200" w:firstLineChars="200"/>
    </w:pPr>
    <w:rPr>
      <w:sz w:val="24"/>
    </w:rPr>
  </w:style>
  <w:style w:type="character" w:customStyle="1" w:styleId="310">
    <w:name w:val="标题 9 字符1"/>
    <w:link w:val="12"/>
    <w:qFormat/>
    <w:uiPriority w:val="9"/>
    <w:rPr>
      <w:rFonts w:ascii="Arial" w:hAnsi="Arial" w:eastAsia="黑体"/>
      <w:kern w:val="2"/>
      <w:sz w:val="21"/>
      <w:szCs w:val="21"/>
    </w:rPr>
  </w:style>
  <w:style w:type="character" w:customStyle="1" w:styleId="311">
    <w:name w:val="Char Char52"/>
    <w:qFormat/>
    <w:uiPriority w:val="0"/>
    <w:rPr>
      <w:rFonts w:ascii="宋体" w:hAnsi="Courier New" w:eastAsia="宋体"/>
      <w:kern w:val="2"/>
      <w:sz w:val="21"/>
      <w:lang w:val="en-US" w:eastAsia="zh-CN"/>
    </w:rPr>
  </w:style>
  <w:style w:type="character" w:customStyle="1" w:styleId="312">
    <w:name w:val="Char Char30"/>
    <w:uiPriority w:val="6"/>
    <w:rPr>
      <w:rFonts w:ascii="Arial" w:hAnsi="Arial" w:eastAsia="黑体"/>
      <w:kern w:val="1"/>
      <w:sz w:val="21"/>
      <w:szCs w:val="21"/>
    </w:rPr>
  </w:style>
  <w:style w:type="character" w:customStyle="1" w:styleId="313">
    <w:name w:val="myp1111"/>
    <w:qFormat/>
    <w:uiPriority w:val="0"/>
    <w:rPr>
      <w:rFonts w:hint="default" w:ascii="ˎ̥" w:hAnsi="ˎ̥"/>
      <w:color w:val="000000"/>
      <w:sz w:val="20"/>
      <w:szCs w:val="20"/>
      <w:u w:val="none"/>
    </w:rPr>
  </w:style>
  <w:style w:type="character" w:customStyle="1" w:styleId="314">
    <w:name w:val="样式 标题 4h4H4Fab-4T5Ref Heading 1rh1Heading sqlsect 1.2.3.... Char"/>
    <w:link w:val="202"/>
    <w:qFormat/>
    <w:uiPriority w:val="0"/>
    <w:rPr>
      <w:rFonts w:ascii="微软雅黑" w:hAnsi="微软雅黑" w:eastAsia="微软雅黑"/>
      <w:b/>
      <w:bCs/>
      <w:kern w:val="2"/>
      <w:sz w:val="24"/>
      <w:szCs w:val="28"/>
    </w:rPr>
  </w:style>
  <w:style w:type="character" w:customStyle="1" w:styleId="315">
    <w:name w:val="Char Char"/>
    <w:qFormat/>
    <w:uiPriority w:val="0"/>
    <w:rPr>
      <w:rFonts w:ascii="宋体" w:hAnsi="Courier New" w:eastAsia="宋体"/>
      <w:kern w:val="2"/>
      <w:sz w:val="21"/>
      <w:lang w:val="en-US" w:eastAsia="zh-CN" w:bidi="ar-SA"/>
    </w:rPr>
  </w:style>
  <w:style w:type="character" w:customStyle="1" w:styleId="316">
    <w:name w:val="普通文字 Char3"/>
    <w:qFormat/>
    <w:uiPriority w:val="0"/>
    <w:rPr>
      <w:rFonts w:ascii="宋体" w:hAnsi="Courier New" w:eastAsia="宋体"/>
      <w:kern w:val="2"/>
      <w:sz w:val="21"/>
      <w:lang w:val="en-US" w:eastAsia="zh-CN" w:bidi="ar-SA"/>
    </w:rPr>
  </w:style>
  <w:style w:type="character" w:customStyle="1" w:styleId="317">
    <w:name w:val="仿宋正文 Char"/>
    <w:link w:val="318"/>
    <w:qFormat/>
    <w:uiPriority w:val="0"/>
    <w:rPr>
      <w:rFonts w:ascii="仿宋_GB2312" w:eastAsia="仿宋_GB2312"/>
      <w:kern w:val="2"/>
      <w:sz w:val="24"/>
      <w:lang w:val="en-US" w:eastAsia="zh-CN" w:bidi="ar-SA"/>
    </w:rPr>
  </w:style>
  <w:style w:type="paragraph" w:customStyle="1" w:styleId="318">
    <w:name w:val="仿宋正文"/>
    <w:basedOn w:val="1"/>
    <w:link w:val="317"/>
    <w:qFormat/>
    <w:uiPriority w:val="0"/>
    <w:pPr>
      <w:adjustRightInd/>
      <w:spacing w:line="360" w:lineRule="auto"/>
      <w:ind w:firstLine="480" w:firstLineChars="200"/>
    </w:pPr>
    <w:rPr>
      <w:rFonts w:ascii="仿宋_GB2312" w:eastAsia="仿宋_GB2312"/>
      <w:sz w:val="24"/>
      <w:szCs w:val="20"/>
    </w:rPr>
  </w:style>
  <w:style w:type="character" w:customStyle="1" w:styleId="319">
    <w:name w:val="页脚 字符1"/>
    <w:link w:val="41"/>
    <w:qFormat/>
    <w:locked/>
    <w:uiPriority w:val="99"/>
    <w:rPr>
      <w:kern w:val="2"/>
      <w:sz w:val="18"/>
      <w:szCs w:val="18"/>
    </w:rPr>
  </w:style>
  <w:style w:type="character" w:customStyle="1" w:styleId="320">
    <w:name w:val="H5 Char"/>
    <w:qFormat/>
    <w:uiPriority w:val="0"/>
    <w:rPr>
      <w:b/>
      <w:bCs/>
      <w:kern w:val="2"/>
      <w:sz w:val="28"/>
      <w:szCs w:val="28"/>
    </w:rPr>
  </w:style>
  <w:style w:type="character" w:customStyle="1" w:styleId="321">
    <w:name w:val="HTML 预设格式 Char1"/>
    <w:qFormat/>
    <w:uiPriority w:val="0"/>
    <w:rPr>
      <w:rFonts w:ascii="Courier New" w:hAnsi="Courier New" w:eastAsia="宋体" w:cs="Courier New"/>
      <w:sz w:val="20"/>
      <w:szCs w:val="20"/>
    </w:rPr>
  </w:style>
  <w:style w:type="character" w:customStyle="1" w:styleId="322">
    <w:name w:val="正文文本 字符"/>
    <w:qFormat/>
    <w:uiPriority w:val="99"/>
    <w:rPr>
      <w:rFonts w:ascii="Times New Roman" w:hAnsi="Times New Roman" w:cs="Times New Roman"/>
      <w:kern w:val="2"/>
      <w:sz w:val="21"/>
    </w:rPr>
  </w:style>
  <w:style w:type="character" w:customStyle="1" w:styleId="323">
    <w:name w:val="纯文本 字符"/>
    <w:qFormat/>
    <w:uiPriority w:val="0"/>
    <w:rPr>
      <w:rFonts w:ascii="宋体" w:hAnsi="Courier New" w:eastAsia="宋体" w:cs="Arial"/>
      <w:snapToGrid w:val="0"/>
      <w:kern w:val="2"/>
      <w:sz w:val="21"/>
      <w:szCs w:val="21"/>
      <w:lang w:val="en-US" w:eastAsia="zh-CN" w:bidi="ar-SA"/>
    </w:rPr>
  </w:style>
  <w:style w:type="character" w:customStyle="1" w:styleId="324">
    <w:name w:val="font11"/>
    <w:qFormat/>
    <w:uiPriority w:val="0"/>
    <w:rPr>
      <w:rFonts w:hint="default" w:ascii="Times New Roman" w:hAnsi="Times New Roman" w:cs="Times New Roman"/>
      <w:color w:val="000000"/>
      <w:sz w:val="22"/>
      <w:szCs w:val="22"/>
      <w:u w:val="none"/>
    </w:rPr>
  </w:style>
  <w:style w:type="character" w:customStyle="1" w:styleId="325">
    <w:name w:val="javascript"/>
    <w:qFormat/>
    <w:uiPriority w:val="0"/>
  </w:style>
  <w:style w:type="character" w:customStyle="1" w:styleId="326">
    <w:name w:val="Char Char17"/>
    <w:qFormat/>
    <w:uiPriority w:val="6"/>
    <w:rPr>
      <w:rFonts w:eastAsia="仿宋_GB2312"/>
      <w:sz w:val="24"/>
    </w:rPr>
  </w:style>
  <w:style w:type="character" w:customStyle="1" w:styleId="327">
    <w:name w:val="Char Char13"/>
    <w:qFormat/>
    <w:uiPriority w:val="6"/>
    <w:rPr>
      <w:rFonts w:ascii="宋体" w:hAnsi="宋体"/>
      <w:kern w:val="1"/>
      <w:sz w:val="21"/>
      <w:szCs w:val="24"/>
    </w:rPr>
  </w:style>
  <w:style w:type="character" w:customStyle="1" w:styleId="328">
    <w:name w:val="二级标题 Char Char"/>
    <w:qFormat/>
    <w:uiPriority w:val="0"/>
    <w:rPr>
      <w:rFonts w:ascii="宋体" w:hAnsi="宋体" w:eastAsia="宋体"/>
      <w:b/>
      <w:snapToGrid w:val="0"/>
      <w:kern w:val="2"/>
      <w:sz w:val="24"/>
      <w:szCs w:val="24"/>
      <w:lang w:val="en-US" w:eastAsia="zh-CN" w:bidi="ar-SA"/>
    </w:rPr>
  </w:style>
  <w:style w:type="character" w:customStyle="1" w:styleId="329">
    <w:name w:val="Char Char28"/>
    <w:qFormat/>
    <w:uiPriority w:val="6"/>
    <w:rPr>
      <w:rFonts w:ascii="仿宋_GB2312" w:hAnsi="仿宋_GB2312" w:eastAsia="仿宋_GB2312"/>
      <w:kern w:val="1"/>
      <w:sz w:val="28"/>
    </w:rPr>
  </w:style>
  <w:style w:type="character" w:customStyle="1" w:styleId="330">
    <w:name w:val="hui3"/>
    <w:qFormat/>
    <w:uiPriority w:val="0"/>
    <w:rPr>
      <w:color w:val="333333"/>
    </w:rPr>
  </w:style>
  <w:style w:type="character" w:customStyle="1" w:styleId="33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332">
    <w:name w:val="列表段落 字符"/>
    <w:qFormat/>
    <w:uiPriority w:val="34"/>
  </w:style>
  <w:style w:type="character" w:customStyle="1" w:styleId="333">
    <w:name w:val="标题 2 Char"/>
    <w:qFormat/>
    <w:uiPriority w:val="0"/>
    <w:rPr>
      <w:rFonts w:ascii="Arial" w:hAnsi="Arial" w:eastAsia="黑体"/>
      <w:b/>
      <w:kern w:val="2"/>
      <w:sz w:val="32"/>
      <w:lang w:val="en-US" w:eastAsia="zh-CN"/>
    </w:rPr>
  </w:style>
  <w:style w:type="character" w:customStyle="1" w:styleId="334">
    <w:name w:val="签名 字符"/>
    <w:qFormat/>
    <w:uiPriority w:val="0"/>
    <w:rPr>
      <w:rFonts w:eastAsia="仿宋_GB2312"/>
      <w:sz w:val="24"/>
    </w:rPr>
  </w:style>
  <w:style w:type="character" w:customStyle="1" w:styleId="335">
    <w:name w:val="标题 8 字符1"/>
    <w:link w:val="11"/>
    <w:qFormat/>
    <w:uiPriority w:val="9"/>
    <w:rPr>
      <w:rFonts w:ascii="Arial" w:hAnsi="Arial" w:eastAsia="黑体"/>
      <w:kern w:val="2"/>
      <w:sz w:val="24"/>
      <w:szCs w:val="24"/>
    </w:rPr>
  </w:style>
  <w:style w:type="character" w:customStyle="1" w:styleId="336">
    <w:name w:val="Char Char21"/>
    <w:qFormat/>
    <w:uiPriority w:val="6"/>
    <w:rPr>
      <w:rFonts w:ascii="宋体" w:hAnsi="宋体"/>
      <w:kern w:val="1"/>
      <w:sz w:val="24"/>
      <w:szCs w:val="21"/>
      <w:lang w:val="zh-CN"/>
    </w:rPr>
  </w:style>
  <w:style w:type="character" w:customStyle="1" w:styleId="337">
    <w:name w:val="正文（安恒信息）字符"/>
    <w:link w:val="338"/>
    <w:qFormat/>
    <w:uiPriority w:val="0"/>
    <w:rPr>
      <w:rFonts w:ascii="Arial" w:hAnsi="Arial"/>
      <w:szCs w:val="21"/>
    </w:rPr>
  </w:style>
  <w:style w:type="paragraph" w:customStyle="1" w:styleId="338">
    <w:name w:val="正文（安恒信息）"/>
    <w:link w:val="337"/>
    <w:qFormat/>
    <w:uiPriority w:val="0"/>
    <w:pPr>
      <w:spacing w:line="360" w:lineRule="auto"/>
      <w:ind w:firstLine="200" w:firstLineChars="200"/>
      <w:jc w:val="both"/>
    </w:pPr>
    <w:rPr>
      <w:rFonts w:ascii="Arial" w:hAnsi="Arial" w:eastAsia="宋体" w:cs="Times New Roman"/>
      <w:szCs w:val="21"/>
      <w:lang w:val="en-US" w:eastAsia="zh-CN" w:bidi="ar-SA"/>
    </w:rPr>
  </w:style>
  <w:style w:type="character" w:customStyle="1" w:styleId="339">
    <w:name w:val="5正文 Char"/>
    <w:link w:val="340"/>
    <w:qFormat/>
    <w:uiPriority w:val="0"/>
    <w:rPr>
      <w:rFonts w:ascii="仿宋_GB2312" w:hAnsi="微软雅黑" w:eastAsia="仿宋_GB2312"/>
      <w:sz w:val="28"/>
      <w:szCs w:val="21"/>
    </w:rPr>
  </w:style>
  <w:style w:type="paragraph" w:customStyle="1" w:styleId="340">
    <w:name w:val="5正文"/>
    <w:basedOn w:val="1"/>
    <w:link w:val="339"/>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341">
    <w:name w:val="表格 字符"/>
    <w:basedOn w:val="71"/>
    <w:link w:val="342"/>
    <w:qFormat/>
    <w:uiPriority w:val="0"/>
    <w:rPr>
      <w:rFonts w:ascii="宋体" w:hAnsi="宋体"/>
    </w:rPr>
  </w:style>
  <w:style w:type="paragraph" w:customStyle="1" w:styleId="342">
    <w:name w:val="表格"/>
    <w:basedOn w:val="1"/>
    <w:link w:val="341"/>
    <w:qFormat/>
    <w:uiPriority w:val="0"/>
    <w:pPr>
      <w:snapToGrid w:val="0"/>
      <w:ind w:firstLine="42" w:firstLineChars="21"/>
    </w:pPr>
    <w:rPr>
      <w:rFonts w:ascii="宋体" w:hAnsi="宋体"/>
      <w:kern w:val="0"/>
      <w:sz w:val="20"/>
      <w:szCs w:val="20"/>
    </w:rPr>
  </w:style>
  <w:style w:type="character" w:customStyle="1" w:styleId="343">
    <w:name w:val="方案正文 Char"/>
    <w:qFormat/>
    <w:uiPriority w:val="0"/>
    <w:rPr>
      <w:rFonts w:ascii="仿宋_GB2312" w:eastAsia="仿宋_GB2312"/>
      <w:b/>
      <w:color w:val="000000"/>
      <w:kern w:val="2"/>
      <w:sz w:val="24"/>
      <w:lang w:val="en-US" w:eastAsia="zh-CN" w:bidi="ar-SA"/>
    </w:rPr>
  </w:style>
  <w:style w:type="character" w:customStyle="1" w:styleId="344">
    <w:name w:val="_正文段落 Char"/>
    <w:link w:val="345"/>
    <w:qFormat/>
    <w:uiPriority w:val="0"/>
    <w:rPr>
      <w:rFonts w:ascii="仿宋_GB2312" w:hAnsi="仿宋" w:eastAsia="仿宋_GB2312"/>
      <w:sz w:val="28"/>
      <w:szCs w:val="28"/>
    </w:rPr>
  </w:style>
  <w:style w:type="paragraph" w:customStyle="1" w:styleId="345">
    <w:name w:val="_正文段落"/>
    <w:basedOn w:val="1"/>
    <w:link w:val="344"/>
    <w:qFormat/>
    <w:uiPriority w:val="0"/>
    <w:pPr>
      <w:adjustRightInd/>
      <w:ind w:firstLine="560"/>
    </w:pPr>
    <w:rPr>
      <w:rFonts w:ascii="仿宋_GB2312" w:hAnsi="仿宋" w:eastAsia="仿宋_GB2312"/>
      <w:kern w:val="0"/>
      <w:sz w:val="28"/>
      <w:szCs w:val="28"/>
    </w:rPr>
  </w:style>
  <w:style w:type="character" w:customStyle="1" w:styleId="346">
    <w:name w:val="日期 字符1"/>
    <w:link w:val="37"/>
    <w:qFormat/>
    <w:uiPriority w:val="0"/>
    <w:rPr>
      <w:rFonts w:ascii="宋体"/>
      <w:kern w:val="2"/>
      <w:sz w:val="24"/>
      <w:szCs w:val="21"/>
      <w:lang w:val="zh-CN"/>
    </w:rPr>
  </w:style>
  <w:style w:type="character" w:customStyle="1" w:styleId="347">
    <w:name w:val="副标题 字符1"/>
    <w:link w:val="48"/>
    <w:qFormat/>
    <w:uiPriority w:val="0"/>
    <w:rPr>
      <w:rFonts w:ascii="Arial" w:hAnsi="Arial" w:eastAsia="隶书"/>
      <w:b/>
      <w:bCs/>
      <w:kern w:val="28"/>
      <w:sz w:val="44"/>
      <w:szCs w:val="32"/>
      <w:lang w:val="en-US" w:eastAsia="zh-CN" w:bidi="ar-SA"/>
    </w:rPr>
  </w:style>
  <w:style w:type="character" w:customStyle="1" w:styleId="348">
    <w:name w:val="Footer Char"/>
    <w:qFormat/>
    <w:locked/>
    <w:uiPriority w:val="0"/>
    <w:rPr>
      <w:rFonts w:eastAsia="宋体"/>
      <w:kern w:val="2"/>
      <w:sz w:val="18"/>
      <w:lang w:val="en-US" w:eastAsia="zh-CN" w:bidi="ar-SA"/>
    </w:rPr>
  </w:style>
  <w:style w:type="character" w:customStyle="1" w:styleId="349">
    <w:name w:val="纯文本 Char"/>
    <w:qFormat/>
    <w:uiPriority w:val="0"/>
    <w:rPr>
      <w:rFonts w:ascii="宋体" w:hAnsi="Courier New" w:cs="Arial"/>
      <w:snapToGrid w:val="0"/>
      <w:kern w:val="2"/>
      <w:sz w:val="21"/>
      <w:szCs w:val="21"/>
    </w:rPr>
  </w:style>
  <w:style w:type="character" w:customStyle="1" w:styleId="350">
    <w:name w:val="正文非缩进 Char"/>
    <w:qFormat/>
    <w:uiPriority w:val="0"/>
    <w:rPr>
      <w:rFonts w:ascii="宋体" w:eastAsia="宋体"/>
      <w:snapToGrid w:val="0"/>
      <w:color w:val="000000"/>
      <w:kern w:val="28"/>
      <w:sz w:val="28"/>
      <w:lang w:val="en-US" w:eastAsia="zh-CN" w:bidi="ar-SA"/>
    </w:rPr>
  </w:style>
  <w:style w:type="character" w:customStyle="1" w:styleId="351">
    <w:name w:val="Item List Char"/>
    <w:link w:val="352"/>
    <w:qFormat/>
    <w:uiPriority w:val="0"/>
    <w:rPr>
      <w:rFonts w:ascii="Arial"/>
      <w:bCs/>
      <w:sz w:val="21"/>
      <w:szCs w:val="21"/>
      <w:lang w:val="en-US" w:eastAsia="zh-CN" w:bidi="ar-SA"/>
    </w:rPr>
  </w:style>
  <w:style w:type="paragraph" w:customStyle="1" w:styleId="352">
    <w:name w:val="Item List"/>
    <w:link w:val="35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53">
    <w:name w:val="正文文本缩进 3 字符"/>
    <w:qFormat/>
    <w:uiPriority w:val="0"/>
    <w:rPr>
      <w:rFonts w:ascii="Times New Roman" w:hAnsi="Times New Roman" w:cs="Times New Roman"/>
      <w:kern w:val="2"/>
      <w:sz w:val="24"/>
    </w:rPr>
  </w:style>
  <w:style w:type="character" w:customStyle="1" w:styleId="354">
    <w:name w:val="标书表格字体格式 Char"/>
    <w:qFormat/>
    <w:uiPriority w:val="0"/>
    <w:rPr>
      <w:kern w:val="2"/>
      <w:sz w:val="21"/>
      <w:szCs w:val="24"/>
      <w:lang w:bidi="ar-SA"/>
    </w:rPr>
  </w:style>
  <w:style w:type="character" w:customStyle="1" w:styleId="355">
    <w:name w:val="样式5 Char"/>
    <w:qFormat/>
    <w:uiPriority w:val="0"/>
    <w:rPr>
      <w:rFonts w:ascii="仿宋_GB2312" w:hAnsi="仿宋" w:eastAsia="仿宋_GB2312"/>
      <w:kern w:val="2"/>
      <w:sz w:val="24"/>
      <w:szCs w:val="24"/>
    </w:rPr>
  </w:style>
  <w:style w:type="character" w:customStyle="1" w:styleId="356">
    <w:name w:val="gf正文1 Char Char"/>
    <w:link w:val="357"/>
    <w:qFormat/>
    <w:uiPriority w:val="0"/>
    <w:rPr>
      <w:rFonts w:ascii="宋体" w:hAnsi="宋体" w:cs="宋体"/>
      <w:kern w:val="2"/>
      <w:sz w:val="24"/>
      <w:szCs w:val="24"/>
    </w:rPr>
  </w:style>
  <w:style w:type="paragraph" w:customStyle="1" w:styleId="357">
    <w:name w:val="gf正文1"/>
    <w:basedOn w:val="1"/>
    <w:link w:val="356"/>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358">
    <w:name w:val="批注主题 字符1"/>
    <w:link w:val="61"/>
    <w:qFormat/>
    <w:uiPriority w:val="0"/>
    <w:rPr>
      <w:b/>
      <w:bCs/>
      <w:kern w:val="2"/>
      <w:sz w:val="21"/>
      <w:szCs w:val="24"/>
    </w:rPr>
  </w:style>
  <w:style w:type="character" w:customStyle="1" w:styleId="359">
    <w:name w:val="标题 字符"/>
    <w:qFormat/>
    <w:uiPriority w:val="10"/>
    <w:rPr>
      <w:rFonts w:eastAsia="宋体"/>
      <w:b/>
      <w:sz w:val="24"/>
      <w:lang w:val="en-GB" w:eastAsia="zh-CN" w:bidi="ar-SA"/>
    </w:rPr>
  </w:style>
  <w:style w:type="character" w:customStyle="1" w:styleId="360">
    <w:name w:val="正文1 Char"/>
    <w:qFormat/>
    <w:uiPriority w:val="0"/>
    <w:rPr>
      <w:rFonts w:ascii="宋体" w:eastAsia="宋体"/>
      <w:snapToGrid w:val="0"/>
      <w:color w:val="000000"/>
      <w:kern w:val="28"/>
      <w:sz w:val="28"/>
      <w:lang w:val="en-US" w:eastAsia="zh-CN" w:bidi="ar-SA"/>
    </w:rPr>
  </w:style>
  <w:style w:type="character" w:customStyle="1" w:styleId="361">
    <w:name w:val="content"/>
    <w:qFormat/>
    <w:uiPriority w:val="0"/>
  </w:style>
  <w:style w:type="character" w:customStyle="1" w:styleId="362">
    <w:name w:val="font01"/>
    <w:qFormat/>
    <w:uiPriority w:val="0"/>
    <w:rPr>
      <w:rFonts w:hint="eastAsia" w:ascii="微软雅黑" w:hAnsi="微软雅黑" w:eastAsia="微软雅黑" w:cs="微软雅黑"/>
      <w:color w:val="000000"/>
      <w:sz w:val="20"/>
      <w:szCs w:val="20"/>
      <w:u w:val="none"/>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标题4-dyf Char"/>
    <w:link w:val="365"/>
    <w:qFormat/>
    <w:uiPriority w:val="0"/>
    <w:rPr>
      <w:rFonts w:ascii="Cambria" w:hAnsi="Cambria"/>
      <w:b/>
      <w:bCs/>
      <w:color w:val="000000"/>
      <w:kern w:val="2"/>
      <w:sz w:val="21"/>
      <w:szCs w:val="21"/>
    </w:rPr>
  </w:style>
  <w:style w:type="paragraph" w:customStyle="1" w:styleId="365">
    <w:name w:val="标题4-dyf"/>
    <w:basedOn w:val="7"/>
    <w:link w:val="364"/>
    <w:qFormat/>
    <w:uiPriority w:val="0"/>
    <w:pPr>
      <w:numPr>
        <w:ilvl w:val="0"/>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366">
    <w:name w:val="Font Style82"/>
    <w:qFormat/>
    <w:uiPriority w:val="99"/>
    <w:rPr>
      <w:rFonts w:ascii="宋体" w:eastAsia="宋体" w:cs="宋体"/>
      <w:color w:val="000000"/>
      <w:sz w:val="14"/>
      <w:szCs w:val="14"/>
    </w:rPr>
  </w:style>
  <w:style w:type="character" w:customStyle="1" w:styleId="367">
    <w:name w:val="称呼 字符1"/>
    <w:link w:val="22"/>
    <w:qFormat/>
    <w:uiPriority w:val="0"/>
    <w:rPr>
      <w:rFonts w:ascii="仿宋_GB2312" w:eastAsia="仿宋_GB2312"/>
      <w:kern w:val="2"/>
      <w:sz w:val="28"/>
    </w:rPr>
  </w:style>
  <w:style w:type="character" w:customStyle="1" w:styleId="368">
    <w:name w:val="Default Char"/>
    <w:link w:val="369"/>
    <w:qFormat/>
    <w:uiPriority w:val="0"/>
    <w:rPr>
      <w:rFonts w:ascii="仿宋_GB2312" w:eastAsia="仿宋_GB2312"/>
      <w:color w:val="000000"/>
      <w:sz w:val="24"/>
      <w:szCs w:val="24"/>
      <w:lang w:bidi="ar-SA"/>
    </w:rPr>
  </w:style>
  <w:style w:type="paragraph" w:customStyle="1" w:styleId="369">
    <w:name w:val="Default"/>
    <w:link w:val="368"/>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 w:type="character" w:customStyle="1" w:styleId="370">
    <w:name w:val="Document Map Char"/>
    <w:qFormat/>
    <w:locked/>
    <w:uiPriority w:val="0"/>
    <w:rPr>
      <w:rFonts w:eastAsia="宋体"/>
      <w:kern w:val="2"/>
      <w:sz w:val="21"/>
      <w:szCs w:val="24"/>
      <w:lang w:val="en-US" w:eastAsia="zh-CN" w:bidi="ar-SA"/>
    </w:rPr>
  </w:style>
  <w:style w:type="character" w:customStyle="1" w:styleId="371">
    <w:name w:val="tw4winInternal"/>
    <w:qFormat/>
    <w:uiPriority w:val="0"/>
    <w:rPr>
      <w:rFonts w:ascii="Courier New" w:hAnsi="Courier New" w:cs="Courier New"/>
      <w:color w:val="FF0000"/>
      <w:lang w:val="en-US" w:eastAsia="zh-CN"/>
    </w:rPr>
  </w:style>
  <w:style w:type="character" w:customStyle="1" w:styleId="372">
    <w:name w:val="日期 字符"/>
    <w:qFormat/>
    <w:uiPriority w:val="0"/>
    <w:rPr>
      <w:rFonts w:ascii="宋体" w:hAnsi="Times New Roman" w:cs="Times New Roman"/>
      <w:kern w:val="2"/>
      <w:sz w:val="24"/>
      <w:lang w:val="zh-CN"/>
    </w:rPr>
  </w:style>
  <w:style w:type="character" w:customStyle="1" w:styleId="373">
    <w:name w:val="Footer-Even Char"/>
    <w:qFormat/>
    <w:uiPriority w:val="0"/>
    <w:rPr>
      <w:rFonts w:eastAsia="宋体"/>
      <w:kern w:val="2"/>
      <w:sz w:val="18"/>
      <w:lang w:val="en-US" w:eastAsia="zh-CN" w:bidi="ar-SA"/>
    </w:rPr>
  </w:style>
  <w:style w:type="character" w:customStyle="1" w:styleId="374">
    <w:name w:val="标题 3 字符"/>
    <w:qFormat/>
    <w:uiPriority w:val="0"/>
    <w:rPr>
      <w:b/>
      <w:bCs/>
      <w:kern w:val="2"/>
      <w:sz w:val="32"/>
      <w:szCs w:val="32"/>
    </w:rPr>
  </w:style>
  <w:style w:type="character" w:customStyle="1" w:styleId="375">
    <w:name w:val="冯 Char"/>
    <w:link w:val="376"/>
    <w:qFormat/>
    <w:uiPriority w:val="0"/>
    <w:rPr>
      <w:rFonts w:ascii="宋体" w:hAnsi="宋体"/>
      <w:color w:val="000000"/>
      <w:sz w:val="24"/>
      <w:szCs w:val="24"/>
    </w:rPr>
  </w:style>
  <w:style w:type="paragraph" w:customStyle="1" w:styleId="376">
    <w:name w:val="冯"/>
    <w:basedOn w:val="1"/>
    <w:link w:val="375"/>
    <w:qFormat/>
    <w:uiPriority w:val="0"/>
    <w:pPr>
      <w:widowControl/>
      <w:adjustRightInd/>
      <w:spacing w:line="360" w:lineRule="auto"/>
      <w:ind w:firstLine="480" w:firstLineChars="200"/>
    </w:pPr>
    <w:rPr>
      <w:rFonts w:ascii="宋体" w:hAnsi="宋体"/>
      <w:color w:val="000000"/>
      <w:kern w:val="0"/>
      <w:sz w:val="24"/>
    </w:rPr>
  </w:style>
  <w:style w:type="character" w:customStyle="1" w:styleId="377">
    <w:name w:val="Char Char16"/>
    <w:qFormat/>
    <w:uiPriority w:val="0"/>
    <w:rPr>
      <w:rFonts w:eastAsia="宋体"/>
      <w:b/>
      <w:kern w:val="2"/>
      <w:sz w:val="32"/>
      <w:lang w:val="en-US" w:eastAsia="zh-CN"/>
    </w:rPr>
  </w:style>
  <w:style w:type="character" w:customStyle="1" w:styleId="378">
    <w:name w:val="No Spacing Char"/>
    <w:link w:val="379"/>
    <w:uiPriority w:val="1"/>
    <w:rPr>
      <w:rFonts w:ascii="Calibri" w:hAnsi="Calibri"/>
      <w:sz w:val="22"/>
      <w:szCs w:val="22"/>
      <w:lang w:val="en-US" w:eastAsia="zh-CN" w:bidi="ar-SA"/>
    </w:rPr>
  </w:style>
  <w:style w:type="paragraph" w:customStyle="1" w:styleId="379">
    <w:name w:val="无间隔1"/>
    <w:link w:val="378"/>
    <w:qFormat/>
    <w:uiPriority w:val="1"/>
    <w:rPr>
      <w:rFonts w:ascii="Calibri" w:hAnsi="Calibri" w:eastAsia="宋体" w:cs="Times New Roman"/>
      <w:sz w:val="22"/>
      <w:szCs w:val="22"/>
      <w:lang w:val="en-US" w:eastAsia="zh-CN" w:bidi="ar-SA"/>
    </w:rPr>
  </w:style>
  <w:style w:type="character" w:customStyle="1" w:styleId="380">
    <w:name w:val="px14"/>
    <w:qFormat/>
    <w:uiPriority w:val="0"/>
    <w:rPr>
      <w:rFonts w:ascii="仿宋_GB2312" w:eastAsia="微软雅黑" w:cs="Times New Roman"/>
      <w:b/>
      <w:kern w:val="2"/>
      <w:sz w:val="32"/>
      <w:szCs w:val="32"/>
      <w:lang w:val="en-US" w:eastAsia="zh-CN" w:bidi="ar-SA"/>
    </w:rPr>
  </w:style>
  <w:style w:type="character" w:customStyle="1" w:styleId="381">
    <w:name w:val="Char Char2"/>
    <w:qFormat/>
    <w:uiPriority w:val="0"/>
    <w:rPr>
      <w:rFonts w:eastAsia="宋体"/>
      <w:b/>
      <w:bCs/>
      <w:kern w:val="2"/>
      <w:sz w:val="21"/>
      <w:szCs w:val="24"/>
      <w:lang w:val="en-US"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c7 style3"/>
    <w:qFormat/>
    <w:uiPriority w:val="0"/>
  </w:style>
  <w:style w:type="character" w:customStyle="1" w:styleId="384">
    <w:name w:val="标题 3 Char2"/>
    <w:qFormat/>
    <w:uiPriority w:val="0"/>
    <w:rPr>
      <w:rFonts w:eastAsia="宋体"/>
      <w:b/>
      <w:bCs/>
      <w:kern w:val="2"/>
      <w:sz w:val="32"/>
      <w:szCs w:val="32"/>
      <w:lang w:val="en-US" w:eastAsia="zh-CN" w:bidi="ar-SA"/>
    </w:rPr>
  </w:style>
  <w:style w:type="character" w:customStyle="1" w:styleId="385">
    <w:name w:val="副标题 Char1"/>
    <w:qFormat/>
    <w:uiPriority w:val="0"/>
    <w:rPr>
      <w:rFonts w:ascii="Cambria" w:hAnsi="Cambria" w:eastAsia="宋体" w:cs="Times New Roman"/>
      <w:b/>
      <w:bCs/>
      <w:snapToGrid w:val="0"/>
      <w:kern w:val="28"/>
      <w:sz w:val="32"/>
      <w:szCs w:val="32"/>
    </w:rPr>
  </w:style>
  <w:style w:type="character" w:customStyle="1" w:styleId="386">
    <w:name w:val="Char Char29"/>
    <w:uiPriority w:val="6"/>
    <w:rPr>
      <w:rFonts w:ascii="Arial" w:hAnsi="Arial" w:eastAsia="微软雅黑"/>
      <w:b/>
      <w:kern w:val="1"/>
      <w:sz w:val="44"/>
      <w:szCs w:val="32"/>
      <w:lang w:val="en-US" w:eastAsia="zh-CN" w:bidi="ar-SA"/>
    </w:rPr>
  </w:style>
  <w:style w:type="character" w:customStyle="1" w:styleId="387">
    <w:name w:val="Char Char4"/>
    <w:qFormat/>
    <w:uiPriority w:val="0"/>
    <w:rPr>
      <w:rFonts w:eastAsia="宋体"/>
      <w:b/>
      <w:sz w:val="24"/>
      <w:lang w:val="en-GB" w:eastAsia="zh-CN" w:bidi="ar-SA"/>
    </w:rPr>
  </w:style>
  <w:style w:type="character" w:customStyle="1" w:styleId="388">
    <w:name w:val="Char Char35"/>
    <w:qFormat/>
    <w:uiPriority w:val="6"/>
    <w:rPr>
      <w:rFonts w:ascii="Arial" w:hAnsi="Arial" w:eastAsia="黑体"/>
      <w:b/>
      <w:kern w:val="1"/>
      <w:sz w:val="28"/>
      <w:szCs w:val="28"/>
      <w:lang w:val="zh-CN"/>
    </w:rPr>
  </w:style>
  <w:style w:type="character" w:customStyle="1" w:styleId="389">
    <w:name w:val="Char Char102"/>
    <w:semiHidden/>
    <w:qFormat/>
    <w:uiPriority w:val="0"/>
    <w:rPr>
      <w:rFonts w:ascii="宋体" w:hAnsi="宋体"/>
      <w:kern w:val="2"/>
      <w:sz w:val="21"/>
      <w:szCs w:val="24"/>
      <w:lang w:val="en-US" w:eastAsia="zh-CN"/>
    </w:rPr>
  </w:style>
  <w:style w:type="character" w:customStyle="1" w:styleId="390">
    <w:name w:val="正文首行缩进 Char Char Char Char Char"/>
    <w:qFormat/>
    <w:uiPriority w:val="0"/>
    <w:rPr>
      <w:rFonts w:ascii="宋体"/>
      <w:kern w:val="2"/>
      <w:sz w:val="24"/>
      <w:lang w:val="zh-CN"/>
    </w:rPr>
  </w:style>
  <w:style w:type="character" w:customStyle="1" w:styleId="391">
    <w:name w:val="Char Char32"/>
    <w:qFormat/>
    <w:uiPriority w:val="6"/>
    <w:rPr>
      <w:b/>
      <w:kern w:val="1"/>
      <w:sz w:val="24"/>
      <w:szCs w:val="24"/>
    </w:rPr>
  </w:style>
  <w:style w:type="character" w:customStyle="1" w:styleId="392">
    <w:name w:val="批注主题 字符"/>
    <w:qFormat/>
    <w:uiPriority w:val="99"/>
    <w:rPr>
      <w:rFonts w:ascii="Times New Roman" w:hAnsi="Times New Roman" w:cs="Times New Roman"/>
      <w:b/>
      <w:bCs/>
      <w:kern w:val="2"/>
      <w:sz w:val="21"/>
    </w:rPr>
  </w:style>
  <w:style w:type="character" w:customStyle="1" w:styleId="393">
    <w:name w:val="正文文字缩进 2 Char Char"/>
    <w:qFormat/>
    <w:uiPriority w:val="0"/>
    <w:rPr>
      <w:rFonts w:ascii="宋体"/>
      <w:sz w:val="28"/>
    </w:rPr>
  </w:style>
  <w:style w:type="character" w:customStyle="1" w:styleId="394">
    <w:name w:val="正文文本缩进 3 字符1"/>
    <w:link w:val="54"/>
    <w:qFormat/>
    <w:uiPriority w:val="0"/>
    <w:rPr>
      <w:kern w:val="2"/>
      <w:sz w:val="24"/>
    </w:rPr>
  </w:style>
  <w:style w:type="character" w:customStyle="1" w:styleId="395">
    <w:name w:val="正文文本缩进 2 字符1"/>
    <w:link w:val="38"/>
    <w:qFormat/>
    <w:uiPriority w:val="0"/>
    <w:rPr>
      <w:rFonts w:ascii="宋体"/>
      <w:sz w:val="28"/>
    </w:rPr>
  </w:style>
  <w:style w:type="character" w:customStyle="1" w:styleId="396">
    <w:name w:val="正文首行缩进 2 Char1"/>
    <w:uiPriority w:val="0"/>
    <w:rPr>
      <w:rFonts w:ascii="Times New Roman" w:hAnsi="Times New Roman" w:eastAsia="宋体" w:cs="Times New Roman"/>
      <w:kern w:val="2"/>
      <w:sz w:val="24"/>
      <w:szCs w:val="24"/>
    </w:rPr>
  </w:style>
  <w:style w:type="character" w:customStyle="1" w:styleId="397">
    <w:name w:val="Char Char221"/>
    <w:qFormat/>
    <w:uiPriority w:val="0"/>
    <w:rPr>
      <w:rFonts w:eastAsia="宋体"/>
      <w:b/>
      <w:bCs/>
      <w:kern w:val="2"/>
      <w:sz w:val="21"/>
      <w:szCs w:val="24"/>
      <w:lang w:val="en-US" w:eastAsia="zh-CN" w:bidi="ar-SA"/>
    </w:rPr>
  </w:style>
  <w:style w:type="character" w:customStyle="1" w:styleId="398">
    <w:name w:val="标题 2 Char Char"/>
    <w:qFormat/>
    <w:uiPriority w:val="0"/>
    <w:rPr>
      <w:rFonts w:ascii="楷体_GB2312" w:hAnsi="Arial" w:eastAsia="楷体_GB2312"/>
      <w:b/>
      <w:bCs/>
      <w:kern w:val="2"/>
      <w:sz w:val="24"/>
      <w:szCs w:val="32"/>
      <w:lang w:val="en-US" w:eastAsia="zh-CN" w:bidi="ar-SA"/>
    </w:rPr>
  </w:style>
  <w:style w:type="character" w:customStyle="1" w:styleId="399">
    <w:name w:val="font61"/>
    <w:qFormat/>
    <w:uiPriority w:val="0"/>
    <w:rPr>
      <w:rFonts w:hint="eastAsia" w:ascii="仿宋" w:hAnsi="仿宋" w:eastAsia="仿宋" w:cs="仿宋"/>
      <w:color w:val="000000"/>
      <w:sz w:val="20"/>
      <w:szCs w:val="20"/>
      <w:u w:val="none"/>
    </w:rPr>
  </w:style>
  <w:style w:type="character" w:customStyle="1" w:styleId="400">
    <w:name w:val="(1  正文 Char"/>
    <w:link w:val="401"/>
    <w:qFormat/>
    <w:uiPriority w:val="0"/>
    <w:rPr>
      <w:rFonts w:ascii="长城仿宋" w:hAnsi="等线" w:eastAsia="仿宋" w:cs="Times New Roman"/>
      <w:sz w:val="28"/>
    </w:rPr>
  </w:style>
  <w:style w:type="paragraph" w:customStyle="1" w:styleId="401">
    <w:name w:val="(1  正文"/>
    <w:basedOn w:val="1"/>
    <w:link w:val="400"/>
    <w:qFormat/>
    <w:uiPriority w:val="0"/>
    <w:pPr>
      <w:spacing w:line="560" w:lineRule="exact"/>
      <w:ind w:firstLine="560" w:firstLineChars="200"/>
      <w:textAlignment w:val="baseline"/>
    </w:pPr>
    <w:rPr>
      <w:rFonts w:ascii="长城仿宋" w:hAnsi="等线" w:eastAsia="仿宋" w:cs="Times New Roman"/>
      <w:kern w:val="0"/>
      <w:sz w:val="28"/>
      <w:szCs w:val="20"/>
    </w:rPr>
  </w:style>
  <w:style w:type="character" w:customStyle="1" w:styleId="402">
    <w:name w:val="文档结构图 字符"/>
    <w:link w:val="20"/>
    <w:qFormat/>
    <w:uiPriority w:val="0"/>
    <w:rPr>
      <w:kern w:val="2"/>
      <w:sz w:val="21"/>
      <w:szCs w:val="24"/>
      <w:shd w:val="clear" w:color="auto" w:fill="000080"/>
    </w:rPr>
  </w:style>
  <w:style w:type="character" w:customStyle="1" w:styleId="403">
    <w:name w:val="标题 9 字符"/>
    <w:qFormat/>
    <w:uiPriority w:val="9"/>
    <w:rPr>
      <w:rFonts w:ascii="Arial" w:hAnsi="Arial" w:eastAsia="黑体" w:cs="Times New Roman"/>
      <w:kern w:val="2"/>
      <w:sz w:val="21"/>
    </w:rPr>
  </w:style>
  <w:style w:type="character" w:customStyle="1" w:styleId="404">
    <w:name w:val="图表格式111 Char"/>
    <w:link w:val="405"/>
    <w:qFormat/>
    <w:uiPriority w:val="0"/>
    <w:rPr>
      <w:rFonts w:ascii="黑体" w:hAnsi="黑体" w:eastAsia="黑体"/>
      <w:b/>
      <w:bCs/>
      <w:color w:val="0D0D0D"/>
      <w:kern w:val="2"/>
      <w:sz w:val="21"/>
      <w:szCs w:val="21"/>
    </w:rPr>
  </w:style>
  <w:style w:type="paragraph" w:customStyle="1" w:styleId="405">
    <w:name w:val="图表格式111"/>
    <w:basedOn w:val="1"/>
    <w:link w:val="404"/>
    <w:qFormat/>
    <w:uiPriority w:val="0"/>
    <w:pPr>
      <w:widowControl/>
      <w:numPr>
        <w:ilvl w:val="0"/>
        <w:numId w:val="6"/>
      </w:numPr>
      <w:adjustRightInd/>
      <w:spacing w:before="120" w:after="120"/>
      <w:jc w:val="center"/>
    </w:pPr>
    <w:rPr>
      <w:rFonts w:ascii="黑体" w:hAnsi="黑体" w:eastAsia="黑体"/>
      <w:b/>
      <w:bCs/>
      <w:color w:val="0D0D0D"/>
      <w:szCs w:val="21"/>
    </w:rPr>
  </w:style>
  <w:style w:type="character" w:customStyle="1" w:styleId="406">
    <w:name w:val="无间隔 Char"/>
    <w:qFormat/>
    <w:locked/>
    <w:uiPriority w:val="1"/>
    <w:rPr>
      <w:szCs w:val="24"/>
    </w:rPr>
  </w:style>
  <w:style w:type="character" w:customStyle="1" w:styleId="407">
    <w:name w:val="font51"/>
    <w:qFormat/>
    <w:uiPriority w:val="0"/>
    <w:rPr>
      <w:rFonts w:hint="eastAsia" w:ascii="仿宋" w:hAnsi="仿宋" w:eastAsia="仿宋" w:cs="仿宋"/>
      <w:color w:val="000000"/>
      <w:sz w:val="20"/>
      <w:szCs w:val="20"/>
      <w:u w:val="none"/>
    </w:rPr>
  </w:style>
  <w:style w:type="character" w:customStyle="1" w:styleId="408">
    <w:name w:val="Used by Word for text of Help footnotes Char Char1"/>
    <w:qFormat/>
    <w:uiPriority w:val="0"/>
    <w:rPr>
      <w:color w:val="0000FF"/>
      <w:sz w:val="21"/>
    </w:rPr>
  </w:style>
  <w:style w:type="character" w:customStyle="1" w:styleId="409">
    <w:name w:val="宋体正文 Char"/>
    <w:link w:val="410"/>
    <w:qFormat/>
    <w:uiPriority w:val="0"/>
    <w:rPr>
      <w:rFonts w:ascii="Calibri" w:hAnsi="Calibri"/>
      <w:kern w:val="2"/>
      <w:sz w:val="24"/>
      <w:szCs w:val="24"/>
      <w:lang w:bidi="ar-SA"/>
    </w:rPr>
  </w:style>
  <w:style w:type="paragraph" w:customStyle="1" w:styleId="410">
    <w:name w:val="宋体正文"/>
    <w:next w:val="1"/>
    <w:link w:val="409"/>
    <w:qFormat/>
    <w:uiPriority w:val="0"/>
    <w:pPr>
      <w:spacing w:line="360" w:lineRule="auto"/>
      <w:ind w:firstLine="480" w:firstLineChars="200"/>
      <w:jc w:val="both"/>
    </w:pPr>
    <w:rPr>
      <w:rFonts w:ascii="Calibri" w:hAnsi="Calibri" w:eastAsia="宋体" w:cs="Times New Roman"/>
      <w:kern w:val="2"/>
      <w:sz w:val="24"/>
      <w:szCs w:val="24"/>
      <w:lang w:val="en-US" w:eastAsia="zh-CN" w:bidi="ar-SA"/>
    </w:rPr>
  </w:style>
  <w:style w:type="character" w:customStyle="1" w:styleId="411">
    <w:name w:val="正文文本 3 字符"/>
    <w:qFormat/>
    <w:uiPriority w:val="0"/>
    <w:rPr>
      <w:rFonts w:ascii="Times New Roman" w:hAnsi="Times New Roman" w:cs="Times New Roman"/>
      <w:kern w:val="2"/>
      <w:sz w:val="21"/>
    </w:rPr>
  </w:style>
  <w:style w:type="character" w:customStyle="1" w:styleId="412">
    <w:name w:val="font12gray1"/>
    <w:qFormat/>
    <w:uiPriority w:val="0"/>
    <w:rPr>
      <w:rFonts w:ascii="仿宋_GB2312" w:eastAsia="微软雅黑"/>
      <w:b/>
      <w:spacing w:val="300"/>
      <w:kern w:val="2"/>
      <w:sz w:val="18"/>
      <w:szCs w:val="18"/>
      <w:lang w:val="en-US" w:eastAsia="zh-CN" w:bidi="ar-SA"/>
    </w:rPr>
  </w:style>
  <w:style w:type="character" w:customStyle="1" w:styleId="413">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14">
    <w:name w:val="正文缩进 Char1"/>
    <w:qFormat/>
    <w:uiPriority w:val="0"/>
    <w:rPr>
      <w:rFonts w:ascii="宋体" w:eastAsia="宋体"/>
      <w:snapToGrid w:val="0"/>
      <w:color w:val="000000"/>
      <w:kern w:val="28"/>
      <w:sz w:val="28"/>
      <w:lang w:val="en-US" w:eastAsia="zh-CN" w:bidi="ar-SA"/>
    </w:rPr>
  </w:style>
  <w:style w:type="character" w:customStyle="1" w:styleId="415">
    <w:name w:val="表正文 Char3"/>
    <w:qFormat/>
    <w:uiPriority w:val="0"/>
    <w:rPr>
      <w:rFonts w:eastAsia="宋体"/>
    </w:rPr>
  </w:style>
  <w:style w:type="character" w:customStyle="1" w:styleId="416">
    <w:name w:val="表格 Char Char"/>
    <w:qFormat/>
    <w:uiPriority w:val="0"/>
    <w:rPr>
      <w:rFonts w:ascii="宋体" w:hAnsi="宋体" w:eastAsia="宋体"/>
      <w:lang w:bidi="ar-SA"/>
    </w:rPr>
  </w:style>
  <w:style w:type="character" w:customStyle="1" w:styleId="417">
    <w:name w:val="blue1"/>
    <w:basedOn w:val="71"/>
    <w:qFormat/>
    <w:uiPriority w:val="0"/>
    <w:rPr>
      <w:rFonts w:ascii="Arial" w:hAnsi="Arial" w:eastAsia="黑体" w:cs="Arial"/>
      <w:snapToGrid w:val="0"/>
      <w:kern w:val="0"/>
      <w:szCs w:val="21"/>
    </w:rPr>
  </w:style>
  <w:style w:type="character" w:customStyle="1" w:styleId="418">
    <w:name w:val="普通文字 Char1 Char"/>
    <w:qFormat/>
    <w:uiPriority w:val="0"/>
    <w:rPr>
      <w:rFonts w:ascii="宋体" w:hAnsi="Courier New" w:eastAsia="宋体"/>
      <w:kern w:val="2"/>
      <w:sz w:val="21"/>
      <w:szCs w:val="24"/>
      <w:lang w:val="en-US" w:eastAsia="zh-CN" w:bidi="ar-SA"/>
    </w:rPr>
  </w:style>
  <w:style w:type="character" w:customStyle="1" w:styleId="41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420">
    <w:name w:val="!BECC正文 Char"/>
    <w:link w:val="421"/>
    <w:qFormat/>
    <w:locked/>
    <w:uiPriority w:val="0"/>
    <w:rPr>
      <w:szCs w:val="24"/>
    </w:rPr>
  </w:style>
  <w:style w:type="paragraph" w:customStyle="1" w:styleId="421">
    <w:name w:val="!BECC正文"/>
    <w:basedOn w:val="1"/>
    <w:link w:val="420"/>
    <w:qFormat/>
    <w:uiPriority w:val="0"/>
    <w:pPr>
      <w:tabs>
        <w:tab w:val="left" w:pos="0"/>
      </w:tabs>
      <w:snapToGrid w:val="0"/>
      <w:spacing w:line="360" w:lineRule="auto"/>
      <w:ind w:firstLine="200" w:firstLineChars="200"/>
    </w:pPr>
    <w:rPr>
      <w:kern w:val="0"/>
      <w:sz w:val="20"/>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__正文 Char"/>
    <w:link w:val="424"/>
    <w:qFormat/>
    <w:uiPriority w:val="0"/>
    <w:rPr>
      <w:rFonts w:ascii="Calibri" w:hAnsi="Calibri" w:eastAsia="等线"/>
      <w:kern w:val="2"/>
      <w:sz w:val="24"/>
      <w:szCs w:val="21"/>
    </w:rPr>
  </w:style>
  <w:style w:type="paragraph" w:customStyle="1" w:styleId="424">
    <w:name w:val="__正文"/>
    <w:link w:val="423"/>
    <w:qFormat/>
    <w:uiPriority w:val="0"/>
    <w:pPr>
      <w:spacing w:line="360" w:lineRule="auto"/>
      <w:ind w:firstLine="200" w:firstLineChars="200"/>
    </w:pPr>
    <w:rPr>
      <w:rFonts w:ascii="Calibri" w:hAnsi="Calibri" w:eastAsia="等线" w:cs="Times New Roman"/>
      <w:kern w:val="2"/>
      <w:sz w:val="24"/>
      <w:szCs w:val="21"/>
      <w:lang w:val="en-US" w:eastAsia="zh-CN" w:bidi="ar-SA"/>
    </w:rPr>
  </w:style>
  <w:style w:type="character" w:customStyle="1" w:styleId="425">
    <w:name w:val="标书1 Char"/>
    <w:qFormat/>
    <w:uiPriority w:val="0"/>
    <w:rPr>
      <w:rFonts w:eastAsia="宋体"/>
      <w:b/>
      <w:bCs/>
      <w:kern w:val="44"/>
      <w:sz w:val="44"/>
      <w:szCs w:val="44"/>
      <w:lang w:val="en-US" w:eastAsia="zh-CN" w:bidi="ar-SA"/>
    </w:rPr>
  </w:style>
  <w:style w:type="character" w:customStyle="1" w:styleId="426">
    <w:name w:val="dandyren_title1"/>
    <w:qFormat/>
    <w:uiPriority w:val="0"/>
    <w:rPr>
      <w:b/>
      <w:bCs/>
      <w:color w:val="FF6633"/>
      <w:sz w:val="18"/>
      <w:szCs w:val="18"/>
    </w:rPr>
  </w:style>
  <w:style w:type="character" w:customStyle="1" w:styleId="427">
    <w:name w:val="标题 字符1"/>
    <w:link w:val="60"/>
    <w:qFormat/>
    <w:uiPriority w:val="0"/>
    <w:rPr>
      <w:b/>
      <w:sz w:val="24"/>
      <w:lang w:val="en-GB"/>
    </w:rPr>
  </w:style>
  <w:style w:type="character" w:customStyle="1" w:styleId="428">
    <w:name w:val="批注框文本 字符"/>
    <w:qFormat/>
    <w:uiPriority w:val="99"/>
    <w:rPr>
      <w:rFonts w:ascii="Arial" w:hAnsi="Arial" w:eastAsia="黑体" w:cs="Arial"/>
      <w:snapToGrid w:val="0"/>
      <w:kern w:val="0"/>
      <w:sz w:val="18"/>
      <w:szCs w:val="18"/>
    </w:rPr>
  </w:style>
  <w:style w:type="character" w:customStyle="1" w:styleId="429">
    <w:name w:val="h Char1"/>
    <w:qFormat/>
    <w:uiPriority w:val="0"/>
    <w:rPr>
      <w:sz w:val="18"/>
      <w:szCs w:val="18"/>
    </w:rPr>
  </w:style>
  <w:style w:type="character" w:customStyle="1" w:styleId="430">
    <w:name w:val="正文格式 Char"/>
    <w:basedOn w:val="71"/>
    <w:link w:val="431"/>
    <w:qFormat/>
    <w:uiPriority w:val="0"/>
    <w:rPr>
      <w:sz w:val="24"/>
    </w:rPr>
  </w:style>
  <w:style w:type="paragraph" w:customStyle="1" w:styleId="431">
    <w:name w:val="正文格式"/>
    <w:basedOn w:val="1"/>
    <w:link w:val="430"/>
    <w:qFormat/>
    <w:uiPriority w:val="0"/>
    <w:pPr>
      <w:widowControl/>
      <w:autoSpaceDE w:val="0"/>
      <w:autoSpaceDN w:val="0"/>
      <w:snapToGrid w:val="0"/>
      <w:spacing w:line="360" w:lineRule="atLeast"/>
      <w:ind w:firstLine="200" w:firstLineChars="200"/>
      <w:textAlignment w:val="baseline"/>
    </w:pPr>
    <w:rPr>
      <w:kern w:val="0"/>
      <w:sz w:val="24"/>
      <w:szCs w:val="20"/>
    </w:rPr>
  </w:style>
  <w:style w:type="character" w:customStyle="1" w:styleId="432">
    <w:name w:val="highlight1"/>
    <w:qFormat/>
    <w:uiPriority w:val="0"/>
    <w:rPr>
      <w:rFonts w:ascii="仿宋_GB2312" w:eastAsia="微软雅黑"/>
      <w:b/>
      <w:kern w:val="2"/>
      <w:sz w:val="23"/>
      <w:szCs w:val="23"/>
      <w:lang w:val="en-US" w:eastAsia="zh-CN" w:bidi="ar-SA"/>
    </w:rPr>
  </w:style>
  <w:style w:type="character" w:customStyle="1" w:styleId="433">
    <w:name w:val="question-title2"/>
    <w:uiPriority w:val="6"/>
    <w:rPr>
      <w:rFonts w:ascii="Arial" w:hAnsi="Arial" w:eastAsia="黑体" w:cs="Arial"/>
      <w:snapToGrid w:val="0"/>
      <w:kern w:val="0"/>
      <w:szCs w:val="21"/>
    </w:rPr>
  </w:style>
  <w:style w:type="character" w:customStyle="1" w:styleId="434">
    <w:name w:val="Balloon Text Char"/>
    <w:qFormat/>
    <w:locked/>
    <w:uiPriority w:val="0"/>
    <w:rPr>
      <w:rFonts w:eastAsia="宋体"/>
      <w:kern w:val="2"/>
      <w:sz w:val="18"/>
      <w:szCs w:val="18"/>
      <w:lang w:val="en-US" w:eastAsia="zh-CN" w:bidi="ar-SA"/>
    </w:rPr>
  </w:style>
  <w:style w:type="character" w:customStyle="1" w:styleId="435">
    <w:name w:val="Heading 7 Char"/>
    <w:qFormat/>
    <w:locked/>
    <w:uiPriority w:val="0"/>
    <w:rPr>
      <w:rFonts w:ascii="宋体" w:hAnsi="宋体" w:eastAsia="宋体"/>
      <w:b/>
      <w:bCs/>
      <w:kern w:val="2"/>
      <w:sz w:val="24"/>
      <w:szCs w:val="24"/>
      <w:lang w:val="en-US" w:eastAsia="zh-CN" w:bidi="ar-SA"/>
    </w:rPr>
  </w:style>
  <w:style w:type="character" w:customStyle="1" w:styleId="436">
    <w:name w:val="正文文本 字符1"/>
    <w:link w:val="25"/>
    <w:qFormat/>
    <w:uiPriority w:val="0"/>
    <w:rPr>
      <w:rFonts w:ascii="宋体" w:hAnsi="Arial" w:eastAsia="宋体" w:cs="Arial"/>
      <w:snapToGrid w:val="0"/>
      <w:kern w:val="2"/>
      <w:sz w:val="24"/>
      <w:szCs w:val="21"/>
      <w:lang w:val="zh-CN" w:eastAsia="zh-CN" w:bidi="ar-SA"/>
    </w:rPr>
  </w:style>
  <w:style w:type="character" w:customStyle="1" w:styleId="437">
    <w:name w:val="文档结构图 Char"/>
    <w:qFormat/>
    <w:uiPriority w:val="0"/>
    <w:rPr>
      <w:rFonts w:eastAsia="宋体"/>
      <w:kern w:val="2"/>
      <w:sz w:val="21"/>
      <w:szCs w:val="24"/>
      <w:lang w:val="en-US" w:eastAsia="zh-CN" w:bidi="ar-SA"/>
    </w:rPr>
  </w:style>
  <w:style w:type="character" w:customStyle="1" w:styleId="438">
    <w:name w:val="普通(网站) 字符"/>
    <w:link w:val="59"/>
    <w:qFormat/>
    <w:uiPriority w:val="99"/>
    <w:rPr>
      <w:rFonts w:ascii="宋体" w:hAnsi="宋体"/>
      <w:sz w:val="24"/>
      <w:szCs w:val="24"/>
    </w:rPr>
  </w:style>
  <w:style w:type="character" w:customStyle="1" w:styleId="439">
    <w:name w:val="3级 Char"/>
    <w:link w:val="440"/>
    <w:qFormat/>
    <w:uiPriority w:val="0"/>
    <w:rPr>
      <w:rFonts w:ascii="宋体" w:hAnsi="宋体"/>
      <w:b/>
      <w:bCs/>
      <w:snapToGrid/>
      <w:sz w:val="28"/>
    </w:rPr>
  </w:style>
  <w:style w:type="paragraph" w:customStyle="1" w:styleId="440">
    <w:name w:val="3级"/>
    <w:basedOn w:val="441"/>
    <w:link w:val="439"/>
    <w:qFormat/>
    <w:uiPriority w:val="0"/>
    <w:pPr>
      <w:ind w:left="0" w:right="466" w:firstLine="288"/>
    </w:pPr>
    <w:rPr>
      <w:rFonts w:hAnsi="宋体"/>
    </w:rPr>
  </w:style>
  <w:style w:type="paragraph" w:customStyle="1" w:styleId="441">
    <w:name w:val="样式 标题 3h33rd level3BOD 0H3l3CTHeading 3 - oldLevel 3 He..."/>
    <w:basedOn w:val="6"/>
    <w:qFormat/>
    <w:uiPriority w:val="99"/>
    <w:pPr>
      <w:keepLines w:val="0"/>
      <w:widowControl/>
      <w:numPr>
        <w:ilvl w:val="0"/>
        <w:numId w:val="0"/>
      </w:numPr>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442">
    <w:name w:val="称呼 Char1"/>
    <w:qFormat/>
    <w:uiPriority w:val="0"/>
    <w:rPr>
      <w:rFonts w:ascii="Times New Roman" w:hAnsi="Times New Roman" w:eastAsia="宋体" w:cs="Times New Roman"/>
      <w:szCs w:val="24"/>
    </w:rPr>
  </w:style>
  <w:style w:type="character" w:customStyle="1" w:styleId="443">
    <w:name w:val="f141"/>
    <w:qFormat/>
    <w:uiPriority w:val="0"/>
    <w:rPr>
      <w:rFonts w:ascii="Tahoma" w:hAnsi="Tahoma" w:eastAsia="宋体"/>
      <w:b/>
      <w:kern w:val="2"/>
      <w:sz w:val="21"/>
      <w:szCs w:val="21"/>
      <w:lang w:val="en-US" w:eastAsia="zh-CN" w:bidi="ar-SA"/>
    </w:rPr>
  </w:style>
  <w:style w:type="character" w:customStyle="1" w:styleId="444">
    <w:name w:val="列出段落 Char"/>
    <w:qFormat/>
    <w:uiPriority w:val="34"/>
    <w:rPr>
      <w:rFonts w:eastAsia="楷体_GB2312" w:cs="Lucida Sans"/>
      <w:kern w:val="2"/>
      <w:sz w:val="24"/>
      <w:szCs w:val="24"/>
      <w:lang w:val="en-US" w:eastAsia="zh-CN" w:bidi="ar-SA"/>
    </w:rPr>
  </w:style>
  <w:style w:type="character" w:customStyle="1" w:styleId="445">
    <w:name w:val="Char Char81"/>
    <w:qFormat/>
    <w:uiPriority w:val="6"/>
    <w:rPr>
      <w:rFonts w:eastAsia="宋体"/>
      <w:b/>
      <w:sz w:val="24"/>
      <w:lang w:val="en-GB" w:eastAsia="zh-CN"/>
    </w:rPr>
  </w:style>
  <w:style w:type="character" w:customStyle="1" w:styleId="446">
    <w:name w:val="Char Char25"/>
    <w:qFormat/>
    <w:uiPriority w:val="6"/>
    <w:rPr>
      <w:rFonts w:ascii="宋体" w:hAnsi="宋体"/>
      <w:kern w:val="1"/>
      <w:sz w:val="24"/>
      <w:lang w:val="zh-CN"/>
    </w:rPr>
  </w:style>
  <w:style w:type="character" w:customStyle="1" w:styleId="447">
    <w:name w:val="tw4winPopup"/>
    <w:qFormat/>
    <w:uiPriority w:val="0"/>
    <w:rPr>
      <w:rFonts w:ascii="Courier New" w:hAnsi="Courier New" w:cs="Courier New"/>
      <w:color w:val="008000"/>
      <w:lang w:val="en-US" w:eastAsia="zh-CN"/>
    </w:rPr>
  </w:style>
  <w:style w:type="character" w:customStyle="1" w:styleId="448">
    <w:name w:val="正文样式 Char"/>
    <w:link w:val="449"/>
    <w:qFormat/>
    <w:uiPriority w:val="0"/>
    <w:rPr>
      <w:rFonts w:ascii="Calibri" w:hAnsi="Calibri"/>
      <w:sz w:val="24"/>
      <w:szCs w:val="24"/>
    </w:rPr>
  </w:style>
  <w:style w:type="paragraph" w:customStyle="1" w:styleId="449">
    <w:name w:val="正文样式"/>
    <w:basedOn w:val="1"/>
    <w:link w:val="448"/>
    <w:qFormat/>
    <w:uiPriority w:val="0"/>
    <w:pPr>
      <w:adjustRightInd/>
      <w:spacing w:line="360" w:lineRule="auto"/>
      <w:ind w:firstLine="480" w:firstLineChars="200"/>
    </w:pPr>
    <w:rPr>
      <w:rFonts w:ascii="Calibri" w:hAnsi="Calibri"/>
      <w:kern w:val="0"/>
      <w:sz w:val="24"/>
    </w:rPr>
  </w:style>
  <w:style w:type="character" w:customStyle="1" w:styleId="450">
    <w:name w:val="正文段 Char"/>
    <w:link w:val="451"/>
    <w:qFormat/>
    <w:uiPriority w:val="0"/>
    <w:rPr>
      <w:sz w:val="24"/>
    </w:rPr>
  </w:style>
  <w:style w:type="paragraph" w:customStyle="1" w:styleId="451">
    <w:name w:val="正文段"/>
    <w:basedOn w:val="1"/>
    <w:link w:val="450"/>
    <w:qFormat/>
    <w:uiPriority w:val="0"/>
    <w:pPr>
      <w:widowControl/>
      <w:snapToGrid w:val="0"/>
      <w:spacing w:after="156" w:afterLines="50"/>
      <w:ind w:firstLine="200" w:firstLineChars="200"/>
    </w:pPr>
    <w:rPr>
      <w:kern w:val="0"/>
      <w:sz w:val="24"/>
      <w:szCs w:val="20"/>
    </w:rPr>
  </w:style>
  <w:style w:type="character" w:customStyle="1" w:styleId="452">
    <w:name w:val="Bold"/>
    <w:qFormat/>
    <w:uiPriority w:val="0"/>
    <w:rPr>
      <w:rFonts w:ascii="Arial" w:hAnsi="Arial" w:eastAsia="黑体" w:cs="Times New Roman"/>
      <w:b/>
      <w:kern w:val="2"/>
      <w:sz w:val="32"/>
      <w:szCs w:val="32"/>
      <w:lang w:val="en-US" w:eastAsia="zh-CN" w:bidi="ar-SA"/>
    </w:rPr>
  </w:style>
  <w:style w:type="character" w:customStyle="1" w:styleId="453">
    <w:name w:val="Char Char31"/>
    <w:qFormat/>
    <w:uiPriority w:val="6"/>
    <w:rPr>
      <w:rFonts w:ascii="Arial" w:hAnsi="Arial" w:eastAsia="黑体"/>
      <w:kern w:val="1"/>
      <w:sz w:val="24"/>
      <w:szCs w:val="24"/>
    </w:rPr>
  </w:style>
  <w:style w:type="character" w:customStyle="1" w:styleId="454">
    <w:name w:val="param-name"/>
    <w:qFormat/>
    <w:uiPriority w:val="99"/>
    <w:rPr>
      <w:rFonts w:ascii="Arial" w:hAnsi="Arial" w:eastAsia="黑体" w:cs="Arial"/>
      <w:snapToGrid w:val="0"/>
      <w:kern w:val="0"/>
      <w:szCs w:val="21"/>
    </w:rPr>
  </w:style>
  <w:style w:type="character" w:customStyle="1" w:styleId="455">
    <w:name w:val="Char Char5"/>
    <w:qFormat/>
    <w:uiPriority w:val="0"/>
    <w:rPr>
      <w:rFonts w:ascii="宋体" w:hAnsi="Courier New" w:eastAsia="宋体"/>
      <w:kern w:val="2"/>
      <w:sz w:val="21"/>
      <w:lang w:val="en-US" w:eastAsia="zh-CN"/>
    </w:rPr>
  </w:style>
  <w:style w:type="character" w:customStyle="1" w:styleId="456">
    <w:name w:val="表格非标题文字 Char"/>
    <w:link w:val="457"/>
    <w:qFormat/>
    <w:uiPriority w:val="0"/>
    <w:rPr>
      <w:rFonts w:ascii="Futura Bk" w:hAnsi="Futura Bk"/>
      <w:kern w:val="2"/>
      <w:sz w:val="18"/>
      <w:szCs w:val="21"/>
      <w:lang w:bidi="ar-SA"/>
    </w:rPr>
  </w:style>
  <w:style w:type="paragraph" w:customStyle="1" w:styleId="457">
    <w:name w:val="表格非标题文字"/>
    <w:link w:val="45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458">
    <w:name w:val="Char Char37"/>
    <w:qFormat/>
    <w:uiPriority w:val="6"/>
    <w:rPr>
      <w:b/>
      <w:kern w:val="1"/>
      <w:sz w:val="44"/>
      <w:szCs w:val="44"/>
    </w:rPr>
  </w:style>
  <w:style w:type="character" w:customStyle="1" w:styleId="459">
    <w:name w:val="gray6"/>
    <w:basedOn w:val="71"/>
    <w:qFormat/>
    <w:uiPriority w:val="0"/>
    <w:rPr>
      <w:rFonts w:ascii="Arial" w:hAnsi="Arial" w:eastAsia="黑体" w:cs="Arial"/>
      <w:snapToGrid w:val="0"/>
      <w:kern w:val="0"/>
      <w:szCs w:val="21"/>
    </w:rPr>
  </w:style>
  <w:style w:type="character" w:customStyle="1" w:styleId="460">
    <w:name w:val="hui"/>
    <w:basedOn w:val="71"/>
    <w:qFormat/>
    <w:uiPriority w:val="0"/>
    <w:rPr>
      <w:rFonts w:ascii="Arial" w:hAnsi="Arial" w:eastAsia="黑体" w:cs="Arial"/>
      <w:snapToGrid w:val="0"/>
      <w:kern w:val="0"/>
      <w:szCs w:val="21"/>
    </w:rPr>
  </w:style>
  <w:style w:type="character" w:customStyle="1" w:styleId="461">
    <w:name w:val="样式4 Char"/>
    <w:qFormat/>
    <w:uiPriority w:val="0"/>
    <w:rPr>
      <w:rFonts w:ascii="仿宋_GB2312" w:hAnsi="仿宋" w:eastAsia="仿宋_GB2312"/>
      <w:b/>
      <w:kern w:val="2"/>
      <w:sz w:val="32"/>
      <w:szCs w:val="32"/>
      <w:lang w:bidi="ar-SA"/>
    </w:rPr>
  </w:style>
  <w:style w:type="character" w:customStyle="1" w:styleId="462">
    <w:name w:val="标题 2 字符"/>
    <w:qFormat/>
    <w:uiPriority w:val="9"/>
    <w:rPr>
      <w:rFonts w:ascii="仿宋_GB2312" w:hAnsi="Times New Roman" w:eastAsia="仿宋_GB2312" w:cs="Times New Roman"/>
      <w:b/>
      <w:kern w:val="2"/>
      <w:sz w:val="24"/>
      <w:lang w:val="zh-CN"/>
    </w:rPr>
  </w:style>
  <w:style w:type="character" w:customStyle="1" w:styleId="463">
    <w:name w:val="编号，小四 Char"/>
    <w:link w:val="464"/>
    <w:qFormat/>
    <w:uiPriority w:val="0"/>
    <w:rPr>
      <w:rFonts w:ascii="Arial" w:hAnsi="Arial"/>
      <w:sz w:val="24"/>
    </w:rPr>
  </w:style>
  <w:style w:type="paragraph" w:customStyle="1" w:styleId="464">
    <w:name w:val="编号，小四"/>
    <w:basedOn w:val="1"/>
    <w:link w:val="463"/>
    <w:qFormat/>
    <w:uiPriority w:val="0"/>
    <w:pPr>
      <w:tabs>
        <w:tab w:val="left" w:pos="432"/>
      </w:tabs>
      <w:adjustRightInd/>
      <w:spacing w:line="360" w:lineRule="auto"/>
      <w:ind w:left="432" w:hanging="432"/>
    </w:pPr>
    <w:rPr>
      <w:rFonts w:ascii="Arial" w:hAnsi="Arial"/>
      <w:kern w:val="0"/>
      <w:sz w:val="24"/>
      <w:szCs w:val="20"/>
    </w:rPr>
  </w:style>
  <w:style w:type="character" w:customStyle="1" w:styleId="465">
    <w:name w:val="pt9"/>
    <w:qFormat/>
    <w:uiPriority w:val="0"/>
    <w:rPr>
      <w:rFonts w:ascii="仿宋_GB2312" w:eastAsia="微软雅黑"/>
      <w:b/>
      <w:kern w:val="2"/>
      <w:sz w:val="32"/>
      <w:szCs w:val="32"/>
      <w:lang w:val="en-US" w:eastAsia="zh-CN" w:bidi="ar-SA"/>
    </w:rPr>
  </w:style>
  <w:style w:type="character" w:customStyle="1" w:styleId="466">
    <w:name w:val="正文文本缩进 2 Char1"/>
    <w:semiHidden/>
    <w:qFormat/>
    <w:uiPriority w:val="99"/>
    <w:rPr>
      <w:rFonts w:ascii="Times New Roman" w:hAnsi="Times New Roman" w:eastAsia="宋体" w:cs="Times New Roman"/>
      <w:szCs w:val="24"/>
    </w:rPr>
  </w:style>
  <w:style w:type="character" w:customStyle="1" w:styleId="467">
    <w:name w:val="正文缩进 字符1"/>
    <w:qFormat/>
    <w:uiPriority w:val="0"/>
    <w:rPr>
      <w:rFonts w:ascii="宋体" w:eastAsia="宋体"/>
      <w:snapToGrid w:val="0"/>
      <w:color w:val="000000"/>
      <w:kern w:val="28"/>
      <w:sz w:val="28"/>
      <w:lang w:val="en-US" w:eastAsia="zh-CN" w:bidi="ar-SA"/>
    </w:rPr>
  </w:style>
  <w:style w:type="character" w:customStyle="1" w:styleId="468">
    <w:name w:val="正文文本缩进 Char2"/>
    <w:qFormat/>
    <w:uiPriority w:val="0"/>
    <w:rPr>
      <w:rFonts w:ascii="Times New Roman" w:hAnsi="Times New Roman" w:eastAsia="宋体" w:cs="Times New Roman"/>
      <w:snapToGrid w:val="0"/>
      <w:kern w:val="0"/>
      <w:szCs w:val="24"/>
    </w:rPr>
  </w:style>
  <w:style w:type="character" w:customStyle="1" w:styleId="469">
    <w:name w:val="带编号样式 Char"/>
    <w:qFormat/>
    <w:uiPriority w:val="0"/>
    <w:rPr>
      <w:rFonts w:ascii="仿宋_GB2312" w:eastAsia="仿宋_GB2312"/>
      <w:color w:val="000000"/>
      <w:sz w:val="24"/>
      <w:lang w:bidi="ar-SA"/>
    </w:rPr>
  </w:style>
  <w:style w:type="character" w:customStyle="1" w:styleId="470">
    <w:name w:val="H6 Char"/>
    <w:qFormat/>
    <w:uiPriority w:val="0"/>
    <w:rPr>
      <w:rFonts w:ascii="Arial" w:hAnsi="Arial" w:eastAsia="黑体"/>
      <w:b/>
      <w:bCs/>
      <w:kern w:val="2"/>
      <w:sz w:val="24"/>
      <w:szCs w:val="24"/>
    </w:rPr>
  </w:style>
  <w:style w:type="character" w:customStyle="1" w:styleId="471">
    <w:name w:val="标书1 Char1"/>
    <w:qFormat/>
    <w:uiPriority w:val="0"/>
    <w:rPr>
      <w:rFonts w:eastAsia="宋体"/>
      <w:b/>
      <w:bCs/>
      <w:kern w:val="44"/>
      <w:sz w:val="44"/>
      <w:szCs w:val="44"/>
      <w:lang w:val="en-US" w:eastAsia="zh-CN" w:bidi="ar-SA"/>
    </w:rPr>
  </w:style>
  <w:style w:type="character" w:customStyle="1" w:styleId="472">
    <w:name w:val="Table Text Char1"/>
    <w:qFormat/>
    <w:uiPriority w:val="0"/>
    <w:rPr>
      <w:rFonts w:eastAsia="宋体"/>
      <w:sz w:val="24"/>
      <w:szCs w:val="24"/>
      <w:lang w:val="en-US" w:eastAsia="zh-CN" w:bidi="ar-SA"/>
    </w:rPr>
  </w:style>
  <w:style w:type="character" w:customStyle="1" w:styleId="473">
    <w:name w:val="页眉 字符"/>
    <w:qFormat/>
    <w:uiPriority w:val="99"/>
    <w:rPr>
      <w:kern w:val="2"/>
      <w:sz w:val="18"/>
      <w:szCs w:val="18"/>
    </w:rPr>
  </w:style>
  <w:style w:type="character" w:customStyle="1" w:styleId="474">
    <w:name w:val="纯文本 Char_0"/>
    <w:link w:val="475"/>
    <w:qFormat/>
    <w:uiPriority w:val="0"/>
    <w:rPr>
      <w:rFonts w:ascii="宋体" w:hAnsi="Courier New"/>
      <w:kern w:val="2"/>
      <w:sz w:val="21"/>
      <w:szCs w:val="21"/>
      <w:lang w:val="en-US" w:eastAsia="zh-CN"/>
    </w:rPr>
  </w:style>
  <w:style w:type="paragraph" w:customStyle="1" w:styleId="475">
    <w:name w:val="纯文本_0_0"/>
    <w:basedOn w:val="476"/>
    <w:link w:val="474"/>
    <w:qFormat/>
    <w:uiPriority w:val="0"/>
    <w:rPr>
      <w:rFonts w:ascii="宋体" w:hAnsi="Courier New"/>
      <w:szCs w:val="21"/>
    </w:rPr>
  </w:style>
  <w:style w:type="paragraph" w:customStyle="1" w:styleId="47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77">
    <w:name w:val="标题 1 字符1"/>
    <w:link w:val="4"/>
    <w:qFormat/>
    <w:uiPriority w:val="9"/>
    <w:rPr>
      <w:b/>
      <w:bCs/>
      <w:kern w:val="44"/>
      <w:sz w:val="44"/>
      <w:szCs w:val="44"/>
    </w:rPr>
  </w:style>
  <w:style w:type="character" w:customStyle="1" w:styleId="478">
    <w:name w:val="正文（缩进） Char"/>
    <w:basedOn w:val="71"/>
    <w:link w:val="479"/>
    <w:qFormat/>
    <w:uiPriority w:val="0"/>
    <w:rPr>
      <w:sz w:val="24"/>
    </w:rPr>
  </w:style>
  <w:style w:type="paragraph" w:customStyle="1" w:styleId="479">
    <w:name w:val="正文（缩进）"/>
    <w:basedOn w:val="1"/>
    <w:link w:val="478"/>
    <w:qFormat/>
    <w:uiPriority w:val="0"/>
    <w:pPr>
      <w:adjustRightInd/>
      <w:spacing w:before="200" w:after="200" w:line="360" w:lineRule="auto"/>
      <w:ind w:firstLine="200" w:firstLineChars="200"/>
    </w:pPr>
    <w:rPr>
      <w:kern w:val="0"/>
      <w:sz w:val="24"/>
      <w:szCs w:val="20"/>
    </w:rPr>
  </w:style>
  <w:style w:type="character" w:customStyle="1" w:styleId="480">
    <w:name w:val="tw4winError"/>
    <w:qFormat/>
    <w:uiPriority w:val="0"/>
    <w:rPr>
      <w:rFonts w:ascii="Courier New" w:hAnsi="Courier New" w:cs="Courier New"/>
      <w:color w:val="00FF00"/>
      <w:sz w:val="40"/>
      <w:szCs w:val="40"/>
    </w:rPr>
  </w:style>
  <w:style w:type="character" w:customStyle="1" w:styleId="481">
    <w:name w:val="样式6 Char"/>
    <w:qFormat/>
    <w:uiPriority w:val="0"/>
    <w:rPr>
      <w:rFonts w:ascii="仿宋_GB2312" w:hAnsi="宋体" w:eastAsia="仿宋_GB2312"/>
      <w:b/>
      <w:bCs/>
      <w:kern w:val="2"/>
      <w:sz w:val="24"/>
      <w:szCs w:val="24"/>
      <w:lang w:val="en-US" w:eastAsia="zh-CN" w:bidi="ar-SA"/>
    </w:rPr>
  </w:style>
  <w:style w:type="character" w:customStyle="1" w:styleId="482">
    <w:name w:val="日期 Char1"/>
    <w:semiHidden/>
    <w:qFormat/>
    <w:uiPriority w:val="99"/>
    <w:rPr>
      <w:rFonts w:ascii="Times New Roman" w:hAnsi="Times New Roman" w:eastAsia="宋体" w:cs="Times New Roman"/>
      <w:szCs w:val="24"/>
    </w:rPr>
  </w:style>
  <w:style w:type="character" w:customStyle="1" w:styleId="483">
    <w:name w:val="h3 Char1"/>
    <w:qFormat/>
    <w:uiPriority w:val="0"/>
    <w:rPr>
      <w:rFonts w:eastAsia="宋体"/>
      <w:b/>
      <w:bCs/>
      <w:kern w:val="2"/>
      <w:sz w:val="32"/>
      <w:szCs w:val="32"/>
      <w:lang w:bidi="ar-SA"/>
    </w:rPr>
  </w:style>
  <w:style w:type="character" w:customStyle="1" w:styleId="484">
    <w:name w:val="脚注文本 Char1"/>
    <w:uiPriority w:val="0"/>
    <w:rPr>
      <w:rFonts w:ascii="Times New Roman" w:hAnsi="Times New Roman" w:eastAsia="宋体" w:cs="Times New Roman"/>
      <w:sz w:val="18"/>
      <w:szCs w:val="18"/>
    </w:rPr>
  </w:style>
  <w:style w:type="paragraph" w:customStyle="1" w:styleId="485">
    <w:name w:val="Char Char Char Char Char Char Char Char2"/>
    <w:basedOn w:val="1"/>
    <w:qFormat/>
    <w:uiPriority w:val="0"/>
    <w:pPr>
      <w:tabs>
        <w:tab w:val="left" w:pos="360"/>
      </w:tabs>
    </w:pPr>
    <w:rPr>
      <w:sz w:val="24"/>
      <w:szCs w:val="20"/>
    </w:rPr>
  </w:style>
  <w:style w:type="paragraph" w:customStyle="1" w:styleId="486">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487">
    <w:name w:val="总结标题4"/>
    <w:basedOn w:val="7"/>
    <w:next w:val="1"/>
    <w:qFormat/>
    <w:uiPriority w:val="0"/>
    <w:pPr>
      <w:numPr>
        <w:numId w:val="7"/>
      </w:numPr>
      <w:adjustRightInd/>
      <w:spacing w:before="25" w:beforeLines="25" w:after="0" w:line="300" w:lineRule="auto"/>
    </w:pPr>
    <w:rPr>
      <w:rFonts w:ascii="等线 Light" w:hAnsi="等线 Light" w:eastAsia="宋体"/>
      <w:lang w:val="en-US"/>
    </w:rPr>
  </w:style>
  <w:style w:type="paragraph" w:customStyle="1" w:styleId="48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89">
    <w:name w:val="总结标题1"/>
    <w:basedOn w:val="4"/>
    <w:next w:val="1"/>
    <w:qFormat/>
    <w:uiPriority w:val="0"/>
    <w:pPr>
      <w:keepLines w:val="0"/>
      <w:numPr>
        <w:numId w:val="7"/>
      </w:numPr>
      <w:snapToGrid w:val="0"/>
      <w:spacing w:before="25" w:beforeLines="25" w:after="0" w:line="300" w:lineRule="auto"/>
    </w:pPr>
    <w:rPr>
      <w:rFonts w:ascii="宋体" w:hAnsi="宋体"/>
      <w:bCs w:val="0"/>
      <w:color w:val="000000"/>
      <w:kern w:val="2"/>
      <w:sz w:val="36"/>
      <w:szCs w:val="21"/>
    </w:rPr>
  </w:style>
  <w:style w:type="paragraph" w:customStyle="1" w:styleId="490">
    <w:name w:val="样式 标题 1Level 1 HeadPIM 1Section Headh1l11Heading 0Datash..."/>
    <w:basedOn w:val="4"/>
    <w:qFormat/>
    <w:uiPriority w:val="0"/>
    <w:pPr>
      <w:keepNext w:val="0"/>
      <w:keepLines w:val="0"/>
      <w:widowControl/>
      <w:numPr>
        <w:ilvl w:val="0"/>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49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92">
    <w:name w:val="xl10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493">
    <w:name w:val="xl115"/>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494">
    <w:name w:val="Char Char Char11"/>
    <w:basedOn w:val="1"/>
    <w:qFormat/>
    <w:uiPriority w:val="0"/>
    <w:rPr>
      <w:rFonts w:ascii="Tahoma" w:hAnsi="Tahoma"/>
      <w:sz w:val="24"/>
      <w:szCs w:val="20"/>
    </w:rPr>
  </w:style>
  <w:style w:type="paragraph" w:customStyle="1" w:styleId="49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9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97">
    <w:name w:val="正文文字表格居中"/>
    <w:basedOn w:val="1"/>
    <w:next w:val="57"/>
    <w:qFormat/>
    <w:uiPriority w:val="0"/>
    <w:pPr>
      <w:snapToGrid w:val="0"/>
      <w:spacing w:line="360" w:lineRule="auto"/>
    </w:pPr>
    <w:rPr>
      <w:rFonts w:ascii="宋体"/>
      <w:b/>
      <w:sz w:val="24"/>
      <w:szCs w:val="20"/>
    </w:rPr>
  </w:style>
  <w:style w:type="paragraph" w:customStyle="1" w:styleId="498">
    <w:name w:val="GMCC 正文"/>
    <w:basedOn w:val="1"/>
    <w:qFormat/>
    <w:uiPriority w:val="0"/>
    <w:pPr>
      <w:adjustRightInd/>
      <w:spacing w:beforeLines="50" w:afterLines="50"/>
      <w:ind w:firstLine="200" w:firstLineChars="200"/>
    </w:pPr>
    <w:rPr>
      <w:rFonts w:ascii="Arial" w:hAnsi="Arial" w:eastAsia="仿宋"/>
      <w:sz w:val="24"/>
      <w:szCs w:val="20"/>
    </w:rPr>
  </w:style>
  <w:style w:type="paragraph" w:customStyle="1" w:styleId="499">
    <w:name w:val="数字标题2"/>
    <w:basedOn w:val="5"/>
    <w:next w:val="1"/>
    <w:qFormat/>
    <w:uiPriority w:val="0"/>
    <w:pPr>
      <w:numPr>
        <w:ilvl w:val="1"/>
        <w:numId w:val="8"/>
      </w:numPr>
    </w:pPr>
    <w:rPr>
      <w:rFonts w:ascii="Times New Roman" w:eastAsia="宋体"/>
      <w:i/>
      <w:sz w:val="36"/>
      <w:szCs w:val="36"/>
      <w:lang w:val="en-US"/>
    </w:rPr>
  </w:style>
  <w:style w:type="paragraph" w:customStyle="1" w:styleId="50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0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02">
    <w:name w:val="Char Char1 Char"/>
    <w:basedOn w:val="1"/>
    <w:qFormat/>
    <w:uiPriority w:val="0"/>
    <w:rPr>
      <w:rFonts w:ascii="仿宋_GB2312" w:eastAsia="仿宋_GB2312"/>
      <w:b/>
      <w:sz w:val="32"/>
      <w:szCs w:val="32"/>
    </w:rPr>
  </w:style>
  <w:style w:type="paragraph" w:customStyle="1" w:styleId="50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504">
    <w:name w:val="Char Char112"/>
    <w:basedOn w:val="1"/>
    <w:qFormat/>
    <w:uiPriority w:val="6"/>
    <w:pPr>
      <w:widowControl/>
      <w:spacing w:after="160" w:line="240" w:lineRule="exact"/>
      <w:jc w:val="left"/>
    </w:pPr>
    <w:rPr>
      <w:rFonts w:eastAsia="仿宋_GB2312"/>
      <w:sz w:val="28"/>
    </w:rPr>
  </w:style>
  <w:style w:type="paragraph" w:customStyle="1" w:styleId="505">
    <w:name w:val="封面文档标题"/>
    <w:basedOn w:val="1"/>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0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07">
    <w:name w:val="总结标题2"/>
    <w:basedOn w:val="5"/>
    <w:next w:val="1"/>
    <w:qFormat/>
    <w:uiPriority w:val="0"/>
    <w:pPr>
      <w:numPr>
        <w:ilvl w:val="1"/>
        <w:numId w:val="7"/>
      </w:numPr>
      <w:tabs>
        <w:tab w:val="clear" w:pos="432"/>
      </w:tabs>
      <w:adjustRightInd w:val="0"/>
      <w:snapToGrid w:val="0"/>
      <w:spacing w:before="78" w:beforeLines="25" w:line="300" w:lineRule="auto"/>
      <w:jc w:val="both"/>
    </w:pPr>
    <w:rPr>
      <w:rFonts w:ascii="仿宋" w:eastAsia="仿宋"/>
      <w:szCs w:val="21"/>
      <w:lang w:val="en-US"/>
    </w:rPr>
  </w:style>
  <w:style w:type="paragraph" w:customStyle="1" w:styleId="508">
    <w:name w:val="样式 微软雅黑 行距: 1.5 倍行距"/>
    <w:basedOn w:val="1"/>
    <w:uiPriority w:val="0"/>
    <w:pPr>
      <w:adjustRightInd/>
      <w:spacing w:line="360" w:lineRule="auto"/>
      <w:ind w:firstLine="480" w:firstLineChars="200"/>
    </w:pPr>
    <w:rPr>
      <w:rFonts w:ascii="微软雅黑" w:hAnsi="宋体" w:eastAsia="微软雅黑" w:cs="宋体"/>
      <w:sz w:val="24"/>
      <w:szCs w:val="20"/>
    </w:rPr>
  </w:style>
  <w:style w:type="paragraph" w:customStyle="1" w:styleId="509">
    <w:name w:val="中等深浅底纹 1 - 强调文字颜色 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12">
    <w:name w:val="xl42"/>
    <w:basedOn w:val="1"/>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13">
    <w:name w:val="列表内容"/>
    <w:basedOn w:val="1"/>
    <w:next w:val="1"/>
    <w:uiPriority w:val="0"/>
    <w:pPr>
      <w:widowControl/>
      <w:tabs>
        <w:tab w:val="left" w:pos="840"/>
      </w:tabs>
      <w:ind w:left="840" w:hanging="420"/>
      <w:jc w:val="left"/>
    </w:pPr>
    <w:rPr>
      <w:kern w:val="0"/>
      <w:sz w:val="18"/>
    </w:rPr>
  </w:style>
  <w:style w:type="paragraph" w:customStyle="1" w:styleId="514">
    <w:name w:val="Char19"/>
    <w:basedOn w:val="1"/>
    <w:qFormat/>
    <w:uiPriority w:val="0"/>
    <w:pPr>
      <w:adjustRightInd/>
    </w:pPr>
    <w:rPr>
      <w:szCs w:val="20"/>
    </w:rPr>
  </w:style>
  <w:style w:type="paragraph" w:customStyle="1" w:styleId="515">
    <w:name w:val="单元格居中"/>
    <w:basedOn w:val="1"/>
    <w:qFormat/>
    <w:uiPriority w:val="0"/>
    <w:pPr>
      <w:adjustRightInd/>
      <w:spacing w:line="360" w:lineRule="auto"/>
      <w:jc w:val="center"/>
    </w:pPr>
    <w:rPr>
      <w:sz w:val="24"/>
    </w:rPr>
  </w:style>
  <w:style w:type="paragraph" w:customStyle="1" w:styleId="516">
    <w:name w:val="文档正文"/>
    <w:basedOn w:val="1"/>
    <w:qFormat/>
    <w:uiPriority w:val="0"/>
    <w:pPr>
      <w:spacing w:line="480" w:lineRule="atLeast"/>
      <w:ind w:firstLine="567"/>
      <w:textAlignment w:val="baseline"/>
    </w:pPr>
    <w:rPr>
      <w:kern w:val="0"/>
      <w:sz w:val="24"/>
      <w:szCs w:val="20"/>
    </w:rPr>
  </w:style>
  <w:style w:type="paragraph" w:customStyle="1" w:styleId="517">
    <w:name w:val="默认段落字体 Para Char Char Char Char Char Char Char"/>
    <w:basedOn w:val="1"/>
    <w:qFormat/>
    <w:uiPriority w:val="0"/>
    <w:rPr>
      <w:rFonts w:eastAsia="仿宋_GB2312"/>
      <w:sz w:val="28"/>
      <w:szCs w:val="20"/>
    </w:rPr>
  </w:style>
  <w:style w:type="paragraph" w:customStyle="1" w:styleId="518">
    <w:name w:val="表格题注"/>
    <w:next w:val="1"/>
    <w:qFormat/>
    <w:uiPriority w:val="0"/>
    <w:pPr>
      <w:keepLines/>
      <w:numPr>
        <w:ilvl w:val="8"/>
        <w:numId w:val="5"/>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51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21">
    <w:name w:val="方形箭头"/>
    <w:basedOn w:val="1"/>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522">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adjustRightInd/>
      <w:spacing w:before="100" w:beforeAutospacing="1" w:after="100" w:afterAutospacing="1"/>
      <w:jc w:val="center"/>
      <w:textAlignment w:val="center"/>
    </w:pPr>
    <w:rPr>
      <w:rFonts w:ascii="宋体" w:hAnsi="宋体" w:cs="宋体"/>
      <w:b/>
      <w:bCs/>
      <w:kern w:val="0"/>
      <w:sz w:val="24"/>
    </w:rPr>
  </w:style>
  <w:style w:type="paragraph" w:customStyle="1" w:styleId="523">
    <w:name w:val="标书表格字体格式"/>
    <w:next w:val="524"/>
    <w:qFormat/>
    <w:uiPriority w:val="0"/>
    <w:rPr>
      <w:rFonts w:ascii="Times New Roman" w:hAnsi="Times New Roman" w:eastAsia="宋体" w:cs="Times New Roman"/>
      <w:kern w:val="2"/>
      <w:sz w:val="21"/>
      <w:szCs w:val="24"/>
      <w:lang w:val="en-US" w:eastAsia="zh-CN" w:bidi="ar-SA"/>
    </w:rPr>
  </w:style>
  <w:style w:type="paragraph" w:customStyle="1" w:styleId="52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25">
    <w:name w:val="Char1 Char Char Char Char Char Char Char Char Char Char Char1 Char Char Char Char Char Char Char Char Char Char Char Char Char Char1 Char Char Char Char1"/>
    <w:basedOn w:val="1"/>
    <w:uiPriority w:val="0"/>
    <w:pPr>
      <w:spacing w:line="360" w:lineRule="auto"/>
    </w:pPr>
    <w:rPr>
      <w:kern w:val="0"/>
      <w:sz w:val="24"/>
      <w:szCs w:val="20"/>
    </w:rPr>
  </w:style>
  <w:style w:type="paragraph" w:customStyle="1" w:styleId="526">
    <w:name w:val="四级条标题"/>
    <w:basedOn w:val="527"/>
    <w:next w:val="531"/>
    <w:qFormat/>
    <w:uiPriority w:val="0"/>
    <w:pPr>
      <w:numPr>
        <w:ilvl w:val="5"/>
        <w:numId w:val="5"/>
      </w:numPr>
      <w:tabs>
        <w:tab w:val="left" w:pos="1260"/>
        <w:tab w:val="left" w:pos="1680"/>
        <w:tab w:val="left" w:pos="2100"/>
        <w:tab w:val="left" w:pos="2520"/>
      </w:tabs>
      <w:outlineLvl w:val="5"/>
    </w:pPr>
  </w:style>
  <w:style w:type="paragraph" w:customStyle="1" w:styleId="527">
    <w:name w:val="三级条标题"/>
    <w:basedOn w:val="528"/>
    <w:next w:val="531"/>
    <w:qFormat/>
    <w:uiPriority w:val="0"/>
    <w:pPr>
      <w:tabs>
        <w:tab w:val="left" w:pos="1260"/>
        <w:tab w:val="left" w:pos="1680"/>
        <w:tab w:val="left" w:pos="2100"/>
        <w:tab w:val="left" w:pos="2520"/>
      </w:tabs>
      <w:ind w:left="2520"/>
      <w:outlineLvl w:val="4"/>
    </w:pPr>
  </w:style>
  <w:style w:type="paragraph" w:customStyle="1" w:styleId="528">
    <w:name w:val="二级条标题"/>
    <w:basedOn w:val="529"/>
    <w:next w:val="531"/>
    <w:qFormat/>
    <w:uiPriority w:val="0"/>
    <w:pPr>
      <w:tabs>
        <w:tab w:val="left" w:pos="1260"/>
        <w:tab w:val="left" w:pos="1680"/>
        <w:tab w:val="left" w:pos="2100"/>
      </w:tabs>
      <w:ind w:left="0"/>
      <w:outlineLvl w:val="3"/>
    </w:pPr>
  </w:style>
  <w:style w:type="paragraph" w:customStyle="1" w:styleId="529">
    <w:name w:val="一级条标题"/>
    <w:basedOn w:val="530"/>
    <w:next w:val="531"/>
    <w:qFormat/>
    <w:uiPriority w:val="0"/>
    <w:pPr>
      <w:tabs>
        <w:tab w:val="left" w:pos="1260"/>
        <w:tab w:val="left" w:pos="1680"/>
      </w:tabs>
      <w:spacing w:before="0" w:beforeLines="0" w:after="0" w:afterLines="0"/>
      <w:ind w:left="1680"/>
      <w:outlineLvl w:val="2"/>
    </w:pPr>
  </w:style>
  <w:style w:type="paragraph" w:customStyle="1" w:styleId="530">
    <w:name w:val="章标题"/>
    <w:next w:val="53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53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32">
    <w:name w:val="正文 项目2"/>
    <w:basedOn w:val="533"/>
    <w:qFormat/>
    <w:uiPriority w:val="0"/>
    <w:pPr>
      <w:numPr>
        <w:ilvl w:val="0"/>
        <w:numId w:val="9"/>
      </w:numPr>
      <w:tabs>
        <w:tab w:val="left" w:pos="840"/>
      </w:tabs>
      <w:spacing w:after="0"/>
    </w:pPr>
  </w:style>
  <w:style w:type="paragraph" w:customStyle="1" w:styleId="53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34">
    <w:name w:val="xl124"/>
    <w:basedOn w:val="1"/>
    <w:qFormat/>
    <w:uiPriority w:val="0"/>
    <w:pPr>
      <w:widowControl/>
      <w:adjustRightInd/>
      <w:spacing w:before="100" w:beforeAutospacing="1" w:after="100" w:afterAutospacing="1"/>
      <w:jc w:val="left"/>
      <w:textAlignment w:val="center"/>
    </w:pPr>
    <w:rPr>
      <w:rFonts w:ascii="宋体" w:hAnsi="宋体" w:cs="宋体"/>
      <w:kern w:val="0"/>
      <w:sz w:val="24"/>
    </w:rPr>
  </w:style>
  <w:style w:type="paragraph" w:customStyle="1" w:styleId="535">
    <w:name w:val="Char3 Char Char Char2"/>
    <w:basedOn w:val="1"/>
    <w:uiPriority w:val="0"/>
    <w:pPr>
      <w:widowControl/>
      <w:adjustRightInd/>
      <w:spacing w:after="160" w:line="240" w:lineRule="exact"/>
      <w:jc w:val="left"/>
    </w:pPr>
    <w:rPr>
      <w:szCs w:val="20"/>
    </w:rPr>
  </w:style>
  <w:style w:type="paragraph" w:customStyle="1" w:styleId="536">
    <w:name w:val="标题五"/>
    <w:basedOn w:val="1"/>
    <w:qFormat/>
    <w:uiPriority w:val="0"/>
    <w:pPr>
      <w:adjustRightInd/>
      <w:spacing w:before="156" w:beforeLines="50" w:line="360" w:lineRule="auto"/>
    </w:pPr>
    <w:rPr>
      <w:b/>
      <w:sz w:val="24"/>
    </w:rPr>
  </w:style>
  <w:style w:type="paragraph" w:customStyle="1" w:styleId="537">
    <w:name w:val="Char Char11 Char Char Char Char Char Char Char Char Char Char Char1"/>
    <w:basedOn w:val="1"/>
    <w:uiPriority w:val="6"/>
    <w:pPr>
      <w:adjustRightInd/>
      <w:spacing w:line="360" w:lineRule="auto"/>
    </w:pPr>
    <w:rPr>
      <w:rFonts w:ascii="Arial" w:hAnsi="Arial" w:eastAsia="黑体" w:cs="Arial"/>
      <w:snapToGrid w:val="0"/>
      <w:kern w:val="0"/>
      <w:szCs w:val="21"/>
    </w:rPr>
  </w:style>
  <w:style w:type="paragraph" w:customStyle="1" w:styleId="53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4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41">
    <w:name w:val="xl119"/>
    <w:basedOn w:val="1"/>
    <w:qFormat/>
    <w:uiPriority w:val="0"/>
    <w:pPr>
      <w:widowControl/>
      <w:pBdr>
        <w:top w:val="single" w:color="auto" w:sz="4" w:space="0"/>
        <w:bottom w:val="single" w:color="auto" w:sz="8" w:space="0"/>
        <w:right w:val="single" w:color="auto" w:sz="4" w:space="0"/>
      </w:pBdr>
      <w:shd w:val="clear" w:color="000000" w:fill="92D050"/>
      <w:adjustRightInd/>
      <w:spacing w:before="100" w:beforeAutospacing="1" w:after="100" w:afterAutospacing="1"/>
      <w:jc w:val="center"/>
      <w:textAlignment w:val="center"/>
    </w:pPr>
    <w:rPr>
      <w:rFonts w:ascii="宋体" w:hAnsi="宋体" w:cs="宋体"/>
      <w:b/>
      <w:bCs/>
      <w:kern w:val="0"/>
      <w:sz w:val="24"/>
    </w:rPr>
  </w:style>
  <w:style w:type="paragraph" w:customStyle="1" w:styleId="542">
    <w:name w:val="Char2 Char Char Char2"/>
    <w:basedOn w:val="1"/>
    <w:uiPriority w:val="0"/>
    <w:rPr>
      <w:rFonts w:ascii="仿宋_GB2312" w:eastAsia="仿宋_GB2312"/>
      <w:b/>
      <w:sz w:val="32"/>
      <w:szCs w:val="32"/>
    </w:rPr>
  </w:style>
  <w:style w:type="paragraph" w:customStyle="1" w:styleId="543">
    <w:name w:val="xl105"/>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544">
    <w:name w:val="xl104"/>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545">
    <w:name w:val="xl112"/>
    <w:basedOn w:val="1"/>
    <w:qFormat/>
    <w:uiPriority w:val="0"/>
    <w:pPr>
      <w:widowControl/>
      <w:pBdr>
        <w:left w:val="single" w:color="auto" w:sz="4" w:space="0"/>
        <w:bottom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546">
    <w:name w:val="正文（首行缩进2字符）"/>
    <w:basedOn w:val="1"/>
    <w:qFormat/>
    <w:uiPriority w:val="0"/>
    <w:pPr>
      <w:adjustRightInd/>
      <w:spacing w:line="360" w:lineRule="auto"/>
      <w:ind w:firstLine="480" w:firstLineChars="200"/>
    </w:pPr>
    <w:rPr>
      <w:sz w:val="24"/>
      <w:szCs w:val="20"/>
    </w:rPr>
  </w:style>
  <w:style w:type="paragraph" w:customStyle="1" w:styleId="54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4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49">
    <w:name w:val="Char22"/>
    <w:basedOn w:val="1"/>
    <w:uiPriority w:val="0"/>
    <w:pPr>
      <w:adjustRightInd/>
      <w:spacing w:line="360" w:lineRule="auto"/>
      <w:ind w:firstLine="480" w:firstLineChars="200"/>
    </w:pPr>
    <w:rPr>
      <w:rFonts w:ascii="仿宋_GB2312" w:eastAsia="仿宋_GB2312"/>
      <w:b/>
      <w:sz w:val="32"/>
      <w:szCs w:val="32"/>
    </w:rPr>
  </w:style>
  <w:style w:type="paragraph" w:customStyle="1" w:styleId="55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51">
    <w:name w:val="!标题9级"/>
    <w:basedOn w:val="12"/>
    <w:qFormat/>
    <w:uiPriority w:val="0"/>
    <w:pPr>
      <w:numPr>
        <w:ilvl w:val="0"/>
        <w:numId w:val="0"/>
      </w:numPr>
      <w:tabs>
        <w:tab w:val="clear" w:pos="1584"/>
      </w:tabs>
      <w:adjustRightInd/>
      <w:spacing w:line="360" w:lineRule="auto"/>
      <w:ind w:left="4340" w:hanging="420"/>
      <w:jc w:val="left"/>
    </w:pPr>
    <w:rPr>
      <w:rFonts w:ascii="Cambria" w:hAnsi="Cambria" w:eastAsia="宋体"/>
      <w:sz w:val="24"/>
      <w:szCs w:val="24"/>
    </w:rPr>
  </w:style>
  <w:style w:type="paragraph" w:customStyle="1" w:styleId="55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53">
    <w:name w:val="Char2 Char Char1"/>
    <w:basedOn w:val="1"/>
    <w:qFormat/>
    <w:uiPriority w:val="6"/>
    <w:pPr>
      <w:adjustRightInd/>
    </w:pPr>
    <w:rPr>
      <w:rFonts w:ascii="Tahoma" w:hAnsi="Tahoma"/>
      <w:sz w:val="24"/>
      <w:szCs w:val="20"/>
    </w:rPr>
  </w:style>
  <w:style w:type="paragraph" w:customStyle="1" w:styleId="554">
    <w:name w:val="Char221"/>
    <w:basedOn w:val="1"/>
    <w:qFormat/>
    <w:uiPriority w:val="0"/>
    <w:rPr>
      <w:rFonts w:ascii="仿宋_GB2312" w:eastAsia="仿宋_GB2312"/>
      <w:b/>
      <w:sz w:val="32"/>
      <w:szCs w:val="32"/>
    </w:rPr>
  </w:style>
  <w:style w:type="paragraph" w:customStyle="1" w:styleId="55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56">
    <w:name w:val="样式3"/>
    <w:basedOn w:val="557"/>
    <w:qFormat/>
    <w:uiPriority w:val="0"/>
    <w:pPr>
      <w:tabs>
        <w:tab w:val="left" w:pos="2790"/>
        <w:tab w:val="left" w:pos="4230"/>
      </w:tabs>
      <w:spacing w:before="312" w:beforeLines="100"/>
      <w:jc w:val="left"/>
    </w:pPr>
  </w:style>
  <w:style w:type="paragraph" w:customStyle="1" w:styleId="5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5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59">
    <w:name w:val="Char Char11 Char Char Char Char Char Char Char Char Char1"/>
    <w:basedOn w:val="1"/>
    <w:qFormat/>
    <w:uiPriority w:val="6"/>
    <w:pPr>
      <w:spacing w:line="360" w:lineRule="auto"/>
    </w:pPr>
    <w:rPr>
      <w:szCs w:val="20"/>
    </w:rPr>
  </w:style>
  <w:style w:type="paragraph" w:customStyle="1" w:styleId="560">
    <w:name w:val="样式 左侧:  0.85 厘米"/>
    <w:basedOn w:val="1"/>
    <w:qFormat/>
    <w:uiPriority w:val="2"/>
    <w:pPr>
      <w:adjustRightInd/>
      <w:spacing w:line="360" w:lineRule="auto"/>
    </w:pPr>
    <w:rPr>
      <w:rFonts w:cs="宋体"/>
      <w:sz w:val="24"/>
      <w:szCs w:val="20"/>
    </w:rPr>
  </w:style>
  <w:style w:type="paragraph" w:customStyle="1" w:styleId="56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63">
    <w:name w:val="Char32"/>
    <w:basedOn w:val="1"/>
    <w:qFormat/>
    <w:uiPriority w:val="0"/>
    <w:rPr>
      <w:rFonts w:ascii="仿宋_GB2312" w:eastAsia="仿宋_GB2312"/>
      <w:b/>
      <w:sz w:val="32"/>
      <w:szCs w:val="32"/>
    </w:rPr>
  </w:style>
  <w:style w:type="paragraph" w:customStyle="1" w:styleId="564">
    <w:name w:val="列出段落2"/>
    <w:basedOn w:val="1"/>
    <w:qFormat/>
    <w:uiPriority w:val="0"/>
    <w:pPr>
      <w:adjustRightInd/>
      <w:ind w:firstLine="420" w:firstLineChars="200"/>
    </w:pPr>
    <w:rPr>
      <w:rFonts w:ascii="宋体" w:hAnsi="宋体"/>
      <w:sz w:val="24"/>
    </w:rPr>
  </w:style>
  <w:style w:type="paragraph" w:customStyle="1" w:styleId="565">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566">
    <w:name w:val="中等深浅列表 2 - 强调文字颜色 21"/>
    <w:unhideWhenUsed/>
    <w:qFormat/>
    <w:uiPriority w:val="99"/>
    <w:rPr>
      <w:rFonts w:ascii="Times New Roman" w:hAnsi="Times New Roman" w:eastAsia="宋体" w:cs="Times New Roman"/>
      <w:kern w:val="2"/>
      <w:sz w:val="21"/>
      <w:szCs w:val="24"/>
      <w:lang w:val="en-US" w:eastAsia="zh-CN" w:bidi="ar-SA"/>
    </w:rPr>
  </w:style>
  <w:style w:type="paragraph" w:customStyle="1" w:styleId="567">
    <w:name w:val="Char1 Char Char Char1"/>
    <w:basedOn w:val="1"/>
    <w:qFormat/>
    <w:uiPriority w:val="0"/>
    <w:pPr>
      <w:adjustRightInd/>
      <w:ind w:firstLine="200" w:firstLineChars="200"/>
    </w:pPr>
    <w:rPr>
      <w:rFonts w:ascii="Tahoma" w:hAnsi="Tahoma"/>
      <w:sz w:val="24"/>
      <w:szCs w:val="20"/>
    </w:rPr>
  </w:style>
  <w:style w:type="paragraph" w:customStyle="1" w:styleId="56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7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71">
    <w:name w:val="_Style 12"/>
    <w:basedOn w:val="20"/>
    <w:qFormat/>
    <w:uiPriority w:val="0"/>
    <w:pPr>
      <w:snapToGrid w:val="0"/>
      <w:spacing w:line="360" w:lineRule="auto"/>
    </w:pPr>
  </w:style>
  <w:style w:type="paragraph" w:customStyle="1" w:styleId="572">
    <w:name w:val="样式 标题 2 + 四号"/>
    <w:basedOn w:val="5"/>
    <w:qFormat/>
    <w:uiPriority w:val="0"/>
    <w:pPr>
      <w:numPr>
        <w:ilvl w:val="0"/>
        <w:numId w:val="0"/>
      </w:numPr>
      <w:spacing w:before="120" w:after="120"/>
      <w:jc w:val="both"/>
    </w:pPr>
    <w:rPr>
      <w:rFonts w:ascii="宋体" w:hAnsi="Arial" w:eastAsia="宋体"/>
      <w:sz w:val="28"/>
      <w:lang w:val="en-US"/>
    </w:rPr>
  </w:style>
  <w:style w:type="paragraph" w:customStyle="1" w:styleId="57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5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75">
    <w:name w:val="Char Char1 Char Char Char Char Char Char2"/>
    <w:basedOn w:val="1"/>
    <w:qFormat/>
    <w:uiPriority w:val="0"/>
    <w:rPr>
      <w:rFonts w:ascii="仿宋_GB2312" w:eastAsia="仿宋_GB2312"/>
      <w:b/>
      <w:sz w:val="32"/>
      <w:szCs w:val="20"/>
    </w:rPr>
  </w:style>
  <w:style w:type="paragraph" w:customStyle="1" w:styleId="57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77">
    <w:name w:val="_Style 5"/>
    <w:basedOn w:val="1"/>
    <w:qFormat/>
    <w:uiPriority w:val="34"/>
    <w:pPr>
      <w:adjustRightInd/>
      <w:ind w:firstLine="420" w:firstLineChars="200"/>
    </w:pPr>
    <w:rPr>
      <w:rFonts w:eastAsia="仿宋_GB2312"/>
      <w:sz w:val="28"/>
    </w:rPr>
  </w:style>
  <w:style w:type="paragraph" w:customStyle="1" w:styleId="578">
    <w:name w:val="默认段落字体 Para Char Char Char1 Char"/>
    <w:basedOn w:val="1"/>
    <w:qFormat/>
    <w:uiPriority w:val="0"/>
    <w:pPr>
      <w:spacing w:line="240" w:lineRule="atLeast"/>
      <w:ind w:left="420" w:firstLine="420"/>
    </w:pPr>
    <w:rPr>
      <w:sz w:val="24"/>
    </w:rPr>
  </w:style>
  <w:style w:type="paragraph" w:customStyle="1" w:styleId="57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80">
    <w:name w:val="xl111"/>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581">
    <w:name w:val="正文文字 2"/>
    <w:basedOn w:val="369"/>
    <w:next w:val="369"/>
    <w:qFormat/>
    <w:uiPriority w:val="0"/>
    <w:rPr>
      <w:rFonts w:ascii="宋体" w:eastAsia="宋体"/>
      <w:color w:val="auto"/>
    </w:rPr>
  </w:style>
  <w:style w:type="paragraph" w:customStyle="1" w:styleId="582">
    <w:name w:val="样式 标题 1章节第一层h1H"/>
    <w:basedOn w:val="4"/>
    <w:uiPriority w:val="0"/>
    <w:pPr>
      <w:keepNext w:val="0"/>
      <w:keepLines w:val="0"/>
      <w:numPr>
        <w:ilvl w:val="0"/>
        <w:numId w:val="0"/>
      </w:numPr>
      <w:autoSpaceDE w:val="0"/>
      <w:autoSpaceDN w:val="0"/>
      <w:spacing w:before="0" w:after="0" w:line="240" w:lineRule="auto"/>
      <w:jc w:val="left"/>
      <w:outlineLvl w:val="9"/>
    </w:pPr>
    <w:rPr>
      <w:kern w:val="0"/>
      <w:sz w:val="52"/>
      <w:szCs w:val="52"/>
      <w:lang w:val="zh-CN"/>
    </w:rPr>
  </w:style>
  <w:style w:type="paragraph" w:customStyle="1" w:styleId="583">
    <w:name w:val="trs_editor"/>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584">
    <w:name w:val="数字标题3"/>
    <w:basedOn w:val="6"/>
    <w:next w:val="1"/>
    <w:qFormat/>
    <w:uiPriority w:val="0"/>
    <w:pPr>
      <w:numPr>
        <w:ilvl w:val="0"/>
        <w:numId w:val="0"/>
      </w:numPr>
      <w:spacing w:line="240" w:lineRule="auto"/>
    </w:pPr>
    <w:rPr>
      <w:sz w:val="28"/>
      <w:szCs w:val="28"/>
    </w:rPr>
  </w:style>
  <w:style w:type="paragraph" w:customStyle="1" w:styleId="58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586">
    <w:name w:val="!标题4级"/>
    <w:basedOn w:val="7"/>
    <w:qFormat/>
    <w:uiPriority w:val="0"/>
    <w:pPr>
      <w:numPr>
        <w:ilvl w:val="0"/>
        <w:numId w:val="0"/>
      </w:numPr>
      <w:tabs>
        <w:tab w:val="left" w:pos="965"/>
        <w:tab w:val="left" w:pos="1984"/>
        <w:tab w:val="clear" w:pos="864"/>
      </w:tabs>
      <w:adjustRightInd/>
      <w:snapToGrid w:val="0"/>
      <w:spacing w:line="360" w:lineRule="auto"/>
      <w:ind w:left="864" w:hanging="708"/>
      <w:jc w:val="left"/>
    </w:pPr>
    <w:rPr>
      <w:rFonts w:ascii="仿宋" w:hAnsi="仿宋" w:eastAsia="仿宋"/>
      <w:b w:val="0"/>
      <w:lang w:val="en-US"/>
    </w:rPr>
  </w:style>
  <w:style w:type="paragraph" w:customStyle="1" w:styleId="58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8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89">
    <w:name w:val="默认段落字体 Para Char"/>
    <w:basedOn w:val="1"/>
    <w:qFormat/>
    <w:uiPriority w:val="0"/>
    <w:rPr>
      <w:rFonts w:ascii="Tahoma" w:hAnsi="Tahoma"/>
      <w:sz w:val="24"/>
      <w:szCs w:val="20"/>
    </w:rPr>
  </w:style>
  <w:style w:type="paragraph" w:customStyle="1" w:styleId="59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91">
    <w:name w:val="样式 标题 4PIM 4H4h4bulletblbbH41H42H43H44H45H46H47H48...1"/>
    <w:basedOn w:val="7"/>
    <w:qFormat/>
    <w:uiPriority w:val="0"/>
    <w:pPr>
      <w:widowControl/>
      <w:jc w:val="left"/>
    </w:pPr>
    <w:rPr>
      <w:rFonts w:cs="宋体"/>
      <w:sz w:val="24"/>
      <w:szCs w:val="20"/>
    </w:rPr>
  </w:style>
  <w:style w:type="paragraph" w:customStyle="1" w:styleId="592">
    <w:name w:val="Thf"/>
    <w:basedOn w:val="593"/>
    <w:qFormat/>
    <w:uiPriority w:val="0"/>
    <w:pPr>
      <w:ind w:left="0"/>
    </w:pPr>
  </w:style>
  <w:style w:type="paragraph" w:customStyle="1" w:styleId="59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9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595">
    <w:name w:val="正文（标题三）"/>
    <w:basedOn w:val="1"/>
    <w:qFormat/>
    <w:uiPriority w:val="0"/>
    <w:pPr>
      <w:spacing w:line="360" w:lineRule="auto"/>
      <w:ind w:firstLine="200" w:firstLineChars="200"/>
    </w:pPr>
    <w:rPr>
      <w:sz w:val="24"/>
    </w:rPr>
  </w:style>
  <w:style w:type="paragraph" w:customStyle="1" w:styleId="596">
    <w:name w:val="默认段落样式"/>
    <w:basedOn w:val="124"/>
    <w:qFormat/>
    <w:uiPriority w:val="0"/>
    <w:pPr>
      <w:spacing w:before="0"/>
      <w:ind w:firstLine="480"/>
      <w:outlineLvl w:val="2"/>
    </w:pPr>
    <w:rPr>
      <w:rFonts w:ascii="仿宋_GB2312" w:hAnsi="宋体" w:eastAsia="仿宋_GB2312"/>
      <w:color w:val="000000"/>
      <w:szCs w:val="24"/>
    </w:rPr>
  </w:style>
  <w:style w:type="paragraph" w:customStyle="1" w:styleId="597">
    <w:name w:val="Test2"/>
    <w:basedOn w:val="5"/>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598">
    <w:name w:val="Char3 Char Char Char1"/>
    <w:basedOn w:val="1"/>
    <w:qFormat/>
    <w:uiPriority w:val="6"/>
    <w:pPr>
      <w:widowControl/>
      <w:adjustRightInd/>
      <w:spacing w:after="160" w:line="240" w:lineRule="exact"/>
      <w:jc w:val="left"/>
    </w:pPr>
    <w:rPr>
      <w:szCs w:val="20"/>
    </w:rPr>
  </w:style>
  <w:style w:type="paragraph" w:customStyle="1" w:styleId="59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0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601">
    <w:name w:val="Char1 Char Char Char7"/>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02">
    <w:name w:val="Char Char11 Char Char Char"/>
    <w:basedOn w:val="1"/>
    <w:qFormat/>
    <w:uiPriority w:val="0"/>
    <w:pPr>
      <w:spacing w:line="360" w:lineRule="auto"/>
    </w:pPr>
    <w:rPr>
      <w:szCs w:val="20"/>
    </w:rPr>
  </w:style>
  <w:style w:type="paragraph" w:customStyle="1" w:styleId="603">
    <w:name w:val="xl11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4"/>
    </w:rPr>
  </w:style>
  <w:style w:type="paragraph" w:customStyle="1" w:styleId="604">
    <w:name w:val="Char Char Char Char11"/>
    <w:basedOn w:val="1"/>
    <w:qFormat/>
    <w:uiPriority w:val="0"/>
    <w:rPr>
      <w:rFonts w:ascii="Tahoma" w:hAnsi="Tahoma"/>
      <w:sz w:val="24"/>
      <w:szCs w:val="20"/>
    </w:rPr>
  </w:style>
  <w:style w:type="paragraph" w:customStyle="1" w:styleId="60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06">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0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08">
    <w:name w:val="MM Topic 5"/>
    <w:basedOn w:val="8"/>
    <w:qFormat/>
    <w:uiPriority w:val="0"/>
    <w:pPr>
      <w:numPr>
        <w:numId w:val="5"/>
      </w:numPr>
      <w:tabs>
        <w:tab w:val="left" w:pos="840"/>
        <w:tab w:val="left" w:pos="2520"/>
      </w:tabs>
      <w:adjustRightInd/>
    </w:pPr>
  </w:style>
  <w:style w:type="paragraph" w:customStyle="1" w:styleId="609">
    <w:name w:val="Char2"/>
    <w:basedOn w:val="1"/>
    <w:qFormat/>
    <w:uiPriority w:val="0"/>
    <w:rPr>
      <w:rFonts w:ascii="仿宋_GB2312" w:eastAsia="仿宋_GB2312"/>
      <w:b/>
      <w:sz w:val="32"/>
      <w:szCs w:val="32"/>
    </w:rPr>
  </w:style>
  <w:style w:type="paragraph" w:customStyle="1" w:styleId="610">
    <w:name w:val="彩色列表 - 强调文字颜色 12"/>
    <w:basedOn w:val="1"/>
    <w:qFormat/>
    <w:uiPriority w:val="0"/>
    <w:pPr>
      <w:adjustRightInd/>
      <w:ind w:firstLine="420" w:firstLineChars="200"/>
    </w:pPr>
    <w:rPr>
      <w:rFonts w:ascii="Calibri" w:hAnsi="Calibri"/>
      <w:szCs w:val="22"/>
    </w:rPr>
  </w:style>
  <w:style w:type="paragraph" w:customStyle="1" w:styleId="611">
    <w:name w:val="列表段落1"/>
    <w:basedOn w:val="1"/>
    <w:qFormat/>
    <w:uiPriority w:val="0"/>
    <w:pPr>
      <w:adjustRightInd/>
      <w:spacing w:line="360" w:lineRule="auto"/>
      <w:ind w:firstLine="420" w:firstLineChars="200"/>
    </w:pPr>
    <w:rPr>
      <w:rFonts w:ascii="Calibri" w:hAnsi="Calibri"/>
      <w:sz w:val="24"/>
      <w:szCs w:val="22"/>
    </w:rPr>
  </w:style>
  <w:style w:type="paragraph" w:customStyle="1" w:styleId="612">
    <w:name w:val="彩色列表 - 强调文字颜色 11"/>
    <w:basedOn w:val="1"/>
    <w:qFormat/>
    <w:uiPriority w:val="0"/>
    <w:pPr>
      <w:adjustRightInd/>
      <w:ind w:firstLine="420" w:firstLineChars="200"/>
    </w:pPr>
    <w:rPr>
      <w:rFonts w:ascii="Calibri" w:hAnsi="Calibri"/>
      <w:szCs w:val="22"/>
    </w:rPr>
  </w:style>
  <w:style w:type="paragraph" w:customStyle="1" w:styleId="61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614">
    <w:name w:val="表格正文:黑体"/>
    <w:basedOn w:val="1"/>
    <w:qFormat/>
    <w:uiPriority w:val="0"/>
    <w:pPr>
      <w:jc w:val="left"/>
    </w:pPr>
    <w:rPr>
      <w:rFonts w:ascii="Calibri" w:hAnsi="Calibri" w:eastAsia="黑体"/>
    </w:rPr>
  </w:style>
  <w:style w:type="paragraph" w:customStyle="1" w:styleId="615">
    <w:name w:val="xl101"/>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center"/>
    </w:pPr>
    <w:rPr>
      <w:rFonts w:ascii="宋体" w:hAnsi="宋体" w:cs="宋体"/>
      <w:kern w:val="0"/>
      <w:sz w:val="24"/>
    </w:rPr>
  </w:style>
  <w:style w:type="paragraph" w:customStyle="1" w:styleId="616">
    <w:name w:val="数字标题4"/>
    <w:basedOn w:val="7"/>
    <w:qFormat/>
    <w:uiPriority w:val="0"/>
    <w:pPr>
      <w:numPr>
        <w:ilvl w:val="0"/>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617">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1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1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62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621">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62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6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624">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625">
    <w:name w:val="Body Text 2*"/>
    <w:basedOn w:val="1"/>
    <w:qFormat/>
    <w:uiPriority w:val="6"/>
    <w:pPr>
      <w:widowControl/>
      <w:adjustRightInd/>
      <w:ind w:left="720" w:hanging="720"/>
    </w:pPr>
    <w:rPr>
      <w:color w:val="000000"/>
      <w:kern w:val="0"/>
      <w:sz w:val="24"/>
      <w:szCs w:val="20"/>
      <w:lang w:val="en-GB"/>
    </w:rPr>
  </w:style>
  <w:style w:type="paragraph" w:customStyle="1" w:styleId="626">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627">
    <w:name w:val="xl9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62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2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630">
    <w:name w:val="_标题8"/>
    <w:basedOn w:val="1"/>
    <w:next w:val="1"/>
    <w:qFormat/>
    <w:uiPriority w:val="0"/>
    <w:pPr>
      <w:widowControl/>
      <w:tabs>
        <w:tab w:val="left" w:pos="360"/>
      </w:tabs>
      <w:adjustRightInd/>
      <w:spacing w:beforeLines="50" w:afterLines="50" w:line="360" w:lineRule="auto"/>
      <w:ind w:left="1418" w:hanging="1418"/>
      <w:jc w:val="left"/>
      <w:outlineLvl w:val="7"/>
    </w:pPr>
    <w:rPr>
      <w:rFonts w:ascii="等线" w:hAnsi="等线" w:eastAsia="等线" w:cs="Times New Roman"/>
      <w:b/>
      <w:sz w:val="24"/>
      <w:szCs w:val="21"/>
    </w:rPr>
  </w:style>
  <w:style w:type="paragraph" w:customStyle="1" w:styleId="63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632">
    <w:name w:val="xl108"/>
    <w:basedOn w:val="1"/>
    <w:qFormat/>
    <w:uiPriority w:val="0"/>
    <w:pPr>
      <w:widowControl/>
      <w:pBdr>
        <w:top w:val="single" w:color="auto" w:sz="4" w:space="0"/>
        <w:lef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63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3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63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636">
    <w:name w:val="Char Char Char Char Char Char Char1"/>
    <w:basedOn w:val="1"/>
    <w:uiPriority w:val="6"/>
    <w:rPr>
      <w:rFonts w:ascii="仿宋_GB2312" w:eastAsia="仿宋_GB2312"/>
      <w:b/>
      <w:sz w:val="32"/>
      <w:szCs w:val="32"/>
    </w:rPr>
  </w:style>
  <w:style w:type="paragraph" w:customStyle="1" w:styleId="637">
    <w:name w:val="Char Char11 Char Char Char Char Char Char Char Char Char Char Char2"/>
    <w:basedOn w:val="1"/>
    <w:qFormat/>
    <w:uiPriority w:val="0"/>
    <w:pPr>
      <w:adjustRightInd/>
      <w:spacing w:line="360" w:lineRule="auto"/>
    </w:pPr>
    <w:rPr>
      <w:rFonts w:ascii="Arial" w:hAnsi="Arial" w:eastAsia="黑体" w:cs="Arial"/>
      <w:snapToGrid w:val="0"/>
      <w:kern w:val="0"/>
      <w:szCs w:val="21"/>
    </w:rPr>
  </w:style>
  <w:style w:type="paragraph" w:customStyle="1" w:styleId="638">
    <w:name w:val="Char Char1"/>
    <w:basedOn w:val="1"/>
    <w:qFormat/>
    <w:uiPriority w:val="0"/>
    <w:pPr>
      <w:widowControl/>
      <w:spacing w:after="160" w:line="240" w:lineRule="exact"/>
      <w:jc w:val="left"/>
    </w:pPr>
    <w:rPr>
      <w:rFonts w:eastAsia="仿宋_GB2312"/>
      <w:sz w:val="28"/>
    </w:rPr>
  </w:style>
  <w:style w:type="paragraph" w:customStyle="1" w:styleId="639">
    <w:name w:val="Char Char1 Char Char Char1"/>
    <w:basedOn w:val="1"/>
    <w:qFormat/>
    <w:uiPriority w:val="6"/>
    <w:rPr>
      <w:rFonts w:ascii="仿宋_GB2312" w:eastAsia="仿宋_GB2312"/>
      <w:b/>
      <w:sz w:val="32"/>
      <w:szCs w:val="20"/>
    </w:rPr>
  </w:style>
  <w:style w:type="paragraph" w:customStyle="1" w:styleId="640">
    <w:name w:val="浅色列表 - 强调文字颜色 31"/>
    <w:qFormat/>
    <w:uiPriority w:val="0"/>
    <w:rPr>
      <w:rFonts w:ascii="Times New Roman" w:hAnsi="Times New Roman" w:eastAsia="宋体" w:cs="Times New Roman"/>
      <w:kern w:val="2"/>
      <w:sz w:val="21"/>
      <w:lang w:val="en-US" w:eastAsia="zh-CN" w:bidi="ar-SA"/>
    </w:rPr>
  </w:style>
  <w:style w:type="paragraph" w:customStyle="1" w:styleId="64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642">
    <w:name w:val="Char Char113"/>
    <w:basedOn w:val="1"/>
    <w:uiPriority w:val="0"/>
    <w:pPr>
      <w:widowControl/>
      <w:spacing w:after="160" w:line="240" w:lineRule="exact"/>
      <w:jc w:val="left"/>
    </w:pPr>
    <w:rPr>
      <w:rFonts w:eastAsia="仿宋_GB2312"/>
      <w:sz w:val="28"/>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1 Char Char Char1"/>
    <w:basedOn w:val="1"/>
    <w:qFormat/>
    <w:uiPriority w:val="6"/>
    <w:pPr>
      <w:spacing w:line="360" w:lineRule="auto"/>
    </w:pPr>
    <w:rPr>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 Char111"/>
    <w:basedOn w:val="1"/>
    <w:qFormat/>
    <w:uiPriority w:val="0"/>
    <w:pPr>
      <w:spacing w:line="360" w:lineRule="auto"/>
    </w:pPr>
    <w:rPr>
      <w:szCs w:val="20"/>
    </w:rPr>
  </w:style>
  <w:style w:type="paragraph" w:customStyle="1" w:styleId="64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4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49">
    <w:name w:val="修订1"/>
    <w:qFormat/>
    <w:uiPriority w:val="0"/>
    <w:rPr>
      <w:rFonts w:ascii="Times New Roman" w:hAnsi="Times New Roman" w:eastAsia="宋体" w:cs="Times New Roman"/>
      <w:kern w:val="2"/>
      <w:sz w:val="21"/>
      <w:lang w:val="en-US" w:eastAsia="zh-CN" w:bidi="ar-SA"/>
    </w:rPr>
  </w:style>
  <w:style w:type="paragraph" w:customStyle="1" w:styleId="650">
    <w:name w:val="Char1 Char Char Char3"/>
    <w:basedOn w:val="1"/>
    <w:qFormat/>
    <w:uiPriority w:val="0"/>
    <w:pPr>
      <w:adjustRightInd/>
      <w:ind w:firstLine="200" w:firstLineChars="200"/>
    </w:pPr>
    <w:rPr>
      <w:rFonts w:ascii="Tahoma" w:hAnsi="Tahoma"/>
      <w:sz w:val="24"/>
      <w:szCs w:val="20"/>
    </w:rPr>
  </w:style>
  <w:style w:type="paragraph" w:customStyle="1" w:styleId="65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652">
    <w:name w:val="_标题3"/>
    <w:basedOn w:val="1"/>
    <w:next w:val="1"/>
    <w:qFormat/>
    <w:uiPriority w:val="0"/>
    <w:pPr>
      <w:adjustRightInd/>
      <w:spacing w:beforeLines="50" w:afterLines="50" w:line="360" w:lineRule="auto"/>
      <w:jc w:val="left"/>
      <w:outlineLvl w:val="2"/>
    </w:pPr>
    <w:rPr>
      <w:rFonts w:ascii="等线" w:hAnsi="等线" w:eastAsia="等线" w:cs="Times New Roman"/>
      <w:b/>
      <w:sz w:val="28"/>
      <w:szCs w:val="21"/>
    </w:rPr>
  </w:style>
  <w:style w:type="paragraph" w:customStyle="1" w:styleId="6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54">
    <w:name w:val="Char111"/>
    <w:basedOn w:val="1"/>
    <w:qFormat/>
    <w:uiPriority w:val="0"/>
    <w:rPr>
      <w:rFonts w:ascii="仿宋_GB2312" w:eastAsia="仿宋_GB2312"/>
      <w:b/>
      <w:sz w:val="32"/>
      <w:szCs w:val="32"/>
    </w:rPr>
  </w:style>
  <w:style w:type="paragraph" w:customStyle="1" w:styleId="65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56">
    <w:name w:val="Char Char Char Char Char Char Char Char"/>
    <w:basedOn w:val="1"/>
    <w:qFormat/>
    <w:uiPriority w:val="0"/>
    <w:pPr>
      <w:tabs>
        <w:tab w:val="left" w:pos="360"/>
      </w:tabs>
    </w:pPr>
    <w:rPr>
      <w:sz w:val="24"/>
      <w:szCs w:val="20"/>
    </w:rPr>
  </w:style>
  <w:style w:type="paragraph" w:customStyle="1" w:styleId="65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65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66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6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62">
    <w:name w:val="xl116"/>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4"/>
    </w:rPr>
  </w:style>
  <w:style w:type="paragraph" w:customStyle="1" w:styleId="66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64">
    <w:name w:val="样式 标题 5H5h5PIM 5h51heading 51h52heading 52h53heading 53...1"/>
    <w:basedOn w:val="8"/>
    <w:qFormat/>
    <w:uiPriority w:val="0"/>
    <w:pPr>
      <w:numPr>
        <w:ilvl w:val="0"/>
        <w:numId w:val="0"/>
      </w:numPr>
      <w:tabs>
        <w:tab w:val="left" w:pos="2551"/>
        <w:tab w:val="clear" w:pos="1008"/>
      </w:tabs>
      <w:adjustRightInd/>
      <w:spacing w:before="120" w:after="120" w:line="360" w:lineRule="auto"/>
      <w:ind w:left="2551" w:hanging="850"/>
      <w:jc w:val="left"/>
    </w:pPr>
    <w:rPr>
      <w:rFonts w:ascii="宋体" w:hAnsi="宋体" w:eastAsia="仿宋_GB2312"/>
      <w:sz w:val="24"/>
    </w:rPr>
  </w:style>
  <w:style w:type="paragraph" w:customStyle="1" w:styleId="665">
    <w:name w:val="_Style 8"/>
    <w:basedOn w:val="1"/>
    <w:qFormat/>
    <w:uiPriority w:val="34"/>
    <w:pPr>
      <w:adjustRightInd/>
      <w:ind w:firstLine="420" w:firstLineChars="200"/>
    </w:pPr>
    <w:rPr>
      <w:rFonts w:eastAsia="仿宋_GB2312"/>
      <w:sz w:val="28"/>
    </w:rPr>
  </w:style>
  <w:style w:type="paragraph" w:customStyle="1" w:styleId="666">
    <w:name w:val="Char Char Char1 Char2"/>
    <w:basedOn w:val="1"/>
    <w:uiPriority w:val="0"/>
    <w:rPr>
      <w:szCs w:val="20"/>
    </w:rPr>
  </w:style>
  <w:style w:type="paragraph" w:customStyle="1" w:styleId="66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66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69">
    <w:name w:val="TOC 标题11"/>
    <w:basedOn w:val="4"/>
    <w:next w:val="1"/>
    <w:unhideWhenUsed/>
    <w:qFormat/>
    <w:uiPriority w:val="4"/>
    <w:pPr>
      <w:widowControl/>
      <w:numPr>
        <w:ilvl w:val="0"/>
        <w:numId w:val="0"/>
      </w:numPr>
      <w:adjustRightInd/>
      <w:spacing w:before="480" w:after="0" w:line="276" w:lineRule="auto"/>
      <w:jc w:val="left"/>
      <w:outlineLvl w:val="9"/>
    </w:pPr>
    <w:rPr>
      <w:rFonts w:ascii="Cambria" w:hAnsi="Cambria"/>
      <w:color w:val="365F91"/>
      <w:kern w:val="0"/>
      <w:sz w:val="28"/>
      <w:szCs w:val="28"/>
    </w:rPr>
  </w:style>
  <w:style w:type="paragraph" w:customStyle="1" w:styleId="670">
    <w:name w:val="Char Char Char Char Char Char Char Char Char Char"/>
    <w:basedOn w:val="1"/>
    <w:qFormat/>
    <w:uiPriority w:val="0"/>
    <w:rPr>
      <w:rFonts w:ascii="仿宋_GB2312" w:eastAsia="仿宋_GB2312"/>
      <w:b/>
      <w:sz w:val="32"/>
      <w:szCs w:val="32"/>
    </w:rPr>
  </w:style>
  <w:style w:type="paragraph" w:customStyle="1" w:styleId="671">
    <w:name w:val="样式 仿宋_GB2312 小三 左侧:  1.06 厘米"/>
    <w:basedOn w:val="1"/>
    <w:uiPriority w:val="0"/>
    <w:pPr>
      <w:spacing w:line="360" w:lineRule="auto"/>
      <w:ind w:left="601"/>
    </w:pPr>
    <w:rPr>
      <w:rFonts w:ascii="仿宋_GB2312" w:eastAsia="仿宋_GB2312"/>
      <w:sz w:val="24"/>
      <w:szCs w:val="20"/>
    </w:rPr>
  </w:style>
  <w:style w:type="paragraph" w:customStyle="1" w:styleId="67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675">
    <w:name w:val="FA正文"/>
    <w:basedOn w:val="1"/>
    <w:uiPriority w:val="0"/>
    <w:pPr>
      <w:spacing w:line="360" w:lineRule="auto"/>
      <w:ind w:firstLine="480" w:firstLineChars="200"/>
    </w:pPr>
    <w:rPr>
      <w:rFonts w:hAnsi="宋体"/>
      <w:sz w:val="24"/>
      <w:szCs w:val="20"/>
    </w:rPr>
  </w:style>
  <w:style w:type="paragraph" w:customStyle="1" w:styleId="676">
    <w:name w:val="Char31"/>
    <w:basedOn w:val="1"/>
    <w:qFormat/>
    <w:uiPriority w:val="0"/>
    <w:pPr>
      <w:adjustRightInd/>
    </w:pPr>
    <w:rPr>
      <w:rFonts w:ascii="仿宋_GB2312" w:eastAsia="仿宋_GB2312"/>
      <w:b/>
      <w:sz w:val="32"/>
      <w:szCs w:val="32"/>
    </w:rPr>
  </w:style>
  <w:style w:type="paragraph" w:customStyle="1" w:styleId="677">
    <w:name w:val="样式 正文文本缩进 + 段前: 2 字符"/>
    <w:basedOn w:val="1"/>
    <w:qFormat/>
    <w:uiPriority w:val="0"/>
    <w:pPr>
      <w:adjustRightInd/>
      <w:ind w:left="420" w:leftChars="200"/>
      <w:jc w:val="left"/>
    </w:pPr>
    <w:rPr>
      <w:sz w:val="28"/>
      <w:szCs w:val="20"/>
      <w:lang w:eastAsia="zh-TW"/>
    </w:rPr>
  </w:style>
  <w:style w:type="paragraph" w:customStyle="1" w:styleId="678">
    <w:name w:val="表格（小）"/>
    <w:basedOn w:val="1"/>
    <w:qFormat/>
    <w:uiPriority w:val="0"/>
    <w:pPr>
      <w:adjustRightInd/>
      <w:snapToGrid w:val="0"/>
      <w:spacing w:line="300" w:lineRule="auto"/>
    </w:pPr>
    <w:rPr>
      <w:rFonts w:eastAsia="仿宋"/>
      <w:szCs w:val="21"/>
    </w:rPr>
  </w:style>
  <w:style w:type="paragraph" w:customStyle="1" w:styleId="67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8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81">
    <w:name w:val="_标题1"/>
    <w:basedOn w:val="1"/>
    <w:next w:val="1"/>
    <w:qFormat/>
    <w:uiPriority w:val="0"/>
    <w:pPr>
      <w:adjustRightInd/>
      <w:spacing w:beforeLines="50" w:afterLines="50" w:line="360" w:lineRule="auto"/>
      <w:jc w:val="left"/>
      <w:outlineLvl w:val="0"/>
    </w:pPr>
    <w:rPr>
      <w:rFonts w:ascii="等线" w:hAnsi="等线" w:eastAsia="等线" w:cs="Times New Roman"/>
      <w:b/>
      <w:sz w:val="36"/>
      <w:szCs w:val="21"/>
    </w:rPr>
  </w:style>
  <w:style w:type="paragraph" w:customStyle="1" w:styleId="68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83">
    <w:name w:val="Char2 Char Char Char"/>
    <w:basedOn w:val="1"/>
    <w:qFormat/>
    <w:uiPriority w:val="0"/>
    <w:rPr>
      <w:rFonts w:ascii="仿宋_GB2312" w:eastAsia="仿宋_GB2312"/>
      <w:b/>
      <w:sz w:val="32"/>
      <w:szCs w:val="32"/>
    </w:rPr>
  </w:style>
  <w:style w:type="paragraph" w:customStyle="1" w:styleId="684">
    <w:name w:val="!标题8级"/>
    <w:basedOn w:val="11"/>
    <w:qFormat/>
    <w:uiPriority w:val="0"/>
    <w:pPr>
      <w:numPr>
        <w:ilvl w:val="0"/>
        <w:numId w:val="0"/>
      </w:numPr>
      <w:tabs>
        <w:tab w:val="clear" w:pos="1440"/>
      </w:tabs>
      <w:adjustRightInd/>
      <w:spacing w:line="360" w:lineRule="auto"/>
      <w:ind w:left="4394" w:hanging="1418"/>
      <w:jc w:val="left"/>
    </w:pPr>
    <w:rPr>
      <w:rFonts w:ascii="Cambria" w:hAnsi="Cambria" w:eastAsia="宋体"/>
    </w:rPr>
  </w:style>
  <w:style w:type="paragraph" w:customStyle="1" w:styleId="685">
    <w:name w:val="xl9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686">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68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88">
    <w:name w:val="总结标题3"/>
    <w:basedOn w:val="6"/>
    <w:qFormat/>
    <w:uiPriority w:val="0"/>
    <w:pPr>
      <w:numPr>
        <w:numId w:val="7"/>
      </w:numPr>
      <w:adjustRightInd/>
      <w:spacing w:before="25" w:beforeLines="25" w:after="0" w:line="300" w:lineRule="auto"/>
    </w:pPr>
    <w:rPr>
      <w:sz w:val="30"/>
    </w:rPr>
  </w:style>
  <w:style w:type="paragraph" w:customStyle="1" w:styleId="68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690">
    <w:name w:val="Char3"/>
    <w:basedOn w:val="1"/>
    <w:qFormat/>
    <w:uiPriority w:val="0"/>
    <w:pPr>
      <w:adjustRightInd/>
    </w:pPr>
    <w:rPr>
      <w:rFonts w:ascii="仿宋_GB2312" w:eastAsia="仿宋_GB2312"/>
      <w:b/>
      <w:sz w:val="32"/>
      <w:szCs w:val="32"/>
    </w:rPr>
  </w:style>
  <w:style w:type="paragraph" w:customStyle="1" w:styleId="691">
    <w:name w:val="标题2"/>
    <w:basedOn w:val="5"/>
    <w:next w:val="1"/>
    <w:qFormat/>
    <w:uiPriority w:val="0"/>
    <w:pPr>
      <w:numPr>
        <w:ilvl w:val="0"/>
        <w:numId w:val="0"/>
      </w:numPr>
      <w:tabs>
        <w:tab w:val="left" w:pos="578"/>
        <w:tab w:val="left" w:pos="900"/>
        <w:tab w:val="left" w:pos="1440"/>
      </w:tabs>
      <w:ind w:left="1440" w:hanging="360"/>
    </w:pPr>
    <w:rPr>
      <w:rFonts w:ascii="仿宋" w:eastAsia="仿宋" w:cs="宋体"/>
      <w:bCs w:val="0"/>
      <w:szCs w:val="28"/>
    </w:rPr>
  </w:style>
  <w:style w:type="paragraph" w:customStyle="1" w:styleId="692">
    <w:name w:val="Char Char Char Char Char Char Char Char Char Char Char1 Char"/>
    <w:basedOn w:val="1"/>
    <w:qFormat/>
    <w:uiPriority w:val="0"/>
    <w:pPr>
      <w:adjustRightInd/>
    </w:pPr>
    <w:rPr>
      <w:rFonts w:ascii="Tahoma" w:hAnsi="Tahoma"/>
      <w:sz w:val="24"/>
    </w:rPr>
  </w:style>
  <w:style w:type="paragraph" w:customStyle="1" w:styleId="693">
    <w:name w:val="Char Char Char Char12"/>
    <w:basedOn w:val="1"/>
    <w:qFormat/>
    <w:uiPriority w:val="0"/>
    <w:rPr>
      <w:rFonts w:ascii="Tahoma" w:hAnsi="Tahoma"/>
      <w:sz w:val="24"/>
      <w:szCs w:val="20"/>
    </w:rPr>
  </w:style>
  <w:style w:type="paragraph" w:customStyle="1" w:styleId="694">
    <w:name w:val="EB_表格"/>
    <w:basedOn w:val="1"/>
    <w:qFormat/>
    <w:uiPriority w:val="0"/>
    <w:pPr>
      <w:adjustRightInd/>
      <w:spacing w:line="300" w:lineRule="auto"/>
      <w:jc w:val="center"/>
    </w:pPr>
  </w:style>
  <w:style w:type="paragraph" w:customStyle="1" w:styleId="695">
    <w:name w:val="Char Char Char 字元 字元"/>
    <w:basedOn w:val="1"/>
    <w:qFormat/>
    <w:uiPriority w:val="0"/>
    <w:pPr>
      <w:adjustRightInd/>
      <w:spacing w:line="360" w:lineRule="auto"/>
      <w:ind w:firstLine="200" w:firstLineChars="200"/>
    </w:pPr>
    <w:rPr>
      <w:szCs w:val="20"/>
    </w:rPr>
  </w:style>
  <w:style w:type="paragraph" w:customStyle="1" w:styleId="69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9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98">
    <w:name w:val="xl33"/>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700">
    <w:name w:val="_标题2"/>
    <w:basedOn w:val="424"/>
    <w:next w:val="42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01">
    <w:name w:val="Char Char Char1 Char1"/>
    <w:basedOn w:val="1"/>
    <w:qFormat/>
    <w:uiPriority w:val="6"/>
    <w:rPr>
      <w:szCs w:val="20"/>
    </w:rPr>
  </w:style>
  <w:style w:type="paragraph" w:customStyle="1" w:styleId="70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Char2 Char Char2"/>
    <w:basedOn w:val="1"/>
    <w:qFormat/>
    <w:uiPriority w:val="0"/>
    <w:pPr>
      <w:adjustRightInd/>
    </w:pPr>
    <w:rPr>
      <w:rFonts w:ascii="Tahoma" w:hAnsi="Tahoma"/>
      <w:sz w:val="24"/>
      <w:szCs w:val="20"/>
    </w:rPr>
  </w:style>
  <w:style w:type="paragraph" w:customStyle="1" w:styleId="704">
    <w:name w:val="a1"/>
    <w:basedOn w:val="1"/>
    <w:qFormat/>
    <w:uiPriority w:val="0"/>
    <w:pPr>
      <w:widowControl/>
      <w:spacing w:line="300" w:lineRule="atLeast"/>
      <w:jc w:val="left"/>
    </w:pPr>
    <w:rPr>
      <w:rFonts w:ascii="宋体" w:hAnsi="宋体"/>
      <w:kern w:val="0"/>
      <w:sz w:val="18"/>
      <w:szCs w:val="20"/>
    </w:rPr>
  </w:style>
  <w:style w:type="paragraph" w:customStyle="1" w:styleId="70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706">
    <w:name w:val="浅色网格 - 强调文字颜色 31"/>
    <w:basedOn w:val="1"/>
    <w:qFormat/>
    <w:uiPriority w:val="0"/>
    <w:pPr>
      <w:spacing w:line="360" w:lineRule="auto"/>
      <w:ind w:firstLine="200" w:firstLineChars="200"/>
    </w:pPr>
    <w:rPr>
      <w:rFonts w:eastAsia="楷体_GB2312" w:cs="Lucida Sans"/>
      <w:sz w:val="24"/>
    </w:rPr>
  </w:style>
  <w:style w:type="paragraph" w:customStyle="1" w:styleId="707">
    <w:name w:val="文本正文 Char"/>
    <w:basedOn w:val="1"/>
    <w:qFormat/>
    <w:uiPriority w:val="0"/>
    <w:pPr>
      <w:spacing w:line="360" w:lineRule="auto"/>
      <w:ind w:firstLine="200" w:firstLineChars="200"/>
    </w:pPr>
    <w:rPr>
      <w:kern w:val="0"/>
      <w:sz w:val="24"/>
      <w:szCs w:val="20"/>
    </w:rPr>
  </w:style>
  <w:style w:type="paragraph" w:customStyle="1" w:styleId="70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7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10">
    <w:name w:val="样式 宋体 行距: 1.5 倍行距 首行缩进:  2 字符"/>
    <w:basedOn w:val="1"/>
    <w:uiPriority w:val="0"/>
    <w:pPr>
      <w:adjustRightInd/>
      <w:spacing w:line="360" w:lineRule="auto"/>
      <w:ind w:firstLine="420" w:firstLineChars="200"/>
    </w:pPr>
    <w:rPr>
      <w:rFonts w:ascii="宋体" w:hAnsi="宋体"/>
      <w:sz w:val="24"/>
      <w:szCs w:val="20"/>
    </w:rPr>
  </w:style>
  <w:style w:type="paragraph" w:customStyle="1" w:styleId="711">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712">
    <w:name w:val="Char Char1 Char Char1 Char Char1"/>
    <w:basedOn w:val="1"/>
    <w:qFormat/>
    <w:uiPriority w:val="0"/>
    <w:pPr>
      <w:tabs>
        <w:tab w:val="left" w:pos="840"/>
      </w:tabs>
      <w:ind w:left="840" w:hanging="420"/>
    </w:pPr>
    <w:rPr>
      <w:rFonts w:ascii="Tahoma" w:hAnsi="Tahoma"/>
      <w:sz w:val="24"/>
    </w:rPr>
  </w:style>
  <w:style w:type="paragraph" w:customStyle="1" w:styleId="713">
    <w:name w:val="Char Char11 Char Char Char Char Char Char Char Char Char"/>
    <w:basedOn w:val="1"/>
    <w:qFormat/>
    <w:uiPriority w:val="0"/>
    <w:pPr>
      <w:spacing w:line="360" w:lineRule="auto"/>
    </w:pPr>
    <w:rPr>
      <w:szCs w:val="20"/>
    </w:rPr>
  </w:style>
  <w:style w:type="paragraph" w:customStyle="1" w:styleId="71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71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716">
    <w:name w:val="xl123"/>
    <w:basedOn w:val="1"/>
    <w:uiPriority w:val="0"/>
    <w:pPr>
      <w:widowControl/>
      <w:adjustRightInd/>
      <w:spacing w:before="100" w:beforeAutospacing="1" w:after="100" w:afterAutospacing="1"/>
      <w:jc w:val="left"/>
      <w:textAlignment w:val="center"/>
    </w:pPr>
    <w:rPr>
      <w:rFonts w:ascii="宋体" w:hAnsi="宋体" w:cs="宋体"/>
      <w:kern w:val="0"/>
      <w:sz w:val="24"/>
    </w:rPr>
  </w:style>
  <w:style w:type="paragraph" w:customStyle="1" w:styleId="717">
    <w:name w:val="样式 样式2 + 左侧:  1 字符 右侧:  1 字符"/>
    <w:basedOn w:val="5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718">
    <w:name w:val="方案正文无缩进"/>
    <w:qFormat/>
    <w:uiPriority w:val="0"/>
    <w:pPr>
      <w:spacing w:line="360" w:lineRule="auto"/>
    </w:pPr>
    <w:rPr>
      <w:rFonts w:ascii="Calibri" w:hAnsi="Calibri" w:eastAsia="宋体" w:cs="Times New Roman"/>
      <w:kern w:val="2"/>
      <w:sz w:val="24"/>
      <w:szCs w:val="24"/>
      <w:lang w:val="en-US" w:eastAsia="zh-CN" w:bidi="ar-SA"/>
    </w:rPr>
  </w:style>
  <w:style w:type="paragraph" w:customStyle="1" w:styleId="71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720">
    <w:name w:val="标书标题2"/>
    <w:basedOn w:val="5"/>
    <w:qFormat/>
    <w:uiPriority w:val="0"/>
    <w:pPr>
      <w:keepLines w:val="0"/>
      <w:widowControl/>
      <w:numPr>
        <w:ilvl w:val="0"/>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721">
    <w:name w:val="样式1 + (中宋体"/>
    <w:basedOn w:val="6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2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3">
    <w:name w:val="Char Char11 Char Char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72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725">
    <w:name w:val="xl10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textAlignment w:val="center"/>
    </w:pPr>
    <w:rPr>
      <w:rFonts w:ascii="宋体" w:hAnsi="宋体" w:cs="宋体"/>
      <w:color w:val="000000"/>
      <w:kern w:val="0"/>
      <w:sz w:val="24"/>
    </w:rPr>
  </w:style>
  <w:style w:type="paragraph" w:customStyle="1" w:styleId="726">
    <w:name w:val="节标题"/>
    <w:basedOn w:val="1"/>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3级标题"/>
    <w:basedOn w:val="121"/>
    <w:qFormat/>
    <w:uiPriority w:val="0"/>
    <w:pPr>
      <w:keepLines/>
      <w:numPr>
        <w:ilvl w:val="2"/>
        <w:numId w:val="10"/>
      </w:numPr>
      <w:adjustRightInd/>
      <w:spacing w:before="120" w:after="120"/>
      <w:ind w:firstLineChars="0"/>
      <w:contextualSpacing/>
      <w:jc w:val="left"/>
      <w:outlineLvl w:val="2"/>
    </w:pPr>
    <w:rPr>
      <w:rFonts w:ascii="黑体" w:hAnsi="黑体" w:eastAsia="黑体" w:cs="Times New Roman"/>
      <w:kern w:val="0"/>
      <w:sz w:val="28"/>
      <w:szCs w:val="36"/>
      <w:lang w:eastAsia="en-US" w:bidi="en-US"/>
    </w:rPr>
  </w:style>
  <w:style w:type="paragraph" w:customStyle="1" w:styleId="72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72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3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73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733">
    <w:name w:val="小节"/>
    <w:basedOn w:val="6"/>
    <w:qFormat/>
    <w:uiPriority w:val="0"/>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73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735">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736">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737">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738">
    <w:name w:val="Char Char1 Char Char Char Char Char Char1"/>
    <w:basedOn w:val="1"/>
    <w:qFormat/>
    <w:uiPriority w:val="0"/>
    <w:rPr>
      <w:rFonts w:ascii="仿宋_GB2312" w:eastAsia="仿宋_GB2312"/>
      <w:b/>
      <w:sz w:val="32"/>
      <w:szCs w:val="20"/>
    </w:rPr>
  </w:style>
  <w:style w:type="paragraph" w:customStyle="1" w:styleId="739">
    <w:name w:val="_Style 59"/>
    <w:basedOn w:val="1"/>
    <w:qFormat/>
    <w:uiPriority w:val="0"/>
    <w:pPr>
      <w:spacing w:line="360" w:lineRule="auto"/>
    </w:pPr>
  </w:style>
  <w:style w:type="paragraph" w:customStyle="1" w:styleId="740">
    <w:name w:val="List Paragraph1"/>
    <w:basedOn w:val="1"/>
    <w:qFormat/>
    <w:uiPriority w:val="34"/>
    <w:pPr>
      <w:spacing w:line="360" w:lineRule="auto"/>
      <w:ind w:firstLine="200" w:firstLineChars="200"/>
    </w:pPr>
    <w:rPr>
      <w:rFonts w:eastAsia="楷体_GB2312" w:cs="Lucida Sans"/>
      <w:sz w:val="24"/>
    </w:rPr>
  </w:style>
  <w:style w:type="paragraph" w:customStyle="1" w:styleId="741">
    <w:name w:val="1级标题"/>
    <w:basedOn w:val="121"/>
    <w:qFormat/>
    <w:uiPriority w:val="0"/>
    <w:pPr>
      <w:keepLines/>
      <w:pageBreakBefore/>
      <w:numPr>
        <w:ilvl w:val="0"/>
        <w:numId w:val="10"/>
      </w:numPr>
      <w:adjustRightInd/>
      <w:spacing w:before="240" w:after="240"/>
      <w:ind w:firstLine="0" w:firstLineChars="0"/>
      <w:contextualSpacing/>
      <w:jc w:val="center"/>
      <w:outlineLvl w:val="0"/>
    </w:pPr>
    <w:rPr>
      <w:rFonts w:ascii="黑体" w:hAnsi="黑体" w:eastAsia="黑体" w:cs="Times New Roman"/>
      <w:kern w:val="0"/>
      <w:sz w:val="36"/>
      <w:szCs w:val="36"/>
      <w:lang w:eastAsia="en-US" w:bidi="en-US"/>
    </w:rPr>
  </w:style>
  <w:style w:type="paragraph" w:customStyle="1" w:styleId="742">
    <w:name w:val="Char Char Char Char Char Char Char Char Char Char Char Char1 Char2"/>
    <w:basedOn w:val="1"/>
    <w:qFormat/>
    <w:uiPriority w:val="0"/>
    <w:rPr>
      <w:rFonts w:ascii="Tahoma" w:hAnsi="Tahoma" w:cs="仿宋_GB2312"/>
      <w:sz w:val="24"/>
      <w:szCs w:val="20"/>
    </w:rPr>
  </w:style>
  <w:style w:type="paragraph" w:customStyle="1" w:styleId="743">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744">
    <w:name w:val="MM Empty"/>
    <w:basedOn w:val="1"/>
    <w:qFormat/>
    <w:uiPriority w:val="0"/>
    <w:pPr>
      <w:adjustRightInd/>
    </w:pPr>
  </w:style>
  <w:style w:type="paragraph" w:customStyle="1" w:styleId="745">
    <w:name w:val="Char Char11 Char Char Char11"/>
    <w:basedOn w:val="1"/>
    <w:qFormat/>
    <w:uiPriority w:val="0"/>
    <w:pPr>
      <w:spacing w:line="360" w:lineRule="auto"/>
    </w:pPr>
    <w:rPr>
      <w:szCs w:val="20"/>
    </w:rPr>
  </w:style>
  <w:style w:type="paragraph" w:customStyle="1" w:styleId="746">
    <w:name w:val="Char Char39"/>
    <w:basedOn w:val="1"/>
    <w:qFormat/>
    <w:uiPriority w:val="0"/>
    <w:pPr>
      <w:spacing w:line="360" w:lineRule="auto"/>
    </w:pPr>
    <w:rPr>
      <w:rFonts w:ascii="Tahoma" w:hAnsi="Tahoma"/>
      <w:sz w:val="24"/>
      <w:szCs w:val="20"/>
    </w:rPr>
  </w:style>
  <w:style w:type="paragraph" w:customStyle="1" w:styleId="747">
    <w:name w:val="Char Char Char Char Char Char Char Char Char Char Char Char1 Char1"/>
    <w:basedOn w:val="1"/>
    <w:qFormat/>
    <w:uiPriority w:val="6"/>
    <w:rPr>
      <w:rFonts w:ascii="Tahoma" w:hAnsi="Tahoma" w:cs="仿宋_GB2312"/>
      <w:sz w:val="24"/>
      <w:szCs w:val="20"/>
    </w:rPr>
  </w:style>
  <w:style w:type="paragraph" w:customStyle="1" w:styleId="748">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749">
    <w:name w:val="_标题4"/>
    <w:basedOn w:val="1"/>
    <w:next w:val="1"/>
    <w:qFormat/>
    <w:uiPriority w:val="0"/>
    <w:pPr>
      <w:adjustRightInd/>
      <w:spacing w:line="360" w:lineRule="auto"/>
      <w:jc w:val="left"/>
      <w:outlineLvl w:val="3"/>
    </w:pPr>
    <w:rPr>
      <w:rFonts w:ascii="等线" w:hAnsi="等线" w:eastAsia="等线" w:cs="Times New Roman"/>
      <w:b/>
      <w:sz w:val="24"/>
      <w:szCs w:val="21"/>
    </w:rPr>
  </w:style>
  <w:style w:type="paragraph" w:customStyle="1" w:styleId="75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751">
    <w:name w:val="p15"/>
    <w:basedOn w:val="1"/>
    <w:qFormat/>
    <w:uiPriority w:val="0"/>
    <w:pPr>
      <w:widowControl/>
      <w:adjustRightInd/>
      <w:spacing w:line="360" w:lineRule="auto"/>
      <w:ind w:firstLine="200" w:firstLineChars="200"/>
    </w:pPr>
    <w:rPr>
      <w:rFonts w:cs="宋体"/>
      <w:kern w:val="0"/>
      <w:sz w:val="28"/>
    </w:rPr>
  </w:style>
  <w:style w:type="paragraph" w:customStyle="1" w:styleId="752">
    <w:name w:val="Char1 Char Char Char Char Char Char Char Char Char"/>
    <w:basedOn w:val="1"/>
    <w:uiPriority w:val="0"/>
    <w:pPr>
      <w:adjustRightInd/>
      <w:spacing w:before="240" w:after="120" w:line="288" w:lineRule="auto"/>
      <w:ind w:firstLine="200" w:firstLineChars="200"/>
      <w:jc w:val="left"/>
    </w:pPr>
    <w:rPr>
      <w:rFonts w:ascii="Tahoma" w:hAnsi="Tahoma"/>
      <w:sz w:val="24"/>
    </w:rPr>
  </w:style>
  <w:style w:type="paragraph" w:customStyle="1" w:styleId="7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754">
    <w:name w:val="五级条标题"/>
    <w:basedOn w:val="526"/>
    <w:next w:val="531"/>
    <w:qFormat/>
    <w:uiPriority w:val="0"/>
    <w:pPr>
      <w:numPr>
        <w:ilvl w:val="6"/>
      </w:numPr>
      <w:tabs>
        <w:tab w:val="clear" w:pos="2940"/>
      </w:tabs>
      <w:outlineLvl w:val="6"/>
    </w:pPr>
  </w:style>
  <w:style w:type="paragraph" w:customStyle="1" w:styleId="75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756">
    <w:name w:val="列出段落5"/>
    <w:basedOn w:val="1"/>
    <w:qFormat/>
    <w:uiPriority w:val="0"/>
    <w:pPr>
      <w:spacing w:line="360" w:lineRule="auto"/>
      <w:ind w:firstLine="200" w:firstLineChars="200"/>
    </w:pPr>
    <w:rPr>
      <w:rFonts w:eastAsia="楷体_GB2312" w:cs="Lucida Sans"/>
      <w:sz w:val="24"/>
    </w:rPr>
  </w:style>
  <w:style w:type="paragraph" w:customStyle="1" w:styleId="75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758">
    <w:name w:val="五级无标题条"/>
    <w:basedOn w:val="1"/>
    <w:qFormat/>
    <w:uiPriority w:val="0"/>
    <w:pPr>
      <w:adjustRightInd/>
    </w:pPr>
  </w:style>
  <w:style w:type="paragraph" w:customStyle="1" w:styleId="759">
    <w:name w:val="CM14"/>
    <w:basedOn w:val="369"/>
    <w:next w:val="369"/>
    <w:qFormat/>
    <w:uiPriority w:val="0"/>
    <w:pPr>
      <w:spacing w:after="68"/>
    </w:pPr>
    <w:rPr>
      <w:rFonts w:ascii="FHLHE E+ Futura Bk" w:eastAsia="FHLHE E+ Futura Bk"/>
      <w:color w:val="auto"/>
    </w:rPr>
  </w:style>
  <w:style w:type="paragraph" w:customStyle="1" w:styleId="760">
    <w:name w:val="_标题6"/>
    <w:basedOn w:val="1"/>
    <w:next w:val="1"/>
    <w:qFormat/>
    <w:uiPriority w:val="0"/>
    <w:pPr>
      <w:widowControl/>
      <w:tabs>
        <w:tab w:val="left" w:pos="360"/>
      </w:tabs>
      <w:adjustRightInd/>
      <w:spacing w:beforeLines="50" w:afterLines="50" w:line="360" w:lineRule="auto"/>
      <w:ind w:left="1134" w:hanging="1134"/>
      <w:jc w:val="left"/>
      <w:outlineLvl w:val="5"/>
    </w:pPr>
    <w:rPr>
      <w:rFonts w:ascii="等线" w:hAnsi="等线" w:eastAsia="等线" w:cs="Times New Roman"/>
      <w:b/>
      <w:sz w:val="28"/>
      <w:szCs w:val="21"/>
    </w:rPr>
  </w:style>
  <w:style w:type="paragraph" w:customStyle="1" w:styleId="761">
    <w:name w:val="四号　首行缩进"/>
    <w:basedOn w:val="1"/>
    <w:qFormat/>
    <w:uiPriority w:val="0"/>
    <w:pPr>
      <w:adjustRightInd/>
      <w:spacing w:line="360" w:lineRule="auto"/>
    </w:pPr>
    <w:rPr>
      <w:rFonts w:ascii="宋体" w:hAnsi="宋体"/>
      <w:szCs w:val="20"/>
    </w:rPr>
  </w:style>
  <w:style w:type="paragraph" w:customStyle="1" w:styleId="762">
    <w:name w:val="Char1 Char Char Char2"/>
    <w:basedOn w:val="1"/>
    <w:qFormat/>
    <w:uiPriority w:val="0"/>
    <w:pPr>
      <w:adjustRightInd/>
      <w:ind w:firstLine="200" w:firstLineChars="200"/>
    </w:pPr>
    <w:rPr>
      <w:rFonts w:ascii="Tahoma" w:hAnsi="Tahoma"/>
      <w:sz w:val="24"/>
      <w:szCs w:val="20"/>
    </w:rPr>
  </w:style>
  <w:style w:type="paragraph" w:customStyle="1" w:styleId="76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764">
    <w:name w:val="Char Char11 Char Char Char Char Char Char Char Char Char2"/>
    <w:basedOn w:val="1"/>
    <w:qFormat/>
    <w:uiPriority w:val="0"/>
    <w:pPr>
      <w:spacing w:line="360" w:lineRule="auto"/>
    </w:pPr>
    <w:rPr>
      <w:szCs w:val="20"/>
    </w:rPr>
  </w:style>
  <w:style w:type="paragraph" w:customStyle="1" w:styleId="765">
    <w:name w:val="TOC 标题12"/>
    <w:basedOn w:val="4"/>
    <w:next w:val="1"/>
    <w:unhideWhenUsed/>
    <w:qFormat/>
    <w:uiPriority w:val="39"/>
    <w:pPr>
      <w:widowControl/>
      <w:numPr>
        <w:ilvl w:val="0"/>
        <w:numId w:val="0"/>
      </w:numPr>
      <w:adjustRightInd/>
      <w:spacing w:before="480" w:after="0" w:line="276" w:lineRule="auto"/>
      <w:jc w:val="left"/>
      <w:outlineLvl w:val="9"/>
    </w:pPr>
    <w:rPr>
      <w:rFonts w:ascii="Cambria" w:hAnsi="Cambria"/>
      <w:color w:val="365F91"/>
      <w:kern w:val="0"/>
      <w:sz w:val="28"/>
      <w:szCs w:val="28"/>
    </w:rPr>
  </w:style>
  <w:style w:type="paragraph" w:customStyle="1" w:styleId="766">
    <w:name w:val="Char Char Char Char Char Char Char"/>
    <w:basedOn w:val="1"/>
    <w:qFormat/>
    <w:uiPriority w:val="0"/>
    <w:rPr>
      <w:rFonts w:ascii="仿宋_GB2312" w:eastAsia="仿宋_GB2312"/>
      <w:b/>
      <w:sz w:val="32"/>
      <w:szCs w:val="32"/>
    </w:rPr>
  </w:style>
  <w:style w:type="paragraph" w:customStyle="1" w:styleId="767">
    <w:name w:val="标题4_自定义"/>
    <w:basedOn w:val="7"/>
    <w:qFormat/>
    <w:uiPriority w:val="0"/>
    <w:pPr>
      <w:numPr>
        <w:ilvl w:val="0"/>
        <w:numId w:val="0"/>
      </w:numPr>
      <w:adjustRightInd/>
      <w:spacing w:before="0" w:after="0" w:line="360" w:lineRule="auto"/>
    </w:pPr>
    <w:rPr>
      <w:rFonts w:ascii="Verdana" w:eastAsia="Verdana"/>
      <w:sz w:val="21"/>
      <w:lang w:val="en-US"/>
    </w:rPr>
  </w:style>
  <w:style w:type="paragraph" w:customStyle="1" w:styleId="76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6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70">
    <w:name w:val="Ñù"/>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71">
    <w:name w:val="Char2 Char Char"/>
    <w:basedOn w:val="1"/>
    <w:qFormat/>
    <w:uiPriority w:val="0"/>
    <w:pPr>
      <w:adjustRightInd/>
    </w:pPr>
    <w:rPr>
      <w:rFonts w:ascii="Tahoma" w:hAnsi="Tahoma"/>
      <w:sz w:val="24"/>
      <w:szCs w:val="20"/>
    </w:rPr>
  </w:style>
  <w:style w:type="paragraph" w:customStyle="1" w:styleId="772">
    <w:name w:val="_Style 1"/>
    <w:basedOn w:val="1"/>
    <w:qFormat/>
    <w:uiPriority w:val="34"/>
    <w:pPr>
      <w:adjustRightInd/>
      <w:ind w:firstLine="420" w:firstLineChars="200"/>
    </w:pPr>
    <w:rPr>
      <w:rFonts w:eastAsia="仿宋_GB2312"/>
      <w:sz w:val="28"/>
    </w:rPr>
  </w:style>
  <w:style w:type="paragraph" w:customStyle="1" w:styleId="773">
    <w:name w:val="Char Char Char Char1"/>
    <w:basedOn w:val="1"/>
    <w:uiPriority w:val="0"/>
    <w:pPr>
      <w:tabs>
        <w:tab w:val="left" w:pos="0"/>
      </w:tabs>
      <w:adjustRightInd/>
      <w:ind w:firstLine="200" w:firstLineChars="200"/>
    </w:pPr>
    <w:rPr>
      <w:rFonts w:ascii="宋体" w:hAnsi="宋体" w:eastAsia="仿宋_GB2312"/>
      <w:sz w:val="28"/>
    </w:rPr>
  </w:style>
  <w:style w:type="paragraph" w:customStyle="1" w:styleId="774">
    <w:name w:val="9"/>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775">
    <w:name w:val="4"/>
    <w:basedOn w:val="1"/>
    <w:next w:val="38"/>
    <w:qFormat/>
    <w:uiPriority w:val="0"/>
    <w:pPr>
      <w:spacing w:after="120" w:line="480" w:lineRule="auto"/>
      <w:ind w:left="420" w:leftChars="200"/>
    </w:pPr>
    <w:rPr>
      <w:sz w:val="24"/>
      <w:szCs w:val="20"/>
    </w:rPr>
  </w:style>
  <w:style w:type="paragraph" w:customStyle="1" w:styleId="77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777">
    <w:name w:val="U_编号2"/>
    <w:basedOn w:val="1"/>
    <w:qFormat/>
    <w:uiPriority w:val="0"/>
    <w:pPr>
      <w:tabs>
        <w:tab w:val="left" w:pos="785"/>
      </w:tabs>
      <w:adjustRightInd/>
      <w:spacing w:beforeLines="10" w:afterLines="10" w:line="300" w:lineRule="auto"/>
    </w:pPr>
    <w:rPr>
      <w:sz w:val="24"/>
    </w:rPr>
  </w:style>
  <w:style w:type="paragraph" w:customStyle="1" w:styleId="7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7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8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781">
    <w:name w:val="Char Char Char1 Char"/>
    <w:basedOn w:val="1"/>
    <w:qFormat/>
    <w:uiPriority w:val="0"/>
    <w:rPr>
      <w:szCs w:val="20"/>
    </w:rPr>
  </w:style>
  <w:style w:type="paragraph" w:customStyle="1" w:styleId="782">
    <w:name w:val="样式 标题 3H3 + 两端对齐"/>
    <w:basedOn w:val="6"/>
    <w:qFormat/>
    <w:uiPriority w:val="0"/>
    <w:pPr>
      <w:keepLines w:val="0"/>
      <w:numPr>
        <w:ilvl w:val="0"/>
        <w:numId w:val="0"/>
      </w:numPr>
      <w:spacing w:before="0" w:after="0" w:line="240" w:lineRule="auto"/>
      <w:jc w:val="left"/>
    </w:pPr>
    <w:rPr>
      <w:rFonts w:cs="宋体"/>
      <w:sz w:val="21"/>
      <w:szCs w:val="20"/>
    </w:rPr>
  </w:style>
  <w:style w:type="paragraph" w:customStyle="1" w:styleId="783">
    <w:name w:val="MM Topic 3"/>
    <w:basedOn w:val="6"/>
    <w:qFormat/>
    <w:uiPriority w:val="0"/>
    <w:pPr>
      <w:numPr>
        <w:numId w:val="5"/>
      </w:numPr>
      <w:tabs>
        <w:tab w:val="left" w:pos="840"/>
        <w:tab w:val="left" w:pos="1680"/>
      </w:tabs>
      <w:adjustRightInd/>
    </w:pPr>
  </w:style>
  <w:style w:type="paragraph" w:customStyle="1" w:styleId="784">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5">
    <w:name w:val="0"/>
    <w:basedOn w:val="1"/>
    <w:qFormat/>
    <w:uiPriority w:val="0"/>
    <w:pPr>
      <w:widowControl/>
    </w:pPr>
    <w:rPr>
      <w:kern w:val="0"/>
      <w:sz w:val="24"/>
      <w:szCs w:val="20"/>
    </w:rPr>
  </w:style>
  <w:style w:type="paragraph" w:customStyle="1" w:styleId="78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787">
    <w:name w:val="Char3 Char Char11"/>
    <w:basedOn w:val="1"/>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88">
    <w:name w:val="Char1 Char Char Char"/>
    <w:basedOn w:val="1"/>
    <w:qFormat/>
    <w:uiPriority w:val="0"/>
    <w:rPr>
      <w:rFonts w:ascii="Tahoma" w:hAnsi="Tahoma"/>
      <w:sz w:val="24"/>
      <w:szCs w:val="20"/>
    </w:rPr>
  </w:style>
  <w:style w:type="paragraph" w:customStyle="1" w:styleId="789">
    <w:name w:val="xl110"/>
    <w:basedOn w:val="1"/>
    <w:qFormat/>
    <w:uiPriority w:val="0"/>
    <w:pPr>
      <w:widowControl/>
      <w:pBdr>
        <w:lef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790">
    <w:name w:val="MM Topic 4"/>
    <w:basedOn w:val="7"/>
    <w:qFormat/>
    <w:uiPriority w:val="0"/>
    <w:pPr>
      <w:numPr>
        <w:numId w:val="5"/>
      </w:numPr>
      <w:tabs>
        <w:tab w:val="left" w:pos="840"/>
        <w:tab w:val="left" w:pos="2100"/>
        <w:tab w:val="clear" w:pos="864"/>
      </w:tabs>
      <w:adjustRightInd/>
    </w:pPr>
    <w:rPr>
      <w:lang w:val="en-US"/>
    </w:rPr>
  </w:style>
  <w:style w:type="paragraph" w:customStyle="1" w:styleId="791">
    <w:name w:val="xl114"/>
    <w:basedOn w:val="1"/>
    <w:uiPriority w:val="0"/>
    <w:pPr>
      <w:widowControl/>
      <w:pBdr>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792">
    <w:name w:val="数字标题5"/>
    <w:basedOn w:val="8"/>
    <w:next w:val="1"/>
    <w:qFormat/>
    <w:uiPriority w:val="0"/>
    <w:pPr>
      <w:numPr>
        <w:numId w:val="8"/>
      </w:numPr>
      <w:tabs>
        <w:tab w:val="left" w:pos="480"/>
        <w:tab w:val="left" w:pos="1080"/>
      </w:tabs>
    </w:pPr>
  </w:style>
  <w:style w:type="paragraph" w:customStyle="1" w:styleId="793">
    <w:name w:val="_标题5"/>
    <w:basedOn w:val="1"/>
    <w:next w:val="1"/>
    <w:qFormat/>
    <w:uiPriority w:val="0"/>
    <w:pPr>
      <w:widowControl/>
      <w:adjustRightInd/>
      <w:spacing w:line="360" w:lineRule="auto"/>
      <w:jc w:val="left"/>
      <w:outlineLvl w:val="4"/>
    </w:pPr>
    <w:rPr>
      <w:rFonts w:ascii="等线" w:hAnsi="等线" w:eastAsia="等线" w:cs="Times New Roman"/>
      <w:b/>
      <w:sz w:val="24"/>
      <w:szCs w:val="21"/>
    </w:rPr>
  </w:style>
  <w:style w:type="paragraph" w:customStyle="1" w:styleId="794">
    <w:name w:val="正文21"/>
    <w:basedOn w:val="1"/>
    <w:uiPriority w:val="0"/>
    <w:pPr>
      <w:adjustRightInd/>
      <w:spacing w:before="156" w:line="360" w:lineRule="auto"/>
      <w:ind w:firstLine="510" w:firstLineChars="200"/>
    </w:pPr>
    <w:rPr>
      <w:sz w:val="24"/>
      <w:szCs w:val="20"/>
    </w:rPr>
  </w:style>
  <w:style w:type="paragraph" w:customStyle="1" w:styleId="795">
    <w:name w:val="_Style 4"/>
    <w:basedOn w:val="1"/>
    <w:qFormat/>
    <w:uiPriority w:val="34"/>
    <w:pPr>
      <w:widowControl/>
      <w:adjustRightInd/>
      <w:spacing w:after="200" w:line="360" w:lineRule="auto"/>
      <w:ind w:left="720" w:firstLine="200" w:firstLineChars="200"/>
      <w:jc w:val="left"/>
    </w:pPr>
    <w:rPr>
      <w:rFonts w:ascii="Calibri" w:hAnsi="Calibri"/>
      <w:kern w:val="0"/>
      <w:sz w:val="24"/>
      <w:szCs w:val="20"/>
      <w:lang w:eastAsia="en-US"/>
    </w:rPr>
  </w:style>
  <w:style w:type="paragraph" w:customStyle="1" w:styleId="796">
    <w:name w:val="标准小四"/>
    <w:basedOn w:val="1"/>
    <w:qFormat/>
    <w:uiPriority w:val="0"/>
    <w:pPr>
      <w:spacing w:line="360" w:lineRule="auto"/>
      <w:ind w:firstLine="480" w:firstLineChars="200"/>
    </w:pPr>
    <w:rPr>
      <w:rFonts w:ascii="Arial" w:hAnsi="Arial"/>
      <w:sz w:val="24"/>
      <w:szCs w:val="21"/>
    </w:rPr>
  </w:style>
  <w:style w:type="paragraph" w:customStyle="1" w:styleId="797">
    <w:name w:val="xl113"/>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left"/>
      <w:textAlignment w:val="center"/>
    </w:pPr>
    <w:rPr>
      <w:rFonts w:ascii="宋体" w:hAnsi="宋体" w:cs="宋体"/>
      <w:kern w:val="0"/>
      <w:sz w:val="24"/>
    </w:rPr>
  </w:style>
  <w:style w:type="paragraph" w:customStyle="1" w:styleId="798">
    <w:name w:val="左对齐表格文字"/>
    <w:basedOn w:val="1"/>
    <w:qFormat/>
    <w:uiPriority w:val="0"/>
    <w:pPr>
      <w:adjustRightInd/>
      <w:ind w:firstLine="200" w:firstLineChars="200"/>
      <w:jc w:val="right"/>
    </w:pPr>
  </w:style>
  <w:style w:type="paragraph" w:customStyle="1" w:styleId="79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0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0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802">
    <w:name w:val="_标题7"/>
    <w:basedOn w:val="1"/>
    <w:next w:val="1"/>
    <w:qFormat/>
    <w:uiPriority w:val="0"/>
    <w:pPr>
      <w:widowControl/>
      <w:tabs>
        <w:tab w:val="left" w:pos="360"/>
      </w:tabs>
      <w:adjustRightInd/>
      <w:spacing w:beforeLines="50" w:afterLines="50" w:line="360" w:lineRule="auto"/>
      <w:ind w:left="1276" w:hanging="1276"/>
      <w:jc w:val="left"/>
      <w:outlineLvl w:val="6"/>
    </w:pPr>
    <w:rPr>
      <w:rFonts w:ascii="等线" w:hAnsi="等线" w:eastAsia="等线" w:cs="Times New Roman"/>
      <w:b/>
      <w:sz w:val="24"/>
      <w:szCs w:val="21"/>
    </w:rPr>
  </w:style>
  <w:style w:type="paragraph" w:customStyle="1" w:styleId="80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04">
    <w:name w:val="Char21"/>
    <w:basedOn w:val="1"/>
    <w:qFormat/>
    <w:uiPriority w:val="0"/>
    <w:pPr>
      <w:adjustRightInd/>
      <w:ind w:firstLine="200" w:firstLineChars="200"/>
    </w:pPr>
    <w:rPr>
      <w:rFonts w:ascii="仿宋_GB2312" w:eastAsia="仿宋_GB2312"/>
      <w:b/>
      <w:sz w:val="32"/>
      <w:szCs w:val="32"/>
    </w:rPr>
  </w:style>
  <w:style w:type="paragraph" w:customStyle="1" w:styleId="805">
    <w:name w:val="xl10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806">
    <w:name w:val="p0"/>
    <w:basedOn w:val="1"/>
    <w:qFormat/>
    <w:uiPriority w:val="0"/>
    <w:pPr>
      <w:widowControl/>
      <w:adjustRightInd/>
    </w:pPr>
    <w:rPr>
      <w:kern w:val="0"/>
      <w:szCs w:val="21"/>
    </w:rPr>
  </w:style>
  <w:style w:type="paragraph" w:customStyle="1" w:styleId="807">
    <w:name w:val="WW-正文文字缩进 2"/>
    <w:basedOn w:val="1"/>
    <w:qFormat/>
    <w:uiPriority w:val="0"/>
    <w:pPr>
      <w:suppressAutoHyphens/>
      <w:adjustRightInd/>
      <w:ind w:firstLine="420"/>
    </w:pPr>
    <w:rPr>
      <w:kern w:val="1"/>
      <w:szCs w:val="20"/>
    </w:rPr>
  </w:style>
  <w:style w:type="paragraph" w:customStyle="1" w:styleId="808">
    <w:name w:val="正文文字缩进项目"/>
    <w:basedOn w:val="26"/>
    <w:uiPriority w:val="0"/>
    <w:pPr>
      <w:tabs>
        <w:tab w:val="left" w:pos="840"/>
      </w:tabs>
      <w:adjustRightInd/>
      <w:spacing w:after="120" w:line="240" w:lineRule="auto"/>
      <w:ind w:hanging="420" w:firstLineChars="0"/>
    </w:pPr>
    <w:rPr>
      <w:rFonts w:ascii="Tahoma" w:hAnsi="Tahoma"/>
      <w:sz w:val="22"/>
      <w:szCs w:val="20"/>
    </w:rPr>
  </w:style>
  <w:style w:type="paragraph" w:customStyle="1" w:styleId="809">
    <w:name w:val="表格内文"/>
    <w:basedOn w:val="1"/>
    <w:qFormat/>
    <w:uiPriority w:val="0"/>
    <w:pPr>
      <w:adjustRightInd/>
      <w:spacing w:line="360" w:lineRule="auto"/>
    </w:pPr>
    <w:rPr>
      <w:rFonts w:ascii="宋体" w:hAnsi="宋体" w:cs="宋体"/>
      <w:color w:val="000000"/>
      <w:szCs w:val="20"/>
    </w:rPr>
  </w:style>
  <w:style w:type="paragraph" w:customStyle="1" w:styleId="81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1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81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813">
    <w:name w:val="Char Char Char Char Char Char Char Char1"/>
    <w:basedOn w:val="1"/>
    <w:uiPriority w:val="0"/>
    <w:pPr>
      <w:tabs>
        <w:tab w:val="left" w:pos="360"/>
      </w:tabs>
    </w:pPr>
    <w:rPr>
      <w:sz w:val="24"/>
      <w:szCs w:val="20"/>
    </w:rPr>
  </w:style>
  <w:style w:type="paragraph" w:customStyle="1" w:styleId="814">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81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1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817">
    <w:name w:val="Char Char1 Char Char Char2"/>
    <w:basedOn w:val="1"/>
    <w:qFormat/>
    <w:uiPriority w:val="0"/>
    <w:rPr>
      <w:rFonts w:ascii="仿宋_GB2312" w:eastAsia="仿宋_GB2312"/>
      <w:b/>
      <w:sz w:val="32"/>
      <w:szCs w:val="32"/>
    </w:rPr>
  </w:style>
  <w:style w:type="paragraph" w:customStyle="1" w:styleId="818">
    <w:name w:val="表格标题2"/>
    <w:basedOn w:val="809"/>
    <w:qFormat/>
    <w:uiPriority w:val="0"/>
    <w:rPr>
      <w:b/>
    </w:rPr>
  </w:style>
  <w:style w:type="paragraph" w:customStyle="1" w:styleId="819">
    <w:name w:val="xl107"/>
    <w:basedOn w:val="1"/>
    <w:qFormat/>
    <w:uiPriority w:val="0"/>
    <w:pPr>
      <w:widowControl/>
      <w:pBdr>
        <w:left w:val="single" w:color="auto" w:sz="4" w:space="0"/>
        <w:right w:val="single" w:color="auto" w:sz="4" w:space="0"/>
      </w:pBdr>
      <w:adjustRightInd/>
      <w:spacing w:before="100" w:beforeAutospacing="1" w:after="100" w:afterAutospacing="1"/>
      <w:jc w:val="center"/>
      <w:textAlignment w:val="center"/>
    </w:pPr>
    <w:rPr>
      <w:rFonts w:ascii="宋体" w:hAnsi="宋体" w:cs="宋体"/>
      <w:kern w:val="0"/>
      <w:sz w:val="24"/>
    </w:rPr>
  </w:style>
  <w:style w:type="paragraph" w:customStyle="1" w:styleId="820">
    <w:name w:val="xl12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21">
    <w:name w:val="P1"/>
    <w:basedOn w:val="1"/>
    <w:qFormat/>
    <w:uiPriority w:val="0"/>
    <w:pPr>
      <w:adjustRightInd/>
      <w:spacing w:line="288" w:lineRule="auto"/>
      <w:ind w:firstLine="425" w:firstLineChars="200"/>
    </w:pPr>
  </w:style>
  <w:style w:type="paragraph" w:customStyle="1" w:styleId="822">
    <w:name w:val="_标题9"/>
    <w:basedOn w:val="1"/>
    <w:next w:val="1"/>
    <w:qFormat/>
    <w:uiPriority w:val="0"/>
    <w:pPr>
      <w:widowControl/>
      <w:tabs>
        <w:tab w:val="left" w:pos="360"/>
      </w:tabs>
      <w:adjustRightInd/>
      <w:spacing w:beforeLines="50" w:afterLines="50" w:line="360" w:lineRule="auto"/>
      <w:ind w:left="1559" w:hanging="1559"/>
      <w:jc w:val="left"/>
      <w:outlineLvl w:val="8"/>
    </w:pPr>
    <w:rPr>
      <w:rFonts w:ascii="等线" w:hAnsi="等线" w:eastAsia="等线" w:cs="Times New Roman"/>
      <w:sz w:val="24"/>
      <w:szCs w:val="21"/>
    </w:rPr>
  </w:style>
  <w:style w:type="paragraph" w:customStyle="1" w:styleId="82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82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825">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6">
    <w:name w:val="Bulleted List"/>
    <w:basedOn w:val="1"/>
    <w:qFormat/>
    <w:uiPriority w:val="0"/>
    <w:pPr>
      <w:tabs>
        <w:tab w:val="left" w:pos="1260"/>
      </w:tabs>
      <w:adjustRightInd/>
      <w:ind w:left="1260" w:hanging="420"/>
    </w:pPr>
  </w:style>
  <w:style w:type="paragraph" w:customStyle="1" w:styleId="827">
    <w:name w:val="TOC 标题1"/>
    <w:basedOn w:val="4"/>
    <w:next w:val="1"/>
    <w:qFormat/>
    <w:uiPriority w:val="39"/>
    <w:pPr>
      <w:widowControl/>
      <w:numPr>
        <w:ilvl w:val="0"/>
        <w:numId w:val="0"/>
      </w:numPr>
      <w:adjustRightInd/>
      <w:spacing w:before="480" w:after="0" w:line="276" w:lineRule="auto"/>
      <w:jc w:val="left"/>
      <w:outlineLvl w:val="9"/>
    </w:pPr>
    <w:rPr>
      <w:rFonts w:ascii="Cambria" w:hAnsi="Cambria"/>
      <w:color w:val="365F91"/>
      <w:kern w:val="0"/>
      <w:sz w:val="28"/>
      <w:szCs w:val="28"/>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GP正文(无首行缩进)"/>
    <w:basedOn w:val="1"/>
    <w:next w:val="52"/>
    <w:qFormat/>
    <w:uiPriority w:val="0"/>
    <w:pPr>
      <w:widowControl/>
      <w:adjustRightInd/>
      <w:spacing w:line="360" w:lineRule="auto"/>
      <w:ind w:firstLine="480"/>
      <w:jc w:val="left"/>
    </w:pPr>
    <w:rPr>
      <w:rFonts w:ascii="Calibri" w:hAnsi="宋体"/>
      <w:kern w:val="0"/>
      <w:sz w:val="24"/>
      <w:szCs w:val="22"/>
      <w:lang w:eastAsia="en-US" w:bidi="en-US"/>
    </w:rPr>
  </w:style>
  <w:style w:type="paragraph" w:customStyle="1" w:styleId="830">
    <w:name w:val="Char1 Char Char Char5"/>
    <w:basedOn w:val="1"/>
    <w:qFormat/>
    <w:uiPriority w:val="0"/>
    <w:pPr>
      <w:adjustRightInd/>
      <w:ind w:firstLine="200" w:firstLineChars="200"/>
    </w:pPr>
    <w:rPr>
      <w:rFonts w:ascii="Tahoma" w:hAnsi="Tahoma"/>
      <w:sz w:val="24"/>
      <w:szCs w:val="20"/>
    </w:rPr>
  </w:style>
  <w:style w:type="paragraph" w:customStyle="1" w:styleId="831">
    <w:name w:val="1正文"/>
    <w:basedOn w:val="1"/>
    <w:qFormat/>
    <w:uiPriority w:val="0"/>
    <w:pPr>
      <w:adjustRightInd/>
      <w:spacing w:line="360" w:lineRule="auto"/>
      <w:ind w:firstLine="200" w:firstLineChars="200"/>
    </w:pPr>
    <w:rPr>
      <w:rFonts w:ascii="仿宋_GB2312" w:hAnsi="Arial"/>
      <w:sz w:val="24"/>
      <w:szCs w:val="28"/>
    </w:rPr>
  </w:style>
  <w:style w:type="paragraph" w:customStyle="1" w:styleId="832">
    <w:name w:val="有符号正文"/>
    <w:basedOn w:val="1"/>
    <w:uiPriority w:val="0"/>
    <w:pPr>
      <w:adjustRightInd/>
      <w:spacing w:line="400" w:lineRule="exact"/>
      <w:ind w:firstLine="200" w:firstLineChars="200"/>
    </w:pPr>
    <w:rPr>
      <w:rFonts w:ascii="Arial" w:hAnsi="Arial"/>
    </w:rPr>
  </w:style>
  <w:style w:type="paragraph" w:customStyle="1" w:styleId="83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834">
    <w:name w:val="样式 标题 2H2h2Underrubrik1prop2l2Chapter Titlesect 1.2DO NO..."/>
    <w:basedOn w:val="5"/>
    <w:uiPriority w:val="0"/>
    <w:pPr>
      <w:numPr>
        <w:ilvl w:val="0"/>
        <w:numId w:val="0"/>
      </w:numPr>
      <w:spacing w:before="120" w:after="120"/>
      <w:ind w:left="425" w:hanging="425"/>
    </w:pPr>
    <w:rPr>
      <w:rFonts w:ascii="微软雅黑" w:hAnsi="微软雅黑" w:eastAsia="微软雅黑" w:cs="宋体"/>
      <w:szCs w:val="20"/>
      <w:lang w:val="en-US"/>
    </w:rPr>
  </w:style>
  <w:style w:type="paragraph" w:customStyle="1" w:styleId="835">
    <w:name w:val="总结标题5"/>
    <w:basedOn w:val="8"/>
    <w:next w:val="1"/>
    <w:qFormat/>
    <w:uiPriority w:val="0"/>
    <w:pPr>
      <w:numPr>
        <w:ilvl w:val="0"/>
        <w:numId w:val="0"/>
      </w:numPr>
      <w:tabs>
        <w:tab w:val="clear" w:pos="1008"/>
      </w:tabs>
      <w:adjustRightInd/>
      <w:spacing w:before="25" w:beforeLines="25" w:after="0" w:line="300" w:lineRule="auto"/>
    </w:pPr>
  </w:style>
  <w:style w:type="paragraph" w:customStyle="1" w:styleId="836">
    <w:name w:val="MM Topic 2"/>
    <w:basedOn w:val="5"/>
    <w:qFormat/>
    <w:uiPriority w:val="0"/>
    <w:pPr>
      <w:numPr>
        <w:ilvl w:val="1"/>
        <w:numId w:val="5"/>
      </w:numPr>
    </w:pPr>
    <w:rPr>
      <w:rFonts w:ascii="Arial" w:hAnsi="Arial" w:eastAsia="黑体"/>
      <w:lang w:val="en-US"/>
    </w:rPr>
  </w:style>
  <w:style w:type="paragraph" w:customStyle="1" w:styleId="83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838">
    <w:name w:val="_Style 11"/>
    <w:basedOn w:val="1"/>
    <w:qFormat/>
    <w:uiPriority w:val="34"/>
    <w:pPr>
      <w:adjustRightInd/>
      <w:ind w:firstLine="420" w:firstLineChars="200"/>
    </w:pPr>
    <w:rPr>
      <w:rFonts w:eastAsia="仿宋_GB2312"/>
      <w:sz w:val="28"/>
    </w:rPr>
  </w:style>
  <w:style w:type="paragraph" w:customStyle="1" w:styleId="839">
    <w:name w:val="Char1 Char Char Char4"/>
    <w:basedOn w:val="1"/>
    <w:qFormat/>
    <w:uiPriority w:val="0"/>
    <w:pPr>
      <w:adjustRightInd/>
      <w:ind w:firstLine="200" w:firstLineChars="200"/>
    </w:pPr>
    <w:rPr>
      <w:rFonts w:ascii="Tahoma" w:hAnsi="Tahoma"/>
      <w:sz w:val="24"/>
      <w:szCs w:val="20"/>
    </w:rPr>
  </w:style>
  <w:style w:type="paragraph" w:customStyle="1" w:styleId="84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84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4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45">
    <w:name w:val="浅色底纹 - 强调文字颜色 51"/>
    <w:uiPriority w:val="0"/>
    <w:rPr>
      <w:rFonts w:ascii="Times New Roman" w:hAnsi="Times New Roman" w:eastAsia="宋体" w:cs="Times New Roman"/>
      <w:kern w:val="2"/>
      <w:sz w:val="21"/>
      <w:szCs w:val="24"/>
      <w:lang w:val="en-US" w:eastAsia="zh-CN" w:bidi="ar-SA"/>
    </w:rPr>
  </w:style>
  <w:style w:type="paragraph" w:customStyle="1" w:styleId="846">
    <w:name w:val="xl121"/>
    <w:basedOn w:val="1"/>
    <w:qFormat/>
    <w:uiPriority w:val="0"/>
    <w:pPr>
      <w:widowControl/>
      <w:adjustRightInd/>
      <w:spacing w:before="100" w:beforeAutospacing="1" w:after="100" w:afterAutospacing="1"/>
      <w:jc w:val="center"/>
    </w:pPr>
    <w:rPr>
      <w:rFonts w:ascii="宋体" w:hAnsi="宋体" w:cs="宋体"/>
      <w:kern w:val="0"/>
      <w:sz w:val="24"/>
    </w:rPr>
  </w:style>
  <w:style w:type="paragraph" w:customStyle="1" w:styleId="84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848">
    <w:name w:val="xl9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宋体" w:hAnsi="宋体" w:cs="宋体"/>
      <w:color w:val="000000"/>
      <w:kern w:val="0"/>
      <w:sz w:val="24"/>
    </w:rPr>
  </w:style>
  <w:style w:type="paragraph" w:customStyle="1" w:styleId="849">
    <w:name w:val="样式_杭州市局"/>
    <w:basedOn w:val="1"/>
    <w:qFormat/>
    <w:uiPriority w:val="0"/>
    <w:pPr>
      <w:ind w:firstLine="200" w:firstLineChars="200"/>
    </w:pPr>
    <w:rPr>
      <w:rFonts w:ascii="仿宋" w:hAnsi="仿宋" w:eastAsia="仿宋" w:cs="黑体"/>
      <w:sz w:val="28"/>
      <w:szCs w:val="28"/>
    </w:rPr>
  </w:style>
  <w:style w:type="paragraph" w:customStyle="1" w:styleId="85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51">
    <w:name w:val="修订2"/>
    <w:qFormat/>
    <w:uiPriority w:val="0"/>
    <w:rPr>
      <w:rFonts w:ascii="Times New Roman" w:hAnsi="Times New Roman" w:eastAsia="宋体" w:cs="Times New Roman"/>
      <w:kern w:val="2"/>
      <w:sz w:val="21"/>
      <w:lang w:val="en-US" w:eastAsia="zh-CN" w:bidi="ar-SA"/>
    </w:rPr>
  </w:style>
  <w:style w:type="paragraph" w:customStyle="1" w:styleId="852">
    <w:name w:val="Char2 Char Char Char1"/>
    <w:basedOn w:val="1"/>
    <w:qFormat/>
    <w:uiPriority w:val="6"/>
    <w:rPr>
      <w:rFonts w:ascii="仿宋_GB2312" w:eastAsia="仿宋_GB2312"/>
      <w:b/>
      <w:sz w:val="32"/>
      <w:szCs w:val="32"/>
    </w:rPr>
  </w:style>
  <w:style w:type="paragraph" w:customStyle="1" w:styleId="85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85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5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856">
    <w:name w:val="xl10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textAlignment w:val="center"/>
    </w:pPr>
    <w:rPr>
      <w:rFonts w:ascii="宋体" w:hAnsi="宋体" w:cs="宋体"/>
      <w:color w:val="000000"/>
      <w:kern w:val="0"/>
      <w:sz w:val="24"/>
    </w:rPr>
  </w:style>
  <w:style w:type="paragraph" w:customStyle="1" w:styleId="857">
    <w:name w:val="无间隔*"/>
    <w:qFormat/>
    <w:uiPriority w:val="0"/>
    <w:pPr>
      <w:widowControl w:val="0"/>
      <w:jc w:val="both"/>
    </w:pPr>
    <w:rPr>
      <w:rFonts w:ascii="Calibri" w:hAnsi="Calibri" w:eastAsia="宋体" w:cs="Calibri"/>
      <w:color w:val="000000"/>
      <w:kern w:val="1"/>
      <w:sz w:val="21"/>
      <w:szCs w:val="22"/>
      <w:lang w:val="en-US" w:eastAsia="zh-CN" w:bidi="ar-SA"/>
    </w:rPr>
  </w:style>
  <w:style w:type="paragraph" w:customStyle="1" w:styleId="858">
    <w:name w:val="封面公司名"/>
    <w:qFormat/>
    <w:uiPriority w:val="0"/>
    <w:pPr>
      <w:jc w:val="center"/>
    </w:pPr>
    <w:rPr>
      <w:rFonts w:ascii="Arial" w:hAnsi="Arial" w:eastAsia="楷体_GB2312" w:cs="宋体"/>
      <w:bCs/>
      <w:kern w:val="2"/>
      <w:sz w:val="28"/>
      <w:lang w:val="en-US" w:eastAsia="zh-CN" w:bidi="ar-SA"/>
    </w:rPr>
  </w:style>
  <w:style w:type="paragraph" w:customStyle="1" w:styleId="85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60">
    <w:name w:val="带编号样式"/>
    <w:basedOn w:val="707"/>
    <w:qFormat/>
    <w:uiPriority w:val="0"/>
    <w:pPr>
      <w:tabs>
        <w:tab w:val="left" w:pos="840"/>
      </w:tabs>
      <w:snapToGrid w:val="0"/>
      <w:ind w:left="840" w:hanging="420" w:firstLineChars="0"/>
    </w:pPr>
    <w:rPr>
      <w:rFonts w:ascii="仿宋_GB2312" w:eastAsia="仿宋_GB2312"/>
      <w:color w:val="000000"/>
    </w:rPr>
  </w:style>
  <w:style w:type="paragraph" w:customStyle="1" w:styleId="86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6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86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64">
    <w:name w:val="注释"/>
    <w:basedOn w:val="1"/>
    <w:qFormat/>
    <w:uiPriority w:val="0"/>
    <w:pPr>
      <w:adjustRightInd/>
      <w:spacing w:line="360" w:lineRule="auto"/>
      <w:ind w:firstLine="480"/>
    </w:pPr>
    <w:rPr>
      <w:sz w:val="24"/>
    </w:rPr>
  </w:style>
  <w:style w:type="paragraph" w:customStyle="1" w:styleId="86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66">
    <w:name w:val="Char Char Char"/>
    <w:basedOn w:val="1"/>
    <w:uiPriority w:val="0"/>
    <w:pPr>
      <w:widowControl/>
      <w:spacing w:after="160" w:line="240" w:lineRule="exact"/>
      <w:jc w:val="left"/>
    </w:pPr>
    <w:rPr>
      <w:rFonts w:ascii="Verdana" w:hAnsi="Verdana"/>
      <w:kern w:val="0"/>
      <w:sz w:val="20"/>
      <w:szCs w:val="20"/>
      <w:lang w:eastAsia="en-US"/>
    </w:rPr>
  </w:style>
  <w:style w:type="paragraph" w:styleId="86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87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71">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872">
    <w:name w:val="文章标题"/>
    <w:next w:val="85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873">
    <w:name w:val="Char23"/>
    <w:basedOn w:val="1"/>
    <w:qFormat/>
    <w:uiPriority w:val="0"/>
    <w:rPr>
      <w:rFonts w:ascii="仿宋_GB2312" w:eastAsia="仿宋_GB2312"/>
      <w:b/>
      <w:sz w:val="32"/>
      <w:szCs w:val="32"/>
    </w:rPr>
  </w:style>
  <w:style w:type="paragraph" w:customStyle="1" w:styleId="87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875">
    <w:name w:val="Char Char Char Char Char Char Char Char Char Char Char Char1 Char"/>
    <w:basedOn w:val="1"/>
    <w:qFormat/>
    <w:uiPriority w:val="0"/>
    <w:rPr>
      <w:rFonts w:ascii="Tahoma" w:hAnsi="Tahoma" w:cs="仿宋_GB2312"/>
      <w:sz w:val="24"/>
      <w:szCs w:val="20"/>
    </w:rPr>
  </w:style>
  <w:style w:type="paragraph" w:customStyle="1" w:styleId="876">
    <w:name w:val="MM Topic 1"/>
    <w:basedOn w:val="4"/>
    <w:qFormat/>
    <w:uiPriority w:val="0"/>
    <w:pPr>
      <w:numPr>
        <w:ilvl w:val="0"/>
        <w:numId w:val="0"/>
      </w:numPr>
      <w:tabs>
        <w:tab w:val="left" w:pos="840"/>
      </w:tabs>
      <w:adjustRightInd/>
      <w:ind w:left="840" w:hanging="420"/>
    </w:pPr>
  </w:style>
  <w:style w:type="paragraph" w:customStyle="1" w:styleId="877">
    <w:name w:val="样式 标题 22h2L1 Heading 2H2sect 1.2H21sect 1.21H22sect 1.2..."/>
    <w:basedOn w:val="5"/>
    <w:next w:val="1"/>
    <w:qFormat/>
    <w:uiPriority w:val="0"/>
    <w:pPr>
      <w:numPr>
        <w:ilvl w:val="0"/>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878">
    <w:name w:val="xl118"/>
    <w:basedOn w:val="1"/>
    <w:qFormat/>
    <w:uiPriority w:val="0"/>
    <w:pPr>
      <w:widowControl/>
      <w:pBdr>
        <w:top w:val="single" w:color="auto" w:sz="4" w:space="0"/>
        <w:bottom w:val="single" w:color="auto" w:sz="8" w:space="0"/>
      </w:pBdr>
      <w:shd w:val="clear" w:color="000000" w:fill="92D050"/>
      <w:adjustRightInd/>
      <w:spacing w:before="100" w:beforeAutospacing="1" w:after="100" w:afterAutospacing="1"/>
      <w:jc w:val="center"/>
      <w:textAlignment w:val="center"/>
    </w:pPr>
    <w:rPr>
      <w:rFonts w:ascii="宋体" w:hAnsi="宋体" w:cs="宋体"/>
      <w:b/>
      <w:bCs/>
      <w:kern w:val="0"/>
      <w:sz w:val="24"/>
    </w:rPr>
  </w:style>
  <w:style w:type="paragraph" w:customStyle="1" w:styleId="879">
    <w:name w:val="xl96"/>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textAlignment w:val="center"/>
    </w:pPr>
    <w:rPr>
      <w:rFonts w:ascii="宋体" w:hAnsi="宋体" w:cs="宋体"/>
      <w:b/>
      <w:bCs/>
      <w:kern w:val="0"/>
      <w:sz w:val="24"/>
    </w:rPr>
  </w:style>
  <w:style w:type="paragraph" w:customStyle="1" w:styleId="88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881">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2">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88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84">
    <w:name w:val="Char3 Char Char Char"/>
    <w:basedOn w:val="1"/>
    <w:autoRedefine/>
    <w:qFormat/>
    <w:uiPriority w:val="0"/>
    <w:pPr>
      <w:widowControl/>
      <w:adjustRightInd/>
      <w:spacing w:after="160" w:line="240" w:lineRule="exact"/>
      <w:jc w:val="left"/>
    </w:pPr>
    <w:rPr>
      <w:szCs w:val="20"/>
    </w:rPr>
  </w:style>
  <w:style w:type="paragraph" w:customStyle="1" w:styleId="885">
    <w:name w:val="bullet"/>
    <w:basedOn w:val="1"/>
    <w:qFormat/>
    <w:uiPriority w:val="0"/>
    <w:pPr>
      <w:tabs>
        <w:tab w:val="left" w:pos="840"/>
      </w:tabs>
      <w:adjustRightInd/>
      <w:ind w:left="840" w:hanging="420"/>
    </w:pPr>
  </w:style>
  <w:style w:type="paragraph" w:customStyle="1" w:styleId="88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8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888">
    <w:name w:val="样式 左侧:  0.85 厘米 首行缩进:  0.85 厘米"/>
    <w:basedOn w:val="1"/>
    <w:uiPriority w:val="0"/>
    <w:pPr>
      <w:adjustRightInd/>
      <w:spacing w:line="360" w:lineRule="auto"/>
      <w:ind w:firstLine="482"/>
    </w:pPr>
    <w:rPr>
      <w:rFonts w:cs="宋体"/>
      <w:sz w:val="24"/>
      <w:szCs w:val="20"/>
    </w:rPr>
  </w:style>
  <w:style w:type="paragraph" w:customStyle="1" w:styleId="889">
    <w:name w:val="Normal0"/>
    <w:qFormat/>
    <w:uiPriority w:val="0"/>
    <w:rPr>
      <w:rFonts w:ascii="Times New Roman" w:hAnsi="Times New Roman" w:eastAsia="宋体" w:cs="Times New Roman"/>
      <w:lang w:val="en-US" w:eastAsia="en-US" w:bidi="ar-SA"/>
    </w:rPr>
  </w:style>
  <w:style w:type="paragraph" w:customStyle="1" w:styleId="89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89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8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89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89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895">
    <w:name w:val="图中文字"/>
    <w:basedOn w:val="1"/>
    <w:qFormat/>
    <w:uiPriority w:val="0"/>
    <w:pPr>
      <w:snapToGrid w:val="0"/>
      <w:spacing w:line="0" w:lineRule="atLeast"/>
      <w:ind w:firstLine="200" w:firstLineChars="200"/>
      <w:jc w:val="center"/>
    </w:pPr>
    <w:rPr>
      <w:sz w:val="24"/>
      <w:szCs w:val="20"/>
    </w:rPr>
  </w:style>
  <w:style w:type="paragraph" w:customStyle="1" w:styleId="896">
    <w:name w:val="规划正文"/>
    <w:basedOn w:val="1"/>
    <w:uiPriority w:val="0"/>
    <w:pPr>
      <w:adjustRightInd/>
      <w:spacing w:before="312" w:beforeLines="100" w:line="360" w:lineRule="auto"/>
      <w:jc w:val="left"/>
    </w:pPr>
    <w:rPr>
      <w:rFonts w:ascii="Arial" w:hAnsi="Arial" w:eastAsia="仿宋_GB2312"/>
      <w:bCs/>
      <w:sz w:val="28"/>
    </w:rPr>
  </w:style>
  <w:style w:type="paragraph" w:customStyle="1" w:styleId="897">
    <w:name w:val="正文文字格式"/>
    <w:basedOn w:val="1"/>
    <w:uiPriority w:val="0"/>
    <w:pPr>
      <w:adjustRightInd/>
      <w:spacing w:line="460" w:lineRule="exact"/>
      <w:ind w:firstLine="505"/>
      <w:jc w:val="left"/>
    </w:pPr>
    <w:rPr>
      <w:rFonts w:ascii="宋体"/>
      <w:kern w:val="24"/>
      <w:sz w:val="24"/>
      <w:szCs w:val="20"/>
    </w:rPr>
  </w:style>
  <w:style w:type="paragraph" w:customStyle="1" w:styleId="89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89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0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01">
    <w:name w:val="Char1"/>
    <w:basedOn w:val="1"/>
    <w:qFormat/>
    <w:uiPriority w:val="0"/>
    <w:rPr>
      <w:rFonts w:ascii="仿宋_GB2312" w:eastAsia="仿宋_GB2312"/>
      <w:b/>
      <w:sz w:val="32"/>
      <w:szCs w:val="32"/>
    </w:rPr>
  </w:style>
  <w:style w:type="paragraph" w:customStyle="1" w:styleId="902">
    <w:name w:val="数字标题1"/>
    <w:basedOn w:val="4"/>
    <w:next w:val="1"/>
    <w:qFormat/>
    <w:uiPriority w:val="0"/>
    <w:pPr>
      <w:numPr>
        <w:numId w:val="8"/>
      </w:numPr>
      <w:tabs>
        <w:tab w:val="left" w:pos="480"/>
      </w:tabs>
    </w:pPr>
  </w:style>
  <w:style w:type="paragraph" w:customStyle="1" w:styleId="903">
    <w:name w:val="封面表格文本"/>
    <w:basedOn w:val="1"/>
    <w:uiPriority w:val="0"/>
    <w:pPr>
      <w:autoSpaceDE w:val="0"/>
      <w:autoSpaceDN w:val="0"/>
      <w:ind w:firstLine="200" w:firstLineChars="200"/>
      <w:jc w:val="center"/>
    </w:pPr>
    <w:rPr>
      <w:rFonts w:ascii="Arial" w:hAnsi="Arial"/>
      <w:kern w:val="0"/>
      <w:szCs w:val="21"/>
    </w:rPr>
  </w:style>
  <w:style w:type="paragraph" w:customStyle="1" w:styleId="904">
    <w:name w:val="Char5"/>
    <w:basedOn w:val="1"/>
    <w:uiPriority w:val="0"/>
    <w:rPr>
      <w:rFonts w:ascii="仿宋_GB2312" w:eastAsia="仿宋_GB2312"/>
      <w:b/>
      <w:sz w:val="32"/>
      <w:szCs w:val="32"/>
    </w:rPr>
  </w:style>
  <w:style w:type="paragraph" w:customStyle="1" w:styleId="9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90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90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909">
    <w:name w:val="4级标题"/>
    <w:basedOn w:val="121"/>
    <w:qFormat/>
    <w:uiPriority w:val="0"/>
    <w:pPr>
      <w:keepLines/>
      <w:numPr>
        <w:ilvl w:val="3"/>
        <w:numId w:val="11"/>
      </w:numPr>
      <w:adjustRightInd/>
      <w:ind w:firstLineChars="0"/>
      <w:jc w:val="left"/>
      <w:outlineLvl w:val="3"/>
    </w:pPr>
    <w:rPr>
      <w:rFonts w:ascii="黑体" w:hAnsi="黑体" w:eastAsia="黑体" w:cs="Times New Roman"/>
      <w:kern w:val="0"/>
      <w:sz w:val="28"/>
      <w:lang w:eastAsia="en-US" w:bidi="en-US"/>
    </w:rPr>
  </w:style>
  <w:style w:type="paragraph" w:customStyle="1" w:styleId="910">
    <w:name w:val="表文字"/>
    <w:qFormat/>
    <w:uiPriority w:val="0"/>
    <w:rPr>
      <w:rFonts w:ascii="宋体" w:hAnsi="Times New Roman" w:eastAsia="宋体" w:cs="Times New Roman"/>
      <w:kern w:val="2"/>
      <w:lang w:val="en-US" w:eastAsia="zh-CN" w:bidi="ar-SA"/>
    </w:rPr>
  </w:style>
  <w:style w:type="paragraph" w:customStyle="1" w:styleId="91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91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91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914">
    <w:name w:val="xl10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kern w:val="0"/>
      <w:sz w:val="24"/>
    </w:rPr>
  </w:style>
  <w:style w:type="paragraph" w:customStyle="1" w:styleId="91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916">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917">
    <w:name w:val="xl120"/>
    <w:basedOn w:val="1"/>
    <w:qFormat/>
    <w:uiPriority w:val="0"/>
    <w:pPr>
      <w:widowControl/>
      <w:pBdr>
        <w:top w:val="single" w:color="auto" w:sz="4" w:space="0"/>
        <w:left w:val="single" w:color="auto" w:sz="4" w:space="0"/>
        <w:bottom w:val="single" w:color="auto" w:sz="8" w:space="0"/>
        <w:right w:val="single" w:color="auto" w:sz="8" w:space="0"/>
      </w:pBdr>
      <w:shd w:val="clear" w:color="000000" w:fill="92D050"/>
      <w:adjustRightInd/>
      <w:spacing w:before="100" w:beforeAutospacing="1" w:after="100" w:afterAutospacing="1"/>
      <w:jc w:val="center"/>
      <w:textAlignment w:val="center"/>
    </w:pPr>
    <w:rPr>
      <w:rFonts w:ascii="宋体" w:hAnsi="宋体" w:cs="宋体"/>
      <w:b/>
      <w:bCs/>
      <w:kern w:val="0"/>
      <w:sz w:val="24"/>
    </w:rPr>
  </w:style>
  <w:style w:type="paragraph" w:customStyle="1" w:styleId="91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91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920">
    <w:name w:val="xl9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textAlignment w:val="center"/>
    </w:pPr>
    <w:rPr>
      <w:rFonts w:ascii="宋体" w:hAnsi="宋体" w:cs="宋体"/>
      <w:kern w:val="0"/>
      <w:sz w:val="24"/>
    </w:rPr>
  </w:style>
  <w:style w:type="paragraph" w:customStyle="1" w:styleId="92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92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92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925">
    <w:name w:val="目录2"/>
    <w:basedOn w:val="1"/>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926">
    <w:name w:val="标书标题3"/>
    <w:basedOn w:val="6"/>
    <w:qFormat/>
    <w:uiPriority w:val="0"/>
    <w:pPr>
      <w:keepLines w:val="0"/>
      <w:widowControl/>
      <w:numPr>
        <w:ilvl w:val="0"/>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92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28">
    <w:name w:val="索引 11"/>
    <w:basedOn w:val="1"/>
    <w:next w:val="1"/>
    <w:qFormat/>
    <w:uiPriority w:val="0"/>
    <w:pPr>
      <w:adjustRightInd/>
      <w:spacing w:line="360" w:lineRule="auto"/>
    </w:pPr>
    <w:rPr>
      <w:rFonts w:ascii="仿宋_GB2312" w:eastAsia="仿宋_GB2312"/>
      <w:sz w:val="24"/>
      <w:szCs w:val="20"/>
    </w:rPr>
  </w:style>
  <w:style w:type="paragraph" w:customStyle="1" w:styleId="92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30">
    <w:name w:val="Char Char110"/>
    <w:basedOn w:val="1"/>
    <w:qFormat/>
    <w:uiPriority w:val="6"/>
    <w:pPr>
      <w:spacing w:line="360" w:lineRule="auto"/>
    </w:pPr>
    <w:rPr>
      <w:rFonts w:ascii="Tahoma" w:hAnsi="Tahoma"/>
      <w:sz w:val="24"/>
      <w:szCs w:val="20"/>
    </w:rPr>
  </w:style>
  <w:style w:type="paragraph" w:customStyle="1" w:styleId="931">
    <w:name w:val="样式 标题 3标题 3 Char第二层条h33Bold Headbh章标题1小标题level_3PIM 3..."/>
    <w:basedOn w:val="6"/>
    <w:qFormat/>
    <w:uiPriority w:val="0"/>
    <w:pPr>
      <w:numPr>
        <w:ilvl w:val="0"/>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93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933">
    <w:name w:val="Char Char4 Char Char"/>
    <w:basedOn w:val="1"/>
    <w:qFormat/>
    <w:uiPriority w:val="0"/>
    <w:pPr>
      <w:widowControl/>
      <w:adjustRightInd/>
      <w:spacing w:after="160" w:line="240" w:lineRule="exact"/>
      <w:jc w:val="left"/>
    </w:pPr>
  </w:style>
  <w:style w:type="paragraph" w:customStyle="1" w:styleId="934">
    <w:name w:val="Char Char Char Char Char Char1 Char1"/>
    <w:basedOn w:val="1"/>
    <w:uiPriority w:val="0"/>
    <w:pPr>
      <w:widowControl/>
      <w:spacing w:after="160" w:line="240" w:lineRule="exact"/>
      <w:jc w:val="left"/>
    </w:pPr>
    <w:rPr>
      <w:rFonts w:ascii="Verdana" w:hAnsi="Verdana"/>
      <w:kern w:val="0"/>
      <w:szCs w:val="20"/>
      <w:lang w:eastAsia="en-US"/>
    </w:rPr>
  </w:style>
  <w:style w:type="paragraph" w:customStyle="1" w:styleId="93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36">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93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938">
    <w:name w:val="正文 首行缩进:  2 字符 Char"/>
    <w:basedOn w:val="1"/>
    <w:uiPriority w:val="0"/>
    <w:pPr>
      <w:adjustRightInd/>
      <w:spacing w:line="360" w:lineRule="auto"/>
      <w:ind w:firstLine="480"/>
    </w:pPr>
    <w:rPr>
      <w:rFonts w:cs="宋体"/>
      <w:sz w:val="24"/>
      <w:szCs w:val="20"/>
    </w:rPr>
  </w:style>
  <w:style w:type="paragraph" w:customStyle="1" w:styleId="939">
    <w:name w:val="数字标题6"/>
    <w:basedOn w:val="9"/>
    <w:next w:val="1"/>
    <w:qFormat/>
    <w:uiPriority w:val="0"/>
    <w:pPr>
      <w:numPr>
        <w:numId w:val="8"/>
      </w:numPr>
      <w:tabs>
        <w:tab w:val="left" w:pos="480"/>
        <w:tab w:val="left" w:pos="1080"/>
      </w:tabs>
    </w:pPr>
    <w:rPr>
      <w:rFonts w:ascii="Times New Roman" w:hAnsi="Times New Roman" w:eastAsia="宋体"/>
      <w:i/>
    </w:rPr>
  </w:style>
  <w:style w:type="paragraph" w:customStyle="1" w:styleId="940">
    <w:name w:val="Char3 Char Char Char Char Char Char2"/>
    <w:basedOn w:val="1"/>
    <w:uiPriority w:val="0"/>
    <w:pPr>
      <w:adjustRightInd/>
      <w:spacing w:line="360" w:lineRule="auto"/>
    </w:pPr>
    <w:rPr>
      <w:rFonts w:ascii="Arial" w:hAnsi="Arial" w:eastAsia="黑体" w:cs="Arial"/>
      <w:snapToGrid w:val="0"/>
      <w:kern w:val="0"/>
      <w:szCs w:val="21"/>
    </w:rPr>
  </w:style>
  <w:style w:type="paragraph" w:customStyle="1" w:styleId="941">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942">
    <w:name w:val="插图题注"/>
    <w:next w:val="1"/>
    <w:qFormat/>
    <w:uiPriority w:val="0"/>
    <w:pPr>
      <w:numPr>
        <w:ilvl w:val="7"/>
        <w:numId w:val="5"/>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94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944">
    <w:name w:val="xl37"/>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4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946">
    <w:name w:val="样式 标题 3h33rd level3Heading 3 - oldH3l3CTheading 3Headin..."/>
    <w:basedOn w:val="6"/>
    <w:uiPriority w:val="0"/>
    <w:pPr>
      <w:snapToGrid w:val="0"/>
      <w:ind w:left="0" w:firstLine="0"/>
      <w:jc w:val="left"/>
    </w:pPr>
    <w:rPr>
      <w:rFonts w:eastAsia="黑体" w:cs="宋体"/>
      <w:sz w:val="28"/>
      <w:szCs w:val="20"/>
    </w:rPr>
  </w:style>
  <w:style w:type="paragraph" w:customStyle="1" w:styleId="947">
    <w:name w:val="Char Char Char Char Char Char Char Char Char Char2"/>
    <w:basedOn w:val="1"/>
    <w:qFormat/>
    <w:uiPriority w:val="0"/>
    <w:rPr>
      <w:rFonts w:ascii="仿宋_GB2312" w:eastAsia="仿宋_GB2312"/>
      <w:b/>
      <w:sz w:val="32"/>
      <w:szCs w:val="32"/>
    </w:rPr>
  </w:style>
  <w:style w:type="paragraph" w:customStyle="1" w:styleId="94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949">
    <w:name w:val="单元格左对齐"/>
    <w:basedOn w:val="1"/>
    <w:qFormat/>
    <w:uiPriority w:val="0"/>
    <w:pPr>
      <w:adjustRightInd/>
      <w:spacing w:line="360" w:lineRule="auto"/>
    </w:pPr>
    <w:rPr>
      <w:sz w:val="24"/>
    </w:rPr>
  </w:style>
  <w:style w:type="paragraph" w:customStyle="1" w:styleId="95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951">
    <w:name w:val="封面"/>
    <w:basedOn w:val="1"/>
    <w:qFormat/>
    <w:uiPriority w:val="0"/>
    <w:pPr>
      <w:spacing w:line="360" w:lineRule="atLeast"/>
      <w:jc w:val="right"/>
      <w:textAlignment w:val="baseline"/>
    </w:pPr>
    <w:rPr>
      <w:rFonts w:ascii="Symbol" w:hAnsi="Symbol"/>
      <w:kern w:val="0"/>
      <w:szCs w:val="20"/>
    </w:rPr>
  </w:style>
  <w:style w:type="paragraph" w:customStyle="1" w:styleId="95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95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954">
    <w:name w:val="样式7"/>
    <w:basedOn w:val="799"/>
    <w:next w:val="1"/>
    <w:qFormat/>
    <w:uiPriority w:val="0"/>
    <w:pPr>
      <w:spacing w:after="156" w:afterLines="50"/>
      <w:jc w:val="left"/>
      <w:outlineLvl w:val="3"/>
    </w:pPr>
    <w:rPr>
      <w:sz w:val="24"/>
      <w:szCs w:val="24"/>
    </w:rPr>
  </w:style>
  <w:style w:type="paragraph" w:customStyle="1" w:styleId="955">
    <w:name w:val="Char Char Char Char Char Char1 Char11"/>
    <w:basedOn w:val="1"/>
    <w:qFormat/>
    <w:uiPriority w:val="0"/>
    <w:pPr>
      <w:widowControl/>
      <w:spacing w:after="160" w:line="240" w:lineRule="exact"/>
      <w:jc w:val="left"/>
    </w:pPr>
    <w:rPr>
      <w:rFonts w:ascii="Verdana" w:hAnsi="Verdana"/>
      <w:kern w:val="0"/>
      <w:szCs w:val="20"/>
      <w:lang w:eastAsia="en-US"/>
    </w:rPr>
  </w:style>
  <w:style w:type="paragraph" w:customStyle="1" w:styleId="956">
    <w:name w:val="修订11"/>
    <w:qFormat/>
    <w:uiPriority w:val="99"/>
    <w:rPr>
      <w:rFonts w:ascii="Times New Roman" w:hAnsi="Times New Roman" w:eastAsia="宋体" w:cs="Times New Roman"/>
      <w:color w:val="000000"/>
      <w:kern w:val="1"/>
      <w:sz w:val="21"/>
      <w:lang w:val="en-US" w:eastAsia="zh-CN" w:bidi="ar-SA"/>
    </w:rPr>
  </w:style>
  <w:style w:type="paragraph" w:customStyle="1" w:styleId="957">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958">
    <w:name w:val="列表段落11"/>
    <w:basedOn w:val="1"/>
    <w:qFormat/>
    <w:uiPriority w:val="34"/>
    <w:pPr>
      <w:adjustRightInd/>
      <w:ind w:right="238" w:firstLine="420"/>
    </w:pPr>
    <w:rPr>
      <w:rFonts w:ascii="Calibri" w:hAnsi="Calibri"/>
      <w:sz w:val="24"/>
    </w:rPr>
  </w:style>
  <w:style w:type="paragraph" w:customStyle="1" w:styleId="959">
    <w:name w:val="Char"/>
    <w:basedOn w:val="1"/>
    <w:qFormat/>
    <w:uiPriority w:val="0"/>
    <w:rPr>
      <w:rFonts w:ascii="仿宋_GB2312" w:eastAsia="仿宋_GB2312"/>
      <w:b/>
      <w:sz w:val="32"/>
      <w:szCs w:val="32"/>
    </w:rPr>
  </w:style>
  <w:style w:type="paragraph" w:customStyle="1" w:styleId="960">
    <w:name w:val="批注框文本 Char Char"/>
    <w:basedOn w:val="1"/>
    <w:qFormat/>
    <w:uiPriority w:val="0"/>
    <w:pPr>
      <w:adjustRightInd/>
    </w:pPr>
    <w:rPr>
      <w:sz w:val="18"/>
      <w:szCs w:val="20"/>
    </w:rPr>
  </w:style>
  <w:style w:type="paragraph" w:customStyle="1" w:styleId="96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962">
    <w:name w:val="标书标题4"/>
    <w:basedOn w:val="7"/>
    <w:qFormat/>
    <w:uiPriority w:val="0"/>
    <w:pPr>
      <w:keepLines w:val="0"/>
      <w:numPr>
        <w:ilvl w:val="0"/>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963">
    <w:name w:val="Char Char1 Char Char Char"/>
    <w:basedOn w:val="1"/>
    <w:qFormat/>
    <w:uiPriority w:val="0"/>
    <w:rPr>
      <w:rFonts w:ascii="仿宋_GB2312" w:eastAsia="仿宋_GB2312"/>
      <w:b/>
      <w:sz w:val="32"/>
      <w:szCs w:val="20"/>
    </w:rPr>
  </w:style>
  <w:style w:type="paragraph" w:customStyle="1" w:styleId="964">
    <w:name w:val="Char Char Char Char Char Char Char Char Char Char1"/>
    <w:basedOn w:val="1"/>
    <w:qFormat/>
    <w:uiPriority w:val="0"/>
    <w:rPr>
      <w:rFonts w:ascii="仿宋_GB2312" w:eastAsia="仿宋_GB2312"/>
      <w:b/>
      <w:sz w:val="32"/>
      <w:szCs w:val="32"/>
    </w:rPr>
  </w:style>
  <w:style w:type="paragraph" w:customStyle="1" w:styleId="965">
    <w:name w:val="表格文字"/>
    <w:basedOn w:val="1"/>
    <w:next w:val="17"/>
    <w:uiPriority w:val="0"/>
    <w:pPr>
      <w:adjustRightInd/>
      <w:ind w:firstLine="200" w:firstLineChars="200"/>
    </w:pPr>
    <w:rPr>
      <w:rFonts w:ascii="Arial" w:hAnsi="Arial"/>
      <w:spacing w:val="-5"/>
      <w:kern w:val="0"/>
      <w:sz w:val="24"/>
      <w:szCs w:val="20"/>
    </w:rPr>
  </w:style>
  <w:style w:type="paragraph" w:customStyle="1" w:styleId="966">
    <w:name w:val="!大节"/>
    <w:basedOn w:val="5"/>
    <w:uiPriority w:val="0"/>
    <w:pPr>
      <w:numPr>
        <w:ilvl w:val="0"/>
        <w:numId w:val="0"/>
      </w:numPr>
      <w:spacing w:before="260" w:after="260" w:line="415" w:lineRule="auto"/>
      <w:ind w:left="420" w:hanging="420"/>
    </w:pPr>
    <w:rPr>
      <w:rFonts w:ascii="Arial" w:hAnsi="Arial" w:eastAsia="微软雅黑"/>
      <w:lang w:val="en-US"/>
    </w:rPr>
  </w:style>
  <w:style w:type="paragraph" w:customStyle="1" w:styleId="9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968">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96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970">
    <w:name w:val="bt_content"/>
    <w:basedOn w:val="1"/>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9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97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7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97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975">
    <w:name w:val="正文表标题"/>
    <w:next w:val="53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976">
    <w:name w:val="subhead 2"/>
    <w:uiPriority w:val="0"/>
    <w:pPr>
      <w:spacing w:after="60" w:line="240" w:lineRule="exact"/>
    </w:pPr>
    <w:rPr>
      <w:rFonts w:ascii="Arial" w:hAnsi="Arial" w:eastAsia="宋体" w:cs="Times New Roman"/>
      <w:b/>
      <w:sz w:val="22"/>
      <w:lang w:val="en-US" w:eastAsia="en-US" w:bidi="ar-SA"/>
    </w:rPr>
  </w:style>
  <w:style w:type="paragraph" w:customStyle="1" w:styleId="977">
    <w:name w:val="Char33"/>
    <w:basedOn w:val="1"/>
    <w:uiPriority w:val="0"/>
    <w:pPr>
      <w:adjustRightInd/>
      <w:ind w:firstLine="200" w:firstLineChars="200"/>
    </w:pPr>
    <w:rPr>
      <w:rFonts w:ascii="Tahoma" w:hAnsi="Tahoma"/>
      <w:sz w:val="24"/>
      <w:szCs w:val="20"/>
    </w:rPr>
  </w:style>
  <w:style w:type="paragraph" w:customStyle="1" w:styleId="97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979">
    <w:name w:val="Char Char Char Char Char Char Char11"/>
    <w:basedOn w:val="1"/>
    <w:uiPriority w:val="0"/>
    <w:rPr>
      <w:rFonts w:ascii="仿宋_GB2312" w:eastAsia="仿宋_GB2312"/>
      <w:b/>
      <w:sz w:val="32"/>
      <w:szCs w:val="32"/>
    </w:rPr>
  </w:style>
  <w:style w:type="paragraph" w:customStyle="1" w:styleId="980">
    <w:name w:val="默认段落字体 Para Char Char Char Char"/>
    <w:basedOn w:val="1"/>
    <w:qFormat/>
    <w:uiPriority w:val="0"/>
    <w:pPr>
      <w:spacing w:line="360" w:lineRule="auto"/>
    </w:pPr>
    <w:rPr>
      <w:szCs w:val="20"/>
    </w:rPr>
  </w:style>
  <w:style w:type="paragraph" w:customStyle="1" w:styleId="981">
    <w:name w:val="trademark"/>
    <w:uiPriority w:val="0"/>
    <w:pPr>
      <w:spacing w:after="60"/>
    </w:pPr>
    <w:rPr>
      <w:rFonts w:ascii="Futura Bk" w:hAnsi="Futura Bk" w:eastAsia="宋体" w:cs="Times New Roman"/>
      <w:sz w:val="15"/>
      <w:lang w:val="en-US" w:eastAsia="en-US" w:bidi="ar-SA"/>
    </w:rPr>
  </w:style>
  <w:style w:type="paragraph" w:customStyle="1" w:styleId="982">
    <w:name w:val="Plain Text1"/>
    <w:basedOn w:val="1"/>
    <w:qFormat/>
    <w:uiPriority w:val="7"/>
    <w:pPr>
      <w:adjustRightInd/>
    </w:pPr>
    <w:rPr>
      <w:rFonts w:ascii="宋体" w:hAnsi="Courier New"/>
    </w:rPr>
  </w:style>
  <w:style w:type="paragraph" w:customStyle="1" w:styleId="983">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9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985">
    <w:name w:val="样式 标题 1 + 黑色 段前: 0.5 行 段后: 0.5 行1"/>
    <w:basedOn w:val="4"/>
    <w:qFormat/>
    <w:uiPriority w:val="0"/>
    <w:pPr>
      <w:keepLines w:val="0"/>
      <w:pageBreakBefore/>
      <w:numPr>
        <w:ilvl w:val="0"/>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986">
    <w:name w:val="_Style 3"/>
    <w:basedOn w:val="1"/>
    <w:qFormat/>
    <w:uiPriority w:val="34"/>
    <w:pPr>
      <w:adjustRightInd/>
      <w:ind w:firstLine="420" w:firstLineChars="200"/>
    </w:pPr>
    <w:rPr>
      <w:rFonts w:eastAsia="仿宋_GB2312"/>
      <w:sz w:val="28"/>
    </w:rPr>
  </w:style>
  <w:style w:type="paragraph" w:customStyle="1" w:styleId="987">
    <w:name w:val="正文 New New New New"/>
    <w:uiPriority w:val="2"/>
    <w:pPr>
      <w:widowControl w:val="0"/>
      <w:jc w:val="both"/>
    </w:pPr>
    <w:rPr>
      <w:rFonts w:ascii="Times New Roman" w:hAnsi="Times New Roman" w:eastAsia="宋体" w:cs="Times New Roman"/>
      <w:color w:val="000000"/>
      <w:szCs w:val="24"/>
      <w:lang w:val="en-US" w:eastAsia="zh-CN" w:bidi="ar-SA"/>
    </w:rPr>
  </w:style>
  <w:style w:type="paragraph" w:customStyle="1" w:styleId="98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98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990">
    <w:name w:val="Char Char114"/>
    <w:basedOn w:val="1"/>
    <w:qFormat/>
    <w:uiPriority w:val="0"/>
    <w:pPr>
      <w:spacing w:line="360" w:lineRule="auto"/>
    </w:pPr>
    <w:rPr>
      <w:szCs w:val="20"/>
    </w:rPr>
  </w:style>
  <w:style w:type="paragraph" w:customStyle="1" w:styleId="991">
    <w:name w:val="_Style 6"/>
    <w:basedOn w:val="1"/>
    <w:qFormat/>
    <w:uiPriority w:val="34"/>
    <w:pPr>
      <w:adjustRightInd/>
      <w:ind w:firstLine="420" w:firstLineChars="200"/>
    </w:pPr>
    <w:rPr>
      <w:rFonts w:eastAsia="仿宋_GB2312"/>
      <w:sz w:val="28"/>
    </w:rPr>
  </w:style>
  <w:style w:type="paragraph" w:customStyle="1" w:styleId="992">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993">
    <w:name w:val="正文1.25"/>
    <w:basedOn w:val="1"/>
    <w:qFormat/>
    <w:uiPriority w:val="0"/>
    <w:pPr>
      <w:adjustRightInd/>
      <w:spacing w:line="300" w:lineRule="auto"/>
      <w:ind w:firstLine="480" w:firstLineChars="200"/>
    </w:pPr>
    <w:rPr>
      <w:sz w:val="24"/>
      <w:szCs w:val="20"/>
    </w:rPr>
  </w:style>
  <w:style w:type="paragraph" w:customStyle="1" w:styleId="994">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table" w:customStyle="1" w:styleId="995">
    <w:name w:val="网格型1"/>
    <w:basedOn w:val="64"/>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header6.xml" Type="http://schemas.openxmlformats.org/officeDocument/2006/relationships/header"/><Relationship Id="rId13" Target="footer5.xml" Type="http://schemas.openxmlformats.org/officeDocument/2006/relationships/foot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footer10.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numbering.xml" Type="http://schemas.openxmlformats.org/officeDocument/2006/relationships/numbering"/><Relationship Id="rId24"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95</Pages>
  <Words>9091</Words>
  <Characters>51819</Characters>
  <Lines>431</Lines>
  <Paragraphs>121</Paragraphs>
  <TotalTime>11</TotalTime>
  <ScaleCrop>false</ScaleCrop>
  <LinksUpToDate>false</LinksUpToDate>
  <CharactersWithSpaces>60789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2020-11-18T13:49:00Z</dcterms:created>
  <dc:creator>玥</dc:creator>
  <cp:lastModifiedBy>WPS_1701756769</cp:lastModifiedBy>
  <cp:lastPrinted>2020-08-04T03:33:00Z</cp:lastPrinted>
  <dcterms:modified xsi:type="dcterms:W3CDTF">2024-02-22T03:25:40Z</dcterms:modified>
  <cp:revision>30</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4AC80F2F81684949BF01F1FFA704BDC7_13</vt:lpwstr>
  </property>
</Properties>
</file>