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 w:hAnsi="仿宋" w:eastAsia="仿宋" w:cs="仿宋_GB2312"/>
          <w:b/>
          <w:color w:val="auto"/>
          <w:sz w:val="44"/>
          <w:szCs w:val="44"/>
          <w:highlight w:val="none"/>
        </w:rPr>
      </w:pPr>
      <w:bookmarkStart w:id="581" w:name="_GoBack"/>
      <w:bookmarkEnd w:id="581"/>
    </w:p>
    <w:p>
      <w:pPr>
        <w:spacing w:line="360" w:lineRule="auto"/>
        <w:jc w:val="center"/>
        <w:rPr>
          <w:rFonts w:hint="eastAsia" w:ascii="仿宋" w:hAnsi="仿宋" w:eastAsia="仿宋" w:cs="仿宋_GB2312"/>
          <w:b/>
          <w:color w:val="auto"/>
          <w:sz w:val="44"/>
          <w:szCs w:val="44"/>
          <w:highlight w:val="none"/>
        </w:rPr>
      </w:pPr>
    </w:p>
    <w:p>
      <w:pPr>
        <w:spacing w:line="360" w:lineRule="auto"/>
        <w:jc w:val="center"/>
        <w:rPr>
          <w:rFonts w:hint="eastAsia" w:ascii="仿宋" w:hAnsi="仿宋" w:eastAsia="仿宋" w:cs="仿宋_GB2312"/>
          <w:b/>
          <w:color w:val="auto"/>
          <w:sz w:val="44"/>
          <w:szCs w:val="44"/>
          <w:highlight w:val="none"/>
        </w:rPr>
      </w:pPr>
    </w:p>
    <w:p>
      <w:pPr>
        <w:spacing w:line="360" w:lineRule="auto"/>
        <w:jc w:val="center"/>
        <w:rPr>
          <w:rFonts w:hint="eastAsia" w:ascii="仿宋" w:hAnsi="仿宋" w:eastAsia="仿宋" w:cs="仿宋_GB2312"/>
          <w:b/>
          <w:color w:val="auto"/>
          <w:sz w:val="44"/>
          <w:szCs w:val="44"/>
          <w:highlight w:val="none"/>
        </w:rPr>
      </w:pPr>
    </w:p>
    <w:p>
      <w:pPr>
        <w:adjustRightInd/>
        <w:spacing w:line="360" w:lineRule="auto"/>
        <w:jc w:val="center"/>
        <w:rPr>
          <w:rFonts w:hint="eastAsia" w:ascii="仿宋" w:hAnsi="仿宋" w:eastAsia="仿宋" w:cs="仿宋_GB2312"/>
          <w:b/>
          <w:color w:val="auto"/>
          <w:sz w:val="44"/>
          <w:szCs w:val="44"/>
          <w:highlight w:val="none"/>
        </w:rPr>
      </w:pPr>
      <w:r>
        <w:rPr>
          <w:rFonts w:hint="eastAsia" w:ascii="仿宋" w:hAnsi="仿宋" w:eastAsia="仿宋" w:cs="仿宋_GB2312"/>
          <w:b/>
          <w:color w:val="auto"/>
          <w:sz w:val="44"/>
          <w:szCs w:val="44"/>
          <w:highlight w:val="none"/>
        </w:rPr>
        <w:t>杭州师范大学</w:t>
      </w:r>
    </w:p>
    <w:p>
      <w:pPr>
        <w:adjustRightInd/>
        <w:spacing w:line="360" w:lineRule="auto"/>
        <w:jc w:val="center"/>
        <w:rPr>
          <w:rFonts w:hint="eastAsia" w:ascii="仿宋" w:hAnsi="仿宋" w:eastAsia="仿宋" w:cs="仿宋_GB2312"/>
          <w:b/>
          <w:color w:val="auto"/>
          <w:sz w:val="44"/>
          <w:szCs w:val="44"/>
          <w:highlight w:val="none"/>
        </w:rPr>
      </w:pPr>
      <w:r>
        <w:rPr>
          <w:rFonts w:hint="eastAsia" w:ascii="仿宋" w:hAnsi="仿宋" w:eastAsia="仿宋" w:cs="仿宋_GB2312"/>
          <w:b/>
          <w:color w:val="auto"/>
          <w:sz w:val="44"/>
          <w:szCs w:val="44"/>
          <w:highlight w:val="none"/>
        </w:rPr>
        <w:t>仓前校区监控机房存储扩展采购项目</w:t>
      </w:r>
    </w:p>
    <w:p>
      <w:pPr>
        <w:adjustRightInd/>
        <w:spacing w:line="360" w:lineRule="auto"/>
        <w:jc w:val="center"/>
        <w:rPr>
          <w:rFonts w:hint="eastAsia" w:ascii="仿宋" w:hAnsi="仿宋" w:eastAsia="仿宋" w:cs="仿宋_GB2312"/>
          <w:b/>
          <w:color w:val="auto"/>
          <w:sz w:val="72"/>
          <w:szCs w:val="72"/>
          <w:highlight w:val="none"/>
        </w:rPr>
      </w:pPr>
      <w:r>
        <w:rPr>
          <w:rFonts w:hint="eastAsia" w:ascii="仿宋" w:hAnsi="仿宋" w:eastAsia="仿宋" w:cs="仿宋_GB2312"/>
          <w:b/>
          <w:color w:val="auto"/>
          <w:sz w:val="72"/>
          <w:szCs w:val="72"/>
          <w:highlight w:val="none"/>
        </w:rPr>
        <w:t>招标文件</w:t>
      </w:r>
    </w:p>
    <w:p>
      <w:pPr>
        <w:adjustRightInd/>
        <w:spacing w:line="360" w:lineRule="auto"/>
        <w:jc w:val="center"/>
        <w:rPr>
          <w:rFonts w:hint="eastAsia" w:ascii="仿宋" w:hAnsi="仿宋" w:eastAsia="仿宋" w:cs="仿宋_GB2312"/>
          <w:b/>
          <w:color w:val="auto"/>
          <w:sz w:val="72"/>
          <w:szCs w:val="72"/>
          <w:highlight w:val="none"/>
        </w:rPr>
      </w:pPr>
    </w:p>
    <w:p>
      <w:pPr>
        <w:spacing w:line="360" w:lineRule="auto"/>
        <w:jc w:val="center"/>
        <w:rPr>
          <w:rFonts w:hint="eastAsia" w:ascii="仿宋" w:hAnsi="仿宋" w:eastAsia="仿宋" w:cs="仿宋_GB2312"/>
          <w:b/>
          <w:color w:val="auto"/>
          <w:sz w:val="24"/>
          <w:highlight w:val="none"/>
        </w:rPr>
      </w:pPr>
    </w:p>
    <w:p>
      <w:pPr>
        <w:snapToGrid w:val="0"/>
        <w:spacing w:line="360" w:lineRule="auto"/>
        <w:jc w:val="center"/>
        <w:rPr>
          <w:rFonts w:hint="eastAsia"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编号:HZZFCG-2019-017（1）</w:t>
      </w:r>
    </w:p>
    <w:p>
      <w:pPr>
        <w:adjustRightInd/>
        <w:spacing w:line="360" w:lineRule="auto"/>
        <w:rPr>
          <w:rFonts w:hint="eastAsia" w:ascii="仿宋" w:hAnsi="仿宋" w:eastAsia="仿宋" w:cs="仿宋_GB2312"/>
          <w:color w:val="auto"/>
          <w:sz w:val="28"/>
          <w:szCs w:val="20"/>
          <w:highlight w:val="none"/>
        </w:rPr>
      </w:pPr>
    </w:p>
    <w:p>
      <w:pPr>
        <w:spacing w:line="360" w:lineRule="auto"/>
        <w:jc w:val="center"/>
        <w:rPr>
          <w:rFonts w:hint="eastAsia" w:ascii="仿宋" w:hAnsi="仿宋" w:eastAsia="仿宋" w:cs="仿宋_GB2312"/>
          <w:color w:val="auto"/>
          <w:sz w:val="24"/>
          <w:highlight w:val="none"/>
        </w:rPr>
      </w:pPr>
    </w:p>
    <w:p>
      <w:pPr>
        <w:spacing w:line="360" w:lineRule="auto"/>
        <w:rPr>
          <w:rFonts w:hint="eastAsia" w:ascii="仿宋" w:hAnsi="仿宋" w:eastAsia="仿宋" w:cs="仿宋_GB2312"/>
          <w:b/>
          <w:color w:val="auto"/>
          <w:sz w:val="24"/>
          <w:highlight w:val="none"/>
        </w:rPr>
      </w:pPr>
      <w:r>
        <w:rPr>
          <w:rFonts w:hint="eastAsia" w:ascii="仿宋" w:hAnsi="仿宋" w:eastAsia="仿宋" w:cs="仿宋_GB2312"/>
          <w:color w:val="auto"/>
          <w:sz w:val="24"/>
          <w:highlight w:val="none"/>
        </w:rPr>
        <w:t xml:space="preserve">                                      </w:t>
      </w:r>
    </w:p>
    <w:p>
      <w:pPr>
        <w:snapToGrid w:val="0"/>
        <w:spacing w:line="360" w:lineRule="auto"/>
        <w:rPr>
          <w:rFonts w:hint="eastAsia" w:ascii="仿宋" w:hAnsi="仿宋" w:eastAsia="仿宋" w:cs="仿宋_GB2312"/>
          <w:color w:val="auto"/>
          <w:sz w:val="32"/>
          <w:szCs w:val="32"/>
          <w:highlight w:val="none"/>
        </w:rPr>
      </w:pPr>
    </w:p>
    <w:p>
      <w:pPr>
        <w:snapToGrid w:val="0"/>
        <w:spacing w:line="360" w:lineRule="auto"/>
        <w:jc w:val="center"/>
        <w:rPr>
          <w:rFonts w:hint="eastAsia" w:ascii="仿宋" w:hAnsi="仿宋" w:eastAsia="仿宋" w:cs="仿宋_GB2312"/>
          <w:color w:val="auto"/>
          <w:sz w:val="32"/>
          <w:szCs w:val="32"/>
          <w:highlight w:val="none"/>
        </w:rPr>
      </w:pPr>
    </w:p>
    <w:p>
      <w:pPr>
        <w:snapToGrid w:val="0"/>
        <w:spacing w:line="360" w:lineRule="auto"/>
        <w:jc w:val="center"/>
        <w:rPr>
          <w:rFonts w:hint="eastAsia" w:ascii="仿宋" w:hAnsi="仿宋" w:eastAsia="仿宋" w:cs="仿宋_GB2312"/>
          <w:color w:val="auto"/>
          <w:sz w:val="32"/>
          <w:szCs w:val="32"/>
          <w:highlight w:val="none"/>
        </w:rPr>
      </w:pPr>
    </w:p>
    <w:p>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杭州师范大学</w:t>
      </w:r>
    </w:p>
    <w:p>
      <w:pPr>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杭州市公共资源交易中心（杭州市政府采购中心）</w:t>
      </w:r>
    </w:p>
    <w:p>
      <w:pPr>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二○一九年</w:t>
      </w:r>
      <w:r>
        <w:rPr>
          <w:rFonts w:hint="eastAsia" w:ascii="仿宋" w:hAnsi="仿宋" w:eastAsia="仿宋" w:cs="仿宋_GB2312"/>
          <w:bCs/>
          <w:color w:val="auto"/>
          <w:sz w:val="32"/>
          <w:szCs w:val="32"/>
          <w:highlight w:val="none"/>
          <w:lang w:eastAsia="zh-CN"/>
        </w:rPr>
        <w:t>七</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eastAsia="zh-CN"/>
        </w:rPr>
        <w:t>十</w:t>
      </w:r>
      <w:r>
        <w:rPr>
          <w:rFonts w:hint="eastAsia" w:ascii="仿宋" w:hAnsi="仿宋" w:eastAsia="仿宋" w:cs="仿宋_GB2312"/>
          <w:bCs/>
          <w:color w:val="auto"/>
          <w:sz w:val="32"/>
          <w:szCs w:val="32"/>
          <w:highlight w:val="none"/>
        </w:rPr>
        <w:t>日</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br w:type="page"/>
      </w:r>
      <w:bookmarkStart w:id="0" w:name="_Hlt67893495"/>
      <w:bookmarkEnd w:id="0"/>
    </w:p>
    <w:p>
      <w:pPr>
        <w:spacing w:line="360" w:lineRule="auto"/>
        <w:jc w:val="center"/>
        <w:rPr>
          <w:rFonts w:hint="eastAsia" w:ascii="仿宋" w:hAnsi="仿宋" w:eastAsia="仿宋" w:cs="仿宋_GB2312"/>
          <w:color w:val="auto"/>
          <w:sz w:val="24"/>
          <w:highlight w:val="none"/>
        </w:rPr>
      </w:pPr>
    </w:p>
    <w:p>
      <w:pPr>
        <w:spacing w:line="360" w:lineRule="auto"/>
        <w:jc w:val="center"/>
        <w:rPr>
          <w:rFonts w:hint="eastAsia"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spacing w:line="360" w:lineRule="auto"/>
        <w:rPr>
          <w:rFonts w:hint="eastAsia" w:ascii="仿宋" w:hAnsi="仿宋" w:eastAsia="仿宋" w:cs="仿宋_GB2312"/>
          <w:color w:val="auto"/>
          <w:sz w:val="32"/>
          <w:szCs w:val="32"/>
          <w:highlight w:val="none"/>
        </w:rPr>
      </w:pPr>
    </w:p>
    <w:p>
      <w:pPr>
        <w:spacing w:line="360" w:lineRule="auto"/>
        <w:rPr>
          <w:rFonts w:hint="eastAsia" w:ascii="仿宋" w:hAnsi="仿宋" w:eastAsia="仿宋" w:cs="仿宋_GB2312"/>
          <w:color w:val="auto"/>
          <w:sz w:val="32"/>
          <w:szCs w:val="32"/>
          <w:highlight w:val="none"/>
        </w:rPr>
      </w:pP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pPr>
        <w:spacing w:line="360" w:lineRule="auto"/>
        <w:ind w:firstLine="549" w:firstLineChars="229"/>
        <w:rPr>
          <w:rFonts w:hint="eastAsia"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rPr>
          <w:rFonts w:hint="eastAsia" w:ascii="仿宋" w:hAnsi="仿宋" w:eastAsia="仿宋" w:cs="仿宋_GB2312"/>
          <w:color w:val="auto"/>
          <w:sz w:val="24"/>
          <w:highlight w:val="none"/>
        </w:rPr>
      </w:pPr>
    </w:p>
    <w:p>
      <w:pPr>
        <w:adjustRightInd/>
        <w:spacing w:line="360" w:lineRule="auto"/>
        <w:jc w:val="center"/>
        <w:outlineLvl w:val="0"/>
        <w:rPr>
          <w:rFonts w:hint="eastAsia"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 招标公告</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杭州市公共资源交易中心（杭州市政府采购中心）作为集中采购机构（以下简称采购机构）受采购人杭州师范大学的委托，就“杭州师范大学仓前校区监控机房存储扩展采购项目”发布招标公告，邀请符合条件的供应商参加投标。具体如下：</w:t>
      </w:r>
    </w:p>
    <w:p>
      <w:pPr>
        <w:pStyle w:val="43"/>
        <w:spacing w:line="360" w:lineRule="auto"/>
        <w:ind w:firstLine="472" w:firstLineChars="196"/>
        <w:rPr>
          <w:rFonts w:hint="eastAsia" w:ascii="仿宋" w:hAnsi="仿宋" w:eastAsia="仿宋" w:cs="仿宋_GB2312"/>
          <w:color w:val="auto"/>
          <w:sz w:val="24"/>
          <w:szCs w:val="24"/>
          <w:highlight w:val="none"/>
        </w:rPr>
      </w:pPr>
      <w:r>
        <w:rPr>
          <w:rFonts w:hint="eastAsia" w:ascii="仿宋" w:hAnsi="仿宋" w:eastAsia="仿宋" w:cs="仿宋_GB2312"/>
          <w:b/>
          <w:color w:val="auto"/>
          <w:sz w:val="24"/>
          <w:szCs w:val="24"/>
          <w:highlight w:val="none"/>
        </w:rPr>
        <w:t>1、招标编号：</w:t>
      </w:r>
      <w:r>
        <w:rPr>
          <w:rFonts w:hint="eastAsia" w:ascii="仿宋" w:hAnsi="仿宋" w:eastAsia="仿宋" w:cs="仿宋_GB2312"/>
          <w:color w:val="auto"/>
          <w:sz w:val="24"/>
          <w:szCs w:val="24"/>
          <w:highlight w:val="none"/>
        </w:rPr>
        <w:t>HZZFCG-2019-017（1）</w:t>
      </w:r>
    </w:p>
    <w:p>
      <w:pPr>
        <w:pStyle w:val="43"/>
        <w:spacing w:line="360" w:lineRule="auto"/>
        <w:ind w:firstLine="472" w:firstLineChars="196"/>
        <w:rPr>
          <w:rFonts w:hint="eastAsia" w:ascii="仿宋" w:hAnsi="仿宋" w:eastAsia="仿宋" w:cs="仿宋_GB2312"/>
          <w:color w:val="auto"/>
          <w:sz w:val="24"/>
          <w:szCs w:val="24"/>
          <w:highlight w:val="none"/>
        </w:rPr>
      </w:pPr>
      <w:r>
        <w:rPr>
          <w:rFonts w:hint="eastAsia" w:ascii="仿宋" w:hAnsi="仿宋" w:eastAsia="仿宋" w:cs="仿宋_GB2312"/>
          <w:b/>
          <w:color w:val="auto"/>
          <w:sz w:val="24"/>
          <w:szCs w:val="24"/>
          <w:highlight w:val="none"/>
        </w:rPr>
        <w:t>2、项目名称：</w:t>
      </w:r>
      <w:r>
        <w:rPr>
          <w:rFonts w:hint="eastAsia" w:ascii="仿宋" w:hAnsi="仿宋" w:eastAsia="仿宋" w:cs="仿宋_GB2312"/>
          <w:color w:val="auto"/>
          <w:sz w:val="24"/>
          <w:szCs w:val="24"/>
          <w:highlight w:val="none"/>
        </w:rPr>
        <w:t>杭州师范大学仓前校区监控机房存储扩展采购项目。</w:t>
      </w:r>
    </w:p>
    <w:p>
      <w:pPr>
        <w:pStyle w:val="43"/>
        <w:spacing w:line="360" w:lineRule="auto"/>
        <w:ind w:firstLine="482" w:firstLineChars="200"/>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3、</w:t>
      </w:r>
      <w:r>
        <w:rPr>
          <w:rFonts w:hint="eastAsia" w:ascii="仿宋" w:hAnsi="仿宋" w:eastAsia="仿宋"/>
          <w:b/>
          <w:color w:val="auto"/>
          <w:sz w:val="24"/>
          <w:highlight w:val="none"/>
          <w:lang w:val="zh-CN"/>
        </w:rPr>
        <w:t>预算金额：</w:t>
      </w:r>
      <w:r>
        <w:rPr>
          <w:rFonts w:hint="eastAsia" w:ascii="仿宋" w:hAnsi="仿宋" w:eastAsia="仿宋"/>
          <w:color w:val="auto"/>
          <w:sz w:val="24"/>
          <w:highlight w:val="none"/>
        </w:rPr>
        <w:t>本项目采购预算标项一不超过人民币92万元；标项二不超过人民币96万元；标项三不超过人民币361万元。</w:t>
      </w:r>
    </w:p>
    <w:p>
      <w:pPr>
        <w:pStyle w:val="43"/>
        <w:spacing w:line="360" w:lineRule="auto"/>
        <w:ind w:firstLine="482" w:firstLineChars="200"/>
        <w:rPr>
          <w:rFonts w:hint="eastAsia" w:ascii="仿宋" w:hAnsi="仿宋" w:eastAsia="仿宋" w:cs="仿宋_GB2312"/>
          <w:color w:val="auto"/>
          <w:sz w:val="24"/>
          <w:szCs w:val="24"/>
          <w:highlight w:val="none"/>
        </w:rPr>
      </w:pPr>
      <w:r>
        <w:rPr>
          <w:rFonts w:hint="eastAsia" w:ascii="仿宋" w:hAnsi="仿宋" w:eastAsia="仿宋" w:cs="仿宋_GB2312"/>
          <w:b/>
          <w:color w:val="auto"/>
          <w:sz w:val="24"/>
          <w:szCs w:val="24"/>
          <w:highlight w:val="none"/>
        </w:rPr>
        <w:t>4、采购方式：</w:t>
      </w:r>
      <w:r>
        <w:rPr>
          <w:rFonts w:hint="eastAsia" w:ascii="仿宋" w:hAnsi="仿宋" w:eastAsia="仿宋" w:cs="仿宋_GB2312"/>
          <w:color w:val="auto"/>
          <w:sz w:val="24"/>
          <w:szCs w:val="24"/>
          <w:highlight w:val="none"/>
        </w:rPr>
        <w:t>公开招标。</w:t>
      </w:r>
    </w:p>
    <w:p>
      <w:pPr>
        <w:snapToGrid w:val="0"/>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5、采购人的采购需求：</w:t>
      </w:r>
      <w:r>
        <w:rPr>
          <w:rFonts w:hint="eastAsia" w:ascii="仿宋" w:hAnsi="仿宋" w:eastAsia="仿宋" w:cs="仿宋_GB2312"/>
          <w:color w:val="auto"/>
          <w:sz w:val="24"/>
          <w:highlight w:val="none"/>
        </w:rPr>
        <w:t>杭州师范大学仓前校区监控机房存储扩展采购项目，主要内容：标项一D1区块监控机房存储扩展，主要包括：48盘位存储服务器7台、4T企业级硬盘336个、存储管理服务器1台等产品；标项二D5区块监控机房存储扩展，主要包括:48盘位存储服务器8台、4T企业级硬盘336个、存储管理服务器1台等产品；标项三C区块监控机房存储扩展，48盘位存储服务器、4T企业级硬盘、存储管理服务器等1批；含软硬件供货、安装调试、系统集成、运行维护、项目验收以及技术培训和不少于三年7*24小时免费设备保修和售后现场技术服务等。详见招标文件。</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w:t>
      </w:r>
      <w:r>
        <w:rPr>
          <w:rFonts w:hint="eastAsia" w:ascii="仿宋" w:hAnsi="仿宋" w:eastAsia="仿宋"/>
          <w:b/>
          <w:color w:val="auto"/>
          <w:sz w:val="24"/>
          <w:highlight w:val="none"/>
        </w:rPr>
        <w:t>需要落实的政府采购政策：包括保护环境、节约能源、促进中小企业发展等。详见招标文件的二部分总则。</w:t>
      </w:r>
    </w:p>
    <w:p>
      <w:pPr>
        <w:spacing w:line="360" w:lineRule="auto"/>
        <w:ind w:firstLine="475" w:firstLineChars="197"/>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7、投标人的资格要求：</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（1）基本条件：符合《中华人民共和国政府采购法》第二十二条第一款的规定；</w:t>
      </w:r>
    </w:p>
    <w:p>
      <w:pPr>
        <w:widowControl/>
        <w:spacing w:line="360" w:lineRule="auto"/>
        <w:ind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（2）特定条件： </w:t>
      </w:r>
      <w:r>
        <w:rPr>
          <w:rFonts w:hint="eastAsia" w:ascii="仿宋_GB2312" w:hAnsi="宋体" w:eastAsia="仿宋_GB2312" w:cs="宋体"/>
          <w:color w:val="auto"/>
          <w:kern w:val="0"/>
          <w:sz w:val="24"/>
          <w:highlight w:val="none"/>
        </w:rPr>
        <w:t>无。</w:t>
      </w:r>
    </w:p>
    <w:p>
      <w:pPr>
        <w:snapToGrid w:val="0"/>
        <w:spacing w:line="360" w:lineRule="auto"/>
        <w:ind w:firstLine="482" w:firstLineChars="200"/>
        <w:rPr>
          <w:rFonts w:hint="eastAsia" w:ascii="仿宋" w:hAnsi="仿宋" w:eastAsia="仿宋"/>
          <w:b/>
          <w:color w:val="auto"/>
          <w:sz w:val="24"/>
          <w:highlight w:val="none"/>
        </w:rPr>
      </w:pPr>
      <w:r>
        <w:rPr>
          <w:rFonts w:hint="eastAsia" w:ascii="仿宋" w:hAnsi="仿宋" w:eastAsia="仿宋" w:cs="仿宋_GB2312"/>
          <w:b/>
          <w:color w:val="auto"/>
          <w:sz w:val="24"/>
          <w:highlight w:val="none"/>
        </w:rPr>
        <w:t>8、本项目不接受联合体投标</w:t>
      </w:r>
      <w:r>
        <w:rPr>
          <w:rFonts w:hint="eastAsia" w:ascii="仿宋" w:hAnsi="仿宋" w:eastAsia="仿宋"/>
          <w:b/>
          <w:color w:val="auto"/>
          <w:sz w:val="24"/>
          <w:highlight w:val="none"/>
        </w:rPr>
        <w:t>。</w:t>
      </w:r>
    </w:p>
    <w:p>
      <w:pPr>
        <w:spacing w:line="360" w:lineRule="auto"/>
        <w:ind w:firstLine="482" w:firstLineChars="200"/>
        <w:rPr>
          <w:rFonts w:ascii="仿宋" w:hAnsi="仿宋" w:eastAsia="仿宋" w:cs="仿宋_GB2312"/>
          <w:b/>
          <w:snapToGrid w:val="0"/>
          <w:color w:val="auto"/>
          <w:kern w:val="28"/>
          <w:sz w:val="24"/>
          <w:highlight w:val="none"/>
        </w:rPr>
      </w:pPr>
      <w:r>
        <w:rPr>
          <w:rFonts w:hint="eastAsia" w:ascii="仿宋" w:hAnsi="仿宋" w:eastAsia="仿宋" w:cs="仿宋_GB2312"/>
          <w:b/>
          <w:snapToGrid w:val="0"/>
          <w:color w:val="auto"/>
          <w:kern w:val="28"/>
          <w:sz w:val="24"/>
          <w:highlight w:val="none"/>
        </w:rPr>
        <w:t>9、获取招标文件的时间期限、地点、方式及招标文件售价：</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（1）时间期限：2019年</w:t>
      </w:r>
      <w:r>
        <w:rPr>
          <w:rFonts w:hint="eastAsia" w:ascii="宋体" w:hAnsi="宋体" w:eastAsia="仿宋" w:cs="宋体"/>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rPr>
        <w:t>日至2019年</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17</w:t>
      </w:r>
      <w:r>
        <w:rPr>
          <w:rFonts w:hint="eastAsia" w:ascii="仿宋" w:hAnsi="仿宋" w:eastAsia="仿宋" w:cs="仿宋_GB2312"/>
          <w:color w:val="auto"/>
          <w:sz w:val="24"/>
          <w:highlight w:val="none"/>
        </w:rPr>
        <w:t>日；</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（2）地点：浙江省政府采购网、杭州市公共资源交易网；</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（3）方式：网上在线获取；</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（4）售价：免费</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（5）供应商获取招标文件时须提交的文件资料：无；</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（6）提示：</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1）不提供招标文件纸质版；投标人未按上述方式（网上在线获取）获取的招标文件与采购机构发布的招标文件不一致的，由其自行承担由此产生的后果。</w:t>
      </w:r>
    </w:p>
    <w:p>
      <w:pPr>
        <w:widowControl/>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pStyle w:val="19"/>
        <w:spacing w:line="360" w:lineRule="auto"/>
        <w:ind w:firstLine="436" w:firstLineChars="181"/>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10、投标截止时间与地点：</w:t>
      </w:r>
      <w:r>
        <w:rPr>
          <w:rFonts w:hint="eastAsia" w:ascii="仿宋" w:hAnsi="仿宋" w:eastAsia="仿宋" w:cs="仿宋_GB2312"/>
          <w:color w:val="auto"/>
          <w:sz w:val="24"/>
          <w:highlight w:val="none"/>
        </w:rPr>
        <w:t>2019年</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31</w:t>
      </w:r>
      <w:r>
        <w:rPr>
          <w:rFonts w:hint="eastAsia" w:ascii="仿宋" w:hAnsi="仿宋" w:eastAsia="仿宋" w:cs="仿宋_GB2312"/>
          <w:color w:val="auto"/>
          <w:sz w:val="24"/>
          <w:highlight w:val="none"/>
        </w:rPr>
        <w:t>日上午9时30分00秒，地点：</w:t>
      </w:r>
      <w:bookmarkStart w:id="11" w:name="OLE_LINK8"/>
      <w:r>
        <w:rPr>
          <w:rFonts w:hint="eastAsia" w:ascii="仿宋" w:hAnsi="仿宋" w:eastAsia="仿宋" w:cs="仿宋_GB2312"/>
          <w:color w:val="auto"/>
          <w:sz w:val="24"/>
          <w:highlight w:val="none"/>
        </w:rPr>
        <w:t>杭州市公共资源交易中心第四开标室</w:t>
      </w:r>
      <w:r>
        <w:rPr>
          <w:rFonts w:hint="eastAsia" w:ascii="仿宋" w:hAnsi="仿宋" w:eastAsia="仿宋" w:cs="仿宋_GB2312"/>
          <w:b/>
          <w:color w:val="auto"/>
          <w:sz w:val="24"/>
          <w:highlight w:val="none"/>
        </w:rPr>
        <w:t>[杭州市之江路925号（临江金座2号楼）三楼]</w:t>
      </w:r>
      <w:bookmarkEnd w:id="11"/>
      <w:r>
        <w:rPr>
          <w:rFonts w:hint="eastAsia" w:ascii="仿宋" w:hAnsi="仿宋" w:eastAsia="仿宋" w:cs="仿宋_GB2312"/>
          <w:color w:val="auto"/>
          <w:sz w:val="24"/>
          <w:highlight w:val="none"/>
        </w:rPr>
        <w:t>。</w:t>
      </w:r>
    </w:p>
    <w:p>
      <w:pPr>
        <w:pStyle w:val="19"/>
        <w:spacing w:line="360" w:lineRule="auto"/>
        <w:ind w:firstLine="436" w:firstLineChars="181"/>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11、开标时间与地点：投标截止时间与地点：</w:t>
      </w:r>
      <w:r>
        <w:rPr>
          <w:rFonts w:hint="eastAsia" w:ascii="仿宋" w:hAnsi="仿宋" w:eastAsia="仿宋" w:cs="仿宋_GB2312"/>
          <w:color w:val="auto"/>
          <w:sz w:val="24"/>
          <w:highlight w:val="none"/>
        </w:rPr>
        <w:t>2019年</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31日</w:t>
      </w:r>
      <w:r>
        <w:rPr>
          <w:rFonts w:hint="eastAsia" w:ascii="仿宋" w:hAnsi="仿宋" w:eastAsia="仿宋" w:cs="仿宋_GB2312"/>
          <w:color w:val="auto"/>
          <w:sz w:val="24"/>
          <w:highlight w:val="none"/>
        </w:rPr>
        <w:t>上午9时30分00秒，地点：杭州市公共资源交易中心第四开标室</w:t>
      </w:r>
      <w:r>
        <w:rPr>
          <w:rFonts w:hint="eastAsia" w:ascii="仿宋" w:hAnsi="仿宋" w:eastAsia="仿宋" w:cs="仿宋_GB2312"/>
          <w:b/>
          <w:color w:val="auto"/>
          <w:sz w:val="24"/>
          <w:highlight w:val="none"/>
        </w:rPr>
        <w:t>[杭州市之江路925号（临江金座2号楼）三楼]</w:t>
      </w:r>
      <w:r>
        <w:rPr>
          <w:rFonts w:hint="eastAsia" w:ascii="仿宋" w:hAnsi="仿宋" w:eastAsia="仿宋" w:cs="仿宋_GB2312"/>
          <w:color w:val="auto"/>
          <w:sz w:val="24"/>
          <w:highlight w:val="none"/>
        </w:rPr>
        <w:t>。</w:t>
      </w:r>
    </w:p>
    <w:p>
      <w:pPr>
        <w:pStyle w:val="19"/>
        <w:spacing w:line="360" w:lineRule="auto"/>
        <w:ind w:firstLine="436" w:firstLineChars="181"/>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12、投标保证金：</w:t>
      </w:r>
    </w:p>
    <w:p>
      <w:pPr>
        <w:pStyle w:val="43"/>
        <w:spacing w:line="360" w:lineRule="auto"/>
        <w:ind w:firstLine="470" w:firstLineChars="196"/>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不需缴纳。</w:t>
      </w:r>
    </w:p>
    <w:p>
      <w:pPr>
        <w:pStyle w:val="43"/>
        <w:spacing w:line="360" w:lineRule="auto"/>
        <w:ind w:firstLine="472" w:firstLineChars="196"/>
        <w:rPr>
          <w:rFonts w:hint="eastAsia" w:ascii="仿宋" w:hAnsi="仿宋" w:eastAsia="仿宋"/>
          <w:b/>
          <w:color w:val="auto"/>
          <w:sz w:val="24"/>
          <w:szCs w:val="24"/>
          <w:highlight w:val="none"/>
        </w:rPr>
      </w:pPr>
      <w:r>
        <w:rPr>
          <w:rFonts w:hint="eastAsia" w:ascii="仿宋" w:hAnsi="仿宋" w:eastAsia="仿宋" w:cs="仿宋_GB2312"/>
          <w:b/>
          <w:color w:val="auto"/>
          <w:sz w:val="24"/>
          <w:szCs w:val="24"/>
          <w:highlight w:val="none"/>
        </w:rPr>
        <w:t>13、</w:t>
      </w:r>
      <w:r>
        <w:rPr>
          <w:rFonts w:hint="eastAsia" w:ascii="仿宋" w:hAnsi="仿宋" w:eastAsia="仿宋"/>
          <w:b/>
          <w:color w:val="auto"/>
          <w:sz w:val="24"/>
          <w:szCs w:val="24"/>
          <w:highlight w:val="none"/>
        </w:rPr>
        <w:t>采购人、采购代理机构：</w:t>
      </w:r>
    </w:p>
    <w:p>
      <w:pPr>
        <w:pStyle w:val="19"/>
        <w:spacing w:line="360" w:lineRule="auto"/>
        <w:ind w:left="-181" w:leftChars="-86" w:right="-420" w:rightChars="-200" w:firstLine="672" w:firstLineChars="280"/>
        <w:rPr>
          <w:rFonts w:hint="eastAsia" w:ascii="仿宋" w:hAnsi="仿宋" w:eastAsia="仿宋" w:cs="仿宋_GB2312"/>
          <w:color w:val="auto"/>
          <w:sz w:val="24"/>
          <w:highlight w:val="none"/>
        </w:rPr>
      </w:pPr>
      <w:r>
        <w:rPr>
          <w:rFonts w:hint="eastAsia" w:ascii="仿宋" w:hAnsi="仿宋" w:eastAsia="仿宋"/>
          <w:color w:val="auto"/>
          <w:sz w:val="24"/>
          <w:highlight w:val="none"/>
        </w:rPr>
        <w:t>（1）</w:t>
      </w:r>
      <w:r>
        <w:rPr>
          <w:rFonts w:hint="eastAsia" w:ascii="仿宋" w:hAnsi="仿宋" w:eastAsia="仿宋" w:cs="仿宋_GB2312"/>
          <w:color w:val="auto"/>
          <w:sz w:val="24"/>
          <w:highlight w:val="none"/>
        </w:rPr>
        <w:t>采购人：杭州师范大学；联系方式：采购项目联系人：徐老师，联系电话：0571-28867117、13735575367。</w:t>
      </w:r>
    </w:p>
    <w:p>
      <w:pPr>
        <w:pStyle w:val="43"/>
        <w:spacing w:line="360" w:lineRule="auto"/>
        <w:ind w:firstLine="470" w:firstLineChars="196"/>
        <w:rPr>
          <w:rFonts w:ascii="仿宋_GB2312" w:hAnsi="Bodoni MT" w:eastAsia="仿宋_GB2312"/>
          <w:bCs/>
          <w:color w:val="auto"/>
          <w:kern w:val="28"/>
          <w:sz w:val="24"/>
          <w:szCs w:val="24"/>
          <w:highlight w:val="none"/>
        </w:rPr>
      </w:pPr>
      <w:r>
        <w:rPr>
          <w:rFonts w:hint="eastAsia" w:ascii="仿宋" w:hAnsi="仿宋" w:eastAsia="仿宋"/>
          <w:bCs/>
          <w:color w:val="auto"/>
          <w:sz w:val="24"/>
          <w:highlight w:val="none"/>
        </w:rPr>
        <w:t>（2）采购代理机构：杭州市公共资源交易中心（杭州市政府采购中心）；</w:t>
      </w:r>
      <w:r>
        <w:rPr>
          <w:rFonts w:hint="eastAsia" w:ascii="仿宋" w:hAnsi="仿宋" w:eastAsia="仿宋" w:cs="仿宋_GB2312"/>
          <w:color w:val="auto"/>
          <w:sz w:val="24"/>
          <w:highlight w:val="none"/>
        </w:rPr>
        <w:t>地址：杭州市之江路925号；</w:t>
      </w:r>
      <w:r>
        <w:rPr>
          <w:rFonts w:hint="eastAsia" w:ascii="仿宋" w:hAnsi="仿宋" w:eastAsia="仿宋" w:cs="仿宋_GB2312"/>
          <w:color w:val="auto"/>
          <w:sz w:val="24"/>
          <w:szCs w:val="24"/>
          <w:highlight w:val="none"/>
        </w:rPr>
        <w:t>联系方式：采购项目</w:t>
      </w:r>
      <w:r>
        <w:rPr>
          <w:rFonts w:hint="eastAsia" w:ascii="仿宋_GB2312" w:eastAsia="仿宋_GB2312"/>
          <w:bCs/>
          <w:color w:val="auto"/>
          <w:sz w:val="24"/>
          <w:highlight w:val="none"/>
        </w:rPr>
        <w:t>联系人：陈星宇，联系电话：0571-85085569，85085572传真：0571-85085019</w:t>
      </w:r>
      <w:r>
        <w:rPr>
          <w:rFonts w:hint="eastAsia" w:ascii="仿宋" w:hAnsi="仿宋" w:eastAsia="仿宋" w:cs="仿宋_GB2312"/>
          <w:color w:val="auto"/>
          <w:sz w:val="24"/>
          <w:highlight w:val="none"/>
        </w:rPr>
        <w:t>。</w:t>
      </w:r>
    </w:p>
    <w:p>
      <w:pPr>
        <w:widowControl/>
        <w:spacing w:line="360" w:lineRule="auto"/>
        <w:ind w:firstLine="480" w:firstLineChars="200"/>
        <w:jc w:val="left"/>
        <w:rPr>
          <w:rFonts w:hint="eastAsia" w:ascii="仿宋" w:hAnsi="仿宋" w:eastAsia="仿宋" w:cs="仿宋_GB2312"/>
          <w:color w:val="auto"/>
          <w:sz w:val="24"/>
          <w:highlight w:val="none"/>
        </w:rPr>
      </w:pPr>
      <w:r>
        <w:rPr>
          <w:rFonts w:hint="eastAsia" w:ascii="仿宋" w:hAnsi="仿宋" w:eastAsia="仿宋" w:cs="Arial"/>
          <w:bCs/>
          <w:snapToGrid w:val="0"/>
          <w:color w:val="auto"/>
          <w:kern w:val="28"/>
          <w:sz w:val="24"/>
          <w:highlight w:val="none"/>
        </w:rPr>
        <w:t>（3）同级政府采购监督管理部门：</w:t>
      </w:r>
      <w:r>
        <w:rPr>
          <w:rFonts w:hint="eastAsia" w:ascii="仿宋_GB2312" w:hAnsi="宋体" w:eastAsia="仿宋_GB2312"/>
          <w:color w:val="auto"/>
          <w:sz w:val="24"/>
          <w:highlight w:val="none"/>
        </w:rPr>
        <w:t>杭州市财政局政府采购监管处（杭州市中河中路152号617办公室）；联系人：吕先生；联系电话：0571-87715261，传真：0571-87233325。</w:t>
      </w:r>
      <w:r>
        <w:rPr>
          <w:rFonts w:hint="eastAsia" w:ascii="仿宋" w:hAnsi="仿宋" w:eastAsia="仿宋" w:cs="仿宋_GB2312"/>
          <w:color w:val="auto"/>
          <w:sz w:val="24"/>
          <w:highlight w:val="none"/>
        </w:rPr>
        <w:t xml:space="preserve"> </w:t>
      </w:r>
    </w:p>
    <w:p>
      <w:pPr>
        <w:pStyle w:val="19"/>
        <w:adjustRightInd/>
        <w:spacing w:line="360" w:lineRule="auto"/>
        <w:ind w:firstLine="472" w:firstLineChars="196"/>
        <w:rPr>
          <w:rFonts w:hint="eastAsia" w:ascii="仿宋" w:hAnsi="仿宋" w:eastAsia="仿宋" w:cs="Arial"/>
          <w:color w:val="auto"/>
          <w:sz w:val="24"/>
          <w:highlight w:val="none"/>
        </w:rPr>
      </w:pPr>
      <w:r>
        <w:rPr>
          <w:rFonts w:hint="eastAsia" w:ascii="仿宋" w:hAnsi="仿宋" w:eastAsia="仿宋" w:cs="仿宋_GB2312"/>
          <w:b/>
          <w:color w:val="auto"/>
          <w:sz w:val="24"/>
          <w:highlight w:val="none"/>
        </w:rPr>
        <w:t>14、</w:t>
      </w:r>
      <w:r>
        <w:rPr>
          <w:rFonts w:hint="eastAsia" w:ascii="仿宋" w:hAnsi="仿宋" w:eastAsia="仿宋" w:cs="Arial"/>
          <w:b/>
          <w:color w:val="auto"/>
          <w:sz w:val="24"/>
          <w:highlight w:val="none"/>
        </w:rPr>
        <w:t>本项目采购文件公告期限为：</w:t>
      </w:r>
      <w:r>
        <w:rPr>
          <w:rFonts w:hint="eastAsia" w:ascii="仿宋" w:hAnsi="仿宋" w:eastAsia="仿宋" w:cs="Arial"/>
          <w:color w:val="auto"/>
          <w:sz w:val="24"/>
          <w:highlight w:val="none"/>
        </w:rPr>
        <w:t>本公告发布之日起五个工作日。</w:t>
      </w:r>
    </w:p>
    <w:p>
      <w:pPr>
        <w:widowControl/>
        <w:spacing w:line="360" w:lineRule="auto"/>
        <w:ind w:firstLine="480" w:firstLineChars="200"/>
        <w:jc w:val="left"/>
        <w:rPr>
          <w:rFonts w:ascii="仿宋" w:hAnsi="仿宋" w:eastAsia="仿宋" w:cs="仿宋_GB2312"/>
          <w:color w:val="auto"/>
          <w:sz w:val="24"/>
          <w:highlight w:val="none"/>
        </w:rPr>
      </w:pPr>
    </w:p>
    <w:p>
      <w:pPr>
        <w:pStyle w:val="43"/>
        <w:spacing w:line="360" w:lineRule="auto"/>
        <w:ind w:firstLine="470" w:firstLineChars="196"/>
        <w:rPr>
          <w:rFonts w:hint="eastAsia" w:ascii="仿宋" w:hAnsi="仿宋" w:eastAsia="仿宋"/>
          <w:bCs/>
          <w:color w:val="auto"/>
          <w:kern w:val="28"/>
          <w:sz w:val="24"/>
          <w:szCs w:val="24"/>
          <w:highlight w:val="none"/>
        </w:rPr>
      </w:pPr>
    </w:p>
    <w:p>
      <w:pPr>
        <w:pStyle w:val="43"/>
        <w:spacing w:line="360" w:lineRule="auto"/>
        <w:ind w:firstLine="472" w:firstLineChars="196"/>
        <w:rPr>
          <w:rFonts w:hint="eastAsia" w:ascii="仿宋" w:hAnsi="仿宋" w:eastAsia="仿宋" w:cs="仿宋_GB2312"/>
          <w:b/>
          <w:color w:val="auto"/>
          <w:sz w:val="24"/>
          <w:szCs w:val="24"/>
          <w:highlight w:val="none"/>
        </w:rPr>
      </w:pPr>
    </w:p>
    <w:p>
      <w:pPr>
        <w:pStyle w:val="43"/>
        <w:spacing w:line="360" w:lineRule="auto"/>
        <w:ind w:firstLine="472" w:firstLineChars="196"/>
        <w:rPr>
          <w:rFonts w:hint="eastAsia" w:ascii="仿宋" w:hAnsi="仿宋" w:eastAsia="仿宋" w:cs="仿宋_GB2312"/>
          <w:b/>
          <w:color w:val="auto"/>
          <w:sz w:val="24"/>
          <w:szCs w:val="24"/>
          <w:highlight w:val="none"/>
        </w:rPr>
      </w:pPr>
    </w:p>
    <w:p>
      <w:pPr>
        <w:spacing w:line="360" w:lineRule="auto"/>
        <w:ind w:firstLine="20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w:t>
      </w:r>
    </w:p>
    <w:p>
      <w:pPr>
        <w:spacing w:line="360" w:lineRule="auto"/>
        <w:ind w:firstLine="20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杭州市公共资源交易中心（杭州市政府采购中心）</w:t>
      </w:r>
    </w:p>
    <w:p>
      <w:pPr>
        <w:pStyle w:val="43"/>
        <w:spacing w:line="360" w:lineRule="auto"/>
        <w:ind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 xml:space="preserve">                                         二○一九年</w:t>
      </w:r>
      <w:r>
        <w:rPr>
          <w:rFonts w:hint="eastAsia" w:ascii="仿宋" w:hAnsi="仿宋" w:eastAsia="仿宋" w:cs="仿宋_GB2312"/>
          <w:color w:val="auto"/>
          <w:sz w:val="24"/>
          <w:szCs w:val="24"/>
          <w:highlight w:val="none"/>
          <w:lang w:eastAsia="zh-CN"/>
        </w:rPr>
        <w:t>七</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eastAsia="zh-CN"/>
        </w:rPr>
        <w:t>十</w:t>
      </w:r>
      <w:r>
        <w:rPr>
          <w:rFonts w:hint="eastAsia" w:ascii="仿宋" w:hAnsi="仿宋" w:eastAsia="仿宋" w:cs="仿宋_GB2312"/>
          <w:color w:val="auto"/>
          <w:sz w:val="24"/>
          <w:szCs w:val="24"/>
          <w:highlight w:val="none"/>
        </w:rPr>
        <w:t>日</w:t>
      </w:r>
    </w:p>
    <w:p>
      <w:pPr>
        <w:adjustRightInd/>
        <w:spacing w:line="360" w:lineRule="auto"/>
        <w:jc w:val="center"/>
        <w:outlineLvl w:val="0"/>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8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97" w:hRule="atLeast"/>
          <w:tblHeader/>
        </w:trPr>
        <w:tc>
          <w:tcPr>
            <w:tcW w:w="629" w:type="dxa"/>
            <w:noWrap w:val="0"/>
            <w:vAlign w:val="top"/>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79"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7118" w:hRule="atLeast"/>
          <w:tblHeader/>
        </w:trPr>
        <w:tc>
          <w:tcPr>
            <w:tcW w:w="629" w:type="dxa"/>
            <w:noWrap w:val="0"/>
            <w:vAlign w:val="top"/>
          </w:tcPr>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79" w:type="dxa"/>
            <w:noWrap w:val="0"/>
            <w:vAlign w:val="center"/>
          </w:tcPr>
          <w:p>
            <w:pPr>
              <w:snapToGrid w:val="0"/>
              <w:spacing w:line="360" w:lineRule="auto"/>
              <w:jc w:val="left"/>
              <w:rPr>
                <w:rFonts w:hint="eastAsia"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有关本项目建设所需的费用均计入报价。</w:t>
            </w:r>
            <w:r>
              <w:rPr>
                <w:rFonts w:hint="eastAsia" w:ascii="仿宋" w:hAnsi="仿宋" w:eastAsia="仿宋"/>
                <w:color w:val="auto"/>
                <w:sz w:val="24"/>
                <w:highlight w:val="none"/>
              </w:rPr>
              <w:t>《投标（开标）一览表》是报价的唯一载体</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投标报价出现下列情形的，投标无效</w:t>
            </w:r>
          </w:p>
          <w:p>
            <w:pPr>
              <w:snapToGrid w:val="0"/>
              <w:spacing w:line="360" w:lineRule="auto"/>
              <w:jc w:val="left"/>
              <w:rPr>
                <w:rFonts w:hint="eastAsia" w:ascii="仿宋" w:hAnsi="仿宋" w:eastAsia="仿宋" w:cs="仿宋_GB2312"/>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kern w:val="0"/>
                <w:sz w:val="24"/>
                <w:highlight w:val="none"/>
                <w:lang w:val="zh-CN"/>
              </w:rPr>
              <w:t>投标文件出现不是唯一的、有选择性投标报价的；</w:t>
            </w:r>
          </w:p>
          <w:p>
            <w:pPr>
              <w:snapToGrid w:val="0"/>
              <w:spacing w:line="360" w:lineRule="auto"/>
              <w:jc w:val="left"/>
              <w:rPr>
                <w:rFonts w:hint="eastAsia" w:ascii="仿宋" w:hAnsi="仿宋" w:eastAsia="仿宋" w:cs="仿宋_GB2312"/>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投标报价高于本项目采购预算或者最高限价的;</w:t>
            </w:r>
          </w:p>
          <w:p>
            <w:pPr>
              <w:spacing w:line="360" w:lineRule="auto"/>
              <w:rPr>
                <w:rFonts w:hint="eastAsia" w:ascii="仿宋" w:hAnsi="仿宋" w:eastAsia="仿宋" w:cs="仿宋_GB2312"/>
                <w:b/>
                <w:color w:val="auto"/>
                <w:sz w:val="24"/>
                <w:highlight w:val="none"/>
              </w:rPr>
            </w:pPr>
            <w:r>
              <w:rPr>
                <w:rFonts w:hint="eastAsia" w:ascii="仿宋" w:hAnsi="仿宋" w:eastAsia="仿宋"/>
                <w:b/>
                <w:color w:val="auto"/>
                <w:sz w:val="24"/>
                <w:highlight w:val="none"/>
              </w:rPr>
              <w:t>▲</w:t>
            </w: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auto"/>
                <w:sz w:val="24"/>
                <w:szCs w:val="21"/>
                <w:highlight w:val="none"/>
              </w:rPr>
              <w:t>;</w:t>
            </w:r>
          </w:p>
          <w:p>
            <w:pPr>
              <w:spacing w:line="360" w:lineRule="auto"/>
              <w:rPr>
                <w:rFonts w:hint="eastAsia" w:ascii="仿宋" w:hAnsi="仿宋" w:eastAsia="仿宋" w:cs="仿宋_GB2312"/>
                <w:color w:val="auto"/>
                <w:sz w:val="24"/>
                <w:szCs w:val="21"/>
                <w:highlight w:val="none"/>
              </w:rPr>
            </w:pPr>
            <w:r>
              <w:rPr>
                <w:rFonts w:hint="eastAsia" w:ascii="仿宋" w:hAnsi="仿宋" w:eastAsia="仿宋"/>
                <w:b/>
                <w:color w:val="auto"/>
                <w:sz w:val="24"/>
                <w:highlight w:val="none"/>
              </w:rPr>
              <w:t>▲《投标（开标）一览表》填写不完整或字迹不能辨认或有漏项的；</w:t>
            </w:r>
          </w:p>
          <w:p>
            <w:pPr>
              <w:spacing w:line="360" w:lineRule="auto"/>
              <w:rPr>
                <w:rFonts w:hint="eastAsia"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1342" w:hRule="atLeast"/>
          <w:tblHeader/>
        </w:trPr>
        <w:tc>
          <w:tcPr>
            <w:tcW w:w="629" w:type="dxa"/>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noWrap w:val="0"/>
            <w:vAlign w:val="center"/>
          </w:tcPr>
          <w:p>
            <w:pPr>
              <w:snapToGrid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6079" w:type="dxa"/>
            <w:noWrap w:val="0"/>
            <w:vAlign w:val="center"/>
          </w:tcPr>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（1）采购人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2157" w:hRule="atLeast"/>
          <w:tblHeader/>
        </w:trPr>
        <w:tc>
          <w:tcPr>
            <w:tcW w:w="629" w:type="dxa"/>
            <w:noWrap w:val="0"/>
            <w:vAlign w:val="top"/>
          </w:tcPr>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6079" w:type="dxa"/>
            <w:noWrap w:val="0"/>
            <w:vAlign w:val="center"/>
          </w:tcPr>
          <w:p>
            <w:pPr>
              <w:snapToGrid w:val="0"/>
              <w:spacing w:line="360" w:lineRule="auto"/>
              <w:rPr>
                <w:rFonts w:hint="eastAsia" w:ascii="仿宋_GB2312" w:hAnsi="仿宋_GB2312" w:eastAsia="仿宋_GB2312" w:cs="仿宋_GB2312"/>
                <w:color w:val="auto"/>
                <w:sz w:val="24"/>
                <w:highlight w:val="none"/>
              </w:rPr>
            </w:pPr>
            <w:r>
              <w:rPr>
                <w:rFonts w:hint="eastAsia" w:ascii="仿宋" w:hAnsi="仿宋" w:eastAsia="仿宋"/>
                <w:color w:val="auto"/>
                <w:sz w:val="24"/>
                <w:highlight w:val="none"/>
              </w:rPr>
              <w:t>（1）资格证明文件：</w:t>
            </w:r>
            <w:r>
              <w:rPr>
                <w:rFonts w:hint="eastAsia" w:ascii="仿宋_GB2312" w:hAnsi="仿宋_GB2312" w:eastAsia="仿宋_GB2312" w:cs="仿宋_GB2312"/>
                <w:color w:val="auto"/>
                <w:sz w:val="24"/>
                <w:highlight w:val="none"/>
              </w:rPr>
              <w:t>营业执照(或事业法人登记证或其他工商 等登记证明材料)复印件、税务登记证(或其它缴纳证明材料)复印件、社保登记证（或其它缴纳证明材料）复印件、</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2018年度资产负债表等财务报表资料文件(新成立的公司，提供情况说明)、具有履行合同所必需的设备和专业技术能力的承诺函、参加政府采购活动前三年内，在经营活动中没有重大违法记录的声明。</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（2）资信证明文件：投标人已取得省级及以上安全技术防范行业资信等级壹级证书、计算机系统集成叁级证书等资质证书。</w:t>
            </w:r>
          </w:p>
          <w:p>
            <w:pPr>
              <w:spacing w:line="360" w:lineRule="auto"/>
              <w:rPr>
                <w:rFonts w:hint="eastAsia" w:ascii="仿宋" w:hAnsi="仿宋" w:eastAsia="仿宋"/>
                <w:color w:val="auto"/>
                <w:kern w:val="0"/>
                <w:sz w:val="24"/>
                <w:highlight w:val="none"/>
              </w:rPr>
            </w:pPr>
            <w:r>
              <w:rPr>
                <w:rFonts w:hint="eastAsia" w:ascii="仿宋" w:hAnsi="仿宋" w:eastAsia="仿宋"/>
                <w:color w:val="auto"/>
                <w:sz w:val="24"/>
                <w:highlight w:val="none"/>
              </w:rPr>
              <w:t>▲</w:t>
            </w:r>
            <w:r>
              <w:rPr>
                <w:rFonts w:hint="eastAsia" w:ascii="仿宋" w:hAnsi="仿宋" w:eastAsia="仿宋" w:cs="仿宋_GB2312"/>
                <w:b/>
                <w:color w:val="auto"/>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97" w:hRule="atLeast"/>
          <w:tblHeader/>
        </w:trPr>
        <w:tc>
          <w:tcPr>
            <w:tcW w:w="629" w:type="dxa"/>
            <w:noWrap w:val="0"/>
            <w:vAlign w:val="top"/>
          </w:tcPr>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w:t>
            </w:r>
          </w:p>
          <w:p>
            <w:pPr>
              <w:snapToGrid w:val="0"/>
              <w:spacing w:line="360" w:lineRule="auto"/>
              <w:jc w:val="center"/>
              <w:rPr>
                <w:rFonts w:hint="eastAsia" w:ascii="仿宋" w:hAnsi="仿宋" w:eastAsia="仿宋" w:cs="仿宋_GB2312"/>
                <w:color w:val="auto"/>
                <w:sz w:val="24"/>
                <w:highlight w:val="none"/>
              </w:rPr>
            </w:pP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投标文件的份数</w:t>
            </w:r>
          </w:p>
        </w:tc>
        <w:tc>
          <w:tcPr>
            <w:tcW w:w="6079" w:type="dxa"/>
            <w:noWrap w:val="0"/>
            <w:vAlign w:val="center"/>
          </w:tcPr>
          <w:p>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资格文件正本1份，副本无需提供；报价文件正本1份，副本 </w:t>
            </w:r>
            <w:r>
              <w:rPr>
                <w:rFonts w:hint="eastAsia" w:ascii="仿宋" w:hAnsi="仿宋" w:eastAsia="仿宋"/>
                <w:color w:val="auto"/>
                <w:sz w:val="24"/>
                <w:highlight w:val="none"/>
                <w:u w:val="single"/>
              </w:rPr>
              <w:t xml:space="preserve">  5 </w:t>
            </w:r>
            <w:r>
              <w:rPr>
                <w:rFonts w:hint="eastAsia" w:ascii="仿宋" w:hAnsi="仿宋" w:eastAsia="仿宋"/>
                <w:color w:val="auto"/>
                <w:sz w:val="24"/>
                <w:highlight w:val="none"/>
              </w:rPr>
              <w:t>份；商务技术文件正本1份，副本</w:t>
            </w:r>
            <w:r>
              <w:rPr>
                <w:rFonts w:hint="eastAsia" w:ascii="仿宋" w:hAnsi="仿宋" w:eastAsia="仿宋"/>
                <w:color w:val="auto"/>
                <w:sz w:val="24"/>
                <w:highlight w:val="none"/>
                <w:u w:val="single"/>
              </w:rPr>
              <w:t xml:space="preserve">  5  </w:t>
            </w:r>
            <w:r>
              <w:rPr>
                <w:rFonts w:hint="eastAsia" w:ascii="仿宋" w:hAnsi="仿宋" w:eastAsia="仿宋"/>
                <w:color w:val="auto"/>
                <w:sz w:val="24"/>
                <w:highlight w:val="none"/>
              </w:rPr>
              <w:t>份。</w:t>
            </w:r>
          </w:p>
          <w:p>
            <w:pPr>
              <w:spacing w:line="360" w:lineRule="auto"/>
              <w:rPr>
                <w:rFonts w:hint="eastAsia" w:ascii="仿宋" w:hAnsi="仿宋" w:eastAsia="仿宋" w:cs="仿宋_GB2312"/>
                <w:color w:val="auto"/>
                <w:sz w:val="24"/>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97" w:hRule="atLeast"/>
          <w:tblHeader/>
        </w:trPr>
        <w:tc>
          <w:tcPr>
            <w:tcW w:w="629" w:type="dxa"/>
            <w:noWrap w:val="0"/>
            <w:vAlign w:val="top"/>
          </w:tcPr>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79" w:type="dxa"/>
            <w:noWrap w:val="0"/>
            <w:vAlign w:val="center"/>
          </w:tcPr>
          <w:p>
            <w:pPr>
              <w:pStyle w:val="43"/>
              <w:spacing w:line="360" w:lineRule="auto"/>
              <w:rPr>
                <w:rFonts w:hint="eastAsia" w:ascii="仿宋" w:hAnsi="仿宋" w:eastAsia="仿宋" w:cs="Times New Roman"/>
                <w:snapToGrid/>
                <w:color w:val="auto"/>
                <w:sz w:val="24"/>
                <w:szCs w:val="20"/>
                <w:highlight w:val="none"/>
              </w:rPr>
            </w:pPr>
            <w:r>
              <w:rPr>
                <w:rFonts w:hint="eastAsia" w:ascii="仿宋" w:hAnsi="仿宋" w:eastAsia="仿宋" w:cs="Times New Roman"/>
                <w:snapToGrid/>
                <w:color w:val="auto"/>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97" w:hRule="atLeast"/>
          <w:tblHeader/>
        </w:trPr>
        <w:tc>
          <w:tcPr>
            <w:tcW w:w="629" w:type="dxa"/>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79" w:type="dxa"/>
            <w:noWrap w:val="0"/>
            <w:vAlign w:val="center"/>
          </w:tcPr>
          <w:p>
            <w:pPr>
              <w:widowControl/>
              <w:spacing w:before="100" w:beforeAutospacing="1" w:after="240" w:line="360" w:lineRule="auto"/>
              <w:rPr>
                <w:rFonts w:hint="eastAsia" w:ascii="仿宋" w:hAnsi="仿宋" w:eastAsia="仿宋"/>
                <w:b/>
                <w:color w:val="auto"/>
                <w:sz w:val="24"/>
                <w:highlight w:val="none"/>
              </w:rPr>
            </w:pPr>
            <w:r>
              <w:rPr>
                <w:rFonts w:hint="eastAsia" w:ascii="仿宋" w:hAnsi="仿宋" w:eastAsia="仿宋"/>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576" w:hRule="atLeast"/>
          <w:tblHeader/>
        </w:trPr>
        <w:tc>
          <w:tcPr>
            <w:tcW w:w="629" w:type="dxa"/>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noWrap w:val="0"/>
            <w:vAlign w:val="center"/>
          </w:tcPr>
          <w:p>
            <w:pPr>
              <w:snapToGrid w:val="0"/>
              <w:spacing w:line="360" w:lineRule="auto"/>
              <w:jc w:val="center"/>
              <w:rPr>
                <w:rFonts w:hint="eastAsia" w:ascii="仿宋" w:hAnsi="仿宋" w:eastAsia="仿宋" w:cs="仿宋_GB2312"/>
                <w:bCs/>
                <w:color w:val="auto"/>
                <w:sz w:val="24"/>
                <w:highlight w:val="none"/>
              </w:rPr>
            </w:pPr>
            <w:r>
              <w:rPr>
                <w:rFonts w:hint="eastAsia" w:ascii="仿宋" w:hAnsi="仿宋" w:eastAsia="仿宋" w:cs="仿宋_GB2312"/>
                <w:b/>
                <w:color w:val="auto"/>
                <w:sz w:val="24"/>
                <w:highlight w:val="none"/>
              </w:rPr>
              <w:t>现场演示</w:t>
            </w:r>
          </w:p>
        </w:tc>
        <w:tc>
          <w:tcPr>
            <w:tcW w:w="6079" w:type="dxa"/>
            <w:noWrap w:val="0"/>
            <w:vAlign w:val="center"/>
          </w:tcPr>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kern w:val="0"/>
                <w:sz w:val="24"/>
                <w:highlight w:val="none"/>
                <w:lang w:val="zh-CN"/>
              </w:rPr>
              <w:t>在评标时将安排每个投标人进行系统功能介绍及与学校现有系统的无缝对接方案讲解。</w:t>
            </w:r>
            <w:r>
              <w:rPr>
                <w:rFonts w:hint="eastAsia" w:ascii="仿宋" w:hAnsi="仿宋" w:eastAsia="仿宋" w:cs="仿宋_GB2312"/>
                <w:b/>
                <w:bCs/>
                <w:color w:val="auto"/>
                <w:kern w:val="0"/>
                <w:sz w:val="24"/>
                <w:highlight w:val="none"/>
                <w:lang w:val="zh-CN"/>
              </w:rPr>
              <w:t>无论参与几个标项，每个投标人时间总共不超过15分钟。</w:t>
            </w:r>
            <w:r>
              <w:rPr>
                <w:rFonts w:hint="eastAsia" w:ascii="仿宋" w:hAnsi="仿宋" w:eastAsia="仿宋" w:cs="仿宋_GB2312"/>
                <w:color w:val="auto"/>
                <w:kern w:val="0"/>
                <w:sz w:val="24"/>
                <w:highlight w:val="none"/>
                <w:lang w:val="zh-CN"/>
              </w:rPr>
              <w:t>讲标次序以投标登记次序为准。讲标进场人员须为投标人所属固定职员。测试结束后由投标人解答评标委员会的提问。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trHeight w:val="1008" w:hRule="atLeast"/>
          <w:tblHeader/>
        </w:trPr>
        <w:tc>
          <w:tcPr>
            <w:tcW w:w="629" w:type="dxa"/>
            <w:noWrap w:val="0"/>
            <w:vAlign w:val="top"/>
          </w:tcPr>
          <w:p>
            <w:pPr>
              <w:snapToGrid w:val="0"/>
              <w:spacing w:line="360" w:lineRule="auto"/>
              <w:jc w:val="center"/>
              <w:rPr>
                <w:rFonts w:hint="eastAsia"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843" w:type="dxa"/>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6079" w:type="dxa"/>
            <w:noWrap w:val="0"/>
            <w:vAlign w:val="center"/>
          </w:tcPr>
          <w:p>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无。</w:t>
            </w:r>
          </w:p>
        </w:tc>
      </w:tr>
    </w:tbl>
    <w:p>
      <w:pPr>
        <w:snapToGrid w:val="0"/>
        <w:spacing w:line="360" w:lineRule="auto"/>
        <w:jc w:val="center"/>
        <w:rPr>
          <w:rFonts w:hint="eastAsia" w:ascii="仿宋" w:hAnsi="仿宋" w:eastAsia="仿宋" w:cs="仿宋_GB2312"/>
          <w:b/>
          <w:color w:val="auto"/>
          <w:sz w:val="32"/>
          <w:szCs w:val="20"/>
          <w:highlight w:val="none"/>
        </w:rPr>
      </w:pPr>
    </w:p>
    <w:p>
      <w:pPr>
        <w:adjustRightInd/>
        <w:spacing w:line="360" w:lineRule="auto"/>
        <w:ind w:firstLine="3845" w:firstLineChars="1197"/>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一、总则</w:t>
      </w:r>
      <w:bookmarkEnd w:id="10"/>
    </w:p>
    <w:p>
      <w:pPr>
        <w:snapToGrid w:val="0"/>
        <w:spacing w:line="360" w:lineRule="auto"/>
        <w:ind w:firstLine="361" w:firstLineChars="15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 xml:space="preserve">   2.定义</w:t>
      </w:r>
    </w:p>
    <w:p>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2.2</w:t>
      </w:r>
      <w:r>
        <w:rPr>
          <w:rFonts w:ascii="仿宋" w:hAnsi="仿宋" w:eastAsia="仿宋"/>
          <w:color w:val="auto"/>
          <w:sz w:val="24"/>
          <w:highlight w:val="none"/>
        </w:rPr>
        <w:t xml:space="preserve">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2.4</w:t>
      </w:r>
      <w:r>
        <w:rPr>
          <w:rFonts w:ascii="仿宋" w:hAnsi="仿宋" w:eastAsia="仿宋"/>
          <w:color w:val="auto"/>
          <w:sz w:val="24"/>
          <w:highlight w:val="none"/>
        </w:rPr>
        <w:t xml:space="preserve"> </w:t>
      </w:r>
      <w:r>
        <w:rPr>
          <w:rFonts w:hint="eastAsia" w:ascii="仿宋" w:hAnsi="仿宋" w:eastAsia="仿宋"/>
          <w:color w:val="auto"/>
          <w:sz w:val="24"/>
          <w:highlight w:val="none"/>
        </w:rPr>
        <w:t>“负责人”系指法人企业的法定负责人，或其他组织为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2.5</w:t>
      </w:r>
      <w:r>
        <w:rPr>
          <w:rFonts w:ascii="仿宋" w:hAnsi="仿宋" w:eastAsia="仿宋"/>
          <w:color w:val="auto"/>
          <w:sz w:val="24"/>
          <w:highlight w:val="none"/>
        </w:rPr>
        <w:t xml:space="preserve"> </w:t>
      </w:r>
      <w:r>
        <w:rPr>
          <w:rFonts w:hint="eastAsia" w:ascii="仿宋" w:hAnsi="仿宋" w:eastAsia="仿宋"/>
          <w:color w:val="auto"/>
          <w:sz w:val="24"/>
          <w:highlight w:val="none"/>
        </w:rPr>
        <w:t>“▲” 系指实质性要求条款，“★”系产品采购项目中单一产品或核心产品。</w:t>
      </w:r>
    </w:p>
    <w:p>
      <w:pPr>
        <w:spacing w:line="360" w:lineRule="auto"/>
        <w:ind w:firstLine="241" w:firstLineChars="100"/>
        <w:rPr>
          <w:rFonts w:hint="eastAsia" w:ascii="仿宋" w:hAnsi="仿宋" w:eastAsia="仿宋"/>
          <w:b/>
          <w:color w:val="auto"/>
          <w:sz w:val="24"/>
          <w:highlight w:val="none"/>
        </w:rPr>
      </w:pPr>
      <w:r>
        <w:rPr>
          <w:rFonts w:hint="eastAsia" w:ascii="仿宋" w:hAnsi="仿宋" w:eastAsia="仿宋"/>
          <w:b/>
          <w:color w:val="auto"/>
          <w:sz w:val="24"/>
          <w:highlight w:val="none"/>
        </w:rPr>
        <w:t>3.</w:t>
      </w:r>
      <w:r>
        <w:rPr>
          <w:rFonts w:hint="eastAsia" w:ascii="仿宋" w:hAnsi="仿宋" w:eastAsia="仿宋"/>
          <w:color w:val="auto"/>
          <w:highlight w:val="none"/>
        </w:rPr>
        <w:t xml:space="preserve"> </w:t>
      </w:r>
      <w:r>
        <w:rPr>
          <w:rFonts w:hint="eastAsia" w:ascii="仿宋" w:hAnsi="仿宋" w:eastAsia="仿宋"/>
          <w:b/>
          <w:color w:val="auto"/>
          <w:sz w:val="24"/>
          <w:highlight w:val="none"/>
        </w:rPr>
        <w:t>采购项目需要落实的政府采购政策</w:t>
      </w:r>
    </w:p>
    <w:p>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3.2 节能环保要求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3.2.1</w:t>
      </w:r>
      <w:r>
        <w:rPr>
          <w:rFonts w:ascii="仿宋" w:hAnsi="仿宋" w:eastAsia="仿宋"/>
          <w:color w:val="auto"/>
          <w:sz w:val="24"/>
          <w:highlight w:val="none"/>
        </w:rPr>
        <w:t>采购人拟采购的产品属于品目清单范围的，采购人及其委托的采购代理机构</w:t>
      </w:r>
      <w:r>
        <w:rPr>
          <w:rFonts w:hint="eastAsia" w:ascii="仿宋" w:hAnsi="仿宋" w:eastAsia="仿宋"/>
          <w:color w:val="auto"/>
          <w:sz w:val="24"/>
          <w:highlight w:val="none"/>
        </w:rPr>
        <w:t>将</w:t>
      </w:r>
      <w:r>
        <w:rPr>
          <w:rFonts w:ascii="仿宋" w:hAnsi="仿宋" w:eastAsia="仿宋"/>
          <w:color w:val="auto"/>
          <w:sz w:val="24"/>
          <w:highlight w:val="none"/>
        </w:rPr>
        <w:t>依据国家确定的认证机构出具的、处于有效期之内的节能产品、环境标志产品认证证书，对获得证书的产品实施政府优先采购或强制采购。</w:t>
      </w:r>
      <w:r>
        <w:rPr>
          <w:rFonts w:hint="eastAsia" w:ascii="仿宋" w:hAnsi="仿宋" w:eastAsia="仿宋"/>
          <w:color w:val="auto"/>
          <w:sz w:val="24"/>
          <w:highlight w:val="none"/>
        </w:rPr>
        <w:t>供应商须按磋商文件要求提供相关产品认证证书。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3.2.2 </w:t>
      </w:r>
      <w:r>
        <w:rPr>
          <w:rFonts w:hint="eastAsia" w:ascii="仿宋" w:hAnsi="仿宋" w:eastAsia="仿宋" w:cs="仿宋_GB2312"/>
          <w:color w:val="auto"/>
          <w:sz w:val="24"/>
          <w:szCs w:val="20"/>
          <w:highlight w:val="none"/>
        </w:rPr>
        <w:t>▲</w:t>
      </w:r>
      <w:r>
        <w:rPr>
          <w:rFonts w:ascii="仿宋" w:hAnsi="仿宋" w:eastAsia="仿宋"/>
          <w:b/>
          <w:color w:val="auto"/>
          <w:sz w:val="24"/>
          <w:highlight w:val="none"/>
        </w:rPr>
        <w:t>采购人拟采购的产品属于</w:t>
      </w:r>
      <w:r>
        <w:rPr>
          <w:rFonts w:hint="eastAsia" w:ascii="仿宋" w:hAnsi="仿宋" w:eastAsia="仿宋"/>
          <w:b/>
          <w:color w:val="auto"/>
          <w:sz w:val="24"/>
          <w:highlight w:val="none"/>
        </w:rPr>
        <w:t>政府强制采购的节能产品品目清单范围的，供应商未按磋商文件要求提供国家确定的认证机构出具的、处于有效期之内的节能产品认证证书，响应无效。</w:t>
      </w:r>
    </w:p>
    <w:p>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3.3</w:t>
      </w:r>
      <w:r>
        <w:rPr>
          <w:rFonts w:hint="eastAsia" w:ascii="仿宋_GB2312" w:eastAsia="仿宋_GB2312"/>
          <w:bCs/>
          <w:color w:val="auto"/>
          <w:sz w:val="24"/>
          <w:highlight w:val="none"/>
        </w:rPr>
        <w:t>小型、微型</w:t>
      </w:r>
      <w:r>
        <w:rPr>
          <w:rFonts w:hint="eastAsia" w:ascii="仿宋" w:hAnsi="仿宋" w:eastAsia="仿宋"/>
          <w:color w:val="auto"/>
          <w:sz w:val="24"/>
          <w:highlight w:val="none"/>
        </w:rPr>
        <w:t>企业价格扣除。</w:t>
      </w:r>
    </w:p>
    <w:p>
      <w:pPr>
        <w:spacing w:line="360" w:lineRule="auto"/>
        <w:ind w:firstLine="480" w:firstLineChars="200"/>
        <w:rPr>
          <w:rFonts w:hint="eastAsia" w:ascii="仿宋_GB2312" w:eastAsia="仿宋_GB2312"/>
          <w:bCs/>
          <w:color w:val="auto"/>
          <w:sz w:val="24"/>
          <w:highlight w:val="none"/>
        </w:rPr>
      </w:pPr>
      <w:r>
        <w:rPr>
          <w:rFonts w:hint="eastAsia" w:ascii="仿宋" w:hAnsi="仿宋" w:eastAsia="仿宋"/>
          <w:color w:val="auto"/>
          <w:sz w:val="24"/>
          <w:highlight w:val="none"/>
        </w:rPr>
        <w:t>3.3.1</w:t>
      </w:r>
      <w:r>
        <w:rPr>
          <w:rFonts w:hint="eastAsia" w:ascii="仿宋_GB2312" w:eastAsia="仿宋_GB2312"/>
          <w:bCs/>
          <w:color w:val="auto"/>
          <w:sz w:val="24"/>
          <w:highlight w:val="none"/>
        </w:rPr>
        <w:t>小型、微型企业应当同时符合以下条件：</w:t>
      </w:r>
    </w:p>
    <w:p>
      <w:pPr>
        <w:spacing w:line="360" w:lineRule="auto"/>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（1）符合中小企业划分标准；</w:t>
      </w:r>
    </w:p>
    <w:p>
      <w:pPr>
        <w:spacing w:line="360" w:lineRule="auto"/>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（2）</w:t>
      </w:r>
      <w:r>
        <w:rPr>
          <w:rFonts w:hint="eastAsia" w:ascii="仿宋_GB2312" w:eastAsia="仿宋_GB2312"/>
          <w:b/>
          <w:bCs/>
          <w:color w:val="auto"/>
          <w:sz w:val="24"/>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3.3.2小型、微型企业应按照招标文件格式要求提供《中小企业声明函》。</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3.3.3对于非专门面向此类企业的项目，对小型和微型企业产品的投标价格给予6 %的扣除，用扣除后的价格参与评审。</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联合体各方均为小型、微型企业的，联合体视同为小型、微型企业。</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240" w:firstLineChars="100"/>
        <w:rPr>
          <w:rFonts w:hint="eastAsia" w:ascii="仿宋" w:hAnsi="仿宋" w:eastAsia="仿宋"/>
          <w:b/>
          <w:color w:val="auto"/>
          <w:sz w:val="24"/>
          <w:highlight w:val="none"/>
        </w:rPr>
      </w:pPr>
      <w:r>
        <w:rPr>
          <w:rFonts w:hint="eastAsia" w:ascii="仿宋" w:hAnsi="仿宋" w:eastAsia="仿宋"/>
          <w:color w:val="auto"/>
          <w:sz w:val="24"/>
          <w:highlight w:val="none"/>
        </w:rPr>
        <w:t>3.4企业信用融资：为支持和促进中小企业发展，进一步发挥政府采购政策功能，杭</w:t>
      </w:r>
      <w:r>
        <w:rPr>
          <w:rFonts w:hint="eastAsia" w:ascii="仿宋" w:hAnsi="仿宋" w:eastAsia="仿宋"/>
          <w:color w:val="auto"/>
          <w:sz w:val="24"/>
          <w:szCs w:val="20"/>
          <w:highlight w:val="none"/>
        </w:rPr>
        <w:t>州市财政局与省银监局、市金融办、市经信委共同出台了《杭州市政府采购支持中小企业信用融资暂行办法》，供应商若有融资意向，详见本招标文件尾页《政府采购支持中</w:t>
      </w:r>
      <w:r>
        <w:rPr>
          <w:rFonts w:hint="eastAsia" w:ascii="仿宋" w:hAnsi="仿宋" w:eastAsia="仿宋"/>
          <w:color w:val="auto"/>
          <w:sz w:val="24"/>
          <w:highlight w:val="none"/>
        </w:rPr>
        <w:t>小企业信用融资相关事项通知》，或登陆杭州市政府采购网（http://cg.hzft.gov.cn）“中小企业信用融资”专栏，查看信用融资政策文件及各相关银行服务方案。</w:t>
      </w:r>
      <w:r>
        <w:rPr>
          <w:rFonts w:hint="eastAsia" w:ascii="仿宋" w:hAnsi="仿宋" w:eastAsia="仿宋"/>
          <w:color w:val="auto"/>
          <w:sz w:val="24"/>
          <w:highlight w:val="none"/>
        </w:rPr>
        <w:cr/>
      </w:r>
      <w:r>
        <w:rPr>
          <w:rFonts w:hint="eastAsia" w:ascii="仿宋" w:hAnsi="仿宋" w:eastAsia="仿宋"/>
          <w:b/>
          <w:color w:val="auto"/>
          <w:sz w:val="24"/>
          <w:highlight w:val="none"/>
        </w:rPr>
        <w:t>4. 询问、质疑、投诉</w:t>
      </w:r>
    </w:p>
    <w:p>
      <w:pPr>
        <w:autoSpaceDE w:val="0"/>
        <w:autoSpaceDN w:val="0"/>
        <w:spacing w:line="360" w:lineRule="auto"/>
        <w:ind w:firstLine="240" w:firstLineChars="1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4.1供应商询问</w:t>
      </w:r>
    </w:p>
    <w:p>
      <w:pPr>
        <w:pStyle w:val="43"/>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240" w:firstLineChars="1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4.2供应商质疑</w:t>
      </w:r>
    </w:p>
    <w:p>
      <w:pPr>
        <w:pStyle w:val="43"/>
        <w:spacing w:line="360" w:lineRule="auto"/>
        <w:ind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43"/>
        <w:spacing w:line="360" w:lineRule="auto"/>
        <w:ind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34" w:firstLineChars="181"/>
        <w:rPr>
          <w:rFonts w:hint="eastAsia" w:ascii="仿宋" w:hAnsi="仿宋" w:eastAsia="仿宋"/>
          <w:snapToGrid/>
          <w:color w:val="auto"/>
          <w:kern w:val="2"/>
          <w:sz w:val="24"/>
          <w:highlight w:val="none"/>
        </w:rPr>
      </w:pPr>
      <w:r>
        <w:rPr>
          <w:rFonts w:hint="eastAsia" w:ascii="仿宋" w:hAnsi="仿宋" w:eastAsia="仿宋"/>
          <w:snapToGrid/>
          <w:color w:val="auto"/>
          <w:kern w:val="2"/>
          <w:sz w:val="24"/>
          <w:highlight w:val="none"/>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代理机构负责答复。</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pStyle w:val="43"/>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（3）对采购结果提出质疑的，质疑期限自采购结果公告期限届满之日起计算。对采购结果提出质疑的，采购机构负责答复。</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4.2.3供应商提出质疑应当提交质疑函和必要的证明材料。质疑函应当包括下列内容：</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4.2.3.1供应商的姓名或者名称、地址、邮编、联系人及联系电话；</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4.2.3.2质疑项目的名称、编号；</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4.2.3.3具体、明确的质疑事项和与质疑事项相关的请求；</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4.2.3.4事实依据；</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4.2.3.5必要的法律依据；</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4.2.3.6提出质疑的日期。</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供应商提交的质疑函需一式三份。</w:t>
      </w:r>
      <w:r>
        <w:rPr>
          <w:rFonts w:ascii="仿宋" w:hAnsi="仿宋" w:eastAsia="仿宋"/>
          <w:color w:val="auto"/>
          <w:sz w:val="24"/>
          <w:highlight w:val="none"/>
        </w:rPr>
        <w:t>供应商为自然人的，应当由本人签字；供应商为法人或者其他组织的，应当由法定代表人、主要负责人，或者其授权代表签字或者盖章，并加盖公章。</w:t>
      </w:r>
    </w:p>
    <w:p>
      <w:pPr>
        <w:pStyle w:val="43"/>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质疑函范本及制作说明详见附件3。</w:t>
      </w:r>
    </w:p>
    <w:p>
      <w:pPr>
        <w:pStyle w:val="43"/>
        <w:spacing w:line="360" w:lineRule="auto"/>
        <w:ind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.5询问或者质疑事项可能影响采购结果的，采购人应当暂停签订合同，已经签订合同的，应当中止履行合同。</w:t>
      </w:r>
    </w:p>
    <w:p>
      <w:pPr>
        <w:pStyle w:val="19"/>
        <w:spacing w:line="360" w:lineRule="auto"/>
        <w:ind w:firstLine="434" w:firstLineChars="181"/>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4.2.6质疑接收人：孙凝；联系电话：0571-85085463 ，传真：0571-87008117；地址：杭州市公共资源交易中心 [杭州市之江路925号（临江金座2号楼）]12楼1208办公室。</w:t>
      </w:r>
    </w:p>
    <w:p>
      <w:pPr>
        <w:pStyle w:val="43"/>
        <w:spacing w:line="360" w:lineRule="auto"/>
        <w:ind w:firstLine="240" w:firstLineChars="100"/>
        <w:rPr>
          <w:rFonts w:ascii="仿宋" w:hAnsi="仿宋" w:eastAsia="仿宋" w:cs="微软雅黑"/>
          <w:color w:val="auto"/>
          <w:kern w:val="0"/>
          <w:sz w:val="24"/>
          <w:szCs w:val="24"/>
          <w:highlight w:val="none"/>
          <w:lang w:val="zh-CN"/>
        </w:rPr>
      </w:pPr>
      <w:r>
        <w:rPr>
          <w:rFonts w:hint="eastAsia" w:ascii="仿宋" w:hAnsi="仿宋" w:eastAsia="仿宋" w:cs="微软雅黑"/>
          <w:color w:val="auto"/>
          <w:kern w:val="0"/>
          <w:sz w:val="24"/>
          <w:szCs w:val="24"/>
          <w:highlight w:val="none"/>
          <w:lang w:val="zh-CN"/>
        </w:rPr>
        <w:t>4.3供应商投诉</w:t>
      </w:r>
    </w:p>
    <w:p>
      <w:pPr>
        <w:pStyle w:val="307"/>
        <w:snapToGrid w:val="0"/>
        <w:spacing w:before="0"/>
        <w:ind w:firstLine="480"/>
        <w:rPr>
          <w:rFonts w:ascii="仿宋" w:hAnsi="仿宋" w:eastAsia="仿宋" w:cs="仿宋_GB2312"/>
          <w:color w:val="auto"/>
          <w:highlight w:val="none"/>
        </w:rPr>
      </w:pPr>
      <w:r>
        <w:rPr>
          <w:rFonts w:ascii="仿宋" w:hAnsi="仿宋" w:eastAsia="仿宋"/>
          <w:color w:val="auto"/>
          <w:highlight w:val="none"/>
        </w:rPr>
        <w:t>4.3</w:t>
      </w:r>
      <w:r>
        <w:rPr>
          <w:rFonts w:hint="eastAsia" w:ascii="仿宋" w:hAnsi="仿宋" w:eastAsia="仿宋"/>
          <w:color w:val="auto"/>
          <w:highlight w:val="none"/>
        </w:rPr>
        <w:t>.1质疑供应商对采购人、采购机构的答复不满意或者采购人、采购机构未在规定的时间内作出答复的，可以在答复期满后十五个工作日内向同级政府采购监督管理部门提出投诉。</w:t>
      </w:r>
    </w:p>
    <w:p>
      <w:pPr>
        <w:pStyle w:val="43"/>
        <w:spacing w:line="360" w:lineRule="auto"/>
        <w:ind w:firstLine="480" w:firstLineChars="200"/>
        <w:rPr>
          <w:rFonts w:ascii="仿宋" w:hAnsi="仿宋" w:eastAsia="仿宋" w:cs="微软雅黑"/>
          <w:b/>
          <w:color w:val="auto"/>
          <w:kern w:val="0"/>
          <w:sz w:val="24"/>
          <w:szCs w:val="24"/>
          <w:highlight w:val="none"/>
          <w:lang w:val="zh-CN"/>
        </w:rPr>
      </w:pPr>
      <w:r>
        <w:rPr>
          <w:rFonts w:ascii="仿宋" w:hAnsi="仿宋" w:eastAsia="仿宋"/>
          <w:color w:val="auto"/>
          <w:sz w:val="24"/>
          <w:highlight w:val="none"/>
        </w:rPr>
        <w:t>4.3</w:t>
      </w:r>
      <w:r>
        <w:rPr>
          <w:rFonts w:hint="eastAsia" w:ascii="仿宋" w:hAnsi="仿宋" w:eastAsia="仿宋"/>
          <w:color w:val="auto"/>
          <w:sz w:val="24"/>
          <w:highlight w:val="none"/>
        </w:rPr>
        <w:t>.</w:t>
      </w:r>
      <w:r>
        <w:rPr>
          <w:rFonts w:hint="eastAsia" w:ascii="仿宋" w:hAnsi="仿宋" w:eastAsia="仿宋" w:cs="微软雅黑"/>
          <w:color w:val="auto"/>
          <w:kern w:val="0"/>
          <w:sz w:val="24"/>
          <w:szCs w:val="24"/>
          <w:highlight w:val="none"/>
          <w:lang w:val="zh-CN"/>
        </w:rPr>
        <w:t>2</w:t>
      </w:r>
      <w:r>
        <w:rPr>
          <w:rFonts w:hint="eastAsia" w:ascii="仿宋" w:hAnsi="仿宋" w:eastAsia="仿宋"/>
          <w:color w:val="auto"/>
          <w:sz w:val="24"/>
          <w:highlight w:val="none"/>
        </w:rPr>
        <w:t>供应商投诉的事项不得超出已质疑事项的范围，基于质疑答复内容提出的投诉事项除外。</w:t>
      </w:r>
    </w:p>
    <w:p>
      <w:pPr>
        <w:pStyle w:val="43"/>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4.3</w:t>
      </w:r>
      <w:r>
        <w:rPr>
          <w:rFonts w:hint="eastAsia" w:ascii="仿宋" w:hAnsi="仿宋" w:eastAsia="仿宋"/>
          <w:color w:val="auto"/>
          <w:sz w:val="24"/>
          <w:highlight w:val="none"/>
        </w:rPr>
        <w:t>.3供应商投诉应当有明确的请求和必要的证明材料。投诉书范本及制作说明详见附件4.</w:t>
      </w:r>
    </w:p>
    <w:p>
      <w:pPr>
        <w:pStyle w:val="43"/>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4.3</w:t>
      </w:r>
      <w:r>
        <w:rPr>
          <w:rFonts w:hint="eastAsia" w:ascii="仿宋" w:hAnsi="仿宋" w:eastAsia="仿宋"/>
          <w:color w:val="auto"/>
          <w:sz w:val="24"/>
          <w:highlight w:val="none"/>
        </w:rPr>
        <w:t>.5 以联合体形式参加政府采购活动的，其投诉应当由组成联合体的所有供应商共同提出。</w:t>
      </w:r>
    </w:p>
    <w:p>
      <w:pPr>
        <w:pStyle w:val="43"/>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投诉书范本及制作说明详见附件3。</w:t>
      </w:r>
    </w:p>
    <w:p>
      <w:pPr>
        <w:pStyle w:val="307"/>
        <w:snapToGrid w:val="0"/>
        <w:spacing w:before="0"/>
        <w:ind w:firstLine="360"/>
        <w:rPr>
          <w:rFonts w:hint="eastAsia" w:ascii="仿宋" w:hAnsi="仿宋" w:eastAsia="仿宋" w:cs="仿宋_GB2312"/>
          <w:color w:val="auto"/>
          <w:sz w:val="18"/>
          <w:szCs w:val="18"/>
          <w:highlight w:val="none"/>
        </w:rPr>
      </w:pPr>
    </w:p>
    <w:p>
      <w:pPr>
        <w:adjustRightInd/>
        <w:spacing w:line="360" w:lineRule="auto"/>
        <w:jc w:val="center"/>
        <w:outlineLvl w:val="0"/>
        <w:rPr>
          <w:rFonts w:hint="eastAsia" w:ascii="仿宋" w:hAnsi="仿宋" w:eastAsia="仿宋" w:cs="仿宋_GB2312"/>
          <w:b/>
          <w:color w:val="auto"/>
          <w:sz w:val="32"/>
          <w:szCs w:val="20"/>
          <w:highlight w:val="none"/>
        </w:rPr>
      </w:pPr>
      <w:bookmarkStart w:id="12" w:name="_Hlt75236290"/>
      <w:bookmarkEnd w:id="12"/>
      <w:bookmarkStart w:id="13" w:name="_Hlt68072990"/>
      <w:bookmarkEnd w:id="13"/>
      <w:bookmarkStart w:id="14" w:name="_Hlt74707468"/>
      <w:bookmarkEnd w:id="14"/>
      <w:bookmarkStart w:id="15" w:name="_Hlt74714665"/>
      <w:bookmarkEnd w:id="15"/>
      <w:bookmarkStart w:id="16" w:name="_Hlt74730295"/>
      <w:bookmarkEnd w:id="16"/>
      <w:bookmarkStart w:id="17" w:name="_Hlt74729768"/>
      <w:bookmarkEnd w:id="17"/>
      <w:bookmarkStart w:id="18" w:name="_Hlt68057669"/>
      <w:bookmarkEnd w:id="18"/>
      <w:bookmarkStart w:id="19" w:name="_Toc91899879"/>
      <w:r>
        <w:rPr>
          <w:rFonts w:hint="eastAsia" w:ascii="仿宋" w:hAnsi="仿宋" w:eastAsia="仿宋" w:cs="仿宋_GB2312"/>
          <w:b/>
          <w:color w:val="auto"/>
          <w:sz w:val="32"/>
          <w:szCs w:val="20"/>
          <w:highlight w:val="none"/>
        </w:rPr>
        <w:t>二、招标文件</w:t>
      </w:r>
      <w:bookmarkEnd w:id="19"/>
      <w:r>
        <w:rPr>
          <w:rFonts w:hint="eastAsia" w:ascii="仿宋" w:hAnsi="仿宋" w:eastAsia="仿宋" w:cs="仿宋_GB2312"/>
          <w:b/>
          <w:color w:val="auto"/>
          <w:sz w:val="32"/>
          <w:szCs w:val="20"/>
          <w:highlight w:val="none"/>
        </w:rPr>
        <w:t>的构成、澄清、修改</w:t>
      </w:r>
    </w:p>
    <w:p>
      <w:pPr>
        <w:pStyle w:val="43"/>
        <w:spacing w:line="360" w:lineRule="auto"/>
        <w:rPr>
          <w:rFonts w:hint="eastAsia" w:ascii="仿宋" w:hAnsi="仿宋" w:eastAsia="仿宋" w:cs="仿宋_GB2312"/>
          <w:b/>
          <w:color w:val="auto"/>
          <w:sz w:val="24"/>
          <w:szCs w:val="24"/>
          <w:highlight w:val="none"/>
        </w:rPr>
      </w:pPr>
      <w:bookmarkStart w:id="20" w:name="_Toc91899880"/>
      <w:bookmarkStart w:id="21" w:name="_Hlt74730307"/>
      <w:r>
        <w:rPr>
          <w:rFonts w:hint="eastAsia" w:ascii="仿宋" w:hAnsi="仿宋" w:eastAsia="仿宋" w:cs="仿宋_GB2312"/>
          <w:b/>
          <w:color w:val="auto"/>
          <w:sz w:val="24"/>
          <w:szCs w:val="24"/>
          <w:highlight w:val="none"/>
        </w:rPr>
        <w:t>5．招标文件的构成</w:t>
      </w:r>
      <w:bookmarkEnd w:id="20"/>
    </w:p>
    <w:bookmarkEnd w:id="21"/>
    <w:p>
      <w:pPr>
        <w:pStyle w:val="43"/>
        <w:spacing w:line="360" w:lineRule="auto"/>
        <w:ind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招标文件包括下列文件及附件</w:t>
      </w:r>
    </w:p>
    <w:p>
      <w:pPr>
        <w:pStyle w:val="43"/>
        <w:numPr>
          <w:ilvl w:val="0"/>
          <w:numId w:val="4"/>
        </w:numPr>
        <w:spacing w:line="360" w:lineRule="auto"/>
        <w:ind w:left="839"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pPr>
        <w:pStyle w:val="43"/>
        <w:numPr>
          <w:ilvl w:val="0"/>
          <w:numId w:val="4"/>
        </w:numPr>
        <w:spacing w:line="360" w:lineRule="auto"/>
        <w:ind w:left="839"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pPr>
        <w:pStyle w:val="43"/>
        <w:numPr>
          <w:ilvl w:val="0"/>
          <w:numId w:val="4"/>
        </w:numPr>
        <w:spacing w:line="360" w:lineRule="auto"/>
        <w:ind w:left="839"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pPr>
        <w:pStyle w:val="43"/>
        <w:numPr>
          <w:ilvl w:val="0"/>
          <w:numId w:val="4"/>
        </w:numPr>
        <w:spacing w:line="360" w:lineRule="auto"/>
        <w:ind w:left="839"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pPr>
        <w:pStyle w:val="43"/>
        <w:numPr>
          <w:ilvl w:val="0"/>
          <w:numId w:val="4"/>
        </w:numPr>
        <w:spacing w:line="360" w:lineRule="auto"/>
        <w:ind w:left="839"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pPr>
        <w:pStyle w:val="43"/>
        <w:numPr>
          <w:ilvl w:val="0"/>
          <w:numId w:val="4"/>
        </w:numPr>
        <w:spacing w:line="360" w:lineRule="auto"/>
        <w:ind w:left="839"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pPr>
        <w:pStyle w:val="43"/>
        <w:spacing w:line="360" w:lineRule="auto"/>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招标文件的澄清、修改</w:t>
      </w:r>
    </w:p>
    <w:p>
      <w:pPr>
        <w:pStyle w:val="307"/>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6.1已获取招标文件的潜在投标人，若有问题需要澄清，应于投标截止时间前，以书面形式向采购机构提出，采购机构与采购人研究后，对认为有必要回答的问题，将以书面解答形式通知所有招标文件收受人。</w:t>
      </w:r>
    </w:p>
    <w:p>
      <w:pPr>
        <w:pStyle w:val="307"/>
        <w:snapToGrid w:val="0"/>
        <w:spacing w:before="0"/>
        <w:ind w:firstLine="480"/>
        <w:rPr>
          <w:rFonts w:hint="eastAsia" w:ascii="仿宋" w:hAnsi="仿宋" w:eastAsia="仿宋"/>
          <w:color w:val="auto"/>
          <w:highlight w:val="none"/>
        </w:rPr>
      </w:pPr>
      <w:r>
        <w:rPr>
          <w:rFonts w:hint="eastAsia" w:ascii="仿宋" w:hAnsi="仿宋" w:eastAsia="仿宋"/>
          <w:color w:val="auto"/>
          <w:highlight w:val="none"/>
        </w:rPr>
        <w:t>6.2采购机构如对已发出的招标文件进行必要澄清或者修改的，将在发布招标公告的网站上发布更正公告，同时视情况延长投标截止时间和开标时间。该澄清或者修改的内容为招标文件的组成部分。</w:t>
      </w:r>
    </w:p>
    <w:p>
      <w:pPr>
        <w:spacing w:line="360" w:lineRule="auto"/>
        <w:ind w:firstLine="482" w:firstLineChars="200"/>
        <w:rPr>
          <w:rFonts w:hint="eastAsia"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投标文件未按招标文件的澄清、修改的内容编制，又不符合实质性要求的，投标无效。</w:t>
      </w:r>
    </w:p>
    <w:p>
      <w:pPr>
        <w:pStyle w:val="32"/>
        <w:rPr>
          <w:rFonts w:hint="eastAsia" w:ascii="仿宋" w:hAnsi="仿宋" w:eastAsia="仿宋" w:cs="仿宋_GB2312"/>
          <w:color w:val="auto"/>
          <w:sz w:val="18"/>
          <w:szCs w:val="18"/>
          <w:highlight w:val="none"/>
          <w:lang w:val="en-US"/>
        </w:rPr>
      </w:pPr>
      <w:r>
        <w:rPr>
          <w:rFonts w:hint="eastAsia" w:ascii="仿宋" w:hAnsi="仿宋" w:eastAsia="仿宋" w:cs="仿宋_GB2312"/>
          <w:color w:val="auto"/>
          <w:szCs w:val="24"/>
          <w:highlight w:val="none"/>
          <w:lang w:val="en-US"/>
        </w:rPr>
        <w:t xml:space="preserve">    </w:t>
      </w:r>
    </w:p>
    <w:p>
      <w:pPr>
        <w:adjustRightInd/>
        <w:spacing w:line="360" w:lineRule="auto"/>
        <w:jc w:val="center"/>
        <w:outlineLvl w:val="0"/>
        <w:rPr>
          <w:rFonts w:hint="eastAsia" w:ascii="仿宋" w:hAnsi="仿宋" w:eastAsia="仿宋" w:cs="仿宋_GB2312"/>
          <w:b/>
          <w:color w:val="auto"/>
          <w:sz w:val="30"/>
          <w:szCs w:val="20"/>
          <w:highlight w:val="none"/>
        </w:rPr>
      </w:pPr>
      <w:bookmarkStart w:id="22" w:name="_Hlt75236011"/>
      <w:bookmarkEnd w:id="22"/>
      <w:bookmarkStart w:id="23" w:name="_Toc91899884"/>
      <w:r>
        <w:rPr>
          <w:rFonts w:hint="eastAsia" w:ascii="仿宋" w:hAnsi="仿宋" w:eastAsia="仿宋" w:cs="仿宋_GB2312"/>
          <w:b/>
          <w:color w:val="auto"/>
          <w:sz w:val="30"/>
          <w:szCs w:val="20"/>
          <w:highlight w:val="none"/>
        </w:rPr>
        <w:t>三、投标</w:t>
      </w:r>
      <w:bookmarkEnd w:id="23"/>
    </w:p>
    <w:p>
      <w:pPr>
        <w:pStyle w:val="43"/>
        <w:spacing w:line="360" w:lineRule="auto"/>
        <w:rPr>
          <w:rFonts w:hint="eastAsia" w:ascii="仿宋" w:hAnsi="仿宋" w:eastAsia="仿宋" w:cs="仿宋_GB2312"/>
          <w:b/>
          <w:color w:val="auto"/>
          <w:sz w:val="24"/>
          <w:szCs w:val="24"/>
          <w:highlight w:val="none"/>
        </w:rPr>
      </w:pPr>
      <w:bookmarkStart w:id="24" w:name="_Toc86216991"/>
      <w:bookmarkStart w:id="25" w:name="_Toc91899892"/>
      <w:r>
        <w:rPr>
          <w:rFonts w:hint="eastAsia" w:ascii="仿宋" w:hAnsi="仿宋" w:eastAsia="仿宋" w:cs="仿宋_GB2312"/>
          <w:b/>
          <w:color w:val="auto"/>
          <w:sz w:val="24"/>
          <w:szCs w:val="24"/>
          <w:highlight w:val="none"/>
        </w:rPr>
        <w:t>7. 招标文件的获取</w:t>
      </w:r>
    </w:p>
    <w:p>
      <w:pPr>
        <w:spacing w:line="360" w:lineRule="auto"/>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详见招标公告中获取招标文件的时间期限、地点、方式及招标文件售价。</w:t>
      </w:r>
    </w:p>
    <w:p>
      <w:pPr>
        <w:pStyle w:val="43"/>
        <w:spacing w:line="360" w:lineRule="auto"/>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pPr>
        <w:pStyle w:val="43"/>
        <w:spacing w:line="360" w:lineRule="auto"/>
        <w:ind w:firstLine="240" w:firstLineChars="1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color w:val="auto"/>
          <w:sz w:val="24"/>
          <w:szCs w:val="24"/>
          <w:highlight w:val="none"/>
        </w:rPr>
        <w:t>采购人不单独或分别组织只有一个供应商参加的现场考察和答疑会。</w:t>
      </w:r>
    </w:p>
    <w:p>
      <w:pPr>
        <w:pStyle w:val="43"/>
        <w:spacing w:line="360" w:lineRule="auto"/>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9. 投标文件的语言</w:t>
      </w:r>
    </w:p>
    <w:p>
      <w:pPr>
        <w:autoSpaceDE w:val="0"/>
        <w:autoSpaceDN w:val="0"/>
        <w:spacing w:line="36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43"/>
        <w:spacing w:line="360" w:lineRule="auto"/>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投标文件的组成</w:t>
      </w:r>
    </w:p>
    <w:p>
      <w:pPr>
        <w:pStyle w:val="43"/>
        <w:snapToGrid w:val="0"/>
        <w:spacing w:line="360" w:lineRule="auto"/>
        <w:ind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资格文件、报价文件、商务技术文件</w:t>
      </w:r>
      <w:r>
        <w:rPr>
          <w:rFonts w:hint="eastAsia" w:ascii="仿宋" w:hAnsi="仿宋" w:eastAsia="仿宋" w:cs="仿宋_GB2312"/>
          <w:color w:val="auto"/>
          <w:sz w:val="24"/>
          <w:szCs w:val="24"/>
          <w:highlight w:val="none"/>
        </w:rPr>
        <w:t>。投标文件应当对招标文件提出的要求和条件作出明确响应。</w:t>
      </w:r>
    </w:p>
    <w:p>
      <w:pPr>
        <w:snapToGrid w:val="0"/>
        <w:spacing w:line="360" w:lineRule="auto"/>
        <w:ind w:firstLine="480" w:firstLineChars="200"/>
        <w:rPr>
          <w:rFonts w:hint="eastAsia" w:ascii="仿宋" w:hAnsi="仿宋" w:eastAsia="仿宋" w:cs="仿宋_GB2312"/>
          <w:b/>
          <w:color w:val="auto"/>
          <w:kern w:val="0"/>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应包括以下内容（均需加盖公章）：</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r>
        <w:rPr>
          <w:rFonts w:hint="eastAsia" w:ascii="仿宋" w:hAnsi="仿宋" w:eastAsia="仿宋" w:cs="仿宋_GB2312"/>
          <w:b/>
          <w:color w:val="auto"/>
          <w:kern w:val="0"/>
          <w:sz w:val="24"/>
          <w:highlight w:val="none"/>
        </w:rPr>
        <w:t>（以联合体形式进行政府采购的，参加联合体的供应商均应当提供）</w:t>
      </w:r>
    </w:p>
    <w:p>
      <w:pPr>
        <w:pStyle w:val="43"/>
        <w:spacing w:line="360" w:lineRule="auto"/>
        <w:ind w:firstLine="480" w:firstLineChars="200"/>
        <w:rPr>
          <w:rFonts w:hint="eastAsia" w:ascii="仿宋" w:hAnsi="仿宋" w:eastAsia="仿宋"/>
          <w:color w:val="auto"/>
          <w:sz w:val="24"/>
          <w:highlight w:val="none"/>
        </w:rPr>
      </w:pPr>
      <w:bookmarkStart w:id="26" w:name="_Hlt68072998"/>
      <w:bookmarkEnd w:id="26"/>
      <w:bookmarkStart w:id="27" w:name="_Hlt68403820"/>
      <w:bookmarkEnd w:id="27"/>
      <w:bookmarkStart w:id="28" w:name="_Hlt68073093"/>
      <w:bookmarkEnd w:id="28"/>
      <w:r>
        <w:rPr>
          <w:rFonts w:hint="eastAsia" w:ascii="仿宋" w:hAnsi="仿宋" w:eastAsia="仿宋" w:cs="仿宋_GB2312"/>
          <w:color w:val="auto"/>
          <w:sz w:val="24"/>
          <w:highlight w:val="none"/>
        </w:rPr>
        <w:t>11.1.1</w:t>
      </w:r>
      <w:r>
        <w:rPr>
          <w:rFonts w:hint="eastAsia" w:ascii="仿宋" w:hAnsi="仿宋" w:eastAsia="仿宋"/>
          <w:color w:val="auto"/>
          <w:sz w:val="24"/>
          <w:highlight w:val="none"/>
        </w:rPr>
        <w:t>营业执照(或事业法人登记证或其他工商等登记证明材料)复印件（投标人为自然人的，提供</w:t>
      </w:r>
      <w:r>
        <w:rPr>
          <w:rFonts w:hint="eastAsia" w:ascii="仿宋_GB2312" w:hAnsi="Helvetica" w:eastAsia="仿宋_GB2312" w:cs="Helvetica"/>
          <w:color w:val="auto"/>
          <w:kern w:val="0"/>
          <w:sz w:val="24"/>
          <w:highlight w:val="none"/>
        </w:rPr>
        <w:t>自然人的身份证明</w:t>
      </w:r>
      <w:r>
        <w:rPr>
          <w:rFonts w:hint="eastAsia" w:ascii="仿宋" w:hAnsi="仿宋" w:eastAsia="仿宋"/>
          <w:color w:val="auto"/>
          <w:sz w:val="24"/>
          <w:highlight w:val="none"/>
        </w:rPr>
        <w:t>）、税务登记证(</w:t>
      </w:r>
      <w:r>
        <w:rPr>
          <w:rFonts w:hint="eastAsia" w:ascii="仿宋_GB2312" w:hAnsi="Helvetica" w:eastAsia="仿宋_GB2312" w:cs="Helvetica"/>
          <w:color w:val="auto"/>
          <w:kern w:val="0"/>
          <w:sz w:val="24"/>
          <w:highlight w:val="none"/>
        </w:rPr>
        <w:t>或其它依法缴纳税收的相关材料</w:t>
      </w:r>
      <w:r>
        <w:rPr>
          <w:rFonts w:hint="eastAsia" w:ascii="仿宋" w:hAnsi="仿宋" w:eastAsia="仿宋"/>
          <w:color w:val="auto"/>
          <w:sz w:val="24"/>
          <w:highlight w:val="none"/>
        </w:rPr>
        <w:t>)复印件、社保登记证（</w:t>
      </w:r>
      <w:r>
        <w:rPr>
          <w:rFonts w:hint="eastAsia" w:ascii="仿宋_GB2312" w:hAnsi="Helvetica" w:eastAsia="仿宋_GB2312" w:cs="Helvetica"/>
          <w:color w:val="auto"/>
          <w:kern w:val="0"/>
          <w:sz w:val="24"/>
          <w:highlight w:val="none"/>
        </w:rPr>
        <w:t>或其它依法缴社会保障资金的相关材料</w:t>
      </w:r>
      <w:r>
        <w:rPr>
          <w:rFonts w:hint="eastAsia" w:ascii="仿宋" w:hAnsi="仿宋" w:eastAsia="仿宋"/>
          <w:color w:val="auto"/>
          <w:sz w:val="24"/>
          <w:highlight w:val="none"/>
        </w:rPr>
        <w:t>）复印件；实施“多证合一、一照一码”登记制度改革的，只需提供改革后取得的营业执照复印件；</w:t>
      </w:r>
    </w:p>
    <w:p>
      <w:pPr>
        <w:pStyle w:val="43"/>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11.1.2 2018年度资产负债表等财务报表资料文件 (或其它</w:t>
      </w:r>
      <w:r>
        <w:rPr>
          <w:rFonts w:hint="eastAsia" w:ascii="仿宋_GB2312" w:hAnsi="Helvetica" w:eastAsia="仿宋_GB2312" w:cs="Helvetica"/>
          <w:color w:val="auto"/>
          <w:kern w:val="0"/>
          <w:sz w:val="24"/>
          <w:highlight w:val="none"/>
        </w:rPr>
        <w:t>财务状况报告，</w:t>
      </w:r>
      <w:r>
        <w:rPr>
          <w:rFonts w:hint="eastAsia" w:ascii="仿宋" w:hAnsi="仿宋" w:eastAsia="仿宋" w:cs="仿宋_GB2312"/>
          <w:color w:val="auto"/>
          <w:sz w:val="24"/>
          <w:highlight w:val="none"/>
        </w:rPr>
        <w:t>新成立的公司，必须提供情况说明)；</w:t>
      </w:r>
    </w:p>
    <w:p>
      <w:pPr>
        <w:pStyle w:val="43"/>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11.1.3具有履行合同所必需的设备和专业技术能力的承诺函；</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11.1.4参加政府采购活动前三年内，在经营活动中没有重大违法记录的声明；</w:t>
      </w:r>
    </w:p>
    <w:p>
      <w:pPr>
        <w:spacing w:line="360" w:lineRule="auto"/>
        <w:ind w:firstLine="480" w:firstLineChars="200"/>
        <w:rPr>
          <w:rFonts w:hint="eastAsia" w:ascii="仿宋" w:hAnsi="仿宋" w:eastAsia="仿宋" w:cs="仿宋_GB2312"/>
          <w:color w:val="auto"/>
          <w:sz w:val="24"/>
          <w:szCs w:val="20"/>
          <w:highlight w:val="none"/>
        </w:rPr>
      </w:pPr>
      <w:r>
        <w:rPr>
          <w:rFonts w:hint="eastAsia" w:ascii="仿宋" w:hAnsi="仿宋" w:eastAsia="仿宋" w:cs="仿宋_GB2312"/>
          <w:color w:val="auto"/>
          <w:sz w:val="24"/>
          <w:highlight w:val="none"/>
        </w:rPr>
        <w:t>11.1.5</w:t>
      </w:r>
      <w:r>
        <w:rPr>
          <w:rFonts w:hint="eastAsia" w:ascii="仿宋" w:hAnsi="仿宋" w:eastAsia="仿宋" w:cs="仿宋_GB2312"/>
          <w:color w:val="auto"/>
          <w:sz w:val="24"/>
          <w:szCs w:val="20"/>
          <w:highlight w:val="none"/>
        </w:rPr>
        <w:t xml:space="preserve">具有良好商业信誉的特别声明； </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11.1.6符合特定资格条件（如果项目要求）的有关证明材料（复印件）；</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s="仿宋_GB2312"/>
          <w:color w:val="auto"/>
          <w:sz w:val="24"/>
          <w:highlight w:val="none"/>
        </w:rPr>
        <w:t>附法定代表人授权书（如法定代表人直接参加投标并对相应文件签字的，只需提供其身份证复印件正反面；</w:t>
      </w:r>
      <w:r>
        <w:rPr>
          <w:rFonts w:hint="eastAsia" w:ascii="仿宋" w:hAnsi="仿宋" w:eastAsia="仿宋"/>
          <w:color w:val="auto"/>
          <w:sz w:val="24"/>
          <w:highlight w:val="none"/>
        </w:rPr>
        <w:t>如以联合体形式参加政府采购活动的，按招标文件有关格式范例提供联合体投标授权书）；</w:t>
      </w:r>
    </w:p>
    <w:p>
      <w:pPr>
        <w:snapToGrid w:val="0"/>
        <w:spacing w:line="360" w:lineRule="auto"/>
        <w:ind w:firstLine="480" w:firstLineChars="200"/>
        <w:rPr>
          <w:rFonts w:hint="eastAsia"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11.2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应包括以下内容（均需加盖公章）：</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11.2.1</w:t>
      </w:r>
      <w:r>
        <w:rPr>
          <w:rFonts w:hint="eastAsia" w:ascii="仿宋" w:hAnsi="仿宋" w:eastAsia="仿宋" w:cs="仿宋_GB2312"/>
          <w:color w:val="auto"/>
          <w:kern w:val="0"/>
          <w:sz w:val="24"/>
          <w:highlight w:val="none"/>
        </w:rPr>
        <w:t>投标响应函</w:t>
      </w:r>
      <w:r>
        <w:rPr>
          <w:rFonts w:hint="eastAsia" w:ascii="仿宋" w:hAnsi="仿宋" w:eastAsia="仿宋" w:cs="仿宋_GB2312"/>
          <w:color w:val="auto"/>
          <w:sz w:val="24"/>
          <w:highlight w:val="none"/>
        </w:rPr>
        <w:t>；</w:t>
      </w:r>
    </w:p>
    <w:p>
      <w:pPr>
        <w:pStyle w:val="43"/>
        <w:snapToGrid w:val="0"/>
        <w:spacing w:line="360" w:lineRule="auto"/>
        <w:ind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11.2.2投标(开标)一览表；</w:t>
      </w:r>
    </w:p>
    <w:p>
      <w:pPr>
        <w:pStyle w:val="43"/>
        <w:snapToGrid w:val="0"/>
        <w:spacing w:line="360" w:lineRule="auto"/>
        <w:ind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11.2.3中小企业声明函。</w:t>
      </w:r>
    </w:p>
    <w:p>
      <w:pPr>
        <w:pStyle w:val="43"/>
        <w:spacing w:line="360" w:lineRule="auto"/>
        <w:ind w:firstLine="480" w:firstLineChars="200"/>
        <w:rPr>
          <w:rFonts w:hint="eastAsia" w:ascii="仿宋" w:hAnsi="仿宋" w:eastAsia="仿宋" w:cs="仿宋_GB2312"/>
          <w:color w:val="auto"/>
          <w:sz w:val="24"/>
          <w:szCs w:val="24"/>
          <w:highlight w:val="none"/>
          <w:lang w:val="zh-CN"/>
        </w:rPr>
      </w:pPr>
      <w:r>
        <w:rPr>
          <w:rFonts w:hint="eastAsia" w:ascii="仿宋" w:hAnsi="仿宋" w:eastAsia="仿宋" w:cs="仿宋_GB2312"/>
          <w:color w:val="auto"/>
          <w:kern w:val="0"/>
          <w:sz w:val="24"/>
          <w:szCs w:val="24"/>
          <w:highlight w:val="none"/>
          <w:lang w:val="zh-CN"/>
        </w:rPr>
        <w:t>11.3  投标人的</w:t>
      </w:r>
      <w:r>
        <w:rPr>
          <w:rFonts w:hint="eastAsia" w:ascii="仿宋" w:hAnsi="仿宋" w:eastAsia="仿宋" w:cs="仿宋_GB2312"/>
          <w:b/>
          <w:color w:val="auto"/>
          <w:sz w:val="24"/>
          <w:szCs w:val="24"/>
          <w:highlight w:val="none"/>
        </w:rPr>
        <w:t>商务技术</w:t>
      </w:r>
      <w:r>
        <w:rPr>
          <w:rFonts w:hint="eastAsia" w:ascii="仿宋" w:hAnsi="仿宋" w:eastAsia="仿宋" w:cs="仿宋_GB2312"/>
          <w:b/>
          <w:color w:val="auto"/>
          <w:kern w:val="0"/>
          <w:sz w:val="24"/>
          <w:szCs w:val="24"/>
          <w:highlight w:val="none"/>
          <w:lang w:val="zh-CN"/>
        </w:rPr>
        <w:t>文件应</w:t>
      </w:r>
      <w:r>
        <w:rPr>
          <w:rFonts w:hint="eastAsia" w:ascii="仿宋" w:hAnsi="仿宋" w:eastAsia="仿宋" w:cs="仿宋_GB2312"/>
          <w:color w:val="auto"/>
          <w:kern w:val="0"/>
          <w:sz w:val="24"/>
          <w:szCs w:val="24"/>
          <w:highlight w:val="none"/>
          <w:lang w:val="zh-CN"/>
        </w:rPr>
        <w:t>包括以下内容</w:t>
      </w:r>
      <w:r>
        <w:rPr>
          <w:rFonts w:hint="eastAsia" w:ascii="仿宋" w:hAnsi="仿宋" w:eastAsia="仿宋" w:cs="仿宋_GB2312"/>
          <w:color w:val="auto"/>
          <w:sz w:val="24"/>
          <w:szCs w:val="24"/>
          <w:highlight w:val="none"/>
        </w:rPr>
        <w:t>（均需加盖公章）</w:t>
      </w:r>
      <w:r>
        <w:rPr>
          <w:rFonts w:hint="eastAsia" w:ascii="仿宋" w:hAnsi="仿宋" w:eastAsia="仿宋" w:cs="仿宋_GB2312"/>
          <w:color w:val="auto"/>
          <w:kern w:val="0"/>
          <w:sz w:val="24"/>
          <w:szCs w:val="24"/>
          <w:highlight w:val="none"/>
          <w:lang w:val="zh-CN"/>
        </w:rPr>
        <w:t>：</w:t>
      </w:r>
      <w:r>
        <w:rPr>
          <w:rFonts w:hint="eastAsia" w:ascii="仿宋" w:hAnsi="仿宋" w:eastAsia="仿宋" w:cs="仿宋_GB2312"/>
          <w:color w:val="auto"/>
          <w:sz w:val="24"/>
          <w:szCs w:val="24"/>
          <w:highlight w:val="none"/>
          <w:lang w:val="zh-CN"/>
        </w:rPr>
        <w:t xml:space="preserve"> </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11.3.1</w:t>
      </w:r>
      <w:r>
        <w:rPr>
          <w:rFonts w:hint="eastAsia" w:ascii="仿宋" w:hAnsi="仿宋" w:eastAsia="仿宋"/>
          <w:color w:val="auto"/>
          <w:sz w:val="24"/>
          <w:highlight w:val="none"/>
        </w:rPr>
        <w:t>营业执照(或事业法人登记证或其他工商等登记证明材料)复印件（投标人为自然人的，须提供</w:t>
      </w:r>
      <w:r>
        <w:rPr>
          <w:rFonts w:hint="eastAsia" w:ascii="仿宋_GB2312" w:hAnsi="Helvetica" w:eastAsia="仿宋_GB2312" w:cs="Helvetica"/>
          <w:color w:val="auto"/>
          <w:kern w:val="0"/>
          <w:sz w:val="24"/>
          <w:highlight w:val="none"/>
        </w:rPr>
        <w:t>自然人的身份证明</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11.3.2</w:t>
      </w:r>
      <w:r>
        <w:rPr>
          <w:rFonts w:hint="eastAsia" w:ascii="仿宋" w:hAnsi="仿宋" w:eastAsia="仿宋" w:cs="仿宋_GB2312"/>
          <w:color w:val="auto"/>
          <w:sz w:val="24"/>
          <w:highlight w:val="none"/>
        </w:rPr>
        <w:t>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color w:val="auto"/>
          <w:sz w:val="24"/>
          <w:highlight w:val="none"/>
        </w:rPr>
        <w:t>▲</w:t>
      </w:r>
      <w:r>
        <w:rPr>
          <w:rFonts w:hint="eastAsia" w:ascii="仿宋" w:hAnsi="仿宋" w:eastAsia="仿宋" w:cs="仿宋_GB2312"/>
          <w:b/>
          <w:color w:val="auto"/>
          <w:sz w:val="24"/>
          <w:highlight w:val="none"/>
        </w:rPr>
        <w:t>投标文件中法定代表人授权书所载内容与本项目内容有异的，投标无效</w:t>
      </w:r>
    </w:p>
    <w:p>
      <w:pPr>
        <w:pStyle w:val="43"/>
        <w:spacing w:line="360" w:lineRule="auto"/>
        <w:ind w:firstLine="480" w:firstLineChars="200"/>
        <w:rPr>
          <w:rFonts w:hint="eastAsia" w:ascii="仿宋" w:hAnsi="仿宋" w:eastAsia="仿宋"/>
          <w:color w:val="auto"/>
          <w:sz w:val="24"/>
          <w:highlight w:val="none"/>
        </w:rPr>
      </w:pPr>
      <w:r>
        <w:rPr>
          <w:rFonts w:hint="eastAsia" w:ascii="仿宋" w:hAnsi="仿宋" w:eastAsia="仿宋" w:cs="仿宋_GB2312"/>
          <w:color w:val="auto"/>
          <w:sz w:val="24"/>
          <w:highlight w:val="none"/>
          <w:lang w:val="zh-CN"/>
        </w:rPr>
        <w:t>11.3.3</w:t>
      </w:r>
      <w:r>
        <w:rPr>
          <w:rFonts w:hint="eastAsia" w:ascii="仿宋" w:hAnsi="仿宋" w:eastAsia="仿宋"/>
          <w:color w:val="auto"/>
          <w:sz w:val="24"/>
          <w:highlight w:val="none"/>
        </w:rPr>
        <w:t>如以联合体形式参加政府采购活动的，</w:t>
      </w:r>
      <w:r>
        <w:rPr>
          <w:rFonts w:hint="eastAsia" w:ascii="仿宋" w:hAnsi="仿宋" w:eastAsia="仿宋"/>
          <w:color w:val="auto"/>
          <w:sz w:val="24"/>
          <w:szCs w:val="24"/>
          <w:highlight w:val="none"/>
        </w:rPr>
        <w:t>联合体各方应当指定牵头人，授权其代表所有联合体成员负责投标和合同实施阶段的主办、协调工作，并应当向采购机构提交由所有联合体成员各方法定代表人签署的授权书，同时</w:t>
      </w:r>
      <w:r>
        <w:rPr>
          <w:rFonts w:hint="eastAsia" w:ascii="仿宋" w:hAnsi="仿宋" w:eastAsia="仿宋"/>
          <w:color w:val="auto"/>
          <w:sz w:val="24"/>
          <w:highlight w:val="none"/>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b/>
          <w:color w:val="auto"/>
          <w:sz w:val="24"/>
          <w:highlight w:val="none"/>
        </w:rPr>
        <w:t>▲如以联合体形式参加政府采购活动的，联合体协议不符合招标文件规定的联合体协议要求的，投标无效。</w:t>
      </w:r>
      <w:r>
        <w:rPr>
          <w:rFonts w:hint="eastAsia" w:ascii="仿宋" w:hAnsi="仿宋" w:eastAsia="仿宋"/>
          <w:color w:val="auto"/>
          <w:sz w:val="24"/>
          <w:highlight w:val="none"/>
        </w:rPr>
        <w:t>）</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4资信文件：</w:t>
      </w:r>
      <w:r>
        <w:rPr>
          <w:rFonts w:hint="eastAsia" w:ascii="仿宋" w:hAnsi="仿宋" w:eastAsia="仿宋" w:cs="仿宋_GB2312"/>
          <w:color w:val="auto"/>
          <w:kern w:val="0"/>
          <w:sz w:val="24"/>
          <w:szCs w:val="20"/>
          <w:highlight w:val="none"/>
        </w:rPr>
        <w:t>见投标须知前附表所述。</w:t>
      </w:r>
    </w:p>
    <w:p>
      <w:pPr>
        <w:pStyle w:val="307"/>
        <w:snapToGrid w:val="0"/>
        <w:spacing w:before="0"/>
        <w:ind w:firstLine="480"/>
        <w:rPr>
          <w:rFonts w:hint="eastAsia" w:ascii="仿宋" w:hAnsi="仿宋" w:eastAsia="仿宋"/>
          <w:color w:val="auto"/>
          <w:kern w:val="0"/>
          <w:highlight w:val="none"/>
          <w:lang w:val="zh-CN"/>
        </w:rPr>
      </w:pPr>
      <w:r>
        <w:rPr>
          <w:rFonts w:hint="eastAsia" w:ascii="仿宋" w:hAnsi="仿宋" w:eastAsia="仿宋" w:cs="仿宋_GB2312"/>
          <w:color w:val="auto"/>
          <w:highlight w:val="none"/>
          <w:lang w:val="zh-CN"/>
        </w:rPr>
        <w:t>11.3.</w:t>
      </w:r>
      <w:r>
        <w:rPr>
          <w:rFonts w:hint="eastAsia" w:ascii="仿宋" w:hAnsi="仿宋" w:eastAsia="仿宋" w:cs="仿宋_GB2312"/>
          <w:color w:val="auto"/>
          <w:highlight w:val="none"/>
        </w:rPr>
        <w:t>5</w:t>
      </w:r>
      <w:r>
        <w:rPr>
          <w:rFonts w:hint="eastAsia" w:ascii="仿宋" w:hAnsi="仿宋" w:eastAsia="仿宋" w:cs="宋体"/>
          <w:color w:val="auto"/>
          <w:kern w:val="0"/>
          <w:highlight w:val="none"/>
        </w:rPr>
        <w:t>投标截止时间前三年投标人的主要业绩证明材料即</w:t>
      </w:r>
      <w:r>
        <w:rPr>
          <w:rFonts w:hint="eastAsia" w:ascii="仿宋" w:hAnsi="仿宋" w:eastAsia="仿宋"/>
          <w:color w:val="auto"/>
          <w:highlight w:val="none"/>
          <w:lang w:val="zh-CN"/>
        </w:rPr>
        <w:t>合同</w:t>
      </w:r>
      <w:r>
        <w:rPr>
          <w:rFonts w:hint="eastAsia" w:ascii="仿宋" w:hAnsi="仿宋" w:eastAsia="仿宋"/>
          <w:color w:val="auto"/>
          <w:highlight w:val="none"/>
        </w:rPr>
        <w:t>和用户验收报告（</w:t>
      </w:r>
      <w:r>
        <w:rPr>
          <w:rFonts w:hint="eastAsia" w:ascii="仿宋" w:hAnsi="仿宋" w:eastAsia="仿宋" w:cs="Arial"/>
          <w:color w:val="auto"/>
          <w:highlight w:val="none"/>
        </w:rPr>
        <w:t>联合体投标的，联合体各方</w:t>
      </w:r>
      <w:r>
        <w:rPr>
          <w:rFonts w:hint="eastAsia" w:ascii="仿宋" w:hAnsi="仿宋" w:eastAsia="仿宋" w:cs="Helvetica"/>
          <w:color w:val="auto"/>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color w:val="auto"/>
          <w:highlight w:val="none"/>
        </w:rPr>
        <w:t>)</w:t>
      </w:r>
      <w:r>
        <w:rPr>
          <w:rFonts w:hint="eastAsia" w:ascii="仿宋" w:hAnsi="仿宋" w:eastAsia="仿宋" w:cs="宋体"/>
          <w:color w:val="auto"/>
          <w:kern w:val="0"/>
          <w:highlight w:val="none"/>
        </w:rPr>
        <w:t>；</w:t>
      </w:r>
    </w:p>
    <w:p>
      <w:pPr>
        <w:snapToGrid w:val="0"/>
        <w:spacing w:line="360" w:lineRule="auto"/>
        <w:ind w:firstLine="540" w:firstLineChars="225"/>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6</w:t>
      </w:r>
      <w:r>
        <w:rPr>
          <w:rFonts w:hint="eastAsia" w:ascii="仿宋" w:hAnsi="仿宋" w:eastAsia="仿宋" w:cs="仿宋_GB2312"/>
          <w:color w:val="auto"/>
          <w:kern w:val="0"/>
          <w:sz w:val="24"/>
          <w:highlight w:val="none"/>
          <w:lang w:val="zh-CN"/>
        </w:rPr>
        <w:t>投标人认为需要的其他商务文件或说明；</w:t>
      </w:r>
      <w:r>
        <w:rPr>
          <w:rFonts w:hint="eastAsia" w:ascii="仿宋" w:hAnsi="仿宋" w:eastAsia="仿宋" w:cs="仿宋_GB2312"/>
          <w:color w:val="auto"/>
          <w:sz w:val="24"/>
          <w:highlight w:val="none"/>
        </w:rPr>
        <w:t xml:space="preserve"> </w:t>
      </w:r>
    </w:p>
    <w:p>
      <w:pPr>
        <w:pStyle w:val="43"/>
        <w:snapToGrid w:val="0"/>
        <w:spacing w:line="36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7</w:t>
      </w:r>
      <w:r>
        <w:rPr>
          <w:rFonts w:hint="eastAsia" w:ascii="仿宋" w:hAnsi="仿宋" w:eastAsia="仿宋" w:cs="仿宋_GB2312"/>
          <w:color w:val="auto"/>
          <w:sz w:val="24"/>
          <w:highlight w:val="none"/>
          <w:lang w:val="zh-CN"/>
        </w:rPr>
        <w:t>投标人应提供针对项目的完整技术解决方案：</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针对本项目的完整技术解决方案和实施方案；详细阐述项目方案的实现思路及关键技术；符合本项目对当前和未来发展的要求；以及对功能设计和实施计划的建议；</w:t>
      </w:r>
    </w:p>
    <w:p>
      <w:pPr>
        <w:pStyle w:val="43"/>
        <w:snapToGrid w:val="0"/>
        <w:spacing w:line="360" w:lineRule="auto"/>
        <w:ind w:firstLine="482"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b/>
          <w:color w:val="auto"/>
          <w:sz w:val="24"/>
          <w:highlight w:val="none"/>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color w:val="auto"/>
          <w:sz w:val="24"/>
          <w:highlight w:val="none"/>
        </w:rPr>
        <w:t>）</w:t>
      </w:r>
      <w:r>
        <w:rPr>
          <w:rFonts w:hint="eastAsia" w:ascii="仿宋" w:hAnsi="仿宋" w:eastAsia="仿宋" w:cs="仿宋_GB2312"/>
          <w:b/>
          <w:color w:val="auto"/>
          <w:sz w:val="24"/>
          <w:highlight w:val="none"/>
        </w:rPr>
        <w:t>。否则</w:t>
      </w:r>
      <w:r>
        <w:rPr>
          <w:rFonts w:hint="eastAsia" w:ascii="仿宋" w:hAnsi="仿宋" w:eastAsia="仿宋" w:cs="仿宋_GB2312"/>
          <w:b/>
          <w:color w:val="auto"/>
          <w:kern w:val="0"/>
          <w:sz w:val="24"/>
          <w:highlight w:val="none"/>
          <w:lang w:val="zh-CN"/>
        </w:rPr>
        <w:t>任何含糊不清的</w:t>
      </w:r>
      <w:r>
        <w:rPr>
          <w:rFonts w:hint="eastAsia" w:ascii="仿宋" w:hAnsi="仿宋" w:eastAsia="仿宋" w:cs="仿宋_GB2312"/>
          <w:b/>
          <w:color w:val="auto"/>
          <w:sz w:val="24"/>
          <w:highlight w:val="none"/>
        </w:rPr>
        <w:t>表述导致</w:t>
      </w:r>
      <w:r>
        <w:rPr>
          <w:rFonts w:hint="eastAsia" w:ascii="仿宋" w:hAnsi="仿宋" w:eastAsia="仿宋" w:cs="仿宋_GB2312"/>
          <w:b/>
          <w:color w:val="auto"/>
          <w:kern w:val="0"/>
          <w:sz w:val="24"/>
          <w:highlight w:val="none"/>
          <w:lang w:val="zh-CN"/>
        </w:rPr>
        <w:t>评标委员会技术扣分直至认定为投标无效都将是投标人的责任</w:t>
      </w:r>
      <w:r>
        <w:rPr>
          <w:rFonts w:hint="eastAsia" w:ascii="仿宋" w:hAnsi="仿宋" w:eastAsia="仿宋" w:cs="仿宋_GB2312"/>
          <w:color w:val="auto"/>
          <w:sz w:val="24"/>
          <w:highlight w:val="none"/>
        </w:rPr>
        <w:t>。</w:t>
      </w:r>
    </w:p>
    <w:p>
      <w:pPr>
        <w:snapToGrid w:val="0"/>
        <w:spacing w:line="360" w:lineRule="auto"/>
        <w:ind w:firstLine="360" w:firstLineChars="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sz w:val="24"/>
          <w:highlight w:val="none"/>
          <w:lang w:val="zh-CN"/>
        </w:rPr>
        <w:t>11.3.9</w:t>
      </w:r>
      <w:r>
        <w:rPr>
          <w:rFonts w:hint="eastAsia" w:ascii="仿宋" w:hAnsi="仿宋" w:eastAsia="仿宋" w:cs="仿宋_GB2312"/>
          <w:color w:val="auto"/>
          <w:sz w:val="24"/>
          <w:highlight w:val="none"/>
        </w:rPr>
        <w:t>投标人在投标文件技术偏离说明表中，</w:t>
      </w:r>
      <w:r>
        <w:rPr>
          <w:rFonts w:hint="eastAsia" w:ascii="仿宋" w:hAnsi="仿宋" w:eastAsia="仿宋" w:cs="仿宋_GB2312"/>
          <w:color w:val="auto"/>
          <w:kern w:val="0"/>
          <w:sz w:val="24"/>
          <w:highlight w:val="none"/>
          <w:lang w:val="zh-CN"/>
        </w:rPr>
        <w:t>应对</w:t>
      </w:r>
      <w:r>
        <w:rPr>
          <w:rFonts w:hint="eastAsia" w:ascii="仿宋" w:hAnsi="仿宋" w:eastAsia="仿宋" w:cs="仿宋_GB2312"/>
          <w:color w:val="auto"/>
          <w:sz w:val="24"/>
          <w:highlight w:val="none"/>
        </w:rPr>
        <w:t>采购需求</w:t>
      </w:r>
      <w:r>
        <w:rPr>
          <w:rFonts w:hint="eastAsia" w:ascii="仿宋" w:hAnsi="仿宋" w:eastAsia="仿宋" w:cs="仿宋_GB2312"/>
          <w:color w:val="auto"/>
          <w:kern w:val="0"/>
          <w:sz w:val="24"/>
          <w:highlight w:val="none"/>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11.3.10</w:t>
      </w:r>
      <w:r>
        <w:rPr>
          <w:rFonts w:hint="eastAsia" w:ascii="仿宋" w:hAnsi="仿宋" w:eastAsia="仿宋" w:cs="仿宋_GB2312"/>
          <w:color w:val="auto"/>
          <w:kern w:val="0"/>
          <w:sz w:val="24"/>
          <w:highlight w:val="none"/>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11.3.11</w:t>
      </w:r>
      <w:r>
        <w:rPr>
          <w:rFonts w:hint="eastAsia" w:ascii="仿宋" w:hAnsi="仿宋" w:eastAsia="仿宋" w:cs="仿宋_GB2312"/>
          <w:color w:val="auto"/>
          <w:kern w:val="0"/>
          <w:sz w:val="24"/>
          <w:highlight w:val="none"/>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11.3.12</w:t>
      </w:r>
      <w:r>
        <w:rPr>
          <w:rFonts w:hint="eastAsia" w:ascii="仿宋" w:hAnsi="仿宋" w:eastAsia="仿宋" w:cs="仿宋_GB2312"/>
          <w:color w:val="auto"/>
          <w:kern w:val="0"/>
          <w:sz w:val="24"/>
          <w:highlight w:val="none"/>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11.3.13</w:t>
      </w:r>
      <w:r>
        <w:rPr>
          <w:rFonts w:hint="eastAsia" w:ascii="仿宋" w:hAnsi="仿宋" w:eastAsia="仿宋" w:cs="仿宋_GB2312"/>
          <w:color w:val="auto"/>
          <w:kern w:val="0"/>
          <w:sz w:val="24"/>
          <w:highlight w:val="none"/>
          <w:lang w:val="zh-CN"/>
        </w:rPr>
        <w:t>优惠条件及特殊承诺；</w:t>
      </w:r>
    </w:p>
    <w:p>
      <w:pPr>
        <w:tabs>
          <w:tab w:val="left" w:pos="0"/>
          <w:tab w:val="left" w:pos="840"/>
        </w:tabs>
        <w:autoSpaceDE w:val="0"/>
        <w:autoSpaceDN w:val="0"/>
        <w:spacing w:line="360" w:lineRule="auto"/>
        <w:ind w:firstLine="360" w:firstLineChars="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11.3.14</w:t>
      </w:r>
      <w:r>
        <w:rPr>
          <w:rFonts w:hint="eastAsia" w:ascii="仿宋" w:hAnsi="仿宋" w:eastAsia="仿宋" w:cs="仿宋_GB2312"/>
          <w:color w:val="auto"/>
          <w:kern w:val="0"/>
          <w:sz w:val="24"/>
          <w:highlight w:val="none"/>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11.3.15</w:t>
      </w:r>
      <w:r>
        <w:rPr>
          <w:rFonts w:hint="eastAsia" w:ascii="仿宋" w:hAnsi="仿宋" w:eastAsia="仿宋" w:cs="仿宋_GB2312"/>
          <w:color w:val="auto"/>
          <w:kern w:val="0"/>
          <w:sz w:val="24"/>
          <w:highlight w:val="none"/>
          <w:lang w:val="zh-CN"/>
        </w:rPr>
        <w:t>培训计划；（如果有）</w:t>
      </w:r>
    </w:p>
    <w:p>
      <w:pPr>
        <w:pStyle w:val="43"/>
        <w:spacing w:line="360" w:lineRule="auto"/>
        <w:ind w:firstLine="360" w:firstLineChars="150"/>
        <w:rPr>
          <w:rFonts w:hint="eastAsia" w:ascii="仿宋" w:hAnsi="仿宋" w:eastAsia="仿宋" w:cs="仿宋_GB2312"/>
          <w:color w:val="auto"/>
          <w:kern w:val="0"/>
          <w:sz w:val="24"/>
          <w:szCs w:val="24"/>
          <w:highlight w:val="none"/>
          <w:lang w:val="zh-CN"/>
        </w:rPr>
      </w:pPr>
      <w:r>
        <w:rPr>
          <w:rFonts w:hint="eastAsia" w:ascii="仿宋" w:hAnsi="仿宋" w:eastAsia="仿宋" w:cs="仿宋_GB2312"/>
          <w:color w:val="auto"/>
          <w:sz w:val="24"/>
          <w:highlight w:val="none"/>
          <w:lang w:val="zh-CN"/>
        </w:rPr>
        <w:t>11.3.16</w:t>
      </w:r>
      <w:r>
        <w:rPr>
          <w:rFonts w:hint="eastAsia" w:ascii="仿宋" w:hAnsi="仿宋" w:eastAsia="仿宋" w:cs="仿宋_GB2312"/>
          <w:color w:val="auto"/>
          <w:kern w:val="0"/>
          <w:sz w:val="24"/>
          <w:szCs w:val="24"/>
          <w:highlight w:val="none"/>
          <w:lang w:val="zh-CN"/>
        </w:rPr>
        <w:t>投标人认为需要的其他技术文件或说明；</w:t>
      </w:r>
    </w:p>
    <w:p>
      <w:pPr>
        <w:tabs>
          <w:tab w:val="left" w:pos="0"/>
        </w:tabs>
        <w:autoSpaceDE w:val="0"/>
        <w:autoSpaceDN w:val="0"/>
        <w:spacing w:line="360" w:lineRule="auto"/>
        <w:ind w:firstLine="360" w:firstLineChars="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11.3.17</w:t>
      </w:r>
      <w:r>
        <w:rPr>
          <w:rFonts w:hint="eastAsia" w:ascii="仿宋" w:hAnsi="仿宋" w:eastAsia="仿宋" w:cs="仿宋_GB2312"/>
          <w:color w:val="auto"/>
          <w:kern w:val="0"/>
          <w:sz w:val="24"/>
          <w:highlight w:val="none"/>
          <w:lang w:val="zh-CN"/>
        </w:rPr>
        <w:t>关于对招标文件商务、合同中有关条款的拒绝声明。（如果有）</w:t>
      </w:r>
    </w:p>
    <w:p>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投标文件组成漏项，内容不全或内容字迹模糊辨认不清的，投标无效；</w:t>
      </w:r>
    </w:p>
    <w:p>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▲投标文件含有采购人不能接受的附加条件的，投标无效；</w:t>
      </w:r>
    </w:p>
    <w:p>
      <w:pPr>
        <w:spacing w:line="360" w:lineRule="auto"/>
        <w:ind w:firstLine="482" w:firstLineChars="200"/>
        <w:rPr>
          <w:rFonts w:hint="eastAsia" w:ascii="仿宋" w:hAnsi="仿宋" w:eastAsia="仿宋" w:cs="仿宋_GB2312"/>
          <w:b/>
          <w:color w:val="auto"/>
          <w:sz w:val="24"/>
          <w:szCs w:val="21"/>
          <w:highlight w:val="none"/>
        </w:rPr>
      </w:pPr>
      <w:r>
        <w:rPr>
          <w:rFonts w:hint="eastAsia" w:ascii="仿宋" w:hAnsi="仿宋" w:eastAsia="仿宋"/>
          <w:b/>
          <w:color w:val="auto"/>
          <w:sz w:val="24"/>
          <w:highlight w:val="none"/>
        </w:rPr>
        <w:t>▲投标人提供虚假材料投标的，投标无效。</w:t>
      </w:r>
    </w:p>
    <w:p>
      <w:pPr>
        <w:pStyle w:val="307"/>
        <w:snapToGrid w:val="0"/>
        <w:spacing w:before="0"/>
        <w:ind w:firstLine="0" w:firstLineChars="0"/>
        <w:outlineLvl w:val="0"/>
        <w:rPr>
          <w:rFonts w:hint="eastAsia" w:ascii="仿宋" w:hAnsi="仿宋" w:eastAsia="仿宋" w:cs="仿宋_GB2312"/>
          <w:b/>
          <w:color w:val="auto"/>
          <w:highlight w:val="none"/>
        </w:rPr>
      </w:pPr>
      <w:bookmarkStart w:id="29" w:name="_Toc91899887"/>
      <w:r>
        <w:rPr>
          <w:rFonts w:hint="eastAsia" w:ascii="仿宋" w:hAnsi="仿宋" w:eastAsia="仿宋" w:cs="仿宋_GB2312"/>
          <w:b/>
          <w:color w:val="auto"/>
          <w:highlight w:val="none"/>
        </w:rPr>
        <w:t>12</w:t>
      </w:r>
      <w:r>
        <w:rPr>
          <w:rFonts w:hint="eastAsia" w:ascii="仿宋" w:hAnsi="仿宋" w:eastAsia="仿宋" w:cs="仿宋_GB2312"/>
          <w:b/>
          <w:color w:val="auto"/>
          <w:kern w:val="0"/>
          <w:highlight w:val="none"/>
          <w:lang w:val="zh-CN"/>
        </w:rPr>
        <w:t xml:space="preserve">. </w:t>
      </w:r>
      <w:r>
        <w:rPr>
          <w:rFonts w:hint="eastAsia" w:ascii="仿宋" w:hAnsi="仿宋" w:eastAsia="仿宋" w:cs="仿宋_GB2312"/>
          <w:b/>
          <w:color w:val="auto"/>
          <w:highlight w:val="none"/>
        </w:rPr>
        <w:t>投标文件的编制</w:t>
      </w:r>
    </w:p>
    <w:bookmarkEnd w:id="29"/>
    <w:p>
      <w:pPr>
        <w:snapToGrid w:val="0"/>
        <w:spacing w:line="360" w:lineRule="auto"/>
        <w:ind w:firstLine="480" w:firstLineChars="200"/>
        <w:rPr>
          <w:rFonts w:hint="eastAsia" w:ascii="仿宋" w:hAnsi="仿宋" w:eastAsia="仿宋"/>
          <w:b/>
          <w:sz w:val="24"/>
        </w:rPr>
      </w:pPr>
      <w:r>
        <w:rPr>
          <w:rFonts w:hint="eastAsia" w:ascii="仿宋" w:hAnsi="仿宋" w:eastAsia="仿宋"/>
          <w:sz w:val="24"/>
        </w:rPr>
        <w:t>将投标文件的资格文件、商务技术文件、报价文件</w:t>
      </w:r>
      <w:r>
        <w:rPr>
          <w:rFonts w:hint="eastAsia" w:ascii="仿宋" w:hAnsi="仿宋" w:eastAsia="仿宋"/>
          <w:b/>
          <w:sz w:val="24"/>
        </w:rPr>
        <w:t>三</w:t>
      </w:r>
      <w:r>
        <w:rPr>
          <w:rFonts w:hint="eastAsia" w:ascii="仿宋" w:hAnsi="仿宋" w:eastAsia="仿宋"/>
          <w:sz w:val="24"/>
        </w:rPr>
        <w:t>部分分别装订成册，投标文件的装订必须采用</w:t>
      </w:r>
      <w:r>
        <w:rPr>
          <w:rFonts w:hint="eastAsia" w:ascii="仿宋" w:hAnsi="仿宋" w:eastAsia="仿宋"/>
          <w:b/>
          <w:sz w:val="24"/>
        </w:rPr>
        <w:t>胶订或线订</w:t>
      </w:r>
      <w:r>
        <w:rPr>
          <w:rFonts w:hint="eastAsia" w:ascii="仿宋" w:hAnsi="仿宋" w:eastAsia="仿宋"/>
          <w:sz w:val="24"/>
        </w:rPr>
        <w:t>形式，不得采用活页装订方式（胶订或线订以外装订形式视为活页装订）。</w:t>
      </w:r>
      <w:r>
        <w:rPr>
          <w:rFonts w:hint="eastAsia" w:ascii="仿宋" w:hAnsi="仿宋" w:eastAsia="仿宋"/>
          <w:b/>
          <w:sz w:val="24"/>
        </w:rPr>
        <w:t>对不符合装订要求的投标文件，开标时，现场工作人员将予以退还。</w:t>
      </w:r>
    </w:p>
    <w:p>
      <w:pPr>
        <w:snapToGrid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13.投标文件的装订</w:t>
      </w:r>
    </w:p>
    <w:p>
      <w:pPr>
        <w:snapToGrid w:val="0"/>
        <w:spacing w:line="360" w:lineRule="auto"/>
        <w:ind w:firstLine="480" w:firstLineChars="200"/>
        <w:rPr>
          <w:rFonts w:hint="eastAsia" w:ascii="仿宋" w:hAnsi="仿宋" w:eastAsia="仿宋"/>
          <w:b/>
          <w:color w:val="auto"/>
          <w:sz w:val="24"/>
          <w:highlight w:val="none"/>
        </w:rPr>
      </w:pPr>
      <w:r>
        <w:rPr>
          <w:rFonts w:hint="eastAsia" w:ascii="仿宋" w:hAnsi="仿宋" w:eastAsia="仿宋"/>
          <w:color w:val="auto"/>
          <w:sz w:val="24"/>
          <w:highlight w:val="none"/>
        </w:rPr>
        <w:t>将投标文件的资格文件、商务技术文件、报价文件</w:t>
      </w:r>
      <w:r>
        <w:rPr>
          <w:rFonts w:hint="eastAsia" w:ascii="仿宋" w:hAnsi="仿宋" w:eastAsia="仿宋"/>
          <w:b/>
          <w:color w:val="auto"/>
          <w:sz w:val="24"/>
          <w:highlight w:val="none"/>
        </w:rPr>
        <w:t>三</w:t>
      </w:r>
      <w:r>
        <w:rPr>
          <w:rFonts w:hint="eastAsia" w:ascii="仿宋" w:hAnsi="仿宋" w:eastAsia="仿宋"/>
          <w:color w:val="auto"/>
          <w:sz w:val="24"/>
          <w:highlight w:val="none"/>
        </w:rPr>
        <w:t>部分分别装订成册，投标文件的装订必须采用</w:t>
      </w:r>
      <w:r>
        <w:rPr>
          <w:rFonts w:hint="eastAsia" w:ascii="仿宋" w:hAnsi="仿宋" w:eastAsia="仿宋"/>
          <w:b/>
          <w:color w:val="auto"/>
          <w:sz w:val="24"/>
          <w:highlight w:val="none"/>
        </w:rPr>
        <w:t>胶订或线订</w:t>
      </w:r>
      <w:r>
        <w:rPr>
          <w:rFonts w:hint="eastAsia" w:ascii="仿宋" w:hAnsi="仿宋" w:eastAsia="仿宋"/>
          <w:color w:val="auto"/>
          <w:sz w:val="24"/>
          <w:highlight w:val="none"/>
        </w:rPr>
        <w:t>形式，不得采用活页装订方式（胶订或线订以外装订形式视为活页装订）。</w:t>
      </w:r>
      <w:r>
        <w:rPr>
          <w:rFonts w:hint="eastAsia" w:ascii="仿宋" w:hAnsi="仿宋" w:eastAsia="仿宋"/>
          <w:b/>
          <w:color w:val="auto"/>
          <w:sz w:val="24"/>
          <w:highlight w:val="none"/>
        </w:rPr>
        <w:t>对不符合装订要求的投标文件，开标时，现场工作人员将予以退还。</w:t>
      </w:r>
    </w:p>
    <w:p>
      <w:pPr>
        <w:snapToGrid w:val="0"/>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14.投标文件的签署、盖章</w:t>
      </w:r>
    </w:p>
    <w:p>
      <w:pPr>
        <w:pStyle w:val="307"/>
        <w:snapToGrid w:val="0"/>
        <w:spacing w:before="0"/>
        <w:ind w:firstLine="480"/>
        <w:rPr>
          <w:rFonts w:hint="eastAsia" w:ascii="仿宋" w:hAnsi="仿宋" w:eastAsia="仿宋" w:cs="仿宋_GB2312"/>
          <w:b/>
          <w:color w:val="auto"/>
          <w:highlight w:val="none"/>
        </w:rPr>
      </w:pPr>
      <w:r>
        <w:rPr>
          <w:rFonts w:hint="eastAsia" w:ascii="仿宋" w:hAnsi="仿宋" w:eastAsia="仿宋" w:cs="仿宋_GB2312"/>
          <w:color w:val="auto"/>
          <w:highlight w:val="none"/>
        </w:rPr>
        <w:t>投标文件按照招标文件第六部分格式要求进行签署、盖章。</w:t>
      </w:r>
      <w:r>
        <w:rPr>
          <w:rFonts w:hint="eastAsia" w:ascii="仿宋" w:hAnsi="仿宋" w:eastAsia="仿宋" w:cs="仿宋_GB2312"/>
          <w:b/>
          <w:color w:val="auto"/>
          <w:highlight w:val="none"/>
        </w:rPr>
        <w:t>投标人的投标文件未按照招标文件要求签署、盖章的，其投标无效；</w:t>
      </w:r>
    </w:p>
    <w:p>
      <w:pPr>
        <w:pStyle w:val="43"/>
        <w:spacing w:line="360" w:lineRule="auto"/>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15. 投标文件的密封与标志</w:t>
      </w:r>
    </w:p>
    <w:p>
      <w:pPr>
        <w:pStyle w:val="307"/>
        <w:spacing w:before="0"/>
        <w:ind w:firstLine="480"/>
        <w:rPr>
          <w:rFonts w:hint="eastAsia" w:ascii="仿宋" w:hAnsi="仿宋" w:eastAsia="仿宋"/>
          <w:b/>
          <w:color w:val="auto"/>
          <w:highlight w:val="none"/>
        </w:rPr>
      </w:pPr>
      <w:r>
        <w:rPr>
          <w:rFonts w:hint="eastAsia" w:ascii="仿宋" w:hAnsi="仿宋" w:eastAsia="仿宋"/>
          <w:color w:val="auto"/>
          <w:highlight w:val="none"/>
        </w:rPr>
        <w:t>15.1</w:t>
      </w:r>
      <w:r>
        <w:rPr>
          <w:rFonts w:hint="eastAsia" w:ascii="仿宋_GB2312" w:hAnsi="仿宋" w:eastAsia="仿宋_GB2312"/>
          <w:color w:val="auto"/>
          <w:highlight w:val="none"/>
        </w:rPr>
        <w:t>投标文件须</w:t>
      </w:r>
      <w:r>
        <w:rPr>
          <w:rFonts w:hint="eastAsia" w:ascii="仿宋_GB2312" w:hAnsi="仿宋" w:eastAsia="仿宋_GB2312"/>
          <w:b/>
          <w:color w:val="auto"/>
          <w:highlight w:val="none"/>
        </w:rPr>
        <w:t>密封包装</w:t>
      </w:r>
      <w:r>
        <w:rPr>
          <w:rFonts w:hint="eastAsia" w:ascii="仿宋_GB2312" w:hAnsi="仿宋" w:eastAsia="仿宋_GB2312"/>
          <w:color w:val="auto"/>
          <w:highlight w:val="none"/>
        </w:rPr>
        <w:t>，密封包装指：所有投标文件应密封在一起，内含资格文件、商务技术文件、报价文件三部分。其中，报价文件须单独密封，未单独密封的，在开标时发生报价泄露的，由投标人自行承担相关责任</w:t>
      </w:r>
      <w:r>
        <w:rPr>
          <w:rFonts w:hint="eastAsia" w:ascii="仿宋_GB2312" w:hAnsi="仿宋" w:eastAsia="仿宋_GB2312"/>
          <w:b/>
          <w:color w:val="auto"/>
          <w:highlight w:val="none"/>
        </w:rPr>
        <w:t>。没有密封包装的投标文件，将被拒收。</w:t>
      </w:r>
    </w:p>
    <w:p>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15.2投标文件包装封面物应写明项目名称、投标人名称(联合体投标的，包装物封面需注明联合体投标，并注明联合体成员各方的名称和联合体协议中约定的牵头人的名称)。</w:t>
      </w:r>
    </w:p>
    <w:p>
      <w:pPr>
        <w:pStyle w:val="307"/>
        <w:spacing w:before="0"/>
        <w:ind w:firstLine="0" w:firstLineChars="0"/>
        <w:rPr>
          <w:rFonts w:hint="eastAsia" w:ascii="仿宋" w:hAnsi="仿宋" w:eastAsia="仿宋" w:cs="仿宋_GB2312"/>
          <w:b/>
          <w:color w:val="auto"/>
          <w:highlight w:val="none"/>
        </w:rPr>
      </w:pPr>
      <w:r>
        <w:rPr>
          <w:rFonts w:hint="eastAsia" w:ascii="仿宋" w:hAnsi="仿宋" w:eastAsia="仿宋" w:cs="仿宋_GB2312"/>
          <w:b/>
          <w:color w:val="auto"/>
          <w:highlight w:val="none"/>
        </w:rPr>
        <w:t>16. 投标文件的提交</w:t>
      </w:r>
    </w:p>
    <w:p>
      <w:pPr>
        <w:pStyle w:val="307"/>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16.1投标人应按“招标公告”规定的时间、地点将投标文件提交给采购机构，采购机构将拒绝接受逾期送达的投标文件。</w:t>
      </w:r>
    </w:p>
    <w:p>
      <w:pPr>
        <w:pStyle w:val="307"/>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16.2采购机构可以视情况延长投标文件提交的截止时间。在上述情况下，采购机构与投标人以前在投标截止期方面的全部权利、责任和义务，将适用于延长至新的投标截止期。</w:t>
      </w:r>
    </w:p>
    <w:bookmarkEnd w:id="24"/>
    <w:bookmarkEnd w:id="25"/>
    <w:p>
      <w:pPr>
        <w:pStyle w:val="43"/>
        <w:spacing w:line="360" w:lineRule="auto"/>
        <w:rPr>
          <w:rFonts w:hint="eastAsia" w:ascii="仿宋" w:hAnsi="仿宋" w:eastAsia="仿宋" w:cs="仿宋_GB2312"/>
          <w:b/>
          <w:color w:val="auto"/>
          <w:sz w:val="24"/>
          <w:szCs w:val="24"/>
          <w:highlight w:val="none"/>
        </w:rPr>
      </w:pPr>
      <w:bookmarkStart w:id="30" w:name="第三部分"/>
      <w:bookmarkStart w:id="31" w:name="_Toc164416483"/>
      <w:r>
        <w:rPr>
          <w:rFonts w:hint="eastAsia" w:ascii="仿宋" w:hAnsi="仿宋" w:eastAsia="仿宋" w:cs="仿宋_GB2312"/>
          <w:b/>
          <w:color w:val="auto"/>
          <w:sz w:val="24"/>
          <w:szCs w:val="24"/>
          <w:highlight w:val="none"/>
        </w:rPr>
        <w:t>17. 投标文件的补充、修改、撤回</w:t>
      </w:r>
    </w:p>
    <w:p>
      <w:pPr>
        <w:pStyle w:val="307"/>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17.1投标人递交投标文件以后，在规定的投标截止时间之前，可以书面形式对投标文件进行补充、修改，补充、修改文件须加盖单位公章，并由法定代表人或其授权代表签字或盖章，在投标截止时间以后，不能补充、修改投标文件。</w:t>
      </w:r>
    </w:p>
    <w:p>
      <w:pPr>
        <w:pStyle w:val="307"/>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17.2 投标人的补充、修改文件，应按本须知规定编制、密封、标志和递交，如果一份投标文件有几份函件时，应注明哪一份有效，否则所作修改视为无效。</w:t>
      </w:r>
    </w:p>
    <w:p>
      <w:pPr>
        <w:pStyle w:val="307"/>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17.3投标人对投标文件的修改均要加以说明，否则其修改将被视为无效。</w:t>
      </w:r>
    </w:p>
    <w:p>
      <w:pPr>
        <w:pStyle w:val="307"/>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17.4投标人在投标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307"/>
        <w:spacing w:before="0"/>
        <w:ind w:firstLine="0" w:firstLineChars="0"/>
        <w:rPr>
          <w:rFonts w:hint="eastAsia" w:ascii="仿宋" w:hAnsi="仿宋" w:eastAsia="仿宋" w:cs="仿宋_GB2312"/>
          <w:b/>
          <w:color w:val="auto"/>
          <w:highlight w:val="none"/>
        </w:rPr>
      </w:pPr>
      <w:r>
        <w:rPr>
          <w:rFonts w:hint="eastAsia" w:ascii="仿宋" w:hAnsi="仿宋" w:eastAsia="仿宋" w:cs="仿宋_GB2312"/>
          <w:b/>
          <w:color w:val="auto"/>
          <w:highlight w:val="none"/>
        </w:rPr>
        <w:t>18.投标文件的无效处理</w:t>
      </w:r>
    </w:p>
    <w:p>
      <w:pPr>
        <w:pStyle w:val="33"/>
        <w:spacing w:line="360" w:lineRule="auto"/>
        <w:ind w:firstLine="360" w:firstLineChars="15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第13项规定</w:t>
      </w:r>
      <w:r>
        <w:rPr>
          <w:rFonts w:hint="eastAsia" w:ascii="仿宋" w:hAnsi="仿宋" w:eastAsia="仿宋" w:cs="仿宋_GB2312"/>
          <w:color w:val="auto"/>
          <w:szCs w:val="21"/>
          <w:highlight w:val="none"/>
        </w:rPr>
        <w:t>的情形之一的，投标无效：</w:t>
      </w:r>
    </w:p>
    <w:p>
      <w:pPr>
        <w:pStyle w:val="307"/>
        <w:spacing w:before="0"/>
        <w:ind w:firstLine="0" w:firstLineChars="0"/>
        <w:rPr>
          <w:rFonts w:hint="eastAsia" w:ascii="仿宋" w:hAnsi="仿宋" w:eastAsia="仿宋" w:cs="仿宋_GB2312"/>
          <w:b/>
          <w:color w:val="auto"/>
          <w:highlight w:val="none"/>
        </w:rPr>
      </w:pPr>
      <w:r>
        <w:rPr>
          <w:rFonts w:hint="eastAsia" w:ascii="仿宋" w:hAnsi="仿宋" w:eastAsia="仿宋" w:cs="仿宋_GB2312"/>
          <w:b/>
          <w:color w:val="auto"/>
          <w:highlight w:val="none"/>
        </w:rPr>
        <w:t>19.投标有效期</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0"/>
          <w:highlight w:val="none"/>
        </w:rPr>
        <w:t>19.1投标有效期为从提交投标文件的截止之日起90天。▲投标人的投标文件中承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307"/>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19.2投标文件合格投递后，自投标截止日期起，在投标有效期内有效。</w:t>
      </w:r>
    </w:p>
    <w:p>
      <w:pPr>
        <w:pStyle w:val="307"/>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19.3在原定投标有效期满之前，如果出现特殊情况，采购机构可以以书面形式通知投标人延长投标有效期。</w:t>
      </w:r>
    </w:p>
    <w:p>
      <w:pPr>
        <w:pStyle w:val="307"/>
        <w:spacing w:before="0"/>
        <w:ind w:firstLine="643"/>
        <w:rPr>
          <w:rFonts w:hint="eastAsia" w:ascii="仿宋" w:hAnsi="仿宋" w:eastAsia="仿宋" w:cs="仿宋_GB2312"/>
          <w:b/>
          <w:color w:val="auto"/>
          <w:sz w:val="32"/>
          <w:highlight w:val="none"/>
        </w:rPr>
      </w:pPr>
      <w:bookmarkStart w:id="32" w:name="_Toc91899897"/>
    </w:p>
    <w:p>
      <w:pPr>
        <w:pStyle w:val="307"/>
        <w:spacing w:before="0"/>
        <w:ind w:firstLine="1928" w:firstLineChars="600"/>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四、开标</w:t>
      </w:r>
      <w:bookmarkEnd w:id="32"/>
      <w:r>
        <w:rPr>
          <w:rFonts w:hint="eastAsia" w:ascii="仿宋" w:hAnsi="仿宋" w:eastAsia="仿宋" w:cs="仿宋_GB2312"/>
          <w:b/>
          <w:color w:val="auto"/>
          <w:sz w:val="32"/>
          <w:highlight w:val="none"/>
        </w:rPr>
        <w:t>、资格审查与信用信息查询</w:t>
      </w:r>
    </w:p>
    <w:p>
      <w:pPr>
        <w:pStyle w:val="754"/>
        <w:spacing w:before="0" w:line="360" w:lineRule="auto"/>
        <w:ind w:left="0" w:firstLine="241" w:firstLineChars="100"/>
        <w:rPr>
          <w:rFonts w:hint="eastAsia" w:ascii="仿宋_GB2312" w:eastAsia="仿宋_GB2312"/>
          <w:color w:val="auto"/>
          <w:sz w:val="24"/>
          <w:highlight w:val="none"/>
        </w:rPr>
      </w:pPr>
      <w:r>
        <w:rPr>
          <w:rFonts w:hint="eastAsia" w:ascii="仿宋" w:hAnsi="仿宋" w:eastAsia="仿宋" w:cs="仿宋_GB2312"/>
          <w:b/>
          <w:color w:val="auto"/>
          <w:sz w:val="24"/>
          <w:szCs w:val="24"/>
          <w:highlight w:val="none"/>
        </w:rPr>
        <w:t>20.开标</w:t>
      </w:r>
      <w:r>
        <w:rPr>
          <w:rFonts w:hint="eastAsia" w:ascii="仿宋_GB2312" w:eastAsia="仿宋_GB2312"/>
          <w:color w:val="auto"/>
          <w:sz w:val="24"/>
          <w:highlight w:val="none"/>
        </w:rPr>
        <w:t xml:space="preserve"> </w:t>
      </w:r>
    </w:p>
    <w:p>
      <w:pPr>
        <w:widowControl/>
        <w:spacing w:before="100" w:beforeAutospacing="1" w:after="240" w:line="360" w:lineRule="auto"/>
        <w:ind w:firstLine="480" w:firstLineChars="200"/>
        <w:jc w:val="left"/>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20.1</w:t>
      </w:r>
      <w:r>
        <w:rPr>
          <w:rFonts w:ascii="仿宋" w:hAnsi="仿宋" w:eastAsia="仿宋" w:cs="仿宋_GB2312"/>
          <w:color w:val="auto"/>
          <w:sz w:val="24"/>
          <w:szCs w:val="20"/>
          <w:highlight w:val="none"/>
        </w:rPr>
        <w:t xml:space="preserve"> 开标在招标文件确定的时间</w:t>
      </w:r>
      <w:r>
        <w:rPr>
          <w:rFonts w:hint="eastAsia" w:ascii="仿宋" w:hAnsi="仿宋" w:eastAsia="仿宋" w:cs="仿宋_GB2312"/>
          <w:color w:val="auto"/>
          <w:sz w:val="24"/>
          <w:szCs w:val="20"/>
          <w:highlight w:val="none"/>
        </w:rPr>
        <w:t>、</w:t>
      </w:r>
      <w:r>
        <w:rPr>
          <w:rFonts w:ascii="仿宋" w:hAnsi="仿宋" w:eastAsia="仿宋" w:cs="仿宋_GB2312"/>
          <w:color w:val="auto"/>
          <w:sz w:val="24"/>
          <w:szCs w:val="20"/>
          <w:highlight w:val="none"/>
        </w:rPr>
        <w:t>地点</w:t>
      </w:r>
      <w:r>
        <w:rPr>
          <w:rFonts w:hint="eastAsia" w:ascii="仿宋" w:hAnsi="仿宋" w:eastAsia="仿宋" w:cs="仿宋_GB2312"/>
          <w:color w:val="auto"/>
          <w:sz w:val="24"/>
          <w:szCs w:val="20"/>
          <w:highlight w:val="none"/>
        </w:rPr>
        <w:t>进行</w:t>
      </w:r>
      <w:r>
        <w:rPr>
          <w:rFonts w:ascii="仿宋" w:hAnsi="仿宋" w:eastAsia="仿宋" w:cs="仿宋_GB2312"/>
          <w:color w:val="auto"/>
          <w:sz w:val="24"/>
          <w:szCs w:val="20"/>
          <w:highlight w:val="none"/>
        </w:rPr>
        <w:t>。</w:t>
      </w:r>
    </w:p>
    <w:p>
      <w:pPr>
        <w:widowControl/>
        <w:spacing w:before="100" w:beforeAutospacing="1" w:after="240" w:line="360" w:lineRule="auto"/>
        <w:jc w:val="left"/>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　　</w:t>
      </w:r>
      <w:r>
        <w:rPr>
          <w:rFonts w:hint="eastAsia" w:ascii="仿宋" w:hAnsi="仿宋" w:eastAsia="仿宋" w:cs="仿宋_GB2312"/>
          <w:color w:val="auto"/>
          <w:sz w:val="24"/>
          <w:szCs w:val="20"/>
          <w:highlight w:val="none"/>
        </w:rPr>
        <w:t>20.2</w:t>
      </w:r>
      <w:r>
        <w:rPr>
          <w:rFonts w:ascii="仿宋" w:hAnsi="仿宋" w:eastAsia="仿宋" w:cs="仿宋_GB2312"/>
          <w:color w:val="auto"/>
          <w:sz w:val="24"/>
          <w:szCs w:val="20"/>
          <w:highlight w:val="none"/>
        </w:rPr>
        <w:t xml:space="preserve"> 开标由采购人或者采购代理机构主持，邀请投标人参加。评标委员会成员不得参加开标活动。</w:t>
      </w:r>
    </w:p>
    <w:p>
      <w:pPr>
        <w:widowControl/>
        <w:spacing w:before="100" w:beforeAutospacing="1" w:after="240" w:line="360" w:lineRule="auto"/>
        <w:jc w:val="left"/>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　　</w:t>
      </w:r>
      <w:r>
        <w:rPr>
          <w:rFonts w:hint="eastAsia" w:ascii="仿宋" w:hAnsi="仿宋" w:eastAsia="仿宋" w:cs="仿宋_GB2312"/>
          <w:color w:val="auto"/>
          <w:sz w:val="24"/>
          <w:szCs w:val="20"/>
          <w:highlight w:val="none"/>
        </w:rPr>
        <w:t xml:space="preserve">20.3 </w:t>
      </w:r>
      <w:r>
        <w:rPr>
          <w:rFonts w:ascii="仿宋" w:hAnsi="仿宋" w:eastAsia="仿宋" w:cs="仿宋_GB2312"/>
          <w:color w:val="auto"/>
          <w:sz w:val="24"/>
          <w:szCs w:val="20"/>
          <w:highlight w:val="none"/>
        </w:rPr>
        <w:t xml:space="preserve"> 开标时，由投标人或者其推选的代表检查投标文件的密封情况；经确认无误后，由采购人或者采购代理机构工作人员当众拆封，宣布投标人名称、投标价格</w:t>
      </w:r>
      <w:r>
        <w:rPr>
          <w:rFonts w:hint="eastAsia" w:ascii="仿宋" w:hAnsi="仿宋" w:eastAsia="仿宋" w:cs="仿宋_GB2312"/>
          <w:color w:val="auto"/>
          <w:sz w:val="24"/>
          <w:szCs w:val="20"/>
          <w:highlight w:val="none"/>
        </w:rPr>
        <w:t>等</w:t>
      </w:r>
      <w:r>
        <w:rPr>
          <w:rFonts w:ascii="仿宋" w:hAnsi="仿宋" w:eastAsia="仿宋" w:cs="仿宋_GB2312"/>
          <w:color w:val="auto"/>
          <w:sz w:val="24"/>
          <w:szCs w:val="20"/>
          <w:highlight w:val="none"/>
        </w:rPr>
        <w:t>内容。</w:t>
      </w:r>
    </w:p>
    <w:p>
      <w:pPr>
        <w:widowControl/>
        <w:spacing w:before="100" w:beforeAutospacing="1" w:after="240" w:line="360" w:lineRule="auto"/>
        <w:jc w:val="left"/>
        <w:rPr>
          <w:rFonts w:ascii="仿宋" w:hAnsi="仿宋" w:eastAsia="仿宋" w:cs="仿宋_GB2312"/>
          <w:b/>
          <w:color w:val="auto"/>
          <w:sz w:val="24"/>
          <w:szCs w:val="20"/>
          <w:highlight w:val="none"/>
        </w:rPr>
      </w:pPr>
      <w:r>
        <w:rPr>
          <w:rFonts w:ascii="仿宋" w:hAnsi="仿宋" w:eastAsia="仿宋" w:cs="仿宋_GB2312"/>
          <w:color w:val="auto"/>
          <w:sz w:val="24"/>
          <w:szCs w:val="20"/>
          <w:highlight w:val="none"/>
        </w:rPr>
        <w:t>　</w:t>
      </w:r>
      <w:r>
        <w:rPr>
          <w:rFonts w:ascii="仿宋" w:hAnsi="仿宋" w:eastAsia="仿宋" w:cs="仿宋_GB2312"/>
          <w:b/>
          <w:color w:val="auto"/>
          <w:sz w:val="24"/>
          <w:szCs w:val="20"/>
          <w:highlight w:val="none"/>
        </w:rPr>
        <w:t>　投标人不足3家的，不得开标。</w:t>
      </w:r>
    </w:p>
    <w:p>
      <w:pPr>
        <w:widowControl/>
        <w:spacing w:before="100" w:beforeAutospacing="1" w:after="240" w:line="360" w:lineRule="auto"/>
        <w:jc w:val="left"/>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　　</w:t>
      </w:r>
      <w:r>
        <w:rPr>
          <w:rFonts w:hint="eastAsia" w:ascii="仿宋" w:hAnsi="仿宋" w:eastAsia="仿宋" w:cs="仿宋_GB2312"/>
          <w:color w:val="auto"/>
          <w:sz w:val="24"/>
          <w:szCs w:val="20"/>
          <w:highlight w:val="none"/>
        </w:rPr>
        <w:t>20.4</w:t>
      </w:r>
      <w:r>
        <w:rPr>
          <w:rFonts w:ascii="仿宋" w:hAnsi="仿宋" w:eastAsia="仿宋" w:cs="仿宋_GB2312"/>
          <w:color w:val="auto"/>
          <w:sz w:val="24"/>
          <w:szCs w:val="20"/>
          <w:highlight w:val="none"/>
        </w:rPr>
        <w:t xml:space="preserve"> 开标过程应当由采购人或者采购代理机构负责记录，由参加开标的各投标人代表和相关工作人员签字确认后随采购文件一并存档。</w:t>
      </w:r>
    </w:p>
    <w:p>
      <w:pPr>
        <w:widowControl/>
        <w:spacing w:before="100" w:beforeAutospacing="1" w:after="240" w:line="360" w:lineRule="auto"/>
        <w:jc w:val="left"/>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　</w:t>
      </w:r>
      <w:r>
        <w:rPr>
          <w:rFonts w:hint="eastAsia" w:ascii="仿宋" w:hAnsi="仿宋" w:eastAsia="仿宋" w:cs="仿宋_GB2312"/>
          <w:color w:val="auto"/>
          <w:sz w:val="24"/>
          <w:szCs w:val="20"/>
          <w:highlight w:val="none"/>
        </w:rPr>
        <w:t>20.5</w:t>
      </w:r>
      <w:r>
        <w:rPr>
          <w:rFonts w:ascii="仿宋" w:hAnsi="仿宋" w:eastAsia="仿宋" w:cs="仿宋_GB2312"/>
          <w:color w:val="auto"/>
          <w:sz w:val="24"/>
          <w:szCs w:val="20"/>
          <w:highlight w:val="none"/>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widowControl/>
        <w:spacing w:before="100" w:beforeAutospacing="1" w:after="240" w:line="360" w:lineRule="auto"/>
        <w:jc w:val="left"/>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　　投标人未参加开标的，视同认可开标结果。</w:t>
      </w:r>
    </w:p>
    <w:p>
      <w:pPr>
        <w:widowControl/>
        <w:spacing w:before="100" w:beforeAutospacing="1" w:after="240" w:line="360" w:lineRule="auto"/>
        <w:jc w:val="left"/>
        <w:rPr>
          <w:rFonts w:hint="eastAsia" w:ascii="仿宋" w:hAnsi="仿宋" w:eastAsia="仿宋" w:cs="仿宋_GB2312"/>
          <w:b/>
          <w:color w:val="auto"/>
          <w:sz w:val="24"/>
          <w:szCs w:val="20"/>
          <w:highlight w:val="none"/>
        </w:rPr>
      </w:pPr>
      <w:r>
        <w:rPr>
          <w:rFonts w:ascii="仿宋" w:hAnsi="仿宋" w:eastAsia="仿宋" w:cs="仿宋_GB2312"/>
          <w:b/>
          <w:color w:val="auto"/>
          <w:sz w:val="24"/>
          <w:szCs w:val="20"/>
          <w:highlight w:val="none"/>
        </w:rPr>
        <w:t>　</w:t>
      </w:r>
      <w:r>
        <w:rPr>
          <w:rFonts w:hint="eastAsia" w:ascii="仿宋" w:hAnsi="仿宋" w:eastAsia="仿宋" w:cs="仿宋_GB2312"/>
          <w:b/>
          <w:color w:val="auto"/>
          <w:sz w:val="24"/>
          <w:szCs w:val="20"/>
          <w:highlight w:val="none"/>
        </w:rPr>
        <w:t>21、资格审查</w:t>
      </w:r>
    </w:p>
    <w:p>
      <w:pPr>
        <w:pStyle w:val="307"/>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21.1开标后，采购人或采购代理机构将依法对投标人的资格进行审查。</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Arial"/>
          <w:color w:val="auto"/>
          <w:kern w:val="0"/>
          <w:sz w:val="24"/>
          <w:highlight w:val="none"/>
        </w:rPr>
        <w:t>21.2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pPr>
        <w:pStyle w:val="307"/>
        <w:spacing w:before="0"/>
        <w:ind w:firstLine="480"/>
        <w:rPr>
          <w:rFonts w:hint="eastAsia" w:ascii="仿宋" w:hAnsi="仿宋" w:eastAsia="仿宋" w:cs="仿宋_GB2312"/>
          <w:color w:val="auto"/>
          <w:highlight w:val="none"/>
        </w:rPr>
      </w:pPr>
      <w:r>
        <w:rPr>
          <w:rFonts w:hint="eastAsia" w:ascii="仿宋" w:hAnsi="仿宋" w:eastAsia="仿宋" w:cs="Arial"/>
          <w:color w:val="auto"/>
          <w:kern w:val="0"/>
          <w:highlight w:val="none"/>
        </w:rPr>
        <w:t>21.3投标人未按照招标文件要求提供与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307"/>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21.4对未通过资格审查的投标人，采购人或采购代理机构告知其未通过的原因。</w:t>
      </w:r>
    </w:p>
    <w:p>
      <w:pPr>
        <w:pStyle w:val="307"/>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21.5合格投标人不足3家的，不再评标。</w:t>
      </w:r>
    </w:p>
    <w:p>
      <w:pPr>
        <w:pStyle w:val="307"/>
        <w:spacing w:before="0"/>
        <w:ind w:firstLine="0" w:firstLineChars="0"/>
        <w:rPr>
          <w:rFonts w:hint="eastAsia" w:ascii="仿宋" w:hAnsi="仿宋" w:eastAsia="仿宋" w:cs="仿宋_GB2312"/>
          <w:b/>
          <w:color w:val="auto"/>
          <w:highlight w:val="none"/>
        </w:rPr>
      </w:pPr>
      <w:r>
        <w:rPr>
          <w:rFonts w:hint="eastAsia" w:ascii="仿宋" w:hAnsi="仿宋" w:eastAsia="仿宋" w:cs="仿宋_GB2312"/>
          <w:b/>
          <w:color w:val="auto"/>
          <w:highlight w:val="none"/>
        </w:rPr>
        <w:t>22、信用信息查询</w:t>
      </w:r>
    </w:p>
    <w:p>
      <w:pPr>
        <w:pStyle w:val="307"/>
        <w:spacing w:before="0"/>
        <w:ind w:firstLine="495"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22.1信用信息查询渠道及截止时间：采购机构将通过“信用中国”网站(www.creditchina.gov.cn)、中国政府采购网(www.ccgp.gov.cn)渠道查询投标人投标截止时间前的信用记录。</w:t>
      </w:r>
    </w:p>
    <w:p>
      <w:pPr>
        <w:pStyle w:val="307"/>
        <w:spacing w:before="0"/>
        <w:ind w:firstLine="495"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22.2信用信息查询记录和证据留存的具体方式：现场查询的投标人的信用记录、查询结果经确认后将与采购文件一起存档。</w:t>
      </w:r>
    </w:p>
    <w:p>
      <w:pPr>
        <w:pStyle w:val="307"/>
        <w:spacing w:before="0"/>
        <w:ind w:firstLine="495"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22.3信用信息的使用规则：经查询列入失信被执行人名单、重大税收违法案件当事人名单、政府采购严重违法失信行为记录名单的投标人将被拒绝参与政府采购活动。</w:t>
      </w:r>
    </w:p>
    <w:p>
      <w:pPr>
        <w:pStyle w:val="307"/>
        <w:spacing w:before="0"/>
        <w:ind w:firstLine="480"/>
        <w:rPr>
          <w:rFonts w:hint="eastAsia" w:ascii="仿宋" w:hAnsi="仿宋" w:eastAsia="仿宋" w:cs="仿宋_GB2312"/>
          <w:color w:val="auto"/>
          <w:highlight w:val="none"/>
        </w:rPr>
      </w:pPr>
      <w:r>
        <w:rPr>
          <w:rFonts w:hint="eastAsia" w:ascii="仿宋" w:hAnsi="仿宋" w:eastAsia="仿宋" w:cs="Arial"/>
          <w:color w:val="auto"/>
          <w:kern w:val="0"/>
          <w:highlight w:val="none"/>
        </w:rPr>
        <w:t>22.4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pPr>
        <w:pStyle w:val="307"/>
        <w:spacing w:before="0"/>
        <w:ind w:firstLine="0" w:firstLineChars="0"/>
        <w:rPr>
          <w:rFonts w:hint="eastAsia" w:ascii="仿宋" w:hAnsi="仿宋" w:eastAsia="仿宋" w:cs="Arial"/>
          <w:color w:val="auto"/>
          <w:kern w:val="0"/>
          <w:highlight w:val="none"/>
        </w:rPr>
      </w:pPr>
    </w:p>
    <w:p>
      <w:pPr>
        <w:snapToGrid w:val="0"/>
        <w:spacing w:line="360" w:lineRule="auto"/>
        <w:jc w:val="center"/>
        <w:outlineLvl w:val="0"/>
        <w:rPr>
          <w:rFonts w:hint="eastAsia" w:ascii="仿宋" w:hAnsi="仿宋" w:eastAsia="仿宋" w:cs="仿宋_GB2312"/>
          <w:b/>
          <w:color w:val="auto"/>
          <w:sz w:val="36"/>
          <w:szCs w:val="36"/>
          <w:highlight w:val="none"/>
        </w:rPr>
      </w:pPr>
      <w:bookmarkStart w:id="33" w:name="_Hlt75236101"/>
      <w:bookmarkEnd w:id="33"/>
      <w:bookmarkStart w:id="34" w:name="_Toc91899902"/>
      <w:r>
        <w:rPr>
          <w:rFonts w:hint="eastAsia" w:ascii="仿宋" w:hAnsi="仿宋" w:eastAsia="仿宋" w:cs="仿宋_GB2312"/>
          <w:b/>
          <w:color w:val="auto"/>
          <w:sz w:val="36"/>
          <w:szCs w:val="36"/>
          <w:highlight w:val="none"/>
        </w:rPr>
        <w:t>五、评标</w:t>
      </w:r>
      <w:bookmarkEnd w:id="34"/>
    </w:p>
    <w:p>
      <w:pPr>
        <w:spacing w:line="360" w:lineRule="auto"/>
        <w:rPr>
          <w:rFonts w:hint="eastAsia" w:ascii="仿宋" w:hAnsi="仿宋" w:eastAsia="仿宋" w:cs="仿宋_GB2312"/>
          <w:b/>
          <w:color w:val="auto"/>
          <w:sz w:val="24"/>
          <w:highlight w:val="none"/>
        </w:rPr>
      </w:pPr>
      <w:bookmarkStart w:id="35" w:name="_Toc91899903"/>
      <w:r>
        <w:rPr>
          <w:rFonts w:hint="eastAsia" w:ascii="仿宋" w:hAnsi="仿宋" w:eastAsia="仿宋" w:cs="仿宋_GB2312"/>
          <w:b/>
          <w:color w:val="auto"/>
          <w:sz w:val="24"/>
          <w:highlight w:val="none"/>
        </w:rPr>
        <w:t>23.</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详见招标文件第四部分“评标方法及评分标准”</w:t>
      </w:r>
    </w:p>
    <w:p>
      <w:pPr>
        <w:spacing w:line="360" w:lineRule="auto"/>
        <w:rPr>
          <w:rFonts w:hint="eastAsia" w:ascii="仿宋" w:hAnsi="仿宋" w:eastAsia="仿宋" w:cs="仿宋_GB2312"/>
          <w:b/>
          <w:color w:val="auto"/>
          <w:sz w:val="24"/>
          <w:highlight w:val="none"/>
        </w:rPr>
      </w:pPr>
    </w:p>
    <w:p>
      <w:pPr>
        <w:snapToGrid w:val="0"/>
        <w:spacing w:line="360" w:lineRule="auto"/>
        <w:jc w:val="center"/>
        <w:outlineLvl w:val="0"/>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 标</w:t>
      </w:r>
    </w:p>
    <w:p>
      <w:pPr>
        <w:pStyle w:val="33"/>
        <w:spacing w:line="360" w:lineRule="auto"/>
        <w:ind w:left="479" w:hanging="479" w:hangingChars="199"/>
        <w:rPr>
          <w:rFonts w:hint="eastAsia" w:ascii="仿宋" w:hAnsi="仿宋" w:eastAsia="仿宋" w:cs="仿宋_GB2312"/>
          <w:b/>
          <w:color w:val="auto"/>
          <w:highlight w:val="none"/>
        </w:rPr>
      </w:pPr>
      <w:r>
        <w:rPr>
          <w:rFonts w:hint="eastAsia" w:ascii="仿宋" w:hAnsi="仿宋" w:eastAsia="仿宋" w:cs="仿宋_GB2312"/>
          <w:b/>
          <w:color w:val="auto"/>
          <w:highlight w:val="none"/>
        </w:rPr>
        <w:t>24. 确定中标供应商</w:t>
      </w:r>
    </w:p>
    <w:p>
      <w:pPr>
        <w:pStyle w:val="307"/>
        <w:snapToGrid w:val="0"/>
        <w:spacing w:before="0"/>
        <w:ind w:firstLine="480"/>
        <w:rPr>
          <w:rFonts w:hint="eastAsia" w:ascii="仿宋" w:hAnsi="仿宋" w:eastAsia="仿宋" w:cs="仿宋_GB2312"/>
          <w:b/>
          <w:color w:val="auto"/>
          <w:highlight w:val="none"/>
        </w:rPr>
      </w:pPr>
      <w:r>
        <w:rPr>
          <w:rFonts w:hint="eastAsia" w:ascii="仿宋" w:hAnsi="仿宋" w:eastAsia="仿宋" w:cs="仿宋_GB2312"/>
          <w:color w:val="auto"/>
          <w:highlight w:val="none"/>
        </w:rPr>
        <w:t>采购代理机构将自评审结束之日起2个工作日内将评审报告送交采购人。采购人将自收到评审报告之日起5个工作日内在评审报告推荐的中标候选人中按顺序确定中标交供应商。</w:t>
      </w:r>
    </w:p>
    <w:p>
      <w:pPr>
        <w:pStyle w:val="307"/>
        <w:snapToGrid w:val="0"/>
        <w:spacing w:before="0"/>
        <w:ind w:firstLine="0" w:firstLineChars="0"/>
        <w:rPr>
          <w:rFonts w:hint="eastAsia" w:ascii="仿宋" w:hAnsi="仿宋" w:eastAsia="仿宋" w:cs="仿宋_GB2312"/>
          <w:b/>
          <w:color w:val="auto"/>
          <w:highlight w:val="none"/>
        </w:rPr>
      </w:pPr>
      <w:r>
        <w:rPr>
          <w:rFonts w:hint="eastAsia" w:ascii="仿宋" w:hAnsi="仿宋" w:eastAsia="仿宋" w:cs="仿宋_GB2312"/>
          <w:b/>
          <w:color w:val="auto"/>
          <w:highlight w:val="none"/>
        </w:rPr>
        <w:t>25. 中标通知与中标结果公告</w:t>
      </w:r>
    </w:p>
    <w:p>
      <w:pPr>
        <w:widowControl/>
        <w:shd w:val="clear" w:color="auto" w:fill="FFFFFF"/>
        <w:spacing w:line="360" w:lineRule="auto"/>
        <w:ind w:firstLine="48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25.1采购代理机构将在自中标人确定之日起2个工作日内，发出中标通知书，并在发布招标公告的网站上公告中标结果。</w:t>
      </w:r>
    </w:p>
    <w:p>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25.2</w:t>
      </w:r>
      <w:r>
        <w:rPr>
          <w:rFonts w:ascii="仿宋" w:hAnsi="仿宋" w:eastAsia="仿宋" w:cs="仿宋_GB2312"/>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25.3</w:t>
      </w:r>
      <w:r>
        <w:rPr>
          <w:rFonts w:ascii="仿宋" w:hAnsi="仿宋" w:eastAsia="仿宋" w:cs="仿宋_GB2312"/>
          <w:color w:val="auto"/>
          <w:sz w:val="24"/>
          <w:highlight w:val="none"/>
        </w:rPr>
        <w:t>公告期限为1个工作日。</w:t>
      </w:r>
    </w:p>
    <w:p>
      <w:pPr>
        <w:tabs>
          <w:tab w:val="left" w:pos="0"/>
        </w:tabs>
        <w:spacing w:line="360" w:lineRule="auto"/>
        <w:ind w:firstLine="480"/>
        <w:rPr>
          <w:rFonts w:hint="eastAsia" w:ascii="仿宋" w:hAnsi="仿宋" w:eastAsia="仿宋" w:cs="仿宋_GB2312"/>
          <w:color w:val="auto"/>
          <w:sz w:val="24"/>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33"/>
        <w:spacing w:line="360" w:lineRule="auto"/>
        <w:ind w:left="479" w:hanging="479" w:hangingChars="199"/>
        <w:rPr>
          <w:rFonts w:hint="eastAsia" w:ascii="仿宋" w:hAnsi="仿宋" w:eastAsia="仿宋" w:cs="仿宋_GB2312"/>
          <w:b/>
          <w:color w:val="auto"/>
          <w:highlight w:val="none"/>
        </w:rPr>
      </w:pPr>
      <w:r>
        <w:rPr>
          <w:rFonts w:hint="eastAsia" w:ascii="仿宋" w:hAnsi="仿宋" w:eastAsia="仿宋" w:cs="仿宋_GB2312"/>
          <w:b/>
          <w:color w:val="auto"/>
          <w:highlight w:val="none"/>
        </w:rPr>
        <w:t xml:space="preserve">26. </w:t>
      </w:r>
      <w:r>
        <w:rPr>
          <w:rFonts w:hint="eastAsia" w:ascii="仿宋" w:hAnsi="仿宋" w:eastAsia="仿宋" w:cs="仿宋_GB2312"/>
          <w:color w:val="auto"/>
          <w:highlight w:val="none"/>
        </w:rPr>
        <w:t>合同主要条款详见第五部分拟签订的合同文本。</w:t>
      </w:r>
    </w:p>
    <w:p>
      <w:pPr>
        <w:pStyle w:val="33"/>
        <w:spacing w:line="360" w:lineRule="auto"/>
        <w:ind w:left="479" w:hanging="479" w:hangingChars="199"/>
        <w:rPr>
          <w:rFonts w:hint="eastAsia" w:ascii="仿宋" w:hAnsi="仿宋" w:eastAsia="仿宋" w:cs="仿宋_GB2312"/>
          <w:b/>
          <w:color w:val="auto"/>
          <w:highlight w:val="none"/>
        </w:rPr>
      </w:pPr>
      <w:r>
        <w:rPr>
          <w:rFonts w:hint="eastAsia" w:ascii="仿宋" w:hAnsi="仿宋" w:eastAsia="仿宋" w:cs="仿宋_GB2312"/>
          <w:b/>
          <w:color w:val="auto"/>
          <w:highlight w:val="none"/>
        </w:rPr>
        <w:t>27. 合同的签订</w:t>
      </w:r>
    </w:p>
    <w:p>
      <w:pPr>
        <w:widowControl/>
        <w:shd w:val="clear" w:color="auto" w:fill="FFFFFF"/>
        <w:spacing w:line="360" w:lineRule="auto"/>
        <w:ind w:firstLine="480"/>
        <w:jc w:val="left"/>
        <w:rPr>
          <w:rFonts w:hint="eastAsia" w:ascii="仿宋" w:hAnsi="仿宋" w:eastAsia="仿宋" w:cs="Arial"/>
          <w:color w:val="auto"/>
          <w:kern w:val="0"/>
          <w:sz w:val="24"/>
          <w:highlight w:val="none"/>
        </w:rPr>
      </w:pPr>
      <w:r>
        <w:rPr>
          <w:rFonts w:hint="eastAsia" w:ascii="仿宋" w:hAnsi="仿宋" w:eastAsia="仿宋" w:cs="仿宋_GB2312"/>
          <w:color w:val="auto"/>
          <w:sz w:val="24"/>
          <w:highlight w:val="none"/>
        </w:rPr>
        <w:t>27.1</w:t>
      </w:r>
      <w:r>
        <w:rPr>
          <w:rFonts w:hint="eastAsia" w:ascii="仿宋" w:hAnsi="仿宋" w:eastAsia="仿宋" w:cs="Arial"/>
          <w:color w:val="auto"/>
          <w:kern w:val="0"/>
          <w:sz w:val="24"/>
          <w:highlight w:val="none"/>
        </w:rPr>
        <w:t xml:space="preserve"> 采购人与中标人应当在中标通知书发出之日起三十日内，按照招标文件确定的事项签订政府采购合同。</w:t>
      </w:r>
    </w:p>
    <w:p>
      <w:pPr>
        <w:pStyle w:val="307"/>
        <w:snapToGrid w:val="0"/>
        <w:spacing w:before="0"/>
        <w:ind w:firstLine="480"/>
        <w:rPr>
          <w:rFonts w:hint="eastAsia" w:ascii="仿宋" w:hAnsi="仿宋" w:eastAsia="仿宋"/>
          <w:color w:val="auto"/>
          <w:kern w:val="0"/>
          <w:highlight w:val="none"/>
        </w:rPr>
      </w:pPr>
      <w:r>
        <w:rPr>
          <w:rFonts w:hint="eastAsia" w:ascii="仿宋" w:hAnsi="仿宋" w:eastAsia="仿宋" w:cs="仿宋_GB2312"/>
          <w:color w:val="auto"/>
          <w:kern w:val="0"/>
          <w:highlight w:val="none"/>
          <w:lang w:val="zh-CN"/>
        </w:rPr>
        <w:t>27.2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307"/>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27.3如签订合同并生效后，供应商无故拒绝或延期，除按照合同条款处理外，列入不良行为记录一次，并给予通报。</w:t>
      </w:r>
    </w:p>
    <w:p>
      <w:pPr>
        <w:pStyle w:val="307"/>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27.4中标供应商拒绝与采购人签订合同的，采购人可以按照评审报告推荐的中标或者成交候选人名单排序，确定下一候选人为中标供应商，也可以重新开展政府采购活动。</w:t>
      </w:r>
    </w:p>
    <w:p>
      <w:pPr>
        <w:pStyle w:val="33"/>
        <w:spacing w:line="360" w:lineRule="auto"/>
        <w:ind w:left="479" w:hanging="479" w:hangingChars="199"/>
        <w:rPr>
          <w:rFonts w:hint="eastAsia" w:ascii="仿宋" w:hAnsi="仿宋" w:eastAsia="仿宋" w:cs="仿宋_GB2312"/>
          <w:b/>
          <w:color w:val="auto"/>
          <w:highlight w:val="none"/>
        </w:rPr>
      </w:pPr>
      <w:r>
        <w:rPr>
          <w:rFonts w:hint="eastAsia" w:ascii="仿宋" w:hAnsi="仿宋" w:eastAsia="仿宋" w:cs="仿宋_GB2312"/>
          <w:b/>
          <w:color w:val="auto"/>
          <w:highlight w:val="none"/>
        </w:rPr>
        <w:t>28. 履约保证金</w:t>
      </w:r>
    </w:p>
    <w:p>
      <w:pPr>
        <w:tabs>
          <w:tab w:val="left" w:pos="0"/>
        </w:tabs>
        <w:spacing w:line="360" w:lineRule="auto"/>
        <w:ind w:firstLine="480"/>
        <w:rPr>
          <w:rFonts w:hint="eastAsia" w:ascii="仿宋" w:hAnsi="仿宋" w:eastAsia="仿宋"/>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。履约保证金的数额不得超过政府采购合同金额的10%。</w:t>
      </w:r>
    </w:p>
    <w:p>
      <w:pPr>
        <w:tabs>
          <w:tab w:val="left" w:pos="0"/>
        </w:tabs>
        <w:spacing w:line="360" w:lineRule="auto"/>
        <w:ind w:firstLine="480"/>
        <w:rPr>
          <w:rFonts w:hint="eastAsia" w:ascii="仿宋" w:hAnsi="仿宋" w:eastAsia="仿宋"/>
          <w:color w:val="auto"/>
          <w:sz w:val="24"/>
          <w:highlight w:val="none"/>
        </w:rPr>
      </w:pPr>
    </w:p>
    <w:p>
      <w:pPr>
        <w:snapToGrid w:val="0"/>
        <w:spacing w:line="360" w:lineRule="auto"/>
        <w:ind w:left="120" w:leftChars="57" w:firstLine="360" w:firstLineChars="150"/>
        <w:jc w:val="center"/>
        <w:rPr>
          <w:rFonts w:hint="eastAsia" w:ascii="仿宋" w:hAnsi="仿宋" w:eastAsia="仿宋" w:cs="仿宋_GB2312"/>
          <w:b/>
          <w:color w:val="auto"/>
          <w:sz w:val="32"/>
          <w:highlight w:val="none"/>
        </w:rPr>
      </w:pPr>
      <w:r>
        <w:rPr>
          <w:rFonts w:hint="eastAsia" w:ascii="仿宋" w:hAnsi="仿宋" w:eastAsia="仿宋"/>
          <w:color w:val="auto"/>
          <w:sz w:val="24"/>
          <w:highlight w:val="none"/>
        </w:rPr>
        <w:t xml:space="preserve"> </w:t>
      </w:r>
      <w:r>
        <w:rPr>
          <w:rFonts w:hint="eastAsia" w:ascii="仿宋" w:hAnsi="仿宋" w:eastAsia="仿宋" w:cs="仿宋_GB2312"/>
          <w:b/>
          <w:color w:val="auto"/>
          <w:sz w:val="32"/>
          <w:highlight w:val="none"/>
        </w:rPr>
        <w:t>八、验收</w:t>
      </w:r>
    </w:p>
    <w:p>
      <w:pPr>
        <w:pStyle w:val="33"/>
        <w:spacing w:line="360" w:lineRule="auto"/>
        <w:ind w:firstLine="0" w:firstLineChars="0"/>
        <w:rPr>
          <w:rFonts w:hint="eastAsia" w:ascii="仿宋" w:hAnsi="仿宋" w:eastAsia="仿宋" w:cs="仿宋_GB2312"/>
          <w:b/>
          <w:color w:val="auto"/>
          <w:highlight w:val="none"/>
        </w:rPr>
      </w:pPr>
      <w:r>
        <w:rPr>
          <w:rFonts w:hint="eastAsia" w:ascii="仿宋" w:hAnsi="仿宋" w:eastAsia="仿宋" w:cs="仿宋_GB2312"/>
          <w:b/>
          <w:color w:val="auto"/>
          <w:highlight w:val="none"/>
        </w:rPr>
        <w:t>29.验收</w:t>
      </w:r>
    </w:p>
    <w:p>
      <w:pPr>
        <w:tabs>
          <w:tab w:val="left" w:pos="0"/>
        </w:tabs>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35"/>
    <w:p>
      <w:pPr>
        <w:adjustRightInd/>
        <w:spacing w:line="360" w:lineRule="auto"/>
        <w:rPr>
          <w:rFonts w:hint="eastAsia" w:ascii="仿宋" w:hAnsi="仿宋" w:eastAsia="仿宋" w:cs="仿宋_GB2312"/>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0"/>
    <w:bookmarkEnd w:id="31"/>
    <w:p>
      <w:pPr>
        <w:spacing w:line="360" w:lineRule="auto"/>
        <w:jc w:val="center"/>
        <w:outlineLvl w:val="0"/>
        <w:rPr>
          <w:rFonts w:hint="eastAsia" w:ascii="仿宋" w:hAnsi="仿宋" w:eastAsia="仿宋"/>
          <w:color w:val="auto"/>
          <w:sz w:val="24"/>
          <w:highlight w:val="none"/>
        </w:rPr>
      </w:pPr>
      <w:bookmarkStart w:id="36" w:name="第四部分"/>
      <w:r>
        <w:rPr>
          <w:rFonts w:hint="eastAsia" w:ascii="仿宋" w:hAnsi="仿宋" w:eastAsia="仿宋" w:cs="仿宋_GB2312"/>
          <w:b/>
          <w:color w:val="auto"/>
          <w:sz w:val="36"/>
          <w:szCs w:val="36"/>
          <w:highlight w:val="none"/>
        </w:rPr>
        <w:t>第三部分   采购需求</w:t>
      </w:r>
    </w:p>
    <w:p>
      <w:pPr>
        <w:snapToGrid w:val="0"/>
        <w:spacing w:line="360" w:lineRule="auto"/>
        <w:ind w:firstLine="482" w:firstLineChars="200"/>
        <w:outlineLvl w:val="0"/>
        <w:rPr>
          <w:rFonts w:hint="eastAsia" w:ascii="宋体" w:hAnsi="宋体"/>
          <w:b/>
          <w:color w:val="auto"/>
          <w:sz w:val="24"/>
          <w:highlight w:val="none"/>
        </w:rPr>
      </w:pPr>
      <w:r>
        <w:rPr>
          <w:rFonts w:hint="eastAsia" w:ascii="宋体" w:hAnsi="宋体"/>
          <w:b/>
          <w:color w:val="auto"/>
          <w:sz w:val="24"/>
          <w:highlight w:val="none"/>
        </w:rPr>
        <w:t>一、项目概况</w:t>
      </w:r>
    </w:p>
    <w:p>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根据2016年1月1日起实行的“《**法》三十二条：重点目标的管理单位应当建立公共安全视频图像信息系统值班监看、信息保存使用、运行维护等管理制度，保障相关系统正常运行。采集的视频图像信息保存期限不得少于九十日”要求，我校存储需按90天配置。而现在建的区块中监控存储设计仍只有30天。故将建区块存储扩容。又根据智能校园监控设施功能性、智能化的发展需要，考虑到今后设置人脸识别、周界预警、人流车辆、音视频同步存储管理等等需要，现在设计安装的摄像机像素是达不到要求，故在存储码流的计算上采用4M标准，并保留后续的扩展空间，对存储设备进行提前预置接入端口。今后，只需更换磁盘就可以保证存储时间。如将4T磁盘改为6\8\10T。</w:t>
      </w:r>
    </w:p>
    <w:p>
      <w:pPr>
        <w:spacing w:line="360" w:lineRule="auto"/>
        <w:ind w:firstLine="470" w:firstLineChars="196"/>
        <w:rPr>
          <w:rFonts w:hint="eastAsia" w:ascii="仿宋" w:hAnsi="仿宋" w:eastAsia="仿宋"/>
          <w:color w:val="auto"/>
          <w:sz w:val="24"/>
          <w:highlight w:val="none"/>
        </w:rPr>
      </w:pPr>
      <w:r>
        <w:rPr>
          <w:rFonts w:hint="eastAsia" w:ascii="仿宋" w:hAnsi="仿宋" w:eastAsia="仿宋"/>
          <w:color w:val="auto"/>
          <w:sz w:val="24"/>
          <w:highlight w:val="none"/>
        </w:rPr>
        <w:t>1、项目实施地点：杭州师范大学及其指定地点。</w:t>
      </w:r>
    </w:p>
    <w:p>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2、项目实施时间：签订合同30日内完成安装调试、系统集成，验收合格，试运行正常后方可交付使用。</w:t>
      </w:r>
    </w:p>
    <w:p>
      <w:pPr>
        <w:snapToGrid w:val="0"/>
        <w:spacing w:line="360" w:lineRule="auto"/>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rPr>
        <w:t>3、质保（服务）期：要求提供不少于三年7*24免费售后技术支持服务（包括版本升级、故障排除、性能调优、技术咨询等，并负责处理、协调与各系统软件、硬件等供应商的关系）。</w:t>
      </w:r>
    </w:p>
    <w:p>
      <w:pPr>
        <w:snapToGrid w:val="0"/>
        <w:spacing w:line="360" w:lineRule="auto"/>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rPr>
        <w:t>4、项目清单：</w:t>
      </w:r>
    </w:p>
    <w:tbl>
      <w:tblPr>
        <w:tblStyle w:val="85"/>
        <w:tblW w:w="0" w:type="auto"/>
        <w:jc w:val="center"/>
        <w:tblLayout w:type="fixed"/>
        <w:tblCellMar>
          <w:top w:w="0" w:type="dxa"/>
          <w:left w:w="108" w:type="dxa"/>
          <w:bottom w:w="0" w:type="dxa"/>
          <w:right w:w="108" w:type="dxa"/>
        </w:tblCellMar>
      </w:tblPr>
      <w:tblGrid>
        <w:gridCol w:w="418"/>
        <w:gridCol w:w="1080"/>
        <w:gridCol w:w="483"/>
        <w:gridCol w:w="417"/>
        <w:gridCol w:w="919"/>
        <w:gridCol w:w="951"/>
        <w:gridCol w:w="835"/>
        <w:gridCol w:w="1225"/>
        <w:gridCol w:w="810"/>
        <w:gridCol w:w="1496"/>
        <w:gridCol w:w="1316"/>
      </w:tblGrid>
      <w:tr>
        <w:tblPrEx>
          <w:tblCellMar>
            <w:top w:w="0" w:type="dxa"/>
            <w:left w:w="108" w:type="dxa"/>
            <w:bottom w:w="0" w:type="dxa"/>
            <w:right w:w="108" w:type="dxa"/>
          </w:tblCellMar>
        </w:tblPrEx>
        <w:trPr>
          <w:trHeight w:val="681" w:hRule="atLeast"/>
          <w:jc w:val="center"/>
        </w:trPr>
        <w:tc>
          <w:tcPr>
            <w:tcW w:w="418"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标项</w:t>
            </w:r>
          </w:p>
        </w:tc>
        <w:tc>
          <w:tcPr>
            <w:tcW w:w="1080"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483"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417"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计量单位</w:t>
            </w:r>
          </w:p>
        </w:tc>
        <w:tc>
          <w:tcPr>
            <w:tcW w:w="919"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预算金额</w:t>
            </w:r>
            <w:r>
              <w:rPr>
                <w:rFonts w:hint="eastAsia" w:ascii="宋体" w:hAnsi="宋体" w:cs="宋体"/>
                <w:b/>
                <w:bCs/>
                <w:color w:val="auto"/>
                <w:kern w:val="0"/>
                <w:sz w:val="20"/>
                <w:szCs w:val="20"/>
                <w:highlight w:val="none"/>
              </w:rPr>
              <w:br w:type="textWrapping"/>
            </w:r>
            <w:r>
              <w:rPr>
                <w:rFonts w:hint="eastAsia" w:ascii="宋体" w:hAnsi="宋体" w:cs="宋体"/>
                <w:b/>
                <w:bCs/>
                <w:color w:val="auto"/>
                <w:kern w:val="0"/>
                <w:sz w:val="20"/>
                <w:szCs w:val="20"/>
                <w:highlight w:val="none"/>
              </w:rPr>
              <w:t>(元)</w:t>
            </w:r>
          </w:p>
        </w:tc>
        <w:tc>
          <w:tcPr>
            <w:tcW w:w="951"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申报部门</w:t>
            </w:r>
          </w:p>
        </w:tc>
        <w:tc>
          <w:tcPr>
            <w:tcW w:w="835"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申报人</w:t>
            </w:r>
          </w:p>
        </w:tc>
        <w:tc>
          <w:tcPr>
            <w:tcW w:w="1225"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联系电话</w:t>
            </w:r>
          </w:p>
        </w:tc>
        <w:tc>
          <w:tcPr>
            <w:tcW w:w="810"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经费名称</w:t>
            </w:r>
          </w:p>
        </w:tc>
        <w:tc>
          <w:tcPr>
            <w:tcW w:w="1496"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预算号</w:t>
            </w:r>
          </w:p>
        </w:tc>
        <w:tc>
          <w:tcPr>
            <w:tcW w:w="1316"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执行号</w:t>
            </w:r>
          </w:p>
        </w:tc>
      </w:tr>
      <w:tr>
        <w:tblPrEx>
          <w:tblCellMar>
            <w:top w:w="0" w:type="dxa"/>
            <w:left w:w="108" w:type="dxa"/>
            <w:bottom w:w="0" w:type="dxa"/>
            <w:right w:w="108" w:type="dxa"/>
          </w:tblCellMar>
        </w:tblPrEx>
        <w:trPr>
          <w:trHeight w:val="482" w:hRule="atLeast"/>
          <w:jc w:val="center"/>
        </w:trPr>
        <w:tc>
          <w:tcPr>
            <w:tcW w:w="418" w:type="dxa"/>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w:t>
            </w:r>
          </w:p>
        </w:tc>
        <w:tc>
          <w:tcPr>
            <w:tcW w:w="108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D</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区块监控机房存储扩展</w:t>
            </w:r>
          </w:p>
        </w:tc>
        <w:tc>
          <w:tcPr>
            <w:tcW w:w="483"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17"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919"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920000</w:t>
            </w:r>
          </w:p>
        </w:tc>
        <w:tc>
          <w:tcPr>
            <w:tcW w:w="951"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保卫处</w:t>
            </w:r>
          </w:p>
        </w:tc>
        <w:tc>
          <w:tcPr>
            <w:tcW w:w="83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徐盖鸿</w:t>
            </w:r>
          </w:p>
        </w:tc>
        <w:tc>
          <w:tcPr>
            <w:tcW w:w="122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28867117</w:t>
            </w:r>
          </w:p>
        </w:tc>
        <w:tc>
          <w:tcPr>
            <w:tcW w:w="81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基建经费</w:t>
            </w:r>
          </w:p>
        </w:tc>
        <w:tc>
          <w:tcPr>
            <w:tcW w:w="1496" w:type="dxa"/>
            <w:tcBorders>
              <w:top w:val="nil"/>
              <w:left w:val="nil"/>
              <w:bottom w:val="single" w:color="auto" w:sz="4" w:space="0"/>
              <w:right w:val="single" w:color="auto" w:sz="4" w:space="0"/>
            </w:tcBorders>
            <w:noWrap w:val="0"/>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HZZFCG-YS</w:t>
            </w:r>
          </w:p>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-2019-06069</w:t>
            </w:r>
          </w:p>
        </w:tc>
        <w:tc>
          <w:tcPr>
            <w:tcW w:w="1316"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杭政采集-2019-00504</w:t>
            </w:r>
          </w:p>
        </w:tc>
      </w:tr>
      <w:tr>
        <w:tblPrEx>
          <w:tblCellMar>
            <w:top w:w="0" w:type="dxa"/>
            <w:left w:w="108" w:type="dxa"/>
            <w:bottom w:w="0" w:type="dxa"/>
            <w:right w:w="108" w:type="dxa"/>
          </w:tblCellMar>
        </w:tblPrEx>
        <w:trPr>
          <w:trHeight w:val="565" w:hRule="atLeast"/>
          <w:jc w:val="center"/>
        </w:trPr>
        <w:tc>
          <w:tcPr>
            <w:tcW w:w="418" w:type="dxa"/>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二</w:t>
            </w:r>
          </w:p>
        </w:tc>
        <w:tc>
          <w:tcPr>
            <w:tcW w:w="108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D</w:t>
            </w:r>
            <w:r>
              <w:rPr>
                <w:rFonts w:ascii="宋体" w:hAnsi="宋体" w:cs="宋体"/>
                <w:color w:val="auto"/>
                <w:kern w:val="0"/>
                <w:sz w:val="20"/>
                <w:szCs w:val="20"/>
                <w:highlight w:val="none"/>
              </w:rPr>
              <w:t>5</w:t>
            </w:r>
            <w:r>
              <w:rPr>
                <w:rFonts w:hint="eastAsia" w:ascii="宋体" w:hAnsi="宋体" w:cs="宋体"/>
                <w:color w:val="auto"/>
                <w:kern w:val="0"/>
                <w:sz w:val="20"/>
                <w:szCs w:val="20"/>
                <w:highlight w:val="none"/>
              </w:rPr>
              <w:t>区块监控机房存储扩展</w:t>
            </w:r>
          </w:p>
        </w:tc>
        <w:tc>
          <w:tcPr>
            <w:tcW w:w="483"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17"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919"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960000</w:t>
            </w:r>
          </w:p>
        </w:tc>
        <w:tc>
          <w:tcPr>
            <w:tcW w:w="951"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保卫处</w:t>
            </w:r>
          </w:p>
        </w:tc>
        <w:tc>
          <w:tcPr>
            <w:tcW w:w="83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徐盖鸿</w:t>
            </w:r>
          </w:p>
        </w:tc>
        <w:tc>
          <w:tcPr>
            <w:tcW w:w="122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28867117</w:t>
            </w:r>
          </w:p>
        </w:tc>
        <w:tc>
          <w:tcPr>
            <w:tcW w:w="81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基建经费</w:t>
            </w:r>
          </w:p>
        </w:tc>
        <w:tc>
          <w:tcPr>
            <w:tcW w:w="1496" w:type="dxa"/>
            <w:tcBorders>
              <w:top w:val="nil"/>
              <w:left w:val="nil"/>
              <w:bottom w:val="single" w:color="auto" w:sz="4" w:space="0"/>
              <w:right w:val="single" w:color="auto" w:sz="4" w:space="0"/>
            </w:tcBorders>
            <w:noWrap w:val="0"/>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HZZFCG-YS</w:t>
            </w:r>
          </w:p>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-2019-04734</w:t>
            </w:r>
          </w:p>
        </w:tc>
        <w:tc>
          <w:tcPr>
            <w:tcW w:w="1316"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杭政采集-2019-00504</w:t>
            </w:r>
          </w:p>
        </w:tc>
      </w:tr>
      <w:tr>
        <w:tblPrEx>
          <w:tblCellMar>
            <w:top w:w="0" w:type="dxa"/>
            <w:left w:w="108" w:type="dxa"/>
            <w:bottom w:w="0" w:type="dxa"/>
            <w:right w:w="108" w:type="dxa"/>
          </w:tblCellMar>
        </w:tblPrEx>
        <w:trPr>
          <w:trHeight w:val="335" w:hRule="atLeast"/>
          <w:jc w:val="center"/>
        </w:trPr>
        <w:tc>
          <w:tcPr>
            <w:tcW w:w="418" w:type="dxa"/>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w:t>
            </w:r>
          </w:p>
        </w:tc>
        <w:tc>
          <w:tcPr>
            <w:tcW w:w="108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C</w:t>
            </w:r>
            <w:r>
              <w:rPr>
                <w:rFonts w:hint="eastAsia" w:ascii="宋体" w:hAnsi="宋体" w:cs="宋体"/>
                <w:color w:val="auto"/>
                <w:kern w:val="0"/>
                <w:sz w:val="20"/>
                <w:szCs w:val="20"/>
                <w:highlight w:val="none"/>
              </w:rPr>
              <w:t>区块监控机房存储扩展</w:t>
            </w:r>
          </w:p>
        </w:tc>
        <w:tc>
          <w:tcPr>
            <w:tcW w:w="483"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17"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919"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3610000</w:t>
            </w:r>
          </w:p>
        </w:tc>
        <w:tc>
          <w:tcPr>
            <w:tcW w:w="951"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保卫处</w:t>
            </w:r>
          </w:p>
        </w:tc>
        <w:tc>
          <w:tcPr>
            <w:tcW w:w="83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徐盖鸿</w:t>
            </w:r>
          </w:p>
        </w:tc>
        <w:tc>
          <w:tcPr>
            <w:tcW w:w="1225"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28867117</w:t>
            </w:r>
          </w:p>
        </w:tc>
        <w:tc>
          <w:tcPr>
            <w:tcW w:w="810"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基建经费</w:t>
            </w:r>
          </w:p>
        </w:tc>
        <w:tc>
          <w:tcPr>
            <w:tcW w:w="1496" w:type="dxa"/>
            <w:tcBorders>
              <w:top w:val="nil"/>
              <w:left w:val="nil"/>
              <w:bottom w:val="single" w:color="auto" w:sz="4" w:space="0"/>
              <w:right w:val="single" w:color="auto" w:sz="4" w:space="0"/>
            </w:tcBorders>
            <w:noWrap w:val="0"/>
            <w:vAlign w:val="center"/>
          </w:tcPr>
          <w:p>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HZZFCG-YS</w:t>
            </w:r>
          </w:p>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-2019-04714</w:t>
            </w:r>
          </w:p>
        </w:tc>
        <w:tc>
          <w:tcPr>
            <w:tcW w:w="1316" w:type="dxa"/>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杭政采集-2019-00504</w:t>
            </w:r>
          </w:p>
        </w:tc>
      </w:tr>
    </w:tbl>
    <w:p>
      <w:pPr>
        <w:snapToGrid w:val="0"/>
        <w:spacing w:line="360" w:lineRule="auto"/>
        <w:outlineLvl w:val="0"/>
        <w:rPr>
          <w:rFonts w:hint="eastAsia" w:ascii="仿宋" w:hAnsi="仿宋" w:eastAsia="仿宋"/>
          <w:color w:val="auto"/>
          <w:sz w:val="24"/>
          <w:highlight w:val="none"/>
        </w:rPr>
      </w:pPr>
    </w:p>
    <w:p>
      <w:pPr>
        <w:snapToGrid w:val="0"/>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二、具体参数</w:t>
      </w:r>
    </w:p>
    <w:p>
      <w:pPr>
        <w:snapToGrid w:val="0"/>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标项一：D</w:t>
      </w:r>
      <w:r>
        <w:rPr>
          <w:rFonts w:ascii="宋体" w:hAnsi="宋体"/>
          <w:b/>
          <w:color w:val="auto"/>
          <w:sz w:val="24"/>
          <w:highlight w:val="none"/>
        </w:rPr>
        <w:t>1</w:t>
      </w:r>
      <w:r>
        <w:rPr>
          <w:rFonts w:hint="eastAsia" w:ascii="宋体" w:hAnsi="宋体"/>
          <w:b/>
          <w:color w:val="auto"/>
          <w:sz w:val="24"/>
          <w:highlight w:val="none"/>
        </w:rPr>
        <w:t>区块监控机房存储扩展</w:t>
      </w:r>
    </w:p>
    <w:tbl>
      <w:tblPr>
        <w:tblStyle w:val="85"/>
        <w:tblW w:w="0" w:type="auto"/>
        <w:jc w:val="center"/>
        <w:tblLayout w:type="fixed"/>
        <w:tblCellMar>
          <w:top w:w="15" w:type="dxa"/>
          <w:left w:w="108" w:type="dxa"/>
          <w:bottom w:w="15" w:type="dxa"/>
          <w:right w:w="108" w:type="dxa"/>
        </w:tblCellMar>
      </w:tblPr>
      <w:tblGrid>
        <w:gridCol w:w="915"/>
        <w:gridCol w:w="6256"/>
        <w:gridCol w:w="817"/>
        <w:gridCol w:w="1033"/>
      </w:tblGrid>
      <w:tr>
        <w:tblPrEx>
          <w:tblCellMar>
            <w:top w:w="15" w:type="dxa"/>
            <w:left w:w="108" w:type="dxa"/>
            <w:bottom w:w="15" w:type="dxa"/>
            <w:right w:w="108" w:type="dxa"/>
          </w:tblCellMar>
        </w:tblPrEx>
        <w:trPr>
          <w:wBefore w:w="0" w:type="dxa"/>
          <w:wAfter w:w="0" w:type="dxa"/>
          <w:trHeight w:val="690" w:hRule="atLeast"/>
          <w:jc w:val="center"/>
        </w:trPr>
        <w:tc>
          <w:tcPr>
            <w:tcW w:w="91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设备名称</w:t>
            </w:r>
          </w:p>
        </w:tc>
        <w:tc>
          <w:tcPr>
            <w:tcW w:w="625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参数</w:t>
            </w:r>
          </w:p>
        </w:tc>
        <w:tc>
          <w:tcPr>
            <w:tcW w:w="81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数量</w:t>
            </w:r>
          </w:p>
        </w:tc>
        <w:tc>
          <w:tcPr>
            <w:tcW w:w="103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备注</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olor w:val="auto"/>
                <w:sz w:val="20"/>
                <w:szCs w:val="20"/>
                <w:highlight w:val="none"/>
              </w:rPr>
              <w:t>★</w:t>
            </w:r>
            <w:r>
              <w:rPr>
                <w:rFonts w:hint="eastAsia" w:ascii="华文仿宋" w:hAnsi="华文仿宋" w:eastAsia="华文仿宋" w:cs="Tahoma"/>
                <w:color w:val="auto"/>
                <w:kern w:val="0"/>
                <w:sz w:val="20"/>
                <w:szCs w:val="20"/>
                <w:highlight w:val="none"/>
              </w:rPr>
              <w:t>48盘位存储服务器（核心产品）</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48盘位存储主机；</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单设备应配置64位多核处理器，≥4GB内存，内存支持扩展到≥128GB，需配置冗余金牌电源；</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单设备应标配≥2个千兆网口，可增扩≥2个万兆口或≥8个光纤接口口或增配≥4个HDMI接口或≥2个SAS3.0接口，可扩展2个SSD固态硬盘；</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能提供RAID0、1、3、5、6、10、50、60、JBOD、RAIDErasingCode、Raid5EE模式，支持全局、局部等多种热备选择，支持坏盘自动重构；</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能对视音频、图片、智能分析录像混合直存，无需存储服务器和图片服务器参与；</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▲最多可支持同时损坏8块盘时所属RAID存储数据不丢失，可以正常读写；</w:t>
            </w:r>
            <w:r>
              <w:rPr>
                <w:rFonts w:hint="eastAsia" w:ascii="宋体" w:hAnsi="宋体" w:cs="Tahoma"/>
                <w:color w:val="auto"/>
                <w:kern w:val="0"/>
                <w:sz w:val="20"/>
                <w:szCs w:val="20"/>
                <w:highlight w:val="none"/>
              </w:rPr>
              <w:t>（提供检测报告并加盖公章）</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能接入并存储1600Mbps视频图像，同时转发1600Mbps的视频图像；同时回放384Mbps的视频图像；</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▲可根据数据对象的重要性、访问频率等属性对数据进行自动分层存储；</w:t>
            </w:r>
            <w:r>
              <w:rPr>
                <w:rFonts w:hint="eastAsia" w:ascii="宋体" w:hAnsi="宋体" w:cs="Tahoma"/>
                <w:color w:val="auto"/>
                <w:kern w:val="0"/>
                <w:sz w:val="20"/>
                <w:szCs w:val="20"/>
                <w:highlight w:val="none"/>
              </w:rPr>
              <w:t>（提供检测报告并加盖公章）</w:t>
            </w:r>
          </w:p>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支持RTSP/ONVIF/PSIA/SIP（GB/T28181）等标准网络协议</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▲支持网络中断后重新恢复，设备可续存断网期间存储在前端设备中的录像文件，并可通过IE浏览器设置自动回传和手动回传</w:t>
            </w:r>
            <w:r>
              <w:rPr>
                <w:rFonts w:hint="eastAsia" w:ascii="宋体" w:hAnsi="宋体" w:cs="Tahoma"/>
                <w:color w:val="auto"/>
                <w:kern w:val="0"/>
                <w:sz w:val="20"/>
                <w:szCs w:val="20"/>
                <w:highlight w:val="none"/>
              </w:rPr>
              <w:t>（提供检测报告并加盖公章）</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7</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rPr>
                <w:rFonts w:ascii="华文仿宋" w:hAnsi="华文仿宋" w:eastAsia="华文仿宋" w:cs="Tahoma"/>
                <w:color w:val="auto"/>
                <w:kern w:val="0"/>
                <w:szCs w:val="21"/>
                <w:highlight w:val="none"/>
              </w:rPr>
            </w:pPr>
            <w:r>
              <w:rPr>
                <w:rFonts w:hint="eastAsia" w:ascii="华文仿宋" w:hAnsi="华文仿宋" w:eastAsia="华文仿宋" w:cs="Tahoma"/>
                <w:color w:val="auto"/>
                <w:kern w:val="0"/>
                <w:szCs w:val="21"/>
                <w:highlight w:val="none"/>
              </w:rPr>
              <w:t>1.D1区块摄像机数量为254路。</w:t>
            </w:r>
            <w:r>
              <w:rPr>
                <w:rFonts w:hint="eastAsia" w:ascii="华文仿宋" w:hAnsi="华文仿宋" w:eastAsia="华文仿宋" w:cs="Tahoma"/>
                <w:color w:val="auto"/>
                <w:kern w:val="0"/>
                <w:szCs w:val="21"/>
                <w:highlight w:val="none"/>
              </w:rPr>
              <w:br w:type="textWrapping"/>
            </w:r>
            <w:r>
              <w:rPr>
                <w:rFonts w:hint="eastAsia" w:ascii="华文仿宋" w:hAnsi="华文仿宋" w:eastAsia="华文仿宋" w:cs="Tahoma"/>
                <w:color w:val="auto"/>
                <w:kern w:val="0"/>
                <w:szCs w:val="21"/>
                <w:highlight w:val="none"/>
              </w:rPr>
              <w:t>2.前端码流按照4M计算</w:t>
            </w:r>
            <w:r>
              <w:rPr>
                <w:rFonts w:hint="eastAsia" w:ascii="华文仿宋" w:hAnsi="华文仿宋" w:eastAsia="华文仿宋" w:cs="Tahoma"/>
                <w:color w:val="auto"/>
                <w:kern w:val="0"/>
                <w:szCs w:val="21"/>
                <w:highlight w:val="none"/>
              </w:rPr>
              <w:br w:type="textWrapping"/>
            </w:r>
            <w:r>
              <w:rPr>
                <w:rFonts w:hint="eastAsia" w:ascii="华文仿宋" w:hAnsi="华文仿宋" w:eastAsia="华文仿宋" w:cs="Tahoma"/>
                <w:color w:val="auto"/>
                <w:kern w:val="0"/>
                <w:szCs w:val="21"/>
                <w:highlight w:val="none"/>
              </w:rPr>
              <w:t>3.存储时间60天</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4T企业级硬盘</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4TB/128MB(6Gb/秒 NCQ)/7200RPM/SATA3</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336</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流媒体服务器</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4114(10核2.2GHz)×1/32G DDR4/600G SAS×2/SAS_HBA/1GbE×2/Win Svr 2016 简中标版/550W(1+1)/2U/16DIMM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olor w:val="auto"/>
                <w:sz w:val="20"/>
                <w:szCs w:val="20"/>
                <w:highlight w:val="none"/>
              </w:rPr>
              <w:t>★</w:t>
            </w:r>
            <w:r>
              <w:rPr>
                <w:rFonts w:hint="eastAsia" w:ascii="华文仿宋" w:hAnsi="华文仿宋" w:eastAsia="华文仿宋" w:cs="Tahoma"/>
                <w:color w:val="auto"/>
                <w:kern w:val="0"/>
                <w:sz w:val="20"/>
                <w:szCs w:val="20"/>
                <w:highlight w:val="none"/>
              </w:rPr>
              <w:t>存储管理服务器（核心产品）</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包含1500路授权</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实现实时预览、云台控制、录像回放等视频监控功能。实现统一身份认证和权限控制、组织与角色管理维护、设备集中管理、任务计划执行和调度、报警规则与处理管理、电子地图集中配置、设备巡检和日志管理等功能。</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支持多种报警的接收，包括视频丢失报警，视频遮挡报警，移动侦测报警、IO报警、智能分析事件报警，服务器异常状态报警；</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支持报警联动方式有：客户端弹视频图像、声光显示、信息叠加、语音对讲、电子地图、云台联动，报警上墙、短信联动、Email联动等方式；</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支持报警手动确认并插入确认信息；</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支持临时性单个及批量报警布撤防；</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支持报警信息按时间类型查询检索；</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支持报警日志关联录像查询回放；</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支持报警信息的过滤，避免大量重复报警信息；</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支持手动触发报警；</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支持接收巡查报警，门禁报警，停车场报警，报警主机等传来的报警，并对其进行操作和过滤，支持状态图例显示，如报警，布撤防，离线等</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全高清2.5D地图，能够提供丰富的图上作战功能，包括基于GIS的监控点范围查询、轨迹查询、预览回放、一键上墙、覆盖范围可视化管控、报警可视化应用、案情管理、多资源显示和快速查询等功能；支持数据地图与卫星地图的切换显示；支持地图漫游，放大，缩小，测距，测面，框选，截图等地图功能；支持地图鹰眼功能；支持地图预置点设置，修改，调用功能；支持监控点，车辆，告警IO，监控点分组等元素在地图上的显示；支持地图上对视频资源的预览，云台控制，录像回放，历史告警查询，广播等功能；支持地图元素的资产信息，维护信息的显示，设备在线状态，现场安装图片的显示；支持监控点，智能监控点的告警信息实时闪烁提示功能；支持车载，单兵等带有GPS信息设备在地图上位置实时显示和历史轨迹回放；支持按区域统计监控点、报警点等资源的信息，在线率显示。</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▲投标产品须与该区块设备匹配并与学校现有主平台软件无缝对接，完美兼容，保证系统正常运行，</w:t>
            </w:r>
            <w:r>
              <w:rPr>
                <w:rFonts w:hint="eastAsia" w:ascii="宋体" w:hAnsi="宋体" w:cs="Tahoma"/>
                <w:color w:val="auto"/>
                <w:kern w:val="0"/>
                <w:sz w:val="20"/>
                <w:szCs w:val="20"/>
                <w:highlight w:val="none"/>
              </w:rPr>
              <w:t>并在投标时提供无缝对接承诺书。</w:t>
            </w:r>
            <w:r>
              <w:rPr>
                <w:rFonts w:hint="eastAsia" w:ascii="华文仿宋" w:hAnsi="华文仿宋" w:eastAsia="华文仿宋" w:cs="Tahoma"/>
                <w:color w:val="auto"/>
                <w:kern w:val="0"/>
                <w:sz w:val="20"/>
                <w:szCs w:val="20"/>
                <w:highlight w:val="none"/>
              </w:rPr>
              <w:t>如中标后发现所投品牌型号不能与现有设备匹配兼容，后果均有由投标人自行承担，费用不作调整。</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核心交换机</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性能要求</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交换容量≥</w:t>
            </w:r>
            <w:r>
              <w:rPr>
                <w:rFonts w:ascii="华文仿宋" w:hAnsi="华文仿宋" w:eastAsia="华文仿宋" w:cs="Tahoma"/>
                <w:color w:val="auto"/>
                <w:kern w:val="0"/>
                <w:sz w:val="20"/>
                <w:szCs w:val="20"/>
                <w:highlight w:val="none"/>
              </w:rPr>
              <w:t>590</w:t>
            </w:r>
            <w:r>
              <w:rPr>
                <w:rFonts w:hint="eastAsia" w:ascii="华文仿宋" w:hAnsi="华文仿宋" w:eastAsia="华文仿宋" w:cs="Tahoma"/>
                <w:color w:val="auto"/>
                <w:kern w:val="0"/>
                <w:sz w:val="20"/>
                <w:szCs w:val="20"/>
                <w:highlight w:val="none"/>
              </w:rPr>
              <w:t>Gbps，包转发率≥</w:t>
            </w:r>
            <w:r>
              <w:rPr>
                <w:rFonts w:ascii="华文仿宋" w:hAnsi="华文仿宋" w:eastAsia="华文仿宋" w:cs="Tahoma"/>
                <w:color w:val="auto"/>
                <w:kern w:val="0"/>
                <w:sz w:val="20"/>
                <w:szCs w:val="20"/>
                <w:highlight w:val="none"/>
              </w:rPr>
              <w:t>220</w:t>
            </w:r>
            <w:r>
              <w:rPr>
                <w:rFonts w:hint="eastAsia" w:ascii="华文仿宋" w:hAnsi="华文仿宋" w:eastAsia="华文仿宋" w:cs="Tahoma"/>
                <w:color w:val="auto"/>
                <w:kern w:val="0"/>
                <w:sz w:val="20"/>
                <w:szCs w:val="20"/>
                <w:highlight w:val="none"/>
              </w:rPr>
              <w:t xml:space="preserve">Mpps </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支持≥2</w:t>
            </w:r>
            <w:r>
              <w:rPr>
                <w:rFonts w:ascii="华文仿宋" w:hAnsi="华文仿宋" w:eastAsia="华文仿宋" w:cs="Tahoma"/>
                <w:color w:val="auto"/>
                <w:kern w:val="0"/>
                <w:sz w:val="20"/>
                <w:szCs w:val="20"/>
                <w:highlight w:val="none"/>
              </w:rPr>
              <w:t>8</w:t>
            </w:r>
            <w:r>
              <w:rPr>
                <w:rFonts w:hint="eastAsia" w:ascii="华文仿宋" w:hAnsi="华文仿宋" w:eastAsia="华文仿宋" w:cs="Tahoma"/>
                <w:color w:val="auto"/>
                <w:kern w:val="0"/>
                <w:sz w:val="20"/>
                <w:szCs w:val="20"/>
                <w:highlight w:val="none"/>
              </w:rPr>
              <w:t>个千兆电口， ≥</w:t>
            </w:r>
            <w:r>
              <w:rPr>
                <w:rFonts w:ascii="华文仿宋" w:hAnsi="华文仿宋" w:eastAsia="华文仿宋" w:cs="Tahoma"/>
                <w:color w:val="auto"/>
                <w:kern w:val="0"/>
                <w:sz w:val="20"/>
                <w:szCs w:val="20"/>
                <w:highlight w:val="none"/>
              </w:rPr>
              <w:t xml:space="preserve">4个复用的千兆Combo </w:t>
            </w:r>
            <w:r>
              <w:rPr>
                <w:rFonts w:hint="eastAsia" w:ascii="华文仿宋" w:hAnsi="华文仿宋" w:eastAsia="华文仿宋" w:cs="Tahoma"/>
                <w:color w:val="auto"/>
                <w:kern w:val="0"/>
                <w:sz w:val="20"/>
                <w:szCs w:val="20"/>
                <w:highlight w:val="none"/>
              </w:rPr>
              <w:t>光口，≥4个万兆光口，≥1个扩展槽</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实配电源冗余配置、支持电源冗余配置</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支持4K个VLAN，支持Voice VLAN，基于端口的VLAN，基于MAC的VLAN，基于协议的VLAN</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支持MAC地址≥</w:t>
            </w:r>
            <w:r>
              <w:rPr>
                <w:rFonts w:ascii="华文仿宋" w:hAnsi="华文仿宋" w:eastAsia="华文仿宋" w:cs="Tahoma"/>
                <w:color w:val="auto"/>
                <w:kern w:val="0"/>
                <w:sz w:val="20"/>
                <w:szCs w:val="20"/>
                <w:highlight w:val="none"/>
              </w:rPr>
              <w:t>64</w:t>
            </w:r>
            <w:r>
              <w:rPr>
                <w:rFonts w:hint="eastAsia" w:ascii="华文仿宋" w:hAnsi="华文仿宋" w:eastAsia="华文仿宋" w:cs="Tahoma"/>
                <w:color w:val="auto"/>
                <w:kern w:val="0"/>
                <w:sz w:val="20"/>
                <w:szCs w:val="20"/>
                <w:highlight w:val="none"/>
              </w:rPr>
              <w:t>K，提供第三方权威机构检测报告</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支持端口聚合，每个聚合组至少8个端口，支持跨设备链路聚合</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IP路由</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 xml:space="preserve">支持静态路由、RIP、RIPng、OSPF路由协议 </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 xml:space="preserve">支持IPv6 </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为方便管理，接入交换机可作为现有核心交换机纵向子节点零配置即插即用；提供第三方权威机构检测报告及技术白皮书</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支持802.1x认证、AAA认证、Radius等多种方式</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支持端口隔离、端口安全，DHCP Snooping，CPU保护等功能</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支持智能以太保护SEP协议，支持ERPS以太环保护协议（G.8032）</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接口防雷能力≥</w:t>
            </w:r>
            <w:r>
              <w:rPr>
                <w:rFonts w:ascii="华文仿宋" w:hAnsi="华文仿宋" w:eastAsia="华文仿宋" w:cs="Tahoma"/>
                <w:color w:val="auto"/>
                <w:kern w:val="0"/>
                <w:sz w:val="20"/>
                <w:szCs w:val="20"/>
                <w:highlight w:val="none"/>
              </w:rPr>
              <w:t>8</w:t>
            </w:r>
            <w:r>
              <w:rPr>
                <w:rFonts w:hint="eastAsia" w:ascii="华文仿宋" w:hAnsi="华文仿宋" w:eastAsia="华文仿宋" w:cs="Tahoma"/>
                <w:color w:val="auto"/>
                <w:kern w:val="0"/>
                <w:sz w:val="20"/>
                <w:szCs w:val="20"/>
                <w:highlight w:val="none"/>
              </w:rPr>
              <w:t>kv</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支持SNMP v1/v2/v3、Telnet远程维护、网管系统管理、WEB网管</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支持堆叠，主机堆叠数不小于9台，要求与现有监控网核心设备做虚拟化功能，支持统一接入管理。</w:t>
            </w:r>
          </w:p>
          <w:p>
            <w:pPr>
              <w:rPr>
                <w:rFonts w:ascii="华文仿宋" w:hAnsi="华文仿宋" w:eastAsia="华文仿宋" w:cs="Tahoma"/>
                <w:color w:val="auto"/>
                <w:kern w:val="0"/>
                <w:sz w:val="20"/>
                <w:szCs w:val="20"/>
                <w:highlight w:val="none"/>
              </w:rPr>
            </w:pPr>
            <w:r>
              <w:rPr>
                <w:rFonts w:ascii="华文仿宋" w:hAnsi="华文仿宋" w:eastAsia="华文仿宋" w:cs="Tahoma"/>
                <w:color w:val="auto"/>
                <w:kern w:val="0"/>
                <w:sz w:val="20"/>
                <w:szCs w:val="20"/>
                <w:highlight w:val="none"/>
              </w:rPr>
              <w:t>本次采购所有产品（包含光模块等）序列号必须原厂官网可查询</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46寸液晶拼接屏</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仿宋" w:hAnsi="华文仿宋" w:eastAsia="华文仿宋"/>
                <w:color w:val="auto"/>
                <w:sz w:val="20"/>
                <w:szCs w:val="20"/>
                <w:highlight w:val="none"/>
              </w:rPr>
            </w:pPr>
            <w:r>
              <w:rPr>
                <w:rFonts w:hint="eastAsia" w:ascii="华文仿宋" w:hAnsi="华文仿宋" w:eastAsia="华文仿宋"/>
                <w:color w:val="auto"/>
                <w:sz w:val="20"/>
                <w:szCs w:val="20"/>
                <w:highlight w:val="none"/>
              </w:rPr>
              <w:t>LCD液晶显示单元；</w:t>
            </w:r>
            <w:r>
              <w:rPr>
                <w:rFonts w:hint="eastAsia" w:ascii="华文仿宋" w:hAnsi="华文仿宋" w:eastAsia="华文仿宋"/>
                <w:color w:val="auto"/>
                <w:sz w:val="20"/>
                <w:szCs w:val="20"/>
                <w:highlight w:val="none"/>
              </w:rPr>
              <w:br w:type="textWrapping"/>
            </w:r>
            <w:r>
              <w:rPr>
                <w:rFonts w:hint="eastAsia" w:ascii="华文仿宋" w:hAnsi="华文仿宋" w:eastAsia="华文仿宋"/>
                <w:color w:val="auto"/>
                <w:sz w:val="20"/>
                <w:szCs w:val="20"/>
                <w:highlight w:val="none"/>
              </w:rPr>
              <w:t>尺寸：46英寸；</w:t>
            </w:r>
            <w:r>
              <w:rPr>
                <w:rFonts w:hint="eastAsia" w:ascii="华文仿宋" w:hAnsi="华文仿宋" w:eastAsia="华文仿宋"/>
                <w:color w:val="auto"/>
                <w:sz w:val="20"/>
                <w:szCs w:val="20"/>
                <w:highlight w:val="none"/>
              </w:rPr>
              <w:br w:type="textWrapping"/>
            </w:r>
            <w:r>
              <w:rPr>
                <w:rFonts w:hint="eastAsia" w:ascii="华文仿宋" w:hAnsi="华文仿宋" w:eastAsia="华文仿宋" w:cs="Tahoma"/>
                <w:color w:val="auto"/>
                <w:kern w:val="0"/>
                <w:sz w:val="20"/>
                <w:szCs w:val="20"/>
                <w:highlight w:val="none"/>
              </w:rPr>
              <w:t>▲</w:t>
            </w:r>
            <w:r>
              <w:rPr>
                <w:rFonts w:hint="eastAsia" w:ascii="华文仿宋" w:hAnsi="华文仿宋" w:eastAsia="华文仿宋"/>
                <w:color w:val="auto"/>
                <w:sz w:val="20"/>
                <w:szCs w:val="20"/>
                <w:highlight w:val="none"/>
              </w:rPr>
              <w:t>LCD显示单元为：46“超窄边液晶屏；物理分辨率达到1920×1080，物理拼缝≤3.5mm，漏光≤ 1 cd/㎡；</w:t>
            </w:r>
            <w:r>
              <w:rPr>
                <w:rFonts w:hint="eastAsia" w:ascii="华文仿宋" w:hAnsi="华文仿宋" w:eastAsia="华文仿宋"/>
                <w:color w:val="auto"/>
                <w:sz w:val="20"/>
                <w:szCs w:val="20"/>
                <w:highlight w:val="none"/>
              </w:rPr>
              <w:br w:type="textWrapping"/>
            </w:r>
            <w:r>
              <w:rPr>
                <w:rFonts w:hint="eastAsia" w:ascii="华文仿宋" w:hAnsi="华文仿宋" w:eastAsia="华文仿宋"/>
                <w:color w:val="auto"/>
                <w:sz w:val="20"/>
                <w:szCs w:val="20"/>
                <w:highlight w:val="none"/>
              </w:rPr>
              <w:t>LCD显示单元视角可达178°，画面的输出精确和稳定，色彩饱和靓丽，屏幕更加明亮。屏幕漏光度小于0.01cd/㎡，可抵抗太阳光等强光干扰,照度在95KLux能正常工作；</w:t>
            </w:r>
            <w:r>
              <w:rPr>
                <w:rFonts w:hint="eastAsia" w:ascii="华文仿宋" w:hAnsi="华文仿宋" w:eastAsia="华文仿宋"/>
                <w:color w:val="auto"/>
                <w:sz w:val="20"/>
                <w:szCs w:val="20"/>
                <w:highlight w:val="none"/>
              </w:rPr>
              <w:br w:type="textWrapping"/>
            </w:r>
            <w:r>
              <w:rPr>
                <w:rFonts w:hint="eastAsia" w:ascii="华文仿宋" w:hAnsi="华文仿宋" w:eastAsia="华文仿宋" w:cs="Tahoma"/>
                <w:color w:val="auto"/>
                <w:kern w:val="0"/>
                <w:sz w:val="20"/>
                <w:szCs w:val="20"/>
                <w:highlight w:val="none"/>
              </w:rPr>
              <w:t>▲</w:t>
            </w:r>
            <w:r>
              <w:rPr>
                <w:rFonts w:hint="eastAsia" w:ascii="华文仿宋" w:hAnsi="华文仿宋" w:eastAsia="华文仿宋"/>
                <w:color w:val="auto"/>
                <w:sz w:val="20"/>
                <w:szCs w:val="20"/>
                <w:highlight w:val="none"/>
              </w:rPr>
              <w:t>LCD显示单元亮度达到700cd/㎡</w:t>
            </w:r>
            <w:r>
              <w:rPr>
                <w:rFonts w:hint="eastAsia" w:ascii="华文仿宋" w:hAnsi="华文仿宋" w:eastAsia="华文仿宋"/>
                <w:color w:val="auto"/>
                <w:sz w:val="20"/>
                <w:szCs w:val="20"/>
                <w:highlight w:val="none"/>
              </w:rPr>
              <w:br w:type="textWrapping"/>
            </w:r>
            <w:r>
              <w:rPr>
                <w:rFonts w:hint="eastAsia" w:ascii="华文仿宋" w:hAnsi="华文仿宋" w:eastAsia="华文仿宋"/>
                <w:color w:val="auto"/>
                <w:sz w:val="20"/>
                <w:szCs w:val="20"/>
                <w:highlight w:val="none"/>
              </w:rPr>
              <w:t>LCD显示单元具备智能光感护眼功能,液晶单元可自动识别环境光强弱,根据环境光变化调节屏幕亮度；</w:t>
            </w:r>
            <w:r>
              <w:rPr>
                <w:rFonts w:hint="eastAsia" w:ascii="华文仿宋" w:hAnsi="华文仿宋" w:eastAsia="华文仿宋"/>
                <w:color w:val="auto"/>
                <w:sz w:val="20"/>
                <w:szCs w:val="20"/>
                <w:highlight w:val="none"/>
              </w:rPr>
              <w:br w:type="textWrapping"/>
            </w:r>
            <w:r>
              <w:rPr>
                <w:rFonts w:hint="eastAsia" w:ascii="华文仿宋" w:hAnsi="华文仿宋" w:eastAsia="华文仿宋"/>
                <w:color w:val="auto"/>
                <w:sz w:val="20"/>
                <w:szCs w:val="20"/>
                <w:highlight w:val="none"/>
              </w:rPr>
              <w:t>输入接口：VGA×1，DVI×1，BNC×1，HDMI×1，USB×1；</w:t>
            </w:r>
            <w:r>
              <w:rPr>
                <w:rFonts w:hint="eastAsia" w:ascii="华文仿宋" w:hAnsi="华文仿宋" w:eastAsia="华文仿宋"/>
                <w:color w:val="auto"/>
                <w:sz w:val="20"/>
                <w:szCs w:val="20"/>
                <w:highlight w:val="none"/>
              </w:rPr>
              <w:br w:type="textWrapping"/>
            </w:r>
            <w:r>
              <w:rPr>
                <w:rFonts w:hint="eastAsia" w:ascii="华文仿宋" w:hAnsi="华文仿宋" w:eastAsia="华文仿宋"/>
                <w:color w:val="auto"/>
                <w:sz w:val="20"/>
                <w:szCs w:val="20"/>
                <w:highlight w:val="none"/>
              </w:rPr>
              <w:t>输出接口：VGA×1，DVI×1，BNC×1；</w:t>
            </w:r>
            <w:r>
              <w:rPr>
                <w:rFonts w:hint="eastAsia" w:ascii="华文仿宋" w:hAnsi="华文仿宋" w:eastAsia="华文仿宋"/>
                <w:color w:val="auto"/>
                <w:sz w:val="20"/>
                <w:szCs w:val="20"/>
                <w:highlight w:val="none"/>
              </w:rPr>
              <w:br w:type="textWrapping"/>
            </w:r>
            <w:r>
              <w:rPr>
                <w:rFonts w:hint="eastAsia" w:ascii="华文仿宋" w:hAnsi="华文仿宋" w:eastAsia="华文仿宋"/>
                <w:color w:val="auto"/>
                <w:sz w:val="20"/>
                <w:szCs w:val="20"/>
                <w:highlight w:val="none"/>
              </w:rPr>
              <w:t>可选配接口 3G SDI(输入×1、输出×1)、DP、HDbaseT、TVI(输入×1、输出×1)、网络源；</w:t>
            </w:r>
            <w:r>
              <w:rPr>
                <w:rFonts w:hint="eastAsia" w:ascii="华文仿宋" w:hAnsi="华文仿宋" w:eastAsia="华文仿宋"/>
                <w:color w:val="auto"/>
                <w:sz w:val="20"/>
                <w:szCs w:val="20"/>
                <w:highlight w:val="none"/>
              </w:rPr>
              <w:br w:type="textWrapping"/>
            </w:r>
            <w:r>
              <w:rPr>
                <w:rFonts w:hint="eastAsia" w:ascii="华文仿宋" w:hAnsi="华文仿宋" w:eastAsia="华文仿宋"/>
                <w:color w:val="auto"/>
                <w:sz w:val="20"/>
                <w:szCs w:val="20"/>
                <w:highlight w:val="none"/>
              </w:rPr>
              <w:t>功耗：≤111W；</w:t>
            </w:r>
            <w:r>
              <w:rPr>
                <w:rFonts w:hint="eastAsia" w:ascii="华文仿宋" w:hAnsi="华文仿宋" w:eastAsia="华文仿宋"/>
                <w:color w:val="auto"/>
                <w:sz w:val="20"/>
                <w:szCs w:val="20"/>
                <w:highlight w:val="none"/>
              </w:rPr>
              <w:br w:type="textWrapping"/>
            </w:r>
            <w:r>
              <w:rPr>
                <w:rFonts w:hint="eastAsia" w:ascii="华文仿宋" w:hAnsi="华文仿宋" w:eastAsia="华文仿宋"/>
                <w:color w:val="auto"/>
                <w:sz w:val="20"/>
                <w:szCs w:val="20"/>
                <w:highlight w:val="none"/>
              </w:rPr>
              <w:t>电源要求：AC 90-264V～；</w:t>
            </w:r>
            <w:r>
              <w:rPr>
                <w:rFonts w:hint="eastAsia" w:ascii="华文仿宋" w:hAnsi="华文仿宋" w:eastAsia="华文仿宋"/>
                <w:color w:val="auto"/>
                <w:sz w:val="20"/>
                <w:szCs w:val="20"/>
                <w:highlight w:val="none"/>
              </w:rPr>
              <w:br w:type="textWrapping"/>
            </w:r>
            <w:r>
              <w:rPr>
                <w:rFonts w:hint="eastAsia" w:ascii="华文仿宋" w:hAnsi="华文仿宋" w:eastAsia="华文仿宋"/>
                <w:color w:val="auto"/>
                <w:sz w:val="20"/>
                <w:szCs w:val="20"/>
                <w:highlight w:val="none"/>
              </w:rPr>
              <w:t>保证产品具备良好的防护性和稳定性，LCD显示单元应具有盐雾试验、防火、防尘IP6X的等级；</w:t>
            </w:r>
            <w:r>
              <w:rPr>
                <w:rFonts w:hint="eastAsia" w:ascii="华文仿宋" w:hAnsi="华文仿宋" w:eastAsia="华文仿宋"/>
                <w:color w:val="auto"/>
                <w:sz w:val="20"/>
                <w:szCs w:val="20"/>
                <w:highlight w:val="none"/>
              </w:rPr>
              <w:br w:type="textWrapping"/>
            </w:r>
            <w:r>
              <w:rPr>
                <w:rFonts w:hint="eastAsia" w:ascii="华文仿宋" w:hAnsi="华文仿宋" w:eastAsia="华文仿宋"/>
                <w:color w:val="auto"/>
                <w:sz w:val="20"/>
                <w:szCs w:val="20"/>
                <w:highlight w:val="none"/>
              </w:rPr>
              <w:t>液晶拼接屏须采用整机设计，严禁使用飞线屏（供货时如果发现飞线屏，业主有权取消中标资格），显示屏具备完整后壳，不得以支架或挡板替代，无任何裸露在外的电路线，整体美观大方，而且产品符合检测规范；</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拼接屏支架及基座</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大屏一体化定制支架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4路高清解码器</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高清视音频解码器</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采用嵌入式架构，采用Linux操作系统，运行稳定可靠</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▲提供4路BNC输出、4路VGA输出、4路HDMI输出，支持BNC/VGA/HDMI同源、同时输出；</w:t>
            </w:r>
            <w:r>
              <w:rPr>
                <w:rFonts w:hint="eastAsia" w:ascii="宋体" w:hAnsi="宋体" w:cs="Tahoma"/>
                <w:color w:val="auto"/>
                <w:kern w:val="0"/>
                <w:sz w:val="20"/>
                <w:szCs w:val="20"/>
                <w:highlight w:val="none"/>
              </w:rPr>
              <w:t>（提供检测报告并加盖公章）</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编码格式：支持H.265、H.264、MPEG4、MJPEG等主流的编码格式；</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封装格式：支持PS、RTP、TS、ES等主流的封装格式；</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音频解码：支持G.722、G.711A、G.726、G.711U、MPEG2-L2、AAC音频格式的解码；</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解码能力：支持4路1200W，或8路800W，或12路500W，或20路300W，或32路1080P及以下分辨率同时实时解码；</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可对输入的视频画面进行90°旋转显示；</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画面分割：支持1、2、4、6、8、9、10、12、16、25画面分割显示；</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可通过软件将1路输入视频图像发送至多个输出接口拼接显示，支持1×2、1×3、1×4、2×1、2×2、3×1、4×1的拼接显示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管理电脑</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商用台式机电脑 三年上门 单主机 I7-6700 8G2T R7350-4G独显,处理器：Intel i7,硬盘容量：3T,电脑类别：商用电脑,内存容量：8G,显卡：2G独立显卡,系统：Windows7及以上.含22寸显示器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3</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操作台</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三联操作台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服务器机柜</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42U标准服务器机柜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bl>
    <w:p>
      <w:pPr>
        <w:snapToGrid w:val="0"/>
        <w:spacing w:line="360" w:lineRule="auto"/>
        <w:ind w:firstLine="482" w:firstLineChars="200"/>
        <w:outlineLvl w:val="0"/>
        <w:rPr>
          <w:rFonts w:ascii="宋体" w:hAnsi="宋体"/>
          <w:b/>
          <w:color w:val="auto"/>
          <w:sz w:val="24"/>
          <w:highlight w:val="none"/>
        </w:rPr>
      </w:pPr>
    </w:p>
    <w:p>
      <w:pPr>
        <w:snapToGrid w:val="0"/>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标项二：D</w:t>
      </w:r>
      <w:r>
        <w:rPr>
          <w:rFonts w:ascii="宋体" w:hAnsi="宋体"/>
          <w:b/>
          <w:color w:val="auto"/>
          <w:sz w:val="24"/>
          <w:highlight w:val="none"/>
        </w:rPr>
        <w:t>5</w:t>
      </w:r>
      <w:r>
        <w:rPr>
          <w:rFonts w:hint="eastAsia" w:ascii="宋体" w:hAnsi="宋体"/>
          <w:b/>
          <w:color w:val="auto"/>
          <w:sz w:val="24"/>
          <w:highlight w:val="none"/>
        </w:rPr>
        <w:t>区块监控机房存储扩展</w:t>
      </w:r>
    </w:p>
    <w:tbl>
      <w:tblPr>
        <w:tblStyle w:val="85"/>
        <w:tblW w:w="0" w:type="auto"/>
        <w:jc w:val="center"/>
        <w:tblLayout w:type="fixed"/>
        <w:tblCellMar>
          <w:top w:w="15" w:type="dxa"/>
          <w:left w:w="108" w:type="dxa"/>
          <w:bottom w:w="15" w:type="dxa"/>
          <w:right w:w="108" w:type="dxa"/>
        </w:tblCellMar>
      </w:tblPr>
      <w:tblGrid>
        <w:gridCol w:w="915"/>
        <w:gridCol w:w="6273"/>
        <w:gridCol w:w="800"/>
        <w:gridCol w:w="1033"/>
      </w:tblGrid>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设备名称</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参数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数量</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备注</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olor w:val="auto"/>
                <w:sz w:val="20"/>
                <w:szCs w:val="20"/>
                <w:highlight w:val="none"/>
              </w:rPr>
              <w:t>★</w:t>
            </w:r>
            <w:r>
              <w:rPr>
                <w:rFonts w:hint="eastAsia" w:ascii="华文仿宋" w:hAnsi="华文仿宋" w:eastAsia="华文仿宋" w:cs="Tahoma"/>
                <w:color w:val="auto"/>
                <w:kern w:val="0"/>
                <w:sz w:val="20"/>
                <w:szCs w:val="20"/>
                <w:highlight w:val="none"/>
              </w:rPr>
              <w:t>48盘位存储服务器（核心产品）</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48盘位存储主机；</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单设备应配置64位多核处理器，≥4GB内存，内存支持扩展到≥128GB，需配置冗余金牌电源；</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单设备应标配≥2个千兆网口，可增扩≥2个万兆口或≥8个光纤接口口或增配≥4个HDMI接口或≥2个SAS3.0接口，可扩展2个SSD固态硬盘；</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能提供RAID0、1、3、5、6、10、50、60、JBOD、RAIDErasingCode、Raid5EE模式，支持全局、局部等多种热备选择，支持坏盘自动重构；</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能对视音频、图片、智能分析录像混合直存，无需存储服务器和图片服务器参与；</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▲最多可支持同时损坏8块盘时所属RAID存储数据不丢失，可以正常读写；</w:t>
            </w:r>
            <w:r>
              <w:rPr>
                <w:rFonts w:hint="eastAsia" w:ascii="宋体" w:hAnsi="宋体" w:cs="Tahoma"/>
                <w:color w:val="auto"/>
                <w:kern w:val="0"/>
                <w:sz w:val="20"/>
                <w:szCs w:val="20"/>
                <w:highlight w:val="none"/>
              </w:rPr>
              <w:t>（提供检测报告并加盖公章）</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能接入并存储1600Mbps视频图像，同时转发1600Mbps的视频图像；同时回放384Mbps的视频图像；</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▲可根据数据对象的重要性、访问频率等属性对数据进行自动分层存储；</w:t>
            </w:r>
            <w:r>
              <w:rPr>
                <w:rFonts w:hint="eastAsia" w:ascii="宋体" w:hAnsi="宋体" w:cs="Tahoma"/>
                <w:color w:val="auto"/>
                <w:kern w:val="0"/>
                <w:sz w:val="20"/>
                <w:szCs w:val="20"/>
                <w:highlight w:val="none"/>
              </w:rPr>
              <w:t>（提供检测报告并加盖公章）</w:t>
            </w:r>
          </w:p>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支持RTSP/ONVIF/PSIA/SIP（GB/T28181）等标准网络协议</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▲支持网络中断后重新恢复，设备可续存断网期间存储在前端设备中的录像文件，并可通过IE浏览器设置自动回传和手动回传</w:t>
            </w:r>
            <w:r>
              <w:rPr>
                <w:rFonts w:hint="eastAsia" w:ascii="宋体" w:hAnsi="宋体" w:cs="Tahoma"/>
                <w:color w:val="auto"/>
                <w:kern w:val="0"/>
                <w:sz w:val="20"/>
                <w:szCs w:val="20"/>
                <w:highlight w:val="none"/>
              </w:rPr>
              <w:t>（提供检测报告并加盖公章）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8</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Cs w:val="21"/>
                <w:highlight w:val="none"/>
              </w:rPr>
            </w:pPr>
            <w:r>
              <w:rPr>
                <w:rFonts w:hint="eastAsia" w:ascii="华文仿宋" w:hAnsi="华文仿宋" w:eastAsia="华文仿宋" w:cs="Tahoma"/>
                <w:color w:val="auto"/>
                <w:kern w:val="0"/>
                <w:szCs w:val="21"/>
                <w:highlight w:val="none"/>
              </w:rPr>
              <w:t>1.D5区块摄像机数量为301路。</w:t>
            </w:r>
            <w:r>
              <w:rPr>
                <w:rFonts w:hint="eastAsia" w:ascii="华文仿宋" w:hAnsi="华文仿宋" w:eastAsia="华文仿宋" w:cs="Tahoma"/>
                <w:color w:val="auto"/>
                <w:kern w:val="0"/>
                <w:szCs w:val="21"/>
                <w:highlight w:val="none"/>
              </w:rPr>
              <w:br w:type="textWrapping"/>
            </w:r>
            <w:r>
              <w:rPr>
                <w:rFonts w:hint="eastAsia" w:ascii="华文仿宋" w:hAnsi="华文仿宋" w:eastAsia="华文仿宋" w:cs="Tahoma"/>
                <w:color w:val="auto"/>
                <w:kern w:val="0"/>
                <w:szCs w:val="21"/>
                <w:highlight w:val="none"/>
              </w:rPr>
              <w:t>2.前端码流按照4M计算</w:t>
            </w:r>
            <w:r>
              <w:rPr>
                <w:rFonts w:hint="eastAsia" w:ascii="华文仿宋" w:hAnsi="华文仿宋" w:eastAsia="华文仿宋" w:cs="Tahoma"/>
                <w:color w:val="auto"/>
                <w:kern w:val="0"/>
                <w:szCs w:val="21"/>
                <w:highlight w:val="none"/>
              </w:rPr>
              <w:br w:type="textWrapping"/>
            </w:r>
            <w:r>
              <w:rPr>
                <w:rFonts w:hint="eastAsia" w:ascii="华文仿宋" w:hAnsi="华文仿宋" w:eastAsia="华文仿宋" w:cs="Tahoma"/>
                <w:color w:val="auto"/>
                <w:kern w:val="0"/>
                <w:szCs w:val="21"/>
                <w:highlight w:val="none"/>
              </w:rPr>
              <w:t>3.存储时间60天</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4T企业级硬盘</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4TB/128MB(6Gb/秒 NCQ)/7200RPM/SATA3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384</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流媒体服务器</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4114(10核2.2GHz)×1/32G DDR4/600G SAS×2/SAS_HBA/1GbE×2/Win Svr 2016 简中标版/550W(1+1)/2U/16DIMM</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olor w:val="auto"/>
                <w:sz w:val="20"/>
                <w:szCs w:val="20"/>
                <w:highlight w:val="none"/>
              </w:rPr>
              <w:t>★</w:t>
            </w:r>
            <w:r>
              <w:rPr>
                <w:rFonts w:hint="eastAsia" w:ascii="华文仿宋" w:hAnsi="华文仿宋" w:eastAsia="华文仿宋" w:cs="Tahoma"/>
                <w:color w:val="auto"/>
                <w:kern w:val="0"/>
                <w:sz w:val="20"/>
                <w:szCs w:val="20"/>
                <w:highlight w:val="none"/>
              </w:rPr>
              <w:t>存储管理服务器（核心产品）</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包含1500路授权</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实现实时预览、云台控制、录像回放等视频监控功能。实现统一身份认证和权限控制、组织与角色管理维护、设备集中管理、任务计划执行和调度、报警规则与处理管理、电子地图集中配置、设备巡检和日志管理等功能。</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支持多种报警的接收，包括视频丢失报警，视频遮挡报警，移动侦测报警、IO报警、智能分析事件报警，服务器异常状态报警；</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支持报警联动方式有：客户端弹视频图像、声光显示、信息叠加、语音对讲、电子地图、云台联动，报警上墙、短信联动、Email联动等方式；</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支持报警手动确认并插入确认信息；</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支持临时性单个及批量报警布撤防；</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支持报警信息按时间类型查询检索；</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支持报警日志关联录像查询回放；</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支持报警信息的过滤，避免大量重复报警信息；</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支持手动触发报警；</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支持接收巡查报警，门禁报警，停车场报警，报警主机等传来的报警，并对其进行操作和过滤，支持状态图例显示，如报警，布撤防，离线等</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全高清2.5D地图，能够提供丰富的图上作战功能，包括基于GIS的监控点范围查询、轨迹查询、预览回放、一键上墙、覆盖范围可视化管控、报警可视化应用、案情管理、多资源显示和快速查询等功能；支持数据地图与卫星地图的切换显示；支持地图漫游，放大，缩小，测距，测面，框选，截图等地图功能；支持地图鹰眼功能；支持地图预置点设置，修改，调用功能；支持监控点，车辆，告警IO，监控点分组等元素在地图上的显示；支持地图上对视频资源的预览，云台控制，录像回放，历史告警查询，广播等功能；支持地图元素的资产信息，维护信息的显示，设备在线状态，现场安装图片的显示；支持监控点，智能监控点的告警信息实时闪烁提示功能；支持车载，单兵等带有GPS信息设备在地图上位置实时显示和历史轨迹回放；支持按区域统计监控点、报警点等资源的信息，在线率显示。</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▲投标产品须与该区块设备匹配并与学校现有主平台软件无缝对接，完美兼容，保证系统正常运行，</w:t>
            </w:r>
            <w:r>
              <w:rPr>
                <w:rFonts w:hint="eastAsia" w:ascii="宋体" w:hAnsi="宋体" w:cs="Tahoma"/>
                <w:color w:val="auto"/>
                <w:kern w:val="0"/>
                <w:sz w:val="20"/>
                <w:szCs w:val="20"/>
                <w:highlight w:val="none"/>
              </w:rPr>
              <w:t>并在投标时提供无缝对接承诺书。</w:t>
            </w:r>
            <w:r>
              <w:rPr>
                <w:rFonts w:hint="eastAsia" w:ascii="华文仿宋" w:hAnsi="华文仿宋" w:eastAsia="华文仿宋" w:cs="Tahoma"/>
                <w:color w:val="auto"/>
                <w:kern w:val="0"/>
                <w:sz w:val="20"/>
                <w:szCs w:val="20"/>
                <w:highlight w:val="none"/>
              </w:rPr>
              <w:t>如中标后发现所投品牌型号不能与现有设备匹配兼容，后果均有由投标人自行承担，费用不作调整。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核心交换机</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性能要求</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交换容量≥</w:t>
            </w:r>
            <w:r>
              <w:rPr>
                <w:rFonts w:ascii="华文仿宋" w:hAnsi="华文仿宋" w:eastAsia="华文仿宋" w:cs="Tahoma"/>
                <w:color w:val="auto"/>
                <w:kern w:val="0"/>
                <w:sz w:val="20"/>
                <w:szCs w:val="20"/>
                <w:highlight w:val="none"/>
              </w:rPr>
              <w:t>590</w:t>
            </w:r>
            <w:r>
              <w:rPr>
                <w:rFonts w:hint="eastAsia" w:ascii="华文仿宋" w:hAnsi="华文仿宋" w:eastAsia="华文仿宋" w:cs="Tahoma"/>
                <w:color w:val="auto"/>
                <w:kern w:val="0"/>
                <w:sz w:val="20"/>
                <w:szCs w:val="20"/>
                <w:highlight w:val="none"/>
              </w:rPr>
              <w:t>Gbps，包转发率≥</w:t>
            </w:r>
            <w:r>
              <w:rPr>
                <w:rFonts w:ascii="华文仿宋" w:hAnsi="华文仿宋" w:eastAsia="华文仿宋" w:cs="Tahoma"/>
                <w:color w:val="auto"/>
                <w:kern w:val="0"/>
                <w:sz w:val="20"/>
                <w:szCs w:val="20"/>
                <w:highlight w:val="none"/>
              </w:rPr>
              <w:t>220</w:t>
            </w:r>
            <w:r>
              <w:rPr>
                <w:rFonts w:hint="eastAsia" w:ascii="华文仿宋" w:hAnsi="华文仿宋" w:eastAsia="华文仿宋" w:cs="Tahoma"/>
                <w:color w:val="auto"/>
                <w:kern w:val="0"/>
                <w:sz w:val="20"/>
                <w:szCs w:val="20"/>
                <w:highlight w:val="none"/>
              </w:rPr>
              <w:t xml:space="preserve">Mpps </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支持≥2</w:t>
            </w:r>
            <w:r>
              <w:rPr>
                <w:rFonts w:ascii="华文仿宋" w:hAnsi="华文仿宋" w:eastAsia="华文仿宋" w:cs="Tahoma"/>
                <w:color w:val="auto"/>
                <w:kern w:val="0"/>
                <w:sz w:val="20"/>
                <w:szCs w:val="20"/>
                <w:highlight w:val="none"/>
              </w:rPr>
              <w:t>8</w:t>
            </w:r>
            <w:r>
              <w:rPr>
                <w:rFonts w:hint="eastAsia" w:ascii="华文仿宋" w:hAnsi="华文仿宋" w:eastAsia="华文仿宋" w:cs="Tahoma"/>
                <w:color w:val="auto"/>
                <w:kern w:val="0"/>
                <w:sz w:val="20"/>
                <w:szCs w:val="20"/>
                <w:highlight w:val="none"/>
              </w:rPr>
              <w:t>个千兆电口， ≥</w:t>
            </w:r>
            <w:r>
              <w:rPr>
                <w:rFonts w:ascii="华文仿宋" w:hAnsi="华文仿宋" w:eastAsia="华文仿宋" w:cs="Tahoma"/>
                <w:color w:val="auto"/>
                <w:kern w:val="0"/>
                <w:sz w:val="20"/>
                <w:szCs w:val="20"/>
                <w:highlight w:val="none"/>
              </w:rPr>
              <w:t xml:space="preserve">4个复用的千兆Combo </w:t>
            </w:r>
            <w:r>
              <w:rPr>
                <w:rFonts w:hint="eastAsia" w:ascii="华文仿宋" w:hAnsi="华文仿宋" w:eastAsia="华文仿宋" w:cs="Tahoma"/>
                <w:color w:val="auto"/>
                <w:kern w:val="0"/>
                <w:sz w:val="20"/>
                <w:szCs w:val="20"/>
                <w:highlight w:val="none"/>
              </w:rPr>
              <w:t>光口，≥4个万兆光口，≥1个扩展槽</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实配电源冗余配置、支持电源冗余配置</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支持4K个VLAN，支持Voice VLAN，基于端口的VLAN，基于MAC的VLAN，基于协议的VLAN</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支持MAC地址≥</w:t>
            </w:r>
            <w:r>
              <w:rPr>
                <w:rFonts w:ascii="华文仿宋" w:hAnsi="华文仿宋" w:eastAsia="华文仿宋" w:cs="Tahoma"/>
                <w:color w:val="auto"/>
                <w:kern w:val="0"/>
                <w:sz w:val="20"/>
                <w:szCs w:val="20"/>
                <w:highlight w:val="none"/>
              </w:rPr>
              <w:t>64</w:t>
            </w:r>
            <w:r>
              <w:rPr>
                <w:rFonts w:hint="eastAsia" w:ascii="华文仿宋" w:hAnsi="华文仿宋" w:eastAsia="华文仿宋" w:cs="Tahoma"/>
                <w:color w:val="auto"/>
                <w:kern w:val="0"/>
                <w:sz w:val="20"/>
                <w:szCs w:val="20"/>
                <w:highlight w:val="none"/>
              </w:rPr>
              <w:t>K，提供第三方权威机构检测报告</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支持端口聚合，每个聚合组至少8个端口，支持跨设备链路聚合</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IP路由</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 xml:space="preserve">支持静态路由、RIP、RIPng、OSPF路由协议 </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 xml:space="preserve">支持IPv6 </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为方便管理，接入交换机可作为现有核心交换机纵向子节点零配置即插即用；提供第三方权威机构检测报告及技术白皮书</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支持802.1x认证、AAA认证、Radius等多种方式</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支持端口隔离、端口安全，DHCP Snooping，CPU保护等功能</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支持智能以太保护SEP协议，支持ERPS以太环保护协议（G.8032）</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接口防雷能力≥</w:t>
            </w:r>
            <w:r>
              <w:rPr>
                <w:rFonts w:ascii="华文仿宋" w:hAnsi="华文仿宋" w:eastAsia="华文仿宋" w:cs="Tahoma"/>
                <w:color w:val="auto"/>
                <w:kern w:val="0"/>
                <w:sz w:val="20"/>
                <w:szCs w:val="20"/>
                <w:highlight w:val="none"/>
              </w:rPr>
              <w:t>8</w:t>
            </w:r>
            <w:r>
              <w:rPr>
                <w:rFonts w:hint="eastAsia" w:ascii="华文仿宋" w:hAnsi="华文仿宋" w:eastAsia="华文仿宋" w:cs="Tahoma"/>
                <w:color w:val="auto"/>
                <w:kern w:val="0"/>
                <w:sz w:val="20"/>
                <w:szCs w:val="20"/>
                <w:highlight w:val="none"/>
              </w:rPr>
              <w:t>kv</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支持SNMP v1/v2/v3、Telnet远程维护、网管系统管理、WEB网管</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支持堆叠，主机堆叠数不小于9台，要求与现有监控网核心设备做虚拟化功能，支持统一接入管理。</w:t>
            </w:r>
          </w:p>
          <w:p>
            <w:pPr>
              <w:rPr>
                <w:rFonts w:hint="eastAsia" w:ascii="华文仿宋" w:hAnsi="华文仿宋" w:eastAsia="华文仿宋" w:cs="Tahoma"/>
                <w:color w:val="auto"/>
                <w:kern w:val="0"/>
                <w:sz w:val="20"/>
                <w:szCs w:val="20"/>
                <w:highlight w:val="none"/>
              </w:rPr>
            </w:pPr>
            <w:r>
              <w:rPr>
                <w:rFonts w:ascii="华文仿宋" w:hAnsi="华文仿宋" w:eastAsia="华文仿宋" w:cs="Tahoma"/>
                <w:color w:val="auto"/>
                <w:kern w:val="0"/>
                <w:sz w:val="20"/>
                <w:szCs w:val="20"/>
                <w:highlight w:val="none"/>
              </w:rPr>
              <w:t>本次采购所有产品（包含光模块等）序列号必须原厂官网可查询</w:t>
            </w:r>
          </w:p>
          <w:p>
            <w:pPr>
              <w:widowControl/>
              <w:jc w:val="left"/>
              <w:rPr>
                <w:rFonts w:ascii="华文仿宋" w:hAnsi="华文仿宋" w:eastAsia="华文仿宋" w:cs="Tahoma"/>
                <w:color w:val="auto"/>
                <w:kern w:val="0"/>
                <w:sz w:val="20"/>
                <w:szCs w:val="20"/>
                <w:highlight w:val="none"/>
              </w:rPr>
            </w:pPr>
            <w:r>
              <w:rPr>
                <w:rFonts w:ascii="华文仿宋" w:hAnsi="华文仿宋" w:eastAsia="华文仿宋" w:cs="Tahoma"/>
                <w:color w:val="auto"/>
                <w:kern w:val="0"/>
                <w:sz w:val="20"/>
                <w:szCs w:val="20"/>
                <w:highlight w:val="none"/>
              </w:rPr>
              <w:t>要求在杭州设有备件库；</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管理电脑</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商用台式机电脑 三年上门 单主机 I7-6700 8G2T R7350-4G独显,处理器：Intel i7,硬盘容量：3T,电脑类别：商用电脑,内存容量：8G,显卡：2G独立显卡,系统：Windows7及以上.含22寸显示器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3</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操作台</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三联操作台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服务器机柜</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42U标准服务器机柜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8"/>
                <w:szCs w:val="28"/>
                <w:highlight w:val="none"/>
              </w:rPr>
            </w:pPr>
          </w:p>
        </w:tc>
      </w:tr>
    </w:tbl>
    <w:p>
      <w:pPr>
        <w:snapToGrid w:val="0"/>
        <w:spacing w:line="360" w:lineRule="auto"/>
        <w:ind w:firstLine="482" w:firstLineChars="200"/>
        <w:outlineLvl w:val="0"/>
        <w:rPr>
          <w:rFonts w:ascii="宋体" w:hAnsi="宋体"/>
          <w:b/>
          <w:color w:val="auto"/>
          <w:sz w:val="24"/>
          <w:highlight w:val="none"/>
        </w:rPr>
      </w:pPr>
    </w:p>
    <w:p>
      <w:pPr>
        <w:snapToGrid w:val="0"/>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标项三：</w:t>
      </w:r>
      <w:r>
        <w:rPr>
          <w:rFonts w:ascii="宋体" w:hAnsi="宋体"/>
          <w:b/>
          <w:color w:val="auto"/>
          <w:sz w:val="24"/>
          <w:highlight w:val="none"/>
        </w:rPr>
        <w:t>C</w:t>
      </w:r>
      <w:r>
        <w:rPr>
          <w:rFonts w:hint="eastAsia" w:ascii="宋体" w:hAnsi="宋体"/>
          <w:b/>
          <w:color w:val="auto"/>
          <w:sz w:val="24"/>
          <w:highlight w:val="none"/>
        </w:rPr>
        <w:t>区块监控机房存储扩展</w:t>
      </w:r>
    </w:p>
    <w:tbl>
      <w:tblPr>
        <w:tblStyle w:val="85"/>
        <w:tblW w:w="0" w:type="auto"/>
        <w:jc w:val="center"/>
        <w:tblLayout w:type="fixed"/>
        <w:tblCellMar>
          <w:top w:w="15" w:type="dxa"/>
          <w:left w:w="108" w:type="dxa"/>
          <w:bottom w:w="15" w:type="dxa"/>
          <w:right w:w="108" w:type="dxa"/>
        </w:tblCellMar>
      </w:tblPr>
      <w:tblGrid>
        <w:gridCol w:w="915"/>
        <w:gridCol w:w="6256"/>
        <w:gridCol w:w="817"/>
        <w:gridCol w:w="1033"/>
      </w:tblGrid>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设备名称</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参数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数量</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4"/>
                <w:highlight w:val="none"/>
              </w:rPr>
            </w:pPr>
            <w:r>
              <w:rPr>
                <w:rFonts w:hint="eastAsia" w:ascii="华文仿宋" w:hAnsi="华文仿宋" w:eastAsia="华文仿宋" w:cs="Tahoma"/>
                <w:color w:val="auto"/>
                <w:kern w:val="0"/>
                <w:sz w:val="24"/>
                <w:highlight w:val="none"/>
              </w:rPr>
              <w:t>备注</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★48盘位存储服务器（核心产品）</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48盘位存储主机；</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单设备应配置≥两颗64位多核处理器，≥8GB内存，内存支持扩展到≥128GB，需配置冗余金牌电源；</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单设备应标配≥2个千兆网口，可增扩≥4个万兆口或≥8个光纤接口口或增配≥4个HDMI接口或≥2个SAS3.0接口，可扩展2个SSD固态硬盘；</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能提供RAID0、1、3、5、6、10、50、60、JBOD、RAIDErasingCode、Raid5EE模式，支持全局、局部等多种热备选择，支持坏盘自动重构；</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能对视音频、图片、智能分析录像混合直存，无需存储服务器和图片服务器参与；</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▲允许RAID内丢失2块（含）以上硬盘但至少有1块正常磁盘时，数据不丢失，服务不中断；</w:t>
            </w:r>
            <w:r>
              <w:rPr>
                <w:rFonts w:hint="eastAsia" w:ascii="宋体" w:hAnsi="宋体" w:cs="Tahoma"/>
                <w:color w:val="auto"/>
                <w:kern w:val="0"/>
                <w:sz w:val="20"/>
                <w:szCs w:val="20"/>
                <w:highlight w:val="none"/>
              </w:rPr>
              <w:t>（提供检测报告并加盖公章）</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能接入并存储1880Mbps视频图像，同时转发1880Mbps的视频图像；同时回放512Mbps的视频图像；</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▲可根据数据对象的重要性、访问频率等属性对数据进行自动分层存储；</w:t>
            </w:r>
            <w:r>
              <w:rPr>
                <w:rFonts w:hint="eastAsia" w:ascii="宋体" w:hAnsi="宋体" w:cs="Tahoma"/>
                <w:color w:val="auto"/>
                <w:kern w:val="0"/>
                <w:sz w:val="20"/>
                <w:szCs w:val="20"/>
                <w:highlight w:val="none"/>
              </w:rPr>
              <w:t>（提供检测报告并加盖公章）</w:t>
            </w:r>
          </w:p>
          <w:p>
            <w:pPr>
              <w:widowControl/>
              <w:jc w:val="left"/>
              <w:rPr>
                <w:rFonts w:hint="eastAsia"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支持RTSP/ONVIF/PSIA/SIP（GB/T28181）等标准网络协议；</w:t>
            </w:r>
          </w:p>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▲支持网络中断后重新恢复，设备可续存断网期间存储在前端设备中的录像文件，并可通过IE浏览器设置自动回传和手动回传</w:t>
            </w:r>
            <w:r>
              <w:rPr>
                <w:rFonts w:hint="eastAsia" w:ascii="宋体" w:hAnsi="宋体" w:cs="Tahoma"/>
                <w:color w:val="auto"/>
                <w:kern w:val="0"/>
                <w:sz w:val="20"/>
                <w:szCs w:val="20"/>
                <w:highlight w:val="none"/>
              </w:rPr>
              <w:t>（提供检测报告并加盖公章）</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34</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1.教学区675路，生活区488路，室外有118路周界摄像机和46路球机，一共1327路</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2.前端码流按照4M计算</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3.存储时间60天</w:t>
            </w: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4T企业级硬盘</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4TB/128MB(6Gb/秒 NCQ)/7200RPM/SATA3</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1632</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流媒体服务器</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4114(10核2.2GHz)×1/32G DDR4/600G SAS×2/SAS_HBA/1GbE×2/Win Svr 2016 简中标版/550W(1+1)/2U/16DIMM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3</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★存储管理服务器（核心产品）</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包含1500路授权</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实现实时预览、云台控制、录像回放等视频监控功能。实现统一身份认证和权限控制、组织与角色管理维护、设备集中管理、任务计划执行和调度、报警规则与处理管理、电子地图集中配置、设备巡检和日志管理等功能。</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支持多种报警的接收，包括视频丢失报警，视频遮挡报警，移动侦测报警、IO报警、智能分析事件报警，服务器异常状态报警；</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支持报警联动方式有：客户端弹视频图像、声光显示、信息叠加、语音对讲、电子地图、云台联动，报警上墙、短信联动、Email联动等方式；</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支持报警手动确认并插入确认信息；</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支持临时性单个及批量报警布撤防；</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支持报警信息按时间类型查询检索；</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支持报警日志关联录像查询回放；</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支持报警信息的过滤，避免大量重复报警信息；</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支持手动触发报警；</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支持接收巡查报警，门禁报警，停车场报警，报警主机等传来的报警，并对其进行操作和过滤，支持状态图例显示，如报警，布撤防，离线等</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支持全高清2.5D地图，能够提供丰富的图上作战功能，包括基于GIS的监控点范围查询、轨迹查询、预览回放、一键上墙、覆盖范围可视化管控、报警可视化应用、案情管理、多资源显示和快速查询等功能；支持数据地图与卫星地图的切换显示；支持地图漫游，放大，缩小，测距，测面，框选，截图等地图功能；支持地图鹰眼功能；支持地图预置点设置，修改，调用功能；支持监控点，车辆，告警IO，监控点分组等元素在地图上的显示；支持地图上对视频资源的预览，云台控制，录像回放，历史告警查询，广播等功能；支持地图元素的资产信息，维护信息的显示，设备在线状态，现场安装图片的显示；支持监控点，智能监控点的告警信息实时闪烁提示功能；支持车载，单兵等带有GPS信息设备在地图上位置实时显示和历史轨迹回放；支持按区域统计监控点、报警点等资源的信息，在线率显示。</w:t>
            </w:r>
            <w:r>
              <w:rPr>
                <w:rFonts w:hint="eastAsia" w:ascii="华文仿宋" w:hAnsi="华文仿宋" w:eastAsia="华文仿宋" w:cs="Tahoma"/>
                <w:color w:val="auto"/>
                <w:kern w:val="0"/>
                <w:sz w:val="20"/>
                <w:szCs w:val="20"/>
                <w:highlight w:val="none"/>
              </w:rPr>
              <w:br w:type="textWrapping"/>
            </w:r>
            <w:r>
              <w:rPr>
                <w:rFonts w:hint="eastAsia" w:ascii="华文仿宋" w:hAnsi="华文仿宋" w:eastAsia="华文仿宋" w:cs="Tahoma"/>
                <w:color w:val="auto"/>
                <w:kern w:val="0"/>
                <w:sz w:val="20"/>
                <w:szCs w:val="20"/>
                <w:highlight w:val="none"/>
              </w:rPr>
              <w:t>▲投标产品须与该区块设备匹配并与学校现有主平台软件无缝对接，完美兼容，保证系统正常运行，</w:t>
            </w:r>
            <w:r>
              <w:rPr>
                <w:rFonts w:hint="eastAsia" w:ascii="宋体" w:hAnsi="宋体" w:cs="Tahoma"/>
                <w:color w:val="auto"/>
                <w:kern w:val="0"/>
                <w:sz w:val="20"/>
                <w:szCs w:val="20"/>
                <w:highlight w:val="none"/>
              </w:rPr>
              <w:t>并在投标时提供无缝对接承诺书。</w:t>
            </w:r>
            <w:r>
              <w:rPr>
                <w:rFonts w:hint="eastAsia" w:ascii="华文仿宋" w:hAnsi="华文仿宋" w:eastAsia="华文仿宋" w:cs="Tahoma"/>
                <w:color w:val="auto"/>
                <w:kern w:val="0"/>
                <w:sz w:val="20"/>
                <w:szCs w:val="20"/>
                <w:highlight w:val="none"/>
              </w:rPr>
              <w:t>如中标后发现所投品牌型号不能与现有设备匹配兼容，后果均有由投标人自行承担，费用不作调整。</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核心交换机</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性能要求</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交换容量≥</w:t>
            </w:r>
            <w:r>
              <w:rPr>
                <w:rFonts w:ascii="华文仿宋" w:hAnsi="华文仿宋" w:eastAsia="华文仿宋" w:cs="Tahoma"/>
                <w:color w:val="auto"/>
                <w:kern w:val="0"/>
                <w:sz w:val="20"/>
                <w:szCs w:val="20"/>
                <w:highlight w:val="none"/>
              </w:rPr>
              <w:t>590</w:t>
            </w:r>
            <w:r>
              <w:rPr>
                <w:rFonts w:hint="eastAsia" w:ascii="华文仿宋" w:hAnsi="华文仿宋" w:eastAsia="华文仿宋" w:cs="Tahoma"/>
                <w:color w:val="auto"/>
                <w:kern w:val="0"/>
                <w:sz w:val="20"/>
                <w:szCs w:val="20"/>
                <w:highlight w:val="none"/>
              </w:rPr>
              <w:t>Gbps，包转发率≥</w:t>
            </w:r>
            <w:r>
              <w:rPr>
                <w:rFonts w:ascii="华文仿宋" w:hAnsi="华文仿宋" w:eastAsia="华文仿宋" w:cs="Tahoma"/>
                <w:color w:val="auto"/>
                <w:kern w:val="0"/>
                <w:sz w:val="20"/>
                <w:szCs w:val="20"/>
                <w:highlight w:val="none"/>
              </w:rPr>
              <w:t>250</w:t>
            </w:r>
            <w:r>
              <w:rPr>
                <w:rFonts w:hint="eastAsia" w:ascii="华文仿宋" w:hAnsi="华文仿宋" w:eastAsia="华文仿宋" w:cs="Tahoma"/>
                <w:color w:val="auto"/>
                <w:kern w:val="0"/>
                <w:sz w:val="20"/>
                <w:szCs w:val="20"/>
                <w:highlight w:val="none"/>
              </w:rPr>
              <w:t xml:space="preserve">Mpps </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支持≥4</w:t>
            </w:r>
            <w:r>
              <w:rPr>
                <w:rFonts w:ascii="华文仿宋" w:hAnsi="华文仿宋" w:eastAsia="华文仿宋" w:cs="Tahoma"/>
                <w:color w:val="auto"/>
                <w:kern w:val="0"/>
                <w:sz w:val="20"/>
                <w:szCs w:val="20"/>
                <w:highlight w:val="none"/>
              </w:rPr>
              <w:t>8</w:t>
            </w:r>
            <w:r>
              <w:rPr>
                <w:rFonts w:hint="eastAsia" w:ascii="华文仿宋" w:hAnsi="华文仿宋" w:eastAsia="华文仿宋" w:cs="Tahoma"/>
                <w:color w:val="auto"/>
                <w:kern w:val="0"/>
                <w:sz w:val="20"/>
                <w:szCs w:val="20"/>
                <w:highlight w:val="none"/>
              </w:rPr>
              <w:t>个千兆电口， ≥4个万兆光口，≥1个扩展槽</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实配电源冗余配置、支持电源冗余配置</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支持4K个VLAN，支持Voice VLAN，基于端口的VLAN，基于MAC的VLAN，基于协议的VLAN</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支持MAC地址≥</w:t>
            </w:r>
            <w:r>
              <w:rPr>
                <w:rFonts w:ascii="华文仿宋" w:hAnsi="华文仿宋" w:eastAsia="华文仿宋" w:cs="Tahoma"/>
                <w:color w:val="auto"/>
                <w:kern w:val="0"/>
                <w:sz w:val="20"/>
                <w:szCs w:val="20"/>
                <w:highlight w:val="none"/>
              </w:rPr>
              <w:t>64</w:t>
            </w:r>
            <w:r>
              <w:rPr>
                <w:rFonts w:hint="eastAsia" w:ascii="华文仿宋" w:hAnsi="华文仿宋" w:eastAsia="华文仿宋" w:cs="Tahoma"/>
                <w:color w:val="auto"/>
                <w:kern w:val="0"/>
                <w:sz w:val="20"/>
                <w:szCs w:val="20"/>
                <w:highlight w:val="none"/>
              </w:rPr>
              <w:t>K，提供第三方权威机构检测报告</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支持端口聚合，每个聚合组至少8个端口，支持跨设备链路聚合</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IP路由</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 xml:space="preserve">支持静态路由、RIP、RIPng、OSPF路由协议 </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 xml:space="preserve">支持IPv6 </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为方便管理，接入交换机可作为现有核心交换机纵向子节点零配置即插即用；提供第三方权威机构检测报告及技术白皮书</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支持802.1x认证、AAA认证、Radius等多种方式</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支持端口隔离、端口安全，DHCP Snooping，CPU保护等功能</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支持智能以太保护SEP协议，支持ERPS以太环保护协议（G.8032）</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接口防雷能力≥8kv</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支持SNMP v1/v2/v3、Telnet远程维护、网管系统管理、WEB网管</w:t>
            </w:r>
          </w:p>
          <w:p>
            <w:pP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支持堆叠，主机堆叠数不小于9台，要求与现有监控网核心设备做虚拟化功能，支持统一接入管理。</w:t>
            </w:r>
          </w:p>
          <w:p>
            <w:pPr>
              <w:rPr>
                <w:rFonts w:ascii="华文仿宋" w:hAnsi="华文仿宋" w:eastAsia="华文仿宋" w:cs="Tahoma"/>
                <w:color w:val="auto"/>
                <w:kern w:val="0"/>
                <w:sz w:val="20"/>
                <w:szCs w:val="20"/>
                <w:highlight w:val="none"/>
              </w:rPr>
            </w:pPr>
            <w:r>
              <w:rPr>
                <w:rFonts w:ascii="华文仿宋" w:hAnsi="华文仿宋" w:eastAsia="华文仿宋" w:cs="Tahoma"/>
                <w:color w:val="auto"/>
                <w:kern w:val="0"/>
                <w:sz w:val="20"/>
                <w:szCs w:val="20"/>
                <w:highlight w:val="none"/>
              </w:rPr>
              <w:t>本次采购所有产品（包含光模块等）序列号必须原厂官网可查询</w:t>
            </w:r>
            <w:r>
              <w:rPr>
                <w:rFonts w:hint="eastAsia" w:ascii="华文仿宋" w:hAnsi="华文仿宋" w:eastAsia="华文仿宋" w:cs="Tahoma"/>
                <w:color w:val="auto"/>
                <w:kern w:val="0"/>
                <w:sz w:val="20"/>
                <w:szCs w:val="20"/>
                <w:highlight w:val="none"/>
              </w:rPr>
              <w: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1</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p>
        </w:tc>
      </w:tr>
      <w:tr>
        <w:tblPrEx>
          <w:tblCellMar>
            <w:top w:w="15" w:type="dxa"/>
            <w:left w:w="108" w:type="dxa"/>
            <w:bottom w:w="15" w:type="dxa"/>
            <w:right w:w="108" w:type="dxa"/>
          </w:tblCellMar>
        </w:tblPrEx>
        <w:trPr>
          <w:wBefore w:w="0" w:type="dxa"/>
          <w:wAfter w:w="0" w:type="dxa"/>
          <w:trHeight w:val="286"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服务器机柜</w:t>
            </w:r>
          </w:p>
        </w:tc>
        <w:tc>
          <w:tcPr>
            <w:tcW w:w="6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42U标准服务器机柜</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华文仿宋" w:hAnsi="华文仿宋" w:eastAsia="华文仿宋" w:cs="Tahoma"/>
                <w:color w:val="auto"/>
                <w:kern w:val="0"/>
                <w:sz w:val="20"/>
                <w:szCs w:val="20"/>
                <w:highlight w:val="none"/>
              </w:rPr>
            </w:pPr>
            <w:r>
              <w:rPr>
                <w:rFonts w:hint="eastAsia" w:ascii="华文仿宋" w:hAnsi="华文仿宋" w:eastAsia="华文仿宋" w:cs="Tahoma"/>
                <w:color w:val="auto"/>
                <w:kern w:val="0"/>
                <w:sz w:val="20"/>
                <w:szCs w:val="20"/>
                <w:highlight w:val="none"/>
              </w:rPr>
              <w:t>7</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仿宋" w:hAnsi="华文仿宋" w:eastAsia="华文仿宋" w:cs="Tahoma"/>
                <w:color w:val="auto"/>
                <w:kern w:val="0"/>
                <w:sz w:val="20"/>
                <w:szCs w:val="20"/>
                <w:highlight w:val="none"/>
              </w:rPr>
            </w:pPr>
          </w:p>
        </w:tc>
      </w:tr>
    </w:tbl>
    <w:p>
      <w:pPr>
        <w:snapToGrid w:val="0"/>
        <w:spacing w:line="360" w:lineRule="auto"/>
        <w:ind w:firstLine="482" w:firstLineChars="200"/>
        <w:outlineLvl w:val="0"/>
        <w:rPr>
          <w:rFonts w:ascii="宋体" w:hAnsi="宋体"/>
          <w:b/>
          <w:color w:val="auto"/>
          <w:sz w:val="24"/>
          <w:highlight w:val="none"/>
        </w:rPr>
      </w:pPr>
    </w:p>
    <w:p>
      <w:pPr>
        <w:spacing w:line="360" w:lineRule="auto"/>
        <w:jc w:val="center"/>
        <w:outlineLvl w:val="0"/>
        <w:rPr>
          <w:rFonts w:hint="eastAsia" w:ascii="仿宋_GB2312" w:hAnsi="仿宋" w:eastAsia="仿宋_GB2312"/>
          <w:b/>
          <w:color w:val="auto"/>
          <w:sz w:val="36"/>
          <w:szCs w:val="36"/>
          <w:highlight w:val="none"/>
        </w:rPr>
      </w:pPr>
    </w:p>
    <w:p>
      <w:pPr>
        <w:spacing w:line="360" w:lineRule="auto"/>
        <w:outlineLvl w:val="0"/>
        <w:rPr>
          <w:rFonts w:ascii="仿宋_GB2312" w:hAnsi="仿宋_GB2312" w:eastAsia="仿宋_GB2312" w:cs="仿宋_GB2312"/>
          <w:b/>
          <w:color w:val="auto"/>
          <w:sz w:val="36"/>
          <w:szCs w:val="36"/>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cols w:space="720" w:num="1"/>
          <w:titlePg/>
          <w:docGrid w:linePitch="312" w:charSpace="0"/>
        </w:sectPr>
      </w:pPr>
    </w:p>
    <w:p>
      <w:pPr>
        <w:adjustRightInd/>
        <w:spacing w:line="360" w:lineRule="auto"/>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37" w:name="_Toc184314449"/>
      <w:bookmarkEnd w:id="37"/>
      <w:bookmarkStart w:id="38" w:name="_Toc184308039"/>
      <w:bookmarkEnd w:id="38"/>
      <w:bookmarkStart w:id="39" w:name="_Toc184310275"/>
      <w:bookmarkEnd w:id="39"/>
      <w:bookmarkStart w:id="40" w:name="_Toc184313277"/>
      <w:bookmarkEnd w:id="40"/>
      <w:bookmarkStart w:id="41" w:name="_Toc184314431"/>
      <w:bookmarkEnd w:id="41"/>
      <w:bookmarkStart w:id="42" w:name="_Toc184310317"/>
      <w:bookmarkEnd w:id="42"/>
      <w:bookmarkStart w:id="43" w:name="_Toc184308081"/>
      <w:bookmarkEnd w:id="43"/>
      <w:bookmarkStart w:id="44" w:name="_Toc184314458"/>
      <w:bookmarkEnd w:id="44"/>
      <w:bookmarkStart w:id="45" w:name="_Toc184308058"/>
      <w:bookmarkEnd w:id="45"/>
      <w:bookmarkStart w:id="46" w:name="_Toc184308056"/>
      <w:bookmarkEnd w:id="46"/>
      <w:bookmarkStart w:id="47" w:name="_Toc184314478"/>
      <w:bookmarkEnd w:id="47"/>
      <w:bookmarkStart w:id="48" w:name="_Toc184313292"/>
      <w:bookmarkEnd w:id="48"/>
      <w:bookmarkStart w:id="49" w:name="_Toc184308053"/>
      <w:bookmarkEnd w:id="49"/>
      <w:bookmarkStart w:id="50" w:name="_Toc184314413"/>
      <w:bookmarkEnd w:id="50"/>
      <w:bookmarkStart w:id="51" w:name="_Toc184310288"/>
      <w:bookmarkEnd w:id="51"/>
      <w:bookmarkStart w:id="52" w:name="_Toc184313306"/>
      <w:bookmarkEnd w:id="52"/>
      <w:bookmarkStart w:id="53" w:name="_Toc184313254"/>
      <w:bookmarkEnd w:id="53"/>
      <w:bookmarkStart w:id="54" w:name="_Toc184308101"/>
      <w:bookmarkEnd w:id="54"/>
      <w:bookmarkStart w:id="55" w:name="_Toc184308054"/>
      <w:bookmarkEnd w:id="55"/>
      <w:bookmarkStart w:id="56" w:name="_Toc184314473"/>
      <w:bookmarkEnd w:id="56"/>
      <w:bookmarkStart w:id="57" w:name="_Toc184313251"/>
      <w:bookmarkEnd w:id="57"/>
      <w:bookmarkStart w:id="58" w:name="_Toc184312067"/>
      <w:bookmarkEnd w:id="58"/>
      <w:bookmarkStart w:id="59" w:name="_Toc184310297"/>
      <w:bookmarkEnd w:id="59"/>
      <w:bookmarkStart w:id="60" w:name="_Toc184308061"/>
      <w:bookmarkEnd w:id="60"/>
      <w:bookmarkStart w:id="61" w:name="_Toc184314455"/>
      <w:bookmarkEnd w:id="61"/>
      <w:bookmarkStart w:id="62" w:name="_Toc184310281"/>
      <w:bookmarkEnd w:id="62"/>
      <w:bookmarkStart w:id="63" w:name="_Toc184312112"/>
      <w:bookmarkEnd w:id="63"/>
      <w:bookmarkStart w:id="64" w:name="_Toc184310336"/>
      <w:bookmarkEnd w:id="64"/>
      <w:bookmarkStart w:id="65" w:name="_Toc184310299"/>
      <w:bookmarkEnd w:id="65"/>
      <w:bookmarkStart w:id="66" w:name="_Toc184308055"/>
      <w:bookmarkEnd w:id="66"/>
      <w:bookmarkStart w:id="67" w:name="_Toc184314432"/>
      <w:bookmarkEnd w:id="67"/>
      <w:bookmarkStart w:id="68" w:name="_Toc184312084"/>
      <w:bookmarkEnd w:id="68"/>
      <w:bookmarkStart w:id="69" w:name="_Toc184313307"/>
      <w:bookmarkEnd w:id="69"/>
      <w:bookmarkStart w:id="70" w:name="_Toc184314428"/>
      <w:bookmarkEnd w:id="70"/>
      <w:bookmarkStart w:id="71" w:name="_Toc184310322"/>
      <w:bookmarkEnd w:id="71"/>
      <w:bookmarkStart w:id="72" w:name="_Toc184312069"/>
      <w:bookmarkEnd w:id="72"/>
      <w:bookmarkStart w:id="73" w:name="_Toc184310291"/>
      <w:bookmarkEnd w:id="73"/>
      <w:bookmarkStart w:id="74" w:name="_Toc184312070"/>
      <w:bookmarkEnd w:id="74"/>
      <w:bookmarkStart w:id="75" w:name="_Toc184312086"/>
      <w:bookmarkEnd w:id="75"/>
      <w:bookmarkStart w:id="76" w:name="_Toc184313257"/>
      <w:bookmarkEnd w:id="76"/>
      <w:bookmarkStart w:id="77" w:name="_Toc184314429"/>
      <w:bookmarkEnd w:id="77"/>
      <w:bookmarkStart w:id="78" w:name="_Toc184310292"/>
      <w:bookmarkEnd w:id="78"/>
      <w:bookmarkStart w:id="79" w:name="_Toc184313303"/>
      <w:bookmarkEnd w:id="79"/>
      <w:bookmarkStart w:id="80" w:name="_Toc184312068"/>
      <w:bookmarkEnd w:id="80"/>
      <w:bookmarkStart w:id="81" w:name="_Toc184312083"/>
      <w:bookmarkEnd w:id="81"/>
      <w:bookmarkStart w:id="82" w:name="_Toc184310315"/>
      <w:bookmarkEnd w:id="82"/>
      <w:bookmarkStart w:id="83" w:name="_Toc184313255"/>
      <w:bookmarkEnd w:id="83"/>
      <w:bookmarkStart w:id="84" w:name="_Toc184308052"/>
      <w:bookmarkEnd w:id="84"/>
      <w:bookmarkStart w:id="85" w:name="_Toc184314475"/>
      <w:bookmarkEnd w:id="85"/>
      <w:bookmarkStart w:id="86" w:name="_Toc184312106"/>
      <w:bookmarkEnd w:id="86"/>
      <w:bookmarkStart w:id="87" w:name="_Toc184314434"/>
      <w:bookmarkEnd w:id="87"/>
      <w:bookmarkStart w:id="88" w:name="_Toc184308074"/>
      <w:bookmarkEnd w:id="88"/>
      <w:bookmarkStart w:id="89" w:name="_Toc184312087"/>
      <w:bookmarkEnd w:id="89"/>
      <w:bookmarkStart w:id="90" w:name="_Toc184310293"/>
      <w:bookmarkEnd w:id="90"/>
      <w:bookmarkStart w:id="91" w:name="_Toc184313283"/>
      <w:bookmarkEnd w:id="91"/>
      <w:bookmarkStart w:id="92" w:name="_Toc184310341"/>
      <w:bookmarkEnd w:id="92"/>
      <w:bookmarkStart w:id="93" w:name="_Toc184312088"/>
      <w:bookmarkEnd w:id="93"/>
      <w:bookmarkStart w:id="94" w:name="_Toc184308064"/>
      <w:bookmarkEnd w:id="94"/>
      <w:bookmarkStart w:id="95" w:name="_Toc184313256"/>
      <w:bookmarkEnd w:id="95"/>
      <w:bookmarkStart w:id="96" w:name="_Toc184313258"/>
      <w:bookmarkEnd w:id="96"/>
      <w:bookmarkStart w:id="97" w:name="_Toc184314446"/>
      <w:bookmarkEnd w:id="97"/>
      <w:bookmarkStart w:id="98" w:name="_Toc184314430"/>
      <w:bookmarkEnd w:id="98"/>
      <w:bookmarkStart w:id="99" w:name="_Toc184314454"/>
      <w:bookmarkEnd w:id="99"/>
      <w:bookmarkStart w:id="100" w:name="_Toc184314447"/>
      <w:bookmarkEnd w:id="100"/>
      <w:bookmarkStart w:id="101" w:name="_Toc184313281"/>
      <w:bookmarkEnd w:id="101"/>
      <w:bookmarkStart w:id="102" w:name="_Toc184310282"/>
      <w:bookmarkEnd w:id="102"/>
      <w:bookmarkStart w:id="103" w:name="_Toc184312113"/>
      <w:bookmarkEnd w:id="103"/>
      <w:bookmarkStart w:id="104" w:name="_Toc184314426"/>
      <w:bookmarkEnd w:id="104"/>
      <w:bookmarkStart w:id="105" w:name="_Toc184313259"/>
      <w:bookmarkEnd w:id="105"/>
      <w:bookmarkStart w:id="106" w:name="_Toc184310289"/>
      <w:bookmarkEnd w:id="106"/>
      <w:bookmarkStart w:id="107" w:name="_Toc184308057"/>
      <w:bookmarkEnd w:id="107"/>
      <w:bookmarkStart w:id="108" w:name="_Toc184313275"/>
      <w:bookmarkEnd w:id="108"/>
      <w:bookmarkStart w:id="109" w:name="_Toc184310273"/>
      <w:bookmarkEnd w:id="109"/>
      <w:bookmarkStart w:id="110" w:name="_Toc184313270"/>
      <w:bookmarkEnd w:id="110"/>
      <w:bookmarkStart w:id="111" w:name="_Toc184308069"/>
      <w:bookmarkEnd w:id="111"/>
      <w:bookmarkStart w:id="112" w:name="_Toc184313271"/>
      <w:bookmarkEnd w:id="112"/>
      <w:bookmarkStart w:id="113" w:name="_Toc184314443"/>
      <w:bookmarkEnd w:id="113"/>
      <w:bookmarkStart w:id="114" w:name="_Toc184308070"/>
      <w:bookmarkEnd w:id="114"/>
      <w:bookmarkStart w:id="115" w:name="_Toc184308066"/>
      <w:bookmarkEnd w:id="115"/>
      <w:bookmarkStart w:id="116" w:name="_Toc184313266"/>
      <w:bookmarkEnd w:id="116"/>
      <w:bookmarkStart w:id="117" w:name="_Toc184313269"/>
      <w:bookmarkEnd w:id="117"/>
      <w:bookmarkStart w:id="118" w:name="_Toc184313267"/>
      <w:bookmarkEnd w:id="118"/>
      <w:bookmarkStart w:id="119" w:name="_Toc184314440"/>
      <w:bookmarkEnd w:id="119"/>
      <w:bookmarkStart w:id="120" w:name="_Toc184310303"/>
      <w:bookmarkEnd w:id="120"/>
      <w:bookmarkStart w:id="121" w:name="_Toc184312103"/>
      <w:bookmarkEnd w:id="121"/>
      <w:bookmarkStart w:id="122" w:name="_Toc184312100"/>
      <w:bookmarkEnd w:id="122"/>
      <w:bookmarkStart w:id="123" w:name="_Toc184312097"/>
      <w:bookmarkEnd w:id="123"/>
      <w:bookmarkStart w:id="124" w:name="_Toc184312101"/>
      <w:bookmarkEnd w:id="124"/>
      <w:bookmarkStart w:id="125" w:name="_Toc184310301"/>
      <w:bookmarkEnd w:id="125"/>
      <w:bookmarkStart w:id="126" w:name="_Toc184313268"/>
      <w:bookmarkEnd w:id="126"/>
      <w:bookmarkStart w:id="127" w:name="_Toc184310306"/>
      <w:bookmarkEnd w:id="127"/>
      <w:bookmarkStart w:id="128" w:name="_Toc184310305"/>
      <w:bookmarkEnd w:id="128"/>
      <w:bookmarkStart w:id="129" w:name="_Toc184310302"/>
      <w:bookmarkEnd w:id="129"/>
      <w:bookmarkStart w:id="130" w:name="_Toc184308065"/>
      <w:bookmarkEnd w:id="130"/>
      <w:bookmarkStart w:id="131" w:name="_Toc184310310"/>
      <w:bookmarkEnd w:id="131"/>
      <w:bookmarkStart w:id="132" w:name="_Toc184310300"/>
      <w:bookmarkEnd w:id="132"/>
      <w:bookmarkStart w:id="133" w:name="_Toc184314442"/>
      <w:bookmarkEnd w:id="133"/>
      <w:bookmarkStart w:id="134" w:name="_Toc184312096"/>
      <w:bookmarkEnd w:id="134"/>
      <w:bookmarkStart w:id="135" w:name="_Toc184308067"/>
      <w:bookmarkEnd w:id="135"/>
      <w:bookmarkStart w:id="136" w:name="_Toc184312098"/>
      <w:bookmarkEnd w:id="136"/>
      <w:bookmarkStart w:id="137" w:name="_Toc184314438"/>
      <w:bookmarkEnd w:id="137"/>
      <w:bookmarkStart w:id="138" w:name="_Toc184312095"/>
      <w:bookmarkEnd w:id="138"/>
      <w:bookmarkStart w:id="139" w:name="_Toc184314439"/>
      <w:bookmarkEnd w:id="139"/>
      <w:bookmarkStart w:id="140" w:name="_Toc184312136"/>
      <w:bookmarkEnd w:id="140"/>
      <w:bookmarkStart w:id="141" w:name="_Toc184308047"/>
      <w:bookmarkEnd w:id="141"/>
      <w:bookmarkStart w:id="142" w:name="_Toc184314419"/>
      <w:bookmarkEnd w:id="142"/>
      <w:bookmarkStart w:id="143" w:name="_Toc184313273"/>
      <w:bookmarkEnd w:id="143"/>
      <w:bookmarkStart w:id="144" w:name="_Toc184310283"/>
      <w:bookmarkEnd w:id="144"/>
      <w:bookmarkStart w:id="145" w:name="_Toc184313247"/>
      <w:bookmarkEnd w:id="145"/>
      <w:bookmarkStart w:id="146" w:name="_Toc184312078"/>
      <w:bookmarkEnd w:id="146"/>
      <w:bookmarkStart w:id="147" w:name="_Toc184312102"/>
      <w:bookmarkEnd w:id="147"/>
      <w:bookmarkStart w:id="148" w:name="_Toc184312081"/>
      <w:bookmarkEnd w:id="148"/>
      <w:bookmarkStart w:id="149" w:name="_Toc184314420"/>
      <w:bookmarkEnd w:id="149"/>
      <w:bookmarkStart w:id="150" w:name="_Toc184310311"/>
      <w:bookmarkEnd w:id="150"/>
      <w:bookmarkStart w:id="151" w:name="_Toc184308100"/>
      <w:bookmarkEnd w:id="151"/>
      <w:bookmarkStart w:id="152" w:name="_Toc184314444"/>
      <w:bookmarkEnd w:id="152"/>
      <w:bookmarkStart w:id="153" w:name="_Toc184313238"/>
      <w:bookmarkEnd w:id="153"/>
      <w:bookmarkStart w:id="154" w:name="_Toc184313249"/>
      <w:bookmarkEnd w:id="154"/>
      <w:bookmarkStart w:id="155" w:name="_Toc184308082"/>
      <w:bookmarkEnd w:id="155"/>
      <w:bookmarkStart w:id="156" w:name="_Toc184308102"/>
      <w:bookmarkEnd w:id="156"/>
      <w:bookmarkStart w:id="157" w:name="_Toc184314445"/>
      <w:bookmarkEnd w:id="157"/>
      <w:bookmarkStart w:id="158" w:name="_Toc184312071"/>
      <w:bookmarkEnd w:id="158"/>
      <w:bookmarkStart w:id="159" w:name="_Toc184310308"/>
      <w:bookmarkEnd w:id="159"/>
      <w:bookmarkStart w:id="160" w:name="_Toc184312079"/>
      <w:bookmarkEnd w:id="160"/>
      <w:bookmarkStart w:id="161" w:name="_Toc184312138"/>
      <w:bookmarkEnd w:id="161"/>
      <w:bookmarkStart w:id="162" w:name="_Toc184312104"/>
      <w:bookmarkEnd w:id="162"/>
      <w:bookmarkStart w:id="163" w:name="_Toc184310307"/>
      <w:bookmarkEnd w:id="163"/>
      <w:bookmarkStart w:id="164" w:name="_Toc184313240"/>
      <w:bookmarkEnd w:id="164"/>
      <w:bookmarkStart w:id="165" w:name="_Toc184314423"/>
      <w:bookmarkEnd w:id="165"/>
      <w:bookmarkStart w:id="166" w:name="_Toc184310286"/>
      <w:bookmarkEnd w:id="166"/>
      <w:bookmarkStart w:id="167" w:name="_Toc184313252"/>
      <w:bookmarkEnd w:id="167"/>
      <w:bookmarkStart w:id="168" w:name="_Toc184313272"/>
      <w:bookmarkEnd w:id="168"/>
      <w:bookmarkStart w:id="169" w:name="_Toc184308072"/>
      <w:bookmarkEnd w:id="169"/>
      <w:bookmarkStart w:id="170" w:name="_Toc184308071"/>
      <w:bookmarkEnd w:id="170"/>
      <w:bookmarkStart w:id="171" w:name="_Toc184308084"/>
      <w:bookmarkEnd w:id="171"/>
      <w:bookmarkStart w:id="172" w:name="_Toc184314410"/>
      <w:bookmarkEnd w:id="172"/>
      <w:bookmarkStart w:id="173" w:name="_Toc184312126"/>
      <w:bookmarkEnd w:id="173"/>
      <w:bookmarkStart w:id="174" w:name="_Toc184314436"/>
      <w:bookmarkEnd w:id="174"/>
      <w:bookmarkStart w:id="175" w:name="_Toc184310337"/>
      <w:bookmarkEnd w:id="175"/>
      <w:bookmarkStart w:id="176" w:name="_Toc184310319"/>
      <w:bookmarkEnd w:id="176"/>
      <w:bookmarkStart w:id="177" w:name="_Toc184312114"/>
      <w:bookmarkEnd w:id="177"/>
      <w:bookmarkStart w:id="178" w:name="_Toc184308079"/>
      <w:bookmarkEnd w:id="178"/>
      <w:bookmarkStart w:id="179" w:name="_Toc184312139"/>
      <w:bookmarkEnd w:id="179"/>
      <w:bookmarkStart w:id="180" w:name="_Toc184313242"/>
      <w:bookmarkEnd w:id="180"/>
      <w:bookmarkStart w:id="181" w:name="_Toc184314422"/>
      <w:bookmarkEnd w:id="181"/>
      <w:bookmarkStart w:id="182" w:name="_Toc184313310"/>
      <w:bookmarkEnd w:id="182"/>
      <w:bookmarkStart w:id="183" w:name="_Toc184310313"/>
      <w:bookmarkEnd w:id="183"/>
      <w:bookmarkStart w:id="184" w:name="_Toc184312093"/>
      <w:bookmarkEnd w:id="184"/>
      <w:bookmarkStart w:id="185" w:name="_Toc184310309"/>
      <w:bookmarkEnd w:id="185"/>
      <w:bookmarkStart w:id="186" w:name="_Toc184308083"/>
      <w:bookmarkEnd w:id="186"/>
      <w:bookmarkStart w:id="187" w:name="_Toc184313279"/>
      <w:bookmarkEnd w:id="187"/>
      <w:bookmarkStart w:id="188" w:name="_Toc184313250"/>
      <w:bookmarkEnd w:id="188"/>
      <w:bookmarkStart w:id="189" w:name="_Toc184314453"/>
      <w:bookmarkEnd w:id="189"/>
      <w:bookmarkStart w:id="190" w:name="_Toc184314456"/>
      <w:bookmarkEnd w:id="190"/>
      <w:bookmarkStart w:id="191" w:name="_Toc184308108"/>
      <w:bookmarkEnd w:id="191"/>
      <w:bookmarkStart w:id="192" w:name="_Toc184308078"/>
      <w:bookmarkEnd w:id="192"/>
      <w:bookmarkStart w:id="193" w:name="_Toc184312099"/>
      <w:bookmarkEnd w:id="193"/>
      <w:bookmarkStart w:id="194" w:name="_Toc184312131"/>
      <w:bookmarkEnd w:id="194"/>
      <w:bookmarkStart w:id="195" w:name="_Toc184308048"/>
      <w:bookmarkEnd w:id="195"/>
      <w:bookmarkStart w:id="196" w:name="_Toc184308051"/>
      <w:bookmarkEnd w:id="196"/>
      <w:bookmarkStart w:id="197" w:name="_Toc184310285"/>
      <w:bookmarkEnd w:id="197"/>
      <w:bookmarkStart w:id="198" w:name="_Toc184308063"/>
      <w:bookmarkEnd w:id="198"/>
      <w:bookmarkStart w:id="199" w:name="_Toc184314441"/>
      <w:bookmarkEnd w:id="199"/>
      <w:bookmarkStart w:id="200" w:name="_Toc184313239"/>
      <w:bookmarkEnd w:id="200"/>
      <w:bookmarkStart w:id="201" w:name="_Toc184308086"/>
      <w:bookmarkEnd w:id="201"/>
      <w:bookmarkStart w:id="202" w:name="_Toc184310284"/>
      <w:bookmarkEnd w:id="202"/>
      <w:bookmarkStart w:id="203" w:name="_Toc184314482"/>
      <w:bookmarkEnd w:id="203"/>
      <w:bookmarkStart w:id="204" w:name="_Toc184314421"/>
      <w:bookmarkEnd w:id="204"/>
      <w:bookmarkStart w:id="205" w:name="_Toc184313264"/>
      <w:bookmarkEnd w:id="205"/>
      <w:bookmarkStart w:id="206" w:name="_Toc184308087"/>
      <w:bookmarkEnd w:id="206"/>
      <w:bookmarkStart w:id="207" w:name="_Toc184312108"/>
      <w:bookmarkEnd w:id="207"/>
      <w:bookmarkStart w:id="208" w:name="_Toc184312118"/>
      <w:bookmarkEnd w:id="208"/>
      <w:bookmarkStart w:id="209" w:name="_Toc184308088"/>
      <w:bookmarkEnd w:id="209"/>
      <w:bookmarkStart w:id="210" w:name="_Toc184313308"/>
      <w:bookmarkEnd w:id="210"/>
      <w:bookmarkStart w:id="211" w:name="_Toc184314451"/>
      <w:bookmarkEnd w:id="211"/>
      <w:bookmarkStart w:id="212" w:name="_Toc184310323"/>
      <w:bookmarkEnd w:id="212"/>
      <w:bookmarkStart w:id="213" w:name="_Toc184310324"/>
      <w:bookmarkEnd w:id="213"/>
      <w:bookmarkStart w:id="214" w:name="_Toc184313289"/>
      <w:bookmarkEnd w:id="214"/>
      <w:bookmarkStart w:id="215" w:name="_Toc184314461"/>
      <w:bookmarkEnd w:id="215"/>
      <w:bookmarkStart w:id="216" w:name="_Toc184314464"/>
      <w:bookmarkEnd w:id="216"/>
      <w:bookmarkStart w:id="217" w:name="_Toc184312119"/>
      <w:bookmarkEnd w:id="217"/>
      <w:bookmarkStart w:id="218" w:name="_Toc184314480"/>
      <w:bookmarkEnd w:id="218"/>
      <w:bookmarkStart w:id="219" w:name="_Toc184313290"/>
      <w:bookmarkEnd w:id="219"/>
      <w:bookmarkStart w:id="220" w:name="_Toc184313248"/>
      <w:bookmarkEnd w:id="220"/>
      <w:bookmarkStart w:id="221" w:name="_Toc184312137"/>
      <w:bookmarkEnd w:id="221"/>
      <w:bookmarkStart w:id="222" w:name="_Toc184308089"/>
      <w:bookmarkEnd w:id="222"/>
      <w:bookmarkStart w:id="223" w:name="_Toc184308107"/>
      <w:bookmarkEnd w:id="223"/>
      <w:bookmarkStart w:id="224" w:name="_Toc184308077"/>
      <w:bookmarkEnd w:id="224"/>
      <w:bookmarkStart w:id="225" w:name="_Toc184314462"/>
      <w:bookmarkEnd w:id="225"/>
      <w:bookmarkStart w:id="226" w:name="_Toc184314460"/>
      <w:bookmarkEnd w:id="226"/>
      <w:bookmarkStart w:id="227" w:name="_Toc184314479"/>
      <w:bookmarkEnd w:id="227"/>
      <w:bookmarkStart w:id="228" w:name="_Toc184312105"/>
      <w:bookmarkEnd w:id="228"/>
      <w:bookmarkStart w:id="229" w:name="_Toc184310325"/>
      <w:bookmarkEnd w:id="229"/>
      <w:bookmarkStart w:id="230" w:name="_Toc184310343"/>
      <w:bookmarkEnd w:id="230"/>
      <w:bookmarkStart w:id="231" w:name="_Toc184312120"/>
      <w:bookmarkEnd w:id="231"/>
      <w:bookmarkStart w:id="232" w:name="_Toc184308085"/>
      <w:bookmarkEnd w:id="232"/>
      <w:bookmarkStart w:id="233" w:name="_Toc184312080"/>
      <w:bookmarkEnd w:id="233"/>
      <w:bookmarkStart w:id="234" w:name="_Toc184313274"/>
      <w:bookmarkEnd w:id="234"/>
      <w:bookmarkStart w:id="235" w:name="_Toc184314481"/>
      <w:bookmarkEnd w:id="235"/>
      <w:bookmarkStart w:id="236" w:name="_Toc184310331"/>
      <w:bookmarkEnd w:id="236"/>
      <w:bookmarkStart w:id="237" w:name="_Toc184313288"/>
      <w:bookmarkEnd w:id="237"/>
      <w:bookmarkStart w:id="238" w:name="_Toc184313291"/>
      <w:bookmarkEnd w:id="238"/>
      <w:bookmarkStart w:id="239" w:name="_Toc184314465"/>
      <w:bookmarkEnd w:id="239"/>
      <w:bookmarkStart w:id="240" w:name="_Toc184313294"/>
      <w:bookmarkEnd w:id="240"/>
      <w:bookmarkStart w:id="241" w:name="_Toc184312121"/>
      <w:bookmarkEnd w:id="241"/>
      <w:bookmarkStart w:id="242" w:name="_Toc184314463"/>
      <w:bookmarkEnd w:id="242"/>
      <w:bookmarkStart w:id="243" w:name="_Toc184314466"/>
      <w:bookmarkEnd w:id="243"/>
      <w:bookmarkStart w:id="244" w:name="_Toc184308093"/>
      <w:bookmarkEnd w:id="244"/>
      <w:bookmarkStart w:id="245" w:name="_Toc184310329"/>
      <w:bookmarkEnd w:id="245"/>
      <w:bookmarkStart w:id="246" w:name="_Toc184312124"/>
      <w:bookmarkEnd w:id="246"/>
      <w:bookmarkStart w:id="247" w:name="_Toc184313295"/>
      <w:bookmarkEnd w:id="247"/>
      <w:bookmarkStart w:id="248" w:name="_Toc184314467"/>
      <w:bookmarkEnd w:id="248"/>
      <w:bookmarkStart w:id="249" w:name="_Toc184313302"/>
      <w:bookmarkEnd w:id="249"/>
      <w:bookmarkStart w:id="250" w:name="_Toc184313241"/>
      <w:bookmarkEnd w:id="250"/>
      <w:bookmarkStart w:id="251" w:name="_Toc184312122"/>
      <w:bookmarkEnd w:id="251"/>
      <w:bookmarkStart w:id="252" w:name="_Toc184310326"/>
      <w:bookmarkEnd w:id="252"/>
      <w:bookmarkStart w:id="253" w:name="_Toc184308068"/>
      <w:bookmarkEnd w:id="253"/>
      <w:bookmarkStart w:id="254" w:name="_Toc184312109"/>
      <w:bookmarkEnd w:id="254"/>
      <w:bookmarkStart w:id="255" w:name="_Toc184313293"/>
      <w:bookmarkEnd w:id="255"/>
      <w:bookmarkStart w:id="256" w:name="_Toc184310327"/>
      <w:bookmarkEnd w:id="256"/>
      <w:bookmarkStart w:id="257" w:name="_Toc184308092"/>
      <w:bookmarkEnd w:id="257"/>
      <w:bookmarkStart w:id="258" w:name="_Toc184310328"/>
      <w:bookmarkEnd w:id="258"/>
      <w:bookmarkStart w:id="259" w:name="_Toc184308090"/>
      <w:bookmarkEnd w:id="259"/>
      <w:bookmarkStart w:id="260" w:name="_Toc184308091"/>
      <w:bookmarkEnd w:id="260"/>
      <w:bookmarkStart w:id="261" w:name="_Toc184312123"/>
      <w:bookmarkEnd w:id="261"/>
      <w:bookmarkStart w:id="262" w:name="_Toc184314470"/>
      <w:bookmarkEnd w:id="262"/>
      <w:bookmarkStart w:id="263" w:name="_Toc184310333"/>
      <w:bookmarkEnd w:id="263"/>
      <w:bookmarkStart w:id="264" w:name="_Toc184314468"/>
      <w:bookmarkEnd w:id="264"/>
      <w:bookmarkStart w:id="265" w:name="_Toc184312082"/>
      <w:bookmarkEnd w:id="265"/>
      <w:bookmarkStart w:id="266" w:name="_Toc184313297"/>
      <w:bookmarkEnd w:id="266"/>
      <w:bookmarkStart w:id="267" w:name="_Toc184308096"/>
      <w:bookmarkEnd w:id="267"/>
      <w:bookmarkStart w:id="268" w:name="_Toc184308097"/>
      <w:bookmarkEnd w:id="268"/>
      <w:bookmarkStart w:id="269" w:name="_Toc184312128"/>
      <w:bookmarkEnd w:id="269"/>
      <w:bookmarkStart w:id="270" w:name="_Toc184313299"/>
      <w:bookmarkEnd w:id="270"/>
      <w:bookmarkStart w:id="271" w:name="_Toc184313298"/>
      <w:bookmarkEnd w:id="271"/>
      <w:bookmarkStart w:id="272" w:name="_Toc184314471"/>
      <w:bookmarkEnd w:id="272"/>
      <w:bookmarkStart w:id="273" w:name="_Toc184308094"/>
      <w:bookmarkEnd w:id="273"/>
      <w:bookmarkStart w:id="274" w:name="_Toc184313296"/>
      <w:bookmarkEnd w:id="274"/>
      <w:bookmarkStart w:id="275" w:name="_Toc184310330"/>
      <w:bookmarkEnd w:id="275"/>
      <w:bookmarkStart w:id="276" w:name="_Toc184312091"/>
      <w:bookmarkEnd w:id="276"/>
      <w:bookmarkStart w:id="277" w:name="_Toc184312125"/>
      <w:bookmarkEnd w:id="277"/>
      <w:bookmarkStart w:id="278" w:name="_Toc184312127"/>
      <w:bookmarkEnd w:id="278"/>
      <w:bookmarkStart w:id="279" w:name="_Toc184308095"/>
      <w:bookmarkEnd w:id="279"/>
      <w:bookmarkStart w:id="280" w:name="_Toc184314469"/>
      <w:bookmarkEnd w:id="280"/>
      <w:bookmarkStart w:id="281" w:name="_Toc184310332"/>
      <w:bookmarkEnd w:id="281"/>
      <w:bookmarkStart w:id="282" w:name="_Toc184308046"/>
      <w:bookmarkEnd w:id="282"/>
      <w:bookmarkStart w:id="283" w:name="_Toc184312110"/>
      <w:bookmarkEnd w:id="283"/>
      <w:bookmarkStart w:id="284" w:name="_Toc184312129"/>
      <w:bookmarkEnd w:id="284"/>
      <w:bookmarkStart w:id="285" w:name="_Toc184312130"/>
      <w:bookmarkEnd w:id="285"/>
      <w:bookmarkStart w:id="286" w:name="_Toc184314452"/>
      <w:bookmarkEnd w:id="286"/>
      <w:bookmarkStart w:id="287" w:name="_Toc184314476"/>
      <w:bookmarkEnd w:id="287"/>
      <w:bookmarkStart w:id="288" w:name="_Toc184308103"/>
      <w:bookmarkEnd w:id="288"/>
      <w:bookmarkStart w:id="289" w:name="_Toc184310339"/>
      <w:bookmarkEnd w:id="289"/>
      <w:bookmarkStart w:id="290" w:name="_Toc184312134"/>
      <w:bookmarkEnd w:id="290"/>
      <w:bookmarkStart w:id="291" w:name="_Toc184310340"/>
      <w:bookmarkEnd w:id="291"/>
      <w:bookmarkStart w:id="292" w:name="_Toc184314472"/>
      <w:bookmarkEnd w:id="292"/>
      <w:bookmarkStart w:id="293" w:name="_Toc184313305"/>
      <w:bookmarkEnd w:id="293"/>
      <w:bookmarkStart w:id="294" w:name="_Toc184310318"/>
      <w:bookmarkEnd w:id="294"/>
      <w:bookmarkStart w:id="295" w:name="_Toc184310334"/>
      <w:bookmarkEnd w:id="295"/>
      <w:bookmarkStart w:id="296" w:name="_Toc184313300"/>
      <w:bookmarkEnd w:id="296"/>
      <w:bookmarkStart w:id="297" w:name="_Toc184312111"/>
      <w:bookmarkEnd w:id="297"/>
      <w:bookmarkStart w:id="298" w:name="_Toc184313301"/>
      <w:bookmarkEnd w:id="298"/>
      <w:bookmarkStart w:id="299" w:name="_Toc184308098"/>
      <w:bookmarkEnd w:id="299"/>
      <w:bookmarkStart w:id="300" w:name="_Toc184313304"/>
      <w:bookmarkEnd w:id="300"/>
      <w:bookmarkStart w:id="301" w:name="_Toc184308104"/>
      <w:bookmarkEnd w:id="301"/>
      <w:bookmarkStart w:id="302" w:name="_Toc184308080"/>
      <w:bookmarkEnd w:id="302"/>
      <w:bookmarkStart w:id="303" w:name="_Toc184312133"/>
      <w:bookmarkEnd w:id="303"/>
      <w:bookmarkStart w:id="304" w:name="_Toc184312092"/>
      <w:bookmarkEnd w:id="304"/>
      <w:bookmarkStart w:id="305" w:name="_Toc184313309"/>
      <w:bookmarkEnd w:id="305"/>
      <w:bookmarkStart w:id="306" w:name="_Toc184314477"/>
      <w:bookmarkEnd w:id="306"/>
      <w:bookmarkStart w:id="307" w:name="_Toc184310335"/>
      <w:bookmarkEnd w:id="307"/>
      <w:bookmarkStart w:id="308" w:name="_Toc184308099"/>
      <w:bookmarkEnd w:id="308"/>
      <w:bookmarkStart w:id="309" w:name="_Toc184313276"/>
      <w:bookmarkEnd w:id="309"/>
      <w:bookmarkStart w:id="310" w:name="_Toc184310338"/>
      <w:bookmarkEnd w:id="310"/>
      <w:bookmarkStart w:id="311" w:name="_Toc184314427"/>
      <w:bookmarkEnd w:id="311"/>
      <w:bookmarkStart w:id="312" w:name="_Toc184312090"/>
      <w:bookmarkEnd w:id="312"/>
      <w:bookmarkStart w:id="313" w:name="_Toc184312077"/>
      <w:bookmarkEnd w:id="313"/>
      <w:bookmarkStart w:id="314" w:name="_Toc184313285"/>
      <w:bookmarkEnd w:id="314"/>
      <w:bookmarkStart w:id="315" w:name="_Toc184312132"/>
      <w:bookmarkEnd w:id="315"/>
      <w:bookmarkStart w:id="316" w:name="_Toc184310312"/>
      <w:bookmarkEnd w:id="316"/>
      <w:bookmarkStart w:id="317" w:name="_Toc184314437"/>
      <w:bookmarkEnd w:id="317"/>
      <w:bookmarkStart w:id="318" w:name="_Toc184313284"/>
      <w:bookmarkEnd w:id="318"/>
      <w:bookmarkStart w:id="319" w:name="_Toc184314457"/>
      <w:bookmarkEnd w:id="319"/>
      <w:bookmarkStart w:id="320" w:name="_Toc184310287"/>
      <w:bookmarkEnd w:id="320"/>
      <w:bookmarkStart w:id="321" w:name="_Toc184310316"/>
      <w:bookmarkEnd w:id="321"/>
      <w:bookmarkStart w:id="322" w:name="_Toc184314448"/>
      <w:bookmarkEnd w:id="322"/>
      <w:bookmarkStart w:id="323" w:name="_Toc184314433"/>
      <w:bookmarkEnd w:id="323"/>
      <w:bookmarkStart w:id="324" w:name="_Toc184312107"/>
      <w:bookmarkEnd w:id="324"/>
      <w:bookmarkStart w:id="325" w:name="_Toc184308076"/>
      <w:bookmarkEnd w:id="325"/>
      <w:bookmarkStart w:id="326" w:name="_Toc184310320"/>
      <w:bookmarkEnd w:id="326"/>
      <w:bookmarkStart w:id="327" w:name="_Toc184308050"/>
      <w:bookmarkEnd w:id="327"/>
      <w:bookmarkStart w:id="328" w:name="_Toc184308106"/>
      <w:bookmarkEnd w:id="328"/>
      <w:bookmarkStart w:id="329" w:name="_Toc184313286"/>
      <w:bookmarkEnd w:id="329"/>
      <w:bookmarkStart w:id="330" w:name="_Toc184308073"/>
      <w:bookmarkEnd w:id="330"/>
      <w:bookmarkStart w:id="331" w:name="_Toc184314435"/>
      <w:bookmarkEnd w:id="331"/>
      <w:bookmarkStart w:id="332" w:name="_Toc184313282"/>
      <w:bookmarkEnd w:id="332"/>
      <w:bookmarkStart w:id="333" w:name="_Toc184308062"/>
      <w:bookmarkEnd w:id="333"/>
      <w:bookmarkStart w:id="334" w:name="_Toc184312089"/>
      <w:bookmarkEnd w:id="334"/>
      <w:bookmarkStart w:id="335" w:name="_Toc184308060"/>
      <w:bookmarkEnd w:id="335"/>
      <w:bookmarkStart w:id="336" w:name="_Toc184308075"/>
      <w:bookmarkEnd w:id="336"/>
      <w:bookmarkStart w:id="337" w:name="_Toc184313278"/>
      <w:bookmarkEnd w:id="337"/>
      <w:bookmarkStart w:id="338" w:name="_Toc184310304"/>
      <w:bookmarkEnd w:id="338"/>
      <w:bookmarkStart w:id="339" w:name="_Toc184314424"/>
      <w:bookmarkEnd w:id="339"/>
      <w:bookmarkStart w:id="340" w:name="_Toc184310344"/>
      <w:bookmarkEnd w:id="340"/>
      <w:bookmarkStart w:id="341" w:name="_Toc184314474"/>
      <w:bookmarkEnd w:id="341"/>
      <w:bookmarkStart w:id="342" w:name="_Toc184310295"/>
      <w:bookmarkEnd w:id="342"/>
      <w:bookmarkStart w:id="343" w:name="_Toc184310276"/>
      <w:bookmarkEnd w:id="343"/>
      <w:bookmarkStart w:id="344" w:name="_Toc184310290"/>
      <w:bookmarkEnd w:id="344"/>
      <w:bookmarkStart w:id="345" w:name="_Toc184313265"/>
      <w:bookmarkEnd w:id="345"/>
      <w:bookmarkStart w:id="346" w:name="_Toc184310280"/>
      <w:bookmarkEnd w:id="346"/>
      <w:bookmarkStart w:id="347" w:name="_Toc184308036"/>
      <w:bookmarkEnd w:id="347"/>
      <w:bookmarkStart w:id="348" w:name="_Toc184308059"/>
      <w:bookmarkEnd w:id="348"/>
      <w:bookmarkStart w:id="349" w:name="_Toc184313261"/>
      <w:bookmarkEnd w:id="349"/>
      <w:bookmarkStart w:id="350" w:name="_Toc184314414"/>
      <w:bookmarkEnd w:id="350"/>
      <w:bookmarkStart w:id="351" w:name="_Toc184310277"/>
      <w:bookmarkEnd w:id="351"/>
      <w:bookmarkStart w:id="352" w:name="_Toc184308042"/>
      <w:bookmarkEnd w:id="352"/>
      <w:bookmarkStart w:id="353" w:name="_Toc184310278"/>
      <w:bookmarkEnd w:id="353"/>
      <w:bookmarkStart w:id="354" w:name="_Toc184312073"/>
      <w:bookmarkEnd w:id="354"/>
      <w:bookmarkStart w:id="355" w:name="_Toc184313244"/>
      <w:bookmarkEnd w:id="355"/>
      <w:bookmarkStart w:id="356" w:name="_Toc184310342"/>
      <w:bookmarkEnd w:id="356"/>
      <w:bookmarkStart w:id="357" w:name="_Toc184314425"/>
      <w:bookmarkEnd w:id="357"/>
      <w:bookmarkStart w:id="358" w:name="_Toc184314416"/>
      <w:bookmarkEnd w:id="358"/>
      <w:bookmarkStart w:id="359" w:name="_Toc184310321"/>
      <w:bookmarkEnd w:id="359"/>
      <w:bookmarkStart w:id="360" w:name="_Toc184310294"/>
      <w:bookmarkEnd w:id="360"/>
      <w:bookmarkStart w:id="361" w:name="_Toc184312074"/>
      <w:bookmarkEnd w:id="361"/>
      <w:bookmarkStart w:id="362" w:name="_Toc184308041"/>
      <w:bookmarkEnd w:id="362"/>
      <w:bookmarkStart w:id="363" w:name="_Toc184308045"/>
      <w:bookmarkEnd w:id="363"/>
      <w:bookmarkStart w:id="364" w:name="_Toc184314415"/>
      <w:bookmarkEnd w:id="364"/>
      <w:bookmarkStart w:id="365" w:name="_Toc184310279"/>
      <w:bookmarkEnd w:id="365"/>
      <w:bookmarkStart w:id="366" w:name="_Toc184313245"/>
      <w:bookmarkEnd w:id="366"/>
      <w:bookmarkStart w:id="367" w:name="_Toc184313243"/>
      <w:bookmarkEnd w:id="367"/>
      <w:bookmarkStart w:id="368" w:name="_Toc184314417"/>
      <w:bookmarkEnd w:id="368"/>
      <w:bookmarkStart w:id="369" w:name="_Toc184308044"/>
      <w:bookmarkEnd w:id="369"/>
      <w:bookmarkStart w:id="370" w:name="_Toc184308043"/>
      <w:bookmarkEnd w:id="370"/>
      <w:bookmarkStart w:id="371" w:name="_Toc184310272"/>
      <w:bookmarkEnd w:id="371"/>
      <w:bookmarkStart w:id="372" w:name="_Toc184312076"/>
      <w:bookmarkEnd w:id="372"/>
      <w:bookmarkStart w:id="373" w:name="_Toc184314412"/>
      <w:bookmarkEnd w:id="373"/>
      <w:bookmarkStart w:id="374" w:name="_Toc184314411"/>
      <w:bookmarkEnd w:id="374"/>
      <w:bookmarkStart w:id="375" w:name="_Toc184308038"/>
      <w:bookmarkEnd w:id="375"/>
      <w:bookmarkStart w:id="376" w:name="_Toc184308037"/>
      <w:bookmarkEnd w:id="376"/>
      <w:bookmarkStart w:id="377" w:name="_Toc184312072"/>
      <w:bookmarkEnd w:id="377"/>
      <w:bookmarkStart w:id="378" w:name="_Toc184313262"/>
      <w:bookmarkEnd w:id="378"/>
      <w:bookmarkStart w:id="379" w:name="_Toc184314450"/>
      <w:bookmarkEnd w:id="379"/>
      <w:bookmarkStart w:id="380" w:name="_Toc184310314"/>
      <w:bookmarkEnd w:id="380"/>
      <w:bookmarkStart w:id="381" w:name="_Toc184308040"/>
      <w:bookmarkEnd w:id="381"/>
      <w:bookmarkStart w:id="382" w:name="_Toc184313260"/>
      <w:bookmarkEnd w:id="382"/>
      <w:bookmarkStart w:id="383" w:name="_Toc184313263"/>
      <w:bookmarkEnd w:id="383"/>
      <w:bookmarkStart w:id="384" w:name="_Toc184312115"/>
      <w:bookmarkEnd w:id="384"/>
      <w:bookmarkStart w:id="385" w:name="_Toc184314459"/>
      <w:bookmarkEnd w:id="385"/>
      <w:bookmarkStart w:id="386" w:name="_Toc184313280"/>
      <w:bookmarkEnd w:id="386"/>
      <w:bookmarkStart w:id="387" w:name="_Toc184312075"/>
      <w:bookmarkEnd w:id="387"/>
      <w:bookmarkStart w:id="388" w:name="_Toc184313246"/>
      <w:bookmarkEnd w:id="388"/>
      <w:bookmarkStart w:id="389" w:name="_Toc184314418"/>
      <w:bookmarkEnd w:id="389"/>
      <w:bookmarkStart w:id="390" w:name="_Toc184312094"/>
      <w:bookmarkEnd w:id="390"/>
      <w:bookmarkStart w:id="391" w:name="_Toc184312117"/>
      <w:bookmarkEnd w:id="391"/>
      <w:bookmarkStart w:id="392" w:name="_Toc184308049"/>
      <w:bookmarkEnd w:id="392"/>
      <w:bookmarkStart w:id="393" w:name="_Toc184312135"/>
      <w:bookmarkEnd w:id="393"/>
      <w:bookmarkStart w:id="394" w:name="_Toc184312085"/>
      <w:bookmarkEnd w:id="394"/>
      <w:bookmarkStart w:id="395" w:name="_Toc184313287"/>
      <w:bookmarkEnd w:id="395"/>
      <w:bookmarkStart w:id="396" w:name="_Toc184308105"/>
      <w:bookmarkEnd w:id="396"/>
      <w:bookmarkStart w:id="397" w:name="_Toc184313253"/>
      <w:bookmarkEnd w:id="397"/>
      <w:bookmarkStart w:id="398" w:name="_Toc184310274"/>
      <w:bookmarkEnd w:id="398"/>
      <w:bookmarkStart w:id="399" w:name="_Toc184312116"/>
      <w:bookmarkEnd w:id="399"/>
      <w:bookmarkStart w:id="400" w:name="_Toc184310298"/>
      <w:bookmarkEnd w:id="400"/>
      <w:bookmarkStart w:id="401" w:name="_Toc184310296"/>
      <w:bookmarkEnd w:id="401"/>
      <w:r>
        <w:rPr>
          <w:rFonts w:hint="eastAsia" w:ascii="仿宋" w:hAnsi="仿宋" w:eastAsia="仿宋" w:cs="仿宋_GB2312"/>
          <w:b/>
          <w:color w:val="auto"/>
          <w:sz w:val="36"/>
          <w:szCs w:val="36"/>
          <w:highlight w:val="none"/>
        </w:rPr>
        <w:t>评标方法及评分标准</w:t>
      </w:r>
    </w:p>
    <w:p>
      <w:pPr>
        <w:snapToGrid w:val="0"/>
        <w:spacing w:line="360" w:lineRule="auto"/>
        <w:ind w:firstLine="3052" w:firstLineChars="950"/>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color w:val="auto"/>
          <w:kern w:val="0"/>
          <w:sz w:val="24"/>
          <w:highlight w:val="none"/>
        </w:rPr>
      </w:pPr>
    </w:p>
    <w:p>
      <w:pPr>
        <w:snapToGrid w:val="0"/>
        <w:spacing w:line="360" w:lineRule="auto"/>
        <w:ind w:left="120" w:leftChars="57" w:firstLine="422" w:firstLineChars="150"/>
        <w:jc w:val="center"/>
        <w:rPr>
          <w:rFonts w:hint="eastAsia" w:ascii="仿宋" w:hAnsi="仿宋" w:eastAsia="仿宋" w:cs="仿宋_GB2312"/>
          <w:b/>
          <w:color w:val="auto"/>
          <w:sz w:val="32"/>
          <w:highlight w:val="none"/>
        </w:rPr>
      </w:pPr>
      <w:r>
        <w:rPr>
          <w:rFonts w:hint="eastAsia" w:ascii="仿宋" w:hAnsi="仿宋" w:eastAsia="仿宋"/>
          <w:b/>
          <w:color w:val="auto"/>
          <w:sz w:val="28"/>
          <w:szCs w:val="28"/>
          <w:highlight w:val="none"/>
        </w:rPr>
        <w:t xml:space="preserve">   </w:t>
      </w:r>
      <w:r>
        <w:rPr>
          <w:rFonts w:hint="eastAsia" w:ascii="仿宋" w:hAnsi="仿宋" w:eastAsia="仿宋" w:cs="仿宋_GB2312"/>
          <w:b/>
          <w:color w:val="auto"/>
          <w:sz w:val="32"/>
          <w:highlight w:val="none"/>
        </w:rPr>
        <w:t>二、评标委员会的组成</w:t>
      </w:r>
    </w:p>
    <w:p>
      <w:pPr>
        <w:snapToGrid w:val="0"/>
        <w:spacing w:line="360" w:lineRule="auto"/>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评标委员会由采购人代表和评审专家组成，成员人数为5人以上单数，其中评审专家不少于成员总数的三分之二。</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b/>
          <w:color w:val="auto"/>
          <w:kern w:val="0"/>
          <w:highlight w:val="none"/>
        </w:rPr>
        <w:t>3.评标委员会的组成人员的回避。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　　3.1参加采购活动前3年内与供应商存在劳动关系；</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　　3.2参加采购活动前3年内担任供应商的董事、监事；</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　　3.3参加采购活动前3年内是供应商的控股股东或者实际控制人；</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　　3.4与供应商的法定代表人或者负责人有夫妻、直系血亲、三代以内旁系血亲或者近姻亲关系；</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　 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auto"/>
          <w:sz w:val="32"/>
          <w:szCs w:val="32"/>
          <w:highlight w:val="none"/>
        </w:rPr>
      </w:pPr>
    </w:p>
    <w:p>
      <w:pPr>
        <w:snapToGrid w:val="0"/>
        <w:spacing w:line="360" w:lineRule="auto"/>
        <w:ind w:left="120" w:leftChars="57" w:firstLine="482" w:firstLineChars="150"/>
        <w:jc w:val="center"/>
        <w:rPr>
          <w:rFonts w:hint="eastAsia" w:ascii="仿宋" w:hAnsi="仿宋" w:eastAsia="仿宋"/>
          <w:b/>
          <w:color w:val="auto"/>
          <w:sz w:val="32"/>
          <w:szCs w:val="32"/>
          <w:highlight w:val="none"/>
        </w:rPr>
      </w:pPr>
      <w:r>
        <w:rPr>
          <w:rFonts w:ascii="仿宋" w:hAnsi="仿宋" w:eastAsia="仿宋"/>
          <w:b/>
          <w:color w:val="auto"/>
          <w:sz w:val="32"/>
          <w:szCs w:val="32"/>
          <w:highlight w:val="none"/>
        </w:rPr>
        <w:t>　</w:t>
      </w:r>
      <w:r>
        <w:rPr>
          <w:rFonts w:ascii="仿宋" w:hAnsi="仿宋" w:eastAsia="仿宋" w:cs="仿宋_GB2312"/>
          <w:b/>
          <w:color w:val="auto"/>
          <w:sz w:val="32"/>
          <w:highlight w:val="none"/>
        </w:rPr>
        <w:t>　</w:t>
      </w:r>
      <w:r>
        <w:rPr>
          <w:rFonts w:hint="eastAsia" w:ascii="仿宋" w:hAnsi="仿宋" w:eastAsia="仿宋" w:cs="仿宋_GB2312"/>
          <w:b/>
          <w:color w:val="auto"/>
          <w:sz w:val="32"/>
          <w:highlight w:val="none"/>
        </w:rPr>
        <w:t>三、评标委员会的职责</w:t>
      </w:r>
    </w:p>
    <w:p>
      <w:pPr>
        <w:pStyle w:val="307"/>
        <w:spacing w:before="0"/>
        <w:ind w:firstLine="0" w:firstLineChars="0"/>
        <w:rPr>
          <w:rFonts w:hint="eastAsia" w:ascii="仿宋" w:hAnsi="仿宋" w:eastAsia="仿宋" w:cs="Arial"/>
          <w:b/>
          <w:color w:val="auto"/>
          <w:kern w:val="0"/>
          <w:highlight w:val="none"/>
        </w:rPr>
      </w:pPr>
      <w:r>
        <w:rPr>
          <w:rFonts w:hint="eastAsia" w:ascii="仿宋" w:hAnsi="仿宋" w:eastAsia="仿宋" w:cs="Arial"/>
          <w:b/>
          <w:color w:val="auto"/>
          <w:kern w:val="0"/>
          <w:highlight w:val="none"/>
        </w:rPr>
        <w:t>4.</w:t>
      </w:r>
      <w:r>
        <w:rPr>
          <w:rFonts w:ascii="仿宋" w:hAnsi="仿宋" w:eastAsia="仿宋" w:cs="Arial"/>
          <w:b/>
          <w:color w:val="auto"/>
          <w:kern w:val="0"/>
          <w:highlight w:val="none"/>
        </w:rPr>
        <w:t>评标委员会负责具体评标事务，并独立履行下列职责：</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向采购人、采购代理机构或者有关部门报告评标中发现的违法行为</w:t>
      </w:r>
      <w:r>
        <w:rPr>
          <w:rFonts w:hint="eastAsia" w:ascii="仿宋" w:hAnsi="仿宋" w:eastAsia="仿宋" w:cs="Arial"/>
          <w:color w:val="auto"/>
          <w:kern w:val="0"/>
          <w:highlight w:val="none"/>
        </w:rPr>
        <w:t>；</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pPr>
        <w:pStyle w:val="307"/>
        <w:spacing w:before="0"/>
        <w:ind w:firstLine="0" w:firstLineChars="0"/>
        <w:rPr>
          <w:rFonts w:ascii="仿宋" w:hAnsi="仿宋" w:eastAsia="仿宋" w:cs="Arial"/>
          <w:b/>
          <w:color w:val="auto"/>
          <w:kern w:val="0"/>
          <w:highlight w:val="none"/>
        </w:rPr>
      </w:pPr>
      <w:r>
        <w:rPr>
          <w:rFonts w:hint="eastAsia" w:ascii="仿宋" w:hAnsi="仿宋" w:eastAsia="仿宋" w:cs="Arial"/>
          <w:b/>
          <w:color w:val="auto"/>
          <w:kern w:val="0"/>
          <w:highlight w:val="none"/>
        </w:rPr>
        <w:t>5.</w:t>
      </w:r>
      <w:r>
        <w:rPr>
          <w:rFonts w:ascii="仿宋" w:hAnsi="仿宋" w:eastAsia="仿宋" w:cs="Arial"/>
          <w:b/>
          <w:color w:val="auto"/>
          <w:kern w:val="0"/>
          <w:highlight w:val="none"/>
        </w:rPr>
        <w:t>评标委员会及其成员不得有下列行为：</w:t>
      </w:r>
    </w:p>
    <w:p>
      <w:pPr>
        <w:pStyle w:val="307"/>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w:t>
      </w: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pPr>
        <w:pStyle w:val="307"/>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w:t>
      </w: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接受投标人提出的与投标文件不一致的澄清或者说明，本办法第五十一条规定的情形除外；</w:t>
      </w:r>
    </w:p>
    <w:p>
      <w:pPr>
        <w:pStyle w:val="307"/>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w:t>
      </w: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pPr>
        <w:pStyle w:val="307"/>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w:t>
      </w: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pPr>
        <w:pStyle w:val="307"/>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w:t>
      </w: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pPr>
        <w:pStyle w:val="307"/>
        <w:spacing w:before="0"/>
        <w:ind w:firstLine="240" w:firstLineChars="100"/>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pPr>
        <w:pStyle w:val="307"/>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w:t>
      </w: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pPr>
        <w:pStyle w:val="307"/>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5.1-5.5</w:t>
      </w:r>
      <w:r>
        <w:rPr>
          <w:rFonts w:ascii="仿宋" w:hAnsi="仿宋" w:eastAsia="仿宋" w:cs="Arial"/>
          <w:color w:val="auto"/>
          <w:kern w:val="0"/>
          <w:highlight w:val="none"/>
        </w:rPr>
        <w:t>行为之一的，其评审意见无效，并不得获取评审劳务报酬和报销异地评审差旅费。</w:t>
      </w:r>
    </w:p>
    <w:p>
      <w:pPr>
        <w:pStyle w:val="307"/>
        <w:spacing w:before="0"/>
        <w:ind w:firstLine="0" w:firstLineChars="0"/>
        <w:rPr>
          <w:rFonts w:hint="eastAsia" w:ascii="仿宋" w:hAnsi="仿宋" w:eastAsia="仿宋" w:cs="Arial"/>
          <w:color w:val="auto"/>
          <w:kern w:val="0"/>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b/>
          <w:color w:val="auto"/>
          <w:kern w:val="0"/>
          <w:highlight w:val="none"/>
        </w:rPr>
        <w:t>6.符合性审查。</w:t>
      </w:r>
      <w:r>
        <w:rPr>
          <w:rFonts w:ascii="仿宋" w:hAnsi="仿宋" w:eastAsia="仿宋" w:cs="Arial"/>
          <w:b/>
          <w:color w:val="auto"/>
          <w:kern w:val="0"/>
          <w:highlight w:val="none"/>
        </w:rPr>
        <w:t xml:space="preserve"> </w:t>
      </w:r>
      <w:r>
        <w:rPr>
          <w:rFonts w:ascii="仿宋" w:hAnsi="仿宋" w:eastAsia="仿宋" w:cs="Arial"/>
          <w:color w:val="auto"/>
          <w:kern w:val="0"/>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highlight w:val="none"/>
        </w:rPr>
        <w:t>。符合投标无效情形的，投标无效</w:t>
      </w:r>
      <w:r>
        <w:rPr>
          <w:rFonts w:ascii="仿宋" w:hAnsi="仿宋" w:eastAsia="仿宋" w:cs="Arial"/>
          <w:color w:val="auto"/>
          <w:kern w:val="0"/>
          <w:highlight w:val="none"/>
        </w:rPr>
        <w:t>。</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b/>
          <w:color w:val="auto"/>
          <w:kern w:val="0"/>
          <w:highlight w:val="none"/>
        </w:rPr>
        <w:t>7.投标人澄清、说明或者补正。</w:t>
      </w:r>
      <w:r>
        <w:rPr>
          <w:rFonts w:ascii="仿宋" w:hAnsi="仿宋" w:eastAsia="仿宋" w:cs="Arial"/>
          <w:color w:val="auto"/>
          <w:kern w:val="0"/>
          <w:highlight w:val="none"/>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b/>
          <w:color w:val="auto"/>
          <w:kern w:val="0"/>
          <w:highlight w:val="none"/>
        </w:rPr>
        <w:t>8.</w:t>
      </w:r>
      <w:r>
        <w:rPr>
          <w:rFonts w:ascii="仿宋" w:hAnsi="仿宋" w:eastAsia="仿宋" w:cs="Arial"/>
          <w:b/>
          <w:color w:val="auto"/>
          <w:kern w:val="0"/>
          <w:highlight w:val="none"/>
        </w:rPr>
        <w:t xml:space="preserve"> 比较与评价</w:t>
      </w:r>
      <w:r>
        <w:rPr>
          <w:rFonts w:hint="eastAsia" w:ascii="仿宋" w:hAnsi="仿宋" w:eastAsia="仿宋" w:cs="Arial"/>
          <w:b/>
          <w:color w:val="auto"/>
          <w:kern w:val="0"/>
          <w:highlight w:val="none"/>
        </w:rPr>
        <w:t>。</w:t>
      </w:r>
      <w:r>
        <w:rPr>
          <w:rFonts w:ascii="仿宋" w:hAnsi="仿宋" w:eastAsia="仿宋" w:cs="Arial"/>
          <w:color w:val="auto"/>
          <w:kern w:val="0"/>
          <w:highlight w:val="none"/>
        </w:rPr>
        <w:t>标委员会应当按照评标标准，对符合性审查合格的投标文件进行商务和技术评估，综合比较与评价。</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b/>
          <w:color w:val="auto"/>
          <w:kern w:val="0"/>
          <w:highlight w:val="none"/>
        </w:rPr>
        <w:t>9.</w:t>
      </w:r>
      <w:r>
        <w:rPr>
          <w:rFonts w:ascii="仿宋" w:hAnsi="仿宋" w:eastAsia="仿宋" w:cs="Arial"/>
          <w:b/>
          <w:color w:val="auto"/>
          <w:kern w:val="0"/>
          <w:highlight w:val="none"/>
        </w:rPr>
        <w:t xml:space="preserve"> 汇总</w:t>
      </w:r>
      <w:r>
        <w:rPr>
          <w:rFonts w:hint="eastAsia" w:ascii="仿宋" w:hAnsi="仿宋" w:eastAsia="仿宋" w:cs="Arial"/>
          <w:b/>
          <w:color w:val="auto"/>
          <w:kern w:val="0"/>
          <w:highlight w:val="none"/>
        </w:rPr>
        <w:t>（商务技术得分情况）。</w:t>
      </w:r>
      <w:r>
        <w:rPr>
          <w:rFonts w:ascii="仿宋" w:hAnsi="仿宋" w:eastAsia="仿宋" w:cs="Arial"/>
          <w:color w:val="auto"/>
          <w:kern w:val="0"/>
          <w:highlight w:val="none"/>
        </w:rPr>
        <w:t>评标委员会各成员应当独立对每个投标人的</w:t>
      </w:r>
      <w:r>
        <w:rPr>
          <w:rFonts w:hint="eastAsia" w:ascii="仿宋" w:hAnsi="仿宋" w:eastAsia="仿宋" w:cs="Arial"/>
          <w:color w:val="auto"/>
          <w:kern w:val="0"/>
          <w:highlight w:val="none"/>
        </w:rPr>
        <w:t>商务和技术</w:t>
      </w:r>
      <w:r>
        <w:rPr>
          <w:rFonts w:ascii="仿宋" w:hAnsi="仿宋" w:eastAsia="仿宋" w:cs="Arial"/>
          <w:color w:val="auto"/>
          <w:kern w:val="0"/>
          <w:highlight w:val="none"/>
        </w:rPr>
        <w:t>文件进行评价，并汇总</w:t>
      </w:r>
      <w:r>
        <w:rPr>
          <w:rFonts w:hint="eastAsia" w:ascii="仿宋" w:hAnsi="仿宋" w:eastAsia="仿宋" w:cs="Arial"/>
          <w:color w:val="auto"/>
          <w:kern w:val="0"/>
          <w:highlight w:val="none"/>
        </w:rPr>
        <w:t>商务技术得分情况</w:t>
      </w:r>
      <w:r>
        <w:rPr>
          <w:rFonts w:ascii="仿宋" w:hAnsi="仿宋" w:eastAsia="仿宋" w:cs="Arial"/>
          <w:color w:val="auto"/>
          <w:kern w:val="0"/>
          <w:highlight w:val="none"/>
        </w:rPr>
        <w:t>。</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b/>
          <w:color w:val="auto"/>
          <w:kern w:val="0"/>
          <w:highlight w:val="none"/>
        </w:rPr>
        <w:t>10. 报价审核。</w:t>
      </w:r>
      <w:r>
        <w:rPr>
          <w:rFonts w:hint="eastAsia" w:ascii="仿宋" w:hAnsi="仿宋" w:eastAsia="仿宋" w:cs="Arial"/>
          <w:color w:val="auto"/>
          <w:kern w:val="0"/>
          <w:highlight w:val="none"/>
        </w:rPr>
        <w:t>对经商务和技术评审符合采购需求的投标人的报价的合理性、准确性等进行审查核实。</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10.2根据财政部发布的《政府采购促进中小企业发展暂行办法》规定，对于非专门面向中小企业的项目，对小型和微型企业产品的价格给予一定的扣除，用扣除后的价格参与评审。</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10.3投标价格的修正原则。投标文件报价出现前后不一致的，按照下列规定修正：</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10.3.1投标文件中开标一览表(报价表)内容与投标文件中相应内容不一致的，以开标一览表(报价表)为准;</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10.3.2大写金额和小写金额不一致的，以大写金额为准;</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10.3.3单价金额小数点或者百分比有明显错位的，以开标一览表的总价为准，并修改单价;</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10.3.4总价金额与按单价汇总金额不一致的，以单价金额计算结果为准。</w:t>
      </w:r>
    </w:p>
    <w:p>
      <w:pPr>
        <w:pStyle w:val="307"/>
        <w:spacing w:before="0"/>
        <w:ind w:firstLine="0" w:firstLineChars="0"/>
        <w:rPr>
          <w:rFonts w:hint="eastAsia" w:ascii="仿宋" w:hAnsi="仿宋" w:eastAsia="仿宋" w:cs="Arial"/>
          <w:color w:val="auto"/>
          <w:kern w:val="0"/>
          <w:highlight w:val="none"/>
        </w:rPr>
      </w:pPr>
      <w:r>
        <w:rPr>
          <w:rFonts w:hint="eastAsia" w:ascii="仿宋" w:hAnsi="仿宋" w:eastAsia="仿宋" w:cs="Arial"/>
          <w:color w:val="auto"/>
          <w:kern w:val="0"/>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pPr>
        <w:spacing w:line="360" w:lineRule="auto"/>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11.</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pPr>
        <w:spacing w:line="360" w:lineRule="auto"/>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12.</w:t>
      </w:r>
      <w:r>
        <w:rPr>
          <w:rFonts w:ascii="仿宋" w:hAnsi="仿宋" w:eastAsia="仿宋" w:cs="Arial"/>
          <w:b/>
          <w:color w:val="auto"/>
          <w:kern w:val="0"/>
          <w:sz w:val="24"/>
          <w:highlight w:val="none"/>
        </w:rPr>
        <w:t>顺序排列</w:t>
      </w:r>
      <w:r>
        <w:rPr>
          <w:rFonts w:hint="eastAsia" w:ascii="仿宋" w:hAnsi="仿宋" w:eastAsia="仿宋" w:cs="Arial"/>
          <w:b/>
          <w:color w:val="auto"/>
          <w:kern w:val="0"/>
          <w:sz w:val="24"/>
          <w:highlight w:val="none"/>
        </w:rPr>
        <w:t>与中标候选推荐。</w:t>
      </w:r>
    </w:p>
    <w:p>
      <w:pPr>
        <w:spacing w:line="360" w:lineRule="auto"/>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12.1</w:t>
      </w:r>
      <w:r>
        <w:rPr>
          <w:rFonts w:ascii="仿宋" w:hAnsi="仿宋" w:eastAsia="仿宋" w:cs="仿宋_GB2312"/>
          <w:color w:val="auto"/>
          <w:sz w:val="24"/>
          <w:szCs w:val="21"/>
          <w:highlight w:val="none"/>
        </w:rPr>
        <w:t>评标结果按评审后得分由高到低顺序排列。得分相同的，按投标报价由低到高顺序排列。得分且投标报价相同的并列。得分最高的投标人为排名第一的中标候选人。</w:t>
      </w:r>
    </w:p>
    <w:p>
      <w:pPr>
        <w:spacing w:line="360" w:lineRule="auto"/>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12.2多家投标人</w:t>
      </w:r>
      <w:r>
        <w:rPr>
          <w:rFonts w:ascii="仿宋" w:hAnsi="仿宋" w:eastAsia="仿宋" w:cs="仿宋_GB2312"/>
          <w:color w:val="auto"/>
          <w:sz w:val="24"/>
          <w:szCs w:val="21"/>
          <w:highlight w:val="none"/>
        </w:rPr>
        <w:t>提供相同品牌产品</w:t>
      </w:r>
      <w:r>
        <w:rPr>
          <w:rFonts w:hint="eastAsia" w:ascii="仿宋" w:hAnsi="仿宋" w:eastAsia="仿宋" w:cs="仿宋_GB2312"/>
          <w:color w:val="auto"/>
          <w:sz w:val="24"/>
          <w:szCs w:val="21"/>
          <w:highlight w:val="none"/>
        </w:rPr>
        <w:t>（</w:t>
      </w:r>
      <w:r>
        <w:rPr>
          <w:rFonts w:ascii="仿宋" w:hAnsi="仿宋" w:eastAsia="仿宋" w:cs="仿宋_GB2312"/>
          <w:color w:val="auto"/>
          <w:sz w:val="24"/>
          <w:szCs w:val="21"/>
          <w:highlight w:val="none"/>
        </w:rPr>
        <w:t>单一产品采购项目</w:t>
      </w:r>
      <w:r>
        <w:rPr>
          <w:rFonts w:hint="eastAsia" w:ascii="仿宋" w:hAnsi="仿宋" w:eastAsia="仿宋" w:cs="仿宋_GB2312"/>
          <w:color w:val="auto"/>
          <w:sz w:val="24"/>
          <w:szCs w:val="21"/>
          <w:highlight w:val="none"/>
        </w:rPr>
        <w:t>中的该产品或者非</w:t>
      </w:r>
      <w:r>
        <w:rPr>
          <w:rFonts w:ascii="仿宋" w:hAnsi="仿宋" w:eastAsia="仿宋" w:cs="仿宋_GB2312"/>
          <w:color w:val="auto"/>
          <w:sz w:val="24"/>
          <w:szCs w:val="21"/>
          <w:highlight w:val="none"/>
        </w:rPr>
        <w:t>单一产品采购项目</w:t>
      </w:r>
      <w:r>
        <w:rPr>
          <w:rFonts w:hint="eastAsia" w:ascii="仿宋" w:hAnsi="仿宋" w:eastAsia="仿宋" w:cs="仿宋_GB2312"/>
          <w:color w:val="auto"/>
          <w:sz w:val="24"/>
          <w:szCs w:val="21"/>
          <w:highlight w:val="none"/>
        </w:rPr>
        <w:t>的核心产品）</w:t>
      </w:r>
      <w:r>
        <w:rPr>
          <w:rFonts w:ascii="仿宋" w:hAnsi="仿宋" w:eastAsia="仿宋" w:cs="仿宋_GB2312"/>
          <w:color w:val="auto"/>
          <w:sz w:val="24"/>
          <w:szCs w:val="21"/>
          <w:highlight w:val="none"/>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33"/>
        <w:spacing w:line="360" w:lineRule="auto"/>
        <w:ind w:left="559" w:hanging="559" w:hangingChars="199"/>
        <w:rPr>
          <w:rFonts w:hint="eastAsia" w:ascii="仿宋" w:hAnsi="仿宋" w:eastAsia="仿宋" w:cs="仿宋_GB2312"/>
          <w:color w:val="auto"/>
          <w:szCs w:val="21"/>
          <w:highlight w:val="none"/>
        </w:rPr>
      </w:pPr>
      <w:r>
        <w:rPr>
          <w:rFonts w:hint="eastAsia" w:ascii="仿宋" w:hAnsi="仿宋" w:eastAsia="仿宋" w:cs="仿宋_GB2312"/>
          <w:b/>
          <w:color w:val="auto"/>
          <w:spacing w:val="20"/>
          <w:highlight w:val="none"/>
        </w:rPr>
        <w:t>13.投标无效。</w:t>
      </w:r>
      <w:r>
        <w:rPr>
          <w:rFonts w:hint="eastAsia" w:ascii="仿宋" w:hAnsi="仿宋" w:eastAsia="仿宋" w:cs="仿宋_GB2312"/>
          <w:color w:val="auto"/>
          <w:szCs w:val="21"/>
          <w:highlight w:val="none"/>
        </w:rPr>
        <w:t>有下列情况之一的，投标无效：</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13.1</w:t>
      </w:r>
      <w:r>
        <w:rPr>
          <w:rFonts w:hint="eastAsia" w:ascii="仿宋" w:hAnsi="仿宋" w:eastAsia="仿宋" w:cs="仿宋_GB2312"/>
          <w:color w:val="auto"/>
          <w:sz w:val="24"/>
          <w:szCs w:val="21"/>
          <w:highlight w:val="none"/>
        </w:rPr>
        <w:t>单位负责人为同一人或者存在直接控股、管理关系的不同供应商参加同一合同项下的政府采购活动的（均无效）；</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13.2</w:t>
      </w:r>
      <w:r>
        <w:rPr>
          <w:rFonts w:hint="eastAsia" w:ascii="仿宋" w:hAnsi="仿宋" w:eastAsia="仿宋" w:cs="仿宋_GB2312"/>
          <w:color w:val="auto"/>
          <w:sz w:val="24"/>
          <w:szCs w:val="21"/>
          <w:highlight w:val="none"/>
        </w:rPr>
        <w:t>为采购项目提供整体设计、规范编制或者项目管理、监理、检测等服务的供应商再参加该采购项目的其他采购活动的；</w:t>
      </w:r>
      <w:r>
        <w:rPr>
          <w:rFonts w:ascii="仿宋" w:hAnsi="仿宋" w:eastAsia="仿宋" w:cs="仿宋_GB2312"/>
          <w:color w:val="auto"/>
          <w:sz w:val="24"/>
          <w:szCs w:val="21"/>
          <w:highlight w:val="none"/>
        </w:rPr>
        <w:t xml:space="preserve"> </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13.3</w:t>
      </w:r>
      <w:r>
        <w:rPr>
          <w:rFonts w:hint="eastAsia" w:ascii="仿宋" w:hAnsi="仿宋" w:eastAsia="仿宋" w:cs="仿宋_GB2312"/>
          <w:color w:val="auto"/>
          <w:sz w:val="24"/>
          <w:szCs w:val="21"/>
          <w:highlight w:val="none"/>
        </w:rPr>
        <w:t>投标人不具备招标文件中规定的资格要求的（投标人未提供有效的资格证明文件的，视为投标人不具备招标文件中规定的资格要求）；</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13.4</w:t>
      </w:r>
      <w:r>
        <w:rPr>
          <w:rFonts w:hint="eastAsia" w:ascii="仿宋" w:hAnsi="仿宋" w:eastAsia="仿宋" w:cs="仿宋_GB2312"/>
          <w:color w:val="auto"/>
          <w:sz w:val="24"/>
          <w:szCs w:val="21"/>
          <w:highlight w:val="none"/>
        </w:rPr>
        <w:t>如以联合体形式参加政府采购活动的，联合体协议不符合招标文件规定的联合体协议要求的；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13. 5</w:t>
      </w:r>
      <w:r>
        <w:rPr>
          <w:rFonts w:hint="eastAsia" w:ascii="仿宋" w:hAnsi="仿宋" w:eastAsia="仿宋" w:cs="仿宋_GB2312"/>
          <w:color w:val="auto"/>
          <w:sz w:val="24"/>
          <w:szCs w:val="21"/>
          <w:highlight w:val="none"/>
        </w:rPr>
        <w:t>投标文件未按规定的格式编制的；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13.6</w:t>
      </w:r>
      <w:r>
        <w:rPr>
          <w:rFonts w:hint="eastAsia" w:ascii="仿宋" w:hAnsi="仿宋" w:eastAsia="仿宋" w:cs="仿宋_GB2312"/>
          <w:color w:val="auto"/>
          <w:sz w:val="24"/>
          <w:szCs w:val="21"/>
          <w:highlight w:val="none"/>
        </w:rPr>
        <w:t>投标文件未按招标文件的澄清、修改的内容编制，又不符合实质性要求的；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13.7</w:t>
      </w:r>
      <w:r>
        <w:rPr>
          <w:rFonts w:hint="eastAsia" w:ascii="仿宋" w:hAnsi="仿宋" w:eastAsia="仿宋" w:cs="仿宋_GB2312"/>
          <w:color w:val="auto"/>
          <w:sz w:val="24"/>
          <w:szCs w:val="21"/>
          <w:highlight w:val="none"/>
        </w:rPr>
        <w:t>投标文件组成漏项，内容不全或内容字迹模糊辨认不清的；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13.8</w:t>
      </w:r>
      <w:r>
        <w:rPr>
          <w:rFonts w:hint="eastAsia" w:ascii="仿宋" w:hAnsi="仿宋" w:eastAsia="仿宋" w:cs="仿宋_GB2312"/>
          <w:color w:val="auto"/>
          <w:sz w:val="24"/>
          <w:szCs w:val="21"/>
          <w:highlight w:val="none"/>
        </w:rPr>
        <w:t>投标文件中法定代表人授权书所载内容与本项目内容有异的；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13.9</w:t>
      </w:r>
      <w:r>
        <w:rPr>
          <w:rFonts w:hint="eastAsia" w:ascii="仿宋" w:hAnsi="仿宋" w:eastAsia="仿宋" w:cs="仿宋_GB2312"/>
          <w:color w:val="auto"/>
          <w:sz w:val="24"/>
          <w:szCs w:val="21"/>
          <w:highlight w:val="none"/>
        </w:rPr>
        <w:t>投标文件未按照招标文件要求签署、盖章的；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13.10</w:t>
      </w:r>
      <w:r>
        <w:rPr>
          <w:rFonts w:hint="eastAsia" w:ascii="仿宋" w:hAnsi="仿宋" w:eastAsia="仿宋" w:cs="仿宋_GB2312"/>
          <w:color w:val="auto"/>
          <w:sz w:val="24"/>
          <w:szCs w:val="21"/>
          <w:highlight w:val="none"/>
        </w:rPr>
        <w:t>投标文件正、副本份数不足，其投标文件作无效处理；</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13.11</w:t>
      </w:r>
      <w:r>
        <w:rPr>
          <w:rFonts w:hint="eastAsia" w:ascii="仿宋" w:hAnsi="仿宋" w:eastAsia="仿宋" w:cs="仿宋_GB2312"/>
          <w:color w:val="auto"/>
          <w:sz w:val="24"/>
          <w:szCs w:val="21"/>
          <w:highlight w:val="none"/>
        </w:rPr>
        <w:t>招标文件要求提供样品，投标人没有提供样品的；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13.12</w:t>
      </w:r>
      <w:r>
        <w:rPr>
          <w:rFonts w:hint="eastAsia" w:ascii="仿宋" w:hAnsi="仿宋" w:eastAsia="仿宋" w:cs="仿宋_GB2312"/>
          <w:color w:val="auto"/>
          <w:sz w:val="24"/>
          <w:szCs w:val="21"/>
          <w:highlight w:val="none"/>
        </w:rPr>
        <w:t>投标文件中未含所投产品相应的节能产品政府采购清单页的（如果本项目采购涉及节能清单中的政府强制采购的节能产品的）；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13.13</w:t>
      </w:r>
      <w:r>
        <w:rPr>
          <w:rFonts w:hint="eastAsia" w:ascii="仿宋" w:hAnsi="仿宋" w:eastAsia="仿宋" w:cs="仿宋_GB2312"/>
          <w:color w:val="auto"/>
          <w:sz w:val="24"/>
          <w:szCs w:val="21"/>
          <w:highlight w:val="none"/>
        </w:rPr>
        <w:t>投标文件含有采购人不能接受的附加条件的；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13.14</w:t>
      </w:r>
      <w:r>
        <w:rPr>
          <w:rFonts w:hint="eastAsia" w:ascii="仿宋" w:hAnsi="仿宋" w:eastAsia="仿宋" w:cs="仿宋_GB2312"/>
          <w:color w:val="auto"/>
          <w:sz w:val="24"/>
          <w:szCs w:val="21"/>
          <w:highlight w:val="none"/>
        </w:rPr>
        <w:t>投标文件中承诺的投标有效期少于招标文件中载明的投标有效期的；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13.15</w:t>
      </w:r>
      <w:r>
        <w:rPr>
          <w:rFonts w:hint="eastAsia" w:ascii="仿宋" w:hAnsi="仿宋" w:eastAsia="仿宋" w:cs="仿宋_GB2312"/>
          <w:color w:val="auto"/>
          <w:sz w:val="24"/>
          <w:szCs w:val="21"/>
          <w:highlight w:val="none"/>
        </w:rPr>
        <w:t>投标人所投内容不符合采购需求中实质性要求的；</w:t>
      </w:r>
    </w:p>
    <w:p>
      <w:pPr>
        <w:snapToGrid w:val="0"/>
        <w:spacing w:line="360" w:lineRule="auto"/>
        <w:jc w:val="left"/>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 xml:space="preserve">   </w:t>
      </w:r>
      <w:r>
        <w:rPr>
          <w:rFonts w:hint="eastAsia" w:ascii="仿宋" w:hAnsi="仿宋" w:eastAsia="仿宋"/>
          <w:color w:val="auto"/>
          <w:highlight w:val="none"/>
        </w:rPr>
        <w:t>13.16</w:t>
      </w:r>
      <w:r>
        <w:rPr>
          <w:rFonts w:hint="eastAsia" w:ascii="仿宋" w:hAnsi="仿宋" w:eastAsia="仿宋" w:cs="仿宋_GB2312"/>
          <w:color w:val="auto"/>
          <w:sz w:val="24"/>
          <w:szCs w:val="21"/>
          <w:highlight w:val="none"/>
        </w:rPr>
        <w:t xml:space="preserve"> 投标文件出现不是唯一的、有选择性投标报价的;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13.17</w:t>
      </w:r>
      <w:r>
        <w:rPr>
          <w:rFonts w:hint="eastAsia" w:ascii="仿宋" w:hAnsi="仿宋" w:eastAsia="仿宋" w:cs="仿宋_GB2312"/>
          <w:color w:val="auto"/>
          <w:sz w:val="24"/>
          <w:szCs w:val="21"/>
          <w:highlight w:val="none"/>
        </w:rPr>
        <w:t>投标报价高于本项目采购预算或者最高限价的;</w:t>
      </w:r>
    </w:p>
    <w:p>
      <w:pPr>
        <w:spacing w:line="360" w:lineRule="auto"/>
        <w:ind w:firstLine="420" w:firstLineChars="200"/>
        <w:rPr>
          <w:rFonts w:hint="eastAsia" w:ascii="仿宋" w:hAnsi="仿宋" w:eastAsia="仿宋" w:cs="仿宋_GB2312"/>
          <w:color w:val="auto"/>
          <w:sz w:val="24"/>
          <w:szCs w:val="21"/>
          <w:highlight w:val="none"/>
        </w:rPr>
      </w:pPr>
      <w:r>
        <w:rPr>
          <w:rFonts w:hint="eastAsia" w:ascii="仿宋" w:hAnsi="仿宋" w:eastAsia="仿宋"/>
          <w:color w:val="auto"/>
          <w:highlight w:val="none"/>
        </w:rPr>
        <w:t>13.19</w:t>
      </w:r>
      <w:r>
        <w:rPr>
          <w:rFonts w:hint="eastAsia" w:ascii="仿宋" w:hAnsi="仿宋" w:eastAsia="仿宋" w:cs="仿宋_GB2312"/>
          <w:color w:val="auto"/>
          <w:sz w:val="24"/>
          <w:szCs w:val="21"/>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13.20《投标（开标）一览表》填写不完整或字迹不能辨认或有漏项的；</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13.21投标人对根据修正原则修正后的报价不确认的；</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13.21投标人提供虚假材料投标的（包括但不限于以下情节）；</w:t>
      </w:r>
    </w:p>
    <w:p>
      <w:pPr>
        <w:spacing w:line="360" w:lineRule="auto"/>
        <w:ind w:firstLine="720" w:firstLineChars="3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13.21.1使用伪造、变造的许可证件；</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       13.21.2提供虚假的财务状况或者业绩；</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       13.21.3提供虚假的项目负责人或者主要技术人员简历、劳动关系证明；</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       13.21.4提供虚假的信用状况；</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 xml:space="preserve">       </w:t>
      </w:r>
      <w:r>
        <w:rPr>
          <w:rFonts w:ascii="仿宋" w:hAnsi="仿宋" w:eastAsia="仿宋" w:cs="仿宋_GB2312"/>
          <w:color w:val="auto"/>
          <w:sz w:val="24"/>
          <w:szCs w:val="21"/>
          <w:highlight w:val="none"/>
        </w:rPr>
        <w:t>13.2</w:t>
      </w:r>
      <w:r>
        <w:rPr>
          <w:rFonts w:hint="eastAsia" w:ascii="仿宋" w:hAnsi="仿宋" w:eastAsia="仿宋" w:cs="仿宋_GB2312"/>
          <w:color w:val="auto"/>
          <w:sz w:val="24"/>
          <w:szCs w:val="21"/>
          <w:highlight w:val="none"/>
        </w:rPr>
        <w:t>1</w:t>
      </w:r>
      <w:r>
        <w:rPr>
          <w:rFonts w:ascii="仿宋" w:hAnsi="仿宋" w:eastAsia="仿宋" w:cs="仿宋_GB2312"/>
          <w:color w:val="auto"/>
          <w:sz w:val="24"/>
          <w:szCs w:val="21"/>
          <w:highlight w:val="none"/>
        </w:rPr>
        <w:t>.</w:t>
      </w:r>
      <w:r>
        <w:rPr>
          <w:rFonts w:hint="eastAsia" w:ascii="仿宋" w:hAnsi="仿宋" w:eastAsia="仿宋" w:cs="仿宋_GB2312"/>
          <w:color w:val="auto"/>
          <w:sz w:val="24"/>
          <w:szCs w:val="21"/>
          <w:highlight w:val="none"/>
        </w:rPr>
        <w:t>5其他弄虚作假的行为。</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 xml:space="preserve">   13.22投标人有恶意串通、妨碍其他投标人的竞争行为、损害采购人或者其他投标人的合法权益情形的；有下列情形之一的，属于或视为恶意串通，其投标无效：</w:t>
      </w:r>
    </w:p>
    <w:p>
      <w:pPr>
        <w:spacing w:line="360" w:lineRule="auto"/>
        <w:ind w:firstLine="525" w:firstLineChars="250"/>
        <w:rPr>
          <w:rFonts w:hint="eastAsia" w:ascii="仿宋" w:hAnsi="仿宋" w:eastAsia="仿宋" w:cs="仿宋_GB2312"/>
          <w:color w:val="auto"/>
          <w:sz w:val="24"/>
          <w:szCs w:val="21"/>
          <w:highlight w:val="none"/>
        </w:rPr>
      </w:pPr>
      <w:r>
        <w:rPr>
          <w:rFonts w:hint="eastAsia" w:ascii="仿宋" w:hAnsi="仿宋" w:eastAsia="仿宋"/>
          <w:color w:val="auto"/>
          <w:highlight w:val="none"/>
        </w:rPr>
        <w:t>13.22.1</w:t>
      </w:r>
      <w:r>
        <w:rPr>
          <w:rFonts w:hint="eastAsia" w:ascii="仿宋" w:hAnsi="仿宋" w:eastAsia="仿宋" w:cs="仿宋_GB2312"/>
          <w:color w:val="auto"/>
          <w:sz w:val="24"/>
          <w:szCs w:val="21"/>
          <w:highlight w:val="none"/>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13.22.2供应商按照采购人或者采购代理机构的授意撤换、修改投标文件或者响应文件；</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13.22.3供应商之间协商报价、技术方案等投标文件或者响应文件的实质性内容；</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13.22.5供应商之间事先约定由某一特定供应商中标、成交；</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13.22.6供应商之间商定部分供应商放弃参加政府采购活动或者放弃中标、成交；</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13.22.8不同投标人的投标文件由同一单位或者个人编制；</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13.22.9不同投标人委托同一单位或者个人办理投标事宜；</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13.22.10不同投标人的投标文件载明的项目管理成员或者联系人员为同一人；</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13.22.11不同投标人的投标文件异常一致或者投标报价呈规律性差异；</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13.22.12不同投标人的投标文件相互混装；</w:t>
      </w:r>
    </w:p>
    <w:p>
      <w:pPr>
        <w:spacing w:line="360" w:lineRule="auto"/>
        <w:ind w:firstLine="480" w:firstLineChars="200"/>
        <w:rPr>
          <w:rFonts w:hint="eastAsia"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13.23法律、法规、规章（适用本市的）及省级以上规范性文件（适用本市的）规定的其他无效情形。</w:t>
      </w:r>
    </w:p>
    <w:p>
      <w:pPr>
        <w:spacing w:line="360" w:lineRule="auto"/>
        <w:ind w:firstLine="240" w:firstLineChars="100"/>
        <w:rPr>
          <w:rFonts w:hint="eastAsia" w:ascii="仿宋" w:hAnsi="仿宋" w:eastAsia="仿宋" w:cs="仿宋_GB2312"/>
          <w:color w:val="auto"/>
          <w:sz w:val="24"/>
          <w:szCs w:val="21"/>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五、评标报告。</w:t>
      </w:r>
      <w:r>
        <w:rPr>
          <w:rFonts w:ascii="仿宋" w:hAnsi="仿宋" w:eastAsia="仿宋" w:cs="仿宋_GB2312"/>
          <w:b/>
          <w:color w:val="auto"/>
          <w:sz w:val="32"/>
          <w:highlight w:val="none"/>
        </w:rPr>
        <w:t xml:space="preserve"> </w:t>
      </w:r>
    </w:p>
    <w:p>
      <w:pPr>
        <w:pStyle w:val="307"/>
        <w:spacing w:before="0"/>
        <w:ind w:firstLine="0" w:firstLineChars="0"/>
        <w:rPr>
          <w:rFonts w:hint="eastAsia" w:ascii="仿宋" w:hAnsi="仿宋" w:eastAsia="仿宋" w:cs="仿宋_GB2312"/>
          <w:color w:val="auto"/>
          <w:highlight w:val="none"/>
        </w:rPr>
      </w:pPr>
      <w:r>
        <w:rPr>
          <w:rFonts w:hint="eastAsia" w:ascii="仿宋" w:hAnsi="仿宋" w:eastAsia="仿宋" w:cs="仿宋_GB2312"/>
          <w:b/>
          <w:color w:val="auto"/>
          <w:highlight w:val="none"/>
        </w:rPr>
        <w:t>14.</w:t>
      </w:r>
      <w:r>
        <w:rPr>
          <w:rFonts w:ascii="仿宋" w:hAnsi="仿宋" w:eastAsia="仿宋" w:cs="仿宋_GB2312"/>
          <w:b/>
          <w:color w:val="auto"/>
          <w:highlight w:val="none"/>
        </w:rPr>
        <w:t xml:space="preserve"> 评标报告</w:t>
      </w:r>
      <w:r>
        <w:rPr>
          <w:rFonts w:hint="eastAsia" w:ascii="仿宋" w:hAnsi="仿宋" w:eastAsia="仿宋" w:cs="仿宋_GB2312"/>
          <w:b/>
          <w:color w:val="auto"/>
          <w:highlight w:val="none"/>
        </w:rPr>
        <w:t>与推荐</w:t>
      </w:r>
      <w:r>
        <w:rPr>
          <w:rFonts w:ascii="仿宋" w:hAnsi="仿宋" w:eastAsia="仿宋" w:cs="仿宋_GB2312"/>
          <w:b/>
          <w:color w:val="auto"/>
          <w:highlight w:val="none"/>
        </w:rPr>
        <w:t>中标候选人</w:t>
      </w:r>
      <w:r>
        <w:rPr>
          <w:rFonts w:hint="eastAsia" w:ascii="仿宋" w:hAnsi="仿宋" w:eastAsia="仿宋" w:cs="仿宋_GB2312"/>
          <w:b/>
          <w:color w:val="auto"/>
          <w:highlight w:val="none"/>
        </w:rPr>
        <w:t>。</w:t>
      </w:r>
      <w:r>
        <w:rPr>
          <w:rFonts w:ascii="仿宋" w:hAnsi="仿宋" w:eastAsia="仿宋" w:cs="仿宋_GB2312"/>
          <w:color w:val="auto"/>
          <w:highlight w:val="none"/>
        </w:rPr>
        <w:t>评标委员会根据全体评标成员签字的原始评标记录和评标结果编写评标报告</w:t>
      </w:r>
      <w:r>
        <w:rPr>
          <w:rFonts w:hint="eastAsia" w:ascii="仿宋" w:hAnsi="仿宋" w:eastAsia="仿宋" w:cs="仿宋_GB2312"/>
          <w:color w:val="auto"/>
          <w:highlight w:val="none"/>
        </w:rPr>
        <w:t>，</w:t>
      </w:r>
      <w:r>
        <w:rPr>
          <w:rFonts w:ascii="仿宋" w:hAnsi="仿宋" w:eastAsia="仿宋" w:cs="仿宋_GB2312"/>
          <w:color w:val="auto"/>
          <w:highlight w:val="none"/>
        </w:rPr>
        <w:t>并</w:t>
      </w:r>
      <w:r>
        <w:rPr>
          <w:rFonts w:hint="eastAsia" w:ascii="仿宋" w:hAnsi="仿宋" w:eastAsia="仿宋" w:cs="仿宋_GB2312"/>
          <w:color w:val="auto"/>
          <w:highlight w:val="none"/>
        </w:rPr>
        <w:t>推荐</w:t>
      </w:r>
      <w:r>
        <w:rPr>
          <w:rFonts w:ascii="仿宋" w:hAnsi="仿宋" w:eastAsia="仿宋" w:cs="仿宋_GB2312"/>
          <w:color w:val="auto"/>
          <w:highlight w:val="none"/>
        </w:rPr>
        <w:t>中标候选人</w:t>
      </w:r>
      <w:r>
        <w:rPr>
          <w:rFonts w:hint="eastAsia" w:ascii="仿宋" w:hAnsi="仿宋" w:eastAsia="仿宋" w:cs="仿宋_GB2312"/>
          <w:color w:val="auto"/>
          <w:highlight w:val="none"/>
        </w:rPr>
        <w:t>，评审</w:t>
      </w:r>
      <w:r>
        <w:rPr>
          <w:rFonts w:ascii="仿宋" w:hAnsi="仿宋" w:eastAsia="仿宋" w:cs="仿宋_GB2312"/>
          <w:color w:val="auto"/>
          <w:highlight w:val="none"/>
        </w:rPr>
        <w:t>报告由</w:t>
      </w:r>
      <w:r>
        <w:rPr>
          <w:rFonts w:hint="eastAsia" w:ascii="仿宋" w:hAnsi="仿宋" w:eastAsia="仿宋" w:cs="仿宋_GB2312"/>
          <w:color w:val="auto"/>
          <w:highlight w:val="none"/>
        </w:rPr>
        <w:t>评标委员会</w:t>
      </w:r>
      <w:r>
        <w:rPr>
          <w:rFonts w:ascii="仿宋" w:hAnsi="仿宋" w:eastAsia="仿宋" w:cs="仿宋_GB2312"/>
          <w:color w:val="auto"/>
          <w:highlight w:val="none"/>
        </w:rPr>
        <w:t>成员签字</w:t>
      </w:r>
      <w:r>
        <w:rPr>
          <w:rFonts w:hint="eastAsia" w:ascii="仿宋" w:hAnsi="仿宋" w:eastAsia="仿宋" w:cs="仿宋_GB2312"/>
          <w:color w:val="auto"/>
          <w:highlight w:val="none"/>
        </w:rPr>
        <w:t>确认提交</w:t>
      </w:r>
      <w:r>
        <w:rPr>
          <w:rFonts w:ascii="仿宋" w:hAnsi="仿宋" w:eastAsia="仿宋" w:cs="仿宋_GB2312"/>
          <w:color w:val="auto"/>
          <w:highlight w:val="none"/>
        </w:rPr>
        <w:t>。</w:t>
      </w:r>
    </w:p>
    <w:p>
      <w:pPr>
        <w:widowControl/>
        <w:adjustRightInd/>
        <w:spacing w:before="100" w:beforeAutospacing="1" w:after="100" w:afterAutospacing="1" w:line="360" w:lineRule="auto"/>
        <w:jc w:val="left"/>
        <w:rPr>
          <w:rFonts w:ascii="ˎ̥" w:hAnsi="ˎ̥" w:cs="宋体"/>
          <w:color w:val="auto"/>
          <w:kern w:val="0"/>
          <w:sz w:val="24"/>
          <w:highlight w:val="none"/>
        </w:rPr>
      </w:pPr>
      <w:r>
        <w:rPr>
          <w:rFonts w:hint="eastAsia" w:ascii="仿宋" w:hAnsi="仿宋" w:eastAsia="仿宋" w:cs="仿宋_GB2312"/>
          <w:b/>
          <w:color w:val="auto"/>
          <w:sz w:val="24"/>
          <w:highlight w:val="none"/>
        </w:rPr>
        <w:t>15.</w:t>
      </w:r>
      <w:r>
        <w:rPr>
          <w:rFonts w:ascii="仿宋" w:hAnsi="仿宋" w:eastAsia="仿宋" w:cs="仿宋_GB2312"/>
          <w:b/>
          <w:color w:val="auto"/>
          <w:sz w:val="24"/>
          <w:highlight w:val="none"/>
        </w:rPr>
        <w:t xml:space="preserve"> </w:t>
      </w:r>
      <w:r>
        <w:rPr>
          <w:rFonts w:hint="eastAsia" w:ascii="仿宋" w:hAnsi="仿宋" w:eastAsia="仿宋" w:cs="仿宋_GB2312"/>
          <w:b/>
          <w:color w:val="auto"/>
          <w:sz w:val="24"/>
          <w:highlight w:val="none"/>
        </w:rPr>
        <w:t>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六、 废标</w:t>
      </w:r>
    </w:p>
    <w:p>
      <w:pPr>
        <w:pStyle w:val="33"/>
        <w:snapToGrid w:val="0"/>
        <w:spacing w:line="360" w:lineRule="auto"/>
        <w:ind w:firstLine="0" w:firstLineChars="0"/>
        <w:rPr>
          <w:rFonts w:hint="eastAsia" w:ascii="仿宋" w:hAnsi="仿宋" w:eastAsia="仿宋" w:cs="仿宋_GB2312"/>
          <w:color w:val="auto"/>
          <w:highlight w:val="none"/>
        </w:rPr>
      </w:pPr>
      <w:r>
        <w:rPr>
          <w:rFonts w:hint="eastAsia" w:ascii="仿宋" w:hAnsi="仿宋" w:eastAsia="仿宋" w:cs="仿宋_GB2312"/>
          <w:b/>
          <w:color w:val="auto"/>
          <w:highlight w:val="none"/>
        </w:rPr>
        <w:t>16.废标。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3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pPr>
        <w:pStyle w:val="3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pPr>
        <w:pStyle w:val="3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pPr>
        <w:pStyle w:val="3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pPr>
        <w:pStyle w:val="3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pPr>
        <w:pStyle w:val="33"/>
        <w:snapToGrid w:val="0"/>
        <w:spacing w:line="360" w:lineRule="auto"/>
        <w:rPr>
          <w:rFonts w:hint="eastAsia" w:ascii="仿宋" w:hAnsi="仿宋" w:eastAsia="仿宋" w:cs="仿宋_GB2312"/>
          <w:color w:val="auto"/>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七、 重新组织采购</w:t>
      </w:r>
    </w:p>
    <w:p>
      <w:pPr>
        <w:pStyle w:val="33"/>
        <w:snapToGrid w:val="0"/>
        <w:spacing w:line="360" w:lineRule="auto"/>
        <w:ind w:firstLine="482"/>
        <w:rPr>
          <w:rFonts w:hint="eastAsia" w:ascii="仿宋" w:hAnsi="仿宋" w:eastAsia="仿宋" w:cs="仿宋_GB2312"/>
          <w:color w:val="auto"/>
          <w:highlight w:val="none"/>
        </w:rPr>
      </w:pPr>
      <w:r>
        <w:rPr>
          <w:rFonts w:hint="eastAsia" w:ascii="仿宋" w:hAnsi="仿宋" w:eastAsia="仿宋" w:cs="仿宋_GB2312"/>
          <w:b/>
          <w:color w:val="auto"/>
          <w:highlight w:val="none"/>
        </w:rPr>
        <w:t>17.修改招标文件，重新组织采购活动。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3"/>
        <w:snapToGrid w:val="0"/>
        <w:spacing w:line="360" w:lineRule="auto"/>
        <w:rPr>
          <w:rFonts w:hint="eastAsia" w:ascii="仿宋" w:hAnsi="仿宋" w:eastAsia="仿宋" w:cs="仿宋_GB2312"/>
          <w:color w:val="auto"/>
          <w:highlight w:val="none"/>
        </w:rPr>
      </w:pPr>
      <w:r>
        <w:rPr>
          <w:rFonts w:hint="eastAsia" w:ascii="仿宋_GB2312" w:hAnsi="Helvetica" w:eastAsia="仿宋_GB2312" w:cs="Helvetica"/>
          <w:b/>
          <w:color w:val="auto"/>
          <w:kern w:val="0"/>
          <w:highlight w:val="none"/>
        </w:rPr>
        <w:t>18.重新开展采购。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3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18.1未确定中标或者成交供应商的，终止本次政府采购活动，重新开展政府采购活动。</w:t>
      </w:r>
    </w:p>
    <w:p>
      <w:pPr>
        <w:pStyle w:val="3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3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18.3政府采购合同已签订但尚未履行的，撤销合同，从合格的中标或者成交候选人中另行确定中标或者成交供应商；没有合格的中标或者成交候选人的，重新开展政府采购活动。</w:t>
      </w:r>
    </w:p>
    <w:p>
      <w:pPr>
        <w:pStyle w:val="3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18.4政府采购合同已经履行，给采购人、供应商造成损失的，由责任人承担赔偿责任。</w:t>
      </w:r>
    </w:p>
    <w:p>
      <w:pPr>
        <w:pStyle w:val="3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18.5政府采购当事人有其他违反政府采购法或者本条例规定的行为，经改正后仍然影响或者可能影响中标、成交结果或者依法被认定为中标、成交无效的，依照18.1-18.4规定处理。</w:t>
      </w:r>
    </w:p>
    <w:p>
      <w:pPr>
        <w:pStyle w:val="33"/>
        <w:snapToGrid w:val="0"/>
        <w:spacing w:line="360" w:lineRule="auto"/>
        <w:rPr>
          <w:rFonts w:hint="eastAsia" w:ascii="仿宋" w:hAnsi="仿宋" w:eastAsia="仿宋" w:cs="仿宋_GB2312"/>
          <w:color w:val="auto"/>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八、评审过程的保密与录像</w:t>
      </w:r>
    </w:p>
    <w:p>
      <w:pPr>
        <w:widowControl/>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九、具体评标标准</w:t>
      </w: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（根据具体采购品目制定）</w:t>
      </w:r>
    </w:p>
    <w:p>
      <w:pPr>
        <w:autoSpaceDE w:val="0"/>
        <w:autoSpaceDN w:val="0"/>
        <w:spacing w:line="360" w:lineRule="auto"/>
        <w:ind w:firstLine="482" w:firstLineChars="200"/>
        <w:rPr>
          <w:rFonts w:hint="eastAsia" w:ascii="仿宋_GB2312" w:hAnsi="宋体" w:eastAsia="仿宋_GB2312"/>
          <w:color w:val="auto"/>
          <w:sz w:val="24"/>
          <w:highlight w:val="none"/>
        </w:rPr>
      </w:pPr>
      <w:bookmarkStart w:id="402" w:name="gxebd_pack_1_EvalFactorAccordEnd"/>
      <w:bookmarkEnd w:id="402"/>
      <w:r>
        <w:rPr>
          <w:rFonts w:hint="eastAsia" w:ascii="仿宋_GB2312" w:eastAsia="仿宋_GB2312"/>
          <w:b/>
          <w:color w:val="auto"/>
          <w:sz w:val="24"/>
          <w:highlight w:val="none"/>
        </w:rPr>
        <w:t>一、本项目采用综合</w:t>
      </w:r>
      <w:r>
        <w:rPr>
          <w:rFonts w:hint="eastAsia" w:ascii="仿宋_GB2312" w:hAnsi="宋体" w:eastAsia="仿宋_GB2312"/>
          <w:b/>
          <w:color w:val="auto"/>
          <w:sz w:val="24"/>
          <w:highlight w:val="none"/>
        </w:rPr>
        <w:t>评分法</w:t>
      </w:r>
      <w:r>
        <w:rPr>
          <w:rFonts w:hint="eastAsia" w:ascii="仿宋_GB2312" w:hAnsi="宋体" w:eastAsia="仿宋_GB2312"/>
          <w:color w:val="auto"/>
          <w:sz w:val="24"/>
          <w:highlight w:val="none"/>
        </w:rPr>
        <w:t>，</w:t>
      </w:r>
      <w:r>
        <w:rPr>
          <w:rFonts w:hint="eastAsia" w:ascii="仿宋_GB2312" w:eastAsia="仿宋_GB2312"/>
          <w:color w:val="auto"/>
          <w:sz w:val="24"/>
          <w:highlight w:val="none"/>
        </w:rPr>
        <w:t>评标委员会将对各投标人的投标报价、</w:t>
      </w:r>
      <w:r>
        <w:rPr>
          <w:rFonts w:hint="eastAsia" w:ascii="仿宋_GB2312" w:hAnsi="宋体" w:eastAsia="仿宋_GB2312"/>
          <w:bCs/>
          <w:color w:val="auto"/>
          <w:sz w:val="24"/>
          <w:highlight w:val="none"/>
        </w:rPr>
        <w:t>技术和服务方案</w:t>
      </w:r>
      <w:r>
        <w:rPr>
          <w:rFonts w:hint="eastAsia" w:ascii="仿宋_GB2312" w:eastAsia="仿宋_GB2312"/>
          <w:color w:val="auto"/>
          <w:sz w:val="24"/>
          <w:highlight w:val="none"/>
        </w:rPr>
        <w:t>、</w:t>
      </w:r>
      <w:r>
        <w:rPr>
          <w:rFonts w:hint="eastAsia" w:ascii="仿宋_GB2312" w:hAnsi="宋体" w:eastAsia="仿宋_GB2312"/>
          <w:color w:val="auto"/>
          <w:sz w:val="24"/>
          <w:highlight w:val="none"/>
        </w:rPr>
        <w:t>投标人提供的资质和业绩情况</w:t>
      </w:r>
      <w:r>
        <w:rPr>
          <w:rFonts w:hint="eastAsia" w:ascii="仿宋_GB2312" w:eastAsia="仿宋_GB2312"/>
          <w:color w:val="auto"/>
          <w:sz w:val="24"/>
          <w:highlight w:val="none"/>
        </w:rPr>
        <w:t>等方面进行综合评审，评标委员会各成员应当独立对每个有效投标人的投标文件进行评价、打分</w:t>
      </w:r>
      <w:r>
        <w:rPr>
          <w:rFonts w:hint="eastAsia" w:ascii="仿宋_GB2312" w:hAnsi="宋体" w:eastAsia="仿宋_GB2312"/>
          <w:color w:val="auto"/>
          <w:sz w:val="24"/>
          <w:highlight w:val="none"/>
        </w:rPr>
        <w:t>。</w:t>
      </w:r>
      <w:r>
        <w:rPr>
          <w:rFonts w:hint="eastAsia" w:ascii="仿宋_GB2312" w:eastAsia="仿宋_GB2312"/>
          <w:color w:val="auto"/>
          <w:sz w:val="24"/>
          <w:highlight w:val="none"/>
        </w:rPr>
        <w:t>经统计，得出各投标人的最终评审分,按最终评审分由高到低顺序排列。得分相同的，按</w:t>
      </w:r>
      <w:r>
        <w:rPr>
          <w:rFonts w:hint="eastAsia" w:ascii="仿宋_GB2312" w:hAnsi="宋体" w:eastAsia="仿宋_GB2312"/>
          <w:color w:val="auto"/>
          <w:sz w:val="24"/>
          <w:highlight w:val="none"/>
        </w:rPr>
        <w:t>投标</w:t>
      </w:r>
      <w:r>
        <w:rPr>
          <w:rFonts w:hint="eastAsia" w:ascii="仿宋_GB2312" w:eastAsia="仿宋_GB2312"/>
          <w:color w:val="auto"/>
          <w:sz w:val="24"/>
          <w:highlight w:val="none"/>
        </w:rPr>
        <w:t>报价由低到高顺序排列。得分且投标报价相同的，按技术指标优劣顺序排列，并形成评标意见</w:t>
      </w:r>
      <w:r>
        <w:rPr>
          <w:rFonts w:hint="eastAsia" w:ascii="仿宋_GB2312" w:hAnsi="宋体" w:eastAsia="仿宋_GB2312"/>
          <w:color w:val="auto"/>
          <w:sz w:val="24"/>
          <w:highlight w:val="none"/>
        </w:rPr>
        <w:t xml:space="preserve">。 </w:t>
      </w:r>
    </w:p>
    <w:p>
      <w:pPr>
        <w:spacing w:line="360" w:lineRule="auto"/>
        <w:ind w:left="105" w:leftChars="50" w:firstLine="427" w:firstLineChars="178"/>
        <w:rPr>
          <w:rFonts w:hint="eastAsia" w:ascii="仿宋_GB2312" w:hAnsi="宋体" w:eastAsia="仿宋_GB2312"/>
          <w:b/>
          <w:color w:val="auto"/>
          <w:sz w:val="24"/>
          <w:highlight w:val="none"/>
        </w:rPr>
      </w:pPr>
      <w:r>
        <w:rPr>
          <w:rFonts w:hint="eastAsia" w:ascii="仿宋_GB2312" w:hAnsi="宋体" w:eastAsia="仿宋_GB2312"/>
          <w:color w:val="auto"/>
          <w:sz w:val="24"/>
          <w:highlight w:val="none"/>
        </w:rPr>
        <w:t>各投标人的综合得分为：投标价格得分+</w:t>
      </w:r>
      <w:r>
        <w:rPr>
          <w:rFonts w:hint="eastAsia" w:ascii="仿宋_GB2312" w:hAnsi="宋体" w:eastAsia="仿宋_GB2312"/>
          <w:bCs/>
          <w:color w:val="auto"/>
          <w:sz w:val="24"/>
          <w:highlight w:val="none"/>
        </w:rPr>
        <w:t>技术和服务方案</w:t>
      </w:r>
      <w:r>
        <w:rPr>
          <w:rFonts w:hint="eastAsia" w:ascii="仿宋_GB2312" w:hAnsi="宋体" w:eastAsia="仿宋_GB2312"/>
          <w:color w:val="auto"/>
          <w:sz w:val="24"/>
          <w:highlight w:val="none"/>
        </w:rPr>
        <w:t>得分+投标人的资质和业绩情况得分之和，</w:t>
      </w:r>
      <w:r>
        <w:rPr>
          <w:rFonts w:hint="eastAsia" w:ascii="仿宋_GB2312" w:hAnsi="宋体" w:eastAsia="仿宋_GB2312"/>
          <w:b/>
          <w:color w:val="auto"/>
          <w:sz w:val="24"/>
          <w:highlight w:val="none"/>
        </w:rPr>
        <w:t>总和为</w:t>
      </w:r>
      <w:r>
        <w:rPr>
          <w:rFonts w:hint="eastAsia" w:ascii="仿宋_GB2312" w:hAnsi="宋体" w:eastAsia="仿宋_GB2312"/>
          <w:b/>
          <w:color w:val="auto"/>
          <w:sz w:val="24"/>
          <w:highlight w:val="none"/>
          <w:u w:val="single"/>
        </w:rPr>
        <w:t>100</w:t>
      </w:r>
      <w:r>
        <w:rPr>
          <w:rFonts w:hint="eastAsia" w:ascii="仿宋_GB2312" w:hAnsi="宋体" w:eastAsia="仿宋_GB2312"/>
          <w:b/>
          <w:color w:val="auto"/>
          <w:sz w:val="24"/>
          <w:highlight w:val="none"/>
        </w:rPr>
        <w:t>分</w:t>
      </w:r>
      <w:r>
        <w:rPr>
          <w:rFonts w:hint="eastAsia" w:ascii="仿宋_GB2312" w:hAnsi="宋体" w:eastAsia="仿宋_GB2312"/>
          <w:color w:val="auto"/>
          <w:sz w:val="24"/>
          <w:highlight w:val="none"/>
        </w:rPr>
        <w:t>，其中：</w:t>
      </w:r>
      <w:r>
        <w:rPr>
          <w:rFonts w:hint="eastAsia" w:ascii="仿宋_GB2312" w:hAnsi="宋体" w:eastAsia="仿宋_GB2312"/>
          <w:b/>
          <w:color w:val="auto"/>
          <w:sz w:val="24"/>
          <w:highlight w:val="none"/>
        </w:rPr>
        <w:t>投标价格得分</w:t>
      </w:r>
      <w:r>
        <w:rPr>
          <w:rFonts w:hint="eastAsia" w:ascii="仿宋_GB2312" w:hAnsi="宋体" w:eastAsia="仿宋_GB2312"/>
          <w:b/>
          <w:color w:val="auto"/>
          <w:sz w:val="24"/>
          <w:highlight w:val="none"/>
          <w:u w:val="single"/>
        </w:rPr>
        <w:t>30</w:t>
      </w:r>
      <w:r>
        <w:rPr>
          <w:rFonts w:hint="eastAsia" w:ascii="仿宋_GB2312" w:hAnsi="宋体" w:eastAsia="仿宋_GB2312"/>
          <w:b/>
          <w:color w:val="auto"/>
          <w:sz w:val="24"/>
          <w:highlight w:val="none"/>
        </w:rPr>
        <w:t>分，</w:t>
      </w:r>
      <w:r>
        <w:rPr>
          <w:rFonts w:hint="eastAsia" w:ascii="仿宋_GB2312" w:hAnsi="宋体" w:eastAsia="仿宋_GB2312"/>
          <w:b/>
          <w:bCs/>
          <w:color w:val="auto"/>
          <w:sz w:val="24"/>
          <w:highlight w:val="none"/>
        </w:rPr>
        <w:t>技术和服务方案得分</w:t>
      </w:r>
      <w:r>
        <w:rPr>
          <w:rFonts w:hint="eastAsia" w:ascii="仿宋_GB2312" w:hAnsi="宋体" w:eastAsia="仿宋_GB2312"/>
          <w:b/>
          <w:color w:val="auto"/>
          <w:sz w:val="24"/>
          <w:highlight w:val="none"/>
          <w:u w:val="single"/>
        </w:rPr>
        <w:t>65</w:t>
      </w:r>
      <w:r>
        <w:rPr>
          <w:rFonts w:hint="eastAsia" w:ascii="仿宋_GB2312" w:hAnsi="宋体" w:eastAsia="仿宋_GB2312"/>
          <w:b/>
          <w:color w:val="auto"/>
          <w:sz w:val="24"/>
          <w:highlight w:val="none"/>
        </w:rPr>
        <w:t>分，投标人的资质和业绩情况得分</w:t>
      </w:r>
      <w:r>
        <w:rPr>
          <w:rFonts w:hint="eastAsia" w:ascii="仿宋_GB2312" w:hAnsi="宋体" w:eastAsia="仿宋_GB2312"/>
          <w:b/>
          <w:color w:val="auto"/>
          <w:sz w:val="24"/>
          <w:highlight w:val="none"/>
          <w:u w:val="single"/>
        </w:rPr>
        <w:t>5</w:t>
      </w:r>
      <w:r>
        <w:rPr>
          <w:rFonts w:hint="eastAsia" w:ascii="仿宋_GB2312" w:hAnsi="宋体" w:eastAsia="仿宋_GB2312"/>
          <w:b/>
          <w:color w:val="auto"/>
          <w:sz w:val="24"/>
          <w:highlight w:val="none"/>
        </w:rPr>
        <w:t>分。各投标人总分为：综合得分</w:t>
      </w:r>
      <w:r>
        <w:rPr>
          <w:rFonts w:hint="eastAsia" w:ascii="仿宋_GB2312" w:hAnsi="宋体" w:eastAsia="仿宋_GB2312"/>
          <w:color w:val="auto"/>
          <w:sz w:val="24"/>
          <w:highlight w:val="none"/>
        </w:rPr>
        <w:t>-</w:t>
      </w:r>
      <w:r>
        <w:rPr>
          <w:rFonts w:hint="eastAsia" w:ascii="仿宋_GB2312" w:eastAsia="仿宋_GB2312"/>
          <w:b/>
          <w:color w:val="auto"/>
          <w:sz w:val="24"/>
          <w:highlight w:val="none"/>
        </w:rPr>
        <w:t>投标人的信誉情况扣分。</w:t>
      </w:r>
    </w:p>
    <w:p>
      <w:pPr>
        <w:tabs>
          <w:tab w:val="left" w:pos="0"/>
        </w:tabs>
        <w:spacing w:line="360" w:lineRule="auto"/>
        <w:ind w:firstLine="542" w:firstLineChars="225"/>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各投标人的技术和服务方案、投标人的资质和业绩情况得分为：评标委员会各成员评分的算术平均值。各投标人的投标价格得分按投标价格评分</w:t>
      </w:r>
      <w:r>
        <w:rPr>
          <w:rFonts w:hint="eastAsia" w:ascii="仿宋_GB2312" w:hAnsi="宋体" w:eastAsia="仿宋_GB2312" w:cs="宋体"/>
          <w:b/>
          <w:color w:val="auto"/>
          <w:kern w:val="0"/>
          <w:sz w:val="24"/>
          <w:highlight w:val="none"/>
        </w:rPr>
        <w:t>公式由采购机构计算，</w:t>
      </w:r>
      <w:r>
        <w:rPr>
          <w:rFonts w:hint="eastAsia" w:ascii="仿宋_GB2312" w:hAnsi="宋体" w:eastAsia="仿宋_GB2312"/>
          <w:b/>
          <w:color w:val="auto"/>
          <w:sz w:val="24"/>
          <w:highlight w:val="none"/>
        </w:rPr>
        <w:t>评标委员会审核。</w:t>
      </w:r>
      <w:r>
        <w:rPr>
          <w:rFonts w:hint="eastAsia" w:ascii="仿宋_GB2312" w:hAnsi="宋体" w:eastAsia="仿宋_GB2312"/>
          <w:color w:val="auto"/>
          <w:sz w:val="24"/>
          <w:highlight w:val="none"/>
        </w:rPr>
        <w:t>根据上述评标原则，分值安排如下：</w:t>
      </w:r>
    </w:p>
    <w:p>
      <w:pPr>
        <w:spacing w:line="360" w:lineRule="auto"/>
        <w:ind w:firstLine="482" w:firstLineChars="200"/>
        <w:rPr>
          <w:rFonts w:hint="eastAsia" w:ascii="仿宋_GB2312" w:eastAsia="仿宋_GB2312"/>
          <w:b/>
          <w:color w:val="auto"/>
          <w:sz w:val="24"/>
          <w:highlight w:val="none"/>
        </w:rPr>
      </w:pPr>
      <w:r>
        <w:rPr>
          <w:rFonts w:hint="eastAsia" w:ascii="仿宋_GB2312" w:hAnsi="宋体" w:eastAsia="仿宋_GB2312"/>
          <w:b/>
          <w:bCs/>
          <w:color w:val="auto"/>
          <w:sz w:val="24"/>
          <w:highlight w:val="none"/>
        </w:rPr>
        <w:t>▲</w:t>
      </w:r>
      <w:r>
        <w:rPr>
          <w:rFonts w:hint="eastAsia" w:ascii="仿宋_GB2312" w:hAnsi="宋体" w:eastAsia="仿宋_GB2312"/>
          <w:b/>
          <w:color w:val="auto"/>
          <w:sz w:val="24"/>
          <w:highlight w:val="none"/>
        </w:rPr>
        <w:t>投标价格（A=30分）：</w:t>
      </w:r>
    </w:p>
    <w:p>
      <w:pPr>
        <w:autoSpaceDE w:val="0"/>
        <w:autoSpaceDN w:val="0"/>
        <w:spacing w:line="360" w:lineRule="auto"/>
        <w:ind w:firstLine="482"/>
        <w:rPr>
          <w:rFonts w:hint="eastAsia" w:ascii="仿宋_GB2312" w:eastAsia="仿宋_GB2312"/>
          <w:color w:val="auto"/>
          <w:sz w:val="24"/>
          <w:highlight w:val="none"/>
          <w:lang w:val="zh-CN"/>
        </w:rPr>
      </w:pPr>
      <w:r>
        <w:rPr>
          <w:rFonts w:hint="eastAsia" w:ascii="仿宋_GB2312" w:hAnsi="宋体" w:eastAsia="仿宋_GB2312"/>
          <w:color w:val="auto"/>
          <w:sz w:val="18"/>
          <w:szCs w:val="18"/>
          <w:highlight w:val="none"/>
        </w:rPr>
        <w:t xml:space="preserve">● </w:t>
      </w:r>
      <w:r>
        <w:rPr>
          <w:rFonts w:hint="eastAsia" w:ascii="仿宋_GB2312" w:hAnsi="宋体" w:eastAsia="仿宋_GB2312"/>
          <w:b/>
          <w:color w:val="auto"/>
          <w:sz w:val="24"/>
          <w:highlight w:val="none"/>
        </w:rPr>
        <w:t>投标价格的合理性</w:t>
      </w:r>
      <w:r>
        <w:rPr>
          <w:rFonts w:hint="eastAsia" w:ascii="仿宋_GB2312" w:hAnsi="宋体" w:eastAsia="仿宋_GB2312"/>
          <w:color w:val="auto"/>
          <w:sz w:val="24"/>
          <w:highlight w:val="none"/>
        </w:rPr>
        <w:t>：</w:t>
      </w:r>
      <w:r>
        <w:rPr>
          <w:rFonts w:hint="eastAsia" w:ascii="仿宋_GB2312" w:eastAsia="仿宋_GB2312"/>
          <w:color w:val="auto"/>
          <w:sz w:val="24"/>
          <w:highlight w:val="none"/>
          <w:lang w:val="zh-CN"/>
        </w:rPr>
        <w:t>分析总报价及各个分项报价是否合理，报价范围是否完整，有否重大错漏项</w:t>
      </w:r>
      <w:r>
        <w:rPr>
          <w:rFonts w:hint="eastAsia" w:ascii="仿宋_GB2312" w:hAnsi="宋体" w:eastAsia="仿宋_GB2312"/>
          <w:color w:val="auto"/>
          <w:sz w:val="24"/>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仿宋_GB2312" w:eastAsia="仿宋_GB2312"/>
          <w:color w:val="auto"/>
          <w:sz w:val="24"/>
          <w:highlight w:val="none"/>
          <w:lang w:val="zh-CN"/>
        </w:rPr>
        <w:t>；</w:t>
      </w:r>
    </w:p>
    <w:p>
      <w:pPr>
        <w:snapToGrid w:val="0"/>
        <w:spacing w:line="360" w:lineRule="auto"/>
        <w:ind w:firstLine="480" w:firstLineChars="200"/>
        <w:rPr>
          <w:rFonts w:hint="eastAsia" w:ascii="仿宋_GB2312" w:hAnsi="宋体" w:eastAsia="仿宋_GB2312"/>
          <w:color w:val="auto"/>
          <w:sz w:val="24"/>
          <w:highlight w:val="none"/>
        </w:rPr>
      </w:pPr>
      <w:r>
        <w:rPr>
          <w:rFonts w:hint="eastAsia" w:ascii="仿宋_GB2312" w:eastAsia="仿宋_GB2312"/>
          <w:color w:val="auto"/>
          <w:sz w:val="24"/>
          <w:highlight w:val="none"/>
          <w:lang w:val="zh-CN"/>
        </w:rPr>
        <w:t>报价分计算方法：根据各投标人的有效投标报价，以满足招标文件要求且有效投标价格的最低的投标报价为评标基准价，其价格分为</w:t>
      </w:r>
      <w:r>
        <w:rPr>
          <w:rFonts w:hint="eastAsia" w:ascii="仿宋_GB2312" w:eastAsia="仿宋_GB2312"/>
          <w:color w:val="auto"/>
          <w:sz w:val="24"/>
          <w:highlight w:val="none"/>
        </w:rPr>
        <w:t>30</w:t>
      </w:r>
      <w:r>
        <w:rPr>
          <w:rFonts w:hint="eastAsia" w:ascii="仿宋_GB2312" w:eastAsia="仿宋_GB2312"/>
          <w:color w:val="auto"/>
          <w:sz w:val="24"/>
          <w:highlight w:val="none"/>
          <w:lang w:val="zh-CN"/>
        </w:rPr>
        <w:t>分。其他投标人的价格分统一按照下列公式计算：投标报价得分＝(评标基准价/有效投标报价)</w:t>
      </w:r>
      <w:r>
        <w:rPr>
          <w:rFonts w:hint="eastAsia" w:ascii="仿宋_GB2312" w:eastAsia="仿宋_GB2312"/>
          <w:color w:val="auto"/>
          <w:sz w:val="24"/>
          <w:highlight w:val="none"/>
        </w:rPr>
        <w:t>×</w:t>
      </w:r>
      <w:r>
        <w:rPr>
          <w:rFonts w:hint="eastAsia" w:ascii="仿宋_GB2312" w:eastAsia="仿宋_GB2312"/>
          <w:color w:val="auto"/>
          <w:sz w:val="24"/>
          <w:highlight w:val="none"/>
          <w:lang w:val="zh-CN"/>
        </w:rPr>
        <w:t>价格权值</w:t>
      </w:r>
      <w:r>
        <w:rPr>
          <w:rFonts w:hint="eastAsia" w:ascii="仿宋_GB2312" w:eastAsia="仿宋_GB2312"/>
          <w:color w:val="auto"/>
          <w:sz w:val="24"/>
          <w:highlight w:val="none"/>
        </w:rPr>
        <w:t>×</w:t>
      </w:r>
      <w:r>
        <w:rPr>
          <w:rFonts w:hint="eastAsia" w:ascii="仿宋_GB2312" w:eastAsia="仿宋_GB2312"/>
          <w:color w:val="auto"/>
          <w:sz w:val="24"/>
          <w:highlight w:val="none"/>
          <w:lang w:val="zh-CN"/>
        </w:rPr>
        <w:t>100(精确到小数点后二位，由采购机构当场统一计算)。</w:t>
      </w:r>
    </w:p>
    <w:p>
      <w:pPr>
        <w:snapToGrid w:val="0"/>
        <w:spacing w:line="360" w:lineRule="auto"/>
        <w:ind w:firstLine="480" w:firstLineChars="200"/>
        <w:rPr>
          <w:rFonts w:hint="eastAsia" w:ascii="华文仿宋" w:hAnsi="华文仿宋" w:eastAsia="华文仿宋" w:cs="仿宋_GB2312"/>
          <w:b/>
          <w:color w:val="auto"/>
          <w:sz w:val="24"/>
          <w:highlight w:val="none"/>
        </w:rPr>
      </w:pPr>
      <w:r>
        <w:rPr>
          <w:rFonts w:hint="eastAsia" w:ascii="华文仿宋" w:hAnsi="华文仿宋" w:eastAsia="华文仿宋" w:cs="仿宋_GB2312"/>
          <w:b/>
          <w:bCs/>
          <w:color w:val="auto"/>
          <w:sz w:val="24"/>
          <w:highlight w:val="none"/>
        </w:rPr>
        <w:t>▲ 技术和服务方案（</w:t>
      </w:r>
      <w:r>
        <w:rPr>
          <w:rFonts w:hint="eastAsia" w:ascii="华文仿宋" w:hAnsi="华文仿宋" w:eastAsia="华文仿宋" w:cs="仿宋_GB2312"/>
          <w:b/>
          <w:color w:val="auto"/>
          <w:sz w:val="24"/>
          <w:highlight w:val="none"/>
        </w:rPr>
        <w:t>B= 6</w:t>
      </w:r>
      <w:r>
        <w:rPr>
          <w:rFonts w:ascii="华文仿宋" w:hAnsi="华文仿宋" w:eastAsia="华文仿宋" w:cs="仿宋_GB2312"/>
          <w:b/>
          <w:color w:val="auto"/>
          <w:sz w:val="24"/>
          <w:highlight w:val="none"/>
        </w:rPr>
        <w:t>5</w:t>
      </w:r>
      <w:r>
        <w:rPr>
          <w:rFonts w:hint="eastAsia" w:ascii="华文仿宋" w:hAnsi="华文仿宋" w:eastAsia="华文仿宋" w:cs="仿宋_GB2312"/>
          <w:b/>
          <w:color w:val="auto"/>
          <w:sz w:val="24"/>
          <w:highlight w:val="none"/>
        </w:rPr>
        <w:t>分</w:t>
      </w:r>
      <w:r>
        <w:rPr>
          <w:rFonts w:hint="eastAsia" w:ascii="华文仿宋" w:hAnsi="华文仿宋" w:eastAsia="华文仿宋" w:cs="仿宋_GB2312"/>
          <w:b/>
          <w:bCs/>
          <w:color w:val="auto"/>
          <w:sz w:val="24"/>
          <w:highlight w:val="none"/>
        </w:rPr>
        <w:t>）：</w:t>
      </w:r>
      <w:r>
        <w:rPr>
          <w:rFonts w:hint="eastAsia" w:ascii="华文仿宋" w:hAnsi="华文仿宋" w:eastAsia="华文仿宋" w:cs="仿宋_GB2312"/>
          <w:color w:val="auto"/>
          <w:sz w:val="24"/>
          <w:highlight w:val="none"/>
        </w:rPr>
        <w:t>主要包含方案的</w:t>
      </w:r>
      <w:r>
        <w:rPr>
          <w:rFonts w:hint="eastAsia" w:ascii="华文仿宋" w:hAnsi="华文仿宋" w:eastAsia="华文仿宋" w:cs="仿宋_GB2312"/>
          <w:bCs/>
          <w:color w:val="auto"/>
          <w:sz w:val="24"/>
          <w:highlight w:val="none"/>
        </w:rPr>
        <w:t>先进性、科学性和完整性，产品与</w:t>
      </w:r>
      <w:r>
        <w:rPr>
          <w:rFonts w:hint="eastAsia" w:ascii="华文仿宋" w:hAnsi="华文仿宋" w:eastAsia="华文仿宋" w:cs="仿宋_GB2312"/>
          <w:color w:val="auto"/>
          <w:sz w:val="24"/>
          <w:highlight w:val="none"/>
        </w:rPr>
        <w:t>需求的吻合程度</w:t>
      </w:r>
      <w:r>
        <w:rPr>
          <w:rFonts w:hint="eastAsia" w:ascii="华文仿宋" w:hAnsi="华文仿宋" w:eastAsia="华文仿宋" w:cs="仿宋_GB2312"/>
          <w:bCs/>
          <w:color w:val="auto"/>
          <w:sz w:val="24"/>
          <w:highlight w:val="none"/>
        </w:rPr>
        <w:t>，</w:t>
      </w:r>
      <w:r>
        <w:rPr>
          <w:rFonts w:hint="eastAsia" w:ascii="华文仿宋" w:hAnsi="华文仿宋" w:eastAsia="华文仿宋" w:cs="仿宋_GB2312"/>
          <w:color w:val="auto"/>
          <w:sz w:val="24"/>
          <w:highlight w:val="none"/>
        </w:rPr>
        <w:t>提供的售后服务方案、维护人员和机构等情况的服务优劣程度等方面的因素</w:t>
      </w:r>
      <w:r>
        <w:rPr>
          <w:rFonts w:hint="eastAsia" w:ascii="华文仿宋" w:hAnsi="华文仿宋" w:eastAsia="华文仿宋" w:cs="仿宋_GB2312"/>
          <w:color w:val="auto"/>
          <w:kern w:val="0"/>
          <w:sz w:val="24"/>
          <w:highlight w:val="none"/>
        </w:rPr>
        <w:t>，</w:t>
      </w:r>
      <w:r>
        <w:rPr>
          <w:rFonts w:hint="eastAsia" w:ascii="华文仿宋" w:hAnsi="华文仿宋" w:eastAsia="华文仿宋" w:cs="仿宋_GB2312"/>
          <w:color w:val="auto"/>
          <w:sz w:val="24"/>
          <w:highlight w:val="none"/>
        </w:rPr>
        <w:t>以及承诺和优惠。</w:t>
      </w:r>
    </w:p>
    <w:p>
      <w:pPr>
        <w:snapToGrid w:val="0"/>
        <w:spacing w:line="360" w:lineRule="auto"/>
        <w:ind w:right="-109" w:rightChars="-52" w:firstLine="360" w:firstLineChars="150"/>
        <w:rPr>
          <w:rFonts w:ascii="华文仿宋" w:hAnsi="华文仿宋" w:eastAsia="华文仿宋"/>
          <w:b/>
          <w:color w:val="auto"/>
          <w:sz w:val="24"/>
          <w:highlight w:val="none"/>
        </w:rPr>
      </w:pPr>
      <w:r>
        <w:rPr>
          <w:rFonts w:hint="eastAsia" w:ascii="华文仿宋" w:hAnsi="华文仿宋" w:eastAsia="华文仿宋"/>
          <w:b/>
          <w:color w:val="auto"/>
          <w:sz w:val="24"/>
          <w:highlight w:val="none"/>
        </w:rPr>
        <w:t>（1）投标方案的</w:t>
      </w:r>
      <w:r>
        <w:rPr>
          <w:rFonts w:hint="eastAsia" w:ascii="华文仿宋" w:hAnsi="华文仿宋" w:eastAsia="华文仿宋"/>
          <w:b/>
          <w:bCs/>
          <w:color w:val="auto"/>
          <w:sz w:val="24"/>
          <w:highlight w:val="none"/>
        </w:rPr>
        <w:t>科学性和完整性</w:t>
      </w:r>
      <w:r>
        <w:rPr>
          <w:rFonts w:hint="eastAsia" w:ascii="华文仿宋" w:hAnsi="华文仿宋" w:eastAsia="华文仿宋"/>
          <w:b/>
          <w:color w:val="auto"/>
          <w:sz w:val="24"/>
          <w:highlight w:val="none"/>
        </w:rPr>
        <w:t>（6分）：</w:t>
      </w:r>
    </w:p>
    <w:p>
      <w:pPr>
        <w:snapToGrid w:val="0"/>
        <w:spacing w:line="360" w:lineRule="auto"/>
        <w:ind w:firstLine="450" w:firstLineChars="250"/>
        <w:rPr>
          <w:rFonts w:ascii="华文仿宋" w:hAnsi="华文仿宋" w:eastAsia="华文仿宋" w:cs="Wingdings"/>
          <w:color w:val="auto"/>
          <w:sz w:val="24"/>
          <w:highlight w:val="none"/>
        </w:rPr>
      </w:pPr>
      <w:r>
        <w:rPr>
          <w:rFonts w:hint="eastAsia" w:ascii="华文仿宋" w:hAnsi="华文仿宋" w:eastAsia="华文仿宋"/>
          <w:color w:val="auto"/>
          <w:sz w:val="18"/>
          <w:szCs w:val="18"/>
          <w:highlight w:val="none"/>
        </w:rPr>
        <w:t xml:space="preserve">● </w:t>
      </w:r>
      <w:r>
        <w:rPr>
          <w:rFonts w:hint="eastAsia" w:ascii="华文仿宋" w:hAnsi="华文仿宋" w:eastAsia="华文仿宋"/>
          <w:color w:val="auto"/>
          <w:sz w:val="24"/>
          <w:highlight w:val="none"/>
        </w:rPr>
        <w:t>投标方案与需求的吻合程度，包括方案的科学性、先进性、可靠性、成熟性、合理性和扩展性；方案配置的合理性等方面与项目对应需求的满足程度。根据提供的方案内容进行评分，内容完整、措施有效、符合采购人实际视为合理，合理得2分，较合理得1分，不合理得0分</w:t>
      </w:r>
      <w:r>
        <w:rPr>
          <w:rFonts w:hint="eastAsia" w:ascii="华文仿宋" w:hAnsi="华文仿宋" w:eastAsia="华文仿宋" w:cs="Wingdings"/>
          <w:color w:val="auto"/>
          <w:sz w:val="24"/>
          <w:highlight w:val="none"/>
        </w:rPr>
        <w:t>（2分）；</w:t>
      </w:r>
    </w:p>
    <w:p>
      <w:pPr>
        <w:pStyle w:val="307"/>
        <w:ind w:firstLine="360"/>
        <w:rPr>
          <w:rFonts w:ascii="华文仿宋" w:hAnsi="华文仿宋" w:eastAsia="华文仿宋"/>
          <w:color w:val="auto"/>
          <w:highlight w:val="none"/>
        </w:rPr>
      </w:pPr>
      <w:r>
        <w:rPr>
          <w:rFonts w:hint="eastAsia" w:ascii="华文仿宋" w:hAnsi="华文仿宋" w:eastAsia="华文仿宋"/>
          <w:color w:val="auto"/>
          <w:sz w:val="18"/>
          <w:szCs w:val="18"/>
          <w:highlight w:val="none"/>
        </w:rPr>
        <w:t>●</w:t>
      </w:r>
      <w:r>
        <w:rPr>
          <w:rFonts w:hint="eastAsia" w:ascii="华文仿宋" w:hAnsi="华文仿宋" w:eastAsia="华文仿宋" w:cs="Wingdings"/>
          <w:color w:val="auto"/>
          <w:highlight w:val="none"/>
        </w:rPr>
        <w:t>对该项目了解情况，是否满足功能需求，包括①方案的科学性、先进性、可行性和扩展性，②方案是否包含了完整的软硬件系统建议方案；③方案是否科学合理、安全严密、具有一定的前瞻性；④是否有独到的优势。</w:t>
      </w:r>
      <w:r>
        <w:rPr>
          <w:rFonts w:hint="eastAsia" w:ascii="仿宋" w:hAnsi="仿宋" w:eastAsia="仿宋" w:cs="宋体"/>
          <w:color w:val="auto"/>
          <w:kern w:val="0"/>
          <w:highlight w:val="none"/>
        </w:rPr>
        <w:t>根据提供的方案内容进行评分，每一项内容完整、措施有效、符合采购人实际视为合理，合理得0.5</w:t>
      </w:r>
      <w:r>
        <w:rPr>
          <w:rFonts w:ascii="仿宋" w:hAnsi="仿宋" w:eastAsia="仿宋" w:cs="宋体"/>
          <w:color w:val="auto"/>
          <w:kern w:val="0"/>
          <w:highlight w:val="none"/>
        </w:rPr>
        <w:t>分，不合理得0分，</w:t>
      </w:r>
      <w:r>
        <w:rPr>
          <w:rFonts w:hint="eastAsia" w:ascii="仿宋" w:hAnsi="仿宋" w:eastAsia="仿宋" w:cs="宋体"/>
          <w:color w:val="auto"/>
          <w:kern w:val="0"/>
          <w:highlight w:val="none"/>
        </w:rPr>
        <w:t>最高得2分</w:t>
      </w:r>
      <w:r>
        <w:rPr>
          <w:rFonts w:hint="eastAsia" w:ascii="仿宋_GB2312" w:hAnsi="宋体" w:eastAsia="仿宋_GB2312"/>
          <w:color w:val="auto"/>
          <w:highlight w:val="none"/>
        </w:rPr>
        <w:t>（</w:t>
      </w:r>
      <w:r>
        <w:rPr>
          <w:rFonts w:hint="eastAsia" w:ascii="仿宋_GB2312" w:eastAsia="仿宋_GB2312"/>
          <w:color w:val="auto"/>
          <w:highlight w:val="none"/>
        </w:rPr>
        <w:t>2</w:t>
      </w:r>
      <w:r>
        <w:rPr>
          <w:rFonts w:hint="eastAsia" w:ascii="仿宋_GB2312" w:hAnsi="宋体" w:eastAsia="仿宋_GB2312"/>
          <w:color w:val="auto"/>
          <w:highlight w:val="none"/>
        </w:rPr>
        <w:t>分）；</w:t>
      </w:r>
    </w:p>
    <w:p>
      <w:pPr>
        <w:snapToGrid w:val="0"/>
        <w:spacing w:line="360" w:lineRule="auto"/>
        <w:ind w:right="-109" w:rightChars="-52" w:firstLine="450" w:firstLineChars="250"/>
        <w:rPr>
          <w:rFonts w:ascii="华文仿宋" w:hAnsi="华文仿宋" w:eastAsia="华文仿宋"/>
          <w:color w:val="auto"/>
          <w:sz w:val="24"/>
          <w:highlight w:val="none"/>
        </w:rPr>
      </w:pPr>
      <w:r>
        <w:rPr>
          <w:rFonts w:hint="eastAsia" w:ascii="华文仿宋" w:hAnsi="华文仿宋" w:eastAsia="华文仿宋"/>
          <w:color w:val="auto"/>
          <w:sz w:val="18"/>
          <w:szCs w:val="18"/>
          <w:highlight w:val="none"/>
        </w:rPr>
        <w:t xml:space="preserve">● </w:t>
      </w:r>
      <w:r>
        <w:rPr>
          <w:rFonts w:hint="eastAsia" w:ascii="仿宋_GB2312" w:hAnsi="宋体" w:eastAsia="仿宋_GB2312"/>
          <w:color w:val="auto"/>
          <w:sz w:val="24"/>
          <w:highlight w:val="none"/>
        </w:rPr>
        <w:t>整体技术解决方案详细阐述技术架构、实现思路和关键技术，以及对功能设计和实施计划的建议，</w:t>
      </w:r>
      <w:r>
        <w:rPr>
          <w:rFonts w:hint="eastAsia" w:ascii="仿宋" w:hAnsi="仿宋" w:eastAsia="仿宋" w:cs="宋体"/>
          <w:color w:val="auto"/>
          <w:kern w:val="0"/>
          <w:sz w:val="24"/>
          <w:highlight w:val="none"/>
        </w:rPr>
        <w:t>①</w:t>
      </w:r>
      <w:r>
        <w:rPr>
          <w:rFonts w:hint="eastAsia" w:ascii="仿宋_GB2312" w:hAnsi="宋体" w:eastAsia="仿宋_GB2312"/>
          <w:color w:val="auto"/>
          <w:sz w:val="24"/>
          <w:highlight w:val="none"/>
        </w:rPr>
        <w:t>是否满足项目需求和采购人实际需要，是得0.5分，否的0分；</w:t>
      </w:r>
      <w:r>
        <w:rPr>
          <w:rFonts w:hint="eastAsia" w:ascii="仿宋" w:hAnsi="仿宋" w:eastAsia="仿宋" w:cs="宋体"/>
          <w:color w:val="auto"/>
          <w:kern w:val="0"/>
          <w:sz w:val="24"/>
          <w:highlight w:val="none"/>
        </w:rPr>
        <w:t>②</w:t>
      </w:r>
      <w:r>
        <w:rPr>
          <w:rFonts w:hint="eastAsia" w:ascii="仿宋_GB2312" w:hAnsi="宋体" w:eastAsia="仿宋_GB2312"/>
          <w:color w:val="auto"/>
          <w:sz w:val="24"/>
          <w:highlight w:val="none"/>
        </w:rPr>
        <w:t>是否充分考虑项目实际的情况，是得0.5分，否的0分；</w:t>
      </w:r>
      <w:r>
        <w:rPr>
          <w:rFonts w:hint="eastAsia" w:ascii="仿宋" w:hAnsi="仿宋" w:eastAsia="仿宋" w:cs="宋体"/>
          <w:color w:val="auto"/>
          <w:kern w:val="0"/>
          <w:sz w:val="24"/>
          <w:highlight w:val="none"/>
        </w:rPr>
        <w:t>③</w:t>
      </w:r>
      <w:r>
        <w:rPr>
          <w:rFonts w:hint="eastAsia" w:ascii="仿宋_GB2312" w:hAnsi="宋体" w:eastAsia="仿宋_GB2312"/>
          <w:color w:val="auto"/>
          <w:sz w:val="24"/>
          <w:highlight w:val="none"/>
        </w:rPr>
        <w:t>是否结合实地定制，是得0.5分，否的0分；</w:t>
      </w:r>
      <w:r>
        <w:rPr>
          <w:rFonts w:hint="eastAsia" w:ascii="仿宋" w:hAnsi="仿宋" w:eastAsia="仿宋" w:cs="宋体"/>
          <w:color w:val="auto"/>
          <w:kern w:val="0"/>
          <w:sz w:val="24"/>
          <w:highlight w:val="none"/>
        </w:rPr>
        <w:t>④</w:t>
      </w:r>
      <w:r>
        <w:rPr>
          <w:rFonts w:hint="eastAsia" w:ascii="仿宋_GB2312" w:hAnsi="宋体" w:eastAsia="仿宋_GB2312"/>
          <w:color w:val="auto"/>
          <w:sz w:val="24"/>
          <w:highlight w:val="none"/>
        </w:rPr>
        <w:t>是否设计细致合理，是得0.5分，否的0分。（2分）。</w:t>
      </w:r>
    </w:p>
    <w:p>
      <w:pPr>
        <w:snapToGrid w:val="0"/>
        <w:spacing w:line="360" w:lineRule="auto"/>
        <w:ind w:firstLine="360" w:firstLineChars="150"/>
        <w:rPr>
          <w:rFonts w:ascii="华文仿宋" w:hAnsi="华文仿宋" w:eastAsia="华文仿宋"/>
          <w:b/>
          <w:color w:val="auto"/>
          <w:sz w:val="24"/>
          <w:highlight w:val="none"/>
        </w:rPr>
      </w:pPr>
      <w:r>
        <w:rPr>
          <w:rFonts w:hint="eastAsia" w:ascii="华文仿宋" w:hAnsi="华文仿宋" w:eastAsia="华文仿宋"/>
          <w:b/>
          <w:color w:val="auto"/>
          <w:sz w:val="24"/>
          <w:highlight w:val="none"/>
        </w:rPr>
        <w:t>（2）投标产品的性能与需求的吻合程度（2</w:t>
      </w:r>
      <w:r>
        <w:rPr>
          <w:rFonts w:ascii="华文仿宋" w:hAnsi="华文仿宋" w:eastAsia="华文仿宋"/>
          <w:b/>
          <w:color w:val="auto"/>
          <w:sz w:val="24"/>
          <w:highlight w:val="none"/>
        </w:rPr>
        <w:t>8</w:t>
      </w:r>
      <w:r>
        <w:rPr>
          <w:rFonts w:hint="eastAsia" w:ascii="华文仿宋" w:hAnsi="华文仿宋" w:eastAsia="华文仿宋"/>
          <w:b/>
          <w:color w:val="auto"/>
          <w:sz w:val="24"/>
          <w:highlight w:val="none"/>
        </w:rPr>
        <w:t>分）：</w:t>
      </w:r>
    </w:p>
    <w:p>
      <w:pPr>
        <w:snapToGrid w:val="0"/>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投标产品的基本功能、技术指标与需求的吻合程度和偏差情况（包括所投标产品的品牌、规格型号、详细配置、主要技术参数、随机软件等），是否能够满足投标文件要求，是否体现一定先进性、可靠性、成熟性、易维护性、可扩展性等。技术指标中，负偏离每一项扣减1分（参数满足情况以投标文件中提供的证明材料为准）；扣完为止（</w:t>
      </w:r>
      <w:r>
        <w:rPr>
          <w:rFonts w:ascii="仿宋_GB2312" w:hAnsi="宋体" w:eastAsia="仿宋_GB2312"/>
          <w:color w:val="auto"/>
          <w:sz w:val="24"/>
          <w:highlight w:val="none"/>
        </w:rPr>
        <w:t>1</w:t>
      </w:r>
      <w:r>
        <w:rPr>
          <w:rFonts w:hint="eastAsia" w:ascii="仿宋_GB2312" w:hAnsi="宋体" w:eastAsia="仿宋_GB2312"/>
          <w:color w:val="auto"/>
          <w:sz w:val="24"/>
          <w:highlight w:val="none"/>
        </w:rPr>
        <w:t>8分）；</w:t>
      </w:r>
    </w:p>
    <w:p>
      <w:pPr>
        <w:snapToGrid w:val="0"/>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对打</w:t>
      </w:r>
      <w:r>
        <w:rPr>
          <w:rFonts w:hint="eastAsia" w:ascii="仿宋" w:hAnsi="仿宋" w:eastAsia="仿宋" w:cs="宋体"/>
          <w:color w:val="auto"/>
          <w:kern w:val="0"/>
          <w:sz w:val="24"/>
          <w:highlight w:val="none"/>
        </w:rPr>
        <w:t>▲</w:t>
      </w:r>
      <w:r>
        <w:rPr>
          <w:rFonts w:hint="eastAsia" w:ascii="仿宋_GB2312" w:hAnsi="宋体" w:eastAsia="仿宋_GB2312"/>
          <w:color w:val="auto"/>
          <w:sz w:val="24"/>
          <w:highlight w:val="none"/>
        </w:rPr>
        <w:t>招标要求中包含具体参数的，如投标人提供产品性能指标高于招标要求的，每一项可增加0.2分（参数满足情况以投标文件中提供的证明材料为准），且投标人应提供高于招标性能要求的指标目录表，本项最高得分2分（2分）；</w:t>
      </w:r>
    </w:p>
    <w:p>
      <w:pPr>
        <w:snapToGrid w:val="0"/>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投标产品</w:t>
      </w:r>
      <w:r>
        <w:rPr>
          <w:rFonts w:hint="eastAsia" w:ascii="仿宋" w:hAnsi="仿宋" w:eastAsia="仿宋" w:cs="宋体"/>
          <w:color w:val="auto"/>
          <w:kern w:val="0"/>
          <w:sz w:val="24"/>
          <w:highlight w:val="none"/>
        </w:rPr>
        <w:t>①</w:t>
      </w:r>
      <w:r>
        <w:rPr>
          <w:rFonts w:hint="eastAsia" w:ascii="仿宋_GB2312" w:hAnsi="宋体" w:eastAsia="仿宋_GB2312"/>
          <w:color w:val="auto"/>
          <w:sz w:val="24"/>
          <w:highlight w:val="none"/>
        </w:rPr>
        <w:t>是否能满足本系统运行的需求（满足得1分，不满足得0分），</w:t>
      </w:r>
      <w:r>
        <w:rPr>
          <w:rFonts w:hint="eastAsia" w:ascii="仿宋" w:hAnsi="仿宋" w:eastAsia="仿宋" w:cs="宋体"/>
          <w:color w:val="auto"/>
          <w:kern w:val="0"/>
          <w:sz w:val="24"/>
          <w:highlight w:val="none"/>
        </w:rPr>
        <w:t>②</w:t>
      </w:r>
      <w:r>
        <w:rPr>
          <w:rFonts w:hint="eastAsia" w:ascii="仿宋_GB2312" w:hAnsi="宋体" w:eastAsia="仿宋_GB2312"/>
          <w:color w:val="auto"/>
          <w:sz w:val="24"/>
          <w:highlight w:val="none"/>
        </w:rPr>
        <w:t>其技术方案对产品、系统功能及其技术要点是否有完整和全面的响应和说明（有得1分，无得0分），</w:t>
      </w:r>
      <w:r>
        <w:rPr>
          <w:rFonts w:hint="eastAsia" w:ascii="仿宋" w:hAnsi="仿宋" w:eastAsia="仿宋" w:cs="宋体"/>
          <w:color w:val="auto"/>
          <w:kern w:val="0"/>
          <w:sz w:val="24"/>
          <w:highlight w:val="none"/>
        </w:rPr>
        <w:t>③</w:t>
      </w:r>
      <w:r>
        <w:rPr>
          <w:rFonts w:hint="eastAsia" w:ascii="仿宋_GB2312" w:hAnsi="宋体" w:eastAsia="仿宋_GB2312"/>
          <w:color w:val="auto"/>
          <w:sz w:val="24"/>
          <w:highlight w:val="none"/>
        </w:rPr>
        <w:t>产品的技术水平、应用程度、系统结构和产品实际布局设计的先进性、科学性和合理性等（</w:t>
      </w:r>
      <w:r>
        <w:rPr>
          <w:rFonts w:hint="eastAsia" w:ascii="仿宋" w:hAnsi="仿宋" w:eastAsia="仿宋" w:cs="宋体"/>
          <w:color w:val="auto"/>
          <w:kern w:val="0"/>
          <w:sz w:val="24"/>
          <w:highlight w:val="none"/>
        </w:rPr>
        <w:t>先进科学合理的得1分，否则不得分</w:t>
      </w:r>
      <w:r>
        <w:rPr>
          <w:rFonts w:hint="eastAsia" w:ascii="仿宋_GB2312" w:hAnsi="宋体" w:eastAsia="仿宋_GB2312"/>
          <w:color w:val="auto"/>
          <w:sz w:val="24"/>
          <w:highlight w:val="none"/>
        </w:rPr>
        <w:t>），</w:t>
      </w:r>
      <w:r>
        <w:rPr>
          <w:rFonts w:hint="eastAsia" w:ascii="仿宋" w:hAnsi="仿宋" w:eastAsia="仿宋" w:cs="宋体"/>
          <w:color w:val="auto"/>
          <w:kern w:val="0"/>
          <w:sz w:val="24"/>
          <w:highlight w:val="none"/>
        </w:rPr>
        <w:t>④</w:t>
      </w:r>
      <w:r>
        <w:rPr>
          <w:rFonts w:hint="eastAsia" w:ascii="仿宋_GB2312" w:hAnsi="宋体" w:eastAsia="仿宋_GB2312"/>
          <w:color w:val="auto"/>
          <w:sz w:val="24"/>
          <w:highlight w:val="none"/>
        </w:rPr>
        <w:t>在同类产品中是否具有优势（有优势得1分，无优势得0分）。结合投标样品展示情况进行打分。（4分）；</w:t>
      </w:r>
    </w:p>
    <w:p>
      <w:pPr>
        <w:snapToGrid w:val="0"/>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投标产品的兼容性、可靠性情况，结合投标产品的知名度、销售量、市场占有率、使用现况和用户反馈等进行打分，兼容性强的得1分，兼容性差的得0分，可靠性强的得1分，可靠性差的得0分；功能是否达到采购人的实际需求，达到得1分，否则得0分（3分）；</w:t>
      </w:r>
    </w:p>
    <w:p>
      <w:pPr>
        <w:snapToGrid w:val="0"/>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投标产品是否取得“</w:t>
      </w:r>
      <w:r>
        <w:rPr>
          <w:rFonts w:ascii="仿宋" w:hAnsi="仿宋" w:eastAsia="仿宋"/>
          <w:color w:val="auto"/>
          <w:sz w:val="24"/>
          <w:highlight w:val="none"/>
        </w:rPr>
        <w:t>节能产品、环境标志产品认证证书</w:t>
      </w:r>
      <w:r>
        <w:rPr>
          <w:rFonts w:hint="eastAsia" w:ascii="仿宋_GB2312" w:hAnsi="宋体" w:eastAsia="仿宋_GB2312"/>
          <w:color w:val="auto"/>
          <w:sz w:val="24"/>
          <w:highlight w:val="none"/>
        </w:rPr>
        <w:t>”；此项由投标人提供相关证明材料，每项加</w:t>
      </w:r>
      <w:r>
        <w:rPr>
          <w:rFonts w:ascii="仿宋_GB2312" w:hAnsi="宋体" w:eastAsia="仿宋_GB2312"/>
          <w:color w:val="auto"/>
          <w:sz w:val="24"/>
          <w:highlight w:val="none"/>
        </w:rPr>
        <w:t>0.5</w:t>
      </w:r>
      <w:r>
        <w:rPr>
          <w:rFonts w:hint="eastAsia" w:ascii="仿宋_GB2312" w:hAnsi="宋体" w:eastAsia="仿宋_GB2312"/>
          <w:color w:val="auto"/>
          <w:sz w:val="24"/>
          <w:highlight w:val="none"/>
        </w:rPr>
        <w:t>分，最高为</w:t>
      </w:r>
      <w:r>
        <w:rPr>
          <w:rFonts w:ascii="仿宋_GB2312" w:hAnsi="宋体" w:eastAsia="仿宋_GB2312"/>
          <w:color w:val="auto"/>
          <w:sz w:val="24"/>
          <w:highlight w:val="none"/>
        </w:rPr>
        <w:t>1</w:t>
      </w:r>
      <w:r>
        <w:rPr>
          <w:rFonts w:hint="eastAsia" w:ascii="仿宋_GB2312" w:hAnsi="宋体" w:eastAsia="仿宋_GB2312"/>
          <w:color w:val="auto"/>
          <w:sz w:val="24"/>
          <w:highlight w:val="none"/>
        </w:rPr>
        <w:t>分（</w:t>
      </w:r>
      <w:r>
        <w:rPr>
          <w:rFonts w:ascii="仿宋_GB2312" w:hAnsi="宋体" w:eastAsia="仿宋_GB2312"/>
          <w:color w:val="auto"/>
          <w:sz w:val="24"/>
          <w:highlight w:val="none"/>
        </w:rPr>
        <w:t>1</w:t>
      </w:r>
      <w:r>
        <w:rPr>
          <w:rFonts w:hint="eastAsia" w:ascii="仿宋_GB2312" w:hAnsi="宋体" w:eastAsia="仿宋_GB2312"/>
          <w:color w:val="auto"/>
          <w:sz w:val="24"/>
          <w:highlight w:val="none"/>
        </w:rPr>
        <w:t>分）。</w:t>
      </w:r>
    </w:p>
    <w:p>
      <w:pPr>
        <w:snapToGrid w:val="0"/>
        <w:spacing w:line="360" w:lineRule="auto"/>
        <w:ind w:firstLine="480" w:firstLineChars="200"/>
        <w:rPr>
          <w:rFonts w:ascii="华文仿宋" w:hAnsi="华文仿宋" w:eastAsia="华文仿宋"/>
          <w:b/>
          <w:color w:val="auto"/>
          <w:sz w:val="24"/>
          <w:highlight w:val="none"/>
          <w:lang w:val="zh-CN"/>
        </w:rPr>
      </w:pPr>
      <w:r>
        <w:rPr>
          <w:rFonts w:ascii="华文仿宋" w:hAnsi="华文仿宋" w:eastAsia="华文仿宋"/>
          <w:b/>
          <w:color w:val="auto"/>
          <w:sz w:val="24"/>
          <w:highlight w:val="none"/>
          <w:lang w:val="zh-CN"/>
        </w:rPr>
        <w:t>（3）系统方案讲解（1</w:t>
      </w:r>
      <w:r>
        <w:rPr>
          <w:rFonts w:hint="eastAsia" w:ascii="华文仿宋" w:hAnsi="华文仿宋" w:eastAsia="华文仿宋"/>
          <w:b/>
          <w:color w:val="auto"/>
          <w:sz w:val="24"/>
          <w:highlight w:val="none"/>
          <w:lang w:val="zh-CN"/>
        </w:rPr>
        <w:t>2</w:t>
      </w:r>
      <w:r>
        <w:rPr>
          <w:rFonts w:ascii="华文仿宋" w:hAnsi="华文仿宋" w:eastAsia="华文仿宋"/>
          <w:b/>
          <w:color w:val="auto"/>
          <w:sz w:val="24"/>
          <w:highlight w:val="none"/>
          <w:lang w:val="zh-CN"/>
        </w:rPr>
        <w:t>分）：</w:t>
      </w:r>
    </w:p>
    <w:p>
      <w:pPr>
        <w:snapToGrid w:val="0"/>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●由投标人对招标文件中要求演示的产品进行现场演示，专家根据演示情况及方案讲解情况进行打分，无演示不得分。主要包括：</w:t>
      </w:r>
    </w:p>
    <w:p>
      <w:pPr>
        <w:snapToGrid w:val="0"/>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a.</w:t>
      </w:r>
      <w:r>
        <w:rPr>
          <w:rFonts w:hint="eastAsia" w:ascii="仿宋_GB2312" w:hAnsi="宋体" w:eastAsia="仿宋_GB2312"/>
          <w:color w:val="auto"/>
          <w:sz w:val="24"/>
          <w:highlight w:val="none"/>
          <w:lang w:eastAsia="zh-CN"/>
        </w:rPr>
        <w:t>基本</w:t>
      </w:r>
      <w:r>
        <w:rPr>
          <w:rFonts w:hint="eastAsia" w:ascii="仿宋_GB2312" w:hAnsi="宋体" w:eastAsia="仿宋_GB2312"/>
          <w:color w:val="auto"/>
          <w:sz w:val="24"/>
          <w:highlight w:val="none"/>
        </w:rPr>
        <w:t>情况（8分）：</w:t>
      </w:r>
    </w:p>
    <w:p>
      <w:pPr>
        <w:numPr>
          <w:ilvl w:val="0"/>
          <w:numId w:val="13"/>
        </w:numPr>
        <w:snapToGrid w:val="0"/>
        <w:spacing w:line="360" w:lineRule="auto"/>
        <w:rPr>
          <w:rFonts w:hint="eastAsia" w:ascii="仿宋_GB2312" w:hAnsi="宋体" w:eastAsia="仿宋_GB2312"/>
          <w:color w:val="auto"/>
          <w:sz w:val="24"/>
          <w:highlight w:val="none"/>
        </w:rPr>
      </w:pPr>
      <w:r>
        <w:rPr>
          <w:rFonts w:hint="eastAsia" w:ascii="仿宋_GB2312" w:eastAsia="仿宋_GB2312"/>
          <w:color w:val="auto"/>
          <w:sz w:val="24"/>
          <w:highlight w:val="none"/>
        </w:rPr>
        <w:t>投标人提供的48盘位存储服务器</w:t>
      </w:r>
      <w:r>
        <w:rPr>
          <w:rFonts w:hint="eastAsia" w:ascii="仿宋_GB2312" w:hAnsi="宋体" w:eastAsia="仿宋_GB2312"/>
          <w:color w:val="auto"/>
          <w:sz w:val="24"/>
          <w:highlight w:val="none"/>
        </w:rPr>
        <w:t>符合本次技术规范要求，符合得3分，不符合得0分（3分）；</w:t>
      </w:r>
    </w:p>
    <w:p>
      <w:pPr>
        <w:numPr>
          <w:ilvl w:val="0"/>
          <w:numId w:val="13"/>
        </w:numPr>
        <w:snapToGrid w:val="0"/>
        <w:spacing w:line="360" w:lineRule="auto"/>
        <w:rPr>
          <w:rFonts w:hint="eastAsia" w:ascii="仿宋_GB2312" w:hAnsi="宋体" w:eastAsia="仿宋_GB2312"/>
          <w:color w:val="auto"/>
          <w:sz w:val="24"/>
          <w:highlight w:val="none"/>
        </w:rPr>
      </w:pPr>
      <w:r>
        <w:rPr>
          <w:rFonts w:hint="eastAsia" w:ascii="仿宋_GB2312" w:eastAsia="仿宋_GB2312"/>
          <w:color w:val="auto"/>
          <w:sz w:val="24"/>
          <w:highlight w:val="none"/>
        </w:rPr>
        <w:t>投标人提供的存储管理服务器</w:t>
      </w:r>
      <w:r>
        <w:rPr>
          <w:rFonts w:hint="eastAsia" w:ascii="仿宋_GB2312" w:hAnsi="宋体" w:eastAsia="仿宋_GB2312"/>
          <w:color w:val="auto"/>
          <w:sz w:val="24"/>
          <w:highlight w:val="none"/>
        </w:rPr>
        <w:t>符合本次技术规范要求</w:t>
      </w:r>
      <w:r>
        <w:rPr>
          <w:rFonts w:hint="eastAsia" w:ascii="仿宋_GB2312" w:eastAsia="仿宋_GB2312"/>
          <w:color w:val="auto"/>
          <w:sz w:val="24"/>
          <w:highlight w:val="none"/>
        </w:rPr>
        <w:t>。</w:t>
      </w:r>
      <w:r>
        <w:rPr>
          <w:rFonts w:hint="eastAsia" w:ascii="仿宋_GB2312" w:hAnsi="宋体" w:eastAsia="仿宋_GB2312"/>
          <w:color w:val="auto"/>
          <w:sz w:val="24"/>
          <w:highlight w:val="none"/>
        </w:rPr>
        <w:t>符合得3分，不符合得0分（3分）；</w:t>
      </w:r>
    </w:p>
    <w:p>
      <w:pPr>
        <w:numPr>
          <w:ilvl w:val="0"/>
          <w:numId w:val="13"/>
        </w:numPr>
        <w:snapToGrid w:val="0"/>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投标人提供的流媒体服务器</w:t>
      </w:r>
      <w:r>
        <w:rPr>
          <w:rFonts w:hint="eastAsia" w:ascii="仿宋_GB2312" w:hAnsi="宋体" w:eastAsia="仿宋_GB2312"/>
          <w:color w:val="auto"/>
          <w:sz w:val="24"/>
          <w:highlight w:val="none"/>
        </w:rPr>
        <w:t>符合本次技术规范要求</w:t>
      </w:r>
      <w:r>
        <w:rPr>
          <w:rFonts w:hint="eastAsia" w:ascii="仿宋_GB2312" w:eastAsia="仿宋_GB2312"/>
          <w:color w:val="auto"/>
          <w:sz w:val="24"/>
          <w:highlight w:val="none"/>
        </w:rPr>
        <w:t>。</w:t>
      </w:r>
      <w:r>
        <w:rPr>
          <w:rFonts w:hint="eastAsia" w:ascii="仿宋_GB2312" w:hAnsi="宋体" w:eastAsia="仿宋_GB2312"/>
          <w:color w:val="auto"/>
          <w:sz w:val="24"/>
          <w:highlight w:val="none"/>
        </w:rPr>
        <w:t>符合得1分，不符合得0分（1分）；</w:t>
      </w:r>
    </w:p>
    <w:p>
      <w:pPr>
        <w:numPr>
          <w:ilvl w:val="0"/>
          <w:numId w:val="13"/>
        </w:numPr>
        <w:snapToGrid w:val="0"/>
        <w:spacing w:line="360" w:lineRule="auto"/>
        <w:rPr>
          <w:rFonts w:hint="eastAsia" w:ascii="仿宋_GB2312" w:hAnsi="宋体" w:eastAsia="仿宋_GB2312"/>
          <w:color w:val="auto"/>
          <w:sz w:val="24"/>
          <w:highlight w:val="none"/>
        </w:rPr>
      </w:pPr>
      <w:r>
        <w:rPr>
          <w:rFonts w:hint="eastAsia" w:ascii="仿宋_GB2312" w:eastAsia="仿宋_GB2312"/>
          <w:color w:val="auto"/>
          <w:sz w:val="24"/>
          <w:highlight w:val="none"/>
        </w:rPr>
        <w:t>投标人提供的4T企业级硬盘符合本次技术规范要求。符合得1分，不符合得0分</w:t>
      </w:r>
      <w:r>
        <w:rPr>
          <w:rFonts w:hint="eastAsia" w:ascii="仿宋_GB2312" w:hAnsi="宋体" w:eastAsia="仿宋_GB2312"/>
          <w:color w:val="auto"/>
          <w:sz w:val="24"/>
          <w:highlight w:val="none"/>
        </w:rPr>
        <w:t>（1分）；</w:t>
      </w:r>
    </w:p>
    <w:p>
      <w:pPr>
        <w:snapToGrid w:val="0"/>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b.特色功能提供（2分）： </w:t>
      </w:r>
    </w:p>
    <w:p>
      <w:pPr>
        <w:snapToGrid w:val="0"/>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在功能演示中，能提供超出采购需求所需功能之外功能的，经评审专家一致认可，每项功能可得1分，本项最高2分。</w:t>
      </w:r>
    </w:p>
    <w:p>
      <w:pPr>
        <w:snapToGrid w:val="0"/>
        <w:spacing w:line="360" w:lineRule="auto"/>
        <w:ind w:firstLine="480" w:firstLineChars="200"/>
        <w:rPr>
          <w:rFonts w:hint="eastAsia" w:ascii="华文仿宋" w:hAnsi="华文仿宋" w:eastAsia="华文仿宋"/>
          <w:color w:val="auto"/>
          <w:sz w:val="24"/>
          <w:highlight w:val="none"/>
          <w:lang w:val="zh-CN"/>
        </w:rPr>
      </w:pPr>
      <w:r>
        <w:rPr>
          <w:rFonts w:hint="eastAsia" w:ascii="仿宋_GB2312" w:hAnsi="宋体" w:eastAsia="仿宋_GB2312"/>
          <w:color w:val="auto"/>
          <w:sz w:val="24"/>
          <w:highlight w:val="none"/>
        </w:rPr>
        <w:t>●</w:t>
      </w:r>
      <w:r>
        <w:rPr>
          <w:rFonts w:hint="eastAsia" w:ascii="仿宋" w:hAnsi="仿宋" w:eastAsia="仿宋" w:cs="宋体"/>
          <w:color w:val="auto"/>
          <w:kern w:val="0"/>
          <w:sz w:val="24"/>
          <w:highlight w:val="none"/>
        </w:rPr>
        <w:t>方案讲解中对专家提出问题的回答情况是否全面、科学、合理。根据回答情况进行评分，回答内容完全符合专家要求的视为合理，合理得2分，部分合理得1分，不合理</w:t>
      </w:r>
      <w:r>
        <w:rPr>
          <w:rFonts w:ascii="仿宋" w:hAnsi="仿宋" w:eastAsia="仿宋" w:cs="宋体"/>
          <w:color w:val="auto"/>
          <w:kern w:val="0"/>
          <w:sz w:val="24"/>
          <w:highlight w:val="none"/>
        </w:rPr>
        <w:t>得</w:t>
      </w:r>
      <w:r>
        <w:rPr>
          <w:rFonts w:hint="eastAsia" w:ascii="仿宋" w:hAnsi="仿宋" w:eastAsia="仿宋" w:cs="宋体"/>
          <w:color w:val="auto"/>
          <w:kern w:val="0"/>
          <w:sz w:val="24"/>
          <w:highlight w:val="none"/>
        </w:rPr>
        <w:t>0分</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最高2分（2分）。</w:t>
      </w:r>
    </w:p>
    <w:p>
      <w:pPr>
        <w:tabs>
          <w:tab w:val="left" w:pos="0"/>
        </w:tabs>
        <w:snapToGrid w:val="0"/>
        <w:spacing w:line="360" w:lineRule="auto"/>
        <w:ind w:firstLine="351" w:firstLineChars="146"/>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（4）组织实施方案（2分）：</w:t>
      </w:r>
    </w:p>
    <w:p>
      <w:pPr>
        <w:tabs>
          <w:tab w:val="left" w:pos="0"/>
        </w:tabs>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投标人组织实施方案的科学性、合理性、规范性和可操作性，包括设备供货、验货、安装调试、系统集成、试运行、测试、调优、系统管理培训、系统运行维护培训等内容，以及组织机构、工作时间进度表、工作程序和步骤、管理和协调方法、关键步骤的思路和要点等，</w:t>
      </w:r>
      <w:r>
        <w:rPr>
          <w:rFonts w:hint="eastAsia" w:ascii="华文仿宋" w:hAnsi="华文仿宋" w:eastAsia="华文仿宋" w:cs="华文仿宋"/>
          <w:color w:val="auto"/>
          <w:kern w:val="0"/>
          <w:sz w:val="24"/>
          <w:highlight w:val="none"/>
        </w:rPr>
        <w:t>合理得2分，部分合理得1分，不合理得0分</w:t>
      </w:r>
      <w:r>
        <w:rPr>
          <w:rFonts w:hint="eastAsia" w:ascii="华文仿宋" w:hAnsi="华文仿宋" w:eastAsia="华文仿宋" w:cs="华文仿宋"/>
          <w:color w:val="auto"/>
          <w:sz w:val="24"/>
          <w:highlight w:val="none"/>
        </w:rPr>
        <w:t>。</w:t>
      </w:r>
    </w:p>
    <w:p>
      <w:pPr>
        <w:tabs>
          <w:tab w:val="left" w:pos="0"/>
        </w:tabs>
        <w:snapToGrid w:val="0"/>
        <w:spacing w:line="360" w:lineRule="auto"/>
        <w:ind w:firstLine="353" w:firstLineChars="147"/>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（5）售后、维护服务方案情况（8分）：</w:t>
      </w:r>
    </w:p>
    <w:p>
      <w:pPr>
        <w:tabs>
          <w:tab w:val="left" w:pos="0"/>
        </w:tabs>
        <w:snapToGrid w:val="0"/>
        <w:spacing w:line="360" w:lineRule="auto"/>
        <w:ind w:firstLine="495" w:firstLineChars="275"/>
        <w:rPr>
          <w:rFonts w:hint="eastAsia" w:ascii="华文仿宋" w:hAnsi="华文仿宋" w:eastAsia="华文仿宋" w:cs="华文仿宋"/>
          <w:color w:val="auto"/>
          <w:sz w:val="18"/>
          <w:szCs w:val="18"/>
          <w:highlight w:val="none"/>
        </w:rPr>
      </w:pPr>
      <w:r>
        <w:rPr>
          <w:rFonts w:hint="eastAsia" w:ascii="华文仿宋" w:hAnsi="华文仿宋" w:eastAsia="华文仿宋" w:cs="华文仿宋"/>
          <w:color w:val="auto"/>
          <w:sz w:val="18"/>
          <w:szCs w:val="18"/>
          <w:highlight w:val="none"/>
        </w:rPr>
        <w:t xml:space="preserve">● </w:t>
      </w:r>
      <w:r>
        <w:rPr>
          <w:rFonts w:hint="eastAsia" w:ascii="华文仿宋" w:hAnsi="华文仿宋" w:eastAsia="华文仿宋" w:cs="华文仿宋"/>
          <w:color w:val="auto"/>
          <w:sz w:val="24"/>
          <w:highlight w:val="none"/>
        </w:rPr>
        <w:t>投标人提供的售后维护机构和人员等情况，是否具有较强的本地化服务能力，</w:t>
      </w:r>
      <w:r>
        <w:rPr>
          <w:rFonts w:hint="eastAsia" w:ascii="华文仿宋" w:hAnsi="华文仿宋" w:eastAsia="华文仿宋" w:cs="华文仿宋"/>
          <w:color w:val="auto"/>
          <w:sz w:val="24"/>
          <w:highlight w:val="none"/>
          <w:lang w:val="zh-CN"/>
        </w:rPr>
        <w:t>在本地是否拥有常驻服务和技术支持机构</w:t>
      </w:r>
      <w:r>
        <w:rPr>
          <w:rFonts w:hint="eastAsia" w:ascii="华文仿宋" w:hAnsi="华文仿宋" w:eastAsia="华文仿宋" w:cs="华文仿宋"/>
          <w:color w:val="auto"/>
          <w:sz w:val="24"/>
          <w:highlight w:val="none"/>
        </w:rPr>
        <w:t>（</w:t>
      </w:r>
      <w:r>
        <w:rPr>
          <w:rFonts w:hint="eastAsia" w:ascii="华文仿宋" w:hAnsi="华文仿宋" w:eastAsia="华文仿宋" w:cs="华文仿宋"/>
          <w:snapToGrid w:val="0"/>
          <w:color w:val="auto"/>
          <w:sz w:val="24"/>
          <w:highlight w:val="none"/>
        </w:rPr>
        <w:t>非本地投标人</w:t>
      </w:r>
      <w:r>
        <w:rPr>
          <w:rFonts w:hint="eastAsia" w:ascii="华文仿宋" w:hAnsi="华文仿宋" w:eastAsia="华文仿宋" w:cs="华文仿宋"/>
          <w:color w:val="auto"/>
          <w:sz w:val="24"/>
          <w:highlight w:val="none"/>
        </w:rPr>
        <w:t>在杭州是否有分公司或办事处或第三方协作单位作为常驻服务和技术支持机构）</w:t>
      </w:r>
      <w:r>
        <w:rPr>
          <w:rFonts w:hint="eastAsia" w:ascii="华文仿宋" w:hAnsi="华文仿宋" w:eastAsia="华文仿宋" w:cs="华文仿宋"/>
          <w:color w:val="auto"/>
          <w:sz w:val="24"/>
          <w:highlight w:val="none"/>
          <w:lang w:val="zh-CN"/>
        </w:rPr>
        <w:t>以及</w:t>
      </w:r>
      <w:r>
        <w:rPr>
          <w:rFonts w:hint="eastAsia" w:ascii="华文仿宋" w:hAnsi="华文仿宋" w:eastAsia="华文仿宋" w:cs="华文仿宋"/>
          <w:color w:val="auto"/>
          <w:sz w:val="24"/>
          <w:highlight w:val="none"/>
        </w:rPr>
        <w:t>较强的专业技术队伍，能提供快速的售后服务响应，满足得2分，不满足得0分（2分）；</w:t>
      </w:r>
    </w:p>
    <w:p>
      <w:pPr>
        <w:tabs>
          <w:tab w:val="left" w:pos="0"/>
        </w:tabs>
        <w:snapToGrid w:val="0"/>
        <w:spacing w:line="360" w:lineRule="auto"/>
        <w:ind w:firstLine="495" w:firstLineChars="275"/>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18"/>
          <w:szCs w:val="18"/>
          <w:highlight w:val="none"/>
        </w:rPr>
        <w:t xml:space="preserve">● </w:t>
      </w:r>
      <w:r>
        <w:rPr>
          <w:rFonts w:hint="eastAsia" w:ascii="华文仿宋" w:hAnsi="华文仿宋" w:eastAsia="华文仿宋" w:cs="华文仿宋"/>
          <w:color w:val="auto"/>
          <w:sz w:val="24"/>
          <w:highlight w:val="none"/>
        </w:rPr>
        <w:t>投标人提供的售后服务方案、维护人员和机构等情况，是否满足采购人的要求，质保期限的长短以及服务承诺的可行性、完整性以及服务承诺落实的保障措施，质保期内外的后续技术支持和维护能力情况等；投标设备的配件、附件、备品备件的准备和保障措施情况，其它有关资料和材料的完整性、合理性和可操作性等情况，满足得2分，不满足得0分（2分）；</w:t>
      </w:r>
    </w:p>
    <w:p>
      <w:pPr>
        <w:tabs>
          <w:tab w:val="left" w:pos="0"/>
        </w:tabs>
        <w:snapToGrid w:val="0"/>
        <w:spacing w:line="360" w:lineRule="auto"/>
        <w:ind w:firstLine="495" w:firstLineChars="275"/>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18"/>
          <w:szCs w:val="18"/>
          <w:highlight w:val="none"/>
        </w:rPr>
        <w:t>●</w:t>
      </w:r>
      <w:r>
        <w:rPr>
          <w:rFonts w:hint="eastAsia" w:ascii="华文仿宋" w:hAnsi="华文仿宋" w:eastAsia="华文仿宋" w:cs="华文仿宋"/>
          <w:color w:val="auto"/>
          <w:sz w:val="24"/>
          <w:highlight w:val="none"/>
        </w:rPr>
        <w:t>在杭州市区设有的备品备件库情况，特别是关键部件的设备的完备情况，是否能提供快速的服务响应，保证到达现场服务响应时间小于1小时的措施，确保</w:t>
      </w:r>
      <w:r>
        <w:rPr>
          <w:rFonts w:hint="eastAsia" w:ascii="华文仿宋" w:hAnsi="华文仿宋" w:eastAsia="华文仿宋" w:cs="华文仿宋"/>
          <w:color w:val="auto"/>
          <w:kern w:val="0"/>
          <w:sz w:val="24"/>
          <w:highlight w:val="none"/>
          <w:lang w:val="zh-CN"/>
        </w:rPr>
        <w:t>采购人系统设备</w:t>
      </w:r>
      <w:r>
        <w:rPr>
          <w:rFonts w:hint="eastAsia" w:ascii="华文仿宋" w:hAnsi="华文仿宋" w:eastAsia="华文仿宋" w:cs="华文仿宋"/>
          <w:color w:val="auto"/>
          <w:spacing w:val="-5"/>
          <w:kern w:val="20"/>
          <w:sz w:val="24"/>
          <w:highlight w:val="none"/>
        </w:rPr>
        <w:t>正常运行</w:t>
      </w:r>
      <w:r>
        <w:rPr>
          <w:rFonts w:hint="eastAsia" w:ascii="华文仿宋" w:hAnsi="华文仿宋" w:eastAsia="华文仿宋" w:cs="华文仿宋"/>
          <w:color w:val="auto"/>
          <w:sz w:val="24"/>
          <w:highlight w:val="none"/>
        </w:rPr>
        <w:t>，满足得2分，不满足得0分（2分）</w:t>
      </w:r>
      <w:r>
        <w:rPr>
          <w:rFonts w:hint="eastAsia" w:ascii="华文仿宋" w:hAnsi="华文仿宋" w:eastAsia="华文仿宋" w:cs="华文仿宋"/>
          <w:color w:val="auto"/>
          <w:kern w:val="0"/>
          <w:sz w:val="24"/>
          <w:highlight w:val="none"/>
          <w:lang w:val="zh-CN"/>
        </w:rPr>
        <w:t>；</w:t>
      </w:r>
    </w:p>
    <w:p>
      <w:pPr>
        <w:snapToGrid w:val="0"/>
        <w:spacing w:line="360" w:lineRule="auto"/>
        <w:ind w:firstLine="540" w:firstLineChars="3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18"/>
          <w:szCs w:val="18"/>
          <w:highlight w:val="none"/>
        </w:rPr>
        <w:t>●</w:t>
      </w:r>
      <w:r>
        <w:rPr>
          <w:rFonts w:hint="eastAsia" w:ascii="华文仿宋" w:hAnsi="华文仿宋" w:eastAsia="华文仿宋" w:cs="华文仿宋"/>
          <w:color w:val="auto"/>
          <w:sz w:val="24"/>
          <w:highlight w:val="none"/>
        </w:rPr>
        <w:t>投标产品原厂质保期限及服务承诺是否满足采购需求，参考产品原厂商的质保服务承诺书，满足得2分，不满足得0分（2分）；</w:t>
      </w:r>
    </w:p>
    <w:p>
      <w:pPr>
        <w:tabs>
          <w:tab w:val="left" w:pos="0"/>
        </w:tabs>
        <w:snapToGrid w:val="0"/>
        <w:spacing w:line="360" w:lineRule="auto"/>
        <w:ind w:firstLine="353" w:firstLineChars="147"/>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（6）项目的投入和项目组人员素质情况（4分）：</w:t>
      </w:r>
    </w:p>
    <w:p>
      <w:pPr>
        <w:snapToGrid w:val="0"/>
        <w:spacing w:line="360" w:lineRule="auto"/>
        <w:ind w:firstLine="450" w:firstLineChars="25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18"/>
          <w:szCs w:val="18"/>
          <w:highlight w:val="none"/>
        </w:rPr>
        <w:t>●</w:t>
      </w:r>
      <w:r>
        <w:rPr>
          <w:rFonts w:hint="eastAsia" w:ascii="华文仿宋" w:hAnsi="华文仿宋" w:eastAsia="华文仿宋" w:cs="华文仿宋"/>
          <w:color w:val="auto"/>
          <w:sz w:val="24"/>
          <w:highlight w:val="none"/>
          <w:lang w:val="zh-CN"/>
        </w:rPr>
        <w:t>是否具有完备的管理组织、项目实施规范和管理制度，是否有完善的质量管理体系，投标人已取得ISO9000质量管理体系认证等，并能有效实施</w:t>
      </w:r>
      <w:r>
        <w:rPr>
          <w:rFonts w:hint="eastAsia" w:ascii="华文仿宋" w:hAnsi="华文仿宋" w:eastAsia="华文仿宋" w:cs="华文仿宋"/>
          <w:color w:val="auto"/>
          <w:sz w:val="24"/>
          <w:highlight w:val="none"/>
        </w:rPr>
        <w:t>（2分）</w:t>
      </w:r>
    </w:p>
    <w:p>
      <w:pPr>
        <w:snapToGrid w:val="0"/>
        <w:spacing w:line="360" w:lineRule="auto"/>
        <w:ind w:firstLine="450" w:firstLineChars="25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18"/>
          <w:szCs w:val="18"/>
          <w:highlight w:val="none"/>
        </w:rPr>
        <w:t>●</w:t>
      </w:r>
      <w:r>
        <w:rPr>
          <w:rFonts w:hint="eastAsia" w:ascii="华文仿宋" w:hAnsi="华文仿宋" w:eastAsia="华文仿宋" w:cs="华文仿宋"/>
          <w:color w:val="auto"/>
          <w:sz w:val="24"/>
          <w:highlight w:val="none"/>
        </w:rPr>
        <w:t>拟担任本项目经理、技术负责人和项目组实施人员的专业素质、技术能力、经验等情况，①数量是否充足（数量满足要求得0.5分，不满足得0分），②配置是否合理等（合理得0.5分，否则不得分），③是否具有同类项目建设经验（有得0.5分，无得0分），④项目经理是否具有调动投标人各项资源能力，确保100%到位所采取的措施情况（满足得0.5分，不满足得0分）；参考项目经理和技术负责人的资质、工作履历、工程实践证明、半年内社保缴纳等情况（参考履历表和相关资料、证书等）（2分）。</w:t>
      </w:r>
    </w:p>
    <w:p>
      <w:pPr>
        <w:tabs>
          <w:tab w:val="left" w:pos="0"/>
        </w:tabs>
        <w:snapToGrid w:val="0"/>
        <w:spacing w:line="360" w:lineRule="auto"/>
        <w:ind w:firstLine="353" w:firstLineChars="147"/>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（7）培训、测试、试运转和验收（2分）：</w:t>
      </w:r>
    </w:p>
    <w:p>
      <w:pPr>
        <w:tabs>
          <w:tab w:val="left" w:pos="6930"/>
        </w:tabs>
        <w:snapToGrid w:val="0"/>
        <w:spacing w:line="360" w:lineRule="auto"/>
        <w:ind w:firstLine="450" w:firstLineChars="25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18"/>
          <w:szCs w:val="18"/>
          <w:highlight w:val="none"/>
        </w:rPr>
        <w:t>●</w:t>
      </w:r>
      <w:r>
        <w:rPr>
          <w:rFonts w:hint="eastAsia" w:ascii="华文仿宋" w:hAnsi="华文仿宋" w:eastAsia="华文仿宋" w:cs="华文仿宋"/>
          <w:color w:val="auto"/>
          <w:sz w:val="24"/>
          <w:highlight w:val="none"/>
        </w:rPr>
        <w:t>投标人提出的①功能测试、②试运行、③验收方案、④培训方案是否完整、科学、合理。</w:t>
      </w:r>
      <w:r>
        <w:rPr>
          <w:rFonts w:hint="eastAsia" w:ascii="华文仿宋" w:hAnsi="华文仿宋" w:eastAsia="华文仿宋" w:cs="华文仿宋"/>
          <w:color w:val="auto"/>
          <w:kern w:val="0"/>
          <w:sz w:val="24"/>
          <w:highlight w:val="none"/>
        </w:rPr>
        <w:t>根据提供的方案内容进行评分，每一项内容完整、措施科学、符合采购人实际视为合理，每项合理得0.5分，不合理得0分，最高得2分。</w:t>
      </w:r>
    </w:p>
    <w:p>
      <w:pPr>
        <w:tabs>
          <w:tab w:val="left" w:pos="0"/>
        </w:tabs>
        <w:snapToGrid w:val="0"/>
        <w:spacing w:line="360" w:lineRule="auto"/>
        <w:ind w:firstLine="353" w:firstLineChars="147"/>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（8）质量保证措施和建设工期情况（1分）：</w:t>
      </w:r>
    </w:p>
    <w:p>
      <w:pPr>
        <w:snapToGrid w:val="0"/>
        <w:spacing w:line="360" w:lineRule="auto"/>
        <w:ind w:firstLine="450" w:firstLineChars="25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18"/>
          <w:szCs w:val="18"/>
          <w:highlight w:val="none"/>
        </w:rPr>
        <w:t xml:space="preserve">● </w:t>
      </w:r>
      <w:r>
        <w:rPr>
          <w:rFonts w:hint="eastAsia" w:ascii="华文仿宋" w:hAnsi="华文仿宋" w:eastAsia="华文仿宋" w:cs="华文仿宋"/>
          <w:color w:val="auto"/>
          <w:sz w:val="24"/>
          <w:highlight w:val="none"/>
        </w:rPr>
        <w:t>投标人按采购人要求有明确的建设质量目标，质量保证措施，并具有详细可行的实施内容等</w:t>
      </w:r>
      <w:r>
        <w:rPr>
          <w:rFonts w:hint="eastAsia" w:ascii="华文仿宋" w:hAnsi="华文仿宋" w:eastAsia="华文仿宋" w:cs="华文仿宋"/>
          <w:color w:val="auto"/>
          <w:kern w:val="0"/>
          <w:sz w:val="24"/>
          <w:highlight w:val="none"/>
        </w:rPr>
        <w:t>（满足得0.5分，不满足得0分）</w:t>
      </w:r>
      <w:r>
        <w:rPr>
          <w:rFonts w:hint="eastAsia" w:ascii="华文仿宋" w:hAnsi="华文仿宋" w:eastAsia="华文仿宋" w:cs="华文仿宋"/>
          <w:color w:val="auto"/>
          <w:sz w:val="24"/>
          <w:highlight w:val="none"/>
        </w:rPr>
        <w:t>（0.5分）；</w:t>
      </w:r>
    </w:p>
    <w:p>
      <w:pPr>
        <w:snapToGrid w:val="0"/>
        <w:spacing w:line="360" w:lineRule="auto"/>
        <w:ind w:firstLine="450" w:firstLineChars="25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18"/>
          <w:szCs w:val="18"/>
          <w:highlight w:val="none"/>
        </w:rPr>
        <w:t xml:space="preserve">● </w:t>
      </w:r>
      <w:r>
        <w:rPr>
          <w:rFonts w:hint="eastAsia" w:ascii="华文仿宋" w:hAnsi="华文仿宋" w:eastAsia="华文仿宋" w:cs="华文仿宋"/>
          <w:color w:val="auto"/>
          <w:sz w:val="24"/>
          <w:highlight w:val="none"/>
        </w:rPr>
        <w:t>投标方案是否提出符合招标文件和采购人要求，按期完成设备供货、系统集成、上线运行、验收等措施</w:t>
      </w:r>
      <w:r>
        <w:rPr>
          <w:rFonts w:hint="eastAsia" w:ascii="华文仿宋" w:hAnsi="华文仿宋" w:eastAsia="华文仿宋" w:cs="华文仿宋"/>
          <w:color w:val="auto"/>
          <w:kern w:val="0"/>
          <w:sz w:val="24"/>
          <w:highlight w:val="none"/>
        </w:rPr>
        <w:t>（满足得0.5分，不满足得0分）</w:t>
      </w:r>
      <w:r>
        <w:rPr>
          <w:rFonts w:hint="eastAsia" w:ascii="华文仿宋" w:hAnsi="华文仿宋" w:eastAsia="华文仿宋" w:cs="华文仿宋"/>
          <w:color w:val="auto"/>
          <w:sz w:val="24"/>
          <w:highlight w:val="none"/>
        </w:rPr>
        <w:t>（0.5分）。</w:t>
      </w:r>
    </w:p>
    <w:p>
      <w:pPr>
        <w:pStyle w:val="754"/>
        <w:snapToGrid w:val="0"/>
        <w:spacing w:before="120" w:line="360" w:lineRule="auto"/>
        <w:ind w:left="0" w:firstLine="360" w:firstLineChars="150"/>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b/>
          <w:color w:val="auto"/>
          <w:kern w:val="2"/>
          <w:sz w:val="24"/>
          <w:szCs w:val="24"/>
          <w:highlight w:val="none"/>
        </w:rPr>
        <w:t>（9）优惠和承诺（1分）：</w:t>
      </w:r>
      <w:r>
        <w:rPr>
          <w:rFonts w:hint="eastAsia" w:ascii="华文仿宋" w:hAnsi="华文仿宋" w:eastAsia="华文仿宋" w:cs="华文仿宋"/>
          <w:color w:val="auto"/>
          <w:sz w:val="24"/>
          <w:highlight w:val="none"/>
        </w:rPr>
        <w:t>投标人承诺免费质保期为3年的，给予0.5分，每承诺增加一年的，给予0.5分，最高得1分。</w:t>
      </w:r>
    </w:p>
    <w:p>
      <w:pPr>
        <w:snapToGrid w:val="0"/>
        <w:spacing w:line="360" w:lineRule="auto"/>
        <w:ind w:left="105" w:leftChars="50" w:firstLine="360" w:firstLineChars="150"/>
        <w:rPr>
          <w:rFonts w:hint="eastAsia" w:ascii="华文仿宋" w:hAnsi="华文仿宋" w:eastAsia="华文仿宋" w:cs="华文仿宋"/>
          <w:color w:val="auto"/>
          <w:sz w:val="24"/>
          <w:highlight w:val="none"/>
        </w:rPr>
      </w:pPr>
      <w:r>
        <w:rPr>
          <w:rFonts w:hint="eastAsia" w:ascii="华文仿宋" w:hAnsi="华文仿宋" w:eastAsia="华文仿宋" w:cs="华文仿宋"/>
          <w:b/>
          <w:color w:val="auto"/>
          <w:sz w:val="24"/>
          <w:highlight w:val="none"/>
        </w:rPr>
        <w:t>（10）投标文件的制作情况（1分）：</w:t>
      </w:r>
      <w:r>
        <w:rPr>
          <w:rFonts w:hint="eastAsia" w:ascii="华文仿宋" w:hAnsi="华文仿宋" w:eastAsia="华文仿宋" w:cs="华文仿宋"/>
          <w:color w:val="auto"/>
          <w:sz w:val="24"/>
          <w:highlight w:val="none"/>
        </w:rPr>
        <w:t>投标方案点对点应答是否详尽、明晰，是否满足采购文件要求，投标文件编制是否完整、格式规范、内容齐全、表述准确、条理清晰，内容无前后矛盾，符合采购文件要求。</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b/>
          <w:bCs/>
          <w:color w:val="auto"/>
          <w:sz w:val="24"/>
          <w:highlight w:val="none"/>
        </w:rPr>
        <w:t>▲</w:t>
      </w:r>
      <w:r>
        <w:rPr>
          <w:rFonts w:hint="eastAsia" w:ascii="华文仿宋" w:hAnsi="华文仿宋" w:eastAsia="华文仿宋" w:cs="华文仿宋"/>
          <w:b/>
          <w:color w:val="auto"/>
          <w:sz w:val="24"/>
          <w:highlight w:val="none"/>
        </w:rPr>
        <w:t>投标人的资质和业绩情况</w:t>
      </w:r>
      <w:r>
        <w:rPr>
          <w:rFonts w:hint="eastAsia" w:ascii="华文仿宋" w:hAnsi="华文仿宋" w:eastAsia="华文仿宋" w:cs="华文仿宋"/>
          <w:b/>
          <w:bCs/>
          <w:color w:val="auto"/>
          <w:sz w:val="24"/>
          <w:highlight w:val="none"/>
        </w:rPr>
        <w:t>（</w:t>
      </w:r>
      <w:r>
        <w:rPr>
          <w:rFonts w:hint="eastAsia" w:ascii="华文仿宋" w:hAnsi="华文仿宋" w:eastAsia="华文仿宋" w:cs="华文仿宋"/>
          <w:b/>
          <w:color w:val="auto"/>
          <w:sz w:val="24"/>
          <w:highlight w:val="none"/>
        </w:rPr>
        <w:t>C=5分）</w:t>
      </w:r>
      <w:r>
        <w:rPr>
          <w:rFonts w:hint="eastAsia" w:ascii="华文仿宋" w:hAnsi="华文仿宋" w:eastAsia="华文仿宋" w:cs="华文仿宋"/>
          <w:b/>
          <w:bCs/>
          <w:color w:val="auto"/>
          <w:sz w:val="24"/>
          <w:highlight w:val="none"/>
        </w:rPr>
        <w:t>：</w:t>
      </w:r>
      <w:r>
        <w:rPr>
          <w:rFonts w:hint="eastAsia" w:ascii="华文仿宋" w:hAnsi="华文仿宋" w:eastAsia="华文仿宋" w:cs="华文仿宋"/>
          <w:color w:val="auto"/>
          <w:sz w:val="24"/>
          <w:highlight w:val="none"/>
        </w:rPr>
        <w:t>主要包含投标人的资质、类似</w:t>
      </w:r>
      <w:r>
        <w:rPr>
          <w:rFonts w:hint="eastAsia" w:ascii="华文仿宋" w:hAnsi="华文仿宋" w:eastAsia="华文仿宋" w:cs="华文仿宋"/>
          <w:color w:val="auto"/>
          <w:kern w:val="28"/>
          <w:sz w:val="24"/>
          <w:highlight w:val="none"/>
        </w:rPr>
        <w:t>项目建设</w:t>
      </w:r>
      <w:r>
        <w:rPr>
          <w:rFonts w:hint="eastAsia" w:ascii="华文仿宋" w:hAnsi="华文仿宋" w:eastAsia="华文仿宋" w:cs="华文仿宋"/>
          <w:color w:val="auto"/>
          <w:sz w:val="24"/>
          <w:highlight w:val="none"/>
        </w:rPr>
        <w:t xml:space="preserve">成功案例等方面的因素。  </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评审要点为：</w:t>
      </w:r>
    </w:p>
    <w:p>
      <w:pPr>
        <w:snapToGrid w:val="0"/>
        <w:spacing w:line="360" w:lineRule="auto"/>
        <w:ind w:firstLine="480" w:firstLineChars="200"/>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（1）投标人基本情况（2分）：</w:t>
      </w:r>
    </w:p>
    <w:p>
      <w:pPr>
        <w:snapToGrid w:val="0"/>
        <w:spacing w:line="360" w:lineRule="auto"/>
        <w:ind w:firstLine="360"/>
        <w:rPr>
          <w:rFonts w:hint="eastAsia" w:ascii="华文仿宋" w:hAnsi="华文仿宋" w:eastAsia="华文仿宋" w:cs="华文仿宋"/>
          <w:bCs/>
          <w:color w:val="auto"/>
          <w:sz w:val="24"/>
          <w:highlight w:val="none"/>
          <w:lang w:val="zh-CN"/>
        </w:rPr>
      </w:pPr>
      <w:r>
        <w:rPr>
          <w:rFonts w:hint="eastAsia" w:ascii="华文仿宋" w:hAnsi="华文仿宋" w:eastAsia="华文仿宋" w:cs="华文仿宋"/>
          <w:bCs/>
          <w:color w:val="auto"/>
          <w:sz w:val="24"/>
          <w:highlight w:val="none"/>
          <w:lang w:val="zh-CN"/>
        </w:rPr>
        <w:t>●投标人已取得省级及以上安全技术防范行业资信等级壹级证书（1分）；</w:t>
      </w:r>
    </w:p>
    <w:p>
      <w:pPr>
        <w:snapToGrid w:val="0"/>
        <w:spacing w:line="360" w:lineRule="auto"/>
        <w:ind w:firstLine="360"/>
        <w:rPr>
          <w:rFonts w:hint="eastAsia" w:ascii="华文仿宋" w:hAnsi="华文仿宋" w:eastAsia="华文仿宋" w:cs="华文仿宋"/>
          <w:bCs/>
          <w:color w:val="auto"/>
          <w:sz w:val="24"/>
          <w:highlight w:val="none"/>
          <w:lang w:val="zh-CN"/>
        </w:rPr>
      </w:pPr>
      <w:r>
        <w:rPr>
          <w:rFonts w:hint="eastAsia" w:ascii="华文仿宋" w:hAnsi="华文仿宋" w:eastAsia="华文仿宋" w:cs="华文仿宋"/>
          <w:bCs/>
          <w:color w:val="auto"/>
          <w:sz w:val="24"/>
          <w:highlight w:val="none"/>
          <w:lang w:val="zh-CN"/>
        </w:rPr>
        <w:t>●投标人已取得计算机系统集成叁级证书（1分）。</w:t>
      </w:r>
    </w:p>
    <w:p>
      <w:pPr>
        <w:snapToGrid w:val="0"/>
        <w:spacing w:line="360" w:lineRule="auto"/>
        <w:ind w:firstLine="466" w:firstLineChars="194"/>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（2）</w:t>
      </w:r>
      <w:r>
        <w:rPr>
          <w:rFonts w:hint="eastAsia" w:ascii="仿宋_GB2312" w:hAnsi="仿宋_GB2312" w:eastAsia="仿宋_GB2312" w:cs="仿宋_GB2312"/>
          <w:b/>
          <w:bCs/>
          <w:sz w:val="24"/>
        </w:rPr>
        <w:t>投标人类似项目建设的案例（</w:t>
      </w:r>
      <w:r>
        <w:rPr>
          <w:rFonts w:hint="eastAsia" w:ascii="仿宋_GB2312" w:hAnsi="仿宋_GB2312" w:eastAsia="仿宋_GB2312" w:cs="仿宋_GB2312"/>
          <w:b/>
          <w:sz w:val="24"/>
        </w:rPr>
        <w:t>3</w:t>
      </w:r>
      <w:r>
        <w:rPr>
          <w:rFonts w:hint="eastAsia" w:ascii="仿宋_GB2312" w:hAnsi="仿宋_GB2312" w:eastAsia="仿宋_GB2312" w:cs="仿宋_GB2312"/>
          <w:b/>
          <w:bCs/>
          <w:sz w:val="24"/>
        </w:rPr>
        <w:t>分）：</w:t>
      </w:r>
      <w:r>
        <w:rPr>
          <w:rFonts w:hint="eastAsia" w:ascii="仿宋_GB2312" w:hAnsi="仿宋_GB2312" w:eastAsia="仿宋_GB2312" w:cs="仿宋_GB2312"/>
          <w:bCs/>
          <w:sz w:val="24"/>
        </w:rPr>
        <w:t>截止响应时间近三年，</w:t>
      </w:r>
      <w:r>
        <w:rPr>
          <w:rFonts w:hint="eastAsia" w:ascii="仿宋_GB2312" w:hAnsi="仿宋_GB2312" w:eastAsia="仿宋_GB2312" w:cs="仿宋_GB2312"/>
          <w:sz w:val="24"/>
        </w:rPr>
        <w:t>投标人承担类似项目实施的成功经验情况。</w:t>
      </w:r>
      <w:r>
        <w:rPr>
          <w:rFonts w:hint="eastAsia" w:ascii="仿宋_GB2312" w:hAnsi="仿宋_GB2312" w:eastAsia="仿宋_GB2312" w:cs="仿宋_GB2312"/>
          <w:sz w:val="24"/>
          <w:lang w:val="zh-CN"/>
        </w:rPr>
        <w:t>结合</w:t>
      </w:r>
      <w:r>
        <w:rPr>
          <w:rFonts w:hint="eastAsia" w:ascii="仿宋_GB2312" w:hAnsi="仿宋_GB2312" w:eastAsia="仿宋_GB2312" w:cs="仿宋_GB2312"/>
          <w:bCs/>
          <w:sz w:val="24"/>
        </w:rPr>
        <w:t>已完成的项目案例和用户反应情况，依照投标人提供的合同或用户验收报告。只提供合同或用户验收报告的案例，每个案例得0.5分，同时提供合同和用户验收报告的案例，每个案例得1分；本项最高得3分。</w:t>
      </w:r>
      <w:r>
        <w:rPr>
          <w:rFonts w:hint="eastAsia" w:ascii="仿宋_GB2312" w:hAnsi="仿宋_GB2312" w:eastAsia="仿宋_GB2312" w:cs="仿宋_GB2312"/>
          <w:sz w:val="24"/>
        </w:rPr>
        <w:t>【</w:t>
      </w:r>
      <w:r>
        <w:rPr>
          <w:rFonts w:hint="eastAsia" w:ascii="仿宋_GB2312" w:hAnsi="仿宋_GB2312" w:eastAsia="仿宋_GB2312" w:cs="仿宋_GB2312"/>
          <w:b/>
          <w:sz w:val="24"/>
        </w:rPr>
        <w:t>原件备查，采购机构在项目评审直至合同签订、履约期间，有权要求投标人出具响应文件中的合同和用户验收报告，予以确认其的真实性和有效性，如出现与事实不符等情况，将根据有关规定以“提供虚假材料谋取中标（成交）”予以处理</w:t>
      </w:r>
      <w:r>
        <w:rPr>
          <w:rFonts w:hint="eastAsia" w:ascii="仿宋_GB2312" w:hAnsi="仿宋_GB2312" w:eastAsia="仿宋_GB2312" w:cs="仿宋_GB2312"/>
          <w:sz w:val="24"/>
        </w:rPr>
        <w:t>】，是否有良好的工作业绩和履约记录</w:t>
      </w:r>
      <w:r>
        <w:rPr>
          <w:rFonts w:hint="eastAsia" w:ascii="仿宋_GB2312" w:hAnsi="仿宋_GB2312" w:eastAsia="仿宋_GB2312" w:cs="仿宋_GB2312"/>
          <w:sz w:val="24"/>
          <w:lang w:val="zh-CN"/>
        </w:rPr>
        <w:t>等情况</w:t>
      </w:r>
      <w:r>
        <w:rPr>
          <w:rFonts w:hint="eastAsia" w:ascii="仿宋_GB2312" w:hAnsi="仿宋_GB2312" w:eastAsia="仿宋_GB2312" w:cs="仿宋_GB2312"/>
          <w:sz w:val="24"/>
        </w:rPr>
        <w:t>；</w:t>
      </w:r>
      <w:r>
        <w:rPr>
          <w:rFonts w:hint="eastAsia" w:ascii="仿宋_GB2312" w:hAnsi="仿宋_GB2312" w:eastAsia="仿宋_GB2312" w:cs="仿宋_GB2312"/>
          <w:b/>
          <w:kern w:val="0"/>
          <w:sz w:val="24"/>
        </w:rPr>
        <w:t>以分包方式履行政府采购合同的，还需提供该项目采购方同意分包的证明材料;</w:t>
      </w:r>
      <w:r>
        <w:rPr>
          <w:rFonts w:hint="eastAsia" w:ascii="仿宋_GB2312" w:hAnsi="仿宋_GB2312" w:eastAsia="仿宋_GB2312" w:cs="仿宋_GB2312"/>
          <w:b/>
          <w:sz w:val="24"/>
        </w:rPr>
        <w:t>如投标人提供的合同复印件等实施项目证明材料与响应主体无关或违规转包分包的，评标委员会将进行扣分直至认定响应无效。</w:t>
      </w:r>
    </w:p>
    <w:p>
      <w:pPr>
        <w:snapToGrid w:val="0"/>
        <w:spacing w:line="360" w:lineRule="auto"/>
        <w:ind w:firstLine="466" w:firstLineChars="194"/>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 综合得分=A+B+C</w:t>
      </w:r>
    </w:p>
    <w:p>
      <w:pPr>
        <w:pStyle w:val="43"/>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b/>
          <w:color w:val="auto"/>
          <w:sz w:val="24"/>
          <w:highlight w:val="none"/>
        </w:rPr>
        <w:t>▲ 减分：投标人的信誉情况（D）：</w:t>
      </w:r>
      <w:r>
        <w:rPr>
          <w:rFonts w:hint="eastAsia" w:ascii="华文仿宋" w:hAnsi="华文仿宋" w:eastAsia="华文仿宋" w:cs="华文仿宋"/>
          <w:color w:val="auto"/>
          <w:kern w:val="0"/>
          <w:sz w:val="24"/>
          <w:highlight w:val="none"/>
        </w:rPr>
        <w:t>政府采购领域中</w:t>
      </w:r>
      <w:r>
        <w:rPr>
          <w:rFonts w:hint="eastAsia" w:ascii="华文仿宋" w:hAnsi="华文仿宋" w:eastAsia="华文仿宋" w:cs="华文仿宋"/>
          <w:color w:val="auto"/>
          <w:sz w:val="24"/>
          <w:highlight w:val="none"/>
        </w:rPr>
        <w:t>投标人在项目招标、投标和合同履约期间是否存在不良行为记录。</w:t>
      </w:r>
    </w:p>
    <w:p>
      <w:pPr>
        <w:spacing w:line="360" w:lineRule="auto"/>
        <w:ind w:firstLine="437" w:firstLineChars="243"/>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18"/>
          <w:szCs w:val="18"/>
          <w:highlight w:val="none"/>
        </w:rPr>
        <w:t>●</w:t>
      </w:r>
      <w:r>
        <w:rPr>
          <w:rFonts w:hint="eastAsia" w:ascii="华文仿宋" w:hAnsi="华文仿宋" w:eastAsia="华文仿宋" w:cs="华文仿宋"/>
          <w:color w:val="auto"/>
          <w:szCs w:val="21"/>
          <w:highlight w:val="none"/>
        </w:rPr>
        <w:t xml:space="preserve"> </w:t>
      </w:r>
      <w:r>
        <w:rPr>
          <w:rFonts w:hint="eastAsia" w:ascii="华文仿宋" w:hAnsi="华文仿宋" w:eastAsia="华文仿宋" w:cs="华文仿宋"/>
          <w:color w:val="auto"/>
          <w:sz w:val="24"/>
          <w:highlight w:val="none"/>
        </w:rPr>
        <w:t>投标人参与本次招标活动前三年内在浙江省范围内政府采购领域中受到不良行为记录处罚的每次扣1分。</w:t>
      </w:r>
    </w:p>
    <w:p>
      <w:pPr>
        <w:spacing w:line="360" w:lineRule="auto"/>
        <w:ind w:firstLine="466" w:firstLineChars="194"/>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 总分=综合得分-D</w:t>
      </w:r>
    </w:p>
    <w:p>
      <w:pPr>
        <w:pStyle w:val="43"/>
        <w:spacing w:line="360" w:lineRule="auto"/>
        <w:ind w:firstLine="470" w:firstLineChars="196"/>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highlight w:val="none"/>
        </w:rPr>
        <w:t>评标委员会根据投标人提供的有效证明材料和采购机构提供的相关数据进行打分。</w:t>
      </w:r>
    </w:p>
    <w:p>
      <w:pPr>
        <w:spacing w:line="360" w:lineRule="auto"/>
        <w:ind w:firstLine="466" w:firstLineChars="194"/>
        <w:rPr>
          <w:rFonts w:hint="eastAsia" w:ascii="仿宋" w:hAnsi="仿宋" w:eastAsia="仿宋" w:cs="仿宋_GB2312"/>
          <w:b/>
          <w:color w:val="auto"/>
          <w:sz w:val="36"/>
          <w:szCs w:val="36"/>
          <w:highlight w:val="none"/>
        </w:rPr>
      </w:pPr>
      <w:r>
        <w:rPr>
          <w:rFonts w:hint="eastAsia" w:ascii="华文仿宋" w:hAnsi="华文仿宋" w:eastAsia="华文仿宋" w:cs="华文仿宋"/>
          <w:b/>
          <w:color w:val="auto"/>
          <w:sz w:val="24"/>
          <w:highlight w:val="none"/>
        </w:rPr>
        <w:t>二、采购机构有权对评标委员会各成员的评分情况和评审意见进行合理性和合规性审查</w:t>
      </w:r>
      <w:r>
        <w:rPr>
          <w:rFonts w:hint="eastAsia" w:ascii="华文仿宋" w:hAnsi="华文仿宋" w:eastAsia="华文仿宋" w:cs="华文仿宋"/>
          <w:color w:val="auto"/>
          <w:sz w:val="24"/>
          <w:highlight w:val="none"/>
        </w:rPr>
        <w:t>，如发现评标委员会成员的评审意见带有明显倾向性，或不按规定程序和标准评审、计分的，评标委员会成员应进行书面澄清和说明；评标委员会成员拒不接受采购机构审查的，采购机构将向同级政府采购监督管理部门报告并予以处理。</w:t>
      </w:r>
      <w:r>
        <w:rPr>
          <w:rFonts w:hint="eastAsia" w:ascii="华文仿宋" w:hAnsi="华文仿宋" w:eastAsia="华文仿宋" w:cs="华文仿宋"/>
          <w:b/>
          <w:color w:val="auto"/>
          <w:sz w:val="36"/>
          <w:szCs w:val="36"/>
          <w:highlight w:val="none"/>
        </w:rPr>
        <w:br w:type="page"/>
      </w:r>
    </w:p>
    <w:p>
      <w:pPr>
        <w:spacing w:line="360" w:lineRule="auto"/>
        <w:ind w:left="720" w:firstLine="723" w:firstLineChars="200"/>
        <w:outlineLvl w:val="0"/>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bookmarkEnd w:id="36"/>
      <w:r>
        <w:rPr>
          <w:rFonts w:hint="eastAsia" w:ascii="仿宋" w:hAnsi="仿宋" w:eastAsia="仿宋" w:cs="仿宋_GB2312"/>
          <w:b/>
          <w:color w:val="auto"/>
          <w:sz w:val="36"/>
          <w:szCs w:val="36"/>
          <w:highlight w:val="none"/>
        </w:rPr>
        <w:t xml:space="preserve"> 拟签订的合同文本</w:t>
      </w:r>
    </w:p>
    <w:p>
      <w:pPr>
        <w:spacing w:line="360" w:lineRule="auto"/>
        <w:rPr>
          <w:rFonts w:hint="eastAsia" w:ascii="仿宋_GB2312" w:hAnsi="楷体" w:eastAsia="仿宋_GB2312"/>
          <w:color w:val="auto"/>
          <w:sz w:val="24"/>
          <w:highlight w:val="none"/>
        </w:rPr>
      </w:pPr>
      <w:bookmarkStart w:id="403" w:name="_GoBack"/>
      <w:bookmarkEnd w:id="403"/>
      <w:bookmarkStart w:id="404" w:name="第五部分"/>
      <w:bookmarkStart w:id="405" w:name="_Toc86217003"/>
    </w:p>
    <w:p>
      <w:pPr>
        <w:spacing w:line="360" w:lineRule="auto"/>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合同编号：</w:t>
      </w:r>
      <w:r>
        <w:rPr>
          <w:rFonts w:hint="eastAsia" w:ascii="仿宋_GB2312" w:hAnsi="楷体" w:eastAsia="仿宋_GB2312"/>
          <w:color w:val="auto"/>
          <w:sz w:val="24"/>
          <w:highlight w:val="none"/>
          <w:u w:val="single"/>
        </w:rPr>
        <w:t xml:space="preserve">           </w:t>
      </w:r>
    </w:p>
    <w:p>
      <w:pPr>
        <w:pStyle w:val="395"/>
        <w:jc w:val="center"/>
        <w:rPr>
          <w:rFonts w:hint="eastAsia" w:ascii="仿宋_GB2312" w:hAnsi="楷体" w:eastAsia="仿宋_GB2312"/>
          <w:b/>
          <w:color w:val="auto"/>
          <w:szCs w:val="24"/>
          <w:highlight w:val="none"/>
        </w:rPr>
      </w:pPr>
      <w:r>
        <w:rPr>
          <w:rFonts w:hint="eastAsia" w:ascii="仿宋_GB2312" w:hAnsi="楷体" w:eastAsia="仿宋_GB2312"/>
          <w:b/>
          <w:color w:val="auto"/>
          <w:szCs w:val="24"/>
          <w:highlight w:val="none"/>
        </w:rPr>
        <w:t>第一部分 合同书</w:t>
      </w:r>
    </w:p>
    <w:p>
      <w:pPr>
        <w:pStyle w:val="395"/>
        <w:rPr>
          <w:rFonts w:hint="eastAsia" w:ascii="仿宋_GB2312" w:hAnsi="楷体" w:eastAsia="仿宋_GB2312"/>
          <w:color w:val="auto"/>
          <w:szCs w:val="24"/>
          <w:highlight w:val="none"/>
        </w:rPr>
      </w:pPr>
    </w:p>
    <w:p>
      <w:pPr>
        <w:pStyle w:val="395"/>
        <w:rPr>
          <w:rFonts w:hint="eastAsia" w:ascii="仿宋_GB2312" w:hAnsi="楷体" w:eastAsia="仿宋_GB2312"/>
          <w:color w:val="auto"/>
          <w:szCs w:val="24"/>
          <w:highlight w:val="none"/>
        </w:rPr>
      </w:pPr>
    </w:p>
    <w:p>
      <w:pPr>
        <w:spacing w:before="120" w:line="360" w:lineRule="auto"/>
        <w:rPr>
          <w:rFonts w:hint="eastAsia" w:ascii="仿宋_GB2312" w:hAnsi="楷体" w:eastAsia="仿宋_GB2312"/>
          <w:color w:val="auto"/>
          <w:sz w:val="24"/>
          <w:highlight w:val="none"/>
        </w:rPr>
      </w:pPr>
    </w:p>
    <w:p>
      <w:pPr>
        <w:spacing w:before="120" w:line="360" w:lineRule="auto"/>
        <w:ind w:left="96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项目名称：</w:t>
      </w:r>
      <w:r>
        <w:rPr>
          <w:rFonts w:hint="eastAsia" w:ascii="仿宋_GB2312" w:hAnsi="楷体" w:eastAsia="仿宋_GB2312"/>
          <w:color w:val="auto"/>
          <w:sz w:val="24"/>
          <w:highlight w:val="none"/>
          <w:u w:val="single"/>
        </w:rPr>
        <w:t xml:space="preserve">                                   </w:t>
      </w:r>
    </w:p>
    <w:p>
      <w:pPr>
        <w:pStyle w:val="716"/>
        <w:spacing w:before="120"/>
        <w:rPr>
          <w:rFonts w:hint="eastAsia" w:hAnsi="楷体"/>
          <w:color w:val="auto"/>
          <w:szCs w:val="24"/>
          <w:highlight w:val="none"/>
        </w:rPr>
      </w:pPr>
    </w:p>
    <w:p>
      <w:pPr>
        <w:pStyle w:val="716"/>
        <w:spacing w:before="120"/>
        <w:rPr>
          <w:rFonts w:hint="eastAsia" w:hAnsi="楷体"/>
          <w:color w:val="auto"/>
          <w:szCs w:val="24"/>
          <w:highlight w:val="none"/>
        </w:rPr>
      </w:pPr>
    </w:p>
    <w:p>
      <w:pPr>
        <w:spacing w:line="360" w:lineRule="auto"/>
        <w:rPr>
          <w:rFonts w:hint="eastAsia" w:ascii="仿宋_GB2312" w:eastAsia="仿宋_GB2312"/>
          <w:color w:val="auto"/>
          <w:sz w:val="24"/>
          <w:highlight w:val="none"/>
        </w:rPr>
      </w:pPr>
    </w:p>
    <w:p>
      <w:pPr>
        <w:spacing w:before="120" w:line="360" w:lineRule="auto"/>
        <w:ind w:left="96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甲方：</w:t>
      </w:r>
      <w:r>
        <w:rPr>
          <w:rFonts w:hint="eastAsia" w:ascii="仿宋_GB2312" w:hAnsi="楷体" w:eastAsia="仿宋_GB2312"/>
          <w:color w:val="auto"/>
          <w:sz w:val="24"/>
          <w:highlight w:val="none"/>
          <w:u w:val="single"/>
        </w:rPr>
        <w:t xml:space="preserve">                                       </w:t>
      </w:r>
    </w:p>
    <w:p>
      <w:pPr>
        <w:spacing w:before="120" w:line="360" w:lineRule="auto"/>
        <w:rPr>
          <w:rFonts w:hint="eastAsia" w:ascii="仿宋_GB2312" w:hAnsi="楷体" w:eastAsia="仿宋_GB2312"/>
          <w:color w:val="auto"/>
          <w:sz w:val="24"/>
          <w:highlight w:val="none"/>
        </w:rPr>
      </w:pPr>
    </w:p>
    <w:p>
      <w:pPr>
        <w:spacing w:before="120" w:line="360" w:lineRule="auto"/>
        <w:ind w:left="96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乙方：</w:t>
      </w:r>
      <w:r>
        <w:rPr>
          <w:rFonts w:hint="eastAsia" w:ascii="仿宋_GB2312" w:hAnsi="楷体" w:eastAsia="仿宋_GB2312"/>
          <w:color w:val="auto"/>
          <w:sz w:val="24"/>
          <w:highlight w:val="none"/>
          <w:u w:val="single"/>
        </w:rPr>
        <w:t xml:space="preserve">                                       </w:t>
      </w:r>
    </w:p>
    <w:p>
      <w:pPr>
        <w:spacing w:before="120" w:line="360" w:lineRule="auto"/>
        <w:rPr>
          <w:rFonts w:hint="eastAsia" w:ascii="仿宋_GB2312" w:hAnsi="楷体" w:eastAsia="仿宋_GB2312"/>
          <w:color w:val="auto"/>
          <w:sz w:val="24"/>
          <w:highlight w:val="none"/>
        </w:rPr>
      </w:pPr>
    </w:p>
    <w:p>
      <w:pPr>
        <w:spacing w:before="120" w:line="360" w:lineRule="auto"/>
        <w:ind w:firstLine="960" w:firstLineChars="4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签订地：</w:t>
      </w:r>
      <w:r>
        <w:rPr>
          <w:rFonts w:hint="eastAsia" w:ascii="仿宋_GB2312" w:hAnsi="楷体" w:eastAsia="仿宋_GB2312"/>
          <w:color w:val="auto"/>
          <w:sz w:val="24"/>
          <w:highlight w:val="none"/>
          <w:u w:val="single"/>
        </w:rPr>
        <w:t xml:space="preserve">                                     </w:t>
      </w:r>
    </w:p>
    <w:p>
      <w:pPr>
        <w:spacing w:before="120" w:line="360" w:lineRule="auto"/>
        <w:rPr>
          <w:rFonts w:hint="eastAsia" w:ascii="仿宋_GB2312" w:hAnsi="楷体" w:eastAsia="仿宋_GB2312"/>
          <w:color w:val="auto"/>
          <w:sz w:val="24"/>
          <w:highlight w:val="none"/>
        </w:rPr>
      </w:pPr>
    </w:p>
    <w:p>
      <w:pPr>
        <w:spacing w:before="120" w:line="360" w:lineRule="auto"/>
        <w:ind w:firstLine="960" w:firstLineChars="4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pPr>
        <w:autoSpaceDE w:val="0"/>
        <w:autoSpaceDN w:val="0"/>
        <w:spacing w:line="360" w:lineRule="auto"/>
        <w:ind w:firstLine="640"/>
        <w:jc w:val="center"/>
        <w:rPr>
          <w:rFonts w:hint="eastAsia" w:ascii="仿宋_GB2312" w:hAnsi="宋体" w:eastAsia="仿宋_GB2312"/>
          <w:color w:val="auto"/>
          <w:sz w:val="24"/>
          <w:highlight w:val="none"/>
        </w:rPr>
        <w:sectPr>
          <w:headerReference r:id="rId14" w:type="default"/>
          <w:footerReference r:id="rId15" w:type="default"/>
          <w:pgSz w:w="11907" w:h="16840"/>
          <w:pgMar w:top="1474" w:right="1814" w:bottom="1474" w:left="1814" w:header="851" w:footer="851" w:gutter="0"/>
          <w:cols w:space="720" w:num="1"/>
          <w:docGrid w:linePitch="462" w:charSpace="0"/>
        </w:sectPr>
      </w:pP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楷体" w:eastAsia="仿宋_GB2312"/>
          <w:color w:val="auto"/>
          <w:sz w:val="24"/>
          <w:highlight w:val="none"/>
          <w:u w:val="single"/>
        </w:rPr>
        <w:t xml:space="preserve">   杭州师范大学   </w:t>
      </w:r>
      <w:r>
        <w:rPr>
          <w:rFonts w:hint="eastAsia" w:ascii="仿宋_GB2312" w:hAnsi="楷体" w:eastAsia="仿宋_GB2312"/>
          <w:color w:val="auto"/>
          <w:sz w:val="24"/>
          <w:highlight w:val="none"/>
        </w:rPr>
        <w:t>以</w:t>
      </w:r>
      <w:r>
        <w:rPr>
          <w:rFonts w:hint="eastAsia" w:ascii="仿宋_GB2312" w:hAnsi="楷体" w:eastAsia="仿宋_GB2312"/>
          <w:color w:val="auto"/>
          <w:sz w:val="24"/>
          <w:highlight w:val="none"/>
          <w:u w:val="single"/>
        </w:rPr>
        <w:t xml:space="preserve">   公开招标  </w:t>
      </w:r>
      <w:r>
        <w:rPr>
          <w:rFonts w:hint="eastAsia" w:ascii="仿宋_GB2312" w:hAnsi="楷体" w:eastAsia="仿宋_GB2312"/>
          <w:color w:val="auto"/>
          <w:sz w:val="24"/>
          <w:highlight w:val="none"/>
        </w:rPr>
        <w:t>对</w:t>
      </w:r>
      <w:r>
        <w:rPr>
          <w:rFonts w:hint="eastAsia" w:ascii="仿宋_GB2312" w:hAnsi="楷体" w:eastAsia="仿宋_GB2312"/>
          <w:color w:val="auto"/>
          <w:sz w:val="24"/>
          <w:highlight w:val="none"/>
          <w:u w:val="single"/>
        </w:rPr>
        <w:t xml:space="preserve">   杭州师范大学仓前校区监控机房存储扩展采购项目  </w:t>
      </w:r>
      <w:r>
        <w:rPr>
          <w:rFonts w:hint="eastAsia" w:ascii="仿宋_GB2312" w:hAnsi="楷体" w:eastAsia="仿宋_GB2312"/>
          <w:color w:val="auto"/>
          <w:sz w:val="24"/>
          <w:highlight w:val="none"/>
        </w:rPr>
        <w:t>进行了采购。经</w:t>
      </w:r>
      <w:r>
        <w:rPr>
          <w:rFonts w:hint="eastAsia" w:ascii="仿宋_GB2312" w:hAnsi="楷体" w:eastAsia="仿宋_GB2312"/>
          <w:color w:val="auto"/>
          <w:sz w:val="24"/>
          <w:highlight w:val="none"/>
          <w:u w:val="single"/>
        </w:rPr>
        <w:t xml:space="preserve">   评标委员会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（中标供应商名称）</w:t>
      </w:r>
      <w:r>
        <w:rPr>
          <w:rFonts w:hint="eastAsia" w:ascii="仿宋_GB2312" w:hAnsi="楷体" w:eastAsia="仿宋_GB2312"/>
          <w:color w:val="auto"/>
          <w:sz w:val="24"/>
          <w:highlight w:val="none"/>
        </w:rPr>
        <w:t>为该项目中标供应商。现于中标通知书发出之日起三十日内，按照采购文件确定的事项签订本合同。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根据《中华人民共和国合同法》、《中华人民共和国政府采购法》等相关法律法规之规定，按照平等、自愿、公平和诚实信用的原则，经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杭州师范大学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（中标供应商名称）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pPr>
        <w:spacing w:line="360" w:lineRule="auto"/>
        <w:ind w:firstLine="482" w:firstLineChars="200"/>
        <w:outlineLvl w:val="0"/>
        <w:rPr>
          <w:rFonts w:hint="eastAsia" w:ascii="仿宋_GB2312" w:hAnsi="楷体" w:eastAsia="仿宋_GB2312"/>
          <w:b/>
          <w:color w:val="auto"/>
          <w:sz w:val="24"/>
          <w:highlight w:val="none"/>
        </w:rPr>
      </w:pPr>
      <w:bookmarkStart w:id="406" w:name="_Toc3029"/>
      <w:bookmarkStart w:id="407" w:name="_Toc2232"/>
      <w:bookmarkStart w:id="408" w:name="_Toc24059"/>
      <w:r>
        <w:rPr>
          <w:rFonts w:hint="eastAsia" w:ascii="仿宋_GB2312" w:hAnsi="楷体" w:eastAsia="仿宋_GB2312"/>
          <w:b/>
          <w:color w:val="auto"/>
          <w:sz w:val="24"/>
          <w:highlight w:val="none"/>
        </w:rPr>
        <w:t>1.1 合同组成部分</w:t>
      </w:r>
      <w:bookmarkEnd w:id="406"/>
      <w:bookmarkEnd w:id="407"/>
      <w:bookmarkEnd w:id="408"/>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投标文件（含澄清或者说明文件）；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pPr>
        <w:spacing w:line="360" w:lineRule="auto"/>
        <w:ind w:firstLine="482" w:firstLineChars="200"/>
        <w:outlineLvl w:val="0"/>
        <w:rPr>
          <w:rFonts w:hint="eastAsia" w:ascii="仿宋_GB2312" w:hAnsi="楷体" w:eastAsia="仿宋_GB2312"/>
          <w:b/>
          <w:color w:val="auto"/>
          <w:sz w:val="24"/>
          <w:highlight w:val="none"/>
        </w:rPr>
      </w:pPr>
      <w:bookmarkStart w:id="409" w:name="_Toc24300"/>
      <w:bookmarkStart w:id="410" w:name="_Toc21295"/>
      <w:bookmarkStart w:id="411" w:name="_Toc27126"/>
      <w:r>
        <w:rPr>
          <w:rFonts w:hint="eastAsia" w:ascii="仿宋_GB2312" w:hAnsi="楷体" w:eastAsia="仿宋_GB2312"/>
          <w:b/>
          <w:color w:val="auto"/>
          <w:sz w:val="24"/>
          <w:highlight w:val="none"/>
        </w:rPr>
        <w:t>1.2 货物</w:t>
      </w:r>
      <w:bookmarkEnd w:id="409"/>
      <w:bookmarkEnd w:id="410"/>
      <w:bookmarkEnd w:id="411"/>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 货物名称：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1.2.2 货物数量：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1.2.3 货物质量：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12" w:name="_Toc23292"/>
      <w:bookmarkStart w:id="413" w:name="_Toc21631"/>
      <w:bookmarkStart w:id="414" w:name="_Toc21551"/>
      <w:r>
        <w:rPr>
          <w:rFonts w:hint="eastAsia" w:ascii="仿宋_GB2312" w:hAnsi="楷体" w:eastAsia="仿宋_GB2312"/>
          <w:b/>
          <w:color w:val="auto"/>
          <w:sz w:val="24"/>
          <w:highlight w:val="none"/>
        </w:rPr>
        <w:t>1.3 价款</w:t>
      </w:r>
      <w:bookmarkEnd w:id="412"/>
      <w:bookmarkEnd w:id="413"/>
      <w:bookmarkEnd w:id="41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14"/>
              <w:spacing w:line="360" w:lineRule="auto"/>
              <w:jc w:val="center"/>
              <w:rPr>
                <w:rFonts w:hint="eastAsia" w:ascii="仿宋_GB2312" w:hAnsi="楷体" w:eastAsia="仿宋_GB2312"/>
                <w:color w:val="auto"/>
                <w:kern w:val="2"/>
                <w:sz w:val="24"/>
                <w:szCs w:val="24"/>
                <w:highlight w:val="none"/>
                <w:lang w:val="en-US" w:eastAsia="zh-CN"/>
              </w:rPr>
            </w:pPr>
            <w:r>
              <w:rPr>
                <w:rFonts w:hint="eastAsia" w:ascii="仿宋_GB2312" w:hAnsi="楷体" w:eastAsia="仿宋_GB2312"/>
                <w:color w:val="auto"/>
                <w:kern w:val="2"/>
                <w:sz w:val="24"/>
                <w:szCs w:val="24"/>
                <w:highlight w:val="none"/>
                <w:lang w:val="en-US" w:eastAsia="zh-CN"/>
              </w:rPr>
              <w:t>序号</w:t>
            </w:r>
          </w:p>
        </w:tc>
        <w:tc>
          <w:tcPr>
            <w:tcW w:w="3402"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r>
              <w:rPr>
                <w:rFonts w:hint="eastAsia" w:ascii="仿宋_GB2312" w:hAnsi="楷体" w:eastAsia="仿宋_GB2312"/>
                <w:color w:val="auto"/>
                <w:kern w:val="2"/>
                <w:sz w:val="24"/>
                <w:szCs w:val="24"/>
                <w:highlight w:val="none"/>
                <w:lang w:val="en-US" w:eastAsia="zh-CN"/>
              </w:rPr>
              <w:t>分项名称</w:t>
            </w:r>
          </w:p>
        </w:tc>
        <w:tc>
          <w:tcPr>
            <w:tcW w:w="2552" w:type="dxa"/>
            <w:noWrap w:val="0"/>
            <w:vAlign w:val="center"/>
          </w:tcPr>
          <w:p>
            <w:pPr>
              <w:pStyle w:val="314"/>
              <w:spacing w:line="360" w:lineRule="auto"/>
              <w:jc w:val="center"/>
              <w:rPr>
                <w:rFonts w:hint="eastAsia" w:ascii="仿宋_GB2312" w:hAnsi="楷体" w:eastAsia="仿宋_GB2312"/>
                <w:color w:val="auto"/>
                <w:kern w:val="2"/>
                <w:sz w:val="24"/>
                <w:szCs w:val="24"/>
                <w:highlight w:val="none"/>
                <w:lang w:val="en-US" w:eastAsia="zh-CN"/>
              </w:rPr>
            </w:pPr>
            <w:r>
              <w:rPr>
                <w:rFonts w:hint="eastAsia" w:ascii="仿宋_GB2312" w:hAnsi="楷体" w:eastAsia="仿宋_GB2312"/>
                <w:color w:val="auto"/>
                <w:kern w:val="2"/>
                <w:sz w:val="24"/>
                <w:szCs w:val="24"/>
                <w:highlight w:val="none"/>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p>
        </w:tc>
        <w:tc>
          <w:tcPr>
            <w:tcW w:w="3402"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p>
        </w:tc>
        <w:tc>
          <w:tcPr>
            <w:tcW w:w="2552"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p>
        </w:tc>
        <w:tc>
          <w:tcPr>
            <w:tcW w:w="3402"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p>
        </w:tc>
        <w:tc>
          <w:tcPr>
            <w:tcW w:w="2552"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p>
        </w:tc>
        <w:tc>
          <w:tcPr>
            <w:tcW w:w="3402"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p>
        </w:tc>
        <w:tc>
          <w:tcPr>
            <w:tcW w:w="2552"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4603" w:type="dxa"/>
            <w:gridSpan w:val="2"/>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r>
              <w:rPr>
                <w:rFonts w:hint="eastAsia" w:ascii="仿宋_GB2312" w:hAnsi="楷体" w:eastAsia="仿宋_GB2312"/>
                <w:color w:val="auto"/>
                <w:kern w:val="2"/>
                <w:sz w:val="24"/>
                <w:szCs w:val="24"/>
                <w:highlight w:val="none"/>
                <w:lang w:val="en-US" w:eastAsia="zh-CN"/>
              </w:rPr>
              <w:t>总价</w:t>
            </w:r>
          </w:p>
        </w:tc>
        <w:tc>
          <w:tcPr>
            <w:tcW w:w="2552" w:type="dxa"/>
            <w:noWrap w:val="0"/>
            <w:vAlign w:val="center"/>
          </w:tcPr>
          <w:p>
            <w:pPr>
              <w:pStyle w:val="314"/>
              <w:spacing w:line="360" w:lineRule="auto"/>
              <w:ind w:firstLine="200"/>
              <w:jc w:val="center"/>
              <w:rPr>
                <w:rFonts w:hint="eastAsia" w:ascii="仿宋_GB2312" w:hAnsi="楷体" w:eastAsia="仿宋_GB2312"/>
                <w:color w:val="auto"/>
                <w:kern w:val="2"/>
                <w:sz w:val="24"/>
                <w:szCs w:val="24"/>
                <w:highlight w:val="none"/>
                <w:lang w:val="en-US" w:eastAsia="zh-CN"/>
              </w:rPr>
            </w:pPr>
          </w:p>
        </w:tc>
      </w:tr>
    </w:tbl>
    <w:p>
      <w:pPr>
        <w:rPr>
          <w:color w:val="auto"/>
          <w:highlight w:val="none"/>
        </w:rPr>
      </w:pPr>
    </w:p>
    <w:p>
      <w:pPr>
        <w:spacing w:line="360" w:lineRule="auto"/>
        <w:ind w:firstLine="482" w:firstLineChars="200"/>
        <w:outlineLvl w:val="0"/>
        <w:rPr>
          <w:rFonts w:hint="eastAsia" w:ascii="仿宋_GB2312" w:hAnsi="楷体" w:eastAsia="仿宋_GB2312"/>
          <w:b/>
          <w:color w:val="auto"/>
          <w:sz w:val="24"/>
          <w:highlight w:val="none"/>
        </w:rPr>
      </w:pPr>
      <w:bookmarkStart w:id="415" w:name="_Toc22618"/>
      <w:bookmarkStart w:id="416" w:name="_Toc1814"/>
      <w:bookmarkStart w:id="417" w:name="_Toc10340"/>
      <w:r>
        <w:rPr>
          <w:rFonts w:hint="eastAsia" w:ascii="仿宋_GB2312" w:hAnsi="楷体" w:eastAsia="仿宋_GB2312"/>
          <w:b/>
          <w:color w:val="auto"/>
          <w:sz w:val="24"/>
          <w:highlight w:val="none"/>
        </w:rPr>
        <w:t>1.4 付款方式和发票开具方式</w:t>
      </w:r>
      <w:bookmarkEnd w:id="415"/>
      <w:bookmarkEnd w:id="416"/>
      <w:bookmarkEnd w:id="417"/>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18" w:name="_Toc2846"/>
      <w:bookmarkStart w:id="419" w:name="_Toc32071"/>
      <w:bookmarkStart w:id="420" w:name="_Toc19304"/>
      <w:r>
        <w:rPr>
          <w:rFonts w:hint="eastAsia" w:ascii="仿宋_GB2312" w:hAnsi="楷体" w:eastAsia="仿宋_GB2312"/>
          <w:b/>
          <w:color w:val="auto"/>
          <w:sz w:val="24"/>
          <w:highlight w:val="none"/>
        </w:rPr>
        <w:t>1.5 货物交付期限、地点和方式</w:t>
      </w:r>
      <w:bookmarkEnd w:id="418"/>
      <w:bookmarkEnd w:id="419"/>
      <w:bookmarkEnd w:id="420"/>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21" w:name="_Toc27250"/>
      <w:bookmarkStart w:id="422" w:name="_Toc21423"/>
      <w:bookmarkStart w:id="423" w:name="_Toc19554"/>
      <w:r>
        <w:rPr>
          <w:rFonts w:hint="eastAsia" w:ascii="仿宋_GB2312" w:hAnsi="楷体" w:eastAsia="仿宋_GB2312"/>
          <w:b/>
          <w:color w:val="auto"/>
          <w:sz w:val="24"/>
          <w:highlight w:val="none"/>
        </w:rPr>
        <w:t>1.6 违约责任</w:t>
      </w:r>
      <w:bookmarkEnd w:id="421"/>
      <w:bookmarkEnd w:id="422"/>
      <w:bookmarkEnd w:id="423"/>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hint="eastAsia" w:ascii="仿宋_GB2312" w:hAnsi="楷体" w:eastAsia="仿宋_GB2312"/>
          <w:b/>
          <w:color w:val="auto"/>
          <w:sz w:val="24"/>
          <w:highlight w:val="none"/>
        </w:rPr>
      </w:pPr>
      <w:bookmarkStart w:id="424" w:name="_Toc16021"/>
      <w:bookmarkStart w:id="425" w:name="_Toc15583"/>
      <w:bookmarkStart w:id="426" w:name="_Toc28375"/>
      <w:r>
        <w:rPr>
          <w:rFonts w:hint="eastAsia" w:ascii="仿宋_GB2312" w:hAnsi="楷体" w:eastAsia="仿宋_GB2312"/>
          <w:b/>
          <w:color w:val="auto"/>
          <w:sz w:val="24"/>
          <w:highlight w:val="none"/>
        </w:rPr>
        <w:t>1.7 合同争议的解决</w:t>
      </w:r>
      <w:bookmarkEnd w:id="424"/>
      <w:bookmarkEnd w:id="425"/>
      <w:bookmarkEnd w:id="42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仲裁委员会依申请仲裁时其现行有效的仲裁规则裁决；</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_GB2312" w:hAnsi="楷体" w:eastAsia="仿宋_GB2312"/>
          <w:color w:val="auto"/>
          <w:sz w:val="24"/>
          <w:highlight w:val="none"/>
        </w:rPr>
        <w:t>人民法院起诉。</w:t>
      </w:r>
    </w:p>
    <w:p>
      <w:pPr>
        <w:spacing w:line="360" w:lineRule="auto"/>
        <w:ind w:firstLine="482" w:firstLineChars="200"/>
        <w:outlineLvl w:val="0"/>
        <w:rPr>
          <w:rFonts w:hint="eastAsia" w:ascii="仿宋_GB2312" w:hAnsi="楷体" w:eastAsia="仿宋_GB2312"/>
          <w:b/>
          <w:color w:val="auto"/>
          <w:sz w:val="24"/>
          <w:highlight w:val="none"/>
        </w:rPr>
      </w:pPr>
      <w:bookmarkStart w:id="427" w:name="_Toc7245"/>
      <w:bookmarkStart w:id="428" w:name="_Toc11173"/>
      <w:bookmarkStart w:id="429" w:name="_Toc15322"/>
      <w:r>
        <w:rPr>
          <w:rFonts w:hint="eastAsia" w:ascii="仿宋_GB2312" w:hAnsi="楷体" w:eastAsia="仿宋_GB2312"/>
          <w:b/>
          <w:color w:val="auto"/>
          <w:sz w:val="24"/>
          <w:highlight w:val="none"/>
        </w:rPr>
        <w:t>1.8 合同生效</w:t>
      </w:r>
      <w:bookmarkEnd w:id="427"/>
      <w:bookmarkEnd w:id="428"/>
      <w:bookmarkEnd w:id="429"/>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本合同自双方当事人盖章或者签字时生效。</w:t>
      </w:r>
    </w:p>
    <w:p>
      <w:pPr>
        <w:autoSpaceDE w:val="0"/>
        <w:autoSpaceDN w:val="0"/>
        <w:spacing w:line="360" w:lineRule="auto"/>
        <w:rPr>
          <w:rFonts w:hint="eastAsia" w:ascii="仿宋_GB2312" w:hAnsi="楷体" w:eastAsia="仿宋_GB2312"/>
          <w:color w:val="auto"/>
          <w:sz w:val="24"/>
          <w:highlight w:val="none"/>
          <w:lang w:val="zh-CN"/>
        </w:rPr>
      </w:pP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b/>
          <w:color w:val="auto"/>
          <w:sz w:val="24"/>
          <w:highlight w:val="none"/>
          <w:lang w:val="zh-CN"/>
        </w:rPr>
        <w:t>甲方</w:t>
      </w:r>
      <w:r>
        <w:rPr>
          <w:rFonts w:hint="eastAsia" w:ascii="仿宋_GB2312" w:hAnsi="楷体" w:eastAsia="仿宋_GB2312"/>
          <w:color w:val="auto"/>
          <w:sz w:val="24"/>
          <w:highlight w:val="none"/>
          <w:lang w:val="zh-CN"/>
        </w:rPr>
        <w:t xml:space="preserve">：                             </w:t>
      </w:r>
      <w:r>
        <w:rPr>
          <w:rFonts w:hint="eastAsia" w:ascii="仿宋_GB2312" w:hAnsi="楷体" w:eastAsia="仿宋_GB2312"/>
          <w:b/>
          <w:color w:val="auto"/>
          <w:sz w:val="24"/>
          <w:highlight w:val="none"/>
          <w:lang w:val="zh-CN"/>
        </w:rPr>
        <w:t xml:space="preserve">      乙方</w:t>
      </w:r>
      <w:r>
        <w:rPr>
          <w:rFonts w:hint="eastAsia" w:ascii="仿宋_GB2312" w:hAnsi="楷体" w:eastAsia="仿宋_GB2312"/>
          <w:color w:val="auto"/>
          <w:sz w:val="24"/>
          <w:highlight w:val="none"/>
          <w:lang w:val="zh-CN"/>
        </w:rPr>
        <w:t>：</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pPr>
        <w:autoSpaceDE w:val="0"/>
        <w:autoSpaceDN w:val="0"/>
        <w:spacing w:line="360" w:lineRule="auto"/>
        <w:rPr>
          <w:rFonts w:hint="eastAsia" w:ascii="仿宋_GB2312" w:hAnsi="楷体" w:eastAsia="仿宋_GB2312"/>
          <w:color w:val="auto"/>
          <w:sz w:val="24"/>
          <w:highlight w:val="none"/>
          <w:lang w:val="zh-CN"/>
        </w:rPr>
      </w:pP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pPr>
        <w:widowControl/>
        <w:spacing w:line="360" w:lineRule="auto"/>
        <w:jc w:val="left"/>
        <w:rPr>
          <w:rFonts w:hint="eastAsia" w:ascii="仿宋_GB2312" w:hAnsi="楷体" w:eastAsia="仿宋_GB2312"/>
          <w:b/>
          <w:color w:val="auto"/>
          <w:sz w:val="24"/>
          <w:highlight w:val="none"/>
        </w:rPr>
      </w:pPr>
      <w:bookmarkStart w:id="430" w:name="_Toc331685783"/>
    </w:p>
    <w:p>
      <w:pPr>
        <w:pStyle w:val="395"/>
        <w:jc w:val="center"/>
        <w:rPr>
          <w:rFonts w:hint="eastAsia" w:ascii="仿宋_GB2312" w:hAnsi="楷体" w:eastAsia="仿宋_GB2312"/>
          <w:b/>
          <w:color w:val="auto"/>
          <w:szCs w:val="24"/>
          <w:highlight w:val="none"/>
        </w:rPr>
      </w:pPr>
      <w:r>
        <w:rPr>
          <w:rFonts w:hint="eastAsia" w:ascii="仿宋_GB2312" w:hAnsi="楷体" w:eastAsia="仿宋_GB2312"/>
          <w:b/>
          <w:color w:val="auto"/>
          <w:szCs w:val="24"/>
          <w:highlight w:val="none"/>
        </w:rPr>
        <w:t>第二部分 合同一般条款</w:t>
      </w:r>
      <w:bookmarkEnd w:id="430"/>
    </w:p>
    <w:p>
      <w:pPr>
        <w:spacing w:line="360" w:lineRule="auto"/>
        <w:ind w:firstLine="482" w:firstLineChars="200"/>
        <w:outlineLvl w:val="0"/>
        <w:rPr>
          <w:rFonts w:hint="eastAsia" w:ascii="仿宋_GB2312" w:hAnsi="楷体" w:eastAsia="仿宋_GB2312"/>
          <w:b/>
          <w:color w:val="auto"/>
          <w:sz w:val="24"/>
          <w:highlight w:val="none"/>
        </w:rPr>
      </w:pPr>
      <w:bookmarkStart w:id="431" w:name="_Ref467378499"/>
      <w:bookmarkStart w:id="432" w:name="_Toc487900349"/>
      <w:bookmarkStart w:id="433" w:name="_Toc19614"/>
      <w:bookmarkStart w:id="434" w:name="_Toc259093669"/>
      <w:bookmarkStart w:id="435" w:name="_Toc16917"/>
      <w:bookmarkStart w:id="436" w:name="_Ref467378463"/>
      <w:bookmarkStart w:id="437" w:name="_Toc28763"/>
      <w:bookmarkStart w:id="438" w:name="_Ref467379094"/>
      <w:bookmarkStart w:id="439" w:name="_Toc279701240"/>
      <w:bookmarkStart w:id="440" w:name="_Ref467379205"/>
      <w:bookmarkStart w:id="441" w:name="_Ref467378404"/>
      <w:bookmarkStart w:id="442" w:name="_Ref467379214"/>
      <w:bookmarkStart w:id="443" w:name="_Ref467379109"/>
      <w:bookmarkStart w:id="444" w:name="_Ref467379195"/>
      <w:bookmarkStart w:id="445" w:name="_Ref467379225"/>
      <w:bookmarkStart w:id="446" w:name="_Ref467379101"/>
      <w:r>
        <w:rPr>
          <w:rFonts w:hint="eastAsia" w:ascii="仿宋_GB2312" w:hAnsi="楷体" w:eastAsia="仿宋_GB2312"/>
          <w:b/>
          <w:color w:val="auto"/>
          <w:sz w:val="24"/>
          <w:highlight w:val="none"/>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“合同价”系指根据合同约定，中标供应商在完全履行合同义务后，采购人应支付给中标供应商的价格。</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_GB2312" w:hAnsi="楷体" w:eastAsia="仿宋_GB2312"/>
          <w:color w:val="auto"/>
          <w:sz w:val="24"/>
          <w:highlight w:val="none"/>
        </w:rPr>
      </w:pPr>
      <w:bookmarkStart w:id="447" w:name="_Ref467378840"/>
      <w:r>
        <w:rPr>
          <w:rFonts w:hint="eastAsia" w:ascii="仿宋_GB2312" w:hAnsi="楷体" w:eastAsia="仿宋_GB2312"/>
          <w:color w:val="auto"/>
          <w:sz w:val="24"/>
          <w:highlight w:val="none"/>
        </w:rPr>
        <w:t>2.1.4 “甲方”系指与中标供应商签署合同的采购人</w:t>
      </w:r>
      <w:bookmarkEnd w:id="447"/>
      <w:r>
        <w:rPr>
          <w:rFonts w:hint="eastAsia" w:ascii="仿宋_GB2312" w:hAnsi="楷体" w:eastAsia="仿宋_GB2312"/>
          <w:color w:val="auto"/>
          <w:sz w:val="24"/>
          <w:highlight w:val="none"/>
        </w:rPr>
        <w:t>；采购人委托采购代理机构代表其与乙方签订合同的，采购人的授权委托书作为合同附件。</w:t>
      </w:r>
    </w:p>
    <w:p>
      <w:pPr>
        <w:spacing w:line="360" w:lineRule="auto"/>
        <w:ind w:firstLine="480" w:firstLineChars="200"/>
        <w:rPr>
          <w:rFonts w:hint="eastAsia" w:ascii="仿宋_GB2312" w:hAnsi="楷体" w:eastAsia="仿宋_GB2312"/>
          <w:color w:val="auto"/>
          <w:sz w:val="24"/>
          <w:highlight w:val="none"/>
        </w:rPr>
      </w:pPr>
      <w:bookmarkStart w:id="448" w:name="_Ref467379400"/>
      <w:r>
        <w:rPr>
          <w:rFonts w:hint="eastAsia" w:ascii="仿宋_GB2312" w:hAnsi="楷体" w:eastAsia="仿宋_GB2312"/>
          <w:color w:val="auto"/>
          <w:sz w:val="24"/>
          <w:highlight w:val="none"/>
        </w:rPr>
        <w:t>2.1.5 “乙方”系指根据合同约定交付货物的中标供应商</w:t>
      </w:r>
      <w:bookmarkEnd w:id="448"/>
      <w:r>
        <w:rPr>
          <w:rFonts w:hint="eastAsia" w:ascii="仿宋_GB2312" w:hAnsi="楷体" w:eastAsia="仿宋_GB2312"/>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color w:val="auto"/>
          <w:sz w:val="24"/>
          <w:highlight w:val="none"/>
        </w:rPr>
      </w:pPr>
      <w:bookmarkStart w:id="449" w:name="_Ref467379436"/>
      <w:r>
        <w:rPr>
          <w:rFonts w:hint="eastAsia" w:ascii="仿宋_GB2312" w:hAnsi="楷体" w:eastAsia="仿宋_GB2312"/>
          <w:color w:val="auto"/>
          <w:sz w:val="24"/>
          <w:highlight w:val="none"/>
        </w:rPr>
        <w:t>2.1.6 “现场”系指合同约定货物将要运至或者安装的地点。</w:t>
      </w:r>
      <w:bookmarkEnd w:id="449"/>
    </w:p>
    <w:p>
      <w:pPr>
        <w:spacing w:line="360" w:lineRule="auto"/>
        <w:ind w:firstLine="482" w:firstLineChars="200"/>
        <w:outlineLvl w:val="0"/>
        <w:rPr>
          <w:rFonts w:hint="eastAsia" w:ascii="仿宋_GB2312" w:hAnsi="楷体" w:eastAsia="仿宋_GB2312"/>
          <w:b/>
          <w:color w:val="auto"/>
          <w:sz w:val="24"/>
          <w:highlight w:val="none"/>
        </w:rPr>
      </w:pPr>
      <w:bookmarkStart w:id="450" w:name="_Toc27635"/>
      <w:bookmarkStart w:id="451" w:name="_Toc487900350"/>
      <w:bookmarkStart w:id="452" w:name="_Toc13336"/>
      <w:bookmarkStart w:id="453" w:name="_Toc32504"/>
      <w:bookmarkStart w:id="454" w:name="_Toc259093670"/>
      <w:bookmarkStart w:id="455" w:name="_Toc279701241"/>
      <w:r>
        <w:rPr>
          <w:rFonts w:hint="eastAsia" w:ascii="仿宋_GB2312" w:hAnsi="楷体" w:eastAsia="仿宋_GB2312"/>
          <w:b/>
          <w:color w:val="auto"/>
          <w:sz w:val="24"/>
          <w:highlight w:val="none"/>
        </w:rPr>
        <w:t>2.2 技术规范</w:t>
      </w:r>
      <w:bookmarkEnd w:id="450"/>
      <w:bookmarkEnd w:id="451"/>
      <w:bookmarkEnd w:id="452"/>
      <w:bookmarkEnd w:id="453"/>
      <w:bookmarkEnd w:id="454"/>
      <w:bookmarkEnd w:id="45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_GB2312" w:hAnsi="楷体" w:eastAsia="仿宋_GB2312"/>
          <w:b/>
          <w:color w:val="auto"/>
          <w:sz w:val="24"/>
          <w:highlight w:val="none"/>
        </w:rPr>
      </w:pPr>
      <w:bookmarkStart w:id="456" w:name="_Toc259093671"/>
      <w:bookmarkStart w:id="457" w:name="_Toc279701242"/>
      <w:bookmarkStart w:id="458" w:name="_Toc487900351"/>
      <w:bookmarkStart w:id="459" w:name="_Toc9829"/>
      <w:bookmarkStart w:id="460" w:name="_Toc31634"/>
      <w:bookmarkStart w:id="461" w:name="_Toc27853"/>
      <w:r>
        <w:rPr>
          <w:rFonts w:hint="eastAsia" w:ascii="仿宋_GB2312" w:hAnsi="楷体" w:eastAsia="仿宋_GB2312"/>
          <w:b/>
          <w:color w:val="auto"/>
          <w:sz w:val="24"/>
          <w:highlight w:val="none"/>
        </w:rPr>
        <w:t>2.3 知识产权</w:t>
      </w:r>
      <w:bookmarkEnd w:id="456"/>
      <w:bookmarkEnd w:id="457"/>
      <w:bookmarkEnd w:id="458"/>
      <w:bookmarkEnd w:id="459"/>
      <w:bookmarkEnd w:id="460"/>
      <w:bookmarkEnd w:id="461"/>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2.3.2具有知识产权的计算机软件等货物的知识产权归属，详见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62" w:name="_Toc4194"/>
      <w:bookmarkStart w:id="463" w:name="_Toc11932"/>
      <w:bookmarkStart w:id="464" w:name="_Toc29149"/>
      <w:r>
        <w:rPr>
          <w:rFonts w:hint="eastAsia" w:ascii="仿宋_GB2312" w:hAnsi="楷体" w:eastAsia="仿宋_GB2312"/>
          <w:b/>
          <w:color w:val="auto"/>
          <w:sz w:val="24"/>
          <w:highlight w:val="none"/>
        </w:rPr>
        <w:t>2.4 包装和装运</w:t>
      </w:r>
      <w:bookmarkEnd w:id="462"/>
      <w:bookmarkEnd w:id="463"/>
      <w:bookmarkEnd w:id="46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装运货物的要求和通知，详见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65" w:name="_Ref467378541"/>
      <w:bookmarkStart w:id="466" w:name="_Toc487900354"/>
      <w:bookmarkStart w:id="467" w:name="_Ref467378591"/>
      <w:bookmarkStart w:id="468" w:name="_Toc279701245"/>
      <w:bookmarkStart w:id="469" w:name="_Toc259093674"/>
      <w:bookmarkStart w:id="470" w:name="_Ref467379536"/>
      <w:bookmarkStart w:id="471" w:name="_Ref467379542"/>
      <w:bookmarkStart w:id="472" w:name="_Ref467379527"/>
      <w:bookmarkStart w:id="473" w:name="_Toc19074"/>
      <w:bookmarkStart w:id="474" w:name="_Toc30272"/>
      <w:bookmarkStart w:id="475" w:name="_Toc26182"/>
      <w:r>
        <w:rPr>
          <w:rFonts w:hint="eastAsia" w:ascii="仿宋_GB2312" w:hAnsi="楷体" w:eastAsia="仿宋_GB2312"/>
          <w:b/>
          <w:color w:val="auto"/>
          <w:sz w:val="24"/>
          <w:highlight w:val="none"/>
        </w:rPr>
        <w:t>2.</w:t>
      </w:r>
      <w:bookmarkEnd w:id="465"/>
      <w:bookmarkEnd w:id="466"/>
      <w:bookmarkEnd w:id="467"/>
      <w:bookmarkEnd w:id="468"/>
      <w:bookmarkEnd w:id="469"/>
      <w:bookmarkEnd w:id="470"/>
      <w:bookmarkEnd w:id="471"/>
      <w:bookmarkEnd w:id="472"/>
      <w:r>
        <w:rPr>
          <w:rFonts w:hint="eastAsia" w:ascii="仿宋_GB2312" w:hAnsi="楷体" w:eastAsia="仿宋_GB2312"/>
          <w:b/>
          <w:color w:val="auto"/>
          <w:sz w:val="24"/>
          <w:highlight w:val="none"/>
        </w:rPr>
        <w:t>5 履约检查和问题反馈</w:t>
      </w:r>
      <w:bookmarkEnd w:id="473"/>
      <w:bookmarkEnd w:id="474"/>
      <w:bookmarkEnd w:id="475"/>
    </w:p>
    <w:p>
      <w:pPr>
        <w:spacing w:line="360" w:lineRule="auto"/>
        <w:ind w:firstLine="480" w:firstLineChars="200"/>
        <w:rPr>
          <w:rFonts w:hint="eastAsia" w:ascii="仿宋_GB2312" w:hAnsi="楷体" w:eastAsia="仿宋_GB2312"/>
          <w:color w:val="auto"/>
          <w:sz w:val="24"/>
          <w:highlight w:val="none"/>
        </w:rPr>
      </w:pPr>
      <w:bookmarkStart w:id="476" w:name="_Ref467379657"/>
      <w:r>
        <w:rPr>
          <w:rFonts w:hint="eastAsia" w:ascii="仿宋_GB2312" w:hAnsi="楷体" w:eastAsia="仿宋_GB2312"/>
          <w:color w:val="auto"/>
          <w:sz w:val="24"/>
          <w:highlight w:val="none"/>
        </w:rPr>
        <w:t>2.5.1</w:t>
      </w:r>
      <w:bookmarkEnd w:id="476"/>
      <w:bookmarkStart w:id="477" w:name="_Toc186431854"/>
      <w:bookmarkStart w:id="478" w:name="_Toc279701247"/>
      <w:bookmarkStart w:id="479" w:name="_Ref467379793"/>
      <w:bookmarkStart w:id="480" w:name="_Ref467379807"/>
      <w:bookmarkStart w:id="481" w:name="_Toc487900357"/>
      <w:bookmarkStart w:id="482" w:name="_Toc259093676"/>
      <w:r>
        <w:rPr>
          <w:rFonts w:hint="eastAsia" w:ascii="仿宋_GB2312" w:hAnsi="楷体" w:eastAsia="仿宋_GB2312"/>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477"/>
      <w:bookmarkStart w:id="483" w:name="_Toc186431855"/>
      <w:r>
        <w:rPr>
          <w:rFonts w:hint="eastAsia" w:ascii="仿宋_GB2312" w:hAnsi="楷体" w:eastAsia="仿宋_GB2312"/>
          <w:color w:val="auto"/>
          <w:sz w:val="24"/>
          <w:highlight w:val="none"/>
        </w:rPr>
        <w:t>。</w:t>
      </w:r>
    </w:p>
    <w:bookmarkEnd w:id="483"/>
    <w:p>
      <w:pPr>
        <w:spacing w:line="360" w:lineRule="auto"/>
        <w:ind w:firstLine="482" w:firstLineChars="200"/>
        <w:outlineLvl w:val="0"/>
        <w:rPr>
          <w:rFonts w:hint="eastAsia" w:ascii="仿宋_GB2312" w:hAnsi="楷体" w:eastAsia="仿宋_GB2312"/>
          <w:b/>
          <w:color w:val="auto"/>
          <w:sz w:val="24"/>
          <w:highlight w:val="none"/>
        </w:rPr>
      </w:pPr>
      <w:bookmarkStart w:id="484" w:name="_Toc28451"/>
      <w:bookmarkStart w:id="485" w:name="_Toc19219"/>
      <w:bookmarkStart w:id="486" w:name="_Toc7836"/>
      <w:r>
        <w:rPr>
          <w:rFonts w:hint="eastAsia" w:ascii="仿宋_GB2312" w:hAnsi="楷体" w:eastAsia="仿宋_GB2312"/>
          <w:b/>
          <w:color w:val="auto"/>
          <w:sz w:val="24"/>
          <w:highlight w:val="none"/>
        </w:rPr>
        <w:t>2.6 结算方式和付款条件</w:t>
      </w:r>
      <w:bookmarkEnd w:id="478"/>
      <w:bookmarkEnd w:id="479"/>
      <w:bookmarkEnd w:id="480"/>
      <w:bookmarkEnd w:id="481"/>
      <w:bookmarkEnd w:id="482"/>
      <w:bookmarkEnd w:id="484"/>
      <w:bookmarkEnd w:id="485"/>
      <w:bookmarkEnd w:id="48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87" w:name="_Toc259093677"/>
      <w:bookmarkStart w:id="488" w:name="_Toc279701248"/>
      <w:bookmarkStart w:id="489" w:name="_Ref467379863"/>
      <w:bookmarkStart w:id="490" w:name="_Toc487900358"/>
      <w:bookmarkStart w:id="491" w:name="_Ref467379852"/>
      <w:bookmarkStart w:id="492" w:name="_Ref467379923"/>
      <w:bookmarkStart w:id="493" w:name="_Toc774"/>
      <w:bookmarkStart w:id="494" w:name="_Toc3225"/>
      <w:bookmarkStart w:id="495" w:name="_Toc16110"/>
      <w:r>
        <w:rPr>
          <w:rFonts w:hint="eastAsia" w:ascii="仿宋_GB2312" w:hAnsi="楷体" w:eastAsia="仿宋_GB2312"/>
          <w:b/>
          <w:color w:val="auto"/>
          <w:sz w:val="24"/>
          <w:highlight w:val="none"/>
        </w:rPr>
        <w:t>2.7 技术资料</w:t>
      </w:r>
      <w:bookmarkEnd w:id="487"/>
      <w:bookmarkEnd w:id="488"/>
      <w:bookmarkEnd w:id="489"/>
      <w:bookmarkEnd w:id="490"/>
      <w:bookmarkEnd w:id="491"/>
      <w:bookmarkEnd w:id="492"/>
      <w:r>
        <w:rPr>
          <w:rFonts w:hint="eastAsia" w:ascii="仿宋_GB2312" w:hAnsi="楷体" w:eastAsia="仿宋_GB2312"/>
          <w:b/>
          <w:color w:val="auto"/>
          <w:sz w:val="24"/>
          <w:highlight w:val="none"/>
        </w:rPr>
        <w:t>和保密义务</w:t>
      </w:r>
      <w:bookmarkEnd w:id="493"/>
      <w:bookmarkEnd w:id="494"/>
      <w:bookmarkEnd w:id="49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_GB2312" w:hAnsi="楷体" w:eastAsia="仿宋_GB2312"/>
          <w:b/>
          <w:color w:val="auto"/>
          <w:sz w:val="24"/>
          <w:highlight w:val="none"/>
        </w:rPr>
      </w:pPr>
      <w:bookmarkStart w:id="496" w:name="_Toc7860"/>
      <w:r>
        <w:rPr>
          <w:rFonts w:hint="eastAsia" w:ascii="仿宋_GB2312" w:hAnsi="楷体" w:eastAsia="仿宋_GB2312"/>
          <w:b/>
          <w:color w:val="auto"/>
          <w:sz w:val="24"/>
          <w:highlight w:val="none"/>
        </w:rPr>
        <w:t>2.8 质量保证</w:t>
      </w:r>
      <w:bookmarkEnd w:id="49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2.8.3</w:t>
      </w:r>
      <w:r>
        <w:rPr>
          <w:rFonts w:ascii="仿宋_GB2312" w:hAnsi="楷体" w:eastAsia="仿宋_GB2312"/>
          <w:color w:val="auto"/>
          <w:sz w:val="24"/>
          <w:highlight w:val="none"/>
        </w:rPr>
        <w:t xml:space="preserve"> </w:t>
      </w:r>
      <w:r>
        <w:rPr>
          <w:rFonts w:hint="eastAsia" w:ascii="仿宋_GB2312" w:hAnsi="楷体" w:eastAsia="仿宋_GB2312"/>
          <w:color w:val="auto"/>
          <w:sz w:val="24"/>
          <w:highlight w:val="none"/>
        </w:rPr>
        <w:t xml:space="preserve">乙方在合同生效后7个工作日内必须向甲方交纳中标总额的 5 </w:t>
      </w:r>
      <w:r>
        <w:rPr>
          <w:rFonts w:ascii="仿宋_GB2312" w:hAnsi="楷体" w:eastAsia="仿宋_GB2312"/>
          <w:color w:val="auto"/>
          <w:sz w:val="24"/>
          <w:highlight w:val="none"/>
        </w:rPr>
        <w:t>%</w:t>
      </w:r>
      <w:r>
        <w:rPr>
          <w:rFonts w:hint="eastAsia" w:ascii="仿宋_GB2312" w:hAnsi="楷体" w:eastAsia="仿宋_GB2312"/>
          <w:color w:val="auto"/>
          <w:sz w:val="24"/>
          <w:highlight w:val="none"/>
        </w:rPr>
        <w:t xml:space="preserve">（计￥ </w:t>
      </w:r>
      <w:r>
        <w:rPr>
          <w:rFonts w:ascii="仿宋_GB2312" w:hAnsi="楷体" w:eastAsia="仿宋_GB2312"/>
          <w:color w:val="auto"/>
          <w:sz w:val="24"/>
          <w:highlight w:val="none"/>
        </w:rPr>
        <w:t xml:space="preserve"> .00</w:t>
      </w:r>
      <w:r>
        <w:rPr>
          <w:rFonts w:hint="eastAsia" w:ascii="仿宋_GB2312" w:hAnsi="楷体" w:eastAsia="仿宋_GB2312"/>
          <w:color w:val="auto"/>
          <w:sz w:val="24"/>
          <w:highlight w:val="none"/>
        </w:rPr>
        <w:t xml:space="preserve"> 元）的质量保证金。质量保证金在仪器设备验收合格后满12个月无发现有质量问题和维护问题，凭乙方开具的正规收据全额无息退还。</w:t>
      </w:r>
    </w:p>
    <w:p>
      <w:pPr>
        <w:spacing w:line="360" w:lineRule="auto"/>
        <w:ind w:firstLine="482" w:firstLineChars="200"/>
        <w:outlineLvl w:val="0"/>
        <w:rPr>
          <w:rFonts w:hint="eastAsia" w:ascii="仿宋_GB2312" w:hAnsi="楷体" w:eastAsia="仿宋_GB2312"/>
          <w:b/>
          <w:color w:val="auto"/>
          <w:sz w:val="24"/>
          <w:highlight w:val="none"/>
        </w:rPr>
      </w:pPr>
      <w:bookmarkStart w:id="497" w:name="_Toc17244"/>
      <w:bookmarkStart w:id="498" w:name="_Toc259093681"/>
      <w:bookmarkStart w:id="499" w:name="_Toc279701252"/>
      <w:bookmarkStart w:id="500" w:name="_Toc487900362"/>
      <w:r>
        <w:rPr>
          <w:rFonts w:hint="eastAsia" w:ascii="仿宋_GB2312" w:hAnsi="楷体" w:eastAsia="仿宋_GB2312"/>
          <w:b/>
          <w:color w:val="auto"/>
          <w:sz w:val="24"/>
          <w:highlight w:val="none"/>
        </w:rPr>
        <w:t>2.9 货物的风险负担</w:t>
      </w:r>
      <w:bookmarkEnd w:id="497"/>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货物或者在途货物或者交付给第一承运人后的货物毁损、灭失的风险负担详见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501" w:name="_Toc14055"/>
      <w:r>
        <w:rPr>
          <w:rFonts w:hint="eastAsia" w:ascii="仿宋_GB2312" w:hAnsi="楷体" w:eastAsia="仿宋_GB2312"/>
          <w:b/>
          <w:color w:val="auto"/>
          <w:sz w:val="24"/>
          <w:highlight w:val="none"/>
        </w:rPr>
        <w:t>2.10 延迟交货</w:t>
      </w:r>
      <w:bookmarkEnd w:id="498"/>
      <w:bookmarkEnd w:id="499"/>
      <w:bookmarkEnd w:id="500"/>
      <w:bookmarkEnd w:id="501"/>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_GB2312" w:hAnsi="楷体" w:eastAsia="仿宋_GB2312"/>
          <w:b/>
          <w:color w:val="auto"/>
          <w:sz w:val="24"/>
          <w:highlight w:val="none"/>
        </w:rPr>
      </w:pPr>
      <w:bookmarkStart w:id="502" w:name="_Toc7502"/>
      <w:bookmarkStart w:id="503" w:name="_Toc259093683"/>
      <w:bookmarkStart w:id="504" w:name="_Ref467378121"/>
      <w:bookmarkStart w:id="505" w:name="_Toc279701254"/>
      <w:bookmarkStart w:id="506" w:name="_Toc487900364"/>
      <w:r>
        <w:rPr>
          <w:rFonts w:hint="eastAsia" w:ascii="仿宋_GB2312" w:hAnsi="楷体" w:eastAsia="仿宋_GB2312"/>
          <w:b/>
          <w:color w:val="auto"/>
          <w:sz w:val="24"/>
          <w:highlight w:val="none"/>
        </w:rPr>
        <w:t>2.11 合同变更</w:t>
      </w:r>
      <w:bookmarkEnd w:id="502"/>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507" w:name="_Toc259093688"/>
      <w:bookmarkStart w:id="508" w:name="_Toc279701259"/>
      <w:bookmarkStart w:id="509" w:name="_Toc487900369"/>
    </w:p>
    <w:p>
      <w:pPr>
        <w:spacing w:line="360" w:lineRule="auto"/>
        <w:ind w:firstLine="482" w:firstLineChars="200"/>
        <w:outlineLvl w:val="0"/>
        <w:rPr>
          <w:rFonts w:hint="eastAsia" w:ascii="仿宋_GB2312" w:hAnsi="楷体" w:eastAsia="仿宋_GB2312"/>
          <w:b/>
          <w:color w:val="auto"/>
          <w:sz w:val="24"/>
          <w:highlight w:val="none"/>
        </w:rPr>
      </w:pPr>
      <w:bookmarkStart w:id="510" w:name="_Toc22955"/>
      <w:bookmarkStart w:id="511" w:name="_Toc15237"/>
      <w:bookmarkStart w:id="512" w:name="_Toc10366"/>
      <w:r>
        <w:rPr>
          <w:rFonts w:hint="eastAsia" w:ascii="仿宋_GB2312" w:hAnsi="楷体" w:eastAsia="仿宋_GB2312"/>
          <w:b/>
          <w:color w:val="auto"/>
          <w:sz w:val="24"/>
          <w:highlight w:val="none"/>
        </w:rPr>
        <w:t>2.12 合同转让</w:t>
      </w:r>
      <w:bookmarkEnd w:id="507"/>
      <w:bookmarkEnd w:id="508"/>
      <w:bookmarkEnd w:id="509"/>
      <w:r>
        <w:rPr>
          <w:rFonts w:hint="eastAsia" w:ascii="仿宋_GB2312" w:hAnsi="楷体" w:eastAsia="仿宋_GB2312"/>
          <w:b/>
          <w:color w:val="auto"/>
          <w:sz w:val="24"/>
          <w:highlight w:val="none"/>
        </w:rPr>
        <w:t>和分包</w:t>
      </w:r>
      <w:bookmarkEnd w:id="510"/>
      <w:bookmarkEnd w:id="511"/>
      <w:bookmarkEnd w:id="512"/>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_GB2312" w:hAnsi="楷体" w:eastAsia="仿宋_GB2312"/>
          <w:b/>
          <w:color w:val="auto"/>
          <w:sz w:val="24"/>
          <w:highlight w:val="none"/>
        </w:rPr>
      </w:pPr>
      <w:bookmarkStart w:id="513" w:name="_Toc13566"/>
      <w:bookmarkStart w:id="514" w:name="_Toc16508"/>
      <w:bookmarkStart w:id="515" w:name="_Toc14066"/>
      <w:r>
        <w:rPr>
          <w:rFonts w:hint="eastAsia" w:ascii="仿宋_GB2312" w:hAnsi="楷体" w:eastAsia="仿宋_GB2312"/>
          <w:b/>
          <w:color w:val="auto"/>
          <w:sz w:val="24"/>
          <w:highlight w:val="none"/>
        </w:rPr>
        <w:t>2.13 不可抗力</w:t>
      </w:r>
      <w:bookmarkEnd w:id="513"/>
      <w:bookmarkEnd w:id="514"/>
      <w:bookmarkEnd w:id="51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 因不可抗力致使不能实现合同目的的，当事人可以解除合同；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pPr>
        <w:spacing w:line="360" w:lineRule="auto"/>
        <w:ind w:firstLine="482" w:firstLineChars="200"/>
        <w:outlineLvl w:val="0"/>
        <w:rPr>
          <w:rFonts w:hint="eastAsia" w:ascii="仿宋_GB2312" w:hAnsi="楷体" w:eastAsia="仿宋_GB2312"/>
          <w:b/>
          <w:color w:val="auto"/>
          <w:sz w:val="24"/>
          <w:highlight w:val="none"/>
        </w:rPr>
      </w:pPr>
      <w:bookmarkStart w:id="516" w:name="_Toc689"/>
      <w:bookmarkStart w:id="517" w:name="_Toc30676"/>
      <w:bookmarkStart w:id="518" w:name="_Toc6969"/>
      <w:bookmarkStart w:id="519" w:name="_Toc279701255"/>
      <w:bookmarkStart w:id="520" w:name="_Toc487900365"/>
      <w:bookmarkStart w:id="521" w:name="_Toc259093684"/>
      <w:r>
        <w:rPr>
          <w:rFonts w:hint="eastAsia" w:ascii="仿宋_GB2312" w:hAnsi="楷体" w:eastAsia="仿宋_GB2312"/>
          <w:b/>
          <w:color w:val="auto"/>
          <w:sz w:val="24"/>
          <w:highlight w:val="none"/>
        </w:rPr>
        <w:t>2.14 税费</w:t>
      </w:r>
      <w:bookmarkEnd w:id="516"/>
      <w:bookmarkEnd w:id="517"/>
      <w:bookmarkEnd w:id="518"/>
      <w:bookmarkEnd w:id="519"/>
      <w:bookmarkEnd w:id="520"/>
      <w:bookmarkEnd w:id="521"/>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w:t>
      </w:r>
    </w:p>
    <w:p>
      <w:pPr>
        <w:spacing w:line="360" w:lineRule="auto"/>
        <w:ind w:firstLine="482" w:firstLineChars="200"/>
        <w:outlineLvl w:val="0"/>
        <w:rPr>
          <w:rFonts w:hint="eastAsia" w:ascii="仿宋_GB2312" w:hAnsi="楷体" w:eastAsia="仿宋_GB2312"/>
          <w:b/>
          <w:color w:val="auto"/>
          <w:sz w:val="24"/>
          <w:highlight w:val="none"/>
        </w:rPr>
      </w:pPr>
      <w:bookmarkStart w:id="522" w:name="_Toc279701258"/>
      <w:bookmarkStart w:id="523" w:name="_Toc487900368"/>
      <w:bookmarkStart w:id="524" w:name="_Toc259093687"/>
      <w:bookmarkStart w:id="525" w:name="_Toc7102"/>
      <w:bookmarkStart w:id="526" w:name="_Toc16959"/>
      <w:bookmarkStart w:id="527" w:name="_Toc8298"/>
      <w:r>
        <w:rPr>
          <w:rFonts w:hint="eastAsia" w:ascii="仿宋_GB2312" w:hAnsi="楷体" w:eastAsia="仿宋_GB2312"/>
          <w:b/>
          <w:color w:val="auto"/>
          <w:sz w:val="24"/>
          <w:highlight w:val="none"/>
        </w:rPr>
        <w:t>2.15 乙方破产</w:t>
      </w:r>
      <w:bookmarkEnd w:id="522"/>
      <w:bookmarkEnd w:id="523"/>
      <w:bookmarkEnd w:id="524"/>
      <w:bookmarkEnd w:id="525"/>
      <w:bookmarkEnd w:id="526"/>
      <w:bookmarkEnd w:id="527"/>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_GB2312" w:hAnsi="楷体" w:eastAsia="仿宋_GB2312"/>
          <w:b/>
          <w:color w:val="auto"/>
          <w:sz w:val="24"/>
          <w:highlight w:val="none"/>
        </w:rPr>
      </w:pPr>
      <w:bookmarkStart w:id="528" w:name="_Toc6134"/>
      <w:bookmarkStart w:id="529" w:name="_Toc29333"/>
      <w:bookmarkStart w:id="530" w:name="_Toc15387"/>
      <w:r>
        <w:rPr>
          <w:rFonts w:hint="eastAsia" w:ascii="仿宋_GB2312" w:hAnsi="楷体" w:eastAsia="仿宋_GB2312"/>
          <w:b/>
          <w:color w:val="auto"/>
          <w:sz w:val="24"/>
          <w:highlight w:val="none"/>
        </w:rPr>
        <w:t>2.16 合同中止、终止</w:t>
      </w:r>
      <w:bookmarkEnd w:id="528"/>
      <w:bookmarkEnd w:id="529"/>
      <w:bookmarkEnd w:id="530"/>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_GB2312" w:hAnsi="楷体" w:eastAsia="仿宋_GB2312"/>
          <w:b/>
          <w:color w:val="auto"/>
          <w:sz w:val="24"/>
          <w:highlight w:val="none"/>
        </w:rPr>
      </w:pPr>
      <w:bookmarkStart w:id="531" w:name="_Toc6596"/>
      <w:bookmarkStart w:id="532" w:name="_Toc14563"/>
      <w:bookmarkStart w:id="533" w:name="_Toc1125"/>
      <w:r>
        <w:rPr>
          <w:rFonts w:hint="eastAsia" w:ascii="仿宋_GB2312" w:hAnsi="楷体" w:eastAsia="仿宋_GB2312"/>
          <w:b/>
          <w:color w:val="auto"/>
          <w:sz w:val="24"/>
          <w:highlight w:val="none"/>
        </w:rPr>
        <w:t>2.17 检验和验收</w:t>
      </w:r>
      <w:bookmarkEnd w:id="531"/>
      <w:bookmarkEnd w:id="532"/>
      <w:bookmarkEnd w:id="533"/>
    </w:p>
    <w:p>
      <w:pPr>
        <w:tabs>
          <w:tab w:val="left" w:pos="360"/>
          <w:tab w:val="left" w:pos="540"/>
          <w:tab w:val="left" w:pos="1080"/>
        </w:tabs>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2.17.1货物交付前，乙方应对货物的质量、数量等方面进行详细、全面的检验，并向甲方出具证明货物符合合同约定的文件；货物交付时，乙方在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503"/>
    <w:bookmarkEnd w:id="504"/>
    <w:bookmarkEnd w:id="505"/>
    <w:bookmarkEnd w:id="506"/>
    <w:p>
      <w:pPr>
        <w:spacing w:line="360" w:lineRule="auto"/>
        <w:ind w:firstLine="482" w:firstLineChars="200"/>
        <w:outlineLvl w:val="0"/>
        <w:rPr>
          <w:rFonts w:hint="eastAsia" w:ascii="仿宋_GB2312" w:hAnsi="楷体" w:eastAsia="仿宋_GB2312"/>
          <w:b/>
          <w:color w:val="auto"/>
          <w:sz w:val="24"/>
          <w:highlight w:val="none"/>
        </w:rPr>
      </w:pPr>
      <w:bookmarkStart w:id="534" w:name="_Toc259093690"/>
      <w:bookmarkStart w:id="535" w:name="_Toc279701261"/>
      <w:bookmarkStart w:id="536" w:name="_Toc487900371"/>
      <w:bookmarkStart w:id="537" w:name="_Toc25182"/>
      <w:bookmarkStart w:id="538" w:name="_Toc19604"/>
      <w:bookmarkStart w:id="539" w:name="_Toc11284"/>
      <w:r>
        <w:rPr>
          <w:rFonts w:hint="eastAsia" w:ascii="仿宋_GB2312" w:hAnsi="楷体" w:eastAsia="仿宋_GB2312"/>
          <w:b/>
          <w:color w:val="auto"/>
          <w:sz w:val="24"/>
          <w:highlight w:val="none"/>
        </w:rPr>
        <w:t>2.18 通知</w:t>
      </w:r>
      <w:bookmarkEnd w:id="534"/>
      <w:bookmarkEnd w:id="535"/>
      <w:bookmarkEnd w:id="536"/>
      <w:r>
        <w:rPr>
          <w:rFonts w:hint="eastAsia" w:ascii="仿宋_GB2312" w:hAnsi="楷体" w:eastAsia="仿宋_GB2312"/>
          <w:b/>
          <w:color w:val="auto"/>
          <w:sz w:val="24"/>
          <w:highlight w:val="none"/>
        </w:rPr>
        <w:t>和送达</w:t>
      </w:r>
      <w:bookmarkEnd w:id="537"/>
      <w:bookmarkEnd w:id="538"/>
      <w:bookmarkEnd w:id="539"/>
    </w:p>
    <w:p>
      <w:pPr>
        <w:spacing w:line="360" w:lineRule="auto"/>
        <w:ind w:firstLine="480" w:firstLineChars="200"/>
        <w:rPr>
          <w:rFonts w:hint="eastAsia" w:ascii="仿宋_GB2312" w:hAnsi="楷体" w:eastAsia="仿宋_GB2312"/>
          <w:color w:val="auto"/>
          <w:sz w:val="24"/>
          <w:highlight w:val="none"/>
        </w:rPr>
      </w:pPr>
      <w:bookmarkStart w:id="540" w:name="_Toc3135"/>
      <w:bookmarkStart w:id="541" w:name="_Toc6698"/>
      <w:bookmarkStart w:id="542" w:name="_Toc487900372"/>
      <w:bookmarkStart w:id="543" w:name="_Toc259093691"/>
      <w:bookmarkStart w:id="544" w:name="_Toc27970126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发出的所有通知、文件、材料，均视为已向对方当事人送达；任何一方变更上述送达方式或者地址的，应于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bookmarkEnd w:id="540"/>
      <w:bookmarkEnd w:id="541"/>
    </w:p>
    <w:p>
      <w:pPr>
        <w:spacing w:line="360" w:lineRule="auto"/>
        <w:ind w:firstLine="480" w:firstLineChars="200"/>
        <w:rPr>
          <w:rFonts w:hint="eastAsia" w:ascii="仿宋_GB2312" w:hAnsi="楷体" w:eastAsia="仿宋_GB2312"/>
          <w:color w:val="auto"/>
          <w:sz w:val="24"/>
          <w:highlight w:val="none"/>
        </w:rPr>
      </w:pPr>
      <w:bookmarkStart w:id="545" w:name="_Toc23128"/>
      <w:bookmarkStart w:id="546"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5"/>
      <w:bookmarkEnd w:id="546"/>
    </w:p>
    <w:p>
      <w:pPr>
        <w:spacing w:line="360" w:lineRule="auto"/>
        <w:ind w:firstLine="482" w:firstLineChars="200"/>
        <w:outlineLvl w:val="0"/>
        <w:rPr>
          <w:rFonts w:hint="eastAsia" w:ascii="仿宋_GB2312" w:hAnsi="楷体" w:eastAsia="仿宋_GB2312"/>
          <w:b/>
          <w:color w:val="auto"/>
          <w:sz w:val="24"/>
          <w:highlight w:val="none"/>
        </w:rPr>
      </w:pPr>
      <w:bookmarkStart w:id="547" w:name="_Toc30599"/>
      <w:bookmarkStart w:id="548" w:name="_Toc18540"/>
      <w:bookmarkStart w:id="549" w:name="_Toc4355"/>
      <w:r>
        <w:rPr>
          <w:rFonts w:hint="eastAsia" w:ascii="仿宋_GB2312" w:hAnsi="楷体" w:eastAsia="仿宋_GB2312"/>
          <w:b/>
          <w:color w:val="auto"/>
          <w:sz w:val="24"/>
          <w:highlight w:val="none"/>
        </w:rPr>
        <w:t>2.19 计量单位</w:t>
      </w:r>
      <w:bookmarkEnd w:id="542"/>
      <w:bookmarkEnd w:id="543"/>
      <w:bookmarkEnd w:id="544"/>
      <w:bookmarkEnd w:id="547"/>
      <w:bookmarkEnd w:id="548"/>
      <w:bookmarkEnd w:id="549"/>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pPr>
        <w:spacing w:line="360" w:lineRule="auto"/>
        <w:ind w:firstLine="482" w:firstLineChars="200"/>
        <w:outlineLvl w:val="0"/>
        <w:rPr>
          <w:rFonts w:hint="eastAsia" w:ascii="仿宋_GB2312" w:hAnsi="楷体" w:eastAsia="仿宋_GB2312"/>
          <w:b/>
          <w:color w:val="auto"/>
          <w:sz w:val="24"/>
          <w:highlight w:val="none"/>
        </w:rPr>
      </w:pPr>
      <w:bookmarkStart w:id="550" w:name="_Toc279701263"/>
      <w:bookmarkStart w:id="551" w:name="_Toc487900373"/>
      <w:bookmarkStart w:id="552" w:name="_Toc12773"/>
      <w:bookmarkStart w:id="553" w:name="_Toc10330"/>
      <w:bookmarkStart w:id="554" w:name="_Toc18567"/>
      <w:bookmarkStart w:id="555" w:name="_Toc259093692"/>
      <w:r>
        <w:rPr>
          <w:rFonts w:hint="eastAsia" w:ascii="仿宋_GB2312" w:hAnsi="楷体" w:eastAsia="仿宋_GB2312"/>
          <w:b/>
          <w:color w:val="auto"/>
          <w:sz w:val="24"/>
          <w:highlight w:val="none"/>
        </w:rPr>
        <w:t>2.20 合同使用的文字和适用的法律</w:t>
      </w:r>
      <w:bookmarkEnd w:id="550"/>
      <w:bookmarkEnd w:id="551"/>
      <w:bookmarkEnd w:id="552"/>
      <w:bookmarkEnd w:id="553"/>
      <w:bookmarkEnd w:id="554"/>
      <w:bookmarkEnd w:id="55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pPr>
        <w:spacing w:line="360" w:lineRule="auto"/>
        <w:ind w:firstLine="482" w:firstLineChars="200"/>
        <w:outlineLvl w:val="0"/>
        <w:rPr>
          <w:rFonts w:hint="eastAsia" w:ascii="仿宋_GB2312" w:hAnsi="楷体" w:eastAsia="仿宋_GB2312"/>
          <w:b/>
          <w:color w:val="auto"/>
          <w:sz w:val="24"/>
          <w:highlight w:val="none"/>
        </w:rPr>
      </w:pPr>
      <w:bookmarkStart w:id="556" w:name="_Toc3148"/>
      <w:bookmarkStart w:id="557" w:name="_Toc279701264"/>
      <w:bookmarkStart w:id="558" w:name="_Toc16673"/>
      <w:bookmarkStart w:id="559" w:name="_Toc259093693"/>
      <w:bookmarkStart w:id="560" w:name="_Toc12004"/>
      <w:bookmarkStart w:id="561" w:name="_Toc487900374"/>
      <w:r>
        <w:rPr>
          <w:rFonts w:hint="eastAsia" w:ascii="仿宋_GB2312" w:hAnsi="楷体" w:eastAsia="仿宋_GB2312"/>
          <w:b/>
          <w:color w:val="auto"/>
          <w:sz w:val="24"/>
          <w:highlight w:val="none"/>
        </w:rPr>
        <w:t>2.21 履约保证金</w:t>
      </w:r>
      <w:bookmarkEnd w:id="556"/>
      <w:bookmarkEnd w:id="557"/>
      <w:bookmarkEnd w:id="558"/>
      <w:bookmarkEnd w:id="559"/>
      <w:bookmarkEnd w:id="560"/>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2.21.1 采购文件要求乙方提交履约保证金的，乙方应按</w:t>
      </w:r>
      <w:r>
        <w:rPr>
          <w:rFonts w:hint="eastAsia" w:ascii="仿宋_GB2312" w:hAnsi="楷体" w:eastAsia="仿宋_GB2312"/>
          <w:color w:val="auto"/>
          <w:sz w:val="24"/>
          <w:highlight w:val="none"/>
          <w:u w:val="single"/>
        </w:rPr>
        <w:t xml:space="preserve"> </w:t>
      </w:r>
      <w:r>
        <w:rPr>
          <w:rFonts w:ascii="仿宋_GB2312" w:hAnsi="楷体" w:eastAsia="仿宋_GB2312"/>
          <w:b/>
          <w:i/>
          <w:color w:val="auto"/>
          <w:sz w:val="24"/>
          <w:highlight w:val="none"/>
          <w:u w:val="single"/>
        </w:rPr>
        <w:t xml:space="preserve">   </w:t>
      </w:r>
      <w:r>
        <w:rPr>
          <w:rFonts w:hint="eastAsia" w:ascii="仿宋_GB2312" w:hAnsi="楷体" w:eastAsia="仿宋_GB2312"/>
          <w:b/>
          <w:i/>
          <w:color w:val="auto"/>
          <w:sz w:val="24"/>
          <w:highlight w:val="none"/>
          <w:u w:val="single"/>
        </w:rPr>
        <w:t>/</w:t>
      </w:r>
      <w:r>
        <w:rPr>
          <w:rFonts w:ascii="仿宋_GB2312" w:hAnsi="楷体" w:eastAsia="仿宋_GB2312"/>
          <w:b/>
          <w:i/>
          <w:color w:val="auto"/>
          <w:sz w:val="24"/>
          <w:highlight w:val="none"/>
          <w:u w:val="single"/>
        </w:rPr>
        <w:t xml:space="preserve">   </w:t>
      </w:r>
      <w:r>
        <w:rPr>
          <w:rFonts w:hint="eastAsia" w:ascii="仿宋_GB2312" w:hAnsi="楷体" w:eastAsia="仿宋_GB2312"/>
          <w:color w:val="auto"/>
          <w:sz w:val="24"/>
          <w:highlight w:val="none"/>
        </w:rPr>
        <w:t>约定的方式，以支票、汇票、本票或者金融机构、担保机构出具的保函等非现金形式，提交不超过合同价10%的履约保证金；</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2.21.2  履约保证金在</w:t>
      </w:r>
      <w:r>
        <w:rPr>
          <w:rFonts w:hint="eastAsia" w:ascii="仿宋_GB2312" w:hAnsi="楷体" w:eastAsia="仿宋_GB2312"/>
          <w:color w:val="auto"/>
          <w:sz w:val="24"/>
          <w:highlight w:val="none"/>
          <w:u w:val="single"/>
        </w:rPr>
        <w:t xml:space="preserve"> </w:t>
      </w:r>
      <w:r>
        <w:rPr>
          <w:rFonts w:ascii="仿宋_GB2312" w:hAnsi="楷体" w:eastAsia="仿宋_GB2312"/>
          <w:b/>
          <w:i/>
          <w:color w:val="auto"/>
          <w:sz w:val="24"/>
          <w:highlight w:val="none"/>
          <w:u w:val="single"/>
        </w:rPr>
        <w:t xml:space="preserve">   </w:t>
      </w:r>
      <w:r>
        <w:rPr>
          <w:rFonts w:hint="eastAsia" w:ascii="仿宋_GB2312" w:hAnsi="楷体" w:eastAsia="仿宋_GB2312"/>
          <w:b/>
          <w:i/>
          <w:color w:val="auto"/>
          <w:sz w:val="24"/>
          <w:highlight w:val="none"/>
          <w:u w:val="single"/>
        </w:rPr>
        <w:t>/</w:t>
      </w:r>
      <w:r>
        <w:rPr>
          <w:rFonts w:ascii="仿宋_GB2312" w:hAnsi="楷体" w:eastAsia="仿宋_GB2312"/>
          <w:b/>
          <w:i/>
          <w:color w:val="auto"/>
          <w:sz w:val="24"/>
          <w:highlight w:val="none"/>
          <w:u w:val="single"/>
        </w:rPr>
        <w:t xml:space="preserve">   </w:t>
      </w:r>
      <w:r>
        <w:rPr>
          <w:rFonts w:hint="eastAsia" w:ascii="仿宋_GB2312" w:hAnsi="楷体" w:eastAsia="仿宋_GB2312"/>
          <w:color w:val="auto"/>
          <w:sz w:val="24"/>
          <w:highlight w:val="none"/>
        </w:rPr>
        <w:t>约定期间内或者货物质量保证期内不予退还或者应完全有效，前述约定期间届满或者货物质量保证期届满之日起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个工作日内，甲方应将履约保证金退还乙方；</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61"/>
    <w:p>
      <w:pPr>
        <w:spacing w:line="360" w:lineRule="auto"/>
        <w:ind w:firstLine="482" w:firstLineChars="200"/>
        <w:outlineLvl w:val="0"/>
        <w:rPr>
          <w:rFonts w:hint="eastAsia" w:ascii="仿宋_GB2312" w:hAnsi="楷体" w:eastAsia="仿宋_GB2312"/>
          <w:b/>
          <w:color w:val="auto"/>
          <w:sz w:val="24"/>
          <w:highlight w:val="none"/>
        </w:rPr>
      </w:pPr>
      <w:bookmarkStart w:id="562" w:name="_Toc14001"/>
      <w:bookmarkStart w:id="563" w:name="_Toc19890"/>
      <w:bookmarkStart w:id="564" w:name="_Toc6885"/>
      <w:r>
        <w:rPr>
          <w:rFonts w:hint="eastAsia" w:ascii="仿宋_GB2312" w:hAnsi="楷体" w:eastAsia="仿宋_GB2312"/>
          <w:b/>
          <w:color w:val="auto"/>
          <w:sz w:val="24"/>
          <w:highlight w:val="none"/>
        </w:rPr>
        <w:t>2.22 合同份数</w:t>
      </w:r>
      <w:bookmarkEnd w:id="562"/>
      <w:bookmarkEnd w:id="563"/>
      <w:bookmarkEnd w:id="56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合同份数按</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规定，每份均具有同等法律效力。</w:t>
      </w:r>
    </w:p>
    <w:p>
      <w:pPr>
        <w:pStyle w:val="395"/>
        <w:jc w:val="center"/>
        <w:rPr>
          <w:rFonts w:hint="eastAsia" w:ascii="仿宋_GB2312" w:hAnsi="楷体" w:eastAsia="仿宋_GB2312"/>
          <w:b/>
          <w:color w:val="auto"/>
          <w:szCs w:val="24"/>
          <w:highlight w:val="none"/>
        </w:rPr>
      </w:pPr>
      <w:r>
        <w:rPr>
          <w:rFonts w:hint="eastAsia" w:ascii="仿宋_GB2312" w:hAnsi="楷体" w:eastAsia="仿宋_GB2312"/>
          <w:color w:val="auto"/>
          <w:szCs w:val="24"/>
          <w:highlight w:val="none"/>
        </w:rPr>
        <w:br w:type="page"/>
      </w:r>
      <w:bookmarkStart w:id="565" w:name="_Toc331685784"/>
      <w:r>
        <w:rPr>
          <w:rFonts w:hint="eastAsia" w:ascii="仿宋_GB2312" w:hAnsi="楷体" w:eastAsia="仿宋_GB2312"/>
          <w:b/>
          <w:color w:val="auto"/>
          <w:szCs w:val="24"/>
          <w:highlight w:val="none"/>
        </w:rPr>
        <w:t>第三部分  合同专用条款</w:t>
      </w:r>
      <w:bookmarkEnd w:id="56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1" w:hRule="atLeast"/>
        </w:trPr>
        <w:tc>
          <w:tcPr>
            <w:tcW w:w="801" w:type="dxa"/>
            <w:tcBorders>
              <w:left w:val="single" w:color="auto" w:sz="4" w:space="0"/>
            </w:tcBorders>
            <w:noWrap w:val="0"/>
            <w:vAlign w:val="center"/>
          </w:tcPr>
          <w:p>
            <w:pPr>
              <w:spacing w:line="560" w:lineRule="exact"/>
              <w:jc w:val="center"/>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99" w:type="dxa"/>
            <w:noWrap w:val="0"/>
            <w:vAlign w:val="center"/>
          </w:tcPr>
          <w:p>
            <w:pPr>
              <w:spacing w:line="560" w:lineRule="exact"/>
              <w:jc w:val="center"/>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88" w:hRule="atLeast"/>
        </w:trPr>
        <w:tc>
          <w:tcPr>
            <w:tcW w:w="801" w:type="dxa"/>
            <w:tcBorders>
              <w:left w:val="single" w:color="auto" w:sz="4" w:space="0"/>
            </w:tcBorders>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2.3.2 </w:t>
            </w:r>
          </w:p>
        </w:tc>
        <w:tc>
          <w:tcPr>
            <w:tcW w:w="8299" w:type="dxa"/>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具有知识产权的计算机软件等货物的知识产权归属 </w:t>
            </w:r>
            <w:r>
              <w:rPr>
                <w:rFonts w:hint="eastAsia" w:ascii="仿宋_GB2312" w:hAnsi="楷体" w:eastAsia="仿宋_GB2312"/>
                <w:color w:val="auto"/>
                <w:sz w:val="24"/>
                <w:highlight w:val="none"/>
                <w:u w:val="single"/>
              </w:rPr>
              <w:t xml:space="preserve"> 采购人</w:t>
            </w:r>
            <w:r>
              <w:rPr>
                <w:rFonts w:hint="eastAsia" w:ascii="仿宋_GB2312" w:hAnsi="楷体" w:eastAsia="仿宋_GB2312"/>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52" w:hRule="atLeast"/>
        </w:trPr>
        <w:tc>
          <w:tcPr>
            <w:tcW w:w="801" w:type="dxa"/>
            <w:tcBorders>
              <w:left w:val="single" w:color="auto" w:sz="4" w:space="0"/>
            </w:tcBorders>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2.4.1 </w:t>
            </w:r>
          </w:p>
        </w:tc>
        <w:tc>
          <w:tcPr>
            <w:tcW w:w="8299" w:type="dxa"/>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52" w:hRule="atLeast"/>
        </w:trPr>
        <w:tc>
          <w:tcPr>
            <w:tcW w:w="801" w:type="dxa"/>
            <w:tcBorders>
              <w:left w:val="single" w:color="auto" w:sz="4" w:space="0"/>
            </w:tcBorders>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w:t>
            </w:r>
          </w:p>
        </w:tc>
        <w:tc>
          <w:tcPr>
            <w:tcW w:w="8299" w:type="dxa"/>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装运货物的要求和通知</w:t>
            </w:r>
            <w:r>
              <w:rPr>
                <w:rFonts w:hint="eastAsia" w:ascii="仿宋_GB2312" w:hAnsi="楷体" w:eastAsia="仿宋_GB2312"/>
                <w:color w:val="auto"/>
                <w:sz w:val="24"/>
                <w:highlight w:val="none"/>
                <w:u w:val="single"/>
              </w:rPr>
              <w:t xml:space="preserve">  按照本行业通用的方式         </w:t>
            </w:r>
            <w:r>
              <w:rPr>
                <w:rFonts w:hint="eastAsia" w:ascii="仿宋_GB2312" w:hAnsi="楷体" w:eastAsia="仿宋_GB2312"/>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52" w:hRule="atLeast"/>
        </w:trPr>
        <w:tc>
          <w:tcPr>
            <w:tcW w:w="801" w:type="dxa"/>
            <w:tcBorders>
              <w:left w:val="single" w:color="auto" w:sz="4" w:space="0"/>
            </w:tcBorders>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b/>
                <w:color w:val="auto"/>
                <w:sz w:val="24"/>
                <w:highlight w:val="none"/>
              </w:rPr>
              <w:t xml:space="preserve">2.6 </w:t>
            </w:r>
          </w:p>
        </w:tc>
        <w:tc>
          <w:tcPr>
            <w:tcW w:w="8299" w:type="dxa"/>
            <w:noWrap w:val="0"/>
            <w:vAlign w:val="center"/>
          </w:tcPr>
          <w:p>
            <w:pPr>
              <w:spacing w:line="360" w:lineRule="auto"/>
              <w:ind w:firstLine="482" w:firstLineChars="200"/>
              <w:rPr>
                <w:rFonts w:hint="eastAsia" w:ascii="仿宋_GB2312" w:hAnsi="楷体" w:eastAsia="仿宋_GB2312"/>
                <w:color w:val="auto"/>
                <w:sz w:val="24"/>
                <w:highlight w:val="none"/>
              </w:rPr>
            </w:pPr>
            <w:r>
              <w:rPr>
                <w:rFonts w:hint="eastAsia" w:ascii="仿宋_GB2312" w:hAnsi="楷体" w:eastAsia="仿宋_GB2312"/>
                <w:b/>
                <w:color w:val="auto"/>
                <w:sz w:val="24"/>
                <w:highlight w:val="none"/>
              </w:rPr>
              <w:t>结算方式和付款条件：</w:t>
            </w:r>
            <w:r>
              <w:rPr>
                <w:rFonts w:hint="eastAsia" w:ascii="仿宋_GB2312" w:hAnsi="楷体" w:eastAsia="仿宋_GB2312"/>
                <w:color w:val="auto"/>
                <w:sz w:val="24"/>
                <w:highlight w:val="none"/>
              </w:rPr>
              <w:t>本次项目合同总价为大写人民币            （￥    元），采用如下付款方式：</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1、乙方按照甲方要求将货物送至各个使用点并安装调试，经验收合格。</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2、乙方向甲方开具符合法律、法规规范及行业要求的真实、有效的增值税普通发票（进口免税产品须提供免表及报关单）。</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3、甲方凭供货发票、验收单、入库单等支付凭证办理相关支付手续，向乙方付清全部合同款。</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4、若单个合同金额超过五十万人民币（含五十万人民币或等值外币），或产品是属于单独为甲方定制、设计开发的项目，经乙方申请甲方可预先支付合同款的30 %（计</w:t>
            </w:r>
            <w:r>
              <w:rPr>
                <w:rFonts w:hint="eastAsia" w:ascii="仿宋_GB2312" w:hAnsi="楷体" w:eastAsia="仿宋_GB2312"/>
                <w:color w:val="auto"/>
                <w:sz w:val="24"/>
                <w:highlight w:val="none"/>
                <w:u w:val="single"/>
              </w:rPr>
              <w:t xml:space="preserve"> </w:t>
            </w:r>
            <w:r>
              <w:rPr>
                <w:rFonts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元）给乙方作为货物的预付款。预付款与合同履行同步进行，预付款支付进程不得影响本合同的履行。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left w:val="single" w:color="auto" w:sz="4" w:space="0"/>
            </w:tcBorders>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b/>
                <w:color w:val="auto"/>
                <w:sz w:val="24"/>
                <w:highlight w:val="none"/>
              </w:rPr>
              <w:t>2.9</w:t>
            </w:r>
          </w:p>
        </w:tc>
        <w:tc>
          <w:tcPr>
            <w:tcW w:w="8299" w:type="dxa"/>
            <w:noWrap w:val="0"/>
            <w:vAlign w:val="center"/>
          </w:tcPr>
          <w:p>
            <w:pPr>
              <w:spacing w:line="560" w:lineRule="exact"/>
              <w:outlineLvl w:val="0"/>
              <w:rPr>
                <w:rFonts w:hint="eastAsia" w:ascii="仿宋_GB2312" w:hAnsi="楷体" w:eastAsia="仿宋_GB2312"/>
                <w:color w:val="auto"/>
                <w:sz w:val="24"/>
                <w:highlight w:val="none"/>
                <w:u w:val="single"/>
              </w:rPr>
            </w:pPr>
            <w:r>
              <w:rPr>
                <w:rFonts w:hint="eastAsia" w:ascii="仿宋_GB2312" w:hAnsi="楷体" w:eastAsia="仿宋_GB2312"/>
                <w:b/>
                <w:color w:val="auto"/>
                <w:sz w:val="24"/>
                <w:highlight w:val="none"/>
              </w:rPr>
              <w:t>货物的风险负担：</w:t>
            </w:r>
            <w:r>
              <w:rPr>
                <w:rFonts w:hint="eastAsia" w:ascii="仿宋_GB2312" w:hAnsi="楷体" w:eastAsia="仿宋_GB2312"/>
                <w:color w:val="auto"/>
                <w:sz w:val="24"/>
                <w:highlight w:val="none"/>
              </w:rPr>
              <w:t>货物或者在途货物或者交付给第一承运人后的货物毁损、灭失的风险负担，全部由乙方承担。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left w:val="single" w:color="auto" w:sz="4" w:space="0"/>
            </w:tcBorders>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w:t>
            </w:r>
          </w:p>
        </w:tc>
        <w:tc>
          <w:tcPr>
            <w:tcW w:w="8299" w:type="dxa"/>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因不可抗力致使合同有变更必要的，双方当事人应在 </w:t>
            </w:r>
            <w:r>
              <w:rPr>
                <w:rFonts w:hint="eastAsia" w:ascii="仿宋_GB2312" w:hAnsi="楷体" w:eastAsia="仿宋_GB2312"/>
                <w:color w:val="auto"/>
                <w:sz w:val="24"/>
                <w:highlight w:val="none"/>
                <w:u w:val="single"/>
              </w:rPr>
              <w:t xml:space="preserve">  15日内</w:t>
            </w:r>
            <w:r>
              <w:rPr>
                <w:rFonts w:hint="eastAsia" w:ascii="仿宋_GB2312" w:hAnsi="楷体" w:eastAsia="仿宋_GB2312"/>
                <w:color w:val="auto"/>
                <w:sz w:val="24"/>
                <w:highlight w:val="none"/>
              </w:rPr>
              <w:t>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52" w:hRule="atLeast"/>
        </w:trPr>
        <w:tc>
          <w:tcPr>
            <w:tcW w:w="801" w:type="dxa"/>
            <w:tcBorders>
              <w:left w:val="single" w:color="auto" w:sz="4" w:space="0"/>
            </w:tcBorders>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w:t>
            </w:r>
          </w:p>
        </w:tc>
        <w:tc>
          <w:tcPr>
            <w:tcW w:w="8299" w:type="dxa"/>
            <w:noWrap w:val="0"/>
            <w:vAlign w:val="center"/>
          </w:tcPr>
          <w:p>
            <w:pPr>
              <w:spacing w:line="560" w:lineRule="exact"/>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受不可抗力影响的一方在不可抗力发生后，应在</w:t>
            </w:r>
            <w:r>
              <w:rPr>
                <w:rFonts w:hint="eastAsia" w:ascii="仿宋_GB2312" w:hAnsi="楷体" w:eastAsia="仿宋_GB2312"/>
                <w:b/>
                <w:i/>
                <w:color w:val="auto"/>
                <w:sz w:val="24"/>
                <w:highlight w:val="none"/>
                <w:u w:val="single"/>
              </w:rPr>
              <w:t xml:space="preserve"> </w:t>
            </w:r>
            <w:r>
              <w:rPr>
                <w:rFonts w:hint="eastAsia" w:ascii="仿宋_GB2312" w:hAnsi="楷体" w:eastAsia="仿宋_GB2312"/>
                <w:color w:val="auto"/>
                <w:sz w:val="24"/>
                <w:highlight w:val="none"/>
                <w:u w:val="single"/>
              </w:rPr>
              <w:t xml:space="preserve"> 15日内</w:t>
            </w:r>
            <w:r>
              <w:rPr>
                <w:rFonts w:hint="eastAsia" w:ascii="仿宋_GB2312" w:hAnsi="楷体" w:eastAsia="仿宋_GB2312"/>
                <w:color w:val="auto"/>
                <w:sz w:val="24"/>
                <w:highlight w:val="none"/>
              </w:rPr>
              <w:t>以书面形式通知对方当事人，并在</w:t>
            </w:r>
            <w:r>
              <w:rPr>
                <w:rFonts w:hint="eastAsia" w:ascii="仿宋_GB2312" w:hAnsi="楷体" w:eastAsia="仿宋_GB2312"/>
                <w:b/>
                <w:i/>
                <w:color w:val="auto"/>
                <w:sz w:val="24"/>
                <w:highlight w:val="none"/>
                <w:u w:val="single"/>
              </w:rPr>
              <w:t xml:space="preserve"> </w:t>
            </w:r>
            <w:r>
              <w:rPr>
                <w:rFonts w:hint="eastAsia" w:ascii="仿宋_GB2312" w:hAnsi="楷体" w:eastAsia="仿宋_GB2312"/>
                <w:color w:val="auto"/>
                <w:sz w:val="24"/>
                <w:highlight w:val="none"/>
                <w:u w:val="single"/>
              </w:rPr>
              <w:t xml:space="preserve"> 3日内</w:t>
            </w:r>
            <w:r>
              <w:rPr>
                <w:rFonts w:hint="eastAsia" w:ascii="仿宋_GB2312" w:hAnsi="楷体" w:eastAsia="仿宋_GB2312"/>
                <w:color w:val="auto"/>
                <w:sz w:val="24"/>
                <w:highlight w:val="none"/>
              </w:rPr>
              <w:t>，将有关部门出具的证明文件送达对方当事人。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left w:val="single" w:color="auto" w:sz="4" w:space="0"/>
            </w:tcBorders>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w:t>
            </w:r>
          </w:p>
        </w:tc>
        <w:tc>
          <w:tcPr>
            <w:tcW w:w="8299" w:type="dxa"/>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货物交付前，乙方应对货物的质量、数量等方面进行详细、全面的检验，并向甲方出具证明货物符合合同约定的文件；货物交付时，乙方</w:t>
            </w:r>
            <w:r>
              <w:rPr>
                <w:rFonts w:hint="eastAsia" w:ascii="仿宋_GB2312" w:hAnsi="楷体" w:eastAsia="仿宋_GB2312"/>
                <w:color w:val="auto"/>
                <w:sz w:val="24"/>
                <w:highlight w:val="none"/>
                <w:u w:val="single"/>
              </w:rPr>
              <w:t>15日内</w:t>
            </w:r>
            <w:r>
              <w:rPr>
                <w:rFonts w:hint="eastAsia" w:ascii="仿宋_GB2312" w:hAnsi="楷体" w:eastAsia="仿宋_GB2312"/>
                <w:color w:val="auto"/>
                <w:sz w:val="24"/>
                <w:highlight w:val="none"/>
              </w:rPr>
              <w:t>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left w:val="single" w:color="auto" w:sz="4" w:space="0"/>
            </w:tcBorders>
            <w:noWrap w:val="0"/>
            <w:vAlign w:val="center"/>
          </w:tcPr>
          <w:p>
            <w:pPr>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w:t>
            </w:r>
          </w:p>
        </w:tc>
        <w:tc>
          <w:tcPr>
            <w:tcW w:w="8299" w:type="dxa"/>
            <w:noWrap w:val="0"/>
            <w:vAlign w:val="center"/>
          </w:tcPr>
          <w:p>
            <w:pPr>
              <w:tabs>
                <w:tab w:val="left" w:pos="360"/>
                <w:tab w:val="left" w:pos="540"/>
                <w:tab w:val="left" w:pos="1080"/>
              </w:tabs>
              <w:spacing w:line="560" w:lineRule="exac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检验和验收标准、程序等具体内容以及前述验收书的效力详见</w:t>
            </w:r>
            <w:r>
              <w:rPr>
                <w:rFonts w:hint="eastAsia" w:ascii="仿宋_GB2312" w:hAnsi="楷体" w:eastAsia="仿宋_GB2312"/>
                <w:color w:val="auto"/>
                <w:sz w:val="24"/>
                <w:highlight w:val="none"/>
                <w:u w:val="single"/>
              </w:rPr>
              <w:t xml:space="preserve">采购需求 </w:t>
            </w:r>
            <w:r>
              <w:rPr>
                <w:rFonts w:hint="eastAsia" w:ascii="仿宋_GB2312" w:hAnsi="楷体" w:eastAsia="仿宋_GB2312"/>
                <w:i/>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default" w:ascii="仿宋_GB2312" w:hAnsi="楷体" w:eastAsia="仿宋_GB2312"/>
                <w:color w:val="auto"/>
                <w:sz w:val="24"/>
                <w:highlight w:val="none"/>
                <w:lang w:val="en-US" w:eastAsia="zh-CN"/>
              </w:rPr>
            </w:pPr>
            <w:r>
              <w:rPr>
                <w:rFonts w:hint="eastAsia" w:ascii="仿宋_GB2312" w:hAnsi="楷体" w:eastAsia="仿宋_GB2312"/>
                <w:b/>
                <w:color w:val="auto"/>
                <w:sz w:val="24"/>
                <w:highlight w:val="none"/>
              </w:rPr>
              <w:t>2.</w:t>
            </w:r>
            <w:r>
              <w:rPr>
                <w:rFonts w:hint="eastAsia" w:ascii="仿宋_GB2312" w:hAnsi="楷体" w:eastAsia="仿宋_GB2312"/>
                <w:b/>
                <w:color w:val="auto"/>
                <w:sz w:val="24"/>
                <w:highlight w:val="none"/>
                <w:lang w:val="en-US" w:eastAsia="zh-CN"/>
              </w:rPr>
              <w:t>2</w:t>
            </w:r>
            <w:r>
              <w:rPr>
                <w:rFonts w:hint="eastAsia" w:ascii="仿宋_GB2312" w:hAnsi="楷体" w:eastAsia="仿宋_GB2312"/>
                <w:b/>
                <w:color w:val="auto"/>
                <w:sz w:val="24"/>
                <w:highlight w:val="none"/>
                <w:lang w:val="en-US" w:eastAsia="zh-CN"/>
              </w:rPr>
              <w:t>2</w:t>
            </w:r>
          </w:p>
        </w:tc>
        <w:tc>
          <w:tcPr>
            <w:tcW w:w="829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ind w:firstLine="480" w:firstLineChars="200"/>
              <w:rPr>
                <w:rFonts w:hint="eastAsia" w:ascii="仿宋_GB2312" w:hAnsi="楷体" w:eastAsia="仿宋_GB2312"/>
                <w:color w:val="auto"/>
                <w:sz w:val="24"/>
                <w:highlight w:val="none"/>
              </w:rPr>
            </w:pPr>
            <w:r>
              <w:rPr>
                <w:rFonts w:hint="eastAsia" w:ascii="仿宋_GB2312" w:hAnsi="仿宋_GB2312" w:eastAsia="仿宋_GB2312" w:cs="仿宋_GB2312"/>
                <w:color w:val="auto"/>
                <w:sz w:val="24"/>
                <w:highlight w:val="none"/>
              </w:rPr>
              <w:t>本合同一式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份，甲方执</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份，乙方执</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w:t>
            </w:r>
            <w:r>
              <w:rPr>
                <w:rFonts w:hint="eastAsia" w:ascii="仿宋_GB2312" w:hAnsi="楷体" w:eastAsia="仿宋_GB2312"/>
                <w:color w:val="auto"/>
                <w:sz w:val="24"/>
                <w:highlight w:val="none"/>
              </w:rPr>
              <w:t>，每份均具有同等法律效力。</w:t>
            </w:r>
          </w:p>
        </w:tc>
      </w:tr>
    </w:tbl>
    <w:p>
      <w:pPr>
        <w:spacing w:line="360" w:lineRule="auto"/>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b/>
          <w:color w:val="auto"/>
          <w:sz w:val="24"/>
          <w:highlight w:val="none"/>
        </w:rPr>
      </w:pPr>
    </w:p>
    <w:p>
      <w:pPr>
        <w:snapToGrid w:val="0"/>
        <w:spacing w:line="360" w:lineRule="auto"/>
        <w:jc w:val="cente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第六部分</w:t>
      </w:r>
      <w:bookmarkEnd w:id="404"/>
      <w:r>
        <w:rPr>
          <w:rFonts w:hint="eastAsia" w:ascii="仿宋" w:hAnsi="仿宋" w:eastAsia="仿宋" w:cs="仿宋_GB2312"/>
          <w:b/>
          <w:color w:val="auto"/>
          <w:sz w:val="36"/>
          <w:szCs w:val="20"/>
          <w:highlight w:val="none"/>
        </w:rPr>
        <w:t xml:space="preserve"> </w:t>
      </w:r>
      <w:bookmarkEnd w:id="405"/>
      <w:r>
        <w:rPr>
          <w:rFonts w:hint="eastAsia" w:ascii="仿宋" w:hAnsi="仿宋" w:eastAsia="仿宋" w:cs="仿宋_GB2312"/>
          <w:b/>
          <w:color w:val="auto"/>
          <w:sz w:val="36"/>
          <w:szCs w:val="20"/>
          <w:highlight w:val="none"/>
        </w:rPr>
        <w:t>应提交的有关格式范例</w:t>
      </w:r>
    </w:p>
    <w:p>
      <w:pPr>
        <w:spacing w:line="360" w:lineRule="auto"/>
        <w:ind w:firstLine="480" w:firstLineChars="200"/>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投标人按照以下格式编制投标文件，并将资格文件、报价文件、商务技术文件分别装订成册。</w:t>
      </w:r>
    </w:p>
    <w:p>
      <w:pPr>
        <w:spacing w:line="360" w:lineRule="auto"/>
        <w:jc w:val="center"/>
        <w:outlineLvl w:val="0"/>
        <w:rPr>
          <w:rFonts w:hint="eastAsia" w:ascii="仿宋" w:hAnsi="仿宋" w:eastAsia="仿宋" w:cs="仿宋_GB2312"/>
          <w:color w:val="auto"/>
          <w:sz w:val="36"/>
          <w:szCs w:val="36"/>
          <w:highlight w:val="none"/>
          <w:lang w:val="zh-CN"/>
        </w:rPr>
      </w:pP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color w:val="auto"/>
          <w:sz w:val="36"/>
          <w:szCs w:val="36"/>
          <w:highlight w:val="none"/>
          <w:lang w:val="zh-CN"/>
        </w:rPr>
        <w:t>▲</w:t>
      </w: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hint="eastAsia" w:ascii="仿宋" w:hAnsi="仿宋" w:eastAsia="仿宋" w:cs="仿宋_GB2312"/>
          <w:b/>
          <w:color w:val="auto"/>
          <w:kern w:val="0"/>
          <w:sz w:val="36"/>
          <w:szCs w:val="36"/>
          <w:highlight w:val="none"/>
        </w:rPr>
      </w:pP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kern w:val="0"/>
          <w:sz w:val="24"/>
          <w:highlight w:val="none"/>
        </w:rPr>
        <w:t>（1）</w:t>
      </w:r>
      <w:r>
        <w:rPr>
          <w:rFonts w:hint="eastAsia" w:ascii="仿宋" w:hAnsi="仿宋" w:eastAsia="仿宋"/>
          <w:color w:val="auto"/>
          <w:sz w:val="24"/>
          <w:highlight w:val="none"/>
        </w:rPr>
        <w:t>营业执照(或事业法人登记证或其他工商等登记证明材料)复印件（投标人为自然人的，须提供</w:t>
      </w:r>
      <w:r>
        <w:rPr>
          <w:rFonts w:hint="eastAsia" w:ascii="仿宋_GB2312" w:hAnsi="Helvetica" w:eastAsia="仿宋_GB2312" w:cs="Helvetica"/>
          <w:color w:val="auto"/>
          <w:kern w:val="0"/>
          <w:sz w:val="24"/>
          <w:highlight w:val="none"/>
        </w:rPr>
        <w:t>自然人的身份证明</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、税务登记证(或其它缴纳证明材料)复印件、社保登记证</w:t>
      </w:r>
      <w:r>
        <w:rPr>
          <w:rFonts w:hint="eastAsia" w:ascii="仿宋" w:hAnsi="仿宋" w:eastAsia="仿宋"/>
          <w:color w:val="auto"/>
          <w:sz w:val="24"/>
          <w:highlight w:val="none"/>
        </w:rPr>
        <w:t>（或其它缴纳证明材料）</w:t>
      </w:r>
      <w:r>
        <w:rPr>
          <w:rFonts w:hint="eastAsia" w:ascii="仿宋" w:hAnsi="仿宋" w:eastAsia="仿宋" w:cs="仿宋_GB2312"/>
          <w:color w:val="auto"/>
          <w:sz w:val="24"/>
          <w:highlight w:val="none"/>
        </w:rPr>
        <w:t>复印件</w:t>
      </w:r>
      <w:r>
        <w:rPr>
          <w:rFonts w:hint="eastAsia" w:ascii="仿宋" w:hAnsi="仿宋" w:eastAsia="仿宋" w:cs="仿宋_GB2312"/>
          <w:color w:val="auto"/>
          <w:kern w:val="0"/>
          <w:sz w:val="24"/>
          <w:highlight w:val="none"/>
        </w:rPr>
        <w:t>………………………………………………（页码）</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kern w:val="0"/>
          <w:sz w:val="24"/>
          <w:highlight w:val="none"/>
        </w:rPr>
        <w:t>（2）</w:t>
      </w:r>
      <w:r>
        <w:rPr>
          <w:rFonts w:hint="eastAsia" w:ascii="仿宋" w:hAnsi="仿宋" w:eastAsia="仿宋" w:cs="仿宋_GB2312"/>
          <w:color w:val="auto"/>
          <w:sz w:val="24"/>
          <w:highlight w:val="none"/>
        </w:rPr>
        <w:t>2018年度资产负债表等财务报表资料文件(新成立的公司，提供情况说明)</w:t>
      </w:r>
      <w:r>
        <w:rPr>
          <w:rFonts w:hint="eastAsia" w:ascii="仿宋" w:hAnsi="仿宋" w:eastAsia="仿宋" w:cs="仿宋_GB2312"/>
          <w:color w:val="auto"/>
          <w:kern w:val="0"/>
          <w:sz w:val="24"/>
          <w:highlight w:val="none"/>
        </w:rPr>
        <w:t>（页码）</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（3）具有履行合同所必需的设备和专业技术能力的承诺函………………………（页码）</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sz w:val="24"/>
          <w:highlight w:val="none"/>
        </w:rPr>
        <w:t>（4）参加政府采购活动前三年内，在经营活动中没有重大违法记录的声明</w:t>
      </w:r>
      <w:r>
        <w:rPr>
          <w:rFonts w:hint="eastAsia" w:ascii="仿宋" w:hAnsi="仿宋" w:eastAsia="仿宋" w:cs="仿宋_GB2312"/>
          <w:color w:val="auto"/>
          <w:kern w:val="0"/>
          <w:sz w:val="24"/>
          <w:highlight w:val="none"/>
        </w:rPr>
        <w:t xml:space="preserve"> …（页码）</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sz w:val="24"/>
          <w:highlight w:val="none"/>
        </w:rPr>
        <w:t>（5）具有良好商业信誉</w:t>
      </w:r>
      <w:r>
        <w:rPr>
          <w:rFonts w:hint="eastAsia" w:ascii="仿宋" w:hAnsi="仿宋" w:eastAsia="仿宋" w:cs="仿宋_GB2312"/>
          <w:color w:val="auto"/>
          <w:sz w:val="24"/>
          <w:szCs w:val="20"/>
          <w:highlight w:val="none"/>
        </w:rPr>
        <w:t>特别声明</w:t>
      </w:r>
      <w:r>
        <w:rPr>
          <w:rFonts w:hint="eastAsia" w:ascii="仿宋" w:hAnsi="仿宋" w:eastAsia="仿宋" w:cs="仿宋_GB2312"/>
          <w:color w:val="auto"/>
          <w:kern w:val="0"/>
          <w:sz w:val="24"/>
          <w:highlight w:val="none"/>
        </w:rPr>
        <w:t>……………………………………………………（页码）</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（6）</w:t>
      </w:r>
      <w:r>
        <w:rPr>
          <w:rFonts w:hint="eastAsia" w:ascii="仿宋" w:hAnsi="仿宋" w:eastAsia="仿宋" w:cs="仿宋_GB2312"/>
          <w:color w:val="auto"/>
          <w:sz w:val="24"/>
          <w:highlight w:val="none"/>
        </w:rPr>
        <w:t>符合特定资格条件（如果项目要求）的有关证明材料（复印件）</w:t>
      </w:r>
      <w:r>
        <w:rPr>
          <w:rFonts w:hint="eastAsia" w:ascii="仿宋" w:hAnsi="仿宋" w:eastAsia="仿宋" w:cs="仿宋_GB2312"/>
          <w:color w:val="auto"/>
          <w:kern w:val="0"/>
          <w:sz w:val="24"/>
          <w:highlight w:val="none"/>
        </w:rPr>
        <w:t>…………（页码）</w:t>
      </w:r>
    </w:p>
    <w:p>
      <w:pPr>
        <w:spacing w:line="360" w:lineRule="auto"/>
        <w:ind w:firstLine="480" w:firstLineChars="200"/>
        <w:rPr>
          <w:rFonts w:hint="eastAsia"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附：法定代表人授权书（如法定代表人直接参加投标并对相应文件签字的，只需提供其身份证复印件正反面；</w:t>
      </w:r>
      <w:r>
        <w:rPr>
          <w:rFonts w:hint="eastAsia" w:ascii="仿宋" w:hAnsi="仿宋" w:eastAsia="仿宋"/>
          <w:color w:val="auto"/>
          <w:sz w:val="24"/>
          <w:highlight w:val="none"/>
        </w:rPr>
        <w:t>如以联合体形式参加政府采购活动的，按招标文件有关格式范例提供联合体投标授权书）</w:t>
      </w:r>
      <w:r>
        <w:rPr>
          <w:rFonts w:hint="eastAsia" w:ascii="仿宋" w:hAnsi="仿宋" w:eastAsia="仿宋" w:cs="仿宋_GB2312"/>
          <w:color w:val="auto"/>
          <w:kern w:val="0"/>
          <w:sz w:val="24"/>
          <w:highlight w:val="none"/>
        </w:rPr>
        <w:t>………………………………………………………………（页码）</w:t>
      </w:r>
    </w:p>
    <w:p>
      <w:pPr>
        <w:snapToGrid w:val="0"/>
        <w:spacing w:line="360" w:lineRule="auto"/>
        <w:rPr>
          <w:rFonts w:hint="eastAsia" w:ascii="仿宋" w:hAnsi="仿宋" w:eastAsia="仿宋" w:cs="仿宋_GB2312"/>
          <w:color w:val="auto"/>
          <w:kern w:val="0"/>
          <w:sz w:val="24"/>
          <w:highlight w:val="none"/>
        </w:rPr>
      </w:pPr>
    </w:p>
    <w:p>
      <w:pPr>
        <w:snapToGrid w:val="0"/>
        <w:spacing w:line="360" w:lineRule="auto"/>
        <w:rPr>
          <w:rFonts w:hint="eastAsia" w:ascii="仿宋" w:hAnsi="仿宋" w:eastAsia="仿宋" w:cs="仿宋_GB2312"/>
          <w:b/>
          <w:color w:val="auto"/>
          <w:sz w:val="30"/>
          <w:szCs w:val="30"/>
          <w:highlight w:val="none"/>
        </w:rPr>
      </w:pPr>
      <w:r>
        <w:rPr>
          <w:rFonts w:ascii="仿宋" w:hAnsi="仿宋" w:eastAsia="仿宋" w:cs="仿宋_GB2312"/>
          <w:color w:val="auto"/>
          <w:sz w:val="36"/>
          <w:szCs w:val="36"/>
          <w:highlight w:val="none"/>
        </w:rPr>
        <w:br w:type="page"/>
      </w:r>
      <w:r>
        <w:rPr>
          <w:rFonts w:hint="eastAsia" w:ascii="仿宋" w:hAnsi="仿宋" w:eastAsia="仿宋" w:cs="仿宋_GB2312"/>
          <w:b/>
          <w:color w:val="auto"/>
          <w:kern w:val="0"/>
          <w:sz w:val="32"/>
          <w:szCs w:val="32"/>
          <w:highlight w:val="none"/>
          <w:lang w:val="zh-CN"/>
        </w:rPr>
        <w:t>一、</w:t>
      </w:r>
      <w:r>
        <w:rPr>
          <w:rFonts w:hint="eastAsia" w:ascii="仿宋" w:hAnsi="仿宋" w:eastAsia="仿宋" w:cs="仿宋_GB2312"/>
          <w:b/>
          <w:color w:val="auto"/>
          <w:sz w:val="30"/>
          <w:szCs w:val="30"/>
          <w:highlight w:val="none"/>
        </w:rPr>
        <w:t>营业执照或事业法人登记证证明材料（复印件）、税务缴纳证明文件（复印件）、社保缴纳证明文件（复印件）</w:t>
      </w:r>
    </w:p>
    <w:p>
      <w:pPr>
        <w:spacing w:line="360" w:lineRule="auto"/>
        <w:jc w:val="center"/>
        <w:rPr>
          <w:rFonts w:hint="eastAsia" w:ascii="仿宋" w:hAnsi="仿宋" w:eastAsia="仿宋" w:cs="仿宋_GB2312"/>
          <w:b/>
          <w:color w:val="auto"/>
          <w:sz w:val="30"/>
          <w:szCs w:val="30"/>
          <w:highlight w:val="none"/>
        </w:rPr>
      </w:pPr>
    </w:p>
    <w:p>
      <w:pPr>
        <w:spacing w:line="360" w:lineRule="auto"/>
        <w:jc w:val="center"/>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二、2018年度资产负债表等财务报表资料文件（复印件）</w:t>
      </w:r>
    </w:p>
    <w:p>
      <w:pPr>
        <w:spacing w:line="360" w:lineRule="auto"/>
        <w:rPr>
          <w:rFonts w:hint="eastAsia" w:ascii="仿宋" w:hAnsi="仿宋" w:eastAsia="仿宋" w:cs="仿宋_GB2312"/>
          <w:b/>
          <w:color w:val="auto"/>
          <w:sz w:val="30"/>
          <w:szCs w:val="30"/>
          <w:highlight w:val="none"/>
        </w:rPr>
      </w:pPr>
    </w:p>
    <w:p>
      <w:pPr>
        <w:snapToGrid w:val="0"/>
        <w:spacing w:line="360" w:lineRule="auto"/>
        <w:ind w:right="480"/>
        <w:jc w:val="center"/>
        <w:rPr>
          <w:rFonts w:hint="eastAsia" w:ascii="仿宋" w:hAnsi="仿宋" w:eastAsia="仿宋" w:cs="仿宋_GB2312"/>
          <w:b/>
          <w:color w:val="auto"/>
          <w:kern w:val="0"/>
          <w:sz w:val="32"/>
          <w:szCs w:val="32"/>
          <w:highlight w:val="none"/>
          <w:lang w:val="zh-CN"/>
        </w:rPr>
      </w:pPr>
    </w:p>
    <w:p>
      <w:pPr>
        <w:snapToGrid w:val="0"/>
        <w:spacing w:line="360" w:lineRule="auto"/>
        <w:ind w:right="480"/>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三、具有履行合同所必需的设备和专业技术能力的承诺函</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杭州师范大学、杭州市公共资源交易中心（杭州市政府采购中心）：</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我方郑重承诺，我方具有履行杭州师范大学仓前校区监控机房存储扩展采购项目（招标编号：HZZFCG-2019-017（1））合同所必需的设备和专业技术能力。如中标，我方将保证合同顺利履行。</w:t>
      </w:r>
    </w:p>
    <w:p>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法定代表人或其授权代表(签字)：</w:t>
      </w:r>
    </w:p>
    <w:p>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ind w:firstLine="480" w:firstLineChars="200"/>
        <w:rPr>
          <w:rFonts w:hint="eastAsia" w:ascii="仿宋" w:hAnsi="仿宋" w:eastAsia="仿宋" w:cs="仿宋_GB2312"/>
          <w:color w:val="auto"/>
          <w:kern w:val="0"/>
          <w:sz w:val="24"/>
          <w:highlight w:val="none"/>
          <w:lang w:val="zh-CN"/>
        </w:rPr>
      </w:pPr>
    </w:p>
    <w:p>
      <w:pPr>
        <w:spacing w:line="360" w:lineRule="auto"/>
        <w:jc w:val="center"/>
        <w:rPr>
          <w:rFonts w:hint="eastAsia" w:ascii="仿宋" w:hAnsi="仿宋" w:eastAsia="仿宋" w:cs="仿宋_GB2312"/>
          <w:b/>
          <w:color w:val="auto"/>
          <w:kern w:val="0"/>
          <w:sz w:val="32"/>
          <w:szCs w:val="32"/>
          <w:highlight w:val="none"/>
        </w:rPr>
      </w:pPr>
    </w:p>
    <w:p>
      <w:pPr>
        <w:spacing w:line="360" w:lineRule="auto"/>
        <w:jc w:val="center"/>
        <w:rPr>
          <w:rFonts w:hint="eastAsia" w:ascii="仿宋" w:hAnsi="仿宋" w:eastAsia="仿宋" w:cs="仿宋_GB2312"/>
          <w:b/>
          <w:color w:val="auto"/>
          <w:kern w:val="0"/>
          <w:sz w:val="32"/>
          <w:szCs w:val="32"/>
          <w:highlight w:val="none"/>
        </w:rPr>
      </w:pPr>
    </w:p>
    <w:p>
      <w:pPr>
        <w:spacing w:line="360" w:lineRule="auto"/>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四、参加政府采购活动前三年内，在经营活动中</w:t>
      </w:r>
    </w:p>
    <w:p>
      <w:pPr>
        <w:spacing w:line="360" w:lineRule="auto"/>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t>没有重大违法记录的声明</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杭州师范大学、杭州市公共资源交易中心（杭州市政府采购中心）</w:t>
      </w:r>
      <w:r>
        <w:rPr>
          <w:rFonts w:hint="eastAsia" w:ascii="仿宋" w:hAnsi="仿宋" w:eastAsia="仿宋" w:cs="仿宋_GB2312"/>
          <w:color w:val="auto"/>
          <w:kern w:val="0"/>
          <w:sz w:val="24"/>
          <w:highlight w:val="none"/>
          <w:lang w:val="zh-CN"/>
        </w:rPr>
        <w:t>：</w:t>
      </w:r>
    </w:p>
    <w:p>
      <w:pPr>
        <w:spacing w:line="360" w:lineRule="auto"/>
        <w:ind w:firstLine="480" w:firstLineChars="200"/>
        <w:rPr>
          <w:rFonts w:hint="eastAsia" w:ascii="仿宋" w:hAnsi="仿宋" w:eastAsia="仿宋" w:cs="仿宋_GB2312"/>
          <w:color w:val="auto"/>
          <w:sz w:val="24"/>
          <w:szCs w:val="20"/>
          <w:highlight w:val="none"/>
        </w:rPr>
      </w:pPr>
      <w:r>
        <w:rPr>
          <w:rFonts w:hint="eastAsia" w:ascii="仿宋" w:hAnsi="仿宋" w:eastAsia="仿宋" w:cs="仿宋_GB2312"/>
          <w:color w:val="auto"/>
          <w:kern w:val="0"/>
          <w:sz w:val="24"/>
          <w:highlight w:val="none"/>
          <w:lang w:val="zh-CN"/>
        </w:rPr>
        <w:t>我方</w:t>
      </w:r>
      <w:r>
        <w:rPr>
          <w:rFonts w:hint="eastAsia" w:ascii="仿宋" w:hAnsi="仿宋" w:eastAsia="仿宋" w:cs="仿宋_GB2312"/>
          <w:color w:val="auto"/>
          <w:sz w:val="24"/>
          <w:highlight w:val="none"/>
        </w:rPr>
        <w:t>声明投标截止时间前三年，在</w:t>
      </w:r>
      <w:r>
        <w:rPr>
          <w:rFonts w:hint="eastAsia" w:ascii="仿宋" w:hAnsi="仿宋" w:eastAsia="仿宋" w:cs="仿宋_GB2312"/>
          <w:color w:val="auto"/>
          <w:kern w:val="0"/>
          <w:sz w:val="24"/>
          <w:highlight w:val="none"/>
        </w:rPr>
        <w:t>经营活动中</w:t>
      </w:r>
      <w:r>
        <w:rPr>
          <w:rFonts w:hint="eastAsia" w:ascii="仿宋" w:hAnsi="仿宋" w:eastAsia="仿宋" w:cs="仿宋_GB2312"/>
          <w:color w:val="auto"/>
          <w:sz w:val="24"/>
          <w:highlight w:val="none"/>
        </w:rPr>
        <w:t>没有重大违法记录</w:t>
      </w:r>
      <w:r>
        <w:rPr>
          <w:rFonts w:hint="eastAsia" w:ascii="仿宋" w:hAnsi="仿宋" w:eastAsia="仿宋" w:cs="仿宋_GB2312"/>
          <w:color w:val="auto"/>
          <w:sz w:val="24"/>
          <w:szCs w:val="20"/>
          <w:highlight w:val="none"/>
        </w:rPr>
        <w:t xml:space="preserve">。 </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法定代表人或其授权代表(签字)：</w:t>
      </w:r>
    </w:p>
    <w:p>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ind w:firstLine="1606" w:firstLineChars="500"/>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五、具有良好商业信誉特别声明</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杭州师范大学、杭州市公共资源交易中心（杭州市政府采购中心）</w:t>
      </w:r>
      <w:r>
        <w:rPr>
          <w:rFonts w:hint="eastAsia" w:ascii="仿宋" w:hAnsi="仿宋" w:eastAsia="仿宋" w:cs="仿宋_GB2312"/>
          <w:color w:val="auto"/>
          <w:kern w:val="0"/>
          <w:sz w:val="24"/>
          <w:highlight w:val="none"/>
          <w:lang w:val="zh-CN"/>
        </w:rPr>
        <w:t>：</w:t>
      </w:r>
    </w:p>
    <w:p>
      <w:pPr>
        <w:snapToGrid w:val="0"/>
        <w:spacing w:line="360" w:lineRule="auto"/>
        <w:ind w:firstLine="48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截至投标截止时间，我方具有良好的商业信誉，不存在下列情形（包括但不限于）。否则，我方将承担在资格审查时不被通过的后果。</w:t>
      </w:r>
    </w:p>
    <w:p>
      <w:pPr>
        <w:pStyle w:val="307"/>
        <w:spacing w:before="0"/>
        <w:ind w:firstLine="495" w:firstLineChars="0"/>
        <w:rPr>
          <w:rFonts w:hint="eastAsia" w:ascii="仿宋_GB2312" w:eastAsia="仿宋_GB2312"/>
          <w:color w:val="auto"/>
          <w:highlight w:val="none"/>
        </w:rPr>
      </w:pPr>
      <w:r>
        <w:rPr>
          <w:rFonts w:hint="eastAsia" w:ascii="仿宋_GB2312" w:eastAsia="仿宋_GB2312"/>
          <w:color w:val="auto"/>
          <w:highlight w:val="none"/>
        </w:rPr>
        <w:t>1</w:t>
      </w:r>
      <w:r>
        <w:rPr>
          <w:rFonts w:hint="eastAsia" w:ascii="仿宋" w:hAnsi="仿宋" w:eastAsia="仿宋" w:cs="仿宋_GB2312"/>
          <w:b/>
          <w:color w:val="auto"/>
          <w:highlight w:val="none"/>
        </w:rPr>
        <w:t>、</w:t>
      </w:r>
      <w:r>
        <w:rPr>
          <w:rFonts w:hint="eastAsia" w:ascii="仿宋_GB2312" w:eastAsia="仿宋_GB2312"/>
          <w:color w:val="auto"/>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_GB2312" w:eastAsia="仿宋_GB2312"/>
          <w:color w:val="auto"/>
          <w:sz w:val="24"/>
          <w:szCs w:val="20"/>
          <w:highlight w:val="none"/>
        </w:rPr>
      </w:pPr>
      <w:r>
        <w:rPr>
          <w:rFonts w:hint="eastAsia" w:ascii="仿宋_GB2312" w:eastAsia="仿宋_GB2312"/>
          <w:color w:val="auto"/>
          <w:sz w:val="24"/>
          <w:szCs w:val="20"/>
          <w:highlight w:val="none"/>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仿宋_GB2312" w:eastAsia="仿宋_GB2312"/>
          <w:color w:val="auto"/>
          <w:sz w:val="24"/>
          <w:highlight w:val="none"/>
        </w:rPr>
      </w:pPr>
    </w:p>
    <w:p>
      <w:pPr>
        <w:snapToGrid w:val="0"/>
        <w:spacing w:line="360" w:lineRule="auto"/>
        <w:ind w:firstLine="5160" w:firstLineChars="2150"/>
        <w:rPr>
          <w:rFonts w:hint="eastAsia" w:ascii="仿宋" w:hAnsi="仿宋" w:eastAsia="仿宋" w:cs="仿宋_GB2312"/>
          <w:color w:val="auto"/>
          <w:kern w:val="0"/>
          <w:sz w:val="24"/>
          <w:highlight w:val="none"/>
        </w:rPr>
      </w:pPr>
    </w:p>
    <w:p>
      <w:pPr>
        <w:spacing w:line="360" w:lineRule="auto"/>
        <w:jc w:val="center"/>
        <w:rPr>
          <w:rFonts w:hint="eastAsia" w:ascii="仿宋" w:hAnsi="仿宋" w:eastAsia="仿宋" w:cs="仿宋_GB2312"/>
          <w:b/>
          <w:color w:val="auto"/>
          <w:sz w:val="30"/>
          <w:szCs w:val="30"/>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六、特定资格条件要求的资质文件（复印件）</w:t>
      </w:r>
    </w:p>
    <w:p>
      <w:pPr>
        <w:widowControl/>
        <w:spacing w:line="360" w:lineRule="auto"/>
        <w:ind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仿宋" w:hAnsi="仿宋" w:eastAsia="仿宋" w:cs="仿宋_GB2312"/>
          <w:color w:val="auto"/>
          <w:sz w:val="24"/>
          <w:highlight w:val="none"/>
        </w:rPr>
      </w:pPr>
    </w:p>
    <w:p>
      <w:pPr>
        <w:spacing w:line="360" w:lineRule="auto"/>
        <w:ind w:firstLine="480" w:firstLineChars="200"/>
        <w:rPr>
          <w:rFonts w:hint="eastAsia" w:ascii="仿宋" w:hAnsi="仿宋" w:eastAsia="仿宋" w:cs="仿宋_GB2312"/>
          <w:color w:val="auto"/>
          <w:sz w:val="24"/>
          <w:highlight w:val="none"/>
        </w:rPr>
      </w:pPr>
    </w:p>
    <w:p>
      <w:pPr>
        <w:spacing w:line="360" w:lineRule="auto"/>
        <w:jc w:val="cente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附：法定代表人授权书（如法定代表人直接参加投标并对相应文件签字的，只需提供其身份证复印件正反面；如以联合体形式参加政府采购活动的，按招标文件有关格式范例提供联合体投标授权书）</w:t>
      </w:r>
    </w:p>
    <w:p>
      <w:pPr>
        <w:widowControl/>
        <w:spacing w:line="360" w:lineRule="auto"/>
        <w:ind w:firstLine="643" w:firstLineChars="200"/>
        <w:jc w:val="left"/>
        <w:rPr>
          <w:rFonts w:hint="eastAsia" w:ascii="仿宋" w:hAnsi="仿宋" w:eastAsia="仿宋" w:cs="仿宋_GB2312"/>
          <w:b/>
          <w:bCs/>
          <w:color w:val="auto"/>
          <w:sz w:val="32"/>
          <w:szCs w:val="32"/>
          <w:highlight w:val="none"/>
        </w:rPr>
      </w:pPr>
    </w:p>
    <w:p>
      <w:pPr>
        <w:snapToGrid w:val="0"/>
        <w:spacing w:line="360" w:lineRule="auto"/>
        <w:ind w:firstLine="2891" w:firstLineChars="900"/>
        <w:rPr>
          <w:rFonts w:hint="eastAsia" w:ascii="仿宋" w:hAnsi="仿宋" w:eastAsia="仿宋" w:cs="仿宋_GB2312"/>
          <w:b/>
          <w:color w:val="auto"/>
          <w:kern w:val="0"/>
          <w:sz w:val="36"/>
          <w:szCs w:val="36"/>
          <w:highlight w:val="none"/>
        </w:rPr>
      </w:pPr>
      <w:r>
        <w:rPr>
          <w:rFonts w:hint="eastAsia" w:ascii="仿宋" w:hAnsi="仿宋" w:eastAsia="仿宋" w:cs="仿宋_GB2312"/>
          <w:b/>
          <w:bCs/>
          <w:color w:val="auto"/>
          <w:sz w:val="32"/>
          <w:szCs w:val="32"/>
          <w:highlight w:val="none"/>
        </w:rPr>
        <w:br w:type="page"/>
      </w:r>
      <w:r>
        <w:rPr>
          <w:rFonts w:hint="eastAsia" w:ascii="仿宋" w:hAnsi="仿宋" w:eastAsia="仿宋" w:cs="仿宋_GB2312"/>
          <w:color w:val="auto"/>
          <w:sz w:val="36"/>
          <w:szCs w:val="36"/>
          <w:highlight w:val="none"/>
          <w:lang w:val="zh-CN"/>
        </w:rPr>
        <w:t>▲</w:t>
      </w: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hint="eastAsia" w:ascii="仿宋" w:hAnsi="仿宋" w:eastAsia="仿宋" w:cs="仿宋_GB2312"/>
          <w:b/>
          <w:color w:val="auto"/>
          <w:kern w:val="0"/>
          <w:sz w:val="24"/>
          <w:highlight w:val="none"/>
        </w:rPr>
      </w:pP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（1）投标响应函……………………………………………………（页码）</w:t>
      </w:r>
    </w:p>
    <w:p>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（2）投标（开标）一览表…………………………………………（页码）</w:t>
      </w:r>
    </w:p>
    <w:p>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（3）中小企业声明函………………………………………………（页码）</w:t>
      </w: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一、投标响应</w:t>
      </w:r>
      <w:r>
        <w:rPr>
          <w:rFonts w:hint="eastAsia" w:ascii="仿宋" w:hAnsi="仿宋" w:eastAsia="仿宋" w:cs="仿宋_GB2312"/>
          <w:b/>
          <w:color w:val="auto"/>
          <w:sz w:val="32"/>
          <w:szCs w:val="32"/>
          <w:highlight w:val="none"/>
        </w:rPr>
        <w:t>函</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杭州师范大学、杭州市公共资源交易中心（杭州市政府采购中心）：</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sz w:val="24"/>
          <w:highlight w:val="none"/>
        </w:rPr>
        <w:t>(投标人全称)授权</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sz w:val="24"/>
          <w:highlight w:val="none"/>
        </w:rPr>
        <w:t>(全权代表姓名)</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sz w:val="24"/>
          <w:highlight w:val="none"/>
        </w:rPr>
        <w:t>(职务、职称)为全权代表，参加贵方组织的杭州师范大学仓前校区监控机房存储扩展采购项目【招标编号：HZZFCG-2019-017（1）】招标的有关活动，并对此项目进行投标。为此：</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1、我方同意在投标人</w:t>
      </w:r>
      <w:r>
        <w:rPr>
          <w:rFonts w:hint="eastAsia" w:ascii="仿宋" w:hAnsi="仿宋" w:eastAsia="仿宋" w:cs="仿宋_GB2312"/>
          <w:color w:val="auto"/>
          <w:kern w:val="44"/>
          <w:sz w:val="24"/>
          <w:highlight w:val="none"/>
        </w:rPr>
        <w:t>投标人须知</w:t>
      </w:r>
      <w:r>
        <w:rPr>
          <w:rFonts w:hint="eastAsia" w:ascii="仿宋" w:hAnsi="仿宋" w:eastAsia="仿宋" w:cs="仿宋_GB2312"/>
          <w:color w:val="auto"/>
          <w:sz w:val="24"/>
          <w:highlight w:val="none"/>
        </w:rPr>
        <w:t>规定的开标日期起遵守本投标文件中的承诺且在投标有效期满之前均具有约束力。</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(1)具有独立承担民事责任的能力；</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(2)遵守国家法律、行政法规，具有良好的信誉和商业道德；</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(3)具有履行合同的能力和良好的履行合同记录；</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(4)良好的资金、财务状况；</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(5)产品及生产所需装备符合中国政府规定的相应技术标准和环保标准；</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(6)没有违反政府采购法规、政策的记录；</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(7)没有发生重大经济纠纷和走私犯罪记录。</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3、我方中标后拟在中标后将</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工作分包，分包承担主体是</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，我方承诺分包承担主体具备相应资质条件</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，且不再次分包。（不再将工作进行分包或本项目不允许分包的，下划线处填写“/”。）</w:t>
      </w:r>
    </w:p>
    <w:p>
      <w:pPr>
        <w:pStyle w:val="43"/>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4、提供</w:t>
      </w:r>
      <w:r>
        <w:rPr>
          <w:rFonts w:hint="eastAsia" w:ascii="仿宋" w:hAnsi="仿宋" w:eastAsia="仿宋" w:cs="仿宋_GB2312"/>
          <w:color w:val="auto"/>
          <w:kern w:val="44"/>
          <w:sz w:val="24"/>
          <w:highlight w:val="none"/>
        </w:rPr>
        <w:t>投标人须知</w:t>
      </w:r>
      <w:r>
        <w:rPr>
          <w:rFonts w:hint="eastAsia" w:ascii="仿宋" w:hAnsi="仿宋" w:eastAsia="仿宋" w:cs="仿宋_GB2312"/>
          <w:color w:val="auto"/>
          <w:sz w:val="24"/>
          <w:highlight w:val="none"/>
        </w:rPr>
        <w:t>规定的全部投标文件，包括</w:t>
      </w:r>
      <w:r>
        <w:rPr>
          <w:rFonts w:hint="eastAsia" w:ascii="仿宋" w:hAnsi="仿宋" w:eastAsia="仿宋" w:cs="仿宋_GB2312"/>
          <w:b/>
          <w:color w:val="auto"/>
          <w:sz w:val="24"/>
          <w:szCs w:val="24"/>
          <w:highlight w:val="none"/>
        </w:rPr>
        <w:t>资格文件正本1份；报价文件正本1份，副本</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b/>
          <w:color w:val="auto"/>
          <w:sz w:val="24"/>
          <w:szCs w:val="24"/>
          <w:highlight w:val="none"/>
        </w:rPr>
        <w:t>份；商务技术文件正本1份，副本</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b/>
          <w:color w:val="auto"/>
          <w:sz w:val="24"/>
          <w:szCs w:val="24"/>
          <w:highlight w:val="none"/>
        </w:rPr>
        <w:t>份</w:t>
      </w:r>
      <w:r>
        <w:rPr>
          <w:rFonts w:hint="eastAsia" w:ascii="仿宋" w:hAnsi="仿宋" w:eastAsia="仿宋" w:cs="仿宋_GB2312"/>
          <w:color w:val="auto"/>
          <w:kern w:val="44"/>
          <w:sz w:val="24"/>
          <w:highlight w:val="none"/>
        </w:rPr>
        <w:t>（见投标须知前附表所述）。</w:t>
      </w:r>
      <w:r>
        <w:rPr>
          <w:rFonts w:hint="eastAsia" w:ascii="仿宋" w:hAnsi="仿宋" w:eastAsia="仿宋" w:cs="仿宋_GB2312"/>
          <w:color w:val="auto"/>
          <w:sz w:val="24"/>
          <w:highlight w:val="none"/>
        </w:rPr>
        <w:t>具体内容为：</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(1)投标(开标)一览表；</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(2)投标</w:t>
      </w:r>
      <w:r>
        <w:rPr>
          <w:rFonts w:hint="eastAsia" w:ascii="仿宋" w:hAnsi="仿宋" w:eastAsia="仿宋" w:cs="仿宋_GB2312"/>
          <w:color w:val="auto"/>
          <w:kern w:val="0"/>
          <w:sz w:val="24"/>
          <w:highlight w:val="none"/>
          <w:lang w:val="zh-CN"/>
        </w:rPr>
        <w:t>技术文件和</w:t>
      </w:r>
      <w:r>
        <w:rPr>
          <w:rFonts w:hint="eastAsia" w:ascii="仿宋" w:hAnsi="仿宋" w:eastAsia="仿宋" w:cs="仿宋_GB2312"/>
          <w:color w:val="auto"/>
          <w:sz w:val="24"/>
          <w:highlight w:val="none"/>
          <w:lang w:val="zh-CN"/>
        </w:rPr>
        <w:t>商务文件</w:t>
      </w:r>
      <w:r>
        <w:rPr>
          <w:rFonts w:hint="eastAsia" w:ascii="仿宋" w:hAnsi="仿宋" w:eastAsia="仿宋" w:cs="仿宋_GB2312"/>
          <w:color w:val="auto"/>
          <w:sz w:val="24"/>
          <w:highlight w:val="none"/>
        </w:rPr>
        <w:t>；</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hint="eastAsia" w:ascii="仿宋" w:hAnsi="仿宋" w:eastAsia="仿宋" w:cs="仿宋_GB2312"/>
          <w:color w:val="auto"/>
          <w:kern w:val="44"/>
          <w:sz w:val="24"/>
          <w:highlight w:val="none"/>
        </w:rPr>
        <w:t>投标人须知</w:t>
      </w:r>
      <w:r>
        <w:rPr>
          <w:rFonts w:hint="eastAsia" w:ascii="仿宋" w:hAnsi="仿宋" w:eastAsia="仿宋" w:cs="仿宋_GB2312"/>
          <w:color w:val="auto"/>
          <w:sz w:val="24"/>
          <w:highlight w:val="none"/>
        </w:rPr>
        <w:t>要求投标人提交的全部文件；</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(4)按招标文件要求提供和交付的货物和服务的投标报价详见投标(开标)一览表；</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(5)保证忠实地执行双方所签订的合同，并承担合同规定的责任和义务；</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(6)保证遵守招标文件中的其他有关规定。</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5、我方承诺投标有效期从提交投标文件的截止之日起</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天，不少于招标文件中载明的投标有效期（从提交投标文件的截止之日起90天）。</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6、我方完全理解贵方不一定要接受最低价的投标。</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8、我方已详细审核全部招标文件，包括招标文件修改书(如果有)、参考资料及有关附件，确认无误。</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a)提供虚假材料谋取中标、成交的；</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b)采取不正当手段诋毁、排挤其他供应商的；</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c)与采购人、其它供应商或者采购代理机构恶意串通的；</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d)向采购人、采购代理机构行贿或者提供其他不正当利益的；</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e)在招标采购过程中与采购人进行协商谈判的；</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f)拒绝有关部门监督检查或提供虚假情况的。</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供应商有前款第a)至e)项情形之一的，中标、成交无效。</w:t>
      </w:r>
    </w:p>
    <w:p>
      <w:pPr>
        <w:spacing w:line="360" w:lineRule="auto"/>
        <w:ind w:firstLine="3600" w:firstLineChars="15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投标人名称（公章）：</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法定代表人或其授权代表（签字或盖章）：</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_GB2312"/>
          <w:color w:val="auto"/>
          <w:kern w:val="0"/>
          <w:sz w:val="24"/>
          <w:highlight w:val="none"/>
          <w:u w:val="single"/>
          <w:lang w:val="zh-CN"/>
        </w:rPr>
      </w:pPr>
    </w:p>
    <w:p>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联系电话： </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邮政编码：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传真号码：</w:t>
      </w:r>
      <w:r>
        <w:rPr>
          <w:rFonts w:hint="eastAsia" w:ascii="仿宋" w:hAnsi="仿宋" w:eastAsia="仿宋" w:cs="仿宋_GB2312"/>
          <w:color w:val="auto"/>
          <w:kern w:val="0"/>
          <w:sz w:val="24"/>
          <w:highlight w:val="none"/>
          <w:u w:val="single"/>
          <w:lang w:val="zh-CN"/>
        </w:rPr>
        <w:t xml:space="preserve">                     </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b/>
          <w:color w:val="auto"/>
          <w:kern w:val="0"/>
          <w:sz w:val="24"/>
          <w:highlight w:val="none"/>
          <w:lang w:val="zh-CN"/>
        </w:rPr>
        <w:t>注：未按照本投标响应函要求填报的将被视为非实质性响应投标，从而可能导致该投标被拒绝。</w:t>
      </w:r>
    </w:p>
    <w:p>
      <w:pPr>
        <w:pStyle w:val="631"/>
        <w:keepNext w:val="0"/>
        <w:pageBreakBefore w:val="0"/>
        <w:tabs>
          <w:tab w:val="clear" w:pos="720"/>
        </w:tabs>
        <w:snapToGrid w:val="0"/>
        <w:ind w:firstLine="640"/>
        <w:outlineLvl w:val="9"/>
        <w:rPr>
          <w:rFonts w:ascii="仿宋" w:hAnsi="仿宋" w:eastAsia="仿宋" w:cs="仿宋_GB2312"/>
          <w:color w:val="auto"/>
          <w:kern w:val="2"/>
          <w:sz w:val="32"/>
          <w:szCs w:val="32"/>
          <w:highlight w:val="none"/>
        </w:rPr>
        <w:sectPr>
          <w:headerReference r:id="rId18" w:type="first"/>
          <w:footerReference r:id="rId21" w:type="first"/>
          <w:headerReference r:id="rId16" w:type="default"/>
          <w:footerReference r:id="rId19" w:type="default"/>
          <w:headerReference r:id="rId17" w:type="even"/>
          <w:footerReference r:id="rId20" w:type="even"/>
          <w:pgSz w:w="11906" w:h="16838"/>
          <w:pgMar w:top="1247" w:right="1418" w:bottom="1276" w:left="1418" w:header="851" w:footer="992" w:gutter="0"/>
          <w:cols w:space="720" w:num="1"/>
          <w:titlePg/>
          <w:docGrid w:linePitch="312" w:charSpace="0"/>
        </w:sectPr>
      </w:pPr>
    </w:p>
    <w:p>
      <w:pPr>
        <w:pStyle w:val="631"/>
        <w:keepNext w:val="0"/>
        <w:pageBreakBefore w:val="0"/>
        <w:tabs>
          <w:tab w:val="clear" w:pos="720"/>
        </w:tabs>
        <w:snapToGrid w:val="0"/>
        <w:ind w:firstLine="640"/>
        <w:outlineLvl w:val="9"/>
        <w:rPr>
          <w:rFonts w:hint="eastAsia"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二、投标(开标)一览表</w:t>
      </w:r>
    </w:p>
    <w:p>
      <w:pPr>
        <w:snapToGrid w:val="0"/>
        <w:spacing w:line="360" w:lineRule="auto"/>
        <w:rPr>
          <w:rFonts w:hint="eastAsia" w:ascii="仿宋" w:hAnsi="仿宋" w:eastAsia="仿宋" w:cs="仿宋_GB2312"/>
          <w:color w:val="auto"/>
          <w:kern w:val="0"/>
          <w:sz w:val="24"/>
          <w:highlight w:val="none"/>
        </w:rPr>
      </w:pPr>
      <w:bookmarkStart w:id="566" w:name="_Toc86217005"/>
      <w:r>
        <w:rPr>
          <w:rFonts w:hint="eastAsia" w:ascii="仿宋" w:hAnsi="仿宋" w:eastAsia="仿宋" w:cs="仿宋_GB2312"/>
          <w:color w:val="auto"/>
          <w:sz w:val="24"/>
          <w:highlight w:val="none"/>
        </w:rPr>
        <w:t>杭州师范大学、杭州市公共资源交易中心（杭州市政府采购中心）</w:t>
      </w:r>
      <w:r>
        <w:rPr>
          <w:rFonts w:hint="eastAsia" w:ascii="仿宋" w:hAnsi="仿宋" w:eastAsia="仿宋" w:cs="仿宋_GB2312"/>
          <w:color w:val="auto"/>
          <w:kern w:val="0"/>
          <w:sz w:val="24"/>
          <w:highlight w:val="none"/>
          <w:lang w:val="zh-CN"/>
        </w:rPr>
        <w:t>：</w:t>
      </w:r>
    </w:p>
    <w:p>
      <w:pPr>
        <w:snapToGrid w:val="0"/>
        <w:spacing w:line="360" w:lineRule="auto"/>
        <w:ind w:firstLine="482"/>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color w:val="auto"/>
          <w:sz w:val="24"/>
          <w:highlight w:val="none"/>
        </w:rPr>
        <w:t>杭州师范大学仓前校区监控机房存储扩展采购项目</w:t>
      </w:r>
      <w:r>
        <w:rPr>
          <w:rFonts w:hint="eastAsia" w:ascii="仿宋" w:hAnsi="仿宋" w:eastAsia="仿宋" w:cs="仿宋_GB2312"/>
          <w:color w:val="auto"/>
          <w:kern w:val="0"/>
          <w:sz w:val="24"/>
          <w:highlight w:val="none"/>
          <w:lang w:val="zh-CN"/>
        </w:rPr>
        <w:t>【招标文件编号：</w:t>
      </w:r>
      <w:r>
        <w:rPr>
          <w:rFonts w:hint="eastAsia" w:ascii="仿宋" w:hAnsi="仿宋" w:eastAsia="仿宋" w:cs="仿宋_GB2312"/>
          <w:color w:val="auto"/>
          <w:sz w:val="24"/>
          <w:highlight w:val="none"/>
        </w:rPr>
        <w:t>HZZFCG-2019-017（1）】的实施</w:t>
      </w:r>
      <w:r>
        <w:rPr>
          <w:rFonts w:hint="eastAsia" w:ascii="仿宋" w:hAnsi="仿宋" w:eastAsia="仿宋" w:cs="仿宋_GB2312"/>
          <w:color w:val="auto"/>
          <w:kern w:val="0"/>
          <w:sz w:val="24"/>
          <w:highlight w:val="none"/>
          <w:lang w:val="zh-CN"/>
        </w:rPr>
        <w:t>。</w:t>
      </w:r>
    </w:p>
    <w:p>
      <w:pPr>
        <w:spacing w:line="360" w:lineRule="auto"/>
        <w:jc w:val="center"/>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投标(开标)一览表(单位均为人民币元)</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701"/>
        <w:gridCol w:w="2126"/>
        <w:gridCol w:w="850"/>
        <w:gridCol w:w="709"/>
        <w:gridCol w:w="1418"/>
        <w:gridCol w:w="1417"/>
        <w:gridCol w:w="297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7" w:hRule="atLeast"/>
        </w:trPr>
        <w:tc>
          <w:tcPr>
            <w:tcW w:w="392"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709"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b/>
                <w:color w:val="auto"/>
                <w:sz w:val="24"/>
                <w:highlight w:val="none"/>
              </w:rPr>
              <w:t>名称</w:t>
            </w:r>
          </w:p>
        </w:tc>
        <w:tc>
          <w:tcPr>
            <w:tcW w:w="1701" w:type="dxa"/>
            <w:noWrap w:val="0"/>
            <w:vAlign w:val="top"/>
          </w:tcPr>
          <w:p>
            <w:pPr>
              <w:spacing w:line="360" w:lineRule="auto"/>
              <w:jc w:val="center"/>
              <w:rPr>
                <w:rFonts w:hint="eastAsia" w:ascii="仿宋" w:hAnsi="仿宋" w:eastAsia="仿宋"/>
                <w:b/>
                <w:color w:val="auto"/>
                <w:sz w:val="24"/>
                <w:highlight w:val="none"/>
              </w:rPr>
            </w:pPr>
          </w:p>
          <w:p>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品牌</w:t>
            </w:r>
          </w:p>
          <w:p>
            <w:pPr>
              <w:spacing w:line="360" w:lineRule="auto"/>
              <w:jc w:val="center"/>
              <w:rPr>
                <w:rFonts w:hint="eastAsia" w:ascii="仿宋" w:hAnsi="仿宋" w:eastAsia="仿宋" w:cs="仿宋_GB2312"/>
                <w:b/>
                <w:color w:val="auto"/>
                <w:sz w:val="24"/>
                <w:highlight w:val="none"/>
              </w:rPr>
            </w:pPr>
            <w:r>
              <w:rPr>
                <w:rFonts w:hint="eastAsia" w:ascii="仿宋" w:hAnsi="仿宋" w:eastAsia="仿宋"/>
                <w:b/>
                <w:color w:val="auto"/>
                <w:sz w:val="24"/>
                <w:highlight w:val="none"/>
              </w:rPr>
              <w:t>（如果有）</w:t>
            </w:r>
          </w:p>
        </w:tc>
        <w:tc>
          <w:tcPr>
            <w:tcW w:w="2126" w:type="dxa"/>
            <w:noWrap w:val="0"/>
            <w:vAlign w:val="center"/>
          </w:tcPr>
          <w:p>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规格型号</w:t>
            </w:r>
          </w:p>
          <w:p>
            <w:pPr>
              <w:spacing w:line="360" w:lineRule="auto"/>
              <w:jc w:val="center"/>
              <w:rPr>
                <w:rFonts w:hint="eastAsia" w:ascii="仿宋" w:hAnsi="仿宋" w:eastAsia="仿宋" w:cs="仿宋_GB2312"/>
                <w:b/>
                <w:color w:val="auto"/>
                <w:sz w:val="24"/>
                <w:highlight w:val="none"/>
              </w:rPr>
            </w:pPr>
            <w:r>
              <w:rPr>
                <w:rFonts w:hint="eastAsia" w:ascii="仿宋" w:hAnsi="仿宋" w:eastAsia="仿宋"/>
                <w:b/>
                <w:color w:val="auto"/>
                <w:sz w:val="24"/>
                <w:highlight w:val="none"/>
              </w:rPr>
              <w:t>（或具体服务）</w:t>
            </w:r>
          </w:p>
        </w:tc>
        <w:tc>
          <w:tcPr>
            <w:tcW w:w="850"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709"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418"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1417"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b/>
                <w:color w:val="auto"/>
                <w:sz w:val="24"/>
                <w:highlight w:val="none"/>
              </w:rPr>
              <w:t>服务要求（年限）</w:t>
            </w:r>
          </w:p>
        </w:tc>
        <w:tc>
          <w:tcPr>
            <w:tcW w:w="2977" w:type="dxa"/>
            <w:noWrap w:val="0"/>
            <w:vAlign w:val="top"/>
          </w:tcPr>
          <w:p>
            <w:pPr>
              <w:spacing w:line="360" w:lineRule="auto"/>
              <w:jc w:val="center"/>
              <w:rPr>
                <w:rFonts w:hint="eastAsia" w:ascii="仿宋" w:hAnsi="仿宋" w:eastAsia="仿宋"/>
                <w:b/>
                <w:color w:val="auto"/>
                <w:sz w:val="24"/>
                <w:highlight w:val="none"/>
              </w:rPr>
            </w:pPr>
          </w:p>
          <w:p>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货物的制造商或服务的提供商</w:t>
            </w:r>
          </w:p>
        </w:tc>
        <w:tc>
          <w:tcPr>
            <w:tcW w:w="2268" w:type="dxa"/>
            <w:noWrap w:val="0"/>
            <w:vAlign w:val="top"/>
          </w:tcPr>
          <w:p>
            <w:pPr>
              <w:spacing w:line="360" w:lineRule="auto"/>
              <w:jc w:val="center"/>
              <w:rPr>
                <w:rFonts w:hint="eastAsia" w:ascii="仿宋" w:hAnsi="仿宋" w:eastAsia="仿宋"/>
                <w:b/>
                <w:color w:val="auto"/>
                <w:sz w:val="24"/>
                <w:highlight w:val="none"/>
              </w:rPr>
            </w:pPr>
          </w:p>
          <w:p>
            <w:pPr>
              <w:spacing w:line="360" w:lineRule="auto"/>
              <w:jc w:val="center"/>
              <w:rPr>
                <w:rFonts w:hint="eastAsia" w:ascii="仿宋" w:hAnsi="仿宋" w:eastAsia="仿宋" w:cs="仿宋_GB2312"/>
                <w:b/>
                <w:color w:val="auto"/>
                <w:highlight w:val="none"/>
              </w:rPr>
            </w:pPr>
            <w:r>
              <w:rPr>
                <w:rFonts w:hint="eastAsia" w:ascii="仿宋" w:hAnsi="仿宋" w:eastAsia="仿宋" w:cs="仿宋_GB2312"/>
                <w:b/>
                <w:color w:val="auto"/>
                <w:highlight w:val="none"/>
              </w:rPr>
              <w:t>是否可享受</w:t>
            </w:r>
          </w:p>
          <w:p>
            <w:pPr>
              <w:spacing w:line="360" w:lineRule="auto"/>
              <w:jc w:val="center"/>
              <w:rPr>
                <w:rFonts w:hint="eastAsia" w:ascii="仿宋" w:hAnsi="仿宋" w:eastAsia="仿宋"/>
                <w:b/>
                <w:color w:val="auto"/>
                <w:sz w:val="24"/>
                <w:highlight w:val="none"/>
              </w:rPr>
            </w:pPr>
            <w:r>
              <w:rPr>
                <w:rFonts w:hint="eastAsia" w:ascii="仿宋" w:hAnsi="仿宋" w:eastAsia="仿宋" w:cs="仿宋_GB2312"/>
                <w:b/>
                <w:color w:val="auto"/>
                <w:highlight w:val="none"/>
              </w:rPr>
              <w:t>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392"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709"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1701"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126"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850"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709" w:type="dxa"/>
            <w:noWrap w:val="0"/>
            <w:vAlign w:val="center"/>
          </w:tcPr>
          <w:p>
            <w:pPr>
              <w:spacing w:line="360" w:lineRule="auto"/>
              <w:jc w:val="center"/>
              <w:rPr>
                <w:rFonts w:hint="eastAsia" w:ascii="仿宋" w:hAnsi="仿宋" w:eastAsia="仿宋" w:cs="仿宋_GB2312"/>
                <w:color w:val="auto"/>
                <w:sz w:val="24"/>
                <w:highlight w:val="none"/>
              </w:rPr>
            </w:pPr>
          </w:p>
        </w:tc>
        <w:tc>
          <w:tcPr>
            <w:tcW w:w="1418" w:type="dxa"/>
            <w:noWrap w:val="0"/>
            <w:vAlign w:val="center"/>
          </w:tcPr>
          <w:p>
            <w:pPr>
              <w:spacing w:line="360" w:lineRule="auto"/>
              <w:jc w:val="center"/>
              <w:rPr>
                <w:rFonts w:hint="eastAsia" w:ascii="仿宋" w:hAnsi="仿宋" w:eastAsia="仿宋" w:cs="仿宋_GB2312"/>
                <w:color w:val="auto"/>
                <w:sz w:val="24"/>
                <w:highlight w:val="none"/>
              </w:rPr>
            </w:pPr>
          </w:p>
        </w:tc>
        <w:tc>
          <w:tcPr>
            <w:tcW w:w="1417" w:type="dxa"/>
            <w:noWrap w:val="0"/>
            <w:vAlign w:val="center"/>
          </w:tcPr>
          <w:p>
            <w:pPr>
              <w:spacing w:line="360" w:lineRule="auto"/>
              <w:jc w:val="center"/>
              <w:rPr>
                <w:rFonts w:hint="eastAsia" w:ascii="仿宋" w:hAnsi="仿宋" w:eastAsia="仿宋" w:cs="仿宋_GB2312"/>
                <w:color w:val="auto"/>
                <w:sz w:val="24"/>
                <w:highlight w:val="none"/>
              </w:rPr>
            </w:pPr>
          </w:p>
        </w:tc>
        <w:tc>
          <w:tcPr>
            <w:tcW w:w="2977" w:type="dxa"/>
            <w:noWrap w:val="0"/>
            <w:vAlign w:val="top"/>
          </w:tcPr>
          <w:p>
            <w:pPr>
              <w:spacing w:line="360" w:lineRule="auto"/>
              <w:jc w:val="center"/>
              <w:rPr>
                <w:rFonts w:hint="eastAsia" w:ascii="仿宋" w:hAnsi="仿宋" w:eastAsia="仿宋" w:cs="仿宋_GB2312"/>
                <w:color w:val="auto"/>
                <w:sz w:val="24"/>
                <w:highlight w:val="none"/>
              </w:rPr>
            </w:pPr>
          </w:p>
        </w:tc>
        <w:tc>
          <w:tcPr>
            <w:tcW w:w="2268" w:type="dxa"/>
            <w:noWrap w:val="0"/>
            <w:vAlign w:val="top"/>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392"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709"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1701"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126"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850"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709" w:type="dxa"/>
            <w:noWrap w:val="0"/>
            <w:vAlign w:val="center"/>
          </w:tcPr>
          <w:p>
            <w:pPr>
              <w:spacing w:line="360" w:lineRule="auto"/>
              <w:jc w:val="center"/>
              <w:rPr>
                <w:rFonts w:hint="eastAsia" w:ascii="仿宋" w:hAnsi="仿宋" w:eastAsia="仿宋" w:cs="仿宋_GB2312"/>
                <w:color w:val="auto"/>
                <w:sz w:val="24"/>
                <w:highlight w:val="none"/>
              </w:rPr>
            </w:pPr>
          </w:p>
        </w:tc>
        <w:tc>
          <w:tcPr>
            <w:tcW w:w="1418" w:type="dxa"/>
            <w:noWrap w:val="0"/>
            <w:vAlign w:val="center"/>
          </w:tcPr>
          <w:p>
            <w:pPr>
              <w:spacing w:line="360" w:lineRule="auto"/>
              <w:jc w:val="center"/>
              <w:rPr>
                <w:rFonts w:hint="eastAsia" w:ascii="仿宋" w:hAnsi="仿宋" w:eastAsia="仿宋" w:cs="仿宋_GB2312"/>
                <w:color w:val="auto"/>
                <w:sz w:val="24"/>
                <w:highlight w:val="none"/>
              </w:rPr>
            </w:pPr>
          </w:p>
        </w:tc>
        <w:tc>
          <w:tcPr>
            <w:tcW w:w="1417" w:type="dxa"/>
            <w:noWrap w:val="0"/>
            <w:vAlign w:val="center"/>
          </w:tcPr>
          <w:p>
            <w:pPr>
              <w:spacing w:line="360" w:lineRule="auto"/>
              <w:jc w:val="center"/>
              <w:rPr>
                <w:rFonts w:hint="eastAsia" w:ascii="仿宋" w:hAnsi="仿宋" w:eastAsia="仿宋" w:cs="仿宋_GB2312"/>
                <w:color w:val="auto"/>
                <w:sz w:val="24"/>
                <w:highlight w:val="none"/>
              </w:rPr>
            </w:pPr>
          </w:p>
        </w:tc>
        <w:tc>
          <w:tcPr>
            <w:tcW w:w="2977" w:type="dxa"/>
            <w:noWrap w:val="0"/>
            <w:vAlign w:val="top"/>
          </w:tcPr>
          <w:p>
            <w:pPr>
              <w:spacing w:line="360" w:lineRule="auto"/>
              <w:jc w:val="center"/>
              <w:rPr>
                <w:rFonts w:hint="eastAsia" w:ascii="仿宋" w:hAnsi="仿宋" w:eastAsia="仿宋" w:cs="仿宋_GB2312"/>
                <w:color w:val="auto"/>
                <w:sz w:val="24"/>
                <w:highlight w:val="none"/>
              </w:rPr>
            </w:pPr>
          </w:p>
        </w:tc>
        <w:tc>
          <w:tcPr>
            <w:tcW w:w="2268" w:type="dxa"/>
            <w:noWrap w:val="0"/>
            <w:vAlign w:val="top"/>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392"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709"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1701"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126"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850"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709" w:type="dxa"/>
            <w:noWrap w:val="0"/>
            <w:vAlign w:val="center"/>
          </w:tcPr>
          <w:p>
            <w:pPr>
              <w:spacing w:line="360" w:lineRule="auto"/>
              <w:jc w:val="center"/>
              <w:rPr>
                <w:rFonts w:hint="eastAsia" w:ascii="仿宋" w:hAnsi="仿宋" w:eastAsia="仿宋" w:cs="仿宋_GB2312"/>
                <w:color w:val="auto"/>
                <w:sz w:val="24"/>
                <w:highlight w:val="none"/>
              </w:rPr>
            </w:pPr>
          </w:p>
        </w:tc>
        <w:tc>
          <w:tcPr>
            <w:tcW w:w="1418" w:type="dxa"/>
            <w:noWrap w:val="0"/>
            <w:vAlign w:val="center"/>
          </w:tcPr>
          <w:p>
            <w:pPr>
              <w:spacing w:line="360" w:lineRule="auto"/>
              <w:jc w:val="center"/>
              <w:rPr>
                <w:rFonts w:hint="eastAsia" w:ascii="仿宋" w:hAnsi="仿宋" w:eastAsia="仿宋" w:cs="仿宋_GB2312"/>
                <w:color w:val="auto"/>
                <w:sz w:val="24"/>
                <w:highlight w:val="none"/>
              </w:rPr>
            </w:pPr>
          </w:p>
        </w:tc>
        <w:tc>
          <w:tcPr>
            <w:tcW w:w="1417" w:type="dxa"/>
            <w:noWrap w:val="0"/>
            <w:vAlign w:val="center"/>
          </w:tcPr>
          <w:p>
            <w:pPr>
              <w:spacing w:line="360" w:lineRule="auto"/>
              <w:jc w:val="center"/>
              <w:rPr>
                <w:rFonts w:hint="eastAsia" w:ascii="仿宋" w:hAnsi="仿宋" w:eastAsia="仿宋" w:cs="仿宋_GB2312"/>
                <w:color w:val="auto"/>
                <w:sz w:val="24"/>
                <w:highlight w:val="none"/>
              </w:rPr>
            </w:pPr>
          </w:p>
        </w:tc>
        <w:tc>
          <w:tcPr>
            <w:tcW w:w="2977" w:type="dxa"/>
            <w:noWrap w:val="0"/>
            <w:vAlign w:val="top"/>
          </w:tcPr>
          <w:p>
            <w:pPr>
              <w:spacing w:line="360" w:lineRule="auto"/>
              <w:jc w:val="center"/>
              <w:rPr>
                <w:rFonts w:hint="eastAsia" w:ascii="仿宋" w:hAnsi="仿宋" w:eastAsia="仿宋" w:cs="仿宋_GB2312"/>
                <w:color w:val="auto"/>
                <w:sz w:val="24"/>
                <w:highlight w:val="none"/>
              </w:rPr>
            </w:pPr>
          </w:p>
        </w:tc>
        <w:tc>
          <w:tcPr>
            <w:tcW w:w="2268" w:type="dxa"/>
            <w:noWrap w:val="0"/>
            <w:vAlign w:val="top"/>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392"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709"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1701"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126"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850"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709" w:type="dxa"/>
            <w:noWrap w:val="0"/>
            <w:vAlign w:val="center"/>
          </w:tcPr>
          <w:p>
            <w:pPr>
              <w:spacing w:line="360" w:lineRule="auto"/>
              <w:jc w:val="center"/>
              <w:rPr>
                <w:rFonts w:hint="eastAsia" w:ascii="仿宋" w:hAnsi="仿宋" w:eastAsia="仿宋" w:cs="仿宋_GB2312"/>
                <w:color w:val="auto"/>
                <w:sz w:val="24"/>
                <w:highlight w:val="none"/>
              </w:rPr>
            </w:pPr>
          </w:p>
        </w:tc>
        <w:tc>
          <w:tcPr>
            <w:tcW w:w="1418" w:type="dxa"/>
            <w:noWrap w:val="0"/>
            <w:vAlign w:val="center"/>
          </w:tcPr>
          <w:p>
            <w:pPr>
              <w:spacing w:line="360" w:lineRule="auto"/>
              <w:jc w:val="center"/>
              <w:rPr>
                <w:rFonts w:hint="eastAsia" w:ascii="仿宋" w:hAnsi="仿宋" w:eastAsia="仿宋" w:cs="仿宋_GB2312"/>
                <w:color w:val="auto"/>
                <w:sz w:val="24"/>
                <w:highlight w:val="none"/>
              </w:rPr>
            </w:pPr>
          </w:p>
        </w:tc>
        <w:tc>
          <w:tcPr>
            <w:tcW w:w="1417" w:type="dxa"/>
            <w:noWrap w:val="0"/>
            <w:vAlign w:val="center"/>
          </w:tcPr>
          <w:p>
            <w:pPr>
              <w:spacing w:line="360" w:lineRule="auto"/>
              <w:jc w:val="center"/>
              <w:rPr>
                <w:rFonts w:hint="eastAsia" w:ascii="仿宋" w:hAnsi="仿宋" w:eastAsia="仿宋" w:cs="仿宋_GB2312"/>
                <w:color w:val="auto"/>
                <w:sz w:val="24"/>
                <w:highlight w:val="none"/>
              </w:rPr>
            </w:pPr>
          </w:p>
        </w:tc>
        <w:tc>
          <w:tcPr>
            <w:tcW w:w="2977" w:type="dxa"/>
            <w:noWrap w:val="0"/>
            <w:vAlign w:val="top"/>
          </w:tcPr>
          <w:p>
            <w:pPr>
              <w:spacing w:line="360" w:lineRule="auto"/>
              <w:jc w:val="center"/>
              <w:rPr>
                <w:rFonts w:hint="eastAsia" w:ascii="仿宋" w:hAnsi="仿宋" w:eastAsia="仿宋" w:cs="仿宋_GB2312"/>
                <w:color w:val="auto"/>
                <w:sz w:val="24"/>
                <w:highlight w:val="none"/>
              </w:rPr>
            </w:pPr>
          </w:p>
        </w:tc>
        <w:tc>
          <w:tcPr>
            <w:tcW w:w="2268" w:type="dxa"/>
            <w:noWrap w:val="0"/>
            <w:vAlign w:val="top"/>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392"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709"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1701"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126"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850"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709" w:type="dxa"/>
            <w:noWrap w:val="0"/>
            <w:vAlign w:val="center"/>
          </w:tcPr>
          <w:p>
            <w:pPr>
              <w:spacing w:line="360" w:lineRule="auto"/>
              <w:jc w:val="center"/>
              <w:rPr>
                <w:rFonts w:hint="eastAsia" w:ascii="仿宋" w:hAnsi="仿宋" w:eastAsia="仿宋" w:cs="仿宋_GB2312"/>
                <w:color w:val="auto"/>
                <w:sz w:val="24"/>
                <w:highlight w:val="none"/>
              </w:rPr>
            </w:pPr>
          </w:p>
        </w:tc>
        <w:tc>
          <w:tcPr>
            <w:tcW w:w="1418" w:type="dxa"/>
            <w:noWrap w:val="0"/>
            <w:vAlign w:val="center"/>
          </w:tcPr>
          <w:p>
            <w:pPr>
              <w:spacing w:line="360" w:lineRule="auto"/>
              <w:jc w:val="center"/>
              <w:rPr>
                <w:rFonts w:hint="eastAsia" w:ascii="仿宋" w:hAnsi="仿宋" w:eastAsia="仿宋" w:cs="仿宋_GB2312"/>
                <w:color w:val="auto"/>
                <w:sz w:val="24"/>
                <w:highlight w:val="none"/>
              </w:rPr>
            </w:pPr>
          </w:p>
        </w:tc>
        <w:tc>
          <w:tcPr>
            <w:tcW w:w="1417" w:type="dxa"/>
            <w:noWrap w:val="0"/>
            <w:vAlign w:val="center"/>
          </w:tcPr>
          <w:p>
            <w:pPr>
              <w:spacing w:line="360" w:lineRule="auto"/>
              <w:jc w:val="center"/>
              <w:rPr>
                <w:rFonts w:hint="eastAsia" w:ascii="仿宋" w:hAnsi="仿宋" w:eastAsia="仿宋" w:cs="仿宋_GB2312"/>
                <w:color w:val="auto"/>
                <w:sz w:val="24"/>
                <w:highlight w:val="none"/>
              </w:rPr>
            </w:pPr>
          </w:p>
        </w:tc>
        <w:tc>
          <w:tcPr>
            <w:tcW w:w="2977" w:type="dxa"/>
            <w:noWrap w:val="0"/>
            <w:vAlign w:val="top"/>
          </w:tcPr>
          <w:p>
            <w:pPr>
              <w:spacing w:line="360" w:lineRule="auto"/>
              <w:jc w:val="center"/>
              <w:rPr>
                <w:rFonts w:hint="eastAsia" w:ascii="仿宋" w:hAnsi="仿宋" w:eastAsia="仿宋" w:cs="仿宋_GB2312"/>
                <w:color w:val="auto"/>
                <w:sz w:val="24"/>
                <w:highlight w:val="none"/>
              </w:rPr>
            </w:pPr>
          </w:p>
        </w:tc>
        <w:tc>
          <w:tcPr>
            <w:tcW w:w="2268" w:type="dxa"/>
            <w:noWrap w:val="0"/>
            <w:vAlign w:val="top"/>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392"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709" w:type="dxa"/>
            <w:noWrap w:val="0"/>
            <w:vAlign w:val="center"/>
          </w:tcPr>
          <w:p>
            <w:pPr>
              <w:widowControl/>
              <w:spacing w:line="360" w:lineRule="auto"/>
              <w:rPr>
                <w:rFonts w:hint="eastAsia" w:ascii="仿宋" w:hAnsi="仿宋" w:eastAsia="仿宋" w:cs="仿宋_GB2312"/>
                <w:color w:val="auto"/>
                <w:kern w:val="0"/>
                <w:sz w:val="24"/>
                <w:highlight w:val="none"/>
                <w:lang w:bidi="hi-IN"/>
              </w:rPr>
            </w:pPr>
          </w:p>
        </w:tc>
        <w:tc>
          <w:tcPr>
            <w:tcW w:w="1701" w:type="dxa"/>
            <w:noWrap w:val="0"/>
            <w:vAlign w:val="center"/>
          </w:tcPr>
          <w:p>
            <w:pPr>
              <w:widowControl/>
              <w:spacing w:line="360" w:lineRule="auto"/>
              <w:rPr>
                <w:rFonts w:hint="eastAsia" w:ascii="仿宋" w:hAnsi="仿宋" w:eastAsia="仿宋" w:cs="仿宋_GB2312"/>
                <w:color w:val="auto"/>
                <w:kern w:val="0"/>
                <w:sz w:val="24"/>
                <w:highlight w:val="none"/>
                <w:lang w:bidi="hi-IN"/>
              </w:rPr>
            </w:pPr>
          </w:p>
        </w:tc>
        <w:tc>
          <w:tcPr>
            <w:tcW w:w="2126" w:type="dxa"/>
            <w:noWrap w:val="0"/>
            <w:vAlign w:val="center"/>
          </w:tcPr>
          <w:p>
            <w:pPr>
              <w:spacing w:line="360" w:lineRule="auto"/>
              <w:jc w:val="center"/>
              <w:rPr>
                <w:rFonts w:hint="eastAsia" w:ascii="仿宋" w:hAnsi="仿宋" w:eastAsia="仿宋" w:cs="仿宋_GB2312"/>
                <w:color w:val="auto"/>
                <w:sz w:val="24"/>
                <w:highlight w:val="none"/>
              </w:rPr>
            </w:pPr>
          </w:p>
        </w:tc>
        <w:tc>
          <w:tcPr>
            <w:tcW w:w="850" w:type="dxa"/>
            <w:noWrap w:val="0"/>
            <w:vAlign w:val="center"/>
          </w:tcPr>
          <w:p>
            <w:pPr>
              <w:spacing w:line="360" w:lineRule="auto"/>
              <w:jc w:val="center"/>
              <w:rPr>
                <w:rFonts w:hint="eastAsia" w:ascii="仿宋" w:hAnsi="仿宋" w:eastAsia="仿宋" w:cs="仿宋_GB2312"/>
                <w:color w:val="auto"/>
                <w:sz w:val="24"/>
                <w:highlight w:val="none"/>
              </w:rPr>
            </w:pPr>
          </w:p>
        </w:tc>
        <w:tc>
          <w:tcPr>
            <w:tcW w:w="709" w:type="dxa"/>
            <w:noWrap w:val="0"/>
            <w:vAlign w:val="center"/>
          </w:tcPr>
          <w:p>
            <w:pPr>
              <w:spacing w:line="360" w:lineRule="auto"/>
              <w:jc w:val="center"/>
              <w:rPr>
                <w:rFonts w:hint="eastAsia" w:ascii="仿宋" w:hAnsi="仿宋" w:eastAsia="仿宋" w:cs="仿宋_GB2312"/>
                <w:color w:val="auto"/>
                <w:sz w:val="24"/>
                <w:highlight w:val="none"/>
              </w:rPr>
            </w:pPr>
          </w:p>
        </w:tc>
        <w:tc>
          <w:tcPr>
            <w:tcW w:w="1418" w:type="dxa"/>
            <w:noWrap w:val="0"/>
            <w:vAlign w:val="center"/>
          </w:tcPr>
          <w:p>
            <w:pPr>
              <w:spacing w:line="360" w:lineRule="auto"/>
              <w:jc w:val="center"/>
              <w:rPr>
                <w:rFonts w:hint="eastAsia" w:ascii="仿宋" w:hAnsi="仿宋" w:eastAsia="仿宋" w:cs="仿宋_GB2312"/>
                <w:color w:val="auto"/>
                <w:sz w:val="24"/>
                <w:highlight w:val="none"/>
              </w:rPr>
            </w:pPr>
          </w:p>
        </w:tc>
        <w:tc>
          <w:tcPr>
            <w:tcW w:w="1417" w:type="dxa"/>
            <w:noWrap w:val="0"/>
            <w:vAlign w:val="center"/>
          </w:tcPr>
          <w:p>
            <w:pPr>
              <w:spacing w:line="360" w:lineRule="auto"/>
              <w:jc w:val="center"/>
              <w:rPr>
                <w:rFonts w:hint="eastAsia" w:ascii="仿宋" w:hAnsi="仿宋" w:eastAsia="仿宋" w:cs="仿宋_GB2312"/>
                <w:color w:val="auto"/>
                <w:sz w:val="24"/>
                <w:highlight w:val="none"/>
              </w:rPr>
            </w:pPr>
          </w:p>
        </w:tc>
        <w:tc>
          <w:tcPr>
            <w:tcW w:w="2977" w:type="dxa"/>
            <w:noWrap w:val="0"/>
            <w:vAlign w:val="top"/>
          </w:tcPr>
          <w:p>
            <w:pPr>
              <w:spacing w:line="360" w:lineRule="auto"/>
              <w:jc w:val="center"/>
              <w:rPr>
                <w:rFonts w:hint="eastAsia" w:ascii="仿宋" w:hAnsi="仿宋" w:eastAsia="仿宋" w:cs="仿宋_GB2312"/>
                <w:color w:val="auto"/>
                <w:sz w:val="24"/>
                <w:highlight w:val="none"/>
              </w:rPr>
            </w:pPr>
          </w:p>
        </w:tc>
        <w:tc>
          <w:tcPr>
            <w:tcW w:w="2268" w:type="dxa"/>
            <w:noWrap w:val="0"/>
            <w:vAlign w:val="top"/>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4928" w:type="dxa"/>
            <w:gridSpan w:val="4"/>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可享受价格扣除部分的报价合计（小写）</w:t>
            </w:r>
          </w:p>
        </w:tc>
        <w:tc>
          <w:tcPr>
            <w:tcW w:w="9639" w:type="dxa"/>
            <w:gridSpan w:val="6"/>
            <w:noWrap w:val="0"/>
            <w:vAlign w:val="center"/>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9" w:hRule="atLeast"/>
        </w:trPr>
        <w:tc>
          <w:tcPr>
            <w:tcW w:w="4928" w:type="dxa"/>
            <w:gridSpan w:val="4"/>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9639" w:type="dxa"/>
            <w:gridSpan w:val="6"/>
            <w:noWrap w:val="0"/>
            <w:vAlign w:val="center"/>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7" w:hRule="atLeast"/>
        </w:trPr>
        <w:tc>
          <w:tcPr>
            <w:tcW w:w="4928" w:type="dxa"/>
            <w:gridSpan w:val="4"/>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9639" w:type="dxa"/>
            <w:gridSpan w:val="6"/>
            <w:noWrap w:val="0"/>
            <w:vAlign w:val="center"/>
          </w:tcPr>
          <w:p>
            <w:pPr>
              <w:spacing w:line="360" w:lineRule="auto"/>
              <w:jc w:val="center"/>
              <w:rPr>
                <w:rFonts w:hint="eastAsia" w:ascii="仿宋" w:hAnsi="仿宋" w:eastAsia="仿宋" w:cs="仿宋_GB2312"/>
                <w:color w:val="auto"/>
                <w:sz w:val="24"/>
                <w:highlight w:val="none"/>
              </w:rPr>
            </w:pPr>
          </w:p>
        </w:tc>
      </w:tr>
    </w:tbl>
    <w:p>
      <w:pPr>
        <w:snapToGrid w:val="0"/>
        <w:spacing w:line="360" w:lineRule="auto"/>
        <w:ind w:left="480"/>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pacing w:line="360" w:lineRule="auto"/>
        <w:ind w:left="-2" w:leftChars="-1"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1、投标人需按本表格式填写，不得自行更改。</w:t>
      </w:r>
    </w:p>
    <w:p>
      <w:pPr>
        <w:snapToGrid w:val="0"/>
        <w:spacing w:line="360" w:lineRule="auto"/>
        <w:ind w:left="48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2、有关本项目实施所涉及的一切费用（详见前附表）均计入报价。</w:t>
      </w:r>
    </w:p>
    <w:p>
      <w:pPr>
        <w:snapToGrid w:val="0"/>
        <w:spacing w:line="360" w:lineRule="auto"/>
        <w:ind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5、是否可享受价格扣除：根据招标文件3.3小型、微型企业价格扣除的政策规定，给予满足条件的投标人用扣除后的价格参与评审的支持。 </w:t>
      </w:r>
      <w:r>
        <w:rPr>
          <w:rFonts w:hint="eastAsia" w:ascii="仿宋" w:hAnsi="仿宋" w:eastAsia="仿宋"/>
          <w:b/>
          <w:color w:val="auto"/>
          <w:sz w:val="24"/>
          <w:highlight w:val="none"/>
        </w:rPr>
        <w:t>▲投标人应如实填写是否可享受价格扣除，否则视为投标人提供虚假材料投标，投标无效</w:t>
      </w:r>
    </w:p>
    <w:p>
      <w:pPr>
        <w:snapToGrid w:val="0"/>
        <w:spacing w:line="360" w:lineRule="auto"/>
        <w:ind w:firstLine="482" w:firstLineChars="200"/>
        <w:jc w:val="left"/>
        <w:rPr>
          <w:rFonts w:hint="eastAsia" w:ascii="仿宋" w:hAnsi="仿宋" w:eastAsia="仿宋"/>
          <w:b/>
          <w:color w:val="auto"/>
          <w:kern w:val="0"/>
          <w:sz w:val="24"/>
          <w:highlight w:val="none"/>
        </w:rPr>
      </w:pPr>
    </w:p>
    <w:p>
      <w:pPr>
        <w:spacing w:line="360" w:lineRule="auto"/>
        <w:ind w:firstLine="3600" w:firstLineChars="15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投标人名称（公章）：</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法定代表人或其授权代表（签字）：</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日期：  年   月   日</w:t>
      </w:r>
    </w:p>
    <w:bookmarkEnd w:id="566"/>
    <w:p>
      <w:pPr>
        <w:spacing w:line="360" w:lineRule="auto"/>
        <w:jc w:val="center"/>
        <w:outlineLvl w:val="0"/>
        <w:rPr>
          <w:rFonts w:hint="eastAsia" w:ascii="仿宋" w:hAnsi="仿宋" w:eastAsia="仿宋" w:cs="仿宋_GB2312"/>
          <w:color w:val="auto"/>
          <w:sz w:val="36"/>
          <w:szCs w:val="36"/>
          <w:highlight w:val="none"/>
          <w:lang w:val="zh-CN"/>
        </w:rPr>
      </w:pPr>
    </w:p>
    <w:p>
      <w:pPr>
        <w:spacing w:line="360" w:lineRule="auto"/>
        <w:jc w:val="center"/>
        <w:outlineLvl w:val="0"/>
        <w:rPr>
          <w:rFonts w:hint="eastAsia" w:ascii="仿宋" w:hAnsi="仿宋" w:eastAsia="仿宋" w:cs="仿宋_GB2312"/>
          <w:color w:val="auto"/>
          <w:sz w:val="36"/>
          <w:szCs w:val="36"/>
          <w:highlight w:val="none"/>
          <w:lang w:val="zh-CN"/>
        </w:rPr>
      </w:pPr>
    </w:p>
    <w:p>
      <w:pPr>
        <w:spacing w:line="360" w:lineRule="auto"/>
        <w:jc w:val="center"/>
        <w:outlineLvl w:val="0"/>
        <w:rPr>
          <w:rFonts w:hint="eastAsia" w:ascii="仿宋" w:hAnsi="仿宋" w:eastAsia="仿宋" w:cs="仿宋_GB2312"/>
          <w:color w:val="auto"/>
          <w:sz w:val="36"/>
          <w:szCs w:val="36"/>
          <w:highlight w:val="none"/>
          <w:lang w:val="zh-CN"/>
        </w:rPr>
      </w:pPr>
    </w:p>
    <w:p>
      <w:pPr>
        <w:spacing w:line="360" w:lineRule="auto"/>
        <w:jc w:val="center"/>
        <w:outlineLvl w:val="0"/>
        <w:rPr>
          <w:rFonts w:hint="eastAsia" w:ascii="仿宋" w:hAnsi="仿宋" w:eastAsia="仿宋" w:cs="仿宋_GB2312"/>
          <w:color w:val="auto"/>
          <w:sz w:val="36"/>
          <w:szCs w:val="36"/>
          <w:highlight w:val="none"/>
          <w:lang w:val="zh-CN"/>
        </w:rPr>
      </w:pPr>
    </w:p>
    <w:p>
      <w:pPr>
        <w:spacing w:line="360" w:lineRule="auto"/>
        <w:jc w:val="center"/>
        <w:outlineLvl w:val="0"/>
        <w:rPr>
          <w:rFonts w:hint="eastAsia" w:ascii="仿宋" w:hAnsi="仿宋" w:eastAsia="仿宋" w:cs="仿宋_GB2312"/>
          <w:color w:val="auto"/>
          <w:sz w:val="36"/>
          <w:szCs w:val="36"/>
          <w:highlight w:val="none"/>
          <w:lang w:val="zh-CN"/>
        </w:rPr>
      </w:pPr>
    </w:p>
    <w:p>
      <w:pPr>
        <w:spacing w:line="360" w:lineRule="auto"/>
        <w:jc w:val="center"/>
        <w:outlineLvl w:val="0"/>
        <w:rPr>
          <w:rFonts w:ascii="仿宋" w:hAnsi="仿宋" w:eastAsia="仿宋" w:cs="仿宋_GB2312"/>
          <w:color w:val="auto"/>
          <w:sz w:val="36"/>
          <w:szCs w:val="36"/>
          <w:highlight w:val="none"/>
          <w:lang w:val="zh-CN"/>
        </w:rPr>
        <w:sectPr>
          <w:pgSz w:w="16838" w:h="11906" w:orient="landscape"/>
          <w:pgMar w:top="1418" w:right="1276" w:bottom="1418" w:left="1247" w:header="851" w:footer="992" w:gutter="0"/>
          <w:cols w:space="720" w:num="1"/>
          <w:titlePg/>
          <w:docGrid w:linePitch="312" w:charSpace="0"/>
        </w:sectPr>
      </w:pPr>
    </w:p>
    <w:p>
      <w:pPr>
        <w:pStyle w:val="631"/>
        <w:keepNext w:val="0"/>
        <w:pageBreakBefore w:val="0"/>
        <w:tabs>
          <w:tab w:val="clear" w:pos="720"/>
        </w:tabs>
        <w:snapToGrid w:val="0"/>
        <w:ind w:firstLine="640"/>
        <w:outlineLvl w:val="9"/>
        <w:rPr>
          <w:rFonts w:hint="eastAsia"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三、中小企业声明函</w:t>
      </w:r>
    </w:p>
    <w:p>
      <w:pPr>
        <w:spacing w:line="360" w:lineRule="auto"/>
        <w:rPr>
          <w:rFonts w:hint="eastAsia" w:ascii="仿宋" w:hAnsi="仿宋" w:eastAsia="仿宋"/>
          <w:color w:val="auto"/>
          <w:highlight w:val="none"/>
        </w:rPr>
      </w:pP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本公司郑重声明，根据《政府采购促进中小企业发展暂行办法》（财库[2011]181号）的规定，本公司为</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（请填写：中型、小型、微型）企业。即，本公司同时满足以下条件：</w:t>
      </w:r>
    </w:p>
    <w:p>
      <w:pPr>
        <w:pStyle w:val="518"/>
        <w:widowControl/>
        <w:numPr>
          <w:ilvl w:val="0"/>
          <w:numId w:val="14"/>
        </w:numPr>
        <w:ind w:firstLineChars="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_GB2312"/>
          <w:color w:val="auto"/>
          <w:szCs w:val="24"/>
          <w:highlight w:val="none"/>
          <w:u w:val="single"/>
        </w:rPr>
        <w:t xml:space="preserve">   </w:t>
      </w:r>
      <w:r>
        <w:rPr>
          <w:rFonts w:hint="eastAsia" w:ascii="仿宋" w:hAnsi="仿宋" w:eastAsia="仿宋" w:cs="仿宋_GB2312"/>
          <w:color w:val="auto"/>
          <w:szCs w:val="24"/>
          <w:highlight w:val="none"/>
        </w:rPr>
        <w:t>（请填写：中型、小型、微型）企业。</w:t>
      </w:r>
    </w:p>
    <w:p>
      <w:pPr>
        <w:pStyle w:val="518"/>
        <w:widowControl/>
        <w:numPr>
          <w:ilvl w:val="0"/>
          <w:numId w:val="14"/>
        </w:numPr>
        <w:ind w:firstLineChars="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本公司参加</w:t>
      </w:r>
      <w:r>
        <w:rPr>
          <w:rFonts w:hint="eastAsia" w:ascii="仿宋" w:hAnsi="仿宋" w:eastAsia="仿宋" w:cs="仿宋_GB2312"/>
          <w:color w:val="auto"/>
          <w:szCs w:val="24"/>
          <w:highlight w:val="none"/>
          <w:u w:val="single"/>
        </w:rPr>
        <w:t xml:space="preserve">         </w:t>
      </w:r>
      <w:r>
        <w:rPr>
          <w:rFonts w:hint="eastAsia" w:ascii="仿宋" w:hAnsi="仿宋" w:eastAsia="仿宋" w:cs="仿宋_GB2312"/>
          <w:color w:val="auto"/>
          <w:szCs w:val="24"/>
          <w:highlight w:val="none"/>
        </w:rPr>
        <w:t>单位的</w:t>
      </w:r>
      <w:r>
        <w:rPr>
          <w:rFonts w:hint="eastAsia" w:ascii="仿宋" w:hAnsi="仿宋" w:eastAsia="仿宋" w:cs="仿宋_GB2312"/>
          <w:color w:val="auto"/>
          <w:szCs w:val="24"/>
          <w:highlight w:val="none"/>
          <w:u w:val="single"/>
        </w:rPr>
        <w:t xml:space="preserve">       </w:t>
      </w:r>
      <w:r>
        <w:rPr>
          <w:rFonts w:hint="eastAsia" w:ascii="仿宋" w:hAnsi="仿宋" w:eastAsia="仿宋" w:cs="仿宋_GB2312"/>
          <w:color w:val="auto"/>
          <w:szCs w:val="24"/>
          <w:highlight w:val="none"/>
        </w:rPr>
        <w:t xml:space="preserve">项目采购活动提供本企业制造的货物，由本企业承担工程、提供服务，或者提供其他 </w:t>
      </w:r>
      <w:r>
        <w:rPr>
          <w:rFonts w:hint="eastAsia" w:ascii="仿宋" w:hAnsi="仿宋" w:eastAsia="仿宋" w:cs="仿宋_GB2312"/>
          <w:color w:val="auto"/>
          <w:szCs w:val="24"/>
          <w:highlight w:val="none"/>
          <w:u w:val="single"/>
        </w:rPr>
        <w:t xml:space="preserve">        </w:t>
      </w:r>
      <w:r>
        <w:rPr>
          <w:rFonts w:hint="eastAsia" w:ascii="仿宋" w:hAnsi="仿宋" w:eastAsia="仿宋" w:cs="仿宋_GB2312"/>
          <w:color w:val="auto"/>
          <w:szCs w:val="24"/>
          <w:highlight w:val="none"/>
        </w:rPr>
        <w:t>（请填写：中型、小型、微型）企业制造的货物。本条所称货物不包括使用大型企业注册商标的货物。</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本公司对上述声明的真实性负责。如有虚假，将依法承担相应责任。</w:t>
      </w:r>
    </w:p>
    <w:p>
      <w:pPr>
        <w:spacing w:line="360" w:lineRule="auto"/>
        <w:jc w:val="right"/>
        <w:rPr>
          <w:rFonts w:hint="eastAsia" w:ascii="仿宋" w:hAnsi="仿宋" w:eastAsia="仿宋" w:cs="仿宋_GB2312"/>
          <w:color w:val="auto"/>
          <w:sz w:val="24"/>
          <w:highlight w:val="none"/>
        </w:rPr>
      </w:pPr>
    </w:p>
    <w:p>
      <w:pPr>
        <w:spacing w:line="360" w:lineRule="auto"/>
        <w:jc w:val="center"/>
        <w:outlineLvl w:val="0"/>
        <w:rPr>
          <w:rFonts w:hint="eastAsia" w:ascii="仿宋" w:hAnsi="仿宋" w:eastAsia="仿宋" w:cs="仿宋_GB2312"/>
          <w:color w:val="auto"/>
          <w:sz w:val="36"/>
          <w:szCs w:val="36"/>
          <w:highlight w:val="none"/>
          <w:lang w:val="zh-CN"/>
        </w:rPr>
      </w:pPr>
      <w:r>
        <w:rPr>
          <w:rFonts w:hint="eastAsia" w:ascii="仿宋" w:hAnsi="仿宋" w:eastAsia="仿宋" w:cs="仿宋_GB2312"/>
          <w:color w:val="auto"/>
          <w:sz w:val="24"/>
          <w:highlight w:val="none"/>
        </w:rPr>
        <w:t xml:space="preserve">企业名称（盖章）：               </w:t>
      </w:r>
    </w:p>
    <w:p>
      <w:pPr>
        <w:spacing w:line="360" w:lineRule="auto"/>
        <w:jc w:val="center"/>
        <w:outlineLvl w:val="0"/>
        <w:rPr>
          <w:rFonts w:hint="eastAsia" w:ascii="仿宋" w:hAnsi="仿宋" w:eastAsia="仿宋" w:cs="仿宋_GB2312"/>
          <w:color w:val="auto"/>
          <w:sz w:val="36"/>
          <w:szCs w:val="36"/>
          <w:highlight w:val="none"/>
          <w:lang w:val="zh-CN"/>
        </w:rPr>
      </w:pPr>
    </w:p>
    <w:p>
      <w:pPr>
        <w:spacing w:line="360" w:lineRule="auto"/>
        <w:ind w:right="42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w:t>
      </w:r>
      <w:r>
        <w:rPr>
          <w:rFonts w:hint="eastAsia" w:ascii="仿宋" w:hAnsi="仿宋" w:eastAsia="仿宋"/>
          <w:b/>
          <w:color w:val="auto"/>
          <w:sz w:val="24"/>
          <w:highlight w:val="none"/>
        </w:rPr>
        <w:t>▲投标人提供的中小企业声明函与实际情况不符的，视为投标人提供虚假材料投标的，投标无效。</w:t>
      </w:r>
      <w:r>
        <w:rPr>
          <w:rFonts w:hint="eastAsia" w:ascii="仿宋" w:hAnsi="仿宋" w:eastAsia="仿宋"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 w:hAnsi="仿宋" w:eastAsia="仿宋" w:cs="仿宋_GB2312"/>
          <w:color w:val="auto"/>
          <w:sz w:val="36"/>
          <w:szCs w:val="36"/>
          <w:highlight w:val="none"/>
        </w:rPr>
        <w:sectPr>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color w:val="auto"/>
          <w:sz w:val="36"/>
          <w:szCs w:val="36"/>
          <w:highlight w:val="none"/>
          <w:lang w:val="zh-CN"/>
        </w:rPr>
        <w:t>▲</w:t>
      </w: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hint="eastAsia" w:ascii="仿宋" w:hAnsi="仿宋" w:eastAsia="仿宋" w:cs="仿宋_GB2312"/>
          <w:b/>
          <w:color w:val="auto"/>
          <w:kern w:val="0"/>
          <w:sz w:val="24"/>
          <w:highlight w:val="none"/>
        </w:rPr>
      </w:pPr>
    </w:p>
    <w:p>
      <w:pPr>
        <w:spacing w:line="360" w:lineRule="auto"/>
        <w:jc w:val="center"/>
        <w:outlineLvl w:val="0"/>
        <w:rPr>
          <w:rFonts w:hint="eastAsia"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pStyle w:val="701"/>
        <w:spacing w:line="360" w:lineRule="auto"/>
        <w:rPr>
          <w:rFonts w:hint="eastAsia" w:ascii="仿宋" w:eastAsia="仿宋" w:cs="仿宋_GB2312"/>
          <w:color w:val="auto"/>
          <w:highlight w:val="none"/>
        </w:rPr>
      </w:pPr>
      <w:r>
        <w:rPr>
          <w:rFonts w:hint="eastAsia" w:ascii="仿宋" w:eastAsia="仿宋" w:cs="仿宋_GB2312"/>
          <w:color w:val="auto"/>
          <w:highlight w:val="none"/>
        </w:rPr>
        <w:t>（1）营业执照(或事业法人登记证或其他工商等登记证明材料)复印件（投标人为 然人的，提供自然人的身份证明）………………………………………（页码）</w:t>
      </w:r>
    </w:p>
    <w:p>
      <w:pPr>
        <w:pStyle w:val="701"/>
        <w:spacing w:line="360" w:lineRule="auto"/>
        <w:rPr>
          <w:rFonts w:hint="eastAsia" w:ascii="仿宋" w:eastAsia="仿宋" w:cs="仿宋_GB2312"/>
          <w:color w:val="auto"/>
          <w:highlight w:val="none"/>
        </w:rPr>
      </w:pPr>
      <w:r>
        <w:rPr>
          <w:rFonts w:hint="eastAsia" w:ascii="仿宋" w:eastAsia="仿宋" w:cs="仿宋_GB2312"/>
          <w:color w:val="auto"/>
          <w:highlight w:val="none"/>
        </w:rPr>
        <w:t>（2）法定代表人授权书 ………………………………………………（页码）</w:t>
      </w:r>
    </w:p>
    <w:p>
      <w:pPr>
        <w:pStyle w:val="701"/>
        <w:spacing w:line="360" w:lineRule="auto"/>
        <w:rPr>
          <w:rFonts w:hint="eastAsia" w:ascii="仿宋" w:eastAsia="仿宋" w:cs="仿宋_GB2312"/>
          <w:color w:val="auto"/>
          <w:highlight w:val="none"/>
        </w:rPr>
      </w:pPr>
      <w:r>
        <w:rPr>
          <w:rFonts w:hint="eastAsia" w:ascii="仿宋" w:eastAsia="仿宋" w:cs="仿宋_GB2312"/>
          <w:color w:val="auto"/>
          <w:highlight w:val="none"/>
        </w:rPr>
        <w:t>（3）法定代表人及其授权代表的身份证（复印件）…………………（页码）</w:t>
      </w:r>
    </w:p>
    <w:p>
      <w:pPr>
        <w:pStyle w:val="701"/>
        <w:spacing w:line="360" w:lineRule="auto"/>
        <w:rPr>
          <w:rFonts w:hint="eastAsia" w:ascii="仿宋" w:eastAsia="仿宋" w:cs="仿宋_GB2312"/>
          <w:color w:val="auto"/>
          <w:highlight w:val="none"/>
        </w:rPr>
      </w:pPr>
      <w:r>
        <w:rPr>
          <w:rFonts w:hint="eastAsia" w:ascii="仿宋" w:eastAsia="仿宋" w:cs="仿宋_GB2312"/>
          <w:color w:val="auto"/>
          <w:highlight w:val="none"/>
        </w:rPr>
        <w:t>（4）联合体协议</w:t>
      </w:r>
      <w:r>
        <w:rPr>
          <w:rFonts w:hint="eastAsia" w:ascii="仿宋" w:eastAsia="仿宋" w:cs="仿宋_GB2312"/>
          <w:color w:val="auto"/>
          <w:highlight w:val="none"/>
          <w:lang w:val="zh-CN"/>
        </w:rPr>
        <w:t>… ……………………………………………………</w:t>
      </w:r>
      <w:r>
        <w:rPr>
          <w:rFonts w:hint="eastAsia" w:ascii="仿宋" w:eastAsia="仿宋" w:cs="仿宋_GB2312"/>
          <w:color w:val="auto"/>
          <w:highlight w:val="none"/>
        </w:rPr>
        <w:t>（页码）</w:t>
      </w:r>
    </w:p>
    <w:p>
      <w:pPr>
        <w:pStyle w:val="701"/>
        <w:spacing w:line="360" w:lineRule="auto"/>
        <w:rPr>
          <w:rFonts w:hint="eastAsia" w:ascii="仿宋" w:eastAsia="仿宋" w:cs="仿宋_GB2312"/>
          <w:color w:val="auto"/>
          <w:highlight w:val="none"/>
        </w:rPr>
      </w:pPr>
      <w:r>
        <w:rPr>
          <w:rFonts w:hint="eastAsia" w:ascii="仿宋" w:eastAsia="仿宋" w:cs="仿宋_GB2312"/>
          <w:color w:val="auto"/>
          <w:highlight w:val="none"/>
        </w:rPr>
        <w:t>（5）资信文件复印件（如果要求提供）……………………………（页码）</w:t>
      </w:r>
    </w:p>
    <w:p>
      <w:pPr>
        <w:pStyle w:val="701"/>
        <w:spacing w:line="360" w:lineRule="auto"/>
        <w:rPr>
          <w:rFonts w:hint="eastAsia" w:ascii="仿宋" w:eastAsia="仿宋" w:cs="仿宋_GB2312"/>
          <w:color w:val="auto"/>
          <w:highlight w:val="none"/>
        </w:rPr>
      </w:pPr>
      <w:r>
        <w:rPr>
          <w:rFonts w:hint="eastAsia" w:ascii="仿宋" w:eastAsia="仿宋" w:cs="仿宋_GB2312"/>
          <w:color w:val="auto"/>
          <w:highlight w:val="none"/>
        </w:rPr>
        <w:t>（6）</w:t>
      </w:r>
      <w:r>
        <w:rPr>
          <w:rFonts w:hint="eastAsia" w:ascii="仿宋" w:eastAsia="仿宋" w:cs="仿宋_GB2312"/>
          <w:color w:val="auto"/>
          <w:highlight w:val="none"/>
          <w:lang w:val="zh-CN"/>
        </w:rPr>
        <w:t>主要业绩证明… …………………………………………………</w:t>
      </w:r>
      <w:r>
        <w:rPr>
          <w:rFonts w:hint="eastAsia" w:ascii="仿宋" w:eastAsia="仿宋" w:cs="仿宋_GB2312"/>
          <w:color w:val="auto"/>
          <w:highlight w:val="none"/>
        </w:rPr>
        <w:t>（页码）</w:t>
      </w:r>
    </w:p>
    <w:p>
      <w:pPr>
        <w:pStyle w:val="701"/>
        <w:spacing w:line="360" w:lineRule="auto"/>
        <w:rPr>
          <w:rFonts w:hint="eastAsia" w:ascii="仿宋" w:eastAsia="仿宋" w:cs="仿宋_GB2312"/>
          <w:color w:val="auto"/>
          <w:highlight w:val="none"/>
        </w:rPr>
      </w:pPr>
      <w:bookmarkStart w:id="567" w:name="OLE_LINK6"/>
      <w:bookmarkStart w:id="568" w:name="OLE_LINK7"/>
      <w:bookmarkStart w:id="569" w:name="OLE_LINK5"/>
      <w:r>
        <w:rPr>
          <w:rFonts w:hint="eastAsia" w:ascii="仿宋" w:eastAsia="仿宋" w:cs="仿宋_GB2312"/>
          <w:color w:val="auto"/>
          <w:highlight w:val="none"/>
        </w:rPr>
        <w:t>（7）其他商务文件或说明</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7"/>
      <w:bookmarkEnd w:id="568"/>
    </w:p>
    <w:bookmarkEnd w:id="569"/>
    <w:p>
      <w:pPr>
        <w:spacing w:line="360" w:lineRule="auto"/>
        <w:ind w:firstLine="480" w:firstLineChars="200"/>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（8）技术解决方案……………………………………………………（页码）</w:t>
      </w:r>
    </w:p>
    <w:p>
      <w:pPr>
        <w:spacing w:line="360" w:lineRule="auto"/>
        <w:ind w:firstLine="480" w:firstLineChars="200"/>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（9）技术偏离说明表…………………………………………………（页码）</w:t>
      </w:r>
    </w:p>
    <w:p>
      <w:pPr>
        <w:spacing w:line="360" w:lineRule="auto"/>
        <w:ind w:firstLine="480" w:firstLineChars="200"/>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（10）组织实施方案……………………………………………………（页码）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（11）售后服务方案……………………………………………………（页码）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（12）项目小组人员名单………………………………………………（页码）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（13）</w:t>
      </w:r>
      <w:r>
        <w:rPr>
          <w:rFonts w:hint="eastAsia" w:ascii="仿宋" w:hAnsi="仿宋" w:eastAsia="仿宋" w:cs="仿宋_GB2312"/>
          <w:color w:val="auto"/>
          <w:kern w:val="0"/>
          <w:sz w:val="24"/>
          <w:highlight w:val="none"/>
          <w:lang w:val="zh-CN"/>
        </w:rPr>
        <w:t>优惠条件及特殊承诺……………………………………………</w:t>
      </w:r>
      <w:r>
        <w:rPr>
          <w:rFonts w:hint="eastAsia" w:ascii="仿宋" w:hAnsi="仿宋" w:eastAsia="仿宋" w:cs="仿宋_GB2312"/>
          <w:color w:val="auto"/>
          <w:kern w:val="0"/>
          <w:sz w:val="24"/>
          <w:highlight w:val="none"/>
        </w:rPr>
        <w:t>（页码）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（14）</w:t>
      </w:r>
      <w:r>
        <w:rPr>
          <w:rFonts w:hint="eastAsia" w:ascii="仿宋" w:hAnsi="仿宋" w:eastAsia="仿宋" w:cs="仿宋_GB2312"/>
          <w:color w:val="auto"/>
          <w:kern w:val="0"/>
          <w:sz w:val="24"/>
          <w:highlight w:val="none"/>
          <w:lang w:val="zh-CN"/>
        </w:rPr>
        <w:t>备品备件及供选择的配套零部件清单…………………………</w:t>
      </w:r>
      <w:r>
        <w:rPr>
          <w:rFonts w:hint="eastAsia" w:ascii="仿宋" w:hAnsi="仿宋" w:eastAsia="仿宋" w:cs="仿宋_GB2312"/>
          <w:color w:val="auto"/>
          <w:kern w:val="0"/>
          <w:sz w:val="24"/>
          <w:highlight w:val="none"/>
        </w:rPr>
        <w:t>（页码）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（15）</w:t>
      </w:r>
      <w:r>
        <w:rPr>
          <w:rFonts w:hint="eastAsia" w:ascii="仿宋" w:hAnsi="仿宋" w:eastAsia="仿宋" w:cs="仿宋_GB2312"/>
          <w:color w:val="auto"/>
          <w:kern w:val="0"/>
          <w:sz w:val="24"/>
          <w:highlight w:val="none"/>
          <w:lang w:val="zh-CN"/>
        </w:rPr>
        <w:t>培训计划…………………………………………………………</w:t>
      </w:r>
      <w:r>
        <w:rPr>
          <w:rFonts w:hint="eastAsia" w:ascii="仿宋" w:hAnsi="仿宋" w:eastAsia="仿宋" w:cs="仿宋_GB2312"/>
          <w:color w:val="auto"/>
          <w:kern w:val="0"/>
          <w:sz w:val="24"/>
          <w:highlight w:val="none"/>
        </w:rPr>
        <w:t>（页码）</w:t>
      </w:r>
    </w:p>
    <w:p>
      <w:pPr>
        <w:spacing w:line="360" w:lineRule="auto"/>
        <w:ind w:firstLine="480" w:firstLineChars="200"/>
        <w:rPr>
          <w:rFonts w:hint="eastAsia" w:ascii="仿宋" w:hAnsi="仿宋" w:eastAsia="仿宋" w:cs="仿宋_GB2312"/>
          <w:b/>
          <w:bCs/>
          <w:color w:val="auto"/>
          <w:sz w:val="24"/>
          <w:highlight w:val="none"/>
        </w:rPr>
      </w:pPr>
      <w:r>
        <w:rPr>
          <w:rFonts w:hint="eastAsia" w:ascii="仿宋" w:hAnsi="仿宋" w:eastAsia="仿宋" w:cs="仿宋_GB2312"/>
          <w:color w:val="auto"/>
          <w:kern w:val="0"/>
          <w:sz w:val="24"/>
          <w:highlight w:val="none"/>
        </w:rPr>
        <w:t>（16）</w:t>
      </w:r>
      <w:r>
        <w:rPr>
          <w:rFonts w:hint="eastAsia" w:ascii="仿宋" w:hAnsi="仿宋" w:eastAsia="仿宋" w:cs="仿宋_GB2312"/>
          <w:color w:val="auto"/>
          <w:kern w:val="0"/>
          <w:sz w:val="24"/>
          <w:highlight w:val="none"/>
          <w:lang w:val="zh-CN"/>
        </w:rPr>
        <w:t>认为需要的其他技术文件或说明………………………………</w:t>
      </w:r>
      <w:r>
        <w:rPr>
          <w:rFonts w:hint="eastAsia" w:ascii="仿宋" w:hAnsi="仿宋" w:eastAsia="仿宋" w:cs="仿宋_GB2312"/>
          <w:color w:val="auto"/>
          <w:kern w:val="0"/>
          <w:sz w:val="24"/>
          <w:highlight w:val="none"/>
        </w:rPr>
        <w:t>（页码）</w:t>
      </w:r>
    </w:p>
    <w:p>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（17）</w:t>
      </w:r>
      <w:r>
        <w:rPr>
          <w:rFonts w:hint="eastAsia" w:ascii="仿宋" w:hAnsi="仿宋" w:eastAsia="仿宋" w:cs="仿宋_GB2312"/>
          <w:color w:val="auto"/>
          <w:kern w:val="0"/>
          <w:sz w:val="24"/>
          <w:highlight w:val="none"/>
          <w:lang w:val="zh-CN"/>
        </w:rPr>
        <w:t>关于对招标文件中商务、合同有关条款的拒绝声明……………</w:t>
      </w:r>
      <w:r>
        <w:rPr>
          <w:rFonts w:hint="eastAsia" w:ascii="仿宋" w:hAnsi="仿宋" w:eastAsia="仿宋" w:cs="仿宋_GB2312"/>
          <w:color w:val="auto"/>
          <w:kern w:val="0"/>
          <w:sz w:val="24"/>
          <w:highlight w:val="none"/>
        </w:rPr>
        <w:t>（页码）</w:t>
      </w:r>
    </w:p>
    <w:p>
      <w:pPr>
        <w:spacing w:line="360" w:lineRule="auto"/>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p>
    <w:p>
      <w:pPr>
        <w:spacing w:line="360" w:lineRule="auto"/>
        <w:jc w:val="center"/>
        <w:rPr>
          <w:rFonts w:hint="eastAsia" w:ascii="仿宋" w:hAnsi="仿宋" w:eastAsia="仿宋" w:cs="仿宋_GB2312"/>
          <w:b/>
          <w:color w:val="auto"/>
          <w:sz w:val="30"/>
          <w:szCs w:val="30"/>
          <w:highlight w:val="none"/>
        </w:rPr>
      </w:pPr>
      <w:r>
        <w:rPr>
          <w:rFonts w:hint="eastAsia" w:ascii="仿宋" w:hAnsi="仿宋" w:eastAsia="仿宋" w:cs="仿宋_GB2312"/>
          <w:b/>
          <w:color w:val="auto"/>
          <w:kern w:val="0"/>
          <w:sz w:val="32"/>
          <w:szCs w:val="32"/>
          <w:highlight w:val="none"/>
          <w:lang w:val="zh-CN"/>
        </w:rPr>
        <w:t>一、</w:t>
      </w:r>
      <w:r>
        <w:rPr>
          <w:rFonts w:hint="eastAsia" w:ascii="仿宋" w:hAnsi="仿宋" w:eastAsia="仿宋" w:cs="仿宋_GB2312"/>
          <w:b/>
          <w:color w:val="auto"/>
          <w:sz w:val="30"/>
          <w:szCs w:val="30"/>
          <w:highlight w:val="none"/>
        </w:rPr>
        <w:t>营业执照(或事业法人登记证或其他工商等登记证明材料)复印件（投标人为自然人的，提供自然人的身份证明）</w:t>
      </w: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1928" w:firstLineChars="600"/>
        <w:rPr>
          <w:rFonts w:hint="eastAsia" w:ascii="仿宋" w:hAnsi="仿宋" w:eastAsia="仿宋" w:cs="仿宋_GB2312"/>
          <w:b/>
          <w:color w:val="auto"/>
          <w:kern w:val="0"/>
          <w:sz w:val="32"/>
          <w:szCs w:val="32"/>
          <w:highlight w:val="none"/>
          <w:lang w:val="zh-CN"/>
        </w:rPr>
      </w:pPr>
    </w:p>
    <w:p>
      <w:pPr>
        <w:snapToGrid w:val="0"/>
        <w:spacing w:line="360" w:lineRule="auto"/>
        <w:ind w:firstLine="2570" w:firstLineChars="800"/>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二、法定代表人授权书</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杭州师范大学、杭州市公共资源交易中心（杭州市政府采购中心）</w:t>
      </w:r>
      <w:r>
        <w:rPr>
          <w:rFonts w:hint="eastAsia" w:ascii="仿宋" w:hAnsi="仿宋" w:eastAsia="仿宋" w:cs="仿宋_GB2312"/>
          <w:color w:val="auto"/>
          <w:kern w:val="0"/>
          <w:sz w:val="24"/>
          <w:highlight w:val="none"/>
          <w:lang w:val="zh-CN"/>
        </w:rPr>
        <w:t>：</w:t>
      </w:r>
    </w:p>
    <w:p>
      <w:pPr>
        <w:snapToGrid w:val="0"/>
        <w:spacing w:line="360" w:lineRule="auto"/>
        <w:ind w:firstLine="576"/>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兹委派我公司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先生/女士(其在本公司的职务是：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)，代表我公司全权处理</w:t>
      </w:r>
      <w:r>
        <w:rPr>
          <w:rFonts w:hint="eastAsia" w:ascii="仿宋" w:hAnsi="仿宋" w:eastAsia="仿宋" w:cs="仿宋_GB2312"/>
          <w:color w:val="auto"/>
          <w:sz w:val="24"/>
          <w:highlight w:val="none"/>
        </w:rPr>
        <w:t>杭州师范大学仓前校区监控机房存储扩展采购项目</w:t>
      </w:r>
      <w:r>
        <w:rPr>
          <w:rFonts w:hint="eastAsia" w:ascii="仿宋" w:hAnsi="仿宋" w:eastAsia="仿宋" w:cs="仿宋_GB2312"/>
          <w:color w:val="auto"/>
          <w:kern w:val="0"/>
          <w:sz w:val="24"/>
          <w:highlight w:val="none"/>
          <w:lang w:val="zh-CN"/>
        </w:rPr>
        <w:t>【编号：HZZFCG-2019-017（1）】政府采购投标的一切事项，若中标则全权代表本公司签订相关合同，并负责处理合同履行等事宜。</w:t>
      </w:r>
    </w:p>
    <w:p>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本授权书有效期：自   年 月  日起至  年  月  日止。</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特此告知。</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法定代表人(签字或盖章)：</w:t>
      </w:r>
    </w:p>
    <w:p>
      <w:pPr>
        <w:wordWrap w:val="0"/>
        <w:snapToGrid w:val="0"/>
        <w:spacing w:line="360" w:lineRule="auto"/>
        <w:ind w:right="240"/>
        <w:jc w:val="righ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签发日期：  年  月   日</w:t>
      </w: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联合体投标授权书（适用联合体投标）</w:t>
      </w:r>
    </w:p>
    <w:p>
      <w:pPr>
        <w:snapToGrid w:val="0"/>
        <w:spacing w:line="360" w:lineRule="auto"/>
        <w:ind w:firstLine="576"/>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兹委派</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先生/女士(其在该公司的职务是：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先生/女士(其在该公司的职务是：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)，代表本联合体全权处理</w:t>
      </w:r>
      <w:r>
        <w:rPr>
          <w:rFonts w:hint="eastAsia" w:ascii="仿宋" w:hAnsi="仿宋" w:eastAsia="仿宋" w:cs="仿宋_GB2312"/>
          <w:color w:val="auto"/>
          <w:sz w:val="24"/>
          <w:highlight w:val="none"/>
        </w:rPr>
        <w:t>杭州师范大学仓前校区监控机房存储扩展采购项目</w:t>
      </w:r>
      <w:r>
        <w:rPr>
          <w:rFonts w:hint="eastAsia" w:ascii="仿宋" w:hAnsi="仿宋" w:eastAsia="仿宋" w:cs="仿宋_GB2312"/>
          <w:color w:val="auto"/>
          <w:kern w:val="0"/>
          <w:sz w:val="24"/>
          <w:highlight w:val="none"/>
          <w:lang w:val="zh-CN"/>
        </w:rPr>
        <w:t>【编号：HZZFCG-2019-017（1）】政府采购投标的一切事项，若中标则全权代表本联合体签订相关合同，并负责处理合同履行等事宜。</w:t>
      </w:r>
    </w:p>
    <w:p>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本授权书有效期：自   年 月  日起至  年  月  日止。</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特此告知。</w:t>
      </w:r>
    </w:p>
    <w:p>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单位：            （公章）         单位：          （公章）</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法定代表人：（签字或盖章）         法定代表人：（签字或盖章）</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             日期：    年   月   日</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b/>
          <w:bCs/>
          <w:color w:val="auto"/>
          <w:sz w:val="30"/>
          <w:szCs w:val="30"/>
          <w:highlight w:val="none"/>
        </w:rPr>
        <w:t>三、</w:t>
      </w:r>
      <w:r>
        <w:rPr>
          <w:rFonts w:hint="eastAsia" w:ascii="仿宋" w:hAnsi="仿宋" w:eastAsia="仿宋" w:cs="仿宋_GB2312"/>
          <w:b/>
          <w:color w:val="auto"/>
          <w:sz w:val="30"/>
          <w:szCs w:val="30"/>
          <w:highlight w:val="none"/>
        </w:rPr>
        <w:t>法定代表人及其授权代表的身份证（复印件）</w:t>
      </w:r>
    </w:p>
    <w:p>
      <w:pPr>
        <w:pStyle w:val="137"/>
        <w:spacing w:line="360" w:lineRule="auto"/>
        <w:rPr>
          <w:rFonts w:ascii="仿宋_GB2312" w:eastAsia="仿宋_GB2312"/>
          <w:bCs/>
          <w:color w:val="auto"/>
          <w:sz w:val="24"/>
          <w:highlight w:val="none"/>
        </w:rPr>
      </w:pPr>
      <w:r>
        <w:rPr>
          <w:rFonts w:hint="eastAsia" w:ascii="仿宋_GB2312" w:eastAsia="仿宋_GB2312"/>
          <w:bCs/>
          <w:color w:val="auto"/>
          <w:sz w:val="24"/>
          <w:highlight w:val="none"/>
          <w:lang w:eastAsia="zh-CN"/>
        </w:rPr>
        <w:t>法定代表</w:t>
      </w:r>
      <w:r>
        <w:rPr>
          <w:rFonts w:hint="eastAsia" w:ascii="仿宋_GB2312" w:eastAsia="仿宋_GB2312"/>
          <w:bCs/>
          <w:color w:val="auto"/>
          <w:sz w:val="24"/>
          <w:highlight w:val="none"/>
        </w:rPr>
        <w:t>人身份证件扫描件：</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2" w:hRule="atLeast"/>
          <w:jc w:val="center"/>
        </w:trPr>
        <w:tc>
          <w:tcPr>
            <w:tcW w:w="9207" w:type="dxa"/>
            <w:noWrap w:val="0"/>
            <w:vAlign w:val="top"/>
          </w:tcPr>
          <w:p>
            <w:pPr>
              <w:pStyle w:val="137"/>
              <w:spacing w:line="360" w:lineRule="auto"/>
              <w:rPr>
                <w:rFonts w:ascii="仿宋_GB2312" w:eastAsia="仿宋_GB2312"/>
                <w:bCs/>
                <w:color w:val="auto"/>
                <w:sz w:val="24"/>
                <w:highlight w:val="none"/>
                <w:lang w:eastAsia="zh-CN"/>
              </w:rPr>
            </w:pPr>
            <w:r>
              <w:rPr>
                <w:rFonts w:hint="eastAsia" w:ascii="仿宋_GB2312" w:eastAsia="仿宋_GB2312"/>
                <w:bCs/>
                <w:color w:val="auto"/>
                <w:sz w:val="24"/>
                <w:highlight w:val="none"/>
                <w:lang w:eastAsia="zh-CN"/>
              </w:rPr>
              <w:t>正面</w:t>
            </w:r>
            <w:r>
              <w:rPr>
                <w:rFonts w:ascii="仿宋_GB2312" w:eastAsia="仿宋_GB2312"/>
                <w:bCs/>
                <w:color w:val="auto"/>
                <w:sz w:val="24"/>
                <w:highlight w:val="none"/>
                <w:lang w:eastAsia="zh-CN"/>
              </w:rPr>
              <w:t>：</w:t>
            </w:r>
            <w:r>
              <w:rPr>
                <w:rFonts w:hint="eastAsia" w:ascii="仿宋_GB2312" w:eastAsia="仿宋_GB2312"/>
                <w:bCs/>
                <w:color w:val="auto"/>
                <w:sz w:val="24"/>
                <w:highlight w:val="none"/>
                <w:lang w:eastAsia="zh-CN"/>
              </w:rPr>
              <w:t xml:space="preserve">                                 反面</w:t>
            </w:r>
            <w:r>
              <w:rPr>
                <w:rFonts w:ascii="仿宋_GB2312" w:eastAsia="仿宋_GB2312"/>
                <w:bCs/>
                <w:color w:val="auto"/>
                <w:sz w:val="24"/>
                <w:highlight w:val="none"/>
                <w:lang w:eastAsia="zh-CN"/>
              </w:rPr>
              <w:t>：</w:t>
            </w:r>
          </w:p>
          <w:p>
            <w:pPr>
              <w:pStyle w:val="137"/>
              <w:spacing w:line="360" w:lineRule="auto"/>
              <w:rPr>
                <w:rFonts w:hint="eastAsia" w:ascii="仿宋_GB2312" w:eastAsia="仿宋_GB2312"/>
                <w:bCs/>
                <w:color w:val="auto"/>
                <w:sz w:val="24"/>
                <w:highlight w:val="none"/>
                <w:lang w:eastAsia="zh-CN"/>
              </w:rPr>
            </w:pPr>
          </w:p>
        </w:tc>
      </w:tr>
    </w:tbl>
    <w:p>
      <w:pPr>
        <w:pStyle w:val="137"/>
        <w:spacing w:line="360" w:lineRule="auto"/>
        <w:rPr>
          <w:rFonts w:ascii="仿宋_GB2312" w:eastAsia="仿宋_GB2312"/>
          <w:bCs/>
          <w:color w:val="auto"/>
          <w:sz w:val="24"/>
          <w:highlight w:val="none"/>
        </w:rPr>
      </w:pPr>
      <w:r>
        <w:rPr>
          <w:rFonts w:hint="eastAsia" w:ascii="仿宋_GB2312" w:eastAsia="仿宋_GB2312"/>
          <w:bCs/>
          <w:color w:val="auto"/>
          <w:sz w:val="24"/>
          <w:highlight w:val="none"/>
        </w:rPr>
        <w:t>授权代表身份证件扫描件：</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2" w:hRule="atLeast"/>
          <w:jc w:val="center"/>
        </w:trPr>
        <w:tc>
          <w:tcPr>
            <w:tcW w:w="9207" w:type="dxa"/>
            <w:noWrap w:val="0"/>
            <w:vAlign w:val="top"/>
          </w:tcPr>
          <w:p>
            <w:pPr>
              <w:pStyle w:val="137"/>
              <w:spacing w:line="360" w:lineRule="auto"/>
              <w:rPr>
                <w:rFonts w:ascii="仿宋_GB2312" w:eastAsia="仿宋_GB2312"/>
                <w:bCs/>
                <w:color w:val="auto"/>
                <w:sz w:val="24"/>
                <w:highlight w:val="none"/>
                <w:lang w:eastAsia="zh-CN"/>
              </w:rPr>
            </w:pPr>
            <w:r>
              <w:rPr>
                <w:rFonts w:hint="eastAsia" w:ascii="仿宋_GB2312" w:eastAsia="仿宋_GB2312"/>
                <w:bCs/>
                <w:color w:val="auto"/>
                <w:sz w:val="24"/>
                <w:highlight w:val="none"/>
                <w:lang w:eastAsia="zh-CN"/>
              </w:rPr>
              <w:t>正面</w:t>
            </w:r>
            <w:r>
              <w:rPr>
                <w:rFonts w:ascii="仿宋_GB2312" w:eastAsia="仿宋_GB2312"/>
                <w:bCs/>
                <w:color w:val="auto"/>
                <w:sz w:val="24"/>
                <w:highlight w:val="none"/>
                <w:lang w:eastAsia="zh-CN"/>
              </w:rPr>
              <w:t>：</w:t>
            </w:r>
            <w:r>
              <w:rPr>
                <w:rFonts w:hint="eastAsia" w:ascii="仿宋_GB2312" w:eastAsia="仿宋_GB2312"/>
                <w:bCs/>
                <w:color w:val="auto"/>
                <w:sz w:val="24"/>
                <w:highlight w:val="none"/>
                <w:lang w:eastAsia="zh-CN"/>
              </w:rPr>
              <w:t xml:space="preserve">                                 反面</w:t>
            </w:r>
            <w:r>
              <w:rPr>
                <w:rFonts w:ascii="仿宋_GB2312" w:eastAsia="仿宋_GB2312"/>
                <w:bCs/>
                <w:color w:val="auto"/>
                <w:sz w:val="24"/>
                <w:highlight w:val="none"/>
                <w:lang w:eastAsia="zh-CN"/>
              </w:rPr>
              <w:t>：</w:t>
            </w:r>
          </w:p>
          <w:p>
            <w:pPr>
              <w:pStyle w:val="137"/>
              <w:spacing w:line="360" w:lineRule="auto"/>
              <w:rPr>
                <w:rFonts w:hint="eastAsia" w:ascii="仿宋_GB2312" w:eastAsia="仿宋_GB2312"/>
                <w:bCs/>
                <w:color w:val="auto"/>
                <w:sz w:val="24"/>
                <w:highlight w:val="none"/>
                <w:lang w:eastAsia="zh-CN"/>
              </w:rPr>
            </w:pPr>
          </w:p>
        </w:tc>
      </w:tr>
    </w:tbl>
    <w:p>
      <w:pPr>
        <w:snapToGrid w:val="0"/>
        <w:spacing w:line="360" w:lineRule="auto"/>
        <w:ind w:firstLine="576"/>
        <w:jc w:val="right"/>
        <w:rPr>
          <w:rFonts w:hint="eastAsia" w:ascii="仿宋" w:hAnsi="仿宋" w:eastAsia="仿宋" w:cs="仿宋_GB2312"/>
          <w:color w:val="auto"/>
          <w:kern w:val="0"/>
          <w:sz w:val="24"/>
          <w:highlight w:val="none"/>
          <w:lang w:val="zh-CN"/>
        </w:rPr>
      </w:pPr>
    </w:p>
    <w:p>
      <w:pPr>
        <w:snapToGrid w:val="0"/>
        <w:spacing w:line="360" w:lineRule="auto"/>
        <w:ind w:firstLine="576"/>
        <w:jc w:val="center"/>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ind w:firstLine="576"/>
        <w:jc w:val="center"/>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法定代表人或其授权代表(签字)：</w:t>
      </w:r>
    </w:p>
    <w:p>
      <w:pPr>
        <w:snapToGrid w:val="0"/>
        <w:spacing w:line="360" w:lineRule="auto"/>
        <w:ind w:firstLine="576"/>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w:t>
      </w:r>
    </w:p>
    <w:p>
      <w:pPr>
        <w:snapToGrid w:val="0"/>
        <w:spacing w:line="360" w:lineRule="auto"/>
        <w:ind w:firstLine="576"/>
        <w:jc w:val="center"/>
        <w:rPr>
          <w:rFonts w:hint="eastAsia"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br w:type="page"/>
      </w:r>
    </w:p>
    <w:p>
      <w:pPr>
        <w:snapToGrid w:val="0"/>
        <w:spacing w:before="50" w:after="50" w:line="360" w:lineRule="auto"/>
        <w:jc w:val="center"/>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四、联合体协议</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乙方：</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各方经协商一致，决定组成一个联合体，以一个投标人的身份就杭州市公共资源交易中心组织实施的</w:t>
      </w:r>
      <w:r>
        <w:rPr>
          <w:rFonts w:hint="eastAsia" w:ascii="仿宋" w:hAnsi="仿宋" w:eastAsia="仿宋" w:cs="仿宋_GB2312"/>
          <w:color w:val="auto"/>
          <w:sz w:val="24"/>
          <w:highlight w:val="none"/>
        </w:rPr>
        <w:t>杭州师范大学仓前校区监控机房存储扩展采购项目</w:t>
      </w:r>
      <w:r>
        <w:rPr>
          <w:rFonts w:hint="eastAsia" w:ascii="仿宋" w:hAnsi="仿宋" w:eastAsia="仿宋" w:cs="仿宋_GB2312"/>
          <w:color w:val="auto"/>
          <w:kern w:val="0"/>
          <w:sz w:val="24"/>
          <w:highlight w:val="none"/>
          <w:lang w:val="zh-CN"/>
        </w:rPr>
        <w:t>（HZZFCG-2019-017（1））共同投标。</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Arial"/>
          <w:color w:val="auto"/>
          <w:sz w:val="24"/>
          <w:highlight w:val="none"/>
        </w:rPr>
        <w:t>指定</w:t>
      </w:r>
      <w:r>
        <w:rPr>
          <w:rFonts w:hint="eastAsia" w:ascii="仿宋_GB2312" w:hAnsi="宋体" w:eastAsia="仿宋_GB2312"/>
          <w:color w:val="auto"/>
          <w:highlight w:val="none"/>
          <w:u w:val="single"/>
        </w:rPr>
        <w:t xml:space="preserve">   </w:t>
      </w:r>
      <w:r>
        <w:rPr>
          <w:rFonts w:hint="eastAsia" w:ascii="仿宋" w:hAnsi="仿宋" w:eastAsia="仿宋" w:cs="Arial"/>
          <w:color w:val="auto"/>
          <w:sz w:val="24"/>
          <w:highlight w:val="none"/>
        </w:rPr>
        <w:t>方牵头人，代表所有联合体成员负责投标和合同实施阶段的主办、协调工作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所有联合体成员各方法定代表人签署授权书，授权书载明的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三、本次联合投标中，分工如下：甲方承担的工作和义务为：</w:t>
      </w:r>
      <w:r>
        <w:rPr>
          <w:rFonts w:hint="eastAsia" w:ascii="仿宋_GB2312" w:hAnsi="宋体" w:eastAsia="仿宋_GB2312"/>
          <w:color w:val="auto"/>
          <w:highlight w:val="none"/>
          <w:u w:val="single"/>
        </w:rPr>
        <w:t xml:space="preserve">             </w:t>
      </w:r>
      <w:r>
        <w:rPr>
          <w:rFonts w:hint="eastAsia" w:ascii="仿宋" w:hAnsi="仿宋" w:eastAsia="仿宋" w:cs="仿宋_GB2312"/>
          <w:color w:val="auto"/>
          <w:kern w:val="0"/>
          <w:sz w:val="24"/>
          <w:highlight w:val="none"/>
          <w:lang w:val="zh-CN"/>
        </w:rPr>
        <w:t>；乙方承担的工作和义务为：</w:t>
      </w:r>
      <w:r>
        <w:rPr>
          <w:rFonts w:hint="eastAsia" w:ascii="仿宋_GB2312" w:hAnsi="宋体" w:eastAsia="仿宋_GB2312"/>
          <w:color w:val="auto"/>
          <w:highlight w:val="none"/>
          <w:u w:val="single"/>
        </w:rPr>
        <w:t xml:space="preserve">            </w:t>
      </w: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五、有关本次联合投标的其他事宜：</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zh-CN"/>
        </w:rPr>
        <w:t>、联合体各方不再单独参加或者与其他供应商另外组成联合体参加同一合同项下的政府采购活动。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2</w:t>
      </w:r>
      <w:r>
        <w:rPr>
          <w:rFonts w:hint="eastAsia" w:ascii="仿宋" w:hAnsi="仿宋" w:eastAsia="仿宋" w:cs="仿宋_GB2312"/>
          <w:color w:val="auto"/>
          <w:kern w:val="0"/>
          <w:sz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3</w:t>
      </w:r>
      <w:r>
        <w:rPr>
          <w:rFonts w:hint="eastAsia" w:ascii="仿宋" w:hAnsi="仿宋" w:eastAsia="仿宋" w:cs="仿宋_GB2312"/>
          <w:color w:val="auto"/>
          <w:kern w:val="0"/>
          <w:sz w:val="24"/>
          <w:highlight w:val="none"/>
          <w:lang w:val="zh-CN"/>
        </w:rPr>
        <w:t>、本协议提交采购人、采购代理机构后，联合体各方不得以任何形式对上述内容进行修改或撤销。</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甲方单位：            （公章）          乙方单位：          （公章）</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法定代表人：（签章）                    法定代表人：（签章）</w:t>
      </w:r>
    </w:p>
    <w:p>
      <w:pPr>
        <w:snapToGrid w:val="0"/>
        <w:spacing w:line="360" w:lineRule="auto"/>
        <w:ind w:firstLine="576"/>
        <w:rPr>
          <w:rFonts w:hint="eastAsia" w:ascii="仿宋" w:hAnsi="仿宋" w:eastAsia="仿宋" w:cs="仿宋_GB2312"/>
          <w:b/>
          <w:color w:val="auto"/>
          <w:kern w:val="0"/>
          <w:sz w:val="32"/>
          <w:szCs w:val="32"/>
          <w:highlight w:val="none"/>
          <w:lang w:val="zh-CN"/>
        </w:rPr>
      </w:pPr>
      <w:r>
        <w:rPr>
          <w:rFonts w:hint="eastAsia" w:ascii="仿宋" w:hAnsi="仿宋" w:eastAsia="仿宋" w:cs="仿宋_GB2312"/>
          <w:color w:val="auto"/>
          <w:kern w:val="0"/>
          <w:sz w:val="24"/>
          <w:highlight w:val="none"/>
          <w:lang w:val="zh-CN"/>
        </w:rPr>
        <w:t>日期：    年   月   日                 日期：    年   月   日</w:t>
      </w:r>
    </w:p>
    <w:p>
      <w:pPr>
        <w:snapToGrid w:val="0"/>
        <w:spacing w:line="360" w:lineRule="auto"/>
        <w:ind w:right="480"/>
        <w:jc w:val="center"/>
        <w:rPr>
          <w:rFonts w:hint="eastAsia" w:ascii="仿宋" w:hAnsi="仿宋" w:eastAsia="仿宋" w:cs="仿宋_GB2312"/>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五、资信文件复印件（如果要求提供）</w:t>
      </w: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六、</w:t>
      </w:r>
      <w:r>
        <w:rPr>
          <w:rFonts w:hint="eastAsia" w:ascii="仿宋" w:hAnsi="仿宋" w:eastAsia="仿宋" w:cs="仿宋_GB2312"/>
          <w:b/>
          <w:color w:val="auto"/>
          <w:kern w:val="0"/>
          <w:sz w:val="32"/>
          <w:szCs w:val="32"/>
          <w:highlight w:val="none"/>
          <w:lang w:val="zh-CN"/>
        </w:rPr>
        <w:t>主要业绩证明</w:t>
      </w:r>
    </w:p>
    <w:p>
      <w:pPr>
        <w:autoSpaceDE w:val="0"/>
        <w:autoSpaceDN w:val="0"/>
        <w:spacing w:line="360" w:lineRule="auto"/>
        <w:ind w:firstLine="12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附表 :相关项目建设业绩一览表</w:t>
      </w:r>
    </w:p>
    <w:tbl>
      <w:tblPr>
        <w:tblStyle w:val="85"/>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wBefore w:w="0" w:type="dxa"/>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项目</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项目</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投资</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所在页码</w:t>
            </w:r>
          </w:p>
        </w:tc>
      </w:tr>
      <w:tr>
        <w:tblPrEx>
          <w:tblCellMar>
            <w:top w:w="0" w:type="dxa"/>
            <w:left w:w="108" w:type="dxa"/>
            <w:bottom w:w="0" w:type="dxa"/>
            <w:right w:w="108" w:type="dxa"/>
          </w:tblCellMar>
        </w:tblPrEx>
        <w:trPr>
          <w:wBefore w:w="0" w:type="dxa"/>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bl>
    <w:p>
      <w:pPr>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注：投标人可按上述的格式自行编制，须随表提交相应的合同复印件和用户单位验收证明并注明所在投标人商务文件页码。</w:t>
      </w: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投标人名称（公章）：                       </w:t>
      </w:r>
    </w:p>
    <w:p>
      <w:pPr>
        <w:autoSpaceDE w:val="0"/>
        <w:autoSpaceDN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法定代表人或其授权代表（签字）：                   </w:t>
      </w:r>
    </w:p>
    <w:p>
      <w:pPr>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rPr>
          <w:rFonts w:hint="eastAsia" w:ascii="仿宋" w:hAnsi="仿宋" w:eastAsia="仿宋" w:cs="仿宋_GB2312"/>
          <w:color w:val="auto"/>
          <w:kern w:val="0"/>
          <w:sz w:val="24"/>
          <w:highlight w:val="none"/>
        </w:rPr>
      </w:pPr>
    </w:p>
    <w:p>
      <w:pPr>
        <w:spacing w:line="360" w:lineRule="auto"/>
        <w:rPr>
          <w:rFonts w:hint="eastAsia" w:ascii="仿宋" w:hAnsi="仿宋" w:eastAsia="仿宋" w:cs="仿宋_GB2312"/>
          <w:color w:val="auto"/>
          <w:kern w:val="0"/>
          <w:sz w:val="24"/>
          <w:highlight w:val="none"/>
        </w:rPr>
      </w:pPr>
    </w:p>
    <w:p>
      <w:pPr>
        <w:spacing w:line="360" w:lineRule="auto"/>
        <w:jc w:val="center"/>
        <w:rPr>
          <w:rFonts w:hint="eastAsia"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_GB2312"/>
          <w:b/>
          <w:bCs/>
          <w:color w:val="auto"/>
          <w:sz w:val="32"/>
          <w:szCs w:val="32"/>
          <w:highlight w:val="none"/>
        </w:rPr>
        <w:t>七、</w:t>
      </w:r>
      <w:bookmarkStart w:id="570" w:name="OLE_LINK16"/>
      <w:bookmarkStart w:id="571" w:name="OLE_LINK17"/>
      <w:r>
        <w:rPr>
          <w:rFonts w:hint="eastAsia" w:ascii="仿宋" w:hAnsi="仿宋" w:eastAsia="仿宋" w:cs="仿宋_GB2312"/>
          <w:b/>
          <w:bCs/>
          <w:color w:val="auto"/>
          <w:sz w:val="32"/>
          <w:szCs w:val="32"/>
          <w:highlight w:val="none"/>
        </w:rPr>
        <w:t>其他商务文件或说明</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w:t>
      </w:r>
      <w:bookmarkStart w:id="572" w:name="OLE_LINK10"/>
      <w:bookmarkStart w:id="573" w:name="OLE_LINK11"/>
      <w:r>
        <w:rPr>
          <w:rFonts w:hint="eastAsia" w:ascii="仿宋" w:hAnsi="仿宋" w:eastAsia="仿宋" w:cs="仿宋_GB2312"/>
          <w:color w:val="auto"/>
          <w:sz w:val="24"/>
          <w:highlight w:val="none"/>
        </w:rPr>
        <w:t>其他商务文件或说明由投标人根据采购需求自行编制</w:t>
      </w:r>
      <w:bookmarkEnd w:id="572"/>
      <w:bookmarkEnd w:id="573"/>
      <w:r>
        <w:rPr>
          <w:rFonts w:hint="eastAsia" w:ascii="仿宋" w:hAnsi="仿宋" w:eastAsia="仿宋" w:cs="仿宋_GB2312"/>
          <w:color w:val="auto"/>
          <w:sz w:val="24"/>
          <w:highlight w:val="none"/>
        </w:rPr>
        <w:t>）</w:t>
      </w:r>
    </w:p>
    <w:bookmarkEnd w:id="570"/>
    <w:bookmarkEnd w:id="571"/>
    <w:p>
      <w:pPr>
        <w:spacing w:line="360" w:lineRule="auto"/>
        <w:jc w:val="center"/>
        <w:rPr>
          <w:rFonts w:hint="eastAsia" w:ascii="仿宋" w:hAnsi="仿宋" w:eastAsia="仿宋" w:cs="仿宋_GB2312"/>
          <w:color w:val="auto"/>
          <w:sz w:val="24"/>
          <w:highlight w:val="none"/>
        </w:rPr>
      </w:pPr>
    </w:p>
    <w:p>
      <w:pPr>
        <w:autoSpaceDE w:val="0"/>
        <w:autoSpaceDN w:val="0"/>
        <w:spacing w:line="360" w:lineRule="auto"/>
        <w:ind w:firstLine="4800" w:firstLineChars="20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法定代表人或其授权代表（签字）： </w:t>
      </w:r>
    </w:p>
    <w:p>
      <w:pPr>
        <w:spacing w:line="360" w:lineRule="auto"/>
        <w:ind w:firstLine="1070" w:firstLineChars="44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   日</w:t>
      </w:r>
    </w:p>
    <w:p>
      <w:pPr>
        <w:spacing w:line="360" w:lineRule="auto"/>
        <w:rPr>
          <w:rFonts w:hint="eastAsia" w:ascii="仿宋" w:hAnsi="仿宋" w:eastAsia="仿宋" w:cs="仿宋_GB2312"/>
          <w:b/>
          <w:bCs/>
          <w:color w:val="auto"/>
          <w:kern w:val="0"/>
          <w:sz w:val="24"/>
          <w:highlight w:val="none"/>
        </w:rPr>
      </w:pPr>
    </w:p>
    <w:p>
      <w:pPr>
        <w:spacing w:line="360" w:lineRule="auto"/>
        <w:jc w:val="center"/>
        <w:rPr>
          <w:rFonts w:hint="eastAsia" w:ascii="仿宋" w:hAnsi="仿宋" w:eastAsia="仿宋" w:cs="仿宋_GB2312"/>
          <w:b/>
          <w:bCs/>
          <w:color w:val="auto"/>
          <w:sz w:val="32"/>
          <w:szCs w:val="32"/>
          <w:highlight w:val="none"/>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color w:val="auto"/>
          <w:sz w:val="32"/>
          <w:szCs w:val="32"/>
          <w:highlight w:val="none"/>
        </w:rPr>
        <w:t>八</w:t>
      </w:r>
      <w:r>
        <w:rPr>
          <w:rFonts w:hint="eastAsia" w:ascii="仿宋" w:hAnsi="仿宋" w:eastAsia="仿宋" w:cs="仿宋_GB2312"/>
          <w:b/>
          <w:bCs/>
          <w:color w:val="auto"/>
          <w:sz w:val="32"/>
          <w:szCs w:val="32"/>
          <w:highlight w:val="none"/>
        </w:rPr>
        <w:t>、技术解决方案</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jc w:val="center"/>
        <w:rPr>
          <w:rFonts w:hint="eastAsia" w:ascii="仿宋" w:hAnsi="仿宋" w:eastAsia="仿宋" w:cs="仿宋_GB2312"/>
          <w:color w:val="auto"/>
          <w:sz w:val="24"/>
          <w:highlight w:val="none"/>
        </w:rPr>
      </w:pPr>
    </w:p>
    <w:p>
      <w:pPr>
        <w:autoSpaceDE w:val="0"/>
        <w:autoSpaceDN w:val="0"/>
        <w:spacing w:line="360" w:lineRule="auto"/>
        <w:rPr>
          <w:rFonts w:hint="eastAsia" w:ascii="仿宋" w:hAnsi="仿宋" w:eastAsia="仿宋" w:cs="仿宋_GB2312"/>
          <w:b/>
          <w:color w:val="auto"/>
          <w:kern w:val="0"/>
          <w:sz w:val="28"/>
          <w:szCs w:val="28"/>
          <w:highlight w:val="none"/>
        </w:rPr>
      </w:pPr>
    </w:p>
    <w:p>
      <w:pPr>
        <w:snapToGrid w:val="0"/>
        <w:spacing w:line="360" w:lineRule="auto"/>
        <w:jc w:val="cente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投标产品规格配置清单</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3" w:hRule="atLeast"/>
        </w:trPr>
        <w:tc>
          <w:tcPr>
            <w:tcW w:w="737"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531"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设备名称</w:t>
            </w:r>
          </w:p>
        </w:tc>
        <w:tc>
          <w:tcPr>
            <w:tcW w:w="2160"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投标品牌及型号</w:t>
            </w:r>
          </w:p>
        </w:tc>
        <w:tc>
          <w:tcPr>
            <w:tcW w:w="2340"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规格配置详细说明</w:t>
            </w:r>
          </w:p>
        </w:tc>
        <w:tc>
          <w:tcPr>
            <w:tcW w:w="1080"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数量</w:t>
            </w:r>
          </w:p>
        </w:tc>
        <w:tc>
          <w:tcPr>
            <w:tcW w:w="1332"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737"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531"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160"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340" w:type="dxa"/>
            <w:noWrap w:val="0"/>
            <w:vAlign w:val="center"/>
          </w:tcPr>
          <w:p>
            <w:pPr>
              <w:spacing w:line="360" w:lineRule="auto"/>
              <w:jc w:val="center"/>
              <w:rPr>
                <w:rFonts w:hint="eastAsia" w:ascii="仿宋" w:hAnsi="仿宋" w:eastAsia="仿宋" w:cs="仿宋_GB2312"/>
                <w:color w:val="auto"/>
                <w:sz w:val="24"/>
                <w:highlight w:val="none"/>
              </w:rPr>
            </w:pPr>
          </w:p>
        </w:tc>
        <w:tc>
          <w:tcPr>
            <w:tcW w:w="1080" w:type="dxa"/>
            <w:noWrap w:val="0"/>
            <w:vAlign w:val="center"/>
          </w:tcPr>
          <w:p>
            <w:pPr>
              <w:spacing w:line="360" w:lineRule="auto"/>
              <w:jc w:val="center"/>
              <w:rPr>
                <w:rFonts w:hint="eastAsia" w:ascii="仿宋" w:hAnsi="仿宋" w:eastAsia="仿宋" w:cs="仿宋_GB2312"/>
                <w:color w:val="auto"/>
                <w:sz w:val="24"/>
                <w:highlight w:val="none"/>
              </w:rPr>
            </w:pPr>
          </w:p>
        </w:tc>
        <w:tc>
          <w:tcPr>
            <w:tcW w:w="1332" w:type="dxa"/>
            <w:noWrap w:val="0"/>
            <w:vAlign w:val="center"/>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737"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531"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160"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340" w:type="dxa"/>
            <w:noWrap w:val="0"/>
            <w:vAlign w:val="center"/>
          </w:tcPr>
          <w:p>
            <w:pPr>
              <w:spacing w:line="360" w:lineRule="auto"/>
              <w:jc w:val="center"/>
              <w:rPr>
                <w:rFonts w:hint="eastAsia" w:ascii="仿宋" w:hAnsi="仿宋" w:eastAsia="仿宋" w:cs="仿宋_GB2312"/>
                <w:color w:val="auto"/>
                <w:sz w:val="24"/>
                <w:highlight w:val="none"/>
              </w:rPr>
            </w:pPr>
          </w:p>
        </w:tc>
        <w:tc>
          <w:tcPr>
            <w:tcW w:w="1080" w:type="dxa"/>
            <w:noWrap w:val="0"/>
            <w:vAlign w:val="center"/>
          </w:tcPr>
          <w:p>
            <w:pPr>
              <w:spacing w:line="360" w:lineRule="auto"/>
              <w:jc w:val="center"/>
              <w:rPr>
                <w:rFonts w:hint="eastAsia" w:ascii="仿宋" w:hAnsi="仿宋" w:eastAsia="仿宋" w:cs="仿宋_GB2312"/>
                <w:color w:val="auto"/>
                <w:sz w:val="24"/>
                <w:highlight w:val="none"/>
              </w:rPr>
            </w:pPr>
          </w:p>
        </w:tc>
        <w:tc>
          <w:tcPr>
            <w:tcW w:w="1332" w:type="dxa"/>
            <w:noWrap w:val="0"/>
            <w:vAlign w:val="center"/>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737"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531"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160"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340" w:type="dxa"/>
            <w:noWrap w:val="0"/>
            <w:vAlign w:val="center"/>
          </w:tcPr>
          <w:p>
            <w:pPr>
              <w:spacing w:line="360" w:lineRule="auto"/>
              <w:jc w:val="center"/>
              <w:rPr>
                <w:rFonts w:hint="eastAsia" w:ascii="仿宋" w:hAnsi="仿宋" w:eastAsia="仿宋" w:cs="仿宋_GB2312"/>
                <w:color w:val="auto"/>
                <w:sz w:val="24"/>
                <w:highlight w:val="none"/>
              </w:rPr>
            </w:pPr>
          </w:p>
        </w:tc>
        <w:tc>
          <w:tcPr>
            <w:tcW w:w="1080" w:type="dxa"/>
            <w:noWrap w:val="0"/>
            <w:vAlign w:val="center"/>
          </w:tcPr>
          <w:p>
            <w:pPr>
              <w:spacing w:line="360" w:lineRule="auto"/>
              <w:jc w:val="center"/>
              <w:rPr>
                <w:rFonts w:hint="eastAsia" w:ascii="仿宋" w:hAnsi="仿宋" w:eastAsia="仿宋" w:cs="仿宋_GB2312"/>
                <w:color w:val="auto"/>
                <w:sz w:val="24"/>
                <w:highlight w:val="none"/>
              </w:rPr>
            </w:pPr>
          </w:p>
        </w:tc>
        <w:tc>
          <w:tcPr>
            <w:tcW w:w="1332" w:type="dxa"/>
            <w:noWrap w:val="0"/>
            <w:vAlign w:val="center"/>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737"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531"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160"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340" w:type="dxa"/>
            <w:noWrap w:val="0"/>
            <w:vAlign w:val="center"/>
          </w:tcPr>
          <w:p>
            <w:pPr>
              <w:spacing w:line="360" w:lineRule="auto"/>
              <w:jc w:val="center"/>
              <w:rPr>
                <w:rFonts w:hint="eastAsia" w:ascii="仿宋" w:hAnsi="仿宋" w:eastAsia="仿宋" w:cs="仿宋_GB2312"/>
                <w:color w:val="auto"/>
                <w:sz w:val="24"/>
                <w:highlight w:val="none"/>
              </w:rPr>
            </w:pPr>
          </w:p>
        </w:tc>
        <w:tc>
          <w:tcPr>
            <w:tcW w:w="1080" w:type="dxa"/>
            <w:noWrap w:val="0"/>
            <w:vAlign w:val="center"/>
          </w:tcPr>
          <w:p>
            <w:pPr>
              <w:spacing w:line="360" w:lineRule="auto"/>
              <w:jc w:val="center"/>
              <w:rPr>
                <w:rFonts w:hint="eastAsia" w:ascii="仿宋" w:hAnsi="仿宋" w:eastAsia="仿宋" w:cs="仿宋_GB2312"/>
                <w:color w:val="auto"/>
                <w:sz w:val="24"/>
                <w:highlight w:val="none"/>
              </w:rPr>
            </w:pPr>
          </w:p>
        </w:tc>
        <w:tc>
          <w:tcPr>
            <w:tcW w:w="1332" w:type="dxa"/>
            <w:noWrap w:val="0"/>
            <w:vAlign w:val="center"/>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737"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531"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160" w:type="dxa"/>
            <w:noWrap w:val="0"/>
            <w:vAlign w:val="center"/>
          </w:tcPr>
          <w:p>
            <w:pPr>
              <w:snapToGrid w:val="0"/>
              <w:spacing w:line="360" w:lineRule="auto"/>
              <w:jc w:val="center"/>
              <w:rPr>
                <w:rFonts w:hint="eastAsia" w:ascii="仿宋" w:hAnsi="仿宋" w:eastAsia="仿宋" w:cs="仿宋_GB2312"/>
                <w:color w:val="auto"/>
                <w:sz w:val="24"/>
                <w:highlight w:val="none"/>
              </w:rPr>
            </w:pPr>
          </w:p>
        </w:tc>
        <w:tc>
          <w:tcPr>
            <w:tcW w:w="2340" w:type="dxa"/>
            <w:noWrap w:val="0"/>
            <w:vAlign w:val="center"/>
          </w:tcPr>
          <w:p>
            <w:pPr>
              <w:spacing w:line="360" w:lineRule="auto"/>
              <w:jc w:val="center"/>
              <w:rPr>
                <w:rFonts w:hint="eastAsia" w:ascii="仿宋" w:hAnsi="仿宋" w:eastAsia="仿宋" w:cs="仿宋_GB2312"/>
                <w:color w:val="auto"/>
                <w:sz w:val="24"/>
                <w:highlight w:val="none"/>
              </w:rPr>
            </w:pPr>
          </w:p>
        </w:tc>
        <w:tc>
          <w:tcPr>
            <w:tcW w:w="1080" w:type="dxa"/>
            <w:noWrap w:val="0"/>
            <w:vAlign w:val="center"/>
          </w:tcPr>
          <w:p>
            <w:pPr>
              <w:spacing w:line="360" w:lineRule="auto"/>
              <w:jc w:val="center"/>
              <w:rPr>
                <w:rFonts w:hint="eastAsia" w:ascii="仿宋" w:hAnsi="仿宋" w:eastAsia="仿宋" w:cs="仿宋_GB2312"/>
                <w:color w:val="auto"/>
                <w:sz w:val="24"/>
                <w:highlight w:val="none"/>
              </w:rPr>
            </w:pPr>
          </w:p>
        </w:tc>
        <w:tc>
          <w:tcPr>
            <w:tcW w:w="1332" w:type="dxa"/>
            <w:noWrap w:val="0"/>
            <w:vAlign w:val="center"/>
          </w:tcPr>
          <w:p>
            <w:pPr>
              <w:spacing w:line="360" w:lineRule="auto"/>
              <w:jc w:val="center"/>
              <w:rPr>
                <w:rFonts w:hint="eastAsia" w:ascii="仿宋" w:hAnsi="仿宋" w:eastAsia="仿宋" w:cs="仿宋_GB2312"/>
                <w:color w:val="auto"/>
                <w:sz w:val="24"/>
                <w:highlight w:val="none"/>
              </w:rPr>
            </w:pPr>
          </w:p>
        </w:tc>
      </w:tr>
    </w:tbl>
    <w:p>
      <w:pPr>
        <w:autoSpaceDE w:val="0"/>
        <w:autoSpaceDN w:val="0"/>
        <w:spacing w:line="360" w:lineRule="auto"/>
        <w:rPr>
          <w:rFonts w:hint="eastAsia" w:ascii="仿宋" w:hAnsi="仿宋" w:eastAsia="仿宋" w:cs="仿宋_GB2312"/>
          <w:b/>
          <w:color w:val="auto"/>
          <w:kern w:val="0"/>
          <w:sz w:val="28"/>
          <w:szCs w:val="28"/>
          <w:highlight w:val="none"/>
        </w:rPr>
      </w:pPr>
      <w:r>
        <w:rPr>
          <w:rFonts w:hint="eastAsia" w:ascii="仿宋" w:hAnsi="仿宋" w:eastAsia="仿宋" w:cs="仿宋_GB2312"/>
          <w:b/>
          <w:color w:val="auto"/>
          <w:sz w:val="24"/>
          <w:highlight w:val="none"/>
        </w:rPr>
        <w:t>注：如果本项目涉及硬件设备采购，须在技术文件中提供此配置清单</w:t>
      </w:r>
      <w:r>
        <w:rPr>
          <w:rFonts w:hint="eastAsia" w:ascii="仿宋" w:hAnsi="仿宋" w:eastAsia="仿宋" w:cs="仿宋_GB2312"/>
          <w:b/>
          <w:color w:val="auto"/>
          <w:sz w:val="28"/>
          <w:szCs w:val="28"/>
          <w:highlight w:val="none"/>
        </w:rPr>
        <w:t>。</w:t>
      </w:r>
    </w:p>
    <w:p>
      <w:pPr>
        <w:autoSpaceDE w:val="0"/>
        <w:autoSpaceDN w:val="0"/>
        <w:spacing w:line="360" w:lineRule="auto"/>
        <w:rPr>
          <w:rFonts w:hint="eastAsia" w:ascii="仿宋" w:hAnsi="仿宋" w:eastAsia="仿宋" w:cs="仿宋_GB2312"/>
          <w:b/>
          <w:color w:val="auto"/>
          <w:kern w:val="0"/>
          <w:sz w:val="28"/>
          <w:szCs w:val="28"/>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法定代表人或其授权代表（签字）：</w:t>
      </w:r>
    </w:p>
    <w:p>
      <w:pPr>
        <w:spacing w:line="360" w:lineRule="auto"/>
        <w:jc w:val="center"/>
        <w:rPr>
          <w:rFonts w:hint="eastAsia" w:ascii="仿宋" w:hAnsi="仿宋" w:eastAsia="仿宋" w:cs="仿宋_GB2312"/>
          <w:b/>
          <w:bCs/>
          <w:color w:val="auto"/>
          <w:kern w:val="0"/>
          <w:sz w:val="24"/>
          <w:highlight w:val="none"/>
          <w:lang w:val="zh-CN"/>
        </w:rPr>
      </w:pPr>
      <w:r>
        <w:rPr>
          <w:rFonts w:hint="eastAsia" w:ascii="仿宋" w:hAnsi="仿宋" w:eastAsia="仿宋" w:cs="仿宋_GB2312"/>
          <w:color w:val="auto"/>
          <w:kern w:val="0"/>
          <w:sz w:val="24"/>
          <w:highlight w:val="none"/>
        </w:rPr>
        <w:t xml:space="preserve">                     日期：  年  月   日</w:t>
      </w:r>
    </w:p>
    <w:p>
      <w:pPr>
        <w:tabs>
          <w:tab w:val="left" w:pos="2790"/>
          <w:tab w:val="center" w:pos="3835"/>
          <w:tab w:val="left" w:pos="4230"/>
          <w:tab w:val="left" w:pos="4695"/>
        </w:tabs>
        <w:autoSpaceDE w:val="0"/>
        <w:autoSpaceDN w:val="0"/>
        <w:spacing w:line="360" w:lineRule="auto"/>
        <w:ind w:right="1400"/>
        <w:jc w:val="left"/>
        <w:outlineLvl w:val="1"/>
        <w:rPr>
          <w:rFonts w:hint="eastAsia" w:ascii="仿宋" w:hAnsi="仿宋" w:eastAsia="仿宋" w:cs="仿宋_GB2312"/>
          <w:b/>
          <w:bCs/>
          <w:color w:val="auto"/>
          <w:kern w:val="0"/>
          <w:sz w:val="24"/>
          <w:highlight w:val="none"/>
          <w:lang w:val="zh-CN"/>
        </w:rPr>
      </w:pPr>
      <w:r>
        <w:rPr>
          <w:rFonts w:hint="eastAsia" w:ascii="仿宋" w:hAnsi="仿宋" w:eastAsia="仿宋" w:cs="仿宋_GB2312"/>
          <w:b/>
          <w:bCs/>
          <w:color w:val="auto"/>
          <w:kern w:val="0"/>
          <w:sz w:val="24"/>
          <w:highlight w:val="none"/>
          <w:lang w:val="zh-CN"/>
        </w:rPr>
        <w:tab/>
      </w:r>
      <w:r>
        <w:rPr>
          <w:rFonts w:hint="eastAsia" w:ascii="仿宋" w:hAnsi="仿宋" w:eastAsia="仿宋" w:cs="仿宋_GB2312"/>
          <w:b/>
          <w:bCs/>
          <w:color w:val="auto"/>
          <w:kern w:val="0"/>
          <w:sz w:val="24"/>
          <w:highlight w:val="none"/>
          <w:lang w:val="zh-CN"/>
        </w:rPr>
        <w:tab/>
      </w:r>
      <w:r>
        <w:rPr>
          <w:rFonts w:hint="eastAsia" w:ascii="仿宋" w:hAnsi="仿宋" w:eastAsia="仿宋" w:cs="仿宋_GB2312"/>
          <w:b/>
          <w:bCs/>
          <w:color w:val="auto"/>
          <w:kern w:val="0"/>
          <w:sz w:val="24"/>
          <w:highlight w:val="none"/>
          <w:lang w:val="zh-CN"/>
        </w:rPr>
        <w:t xml:space="preserve">                        </w:t>
      </w: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九、技术偏离说明表</w:t>
      </w:r>
    </w:p>
    <w:p>
      <w:pPr>
        <w:spacing w:line="360" w:lineRule="auto"/>
        <w:jc w:val="center"/>
        <w:rPr>
          <w:rFonts w:hint="eastAsia" w:ascii="仿宋" w:hAnsi="仿宋" w:eastAsia="仿宋" w:cs="仿宋_GB2312"/>
          <w:b/>
          <w:bCs/>
          <w:color w:val="auto"/>
          <w:sz w:val="18"/>
          <w:szCs w:val="18"/>
          <w:highlight w:val="none"/>
        </w:rPr>
      </w:pPr>
    </w:p>
    <w:tbl>
      <w:tblPr>
        <w:tblStyle w:val="8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color w:val="auto"/>
                <w:sz w:val="24"/>
                <w:highlight w:val="none"/>
              </w:rPr>
            </w:pPr>
          </w:p>
        </w:tc>
      </w:tr>
    </w:tbl>
    <w:p>
      <w:pPr>
        <w:autoSpaceDE w:val="0"/>
        <w:autoSpaceDN w:val="0"/>
        <w:spacing w:line="360" w:lineRule="auto"/>
        <w:ind w:firstLine="5040" w:firstLineChars="2100"/>
        <w:rPr>
          <w:rFonts w:hint="eastAsia" w:ascii="仿宋" w:hAnsi="仿宋" w:eastAsia="仿宋" w:cs="仿宋_GB2312"/>
          <w:color w:val="auto"/>
          <w:kern w:val="0"/>
          <w:sz w:val="24"/>
          <w:highlight w:val="none"/>
          <w:lang w:val="zh-CN"/>
        </w:rPr>
      </w:pPr>
    </w:p>
    <w:p>
      <w:pPr>
        <w:autoSpaceDE w:val="0"/>
        <w:autoSpaceDN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法定代表人或其授权代表（签字）： </w:t>
      </w:r>
    </w:p>
    <w:p>
      <w:pPr>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color w:val="auto"/>
          <w:kern w:val="0"/>
          <w:sz w:val="24"/>
          <w:highlight w:val="none"/>
          <w:lang w:val="zh-CN"/>
        </w:rPr>
        <w:t xml:space="preserve">                            日期：  年  月   日</w:t>
      </w: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auto"/>
          <w:kern w:val="0"/>
          <w:sz w:val="36"/>
          <w:szCs w:val="36"/>
          <w:highlight w:val="none"/>
          <w:lang w:val="zh-CN"/>
        </w:rPr>
      </w:pPr>
      <w:r>
        <w:rPr>
          <w:rFonts w:hint="eastAsia" w:ascii="仿宋" w:hAnsi="仿宋" w:eastAsia="仿宋" w:cs="仿宋_GB2312"/>
          <w:b/>
          <w:bCs/>
          <w:color w:val="auto"/>
          <w:kern w:val="0"/>
          <w:sz w:val="36"/>
          <w:szCs w:val="36"/>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auto"/>
          <w:kern w:val="0"/>
          <w:sz w:val="32"/>
          <w:szCs w:val="32"/>
          <w:highlight w:val="none"/>
          <w:lang w:val="zh-CN"/>
        </w:rPr>
      </w:pPr>
      <w:r>
        <w:rPr>
          <w:rFonts w:hint="eastAsia" w:ascii="仿宋" w:hAnsi="仿宋" w:eastAsia="仿宋" w:cs="仿宋_GB2312"/>
          <w:b/>
          <w:bCs/>
          <w:color w:val="auto"/>
          <w:kern w:val="0"/>
          <w:sz w:val="32"/>
          <w:szCs w:val="32"/>
          <w:highlight w:val="none"/>
          <w:lang w:val="zh-CN"/>
        </w:rPr>
        <w:t>十、组织实施方案</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 w:hAnsi="仿宋" w:eastAsia="仿宋" w:cs="仿宋_GB2312"/>
          <w:b/>
          <w:bCs/>
          <w:color w:val="auto"/>
          <w:kern w:val="0"/>
          <w:sz w:val="24"/>
          <w:highlight w:val="none"/>
          <w:lang w:val="zh-CN"/>
        </w:rPr>
      </w:pPr>
    </w:p>
    <w:p>
      <w:pPr>
        <w:tabs>
          <w:tab w:val="left" w:pos="2790"/>
          <w:tab w:val="left" w:pos="4230"/>
        </w:tabs>
        <w:autoSpaceDE w:val="0"/>
        <w:autoSpaceDN w:val="0"/>
        <w:spacing w:line="360" w:lineRule="auto"/>
        <w:ind w:right="1400"/>
        <w:outlineLvl w:val="1"/>
        <w:rPr>
          <w:rFonts w:hint="eastAsia" w:ascii="仿宋" w:hAnsi="仿宋" w:eastAsia="仿宋" w:cs="仿宋_GB2312"/>
          <w:b/>
          <w:bCs/>
          <w:color w:val="auto"/>
          <w:kern w:val="0"/>
          <w:sz w:val="24"/>
          <w:highlight w:val="none"/>
          <w:lang w:val="zh-CN"/>
        </w:rPr>
      </w:pPr>
      <w:r>
        <w:rPr>
          <w:rFonts w:hint="eastAsia" w:ascii="仿宋" w:hAnsi="仿宋" w:eastAsia="仿宋" w:cs="仿宋_GB2312"/>
          <w:b/>
          <w:bCs/>
          <w:color w:val="auto"/>
          <w:kern w:val="0"/>
          <w:sz w:val="24"/>
          <w:highlight w:val="none"/>
          <w:lang w:val="zh-CN"/>
        </w:rPr>
        <w:t>附表:项目实施进度计划表</w:t>
      </w:r>
      <w:r>
        <w:rPr>
          <w:rFonts w:hint="eastAsia" w:ascii="仿宋" w:hAnsi="仿宋" w:eastAsia="仿宋" w:cs="仿宋_GB2312"/>
          <w:b/>
          <w:color w:val="auto"/>
          <w:sz w:val="24"/>
          <w:highlight w:val="none"/>
        </w:rPr>
        <w:t xml:space="preserve">(以生效日算起) </w:t>
      </w:r>
    </w:p>
    <w:tbl>
      <w:tblPr>
        <w:tblStyle w:val="8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9" w:hRule="atLeast"/>
        </w:trPr>
        <w:tc>
          <w:tcPr>
            <w:tcW w:w="1188"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__TH_L2"/>
                              <wps:cNvSp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455" y="122"/>
                                  <a:ext cx="253" cy="263"/>
                                </a:xfrm>
                                <a:prstGeom prst="rect">
                                  <a:avLst/>
                                </a:prstGeom>
                                <a:noFill/>
                                <a:ln>
                                  <a:noFill/>
                                </a:ln>
                              </wps:spPr>
                              <wps:txbx>
                                <w:txbxContent>
                                  <w:p>
                                    <w:pPr>
                                      <w:snapToGrid w:val="0"/>
                                    </w:pPr>
                                    <w:r>
                                      <w:t>工</w:t>
                                    </w:r>
                                  </w:p>
                                </w:txbxContent>
                              </wps:txbx>
                              <wps:bodyPr wrap="square" lIns="0" tIns="0" rIns="0" bIns="0" upright="1"/>
                            </wps:wsp>
                            <wps:wsp>
                              <wps:cNvPr id="3" name="__TH_B124"/>
                              <wps:cNvSpPr txBox="1"/>
                              <wps:spPr>
                                <a:xfrm>
                                  <a:off x="643" y="419"/>
                                  <a:ext cx="253" cy="263"/>
                                </a:xfrm>
                                <a:prstGeom prst="rect">
                                  <a:avLst/>
                                </a:prstGeom>
                                <a:noFill/>
                                <a:ln>
                                  <a:noFill/>
                                </a:ln>
                              </wps:spPr>
                              <wps:txbx>
                                <w:txbxContent>
                                  <w:p>
                                    <w:pPr>
                                      <w:snapToGrid w:val="0"/>
                                    </w:pPr>
                                    <w:r>
                                      <w:t>作</w:t>
                                    </w:r>
                                  </w:p>
                                </w:txbxContent>
                              </wps:txbx>
                              <wps:bodyPr wrap="square" lIns="0" tIns="0" rIns="0" bIns="0" upright="1"/>
                            </wps:wsp>
                            <wps:wsp>
                              <wps:cNvPr id="4" name="__TH_B135"/>
                              <wps:cNvSpPr txBox="1"/>
                              <wps:spPr>
                                <a:xfrm>
                                  <a:off x="831" y="717"/>
                                  <a:ext cx="253" cy="262"/>
                                </a:xfrm>
                                <a:prstGeom prst="rect">
                                  <a:avLst/>
                                </a:prstGeom>
                                <a:noFill/>
                                <a:ln>
                                  <a:noFill/>
                                </a:ln>
                              </wps:spPr>
                              <wps:txbx>
                                <w:txbxContent>
                                  <w:p>
                                    <w:pPr>
                                      <w:snapToGrid w:val="0"/>
                                    </w:pPr>
                                    <w:r>
                                      <w:t>日</w:t>
                                    </w:r>
                                  </w:p>
                                </w:txbxContent>
                              </wps:txbx>
                              <wps:bodyPr wrap="square" lIns="0" tIns="0" rIns="0" bIns="0" upright="1"/>
                            </wps:wsp>
                          </wpg:wgp>
                        </a:graphicData>
                      </a:graphic>
                    </wp:anchor>
                  </w:drawing>
                </mc:Choice>
                <mc:Fallback>
                  <w:pict>
                    <v:group id="组合 2" o:spid="_x0000_s1026" o:spt="203" style="position:absolute;left:0pt;margin-left:-5.15pt;margin-top:0pt;height:93pt;width:58.9pt;z-index:251659264;mso-width-relative:page;mso-height-relative:page;"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sMp95vECAADbCQAADgAAAGRycy9lMm9Eb2MueG1s7VbJ btswEL0X6D8QvDcy5bVC5ACpk7RA0AZIeg5oiVoAimRJ2rLvPfSY/+n3FP2NDqkljbPATYEWKOqD POIynHnvzVCHR5uKozXTppQixuRggBETiUxLkcf449XpqxlGxlKRUi4Fi/GWGXw0f/nisFYRC2Uh eco0AifCRLWKcWGtioLAJAWrqDmQigmYzKSuqIVXnQeppjV4r3gQDgaToJY6VVomzBgYXTSTuPWo 93Eos6xM2EImq4oJ23jVjFMLKZmiVAbPfbRZxhL7IcsMs4jHGDK1/gmHgL10z2B+SKNcU1WUSRsC 3SeEnZwqWgo4tHe1oJailS7vuarKREsjM3uQyCpoEvGIQBZksIPNmZYr5XPJozpXPehA1A7qz3ab vF9faFSmMR5jJGgFhH//+vnbzRcUOmxqlUew5EyrS3Wh24G8eXPpbjJduX9IBG08qtseVbaxKIHB 6Wg2GALeCUwRMiNk0MKeFMDNvW1JcdJuJGQKWvTbZhO/J+hODFxgfRy1AimaW3zM7+FzWVDFPOzG Jd/iQzp8rq+v3l6ft/D4FT02JjIA077APJEfjZQ29ozJCjkjxrwULiQa0fW5sUAEQNEtccNcoDrG k+HYAU2hLDMoBzArBdQakfu9RvIyPS05dzuMzpdvuEZr6krD/xzj4PfOMnfIgpqiWeenmqIpGE1P RIrsVoFoBPQK7EKoWIoRZ9BanAUOaWRpyfdZCUdzARE4OhscnbWU6RYoWCld5gUgQXyULeVOoX+A +/AO98eEDF0Q7mjQh2Mf2c2xBK374Nz4IzoYjaHMXB2EXj806ookHA8bqYcT77tX+i3NrRI09LSn lCCkY9gD79CkUT/wML52s9y0ybRQ19AOQTSfVlQDp/ydgHpyvbMzdGcsO+OvkgPANY3LF+YxCUfP JGcyAldAzoi8boT7n5xfuKwe7pqjHXKG42eSMxtCAwZypmT6KDm+pv6NyvEXHNz5viG33yfuo+Ln d98qb7/J5j8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YgUAAFtDb250ZW50X1R5cGVzXS54bWxQSwECFAAKAAAAAACHTuJAAAAAAAAAAAAAAAAA BgAAAAAAAAAAABAAAABEBAAAX3JlbHMvUEsBAhQAFAAAAAgAh07iQIoUZjzRAAAAlAEAAAsAAAAA AAAAAQAgAAAAaAQAAF9yZWxzLy5yZWxzUEsBAhQACgAAAAAAh07iQAAAAAAAAAAAAAAAAAQAAAAA AAAAAAAQAAAAAAAAAGRycy9QSwECFAAUAAAACACHTuJA9ctcntgAAAAIAQAADwAAAAAAAAABACAA AAAiAAAAZHJzL2Rvd25yZXYueG1sUEsBAhQAFAAAAAgAh07iQLDKfebxAgAA2wkAAA4AAAAAAAAA AQAgAAAAJwEAAGRycy9lMm9Eb2MueG1sUEsFBgAAAAAGAAYAWQEAAIoGAAAAAA== ">
                      <o:lock v:ext="edit" grouping="f" rotation="f" text="f" aspectratio="f"/>
                      <v:line id="__TH_L2" o:spid="_x0000_s1026" o:spt="20" style="position:absolute;left:0;top:0;height:1860;width:1178;" filled="f" stroked="t" coordsize="21600,21600" o:gfxdata="UEsDBAoAAAAAAIdO4kAAAAAAAAAAAAAAAAAEAAAAZHJzL1BLAwQUAAAACACHTuJA2wcIfbgAAADa AAAADwAAAGRycy9kb3ducmV2LnhtbEVPTUsDMRC9C/0PYQrebLLCiqxNexC29OLBKp6Hzbi7uJks yXRT/fWmIHgaHu9ztvuLn9RCMY2BLVQbA4q4C27k3sL7W3v3CCoJssMpMFn4pgT73epmi40LmV9p OUmvSginBi0MInOjdeoG8pg2YSYu3GeIHqXA2GsXMZdwP+l7Yx60x5FLw4AzPQ/UfZ3O3gJX8jHl LHmJP/Whrur2aF5aa2/XlXkCJXSRf/Gf++jKfLi+cr169wt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2wcIfbgAAADaAAAA DwAAAAAAAAABACAAAAAiAAAAZHJzL2Rvd25yZXYueG1sUEsBAhQAFAAAAAgAh07iQDMvBZ47AAAA OQAAABAAAAAAAAAAAQAgAAAABwEAAGRycy9zaGFwZXhtbC54bWxQSwUGAAAAAAYABgBbAQAAsQMA AAAA ">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kaVdCL0AAADa AAAADwAAAGRycy9kb3ducmV2LnhtbEWPT2sCMRTE7wW/Q3iCt26iB9GtUUpREARx3R56fN08d4Ob l3UT//TbN4WCx2FmfsMsVg/Xihv1wXrWMM4UCOLKG8u1hs9y8zoDESKywdYzafihAKvl4GWBufF3 Luh2jLVIEA45amhi7HIpQ9WQw5D5jjh5J987jEn2tTQ93hPctXKi1FQ6tJwWGuzoo6HqfLw6De9f XKztZf99KE6FLcu54t30rPVoOFZvICI94jP8394aDRP4u5JugFz+Al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RpV0I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un4k70AAADa AAAADwAAAGRycy9kb3ducmV2LnhtbEWPQWsCMRSE70L/Q3gFb5pYQX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6fiT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cQBg570AAADa AAAADwAAAGRycy9kb3ducmV2LnhtbEWPQWsCMRSE70L/Q3gFb5pYRH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xAGDn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t>日</w:t>
                              </w:r>
                            </w:p>
                          </w:txbxContent>
                        </v:textbox>
                      </v:shape>
                    </v:group>
                  </w:pict>
                </mc:Fallback>
              </mc:AlternateContent>
            </w:r>
          </w:p>
          <w:p>
            <w:pPr>
              <w:spacing w:line="360" w:lineRule="auto"/>
              <w:rPr>
                <w:rFonts w:hint="eastAsia" w:ascii="仿宋" w:hAnsi="仿宋" w:eastAsia="仿宋" w:cs="仿宋_GB2312"/>
                <w:color w:val="auto"/>
                <w:sz w:val="24"/>
                <w:highlight w:val="none"/>
              </w:rPr>
            </w:pPr>
          </w:p>
          <w:p>
            <w:pPr>
              <w:spacing w:line="360" w:lineRule="auto"/>
              <w:rPr>
                <w:rFonts w:hint="eastAsia" w:ascii="仿宋" w:hAnsi="仿宋" w:eastAsia="仿宋" w:cs="仿宋_GB2312"/>
                <w:color w:val="auto"/>
                <w:sz w:val="24"/>
                <w:highlight w:val="none"/>
              </w:rPr>
            </w:pPr>
          </w:p>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内容</w:t>
            </w:r>
          </w:p>
        </w:tc>
        <w:tc>
          <w:tcPr>
            <w:tcW w:w="552"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552"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552"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552"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552"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552"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553"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553"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553"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553"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553"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553"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553"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w:t>
            </w:r>
          </w:p>
        </w:tc>
        <w:tc>
          <w:tcPr>
            <w:tcW w:w="553"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553"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w:t>
            </w:r>
          </w:p>
        </w:tc>
        <w:tc>
          <w:tcPr>
            <w:tcW w:w="553" w:type="dxa"/>
            <w:noWrap w:val="0"/>
            <w:vAlign w:val="center"/>
          </w:tcPr>
          <w:p>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2"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c>
          <w:tcPr>
            <w:tcW w:w="553" w:type="dxa"/>
            <w:noWrap w:val="0"/>
            <w:vAlign w:val="top"/>
          </w:tcPr>
          <w:p>
            <w:pPr>
              <w:spacing w:line="360" w:lineRule="auto"/>
              <w:rPr>
                <w:rFonts w:hint="eastAsia" w:ascii="仿宋" w:hAnsi="仿宋" w:eastAsia="仿宋" w:cs="仿宋_GB2312"/>
                <w:color w:val="auto"/>
                <w:sz w:val="24"/>
                <w:highlight w:val="none"/>
              </w:rPr>
            </w:pPr>
          </w:p>
        </w:tc>
      </w:tr>
    </w:tbl>
    <w:p>
      <w:pPr>
        <w:autoSpaceDE w:val="0"/>
        <w:autoSpaceDN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b/>
          <w:color w:val="auto"/>
          <w:sz w:val="24"/>
          <w:highlight w:val="none"/>
        </w:rPr>
        <w:t>注：投标人可按上述时间表的格式自行编制切合实际的具体时间表。</w:t>
      </w:r>
    </w:p>
    <w:p>
      <w:pPr>
        <w:autoSpaceDE w:val="0"/>
        <w:autoSpaceDN w:val="0"/>
        <w:spacing w:line="360" w:lineRule="auto"/>
        <w:ind w:firstLine="4440" w:firstLineChars="18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法定代表人或其授权代表（签字）：</w:t>
      </w:r>
    </w:p>
    <w:p>
      <w:pPr>
        <w:spacing w:line="360" w:lineRule="auto"/>
        <w:rPr>
          <w:rFonts w:hint="eastAsia" w:ascii="仿宋" w:hAnsi="仿宋" w:eastAsia="仿宋" w:cs="仿宋_GB2312"/>
          <w:b/>
          <w:bCs/>
          <w:color w:val="auto"/>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十一、售后服务方案</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附表A:售后服务机构情况表</w:t>
      </w:r>
      <w:r>
        <w:rPr>
          <w:rFonts w:hint="eastAsia" w:ascii="仿宋" w:hAnsi="仿宋" w:eastAsia="仿宋" w:cs="仿宋_GB2312"/>
          <w:color w:val="auto"/>
          <w:sz w:val="24"/>
          <w:highlight w:val="none"/>
        </w:rPr>
        <w:t>（按此格式自制）</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2340" w:type="dxa"/>
            <w:noWrap w:val="0"/>
            <w:vAlign w:val="top"/>
          </w:tcPr>
          <w:p>
            <w:pPr>
              <w:autoSpaceDE w:val="0"/>
              <w:autoSpaceDN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机构名称</w:t>
            </w:r>
          </w:p>
        </w:tc>
        <w:tc>
          <w:tcPr>
            <w:tcW w:w="1095" w:type="dxa"/>
            <w:noWrap w:val="0"/>
            <w:vAlign w:val="top"/>
          </w:tcPr>
          <w:p>
            <w:pPr>
              <w:autoSpaceDE w:val="0"/>
              <w:autoSpaceDN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机构性质</w:t>
            </w:r>
          </w:p>
        </w:tc>
        <w:tc>
          <w:tcPr>
            <w:tcW w:w="1245" w:type="dxa"/>
            <w:noWrap w:val="0"/>
            <w:vAlign w:val="top"/>
          </w:tcPr>
          <w:p>
            <w:pPr>
              <w:autoSpaceDE w:val="0"/>
              <w:autoSpaceDN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注册地址</w:t>
            </w:r>
          </w:p>
        </w:tc>
        <w:tc>
          <w:tcPr>
            <w:tcW w:w="1980" w:type="dxa"/>
            <w:noWrap w:val="0"/>
            <w:vAlign w:val="top"/>
          </w:tcPr>
          <w:p>
            <w:pPr>
              <w:autoSpaceDE w:val="0"/>
              <w:autoSpaceDN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服务技术人员数量</w:t>
            </w:r>
          </w:p>
        </w:tc>
        <w:tc>
          <w:tcPr>
            <w:tcW w:w="1260" w:type="dxa"/>
            <w:noWrap w:val="0"/>
            <w:vAlign w:val="top"/>
          </w:tcPr>
          <w:p>
            <w:pPr>
              <w:autoSpaceDE w:val="0"/>
              <w:autoSpaceDN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2340"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095"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245"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980"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2340"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095"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245"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980"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2340"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095"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245"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980"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r>
    </w:tbl>
    <w:p>
      <w:pPr>
        <w:autoSpaceDE w:val="0"/>
        <w:autoSpaceDN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注：关于项目涉及的所有售后服务机构均在本表注明，包括投标人本单位和符合条件的第三方服务机构；</w:t>
      </w:r>
    </w:p>
    <w:p>
      <w:pPr>
        <w:autoSpaceDE w:val="0"/>
        <w:autoSpaceDN w:val="0"/>
        <w:spacing w:line="360" w:lineRule="auto"/>
        <w:rPr>
          <w:rFonts w:hint="eastAsia" w:ascii="仿宋" w:hAnsi="仿宋" w:eastAsia="仿宋" w:cs="仿宋_GB2312"/>
          <w:color w:val="auto"/>
          <w:kern w:val="0"/>
          <w:sz w:val="24"/>
          <w:highlight w:val="none"/>
        </w:rPr>
      </w:pPr>
    </w:p>
    <w:p>
      <w:pPr>
        <w:autoSpaceDE w:val="0"/>
        <w:autoSpaceDN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b/>
          <w:color w:val="auto"/>
          <w:kern w:val="0"/>
          <w:sz w:val="24"/>
          <w:highlight w:val="none"/>
        </w:rPr>
        <w:t>附表B：售后服务人员情况表</w:t>
      </w:r>
      <w:r>
        <w:rPr>
          <w:rFonts w:hint="eastAsia" w:ascii="仿宋" w:hAnsi="仿宋" w:eastAsia="仿宋" w:cs="仿宋_GB2312"/>
          <w:color w:val="auto"/>
          <w:sz w:val="24"/>
          <w:highlight w:val="none"/>
        </w:rPr>
        <w:t>（按此格式自制）</w:t>
      </w:r>
    </w:p>
    <w:tbl>
      <w:tblPr>
        <w:tblStyle w:val="85"/>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wBefore w:w="0" w:type="dxa"/>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序号</w:t>
            </w:r>
          </w:p>
          <w:p>
            <w:pPr>
              <w:autoSpaceDE w:val="0"/>
              <w:autoSpaceDN w:val="0"/>
              <w:spacing w:line="360" w:lineRule="auto"/>
              <w:jc w:val="center"/>
              <w:rPr>
                <w:rFonts w:hint="eastAsia" w:ascii="仿宋" w:hAnsi="仿宋" w:eastAsia="仿宋"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到达现场时间</w:t>
            </w:r>
          </w:p>
        </w:tc>
      </w:tr>
      <w:tr>
        <w:tblPrEx>
          <w:tblCellMar>
            <w:top w:w="0" w:type="dxa"/>
            <w:left w:w="108" w:type="dxa"/>
            <w:bottom w:w="0" w:type="dxa"/>
            <w:right w:w="108" w:type="dxa"/>
          </w:tblCellMar>
        </w:tblPrEx>
        <w:trPr>
          <w:wBefore w:w="0" w:type="dxa"/>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bl>
    <w:p>
      <w:pPr>
        <w:autoSpaceDE w:val="0"/>
        <w:autoSpaceDN w:val="0"/>
        <w:spacing w:line="360" w:lineRule="auto"/>
        <w:rPr>
          <w:rFonts w:hint="eastAsia" w:ascii="仿宋" w:hAnsi="仿宋" w:eastAsia="仿宋" w:cs="仿宋_GB2312"/>
          <w:color w:val="auto"/>
          <w:kern w:val="0"/>
          <w:sz w:val="24"/>
          <w:highlight w:val="none"/>
        </w:rPr>
      </w:pPr>
    </w:p>
    <w:p>
      <w:pPr>
        <w:autoSpaceDE w:val="0"/>
        <w:autoSpaceDN w:val="0"/>
        <w:spacing w:line="360" w:lineRule="auto"/>
        <w:ind w:firstLine="4440" w:firstLineChars="18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法定代表人或其授权代表（签字）：</w:t>
      </w:r>
    </w:p>
    <w:p>
      <w:pPr>
        <w:spacing w:line="360" w:lineRule="auto"/>
        <w:rPr>
          <w:rFonts w:hint="eastAsia" w:ascii="仿宋" w:hAnsi="仿宋" w:eastAsia="仿宋" w:cs="仿宋_GB2312"/>
          <w:b/>
          <w:bCs/>
          <w:color w:val="auto"/>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24"/>
          <w:highlight w:val="none"/>
        </w:rPr>
      </w:pPr>
      <w:r>
        <w:rPr>
          <w:rFonts w:ascii="仿宋" w:hAnsi="仿宋" w:eastAsia="仿宋" w:cs="仿宋_GB2312"/>
          <w:b/>
          <w:bCs/>
          <w:color w:val="auto"/>
          <w:sz w:val="24"/>
          <w:highlight w:val="none"/>
        </w:rPr>
        <w:br w:type="page"/>
      </w: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十二、项目小组人员名单</w:t>
      </w:r>
    </w:p>
    <w:p>
      <w:pPr>
        <w:spacing w:line="360" w:lineRule="auto"/>
        <w:jc w:val="center"/>
        <w:rPr>
          <w:rFonts w:hint="eastAsia" w:ascii="仿宋" w:hAnsi="仿宋" w:eastAsia="仿宋" w:cs="仿宋_GB2312"/>
          <w:b/>
          <w:bCs/>
          <w:color w:val="auto"/>
          <w:sz w:val="24"/>
          <w:highlight w:val="none"/>
        </w:rPr>
      </w:pPr>
      <w:r>
        <w:rPr>
          <w:rFonts w:hint="eastAsia" w:ascii="仿宋" w:hAnsi="仿宋" w:eastAsia="仿宋" w:cs="仿宋_GB2312"/>
          <w:color w:val="auto"/>
          <w:sz w:val="24"/>
          <w:highlight w:val="none"/>
        </w:rPr>
        <w:t>（由投标人根据采购需求及招标文件要求编制）</w:t>
      </w:r>
    </w:p>
    <w:p>
      <w:pPr>
        <w:keepNext/>
        <w:autoSpaceDE w:val="0"/>
        <w:autoSpaceDN w:val="0"/>
        <w:spacing w:line="360" w:lineRule="auto"/>
        <w:ind w:firstLine="477"/>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附表A:本项目的项目经理情况表</w:t>
      </w:r>
    </w:p>
    <w:tbl>
      <w:tblPr>
        <w:tblStyle w:val="85"/>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投标截止时间前三年业绩及承担的主要工作情况，曾担任项目经理的项目应列明细</w:t>
            </w: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bl>
    <w:p>
      <w:pPr>
        <w:autoSpaceDE w:val="0"/>
        <w:autoSpaceDN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注：须随表提交相应的证书复印件并注明所在投标技术文件页码。</w:t>
      </w:r>
    </w:p>
    <w:p>
      <w:pPr>
        <w:autoSpaceDE w:val="0"/>
        <w:autoSpaceDN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附表B:本项目的项目小组人员情况表</w:t>
      </w:r>
      <w:r>
        <w:rPr>
          <w:rFonts w:hint="eastAsia" w:ascii="仿宋" w:hAnsi="仿宋" w:eastAsia="仿宋" w:cs="仿宋_GB2312"/>
          <w:color w:val="auto"/>
          <w:sz w:val="24"/>
          <w:highlight w:val="none"/>
        </w:rPr>
        <w:t>（按此格式自制）</w:t>
      </w:r>
    </w:p>
    <w:tbl>
      <w:tblPr>
        <w:tblStyle w:val="85"/>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rPr>
          <w:wBefore w:w="0" w:type="dxa"/>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专业</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参与本项目的到位情况</w:t>
            </w:r>
          </w:p>
        </w:tc>
      </w:tr>
      <w:tr>
        <w:tblPrEx>
          <w:tblCellMar>
            <w:top w:w="0" w:type="dxa"/>
            <w:left w:w="108" w:type="dxa"/>
            <w:bottom w:w="0" w:type="dxa"/>
            <w:right w:w="108" w:type="dxa"/>
          </w:tblCellMar>
        </w:tblPrEx>
        <w:trPr>
          <w:wBefore w:w="0" w:type="dxa"/>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bl>
    <w:p>
      <w:pPr>
        <w:spacing w:line="360" w:lineRule="auto"/>
        <w:rPr>
          <w:rFonts w:hint="eastAsia" w:ascii="仿宋" w:hAnsi="仿宋" w:eastAsia="仿宋" w:cs="仿宋_GB2312"/>
          <w:b/>
          <w:bCs/>
          <w:color w:val="auto"/>
          <w:sz w:val="24"/>
          <w:highlight w:val="none"/>
        </w:rPr>
      </w:pPr>
      <w:r>
        <w:rPr>
          <w:rFonts w:hint="eastAsia" w:ascii="仿宋" w:hAnsi="仿宋" w:eastAsia="仿宋" w:cs="仿宋_GB2312"/>
          <w:b/>
          <w:color w:val="auto"/>
          <w:sz w:val="24"/>
          <w:highlight w:val="none"/>
        </w:rPr>
        <w:t>注：投标人可按上述的格式自行编制，须随表提交相应的证书复印件并注明所在投标技术文件页码。</w:t>
      </w:r>
    </w:p>
    <w:p>
      <w:pPr>
        <w:spacing w:line="360" w:lineRule="auto"/>
        <w:rPr>
          <w:rFonts w:hint="eastAsia" w:ascii="仿宋" w:hAnsi="仿宋" w:eastAsia="仿宋" w:cs="仿宋_GB2312"/>
          <w:b/>
          <w:bCs/>
          <w:color w:val="auto"/>
          <w:sz w:val="24"/>
          <w:highlight w:val="none"/>
        </w:rPr>
      </w:pPr>
      <w:r>
        <w:rPr>
          <w:rFonts w:hint="eastAsia" w:ascii="仿宋" w:hAnsi="仿宋" w:eastAsia="仿宋" w:cs="仿宋_GB2312"/>
          <w:b/>
          <w:color w:val="auto"/>
          <w:sz w:val="24"/>
          <w:highlight w:val="none"/>
        </w:rPr>
        <w:t>附表C:本项目的项目经理和小组人员近3个月交纳社保记录情况表</w:t>
      </w:r>
      <w:r>
        <w:rPr>
          <w:rFonts w:hint="eastAsia" w:ascii="仿宋" w:hAnsi="仿宋" w:eastAsia="仿宋" w:cs="仿宋_GB2312"/>
          <w:color w:val="auto"/>
          <w:sz w:val="24"/>
          <w:highlight w:val="none"/>
        </w:rPr>
        <w:t>（以社保局缴纳凭证作附件）</w:t>
      </w:r>
    </w:p>
    <w:p>
      <w:pPr>
        <w:autoSpaceDE w:val="0"/>
        <w:autoSpaceDN w:val="0"/>
        <w:spacing w:line="360" w:lineRule="auto"/>
        <w:ind w:firstLine="4440" w:firstLineChars="18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法定代表人或其授权代表（签字）：</w:t>
      </w:r>
    </w:p>
    <w:p>
      <w:pPr>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十三、</w:t>
      </w:r>
      <w:r>
        <w:rPr>
          <w:rFonts w:hint="eastAsia" w:ascii="仿宋" w:hAnsi="仿宋" w:eastAsia="仿宋" w:cs="仿宋_GB2312"/>
          <w:b/>
          <w:color w:val="auto"/>
          <w:kern w:val="0"/>
          <w:sz w:val="32"/>
          <w:szCs w:val="32"/>
          <w:highlight w:val="none"/>
          <w:lang w:val="zh-CN"/>
        </w:rPr>
        <w:t>优惠条件及特殊承诺</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spacing w:line="360" w:lineRule="auto"/>
        <w:jc w:val="center"/>
        <w:rPr>
          <w:rFonts w:hint="eastAsia" w:ascii="仿宋" w:hAnsi="仿宋" w:eastAsia="仿宋" w:cs="仿宋_GB2312"/>
          <w:color w:val="auto"/>
          <w:sz w:val="18"/>
          <w:szCs w:val="18"/>
          <w:highlight w:val="none"/>
        </w:rPr>
      </w:pPr>
    </w:p>
    <w:p>
      <w:pPr>
        <w:autoSpaceDE w:val="0"/>
        <w:autoSpaceDN w:val="0"/>
        <w:spacing w:line="360" w:lineRule="auto"/>
        <w:ind w:firstLine="4440" w:firstLineChars="18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法定代表人或其授权代表（签字）：</w:t>
      </w:r>
    </w:p>
    <w:p>
      <w:pPr>
        <w:spacing w:line="360" w:lineRule="auto"/>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18"/>
          <w:szCs w:val="18"/>
          <w:highlight w:val="none"/>
        </w:rPr>
      </w:pPr>
    </w:p>
    <w:p>
      <w:pPr>
        <w:spacing w:line="360" w:lineRule="auto"/>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十四、</w:t>
      </w:r>
      <w:r>
        <w:rPr>
          <w:rFonts w:hint="eastAsia" w:ascii="仿宋" w:hAnsi="仿宋" w:eastAsia="仿宋" w:cs="仿宋_GB2312"/>
          <w:b/>
          <w:color w:val="auto"/>
          <w:kern w:val="0"/>
          <w:sz w:val="32"/>
          <w:szCs w:val="32"/>
          <w:highlight w:val="none"/>
          <w:lang w:val="zh-CN"/>
        </w:rPr>
        <w:t>备品备件及供选择的配套零部件清单</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十五、</w:t>
      </w:r>
      <w:r>
        <w:rPr>
          <w:rFonts w:hint="eastAsia" w:ascii="仿宋" w:hAnsi="仿宋" w:eastAsia="仿宋" w:cs="仿宋_GB2312"/>
          <w:b/>
          <w:color w:val="auto"/>
          <w:kern w:val="0"/>
          <w:sz w:val="32"/>
          <w:szCs w:val="32"/>
          <w:highlight w:val="none"/>
          <w:lang w:val="zh-CN"/>
        </w:rPr>
        <w:t>培训计划</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keepNext/>
        <w:autoSpaceDE w:val="0"/>
        <w:autoSpaceDN w:val="0"/>
        <w:spacing w:line="360" w:lineRule="auto"/>
        <w:ind w:firstLine="477"/>
        <w:jc w:val="lef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附表: 培训日程及费用</w:t>
      </w:r>
    </w:p>
    <w:tbl>
      <w:tblPr>
        <w:tblStyle w:val="85"/>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wBefore w:w="0" w:type="dxa"/>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课程费用</w:t>
            </w:r>
          </w:p>
        </w:tc>
      </w:tr>
      <w:tr>
        <w:tblPrEx>
          <w:tblCellMar>
            <w:top w:w="0" w:type="dxa"/>
            <w:left w:w="120" w:type="dxa"/>
            <w:bottom w:w="0" w:type="dxa"/>
            <w:right w:w="120" w:type="dxa"/>
          </w:tblCellMar>
        </w:tblPrEx>
        <w:trPr>
          <w:wBefore w:w="0" w:type="dxa"/>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仿宋" w:hAnsi="仿宋" w:eastAsia="仿宋" w:cs="仿宋_GB2312"/>
                <w:color w:val="auto"/>
                <w:sz w:val="24"/>
                <w:highlight w:val="none"/>
              </w:rPr>
            </w:pPr>
          </w:p>
        </w:tc>
      </w:tr>
      <w:tr>
        <w:tblPrEx>
          <w:tblCellMar>
            <w:top w:w="0" w:type="dxa"/>
            <w:left w:w="120" w:type="dxa"/>
            <w:bottom w:w="0" w:type="dxa"/>
            <w:right w:w="120" w:type="dxa"/>
          </w:tblCellMar>
        </w:tblPrEx>
        <w:trPr>
          <w:wBefore w:w="0" w:type="dxa"/>
          <w:trHeight w:val="273"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spacing w:line="360" w:lineRule="auto"/>
              <w:rPr>
                <w:rFonts w:hint="eastAsia" w:ascii="仿宋" w:hAnsi="仿宋" w:eastAsia="仿宋"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仿宋" w:hAnsi="仿宋" w:eastAsia="仿宋" w:cs="仿宋_GB2312"/>
                <w:color w:val="auto"/>
                <w:sz w:val="24"/>
                <w:highlight w:val="none"/>
              </w:rPr>
            </w:pPr>
          </w:p>
        </w:tc>
      </w:tr>
      <w:tr>
        <w:tblPrEx>
          <w:tblCellMar>
            <w:top w:w="0" w:type="dxa"/>
            <w:left w:w="120" w:type="dxa"/>
            <w:bottom w:w="0" w:type="dxa"/>
            <w:right w:w="120" w:type="dxa"/>
          </w:tblCellMar>
        </w:tblPrEx>
        <w:trPr>
          <w:wBefore w:w="0" w:type="dxa"/>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hint="eastAsia" w:ascii="仿宋" w:hAnsi="仿宋" w:eastAsia="仿宋"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hint="eastAsia" w:ascii="仿宋" w:hAnsi="仿宋" w:eastAsia="仿宋" w:cs="仿宋_GB2312"/>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注解:A</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课程清单按时间顺序排列，并提供以下详细资料：</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课程概要</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课程目的</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教学方式</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先决条件</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教材目录</w:t>
      </w:r>
    </w:p>
    <w:p>
      <w:pPr>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B  按照附表A提供授课教师的简历</w:t>
      </w:r>
    </w:p>
    <w:p>
      <w:pPr>
        <w:autoSpaceDE w:val="0"/>
        <w:autoSpaceDN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注：须随表提交相应的证书复印件并注明所在投标技术文件页码。</w:t>
      </w:r>
    </w:p>
    <w:p>
      <w:pPr>
        <w:autoSpaceDE w:val="0"/>
        <w:autoSpaceDN w:val="0"/>
        <w:spacing w:line="360" w:lineRule="auto"/>
        <w:ind w:firstLine="4800" w:firstLineChars="2000"/>
        <w:rPr>
          <w:rFonts w:hint="eastAsia" w:ascii="仿宋" w:hAnsi="仿宋" w:eastAsia="仿宋" w:cs="仿宋_GB2312"/>
          <w:color w:val="auto"/>
          <w:sz w:val="24"/>
          <w:highlight w:val="none"/>
        </w:rPr>
      </w:pPr>
      <w:r>
        <w:rPr>
          <w:rFonts w:hint="eastAsia" w:ascii="仿宋" w:hAnsi="仿宋" w:eastAsia="仿宋" w:cs="仿宋_GB2312"/>
          <w:color w:val="auto"/>
          <w:kern w:val="0"/>
          <w:sz w:val="24"/>
          <w:highlight w:val="none"/>
        </w:rPr>
        <w:t xml:space="preserve">投标人名称（公章）：                       </w:t>
      </w:r>
    </w:p>
    <w:p>
      <w:pPr>
        <w:autoSpaceDE w:val="0"/>
        <w:autoSpaceDN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法定代表人或其授权代表（签字）：                   </w:t>
      </w:r>
    </w:p>
    <w:p>
      <w:pPr>
        <w:autoSpaceDE w:val="0"/>
        <w:autoSpaceDN w:val="0"/>
        <w:spacing w:line="360" w:lineRule="auto"/>
        <w:ind w:firstLine="12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autoSpaceDE w:val="0"/>
        <w:autoSpaceDN w:val="0"/>
        <w:spacing w:line="360" w:lineRule="auto"/>
        <w:ind w:firstLine="120"/>
        <w:rPr>
          <w:rFonts w:hint="eastAsia" w:ascii="仿宋" w:hAnsi="仿宋" w:eastAsia="仿宋" w:cs="仿宋_GB2312"/>
          <w:color w:val="auto"/>
          <w:sz w:val="24"/>
          <w:highlight w:val="none"/>
        </w:rPr>
      </w:pP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十六、认为需要的其他技术文件或说明</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spacing w:line="360" w:lineRule="auto"/>
        <w:jc w:val="center"/>
        <w:rPr>
          <w:rFonts w:hint="eastAsia" w:ascii="仿宋" w:hAnsi="仿宋" w:eastAsia="仿宋" w:cs="仿宋_GB2312"/>
          <w:color w:val="auto"/>
          <w:sz w:val="24"/>
          <w:highlight w:val="none"/>
        </w:rPr>
      </w:pPr>
    </w:p>
    <w:p>
      <w:pPr>
        <w:autoSpaceDE w:val="0"/>
        <w:autoSpaceDN w:val="0"/>
        <w:spacing w:line="360" w:lineRule="auto"/>
        <w:ind w:firstLine="4800" w:firstLineChars="2000"/>
        <w:rPr>
          <w:rFonts w:hint="eastAsia" w:ascii="仿宋" w:hAnsi="仿宋" w:eastAsia="仿宋" w:cs="仿宋_GB2312"/>
          <w:color w:val="auto"/>
          <w:sz w:val="24"/>
          <w:highlight w:val="none"/>
        </w:rPr>
      </w:pPr>
      <w:r>
        <w:rPr>
          <w:rFonts w:hint="eastAsia" w:ascii="仿宋" w:hAnsi="仿宋" w:eastAsia="仿宋" w:cs="仿宋_GB2312"/>
          <w:color w:val="auto"/>
          <w:kern w:val="0"/>
          <w:sz w:val="24"/>
          <w:highlight w:val="none"/>
        </w:rPr>
        <w:t xml:space="preserve">投标人名称（公章）：                       </w:t>
      </w:r>
    </w:p>
    <w:p>
      <w:pPr>
        <w:autoSpaceDE w:val="0"/>
        <w:autoSpaceDN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法定代表人或其授权代表（签字）：                   </w:t>
      </w:r>
    </w:p>
    <w:p>
      <w:pPr>
        <w:spacing w:line="360" w:lineRule="auto"/>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30"/>
          <w:szCs w:val="30"/>
          <w:highlight w:val="none"/>
        </w:rPr>
      </w:pPr>
    </w:p>
    <w:p>
      <w:pPr>
        <w:spacing w:line="360" w:lineRule="auto"/>
        <w:jc w:val="center"/>
        <w:rPr>
          <w:rFonts w:hint="eastAsia" w:ascii="仿宋" w:hAnsi="仿宋" w:eastAsia="仿宋" w:cs="仿宋_GB2312"/>
          <w:b/>
          <w:bCs/>
          <w:color w:val="auto"/>
          <w:sz w:val="30"/>
          <w:szCs w:val="30"/>
          <w:highlight w:val="none"/>
        </w:rPr>
      </w:pPr>
    </w:p>
    <w:p>
      <w:pPr>
        <w:spacing w:line="360" w:lineRule="auto"/>
        <w:jc w:val="center"/>
        <w:rPr>
          <w:rFonts w:hint="eastAsia" w:ascii="仿宋" w:hAnsi="仿宋" w:eastAsia="仿宋" w:cs="仿宋_GB2312"/>
          <w:b/>
          <w:color w:val="auto"/>
          <w:kern w:val="0"/>
          <w:sz w:val="30"/>
          <w:szCs w:val="30"/>
          <w:highlight w:val="none"/>
          <w:lang w:val="zh-CN"/>
        </w:rPr>
      </w:pPr>
      <w:r>
        <w:rPr>
          <w:rFonts w:hint="eastAsia" w:ascii="仿宋" w:hAnsi="仿宋" w:eastAsia="仿宋" w:cs="仿宋_GB2312"/>
          <w:b/>
          <w:bCs/>
          <w:color w:val="auto"/>
          <w:sz w:val="30"/>
          <w:szCs w:val="30"/>
          <w:highlight w:val="none"/>
        </w:rPr>
        <w:t>十七、关于</w:t>
      </w:r>
      <w:r>
        <w:rPr>
          <w:rFonts w:hint="eastAsia" w:ascii="仿宋" w:hAnsi="仿宋" w:eastAsia="仿宋" w:cs="仿宋_GB2312"/>
          <w:b/>
          <w:color w:val="auto"/>
          <w:kern w:val="0"/>
          <w:sz w:val="30"/>
          <w:szCs w:val="30"/>
          <w:highlight w:val="none"/>
          <w:lang w:val="zh-CN"/>
        </w:rPr>
        <w:t>对招标文件中有关商务、合同条款的拒绝声明</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spacing w:line="360" w:lineRule="auto"/>
        <w:rPr>
          <w:rFonts w:hint="eastAsia" w:ascii="仿宋" w:hAnsi="仿宋" w:eastAsia="仿宋" w:cs="仿宋_GB2312"/>
          <w:color w:val="auto"/>
          <w:sz w:val="24"/>
          <w:highlight w:val="none"/>
        </w:rPr>
      </w:pPr>
    </w:p>
    <w:p>
      <w:pPr>
        <w:autoSpaceDE w:val="0"/>
        <w:autoSpaceDN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法定代表人或其授权代表（签字）： </w:t>
      </w:r>
    </w:p>
    <w:p>
      <w:pPr>
        <w:spacing w:line="360" w:lineRule="auto"/>
        <w:jc w:val="center"/>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   日</w:t>
      </w:r>
    </w:p>
    <w:p>
      <w:pPr>
        <w:spacing w:line="360" w:lineRule="auto"/>
        <w:jc w:val="center"/>
        <w:rPr>
          <w:rFonts w:hint="eastAsia" w:ascii="仿宋" w:hAnsi="仿宋" w:eastAsia="仿宋" w:cs="仿宋_GB2312"/>
          <w:b/>
          <w:bCs/>
          <w:color w:val="auto"/>
          <w:sz w:val="24"/>
          <w:highlight w:val="none"/>
        </w:rPr>
      </w:pPr>
    </w:p>
    <w:p>
      <w:pPr>
        <w:spacing w:line="360" w:lineRule="auto"/>
        <w:jc w:val="center"/>
        <w:rPr>
          <w:rFonts w:hint="eastAsia" w:ascii="仿宋" w:hAnsi="仿宋" w:eastAsia="仿宋" w:cs="仿宋_GB2312"/>
          <w:b/>
          <w:bCs/>
          <w:color w:val="auto"/>
          <w:sz w:val="24"/>
          <w:highlight w:val="none"/>
        </w:rPr>
      </w:pPr>
    </w:p>
    <w:p>
      <w:pPr>
        <w:spacing w:line="360" w:lineRule="auto"/>
        <w:jc w:val="center"/>
        <w:rPr>
          <w:rFonts w:hint="eastAsia" w:ascii="仿宋" w:hAnsi="仿宋" w:eastAsia="仿宋" w:cs="仿宋_GB2312"/>
          <w:b/>
          <w:bCs/>
          <w:color w:val="auto"/>
          <w:sz w:val="24"/>
          <w:highlight w:val="none"/>
        </w:rPr>
        <w:sectPr>
          <w:pgSz w:w="11906" w:h="16838"/>
          <w:pgMar w:top="1247" w:right="1418" w:bottom="1276" w:left="1418" w:header="851" w:footer="992" w:gutter="0"/>
          <w:cols w:space="720" w:num="1"/>
          <w:titlePg/>
          <w:docGrid w:linePitch="312" w:charSpace="0"/>
        </w:sectPr>
      </w:pPr>
    </w:p>
    <w:p>
      <w:pPr>
        <w:tabs>
          <w:tab w:val="left" w:pos="8085"/>
        </w:tabs>
        <w:spacing w:line="360" w:lineRule="auto"/>
        <w:jc w:val="left"/>
        <w:rPr>
          <w:rFonts w:hint="eastAsia" w:ascii="仿宋" w:hAnsi="仿宋" w:eastAsia="仿宋" w:cs="仿宋_GB2312"/>
          <w:b/>
          <w:color w:val="auto"/>
          <w:sz w:val="32"/>
          <w:szCs w:val="32"/>
          <w:highlight w:val="none"/>
        </w:rPr>
      </w:pPr>
      <w:r>
        <w:rPr>
          <w:rFonts w:ascii="仿宋" w:hAnsi="仿宋" w:eastAsia="仿宋" w:cs="仿宋_GB2312"/>
          <w:b/>
          <w:color w:val="auto"/>
          <w:sz w:val="32"/>
          <w:szCs w:val="32"/>
          <w:highlight w:val="none"/>
        </w:rPr>
        <w:tab/>
      </w:r>
    </w:p>
    <w:p>
      <w:pPr>
        <w:spacing w:line="360" w:lineRule="auto"/>
        <w:jc w:val="cente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政府采购支持中小企业信用融资相关事项通知</w:t>
      </w:r>
    </w:p>
    <w:p>
      <w:pPr>
        <w:spacing w:line="360" w:lineRule="auto"/>
        <w:jc w:val="center"/>
        <w:rPr>
          <w:rFonts w:hint="eastAsia" w:ascii="仿宋" w:hAnsi="仿宋" w:eastAsia="仿宋" w:cs="仿宋_GB2312"/>
          <w:b/>
          <w:color w:val="auto"/>
          <w:sz w:val="32"/>
          <w:szCs w:val="32"/>
          <w:highlight w:val="none"/>
        </w:rPr>
      </w:pP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一、适用对象</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在杭州市政府采购网上注册入库，并取得杭州市政府采购合同的杭州市内中小企业供应商。</w:t>
      </w:r>
    </w:p>
    <w:p>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二、相关信息获取方式</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请登陆杭州市政府采购网（</w:t>
      </w:r>
      <w:r>
        <w:rPr>
          <w:rFonts w:hint="eastAsia" w:ascii="仿宋" w:hAnsi="仿宋" w:eastAsia="仿宋" w:cs="仿宋_GB2312"/>
          <w:color w:val="auto"/>
          <w:sz w:val="24"/>
          <w:highlight w:val="none"/>
        </w:rPr>
        <w:fldChar w:fldCharType="begin"/>
      </w:r>
      <w:r>
        <w:rPr>
          <w:rFonts w:hint="eastAsia" w:ascii="仿宋" w:hAnsi="仿宋" w:eastAsia="仿宋" w:cs="仿宋_GB2312"/>
          <w:color w:val="auto"/>
          <w:sz w:val="24"/>
          <w:highlight w:val="none"/>
        </w:rPr>
        <w:instrText xml:space="preserve"> HYPERLINK "http://cg.hzft.gov.cn" </w:instrText>
      </w:r>
      <w:r>
        <w:rPr>
          <w:rFonts w:hint="eastAsia" w:ascii="仿宋" w:hAnsi="仿宋" w:eastAsia="仿宋" w:cs="仿宋_GB2312"/>
          <w:color w:val="auto"/>
          <w:sz w:val="24"/>
          <w:highlight w:val="none"/>
        </w:rPr>
        <w:fldChar w:fldCharType="separate"/>
      </w:r>
      <w:r>
        <w:rPr>
          <w:rStyle w:val="96"/>
          <w:rFonts w:hint="eastAsia" w:ascii="仿宋" w:hAnsi="仿宋" w:eastAsia="仿宋" w:cs="仿宋_GB2312"/>
          <w:color w:val="auto"/>
          <w:sz w:val="24"/>
          <w:highlight w:val="none"/>
        </w:rPr>
        <w:t>http://cg.hzft.gov.cn</w:t>
      </w:r>
      <w:r>
        <w:rPr>
          <w:rFonts w:hint="eastAsia"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）“中小企业信用融资”专栏，可查看信用融资政策文件及各相关银行服务方案。</w:t>
      </w:r>
    </w:p>
    <w:p>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三、申请方式和步骤</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1、供应商若有融资意向，需先与六家合作银行对接，办理相关融资前期手续；</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2、中标后，供应商应与采购单位或者采购代理机构及时联系，告知融资需求；</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3、采购单位或者采购代理机构在政府采购信息系统录入中标合同信息时，须在合同备案页“是否为可融资合同”前打勾，并选择相应的信用融资合作银行，录入账号信息；</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4、相关信息录入后，相关合作银行将在政府采购信息系统查询到合同备案信息，经审核，与供应商联系并办理相关融资事宜。</w:t>
      </w:r>
    </w:p>
    <w:p>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四、注意事项</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请各采购单位和采购代理机构积极支持和配合政府采购信用融资工作，在合同备案环节务必请仔细核对收款银行、账号信息等内容，一旦录入将无法修改。</w:t>
      </w:r>
    </w:p>
    <w:p>
      <w:pPr>
        <w:spacing w:line="360" w:lineRule="auto"/>
        <w:ind w:left="5040" w:hanging="5040" w:hangingChars="2100"/>
        <w:rPr>
          <w:rFonts w:hint="eastAsia" w:ascii="仿宋" w:hAnsi="仿宋" w:eastAsia="仿宋" w:cs="仿宋_GB2312"/>
          <w:color w:val="auto"/>
          <w:kern w:val="0"/>
          <w:sz w:val="24"/>
          <w:highlight w:val="none"/>
          <w:lang w:val="zh-CN"/>
        </w:rPr>
      </w:pPr>
    </w:p>
    <w:p>
      <w:pPr>
        <w:spacing w:line="360" w:lineRule="auto"/>
        <w:ind w:left="5060" w:hanging="5060" w:hangingChars="2100"/>
        <w:rPr>
          <w:rFonts w:hint="eastAsia" w:ascii="仿宋" w:hAnsi="仿宋" w:eastAsia="仿宋" w:cs="仿宋_GB2312"/>
          <w:b/>
          <w:bCs/>
          <w:color w:val="auto"/>
          <w:kern w:val="0"/>
          <w:sz w:val="24"/>
          <w:highlight w:val="none"/>
        </w:rPr>
      </w:pPr>
    </w:p>
    <w:p>
      <w:pPr>
        <w:spacing w:line="360" w:lineRule="auto"/>
        <w:jc w:val="center"/>
        <w:rPr>
          <w:rFonts w:hint="eastAsia" w:ascii="仿宋" w:hAnsi="仿宋" w:eastAsia="仿宋" w:cs="仿宋_GB2312"/>
          <w:color w:val="auto"/>
          <w:sz w:val="24"/>
          <w:highlight w:val="none"/>
        </w:rPr>
      </w:pPr>
    </w:p>
    <w:p>
      <w:pPr>
        <w:spacing w:line="360" w:lineRule="auto"/>
        <w:rPr>
          <w:rFonts w:hint="eastAsia" w:ascii="仿宋" w:hAnsi="仿宋" w:eastAsia="仿宋" w:cs="仿宋_GB2312"/>
          <w:b/>
          <w:color w:val="auto"/>
          <w:sz w:val="24"/>
          <w:highlight w:val="none"/>
        </w:rPr>
      </w:pPr>
    </w:p>
    <w:p>
      <w:pPr>
        <w:spacing w:line="360" w:lineRule="auto"/>
        <w:rPr>
          <w:rFonts w:hint="eastAsia" w:ascii="仿宋" w:hAnsi="仿宋" w:eastAsia="仿宋" w:cs="仿宋_GB2312"/>
          <w:b/>
          <w:color w:val="auto"/>
          <w:sz w:val="24"/>
          <w:highlight w:val="none"/>
        </w:rPr>
      </w:pPr>
    </w:p>
    <w:p>
      <w:pPr>
        <w:spacing w:line="360" w:lineRule="auto"/>
        <w:rPr>
          <w:rFonts w:hint="eastAsia" w:ascii="仿宋" w:hAnsi="仿宋" w:eastAsia="仿宋" w:cs="仿宋_GB2312"/>
          <w:b/>
          <w:color w:val="auto"/>
          <w:sz w:val="24"/>
          <w:highlight w:val="none"/>
        </w:rPr>
      </w:pPr>
    </w:p>
    <w:p>
      <w:pPr>
        <w:spacing w:line="360" w:lineRule="auto"/>
        <w:rPr>
          <w:rFonts w:hint="eastAsia" w:ascii="仿宋" w:hAnsi="仿宋" w:eastAsia="仿宋" w:cs="仿宋_GB2312"/>
          <w:b/>
          <w:color w:val="auto"/>
          <w:sz w:val="24"/>
          <w:highlight w:val="none"/>
        </w:rPr>
      </w:pPr>
    </w:p>
    <w:p>
      <w:pPr>
        <w:pStyle w:val="2"/>
        <w:keepNext w:val="0"/>
        <w:keepLines w:val="0"/>
        <w:pageBreakBefore/>
        <w:widowControl/>
        <w:numPr>
          <w:ilvl w:val="0"/>
          <w:numId w:val="0"/>
        </w:numPr>
        <w:adjustRightInd/>
        <w:spacing w:before="100" w:beforeAutospacing="1" w:after="100" w:afterAutospacing="1" w:line="360" w:lineRule="auto"/>
        <w:ind w:left="1290" w:firstLine="3092" w:firstLineChars="700"/>
        <w:rPr>
          <w:rFonts w:hint="eastAsia" w:ascii="仿宋" w:hAnsi="仿宋" w:eastAsia="仿宋" w:cs="仿宋_GB2312"/>
          <w:color w:val="auto"/>
          <w:kern w:val="2"/>
          <w:sz w:val="32"/>
          <w:szCs w:val="32"/>
          <w:highlight w:val="none"/>
        </w:rPr>
      </w:pPr>
      <w:bookmarkStart w:id="574" w:name="_Toc465665161"/>
      <w:r>
        <w:rPr>
          <w:rFonts w:hint="eastAsia" w:ascii="仿宋" w:hAnsi="仿宋" w:eastAsia="仿宋"/>
          <w:color w:val="auto"/>
          <w:highlight w:val="none"/>
        </w:rPr>
        <w:t>附件</w:t>
      </w:r>
      <w:bookmarkEnd w:id="574"/>
    </w:p>
    <w:p>
      <w:pPr>
        <w:spacing w:line="360" w:lineRule="auto"/>
        <w:rPr>
          <w:rFonts w:hint="eastAsia" w:ascii="仿宋" w:hAnsi="仿宋" w:eastAsia="仿宋"/>
          <w:b/>
          <w:color w:val="auto"/>
          <w:spacing w:val="6"/>
          <w:sz w:val="32"/>
          <w:szCs w:val="32"/>
          <w:highlight w:val="none"/>
        </w:rPr>
      </w:pPr>
      <w:bookmarkStart w:id="575" w:name="OLE_LINK13"/>
      <w:bookmarkStart w:id="576" w:name="OLE_LINK14"/>
      <w:r>
        <w:rPr>
          <w:rFonts w:hint="eastAsia" w:ascii="仿宋" w:hAnsi="仿宋" w:eastAsia="仿宋"/>
          <w:b/>
          <w:color w:val="auto"/>
          <w:spacing w:val="6"/>
          <w:sz w:val="32"/>
          <w:szCs w:val="32"/>
          <w:highlight w:val="none"/>
        </w:rPr>
        <w:t>附件1：</w:t>
      </w:r>
    </w:p>
    <w:p>
      <w:pPr>
        <w:spacing w:line="360" w:lineRule="auto"/>
        <w:jc w:val="cente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残疾人福利性单位声明函</w:t>
      </w:r>
    </w:p>
    <w:bookmarkEnd w:id="575"/>
    <w:bookmarkEnd w:id="576"/>
    <w:p>
      <w:pPr>
        <w:spacing w:line="360" w:lineRule="auto"/>
        <w:rPr>
          <w:rFonts w:hint="eastAsia" w:ascii="仿宋" w:hAnsi="仿宋" w:eastAsia="仿宋"/>
          <w:b/>
          <w:color w:val="auto"/>
          <w:spacing w:val="6"/>
          <w:sz w:val="30"/>
          <w:szCs w:val="30"/>
          <w:highlight w:val="none"/>
        </w:rPr>
      </w:pP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_GB2312"/>
          <w:color w:val="auto"/>
          <w:sz w:val="24"/>
          <w:highlight w:val="none"/>
        </w:rPr>
      </w:pPr>
    </w:p>
    <w:p>
      <w:pPr>
        <w:spacing w:line="360" w:lineRule="auto"/>
        <w:ind w:firstLine="480" w:firstLineChars="200"/>
        <w:rPr>
          <w:rFonts w:hint="eastAsia" w:ascii="仿宋" w:hAnsi="仿宋" w:eastAsia="仿宋" w:cs="仿宋_GB2312"/>
          <w:color w:val="auto"/>
          <w:sz w:val="24"/>
          <w:highlight w:val="none"/>
        </w:rPr>
      </w:pPr>
    </w:p>
    <w:p>
      <w:pPr>
        <w:tabs>
          <w:tab w:val="left" w:pos="4860"/>
        </w:tabs>
        <w:spacing w:line="360" w:lineRule="auto"/>
        <w:ind w:right="1560" w:firstLine="480" w:firstLineChars="20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单位名称（盖章）：</w:t>
      </w:r>
    </w:p>
    <w:p>
      <w:pPr>
        <w:tabs>
          <w:tab w:val="left" w:pos="4860"/>
        </w:tabs>
        <w:spacing w:line="360" w:lineRule="auto"/>
        <w:ind w:right="1560" w:firstLine="480" w:firstLineChars="20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日  期：</w:t>
      </w:r>
    </w:p>
    <w:p>
      <w:pPr>
        <w:spacing w:line="360" w:lineRule="auto"/>
        <w:ind w:firstLine="480" w:firstLineChars="200"/>
        <w:rPr>
          <w:rFonts w:hint="eastAsia" w:ascii="仿宋" w:hAnsi="仿宋" w:eastAsia="仿宋" w:cs="仿宋_GB2312"/>
          <w:b/>
          <w:color w:val="auto"/>
          <w:sz w:val="24"/>
          <w:highlight w:val="none"/>
        </w:rPr>
      </w:pPr>
      <w:r>
        <w:rPr>
          <w:rFonts w:ascii="仿宋" w:hAnsi="仿宋" w:eastAsia="仿宋" w:cs="仿宋_GB2312"/>
          <w:color w:val="auto"/>
          <w:sz w:val="24"/>
          <w:highlight w:val="none"/>
        </w:rPr>
        <w:br w:type="page"/>
      </w:r>
    </w:p>
    <w:p>
      <w:pPr>
        <w:spacing w:line="360" w:lineRule="auto"/>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签字(签章)：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hint="eastAsia"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hint="eastAsia" w:ascii="仿宋" w:hAnsi="仿宋" w:eastAsia="仿宋"/>
          <w:b/>
          <w:color w:val="auto"/>
          <w:spacing w:val="6"/>
          <w:sz w:val="32"/>
          <w:szCs w:val="32"/>
          <w:highlight w:val="none"/>
        </w:rPr>
      </w:pPr>
    </w:p>
    <w:p>
      <w:pPr>
        <w:spacing w:line="360" w:lineRule="auto"/>
        <w:jc w:val="left"/>
        <w:rPr>
          <w:rFonts w:hint="eastAsia" w:ascii="仿宋" w:hAnsi="仿宋" w:eastAsia="仿宋"/>
          <w:b/>
          <w:color w:val="auto"/>
          <w:spacing w:val="6"/>
          <w:sz w:val="32"/>
          <w:szCs w:val="32"/>
          <w:highlight w:val="none"/>
        </w:rPr>
      </w:pPr>
    </w:p>
    <w:p>
      <w:pPr>
        <w:spacing w:line="360" w:lineRule="auto"/>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法定代表人/主要负责人：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被投诉人1：</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hint="eastAsia" w:ascii="仿宋" w:hAnsi="仿宋" w:eastAsia="仿宋"/>
          <w:color w:val="auto"/>
          <w:sz w:val="24"/>
          <w:highlight w:val="none"/>
          <w:u w:val="dotted"/>
        </w:rPr>
        <w:t xml:space="preserve">是/否 </w:t>
      </w:r>
      <w:r>
        <w:rPr>
          <w:rFonts w:hint="eastAsia" w:ascii="仿宋" w:hAnsi="仿宋" w:eastAsia="仿宋"/>
          <w:color w:val="auto"/>
          <w:sz w:val="24"/>
          <w:highlight w:val="none"/>
        </w:rPr>
        <w:t>公告期限：</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hint="eastAsia" w:ascii="仿宋" w:hAnsi="仿宋" w:eastAsia="仿宋"/>
          <w:color w:val="auto"/>
          <w:sz w:val="24"/>
          <w:highlight w:val="none"/>
          <w:u w:val="dotted"/>
        </w:rPr>
        <w:t xml:space="preserve">是/否 </w:t>
      </w:r>
      <w:r>
        <w:rPr>
          <w:rFonts w:hint="eastAsia" w:ascii="仿宋" w:hAnsi="仿宋" w:eastAsia="仿宋"/>
          <w:color w:val="auto"/>
          <w:sz w:val="24"/>
          <w:highlight w:val="none"/>
        </w:rPr>
        <w:t>公告期限：</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日,向</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采购人/代理机构</w:t>
      </w:r>
      <w:r>
        <w:rPr>
          <w:rFonts w:hint="eastAsia" w:ascii="仿宋" w:hAnsi="仿宋" w:eastAsia="仿宋"/>
          <w:color w:val="auto"/>
          <w:sz w:val="24"/>
          <w:highlight w:val="none"/>
        </w:rPr>
        <w:t>于</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日,就质疑事项作出了答复/没有在法定期限内作出答复。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 1：</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签字(签章)：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日期：    </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_GB2312"/>
          <w:b/>
          <w:color w:val="auto"/>
          <w:sz w:val="24"/>
          <w:highlight w:val="none"/>
        </w:rPr>
      </w:pPr>
    </w:p>
    <w:p>
      <w:pPr>
        <w:spacing w:line="360" w:lineRule="auto"/>
        <w:rPr>
          <w:rFonts w:hint="eastAsia" w:ascii="仿宋" w:hAnsi="仿宋" w:eastAsia="仿宋" w:cs="仿宋_GB2312"/>
          <w:b/>
          <w:color w:val="auto"/>
          <w:sz w:val="24"/>
          <w:highlight w:val="none"/>
        </w:rPr>
      </w:pPr>
    </w:p>
    <w:p>
      <w:pPr>
        <w:spacing w:line="360" w:lineRule="auto"/>
        <w:rPr>
          <w:rFonts w:hint="eastAsia" w:ascii="仿宋" w:hAnsi="仿宋" w:eastAsia="仿宋" w:cs="仿宋_GB2312"/>
          <w:b/>
          <w:color w:val="auto"/>
          <w:sz w:val="24"/>
          <w:highlight w:val="none"/>
        </w:rPr>
      </w:pPr>
    </w:p>
    <w:p>
      <w:pPr>
        <w:spacing w:line="360" w:lineRule="auto"/>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附件4：政府采购节能产品页码表（复印件加盖公章）</w:t>
      </w:r>
    </w:p>
    <w:tbl>
      <w:tblPr>
        <w:tblStyle w:val="85"/>
        <w:tblW w:w="0" w:type="auto"/>
        <w:tblInd w:w="-942" w:type="dxa"/>
        <w:tblLayout w:type="fixed"/>
        <w:tblCellMar>
          <w:top w:w="0" w:type="dxa"/>
          <w:left w:w="108" w:type="dxa"/>
          <w:bottom w:w="0" w:type="dxa"/>
          <w:right w:w="108" w:type="dxa"/>
        </w:tblCellMar>
      </w:tblPr>
      <w:tblGrid>
        <w:gridCol w:w="735"/>
        <w:gridCol w:w="1204"/>
        <w:gridCol w:w="2471"/>
        <w:gridCol w:w="1995"/>
        <w:gridCol w:w="4620"/>
      </w:tblGrid>
      <w:tr>
        <w:tblPrEx>
          <w:tblCellMar>
            <w:top w:w="0" w:type="dxa"/>
            <w:left w:w="108" w:type="dxa"/>
            <w:bottom w:w="0" w:type="dxa"/>
            <w:right w:w="108" w:type="dxa"/>
          </w:tblCellMar>
        </w:tblPrEx>
        <w:trPr>
          <w:wBefore w:w="0" w:type="dxa"/>
          <w:trHeight w:val="714" w:hRule="atLeast"/>
        </w:trPr>
        <w:tc>
          <w:tcPr>
            <w:tcW w:w="735"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204"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产品型号</w:t>
            </w:r>
          </w:p>
        </w:tc>
        <w:tc>
          <w:tcPr>
            <w:tcW w:w="2471"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节能产品认证证书号</w:t>
            </w:r>
          </w:p>
        </w:tc>
        <w:tc>
          <w:tcPr>
            <w:tcW w:w="1995"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节能产品认证证书有效截止日期</w:t>
            </w:r>
          </w:p>
        </w:tc>
        <w:tc>
          <w:tcPr>
            <w:tcW w:w="4620"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节能产品在《清单》（第 期）中的页码</w:t>
            </w:r>
          </w:p>
        </w:tc>
      </w:tr>
      <w:tr>
        <w:tblPrEx>
          <w:tblCellMar>
            <w:top w:w="0" w:type="dxa"/>
            <w:left w:w="108" w:type="dxa"/>
            <w:bottom w:w="0" w:type="dxa"/>
            <w:right w:w="108" w:type="dxa"/>
          </w:tblCellMar>
        </w:tblPrEx>
        <w:trPr>
          <w:wBefore w:w="0" w:type="dxa"/>
          <w:trHeight w:val="579" w:hRule="atLeast"/>
        </w:trPr>
        <w:tc>
          <w:tcPr>
            <w:tcW w:w="735"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462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olor w:val="auto"/>
                <w:sz w:val="24"/>
                <w:highlight w:val="none"/>
              </w:rPr>
            </w:pPr>
          </w:p>
        </w:tc>
      </w:tr>
      <w:tr>
        <w:tblPrEx>
          <w:tblCellMar>
            <w:top w:w="0" w:type="dxa"/>
            <w:left w:w="108" w:type="dxa"/>
            <w:bottom w:w="0" w:type="dxa"/>
            <w:right w:w="108" w:type="dxa"/>
          </w:tblCellMar>
        </w:tblPrEx>
        <w:trPr>
          <w:wBefore w:w="0" w:type="dxa"/>
          <w:trHeight w:val="615" w:hRule="atLeast"/>
        </w:trPr>
        <w:tc>
          <w:tcPr>
            <w:tcW w:w="735"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462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olor w:val="auto"/>
                <w:sz w:val="24"/>
                <w:highlight w:val="none"/>
              </w:rPr>
            </w:pPr>
          </w:p>
        </w:tc>
      </w:tr>
      <w:tr>
        <w:tblPrEx>
          <w:tblCellMar>
            <w:top w:w="0" w:type="dxa"/>
            <w:left w:w="108" w:type="dxa"/>
            <w:bottom w:w="0" w:type="dxa"/>
            <w:right w:w="108" w:type="dxa"/>
          </w:tblCellMar>
        </w:tblPrEx>
        <w:trPr>
          <w:wBefore w:w="0" w:type="dxa"/>
          <w:trHeight w:val="615" w:hRule="atLeast"/>
        </w:trPr>
        <w:tc>
          <w:tcPr>
            <w:tcW w:w="735"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1204"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2471"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199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4620"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rFonts w:ascii="仿宋" w:hAnsi="仿宋" w:eastAsia="仿宋"/>
                <w:color w:val="auto"/>
                <w:sz w:val="24"/>
                <w:highlight w:val="none"/>
              </w:rPr>
            </w:pPr>
          </w:p>
        </w:tc>
      </w:tr>
    </w:tbl>
    <w:p>
      <w:pPr>
        <w:spacing w:line="360" w:lineRule="auto"/>
        <w:rPr>
          <w:rFonts w:hint="eastAsia" w:ascii="仿宋" w:hAnsi="仿宋" w:eastAsia="仿宋"/>
          <w:b/>
          <w:color w:val="auto"/>
          <w:spacing w:val="6"/>
          <w:sz w:val="32"/>
          <w:szCs w:val="32"/>
          <w:highlight w:val="none"/>
        </w:rPr>
      </w:pPr>
    </w:p>
    <w:p>
      <w:pPr>
        <w:spacing w:line="360" w:lineRule="auto"/>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附表5：政府采购环境标志产品页码表（复印件加盖公章）</w:t>
      </w:r>
    </w:p>
    <w:tbl>
      <w:tblPr>
        <w:tblStyle w:val="85"/>
        <w:tblW w:w="0" w:type="auto"/>
        <w:tblInd w:w="-837" w:type="dxa"/>
        <w:tblLayout w:type="fixed"/>
        <w:tblCellMar>
          <w:top w:w="0" w:type="dxa"/>
          <w:left w:w="108" w:type="dxa"/>
          <w:bottom w:w="0" w:type="dxa"/>
          <w:right w:w="108" w:type="dxa"/>
        </w:tblCellMar>
      </w:tblPr>
      <w:tblGrid>
        <w:gridCol w:w="714"/>
        <w:gridCol w:w="1218"/>
        <w:gridCol w:w="2457"/>
        <w:gridCol w:w="2100"/>
        <w:gridCol w:w="4410"/>
      </w:tblGrid>
      <w:tr>
        <w:tblPrEx>
          <w:tblCellMar>
            <w:top w:w="0" w:type="dxa"/>
            <w:left w:w="108" w:type="dxa"/>
            <w:bottom w:w="0" w:type="dxa"/>
            <w:right w:w="108" w:type="dxa"/>
          </w:tblCellMar>
        </w:tblPrEx>
        <w:trPr>
          <w:wBefore w:w="0" w:type="dxa"/>
          <w:trHeight w:val="714" w:hRule="atLeast"/>
        </w:trPr>
        <w:tc>
          <w:tcPr>
            <w:tcW w:w="71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21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产品型号</w:t>
            </w:r>
          </w:p>
        </w:tc>
        <w:tc>
          <w:tcPr>
            <w:tcW w:w="2457"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环境标志产品认证证书号</w:t>
            </w:r>
          </w:p>
        </w:tc>
        <w:tc>
          <w:tcPr>
            <w:tcW w:w="2100"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环境标志产品认证证书有效截止日期</w:t>
            </w:r>
          </w:p>
        </w:tc>
        <w:tc>
          <w:tcPr>
            <w:tcW w:w="4410"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环境标志产品在《清单》（第  期）中的页码</w:t>
            </w:r>
          </w:p>
        </w:tc>
      </w:tr>
      <w:tr>
        <w:tblPrEx>
          <w:tblCellMar>
            <w:top w:w="0" w:type="dxa"/>
            <w:left w:w="108" w:type="dxa"/>
            <w:bottom w:w="0" w:type="dxa"/>
            <w:right w:w="108" w:type="dxa"/>
          </w:tblCellMar>
        </w:tblPrEx>
        <w:trPr>
          <w:wBefore w:w="0" w:type="dxa"/>
          <w:trHeight w:val="637" w:hRule="atLeast"/>
        </w:trPr>
        <w:tc>
          <w:tcPr>
            <w:tcW w:w="71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441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olor w:val="auto"/>
                <w:sz w:val="24"/>
                <w:highlight w:val="none"/>
              </w:rPr>
            </w:pPr>
          </w:p>
        </w:tc>
      </w:tr>
      <w:tr>
        <w:tblPrEx>
          <w:tblCellMar>
            <w:top w:w="0" w:type="dxa"/>
            <w:left w:w="108" w:type="dxa"/>
            <w:bottom w:w="0" w:type="dxa"/>
            <w:right w:w="108" w:type="dxa"/>
          </w:tblCellMar>
        </w:tblPrEx>
        <w:trPr>
          <w:wBefore w:w="0" w:type="dxa"/>
          <w:trHeight w:val="617" w:hRule="atLeast"/>
        </w:trPr>
        <w:tc>
          <w:tcPr>
            <w:tcW w:w="71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441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olor w:val="auto"/>
                <w:sz w:val="24"/>
                <w:highlight w:val="none"/>
              </w:rPr>
            </w:pPr>
          </w:p>
        </w:tc>
      </w:tr>
      <w:tr>
        <w:tblPrEx>
          <w:tblCellMar>
            <w:top w:w="0" w:type="dxa"/>
            <w:left w:w="108" w:type="dxa"/>
            <w:bottom w:w="0" w:type="dxa"/>
            <w:right w:w="108" w:type="dxa"/>
          </w:tblCellMar>
        </w:tblPrEx>
        <w:trPr>
          <w:wBefore w:w="0" w:type="dxa"/>
          <w:trHeight w:val="617" w:hRule="atLeast"/>
        </w:trPr>
        <w:tc>
          <w:tcPr>
            <w:tcW w:w="714"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1218"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245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21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ascii="仿宋" w:hAnsi="仿宋" w:eastAsia="仿宋"/>
                <w:color w:val="auto"/>
                <w:sz w:val="24"/>
                <w:highlight w:val="none"/>
              </w:rPr>
            </w:pPr>
          </w:p>
        </w:tc>
        <w:tc>
          <w:tcPr>
            <w:tcW w:w="4410"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rFonts w:ascii="仿宋" w:hAnsi="仿宋" w:eastAsia="仿宋"/>
                <w:color w:val="auto"/>
                <w:sz w:val="24"/>
                <w:highlight w:val="none"/>
              </w:rPr>
            </w:pPr>
          </w:p>
        </w:tc>
      </w:tr>
    </w:tbl>
    <w:p>
      <w:pPr>
        <w:autoSpaceDE w:val="0"/>
        <w:autoSpaceDN w:val="0"/>
        <w:spacing w:line="360" w:lineRule="auto"/>
        <w:ind w:firstLine="4560" w:firstLineChars="1900"/>
        <w:rPr>
          <w:rFonts w:hint="eastAsia" w:ascii="仿宋" w:hAnsi="仿宋" w:eastAsia="仿宋"/>
          <w:color w:val="auto"/>
          <w:kern w:val="0"/>
          <w:sz w:val="24"/>
          <w:highlight w:val="none"/>
        </w:rPr>
      </w:pPr>
    </w:p>
    <w:p>
      <w:pPr>
        <w:autoSpaceDE w:val="0"/>
        <w:autoSpaceDN w:val="0"/>
        <w:spacing w:line="360" w:lineRule="auto"/>
        <w:ind w:firstLine="4560" w:firstLineChars="1900"/>
        <w:rPr>
          <w:rFonts w:hint="eastAsia" w:ascii="仿宋" w:hAnsi="仿宋" w:eastAsia="仿宋"/>
          <w:color w:val="auto"/>
          <w:kern w:val="0"/>
          <w:sz w:val="24"/>
          <w:highlight w:val="none"/>
        </w:rPr>
      </w:pPr>
    </w:p>
    <w:p>
      <w:pPr>
        <w:autoSpaceDE w:val="0"/>
        <w:autoSpaceDN w:val="0"/>
        <w:spacing w:line="360" w:lineRule="auto"/>
        <w:ind w:firstLine="4560" w:firstLineChars="1900"/>
        <w:rPr>
          <w:rFonts w:hint="eastAsia" w:ascii="仿宋" w:hAnsi="仿宋" w:eastAsia="仿宋"/>
          <w:color w:val="auto"/>
          <w:kern w:val="0"/>
          <w:sz w:val="24"/>
          <w:highlight w:val="none"/>
        </w:rPr>
      </w:pPr>
      <w:r>
        <w:rPr>
          <w:rFonts w:hint="eastAsia" w:ascii="仿宋" w:hAnsi="仿宋" w:eastAsia="仿宋"/>
          <w:color w:val="auto"/>
          <w:kern w:val="0"/>
          <w:sz w:val="24"/>
          <w:highlight w:val="none"/>
        </w:rPr>
        <w:t xml:space="preserve">供应商名称（公章）：                       </w:t>
      </w:r>
    </w:p>
    <w:p>
      <w:pPr>
        <w:autoSpaceDE w:val="0"/>
        <w:autoSpaceDN w:val="0"/>
        <w:spacing w:line="360" w:lineRule="auto"/>
        <w:rPr>
          <w:rFonts w:hint="eastAsia" w:ascii="仿宋" w:hAnsi="仿宋" w:eastAsia="仿宋"/>
          <w:color w:val="auto"/>
          <w:kern w:val="0"/>
          <w:sz w:val="24"/>
          <w:highlight w:val="none"/>
        </w:rPr>
      </w:pPr>
      <w:r>
        <w:rPr>
          <w:rFonts w:hint="eastAsia" w:ascii="仿宋" w:hAnsi="仿宋" w:eastAsia="仿宋"/>
          <w:color w:val="auto"/>
          <w:kern w:val="0"/>
          <w:sz w:val="24"/>
          <w:highlight w:val="none"/>
        </w:rPr>
        <w:t xml:space="preserve">                                      法定代表人或授权委托人（签字）：                   </w:t>
      </w:r>
    </w:p>
    <w:p>
      <w:pPr>
        <w:spacing w:line="360" w:lineRule="auto"/>
        <w:rPr>
          <w:rFonts w:hint="eastAsia" w:ascii="仿宋" w:hAnsi="仿宋" w:eastAsia="仿宋"/>
          <w:bCs/>
          <w:color w:val="auto"/>
          <w:sz w:val="24"/>
          <w:highlight w:val="none"/>
        </w:rPr>
      </w:pPr>
      <w:r>
        <w:rPr>
          <w:rFonts w:hint="eastAsia" w:ascii="仿宋" w:hAnsi="仿宋" w:eastAsia="仿宋"/>
          <w:color w:val="auto"/>
          <w:kern w:val="0"/>
          <w:sz w:val="24"/>
          <w:highlight w:val="none"/>
        </w:rPr>
        <w:t xml:space="preserve">                                      日期：   年  月   日</w:t>
      </w:r>
    </w:p>
    <w:p>
      <w:pPr>
        <w:spacing w:line="360" w:lineRule="auto"/>
        <w:rPr>
          <w:rFonts w:hint="eastAsia" w:ascii="仿宋" w:hAnsi="仿宋" w:eastAsia="仿宋" w:cs="仿宋_GB2312"/>
          <w:b/>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仿宋_GB2312">
    <w:altName w:val="仿宋"/>
    <w:panose1 w:val="00000000000000000000"/>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3" w:usb1="00000000" w:usb2="00000000" w:usb3="00000000" w:csb0="00000001" w:csb1="00000000"/>
  </w:font>
  <w:font w:name="Futura Bk">
    <w:altName w:val="Trebuchet MS"/>
    <w:panose1 w:val="00000000000000000000"/>
    <w:charset w:val="00"/>
    <w:family w:val="swiss"/>
    <w:pitch w:val="default"/>
    <w:sig w:usb0="00000287"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Helvetica">
    <w:altName w:val="Arial"/>
    <w:panose1 w:val="020B0604020202020204"/>
    <w:charset w:val="00"/>
    <w:family w:val="swiss"/>
    <w:pitch w:val="default"/>
    <w:sig w:usb0="E0002AFF" w:usb1="C0007843" w:usb2="00000009" w:usb3="00000000" w:csb0="000001FF" w:csb1="00000000"/>
  </w:font>
  <w:font w:name="Arial Unicode MS">
    <w:altName w:val="宋体"/>
    <w:panose1 w:val="020B0604020202020204"/>
    <w:charset w:val="86"/>
    <w:family w:val="swiss"/>
    <w:pitch w:val="default"/>
    <w:sig w:usb0="FFFFFFFF" w:usb1="E9FFFFFF" w:usb2="0000003F" w:usb3="00000000" w:csb0="603F01FF" w:csb1="FFFF0000"/>
  </w:font>
  <w:font w:name="Arial (W1)">
    <w:altName w:val="Arial"/>
    <w:panose1 w:val="00000000000000000000"/>
    <w:charset w:val="00"/>
    <w:family w:val="swiss"/>
    <w:pitch w:val="default"/>
    <w:sig w:usb0="20007A87" w:usb1="80000000" w:usb2="00000008" w:usb3="00000000" w:csb0="000001FF" w:csb1="00000000"/>
  </w:font>
  <w:font w:name="FHLHE E+ Futura Bk">
    <w:altName w:val="宋体"/>
    <w:panose1 w:val="00000000000000000000"/>
    <w:charset w:val="86"/>
    <w:family w:val="swiss"/>
    <w:pitch w:val="default"/>
    <w:sig w:usb0="00000001" w:usb1="080E0000" w:usb2="00000010" w:usb3="00000000" w:csb0="00040000" w:csb1="00000000"/>
  </w:font>
  <w:font w:name="Futura Hv">
    <w:altName w:val="Arial"/>
    <w:panose1 w:val="00000000000000000000"/>
    <w:charset w:val="00"/>
    <w:family w:val="swiss"/>
    <w:pitch w:val="default"/>
    <w:sig w:usb0="00000001" w:usb1="5000204A" w:usb2="00000000" w:usb3="00000000" w:csb0="0000009F" w:csb1="00000000"/>
  </w:font>
  <w:font w:name="幼圆">
    <w:panose1 w:val="0201050906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Aldine401 BT">
    <w:altName w:val="Courier New"/>
    <w:panose1 w:val="00000000000000000000"/>
    <w:charset w:val="00"/>
    <w:family w:val="roman"/>
    <w:pitch w:val="default"/>
    <w:sig w:usb0="00000007" w:usb1="00000000" w:usb2="00000000" w:usb3="00000000" w:csb0="0000001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Bodoni MT">
    <w:panose1 w:val="02070603080606020203"/>
    <w:charset w:val="00"/>
    <w:family w:val="roman"/>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lang/>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lang/>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lang/>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lang/>
      </w:rPr>
      <w:t>84</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lang/>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lang/>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88"/>
      </w:rPr>
    </w:pPr>
    <w:r>
      <w:fldChar w:fldCharType="begin"/>
    </w:r>
    <w:r>
      <w:rPr>
        <w:rStyle w:val="88"/>
      </w:rPr>
      <w:instrText xml:space="preserve">PAGE  </w:instrText>
    </w:r>
    <w:r>
      <w:fldChar w:fldCharType="separate"/>
    </w:r>
    <w:r>
      <w:fldChar w:fldCharType="end"/>
    </w:r>
  </w:p>
  <w:p>
    <w:pPr>
      <w:pStyle w:val="5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lang/>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lang/>
      </w:rPr>
      <w:t>84</w:t>
    </w:r>
    <w:r>
      <w:rPr>
        <w:rFonts w:hint="eastAsia" w:ascii="仿宋_GB2312" w:eastAsia="仿宋_GB2312"/>
        <w:kern w:val="0"/>
        <w:szCs w:val="21"/>
      </w:rPr>
      <w:fldChar w:fldCharType="end"/>
    </w:r>
    <w:bookmarkStart w:id="577" w:name="_Toc36110187"/>
    <w:bookmarkStart w:id="578" w:name="_Toc91899912"/>
    <w:bookmarkStart w:id="579" w:name="_Toc131845147"/>
    <w:bookmarkStart w:id="580" w:name="_Toc164085800"/>
    <w:r>
      <w:rPr>
        <w:rFonts w:hint="eastAsia" w:ascii="仿宋_GB2312" w:eastAsia="仿宋_GB2312"/>
        <w:kern w:val="0"/>
        <w:szCs w:val="21"/>
      </w:rPr>
      <w:t xml:space="preserve"> 页</w:t>
    </w:r>
    <w:bookmarkEnd w:id="577"/>
    <w:bookmarkEnd w:id="578"/>
    <w:bookmarkEnd w:id="579"/>
    <w:bookmarkEnd w:id="5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88"/>
      </w:rPr>
    </w:pPr>
    <w:r>
      <w:fldChar w:fldCharType="begin"/>
    </w:r>
    <w:r>
      <w:rPr>
        <w:rStyle w:val="88"/>
      </w:rPr>
      <w:instrText xml:space="preserve">PAGE  </w:instrText>
    </w:r>
    <w:r>
      <w:fldChar w:fldCharType="separate"/>
    </w:r>
    <w:r>
      <w:fldChar w:fldCharType="end"/>
    </w:r>
  </w:p>
  <w:p>
    <w:pPr>
      <w:pStyle w:val="5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lang/>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120" w:after="120"/>
      <w:ind w:firstLine="480"/>
      <w:jc w:val="center"/>
      <w:rPr>
        <w:rFonts w:hint="eastAsia" w:ascii="仿宋_GB2312" w:eastAsia="仿宋_GB2312"/>
      </w:rPr>
    </w:pPr>
    <w:r>
      <w:rPr>
        <w:rFonts w:hint="eastAsia" w:ascii="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lang/>
      </w:rPr>
      <w:t>27</w:t>
    </w:r>
    <w:r>
      <w:rPr>
        <w:rFonts w:hint="eastAsia" w:ascii="仿宋_GB2312" w:eastAsia="仿宋_GB2312"/>
        <w:kern w:val="0"/>
      </w:rPr>
      <w:fldChar w:fldCharType="end"/>
    </w:r>
    <w:r>
      <w:rPr>
        <w:rFonts w:hint="eastAsia" w:ascii="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lang/>
      </w:rPr>
      <w:t>84</w:t>
    </w:r>
    <w:r>
      <w:rPr>
        <w:rFonts w:hint="eastAsia" w:ascii="仿宋_GB2312" w:eastAsia="仿宋_GB2312"/>
        <w:kern w:val="0"/>
      </w:rPr>
      <w:fldChar w:fldCharType="end"/>
    </w:r>
    <w:r>
      <w:rPr>
        <w:rFonts w:hint="eastAsia" w:ascii="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spacing w:before="120" w:after="120"/>
      <w:ind w:firstLine="480"/>
      <w:rPr>
        <w:rStyle w:val="88"/>
      </w:rPr>
    </w:pPr>
    <w:r>
      <w:fldChar w:fldCharType="begin"/>
    </w:r>
    <w:r>
      <w:rPr>
        <w:rStyle w:val="88"/>
      </w:rPr>
      <w:instrText xml:space="preserve">PAGE  </w:instrText>
    </w:r>
    <w:r>
      <w:fldChar w:fldCharType="separate"/>
    </w:r>
    <w:r>
      <w:fldChar w:fldCharType="end"/>
    </w:r>
  </w:p>
  <w:p>
    <w:pPr>
      <w:pStyle w:val="52"/>
      <w:spacing w:before="120" w:after="120"/>
      <w:ind w:right="360"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120" w:after="120"/>
      <w:ind w:firstLine="480"/>
      <w:jc w:val="center"/>
      <w:rPr>
        <w:rFonts w:hint="eastAsia" w:ascii="仿宋_GB2312" w:eastAsia="仿宋_GB2312"/>
      </w:rPr>
    </w:pPr>
    <w:r>
      <w:rPr>
        <w:rFonts w:hint="eastAsia" w:ascii="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lang/>
      </w:rPr>
      <w:t>20</w:t>
    </w:r>
    <w:r>
      <w:rPr>
        <w:rFonts w:hint="eastAsia" w:ascii="仿宋_GB2312" w:eastAsia="仿宋_GB2312"/>
        <w:kern w:val="0"/>
      </w:rPr>
      <w:fldChar w:fldCharType="end"/>
    </w:r>
    <w:r>
      <w:rPr>
        <w:rFonts w:hint="eastAsia" w:ascii="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lang/>
      </w:rPr>
      <w:t>84</w:t>
    </w:r>
    <w:r>
      <w:rPr>
        <w:rFonts w:hint="eastAsia" w:ascii="仿宋_GB2312" w:eastAsia="仿宋_GB2312"/>
        <w:kern w:val="0"/>
      </w:rPr>
      <w:fldChar w:fldCharType="end"/>
    </w:r>
    <w:r>
      <w:rPr>
        <w:rFonts w:hint="eastAsia" w:ascii="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jc w:val="center"/>
                          </w:pPr>
                          <w:r>
                            <w:fldChar w:fldCharType="begin"/>
                          </w:r>
                          <w:r>
                            <w:instrText xml:space="preserve">PAGE   \* MERGEFORMAT</w:instrText>
                          </w:r>
                          <w:r>
                            <w:fldChar w:fldCharType="separate"/>
                          </w:r>
                          <w:r>
                            <w:rPr>
                              <w:rFonts w:hint="eastAsia"/>
                              <w:lang w:val="zh-CN"/>
                            </w:rPr>
                            <w:t>41</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YlwYskBAACZAwAADgAAAGRycy9lMm9Eb2MueG1srVPNjtMwEL4j8Q6W 79RpJVZV1HQFqhYhIUBaeADXsRtL/pPHbdIXgDfgxIU7z9XnYOwk3WW57IGLM54Zf/N9M5PN7WAN OckI2ruGLhcVJdIJ32p3aOjXL3ev1pRA4q7lxjvZ0LMEert9+WLTh1qufOdNKyNBEAd1HxrapRRq xkB00nJY+CAdBpWPlie8xgNrI+8R3Rq2qqob1vvYhuiFBEDvbgzSCTE+B9ArpYXceXG00qURNUrD E0qCTgeg28JWKSnSJ6VAJmIaikpTObEI2vt8su2G14fIQ6fFRIE/h8ITTZZrh0WvUDueODlG/Q+U 1SJ68CothLdsFFI6giqW1ZPe3Hc8yKIFWw3h2nT4f7Di4+lzJLpt6A0ljlsc+OXH98vP35df38jr 3J4+QI1Z9wHz0vDWD7g0sx/QmVUPKtr8RT0E49jc87W5ckhE5Efr1XpdYUhgbL4gPnt4HiKkd9Jb ko2GRpxeaSo/fYA0ps4puZrzd9qYMkHj/nIgZvawzH3kmK007IdJ0N63Z9TT4+Ab6nDPKTHvHfY1 78hsxNnYz8YxRH3okNqy8ILw5piQROGWK4ywU2GcWFE3bVdeicf3kvXwR23/AF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JiXBiyQEAAJkDAAAOAAAAAAAAAAEAIAAAAB4BAABkcnMvZTJvRG9j LnhtbFBLBQYAAAAABgAGAFkBAABZBQAAAAA= ">
              <v:fill on="f" focussize="0,0"/>
              <v:stroke on="f"/>
              <v:imagedata o:title=""/>
              <o:lock v:ext="edit" aspectratio="f"/>
              <v:textbox inset="0mm,0mm,0mm,0mm" style="mso-fit-shape-to-text:t;">
                <w:txbxContent>
                  <w:p>
                    <w:pPr>
                      <w:pStyle w:val="52"/>
                      <w:jc w:val="center"/>
                    </w:pPr>
                    <w:r>
                      <w:fldChar w:fldCharType="begin"/>
                    </w:r>
                    <w:r>
                      <w:instrText xml:space="preserve">PAGE   \* MERGEFORMAT</w:instrText>
                    </w:r>
                    <w:r>
                      <w:fldChar w:fldCharType="separate"/>
                    </w:r>
                    <w:r>
                      <w:rPr>
                        <w:rFonts w:hint="eastAsia"/>
                        <w:lang w:val="zh-CN"/>
                      </w:rPr>
                      <w:t>41</w:t>
                    </w:r>
                    <w:r>
                      <w:rPr>
                        <w:lang w:val="zh-CN"/>
                      </w:rPr>
                      <w:fldChar w:fldCharType="end"/>
                    </w:r>
                  </w:p>
                </w:txbxContent>
              </v:textbox>
            </v:shape>
          </w:pict>
        </mc:Fallback>
      </mc:AlternateContent>
    </w:r>
  </w:p>
  <w:p>
    <w:pPr>
      <w:pStyle w:val="5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lang/>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lang/>
      </w:rPr>
      <w:t>84</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88"/>
      </w:rPr>
    </w:pPr>
    <w:r>
      <w:fldChar w:fldCharType="begin"/>
    </w:r>
    <w:r>
      <w:rPr>
        <w:rStyle w:val="88"/>
      </w:rPr>
      <w:instrText xml:space="preserve">PAGE  </w:instrText>
    </w:r>
    <w:r>
      <w:fldChar w:fldCharType="separate"/>
    </w:r>
    <w:r>
      <w:fldChar w:fldCharType="end"/>
    </w:r>
  </w:p>
  <w:p>
    <w:pPr>
      <w:pStyle w:val="52"/>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ind w:firstLine="180" w:firstLineChars="100"/>
      <w:jc w:val="both"/>
      <w:rPr>
        <w:rFonts w:hint="eastAsia" w:ascii="仿宋_GB2312" w:eastAsia="仿宋_GB2312"/>
        <w:b w:val="0"/>
        <w:i/>
        <w:sz w:val="18"/>
        <w:u w:val="single"/>
      </w:rPr>
    </w:pPr>
    <w:r>
      <w:rPr>
        <w:rFonts w:eastAsia="仿宋_GB2312"/>
        <w:b w:val="0"/>
        <w:i/>
        <w:sz w:val="18"/>
        <w:u w:val="single"/>
      </w:rPr>
      <w:t></w:t>
    </w:r>
    <w:r>
      <w:rPr>
        <w:rFonts w:eastAsia="仿宋_GB2312"/>
        <w:b/>
        <w:i/>
        <w:sz w:val="18"/>
        <w:u w:val="single"/>
      </w:rPr>
      <w:t></w:t>
    </w:r>
    <w:r>
      <w:rPr>
        <w:rFonts w:eastAsia="仿宋_GB2312"/>
        <w:b w:val="0"/>
        <w:i/>
        <w:sz w:val="18"/>
        <w:u w:val="single"/>
      </w:rPr>
      <w:t>杭州市政府采购公开招标文件</w:t>
    </w:r>
    <w:r>
      <w:rPr>
        <w:b w:val="0"/>
        <w:sz w:val="18"/>
        <w:u w:val="single"/>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ind w:firstLine="180" w:firstLineChars="100"/>
      <w:jc w:val="both"/>
      <w:rPr>
        <w:rFonts w:hint="eastAsia" w:ascii="仿宋_GB2312" w:eastAsia="仿宋_GB2312"/>
        <w:b w:val="0"/>
        <w:i/>
        <w:iCs/>
        <w:sz w:val="18"/>
        <w:szCs w:val="18"/>
        <w:u w:val="single"/>
      </w:rPr>
    </w:pPr>
    <w:r>
      <w:rPr>
        <w:rFonts w:eastAsia="仿宋_GB2312"/>
        <w:b w:val="0"/>
        <w:i/>
        <w:iCs/>
        <w:sz w:val="18"/>
        <w:szCs w:val="18"/>
        <w:u w:val="single"/>
      </w:rPr>
      <w:t>杭州市政府采购公开招标文件</w:t>
    </w:r>
    <w:r>
      <w:rPr>
        <w:b w:val="0"/>
        <w:sz w:val="18"/>
        <w:szCs w:val="18"/>
        <w:u w:val="single"/>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rFonts w:eastAsia="仿宋_GB2312"/>
        <w:i/>
        <w:iCs/>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rFonts w:eastAsia="仿宋_GB2312"/>
        <w:i/>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ind w:firstLine="180" w:firstLineChars="100"/>
      <w:jc w:val="both"/>
      <w:rPr>
        <w:rFonts w:hint="eastAsia" w:ascii="仿宋_GB2312" w:eastAsia="仿宋_GB2312"/>
        <w:b w:val="0"/>
        <w:i/>
        <w:sz w:val="18"/>
        <w:u w:val="single"/>
      </w:rPr>
    </w:pPr>
    <w:r>
      <w:rPr>
        <w:b w:val="0"/>
        <w:i/>
        <w:sz w:val="18"/>
        <w:u w:val="single"/>
      </w:rPr>
      <w:t>杭州市政府采购公开招标文件</w:t>
    </w:r>
    <w:r>
      <w:rPr>
        <w:b w:val="0"/>
        <w:sz w:val="18"/>
        <w:u w:val="single"/>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right="90"/>
      <w:jc w:val="right"/>
    </w:pPr>
    <w:r>
      <w:rPr>
        <w:i/>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ind w:firstLine="180" w:firstLineChars="100"/>
      <w:jc w:val="both"/>
      <w:rPr>
        <w:rFonts w:hint="eastAsia" w:ascii="仿宋_GB2312" w:eastAsia="仿宋_GB2312"/>
        <w:b w:val="0"/>
        <w:i/>
        <w:sz w:val="18"/>
        <w:u w:val="single"/>
      </w:rPr>
    </w:pPr>
    <w:r>
      <w:rPr>
        <w:rFonts w:eastAsia="仿宋_GB2312"/>
        <w:b w:val="0"/>
        <w:i/>
        <w:sz w:val="18"/>
        <w:u w:val="single"/>
      </w:rPr>
      <w:t>杭州市政府采购公开招标文件</w:t>
    </w:r>
    <w:r>
      <w:rPr>
        <w:b w:val="0"/>
        <w:sz w:val="18"/>
        <w:u w:val="single"/>
      </w:rPr>
      <w:t></w:t>
    </w:r>
  </w:p>
  <w:p>
    <w:pPr>
      <w:rPr>
        <w:rFonts w:hint="eastAsia"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rFonts w:eastAsia="仿宋_GB2312"/>
        <w:i/>
      </w:rPr>
      <w:t>杭州市政府采购公开招标文件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B"/>
    <w:multiLevelType w:val="multilevel"/>
    <w:tmpl w:val="0000000B"/>
    <w:lvl w:ilvl="0" w:tentative="0">
      <w:start w:val="1"/>
      <w:numFmt w:val="bullet"/>
      <w:pStyle w:val="25"/>
      <w:lvlText w:val=""/>
      <w:lvlJc w:val="left"/>
      <w:pPr>
        <w:tabs>
          <w:tab w:val="left" w:pos="840"/>
        </w:tabs>
        <w:ind w:left="840" w:hanging="420"/>
      </w:pPr>
      <w:rPr>
        <w:rFonts w:hint="default" w:ascii="Wingdings" w:hAnsi="Wingdings"/>
      </w:rPr>
    </w:lvl>
    <w:lvl w:ilvl="1" w:tentative="0">
      <w:start w:val="1"/>
      <w:numFmt w:val="bullet"/>
      <w:pStyle w:val="594"/>
      <w:lvlText w:val=""/>
      <w:lvlJc w:val="left"/>
      <w:pPr>
        <w:tabs>
          <w:tab w:val="left" w:pos="1260"/>
        </w:tabs>
        <w:ind w:left="1260" w:hanging="420"/>
      </w:pPr>
      <w:rPr>
        <w:rFonts w:hint="default" w:ascii="Wingdings" w:hAnsi="Wingdings"/>
      </w:rPr>
    </w:lvl>
    <w:lvl w:ilvl="2" w:tentative="0">
      <w:start w:val="1"/>
      <w:numFmt w:val="bullet"/>
      <w:pStyle w:val="726"/>
      <w:lvlText w:val=""/>
      <w:lvlJc w:val="left"/>
      <w:pPr>
        <w:tabs>
          <w:tab w:val="left" w:pos="1680"/>
        </w:tabs>
        <w:ind w:left="1680" w:hanging="420"/>
      </w:pPr>
      <w:rPr>
        <w:rFonts w:hint="default" w:ascii="Wingdings" w:hAnsi="Wingdings"/>
      </w:rPr>
    </w:lvl>
    <w:lvl w:ilvl="3" w:tentative="0">
      <w:start w:val="1"/>
      <w:numFmt w:val="bullet"/>
      <w:pStyle w:val="376"/>
      <w:lvlText w:val=""/>
      <w:lvlJc w:val="left"/>
      <w:pPr>
        <w:tabs>
          <w:tab w:val="left" w:pos="2100"/>
        </w:tabs>
        <w:ind w:left="2100" w:hanging="420"/>
      </w:pPr>
      <w:rPr>
        <w:rFonts w:hint="default" w:ascii="Wingdings" w:hAnsi="Wingdings"/>
      </w:rPr>
    </w:lvl>
    <w:lvl w:ilvl="4" w:tentative="0">
      <w:start w:val="1"/>
      <w:numFmt w:val="bullet"/>
      <w:pStyle w:val="456"/>
      <w:lvlText w:val=""/>
      <w:lvlJc w:val="left"/>
      <w:pPr>
        <w:tabs>
          <w:tab w:val="left" w:pos="2520"/>
        </w:tabs>
        <w:ind w:left="2520" w:hanging="420"/>
      </w:pPr>
      <w:rPr>
        <w:rFonts w:hint="default" w:ascii="Wingdings" w:hAnsi="Wingdings"/>
      </w:rPr>
    </w:lvl>
    <w:lvl w:ilvl="5" w:tentative="0">
      <w:start w:val="1"/>
      <w:numFmt w:val="bullet"/>
      <w:pStyle w:val="545"/>
      <w:lvlText w:val=""/>
      <w:lvlJc w:val="left"/>
      <w:pPr>
        <w:tabs>
          <w:tab w:val="left" w:pos="2940"/>
        </w:tabs>
        <w:ind w:left="2940" w:hanging="420"/>
      </w:pPr>
      <w:rPr>
        <w:rFonts w:hint="default" w:ascii="Wingdings" w:hAnsi="Wingdings"/>
      </w:rPr>
    </w:lvl>
    <w:lvl w:ilvl="6" w:tentative="0">
      <w:start w:val="1"/>
      <w:numFmt w:val="bullet"/>
      <w:pStyle w:val="544"/>
      <w:lvlText w:val=""/>
      <w:lvlJc w:val="left"/>
      <w:pPr>
        <w:tabs>
          <w:tab w:val="left" w:pos="3360"/>
        </w:tabs>
        <w:ind w:left="3360" w:hanging="420"/>
      </w:pPr>
      <w:rPr>
        <w:rFonts w:hint="default" w:ascii="Wingdings" w:hAnsi="Wingdings"/>
      </w:rPr>
    </w:lvl>
    <w:lvl w:ilvl="7" w:tentative="0">
      <w:start w:val="1"/>
      <w:numFmt w:val="bullet"/>
      <w:pStyle w:val="773"/>
      <w:lvlText w:val=""/>
      <w:lvlJc w:val="left"/>
      <w:pPr>
        <w:tabs>
          <w:tab w:val="left" w:pos="3780"/>
        </w:tabs>
        <w:ind w:left="3780" w:hanging="420"/>
      </w:pPr>
      <w:rPr>
        <w:rFonts w:hint="default" w:ascii="Wingdings" w:hAnsi="Wingdings"/>
      </w:rPr>
    </w:lvl>
    <w:lvl w:ilvl="8" w:tentative="0">
      <w:start w:val="1"/>
      <w:numFmt w:val="bullet"/>
      <w:pStyle w:val="689"/>
      <w:lvlText w:val=""/>
      <w:lvlJc w:val="left"/>
      <w:pPr>
        <w:tabs>
          <w:tab w:val="left" w:pos="4200"/>
        </w:tabs>
        <w:ind w:left="4200" w:hanging="420"/>
      </w:pPr>
      <w:rPr>
        <w:rFonts w:hint="default" w:ascii="Wingdings" w:hAnsi="Wingdings"/>
      </w:rPr>
    </w:lvl>
  </w:abstractNum>
  <w:abstractNum w:abstractNumId="2">
    <w:nsid w:val="0000000C"/>
    <w:multiLevelType w:val="multilevel"/>
    <w:tmpl w:val="0000000C"/>
    <w:lvl w:ilvl="0" w:tentative="0">
      <w:start w:val="1"/>
      <w:numFmt w:val="decimal"/>
      <w:suff w:val="nothing"/>
      <w:lvlText w:val="%1  "/>
      <w:lvlJc w:val="left"/>
      <w:pPr>
        <w:ind w:left="0" w:firstLine="0"/>
      </w:pPr>
      <w:rPr>
        <w:rFonts w:hint="default" w:ascii="Arial" w:hAnsi="Arial" w:eastAsia="宋体" w:cs="Arial"/>
        <w:b/>
        <w:bCs/>
        <w:i w:val="0"/>
        <w:iCs w:val="0"/>
        <w:caps w:val="0"/>
        <w:vanish w:val="0"/>
        <w:color w:val="800000"/>
        <w:sz w:val="36"/>
        <w:szCs w:val="48"/>
        <w:vertAlign w:val="baseline"/>
      </w:rPr>
    </w:lvl>
    <w:lvl w:ilvl="1" w:tentative="0">
      <w:start w:val="1"/>
      <w:numFmt w:val="decimal"/>
      <w:suff w:val="nothing"/>
      <w:lvlText w:val="%1.%2  "/>
      <w:lvlJc w:val="left"/>
      <w:pPr>
        <w:ind w:left="0" w:firstLine="0"/>
      </w:pPr>
      <w:rPr>
        <w:rFonts w:hint="default" w:ascii="Arial" w:hAnsi="Arial" w:eastAsia="黑体" w:cs="Arial"/>
        <w:b w:val="0"/>
        <w:bCs/>
        <w:i w:val="0"/>
        <w:iCs w:val="0"/>
        <w:caps w:val="0"/>
        <w:vanish w:val="0"/>
        <w:color w:val="800000"/>
        <w:sz w:val="30"/>
        <w:szCs w:val="30"/>
        <w:vertAlign w:val="baseline"/>
      </w:rPr>
    </w:lvl>
    <w:lvl w:ilvl="2" w:tentative="0">
      <w:start w:val="1"/>
      <w:numFmt w:val="decimal"/>
      <w:suff w:val="nothing"/>
      <w:lvlText w:val="%1.%2.%3  "/>
      <w:lvlJc w:val="left"/>
      <w:pPr>
        <w:ind w:left="0" w:firstLine="0"/>
      </w:pPr>
      <w:rPr>
        <w:rFonts w:hint="default" w:ascii="Arial" w:hAnsi="Arial" w:eastAsia="黑体" w:cs="Arial"/>
        <w:b w:val="0"/>
        <w:bCs/>
        <w:i w:val="0"/>
        <w:iCs w:val="0"/>
        <w:caps w:val="0"/>
        <w:vanish w:val="0"/>
        <w:color w:val="800000"/>
        <w:sz w:val="24"/>
        <w:szCs w:val="24"/>
        <w:vertAlign w:val="baseline"/>
      </w:rPr>
    </w:lvl>
    <w:lvl w:ilvl="3" w:tentative="0">
      <w:start w:val="1"/>
      <w:numFmt w:val="decimal"/>
      <w:suff w:val="nothing"/>
      <w:lvlText w:val="%4. "/>
      <w:lvlJc w:val="left"/>
      <w:pPr>
        <w:ind w:left="0" w:firstLine="624"/>
      </w:pPr>
      <w:rPr>
        <w:rFonts w:hint="default" w:ascii="Arial" w:hAnsi="Arial" w:eastAsia="黑体" w:cs="Arial"/>
        <w:b w:val="0"/>
        <w:bCs/>
        <w:i w:val="0"/>
        <w:iCs w:val="0"/>
        <w:caps w:val="0"/>
        <w:vanish w:val="0"/>
        <w:color w:val="800000"/>
        <w:sz w:val="21"/>
        <w:szCs w:val="21"/>
        <w:vertAlign w:val="baseline"/>
      </w:rPr>
    </w:lvl>
    <w:lvl w:ilvl="4" w:tentative="0">
      <w:start w:val="1"/>
      <w:numFmt w:val="decimal"/>
      <w:lvlText w:val="(%5)"/>
      <w:lvlJc w:val="left"/>
      <w:pPr>
        <w:tabs>
          <w:tab w:val="left" w:pos="1134"/>
        </w:tabs>
        <w:ind w:left="1134" w:hanging="510"/>
      </w:pPr>
      <w:rPr>
        <w:rFonts w:hint="default" w:ascii="Arial" w:hAnsi="Arial" w:eastAsia="宋体"/>
        <w:b w:val="0"/>
        <w:bCs w:val="0"/>
        <w:i w:val="0"/>
        <w:iCs w:val="0"/>
        <w:color w:val="auto"/>
        <w:sz w:val="21"/>
        <w:szCs w:val="20"/>
        <w:u w:val="none"/>
      </w:rPr>
    </w:lvl>
    <w:lvl w:ilvl="5" w:tentative="0">
      <w:start w:val="1"/>
      <w:numFmt w:val="decimal"/>
      <w:pStyle w:val="232"/>
      <w:suff w:val="space"/>
      <w:lvlText w:val="图%6"/>
      <w:lvlJc w:val="left"/>
      <w:pPr>
        <w:ind w:left="0" w:firstLine="624"/>
      </w:pPr>
      <w:rPr>
        <w:rFonts w:hint="default" w:ascii="Arial" w:hAnsi="Arial" w:eastAsia="黑体" w:cs="Arial Narrow"/>
        <w:b w:val="0"/>
        <w:bCs/>
        <w:i w:val="0"/>
        <w:iCs w:val="0"/>
        <w:color w:val="auto"/>
        <w:sz w:val="21"/>
        <w:szCs w:val="20"/>
        <w:u w:val="none"/>
      </w:rPr>
    </w:lvl>
    <w:lvl w:ilvl="6" w:tentative="0">
      <w:start w:val="1"/>
      <w:numFmt w:val="decimal"/>
      <w:suff w:val="space"/>
      <w:lvlText w:val="表%7"/>
      <w:lvlJc w:val="left"/>
      <w:pPr>
        <w:ind w:left="1134" w:hanging="510"/>
      </w:pPr>
      <w:rPr>
        <w:rFonts w:hint="default" w:ascii="Arial" w:hAnsi="Arial" w:eastAsia="黑体"/>
        <w:b w:val="0"/>
        <w:bCs/>
        <w:i w:val="0"/>
        <w:iCs w:val="0"/>
        <w:caps w:val="0"/>
        <w:vanish w:val="0"/>
        <w:color w:val="auto"/>
        <w:spacing w:val="0"/>
        <w:w w:val="100"/>
        <w:kern w:val="0"/>
        <w:position w:val="0"/>
        <w:sz w:val="21"/>
        <w:szCs w:val="18"/>
        <w:vertAlign w:val="baseline"/>
      </w:rPr>
    </w:lvl>
    <w:lvl w:ilvl="7" w:tentative="0">
      <w:start w:val="1"/>
      <w:numFmt w:val="lowerLetter"/>
      <w:lvlText w:val="%8."/>
      <w:lvlJc w:val="left"/>
      <w:pPr>
        <w:tabs>
          <w:tab w:val="left" w:pos="1418"/>
        </w:tabs>
        <w:ind w:left="1418" w:hanging="284"/>
      </w:pPr>
      <w:rPr>
        <w:rFonts w:hint="default" w:ascii="Arial" w:hAnsi="Arial" w:eastAsia="宋体"/>
        <w:color w:val="auto"/>
        <w:sz w:val="21"/>
        <w:szCs w:val="18"/>
      </w:rPr>
    </w:lvl>
    <w:lvl w:ilvl="8" w:tentative="0">
      <w:start w:val="1"/>
      <w:numFmt w:val="decimal"/>
      <w:lvlText w:val="步骤%9"/>
      <w:lvlJc w:val="left"/>
      <w:pPr>
        <w:tabs>
          <w:tab w:val="left" w:pos="737"/>
        </w:tabs>
        <w:ind w:left="737" w:hanging="737"/>
      </w:pPr>
      <w:rPr>
        <w:rFonts w:hint="default" w:ascii="Arial" w:hAnsi="Arial" w:eastAsia="宋体" w:cs="Arial"/>
        <w:b/>
        <w:bCs w:val="0"/>
        <w:i w:val="0"/>
        <w:iCs w:val="0"/>
        <w:caps w:val="0"/>
        <w:vanish w:val="0"/>
        <w:color w:val="auto"/>
        <w:sz w:val="21"/>
        <w:szCs w:val="18"/>
        <w:vertAlign w:val="baseline"/>
        <w:lang w:val="en-US"/>
      </w:rPr>
    </w:lvl>
  </w:abstractNum>
  <w:abstractNum w:abstractNumId="3">
    <w:nsid w:val="0000000D"/>
    <w:multiLevelType w:val="multilevel"/>
    <w:tmpl w:val="0000000D"/>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F"/>
    <w:multiLevelType w:val="multilevel"/>
    <w:tmpl w:val="0000000F"/>
    <w:lvl w:ilvl="0" w:tentative="0">
      <w:start w:val="1"/>
      <w:numFmt w:val="chineseCountingThousand"/>
      <w:pStyle w:val="535"/>
      <w:lvlText w:val="第%1章"/>
      <w:lvlJc w:val="left"/>
      <w:pPr>
        <w:ind w:left="5245" w:hanging="425"/>
      </w:pPr>
      <w:rPr>
        <w:rFonts w:hint="eastAsia"/>
      </w:rPr>
    </w:lvl>
    <w:lvl w:ilvl="1" w:tentative="0">
      <w:start w:val="1"/>
      <w:numFmt w:val="decimal"/>
      <w:pStyle w:val="534"/>
      <w:isLgl/>
      <w:lvlText w:val="%1.%2"/>
      <w:lvlJc w:val="left"/>
      <w:pPr>
        <w:ind w:left="425" w:hanging="425"/>
      </w:pPr>
      <w:rPr>
        <w:rFonts w:hint="eastAsia"/>
      </w:rPr>
    </w:lvl>
    <w:lvl w:ilvl="2" w:tentative="0">
      <w:start w:val="1"/>
      <w:numFmt w:val="decimal"/>
      <w:pStyle w:val="533"/>
      <w:isLgl/>
      <w:lvlText w:val="%1.%2.%3"/>
      <w:lvlJc w:val="left"/>
      <w:pPr>
        <w:ind w:left="425" w:hanging="425"/>
      </w:pPr>
      <w:rPr>
        <w:rFonts w:hint="eastAsia"/>
      </w:rPr>
    </w:lvl>
    <w:lvl w:ilvl="3" w:tentative="0">
      <w:start w:val="1"/>
      <w:numFmt w:val="decimal"/>
      <w:pStyle w:val="548"/>
      <w:isLgl/>
      <w:lvlText w:val="%1.%2.%3.%4"/>
      <w:lvlJc w:val="left"/>
      <w:pPr>
        <w:ind w:left="425" w:hanging="425"/>
      </w:pPr>
      <w:rPr>
        <w:rFonts w:hint="eastAsia"/>
      </w:rPr>
    </w:lvl>
    <w:lvl w:ilvl="4" w:tentative="0">
      <w:start w:val="1"/>
      <w:numFmt w:val="decimal"/>
      <w:pStyle w:val="783"/>
      <w:isLgl/>
      <w:lvlText w:val="%1.%2.%3.%4.%5"/>
      <w:lvlJc w:val="left"/>
      <w:pPr>
        <w:ind w:left="425" w:hanging="425"/>
      </w:pPr>
      <w:rPr>
        <w:rFonts w:hint="eastAsia"/>
      </w:rPr>
    </w:lvl>
    <w:lvl w:ilvl="5" w:tentative="0">
      <w:start w:val="1"/>
      <w:numFmt w:val="decimal"/>
      <w:isLgl/>
      <w:lvlText w:val="%1.%2.%3.%4.%5.%6"/>
      <w:lvlJc w:val="left"/>
      <w:pPr>
        <w:ind w:left="425" w:hanging="425"/>
      </w:pPr>
      <w:rPr>
        <w:rFonts w:hint="eastAsia"/>
      </w:rPr>
    </w:lvl>
    <w:lvl w:ilvl="6" w:tentative="0">
      <w:start w:val="1"/>
      <w:numFmt w:val="decimal"/>
      <w:isLgl/>
      <w:lvlText w:val="%1.%2.%3.%4.%5.%6.%7"/>
      <w:lvlJc w:val="left"/>
      <w:pPr>
        <w:ind w:left="425" w:hanging="425"/>
      </w:pPr>
      <w:rPr>
        <w:rFonts w:hint="eastAsia"/>
      </w:rPr>
    </w:lvl>
    <w:lvl w:ilvl="7" w:tentative="0">
      <w:start w:val="1"/>
      <w:numFmt w:val="decimal"/>
      <w:isLgl/>
      <w:lvlText w:val="%1.%2.%3.%4.%5.%6.%7.%8"/>
      <w:lvlJc w:val="left"/>
      <w:pPr>
        <w:ind w:left="425" w:hanging="425"/>
      </w:pPr>
      <w:rPr>
        <w:rFonts w:hint="eastAsia"/>
      </w:rPr>
    </w:lvl>
    <w:lvl w:ilvl="8" w:tentative="0">
      <w:start w:val="1"/>
      <w:numFmt w:val="decimal"/>
      <w:isLgl/>
      <w:lvlText w:val="%1.%2.%3.%4.%5.%6.%7.%8.%9"/>
      <w:lvlJc w:val="left"/>
      <w:pPr>
        <w:ind w:left="425" w:hanging="425"/>
      </w:pPr>
      <w:rPr>
        <w:rFonts w:hint="eastAsia"/>
      </w:rPr>
    </w:lvl>
  </w:abstractNum>
  <w:abstractNum w:abstractNumId="5">
    <w:nsid w:val="00000010"/>
    <w:multiLevelType w:val="multilevel"/>
    <w:tmpl w:val="00000010"/>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14"/>
    <w:multiLevelType w:val="multilevel"/>
    <w:tmpl w:val="00000014"/>
    <w:lvl w:ilvl="0" w:tentative="0">
      <w:start w:val="1"/>
      <w:numFmt w:val="lowerLetter"/>
      <w:pStyle w:val="644"/>
      <w:lvlText w:val="%1) "/>
      <w:lvlJc w:val="left"/>
      <w:pPr>
        <w:tabs>
          <w:tab w:val="left" w:pos="907"/>
        </w:tabs>
        <w:ind w:left="907" w:hanging="425"/>
      </w:pPr>
      <w:rPr>
        <w:rFonts w:hint="default" w:ascii="Times New Roman" w:hAnsi="Times New Roman" w:eastAsia="宋体"/>
        <w:sz w:val="28"/>
        <w:szCs w:val="28"/>
      </w:rPr>
    </w:lvl>
    <w:lvl w:ilvl="1" w:tentative="0">
      <w:start w:val="1"/>
      <w:numFmt w:val="decimal"/>
      <w:pStyle w:val="436"/>
      <w:lvlText w:val="%2) "/>
      <w:lvlJc w:val="left"/>
      <w:pPr>
        <w:tabs>
          <w:tab w:val="left" w:pos="1588"/>
        </w:tabs>
        <w:ind w:left="1588" w:hanging="681"/>
      </w:pPr>
      <w:rPr>
        <w:rFonts w:hint="eastAsia"/>
      </w:rPr>
    </w:lvl>
    <w:lvl w:ilvl="2" w:tentative="0">
      <w:start w:val="1"/>
      <w:numFmt w:val="decimal"/>
      <w:lvlText w:val="%3)"/>
      <w:lvlJc w:val="left"/>
      <w:pPr>
        <w:tabs>
          <w:tab w:val="left" w:pos="1320"/>
        </w:tabs>
        <w:ind w:left="1320" w:hanging="48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5"/>
    <w:multiLevelType w:val="multilevel"/>
    <w:tmpl w:val="00000015"/>
    <w:lvl w:ilvl="0" w:tentative="0">
      <w:start w:val="1"/>
      <w:numFmt w:val="decimal"/>
      <w:pStyle w:val="238"/>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17"/>
    <w:multiLevelType w:val="multilevel"/>
    <w:tmpl w:val="00000017"/>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A"/>
    <w:multiLevelType w:val="singleLevel"/>
    <w:tmpl w:val="0000001A"/>
    <w:lvl w:ilvl="0" w:tentative="0">
      <w:start w:val="1"/>
      <w:numFmt w:val="decimal"/>
      <w:pStyle w:val="709"/>
      <w:lvlText w:val="%1."/>
      <w:lvlJc w:val="left"/>
      <w:pPr>
        <w:tabs>
          <w:tab w:val="left" w:pos="425"/>
        </w:tabs>
        <w:ind w:left="425" w:hanging="425"/>
      </w:pPr>
    </w:lvl>
  </w:abstractNum>
  <w:abstractNum w:abstractNumId="10">
    <w:nsid w:val="0000001B"/>
    <w:multiLevelType w:val="multilevel"/>
    <w:tmpl w:val="0000001B"/>
    <w:lvl w:ilvl="0" w:tentative="0">
      <w:start w:val="1"/>
      <w:numFmt w:val="decimal"/>
      <w:pStyle w:val="730"/>
      <w:lvlText w:val="%1"/>
      <w:lvlJc w:val="left"/>
      <w:pPr>
        <w:tabs>
          <w:tab w:val="left" w:pos="480"/>
        </w:tabs>
        <w:ind w:left="480" w:hanging="480"/>
      </w:pPr>
      <w:rPr>
        <w:rFonts w:hint="eastAsia"/>
        <w:sz w:val="44"/>
        <w:szCs w:val="44"/>
      </w:rPr>
    </w:lvl>
    <w:lvl w:ilvl="1" w:tentative="0">
      <w:start w:val="1"/>
      <w:numFmt w:val="decimal"/>
      <w:pStyle w:val="48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750"/>
      <w:lvlText w:val="%1.%2.%3.%4.%5"/>
      <w:lvlJc w:val="left"/>
      <w:pPr>
        <w:tabs>
          <w:tab w:val="left" w:pos="1080"/>
        </w:tabs>
        <w:ind w:left="1080" w:hanging="1080"/>
      </w:pPr>
      <w:rPr>
        <w:rFonts w:hint="default"/>
      </w:rPr>
    </w:lvl>
    <w:lvl w:ilvl="5" w:tentative="0">
      <w:start w:val="1"/>
      <w:numFmt w:val="decimal"/>
      <w:pStyle w:val="662"/>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1E"/>
    <w:multiLevelType w:val="multilevel"/>
    <w:tmpl w:val="0000001E"/>
    <w:lvl w:ilvl="0" w:tentative="0">
      <w:start w:val="1"/>
      <w:numFmt w:val="bullet"/>
      <w:pStyle w:val="6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0000001F"/>
    <w:multiLevelType w:val="multilevel"/>
    <w:tmpl w:val="0000001F"/>
    <w:lvl w:ilvl="0" w:tentative="0">
      <w:start w:val="1"/>
      <w:numFmt w:val="bullet"/>
      <w:pStyle w:val="543"/>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7E6FB66"/>
    <w:multiLevelType w:val="singleLevel"/>
    <w:tmpl w:val="07E6FB66"/>
    <w:lvl w:ilvl="0" w:tentative="0">
      <w:start w:val="1"/>
      <w:numFmt w:val="bullet"/>
      <w:lvlText w:val=""/>
      <w:lvlJc w:val="left"/>
      <w:pPr>
        <w:ind w:left="420" w:hanging="420"/>
      </w:pPr>
      <w:rPr>
        <w:rFonts w:hint="default" w:ascii="Wingdings" w:hAnsi="Wingdings"/>
      </w:rPr>
    </w:lvl>
  </w:abstractNum>
  <w:num w:numId="1">
    <w:abstractNumId w:val="5"/>
  </w:num>
  <w:num w:numId="2">
    <w:abstractNumId w:val="3"/>
  </w:num>
  <w:num w:numId="3">
    <w:abstractNumId w:val="0"/>
  </w:num>
  <w:num w:numId="4">
    <w:abstractNumId w:val="1"/>
  </w:num>
  <w:num w:numId="5">
    <w:abstractNumId w:val="2"/>
  </w:num>
  <w:num w:numId="6">
    <w:abstractNumId w:val="7"/>
  </w:num>
  <w:num w:numId="7">
    <w:abstractNumId w:val="6"/>
  </w:num>
  <w:num w:numId="8">
    <w:abstractNumId w:val="10"/>
  </w:num>
  <w:num w:numId="9">
    <w:abstractNumId w:val="4"/>
  </w:num>
  <w:num w:numId="10">
    <w:abstractNumId w:val="12"/>
  </w:num>
  <w:num w:numId="11">
    <w:abstractNumId w:val="11"/>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40FA"/>
    <w:rsid w:val="000B74CB"/>
    <w:rsid w:val="000F2022"/>
    <w:rsid w:val="0011349C"/>
    <w:rsid w:val="00115AA6"/>
    <w:rsid w:val="00117961"/>
    <w:rsid w:val="001866D1"/>
    <w:rsid w:val="00187C3C"/>
    <w:rsid w:val="00202CF6"/>
    <w:rsid w:val="00230827"/>
    <w:rsid w:val="00235DA8"/>
    <w:rsid w:val="002700F6"/>
    <w:rsid w:val="002B3242"/>
    <w:rsid w:val="002E2B9A"/>
    <w:rsid w:val="002F7017"/>
    <w:rsid w:val="00323155"/>
    <w:rsid w:val="00380688"/>
    <w:rsid w:val="0039256A"/>
    <w:rsid w:val="003B2386"/>
    <w:rsid w:val="003E3B11"/>
    <w:rsid w:val="003F5929"/>
    <w:rsid w:val="0041199C"/>
    <w:rsid w:val="00421157"/>
    <w:rsid w:val="00452D6C"/>
    <w:rsid w:val="00481892"/>
    <w:rsid w:val="004C2580"/>
    <w:rsid w:val="00516D13"/>
    <w:rsid w:val="00541BE3"/>
    <w:rsid w:val="005A7593"/>
    <w:rsid w:val="005A7A8D"/>
    <w:rsid w:val="005B1538"/>
    <w:rsid w:val="005C0ACE"/>
    <w:rsid w:val="00640B54"/>
    <w:rsid w:val="006613FC"/>
    <w:rsid w:val="0069540C"/>
    <w:rsid w:val="006A1A72"/>
    <w:rsid w:val="00753097"/>
    <w:rsid w:val="00753111"/>
    <w:rsid w:val="00762CAB"/>
    <w:rsid w:val="00763C76"/>
    <w:rsid w:val="00774128"/>
    <w:rsid w:val="007774B5"/>
    <w:rsid w:val="007819B9"/>
    <w:rsid w:val="007A5ABB"/>
    <w:rsid w:val="007E534D"/>
    <w:rsid w:val="007E5C55"/>
    <w:rsid w:val="008013FF"/>
    <w:rsid w:val="008530EB"/>
    <w:rsid w:val="0085695E"/>
    <w:rsid w:val="0086479C"/>
    <w:rsid w:val="008B2B94"/>
    <w:rsid w:val="00907E96"/>
    <w:rsid w:val="00932B32"/>
    <w:rsid w:val="00941C6B"/>
    <w:rsid w:val="009533E4"/>
    <w:rsid w:val="00975E7F"/>
    <w:rsid w:val="00991AC3"/>
    <w:rsid w:val="009B56FA"/>
    <w:rsid w:val="009C78B9"/>
    <w:rsid w:val="009D5CB5"/>
    <w:rsid w:val="009E5285"/>
    <w:rsid w:val="009F1575"/>
    <w:rsid w:val="00A129E2"/>
    <w:rsid w:val="00A168B7"/>
    <w:rsid w:val="00A31EED"/>
    <w:rsid w:val="00A33E85"/>
    <w:rsid w:val="00A72976"/>
    <w:rsid w:val="00AF1E4D"/>
    <w:rsid w:val="00AF2B0A"/>
    <w:rsid w:val="00B058EE"/>
    <w:rsid w:val="00B16D5D"/>
    <w:rsid w:val="00B97E1D"/>
    <w:rsid w:val="00BD2137"/>
    <w:rsid w:val="00C061DE"/>
    <w:rsid w:val="00C64E64"/>
    <w:rsid w:val="00D27653"/>
    <w:rsid w:val="00D54913"/>
    <w:rsid w:val="00E103B8"/>
    <w:rsid w:val="00E224B7"/>
    <w:rsid w:val="00E340A8"/>
    <w:rsid w:val="00E95435"/>
    <w:rsid w:val="00EB5B78"/>
    <w:rsid w:val="00ED3F22"/>
    <w:rsid w:val="00F25A99"/>
    <w:rsid w:val="00F41D38"/>
    <w:rsid w:val="00F745D2"/>
    <w:rsid w:val="00F85522"/>
    <w:rsid w:val="00FE30F5"/>
    <w:rsid w:val="040B6146"/>
    <w:rsid w:val="04E85A2F"/>
    <w:rsid w:val="05520814"/>
    <w:rsid w:val="055971B7"/>
    <w:rsid w:val="08F365C6"/>
    <w:rsid w:val="09B437E1"/>
    <w:rsid w:val="0B453C19"/>
    <w:rsid w:val="0C78635A"/>
    <w:rsid w:val="0D53398F"/>
    <w:rsid w:val="0D696395"/>
    <w:rsid w:val="0DD81D42"/>
    <w:rsid w:val="0E7308AD"/>
    <w:rsid w:val="0F047C1C"/>
    <w:rsid w:val="0F405F94"/>
    <w:rsid w:val="0F715E18"/>
    <w:rsid w:val="0F727178"/>
    <w:rsid w:val="110A6508"/>
    <w:rsid w:val="12030496"/>
    <w:rsid w:val="12A55833"/>
    <w:rsid w:val="13F8676E"/>
    <w:rsid w:val="16807377"/>
    <w:rsid w:val="16EA5867"/>
    <w:rsid w:val="188C69A4"/>
    <w:rsid w:val="18FB5485"/>
    <w:rsid w:val="1B3C485E"/>
    <w:rsid w:val="1C5302E4"/>
    <w:rsid w:val="1C80220E"/>
    <w:rsid w:val="1E587ABA"/>
    <w:rsid w:val="1ECA68E5"/>
    <w:rsid w:val="21DC7898"/>
    <w:rsid w:val="243A7A70"/>
    <w:rsid w:val="24697325"/>
    <w:rsid w:val="248E43FE"/>
    <w:rsid w:val="2626460F"/>
    <w:rsid w:val="26C00620"/>
    <w:rsid w:val="26D46030"/>
    <w:rsid w:val="28225DDC"/>
    <w:rsid w:val="285E0C65"/>
    <w:rsid w:val="29525E4E"/>
    <w:rsid w:val="2B1B7ED3"/>
    <w:rsid w:val="2BE3504A"/>
    <w:rsid w:val="2BE949CC"/>
    <w:rsid w:val="2C5242A5"/>
    <w:rsid w:val="2C5276EE"/>
    <w:rsid w:val="2D6A56AB"/>
    <w:rsid w:val="2E2C0ADE"/>
    <w:rsid w:val="2EFE23DE"/>
    <w:rsid w:val="2F3E35B6"/>
    <w:rsid w:val="2F4A592D"/>
    <w:rsid w:val="2F5912AD"/>
    <w:rsid w:val="30A36F1B"/>
    <w:rsid w:val="31251E76"/>
    <w:rsid w:val="32415DFF"/>
    <w:rsid w:val="32CA1ACC"/>
    <w:rsid w:val="3386528F"/>
    <w:rsid w:val="352638AC"/>
    <w:rsid w:val="36A75892"/>
    <w:rsid w:val="36E720EE"/>
    <w:rsid w:val="370B2E16"/>
    <w:rsid w:val="37C76327"/>
    <w:rsid w:val="37DE6411"/>
    <w:rsid w:val="38AB7014"/>
    <w:rsid w:val="392C207E"/>
    <w:rsid w:val="396D2760"/>
    <w:rsid w:val="39BC07B8"/>
    <w:rsid w:val="39BD02BF"/>
    <w:rsid w:val="39E73472"/>
    <w:rsid w:val="3D5109D1"/>
    <w:rsid w:val="40A91520"/>
    <w:rsid w:val="410D6922"/>
    <w:rsid w:val="415869FC"/>
    <w:rsid w:val="415D4300"/>
    <w:rsid w:val="4165108B"/>
    <w:rsid w:val="44265814"/>
    <w:rsid w:val="469B3AF5"/>
    <w:rsid w:val="46A922F8"/>
    <w:rsid w:val="48137BAB"/>
    <w:rsid w:val="49E67BAB"/>
    <w:rsid w:val="4A6444A2"/>
    <w:rsid w:val="4AA77A1E"/>
    <w:rsid w:val="4C61143C"/>
    <w:rsid w:val="4C81681E"/>
    <w:rsid w:val="4DAB4E12"/>
    <w:rsid w:val="514D1122"/>
    <w:rsid w:val="51AC4186"/>
    <w:rsid w:val="51E36113"/>
    <w:rsid w:val="520A4277"/>
    <w:rsid w:val="52970667"/>
    <w:rsid w:val="553A26F3"/>
    <w:rsid w:val="555D2F57"/>
    <w:rsid w:val="580561BD"/>
    <w:rsid w:val="58195A1C"/>
    <w:rsid w:val="5B1061BF"/>
    <w:rsid w:val="5BA326D4"/>
    <w:rsid w:val="5C982FF5"/>
    <w:rsid w:val="609B4244"/>
    <w:rsid w:val="60D35F0E"/>
    <w:rsid w:val="621510CA"/>
    <w:rsid w:val="62F66F35"/>
    <w:rsid w:val="63713382"/>
    <w:rsid w:val="639F097E"/>
    <w:rsid w:val="63F8124D"/>
    <w:rsid w:val="648D0A1A"/>
    <w:rsid w:val="65D44819"/>
    <w:rsid w:val="65F57504"/>
    <w:rsid w:val="66783EBB"/>
    <w:rsid w:val="68D32D3D"/>
    <w:rsid w:val="68D407CD"/>
    <w:rsid w:val="692B2259"/>
    <w:rsid w:val="696C2CE0"/>
    <w:rsid w:val="699341A0"/>
    <w:rsid w:val="69F5459F"/>
    <w:rsid w:val="6A9D266B"/>
    <w:rsid w:val="6AB74834"/>
    <w:rsid w:val="6AE359F2"/>
    <w:rsid w:val="6B8C5A25"/>
    <w:rsid w:val="6D6676A5"/>
    <w:rsid w:val="6DAF235C"/>
    <w:rsid w:val="6DFA1169"/>
    <w:rsid w:val="6F843912"/>
    <w:rsid w:val="6FBB381D"/>
    <w:rsid w:val="73755145"/>
    <w:rsid w:val="74300768"/>
    <w:rsid w:val="749D19E0"/>
    <w:rsid w:val="758A39AD"/>
    <w:rsid w:val="76266245"/>
    <w:rsid w:val="76767043"/>
    <w:rsid w:val="76AD4E54"/>
    <w:rsid w:val="78A46D6A"/>
    <w:rsid w:val="7AA605DC"/>
    <w:rsid w:val="7DC468F2"/>
    <w:rsid w:val="7F326194"/>
    <w:rsid w:val="7F3E2549"/>
    <w:rsid w:val="7F412003"/>
    <w:rsid w:val="7F654FFE"/>
    <w:rsid w:val="7FDE3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T Extra" w:hAnsi="MT Extra" w:eastAsia="宋体" w:cs="MT Extr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kern w:val="2"/>
      <w:sz w:val="21"/>
      <w:szCs w:val="24"/>
      <w:lang w:val="en-US" w:eastAsia="zh-CN" w:bidi="ar-SA"/>
    </w:rPr>
  </w:style>
  <w:style w:type="paragraph" w:styleId="2">
    <w:name w:val="heading 1"/>
    <w:basedOn w:val="1"/>
    <w:next w:val="1"/>
    <w:link w:val="124"/>
    <w:qFormat/>
    <w:uiPriority w:val="0"/>
    <w:pPr>
      <w:keepNext/>
      <w:keepLines/>
      <w:numPr>
        <w:ilvl w:val="0"/>
        <w:numId w:val="1"/>
      </w:numPr>
      <w:spacing w:before="340" w:beforeLines="0" w:after="330" w:afterLines="0" w:line="576" w:lineRule="auto"/>
      <w:outlineLvl w:val="0"/>
    </w:pPr>
    <w:rPr>
      <w:rFonts w:cs="Times New Roman"/>
      <w:b/>
      <w:bCs/>
      <w:kern w:val="44"/>
      <w:sz w:val="44"/>
      <w:szCs w:val="44"/>
    </w:rPr>
  </w:style>
  <w:style w:type="paragraph" w:styleId="3">
    <w:name w:val="heading 2"/>
    <w:basedOn w:val="1"/>
    <w:next w:val="1"/>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beforeLines="0" w:after="260" w:afterLines="0" w:line="415" w:lineRule="auto"/>
      <w:outlineLvl w:val="2"/>
    </w:pPr>
    <w:rPr>
      <w:b/>
      <w:bCs/>
      <w:sz w:val="32"/>
      <w:szCs w:val="32"/>
    </w:rPr>
  </w:style>
  <w:style w:type="paragraph" w:styleId="5">
    <w:name w:val="heading 4"/>
    <w:basedOn w:val="1"/>
    <w:next w:val="1"/>
    <w:link w:val="120"/>
    <w:qFormat/>
    <w:uiPriority w:val="0"/>
    <w:pPr>
      <w:keepNext/>
      <w:keepLines/>
      <w:numPr>
        <w:ilvl w:val="3"/>
        <w:numId w:val="1"/>
      </w:numPr>
      <w:spacing w:before="280" w:beforeLines="0" w:after="290" w:afterLines="0" w:line="374" w:lineRule="auto"/>
      <w:outlineLvl w:val="3"/>
    </w:pPr>
    <w:rPr>
      <w:rFonts w:ascii="Arial" w:hAnsi="Arial" w:eastAsia="黑体" w:cs="Times New Roman"/>
      <w:b/>
      <w:bCs/>
      <w:sz w:val="28"/>
      <w:szCs w:val="28"/>
      <w:lang w:val="zh-CN"/>
    </w:rPr>
  </w:style>
  <w:style w:type="paragraph" w:styleId="6">
    <w:name w:val="heading 5"/>
    <w:basedOn w:val="1"/>
    <w:next w:val="1"/>
    <w:link w:val="153"/>
    <w:qFormat/>
    <w:uiPriority w:val="0"/>
    <w:pPr>
      <w:keepNext/>
      <w:keepLines/>
      <w:numPr>
        <w:ilvl w:val="4"/>
        <w:numId w:val="1"/>
      </w:numPr>
      <w:spacing w:before="280" w:beforeLines="0" w:after="290" w:afterLines="0" w:line="374" w:lineRule="auto"/>
      <w:outlineLvl w:val="4"/>
    </w:pPr>
    <w:rPr>
      <w:rFonts w:cs="Times New Roman"/>
      <w:b/>
      <w:bCs/>
      <w:sz w:val="28"/>
      <w:szCs w:val="28"/>
    </w:rPr>
  </w:style>
  <w:style w:type="paragraph" w:styleId="7">
    <w:name w:val="heading 6"/>
    <w:basedOn w:val="1"/>
    <w:next w:val="1"/>
    <w:link w:val="168"/>
    <w:qFormat/>
    <w:uiPriority w:val="0"/>
    <w:pPr>
      <w:keepNext/>
      <w:keepLines/>
      <w:numPr>
        <w:ilvl w:val="5"/>
        <w:numId w:val="1"/>
      </w:numPr>
      <w:spacing w:before="240" w:beforeLines="0" w:after="64" w:afterLines="0" w:line="319" w:lineRule="auto"/>
      <w:outlineLvl w:val="5"/>
    </w:pPr>
    <w:rPr>
      <w:rFonts w:ascii="Arial" w:hAnsi="Arial" w:eastAsia="黑体" w:cs="Times New Roman"/>
      <w:b/>
      <w:bCs/>
      <w:sz w:val="24"/>
    </w:rPr>
  </w:style>
  <w:style w:type="paragraph" w:styleId="8">
    <w:name w:val="heading 7"/>
    <w:basedOn w:val="1"/>
    <w:next w:val="1"/>
    <w:link w:val="295"/>
    <w:qFormat/>
    <w:uiPriority w:val="0"/>
    <w:pPr>
      <w:keepNext/>
      <w:keepLines/>
      <w:numPr>
        <w:ilvl w:val="6"/>
        <w:numId w:val="1"/>
      </w:numPr>
      <w:spacing w:before="240" w:beforeLines="0" w:after="64" w:afterLines="0" w:line="319" w:lineRule="auto"/>
      <w:outlineLvl w:val="6"/>
    </w:pPr>
    <w:rPr>
      <w:rFonts w:cs="Times New Roman"/>
      <w:b/>
      <w:bCs/>
      <w:sz w:val="24"/>
    </w:rPr>
  </w:style>
  <w:style w:type="paragraph" w:styleId="9">
    <w:name w:val="heading 8"/>
    <w:basedOn w:val="1"/>
    <w:next w:val="1"/>
    <w:link w:val="288"/>
    <w:qFormat/>
    <w:uiPriority w:val="0"/>
    <w:pPr>
      <w:keepNext/>
      <w:keepLines/>
      <w:numPr>
        <w:ilvl w:val="7"/>
        <w:numId w:val="1"/>
      </w:numPr>
      <w:spacing w:before="240" w:beforeLines="0" w:after="64" w:afterLines="0" w:line="319" w:lineRule="auto"/>
      <w:outlineLvl w:val="7"/>
    </w:pPr>
    <w:rPr>
      <w:rFonts w:ascii="Arial" w:hAnsi="Arial" w:eastAsia="黑体" w:cs="Times New Roman"/>
      <w:sz w:val="24"/>
    </w:rPr>
  </w:style>
  <w:style w:type="paragraph" w:styleId="10">
    <w:name w:val="heading 9"/>
    <w:basedOn w:val="1"/>
    <w:next w:val="1"/>
    <w:link w:val="145"/>
    <w:qFormat/>
    <w:uiPriority w:val="0"/>
    <w:pPr>
      <w:keepNext/>
      <w:keepLines/>
      <w:numPr>
        <w:ilvl w:val="8"/>
        <w:numId w:val="1"/>
      </w:numPr>
      <w:spacing w:before="240" w:beforeLines="0" w:after="64" w:afterLines="0" w:line="319" w:lineRule="auto"/>
      <w:outlineLvl w:val="8"/>
    </w:pPr>
    <w:rPr>
      <w:rFonts w:ascii="Arial" w:hAnsi="Arial" w:eastAsia="黑体" w:cs="Times New Roman"/>
      <w:szCs w:val="21"/>
    </w:rPr>
  </w:style>
  <w:style w:type="character" w:default="1" w:styleId="86">
    <w:name w:val="Default Paragraph Font"/>
    <w:uiPriority w:val="0"/>
    <w:rPr>
      <w:rFonts w:ascii="Arial" w:hAnsi="Arial" w:eastAsia="黑体" w:cs="Arial"/>
      <w:snapToGrid w:val="0"/>
      <w:kern w:val="0"/>
      <w:szCs w:val="21"/>
    </w:rPr>
  </w:style>
  <w:style w:type="table" w:default="1" w:styleId="85">
    <w:name w:val="Normal Table"/>
    <w:unhideWhenUsed/>
    <w:uiPriority w:val="99"/>
    <w:pPr>
      <w:keepNext w:val="0"/>
      <w:keepLines w:val="0"/>
      <w:widowControl/>
      <w:suppressLineNumbers w:val="0"/>
      <w:spacing w:before="0" w:beforeAutospacing="0" w:after="0" w:afterAutospacing="0"/>
      <w:ind w:left="0" w:right="0"/>
    </w:pPr>
    <w:rPr>
      <w:rFonts w:ascii="Calibri" w:hAnsi="Calibri" w:cs="Times New Roman"/>
      <w:sz w:val="20"/>
      <w:szCs w:val="20"/>
    </w:rPr>
    <w:tblPr>
      <w:tblStyle w:val="85"/>
      <w:tblCellMar>
        <w:top w:w="0" w:type="dxa"/>
        <w:left w:w="108" w:type="dxa"/>
        <w:bottom w:w="0" w:type="dxa"/>
        <w:right w:w="108" w:type="dxa"/>
      </w:tblCellMar>
    </w:tblPr>
  </w:style>
  <w:style w:type="paragraph" w:styleId="11">
    <w:name w:val="List 3"/>
    <w:basedOn w:val="1"/>
    <w:uiPriority w:val="0"/>
    <w:pPr>
      <w:snapToGrid w:val="0"/>
      <w:spacing w:line="360" w:lineRule="auto"/>
      <w:ind w:left="100" w:leftChars="400" w:hanging="200" w:hangingChars="200"/>
      <w:textAlignment w:val="baseline"/>
    </w:pPr>
    <w:rPr>
      <w:rFonts w:eastAsia="仿宋_GB2312"/>
      <w:color w:val="000000"/>
      <w:kern w:val="0"/>
      <w:sz w:val="28"/>
      <w:szCs w:val="20"/>
    </w:rPr>
  </w:style>
  <w:style w:type="paragraph" w:styleId="12">
    <w:name w:val="toc 7"/>
    <w:basedOn w:val="1"/>
    <w:next w:val="1"/>
    <w:uiPriority w:val="0"/>
    <w:pPr>
      <w:ind w:left="2520" w:leftChars="1200"/>
    </w:pPr>
  </w:style>
  <w:style w:type="paragraph" w:styleId="13">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4">
    <w:name w:val="Note Heading"/>
    <w:basedOn w:val="1"/>
    <w:next w:val="1"/>
    <w:link w:val="342"/>
    <w:uiPriority w:val="0"/>
    <w:pPr>
      <w:snapToGrid w:val="0"/>
      <w:spacing w:line="360" w:lineRule="auto"/>
      <w:jc w:val="center"/>
      <w:textAlignment w:val="baseline"/>
    </w:pPr>
    <w:rPr>
      <w:rFonts w:ascii="Arial" w:hAnsi="Arial" w:eastAsia="黑体" w:cs="Times New Roman"/>
      <w:snapToGrid w:val="0"/>
      <w:color w:val="000000"/>
      <w:kern w:val="0"/>
      <w:sz w:val="24"/>
      <w:szCs w:val="21"/>
    </w:rPr>
  </w:style>
  <w:style w:type="paragraph" w:styleId="15">
    <w:name w:val="List Bullet 4"/>
    <w:basedOn w:val="1"/>
    <w:uiPriority w:val="0"/>
    <w:pPr>
      <w:widowControl/>
      <w:numPr>
        <w:ilvl w:val="0"/>
        <w:numId w:val="3"/>
      </w:numPr>
      <w:tabs>
        <w:tab w:val="left" w:pos="432"/>
        <w:tab w:val="clear" w:pos="1440"/>
      </w:tabs>
      <w:adjustRightInd/>
      <w:spacing w:before="40" w:beforeLines="0" w:after="160" w:afterLines="0"/>
      <w:ind w:left="432" w:hanging="432"/>
      <w:jc w:val="left"/>
    </w:pPr>
    <w:rPr>
      <w:rFonts w:ascii="Cambria" w:hAnsi="Cambria" w:eastAsia="微软雅黑" w:cs="Times New Roman"/>
      <w:color w:val="595959"/>
      <w:kern w:val="20"/>
      <w:szCs w:val="20"/>
      <w:lang w:val="zh-CN"/>
    </w:rPr>
  </w:style>
  <w:style w:type="paragraph" w:styleId="16">
    <w:name w:val="index 8"/>
    <w:basedOn w:val="1"/>
    <w:next w:val="1"/>
    <w:uiPriority w:val="0"/>
    <w:pPr>
      <w:adjustRightInd/>
      <w:snapToGrid w:val="0"/>
      <w:ind w:left="2940"/>
    </w:pPr>
    <w:rPr>
      <w:rFonts w:eastAsia="仿宋_GB2312"/>
      <w:color w:val="000000"/>
      <w:sz w:val="28"/>
      <w:szCs w:val="20"/>
    </w:rPr>
  </w:style>
  <w:style w:type="paragraph" w:styleId="17">
    <w:name w:val="E-mail Signature"/>
    <w:basedOn w:val="1"/>
    <w:link w:val="279"/>
    <w:uiPriority w:val="0"/>
    <w:pPr>
      <w:snapToGrid w:val="0"/>
      <w:spacing w:line="360" w:lineRule="auto"/>
      <w:textAlignment w:val="baseline"/>
    </w:pPr>
    <w:rPr>
      <w:rFonts w:ascii="Arial" w:hAnsi="Arial" w:eastAsia="黑体" w:cs="Times New Roman"/>
      <w:snapToGrid w:val="0"/>
      <w:color w:val="000000"/>
      <w:kern w:val="0"/>
      <w:sz w:val="24"/>
      <w:szCs w:val="21"/>
    </w:rPr>
  </w:style>
  <w:style w:type="paragraph" w:styleId="18">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321"/>
    <w:uiPriority w:val="0"/>
    <w:pPr>
      <w:widowControl/>
      <w:adjustRightInd w:val="0"/>
      <w:snapToGrid w:val="0"/>
      <w:spacing w:line="480" w:lineRule="exact"/>
      <w:ind w:firstLine="567"/>
    </w:pPr>
    <w:rPr>
      <w:rFonts w:ascii="宋体"/>
      <w:snapToGrid w:val="0"/>
      <w:color w:val="000000"/>
      <w:kern w:val="28"/>
      <w:sz w:val="28"/>
      <w:szCs w:val="20"/>
    </w:rPr>
  </w:style>
  <w:style w:type="paragraph" w:styleId="20">
    <w:name w:val="caption"/>
    <w:basedOn w:val="1"/>
    <w:next w:val="1"/>
    <w:qFormat/>
    <w:uiPriority w:val="0"/>
    <w:rPr>
      <w:b/>
      <w:sz w:val="28"/>
      <w:szCs w:val="20"/>
    </w:rPr>
  </w:style>
  <w:style w:type="paragraph" w:styleId="21">
    <w:name w:val="index 5"/>
    <w:basedOn w:val="1"/>
    <w:next w:val="1"/>
    <w:uiPriority w:val="0"/>
    <w:pPr>
      <w:adjustRightInd/>
      <w:ind w:left="800" w:leftChars="800" w:firstLine="200" w:firstLineChars="200"/>
    </w:pPr>
  </w:style>
  <w:style w:type="paragraph" w:styleId="22">
    <w:name w:val="List Bullet"/>
    <w:basedOn w:val="1"/>
    <w:uiPriority w:val="0"/>
    <w:pPr>
      <w:tabs>
        <w:tab w:val="left" w:pos="360"/>
      </w:tabs>
      <w:snapToGrid w:val="0"/>
      <w:spacing w:line="360" w:lineRule="auto"/>
      <w:textAlignment w:val="baseline"/>
    </w:pPr>
    <w:rPr>
      <w:rFonts w:eastAsia="仿宋_GB2312"/>
      <w:color w:val="000000"/>
      <w:kern w:val="0"/>
      <w:sz w:val="28"/>
      <w:szCs w:val="20"/>
    </w:rPr>
  </w:style>
  <w:style w:type="paragraph" w:styleId="23">
    <w:name w:val="envelope address"/>
    <w:basedOn w:val="1"/>
    <w:uiPriority w:val="0"/>
    <w:pPr>
      <w:snapToGrid w:val="0"/>
      <w:spacing w:line="360" w:lineRule="auto"/>
      <w:ind w:left="100" w:leftChars="1400"/>
      <w:textAlignment w:val="baseline"/>
    </w:pPr>
    <w:rPr>
      <w:rFonts w:ascii="Arial" w:hAnsi="Arial" w:eastAsia="仿宋_GB2312" w:cs="Arial"/>
      <w:color w:val="000000"/>
      <w:kern w:val="0"/>
      <w:sz w:val="28"/>
    </w:rPr>
  </w:style>
  <w:style w:type="paragraph" w:styleId="24">
    <w:name w:val="Document Map"/>
    <w:basedOn w:val="1"/>
    <w:uiPriority w:val="0"/>
    <w:pPr>
      <w:shd w:val="clear" w:color="auto" w:fill="000080"/>
    </w:pPr>
  </w:style>
  <w:style w:type="paragraph" w:styleId="25">
    <w:name w:val="toa heading"/>
    <w:basedOn w:val="2"/>
    <w:next w:val="1"/>
    <w:uiPriority w:val="0"/>
    <w:pPr>
      <w:numPr>
        <w:ilvl w:val="0"/>
        <w:numId w:val="4"/>
      </w:numPr>
      <w:tabs>
        <w:tab w:val="clear" w:pos="432"/>
      </w:tabs>
      <w:snapToGrid w:val="0"/>
      <w:spacing w:before="120" w:beforeLines="0" w:after="120" w:afterLines="0" w:line="360" w:lineRule="auto"/>
      <w:ind w:left="1283"/>
      <w:jc w:val="left"/>
      <w:textAlignment w:val="baseline"/>
    </w:pPr>
    <w:rPr>
      <w:rFonts w:ascii="Cambria" w:hAnsi="Cambria"/>
      <w:b w:val="0"/>
      <w:bCs w:val="0"/>
      <w:color w:val="000000"/>
      <w:sz w:val="24"/>
      <w:szCs w:val="24"/>
    </w:rPr>
  </w:style>
  <w:style w:type="paragraph" w:styleId="26">
    <w:name w:val="annotation text"/>
    <w:basedOn w:val="1"/>
    <w:link w:val="165"/>
    <w:uiPriority w:val="0"/>
    <w:pPr>
      <w:jc w:val="left"/>
    </w:pPr>
    <w:rPr>
      <w:rFonts w:cs="Times New Roman"/>
    </w:rPr>
  </w:style>
  <w:style w:type="paragraph" w:styleId="27">
    <w:name w:val="index 6"/>
    <w:basedOn w:val="1"/>
    <w:next w:val="1"/>
    <w:uiPriority w:val="0"/>
    <w:pPr>
      <w:adjustRightInd/>
      <w:snapToGrid w:val="0"/>
      <w:ind w:left="2100"/>
    </w:pPr>
    <w:rPr>
      <w:rFonts w:eastAsia="仿宋_GB2312"/>
      <w:color w:val="000000"/>
      <w:sz w:val="28"/>
      <w:szCs w:val="20"/>
    </w:rPr>
  </w:style>
  <w:style w:type="paragraph" w:styleId="28">
    <w:name w:val="Salutation"/>
    <w:basedOn w:val="1"/>
    <w:next w:val="1"/>
    <w:link w:val="293"/>
    <w:uiPriority w:val="0"/>
    <w:rPr>
      <w:rFonts w:ascii="仿宋_GB2312" w:eastAsia="仿宋_GB2312" w:cs="Times New Roman"/>
      <w:sz w:val="28"/>
      <w:szCs w:val="20"/>
    </w:rPr>
  </w:style>
  <w:style w:type="paragraph" w:styleId="29">
    <w:name w:val="Body Text 3"/>
    <w:basedOn w:val="1"/>
    <w:link w:val="135"/>
    <w:uiPriority w:val="0"/>
    <w:pPr>
      <w:jc w:val="center"/>
    </w:pPr>
    <w:rPr>
      <w:rFonts w:cs="Times New Roman"/>
      <w:szCs w:val="20"/>
    </w:rPr>
  </w:style>
  <w:style w:type="paragraph" w:styleId="30">
    <w:name w:val="Closing"/>
    <w:basedOn w:val="1"/>
    <w:link w:val="169"/>
    <w:uiPriority w:val="0"/>
    <w:pPr>
      <w:snapToGrid w:val="0"/>
      <w:spacing w:line="360" w:lineRule="auto"/>
      <w:ind w:left="100" w:leftChars="2100"/>
      <w:textAlignment w:val="baseline"/>
    </w:pPr>
    <w:rPr>
      <w:rFonts w:ascii="Arial" w:hAnsi="Arial" w:eastAsia="黑体" w:cs="Times New Roman"/>
      <w:snapToGrid w:val="0"/>
      <w:color w:val="000000"/>
      <w:kern w:val="0"/>
      <w:sz w:val="24"/>
      <w:szCs w:val="21"/>
    </w:rPr>
  </w:style>
  <w:style w:type="paragraph" w:styleId="31">
    <w:name w:val="List Bullet 3"/>
    <w:basedOn w:val="1"/>
    <w:uiPriority w:val="0"/>
    <w:pPr>
      <w:tabs>
        <w:tab w:val="left" w:pos="1200"/>
      </w:tabs>
      <w:snapToGrid w:val="0"/>
      <w:spacing w:line="360" w:lineRule="auto"/>
      <w:ind w:left="1200" w:hanging="360"/>
      <w:textAlignment w:val="baseline"/>
    </w:pPr>
    <w:rPr>
      <w:rFonts w:eastAsia="仿宋_GB2312"/>
      <w:color w:val="000000"/>
      <w:kern w:val="0"/>
      <w:sz w:val="28"/>
      <w:szCs w:val="20"/>
    </w:rPr>
  </w:style>
  <w:style w:type="paragraph" w:styleId="32">
    <w:name w:val="Body Text"/>
    <w:basedOn w:val="1"/>
    <w:link w:val="315"/>
    <w:uiPriority w:val="0"/>
    <w:pPr>
      <w:autoSpaceDE w:val="0"/>
      <w:autoSpaceDN w:val="0"/>
      <w:adjustRightInd w:val="0"/>
      <w:spacing w:line="360" w:lineRule="auto"/>
    </w:pPr>
    <w:rPr>
      <w:rFonts w:ascii="宋体" w:hAnsi="Arial" w:cs="Arial"/>
      <w:snapToGrid w:val="0"/>
      <w:sz w:val="24"/>
      <w:szCs w:val="21"/>
      <w:lang w:val="zh-CN"/>
    </w:rPr>
  </w:style>
  <w:style w:type="paragraph" w:styleId="33">
    <w:name w:val="Body Text Indent"/>
    <w:basedOn w:val="1"/>
    <w:link w:val="271"/>
    <w:uiPriority w:val="0"/>
    <w:pPr>
      <w:spacing w:line="480" w:lineRule="exact"/>
      <w:ind w:firstLine="480" w:firstLineChars="200"/>
    </w:pPr>
    <w:rPr>
      <w:rFonts w:ascii="宋体" w:hAnsi="宋体" w:cs="Times New Roman"/>
      <w:sz w:val="24"/>
    </w:rPr>
  </w:style>
  <w:style w:type="paragraph" w:styleId="3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35">
    <w:name w:val="List 2"/>
    <w:basedOn w:val="1"/>
    <w:uiPriority w:val="0"/>
    <w:pPr>
      <w:adjustRightInd/>
      <w:spacing w:line="360" w:lineRule="auto"/>
      <w:ind w:left="100" w:leftChars="200" w:hanging="200" w:hangingChars="200"/>
    </w:pPr>
    <w:rPr>
      <w:rFonts w:eastAsia="微软雅黑"/>
    </w:rPr>
  </w:style>
  <w:style w:type="paragraph" w:styleId="36">
    <w:name w:val="List Continue"/>
    <w:basedOn w:val="1"/>
    <w:uiPriority w:val="0"/>
    <w:pPr>
      <w:snapToGrid w:val="0"/>
      <w:spacing w:after="120" w:afterLines="0" w:line="360" w:lineRule="auto"/>
      <w:ind w:left="420" w:leftChars="200"/>
      <w:textAlignment w:val="baseline"/>
    </w:pPr>
    <w:rPr>
      <w:rFonts w:eastAsia="仿宋_GB2312"/>
      <w:color w:val="000000"/>
      <w:kern w:val="0"/>
      <w:sz w:val="28"/>
      <w:szCs w:val="20"/>
    </w:rPr>
  </w:style>
  <w:style w:type="paragraph" w:styleId="37">
    <w:name w:val="Block Text"/>
    <w:basedOn w:val="1"/>
    <w:uiPriority w:val="0"/>
    <w:pPr>
      <w:ind w:left="-359" w:leftChars="-171" w:rightChars="-244" w:firstLine="501" w:firstLineChars="239"/>
    </w:pPr>
    <w:rPr>
      <w:rFonts w:ascii="仿宋_GB2312" w:eastAsia="仿宋_GB2312"/>
      <w:sz w:val="30"/>
      <w:szCs w:val="20"/>
    </w:rPr>
  </w:style>
  <w:style w:type="paragraph" w:styleId="38">
    <w:name w:val="List Bullet 2"/>
    <w:basedOn w:val="1"/>
    <w:uiPriority w:val="0"/>
    <w:pPr>
      <w:autoSpaceDE w:val="0"/>
      <w:autoSpaceDN w:val="0"/>
      <w:ind w:left="420"/>
      <w:jc w:val="left"/>
    </w:pPr>
    <w:rPr>
      <w:rFonts w:ascii="宋体" w:hAnsi="宋体"/>
      <w:color w:val="000000"/>
      <w:kern w:val="0"/>
      <w:sz w:val="24"/>
      <w:szCs w:val="20"/>
    </w:rPr>
  </w:style>
  <w:style w:type="paragraph" w:styleId="39">
    <w:name w:val="HTML Address"/>
    <w:basedOn w:val="1"/>
    <w:link w:val="272"/>
    <w:uiPriority w:val="0"/>
    <w:pPr>
      <w:widowControl/>
      <w:adjustRightInd/>
      <w:ind w:firstLine="200" w:firstLineChars="200"/>
      <w:jc w:val="left"/>
    </w:pPr>
    <w:rPr>
      <w:rFonts w:ascii="宋体" w:hAnsi="宋体" w:cs="Times New Roman"/>
      <w:i/>
      <w:iCs/>
      <w:kern w:val="0"/>
      <w:sz w:val="24"/>
    </w:rPr>
  </w:style>
  <w:style w:type="paragraph" w:styleId="40">
    <w:name w:val="index 4"/>
    <w:basedOn w:val="1"/>
    <w:next w:val="1"/>
    <w:uiPriority w:val="0"/>
    <w:pPr>
      <w:adjustRightInd/>
      <w:snapToGrid w:val="0"/>
      <w:ind w:left="1260"/>
    </w:pPr>
    <w:rPr>
      <w:rFonts w:eastAsia="仿宋_GB2312"/>
      <w:color w:val="000000"/>
      <w:sz w:val="28"/>
      <w:szCs w:val="20"/>
    </w:rPr>
  </w:style>
  <w:style w:type="paragraph" w:styleId="41">
    <w:name w:val="toc 5"/>
    <w:basedOn w:val="1"/>
    <w:next w:val="1"/>
    <w:uiPriority w:val="0"/>
    <w:pPr>
      <w:ind w:left="1680" w:leftChars="800"/>
    </w:pPr>
  </w:style>
  <w:style w:type="paragraph" w:styleId="42">
    <w:name w:val="toc 3"/>
    <w:basedOn w:val="1"/>
    <w:next w:val="1"/>
    <w:uiPriority w:val="0"/>
    <w:pPr>
      <w:tabs>
        <w:tab w:val="right" w:leader="dot" w:pos="8268"/>
      </w:tabs>
      <w:spacing w:line="460" w:lineRule="exact"/>
      <w:ind w:left="840" w:leftChars="400" w:firstLine="482"/>
    </w:pPr>
    <w:rPr>
      <w:rFonts w:ascii="宋体" w:hAnsi="宋体"/>
      <w:lang/>
    </w:rPr>
  </w:style>
  <w:style w:type="paragraph" w:styleId="43">
    <w:name w:val="Plain Text"/>
    <w:basedOn w:val="1"/>
    <w:link w:val="230"/>
    <w:uiPriority w:val="0"/>
    <w:rPr>
      <w:rFonts w:ascii="宋体" w:hAnsi="Courier New" w:cs="Arial"/>
      <w:snapToGrid w:val="0"/>
      <w:szCs w:val="21"/>
    </w:rPr>
  </w:style>
  <w:style w:type="paragraph" w:styleId="44">
    <w:name w:val="List Bullet 5"/>
    <w:basedOn w:val="1"/>
    <w:uiPriority w:val="0"/>
    <w:pPr>
      <w:tabs>
        <w:tab w:val="left" w:pos="360"/>
      </w:tabs>
      <w:snapToGrid w:val="0"/>
      <w:spacing w:line="360" w:lineRule="auto"/>
      <w:textAlignment w:val="baseline"/>
    </w:pPr>
    <w:rPr>
      <w:rFonts w:eastAsia="仿宋_GB2312"/>
      <w:color w:val="000000"/>
      <w:kern w:val="0"/>
      <w:sz w:val="28"/>
      <w:szCs w:val="20"/>
    </w:rPr>
  </w:style>
  <w:style w:type="paragraph" w:styleId="45">
    <w:name w:val="List Number 4"/>
    <w:basedOn w:val="1"/>
    <w:uiPriority w:val="0"/>
    <w:pPr>
      <w:numPr>
        <w:ilvl w:val="0"/>
        <w:numId w:val="4"/>
      </w:numPr>
      <w:autoSpaceDE w:val="0"/>
      <w:autoSpaceDN w:val="0"/>
      <w:spacing w:line="360" w:lineRule="atLeast"/>
      <w:ind w:left="840" w:hanging="420"/>
    </w:pPr>
    <w:rPr>
      <w:kern w:val="0"/>
      <w:sz w:val="24"/>
    </w:rPr>
  </w:style>
  <w:style w:type="paragraph" w:styleId="46">
    <w:name w:val="toc 8"/>
    <w:basedOn w:val="1"/>
    <w:next w:val="1"/>
    <w:uiPriority w:val="0"/>
    <w:pPr>
      <w:ind w:left="2940" w:leftChars="1400"/>
    </w:pPr>
  </w:style>
  <w:style w:type="paragraph" w:styleId="47">
    <w:name w:val="index 3"/>
    <w:basedOn w:val="1"/>
    <w:next w:val="1"/>
    <w:uiPriority w:val="0"/>
    <w:pPr>
      <w:adjustRightInd/>
      <w:snapToGrid w:val="0"/>
      <w:ind w:left="840"/>
    </w:pPr>
    <w:rPr>
      <w:rFonts w:eastAsia="仿宋_GB2312"/>
      <w:color w:val="000000"/>
      <w:sz w:val="28"/>
      <w:szCs w:val="20"/>
    </w:rPr>
  </w:style>
  <w:style w:type="paragraph" w:styleId="48">
    <w:name w:val="Date"/>
    <w:basedOn w:val="1"/>
    <w:next w:val="1"/>
    <w:link w:val="264"/>
    <w:uiPriority w:val="0"/>
    <w:pPr>
      <w:ind w:left="100" w:leftChars="2500"/>
    </w:pPr>
    <w:rPr>
      <w:rFonts w:ascii="宋体" w:cs="Times New Roman"/>
      <w:sz w:val="24"/>
      <w:szCs w:val="21"/>
      <w:lang w:val="zh-CN"/>
    </w:rPr>
  </w:style>
  <w:style w:type="paragraph" w:styleId="49">
    <w:name w:val="Body Text Indent 2"/>
    <w:basedOn w:val="1"/>
    <w:link w:val="262"/>
    <w:uiPriority w:val="0"/>
    <w:pPr>
      <w:adjustRightInd w:val="0"/>
      <w:spacing w:line="360" w:lineRule="auto"/>
      <w:ind w:firstLine="601"/>
      <w:textAlignment w:val="baseline"/>
    </w:pPr>
    <w:rPr>
      <w:rFonts w:ascii="宋体" w:cs="Times New Roman"/>
      <w:kern w:val="0"/>
      <w:sz w:val="28"/>
      <w:szCs w:val="20"/>
    </w:rPr>
  </w:style>
  <w:style w:type="paragraph" w:styleId="50">
    <w:name w:val="List Continue 5"/>
    <w:basedOn w:val="1"/>
    <w:uiPriority w:val="0"/>
    <w:pPr>
      <w:snapToGrid w:val="0"/>
      <w:spacing w:after="120" w:afterLines="0" w:line="360" w:lineRule="auto"/>
      <w:ind w:left="2100" w:leftChars="1000"/>
      <w:textAlignment w:val="baseline"/>
    </w:pPr>
    <w:rPr>
      <w:rFonts w:eastAsia="仿宋_GB2312"/>
      <w:color w:val="000000"/>
      <w:kern w:val="0"/>
      <w:sz w:val="28"/>
      <w:szCs w:val="20"/>
    </w:rPr>
  </w:style>
  <w:style w:type="paragraph" w:styleId="51">
    <w:name w:val="Balloon Text"/>
    <w:basedOn w:val="1"/>
    <w:link w:val="253"/>
    <w:uiPriority w:val="0"/>
    <w:rPr>
      <w:rFonts w:cs="Times New Roman"/>
      <w:sz w:val="18"/>
      <w:szCs w:val="18"/>
    </w:rPr>
  </w:style>
  <w:style w:type="paragraph" w:styleId="52">
    <w:name w:val="footer"/>
    <w:basedOn w:val="1"/>
    <w:uiPriority w:val="0"/>
    <w:pPr>
      <w:tabs>
        <w:tab w:val="center" w:pos="4153"/>
        <w:tab w:val="right" w:pos="8306"/>
      </w:tabs>
      <w:snapToGrid w:val="0"/>
      <w:jc w:val="left"/>
    </w:pPr>
    <w:rPr>
      <w:sz w:val="18"/>
      <w:szCs w:val="18"/>
    </w:rPr>
  </w:style>
  <w:style w:type="paragraph" w:styleId="53">
    <w:name w:val="envelope return"/>
    <w:basedOn w:val="1"/>
    <w:uiPriority w:val="0"/>
    <w:pPr>
      <w:snapToGrid w:val="0"/>
      <w:spacing w:line="360" w:lineRule="auto"/>
      <w:textAlignment w:val="baseline"/>
    </w:pPr>
    <w:rPr>
      <w:rFonts w:ascii="Arial" w:hAnsi="Arial" w:eastAsia="仿宋_GB2312" w:cs="Arial"/>
      <w:color w:val="000000"/>
      <w:kern w:val="0"/>
      <w:sz w:val="28"/>
      <w:szCs w:val="20"/>
    </w:rPr>
  </w:style>
  <w:style w:type="paragraph" w:styleId="5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link w:val="224"/>
    <w:uiPriority w:val="0"/>
    <w:pPr>
      <w:adjustRightInd w:val="0"/>
      <w:spacing w:after="600" w:afterLines="0" w:line="312" w:lineRule="atLeast"/>
      <w:jc w:val="center"/>
      <w:textAlignment w:val="baseline"/>
    </w:pPr>
    <w:rPr>
      <w:rFonts w:eastAsia="仿宋_GB2312" w:cs="Times New Roman"/>
      <w:kern w:val="0"/>
      <w:sz w:val="24"/>
      <w:szCs w:val="20"/>
    </w:rPr>
  </w:style>
  <w:style w:type="paragraph" w:styleId="56">
    <w:name w:val="toc 1"/>
    <w:basedOn w:val="1"/>
    <w:next w:val="1"/>
    <w:uiPriority w:val="0"/>
  </w:style>
  <w:style w:type="paragraph" w:styleId="57">
    <w:name w:val="List Continue 4"/>
    <w:basedOn w:val="1"/>
    <w:uiPriority w:val="0"/>
    <w:pPr>
      <w:snapToGrid w:val="0"/>
      <w:spacing w:after="120" w:afterLines="0" w:line="360" w:lineRule="auto"/>
      <w:ind w:left="1680" w:leftChars="800"/>
      <w:textAlignment w:val="baseline"/>
    </w:pPr>
    <w:rPr>
      <w:rFonts w:eastAsia="仿宋_GB2312"/>
      <w:color w:val="000000"/>
      <w:kern w:val="0"/>
      <w:sz w:val="28"/>
      <w:szCs w:val="20"/>
    </w:rPr>
  </w:style>
  <w:style w:type="paragraph" w:styleId="58">
    <w:name w:val="toc 4"/>
    <w:basedOn w:val="1"/>
    <w:next w:val="1"/>
    <w:uiPriority w:val="0"/>
    <w:pPr>
      <w:ind w:left="1260" w:leftChars="600"/>
    </w:pPr>
  </w:style>
  <w:style w:type="paragraph" w:styleId="59">
    <w:name w:val="index heading"/>
    <w:basedOn w:val="1"/>
    <w:next w:val="60"/>
    <w:uiPriority w:val="0"/>
    <w:pPr>
      <w:adjustRightInd/>
      <w:ind w:firstLine="200" w:firstLineChars="200"/>
    </w:pPr>
  </w:style>
  <w:style w:type="paragraph" w:styleId="60">
    <w:name w:val="index 1"/>
    <w:basedOn w:val="1"/>
    <w:next w:val="1"/>
    <w:uiPriority w:val="0"/>
    <w:pPr>
      <w:adjustRightInd/>
      <w:spacing w:line="360" w:lineRule="auto"/>
      <w:ind w:firstLine="200" w:firstLineChars="200"/>
      <w:jc w:val="center"/>
    </w:pPr>
    <w:rPr>
      <w:sz w:val="24"/>
      <w:szCs w:val="20"/>
    </w:rPr>
  </w:style>
  <w:style w:type="paragraph" w:styleId="61">
    <w:name w:val="Subtitle"/>
    <w:link w:val="194"/>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62">
    <w:name w:val="List Number 5"/>
    <w:basedOn w:val="1"/>
    <w:uiPriority w:val="0"/>
    <w:pPr>
      <w:tabs>
        <w:tab w:val="left" w:pos="902"/>
      </w:tabs>
      <w:adjustRightInd/>
      <w:spacing w:line="400" w:lineRule="exact"/>
      <w:ind w:left="902" w:hanging="420"/>
    </w:pPr>
    <w:rPr>
      <w:sz w:val="24"/>
      <w:szCs w:val="20"/>
    </w:rPr>
  </w:style>
  <w:style w:type="paragraph" w:styleId="63">
    <w:name w:val="List"/>
    <w:basedOn w:val="1"/>
    <w:uiPriority w:val="0"/>
    <w:pPr>
      <w:ind w:left="200" w:hanging="200" w:hangingChars="200"/>
    </w:pPr>
  </w:style>
  <w:style w:type="paragraph" w:styleId="64">
    <w:name w:val="footnote text"/>
    <w:basedOn w:val="19"/>
    <w:link w:val="234"/>
    <w:uiPriority w:val="0"/>
    <w:pPr>
      <w:adjustRightInd/>
      <w:snapToGrid/>
      <w:spacing w:before="60" w:beforeLines="0" w:after="60" w:afterLines="0" w:line="300" w:lineRule="exact"/>
      <w:ind w:firstLine="0"/>
    </w:pPr>
    <w:rPr>
      <w:rFonts w:ascii="MT Extra" w:cs="Times New Roman"/>
      <w:snapToGrid/>
      <w:color w:val="0000FF"/>
      <w:kern w:val="0"/>
      <w:sz w:val="21"/>
    </w:rPr>
  </w:style>
  <w:style w:type="paragraph" w:styleId="65">
    <w:name w:val="toc 6"/>
    <w:basedOn w:val="1"/>
    <w:next w:val="1"/>
    <w:uiPriority w:val="0"/>
    <w:pPr>
      <w:ind w:left="2100" w:leftChars="1000"/>
    </w:pPr>
  </w:style>
  <w:style w:type="paragraph" w:styleId="66">
    <w:name w:val="List 5"/>
    <w:basedOn w:val="1"/>
    <w:uiPriority w:val="0"/>
    <w:pPr>
      <w:adjustRightInd/>
      <w:ind w:left="100" w:leftChars="800" w:hanging="200" w:hangingChars="200"/>
    </w:pPr>
  </w:style>
  <w:style w:type="paragraph" w:styleId="67">
    <w:name w:val="Body Text Indent 3"/>
    <w:basedOn w:val="1"/>
    <w:link w:val="249"/>
    <w:uiPriority w:val="0"/>
    <w:pPr>
      <w:spacing w:line="360" w:lineRule="auto"/>
      <w:ind w:firstLine="420"/>
    </w:pPr>
    <w:rPr>
      <w:rFonts w:cs="Times New Roman"/>
      <w:sz w:val="24"/>
      <w:szCs w:val="20"/>
    </w:rPr>
  </w:style>
  <w:style w:type="paragraph" w:styleId="68">
    <w:name w:val="index 7"/>
    <w:basedOn w:val="1"/>
    <w:next w:val="1"/>
    <w:uiPriority w:val="0"/>
    <w:pPr>
      <w:adjustRightInd/>
      <w:snapToGrid w:val="0"/>
      <w:ind w:left="2520"/>
    </w:pPr>
    <w:rPr>
      <w:rFonts w:eastAsia="仿宋_GB2312"/>
      <w:color w:val="000000"/>
      <w:sz w:val="28"/>
      <w:szCs w:val="20"/>
    </w:rPr>
  </w:style>
  <w:style w:type="paragraph" w:styleId="69">
    <w:name w:val="index 9"/>
    <w:basedOn w:val="1"/>
    <w:next w:val="1"/>
    <w:uiPriority w:val="0"/>
    <w:pPr>
      <w:adjustRightInd/>
      <w:snapToGrid w:val="0"/>
      <w:ind w:left="3360"/>
    </w:pPr>
    <w:rPr>
      <w:rFonts w:eastAsia="仿宋_GB2312"/>
      <w:color w:val="000000"/>
      <w:sz w:val="28"/>
      <w:szCs w:val="20"/>
    </w:rPr>
  </w:style>
  <w:style w:type="paragraph" w:styleId="70">
    <w:name w:val="table of figures"/>
    <w:basedOn w:val="1"/>
    <w:next w:val="1"/>
    <w:uiPriority w:val="0"/>
    <w:pPr>
      <w:adjustRightInd/>
      <w:snapToGrid w:val="0"/>
      <w:ind w:left="840" w:hanging="420"/>
    </w:pPr>
    <w:rPr>
      <w:rFonts w:eastAsia="仿宋_GB2312"/>
      <w:color w:val="000000"/>
      <w:sz w:val="28"/>
      <w:szCs w:val="20"/>
    </w:rPr>
  </w:style>
  <w:style w:type="paragraph" w:styleId="71">
    <w:name w:val="toc 2"/>
    <w:basedOn w:val="1"/>
    <w:next w:val="1"/>
    <w:uiPriority w:val="0"/>
    <w:pPr>
      <w:ind w:left="420" w:leftChars="200"/>
    </w:pPr>
  </w:style>
  <w:style w:type="paragraph" w:styleId="72">
    <w:name w:val="toc 9"/>
    <w:basedOn w:val="1"/>
    <w:next w:val="1"/>
    <w:uiPriority w:val="0"/>
    <w:pPr>
      <w:ind w:left="3360" w:leftChars="1600"/>
    </w:pPr>
  </w:style>
  <w:style w:type="paragraph" w:styleId="73">
    <w:name w:val="Body Text 2"/>
    <w:basedOn w:val="1"/>
    <w:uiPriority w:val="0"/>
    <w:pPr>
      <w:spacing w:after="120" w:afterLines="0" w:line="480" w:lineRule="auto"/>
    </w:pPr>
  </w:style>
  <w:style w:type="paragraph" w:styleId="74">
    <w:name w:val="List 4"/>
    <w:basedOn w:val="1"/>
    <w:uiPriority w:val="0"/>
    <w:pPr>
      <w:snapToGrid w:val="0"/>
      <w:spacing w:line="360" w:lineRule="auto"/>
      <w:ind w:left="100" w:leftChars="600" w:hanging="200" w:hangingChars="200"/>
      <w:textAlignment w:val="baseline"/>
    </w:pPr>
    <w:rPr>
      <w:rFonts w:eastAsia="仿宋_GB2312"/>
      <w:color w:val="000000"/>
      <w:kern w:val="0"/>
      <w:sz w:val="28"/>
      <w:szCs w:val="20"/>
    </w:rPr>
  </w:style>
  <w:style w:type="paragraph" w:styleId="75">
    <w:name w:val="List Continue 2"/>
    <w:basedOn w:val="1"/>
    <w:uiPriority w:val="0"/>
    <w:pPr>
      <w:snapToGrid w:val="0"/>
      <w:spacing w:after="120" w:afterLines="0" w:line="360" w:lineRule="auto"/>
      <w:ind w:left="840" w:leftChars="400"/>
      <w:textAlignment w:val="baseline"/>
    </w:pPr>
    <w:rPr>
      <w:rFonts w:eastAsia="仿宋_GB2312"/>
      <w:color w:val="000000"/>
      <w:kern w:val="0"/>
      <w:sz w:val="28"/>
      <w:szCs w:val="20"/>
    </w:rPr>
  </w:style>
  <w:style w:type="paragraph" w:styleId="76">
    <w:name w:val="Message Header"/>
    <w:basedOn w:val="1"/>
    <w:link w:val="186"/>
    <w:uiPriority w:val="0"/>
    <w:pPr>
      <w:pBdr>
        <w:top w:val="single" w:color="auto" w:sz="6" w:space="1"/>
        <w:left w:val="single" w:color="auto" w:sz="6" w:space="1"/>
        <w:bottom w:val="single" w:color="auto" w:sz="6" w:space="1"/>
        <w:right w:val="single" w:color="auto" w:sz="6" w:space="1"/>
      </w:pBdr>
      <w:shd w:val="pct20" w:color="auto" w:fill="auto"/>
      <w:snapToGrid w:val="0"/>
      <w:spacing w:line="360" w:lineRule="auto"/>
      <w:ind w:left="1080" w:leftChars="500" w:hanging="1080" w:hangingChars="500"/>
      <w:textAlignment w:val="baseline"/>
    </w:pPr>
    <w:rPr>
      <w:rFonts w:ascii="Arial" w:hAnsi="Arial" w:eastAsia="黑体" w:cs="Times New Roman"/>
      <w:snapToGrid w:val="0"/>
      <w:color w:val="000000"/>
      <w:kern w:val="0"/>
      <w:sz w:val="24"/>
      <w:shd w:val="pct20" w:color="auto" w:fill="auto"/>
    </w:rPr>
  </w:style>
  <w:style w:type="paragraph" w:styleId="77">
    <w:name w:val="HTML Preformatted"/>
    <w:basedOn w:val="1"/>
    <w:link w:val="14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78">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79">
    <w:name w:val="List Continue 3"/>
    <w:basedOn w:val="1"/>
    <w:uiPriority w:val="0"/>
    <w:pPr>
      <w:snapToGrid w:val="0"/>
      <w:spacing w:after="120" w:afterLines="0" w:line="360" w:lineRule="auto"/>
      <w:ind w:left="1260" w:leftChars="600"/>
      <w:textAlignment w:val="baseline"/>
    </w:pPr>
    <w:rPr>
      <w:rFonts w:eastAsia="仿宋_GB2312"/>
      <w:color w:val="000000"/>
      <w:kern w:val="0"/>
      <w:sz w:val="28"/>
      <w:szCs w:val="20"/>
    </w:rPr>
  </w:style>
  <w:style w:type="paragraph" w:styleId="80">
    <w:name w:val="index 2"/>
    <w:basedOn w:val="1"/>
    <w:next w:val="1"/>
    <w:uiPriority w:val="0"/>
    <w:pPr>
      <w:adjustRightInd/>
      <w:snapToGrid w:val="0"/>
      <w:ind w:left="420"/>
    </w:pPr>
    <w:rPr>
      <w:rFonts w:eastAsia="仿宋_GB2312"/>
      <w:color w:val="000000"/>
      <w:sz w:val="28"/>
      <w:szCs w:val="20"/>
    </w:rPr>
  </w:style>
  <w:style w:type="paragraph" w:styleId="8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82">
    <w:name w:val="annotation subject"/>
    <w:basedOn w:val="26"/>
    <w:next w:val="26"/>
    <w:uiPriority w:val="0"/>
    <w:rPr>
      <w:b/>
      <w:bCs/>
    </w:rPr>
  </w:style>
  <w:style w:type="paragraph" w:styleId="83">
    <w:name w:val="Body Text First Indent"/>
    <w:basedOn w:val="32"/>
    <w:link w:val="144"/>
    <w:uiPriority w:val="0"/>
    <w:pPr>
      <w:ind w:firstLine="420"/>
    </w:pPr>
    <w:rPr>
      <w:rFonts w:hAnsi="MT Extra" w:cs="Times New Roman"/>
      <w:snapToGrid/>
      <w:szCs w:val="20"/>
    </w:rPr>
  </w:style>
  <w:style w:type="paragraph" w:styleId="84">
    <w:name w:val="Body Text First Indent 2"/>
    <w:basedOn w:val="33"/>
    <w:link w:val="179"/>
    <w:uiPriority w:val="0"/>
    <w:pPr>
      <w:adjustRightInd/>
      <w:spacing w:after="120" w:afterLines="0" w:line="240" w:lineRule="auto"/>
      <w:ind w:left="420" w:leftChars="200" w:firstLine="210"/>
    </w:pPr>
    <w:rPr>
      <w:sz w:val="21"/>
    </w:rPr>
  </w:style>
  <w:style w:type="character" w:styleId="87">
    <w:name w:val="Strong"/>
    <w:qFormat/>
    <w:uiPriority w:val="0"/>
    <w:rPr>
      <w:b/>
      <w:bCs/>
    </w:rPr>
  </w:style>
  <w:style w:type="character" w:styleId="88">
    <w:name w:val="page number"/>
    <w:basedOn w:val="86"/>
    <w:uiPriority w:val="0"/>
  </w:style>
  <w:style w:type="character" w:styleId="89">
    <w:name w:val="FollowedHyperlink"/>
    <w:uiPriority w:val="0"/>
    <w:rPr>
      <w:rFonts w:ascii="Arial" w:hAnsi="Arial" w:eastAsia="黑体" w:cs="Arial"/>
      <w:snapToGrid w:val="0"/>
      <w:color w:val="000000"/>
      <w:kern w:val="0"/>
      <w:sz w:val="18"/>
      <w:szCs w:val="18"/>
      <w:u w:val="none"/>
    </w:rPr>
  </w:style>
  <w:style w:type="character" w:styleId="90">
    <w:name w:val="Emphasis"/>
    <w:qFormat/>
    <w:uiPriority w:val="0"/>
    <w:rPr>
      <w:color w:val="CC0033"/>
    </w:rPr>
  </w:style>
  <w:style w:type="character" w:styleId="91">
    <w:name w:val="line number"/>
    <w:basedOn w:val="86"/>
    <w:uiPriority w:val="0"/>
  </w:style>
  <w:style w:type="character" w:styleId="92">
    <w:name w:val="HTML Definition"/>
    <w:uiPriority w:val="0"/>
    <w:rPr>
      <w:i/>
      <w:iCs/>
    </w:rPr>
  </w:style>
  <w:style w:type="character" w:styleId="93">
    <w:name w:val="HTML Typewriter"/>
    <w:uiPriority w:val="0"/>
    <w:rPr>
      <w:rFonts w:ascii="Courier New" w:hAnsi="Courier New" w:cs="Courier New"/>
      <w:sz w:val="20"/>
      <w:szCs w:val="20"/>
    </w:rPr>
  </w:style>
  <w:style w:type="character" w:styleId="94">
    <w:name w:val="HTML Acronym"/>
    <w:uiPriority w:val="0"/>
  </w:style>
  <w:style w:type="character" w:styleId="95">
    <w:name w:val="HTML Variable"/>
    <w:uiPriority w:val="0"/>
    <w:rPr>
      <w:i/>
      <w:iCs/>
    </w:rPr>
  </w:style>
  <w:style w:type="character" w:styleId="96">
    <w:name w:val="Hyperlink"/>
    <w:uiPriority w:val="0"/>
    <w:rPr>
      <w:rFonts w:ascii="Arial" w:hAnsi="Arial" w:eastAsia="黑体" w:cs="Arial"/>
      <w:snapToGrid w:val="0"/>
      <w:color w:val="000000"/>
      <w:kern w:val="0"/>
      <w:sz w:val="18"/>
      <w:szCs w:val="18"/>
      <w:u w:val="none"/>
    </w:rPr>
  </w:style>
  <w:style w:type="character" w:styleId="97">
    <w:name w:val="HTML Code"/>
    <w:uiPriority w:val="0"/>
    <w:rPr>
      <w:rFonts w:ascii="黑体" w:hAnsi="Courier New" w:eastAsia="黑体" w:cs="楷体_GB2312"/>
      <w:sz w:val="20"/>
      <w:szCs w:val="20"/>
    </w:rPr>
  </w:style>
  <w:style w:type="character" w:styleId="98">
    <w:name w:val="annotation reference"/>
    <w:uiPriority w:val="0"/>
    <w:rPr>
      <w:sz w:val="21"/>
      <w:szCs w:val="21"/>
    </w:rPr>
  </w:style>
  <w:style w:type="character" w:styleId="99">
    <w:name w:val="HTML Cite"/>
    <w:uiPriority w:val="0"/>
    <w:rPr>
      <w:i/>
      <w:iCs/>
    </w:rPr>
  </w:style>
  <w:style w:type="character" w:styleId="100">
    <w:name w:val="footnote reference"/>
    <w:uiPriority w:val="0"/>
    <w:rPr>
      <w:rFonts w:ascii="Arial" w:hAnsi="Arial" w:eastAsia="黑体" w:cs="Arial"/>
      <w:snapToGrid w:val="0"/>
      <w:kern w:val="0"/>
      <w:szCs w:val="21"/>
      <w:vertAlign w:val="superscript"/>
    </w:rPr>
  </w:style>
  <w:style w:type="character" w:styleId="101">
    <w:name w:val="HTML Keyboard"/>
    <w:uiPriority w:val="0"/>
    <w:rPr>
      <w:rFonts w:ascii="Courier New" w:hAnsi="Courier New" w:cs="Courier New"/>
      <w:sz w:val="20"/>
      <w:szCs w:val="20"/>
    </w:rPr>
  </w:style>
  <w:style w:type="character" w:styleId="102">
    <w:name w:val="HTML Sample"/>
    <w:uiPriority w:val="0"/>
    <w:rPr>
      <w:rFonts w:ascii="Courier New" w:hAnsi="Courier New" w:cs="Courier New"/>
    </w:rPr>
  </w:style>
  <w:style w:type="character" w:customStyle="1" w:styleId="103">
    <w:name w:val="Style 正文（首行缩进）2 + First line:  2 ch Char"/>
    <w:link w:val="104"/>
    <w:uiPriority w:val="0"/>
    <w:rPr>
      <w:rFonts w:ascii="Arial" w:hAnsi="Arial"/>
      <w:sz w:val="24"/>
    </w:rPr>
  </w:style>
  <w:style w:type="paragraph" w:customStyle="1" w:styleId="104">
    <w:name w:val="Style 正文（首行缩进）2 + First line:  2 ch"/>
    <w:basedOn w:val="1"/>
    <w:link w:val="103"/>
    <w:uiPriority w:val="0"/>
    <w:pPr>
      <w:widowControl/>
      <w:adjustRightInd/>
      <w:spacing w:before="100" w:beforeLines="0" w:beforeAutospacing="1" w:after="100" w:afterLines="0" w:afterAutospacing="1" w:line="300" w:lineRule="auto"/>
      <w:ind w:firstLine="480" w:firstLineChars="200"/>
      <w:jc w:val="left"/>
    </w:pPr>
    <w:rPr>
      <w:rFonts w:ascii="Arial" w:hAnsi="Arial" w:cs="Times New Roman"/>
      <w:kern w:val="0"/>
      <w:sz w:val="24"/>
      <w:szCs w:val="20"/>
    </w:rPr>
  </w:style>
  <w:style w:type="character" w:customStyle="1" w:styleId="105">
    <w:name w:val="样式6 Char"/>
    <w:uiPriority w:val="0"/>
    <w:rPr>
      <w:rFonts w:ascii="仿宋_GB2312" w:hAnsi="宋体" w:eastAsia="仿宋_GB2312"/>
      <w:b/>
      <w:bCs/>
      <w:kern w:val="2"/>
      <w:sz w:val="24"/>
      <w:szCs w:val="24"/>
      <w:lang w:val="en-US" w:eastAsia="zh-CN" w:bidi="ar-SA"/>
    </w:rPr>
  </w:style>
  <w:style w:type="character" w:customStyle="1" w:styleId="106">
    <w:name w:val="Char Char3"/>
    <w:uiPriority w:val="0"/>
    <w:rPr>
      <w:rFonts w:ascii="Times New Roman" w:hAnsi="Times New Roman" w:eastAsia="宋体" w:cs="Times New Roman"/>
      <w:b/>
      <w:kern w:val="2"/>
      <w:sz w:val="32"/>
      <w:szCs w:val="24"/>
      <w:lang w:val="en-US" w:eastAsia="zh-CN" w:bidi="ar-SA"/>
    </w:rPr>
  </w:style>
  <w:style w:type="character" w:customStyle="1" w:styleId="107">
    <w:name w:val="标准正文格式 Char"/>
    <w:uiPriority w:val="0"/>
    <w:rPr>
      <w:rFonts w:ascii="宋体" w:eastAsia="仿宋_GB2312" w:cs="宋体"/>
      <w:color w:val="000000"/>
      <w:sz w:val="24"/>
      <w:lang w:val="en-US" w:eastAsia="zh-CN" w:bidi="ar-SA"/>
    </w:rPr>
  </w:style>
  <w:style w:type="character" w:customStyle="1" w:styleId="108">
    <w:name w:val="zbggmain style9"/>
    <w:uiPriority w:val="0"/>
  </w:style>
  <w:style w:type="character" w:customStyle="1" w:styleId="109">
    <w:name w:val="普通文字 Char1 Char"/>
    <w:uiPriority w:val="0"/>
    <w:rPr>
      <w:rFonts w:ascii="宋体" w:hAnsi="Courier New" w:eastAsia="宋体"/>
      <w:kern w:val="2"/>
      <w:sz w:val="21"/>
      <w:szCs w:val="24"/>
      <w:lang w:val="en-US" w:eastAsia="zh-CN" w:bidi="ar-SA"/>
    </w:rPr>
  </w:style>
  <w:style w:type="character" w:customStyle="1" w:styleId="110">
    <w:name w:val="b11_01b Char"/>
    <w:link w:val="111"/>
    <w:uiPriority w:val="0"/>
    <w:rPr>
      <w:rFonts w:ascii="Verdana" w:hAnsi="Verdana"/>
      <w:b/>
      <w:bCs/>
      <w:color w:val="4A82CA"/>
      <w:sz w:val="17"/>
      <w:szCs w:val="17"/>
    </w:rPr>
  </w:style>
  <w:style w:type="paragraph" w:customStyle="1" w:styleId="111">
    <w:name w:val="b11_01b"/>
    <w:basedOn w:val="1"/>
    <w:next w:val="1"/>
    <w:link w:val="110"/>
    <w:uiPriority w:val="0"/>
    <w:pPr>
      <w:widowControl/>
      <w:adjustRightInd/>
      <w:spacing w:before="100" w:beforeLines="0" w:beforeAutospacing="1" w:after="100" w:afterLines="0" w:afterAutospacing="1" w:line="384" w:lineRule="auto"/>
      <w:jc w:val="left"/>
    </w:pPr>
    <w:rPr>
      <w:rFonts w:ascii="Verdana" w:hAnsi="Verdana" w:cs="Times New Roman"/>
      <w:b/>
      <w:bCs/>
      <w:color w:val="4A82CA"/>
      <w:kern w:val="0"/>
      <w:sz w:val="17"/>
      <w:szCs w:val="17"/>
    </w:rPr>
  </w:style>
  <w:style w:type="character" w:customStyle="1" w:styleId="112">
    <w:name w:val="highlight1"/>
    <w:uiPriority w:val="0"/>
    <w:rPr>
      <w:rFonts w:ascii="仿宋_GB2312" w:eastAsia="微软雅黑"/>
      <w:b/>
      <w:kern w:val="2"/>
      <w:sz w:val="23"/>
      <w:szCs w:val="23"/>
      <w:lang w:val="en-US" w:eastAsia="zh-CN" w:bidi="ar-SA"/>
    </w:rPr>
  </w:style>
  <w:style w:type="character" w:customStyle="1" w:styleId="113">
    <w:name w:val=" Char Char"/>
    <w:uiPriority w:val="0"/>
    <w:rPr>
      <w:rFonts w:ascii="宋体" w:hAnsi="Courier New" w:eastAsia="宋体"/>
      <w:kern w:val="2"/>
      <w:sz w:val="21"/>
      <w:lang w:val="en-US" w:eastAsia="zh-CN" w:bidi="ar-SA"/>
    </w:rPr>
  </w:style>
  <w:style w:type="character" w:customStyle="1" w:styleId="114">
    <w:name w:val="冯广丽 Char"/>
    <w:link w:val="115"/>
    <w:uiPriority w:val="0"/>
    <w:rPr>
      <w:rFonts w:ascii="宋体" w:hAnsi="宋体"/>
      <w:kern w:val="2"/>
      <w:sz w:val="24"/>
      <w:szCs w:val="22"/>
    </w:rPr>
  </w:style>
  <w:style w:type="paragraph" w:customStyle="1" w:styleId="115">
    <w:name w:val="冯广丽"/>
    <w:basedOn w:val="1"/>
    <w:link w:val="114"/>
    <w:uiPriority w:val="0"/>
    <w:pPr>
      <w:adjustRightInd/>
      <w:spacing w:line="360" w:lineRule="auto"/>
      <w:ind w:firstLine="480" w:firstLineChars="200"/>
    </w:pPr>
    <w:rPr>
      <w:rFonts w:ascii="宋体" w:hAnsi="宋体" w:cs="Times New Roman"/>
      <w:sz w:val="24"/>
      <w:szCs w:val="22"/>
    </w:rPr>
  </w:style>
  <w:style w:type="character" w:customStyle="1" w:styleId="116">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17">
    <w:name w:val="正文（首行缩进） Char"/>
    <w:link w:val="118"/>
    <w:uiPriority w:val="0"/>
    <w:rPr>
      <w:spacing w:val="10"/>
      <w:sz w:val="24"/>
    </w:rPr>
  </w:style>
  <w:style w:type="paragraph" w:customStyle="1" w:styleId="118">
    <w:name w:val="正文（首行缩进）"/>
    <w:basedOn w:val="33"/>
    <w:link w:val="117"/>
    <w:uiPriority w:val="0"/>
    <w:pPr>
      <w:widowControl/>
      <w:tabs>
        <w:tab w:val="left" w:pos="840"/>
      </w:tabs>
      <w:overflowPunct w:val="0"/>
      <w:autoSpaceDE w:val="0"/>
      <w:autoSpaceDN w:val="0"/>
      <w:spacing w:before="156" w:beforeLines="50" w:after="120" w:afterLines="0" w:line="400" w:lineRule="exact"/>
      <w:ind w:left="200" w:leftChars="200" w:firstLine="200"/>
      <w:jc w:val="left"/>
      <w:textAlignment w:val="baseline"/>
    </w:pPr>
    <w:rPr>
      <w:rFonts w:ascii="MT Extra" w:hAnsi="MT Extra"/>
      <w:spacing w:val="10"/>
      <w:kern w:val="0"/>
      <w:szCs w:val="20"/>
    </w:rPr>
  </w:style>
  <w:style w:type="character" w:customStyle="1" w:styleId="119">
    <w:name w:val="Document Map Char"/>
    <w:uiPriority w:val="0"/>
    <w:rPr>
      <w:rFonts w:eastAsia="宋体"/>
      <w:kern w:val="2"/>
      <w:sz w:val="21"/>
      <w:szCs w:val="24"/>
      <w:lang w:val="en-US" w:eastAsia="zh-CN" w:bidi="ar-SA"/>
    </w:rPr>
  </w:style>
  <w:style w:type="character" w:customStyle="1" w:styleId="120">
    <w:name w:val="标题 4 Char"/>
    <w:link w:val="5"/>
    <w:uiPriority w:val="0"/>
    <w:rPr>
      <w:rFonts w:ascii="Arial" w:hAnsi="Arial" w:eastAsia="黑体"/>
      <w:b/>
      <w:bCs/>
      <w:kern w:val="2"/>
      <w:sz w:val="28"/>
      <w:szCs w:val="28"/>
      <w:lang w:val="zh-CN"/>
    </w:rPr>
  </w:style>
  <w:style w:type="character" w:customStyle="1" w:styleId="121">
    <w:name w:val="样式 宋体"/>
    <w:uiPriority w:val="0"/>
    <w:rPr>
      <w:rFonts w:ascii="宋体" w:hAnsi="宋体"/>
      <w:sz w:val="24"/>
    </w:rPr>
  </w:style>
  <w:style w:type="character" w:customStyle="1" w:styleId="122">
    <w:name w:val="标题 1 Char1"/>
    <w:uiPriority w:val="0"/>
    <w:rPr>
      <w:b/>
      <w:bCs/>
      <w:color w:val="000000"/>
    </w:rPr>
  </w:style>
  <w:style w:type="character" w:customStyle="1" w:styleId="123">
    <w:name w:val="pt9"/>
    <w:uiPriority w:val="0"/>
    <w:rPr>
      <w:rFonts w:ascii="仿宋_GB2312" w:eastAsia="微软雅黑"/>
      <w:b/>
      <w:kern w:val="2"/>
      <w:sz w:val="32"/>
      <w:szCs w:val="32"/>
      <w:lang w:val="en-US" w:eastAsia="zh-CN" w:bidi="ar-SA"/>
    </w:rPr>
  </w:style>
  <w:style w:type="character" w:customStyle="1" w:styleId="124">
    <w:name w:val="标题 1 Char"/>
    <w:link w:val="2"/>
    <w:uiPriority w:val="0"/>
    <w:rPr>
      <w:b/>
      <w:bCs/>
      <w:kern w:val="44"/>
      <w:sz w:val="44"/>
      <w:szCs w:val="44"/>
    </w:rPr>
  </w:style>
  <w:style w:type="character" w:customStyle="1" w:styleId="125">
    <w:name w:val="myp1111"/>
    <w:uiPriority w:val="0"/>
    <w:rPr>
      <w:rFonts w:hint="default" w:ascii="ˎ̥" w:hAnsi="ˎ̥"/>
      <w:color w:val="000000"/>
      <w:sz w:val="20"/>
      <w:szCs w:val="20"/>
      <w:u w:val="none"/>
    </w:rPr>
  </w:style>
  <w:style w:type="character" w:customStyle="1" w:styleId="126">
    <w:name w:val="正文首行缩进 Char Char Char Char Char Char"/>
    <w:uiPriority w:val="0"/>
    <w:rPr>
      <w:rFonts w:ascii="宋体" w:eastAsia="宋体"/>
      <w:kern w:val="2"/>
      <w:sz w:val="24"/>
      <w:lang w:val="zh-CN" w:bidi="ar-SA"/>
    </w:rPr>
  </w:style>
  <w:style w:type="character" w:customStyle="1" w:styleId="127">
    <w:name w:val="Char Char2"/>
    <w:uiPriority w:val="0"/>
    <w:rPr>
      <w:rFonts w:eastAsia="宋体"/>
      <w:b/>
      <w:bCs/>
      <w:kern w:val="2"/>
      <w:sz w:val="21"/>
      <w:szCs w:val="24"/>
      <w:lang w:val="en-US" w:eastAsia="zh-CN" w:bidi="ar-SA"/>
    </w:rPr>
  </w:style>
  <w:style w:type="character" w:customStyle="1" w:styleId="128">
    <w:name w:val="myp11"/>
    <w:uiPriority w:val="0"/>
    <w:rPr>
      <w:rFonts w:ascii="仿宋_GB2312" w:eastAsia="微软雅黑"/>
      <w:b/>
      <w:kern w:val="2"/>
      <w:sz w:val="32"/>
      <w:szCs w:val="32"/>
      <w:lang w:val="en-US" w:eastAsia="zh-CN" w:bidi="ar-SA"/>
    </w:rPr>
  </w:style>
  <w:style w:type="character" w:customStyle="1" w:styleId="129">
    <w:name w:val="标题 1 Char Char"/>
    <w:uiPriority w:val="0"/>
    <w:rPr>
      <w:rFonts w:hint="eastAsia" w:ascii="宋体" w:hAnsi="宋体" w:eastAsia="宋体"/>
      <w:b/>
      <w:spacing w:val="-2"/>
      <w:sz w:val="24"/>
      <w:lang w:val="en-US" w:eastAsia="zh-CN" w:bidi="ar-SA"/>
    </w:rPr>
  </w:style>
  <w:style w:type="character" w:customStyle="1" w:styleId="130">
    <w:name w:val="message1"/>
    <w:uiPriority w:val="0"/>
    <w:rPr>
      <w:rFonts w:hint="default" w:ascii="Tahoma" w:hAnsi="Tahoma" w:cs="Tahoma"/>
      <w:sz w:val="18"/>
      <w:szCs w:val="18"/>
    </w:rPr>
  </w:style>
  <w:style w:type="character" w:customStyle="1" w:styleId="131">
    <w:name w:val="blue1"/>
    <w:basedOn w:val="86"/>
    <w:uiPriority w:val="0"/>
  </w:style>
  <w:style w:type="character" w:customStyle="1" w:styleId="132">
    <w:name w:val="DO_NOT_TRANSLATE"/>
    <w:uiPriority w:val="0"/>
    <w:rPr>
      <w:rFonts w:ascii="Courier New" w:hAnsi="Courier New" w:cs="Courier New"/>
      <w:color w:val="800000"/>
      <w:lang/>
    </w:rPr>
  </w:style>
  <w:style w:type="character" w:customStyle="1" w:styleId="133">
    <w:name w:val="Item List Char Char"/>
    <w:uiPriority w:val="0"/>
    <w:rPr>
      <w:rFonts w:ascii="Arial" w:hAnsi="Arial" w:eastAsia="黑体" w:cs="Arial"/>
      <w:bCs/>
      <w:snapToGrid w:val="0"/>
      <w:kern w:val="0"/>
      <w:sz w:val="21"/>
      <w:szCs w:val="21"/>
    </w:rPr>
  </w:style>
  <w:style w:type="character" w:customStyle="1" w:styleId="134">
    <w:name w:val="正文缩进 Char3"/>
    <w:uiPriority w:val="0"/>
    <w:rPr>
      <w:rFonts w:ascii="宋体" w:eastAsia="宋体"/>
      <w:snapToGrid w:val="0"/>
      <w:color w:val="000000"/>
      <w:kern w:val="28"/>
      <w:sz w:val="28"/>
      <w:lang w:val="en-US" w:eastAsia="zh-CN" w:bidi="ar-SA"/>
    </w:rPr>
  </w:style>
  <w:style w:type="character" w:customStyle="1" w:styleId="135">
    <w:name w:val="正文文本 3 Char"/>
    <w:link w:val="29"/>
    <w:uiPriority w:val="0"/>
    <w:rPr>
      <w:kern w:val="2"/>
      <w:sz w:val="21"/>
    </w:rPr>
  </w:style>
  <w:style w:type="character" w:customStyle="1" w:styleId="136">
    <w:name w:val="纯文本 Char_0"/>
    <w:link w:val="137"/>
    <w:uiPriority w:val="0"/>
    <w:rPr>
      <w:rFonts w:ascii="宋体" w:hAnsi="Courier New"/>
      <w:kern w:val="2"/>
      <w:sz w:val="21"/>
      <w:szCs w:val="21"/>
      <w:lang/>
    </w:rPr>
  </w:style>
  <w:style w:type="paragraph" w:customStyle="1" w:styleId="137">
    <w:name w:val="纯文本_0_0"/>
    <w:basedOn w:val="138"/>
    <w:link w:val="136"/>
    <w:uiPriority w:val="0"/>
    <w:rPr>
      <w:rFonts w:ascii="宋体" w:hAnsi="Courier New" w:cs="Times New Roman"/>
      <w:szCs w:val="21"/>
      <w:lang/>
    </w:rPr>
  </w:style>
  <w:style w:type="paragraph" w:customStyle="1" w:styleId="138">
    <w:name w:val="正文_1_0"/>
    <w:uiPriority w:val="0"/>
    <w:pPr>
      <w:widowControl w:val="0"/>
      <w:jc w:val="both"/>
    </w:pPr>
    <w:rPr>
      <w:kern w:val="2"/>
      <w:sz w:val="21"/>
      <w:szCs w:val="24"/>
      <w:lang w:val="en-US" w:eastAsia="zh-CN" w:bidi="ar-SA"/>
    </w:rPr>
  </w:style>
  <w:style w:type="character" w:customStyle="1" w:styleId="139">
    <w:name w:val="pt141"/>
    <w:uiPriority w:val="0"/>
    <w:rPr>
      <w:color w:val="330066"/>
      <w:sz w:val="22"/>
      <w:szCs w:val="22"/>
    </w:rPr>
  </w:style>
  <w:style w:type="character" w:customStyle="1" w:styleId="140">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41">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42">
    <w:name w:val="Char Char11"/>
    <w:uiPriority w:val="0"/>
    <w:rPr>
      <w:rFonts w:ascii="宋体" w:hAnsi="宋体" w:eastAsia="宋体"/>
      <w:b/>
      <w:kern w:val="2"/>
      <w:sz w:val="24"/>
      <w:szCs w:val="24"/>
      <w:lang w:val="en-US" w:eastAsia="zh-CN" w:bidi="ar-SA"/>
    </w:rPr>
  </w:style>
  <w:style w:type="character" w:customStyle="1" w:styleId="143">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144">
    <w:name w:val="正文首行缩进 Char"/>
    <w:link w:val="83"/>
    <w:uiPriority w:val="0"/>
    <w:rPr>
      <w:rFonts w:ascii="宋体"/>
      <w:kern w:val="2"/>
      <w:sz w:val="24"/>
      <w:lang w:val="zh-CN"/>
    </w:rPr>
  </w:style>
  <w:style w:type="character" w:customStyle="1" w:styleId="145">
    <w:name w:val="标题 9 Char"/>
    <w:link w:val="10"/>
    <w:uiPriority w:val="0"/>
    <w:rPr>
      <w:rFonts w:ascii="Arial" w:hAnsi="Arial" w:eastAsia="黑体"/>
      <w:kern w:val="2"/>
      <w:sz w:val="21"/>
      <w:szCs w:val="21"/>
    </w:rPr>
  </w:style>
  <w:style w:type="character" w:customStyle="1" w:styleId="146">
    <w:name w:val="公文正文 Char"/>
    <w:uiPriority w:val="0"/>
    <w:rPr>
      <w:rFonts w:ascii="仿宋_GB2312" w:eastAsia="仿宋_GB2312"/>
      <w:kern w:val="2"/>
      <w:sz w:val="24"/>
      <w:szCs w:val="24"/>
      <w:lang w:val="en-US" w:eastAsia="zh-CN" w:bidi="ar-SA"/>
    </w:rPr>
  </w:style>
  <w:style w:type="character" w:customStyle="1" w:styleId="147">
    <w:name w:val="HTML 预设格式 Char"/>
    <w:link w:val="77"/>
    <w:uiPriority w:val="0"/>
    <w:rPr>
      <w:rFonts w:ascii="黑体" w:hAnsi="Courier New" w:eastAsia="黑体"/>
    </w:rPr>
  </w:style>
  <w:style w:type="character" w:customStyle="1" w:styleId="148">
    <w:name w:val="表格非标题文字 Char"/>
    <w:link w:val="149"/>
    <w:uiPriority w:val="0"/>
    <w:rPr>
      <w:rFonts w:ascii="Futura Bk" w:hAnsi="Futura Bk"/>
      <w:kern w:val="2"/>
      <w:sz w:val="18"/>
      <w:szCs w:val="21"/>
      <w:lang w:val="en-US" w:eastAsia="zh-CN" w:bidi="ar-SA"/>
    </w:rPr>
  </w:style>
  <w:style w:type="paragraph" w:customStyle="1" w:styleId="149">
    <w:name w:val="表格非标题文字"/>
    <w:link w:val="148"/>
    <w:uiPriority w:val="0"/>
    <w:pPr>
      <w:snapToGrid w:val="0"/>
      <w:spacing w:before="80" w:after="40"/>
    </w:pPr>
    <w:rPr>
      <w:rFonts w:ascii="Futura Bk" w:hAnsi="Futura Bk"/>
      <w:kern w:val="2"/>
      <w:sz w:val="18"/>
      <w:szCs w:val="21"/>
      <w:lang w:val="en-US" w:eastAsia="zh-CN" w:bidi="ar-SA"/>
    </w:rPr>
  </w:style>
  <w:style w:type="character" w:customStyle="1" w:styleId="150">
    <w:name w:val="shadow11"/>
    <w:uiPriority w:val="0"/>
    <w:rPr>
      <w:color w:val="000000"/>
      <w:sz w:val="21"/>
    </w:rPr>
  </w:style>
  <w:style w:type="character" w:customStyle="1" w:styleId="151">
    <w:name w:val="Bold"/>
    <w:aliases w:val="b"/>
    <w:uiPriority w:val="0"/>
    <w:rPr>
      <w:rFonts w:ascii="Arial" w:hAnsi="Arial" w:eastAsia="黑体" w:cs="Times New Roman"/>
      <w:b/>
      <w:kern w:val="2"/>
      <w:sz w:val="32"/>
      <w:szCs w:val="32"/>
      <w:lang w:val="en-US" w:eastAsia="zh-CN" w:bidi="ar-SA"/>
    </w:rPr>
  </w:style>
  <w:style w:type="character" w:customStyle="1" w:styleId="152">
    <w:name w:val="批注主题 Char"/>
    <w:uiPriority w:val="0"/>
    <w:rPr>
      <w:rFonts w:eastAsia="宋体"/>
      <w:b/>
      <w:bCs/>
      <w:kern w:val="2"/>
      <w:sz w:val="21"/>
      <w:szCs w:val="24"/>
      <w:lang w:val="en-US" w:eastAsia="zh-CN" w:bidi="ar-SA"/>
    </w:rPr>
  </w:style>
  <w:style w:type="character" w:customStyle="1" w:styleId="153">
    <w:name w:val="标题 5 Char"/>
    <w:link w:val="6"/>
    <w:uiPriority w:val="0"/>
    <w:rPr>
      <w:b/>
      <w:bCs/>
      <w:kern w:val="2"/>
      <w:sz w:val="28"/>
      <w:szCs w:val="28"/>
    </w:rPr>
  </w:style>
  <w:style w:type="character" w:customStyle="1" w:styleId="154">
    <w:name w:val="px14"/>
    <w:uiPriority w:val="0"/>
    <w:rPr>
      <w:rFonts w:ascii="仿宋_GB2312" w:eastAsia="微软雅黑" w:cs="Times New Roman"/>
      <w:b/>
      <w:kern w:val="2"/>
      <w:sz w:val="32"/>
      <w:szCs w:val="32"/>
      <w:lang w:val="en-US" w:eastAsia="zh-CN" w:bidi="ar-SA"/>
    </w:rPr>
  </w:style>
  <w:style w:type="character" w:customStyle="1" w:styleId="155">
    <w:name w:val="big1"/>
    <w:uiPriority w:val="0"/>
    <w:rPr>
      <w:rFonts w:hint="eastAsia" w:ascii="宋体" w:hAnsi="宋体" w:eastAsia="宋体"/>
      <w:color w:val="333333"/>
      <w:sz w:val="22"/>
      <w:szCs w:val="22"/>
    </w:rPr>
  </w:style>
  <w:style w:type="character" w:customStyle="1" w:styleId="156">
    <w:name w:val="哈哈正文 Char"/>
    <w:link w:val="157"/>
    <w:uiPriority w:val="0"/>
    <w:rPr>
      <w:rFonts w:ascii="宋体" w:hAnsi="宋体" w:eastAsia="宋体"/>
      <w:kern w:val="2"/>
      <w:sz w:val="24"/>
      <w:lang w:bidi="ar-SA"/>
    </w:rPr>
  </w:style>
  <w:style w:type="paragraph" w:customStyle="1" w:styleId="157">
    <w:name w:val="哈哈正文"/>
    <w:basedOn w:val="1"/>
    <w:link w:val="156"/>
    <w:uiPriority w:val="0"/>
    <w:pPr>
      <w:adjustRightInd/>
      <w:spacing w:line="360" w:lineRule="auto"/>
      <w:ind w:firstLine="200" w:firstLineChars="200"/>
    </w:pPr>
    <w:rPr>
      <w:rFonts w:ascii="宋体" w:hAnsi="宋体"/>
      <w:sz w:val="24"/>
      <w:szCs w:val="20"/>
    </w:rPr>
  </w:style>
  <w:style w:type="character" w:customStyle="1" w:styleId="158">
    <w:name w:val="Comment Text Char"/>
    <w:uiPriority w:val="0"/>
    <w:rPr>
      <w:rFonts w:ascii="宋体" w:hAnsi="宋体" w:eastAsia="宋体"/>
      <w:kern w:val="2"/>
      <w:sz w:val="24"/>
      <w:lang w:val="en-US" w:eastAsia="zh-CN" w:bidi="ar-SA"/>
    </w:rPr>
  </w:style>
  <w:style w:type="character" w:customStyle="1" w:styleId="159">
    <w:name w:val="带编号样式 Char"/>
    <w:uiPriority w:val="0"/>
    <w:rPr>
      <w:rFonts w:ascii="仿宋_GB2312" w:eastAsia="仿宋_GB2312"/>
      <w:color w:val="000000"/>
      <w:sz w:val="24"/>
      <w:lang w:bidi="ar-SA"/>
    </w:rPr>
  </w:style>
  <w:style w:type="character" w:customStyle="1" w:styleId="160">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61">
    <w:name w:val="样式 样式 标题 4h4H4Fab-4T5Ref Heading 1rh1Heading sqlsect 1.2.3.... +... Char"/>
    <w:link w:val="162"/>
    <w:uiPriority w:val="0"/>
    <w:rPr>
      <w:rFonts w:ascii="微软雅黑" w:hAnsi="微软雅黑" w:eastAsia="微软雅黑"/>
      <w:b/>
      <w:bCs/>
      <w:kern w:val="2"/>
      <w:sz w:val="24"/>
      <w:szCs w:val="28"/>
    </w:rPr>
  </w:style>
  <w:style w:type="paragraph" w:customStyle="1" w:styleId="162">
    <w:name w:val="样式 样式 标题 4h4H4Fab-4T5Ref Heading 1rh1Heading sqlsect 1.2.3.... +..."/>
    <w:basedOn w:val="163"/>
    <w:link w:val="161"/>
    <w:uiPriority w:val="0"/>
    <w:pPr>
      <w:tabs>
        <w:tab w:val="left" w:pos="2356"/>
      </w:tabs>
    </w:pPr>
  </w:style>
  <w:style w:type="paragraph" w:customStyle="1" w:styleId="163">
    <w:name w:val="样式 标题 4h4H4Fab-4T5Ref Heading 1rh1Heading sqlsect 1.2.3...."/>
    <w:basedOn w:val="5"/>
    <w:link w:val="270"/>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64">
    <w:name w:val="headline-content3"/>
    <w:uiPriority w:val="0"/>
  </w:style>
  <w:style w:type="character" w:customStyle="1" w:styleId="165">
    <w:name w:val="批注文字 Char1"/>
    <w:link w:val="26"/>
    <w:uiPriority w:val="0"/>
    <w:rPr>
      <w:kern w:val="2"/>
      <w:sz w:val="21"/>
      <w:szCs w:val="24"/>
    </w:rPr>
  </w:style>
  <w:style w:type="character" w:customStyle="1" w:styleId="166">
    <w:name w:val="首行缩进 Char"/>
    <w:uiPriority w:val="0"/>
    <w:rPr>
      <w:rFonts w:ascii="宋体" w:eastAsia="宋体"/>
      <w:kern w:val="2"/>
      <w:sz w:val="24"/>
      <w:lang w:val="en-US" w:eastAsia="zh-CN" w:bidi="ar-SA"/>
    </w:rPr>
  </w:style>
  <w:style w:type="character" w:customStyle="1" w:styleId="167">
    <w:name w:val="font12gray1"/>
    <w:uiPriority w:val="0"/>
    <w:rPr>
      <w:rFonts w:ascii="仿宋_GB2312" w:eastAsia="微软雅黑"/>
      <w:b/>
      <w:spacing w:val="300"/>
      <w:kern w:val="2"/>
      <w:sz w:val="18"/>
      <w:szCs w:val="18"/>
      <w:lang w:val="en-US" w:eastAsia="zh-CN" w:bidi="ar-SA"/>
    </w:rPr>
  </w:style>
  <w:style w:type="character" w:customStyle="1" w:styleId="168">
    <w:name w:val="标题 6 Char"/>
    <w:link w:val="7"/>
    <w:uiPriority w:val="0"/>
    <w:rPr>
      <w:rFonts w:ascii="Arial" w:hAnsi="Arial" w:eastAsia="黑体"/>
      <w:b/>
      <w:bCs/>
      <w:kern w:val="2"/>
      <w:sz w:val="24"/>
      <w:szCs w:val="24"/>
    </w:rPr>
  </w:style>
  <w:style w:type="character" w:customStyle="1" w:styleId="169">
    <w:name w:val="结束语 Char"/>
    <w:link w:val="30"/>
    <w:uiPriority w:val="0"/>
    <w:rPr>
      <w:rFonts w:ascii="Arial" w:hAnsi="Arial" w:eastAsia="黑体" w:cs="Arial"/>
      <w:snapToGrid w:val="0"/>
      <w:color w:val="000000"/>
      <w:kern w:val="0"/>
      <w:sz w:val="24"/>
      <w:szCs w:val="21"/>
    </w:rPr>
  </w:style>
  <w:style w:type="character" w:customStyle="1" w:styleId="170">
    <w:name w:val="正文 编号 Char"/>
    <w:uiPriority w:val="0"/>
    <w:rPr>
      <w:rFonts w:ascii="仿宋_GB2312" w:hAnsi="仿宋_GB2312" w:eastAsia="仿宋_GB2312"/>
      <w:kern w:val="2"/>
      <w:sz w:val="24"/>
      <w:lang w:bidi="ar-SA"/>
    </w:rPr>
  </w:style>
  <w:style w:type="character" w:customStyle="1" w:styleId="171">
    <w:name w:val="No Spacing Char"/>
    <w:link w:val="172"/>
    <w:uiPriority w:val="0"/>
    <w:rPr>
      <w:sz w:val="22"/>
      <w:szCs w:val="22"/>
      <w:lang w:val="en-US" w:eastAsia="zh-CN" w:bidi="ar-SA"/>
    </w:rPr>
  </w:style>
  <w:style w:type="paragraph" w:customStyle="1" w:styleId="172">
    <w:name w:val="无间隔1"/>
    <w:link w:val="171"/>
    <w:uiPriority w:val="0"/>
    <w:rPr>
      <w:sz w:val="22"/>
      <w:szCs w:val="22"/>
      <w:lang w:val="en-US" w:eastAsia="zh-CN" w:bidi="ar-SA"/>
    </w:rPr>
  </w:style>
  <w:style w:type="character" w:customStyle="1" w:styleId="173">
    <w:name w:val="_正文段落 Char"/>
    <w:link w:val="174"/>
    <w:uiPriority w:val="0"/>
    <w:rPr>
      <w:rFonts w:ascii="宋体" w:hAnsi="宋体"/>
      <w:kern w:val="2"/>
      <w:sz w:val="24"/>
      <w:szCs w:val="24"/>
    </w:rPr>
  </w:style>
  <w:style w:type="paragraph" w:customStyle="1" w:styleId="174">
    <w:name w:val="_正文段落"/>
    <w:basedOn w:val="1"/>
    <w:link w:val="173"/>
    <w:uiPriority w:val="0"/>
    <w:pPr>
      <w:adjustRightInd/>
      <w:spacing w:before="46" w:beforeLines="15" w:after="46" w:afterLines="15" w:line="360" w:lineRule="auto"/>
      <w:ind w:firstLine="480" w:firstLineChars="200"/>
    </w:pPr>
    <w:rPr>
      <w:rFonts w:ascii="宋体" w:hAnsi="宋体" w:cs="Times New Roman"/>
      <w:sz w:val="24"/>
    </w:rPr>
  </w:style>
  <w:style w:type="character" w:customStyle="1" w:styleId="175">
    <w:name w:val="Balloon Text Char"/>
    <w:uiPriority w:val="0"/>
    <w:rPr>
      <w:rFonts w:eastAsia="宋体"/>
      <w:kern w:val="2"/>
      <w:sz w:val="18"/>
      <w:szCs w:val="18"/>
      <w:lang w:val="en-US" w:eastAsia="zh-CN" w:bidi="ar-SA"/>
    </w:rPr>
  </w:style>
  <w:style w:type="character" w:customStyle="1" w:styleId="176">
    <w:name w:val="h Char Char"/>
    <w:uiPriority w:val="0"/>
    <w:rPr>
      <w:rFonts w:eastAsia="宋体"/>
      <w:kern w:val="2"/>
      <w:sz w:val="18"/>
      <w:lang w:val="en-US" w:eastAsia="zh-CN" w:bidi="ar-SA"/>
    </w:rPr>
  </w:style>
  <w:style w:type="character" w:customStyle="1" w:styleId="177">
    <w:name w:val="hei16b1"/>
    <w:uiPriority w:val="0"/>
    <w:rPr>
      <w:rFonts w:hint="default" w:ascii="Arial" w:hAnsi="Arial" w:cs="Arial"/>
      <w:b/>
      <w:bCs/>
      <w:color w:val="000000"/>
      <w:sz w:val="24"/>
      <w:szCs w:val="24"/>
    </w:rPr>
  </w:style>
  <w:style w:type="character" w:customStyle="1" w:styleId="178">
    <w:name w:val="正文文本缩进 Char"/>
    <w:uiPriority w:val="0"/>
    <w:rPr>
      <w:rFonts w:ascii="宋体" w:hAnsi="宋体"/>
      <w:kern w:val="2"/>
      <w:sz w:val="24"/>
      <w:szCs w:val="24"/>
    </w:rPr>
  </w:style>
  <w:style w:type="character" w:customStyle="1" w:styleId="179">
    <w:name w:val="正文首行缩进 2 Char"/>
    <w:link w:val="84"/>
    <w:uiPriority w:val="0"/>
    <w:rPr>
      <w:rFonts w:ascii="宋体" w:hAnsi="宋体"/>
      <w:kern w:val="2"/>
      <w:sz w:val="21"/>
      <w:szCs w:val="24"/>
    </w:rPr>
  </w:style>
  <w:style w:type="character" w:customStyle="1" w:styleId="180">
    <w:name w:val="Char Char5"/>
    <w:uiPriority w:val="0"/>
    <w:rPr>
      <w:rFonts w:ascii="宋体" w:hAnsi="Courier New" w:eastAsia="宋体"/>
      <w:kern w:val="2"/>
      <w:sz w:val="21"/>
      <w:lang w:val="en-US" w:eastAsia="zh-CN"/>
    </w:rPr>
  </w:style>
  <w:style w:type="character" w:customStyle="1" w:styleId="181">
    <w:name w:val="Footer Char"/>
    <w:uiPriority w:val="0"/>
    <w:rPr>
      <w:rFonts w:eastAsia="宋体"/>
      <w:kern w:val="2"/>
      <w:sz w:val="18"/>
      <w:lang w:val="en-US" w:eastAsia="zh-CN" w:bidi="ar-SA"/>
    </w:rPr>
  </w:style>
  <w:style w:type="character" w:customStyle="1" w:styleId="182">
    <w:name w:val="md"/>
    <w:basedOn w:val="86"/>
    <w:uiPriority w:val="0"/>
  </w:style>
  <w:style w:type="character" w:customStyle="1" w:styleId="183">
    <w:name w:val="gf正文1 Char"/>
    <w:uiPriority w:val="0"/>
    <w:rPr>
      <w:rFonts w:ascii="宋体" w:hAnsi="宋体" w:eastAsia="宋体" w:cs="宋体"/>
      <w:kern w:val="2"/>
      <w:sz w:val="24"/>
      <w:szCs w:val="24"/>
      <w:lang w:val="en-US" w:eastAsia="zh-CN" w:bidi="ar-SA"/>
    </w:rPr>
  </w:style>
  <w:style w:type="character" w:customStyle="1" w:styleId="184">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185">
    <w:name w:val="文本正文 Char Char"/>
    <w:uiPriority w:val="0"/>
    <w:rPr>
      <w:sz w:val="24"/>
      <w:lang w:bidi="ar-SA"/>
    </w:rPr>
  </w:style>
  <w:style w:type="character" w:customStyle="1" w:styleId="186">
    <w:name w:val="信息标题 Char"/>
    <w:link w:val="76"/>
    <w:uiPriority w:val="0"/>
    <w:rPr>
      <w:rFonts w:ascii="Arial" w:hAnsi="Arial" w:eastAsia="黑体" w:cs="Arial"/>
      <w:snapToGrid w:val="0"/>
      <w:color w:val="000000"/>
      <w:kern w:val="0"/>
      <w:sz w:val="24"/>
      <w:szCs w:val="24"/>
      <w:shd w:val="pct20" w:color="auto" w:fill="auto"/>
    </w:rPr>
  </w:style>
  <w:style w:type="character" w:customStyle="1" w:styleId="187">
    <w:name w:val="unnamed31"/>
    <w:uiPriority w:val="0"/>
    <w:rPr>
      <w:rFonts w:ascii="Tahoma" w:hAnsi="Tahoma" w:eastAsia="宋体"/>
      <w:b/>
      <w:kern w:val="2"/>
      <w:sz w:val="24"/>
      <w:szCs w:val="32"/>
      <w:u w:val="none"/>
      <w:lang w:val="en-US" w:eastAsia="zh-CN" w:bidi="ar-SA"/>
    </w:rPr>
  </w:style>
  <w:style w:type="character" w:customStyle="1" w:styleId="188">
    <w:name w:val="Used by Word for text of Help footnotes Char Char"/>
    <w:uiPriority w:val="0"/>
    <w:rPr>
      <w:rFonts w:ascii="Times New Roman" w:hAnsi="Times New Roman" w:eastAsia="宋体" w:cs="Times New Roman"/>
      <w:sz w:val="20"/>
      <w:szCs w:val="20"/>
    </w:rPr>
  </w:style>
  <w:style w:type="character" w:customStyle="1" w:styleId="189">
    <w:name w:val="文档正文 Char Char Char"/>
    <w:uiPriority w:val="0"/>
    <w:rPr>
      <w:rFonts w:eastAsia="宋体"/>
      <w:sz w:val="24"/>
      <w:szCs w:val="28"/>
      <w:lang w:val="en-US" w:eastAsia="zh-CN" w:bidi="ar-SA"/>
    </w:rPr>
  </w:style>
  <w:style w:type="character" w:customStyle="1" w:styleId="190">
    <w:name w:val="tw4winMark"/>
    <w:uiPriority w:val="0"/>
    <w:rPr>
      <w:rFonts w:ascii="Courier New" w:hAnsi="Courier New" w:cs="Courier New"/>
      <w:vanish/>
      <w:color w:val="800080"/>
      <w:sz w:val="24"/>
      <w:szCs w:val="24"/>
      <w:vertAlign w:val="subscript"/>
    </w:rPr>
  </w:style>
  <w:style w:type="character" w:customStyle="1" w:styleId="191">
    <w:name w:val="Footer-Even Char"/>
    <w:aliases w:val="FtrF Char Char"/>
    <w:uiPriority w:val="0"/>
    <w:rPr>
      <w:rFonts w:eastAsia="宋体"/>
      <w:kern w:val="2"/>
      <w:sz w:val="18"/>
      <w:lang w:val="en-US" w:eastAsia="zh-CN" w:bidi="ar-SA"/>
    </w:rPr>
  </w:style>
  <w:style w:type="character" w:customStyle="1" w:styleId="192">
    <w:name w:val="插图说明 Char"/>
    <w:uiPriority w:val="0"/>
    <w:rPr>
      <w:rFonts w:eastAsia="黑体"/>
      <w:sz w:val="24"/>
      <w:lang w:val="en-US" w:eastAsia="zh-CN"/>
    </w:rPr>
  </w:style>
  <w:style w:type="character" w:customStyle="1" w:styleId="193">
    <w:name w:val="标题 4 Char1"/>
    <w:uiPriority w:val="0"/>
    <w:rPr>
      <w:rFonts w:ascii="Cambria" w:hAnsi="Cambria" w:eastAsia="宋体" w:cs="Times New Roman"/>
      <w:b/>
      <w:bCs/>
      <w:kern w:val="2"/>
      <w:sz w:val="28"/>
      <w:szCs w:val="28"/>
    </w:rPr>
  </w:style>
  <w:style w:type="character" w:customStyle="1" w:styleId="194">
    <w:name w:val="副标题 Char"/>
    <w:link w:val="61"/>
    <w:uiPriority w:val="0"/>
    <w:rPr>
      <w:rFonts w:ascii="Arial" w:hAnsi="Arial" w:eastAsia="隶书"/>
      <w:b/>
      <w:bCs/>
      <w:kern w:val="28"/>
      <w:sz w:val="44"/>
      <w:szCs w:val="32"/>
      <w:lang w:val="en-US" w:eastAsia="zh-CN" w:bidi="ar-SA"/>
    </w:rPr>
  </w:style>
  <w:style w:type="character" w:customStyle="1" w:styleId="195">
    <w:name w:val="Char Char9"/>
    <w:uiPriority w:val="0"/>
    <w:rPr>
      <w:rFonts w:ascii="Times New Roman" w:hAnsi="Times New Roman" w:eastAsia="宋体" w:cs="Times New Roman"/>
      <w:b/>
      <w:bCs/>
      <w:kern w:val="2"/>
      <w:sz w:val="32"/>
      <w:szCs w:val="32"/>
      <w:lang w:val="en-US" w:eastAsia="zh-CN" w:bidi="ar-SA"/>
    </w:rPr>
  </w:style>
  <w:style w:type="character" w:customStyle="1" w:styleId="196">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197">
    <w:name w:val="方案正文 Char"/>
    <w:uiPriority w:val="0"/>
    <w:rPr>
      <w:rFonts w:ascii="仿宋_GB2312" w:eastAsia="仿宋_GB2312"/>
      <w:b/>
      <w:color w:val="000000"/>
      <w:kern w:val="2"/>
      <w:sz w:val="24"/>
      <w:lang w:val="en-US" w:eastAsia="zh-CN" w:bidi="ar-SA"/>
    </w:rPr>
  </w:style>
  <w:style w:type="character" w:customStyle="1" w:styleId="198">
    <w:name w:val=" Char Char12"/>
    <w:uiPriority w:val="0"/>
    <w:rPr>
      <w:rFonts w:ascii="仿宋_GB2312" w:eastAsia="仿宋_GB2312"/>
      <w:b/>
      <w:bCs/>
      <w:kern w:val="2"/>
      <w:sz w:val="24"/>
      <w:szCs w:val="24"/>
      <w:lang w:val="zh-CN" w:eastAsia="zh-CN" w:bidi="ar-SA"/>
    </w:rPr>
  </w:style>
  <w:style w:type="character" w:customStyle="1" w:styleId="199">
    <w:name w:val="标题4-dyf Char"/>
    <w:link w:val="200"/>
    <w:uiPriority w:val="0"/>
    <w:rPr>
      <w:rFonts w:ascii="Cambria" w:hAnsi="Cambria"/>
      <w:b/>
      <w:bCs/>
      <w:color w:val="000000"/>
      <w:kern w:val="2"/>
      <w:sz w:val="21"/>
      <w:szCs w:val="21"/>
    </w:rPr>
  </w:style>
  <w:style w:type="paragraph" w:customStyle="1" w:styleId="200">
    <w:name w:val="标题4-dyf"/>
    <w:basedOn w:val="5"/>
    <w:link w:val="199"/>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1">
    <w:name w:val="dectext1"/>
    <w:uiPriority w:val="0"/>
    <w:rPr>
      <w:rFonts w:ascii="宋体" w:hAnsi="宋体" w:eastAsia="宋体"/>
      <w:color w:val="333333"/>
      <w:sz w:val="21"/>
      <w:szCs w:val="21"/>
      <w:u w:val="none"/>
    </w:rPr>
  </w:style>
  <w:style w:type="character" w:customStyle="1" w:styleId="202">
    <w:name w:val="f141"/>
    <w:uiPriority w:val="0"/>
    <w:rPr>
      <w:rFonts w:ascii="Tahoma" w:hAnsi="Tahoma" w:eastAsia="宋体"/>
      <w:b/>
      <w:kern w:val="2"/>
      <w:sz w:val="21"/>
      <w:szCs w:val="21"/>
      <w:lang w:val="en-US" w:eastAsia="zh-CN" w:bidi="ar-SA"/>
    </w:rPr>
  </w:style>
  <w:style w:type="character" w:customStyle="1" w:styleId="203">
    <w:name w:val="样式2 Char"/>
    <w:uiPriority w:val="0"/>
    <w:rPr>
      <w:rFonts w:ascii="仿宋_GB2312" w:hAnsi="仿宋" w:eastAsia="仿宋_GB2312" w:cs="仿宋_GB2312"/>
      <w:b/>
      <w:bCs/>
      <w:sz w:val="32"/>
      <w:szCs w:val="30"/>
      <w:lang w:val="zh-CN"/>
    </w:rPr>
  </w:style>
  <w:style w:type="character" w:customStyle="1" w:styleId="204">
    <w:name w:val="Ò³Ã¼ Char Char1"/>
    <w:uiPriority w:val="0"/>
    <w:rPr>
      <w:rFonts w:eastAsia="宋体"/>
      <w:kern w:val="2"/>
      <w:sz w:val="18"/>
      <w:szCs w:val="18"/>
      <w:lang w:val="en-US" w:eastAsia="zh-CN" w:bidi="ar-SA"/>
    </w:rPr>
  </w:style>
  <w:style w:type="character" w:customStyle="1" w:styleId="205">
    <w:name w:val="Body Text(ch) Char Char"/>
    <w:uiPriority w:val="0"/>
    <w:rPr>
      <w:rFonts w:ascii="宋体"/>
      <w:kern w:val="2"/>
      <w:sz w:val="24"/>
      <w:szCs w:val="21"/>
      <w:lang w:val="zh-CN"/>
    </w:rPr>
  </w:style>
  <w:style w:type="character" w:customStyle="1" w:styleId="206">
    <w:name w:val="正文1 Char"/>
    <w:uiPriority w:val="0"/>
    <w:rPr>
      <w:rFonts w:ascii="宋体" w:eastAsia="宋体"/>
      <w:snapToGrid w:val="0"/>
      <w:color w:val="000000"/>
      <w:kern w:val="28"/>
      <w:sz w:val="28"/>
      <w:lang w:val="en-US" w:eastAsia="zh-CN" w:bidi="ar-SA"/>
    </w:rPr>
  </w:style>
  <w:style w:type="character" w:customStyle="1" w:styleId="207">
    <w:name w:val="Table Text Char1"/>
    <w:uiPriority w:val="0"/>
    <w:rPr>
      <w:rFonts w:eastAsia="宋体"/>
      <w:sz w:val="24"/>
      <w:szCs w:val="24"/>
      <w:lang w:val="en-US" w:eastAsia="zh-CN" w:bidi="ar-SA"/>
    </w:rPr>
  </w:style>
  <w:style w:type="character" w:customStyle="1" w:styleId="208">
    <w:name w:val="style36"/>
    <w:basedOn w:val="86"/>
    <w:uiPriority w:val="0"/>
  </w:style>
  <w:style w:type="character" w:customStyle="1" w:styleId="209">
    <w:name w:val="hui"/>
    <w:basedOn w:val="86"/>
    <w:uiPriority w:val="0"/>
  </w:style>
  <w:style w:type="character" w:customStyle="1" w:styleId="210">
    <w:name w:val="FA正文 Char Char"/>
    <w:uiPriority w:val="0"/>
    <w:rPr>
      <w:rFonts w:hAnsi="宋体"/>
      <w:kern w:val="2"/>
      <w:sz w:val="24"/>
      <w:lang w:bidi="ar-SA"/>
    </w:rPr>
  </w:style>
  <w:style w:type="character" w:customStyle="1" w:styleId="211">
    <w:name w:val="font21"/>
    <w:uiPriority w:val="0"/>
    <w:rPr>
      <w:rFonts w:hint="eastAsia" w:ascii="宋体" w:hAnsi="宋体" w:eastAsia="宋体"/>
      <w:kern w:val="2"/>
      <w:sz w:val="28"/>
      <w:szCs w:val="28"/>
      <w:lang w:val="en-US" w:eastAsia="zh-CN" w:bidi="ar-SA"/>
    </w:rPr>
  </w:style>
  <w:style w:type="character" w:customStyle="1" w:styleId="212">
    <w:name w:val="此正文 Char"/>
    <w:link w:val="213"/>
    <w:uiPriority w:val="0"/>
    <w:rPr>
      <w:kern w:val="2"/>
      <w:sz w:val="24"/>
      <w:szCs w:val="24"/>
    </w:rPr>
  </w:style>
  <w:style w:type="paragraph" w:customStyle="1" w:styleId="213">
    <w:name w:val="此正文"/>
    <w:basedOn w:val="1"/>
    <w:link w:val="212"/>
    <w:uiPriority w:val="0"/>
    <w:pPr>
      <w:adjustRightInd/>
      <w:spacing w:line="360" w:lineRule="auto"/>
      <w:ind w:firstLine="200" w:firstLineChars="200"/>
    </w:pPr>
    <w:rPr>
      <w:rFonts w:cs="Times New Roman"/>
      <w:sz w:val="24"/>
    </w:rPr>
  </w:style>
  <w:style w:type="character" w:customStyle="1" w:styleId="214">
    <w:name w:val="正文缩进 Char1"/>
    <w:aliases w:val="正文对齐 Char"/>
    <w:uiPriority w:val="0"/>
    <w:rPr>
      <w:rFonts w:ascii="宋体" w:eastAsia="宋体"/>
      <w:snapToGrid w:val="0"/>
      <w:color w:val="000000"/>
      <w:kern w:val="28"/>
      <w:sz w:val="28"/>
      <w:lang w:val="en-US" w:eastAsia="zh-CN" w:bidi="ar-SA"/>
    </w:rPr>
  </w:style>
  <w:style w:type="character" w:customStyle="1" w:styleId="215">
    <w:name w:val="mdeck"/>
    <w:uiPriority w:val="0"/>
    <w:rPr>
      <w:rFonts w:ascii="仿宋_GB2312" w:eastAsia="微软雅黑"/>
      <w:b/>
      <w:kern w:val="2"/>
      <w:sz w:val="32"/>
      <w:szCs w:val="32"/>
      <w:lang w:val="en-US" w:eastAsia="zh-CN" w:bidi="ar-SA"/>
    </w:rPr>
  </w:style>
  <w:style w:type="character" w:customStyle="1" w:styleId="216">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17">
    <w:name w:val=" Char Char8"/>
    <w:uiPriority w:val="0"/>
    <w:rPr>
      <w:rFonts w:eastAsia="宋体"/>
      <w:b/>
      <w:sz w:val="24"/>
      <w:lang w:val="en-GB" w:eastAsia="zh-CN"/>
    </w:rPr>
  </w:style>
  <w:style w:type="character" w:customStyle="1" w:styleId="218">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219">
    <w:name w:val="标题 3 Char2"/>
    <w:aliases w:val="标题3 Char"/>
    <w:uiPriority w:val="0"/>
    <w:rPr>
      <w:rFonts w:eastAsia="宋体"/>
      <w:b/>
      <w:bCs/>
      <w:kern w:val="2"/>
      <w:sz w:val="32"/>
      <w:szCs w:val="32"/>
      <w:lang w:val="en-US" w:eastAsia="zh-CN" w:bidi="ar-SA"/>
    </w:rPr>
  </w:style>
  <w:style w:type="character" w:customStyle="1" w:styleId="220">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221">
    <w:name w:val="content1"/>
    <w:uiPriority w:val="0"/>
    <w:rPr>
      <w:sz w:val="18"/>
      <w:szCs w:val="18"/>
    </w:rPr>
  </w:style>
  <w:style w:type="character" w:customStyle="1" w:styleId="222">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23">
    <w:name w:val="Heading 7 Char"/>
    <w:uiPriority w:val="0"/>
    <w:rPr>
      <w:rFonts w:ascii="宋体" w:hAnsi="宋体" w:eastAsia="宋体"/>
      <w:b/>
      <w:bCs/>
      <w:kern w:val="2"/>
      <w:sz w:val="24"/>
      <w:szCs w:val="24"/>
      <w:lang w:val="en-US" w:eastAsia="zh-CN" w:bidi="ar-SA"/>
    </w:rPr>
  </w:style>
  <w:style w:type="character" w:customStyle="1" w:styleId="224">
    <w:name w:val="签名 Char"/>
    <w:link w:val="55"/>
    <w:uiPriority w:val="0"/>
    <w:rPr>
      <w:rFonts w:eastAsia="仿宋_GB2312"/>
      <w:sz w:val="24"/>
    </w:rPr>
  </w:style>
  <w:style w:type="character" w:customStyle="1" w:styleId="225">
    <w:name w:val="Figure Char"/>
    <w:link w:val="226"/>
    <w:uiPriority w:val="0"/>
    <w:rPr>
      <w:rFonts w:ascii="Arial" w:hAnsi="Arial" w:eastAsia="黑体" w:cs="Arial"/>
      <w:kern w:val="2"/>
      <w:sz w:val="21"/>
      <w:szCs w:val="21"/>
      <w:lang w:val="en-US" w:eastAsia="zh-CN" w:bidi="ar-SA"/>
    </w:rPr>
  </w:style>
  <w:style w:type="paragraph" w:customStyle="1" w:styleId="226">
    <w:name w:val="Figure"/>
    <w:next w:val="1"/>
    <w:link w:val="225"/>
    <w:uiPriority w:val="0"/>
    <w:pPr>
      <w:keepNext/>
      <w:spacing w:before="40" w:after="40"/>
      <w:ind w:left="624"/>
      <w:jc w:val="center"/>
    </w:pPr>
    <w:rPr>
      <w:rFonts w:ascii="Arial" w:hAnsi="Arial" w:eastAsia="黑体" w:cs="Arial"/>
      <w:kern w:val="2"/>
      <w:sz w:val="21"/>
      <w:szCs w:val="21"/>
      <w:lang w:val="en-US" w:eastAsia="zh-CN" w:bidi="ar-SA"/>
    </w:rPr>
  </w:style>
  <w:style w:type="character" w:customStyle="1" w:styleId="227">
    <w:name w:val="页脚 Char1"/>
    <w:uiPriority w:val="0"/>
    <w:rPr>
      <w:rFonts w:eastAsia="宋体"/>
      <w:kern w:val="2"/>
      <w:sz w:val="18"/>
      <w:szCs w:val="18"/>
      <w:lang w:val="en-US" w:eastAsia="zh-CN" w:bidi="ar-SA"/>
    </w:rPr>
  </w:style>
  <w:style w:type="character" w:customStyle="1" w:styleId="228">
    <w:name w:val="ca-131"/>
    <w:uiPriority w:val="0"/>
    <w:rPr>
      <w:rFonts w:hint="eastAsia" w:ascii="仿宋_GB2312" w:eastAsia="仿宋_GB2312"/>
      <w:b/>
      <w:bCs/>
      <w:color w:val="000000"/>
      <w:spacing w:val="-20"/>
      <w:sz w:val="24"/>
      <w:szCs w:val="24"/>
    </w:rPr>
  </w:style>
  <w:style w:type="character" w:customStyle="1" w:styleId="229">
    <w:name w:val="hui3"/>
    <w:uiPriority w:val="0"/>
    <w:rPr>
      <w:color w:val="333333"/>
    </w:rPr>
  </w:style>
  <w:style w:type="character" w:customStyle="1" w:styleId="230">
    <w:name w:val="纯文本 Char"/>
    <w:link w:val="43"/>
    <w:uiPriority w:val="0"/>
    <w:rPr>
      <w:rFonts w:ascii="宋体" w:hAnsi="Courier New" w:eastAsia="宋体" w:cs="Arial"/>
      <w:snapToGrid w:val="0"/>
      <w:kern w:val="2"/>
      <w:sz w:val="21"/>
      <w:szCs w:val="21"/>
      <w:lang w:val="en-US" w:eastAsia="zh-CN" w:bidi="ar-SA"/>
    </w:rPr>
  </w:style>
  <w:style w:type="character" w:customStyle="1" w:styleId="231">
    <w:name w:val="Figure Description Char"/>
    <w:link w:val="232"/>
    <w:uiPriority w:val="0"/>
    <w:rPr>
      <w:rFonts w:ascii="Arial" w:hAnsi="Arial" w:eastAsia="黑体" w:cs="Arial Narrow"/>
      <w:sz w:val="21"/>
      <w:szCs w:val="21"/>
      <w:lang w:val="en-US" w:eastAsia="zh-CN" w:bidi="ar-SA"/>
    </w:rPr>
  </w:style>
  <w:style w:type="paragraph" w:customStyle="1" w:styleId="232">
    <w:name w:val="Figure Description"/>
    <w:next w:val="1"/>
    <w:link w:val="231"/>
    <w:uiPriority w:val="0"/>
    <w:pPr>
      <w:keepNext/>
      <w:keepLines/>
      <w:numPr>
        <w:ilvl w:val="5"/>
        <w:numId w:val="5"/>
      </w:numPr>
      <w:spacing w:before="80" w:after="80" w:line="360" w:lineRule="auto"/>
      <w:ind w:left="842" w:hanging="422"/>
      <w:jc w:val="center"/>
    </w:pPr>
    <w:rPr>
      <w:rFonts w:ascii="Arial" w:hAnsi="Arial" w:eastAsia="黑体" w:cs="Arial Narrow"/>
      <w:sz w:val="21"/>
      <w:szCs w:val="21"/>
      <w:lang w:val="en-US" w:eastAsia="zh-CN" w:bidi="ar-SA"/>
    </w:rPr>
  </w:style>
  <w:style w:type="character" w:customStyle="1" w:styleId="233">
    <w:name w:val="副标题 Char1"/>
    <w:uiPriority w:val="0"/>
    <w:rPr>
      <w:rFonts w:ascii="Cambria" w:hAnsi="Cambria" w:eastAsia="宋体" w:cs="Times New Roman"/>
      <w:b/>
      <w:bCs/>
      <w:snapToGrid w:val="0"/>
      <w:kern w:val="28"/>
      <w:sz w:val="32"/>
      <w:szCs w:val="32"/>
    </w:rPr>
  </w:style>
  <w:style w:type="character" w:customStyle="1" w:styleId="234">
    <w:name w:val="脚注文本 Char"/>
    <w:link w:val="64"/>
    <w:uiPriority w:val="0"/>
    <w:rPr>
      <w:color w:val="0000FF"/>
      <w:sz w:val="21"/>
    </w:rPr>
  </w:style>
  <w:style w:type="character" w:customStyle="1" w:styleId="235">
    <w:name w:val="文档结构图 Char"/>
    <w:uiPriority w:val="0"/>
    <w:rPr>
      <w:rFonts w:eastAsia="宋体"/>
      <w:kern w:val="2"/>
      <w:sz w:val="21"/>
      <w:szCs w:val="24"/>
      <w:lang w:val="en-US" w:eastAsia="zh-CN" w:bidi="ar-SA"/>
    </w:rPr>
  </w:style>
  <w:style w:type="character" w:customStyle="1" w:styleId="236">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237">
    <w:name w:val="Item List in Table Char Char"/>
    <w:link w:val="238"/>
    <w:uiPriority w:val="0"/>
    <w:rPr>
      <w:rFonts w:ascii="Arial" w:hAnsi="Arial"/>
      <w:sz w:val="18"/>
      <w:szCs w:val="18"/>
      <w:lang w:val="en-US" w:eastAsia="zh-CN" w:bidi="ar-SA"/>
    </w:rPr>
  </w:style>
  <w:style w:type="paragraph" w:customStyle="1" w:styleId="238">
    <w:name w:val="Item List in Table"/>
    <w:link w:val="237"/>
    <w:uiPriority w:val="0"/>
    <w:pPr>
      <w:numPr>
        <w:ilvl w:val="0"/>
        <w:numId w:val="6"/>
      </w:numPr>
      <w:spacing w:before="40" w:after="40"/>
      <w:jc w:val="both"/>
    </w:pPr>
    <w:rPr>
      <w:rFonts w:ascii="Arial" w:hAnsi="Arial"/>
      <w:sz w:val="18"/>
      <w:szCs w:val="18"/>
      <w:lang w:val="en-US" w:eastAsia="zh-CN" w:bidi="ar-SA"/>
    </w:rPr>
  </w:style>
  <w:style w:type="character" w:customStyle="1" w:styleId="239">
    <w:name w:val="large1"/>
    <w:uiPriority w:val="0"/>
    <w:rPr>
      <w:rFonts w:hint="eastAsia" w:ascii="宋体" w:hAnsi="宋体" w:eastAsia="宋体"/>
      <w:sz w:val="21"/>
      <w:szCs w:val="21"/>
    </w:rPr>
  </w:style>
  <w:style w:type="character" w:customStyle="1" w:styleId="240">
    <w:name w:val=" Char Char4"/>
    <w:uiPriority w:val="0"/>
    <w:rPr>
      <w:rFonts w:eastAsia="宋体"/>
      <w:b/>
      <w:sz w:val="24"/>
      <w:lang w:val="en-GB" w:eastAsia="zh-CN" w:bidi="ar-SA"/>
    </w:rPr>
  </w:style>
  <w:style w:type="character" w:customStyle="1" w:styleId="241">
    <w:name w:val="font51"/>
    <w:uiPriority w:val="0"/>
    <w:rPr>
      <w:rFonts w:hint="eastAsia" w:ascii="微软雅黑" w:hAnsi="微软雅黑" w:eastAsia="微软雅黑" w:cs="微软雅黑"/>
      <w:b/>
      <w:color w:val="FF0000"/>
      <w:sz w:val="24"/>
      <w:szCs w:val="24"/>
      <w:u w:val="none"/>
    </w:rPr>
  </w:style>
  <w:style w:type="character" w:customStyle="1" w:styleId="242">
    <w:name w:val="冯 Char"/>
    <w:link w:val="243"/>
    <w:uiPriority w:val="0"/>
    <w:rPr>
      <w:rFonts w:ascii="宋体" w:hAnsi="宋体"/>
      <w:color w:val="000000"/>
      <w:sz w:val="24"/>
      <w:szCs w:val="24"/>
    </w:rPr>
  </w:style>
  <w:style w:type="paragraph" w:customStyle="1" w:styleId="243">
    <w:name w:val="冯"/>
    <w:basedOn w:val="1"/>
    <w:link w:val="242"/>
    <w:uiPriority w:val="0"/>
    <w:pPr>
      <w:widowControl/>
      <w:adjustRightInd/>
      <w:spacing w:line="360" w:lineRule="auto"/>
      <w:ind w:firstLine="480" w:firstLineChars="200"/>
    </w:pPr>
    <w:rPr>
      <w:rFonts w:ascii="宋体" w:hAnsi="宋体" w:cs="Times New Roman"/>
      <w:color w:val="000000"/>
      <w:kern w:val="0"/>
      <w:sz w:val="24"/>
    </w:rPr>
  </w:style>
  <w:style w:type="character" w:customStyle="1" w:styleId="244">
    <w:name w:val="tw4winPopup"/>
    <w:uiPriority w:val="0"/>
    <w:rPr>
      <w:rFonts w:ascii="Courier New" w:hAnsi="Courier New" w:cs="Courier New"/>
      <w:color w:val="008000"/>
      <w:lang/>
    </w:rPr>
  </w:style>
  <w:style w:type="character" w:customStyle="1" w:styleId="245">
    <w:name w:val="unnamed11"/>
    <w:uiPriority w:val="0"/>
    <w:rPr>
      <w:sz w:val="20"/>
      <w:szCs w:val="20"/>
    </w:rPr>
  </w:style>
  <w:style w:type="character" w:customStyle="1" w:styleId="246">
    <w:name w:val="仿宋正文 Char"/>
    <w:link w:val="247"/>
    <w:uiPriority w:val="0"/>
    <w:rPr>
      <w:rFonts w:ascii="仿宋_GB2312" w:eastAsia="仿宋_GB2312"/>
      <w:kern w:val="2"/>
      <w:sz w:val="24"/>
      <w:lang w:val="en-US" w:eastAsia="zh-CN" w:bidi="ar-SA"/>
    </w:rPr>
  </w:style>
  <w:style w:type="paragraph" w:customStyle="1" w:styleId="247">
    <w:name w:val="仿宋正文"/>
    <w:basedOn w:val="1"/>
    <w:link w:val="246"/>
    <w:uiPriority w:val="0"/>
    <w:pPr>
      <w:adjustRightInd/>
      <w:spacing w:line="360" w:lineRule="auto"/>
      <w:ind w:firstLine="480" w:firstLineChars="200"/>
    </w:pPr>
    <w:rPr>
      <w:rFonts w:ascii="仿宋_GB2312" w:eastAsia="仿宋_GB2312"/>
      <w:sz w:val="24"/>
      <w:szCs w:val="20"/>
    </w:rPr>
  </w:style>
  <w:style w:type="character" w:customStyle="1" w:styleId="248">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249">
    <w:name w:val="正文文本缩进 3 Char"/>
    <w:link w:val="67"/>
    <w:uiPriority w:val="0"/>
    <w:rPr>
      <w:kern w:val="2"/>
      <w:sz w:val="24"/>
    </w:rPr>
  </w:style>
  <w:style w:type="character" w:customStyle="1" w:styleId="250">
    <w:name w:val="t21"/>
    <w:uiPriority w:val="0"/>
    <w:rPr>
      <w:rFonts w:ascii="仿宋_GB2312" w:eastAsia="微软雅黑"/>
      <w:b/>
      <w:kern w:val="2"/>
      <w:sz w:val="23"/>
      <w:szCs w:val="23"/>
      <w:lang w:val="en-US" w:eastAsia="zh-CN" w:bidi="ar-SA"/>
    </w:rPr>
  </w:style>
  <w:style w:type="character" w:customStyle="1" w:styleId="251">
    <w:name w:val="Char Char8"/>
    <w:uiPriority w:val="0"/>
    <w:rPr>
      <w:rFonts w:eastAsia="宋体"/>
      <w:b/>
      <w:sz w:val="24"/>
      <w:lang w:val="en-GB" w:eastAsia="zh-CN"/>
    </w:rPr>
  </w:style>
  <w:style w:type="character" w:customStyle="1" w:styleId="252">
    <w:name w:val="链接"/>
    <w:uiPriority w:val="0"/>
    <w:rPr>
      <w:color w:val="0000FF"/>
      <w:sz w:val="21"/>
      <w:szCs w:val="21"/>
      <w:u w:val="single"/>
    </w:rPr>
  </w:style>
  <w:style w:type="character" w:customStyle="1" w:styleId="253">
    <w:name w:val="批注框文本 Char"/>
    <w:link w:val="51"/>
    <w:uiPriority w:val="0"/>
    <w:rPr>
      <w:kern w:val="2"/>
      <w:sz w:val="18"/>
      <w:szCs w:val="18"/>
    </w:rPr>
  </w:style>
  <w:style w:type="character" w:customStyle="1" w:styleId="254">
    <w:name w:val="标书正文格式 Char"/>
    <w:uiPriority w:val="0"/>
    <w:rPr>
      <w:rFonts w:eastAsia="楷体_GB2312"/>
      <w:kern w:val="2"/>
      <w:sz w:val="24"/>
      <w:szCs w:val="24"/>
      <w:lang w:bidi="ar-SA"/>
    </w:rPr>
  </w:style>
  <w:style w:type="character" w:customStyle="1" w:styleId="255">
    <w:name w:val="txt"/>
    <w:uiPriority w:val="0"/>
    <w:rPr>
      <w:rFonts w:ascii="仿宋_GB2312" w:eastAsia="微软雅黑"/>
      <w:b/>
      <w:kern w:val="2"/>
      <w:sz w:val="32"/>
      <w:szCs w:val="32"/>
      <w:lang w:val="en-US" w:eastAsia="zh-CN" w:bidi="ar-SA"/>
    </w:rPr>
  </w:style>
  <w:style w:type="character" w:customStyle="1" w:styleId="256">
    <w:name w:val=" Char Char10"/>
    <w:uiPriority w:val="0"/>
    <w:rPr>
      <w:rFonts w:ascii="宋体" w:hAnsi="宋体"/>
      <w:kern w:val="2"/>
      <w:sz w:val="21"/>
      <w:szCs w:val="24"/>
      <w:lang/>
    </w:rPr>
  </w:style>
  <w:style w:type="character" w:customStyle="1" w:styleId="257">
    <w:name w:val="Char Char12"/>
    <w:uiPriority w:val="0"/>
    <w:rPr>
      <w:rFonts w:ascii="仿宋_GB2312" w:eastAsia="仿宋_GB2312"/>
      <w:b/>
      <w:bCs/>
      <w:kern w:val="2"/>
      <w:sz w:val="24"/>
      <w:szCs w:val="24"/>
      <w:lang w:val="zh-CN" w:eastAsia="zh-CN" w:bidi="ar-SA"/>
    </w:rPr>
  </w:style>
  <w:style w:type="character" w:customStyle="1" w:styleId="258">
    <w:name w:val="Font Style82"/>
    <w:uiPriority w:val="0"/>
    <w:rPr>
      <w:rFonts w:ascii="宋体" w:eastAsia="宋体" w:cs="宋体"/>
      <w:color w:val="000000"/>
      <w:sz w:val="14"/>
      <w:szCs w:val="14"/>
    </w:rPr>
  </w:style>
  <w:style w:type="character" w:customStyle="1" w:styleId="259">
    <w:name w:val="样式4 Char"/>
    <w:uiPriority w:val="0"/>
    <w:rPr>
      <w:rFonts w:ascii="仿宋_GB2312" w:hAnsi="仿宋" w:eastAsia="仿宋_GB2312"/>
      <w:b/>
      <w:kern w:val="2"/>
      <w:sz w:val="32"/>
      <w:szCs w:val="32"/>
      <w:lang w:bidi="ar-SA"/>
    </w:rPr>
  </w:style>
  <w:style w:type="character" w:customStyle="1" w:styleId="260">
    <w:name w:val="Item List Char"/>
    <w:link w:val="261"/>
    <w:uiPriority w:val="0"/>
    <w:rPr>
      <w:rFonts w:ascii="Arial"/>
      <w:bCs/>
      <w:sz w:val="21"/>
      <w:szCs w:val="21"/>
      <w:lang w:val="en-US" w:eastAsia="zh-CN" w:bidi="ar-SA"/>
    </w:rPr>
  </w:style>
  <w:style w:type="paragraph" w:customStyle="1" w:styleId="261">
    <w:name w:val="Item List"/>
    <w:link w:val="260"/>
    <w:uiPriority w:val="0"/>
    <w:pPr>
      <w:spacing w:after="156" w:line="360" w:lineRule="auto"/>
      <w:ind w:firstLine="424" w:firstLineChars="202"/>
      <w:jc w:val="both"/>
    </w:pPr>
    <w:rPr>
      <w:rFonts w:ascii="Arial"/>
      <w:bCs/>
      <w:sz w:val="21"/>
      <w:szCs w:val="21"/>
      <w:lang w:val="en-US" w:eastAsia="zh-CN" w:bidi="ar-SA"/>
    </w:rPr>
  </w:style>
  <w:style w:type="character" w:customStyle="1" w:styleId="262">
    <w:name w:val="正文文本缩进 2 Char"/>
    <w:link w:val="49"/>
    <w:uiPriority w:val="0"/>
    <w:rPr>
      <w:rFonts w:ascii="宋体"/>
      <w:sz w:val="28"/>
    </w:rPr>
  </w:style>
  <w:style w:type="character" w:customStyle="1" w:styleId="263">
    <w:name w:val="gray6"/>
    <w:basedOn w:val="86"/>
    <w:uiPriority w:val="0"/>
  </w:style>
  <w:style w:type="character" w:customStyle="1" w:styleId="264">
    <w:name w:val="日期 Char"/>
    <w:link w:val="48"/>
    <w:uiPriority w:val="0"/>
    <w:rPr>
      <w:rFonts w:ascii="宋体"/>
      <w:kern w:val="2"/>
      <w:sz w:val="24"/>
      <w:szCs w:val="21"/>
      <w:lang w:val="zh-CN"/>
    </w:rPr>
  </w:style>
  <w:style w:type="character" w:customStyle="1" w:styleId="265">
    <w:name w:val="正文 项目2 Char"/>
    <w:basedOn w:val="266"/>
    <w:uiPriority w:val="0"/>
  </w:style>
  <w:style w:type="character" w:customStyle="1" w:styleId="266">
    <w:name w:val="正文 项目 Char"/>
    <w:uiPriority w:val="0"/>
    <w:rPr>
      <w:rFonts w:ascii="仿宋_GB2312" w:hAnsi="仿宋_GB2312" w:eastAsia="仿宋_GB2312"/>
      <w:kern w:val="2"/>
      <w:sz w:val="24"/>
      <w:lang w:bidi="ar-SA"/>
    </w:rPr>
  </w:style>
  <w:style w:type="character" w:customStyle="1" w:styleId="267">
    <w:name w:val="c7 style3"/>
    <w:uiPriority w:val="0"/>
  </w:style>
  <w:style w:type="character" w:customStyle="1" w:styleId="268">
    <w:name w:val="tw4winExternal"/>
    <w:uiPriority w:val="0"/>
    <w:rPr>
      <w:rFonts w:ascii="Courier New" w:hAnsi="Courier New" w:cs="Courier New"/>
      <w:color w:val="808080"/>
      <w:lang/>
    </w:rPr>
  </w:style>
  <w:style w:type="character" w:customStyle="1" w:styleId="269">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270">
    <w:name w:val="样式 标题 4h4H4Fab-4T5Ref Heading 1rh1Heading sqlsect 1.2.3.... Char"/>
    <w:link w:val="163"/>
    <w:uiPriority w:val="0"/>
    <w:rPr>
      <w:rFonts w:ascii="微软雅黑" w:hAnsi="微软雅黑" w:eastAsia="微软雅黑"/>
      <w:b/>
      <w:bCs/>
      <w:kern w:val="2"/>
      <w:sz w:val="24"/>
      <w:szCs w:val="28"/>
    </w:rPr>
  </w:style>
  <w:style w:type="character" w:customStyle="1" w:styleId="271">
    <w:name w:val="正文文本缩进 Char1"/>
    <w:link w:val="33"/>
    <w:uiPriority w:val="0"/>
    <w:rPr>
      <w:rFonts w:ascii="宋体" w:hAnsi="宋体"/>
      <w:kern w:val="2"/>
      <w:sz w:val="24"/>
      <w:szCs w:val="24"/>
    </w:rPr>
  </w:style>
  <w:style w:type="character" w:customStyle="1" w:styleId="272">
    <w:name w:val="HTML 地址 Char"/>
    <w:link w:val="39"/>
    <w:uiPriority w:val="0"/>
    <w:rPr>
      <w:rFonts w:ascii="宋体" w:hAnsi="宋体"/>
      <w:i/>
      <w:iCs/>
      <w:sz w:val="24"/>
      <w:szCs w:val="24"/>
    </w:rPr>
  </w:style>
  <w:style w:type="character" w:customStyle="1" w:styleId="273">
    <w:name w:val="列出段落 Char"/>
    <w:aliases w:val="List Char,List1 Char"/>
    <w:uiPriority w:val="0"/>
    <w:rPr>
      <w:rFonts w:eastAsia="楷体_GB2312" w:cs="Lucida Sans"/>
      <w:kern w:val="2"/>
      <w:sz w:val="24"/>
      <w:szCs w:val="24"/>
      <w:lang w:val="en-US" w:eastAsia="zh-CN" w:bidi="ar-SA"/>
    </w:rPr>
  </w:style>
  <w:style w:type="character" w:customStyle="1" w:styleId="274">
    <w:name w:val="tw4winInternal"/>
    <w:uiPriority w:val="0"/>
    <w:rPr>
      <w:rFonts w:ascii="Courier New" w:hAnsi="Courier New" w:cs="Courier New"/>
      <w:color w:val="FF0000"/>
      <w:lang/>
    </w:rPr>
  </w:style>
  <w:style w:type="character" w:customStyle="1" w:styleId="275">
    <w:name w:val="标题 2 字符"/>
    <w:uiPriority w:val="0"/>
    <w:rPr>
      <w:rFonts w:ascii="仿宋" w:hAnsi="仿宋"/>
      <w:color w:val="4472C4"/>
      <w:kern w:val="2"/>
      <w:sz w:val="28"/>
      <w:szCs w:val="24"/>
    </w:rPr>
  </w:style>
  <w:style w:type="character" w:customStyle="1" w:styleId="276">
    <w:name w:val="Header Char"/>
    <w:uiPriority w:val="0"/>
    <w:rPr>
      <w:rFonts w:eastAsia="宋体"/>
      <w:kern w:val="2"/>
      <w:sz w:val="18"/>
      <w:szCs w:val="18"/>
      <w:lang w:val="en-US" w:eastAsia="zh-CN" w:bidi="ar-SA"/>
    </w:rPr>
  </w:style>
  <w:style w:type="character" w:customStyle="1" w:styleId="277">
    <w:name w:val=" Char Char5"/>
    <w:uiPriority w:val="0"/>
    <w:rPr>
      <w:rFonts w:ascii="宋体" w:hAnsi="Courier New" w:eastAsia="宋体"/>
      <w:kern w:val="2"/>
      <w:sz w:val="21"/>
      <w:lang w:val="en-US" w:eastAsia="zh-CN"/>
    </w:rPr>
  </w:style>
  <w:style w:type="character" w:customStyle="1" w:styleId="278">
    <w:name w:val="正文缩进 Char"/>
    <w:uiPriority w:val="0"/>
    <w:rPr>
      <w:rFonts w:eastAsia="宋体"/>
      <w:kern w:val="2"/>
      <w:sz w:val="21"/>
      <w:lang w:val="en-US" w:eastAsia="zh-CN"/>
    </w:rPr>
  </w:style>
  <w:style w:type="character" w:customStyle="1" w:styleId="279">
    <w:name w:val="电子邮件签名 Char"/>
    <w:link w:val="17"/>
    <w:uiPriority w:val="0"/>
    <w:rPr>
      <w:rFonts w:ascii="Arial" w:hAnsi="Arial" w:eastAsia="黑体" w:cs="Arial"/>
      <w:snapToGrid w:val="0"/>
      <w:color w:val="000000"/>
      <w:kern w:val="0"/>
      <w:sz w:val="24"/>
      <w:szCs w:val="21"/>
    </w:rPr>
  </w:style>
  <w:style w:type="character" w:customStyle="1" w:styleId="280">
    <w:name w:val="表格 Char Char"/>
    <w:uiPriority w:val="0"/>
    <w:rPr>
      <w:rFonts w:ascii="宋体" w:hAnsi="宋体" w:eastAsia="宋体"/>
      <w:lang w:bidi="ar-SA"/>
    </w:rPr>
  </w:style>
  <w:style w:type="character" w:customStyle="1" w:styleId="281">
    <w:name w:val=" Char Char2"/>
    <w:uiPriority w:val="0"/>
    <w:rPr>
      <w:rFonts w:eastAsia="宋体"/>
      <w:b/>
      <w:bCs/>
      <w:kern w:val="2"/>
      <w:sz w:val="21"/>
      <w:szCs w:val="24"/>
      <w:lang w:val="en-US" w:eastAsia="zh-CN" w:bidi="ar-SA"/>
    </w:rPr>
  </w:style>
  <w:style w:type="character" w:customStyle="1" w:styleId="282">
    <w:name w:val="apple-converted-space"/>
    <w:uiPriority w:val="0"/>
  </w:style>
  <w:style w:type="character" w:customStyle="1" w:styleId="283">
    <w:name w:val="content"/>
    <w:uiPriority w:val="0"/>
  </w:style>
  <w:style w:type="character" w:customStyle="1" w:styleId="284">
    <w:name w:val="批注文字 Char"/>
    <w:uiPriority w:val="0"/>
    <w:rPr>
      <w:kern w:val="2"/>
      <w:sz w:val="21"/>
      <w:szCs w:val="24"/>
    </w:rPr>
  </w:style>
  <w:style w:type="character" w:customStyle="1" w:styleId="285">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286">
    <w:name w:val="页眉 Char"/>
    <w:aliases w:val="页眉2 Char,Ò³Ã¼ Char,header odd Char,居中页眉 Char"/>
    <w:uiPriority w:val="0"/>
    <w:rPr>
      <w:rFonts w:eastAsia="仿宋_GB2312"/>
      <w:kern w:val="2"/>
      <w:sz w:val="18"/>
      <w:lang w:val="en-US" w:eastAsia="zh-CN"/>
    </w:rPr>
  </w:style>
  <w:style w:type="character" w:customStyle="1" w:styleId="287">
    <w:name w:val="样式7 Char"/>
    <w:uiPriority w:val="0"/>
    <w:rPr>
      <w:rFonts w:ascii="仿宋_GB2312" w:hAnsi="仿宋" w:eastAsia="仿宋_GB2312"/>
      <w:b/>
      <w:kern w:val="2"/>
      <w:sz w:val="24"/>
      <w:szCs w:val="24"/>
    </w:rPr>
  </w:style>
  <w:style w:type="character" w:customStyle="1" w:styleId="288">
    <w:name w:val="标题 8 Char"/>
    <w:link w:val="9"/>
    <w:uiPriority w:val="0"/>
    <w:rPr>
      <w:rFonts w:ascii="Arial" w:hAnsi="Arial" w:eastAsia="黑体"/>
      <w:kern w:val="2"/>
      <w:sz w:val="24"/>
      <w:szCs w:val="24"/>
    </w:rPr>
  </w:style>
  <w:style w:type="character" w:customStyle="1" w:styleId="289">
    <w:name w:val=" Char Char7"/>
    <w:uiPriority w:val="0"/>
    <w:rPr>
      <w:rFonts w:eastAsia="宋体"/>
      <w:kern w:val="2"/>
      <w:sz w:val="21"/>
      <w:szCs w:val="24"/>
      <w:lang w:val="en-US" w:eastAsia="zh-CN" w:bidi="ar-SA"/>
    </w:rPr>
  </w:style>
  <w:style w:type="character" w:customStyle="1" w:styleId="290">
    <w:name w:val="style91"/>
    <w:uiPriority w:val="0"/>
    <w:rPr>
      <w:color w:val="333333"/>
    </w:rPr>
  </w:style>
  <w:style w:type="character" w:customStyle="1" w:styleId="291">
    <w:name w:val="Ò³Ã¼ Char Char"/>
    <w:uiPriority w:val="0"/>
    <w:rPr>
      <w:rFonts w:eastAsia="宋体"/>
      <w:kern w:val="2"/>
      <w:sz w:val="18"/>
      <w:lang w:val="en-US" w:eastAsia="zh-CN" w:bidi="ar-SA"/>
    </w:rPr>
  </w:style>
  <w:style w:type="character" w:customStyle="1" w:styleId="292">
    <w:name w:val="tw4winError"/>
    <w:uiPriority w:val="0"/>
    <w:rPr>
      <w:rFonts w:ascii="Courier New" w:hAnsi="Courier New" w:cs="Courier New"/>
      <w:color w:val="00FF00"/>
      <w:sz w:val="40"/>
      <w:szCs w:val="40"/>
    </w:rPr>
  </w:style>
  <w:style w:type="character" w:customStyle="1" w:styleId="293">
    <w:name w:val="称呼 Char"/>
    <w:link w:val="28"/>
    <w:uiPriority w:val="0"/>
    <w:rPr>
      <w:rFonts w:ascii="仿宋_GB2312" w:eastAsia="仿宋_GB2312"/>
      <w:kern w:val="2"/>
      <w:sz w:val="28"/>
    </w:rPr>
  </w:style>
  <w:style w:type="character" w:customStyle="1" w:styleId="294">
    <w:name w:val="h Char Char1"/>
    <w:uiPriority w:val="0"/>
    <w:rPr>
      <w:rFonts w:eastAsia="宋体"/>
      <w:kern w:val="2"/>
      <w:sz w:val="18"/>
      <w:szCs w:val="18"/>
      <w:lang w:val="en-US" w:eastAsia="zh-CN" w:bidi="ar-SA"/>
    </w:rPr>
  </w:style>
  <w:style w:type="character" w:customStyle="1" w:styleId="295">
    <w:name w:val="标题 7 Char"/>
    <w:link w:val="8"/>
    <w:uiPriority w:val="0"/>
    <w:rPr>
      <w:b/>
      <w:bCs/>
      <w:kern w:val="2"/>
      <w:sz w:val="24"/>
      <w:szCs w:val="24"/>
    </w:rPr>
  </w:style>
  <w:style w:type="character" w:customStyle="1" w:styleId="296">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297">
    <w:name w:val="标书表格字体格式 Char"/>
    <w:uiPriority w:val="0"/>
    <w:rPr>
      <w:kern w:val="2"/>
      <w:sz w:val="21"/>
      <w:szCs w:val="24"/>
      <w:lang w:bidi="ar-SA"/>
    </w:rPr>
  </w:style>
  <w:style w:type="character" w:customStyle="1" w:styleId="298">
    <w:name w:val="tw4winTerm"/>
    <w:uiPriority w:val="0"/>
    <w:rPr>
      <w:color w:val="0000FF"/>
    </w:rPr>
  </w:style>
  <w:style w:type="character" w:customStyle="1" w:styleId="299">
    <w:name w:val="正文（缩进2汉字） Char"/>
    <w:link w:val="300"/>
    <w:uiPriority w:val="0"/>
    <w:rPr>
      <w:rFonts w:ascii="宋体"/>
    </w:rPr>
  </w:style>
  <w:style w:type="paragraph" w:customStyle="1" w:styleId="300">
    <w:name w:val="正文（缩进2汉字）"/>
    <w:basedOn w:val="1"/>
    <w:link w:val="299"/>
    <w:uiPriority w:val="0"/>
    <w:pPr>
      <w:tabs>
        <w:tab w:val="left" w:pos="525"/>
      </w:tabs>
      <w:adjustRightInd/>
      <w:spacing w:before="100" w:beforeLines="0" w:beforeAutospacing="1" w:after="100" w:afterLines="0" w:afterAutospacing="1"/>
      <w:ind w:left="120" w:leftChars="50" w:firstLine="494" w:firstLineChars="206"/>
    </w:pPr>
    <w:rPr>
      <w:rFonts w:ascii="宋体" w:cs="Times New Roman"/>
      <w:kern w:val="0"/>
      <w:sz w:val="20"/>
      <w:szCs w:val="20"/>
    </w:rPr>
  </w:style>
  <w:style w:type="character" w:customStyle="1" w:styleId="301">
    <w:name w:val="Footer-Even Char1"/>
    <w:aliases w:val="FtrF Char Char1"/>
    <w:uiPriority w:val="0"/>
    <w:rPr>
      <w:rFonts w:eastAsia="宋体"/>
      <w:kern w:val="2"/>
      <w:sz w:val="18"/>
      <w:szCs w:val="18"/>
      <w:lang w:val="en-US" w:eastAsia="zh-CN" w:bidi="ar-SA"/>
    </w:rPr>
  </w:style>
  <w:style w:type="character" w:customStyle="1" w:styleId="302">
    <w:name w:val="表格(五号) Char"/>
    <w:link w:val="303"/>
    <w:uiPriority w:val="0"/>
    <w:rPr>
      <w:kern w:val="2"/>
      <w:sz w:val="21"/>
      <w:szCs w:val="24"/>
    </w:rPr>
  </w:style>
  <w:style w:type="paragraph" w:customStyle="1" w:styleId="303">
    <w:name w:val="表格(五号)"/>
    <w:basedOn w:val="1"/>
    <w:link w:val="302"/>
    <w:uiPriority w:val="0"/>
    <w:pPr>
      <w:adjustRightInd/>
      <w:snapToGrid w:val="0"/>
      <w:spacing w:before="60" w:beforeLines="0" w:after="60" w:afterLines="0"/>
      <w:ind w:left="11"/>
      <w:jc w:val="center"/>
    </w:pPr>
    <w:rPr>
      <w:rFonts w:cs="Times New Roman"/>
    </w:rPr>
  </w:style>
  <w:style w:type="character" w:customStyle="1" w:styleId="304">
    <w:name w:val="表格标题(居中) Char"/>
    <w:link w:val="305"/>
    <w:uiPriority w:val="0"/>
    <w:rPr>
      <w:rFonts w:eastAsia="黑体"/>
      <w:kern w:val="2"/>
      <w:sz w:val="24"/>
      <w:szCs w:val="24"/>
    </w:rPr>
  </w:style>
  <w:style w:type="paragraph" w:customStyle="1" w:styleId="305">
    <w:name w:val="表格标题(居中)"/>
    <w:basedOn w:val="1"/>
    <w:link w:val="304"/>
    <w:uiPriority w:val="0"/>
    <w:pPr>
      <w:adjustRightInd/>
      <w:snapToGrid w:val="0"/>
      <w:jc w:val="center"/>
    </w:pPr>
    <w:rPr>
      <w:rFonts w:eastAsia="黑体" w:cs="Times New Roman"/>
      <w:sz w:val="24"/>
    </w:rPr>
  </w:style>
  <w:style w:type="character" w:customStyle="1" w:styleId="306">
    <w:name w:val="正文2 Char Char"/>
    <w:link w:val="307"/>
    <w:uiPriority w:val="0"/>
    <w:rPr>
      <w:rFonts w:eastAsia="宋体"/>
      <w:kern w:val="2"/>
      <w:sz w:val="24"/>
      <w:lang w:val="en-US" w:eastAsia="zh-CN" w:bidi="ar-SA"/>
    </w:rPr>
  </w:style>
  <w:style w:type="paragraph" w:customStyle="1" w:styleId="307">
    <w:name w:val="正文2"/>
    <w:basedOn w:val="1"/>
    <w:link w:val="306"/>
    <w:uiPriority w:val="0"/>
    <w:pPr>
      <w:spacing w:before="156" w:beforeLines="0" w:line="360" w:lineRule="auto"/>
      <w:ind w:firstLine="510" w:firstLineChars="200"/>
    </w:pPr>
    <w:rPr>
      <w:sz w:val="24"/>
      <w:szCs w:val="20"/>
    </w:rPr>
  </w:style>
  <w:style w:type="character" w:customStyle="1" w:styleId="308">
    <w:name w:val="Item Step Char"/>
    <w:link w:val="309"/>
    <w:uiPriority w:val="0"/>
    <w:rPr>
      <w:rFonts w:ascii="Arial" w:hAnsi="Arial" w:eastAsia="黑体" w:cs="Arial"/>
      <w:snapToGrid w:val="0"/>
      <w:kern w:val="0"/>
      <w:sz w:val="21"/>
      <w:szCs w:val="24"/>
      <w:lang w:eastAsia="en-US"/>
    </w:rPr>
  </w:style>
  <w:style w:type="paragraph" w:customStyle="1" w:styleId="309">
    <w:name w:val="Item Step"/>
    <w:basedOn w:val="1"/>
    <w:link w:val="308"/>
    <w:uiPriority w:val="0"/>
    <w:pPr>
      <w:widowControl/>
      <w:tabs>
        <w:tab w:val="left" w:pos="1134"/>
      </w:tabs>
      <w:adjustRightInd/>
      <w:spacing w:before="40" w:beforeLines="0" w:after="80" w:afterLines="0"/>
      <w:ind w:left="1134" w:hanging="510"/>
    </w:pPr>
    <w:rPr>
      <w:rFonts w:ascii="Arial" w:hAnsi="Arial" w:eastAsia="黑体" w:cs="Times New Roman"/>
      <w:snapToGrid w:val="0"/>
      <w:kern w:val="0"/>
      <w:lang w:eastAsia="en-US"/>
    </w:rPr>
  </w:style>
  <w:style w:type="character" w:customStyle="1" w:styleId="310">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311">
    <w:name w:val="页脚 Char"/>
    <w:uiPriority w:val="0"/>
    <w:rPr>
      <w:rFonts w:eastAsia="仿宋_GB2312"/>
      <w:kern w:val="2"/>
      <w:sz w:val="18"/>
      <w:lang w:val="en-US" w:eastAsia="zh-CN"/>
    </w:rPr>
  </w:style>
  <w:style w:type="character" w:customStyle="1" w:styleId="312">
    <w:name w:val="正文 Char"/>
    <w:uiPriority w:val="0"/>
    <w:rPr>
      <w:rFonts w:eastAsia="宋体"/>
      <w:color w:val="000000"/>
      <w:sz w:val="24"/>
      <w:lang w:val="en-US" w:eastAsia="zh-CN" w:bidi="ar-SA"/>
    </w:rPr>
  </w:style>
  <w:style w:type="character" w:customStyle="1" w:styleId="313">
    <w:name w:val="纯文本 Char1"/>
    <w:link w:val="314"/>
    <w:uiPriority w:val="0"/>
    <w:rPr>
      <w:rFonts w:ascii="宋体" w:hAnsi="Courier New"/>
    </w:rPr>
  </w:style>
  <w:style w:type="paragraph" w:customStyle="1" w:styleId="314">
    <w:name w:val="纯文本1"/>
    <w:basedOn w:val="1"/>
    <w:link w:val="313"/>
    <w:uiPriority w:val="0"/>
    <w:pPr>
      <w:adjustRightInd/>
    </w:pPr>
    <w:rPr>
      <w:rFonts w:ascii="宋体" w:hAnsi="Courier New" w:cs="Times New Roman"/>
      <w:kern w:val="0"/>
      <w:sz w:val="20"/>
      <w:szCs w:val="20"/>
    </w:rPr>
  </w:style>
  <w:style w:type="character" w:customStyle="1" w:styleId="315">
    <w:name w:val="正文文本 Char1"/>
    <w:link w:val="32"/>
    <w:uiPriority w:val="0"/>
    <w:rPr>
      <w:rFonts w:ascii="宋体" w:hAnsi="Arial" w:eastAsia="宋体" w:cs="Arial"/>
      <w:snapToGrid w:val="0"/>
      <w:kern w:val="2"/>
      <w:sz w:val="24"/>
      <w:szCs w:val="21"/>
      <w:lang w:val="zh-CN" w:eastAsia="zh-CN" w:bidi="ar-SA"/>
    </w:rPr>
  </w:style>
  <w:style w:type="character" w:customStyle="1" w:styleId="316">
    <w:name w:val="Char Char6"/>
    <w:uiPriority w:val="0"/>
    <w:rPr>
      <w:rFonts w:eastAsia="宋体"/>
      <w:kern w:val="2"/>
      <w:sz w:val="21"/>
      <w:szCs w:val="24"/>
      <w:lang w:val="en-US" w:eastAsia="zh-CN" w:bidi="ar-SA"/>
    </w:rPr>
  </w:style>
  <w:style w:type="character" w:customStyle="1" w:styleId="317">
    <w:name w:val="样式8 Char"/>
    <w:uiPriority w:val="0"/>
    <w:rPr>
      <w:rFonts w:ascii="仿宋_GB2312" w:hAnsi="宋体" w:eastAsia="仿宋_GB2312"/>
      <w:b/>
      <w:bCs/>
      <w:kern w:val="2"/>
      <w:sz w:val="24"/>
      <w:szCs w:val="24"/>
    </w:rPr>
  </w:style>
  <w:style w:type="character" w:customStyle="1" w:styleId="318">
    <w:name w:val="列出段落 Char1"/>
    <w:link w:val="319"/>
    <w:uiPriority w:val="0"/>
    <w:rPr>
      <w:rFonts w:eastAsia="楷体_GB2312" w:cs="Lucida Sans"/>
      <w:kern w:val="2"/>
      <w:sz w:val="24"/>
      <w:szCs w:val="24"/>
    </w:rPr>
  </w:style>
  <w:style w:type="paragraph" w:styleId="319">
    <w:name w:val="List Paragraph"/>
    <w:basedOn w:val="1"/>
    <w:link w:val="318"/>
    <w:qFormat/>
    <w:uiPriority w:val="0"/>
    <w:pPr>
      <w:spacing w:line="360" w:lineRule="auto"/>
      <w:ind w:firstLine="200" w:firstLineChars="200"/>
    </w:pPr>
    <w:rPr>
      <w:rFonts w:eastAsia="楷体_GB2312" w:cs="Times New Roman"/>
      <w:sz w:val="24"/>
    </w:rPr>
  </w:style>
  <w:style w:type="character" w:customStyle="1" w:styleId="320">
    <w:name w:val="正文2 Char"/>
    <w:uiPriority w:val="0"/>
    <w:rPr>
      <w:rFonts w:eastAsia="宋体"/>
      <w:kern w:val="2"/>
      <w:sz w:val="24"/>
      <w:lang w:val="en-US" w:eastAsia="zh-CN" w:bidi="ar-SA"/>
    </w:rPr>
  </w:style>
  <w:style w:type="character" w:customStyle="1" w:styleId="321">
    <w:name w:val="正文缩进 Char2"/>
    <w:link w:val="19"/>
    <w:uiPriority w:val="0"/>
    <w:rPr>
      <w:rFonts w:ascii="宋体" w:eastAsia="宋体"/>
      <w:snapToGrid w:val="0"/>
      <w:color w:val="000000"/>
      <w:kern w:val="28"/>
      <w:sz w:val="28"/>
      <w:lang w:val="en-US" w:eastAsia="zh-CN" w:bidi="ar-SA"/>
    </w:rPr>
  </w:style>
  <w:style w:type="character" w:customStyle="1" w:styleId="322">
    <w:name w:val="标题 Char"/>
    <w:uiPriority w:val="0"/>
    <w:rPr>
      <w:rFonts w:eastAsia="宋体"/>
      <w:b/>
      <w:sz w:val="24"/>
      <w:lang w:val="en-GB" w:eastAsia="zh-CN" w:bidi="ar-SA"/>
    </w:rPr>
  </w:style>
  <w:style w:type="character" w:customStyle="1" w:styleId="323">
    <w:name w:val="dandyren_title1"/>
    <w:uiPriority w:val="0"/>
    <w:rPr>
      <w:b/>
      <w:bCs/>
      <w:color w:val="FF6633"/>
      <w:sz w:val="18"/>
      <w:szCs w:val="18"/>
    </w:rPr>
  </w:style>
  <w:style w:type="character" w:customStyle="1" w:styleId="324">
    <w:name w:val=" Char Char9"/>
    <w:uiPriority w:val="0"/>
    <w:rPr>
      <w:rFonts w:eastAsia="宋体"/>
      <w:kern w:val="2"/>
      <w:sz w:val="18"/>
      <w:szCs w:val="18"/>
      <w:lang w:val="en-US" w:eastAsia="zh-CN" w:bidi="ar-SA"/>
    </w:rPr>
  </w:style>
  <w:style w:type="character" w:customStyle="1" w:styleId="325">
    <w:name w:val="Char Char4"/>
    <w:uiPriority w:val="0"/>
    <w:rPr>
      <w:rFonts w:eastAsia="宋体"/>
      <w:b/>
      <w:sz w:val="24"/>
      <w:lang w:val="en-GB" w:eastAsia="zh-CN" w:bidi="ar-SA"/>
    </w:rPr>
  </w:style>
  <w:style w:type="character" w:customStyle="1" w:styleId="326">
    <w:name w:val="二级标题 Char Char"/>
    <w:uiPriority w:val="0"/>
    <w:rPr>
      <w:rFonts w:ascii="宋体" w:hAnsi="宋体" w:eastAsia="宋体"/>
      <w:b/>
      <w:snapToGrid w:val="0"/>
      <w:kern w:val="2"/>
      <w:sz w:val="24"/>
      <w:szCs w:val="24"/>
      <w:lang w:val="en-US" w:eastAsia="zh-CN" w:bidi="ar-SA"/>
    </w:rPr>
  </w:style>
  <w:style w:type="character" w:customStyle="1" w:styleId="327">
    <w:name w:val="tw4winJump"/>
    <w:uiPriority w:val="0"/>
    <w:rPr>
      <w:rFonts w:ascii="Courier New" w:hAnsi="Courier New" w:cs="Courier New"/>
      <w:color w:val="008080"/>
      <w:lang/>
    </w:rPr>
  </w:style>
  <w:style w:type="character" w:customStyle="1" w:styleId="328">
    <w:name w:val=" Char Char6"/>
    <w:uiPriority w:val="0"/>
    <w:rPr>
      <w:rFonts w:eastAsia="宋体"/>
      <w:kern w:val="2"/>
      <w:sz w:val="21"/>
      <w:szCs w:val="24"/>
      <w:lang w:val="en-US" w:eastAsia="zh-CN" w:bidi="ar-SA"/>
    </w:rPr>
  </w:style>
  <w:style w:type="character" w:customStyle="1" w:styleId="329">
    <w:name w:val="正文首行缩进两字 Char"/>
    <w:uiPriority w:val="0"/>
    <w:rPr>
      <w:sz w:val="24"/>
      <w:szCs w:val="24"/>
      <w:lang w:val="en-US" w:eastAsia="zh-CN" w:bidi="ar-SA"/>
    </w:rPr>
  </w:style>
  <w:style w:type="character" w:customStyle="1" w:styleId="330">
    <w:name w:val="样式3 Char"/>
    <w:basedOn w:val="203"/>
    <w:uiPriority w:val="0"/>
  </w:style>
  <w:style w:type="character" w:customStyle="1" w:styleId="331">
    <w:name w:val="font31"/>
    <w:uiPriority w:val="0"/>
    <w:rPr>
      <w:rFonts w:hint="eastAsia" w:ascii="微软雅黑" w:hAnsi="微软雅黑" w:eastAsia="微软雅黑" w:cs="微软雅黑"/>
      <w:snapToGrid w:val="0"/>
      <w:color w:val="000000"/>
      <w:kern w:val="0"/>
      <w:sz w:val="22"/>
      <w:szCs w:val="22"/>
      <w:u w:val="none"/>
    </w:rPr>
  </w:style>
  <w:style w:type="character" w:customStyle="1" w:styleId="332">
    <w:name w:val="标题 3 字符"/>
    <w:uiPriority w:val="0"/>
    <w:rPr>
      <w:rFonts w:ascii="仿宋" w:hAnsi="仿宋" w:eastAsia="宋体"/>
      <w:color w:val="4472C4"/>
      <w:kern w:val="2"/>
      <w:sz w:val="28"/>
      <w:szCs w:val="24"/>
    </w:rPr>
  </w:style>
  <w:style w:type="character" w:customStyle="1" w:styleId="333">
    <w:name w:val=" Char Char3"/>
    <w:uiPriority w:val="0"/>
    <w:rPr>
      <w:rFonts w:eastAsia="宋体"/>
      <w:kern w:val="2"/>
      <w:sz w:val="21"/>
      <w:szCs w:val="24"/>
      <w:lang w:val="en-US" w:eastAsia="zh-CN" w:bidi="ar-SA"/>
    </w:rPr>
  </w:style>
  <w:style w:type="character" w:customStyle="1" w:styleId="334">
    <w:name w:val="正文文本 2 Char"/>
    <w:uiPriority w:val="0"/>
    <w:rPr>
      <w:rFonts w:eastAsia="宋体"/>
      <w:kern w:val="2"/>
      <w:sz w:val="21"/>
      <w:szCs w:val="24"/>
      <w:lang w:val="en-US" w:eastAsia="zh-CN" w:bidi="ar-SA"/>
    </w:rPr>
  </w:style>
  <w:style w:type="character" w:customStyle="1" w:styleId="335">
    <w:name w:val="solutionfonts"/>
    <w:uiPriority w:val="0"/>
  </w:style>
  <w:style w:type="character" w:customStyle="1" w:styleId="336">
    <w:name w:val="javascript"/>
    <w:uiPriority w:val="0"/>
  </w:style>
  <w:style w:type="character" w:customStyle="1" w:styleId="337">
    <w:name w:val="正文1 Char1"/>
    <w:uiPriority w:val="0"/>
    <w:rPr>
      <w:rFonts w:ascii="仿宋_GB2312" w:hAnsi="Courier New" w:eastAsia="仿宋_GB2312"/>
      <w:kern w:val="28"/>
      <w:sz w:val="24"/>
      <w:szCs w:val="24"/>
      <w:lang/>
    </w:rPr>
  </w:style>
  <w:style w:type="character" w:customStyle="1" w:styleId="338">
    <w:name w:val="样式5 Char"/>
    <w:uiPriority w:val="0"/>
    <w:rPr>
      <w:rFonts w:ascii="仿宋_GB2312" w:hAnsi="仿宋" w:eastAsia="仿宋_GB2312"/>
      <w:kern w:val="2"/>
      <w:sz w:val="24"/>
      <w:szCs w:val="24"/>
    </w:rPr>
  </w:style>
  <w:style w:type="character" w:customStyle="1" w:styleId="339">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340">
    <w:name w:val="页眉 Char1"/>
    <w:aliases w:val="h Char"/>
    <w:uiPriority w:val="0"/>
    <w:rPr>
      <w:rFonts w:eastAsia="宋体"/>
      <w:kern w:val="2"/>
      <w:sz w:val="18"/>
      <w:szCs w:val="18"/>
      <w:lang w:val="en-US" w:eastAsia="zh-CN" w:bidi="ar-SA"/>
    </w:rPr>
  </w:style>
  <w:style w:type="character" w:customStyle="1" w:styleId="341">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342">
    <w:name w:val="注释标题 Char"/>
    <w:link w:val="14"/>
    <w:uiPriority w:val="0"/>
    <w:rPr>
      <w:rFonts w:ascii="Arial" w:hAnsi="Arial" w:eastAsia="黑体" w:cs="Arial"/>
      <w:snapToGrid w:val="0"/>
      <w:color w:val="000000"/>
      <w:kern w:val="0"/>
      <w:sz w:val="24"/>
      <w:szCs w:val="21"/>
    </w:rPr>
  </w:style>
  <w:style w:type="paragraph" w:customStyle="1" w:styleId="343">
    <w:name w:val=" Char Char1"/>
    <w:basedOn w:val="1"/>
    <w:uiPriority w:val="0"/>
    <w:pPr>
      <w:widowControl/>
      <w:spacing w:after="160" w:afterLines="0" w:line="240" w:lineRule="exact"/>
      <w:jc w:val="left"/>
    </w:pPr>
    <w:rPr>
      <w:rFonts w:eastAsia="仿宋_GB2312"/>
      <w:sz w:val="28"/>
    </w:rPr>
  </w:style>
  <w:style w:type="paragraph" w:customStyle="1" w:styleId="344">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345">
    <w:name w:val="bullet"/>
    <w:basedOn w:val="1"/>
    <w:uiPriority w:val="0"/>
    <w:pPr>
      <w:tabs>
        <w:tab w:val="left" w:pos="840"/>
      </w:tabs>
      <w:adjustRightInd/>
      <w:ind w:left="840" w:hanging="420"/>
    </w:pPr>
  </w:style>
  <w:style w:type="paragraph" w:customStyle="1" w:styleId="346">
    <w:name w:val="插图说明"/>
    <w:basedOn w:val="1"/>
    <w:uiPriority w:val="0"/>
    <w:pPr>
      <w:spacing w:after="240" w:afterLines="0"/>
      <w:ind w:firstLineChars="200"/>
      <w:jc w:val="center"/>
      <w:textAlignment w:val="baseline"/>
    </w:pPr>
    <w:rPr>
      <w:rFonts w:eastAsia="黑体"/>
      <w:sz w:val="24"/>
      <w:szCs w:val="20"/>
    </w:rPr>
  </w:style>
  <w:style w:type="paragraph" w:customStyle="1" w:styleId="347">
    <w:name w:val=" Char3 Char Char Char"/>
    <w:basedOn w:val="1"/>
    <w:uiPriority w:val="0"/>
    <w:pPr>
      <w:widowControl/>
      <w:adjustRightInd/>
      <w:spacing w:after="160" w:afterLines="0" w:line="240" w:lineRule="exact"/>
      <w:jc w:val="left"/>
    </w:pPr>
    <w:rPr>
      <w:szCs w:val="20"/>
    </w:rPr>
  </w:style>
  <w:style w:type="paragraph" w:customStyle="1" w:styleId="348">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49">
    <w:name w:val="aspnumfaautoadjustrightr"/>
    <w:uiPriority w:val="0"/>
    <w:pPr>
      <w:widowControl w:val="0"/>
      <w:autoSpaceDE w:val="0"/>
      <w:autoSpaceDN w:val="0"/>
      <w:adjustRightInd w:val="0"/>
      <w:ind w:firstLine="720"/>
      <w:jc w:val="both"/>
    </w:pPr>
    <w:rPr>
      <w:lang w:val="en-US" w:eastAsia="zh-CN" w:bidi="ar-SA"/>
    </w:rPr>
  </w:style>
  <w:style w:type="paragraph" w:customStyle="1" w:styleId="350">
    <w:name w:val="xl132"/>
    <w:basedOn w:val="1"/>
    <w:uiPriority w:val="0"/>
    <w:pPr>
      <w:widowControl/>
      <w:pBdr>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351">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52">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53">
    <w:name w:val="四号　首行缩进"/>
    <w:basedOn w:val="1"/>
    <w:uiPriority w:val="0"/>
    <w:pPr>
      <w:adjustRightInd/>
      <w:spacing w:line="360" w:lineRule="auto"/>
    </w:pPr>
    <w:rPr>
      <w:rFonts w:ascii="宋体" w:hAnsi="宋体"/>
      <w:szCs w:val="20"/>
    </w:rPr>
  </w:style>
  <w:style w:type="paragraph" w:customStyle="1" w:styleId="354">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355">
    <w:name w:val="彩色列表 - 强调文字颜色 12"/>
    <w:basedOn w:val="1"/>
    <w:uiPriority w:val="0"/>
    <w:pPr>
      <w:adjustRightInd/>
      <w:ind w:firstLine="420" w:firstLineChars="200"/>
    </w:pPr>
    <w:rPr>
      <w:rFonts w:ascii="Calibri" w:hAnsi="Calibri"/>
      <w:szCs w:val="22"/>
    </w:rPr>
  </w:style>
  <w:style w:type="paragraph" w:customStyle="1" w:styleId="356">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57">
    <w:name w:val="样式 样式2 + 左侧:  1 字符 右侧:  1 字符"/>
    <w:basedOn w:val="358"/>
    <w:uiPriority w:val="0"/>
    <w:pPr>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358">
    <w:name w:val="样式2"/>
    <w:basedOn w:val="1"/>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59">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360">
    <w:name w:val="Bulleting First Indent 1"/>
    <w:basedOn w:val="83"/>
    <w:uiPriority w:val="0"/>
    <w:pPr>
      <w:tabs>
        <w:tab w:val="left" w:pos="840"/>
      </w:tabs>
      <w:autoSpaceDE/>
      <w:autoSpaceDN/>
      <w:adjustRightInd/>
      <w:spacing w:before="20" w:beforeLines="0" w:after="20" w:afterLines="0" w:line="300" w:lineRule="auto"/>
      <w:ind w:left="840" w:hanging="420"/>
    </w:pPr>
    <w:rPr>
      <w:rFonts w:ascii="Tahoma" w:hAnsi="Tahoma"/>
      <w:kern w:val="0"/>
      <w:sz w:val="21"/>
      <w:szCs w:val="21"/>
      <w:lang w:val="en-US" w:eastAsia="zh-CN"/>
    </w:rPr>
  </w:style>
  <w:style w:type="paragraph" w:customStyle="1" w:styleId="361">
    <w:name w:val="表格标题2"/>
    <w:basedOn w:val="362"/>
    <w:uiPriority w:val="0"/>
    <w:rPr>
      <w:b/>
    </w:rPr>
  </w:style>
  <w:style w:type="paragraph" w:customStyle="1" w:styleId="362">
    <w:name w:val="表格内文"/>
    <w:basedOn w:val="1"/>
    <w:uiPriority w:val="0"/>
    <w:pPr>
      <w:adjustRightInd/>
      <w:spacing w:line="360" w:lineRule="auto"/>
    </w:pPr>
    <w:rPr>
      <w:rFonts w:ascii="宋体" w:hAnsi="宋体" w:cs="宋体"/>
      <w:color w:val="000000"/>
      <w:szCs w:val="20"/>
    </w:rPr>
  </w:style>
  <w:style w:type="paragraph" w:customStyle="1" w:styleId="363">
    <w:name w:val="_Style 2"/>
    <w:basedOn w:val="1"/>
    <w:qFormat/>
    <w:uiPriority w:val="0"/>
    <w:pPr>
      <w:spacing w:line="360" w:lineRule="auto"/>
      <w:ind w:firstLine="200" w:firstLineChars="200"/>
    </w:pPr>
    <w:rPr>
      <w:rFonts w:eastAsia="楷体_GB2312"/>
      <w:sz w:val="24"/>
    </w:rPr>
  </w:style>
  <w:style w:type="paragraph" w:customStyle="1" w:styleId="364">
    <w:name w:val="xl85"/>
    <w:basedOn w:val="1"/>
    <w:uiPriority w:val="0"/>
    <w:pPr>
      <w:widowControl/>
      <w:pBdr>
        <w:top w:val="single" w:color="auto" w:sz="4" w:space="0"/>
        <w:bottom w:val="single" w:color="auto" w:sz="4" w:space="0"/>
        <w:right w:val="single" w:color="auto" w:sz="8" w:space="0"/>
      </w:pBdr>
      <w:shd w:val="clear" w:color="000000" w:fill="FFFFFF"/>
      <w:adjustRightInd/>
      <w:spacing w:before="100" w:beforeLines="0" w:beforeAutospacing="1" w:after="100" w:afterLines="0" w:afterAutospacing="1"/>
      <w:jc w:val="center"/>
    </w:pPr>
    <w:rPr>
      <w:rFonts w:ascii="微软雅黑" w:hAnsi="微软雅黑" w:eastAsia="微软雅黑" w:cs="宋体"/>
      <w:b/>
      <w:bCs/>
      <w:kern w:val="0"/>
      <w:sz w:val="20"/>
      <w:szCs w:val="20"/>
    </w:rPr>
  </w:style>
  <w:style w:type="paragraph" w:customStyle="1" w:styleId="365">
    <w:name w:val="默认段落字体 Para Char Char Char Char"/>
    <w:basedOn w:val="1"/>
    <w:uiPriority w:val="0"/>
    <w:pPr>
      <w:spacing w:line="360" w:lineRule="auto"/>
    </w:pPr>
    <w:rPr>
      <w:szCs w:val="20"/>
    </w:rPr>
  </w:style>
  <w:style w:type="paragraph" w:customStyle="1" w:styleId="366">
    <w:name w:val="彩色底纹 - 强调文字颜色 11"/>
    <w:uiPriority w:val="0"/>
    <w:rPr>
      <w:kern w:val="2"/>
      <w:sz w:val="21"/>
      <w:szCs w:val="24"/>
      <w:lang w:val="en-US" w:eastAsia="zh-CN" w:bidi="ar-SA"/>
    </w:rPr>
  </w:style>
  <w:style w:type="paragraph" w:customStyle="1" w:styleId="367">
    <w:name w:val="Char Char1 Char Char Char Char Char Char Char"/>
    <w:basedOn w:val="1"/>
    <w:uiPriority w:val="0"/>
    <w:pPr>
      <w:adjustRightInd/>
    </w:pPr>
    <w:rPr>
      <w:rFonts w:ascii="Tahoma" w:hAnsi="Tahoma" w:eastAsia="仿宋_GB2312"/>
      <w:sz w:val="28"/>
    </w:rPr>
  </w:style>
  <w:style w:type="paragraph" w:customStyle="1" w:styleId="368">
    <w:name w:val="Table Text"/>
    <w:basedOn w:val="1"/>
    <w:uiPriority w:val="0"/>
    <w:pPr>
      <w:widowControl/>
      <w:spacing w:before="60" w:beforeLines="0" w:after="60" w:afterLines="0"/>
      <w:jc w:val="left"/>
    </w:pPr>
    <w:rPr>
      <w:kern w:val="0"/>
      <w:sz w:val="24"/>
    </w:rPr>
  </w:style>
  <w:style w:type="paragraph" w:customStyle="1" w:styleId="369">
    <w:name w:val="表格文字"/>
    <w:basedOn w:val="1"/>
    <w:next w:val="19"/>
    <w:uiPriority w:val="0"/>
    <w:pPr>
      <w:adjustRightInd/>
      <w:ind w:firstLine="200" w:firstLineChars="200"/>
    </w:pPr>
    <w:rPr>
      <w:rFonts w:ascii="Arial" w:hAnsi="Arial"/>
      <w:spacing w:val="-5"/>
      <w:kern w:val="0"/>
      <w:sz w:val="24"/>
      <w:szCs w:val="20"/>
    </w:rPr>
  </w:style>
  <w:style w:type="paragraph" w:customStyle="1" w:styleId="370">
    <w:name w:val="xl83"/>
    <w:basedOn w:val="1"/>
    <w:uiPriority w:val="0"/>
    <w:pPr>
      <w:widowControl/>
      <w:pBdr>
        <w:top w:val="single" w:color="auto" w:sz="4" w:space="0"/>
        <w:left w:val="single" w:color="auto" w:sz="8" w:space="0"/>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b/>
      <w:bCs/>
      <w:kern w:val="0"/>
      <w:sz w:val="20"/>
      <w:szCs w:val="20"/>
    </w:rPr>
  </w:style>
  <w:style w:type="paragraph" w:customStyle="1" w:styleId="371">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72">
    <w:name w:val="UNI_正文"/>
    <w:basedOn w:val="1"/>
    <w:uiPriority w:val="0"/>
    <w:pPr>
      <w:adjustRightInd/>
      <w:spacing w:before="60" w:beforeLines="0" w:after="60" w:afterLines="0"/>
      <w:ind w:firstLine="200" w:firstLineChars="200"/>
    </w:pPr>
    <w:rPr>
      <w:rFonts w:eastAsia="仿宋_GB2312"/>
      <w:sz w:val="28"/>
      <w:szCs w:val="20"/>
    </w:rPr>
  </w:style>
  <w:style w:type="paragraph" w:customStyle="1" w:styleId="373">
    <w:name w:val="样式6"/>
    <w:basedOn w:val="43"/>
    <w:uiPriority w:val="0"/>
    <w:pPr>
      <w:spacing w:line="460" w:lineRule="exact"/>
      <w:outlineLvl w:val="2"/>
    </w:pPr>
    <w:rPr>
      <w:rFonts w:ascii="仿宋_GB2312" w:hAnsi="宋体" w:eastAsia="仿宋_GB2312"/>
      <w:b/>
      <w:bCs/>
      <w:sz w:val="24"/>
      <w:szCs w:val="24"/>
    </w:rPr>
  </w:style>
  <w:style w:type="paragraph" w:customStyle="1" w:styleId="374">
    <w:name w:val="xl91"/>
    <w:basedOn w:val="1"/>
    <w:uiPriority w:val="0"/>
    <w:pPr>
      <w:widowControl/>
      <w:pBdr>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375">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3" w:lineRule="auto"/>
      <w:ind w:left="425" w:hanging="425"/>
    </w:pPr>
    <w:rPr>
      <w:rFonts w:ascii="微软雅黑" w:hAnsi="微软雅黑" w:eastAsia="微软雅黑"/>
      <w:sz w:val="32"/>
      <w:szCs w:val="32"/>
      <w:lang w:val="en-US"/>
    </w:rPr>
  </w:style>
  <w:style w:type="paragraph" w:customStyle="1" w:styleId="376">
    <w:name w:val="MM Topic 4"/>
    <w:basedOn w:val="5"/>
    <w:uiPriority w:val="0"/>
    <w:pPr>
      <w:numPr>
        <w:ilvl w:val="3"/>
        <w:numId w:val="4"/>
      </w:numPr>
      <w:tabs>
        <w:tab w:val="clear" w:pos="864"/>
      </w:tabs>
      <w:adjustRightInd/>
    </w:pPr>
    <w:rPr>
      <w:lang w:val="en-US"/>
    </w:rPr>
  </w:style>
  <w:style w:type="paragraph" w:customStyle="1" w:styleId="377">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378">
    <w:name w:val="Char1 Char Char Char5"/>
    <w:basedOn w:val="1"/>
    <w:uiPriority w:val="0"/>
    <w:pPr>
      <w:adjustRightInd/>
      <w:ind w:firstLine="200" w:firstLineChars="200"/>
    </w:pPr>
    <w:rPr>
      <w:rFonts w:ascii="Tahoma" w:hAnsi="Tahoma"/>
      <w:sz w:val="24"/>
      <w:szCs w:val="20"/>
    </w:rPr>
  </w:style>
  <w:style w:type="paragraph" w:customStyle="1" w:styleId="379">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380">
    <w:name w:val="表格项目符号 2"/>
    <w:basedOn w:val="38"/>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81">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382">
    <w:name w:val="Char2 Char Char"/>
    <w:basedOn w:val="1"/>
    <w:uiPriority w:val="0"/>
    <w:pPr>
      <w:adjustRightInd/>
    </w:pPr>
    <w:rPr>
      <w:rFonts w:ascii="Tahoma" w:hAnsi="Tahoma"/>
      <w:sz w:val="24"/>
      <w:szCs w:val="20"/>
    </w:rPr>
  </w:style>
  <w:style w:type="paragraph" w:customStyle="1" w:styleId="383">
    <w:name w:val="xl100"/>
    <w:basedOn w:val="1"/>
    <w:uiPriority w:val="0"/>
    <w:pPr>
      <w:widowControl/>
      <w:pBdr>
        <w:left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384">
    <w:name w:val="Char Char1 Char Char Char"/>
    <w:basedOn w:val="1"/>
    <w:uiPriority w:val="0"/>
    <w:rPr>
      <w:rFonts w:ascii="仿宋_GB2312" w:eastAsia="仿宋_GB2312"/>
      <w:b/>
      <w:sz w:val="32"/>
      <w:szCs w:val="20"/>
    </w:rPr>
  </w:style>
  <w:style w:type="paragraph" w:customStyle="1" w:styleId="385">
    <w:name w:val="Char Char Char1 Char"/>
    <w:basedOn w:val="1"/>
    <w:uiPriority w:val="0"/>
    <w:rPr>
      <w:szCs w:val="20"/>
    </w:rPr>
  </w:style>
  <w:style w:type="paragraph" w:customStyle="1" w:styleId="386">
    <w:name w:val=" Char Char Char1 Char"/>
    <w:basedOn w:val="1"/>
    <w:uiPriority w:val="0"/>
    <w:rPr>
      <w:szCs w:val="20"/>
    </w:rPr>
  </w:style>
  <w:style w:type="paragraph" w:customStyle="1" w:styleId="387">
    <w:name w:val=" Char3"/>
    <w:basedOn w:val="1"/>
    <w:uiPriority w:val="0"/>
    <w:pPr>
      <w:adjustRightInd/>
    </w:pPr>
    <w:rPr>
      <w:rFonts w:ascii="仿宋_GB2312" w:eastAsia="仿宋_GB2312"/>
      <w:b/>
      <w:sz w:val="32"/>
      <w:szCs w:val="32"/>
    </w:rPr>
  </w:style>
  <w:style w:type="paragraph" w:customStyle="1" w:styleId="388">
    <w:name w:val="单元格左对齐"/>
    <w:basedOn w:val="1"/>
    <w:uiPriority w:val="0"/>
    <w:pPr>
      <w:adjustRightInd/>
      <w:spacing w:line="360" w:lineRule="auto"/>
    </w:pPr>
    <w:rPr>
      <w:sz w:val="24"/>
    </w:rPr>
  </w:style>
  <w:style w:type="paragraph" w:customStyle="1" w:styleId="389">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390">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391">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92">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93">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394">
    <w:name w:val=" Char"/>
    <w:basedOn w:val="1"/>
    <w:uiPriority w:val="0"/>
    <w:rPr>
      <w:rFonts w:ascii="仿宋_GB2312" w:eastAsia="仿宋_GB2312"/>
      <w:b/>
      <w:sz w:val="32"/>
      <w:szCs w:val="32"/>
    </w:rPr>
  </w:style>
  <w:style w:type="paragraph" w:customStyle="1" w:styleId="395">
    <w:name w:val="正文缩进1"/>
    <w:basedOn w:val="1"/>
    <w:next w:val="3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96">
    <w:name w:val="MM Topic 1"/>
    <w:basedOn w:val="2"/>
    <w:uiPriority w:val="0"/>
    <w:pPr>
      <w:numPr>
        <w:ilvl w:val="0"/>
        <w:numId w:val="0"/>
      </w:numPr>
      <w:tabs>
        <w:tab w:val="left" w:pos="840"/>
        <w:tab w:val="clear" w:pos="432"/>
      </w:tabs>
      <w:adjustRightInd/>
      <w:ind w:left="840" w:hanging="420"/>
    </w:pPr>
  </w:style>
  <w:style w:type="paragraph" w:customStyle="1" w:styleId="397">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398">
    <w:name w:val="xl128"/>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399">
    <w:name w:val="正文首行缩进1"/>
    <w:basedOn w:val="3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400">
    <w:name w:val="二级条标题"/>
    <w:basedOn w:val="401"/>
    <w:next w:val="403"/>
    <w:uiPriority w:val="0"/>
    <w:pPr>
      <w:tabs>
        <w:tab w:val="left" w:pos="2100"/>
      </w:tabs>
      <w:ind w:left="0"/>
      <w:outlineLvl w:val="3"/>
    </w:pPr>
  </w:style>
  <w:style w:type="paragraph" w:customStyle="1" w:styleId="401">
    <w:name w:val="一级条标题"/>
    <w:basedOn w:val="402"/>
    <w:next w:val="403"/>
    <w:uiPriority w:val="0"/>
    <w:pPr>
      <w:tabs>
        <w:tab w:val="left" w:pos="1680"/>
      </w:tabs>
      <w:spacing w:before="0" w:beforeLines="0" w:after="0" w:afterLines="0"/>
      <w:ind w:left="1680"/>
      <w:outlineLvl w:val="2"/>
    </w:pPr>
  </w:style>
  <w:style w:type="paragraph" w:customStyle="1" w:styleId="402">
    <w:name w:val="章标题"/>
    <w:next w:val="403"/>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403">
    <w:name w:val="段"/>
    <w:uiPriority w:val="0"/>
    <w:pPr>
      <w:autoSpaceDE w:val="0"/>
      <w:autoSpaceDN w:val="0"/>
      <w:ind w:firstLine="200" w:firstLineChars="200"/>
      <w:jc w:val="both"/>
    </w:pPr>
    <w:rPr>
      <w:rFonts w:ascii="宋体"/>
      <w:sz w:val="21"/>
      <w:lang w:val="en-US" w:eastAsia="zh-CN" w:bidi="ar-SA"/>
    </w:rPr>
  </w:style>
  <w:style w:type="paragraph" w:customStyle="1" w:styleId="404">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405">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406">
    <w:name w:val="font12"/>
    <w:basedOn w:val="1"/>
    <w:uiPriority w:val="0"/>
    <w:pPr>
      <w:widowControl/>
      <w:adjustRightInd/>
      <w:spacing w:before="100" w:beforeLines="0" w:beforeAutospacing="1" w:after="100" w:afterLines="0" w:afterAutospacing="1"/>
      <w:jc w:val="left"/>
    </w:pPr>
    <w:rPr>
      <w:rFonts w:ascii="宋体" w:hAnsi="宋体" w:eastAsia="仿宋_GB2312" w:cs="宋体"/>
      <w:b/>
      <w:bCs/>
      <w:kern w:val="0"/>
      <w:sz w:val="28"/>
    </w:rPr>
  </w:style>
  <w:style w:type="paragraph" w:customStyle="1" w:styleId="407">
    <w:name w:val="_Style 423"/>
    <w:next w:val="1"/>
    <w:uiPriority w:val="0"/>
    <w:pPr>
      <w:widowControl w:val="0"/>
      <w:adjustRightInd w:val="0"/>
      <w:jc w:val="both"/>
    </w:pPr>
    <w:rPr>
      <w:kern w:val="2"/>
      <w:sz w:val="21"/>
      <w:szCs w:val="24"/>
      <w:lang w:val="en-US" w:eastAsia="zh-CN" w:bidi="ar-SA"/>
    </w:rPr>
  </w:style>
  <w:style w:type="paragraph" w:customStyle="1" w:styleId="408">
    <w:name w:val="xl90"/>
    <w:basedOn w:val="1"/>
    <w:uiPriority w:val="0"/>
    <w:pPr>
      <w:widowControl/>
      <w:pBdr>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09">
    <w:name w:val="font15"/>
    <w:basedOn w:val="1"/>
    <w:uiPriority w:val="0"/>
    <w:pPr>
      <w:widowControl/>
      <w:adjustRightInd/>
      <w:spacing w:before="100" w:beforeLines="0" w:beforeAutospacing="1" w:after="100" w:afterLines="0" w:afterAutospacing="1"/>
      <w:jc w:val="left"/>
    </w:pPr>
    <w:rPr>
      <w:rFonts w:ascii="宋体" w:hAnsi="宋体" w:cs="宋体"/>
      <w:color w:val="FF0000"/>
      <w:kern w:val="0"/>
      <w:sz w:val="24"/>
    </w:rPr>
  </w:style>
  <w:style w:type="paragraph" w:customStyle="1" w:styleId="410">
    <w:name w:val="样式8"/>
    <w:basedOn w:val="1"/>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11">
    <w:name w:val="Char21"/>
    <w:basedOn w:val="1"/>
    <w:uiPriority w:val="0"/>
    <w:pPr>
      <w:adjustRightInd/>
      <w:ind w:firstLine="200" w:firstLineChars="200"/>
    </w:pPr>
    <w:rPr>
      <w:rFonts w:ascii="仿宋_GB2312" w:eastAsia="仿宋_GB2312"/>
      <w:b/>
      <w:sz w:val="32"/>
      <w:szCs w:val="32"/>
    </w:rPr>
  </w:style>
  <w:style w:type="paragraph" w:customStyle="1" w:styleId="412">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413">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Lines="0" w:beforeAutospacing="1" w:after="100" w:afterLines="0" w:afterAutospacing="1"/>
      <w:jc w:val="left"/>
    </w:pPr>
    <w:rPr>
      <w:rFonts w:ascii="微软雅黑" w:hAnsi="微软雅黑" w:eastAsia="微软雅黑" w:cs="宋体"/>
      <w:kern w:val="0"/>
      <w:sz w:val="20"/>
      <w:szCs w:val="20"/>
    </w:rPr>
  </w:style>
  <w:style w:type="paragraph" w:customStyle="1" w:styleId="414">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15">
    <w:name w:val="标准有序列表（L1）"/>
    <w:basedOn w:val="19"/>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416">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417">
    <w:name w:val="_Style 12"/>
    <w:basedOn w:val="24"/>
    <w:uiPriority w:val="0"/>
    <w:pPr>
      <w:snapToGrid w:val="0"/>
      <w:spacing w:line="360" w:lineRule="auto"/>
    </w:pPr>
  </w:style>
  <w:style w:type="paragraph" w:customStyle="1" w:styleId="418">
    <w:name w:val="List Paragraph1"/>
    <w:basedOn w:val="1"/>
    <w:uiPriority w:val="0"/>
    <w:pPr>
      <w:spacing w:line="360" w:lineRule="auto"/>
      <w:ind w:firstLine="200" w:firstLineChars="200"/>
    </w:pPr>
    <w:rPr>
      <w:rFonts w:eastAsia="楷体_GB2312" w:cs="Lucida Sans"/>
      <w:sz w:val="24"/>
    </w:rPr>
  </w:style>
  <w:style w:type="paragraph" w:customStyle="1" w:styleId="419">
    <w:name w:val="xl82"/>
    <w:basedOn w:val="1"/>
    <w:uiPriority w:val="0"/>
    <w:pPr>
      <w:widowControl/>
      <w:pBdr>
        <w:top w:val="single" w:color="auto" w:sz="4" w:space="0"/>
        <w:left w:val="single" w:color="auto" w:sz="4" w:space="0"/>
        <w:bottom w:val="single" w:color="auto" w:sz="8"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20">
    <w:name w:val=" Char Char11 Char Char Char Char Char Char Char Char Char"/>
    <w:basedOn w:val="1"/>
    <w:uiPriority w:val="0"/>
    <w:pPr>
      <w:spacing w:line="360" w:lineRule="auto"/>
    </w:pPr>
    <w:rPr>
      <w:szCs w:val="20"/>
    </w:rPr>
  </w:style>
  <w:style w:type="paragraph" w:customStyle="1" w:styleId="421">
    <w:name w:val="a1"/>
    <w:basedOn w:val="1"/>
    <w:uiPriority w:val="0"/>
    <w:pPr>
      <w:widowControl/>
      <w:spacing w:line="300" w:lineRule="atLeast"/>
      <w:jc w:val="left"/>
    </w:pPr>
    <w:rPr>
      <w:rFonts w:ascii="宋体" w:hAnsi="宋体"/>
      <w:kern w:val="0"/>
      <w:sz w:val="18"/>
      <w:szCs w:val="20"/>
    </w:rPr>
  </w:style>
  <w:style w:type="paragraph" w:customStyle="1" w:styleId="422">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23">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424">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25">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26">
    <w:name w:val="T 标题 6"/>
    <w:basedOn w:val="427"/>
    <w:uiPriority w:val="0"/>
    <w:pPr>
      <w:outlineLvl w:val="5"/>
    </w:pPr>
  </w:style>
  <w:style w:type="paragraph" w:customStyle="1" w:styleId="427">
    <w:name w:val="T 标题 5"/>
    <w:basedOn w:val="6"/>
    <w:uiPriority w:val="0"/>
    <w:pPr>
      <w:numPr>
        <w:ilvl w:val="0"/>
        <w:numId w:val="0"/>
      </w:numPr>
      <w:tabs>
        <w:tab w:val="clear" w:pos="1008"/>
      </w:tabs>
      <w:spacing w:before="156" w:beforeLines="50" w:after="156" w:afterLines="50" w:line="300" w:lineRule="auto"/>
      <w:ind w:firstLine="198"/>
      <w:textAlignment w:val="baseline"/>
    </w:pPr>
    <w:rPr>
      <w:b w:val="0"/>
      <w:kern w:val="0"/>
      <w:sz w:val="24"/>
      <w:szCs w:val="24"/>
      <w:lang w:val="zh-CN"/>
    </w:rPr>
  </w:style>
  <w:style w:type="paragraph" w:customStyle="1" w:styleId="428">
    <w:name w:val="xl117"/>
    <w:basedOn w:val="1"/>
    <w:uiPriority w:val="0"/>
    <w:pPr>
      <w:widowControl/>
      <w:pBdr>
        <w:left w:val="single" w:color="auto" w:sz="12" w:space="0"/>
        <w:bottom w:val="single" w:color="auto" w:sz="8" w:space="0"/>
        <w:right w:val="single" w:color="auto" w:sz="8" w:space="0"/>
      </w:pBdr>
      <w:adjustRightInd/>
      <w:spacing w:before="100" w:beforeLines="0" w:beforeAutospacing="1" w:after="100" w:afterLines="0" w:afterAutospacing="1"/>
      <w:jc w:val="left"/>
    </w:pPr>
    <w:rPr>
      <w:rFonts w:ascii="宋体" w:hAnsi="宋体" w:eastAsia="仿宋_GB2312" w:cs="宋体"/>
      <w:kern w:val="0"/>
      <w:sz w:val="20"/>
      <w:szCs w:val="20"/>
    </w:rPr>
  </w:style>
  <w:style w:type="paragraph" w:customStyle="1" w:styleId="429">
    <w:name w:val="Char Char1 Char Char Char Char Char Char Char1"/>
    <w:basedOn w:val="1"/>
    <w:uiPriority w:val="0"/>
    <w:pPr>
      <w:adjustRightInd/>
    </w:pPr>
    <w:rPr>
      <w:rFonts w:ascii="Tahoma" w:hAnsi="Tahoma" w:eastAsia="仿宋_GB2312"/>
      <w:sz w:val="28"/>
    </w:rPr>
  </w:style>
  <w:style w:type="paragraph" w:customStyle="1" w:styleId="430">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432">
    <w:name w:val="标题 41"/>
    <w:basedOn w:val="1"/>
    <w:next w:val="1"/>
    <w:uiPriority w:val="0"/>
    <w:pPr>
      <w:keepNext/>
      <w:keepLines/>
      <w:adjustRightInd/>
      <w:spacing w:before="280" w:beforeLines="0" w:after="290" w:afterLines="0" w:line="374" w:lineRule="auto"/>
      <w:outlineLvl w:val="3"/>
    </w:pPr>
    <w:rPr>
      <w:rFonts w:ascii="Cambria" w:hAnsi="Cambria"/>
      <w:b/>
      <w:bCs/>
      <w:sz w:val="28"/>
      <w:szCs w:val="28"/>
    </w:rPr>
  </w:style>
  <w:style w:type="paragraph" w:customStyle="1" w:styleId="433">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34">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35">
    <w:name w:val=" Char Char1 Char"/>
    <w:basedOn w:val="1"/>
    <w:uiPriority w:val="0"/>
    <w:rPr>
      <w:rFonts w:ascii="仿宋_GB2312" w:eastAsia="仿宋_GB2312"/>
      <w:b/>
      <w:sz w:val="32"/>
      <w:szCs w:val="32"/>
    </w:rPr>
  </w:style>
  <w:style w:type="paragraph" w:customStyle="1" w:styleId="436">
    <w:name w:val="序列1)2)3)"/>
    <w:basedOn w:val="1"/>
    <w:next w:val="1"/>
    <w:uiPriority w:val="0"/>
    <w:pPr>
      <w:widowControl/>
      <w:numPr>
        <w:ilvl w:val="1"/>
        <w:numId w:val="7"/>
      </w:numPr>
      <w:tabs>
        <w:tab w:val="left" w:pos="1366"/>
        <w:tab w:val="clear" w:pos="1588"/>
      </w:tabs>
      <w:snapToGrid w:val="0"/>
      <w:spacing w:line="400" w:lineRule="atLeast"/>
      <w:ind w:left="1366" w:hanging="500"/>
      <w:textAlignment w:val="baseline"/>
    </w:pPr>
    <w:rPr>
      <w:rFonts w:ascii="Calibri" w:hAnsi="Calibri"/>
      <w:sz w:val="24"/>
    </w:rPr>
  </w:style>
  <w:style w:type="paragraph" w:customStyle="1" w:styleId="437">
    <w:name w:val="模板普通正文"/>
    <w:basedOn w:val="3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438">
    <w:name w:val="方案正文"/>
    <w:basedOn w:val="1"/>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39">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40">
    <w:name w:val="xl98"/>
    <w:basedOn w:val="1"/>
    <w:uiPriority w:val="0"/>
    <w:pPr>
      <w:widowControl/>
      <w:pBdr>
        <w:top w:val="single" w:color="auto" w:sz="8" w:space="0"/>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441">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442">
    <w:name w:val="正文1"/>
    <w:basedOn w:val="42"/>
    <w:uiPriority w:val="0"/>
    <w:pPr>
      <w:ind w:left="0" w:leftChars="0" w:firstLine="480" w:firstLineChars="200"/>
    </w:pPr>
    <w:rPr>
      <w:rFonts w:ascii="仿宋_GB2312" w:hAnsi="Courier New" w:eastAsia="仿宋_GB2312"/>
      <w:kern w:val="28"/>
      <w:sz w:val="24"/>
    </w:rPr>
  </w:style>
  <w:style w:type="paragraph" w:customStyle="1" w:styleId="443">
    <w:name w:val="subhead"/>
    <w:uiPriority w:val="0"/>
    <w:pPr>
      <w:spacing w:after="120" w:line="300" w:lineRule="exact"/>
    </w:pPr>
    <w:rPr>
      <w:rFonts w:ascii="Arial" w:hAnsi="Arial"/>
      <w:b/>
      <w:sz w:val="26"/>
      <w:lang w:val="en-US" w:eastAsia="en-US" w:bidi="ar-SA"/>
    </w:rPr>
  </w:style>
  <w:style w:type="paragraph" w:customStyle="1" w:styleId="444">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445">
    <w:name w:val="正文表标题"/>
    <w:next w:val="403"/>
    <w:uiPriority w:val="0"/>
    <w:pPr>
      <w:tabs>
        <w:tab w:val="left" w:pos="840"/>
      </w:tabs>
      <w:ind w:left="840" w:hanging="420"/>
      <w:jc w:val="center"/>
    </w:pPr>
    <w:rPr>
      <w:rFonts w:ascii="黑体" w:eastAsia="黑体"/>
      <w:sz w:val="21"/>
      <w:lang w:val="en-US" w:eastAsia="zh-CN" w:bidi="ar-SA"/>
    </w:rPr>
  </w:style>
  <w:style w:type="paragraph" w:customStyle="1" w:styleId="446">
    <w:name w:val="xl70"/>
    <w:basedOn w:val="1"/>
    <w:uiPriority w:val="0"/>
    <w:pPr>
      <w:widowControl/>
      <w:pBdr>
        <w:top w:val="single" w:color="auto" w:sz="8" w:space="0"/>
        <w:left w:val="single" w:color="auto" w:sz="4"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47">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448">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49">
    <w:name w:val="文档正文"/>
    <w:basedOn w:val="1"/>
    <w:uiPriority w:val="0"/>
    <w:pPr>
      <w:adjustRightInd w:val="0"/>
      <w:spacing w:line="480" w:lineRule="atLeast"/>
      <w:ind w:firstLine="567"/>
      <w:textAlignment w:val="baseline"/>
    </w:pPr>
    <w:rPr>
      <w:kern w:val="0"/>
      <w:sz w:val="24"/>
      <w:szCs w:val="20"/>
    </w:rPr>
  </w:style>
  <w:style w:type="paragraph" w:customStyle="1" w:styleId="450">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51">
    <w:name w:val="xl66"/>
    <w:basedOn w:val="1"/>
    <w:uiPriority w:val="0"/>
    <w:pPr>
      <w:widowControl/>
      <w:shd w:val="clear" w:color="000000" w:fill="FFFF00"/>
      <w:adjustRightInd/>
      <w:spacing w:before="100" w:beforeLines="0" w:beforeAutospacing="1" w:after="100" w:afterLines="0" w:afterAutospacing="1"/>
      <w:jc w:val="left"/>
    </w:pPr>
    <w:rPr>
      <w:rFonts w:ascii="宋体" w:hAnsi="宋体" w:eastAsia="仿宋_GB2312" w:cs="宋体"/>
      <w:kern w:val="0"/>
      <w:sz w:val="28"/>
    </w:rPr>
  </w:style>
  <w:style w:type="paragraph" w:customStyle="1" w:styleId="452">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453">
    <w:name w:val="xl120"/>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kern w:val="0"/>
      <w:sz w:val="20"/>
      <w:szCs w:val="20"/>
    </w:rPr>
  </w:style>
  <w:style w:type="paragraph" w:customStyle="1" w:styleId="454">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455">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456">
    <w:name w:val="MM Topic 5"/>
    <w:basedOn w:val="6"/>
    <w:uiPriority w:val="0"/>
    <w:pPr>
      <w:numPr>
        <w:ilvl w:val="4"/>
        <w:numId w:val="4"/>
      </w:numPr>
      <w:tabs>
        <w:tab w:val="clear" w:pos="1008"/>
      </w:tabs>
      <w:adjustRightInd/>
    </w:pPr>
  </w:style>
  <w:style w:type="paragraph" w:customStyle="1" w:styleId="457">
    <w:name w:val="Bulleted List"/>
    <w:basedOn w:val="1"/>
    <w:uiPriority w:val="0"/>
    <w:pPr>
      <w:tabs>
        <w:tab w:val="left" w:pos="1260"/>
      </w:tabs>
      <w:adjustRightInd/>
      <w:ind w:left="1260" w:hanging="420"/>
    </w:pPr>
  </w:style>
  <w:style w:type="paragraph" w:customStyle="1" w:styleId="458">
    <w:name w:val="单元格居中"/>
    <w:basedOn w:val="1"/>
    <w:uiPriority w:val="0"/>
    <w:pPr>
      <w:adjustRightInd/>
      <w:spacing w:line="360" w:lineRule="auto"/>
      <w:jc w:val="center"/>
    </w:pPr>
    <w:rPr>
      <w:sz w:val="24"/>
    </w:rPr>
  </w:style>
  <w:style w:type="paragraph" w:customStyle="1" w:styleId="459">
    <w:name w:val="xl138"/>
    <w:basedOn w:val="1"/>
    <w:uiPriority w:val="0"/>
    <w:pPr>
      <w:widowControl/>
      <w:pBdr>
        <w:right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460">
    <w:name w:val="0"/>
    <w:basedOn w:val="1"/>
    <w:uiPriority w:val="0"/>
    <w:pPr>
      <w:widowControl/>
    </w:pPr>
    <w:rPr>
      <w:kern w:val="0"/>
      <w:sz w:val="24"/>
      <w:szCs w:val="20"/>
    </w:rPr>
  </w:style>
  <w:style w:type="paragraph" w:customStyle="1" w:styleId="461">
    <w:name w:val="xl126"/>
    <w:basedOn w:val="1"/>
    <w:uiPriority w:val="0"/>
    <w:pPr>
      <w:widowControl/>
      <w:pBdr>
        <w:top w:val="single" w:color="auto" w:sz="8"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462">
    <w:name w:val="文章标题"/>
    <w:next w:val="463"/>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3">
    <w:name w:val="封面公司名"/>
    <w:uiPriority w:val="0"/>
    <w:pPr>
      <w:jc w:val="center"/>
    </w:pPr>
    <w:rPr>
      <w:rFonts w:ascii="Arial" w:hAnsi="Arial" w:eastAsia="楷体_GB2312" w:cs="宋体"/>
      <w:bCs/>
      <w:kern w:val="2"/>
      <w:sz w:val="28"/>
      <w:lang w:val="en-US" w:eastAsia="zh-CN" w:bidi="ar-SA"/>
    </w:rPr>
  </w:style>
  <w:style w:type="paragraph" w:customStyle="1" w:styleId="464">
    <w:name w:val="Char Char8 Char Char Char Char Char Char"/>
    <w:basedOn w:val="1"/>
    <w:uiPriority w:val="0"/>
    <w:pPr>
      <w:adjustRightInd/>
      <w:spacing w:line="360" w:lineRule="auto"/>
    </w:pPr>
    <w:rPr>
      <w:rFonts w:ascii="宋体" w:hAnsi="宋体" w:eastAsia="仿宋_GB2312"/>
      <w:sz w:val="22"/>
    </w:rPr>
  </w:style>
  <w:style w:type="paragraph" w:customStyle="1" w:styleId="465">
    <w:name w:val="xl121"/>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kern w:val="0"/>
      <w:sz w:val="20"/>
      <w:szCs w:val="20"/>
    </w:rPr>
  </w:style>
  <w:style w:type="paragraph" w:customStyle="1" w:styleId="466">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67">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468">
    <w:name w:val="xl108"/>
    <w:basedOn w:val="1"/>
    <w:uiPriority w:val="0"/>
    <w:pPr>
      <w:widowControl/>
      <w:pBdr>
        <w:top w:val="single" w:color="auto" w:sz="8" w:space="0"/>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b/>
      <w:bCs/>
      <w:kern w:val="0"/>
      <w:szCs w:val="21"/>
    </w:rPr>
  </w:style>
  <w:style w:type="paragraph" w:customStyle="1" w:styleId="469">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70">
    <w:name w:val=" Char2 Char Char Char"/>
    <w:basedOn w:val="1"/>
    <w:uiPriority w:val="0"/>
    <w:rPr>
      <w:rFonts w:ascii="仿宋_GB2312" w:eastAsia="仿宋_GB2312"/>
      <w:b/>
      <w:sz w:val="32"/>
      <w:szCs w:val="32"/>
    </w:rPr>
  </w:style>
  <w:style w:type="paragraph" w:customStyle="1" w:styleId="471">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72">
    <w:name w:val="目录0"/>
    <w:basedOn w:val="56"/>
    <w:uiPriority w:val="0"/>
    <w:pPr>
      <w:tabs>
        <w:tab w:val="right" w:leader="dot" w:pos="9000"/>
      </w:tabs>
      <w:adjustRightInd/>
      <w:spacing w:before="120" w:beforeLines="0" w:after="120" w:afterLines="0"/>
      <w:jc w:val="center"/>
    </w:pPr>
    <w:rPr>
      <w:rFonts w:eastAsia="黑体"/>
      <w:bCs/>
      <w:caps/>
      <w:sz w:val="32"/>
    </w:rPr>
  </w:style>
  <w:style w:type="paragraph" w:customStyle="1" w:styleId="473">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74">
    <w:name w:val="xl7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75">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76">
    <w:name w:val="默认段落字体 Para Char Char Char Char Char Char Char"/>
    <w:basedOn w:val="1"/>
    <w:uiPriority w:val="0"/>
    <w:rPr>
      <w:rFonts w:eastAsia="仿宋_GB2312"/>
      <w:sz w:val="28"/>
      <w:szCs w:val="20"/>
    </w:rPr>
  </w:style>
  <w:style w:type="paragraph" w:customStyle="1" w:styleId="477">
    <w:name w:val="xl137"/>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b/>
      <w:bCs/>
      <w:kern w:val="0"/>
      <w:szCs w:val="21"/>
    </w:rPr>
  </w:style>
  <w:style w:type="paragraph" w:customStyle="1" w:styleId="478">
    <w:name w:val="Char3"/>
    <w:basedOn w:val="1"/>
    <w:uiPriority w:val="0"/>
    <w:pPr>
      <w:adjustRightInd/>
      <w:ind w:firstLine="200" w:firstLineChars="200"/>
    </w:pPr>
    <w:rPr>
      <w:rFonts w:ascii="Tahoma" w:hAnsi="Tahoma"/>
      <w:sz w:val="24"/>
      <w:szCs w:val="20"/>
    </w:rPr>
  </w:style>
  <w:style w:type="paragraph" w:customStyle="1" w:styleId="479">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480">
    <w:name w:val="List Paragraph"/>
    <w:basedOn w:val="1"/>
    <w:uiPriority w:val="0"/>
    <w:pPr>
      <w:adjustRightInd/>
      <w:spacing w:line="360" w:lineRule="auto"/>
      <w:ind w:firstLine="420" w:firstLineChars="200"/>
    </w:pPr>
    <w:rPr>
      <w:rFonts w:ascii="Calibri" w:hAnsi="Calibri"/>
      <w:sz w:val="24"/>
      <w:szCs w:val="22"/>
    </w:rPr>
  </w:style>
  <w:style w:type="paragraph" w:customStyle="1" w:styleId="481">
    <w:name w:val="Normal0"/>
    <w:uiPriority w:val="0"/>
    <w:rPr>
      <w:lang w:val="en-US" w:eastAsia="en-US" w:bidi="ar-SA"/>
    </w:rPr>
  </w:style>
  <w:style w:type="paragraph" w:customStyle="1" w:styleId="482">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483">
    <w:name w:val="数字标题2"/>
    <w:basedOn w:val="3"/>
    <w:next w:val="1"/>
    <w:uiPriority w:val="0"/>
    <w:pPr>
      <w:numPr>
        <w:ilvl w:val="1"/>
        <w:numId w:val="8"/>
      </w:numPr>
      <w:tabs>
        <w:tab w:val="clear" w:pos="432"/>
      </w:tabs>
    </w:pPr>
    <w:rPr>
      <w:rFonts w:ascii="Times New Roman" w:eastAsia="宋体"/>
      <w:i/>
      <w:sz w:val="36"/>
      <w:szCs w:val="36"/>
      <w:lang w:val="en-US"/>
    </w:rPr>
  </w:style>
  <w:style w:type="paragraph" w:customStyle="1" w:styleId="484">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85">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486">
    <w:name w:val="正文 编号"/>
    <w:basedOn w:val="1"/>
    <w:uiPriority w:val="0"/>
    <w:pPr>
      <w:widowControl/>
      <w:tabs>
        <w:tab w:val="left" w:pos="840"/>
      </w:tabs>
      <w:spacing w:after="120" w:afterLines="0" w:line="440" w:lineRule="exact"/>
      <w:ind w:left="840" w:hanging="420"/>
      <w:jc w:val="left"/>
    </w:pPr>
    <w:rPr>
      <w:rFonts w:ascii="仿宋_GB2312" w:hAnsi="仿宋_GB2312" w:eastAsia="仿宋_GB2312"/>
      <w:sz w:val="24"/>
      <w:szCs w:val="20"/>
    </w:rPr>
  </w:style>
  <w:style w:type="paragraph" w:customStyle="1" w:styleId="487">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88">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89">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490">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491">
    <w:name w:val="正文 项目"/>
    <w:basedOn w:val="1"/>
    <w:uiPriority w:val="0"/>
    <w:pPr>
      <w:widowControl/>
      <w:tabs>
        <w:tab w:val="left" w:pos="840"/>
      </w:tabs>
      <w:spacing w:after="120" w:afterLines="0" w:line="440" w:lineRule="exact"/>
      <w:ind w:left="840" w:hanging="420"/>
      <w:jc w:val="left"/>
    </w:pPr>
    <w:rPr>
      <w:rFonts w:ascii="仿宋_GB2312" w:hAnsi="仿宋_GB2312" w:eastAsia="仿宋_GB2312"/>
      <w:sz w:val="24"/>
      <w:szCs w:val="20"/>
    </w:rPr>
  </w:style>
  <w:style w:type="paragraph" w:customStyle="1" w:styleId="492">
    <w:name w:val=" Char Char11"/>
    <w:basedOn w:val="1"/>
    <w:uiPriority w:val="0"/>
    <w:pPr>
      <w:spacing w:line="360" w:lineRule="auto"/>
    </w:pPr>
    <w:rPr>
      <w:szCs w:val="20"/>
    </w:rPr>
  </w:style>
  <w:style w:type="paragraph" w:customStyle="1" w:styleId="493">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94">
    <w:name w:val="Char Char11 Char Char Char Char Char Char Char Char Char"/>
    <w:basedOn w:val="1"/>
    <w:uiPriority w:val="0"/>
    <w:pPr>
      <w:spacing w:line="360" w:lineRule="auto"/>
    </w:pPr>
    <w:rPr>
      <w:szCs w:val="20"/>
    </w:rPr>
  </w:style>
  <w:style w:type="paragraph" w:customStyle="1" w:styleId="495">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496">
    <w:name w:val="Char1 Char Char Char2"/>
    <w:basedOn w:val="1"/>
    <w:uiPriority w:val="0"/>
    <w:pPr>
      <w:adjustRightInd/>
      <w:ind w:firstLine="200" w:firstLineChars="200"/>
    </w:pPr>
    <w:rPr>
      <w:rFonts w:ascii="Tahoma" w:hAnsi="Tahoma"/>
      <w:sz w:val="24"/>
      <w:szCs w:val="20"/>
    </w:rPr>
  </w:style>
  <w:style w:type="paragraph" w:customStyle="1" w:styleId="497">
    <w:name w:val="xl110"/>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498">
    <w:name w:val="中等深浅网格 1 - 强调文字颜色 21"/>
    <w:basedOn w:val="1"/>
    <w:uiPriority w:val="0"/>
    <w:pPr>
      <w:spacing w:line="360" w:lineRule="auto"/>
      <w:ind w:firstLine="200" w:firstLineChars="200"/>
    </w:pPr>
    <w:rPr>
      <w:rFonts w:eastAsia="楷体_GB2312" w:cs="Lucida Sans"/>
      <w:sz w:val="24"/>
    </w:rPr>
  </w:style>
  <w:style w:type="paragraph" w:customStyle="1" w:styleId="499">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500">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01">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502">
    <w:name w:val="表格"/>
    <w:basedOn w:val="1"/>
    <w:uiPriority w:val="0"/>
    <w:pPr>
      <w:snapToGrid w:val="0"/>
      <w:ind w:firstLine="42" w:firstLineChars="21"/>
    </w:pPr>
    <w:rPr>
      <w:rFonts w:ascii="宋体" w:hAnsi="宋体"/>
      <w:kern w:val="0"/>
      <w:sz w:val="20"/>
      <w:szCs w:val="20"/>
    </w:rPr>
  </w:style>
  <w:style w:type="paragraph" w:customStyle="1" w:styleId="503">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04">
    <w:name w:val="xl93"/>
    <w:basedOn w:val="1"/>
    <w:uiPriority w:val="0"/>
    <w:pPr>
      <w:widowControl/>
      <w:pBdr>
        <w:top w:val="single" w:color="auto" w:sz="4" w:space="0"/>
        <w:left w:val="single" w:color="auto" w:sz="8" w:space="0"/>
        <w:bottom w:val="single" w:color="auto" w:sz="8"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05">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06">
    <w:name w:val="xl7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07">
    <w:name w:val="xl129"/>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508">
    <w:name w:val="Char2"/>
    <w:basedOn w:val="1"/>
    <w:uiPriority w:val="0"/>
    <w:rPr>
      <w:rFonts w:ascii="仿宋_GB2312" w:eastAsia="仿宋_GB2312"/>
      <w:b/>
      <w:sz w:val="32"/>
      <w:szCs w:val="32"/>
    </w:rPr>
  </w:style>
  <w:style w:type="paragraph" w:customStyle="1" w:styleId="509">
    <w:name w:val="三级条标题"/>
    <w:basedOn w:val="400"/>
    <w:next w:val="403"/>
    <w:uiPriority w:val="0"/>
    <w:pPr>
      <w:numPr>
        <w:ilvl w:val="0"/>
        <w:numId w:val="0"/>
      </w:numPr>
      <w:tabs>
        <w:tab w:val="left" w:pos="2520"/>
        <w:tab w:val="clear" w:pos="2100"/>
      </w:tabs>
      <w:ind w:left="2520" w:hanging="420"/>
      <w:outlineLvl w:val="4"/>
    </w:pPr>
  </w:style>
  <w:style w:type="paragraph" w:customStyle="1" w:styleId="510">
    <w:name w:val=" Char Char1 Char Char Char Char Char Char"/>
    <w:basedOn w:val="1"/>
    <w:uiPriority w:val="0"/>
    <w:rPr>
      <w:rFonts w:ascii="仿宋_GB2312" w:eastAsia="仿宋_GB2312"/>
      <w:b/>
      <w:sz w:val="32"/>
      <w:szCs w:val="20"/>
    </w:rPr>
  </w:style>
  <w:style w:type="paragraph" w:customStyle="1" w:styleId="511">
    <w:name w:val="样式4"/>
    <w:basedOn w:val="1"/>
    <w:uiPriority w:val="0"/>
    <w:pPr>
      <w:spacing w:line="360" w:lineRule="auto"/>
      <w:ind w:firstLine="420"/>
      <w:jc w:val="center"/>
      <w:outlineLvl w:val="2"/>
    </w:pPr>
    <w:rPr>
      <w:rFonts w:ascii="仿宋_GB2312" w:hAnsi="仿宋" w:eastAsia="仿宋_GB2312"/>
      <w:b/>
      <w:sz w:val="32"/>
      <w:szCs w:val="32"/>
    </w:rPr>
  </w:style>
  <w:style w:type="paragraph" w:customStyle="1" w:styleId="512">
    <w:name w:val="Char Char Char Char Char Char Char Char Char Char"/>
    <w:basedOn w:val="1"/>
    <w:uiPriority w:val="0"/>
    <w:rPr>
      <w:rFonts w:ascii="仿宋_GB2312" w:eastAsia="仿宋_GB2312"/>
      <w:b/>
      <w:sz w:val="32"/>
      <w:szCs w:val="32"/>
    </w:rPr>
  </w:style>
  <w:style w:type="paragraph" w:customStyle="1" w:styleId="513">
    <w:name w:val=" Char1 Char Char Char"/>
    <w:basedOn w:val="1"/>
    <w:uiPriority w:val="0"/>
    <w:rPr>
      <w:rFonts w:ascii="Tahoma" w:hAnsi="Tahoma"/>
      <w:sz w:val="24"/>
      <w:szCs w:val="20"/>
    </w:rPr>
  </w:style>
  <w:style w:type="paragraph" w:customStyle="1" w:styleId="514">
    <w:name w:val="xl96"/>
    <w:basedOn w:val="1"/>
    <w:uiPriority w:val="0"/>
    <w:pPr>
      <w:widowControl/>
      <w:pBdr>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515">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16">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517">
    <w:name w:val="trademark"/>
    <w:uiPriority w:val="0"/>
    <w:pPr>
      <w:spacing w:after="60"/>
    </w:pPr>
    <w:rPr>
      <w:rFonts w:ascii="Futura Bk" w:hAnsi="Futura Bk"/>
      <w:sz w:val="15"/>
      <w:lang w:val="en-US" w:eastAsia="en-US" w:bidi="ar-SA"/>
    </w:rPr>
  </w:style>
  <w:style w:type="paragraph" w:customStyle="1" w:styleId="518">
    <w:name w:val="列出段落1"/>
    <w:basedOn w:val="1"/>
    <w:uiPriority w:val="0"/>
    <w:pPr>
      <w:adjustRightInd/>
      <w:spacing w:line="360" w:lineRule="auto"/>
      <w:ind w:firstLine="420" w:firstLineChars="200"/>
    </w:pPr>
    <w:rPr>
      <w:rFonts w:ascii="Calibri" w:hAnsi="Calibri"/>
      <w:sz w:val="24"/>
      <w:szCs w:val="22"/>
    </w:rPr>
  </w:style>
  <w:style w:type="paragraph" w:customStyle="1" w:styleId="519">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520">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21">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522">
    <w:name w:val="font13"/>
    <w:basedOn w:val="1"/>
    <w:uiPriority w:val="0"/>
    <w:pPr>
      <w:widowControl/>
      <w:adjustRightInd/>
      <w:spacing w:before="100" w:beforeLines="0" w:beforeAutospacing="1" w:after="100" w:afterLines="0" w:afterAutospacing="1"/>
      <w:jc w:val="left"/>
    </w:pPr>
    <w:rPr>
      <w:rFonts w:ascii="宋体" w:hAnsi="宋体" w:cs="宋体"/>
      <w:kern w:val="0"/>
      <w:sz w:val="18"/>
      <w:szCs w:val="18"/>
    </w:rPr>
  </w:style>
  <w:style w:type="paragraph" w:customStyle="1" w:styleId="523">
    <w:name w:val="xl122"/>
    <w:basedOn w:val="1"/>
    <w:uiPriority w:val="0"/>
    <w:pPr>
      <w:widowControl/>
      <w:pBdr>
        <w:top w:val="single" w:color="auto" w:sz="8" w:space="0"/>
        <w:bottom w:val="single" w:color="auto" w:sz="8" w:space="0"/>
        <w:right w:val="single" w:color="auto" w:sz="12"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524">
    <w:name w:val=" Char Char1 Char Char Char"/>
    <w:basedOn w:val="1"/>
    <w:uiPriority w:val="0"/>
    <w:rPr>
      <w:rFonts w:ascii="仿宋_GB2312" w:eastAsia="仿宋_GB2312"/>
      <w:b/>
      <w:sz w:val="32"/>
      <w:szCs w:val="32"/>
    </w:rPr>
  </w:style>
  <w:style w:type="paragraph" w:customStyle="1" w:styleId="525">
    <w:name w:val="xl88"/>
    <w:basedOn w:val="1"/>
    <w:uiPriority w:val="0"/>
    <w:pPr>
      <w:widowControl/>
      <w:pBdr>
        <w:top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26">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527">
    <w:name w:val="xl89"/>
    <w:basedOn w:val="1"/>
    <w:uiPriority w:val="0"/>
    <w:pPr>
      <w:widowControl/>
      <w:pBdr>
        <w:left w:val="single" w:color="auto" w:sz="4" w:space="0"/>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28">
    <w:name w:val="Th"/>
    <w:uiPriority w:val="0"/>
    <w:pPr>
      <w:keepNext/>
      <w:keepLines/>
      <w:spacing w:before="20" w:after="60" w:line="220" w:lineRule="exact"/>
      <w:ind w:left="240"/>
    </w:pPr>
    <w:rPr>
      <w:b/>
      <w:sz w:val="19"/>
      <w:lang w:val="en-US" w:eastAsia="en-US" w:bidi="ar-SA"/>
    </w:rPr>
  </w:style>
  <w:style w:type="paragraph" w:customStyle="1" w:styleId="529">
    <w:name w:val="Char2 Char Char Char"/>
    <w:basedOn w:val="1"/>
    <w:uiPriority w:val="0"/>
    <w:rPr>
      <w:rFonts w:ascii="仿宋_GB2312" w:eastAsia="仿宋_GB2312"/>
      <w:b/>
      <w:sz w:val="32"/>
      <w:szCs w:val="32"/>
    </w:rPr>
  </w:style>
  <w:style w:type="paragraph" w:customStyle="1" w:styleId="530">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531">
    <w:name w:val="Test2"/>
    <w:basedOn w:val="3"/>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532">
    <w:name w:val="列出段落2"/>
    <w:basedOn w:val="1"/>
    <w:uiPriority w:val="0"/>
    <w:pPr>
      <w:adjustRightInd/>
      <w:ind w:firstLine="420" w:firstLineChars="200"/>
    </w:pPr>
    <w:rPr>
      <w:rFonts w:ascii="宋体" w:hAnsi="宋体"/>
      <w:sz w:val="24"/>
    </w:rPr>
  </w:style>
  <w:style w:type="paragraph" w:customStyle="1" w:styleId="533">
    <w:name w:val="中铁-标题三"/>
    <w:basedOn w:val="534"/>
    <w:uiPriority w:val="0"/>
    <w:pPr>
      <w:numPr>
        <w:ilvl w:val="2"/>
        <w:numId w:val="9"/>
      </w:numPr>
      <w:outlineLvl w:val="2"/>
    </w:pPr>
    <w:rPr>
      <w:sz w:val="32"/>
    </w:rPr>
  </w:style>
  <w:style w:type="paragraph" w:customStyle="1" w:styleId="534">
    <w:name w:val="中铁-标题二"/>
    <w:basedOn w:val="535"/>
    <w:uiPriority w:val="0"/>
    <w:pPr>
      <w:numPr>
        <w:ilvl w:val="1"/>
        <w:numId w:val="9"/>
      </w:numPr>
      <w:outlineLvl w:val="1"/>
    </w:pPr>
    <w:rPr>
      <w:sz w:val="36"/>
    </w:rPr>
  </w:style>
  <w:style w:type="paragraph" w:customStyle="1" w:styleId="535">
    <w:name w:val="中铁-标题一"/>
    <w:basedOn w:val="1"/>
    <w:uiPriority w:val="0"/>
    <w:pPr>
      <w:numPr>
        <w:ilvl w:val="0"/>
        <w:numId w:val="9"/>
      </w:numPr>
      <w:adjustRightInd/>
      <w:spacing w:before="156" w:beforeLines="50" w:after="156" w:afterLines="50"/>
      <w:outlineLvl w:val="0"/>
    </w:pPr>
    <w:rPr>
      <w:rFonts w:ascii="Calibri" w:hAnsi="Calibri" w:eastAsia="华文中宋"/>
      <w:b/>
      <w:sz w:val="44"/>
      <w:szCs w:val="21"/>
    </w:rPr>
  </w:style>
  <w:style w:type="paragraph" w:customStyle="1" w:styleId="536">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537">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styleId="538">
    <w:name w:val=""/>
    <w:uiPriority w:val="0"/>
    <w:rPr>
      <w:kern w:val="2"/>
      <w:sz w:val="21"/>
      <w:lang w:val="en-US" w:eastAsia="zh-CN" w:bidi="ar-SA"/>
    </w:rPr>
  </w:style>
  <w:style w:type="paragraph" w:customStyle="1" w:styleId="539">
    <w:name w:val="正文文字缩进2字"/>
    <w:basedOn w:val="3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540">
    <w:name w:val="带编号样式"/>
    <w:basedOn w:val="541"/>
    <w:uiPriority w:val="0"/>
    <w:pPr>
      <w:tabs>
        <w:tab w:val="left" w:pos="840"/>
      </w:tabs>
      <w:snapToGrid w:val="0"/>
      <w:ind w:left="840" w:hanging="420" w:firstLineChars="0"/>
    </w:pPr>
    <w:rPr>
      <w:rFonts w:ascii="仿宋_GB2312" w:eastAsia="仿宋_GB2312"/>
      <w:color w:val="000000"/>
    </w:rPr>
  </w:style>
  <w:style w:type="paragraph" w:customStyle="1" w:styleId="541">
    <w:name w:val="文本正文 Char"/>
    <w:basedOn w:val="1"/>
    <w:uiPriority w:val="0"/>
    <w:pPr>
      <w:spacing w:line="360" w:lineRule="auto"/>
      <w:ind w:firstLine="200" w:firstLineChars="200"/>
    </w:pPr>
    <w:rPr>
      <w:kern w:val="0"/>
      <w:sz w:val="24"/>
      <w:szCs w:val="20"/>
    </w:rPr>
  </w:style>
  <w:style w:type="paragraph" w:customStyle="1" w:styleId="542">
    <w:name w:val="默认段落字体 Para Char Char Char1 Char"/>
    <w:basedOn w:val="1"/>
    <w:uiPriority w:val="0"/>
    <w:pPr>
      <w:spacing w:line="240" w:lineRule="atLeast"/>
      <w:ind w:left="420" w:firstLine="420"/>
    </w:pPr>
    <w:rPr>
      <w:sz w:val="24"/>
    </w:rPr>
  </w:style>
  <w:style w:type="paragraph" w:customStyle="1" w:styleId="543">
    <w:name w:val="技术方案正文样式"/>
    <w:basedOn w:val="1"/>
    <w:uiPriority w:val="0"/>
    <w:pPr>
      <w:widowControl/>
      <w:numPr>
        <w:ilvl w:val="0"/>
        <w:numId w:val="10"/>
      </w:numPr>
      <w:tabs>
        <w:tab w:val="clear" w:pos="284"/>
      </w:tabs>
      <w:autoSpaceDE w:val="0"/>
      <w:autoSpaceDN w:val="0"/>
      <w:adjustRightInd/>
      <w:spacing w:line="400" w:lineRule="exact"/>
      <w:ind w:left="0" w:firstLine="0"/>
    </w:pPr>
    <w:rPr>
      <w:rFonts w:ascii="宋体" w:hAnsi="宋体" w:cs="宋体"/>
      <w:kern w:val="0"/>
      <w:sz w:val="24"/>
    </w:rPr>
  </w:style>
  <w:style w:type="paragraph" w:customStyle="1" w:styleId="544">
    <w:name w:val="五级条标题"/>
    <w:basedOn w:val="545"/>
    <w:next w:val="403"/>
    <w:uiPriority w:val="0"/>
    <w:pPr>
      <w:numPr>
        <w:ilvl w:val="6"/>
        <w:numId w:val="4"/>
      </w:numPr>
      <w:outlineLvl w:val="6"/>
    </w:pPr>
  </w:style>
  <w:style w:type="paragraph" w:customStyle="1" w:styleId="545">
    <w:name w:val="四级条标题"/>
    <w:basedOn w:val="509"/>
    <w:next w:val="403"/>
    <w:uiPriority w:val="0"/>
    <w:pPr>
      <w:numPr>
        <w:ilvl w:val="5"/>
        <w:numId w:val="4"/>
      </w:numPr>
      <w:tabs>
        <w:tab w:val="clear" w:pos="2520"/>
      </w:tabs>
      <w:outlineLvl w:val="5"/>
    </w:pPr>
  </w:style>
  <w:style w:type="paragraph" w:customStyle="1" w:styleId="546">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547">
    <w:name w:val=" Char1"/>
    <w:basedOn w:val="1"/>
    <w:uiPriority w:val="0"/>
    <w:rPr>
      <w:rFonts w:ascii="仿宋_GB2312" w:eastAsia="仿宋_GB2312"/>
      <w:b/>
      <w:sz w:val="32"/>
      <w:szCs w:val="32"/>
    </w:rPr>
  </w:style>
  <w:style w:type="paragraph" w:customStyle="1" w:styleId="548">
    <w:name w:val="中铁-标题四"/>
    <w:basedOn w:val="533"/>
    <w:uiPriority w:val="0"/>
    <w:pPr>
      <w:numPr>
        <w:ilvl w:val="3"/>
        <w:numId w:val="9"/>
      </w:numPr>
      <w:outlineLvl w:val="3"/>
    </w:pPr>
    <w:rPr>
      <w:sz w:val="30"/>
    </w:rPr>
  </w:style>
  <w:style w:type="paragraph" w:customStyle="1" w:styleId="549">
    <w:name w:val="TOC 标题1"/>
    <w:basedOn w:val="2"/>
    <w:next w:val="1"/>
    <w:uiPriority w:val="0"/>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50">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51">
    <w:name w:val="Char Char4 Char Char"/>
    <w:basedOn w:val="1"/>
    <w:uiPriority w:val="0"/>
    <w:pPr>
      <w:widowControl/>
      <w:adjustRightInd/>
      <w:spacing w:after="160" w:afterLines="0" w:line="240" w:lineRule="exact"/>
      <w:jc w:val="left"/>
    </w:pPr>
  </w:style>
  <w:style w:type="paragraph" w:customStyle="1" w:styleId="552">
    <w:name w:val="默认段落字体 Para Char Char Char Char Char Char Char Char Char1 Char Char Char Char"/>
    <w:basedOn w:val="1"/>
    <w:uiPriority w:val="0"/>
    <w:pPr>
      <w:adjustRightInd/>
    </w:pPr>
    <w:rPr>
      <w:rFonts w:ascii="Tahoma" w:hAnsi="Tahoma"/>
      <w:sz w:val="24"/>
      <w:szCs w:val="20"/>
    </w:rPr>
  </w:style>
  <w:style w:type="paragraph" w:customStyle="1" w:styleId="553">
    <w:name w:val="xl134"/>
    <w:basedOn w:val="1"/>
    <w:uiPriority w:val="0"/>
    <w:pPr>
      <w:widowControl/>
      <w:pBdr>
        <w:left w:val="single" w:color="auto" w:sz="8" w:space="0"/>
        <w:bottom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styleId="554">
    <w:name w:val=""/>
    <w:basedOn w:val="2"/>
    <w:next w:val="1"/>
    <w:qFormat/>
    <w:uiPriority w:val="0"/>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55">
    <w:name w:val="Table Cell"/>
    <w:uiPriority w:val="0"/>
    <w:pPr>
      <w:adjustRightInd w:val="0"/>
      <w:snapToGrid w:val="0"/>
      <w:spacing w:before="20" w:after="20"/>
    </w:pPr>
    <w:rPr>
      <w:rFonts w:ascii="Courier New" w:hAnsi="Courier New"/>
      <w:sz w:val="24"/>
      <w:lang w:val="en-US" w:eastAsia="zh-CN" w:bidi="ar-SA"/>
    </w:rPr>
  </w:style>
  <w:style w:type="paragraph" w:customStyle="1" w:styleId="556">
    <w:name w:val="font10"/>
    <w:basedOn w:val="1"/>
    <w:uiPriority w:val="0"/>
    <w:pPr>
      <w:widowControl/>
      <w:adjustRightInd/>
      <w:spacing w:before="100" w:beforeLines="0" w:beforeAutospacing="1" w:after="100" w:afterLines="0" w:afterAutospacing="1"/>
      <w:jc w:val="left"/>
    </w:pPr>
    <w:rPr>
      <w:rFonts w:eastAsia="仿宋_GB2312"/>
      <w:b/>
      <w:bCs/>
      <w:kern w:val="0"/>
      <w:sz w:val="22"/>
      <w:szCs w:val="22"/>
    </w:rPr>
  </w:style>
  <w:style w:type="paragraph" w:customStyle="1" w:styleId="557">
    <w:name w:val="列表内容"/>
    <w:basedOn w:val="1"/>
    <w:next w:val="1"/>
    <w:uiPriority w:val="0"/>
    <w:pPr>
      <w:widowControl/>
      <w:tabs>
        <w:tab w:val="left" w:pos="840"/>
      </w:tabs>
      <w:ind w:left="840" w:hanging="420"/>
      <w:jc w:val="left"/>
    </w:pPr>
    <w:rPr>
      <w:kern w:val="0"/>
      <w:sz w:val="18"/>
    </w:rPr>
  </w:style>
  <w:style w:type="paragraph" w:customStyle="1" w:styleId="558">
    <w:name w:val="FUNO题注"/>
    <w:next w:val="1"/>
    <w:uiPriority w:val="0"/>
    <w:pPr>
      <w:jc w:val="center"/>
    </w:pPr>
    <w:rPr>
      <w:rFonts w:eastAsia="黑体"/>
      <w:kern w:val="2"/>
      <w:sz w:val="18"/>
      <w:szCs w:val="22"/>
      <w:lang w:val="en-US" w:eastAsia="zh-CN" w:bidi="ar-SA"/>
    </w:rPr>
  </w:style>
  <w:style w:type="paragraph" w:customStyle="1" w:styleId="559">
    <w:name w:val="!大节"/>
    <w:basedOn w:val="3"/>
    <w:uiPriority w:val="0"/>
    <w:pPr>
      <w:numPr>
        <w:ilvl w:val="0"/>
        <w:numId w:val="0"/>
      </w:numPr>
      <w:spacing w:before="260" w:beforeLines="0" w:after="260" w:afterLines="0" w:line="413" w:lineRule="auto"/>
      <w:ind w:left="420" w:hanging="420"/>
      <w:jc w:val="left"/>
    </w:pPr>
    <w:rPr>
      <w:rFonts w:ascii="Arial" w:hAnsi="Arial" w:eastAsia="微软雅黑"/>
      <w:sz w:val="32"/>
      <w:szCs w:val="32"/>
      <w:lang w:val="en-US"/>
    </w:rPr>
  </w:style>
  <w:style w:type="paragraph" w:customStyle="1" w:styleId="560">
    <w:name w:val="xl69"/>
    <w:basedOn w:val="1"/>
    <w:uiPriority w:val="0"/>
    <w:pPr>
      <w:widowControl/>
      <w:pBdr>
        <w:top w:val="single" w:color="auto" w:sz="8"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61">
    <w:name w:val="xl106"/>
    <w:basedOn w:val="1"/>
    <w:uiPriority w:val="0"/>
    <w:pPr>
      <w:widowControl/>
      <w:pBdr>
        <w:top w:val="single" w:color="auto" w:sz="8" w:space="0"/>
        <w:left w:val="single" w:color="auto" w:sz="12"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Cs w:val="21"/>
    </w:rPr>
  </w:style>
  <w:style w:type="paragraph" w:customStyle="1" w:styleId="562">
    <w:name w:val="标书表格字体格式"/>
    <w:next w:val="563"/>
    <w:uiPriority w:val="0"/>
    <w:rPr>
      <w:kern w:val="2"/>
      <w:sz w:val="21"/>
      <w:szCs w:val="24"/>
      <w:lang w:val="en-US" w:eastAsia="zh-CN" w:bidi="ar-SA"/>
    </w:rPr>
  </w:style>
  <w:style w:type="paragraph" w:customStyle="1" w:styleId="563">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564">
    <w:name w:val="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65">
    <w:name w:val="Thf"/>
    <w:basedOn w:val="528"/>
    <w:uiPriority w:val="0"/>
    <w:pPr>
      <w:ind w:left="0"/>
    </w:pPr>
  </w:style>
  <w:style w:type="paragraph" w:customStyle="1" w:styleId="566">
    <w:name w:val="xl75"/>
    <w:basedOn w:val="1"/>
    <w:uiPriority w:val="0"/>
    <w:pPr>
      <w:widowControl/>
      <w:pBdr>
        <w:top w:val="single" w:color="auto" w:sz="4"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67">
    <w:name w:val="xl123"/>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568">
    <w:name w:val="正文－恩普"/>
    <w:basedOn w:val="19"/>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69">
    <w:name w:val="EB_表格"/>
    <w:basedOn w:val="1"/>
    <w:uiPriority w:val="0"/>
    <w:pPr>
      <w:adjustRightInd/>
      <w:spacing w:line="300" w:lineRule="auto"/>
      <w:jc w:val="center"/>
    </w:pPr>
  </w:style>
  <w:style w:type="paragraph" w:customStyle="1" w:styleId="570">
    <w:name w:val="MM Empty"/>
    <w:basedOn w:val="1"/>
    <w:uiPriority w:val="0"/>
    <w:pPr>
      <w:adjustRightInd/>
    </w:pPr>
  </w:style>
  <w:style w:type="paragraph" w:customStyle="1" w:styleId="571">
    <w:name w:val=" Char Char Char Char Char Char Char Char"/>
    <w:basedOn w:val="1"/>
    <w:uiPriority w:val="0"/>
    <w:pPr>
      <w:tabs>
        <w:tab w:val="left" w:pos="360"/>
      </w:tabs>
    </w:pPr>
    <w:rPr>
      <w:sz w:val="24"/>
      <w:szCs w:val="20"/>
    </w:rPr>
  </w:style>
  <w:style w:type="paragraph" w:customStyle="1" w:styleId="572">
    <w:name w:val="样式 正文缩进 + 首行缩进:  2 字符"/>
    <w:basedOn w:val="19"/>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73">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574">
    <w:name w:val="表文字"/>
    <w:uiPriority w:val="0"/>
    <w:rPr>
      <w:rFonts w:ascii="宋体"/>
      <w:kern w:val="2"/>
      <w:lang w:val="en-US" w:eastAsia="zh-CN" w:bidi="ar-SA"/>
    </w:rPr>
  </w:style>
  <w:style w:type="paragraph" w:customStyle="1" w:styleId="575">
    <w:name w:val="xl105"/>
    <w:basedOn w:val="1"/>
    <w:uiPriority w:val="0"/>
    <w:pPr>
      <w:widowControl/>
      <w:pBdr>
        <w:left w:val="single" w:color="auto" w:sz="8" w:space="0"/>
        <w:bottom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576">
    <w:name w:val="xl139"/>
    <w:basedOn w:val="1"/>
    <w:uiPriority w:val="0"/>
    <w:pPr>
      <w:widowControl/>
      <w:pBdr>
        <w:top w:val="single" w:color="auto" w:sz="8" w:space="0"/>
        <w:left w:val="single" w:color="auto" w:sz="12" w:space="0"/>
        <w:bottom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577">
    <w:name w:val="Char Char8 Char Char Char Char Char Char1"/>
    <w:basedOn w:val="1"/>
    <w:uiPriority w:val="0"/>
    <w:pPr>
      <w:adjustRightInd/>
      <w:spacing w:line="360" w:lineRule="auto"/>
    </w:pPr>
    <w:rPr>
      <w:rFonts w:ascii="宋体" w:hAnsi="宋体" w:eastAsia="仿宋_GB2312"/>
      <w:sz w:val="22"/>
    </w:rPr>
  </w:style>
  <w:style w:type="paragraph" w:customStyle="1" w:styleId="578">
    <w:name w:val="xl65"/>
    <w:basedOn w:val="1"/>
    <w:uiPriority w:val="0"/>
    <w:pPr>
      <w:widowControl/>
      <w:adjustRightInd/>
      <w:spacing w:before="100" w:beforeLines="0" w:beforeAutospacing="1" w:after="100" w:afterLines="0" w:afterAutospacing="1"/>
      <w:jc w:val="left"/>
    </w:pPr>
    <w:rPr>
      <w:rFonts w:ascii="宋体" w:hAnsi="宋体" w:eastAsia="仿宋_GB2312" w:cs="宋体"/>
      <w:kern w:val="0"/>
      <w:sz w:val="28"/>
    </w:rPr>
  </w:style>
  <w:style w:type="paragraph" w:customStyle="1" w:styleId="579">
    <w:name w:val="xl131"/>
    <w:basedOn w:val="1"/>
    <w:uiPriority w:val="0"/>
    <w:pPr>
      <w:widowControl/>
      <w:pBdr>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580">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81">
    <w:name w:val="默认段落样式"/>
    <w:basedOn w:val="307"/>
    <w:uiPriority w:val="0"/>
    <w:pPr>
      <w:spacing w:before="0" w:beforeLines="0"/>
      <w:ind w:firstLine="480"/>
      <w:outlineLvl w:val="2"/>
    </w:pPr>
    <w:rPr>
      <w:rFonts w:ascii="仿宋_GB2312" w:hAnsi="宋体" w:eastAsia="仿宋_GB2312"/>
      <w:color w:val="000000"/>
      <w:szCs w:val="24"/>
    </w:rPr>
  </w:style>
  <w:style w:type="paragraph" w:customStyle="1" w:styleId="582">
    <w:name w:val="样式 标题 4PIM 4H4h4bulletblbbH41H42H43H44H45H46H47H48...1"/>
    <w:basedOn w:val="5"/>
    <w:uiPriority w:val="0"/>
    <w:pPr>
      <w:widowControl/>
      <w:jc w:val="left"/>
    </w:pPr>
    <w:rPr>
      <w:rFonts w:cs="宋体"/>
      <w:sz w:val="24"/>
      <w:szCs w:val="20"/>
    </w:rPr>
  </w:style>
  <w:style w:type="paragraph" w:customStyle="1" w:styleId="583">
    <w:name w:val="金宏发行正文"/>
    <w:basedOn w:val="1"/>
    <w:uiPriority w:val="0"/>
    <w:pPr>
      <w:adjustRightInd/>
      <w:spacing w:line="500" w:lineRule="exact"/>
      <w:ind w:firstLine="560" w:firstLineChars="200"/>
    </w:pPr>
    <w:rPr>
      <w:rFonts w:eastAsia="仿宋_GB2312"/>
      <w:sz w:val="28"/>
      <w:szCs w:val="20"/>
    </w:rPr>
  </w:style>
  <w:style w:type="paragraph" w:customStyle="1" w:styleId="584">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585">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86">
    <w:name w:val=" Char Char11 Char Char Char"/>
    <w:basedOn w:val="1"/>
    <w:uiPriority w:val="0"/>
    <w:pPr>
      <w:spacing w:line="360" w:lineRule="auto"/>
    </w:pPr>
    <w:rPr>
      <w:szCs w:val="20"/>
    </w:rPr>
  </w:style>
  <w:style w:type="paragraph" w:customStyle="1" w:styleId="587">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88">
    <w:name w:val="默认段落字体 Para Char Char Char Char Char Char Char Char Char Char Char Char Char Char Char Char2 Char"/>
    <w:next w:val="1"/>
    <w:uiPriority w:val="0"/>
    <w:pPr>
      <w:keepNext/>
      <w:keepLines/>
      <w:tabs>
        <w:tab w:val="left" w:pos="900"/>
      </w:tabs>
      <w:spacing w:before="240" w:after="240"/>
      <w:ind w:left="900" w:hanging="720"/>
      <w:outlineLvl w:val="7"/>
    </w:pPr>
    <w:rPr>
      <w:rFonts w:ascii="Arial" w:hAnsi="Arial" w:eastAsia="黑体" w:cs="Arial"/>
      <w:snapToGrid w:val="0"/>
      <w:sz w:val="21"/>
      <w:szCs w:val="21"/>
      <w:lang w:val="en-US" w:eastAsia="zh-CN" w:bidi="ar-SA"/>
    </w:rPr>
  </w:style>
  <w:style w:type="paragraph" w:customStyle="1" w:styleId="589">
    <w:name w:val="CM14"/>
    <w:basedOn w:val="471"/>
    <w:next w:val="471"/>
    <w:uiPriority w:val="0"/>
    <w:pPr>
      <w:spacing w:after="68" w:afterLines="0"/>
    </w:pPr>
    <w:rPr>
      <w:rFonts w:ascii="FHLHE E+ Futura Bk" w:eastAsia="FHLHE E+ Futura Bk" w:cs="Times New Roman"/>
      <w:color w:val="auto"/>
    </w:rPr>
  </w:style>
  <w:style w:type="paragraph" w:customStyle="1" w:styleId="590">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91">
    <w:name w:val="char"/>
    <w:basedOn w:val="1"/>
    <w:uiPriority w:val="0"/>
    <w:pPr>
      <w:widowControl/>
      <w:adjustRightInd/>
      <w:snapToGrid w:val="0"/>
      <w:spacing w:line="360" w:lineRule="auto"/>
      <w:jc w:val="center"/>
    </w:pPr>
    <w:rPr>
      <w:rFonts w:eastAsia="仿宋_GB2312"/>
      <w:kern w:val="0"/>
      <w:sz w:val="28"/>
    </w:rPr>
  </w:style>
  <w:style w:type="paragraph" w:customStyle="1" w:styleId="592">
    <w:name w:val="正文（首行缩进2字符）"/>
    <w:basedOn w:val="1"/>
    <w:uiPriority w:val="0"/>
    <w:pPr>
      <w:adjustRightInd/>
      <w:spacing w:line="360" w:lineRule="auto"/>
      <w:ind w:firstLine="480" w:firstLineChars="200"/>
    </w:pPr>
    <w:rPr>
      <w:sz w:val="24"/>
      <w:szCs w:val="20"/>
    </w:rPr>
  </w:style>
  <w:style w:type="paragraph" w:customStyle="1" w:styleId="593">
    <w:name w:val="正文文字缩进项目"/>
    <w:basedOn w:val="33"/>
    <w:uiPriority w:val="0"/>
    <w:pPr>
      <w:tabs>
        <w:tab w:val="left" w:pos="840"/>
      </w:tabs>
      <w:adjustRightInd/>
      <w:spacing w:after="120" w:afterLines="0" w:line="240" w:lineRule="auto"/>
      <w:ind w:hanging="420" w:firstLineChars="0"/>
    </w:pPr>
    <w:rPr>
      <w:rFonts w:ascii="Tahoma" w:hAnsi="Tahoma"/>
      <w:sz w:val="22"/>
      <w:szCs w:val="20"/>
    </w:rPr>
  </w:style>
  <w:style w:type="paragraph" w:customStyle="1" w:styleId="594">
    <w:name w:val="MM Topic 2"/>
    <w:basedOn w:val="3"/>
    <w:uiPriority w:val="0"/>
    <w:pPr>
      <w:numPr>
        <w:ilvl w:val="1"/>
        <w:numId w:val="4"/>
      </w:numPr>
      <w:tabs>
        <w:tab w:val="clear" w:pos="432"/>
      </w:tabs>
    </w:pPr>
    <w:rPr>
      <w:rFonts w:ascii="Arial" w:hAnsi="Arial" w:eastAsia="黑体"/>
      <w:sz w:val="32"/>
      <w:szCs w:val="32"/>
      <w:lang w:val="en-US"/>
    </w:rPr>
  </w:style>
  <w:style w:type="paragraph" w:customStyle="1" w:styleId="595">
    <w:name w:val="Char3 Char Char Char"/>
    <w:basedOn w:val="1"/>
    <w:uiPriority w:val="0"/>
    <w:pPr>
      <w:widowControl/>
      <w:adjustRightInd/>
      <w:spacing w:after="160" w:afterLines="0" w:line="240" w:lineRule="exact"/>
      <w:jc w:val="left"/>
    </w:pPr>
    <w:rPr>
      <w:szCs w:val="20"/>
    </w:rPr>
  </w:style>
  <w:style w:type="paragraph" w:customStyle="1" w:styleId="596">
    <w:name w:val="a0"/>
    <w:basedOn w:val="1"/>
    <w:uiPriority w:val="0"/>
    <w:pPr>
      <w:widowControl/>
      <w:adjustRightInd/>
      <w:snapToGrid w:val="0"/>
      <w:spacing w:before="60" w:beforeLines="0" w:after="60" w:afterLines="0"/>
      <w:ind w:left="11"/>
      <w:jc w:val="center"/>
    </w:pPr>
    <w:rPr>
      <w:rFonts w:ascii="宋体" w:hAnsi="宋体" w:eastAsia="仿宋_GB2312" w:cs="宋体"/>
      <w:kern w:val="0"/>
      <w:szCs w:val="21"/>
    </w:rPr>
  </w:style>
  <w:style w:type="paragraph" w:customStyle="1" w:styleId="597">
    <w:name w:val="有符号正文"/>
    <w:basedOn w:val="1"/>
    <w:uiPriority w:val="0"/>
    <w:pPr>
      <w:adjustRightInd/>
      <w:spacing w:line="400" w:lineRule="exact"/>
      <w:ind w:firstLine="200" w:firstLineChars="200"/>
    </w:pPr>
    <w:rPr>
      <w:rFonts w:ascii="Arial" w:hAnsi="Arial"/>
    </w:rPr>
  </w:style>
  <w:style w:type="paragraph" w:customStyle="1" w:styleId="598">
    <w:name w:val="xl77"/>
    <w:basedOn w:val="1"/>
    <w:uiPriority w:val="0"/>
    <w:pPr>
      <w:widowControl/>
      <w:pBdr>
        <w:top w:val="single" w:color="auto" w:sz="4"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color w:val="000000"/>
      <w:kern w:val="0"/>
      <w:sz w:val="20"/>
      <w:szCs w:val="20"/>
    </w:rPr>
  </w:style>
  <w:style w:type="paragraph" w:customStyle="1" w:styleId="599">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600">
    <w:name w:val="浅色底纹 - 强调文字颜色 51"/>
    <w:uiPriority w:val="0"/>
    <w:rPr>
      <w:kern w:val="2"/>
      <w:sz w:val="21"/>
      <w:szCs w:val="24"/>
      <w:lang w:val="en-US" w:eastAsia="zh-CN" w:bidi="ar-SA"/>
    </w:rPr>
  </w:style>
  <w:style w:type="paragraph" w:customStyle="1" w:styleId="601">
    <w:name w:val="Char1 Char Char Char1"/>
    <w:basedOn w:val="1"/>
    <w:uiPriority w:val="0"/>
    <w:pPr>
      <w:adjustRightInd/>
      <w:ind w:firstLine="200" w:firstLineChars="200"/>
    </w:pPr>
    <w:rPr>
      <w:rFonts w:ascii="Tahoma" w:hAnsi="Tahoma"/>
      <w:sz w:val="24"/>
      <w:szCs w:val="20"/>
    </w:rPr>
  </w:style>
  <w:style w:type="paragraph" w:customStyle="1" w:styleId="602">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603">
    <w:name w:val="xl68"/>
    <w:basedOn w:val="1"/>
    <w:uiPriority w:val="0"/>
    <w:pPr>
      <w:widowControl/>
      <w:pBdr>
        <w:top w:val="single" w:color="auto" w:sz="8" w:space="0"/>
        <w:left w:val="single" w:color="auto" w:sz="8"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604">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605">
    <w:name w:val="body text bold"/>
    <w:basedOn w:val="3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606">
    <w:name w:val="默认段落字体 Para Char Char Char Char Char Char Char Char Char Char Char Char Char Char Char Char"/>
    <w:basedOn w:val="24"/>
    <w:uiPriority w:val="0"/>
    <w:pPr>
      <w:adjustRightInd/>
    </w:pPr>
    <w:rPr>
      <w:rFonts w:ascii="Tahoma" w:hAnsi="Tahoma"/>
    </w:rPr>
  </w:style>
  <w:style w:type="paragraph" w:customStyle="1" w:styleId="607">
    <w:name w:val="xl71"/>
    <w:basedOn w:val="1"/>
    <w:uiPriority w:val="0"/>
    <w:pPr>
      <w:widowControl/>
      <w:pBdr>
        <w:top w:val="single" w:color="auto" w:sz="8"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608">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609">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610">
    <w:name w:val="正文段"/>
    <w:basedOn w:val="1"/>
    <w:uiPriority w:val="0"/>
    <w:pPr>
      <w:widowControl/>
      <w:snapToGrid w:val="0"/>
      <w:spacing w:after="156" w:afterLines="50"/>
      <w:ind w:firstLine="200" w:firstLineChars="200"/>
    </w:pPr>
    <w:rPr>
      <w:kern w:val="0"/>
      <w:sz w:val="24"/>
      <w:szCs w:val="20"/>
    </w:rPr>
  </w:style>
  <w:style w:type="paragraph" w:customStyle="1" w:styleId="611">
    <w:name w:val="正文（标题三）"/>
    <w:basedOn w:val="1"/>
    <w:uiPriority w:val="0"/>
    <w:pPr>
      <w:spacing w:line="360" w:lineRule="auto"/>
      <w:ind w:firstLine="200" w:firstLineChars="200"/>
    </w:pPr>
    <w:rPr>
      <w:sz w:val="24"/>
    </w:rPr>
  </w:style>
  <w:style w:type="paragraph" w:customStyle="1" w:styleId="612">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13">
    <w:name w:val="xl81"/>
    <w:basedOn w:val="1"/>
    <w:uiPriority w:val="0"/>
    <w:pPr>
      <w:widowControl/>
      <w:pBdr>
        <w:top w:val="single" w:color="auto" w:sz="4" w:space="0"/>
        <w:left w:val="single" w:color="auto" w:sz="4" w:space="0"/>
        <w:bottom w:val="single" w:color="auto" w:sz="8"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614">
    <w:name w:val=" Char Char Char Char Char Char Char Char Char Char Char Char1 Char"/>
    <w:basedOn w:val="1"/>
    <w:uiPriority w:val="0"/>
    <w:rPr>
      <w:rFonts w:ascii="Tahoma" w:hAnsi="Tahoma" w:cs="仿宋_GB2312"/>
      <w:sz w:val="24"/>
      <w:szCs w:val="20"/>
    </w:rPr>
  </w:style>
  <w:style w:type="paragraph" w:customStyle="1" w:styleId="615">
    <w:name w:val="左对齐表格文字"/>
    <w:basedOn w:val="1"/>
    <w:uiPriority w:val="0"/>
    <w:pPr>
      <w:adjustRightInd/>
      <w:ind w:firstLine="200" w:firstLineChars="200"/>
      <w:jc w:val="right"/>
    </w:pPr>
  </w:style>
  <w:style w:type="paragraph" w:customStyle="1" w:styleId="616">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617">
    <w:name w:val="样式 左侧:  0.85 厘米 首行缩进:  0.85 厘米"/>
    <w:basedOn w:val="1"/>
    <w:uiPriority w:val="0"/>
    <w:pPr>
      <w:adjustRightInd/>
      <w:spacing w:line="360" w:lineRule="auto"/>
      <w:ind w:firstLine="482"/>
    </w:pPr>
    <w:rPr>
      <w:rFonts w:cs="宋体"/>
      <w:sz w:val="24"/>
      <w:szCs w:val="20"/>
    </w:rPr>
  </w:style>
  <w:style w:type="paragraph" w:customStyle="1" w:styleId="618">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19">
    <w:name w:val="正文 项目2"/>
    <w:basedOn w:val="491"/>
    <w:uiPriority w:val="0"/>
    <w:pPr>
      <w:numPr>
        <w:ilvl w:val="0"/>
        <w:numId w:val="11"/>
      </w:numPr>
      <w:tabs>
        <w:tab w:val="clear" w:pos="840"/>
      </w:tabs>
      <w:spacing w:after="0" w:afterLines="0"/>
    </w:pPr>
  </w:style>
  <w:style w:type="paragraph" w:customStyle="1" w:styleId="620">
    <w:name w:val="subhead 2"/>
    <w:uiPriority w:val="0"/>
    <w:pPr>
      <w:spacing w:after="60" w:line="240" w:lineRule="exact"/>
    </w:pPr>
    <w:rPr>
      <w:rFonts w:ascii="Arial" w:hAnsi="Arial"/>
      <w:b/>
      <w:sz w:val="22"/>
      <w:lang w:val="en-US" w:eastAsia="en-US" w:bidi="ar-SA"/>
    </w:rPr>
  </w:style>
  <w:style w:type="paragraph" w:customStyle="1" w:styleId="621">
    <w:name w:val="xl125"/>
    <w:basedOn w:val="1"/>
    <w:uiPriority w:val="0"/>
    <w:pPr>
      <w:widowControl/>
      <w:pBdr>
        <w:top w:val="single" w:color="auto" w:sz="8" w:space="0"/>
        <w:left w:val="single" w:color="auto" w:sz="12"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622">
    <w:name w:val="样式 正文文本缩进 + 左侧:  2 字符 首行缩进:  2 字符"/>
    <w:basedOn w:val="3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23">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4">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625">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626">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627">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628">
    <w:name w:val=" Char2"/>
    <w:basedOn w:val="1"/>
    <w:uiPriority w:val="0"/>
    <w:rPr>
      <w:rFonts w:ascii="仿宋_GB2312" w:eastAsia="仿宋_GB2312"/>
      <w:b/>
      <w:sz w:val="32"/>
      <w:szCs w:val="32"/>
    </w:rPr>
  </w:style>
  <w:style w:type="paragraph" w:customStyle="1" w:styleId="629">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630">
    <w:name w:val="数字标题3"/>
    <w:basedOn w:val="4"/>
    <w:next w:val="1"/>
    <w:uiPriority w:val="0"/>
    <w:pPr>
      <w:numPr>
        <w:ilvl w:val="2"/>
        <w:numId w:val="0"/>
      </w:numPr>
      <w:spacing w:line="240" w:lineRule="auto"/>
    </w:pPr>
    <w:rPr>
      <w:sz w:val="28"/>
      <w:szCs w:val="28"/>
    </w:rPr>
  </w:style>
  <w:style w:type="paragraph" w:customStyle="1" w:styleId="631">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2">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633">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634">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635">
    <w:name w:val="4"/>
    <w:basedOn w:val="1"/>
    <w:next w:val="49"/>
    <w:uiPriority w:val="0"/>
    <w:pPr>
      <w:spacing w:after="120" w:afterLines="0" w:line="480" w:lineRule="auto"/>
      <w:ind w:left="420" w:leftChars="200"/>
    </w:pPr>
    <w:rPr>
      <w:sz w:val="24"/>
      <w:szCs w:val="20"/>
    </w:rPr>
  </w:style>
  <w:style w:type="paragraph" w:customStyle="1" w:styleId="636">
    <w:name w:val="Char"/>
    <w:basedOn w:val="1"/>
    <w:uiPriority w:val="0"/>
    <w:rPr>
      <w:rFonts w:ascii="仿宋_GB2312" w:eastAsia="仿宋_GB2312"/>
      <w:b/>
      <w:sz w:val="32"/>
      <w:szCs w:val="32"/>
    </w:rPr>
  </w:style>
  <w:style w:type="paragraph" w:customStyle="1" w:styleId="637">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638">
    <w:name w:val="xl99"/>
    <w:basedOn w:val="1"/>
    <w:uiPriority w:val="0"/>
    <w:pPr>
      <w:widowControl/>
      <w:pBdr>
        <w:left w:val="single" w:color="auto" w:sz="12"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639">
    <w:name w:val="Picture"/>
    <w:basedOn w:val="1"/>
    <w:next w:val="20"/>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0">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641">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642">
    <w:name w:val="xl97"/>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643">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44">
    <w:name w:val="签署页"/>
    <w:basedOn w:val="1"/>
    <w:uiPriority w:val="0"/>
    <w:pPr>
      <w:widowControl/>
      <w:numPr>
        <w:ilvl w:val="0"/>
        <w:numId w:val="7"/>
      </w:numPr>
      <w:tabs>
        <w:tab w:val="clear" w:pos="907"/>
      </w:tabs>
      <w:snapToGrid w:val="0"/>
      <w:spacing w:line="480" w:lineRule="auto"/>
      <w:ind w:left="2438" w:hanging="1701"/>
      <w:textAlignment w:val="baseline"/>
    </w:pPr>
    <w:rPr>
      <w:rFonts w:ascii="宋体" w:hAnsi="Calibri"/>
      <w:spacing w:val="6"/>
      <w:sz w:val="32"/>
    </w:rPr>
  </w:style>
  <w:style w:type="paragraph" w:customStyle="1" w:styleId="645">
    <w:name w:val="xl104"/>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646">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47">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648">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649">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650">
    <w:name w:val="xl103"/>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651">
    <w:name w:val="xl111"/>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652">
    <w:name w:val="样式 小四 行距: 多倍行距 1.25 字行"/>
    <w:basedOn w:val="1"/>
    <w:uiPriority w:val="0"/>
    <w:pPr>
      <w:adjustRightInd/>
      <w:spacing w:line="300" w:lineRule="auto"/>
      <w:ind w:firstLine="540" w:firstLineChars="225"/>
    </w:pPr>
    <w:rPr>
      <w:rFonts w:cs="宋体"/>
      <w:sz w:val="24"/>
      <w:szCs w:val="20"/>
    </w:rPr>
  </w:style>
  <w:style w:type="paragraph" w:customStyle="1" w:styleId="653">
    <w:name w:val="xl118"/>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b/>
      <w:bCs/>
      <w:kern w:val="0"/>
      <w:sz w:val="20"/>
      <w:szCs w:val="20"/>
    </w:rPr>
  </w:style>
  <w:style w:type="paragraph" w:customStyle="1" w:styleId="654">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655">
    <w:name w:val="Char19"/>
    <w:basedOn w:val="1"/>
    <w:uiPriority w:val="0"/>
    <w:pPr>
      <w:adjustRightInd/>
    </w:pPr>
    <w:rPr>
      <w:szCs w:val="20"/>
    </w:rPr>
  </w:style>
  <w:style w:type="paragraph" w:customStyle="1" w:styleId="656">
    <w:name w:val=" Char2 Char Char"/>
    <w:basedOn w:val="1"/>
    <w:uiPriority w:val="0"/>
    <w:pPr>
      <w:adjustRightInd/>
    </w:pPr>
    <w:rPr>
      <w:rFonts w:ascii="Tahoma" w:hAnsi="Tahoma"/>
      <w:sz w:val="24"/>
      <w:szCs w:val="20"/>
    </w:rPr>
  </w:style>
  <w:style w:type="paragraph" w:customStyle="1" w:styleId="657">
    <w:name w:val="Char1 Char Char Char3"/>
    <w:basedOn w:val="1"/>
    <w:uiPriority w:val="0"/>
    <w:pPr>
      <w:adjustRightInd/>
      <w:ind w:firstLine="200" w:firstLineChars="200"/>
    </w:pPr>
    <w:rPr>
      <w:rFonts w:ascii="Tahoma" w:hAnsi="Tahoma"/>
      <w:sz w:val="24"/>
      <w:szCs w:val="20"/>
    </w:rPr>
  </w:style>
  <w:style w:type="paragraph" w:customStyle="1" w:styleId="658">
    <w:name w:val="Char Char1"/>
    <w:basedOn w:val="1"/>
    <w:uiPriority w:val="0"/>
    <w:pPr>
      <w:widowControl/>
      <w:spacing w:after="160" w:afterLines="0" w:line="240" w:lineRule="exact"/>
      <w:jc w:val="left"/>
    </w:pPr>
    <w:rPr>
      <w:rFonts w:eastAsia="仿宋_GB2312"/>
      <w:sz w:val="28"/>
    </w:rPr>
  </w:style>
  <w:style w:type="paragraph" w:customStyle="1" w:styleId="659">
    <w:name w:val="xl102"/>
    <w:basedOn w:val="1"/>
    <w:uiPriority w:val="0"/>
    <w:pPr>
      <w:widowControl/>
      <w:pBdr>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660">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661">
    <w:name w:val=" Char Char Char Char Char Char Char Char Char Char"/>
    <w:basedOn w:val="1"/>
    <w:uiPriority w:val="0"/>
    <w:rPr>
      <w:rFonts w:ascii="仿宋_GB2312" w:eastAsia="仿宋_GB2312"/>
      <w:b/>
      <w:sz w:val="32"/>
      <w:szCs w:val="32"/>
    </w:rPr>
  </w:style>
  <w:style w:type="paragraph" w:customStyle="1" w:styleId="662">
    <w:name w:val="数字标题6"/>
    <w:basedOn w:val="7"/>
    <w:next w:val="1"/>
    <w:uiPriority w:val="0"/>
    <w:pPr>
      <w:numPr>
        <w:ilvl w:val="5"/>
        <w:numId w:val="8"/>
      </w:numPr>
      <w:tabs>
        <w:tab w:val="clear" w:pos="1152"/>
      </w:tabs>
    </w:pPr>
    <w:rPr>
      <w:rFonts w:ascii="Times New Roman" w:hAnsi="Times New Roman" w:eastAsia="宋体"/>
      <w:i/>
    </w:rPr>
  </w:style>
  <w:style w:type="paragraph" w:customStyle="1" w:styleId="663">
    <w:name w:val="注释"/>
    <w:basedOn w:val="1"/>
    <w:uiPriority w:val="0"/>
    <w:pPr>
      <w:adjustRightInd/>
      <w:spacing w:line="360" w:lineRule="auto"/>
      <w:ind w:firstLine="480"/>
    </w:pPr>
    <w:rPr>
      <w:sz w:val="24"/>
    </w:rPr>
  </w:style>
  <w:style w:type="paragraph" w:customStyle="1" w:styleId="664">
    <w:name w:val="封面"/>
    <w:basedOn w:val="1"/>
    <w:uiPriority w:val="0"/>
    <w:pPr>
      <w:spacing w:line="360" w:lineRule="atLeast"/>
      <w:jc w:val="right"/>
      <w:textAlignment w:val="baseline"/>
    </w:pPr>
    <w:rPr>
      <w:rFonts w:ascii="Symbol" w:hAnsi="Symbol"/>
      <w:kern w:val="0"/>
      <w:szCs w:val="20"/>
    </w:rPr>
  </w:style>
  <w:style w:type="paragraph" w:customStyle="1" w:styleId="665">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666">
    <w:name w:val="CSS1级正文 Char"/>
    <w:basedOn w:val="32"/>
    <w:uiPriority w:val="0"/>
    <w:pPr>
      <w:autoSpaceDE/>
      <w:autoSpaceDN/>
      <w:snapToGrid w:val="0"/>
      <w:ind w:firstLine="480" w:firstLineChars="200"/>
    </w:pPr>
    <w:rPr>
      <w:rFonts w:ascii="Times New Roman"/>
      <w:szCs w:val="24"/>
      <w:lang w:val="en-US" w:eastAsia="zh-CN"/>
    </w:rPr>
  </w:style>
  <w:style w:type="paragraph" w:customStyle="1" w:styleId="667">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styleId="668">
    <w:name w:val="No Spacing"/>
    <w:qFormat/>
    <w:uiPriority w:val="0"/>
    <w:pPr>
      <w:widowControl w:val="0"/>
      <w:jc w:val="both"/>
    </w:pPr>
    <w:rPr>
      <w:kern w:val="2"/>
      <w:sz w:val="21"/>
      <w:szCs w:val="22"/>
      <w:lang w:val="en-US" w:eastAsia="zh-CN" w:bidi="ar-SA"/>
    </w:rPr>
  </w:style>
  <w:style w:type="paragraph" w:customStyle="1" w:styleId="669">
    <w:name w:val="深色列表 - 强调文字颜色 51"/>
    <w:basedOn w:val="1"/>
    <w:uiPriority w:val="0"/>
    <w:pPr>
      <w:adjustRightInd/>
      <w:spacing w:line="360" w:lineRule="auto"/>
      <w:ind w:firstLine="200" w:firstLineChars="200"/>
    </w:pPr>
    <w:rPr>
      <w:rFonts w:eastAsia="楷体_GB2312" w:cs="Lucida Sans"/>
      <w:sz w:val="24"/>
    </w:rPr>
  </w:style>
  <w:style w:type="paragraph" w:customStyle="1" w:styleId="670">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671">
    <w:name w:val="样式 正文文本缩进 2 + 仿宋_GB2312 黑色 行距: 1.5 倍行距"/>
    <w:basedOn w:val="49"/>
    <w:uiPriority w:val="0"/>
    <w:pPr>
      <w:adjustRightInd/>
      <w:ind w:firstLine="560" w:firstLineChars="200"/>
      <w:textAlignment w:val="auto"/>
    </w:pPr>
    <w:rPr>
      <w:rFonts w:hAnsi="宋体" w:cs="宋体"/>
      <w:color w:val="000000"/>
      <w:kern w:val="2"/>
      <w:sz w:val="24"/>
    </w:rPr>
  </w:style>
  <w:style w:type="paragraph" w:customStyle="1" w:styleId="672">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73">
    <w:name w:val="标题五"/>
    <w:basedOn w:val="1"/>
    <w:uiPriority w:val="0"/>
    <w:pPr>
      <w:adjustRightInd/>
      <w:spacing w:before="156" w:beforeLines="50" w:line="360" w:lineRule="auto"/>
    </w:pPr>
    <w:rPr>
      <w:b/>
      <w:sz w:val="24"/>
    </w:rPr>
  </w:style>
  <w:style w:type="paragraph" w:customStyle="1" w:styleId="674">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675">
    <w:name w:val="Char Char11 Char Char Char"/>
    <w:basedOn w:val="1"/>
    <w:uiPriority w:val="0"/>
    <w:pPr>
      <w:spacing w:line="360" w:lineRule="auto"/>
    </w:pPr>
    <w:rPr>
      <w:szCs w:val="20"/>
    </w:rPr>
  </w:style>
  <w:style w:type="paragraph" w:customStyle="1" w:styleId="676">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677">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78">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679">
    <w:name w:val="样式 正文文本缩进 + 段前: 2 字符"/>
    <w:basedOn w:val="1"/>
    <w:uiPriority w:val="0"/>
    <w:pPr>
      <w:adjustRightInd/>
      <w:ind w:left="420" w:leftChars="200"/>
      <w:jc w:val="left"/>
    </w:pPr>
    <w:rPr>
      <w:sz w:val="28"/>
      <w:szCs w:val="20"/>
      <w:lang w:eastAsia="zh-TW"/>
    </w:rPr>
  </w:style>
  <w:style w:type="paragraph" w:customStyle="1" w:styleId="680">
    <w:name w:val=" Char Char Char Char Char Char Char"/>
    <w:basedOn w:val="1"/>
    <w:uiPriority w:val="0"/>
    <w:rPr>
      <w:rFonts w:ascii="仿宋_GB2312" w:eastAsia="仿宋_GB2312"/>
      <w:b/>
      <w:sz w:val="32"/>
      <w:szCs w:val="32"/>
    </w:rPr>
  </w:style>
  <w:style w:type="paragraph" w:customStyle="1" w:styleId="681">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82">
    <w:name w:val="trs_editor"/>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683">
    <w:name w:val="样式1 + (中宋体"/>
    <w:basedOn w:val="684"/>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684">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85">
    <w:name w:val="font14"/>
    <w:basedOn w:val="1"/>
    <w:uiPriority w:val="0"/>
    <w:pPr>
      <w:widowControl/>
      <w:adjustRightInd/>
      <w:spacing w:before="100" w:beforeLines="0" w:beforeAutospacing="1" w:after="100" w:afterLines="0" w:afterAutospacing="1"/>
      <w:jc w:val="left"/>
    </w:pPr>
    <w:rPr>
      <w:color w:val="FF0000"/>
      <w:kern w:val="0"/>
      <w:sz w:val="24"/>
    </w:rPr>
  </w:style>
  <w:style w:type="paragraph" w:customStyle="1" w:styleId="686">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87">
    <w:name w:val="样式3"/>
    <w:basedOn w:val="358"/>
    <w:uiPriority w:val="0"/>
    <w:pPr>
      <w:spacing w:before="312" w:beforeLines="100"/>
      <w:jc w:val="left"/>
    </w:pPr>
  </w:style>
  <w:style w:type="paragraph" w:customStyle="1" w:styleId="688">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color w:val="000000"/>
      <w:kern w:val="0"/>
      <w:sz w:val="20"/>
      <w:szCs w:val="20"/>
    </w:rPr>
  </w:style>
  <w:style w:type="paragraph" w:customStyle="1" w:styleId="689">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690">
    <w:name w:val="xl101"/>
    <w:basedOn w:val="1"/>
    <w:uiPriority w:val="0"/>
    <w:pPr>
      <w:widowControl/>
      <w:pBdr>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691">
    <w:name w:val="样式7"/>
    <w:basedOn w:val="511"/>
    <w:next w:val="1"/>
    <w:uiPriority w:val="0"/>
    <w:pPr>
      <w:spacing w:after="156" w:afterLines="50"/>
      <w:jc w:val="left"/>
      <w:outlineLvl w:val="3"/>
    </w:pPr>
    <w:rPr>
      <w:sz w:val="24"/>
      <w:szCs w:val="24"/>
    </w:rPr>
  </w:style>
  <w:style w:type="paragraph" w:customStyle="1" w:styleId="692">
    <w:name w:val="Char1 Char Char Char Char Char Char Char Char Char"/>
    <w:basedOn w:val="1"/>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693">
    <w:name w:val="xl112"/>
    <w:basedOn w:val="1"/>
    <w:uiPriority w:val="0"/>
    <w:pPr>
      <w:widowControl/>
      <w:pBdr>
        <w:bottom w:val="single" w:color="auto" w:sz="8" w:space="0"/>
        <w:right w:val="single" w:color="auto" w:sz="8" w:space="0"/>
      </w:pBdr>
      <w:adjustRightInd/>
      <w:spacing w:before="100" w:beforeLines="0" w:beforeAutospacing="1" w:after="100" w:afterLines="0" w:afterAutospacing="1"/>
      <w:jc w:val="left"/>
    </w:pPr>
    <w:rPr>
      <w:rFonts w:eastAsia="仿宋_GB2312"/>
      <w:kern w:val="0"/>
      <w:szCs w:val="21"/>
    </w:rPr>
  </w:style>
  <w:style w:type="paragraph" w:customStyle="1" w:styleId="694">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695">
    <w:name w:val="xl80"/>
    <w:basedOn w:val="1"/>
    <w:uiPriority w:val="0"/>
    <w:pPr>
      <w:widowControl/>
      <w:pBdr>
        <w:top w:val="single" w:color="auto" w:sz="4" w:space="0"/>
        <w:left w:val="single" w:color="auto" w:sz="8"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696">
    <w:name w:val="WW-正文文字缩进 2"/>
    <w:basedOn w:val="1"/>
    <w:uiPriority w:val="0"/>
    <w:pPr>
      <w:suppressAutoHyphens/>
      <w:adjustRightInd/>
      <w:ind w:firstLine="420"/>
    </w:pPr>
    <w:rPr>
      <w:kern w:val="1"/>
      <w:szCs w:val="20"/>
      <w:lang/>
    </w:rPr>
  </w:style>
  <w:style w:type="paragraph" w:customStyle="1" w:styleId="697">
    <w:name w:val="Char Char1 Char Char1 Char Char1"/>
    <w:basedOn w:val="1"/>
    <w:uiPriority w:val="0"/>
    <w:pPr>
      <w:tabs>
        <w:tab w:val="left" w:pos="840"/>
      </w:tabs>
      <w:ind w:left="840" w:hanging="420"/>
    </w:pPr>
    <w:rPr>
      <w:rFonts w:ascii="Tahoma" w:hAnsi="Tahoma"/>
      <w:sz w:val="24"/>
    </w:rPr>
  </w:style>
  <w:style w:type="paragraph" w:customStyle="1" w:styleId="698">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699">
    <w:name w:val="xl79"/>
    <w:basedOn w:val="1"/>
    <w:uiPriority w:val="0"/>
    <w:pPr>
      <w:widowControl/>
      <w:pBdr>
        <w:top w:val="single" w:color="auto" w:sz="4"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00">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701">
    <w:name w:val="样式5"/>
    <w:basedOn w:val="1"/>
    <w:uiPriority w:val="0"/>
    <w:pPr>
      <w:spacing w:line="440" w:lineRule="exact"/>
      <w:ind w:left="2" w:firstLine="480" w:firstLineChars="200"/>
    </w:pPr>
    <w:rPr>
      <w:rFonts w:ascii="仿宋_GB2312" w:hAnsi="仿宋" w:eastAsia="仿宋_GB2312"/>
      <w:sz w:val="24"/>
    </w:rPr>
  </w:style>
  <w:style w:type="paragraph" w:customStyle="1" w:styleId="702">
    <w:name w:val="Char Char Char Char Char Char Char Char Char Char Char1 Char"/>
    <w:basedOn w:val="1"/>
    <w:uiPriority w:val="0"/>
    <w:pPr>
      <w:adjustRightInd/>
    </w:pPr>
    <w:rPr>
      <w:rFonts w:ascii="Tahoma" w:hAnsi="Tahoma"/>
      <w:sz w:val="24"/>
      <w:lang/>
    </w:rPr>
  </w:style>
  <w:style w:type="paragraph" w:customStyle="1" w:styleId="703">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04">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705">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06">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07">
    <w:name w:val="图中文字"/>
    <w:basedOn w:val="1"/>
    <w:uiPriority w:val="0"/>
    <w:pPr>
      <w:snapToGrid w:val="0"/>
      <w:spacing w:line="0" w:lineRule="atLeast"/>
      <w:ind w:firstLine="200" w:firstLineChars="200"/>
      <w:jc w:val="center"/>
    </w:pPr>
    <w:rPr>
      <w:sz w:val="24"/>
      <w:szCs w:val="20"/>
    </w:rPr>
  </w:style>
  <w:style w:type="paragraph" w:customStyle="1" w:styleId="708">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709">
    <w:name w:val="编号正文"/>
    <w:basedOn w:val="1"/>
    <w:uiPriority w:val="0"/>
    <w:pPr>
      <w:numPr>
        <w:ilvl w:val="0"/>
        <w:numId w:val="12"/>
      </w:numPr>
      <w:adjustRightInd/>
    </w:pPr>
    <w:rPr>
      <w:rFonts w:ascii="Tahoma" w:hAnsi="Tahoma"/>
      <w:sz w:val="24"/>
      <w:szCs w:val="20"/>
    </w:rPr>
  </w:style>
  <w:style w:type="paragraph" w:customStyle="1" w:styleId="710">
    <w:name w:val="Char Char Char Char Char Char Char Char Char"/>
    <w:basedOn w:val="1"/>
    <w:uiPriority w:val="0"/>
    <w:pPr>
      <w:adjustRightInd/>
      <w:ind w:firstLine="200" w:firstLineChars="200"/>
    </w:pPr>
    <w:rPr>
      <w:rFonts w:ascii="Tahoma" w:hAnsi="Tahoma"/>
      <w:sz w:val="24"/>
      <w:szCs w:val="20"/>
    </w:rPr>
  </w:style>
  <w:style w:type="paragraph" w:customStyle="1" w:styleId="711">
    <w:name w:val="xl113"/>
    <w:basedOn w:val="1"/>
    <w:uiPriority w:val="0"/>
    <w:pPr>
      <w:widowControl/>
      <w:pBdr>
        <w:top w:val="single" w:color="auto" w:sz="8" w:space="0"/>
        <w:left w:val="single" w:color="auto" w:sz="12"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712">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13">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714">
    <w:name w:val="MM Title"/>
    <w:basedOn w:val="81"/>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715">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716">
    <w:name w:val="索引 11"/>
    <w:basedOn w:val="1"/>
    <w:next w:val="1"/>
    <w:uiPriority w:val="0"/>
    <w:pPr>
      <w:adjustRightInd/>
      <w:spacing w:line="360" w:lineRule="auto"/>
    </w:pPr>
    <w:rPr>
      <w:rFonts w:ascii="仿宋_GB2312" w:eastAsia="仿宋_GB2312"/>
      <w:sz w:val="24"/>
      <w:szCs w:val="20"/>
    </w:rPr>
  </w:style>
  <w:style w:type="paragraph" w:customStyle="1" w:styleId="717">
    <w:name w:val="标准小四"/>
    <w:basedOn w:val="1"/>
    <w:uiPriority w:val="0"/>
    <w:pPr>
      <w:spacing w:line="360" w:lineRule="auto"/>
      <w:ind w:firstLine="480" w:firstLineChars="200"/>
    </w:pPr>
    <w:rPr>
      <w:rFonts w:ascii="Arial" w:hAnsi="Arial"/>
      <w:sz w:val="24"/>
      <w:szCs w:val="21"/>
    </w:rPr>
  </w:style>
  <w:style w:type="paragraph" w:customStyle="1" w:styleId="718">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719">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720">
    <w:name w:val="xl86"/>
    <w:basedOn w:val="1"/>
    <w:uiPriority w:val="0"/>
    <w:pPr>
      <w:widowControl/>
      <w:pBdr>
        <w:top w:val="single" w:color="auto" w:sz="4" w:space="0"/>
        <w:lef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21">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722">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723">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724">
    <w:name w:val="Char Char Char Char Char Char Char"/>
    <w:basedOn w:val="1"/>
    <w:uiPriority w:val="0"/>
    <w:rPr>
      <w:rFonts w:ascii="仿宋_GB2312" w:eastAsia="仿宋_GB2312"/>
      <w:b/>
      <w:sz w:val="32"/>
      <w:szCs w:val="32"/>
    </w:rPr>
  </w:style>
  <w:style w:type="paragraph" w:customStyle="1" w:styleId="725">
    <w:name w:val="xl92"/>
    <w:basedOn w:val="1"/>
    <w:uiPriority w:val="0"/>
    <w:pPr>
      <w:widowControl/>
      <w:pBdr>
        <w:top w:val="single" w:color="auto" w:sz="4" w:space="0"/>
        <w:left w:val="single" w:color="auto" w:sz="8"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26">
    <w:name w:val="MM Topic 3"/>
    <w:basedOn w:val="4"/>
    <w:uiPriority w:val="0"/>
    <w:pPr>
      <w:numPr>
        <w:ilvl w:val="2"/>
        <w:numId w:val="4"/>
      </w:numPr>
      <w:tabs>
        <w:tab w:val="clear" w:pos="900"/>
      </w:tabs>
      <w:adjustRightInd/>
    </w:pPr>
    <w:rPr>
      <w:lang w:val="en-US" w:eastAsia="zh-CN"/>
    </w:rPr>
  </w:style>
  <w:style w:type="paragraph" w:customStyle="1" w:styleId="727">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728">
    <w:name w:val=" Char Char Char"/>
    <w:basedOn w:val="1"/>
    <w:uiPriority w:val="0"/>
    <w:rPr>
      <w:rFonts w:ascii="Tahoma" w:hAnsi="Tahoma"/>
      <w:sz w:val="24"/>
      <w:szCs w:val="20"/>
    </w:rPr>
  </w:style>
  <w:style w:type="paragraph" w:customStyle="1" w:styleId="729">
    <w:name w:val="reader-word-layer"/>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730">
    <w:name w:val="数字标题1"/>
    <w:basedOn w:val="2"/>
    <w:next w:val="1"/>
    <w:uiPriority w:val="0"/>
    <w:pPr>
      <w:numPr>
        <w:ilvl w:val="0"/>
        <w:numId w:val="8"/>
      </w:numPr>
      <w:tabs>
        <w:tab w:val="clear" w:pos="432"/>
      </w:tabs>
    </w:pPr>
  </w:style>
  <w:style w:type="paragraph" w:customStyle="1" w:styleId="731">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32">
    <w:name w:val="正文文字 2"/>
    <w:basedOn w:val="471"/>
    <w:next w:val="471"/>
    <w:uiPriority w:val="0"/>
    <w:rPr>
      <w:rFonts w:ascii="宋体" w:eastAsia="宋体" w:cs="Times New Roman"/>
      <w:color w:val="auto"/>
    </w:rPr>
  </w:style>
  <w:style w:type="paragraph" w:customStyle="1" w:styleId="733">
    <w:name w:val="xl84"/>
    <w:basedOn w:val="1"/>
    <w:uiPriority w:val="0"/>
    <w:pPr>
      <w:widowControl/>
      <w:pBdr>
        <w:top w:val="single" w:color="auto" w:sz="4" w:space="0"/>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b/>
      <w:bCs/>
      <w:kern w:val="0"/>
      <w:sz w:val="20"/>
      <w:szCs w:val="20"/>
    </w:rPr>
  </w:style>
  <w:style w:type="paragraph" w:customStyle="1" w:styleId="734">
    <w:name w:val="xl116"/>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735">
    <w:name w:val="正文 首行缩进:  2 字符 Char"/>
    <w:basedOn w:val="1"/>
    <w:uiPriority w:val="0"/>
    <w:pPr>
      <w:adjustRightInd/>
      <w:spacing w:line="360" w:lineRule="auto"/>
      <w:ind w:firstLine="480"/>
    </w:pPr>
    <w:rPr>
      <w:rFonts w:cs="宋体"/>
      <w:sz w:val="24"/>
      <w:szCs w:val="20"/>
    </w:rPr>
  </w:style>
  <w:style w:type="paragraph" w:customStyle="1" w:styleId="736">
    <w:name w:val="xl136"/>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737">
    <w:name w:val="正文文字格式"/>
    <w:basedOn w:val="1"/>
    <w:uiPriority w:val="0"/>
    <w:pPr>
      <w:adjustRightInd/>
      <w:spacing w:line="460" w:lineRule="exact"/>
      <w:ind w:firstLine="505"/>
      <w:jc w:val="left"/>
    </w:pPr>
    <w:rPr>
      <w:rFonts w:ascii="宋体"/>
      <w:kern w:val="24"/>
      <w:sz w:val="24"/>
      <w:szCs w:val="20"/>
    </w:rPr>
  </w:style>
  <w:style w:type="paragraph" w:customStyle="1" w:styleId="738">
    <w:name w:val="xl140"/>
    <w:basedOn w:val="1"/>
    <w:uiPriority w:val="0"/>
    <w:pPr>
      <w:widowControl/>
      <w:pBdr>
        <w:top w:val="single" w:color="auto" w:sz="8" w:space="0"/>
        <w:bottom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739">
    <w:name w:val="xl109"/>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b/>
      <w:bCs/>
      <w:kern w:val="0"/>
      <w:szCs w:val="21"/>
    </w:rPr>
  </w:style>
  <w:style w:type="paragraph" w:customStyle="1" w:styleId="740">
    <w:name w:val="U_正文2"/>
    <w:basedOn w:val="1"/>
    <w:uiPriority w:val="0"/>
    <w:pPr>
      <w:adjustRightInd/>
      <w:spacing w:before="31" w:beforeLines="10" w:after="31" w:afterLines="10" w:line="300" w:lineRule="auto"/>
    </w:pPr>
    <w:rPr>
      <w:rFonts w:eastAsia="仿宋_GB2312"/>
      <w:sz w:val="28"/>
      <w:szCs w:val="20"/>
    </w:rPr>
  </w:style>
  <w:style w:type="paragraph" w:customStyle="1" w:styleId="741">
    <w:name w:val="正文21"/>
    <w:basedOn w:val="1"/>
    <w:uiPriority w:val="0"/>
    <w:pPr>
      <w:adjustRightInd/>
      <w:spacing w:before="156" w:beforeLines="0" w:line="360" w:lineRule="auto"/>
      <w:ind w:firstLine="510" w:firstLineChars="200"/>
    </w:pPr>
    <w:rPr>
      <w:sz w:val="24"/>
      <w:szCs w:val="20"/>
    </w:rPr>
  </w:style>
  <w:style w:type="paragraph" w:customStyle="1" w:styleId="742">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743">
    <w:name w:val="表格（小）"/>
    <w:basedOn w:val="1"/>
    <w:uiPriority w:val="0"/>
    <w:pPr>
      <w:adjustRightInd/>
      <w:snapToGrid w:val="0"/>
      <w:spacing w:line="300" w:lineRule="auto"/>
    </w:pPr>
    <w:rPr>
      <w:rFonts w:eastAsia="仿宋"/>
      <w:szCs w:val="21"/>
    </w:rPr>
  </w:style>
  <w:style w:type="paragraph" w:customStyle="1" w:styleId="744">
    <w:name w:val="Char1 Char Char Char4"/>
    <w:basedOn w:val="1"/>
    <w:uiPriority w:val="0"/>
    <w:pPr>
      <w:adjustRightInd/>
      <w:ind w:firstLine="200" w:firstLineChars="200"/>
    </w:pPr>
    <w:rPr>
      <w:rFonts w:ascii="Tahoma" w:hAnsi="Tahoma"/>
      <w:sz w:val="24"/>
      <w:szCs w:val="20"/>
    </w:rPr>
  </w:style>
  <w:style w:type="paragraph" w:customStyle="1" w:styleId="745">
    <w:name w:val="P1"/>
    <w:basedOn w:val="1"/>
    <w:uiPriority w:val="0"/>
    <w:pPr>
      <w:adjustRightInd/>
      <w:spacing w:line="288" w:lineRule="auto"/>
      <w:ind w:firstLine="425" w:firstLineChars="200"/>
    </w:pPr>
  </w:style>
  <w:style w:type="paragraph" w:customStyle="1" w:styleId="746">
    <w:name w:val="默认段落字体 Para Char"/>
    <w:basedOn w:val="1"/>
    <w:uiPriority w:val="0"/>
    <w:rPr>
      <w:rFonts w:ascii="Tahoma" w:hAnsi="Tahoma"/>
      <w:sz w:val="24"/>
      <w:szCs w:val="20"/>
    </w:rPr>
  </w:style>
  <w:style w:type="paragraph" w:customStyle="1" w:styleId="747">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748">
    <w:name w:val="Char Char Char1"/>
    <w:basedOn w:val="1"/>
    <w:uiPriority w:val="0"/>
    <w:pPr>
      <w:adjustRightInd/>
    </w:pPr>
    <w:rPr>
      <w:rFonts w:eastAsia="仿宋_GB2312"/>
      <w:szCs w:val="21"/>
    </w:rPr>
  </w:style>
  <w:style w:type="paragraph" w:customStyle="1" w:styleId="749">
    <w:name w:val="标准书眉_奇数页"/>
    <w:next w:val="1"/>
    <w:uiPriority w:val="0"/>
    <w:pPr>
      <w:tabs>
        <w:tab w:val="center" w:pos="4154"/>
        <w:tab w:val="right" w:pos="8306"/>
      </w:tabs>
      <w:spacing w:after="120"/>
      <w:jc w:val="right"/>
    </w:pPr>
    <w:rPr>
      <w:sz w:val="21"/>
      <w:lang w:val="en-US" w:eastAsia="zh-CN" w:bidi="ar-SA"/>
    </w:rPr>
  </w:style>
  <w:style w:type="paragraph" w:customStyle="1" w:styleId="750">
    <w:name w:val="数字标题5"/>
    <w:basedOn w:val="6"/>
    <w:next w:val="1"/>
    <w:uiPriority w:val="0"/>
    <w:pPr>
      <w:numPr>
        <w:ilvl w:val="4"/>
        <w:numId w:val="8"/>
      </w:numPr>
      <w:tabs>
        <w:tab w:val="clear" w:pos="1008"/>
      </w:tabs>
    </w:pPr>
  </w:style>
  <w:style w:type="paragraph" w:customStyle="1" w:styleId="751">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752">
    <w:name w:val="Char Char"/>
    <w:basedOn w:val="1"/>
    <w:uiPriority w:val="0"/>
    <w:pPr>
      <w:spacing w:line="360" w:lineRule="auto"/>
    </w:pPr>
    <w:rPr>
      <w:rFonts w:ascii="Tahoma" w:hAnsi="Tahoma"/>
      <w:sz w:val="24"/>
      <w:szCs w:val="20"/>
    </w:rPr>
  </w:style>
  <w:style w:type="paragraph" w:customStyle="1" w:styleId="753">
    <w:name w:val="FA正文"/>
    <w:basedOn w:val="1"/>
    <w:uiPriority w:val="0"/>
    <w:pPr>
      <w:spacing w:line="360" w:lineRule="auto"/>
      <w:ind w:firstLine="480" w:firstLineChars="200"/>
    </w:pPr>
    <w:rPr>
      <w:rFonts w:hAnsi="宋体"/>
      <w:sz w:val="24"/>
      <w:szCs w:val="20"/>
    </w:rPr>
  </w:style>
  <w:style w:type="paragraph" w:customStyle="1" w:styleId="754">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755">
    <w:name w:val="p0"/>
    <w:basedOn w:val="1"/>
    <w:uiPriority w:val="0"/>
    <w:pPr>
      <w:widowControl/>
      <w:adjustRightInd/>
    </w:pPr>
    <w:rPr>
      <w:kern w:val="0"/>
      <w:szCs w:val="21"/>
    </w:rPr>
  </w:style>
  <w:style w:type="paragraph" w:customStyle="1" w:styleId="756">
    <w:name w:val="xl133"/>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757">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58">
    <w:name w:val="xl95"/>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759">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60">
    <w:name w:val="xl87"/>
    <w:basedOn w:val="1"/>
    <w:uiPriority w:val="0"/>
    <w:pPr>
      <w:widowControl/>
      <w:pBdr>
        <w:top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61">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62">
    <w:name w:val="xl127"/>
    <w:basedOn w:val="1"/>
    <w:uiPriority w:val="0"/>
    <w:pPr>
      <w:widowControl/>
      <w:pBdr>
        <w:top w:val="single" w:color="auto" w:sz="8" w:space="0"/>
        <w:bottom w:val="single" w:color="auto" w:sz="8" w:space="0"/>
        <w:right w:val="single" w:color="auto" w:sz="12"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763">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764">
    <w:name w:val="xl114"/>
    <w:basedOn w:val="1"/>
    <w:uiPriority w:val="0"/>
    <w:pPr>
      <w:widowControl/>
      <w:pBdr>
        <w:top w:val="single" w:color="auto" w:sz="8"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765">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766">
    <w:name w:val="xl135"/>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767">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768">
    <w:name w:val="xl115"/>
    <w:basedOn w:val="1"/>
    <w:uiPriority w:val="0"/>
    <w:pPr>
      <w:widowControl/>
      <w:pBdr>
        <w:top w:val="single" w:color="auto" w:sz="8" w:space="0"/>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769">
    <w:name w:val="xl67"/>
    <w:basedOn w:val="1"/>
    <w:uiPriority w:val="0"/>
    <w:pPr>
      <w:widowControl/>
      <w:shd w:val="clear" w:color="000000" w:fill="FFFFFF"/>
      <w:adjustRightInd/>
      <w:spacing w:before="100" w:beforeLines="0" w:beforeAutospacing="1" w:after="100" w:afterLines="0" w:afterAutospacing="1"/>
      <w:jc w:val="left"/>
    </w:pPr>
    <w:rPr>
      <w:rFonts w:ascii="宋体" w:hAnsi="宋体" w:eastAsia="仿宋_GB2312" w:cs="宋体"/>
      <w:kern w:val="0"/>
      <w:sz w:val="28"/>
    </w:rPr>
  </w:style>
  <w:style w:type="paragraph" w:customStyle="1" w:styleId="770">
    <w:name w:val="xl130"/>
    <w:basedOn w:val="1"/>
    <w:uiPriority w:val="0"/>
    <w:pPr>
      <w:widowControl/>
      <w:pBdr>
        <w:top w:val="single" w:color="auto" w:sz="8" w:space="0"/>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771">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772">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773">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774">
    <w:name w:val="font11"/>
    <w:basedOn w:val="1"/>
    <w:uiPriority w:val="0"/>
    <w:pPr>
      <w:widowControl/>
      <w:adjustRightInd/>
      <w:spacing w:before="100" w:beforeLines="0" w:beforeAutospacing="1" w:after="100" w:afterLines="0" w:afterAutospacing="1"/>
      <w:jc w:val="left"/>
    </w:pPr>
    <w:rPr>
      <w:rFonts w:ascii="宋体" w:hAnsi="宋体" w:eastAsia="仿宋_GB2312" w:cs="宋体"/>
      <w:b/>
      <w:bCs/>
      <w:kern w:val="0"/>
      <w:sz w:val="22"/>
      <w:szCs w:val="22"/>
    </w:rPr>
  </w:style>
  <w:style w:type="paragraph" w:customStyle="1" w:styleId="775">
    <w:name w:val="xl119"/>
    <w:basedOn w:val="1"/>
    <w:uiPriority w:val="0"/>
    <w:pPr>
      <w:widowControl/>
      <w:pBdr>
        <w:bottom w:val="single" w:color="auto" w:sz="8" w:space="0"/>
        <w:right w:val="single" w:color="auto" w:sz="8" w:space="0"/>
      </w:pBdr>
      <w:adjustRightInd/>
      <w:spacing w:before="100" w:beforeLines="0" w:beforeAutospacing="1" w:after="100" w:afterLines="0" w:afterAutospacing="1"/>
      <w:jc w:val="left"/>
    </w:pPr>
    <w:rPr>
      <w:rFonts w:eastAsia="仿宋_GB2312"/>
      <w:b/>
      <w:bCs/>
      <w:kern w:val="0"/>
      <w:sz w:val="20"/>
      <w:szCs w:val="20"/>
    </w:rPr>
  </w:style>
  <w:style w:type="paragraph" w:customStyle="1" w:styleId="776">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77">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778">
    <w:name w:val=" Char Char Char Char"/>
    <w:basedOn w:val="1"/>
    <w:uiPriority w:val="0"/>
    <w:rPr>
      <w:rFonts w:ascii="Tahoma" w:hAnsi="Tahoma"/>
      <w:sz w:val="24"/>
      <w:szCs w:val="20"/>
    </w:rPr>
  </w:style>
  <w:style w:type="paragraph" w:customStyle="1" w:styleId="779">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80">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781">
    <w:name w:val="样式 标题 2标题2H2Heading 2 HiddenHeading 2 CCBSheading 22nd lev..."/>
    <w:basedOn w:val="3"/>
    <w:uiPriority w:val="0"/>
    <w:pPr>
      <w:widowControl/>
      <w:spacing w:before="260" w:beforeLines="0" w:after="260" w:afterLines="0" w:line="415" w:lineRule="auto"/>
      <w:ind w:left="0" w:firstLine="0"/>
    </w:pPr>
    <w:rPr>
      <w:rFonts w:ascii="Arial" w:hAnsi="Arial" w:eastAsia="黑体"/>
      <w:sz w:val="30"/>
      <w:szCs w:val="21"/>
    </w:rPr>
  </w:style>
  <w:style w:type="paragraph" w:customStyle="1" w:styleId="782">
    <w:name w:val="Char Char Char Char Char Char Char Char Char Char Char Char1 Char"/>
    <w:basedOn w:val="1"/>
    <w:uiPriority w:val="0"/>
    <w:rPr>
      <w:rFonts w:ascii="Tahoma" w:hAnsi="Tahoma" w:cs="仿宋_GB2312"/>
      <w:sz w:val="24"/>
      <w:szCs w:val="20"/>
    </w:rPr>
  </w:style>
  <w:style w:type="paragraph" w:customStyle="1" w:styleId="783">
    <w:name w:val="中铁-标题五"/>
    <w:basedOn w:val="548"/>
    <w:uiPriority w:val="0"/>
    <w:pPr>
      <w:numPr>
        <w:ilvl w:val="4"/>
        <w:numId w:val="9"/>
      </w:numPr>
      <w:outlineLvl w:val="4"/>
    </w:pPr>
    <w:rPr>
      <w:sz w:val="28"/>
    </w:rPr>
  </w:style>
  <w:style w:type="paragraph" w:customStyle="1" w:styleId="784">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785">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786">
    <w:name w:val="正文文字表格居中"/>
    <w:basedOn w:val="1"/>
    <w:next w:val="73"/>
    <w:uiPriority w:val="0"/>
    <w:pPr>
      <w:snapToGrid w:val="0"/>
      <w:spacing w:line="360" w:lineRule="auto"/>
    </w:pPr>
    <w:rPr>
      <w:rFonts w:ascii="宋体"/>
      <w:b/>
      <w:sz w:val="24"/>
      <w:szCs w:val="20"/>
    </w:rPr>
  </w:style>
  <w:style w:type="paragraph" w:customStyle="1" w:styleId="787">
    <w:name w:val="Char Char Char Char Char Char Char Char"/>
    <w:basedOn w:val="1"/>
    <w:uiPriority w:val="0"/>
    <w:pPr>
      <w:tabs>
        <w:tab w:val="left" w:pos="360"/>
      </w:tabs>
    </w:pPr>
    <w:rPr>
      <w:sz w:val="24"/>
      <w:szCs w:val="20"/>
    </w:rPr>
  </w:style>
  <w:style w:type="paragraph" w:customStyle="1" w:styleId="788">
    <w:name w:val="彩色列表 - 强调文字颜色 11"/>
    <w:basedOn w:val="1"/>
    <w:uiPriority w:val="0"/>
    <w:pPr>
      <w:adjustRightInd/>
      <w:ind w:firstLine="420" w:firstLineChars="200"/>
    </w:pPr>
    <w:rPr>
      <w:rFonts w:ascii="Calibri" w:hAnsi="Calibri"/>
      <w:szCs w:val="22"/>
    </w:rPr>
  </w:style>
  <w:style w:type="paragraph" w:customStyle="1" w:styleId="789">
    <w:name w:val="xl107"/>
    <w:basedOn w:val="1"/>
    <w:uiPriority w:val="0"/>
    <w:pPr>
      <w:widowControl/>
      <w:pBdr>
        <w:top w:val="single" w:color="auto" w:sz="8"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Cs w:val="21"/>
    </w:rPr>
  </w:style>
  <w:style w:type="paragraph" w:customStyle="1" w:styleId="790">
    <w:name w:val="Char Char1 Char Char Char Char Char Char"/>
    <w:basedOn w:val="1"/>
    <w:uiPriority w:val="0"/>
    <w:rPr>
      <w:rFonts w:ascii="仿宋_GB2312" w:eastAsia="仿宋_GB2312"/>
      <w:b/>
      <w:sz w:val="32"/>
      <w:szCs w:val="20"/>
    </w:rPr>
  </w:style>
  <w:style w:type="paragraph" w:customStyle="1" w:styleId="791">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792">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93">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794">
    <w:name w:val="xl94"/>
    <w:basedOn w:val="1"/>
    <w:uiPriority w:val="0"/>
    <w:pPr>
      <w:widowControl/>
      <w:pBdr>
        <w:top w:val="single" w:color="auto" w:sz="8" w:space="0"/>
        <w:left w:val="single" w:color="auto" w:sz="12"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795">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96">
    <w:name w:val="xl124"/>
    <w:basedOn w:val="1"/>
    <w:uiPriority w:val="0"/>
    <w:pPr>
      <w:widowControl/>
      <w:pBdr>
        <w:bottom w:val="single" w:color="auto" w:sz="8" w:space="0"/>
        <w:right w:val="single" w:color="auto" w:sz="8" w:space="0"/>
      </w:pBdr>
      <w:adjustRightInd/>
      <w:spacing w:before="100" w:beforeLines="0" w:beforeAutospacing="1" w:after="100" w:afterLines="0" w:afterAutospacing="1"/>
      <w:jc w:val="left"/>
    </w:pPr>
    <w:rPr>
      <w:rFonts w:eastAsia="仿宋_GB2312"/>
      <w:b/>
      <w:bCs/>
      <w:kern w:val="0"/>
      <w:sz w:val="22"/>
      <w:szCs w:val="22"/>
    </w:rPr>
  </w:style>
  <w:style w:type="paragraph" w:customStyle="1" w:styleId="797">
    <w:name w:val="首行缩进"/>
    <w:basedOn w:val="1"/>
    <w:uiPriority w:val="0"/>
    <w:pPr>
      <w:spacing w:line="360" w:lineRule="auto"/>
      <w:ind w:firstLine="480" w:firstLineChars="200"/>
    </w:pPr>
    <w:rPr>
      <w:rFonts w:ascii="宋体"/>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header9.xml" Type="http://schemas.openxmlformats.org/officeDocument/2006/relationships/header"/><Relationship Id="rId19" Target="footer8.xml" Type="http://schemas.openxmlformats.org/officeDocument/2006/relationships/foot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footer13.xml" Type="http://schemas.openxmlformats.org/officeDocument/2006/relationships/footer"/><Relationship Id="rId27" Target="theme/theme1.xml" Type="http://schemas.openxmlformats.org/officeDocument/2006/relationships/theme"/><Relationship Id="rId28" Target="../customXml/item1.xml" Type="http://schemas.openxmlformats.org/officeDocument/2006/relationships/customXml"/><Relationship Id="rId29" Target="numbering.xml" Type="http://schemas.openxmlformats.org/officeDocument/2006/relationships/numbering"/><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Group</Company>
  <Pages>84</Pages>
  <Words>8031</Words>
  <Characters>45778</Characters>
  <Lines>381</Lines>
  <Paragraphs>107</Paragraphs>
  <TotalTime>0</TotalTime>
  <ScaleCrop>false</ScaleCrop>
  <LinksUpToDate>false</LinksUpToDate>
  <CharactersWithSpaces>53702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2019-06-28T07:02:00Z</dcterms:created>
  <dc:creator>玥</dc:creator>
  <cp:lastModifiedBy>WPS_1701756769</cp:lastModifiedBy>
  <cp:lastPrinted>2019-04-04T01:16:00Z</cp:lastPrinted>
  <dcterms:modified xsi:type="dcterms:W3CDTF">2024-01-31T01:46:39Z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B427532DA3114F82A222005BB8509F16_13</vt:lpwstr>
  </property>
</Properties>
</file>