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 w:hAnsi="仿宋" w:eastAsia="仿宋" w:cs="仿宋_GB2312"/>
          <w:b/>
          <w:sz w:val="44"/>
          <w:szCs w:val="44"/>
        </w:rPr>
      </w:pPr>
      <w:bookmarkStart w:id="581" w:name="_GoBack"/>
      <w:bookmarkEnd w:id="581"/>
    </w:p>
    <w:p>
      <w:pPr>
        <w:spacing w:line="360" w:lineRule="auto"/>
        <w:jc w:val="center"/>
        <w:rPr>
          <w:rFonts w:hint="eastAsia" w:ascii="仿宋" w:hAnsi="仿宋" w:eastAsia="仿宋" w:cs="仿宋_GB2312"/>
          <w:b/>
          <w:sz w:val="44"/>
          <w:szCs w:val="44"/>
        </w:rPr>
      </w:pPr>
    </w:p>
    <w:p>
      <w:pPr>
        <w:spacing w:line="360" w:lineRule="auto"/>
        <w:jc w:val="center"/>
        <w:rPr>
          <w:rFonts w:hint="eastAsia" w:ascii="仿宋" w:hAnsi="仿宋" w:eastAsia="仿宋" w:cs="仿宋_GB2312"/>
          <w:b/>
          <w:sz w:val="44"/>
          <w:szCs w:val="44"/>
        </w:rPr>
      </w:pPr>
    </w:p>
    <w:p>
      <w:pPr>
        <w:spacing w:line="360" w:lineRule="auto"/>
        <w:jc w:val="center"/>
        <w:rPr>
          <w:rFonts w:hint="eastAsia" w:ascii="仿宋" w:hAnsi="仿宋" w:eastAsia="仿宋" w:cs="仿宋_GB2312"/>
          <w:b/>
          <w:sz w:val="44"/>
          <w:szCs w:val="44"/>
        </w:rPr>
      </w:pPr>
    </w:p>
    <w:p>
      <w:pPr>
        <w:adjustRightInd/>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杭州师范大学</w:t>
      </w:r>
    </w:p>
    <w:p>
      <w:pPr>
        <w:adjustRightInd/>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仓前校区监控机房存储扩展采购项目</w:t>
      </w: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sz w:val="72"/>
          <w:szCs w:val="72"/>
        </w:rPr>
        <w:t>招标文件</w:t>
      </w:r>
    </w:p>
    <w:p>
      <w:pPr>
        <w:adjustRightInd/>
        <w:spacing w:line="360" w:lineRule="auto"/>
        <w:jc w:val="center"/>
        <w:rPr>
          <w:rFonts w:hint="eastAsia" w:ascii="仿宋" w:hAnsi="仿宋" w:eastAsia="仿宋" w:cs="仿宋_GB2312"/>
          <w:b/>
          <w:sz w:val="72"/>
          <w:szCs w:val="72"/>
        </w:rPr>
      </w:pPr>
    </w:p>
    <w:p>
      <w:pPr>
        <w:spacing w:line="360" w:lineRule="auto"/>
        <w:jc w:val="center"/>
        <w:rPr>
          <w:rFonts w:hint="eastAsia" w:ascii="仿宋" w:hAnsi="仿宋" w:eastAsia="仿宋" w:cs="仿宋_GB2312"/>
          <w:b/>
          <w:sz w:val="24"/>
        </w:rPr>
      </w:pPr>
    </w:p>
    <w:p>
      <w:pPr>
        <w:snapToGrid w:val="0"/>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编号:HZZFCG-2019-017</w:t>
      </w:r>
    </w:p>
    <w:p>
      <w:pPr>
        <w:adjustRightInd/>
        <w:spacing w:line="360" w:lineRule="auto"/>
        <w:rPr>
          <w:rFonts w:hint="eastAsia" w:ascii="仿宋" w:hAnsi="仿宋" w:eastAsia="仿宋" w:cs="仿宋_GB2312"/>
          <w:sz w:val="28"/>
          <w:szCs w:val="20"/>
        </w:rPr>
      </w:pPr>
    </w:p>
    <w:p>
      <w:pPr>
        <w:spacing w:line="360" w:lineRule="auto"/>
        <w:jc w:val="center"/>
        <w:rPr>
          <w:rFonts w:hint="eastAsia" w:ascii="仿宋" w:hAnsi="仿宋" w:eastAsia="仿宋" w:cs="仿宋_GB2312"/>
          <w:sz w:val="24"/>
        </w:rPr>
      </w:pPr>
    </w:p>
    <w:p>
      <w:pPr>
        <w:spacing w:line="360" w:lineRule="auto"/>
        <w:rPr>
          <w:rFonts w:hint="eastAsia" w:ascii="仿宋" w:hAnsi="仿宋" w:eastAsia="仿宋" w:cs="仿宋_GB2312"/>
          <w:b/>
          <w:sz w:val="24"/>
        </w:rPr>
      </w:pPr>
      <w:r>
        <w:rPr>
          <w:rFonts w:hint="eastAsia" w:ascii="仿宋" w:hAnsi="仿宋" w:eastAsia="仿宋" w:cs="仿宋_GB2312"/>
          <w:sz w:val="24"/>
        </w:rPr>
        <w:t xml:space="preserve">                                      </w:t>
      </w:r>
    </w:p>
    <w:p>
      <w:pPr>
        <w:snapToGrid w:val="0"/>
        <w:spacing w:line="360" w:lineRule="auto"/>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杭州师范大学</w:t>
      </w:r>
    </w:p>
    <w:p>
      <w:pPr>
        <w:spacing w:line="360" w:lineRule="auto"/>
        <w:jc w:val="center"/>
        <w:rPr>
          <w:rFonts w:hint="eastAsia" w:ascii="仿宋" w:hAnsi="仿宋" w:eastAsia="仿宋" w:cs="仿宋_GB2312"/>
          <w:bCs/>
          <w:sz w:val="32"/>
          <w:szCs w:val="32"/>
        </w:rPr>
      </w:pPr>
      <w:r>
        <w:rPr>
          <w:rFonts w:hint="eastAsia" w:ascii="仿宋" w:hAnsi="仿宋" w:eastAsia="仿宋" w:cs="仿宋_GB2312"/>
          <w:bCs/>
          <w:sz w:val="32"/>
          <w:szCs w:val="32"/>
        </w:rPr>
        <w:t>杭州市公共资源交易中心（杭州市政府采购中心）</w:t>
      </w:r>
    </w:p>
    <w:p>
      <w:pPr>
        <w:spacing w:line="360" w:lineRule="auto"/>
        <w:jc w:val="center"/>
        <w:rPr>
          <w:rFonts w:hint="eastAsia" w:ascii="仿宋" w:hAnsi="仿宋" w:eastAsia="仿宋" w:cs="仿宋_GB2312"/>
          <w:bCs/>
          <w:sz w:val="32"/>
          <w:szCs w:val="32"/>
        </w:rPr>
      </w:pPr>
      <w:r>
        <w:rPr>
          <w:rFonts w:hint="eastAsia" w:ascii="仿宋" w:hAnsi="仿宋" w:eastAsia="仿宋" w:cs="仿宋_GB2312"/>
          <w:bCs/>
          <w:color w:val="000000"/>
          <w:sz w:val="32"/>
          <w:szCs w:val="32"/>
        </w:rPr>
        <w:t>二○一九年五月十七日</w:t>
      </w:r>
    </w:p>
    <w:p>
      <w:pPr>
        <w:spacing w:line="360" w:lineRule="auto"/>
        <w:jc w:val="center"/>
        <w:rPr>
          <w:rFonts w:hint="eastAsia" w:ascii="仿宋" w:hAnsi="仿宋" w:eastAsia="仿宋" w:cs="仿宋_GB2312"/>
          <w:sz w:val="24"/>
        </w:rPr>
      </w:pPr>
      <w:r>
        <w:rPr>
          <w:rFonts w:hint="eastAsia" w:ascii="仿宋" w:hAnsi="仿宋" w:eastAsia="仿宋" w:cs="仿宋_GB2312"/>
          <w:sz w:val="24"/>
        </w:rPr>
        <w:br w:type="page"/>
      </w:r>
      <w:bookmarkStart w:id="0" w:name="_Hlt67893495"/>
      <w:bookmarkEnd w:id="0"/>
    </w:p>
    <w:p>
      <w:pPr>
        <w:spacing w:line="360" w:lineRule="auto"/>
        <w:jc w:val="center"/>
        <w:rPr>
          <w:rFonts w:hint="eastAsia" w:ascii="仿宋" w:hAnsi="仿宋" w:eastAsia="仿宋" w:cs="仿宋_GB2312"/>
          <w:sz w:val="24"/>
        </w:rPr>
      </w:pPr>
    </w:p>
    <w:p>
      <w:pPr>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hint="eastAsia" w:ascii="仿宋" w:hAnsi="仿宋" w:eastAsia="仿宋" w:cs="仿宋_GB2312"/>
          <w:sz w:val="32"/>
          <w:szCs w:val="32"/>
        </w:rPr>
      </w:pPr>
    </w:p>
    <w:p>
      <w:pPr>
        <w:spacing w:line="360" w:lineRule="auto"/>
        <w:rPr>
          <w:rFonts w:hint="eastAsia" w:ascii="仿宋" w:hAnsi="仿宋" w:eastAsia="仿宋" w:cs="仿宋_GB2312"/>
          <w:sz w:val="32"/>
          <w:szCs w:val="32"/>
        </w:rPr>
      </w:pP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hint="eastAsia" w:ascii="仿宋" w:hAnsi="仿宋" w:eastAsia="仿宋" w:cs="仿宋_GB2312"/>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rPr>
          <w:rFonts w:hint="eastAsia" w:ascii="仿宋" w:hAnsi="仿宋" w:eastAsia="仿宋" w:cs="仿宋_GB2312"/>
          <w:sz w:val="24"/>
        </w:rPr>
      </w:pPr>
    </w:p>
    <w:p>
      <w:pPr>
        <w:adjustRightInd/>
        <w:spacing w:line="360" w:lineRule="auto"/>
        <w:jc w:val="center"/>
        <w:outlineLvl w:val="0"/>
        <w:rPr>
          <w:rFonts w:hint="eastAsia"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杭州市公共资源交易中心（杭州市政府采购中心）作为集中采购机构（以下简称采购机构）受采购人杭州师范大学的委托，就“杭州师范大学仓前校区监控机房存储扩展采购项目”发布招标公告，邀请符合条件的供应商参加投标。具体如下：</w:t>
      </w:r>
    </w:p>
    <w:p>
      <w:pPr>
        <w:pStyle w:val="43"/>
        <w:spacing w:line="360" w:lineRule="auto"/>
        <w:ind w:firstLine="472" w:firstLineChars="196"/>
        <w:rPr>
          <w:rFonts w:hint="eastAsia" w:ascii="仿宋" w:hAnsi="仿宋" w:eastAsia="仿宋" w:cs="仿宋_GB2312"/>
          <w:sz w:val="24"/>
          <w:szCs w:val="24"/>
        </w:rPr>
      </w:pPr>
      <w:r>
        <w:rPr>
          <w:rFonts w:hint="eastAsia" w:ascii="仿宋" w:hAnsi="仿宋" w:eastAsia="仿宋" w:cs="仿宋_GB2312"/>
          <w:b/>
          <w:sz w:val="24"/>
          <w:szCs w:val="24"/>
        </w:rPr>
        <w:t>1、招标编号：</w:t>
      </w:r>
      <w:r>
        <w:rPr>
          <w:rFonts w:hint="eastAsia" w:ascii="仿宋" w:hAnsi="仿宋" w:eastAsia="仿宋" w:cs="仿宋_GB2312"/>
          <w:sz w:val="24"/>
          <w:szCs w:val="24"/>
        </w:rPr>
        <w:t>HZZFCG-2019-017</w:t>
      </w:r>
    </w:p>
    <w:p>
      <w:pPr>
        <w:pStyle w:val="43"/>
        <w:spacing w:line="360" w:lineRule="auto"/>
        <w:ind w:firstLine="472" w:firstLineChars="196"/>
        <w:rPr>
          <w:rFonts w:hint="eastAsia" w:ascii="仿宋" w:hAnsi="仿宋" w:eastAsia="仿宋" w:cs="仿宋_GB2312"/>
          <w:sz w:val="24"/>
          <w:szCs w:val="24"/>
        </w:rPr>
      </w:pPr>
      <w:r>
        <w:rPr>
          <w:rFonts w:hint="eastAsia" w:ascii="仿宋" w:hAnsi="仿宋" w:eastAsia="仿宋" w:cs="仿宋_GB2312"/>
          <w:b/>
          <w:sz w:val="24"/>
          <w:szCs w:val="24"/>
        </w:rPr>
        <w:t>2、项目名称：</w:t>
      </w:r>
      <w:r>
        <w:rPr>
          <w:rFonts w:hint="eastAsia" w:ascii="仿宋" w:hAnsi="仿宋" w:eastAsia="仿宋" w:cs="仿宋_GB2312"/>
          <w:sz w:val="24"/>
          <w:szCs w:val="24"/>
        </w:rPr>
        <w:t>杭州师范大学仓前校区监控机房存储扩展采购项目。</w:t>
      </w:r>
    </w:p>
    <w:p>
      <w:pPr>
        <w:pStyle w:val="43"/>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3、</w:t>
      </w:r>
      <w:r>
        <w:rPr>
          <w:rFonts w:hint="eastAsia" w:ascii="仿宋" w:hAnsi="仿宋" w:eastAsia="仿宋"/>
          <w:b/>
          <w:sz w:val="24"/>
          <w:lang w:val="zh-CN"/>
        </w:rPr>
        <w:t>预算金额：</w:t>
      </w:r>
      <w:r>
        <w:rPr>
          <w:rFonts w:hint="eastAsia" w:ascii="仿宋" w:hAnsi="仿宋" w:eastAsia="仿宋"/>
          <w:sz w:val="24"/>
        </w:rPr>
        <w:t>本项目采购预算标项一不超过人民币96万元；标项二不超过人民币92万元；标项三不超过人民币361万元。</w:t>
      </w:r>
    </w:p>
    <w:p>
      <w:pPr>
        <w:pStyle w:val="43"/>
        <w:spacing w:line="360" w:lineRule="auto"/>
        <w:ind w:firstLine="482" w:firstLineChars="200"/>
        <w:rPr>
          <w:rFonts w:hint="eastAsia" w:ascii="仿宋" w:hAnsi="仿宋" w:eastAsia="仿宋" w:cs="仿宋_GB2312"/>
          <w:sz w:val="24"/>
          <w:szCs w:val="24"/>
        </w:rPr>
      </w:pPr>
      <w:r>
        <w:rPr>
          <w:rFonts w:hint="eastAsia" w:ascii="仿宋" w:hAnsi="仿宋" w:eastAsia="仿宋" w:cs="仿宋_GB2312"/>
          <w:b/>
          <w:sz w:val="24"/>
          <w:szCs w:val="24"/>
        </w:rPr>
        <w:t>4、采购方式：</w:t>
      </w:r>
      <w:r>
        <w:rPr>
          <w:rFonts w:hint="eastAsia" w:ascii="仿宋" w:hAnsi="仿宋" w:eastAsia="仿宋" w:cs="仿宋_GB2312"/>
          <w:sz w:val="24"/>
          <w:szCs w:val="24"/>
        </w:rPr>
        <w:t>公开招标。</w:t>
      </w:r>
    </w:p>
    <w:p>
      <w:pPr>
        <w:snapToGrid w:val="0"/>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5、采购人的采购需求：</w:t>
      </w:r>
      <w:r>
        <w:rPr>
          <w:rFonts w:hint="eastAsia" w:ascii="仿宋" w:hAnsi="仿宋" w:eastAsia="仿宋" w:cs="仿宋_GB2312"/>
          <w:sz w:val="24"/>
        </w:rPr>
        <w:t>杭州师范大学仓前校区监控机房存储扩展采购项目，主要内容：标项一D5区块监控机房存储扩展、标项二D1区块监控机房存储扩展、标项三C区块监控机房存储扩展，48盘位存储服务器、4T企业级硬盘、存储管理服务器等1批；含软硬件供货、安装调试、系统集成、运行维护、项目验收以及技术培训和不少于三年7*24小时免费设备保修和售后现场技术服务等。详见招标文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w:t>
      </w:r>
      <w:r>
        <w:rPr>
          <w:rFonts w:hint="eastAsia" w:ascii="仿宋" w:hAnsi="仿宋" w:eastAsia="仿宋"/>
          <w:b/>
          <w:sz w:val="24"/>
        </w:rPr>
        <w:t>需要落实的政府采购政策：包括保护环境、节约能源、促进中小企业发展等。详见招标文件的二部分总则。</w:t>
      </w:r>
    </w:p>
    <w:p>
      <w:pPr>
        <w:spacing w:line="360" w:lineRule="auto"/>
        <w:ind w:firstLine="475" w:firstLineChars="197"/>
        <w:rPr>
          <w:rFonts w:hint="eastAsia" w:ascii="仿宋" w:hAnsi="仿宋" w:eastAsia="仿宋" w:cs="仿宋_GB2312"/>
          <w:b/>
          <w:sz w:val="24"/>
        </w:rPr>
      </w:pPr>
      <w:r>
        <w:rPr>
          <w:rFonts w:hint="eastAsia" w:ascii="仿宋" w:hAnsi="仿宋" w:eastAsia="仿宋" w:cs="仿宋_GB2312"/>
          <w:b/>
          <w:sz w:val="24"/>
        </w:rPr>
        <w:t>7、投标人的资格要求：</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（1）基本条件：符合《中华人民共和国政府采购法》第二十二条第一款的规定；</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 xml:space="preserve">（2）特定条件： </w:t>
      </w:r>
      <w:r>
        <w:rPr>
          <w:rFonts w:hint="eastAsia" w:ascii="仿宋_GB2312" w:hAnsi="宋体" w:eastAsia="仿宋_GB2312" w:cs="宋体"/>
          <w:kern w:val="0"/>
          <w:sz w:val="24"/>
        </w:rPr>
        <w:t>无。</w:t>
      </w:r>
    </w:p>
    <w:p>
      <w:pPr>
        <w:snapToGrid w:val="0"/>
        <w:spacing w:line="360" w:lineRule="auto"/>
        <w:ind w:firstLine="482" w:firstLineChars="200"/>
        <w:rPr>
          <w:rFonts w:hint="eastAsia" w:ascii="仿宋" w:hAnsi="仿宋" w:eastAsia="仿宋"/>
          <w:b/>
          <w:sz w:val="24"/>
        </w:rPr>
      </w:pPr>
      <w:r>
        <w:rPr>
          <w:rFonts w:hint="eastAsia" w:ascii="仿宋" w:hAnsi="仿宋" w:eastAsia="仿宋" w:cs="仿宋_GB2312"/>
          <w:b/>
          <w:sz w:val="24"/>
        </w:rPr>
        <w:t>8、本项目不接受联合体投标</w:t>
      </w:r>
      <w:r>
        <w:rPr>
          <w:rFonts w:hint="eastAsia" w:ascii="仿宋" w:hAnsi="仿宋" w:eastAsia="仿宋"/>
          <w:b/>
          <w:sz w:val="24"/>
        </w:rPr>
        <w:t>。</w:t>
      </w:r>
    </w:p>
    <w:p>
      <w:pPr>
        <w:spacing w:line="360" w:lineRule="auto"/>
        <w:ind w:firstLine="482" w:firstLineChars="200"/>
        <w:rPr>
          <w:rFonts w:ascii="仿宋" w:hAnsi="仿宋" w:eastAsia="仿宋" w:cs="仿宋_GB2312"/>
          <w:b/>
          <w:snapToGrid w:val="0"/>
          <w:kern w:val="28"/>
          <w:sz w:val="24"/>
        </w:rPr>
      </w:pPr>
      <w:r>
        <w:rPr>
          <w:rFonts w:hint="eastAsia" w:ascii="仿宋" w:hAnsi="仿宋" w:eastAsia="仿宋" w:cs="仿宋_GB2312"/>
          <w:b/>
          <w:snapToGrid w:val="0"/>
          <w:kern w:val="28"/>
          <w:sz w:val="24"/>
        </w:rPr>
        <w:t>9、获取招标文件的时间期限、地点、方式及招标文件售价：</w:t>
      </w:r>
    </w:p>
    <w:p>
      <w:pPr>
        <w:spacing w:line="360" w:lineRule="auto"/>
        <w:rPr>
          <w:rFonts w:ascii="仿宋" w:hAnsi="仿宋" w:eastAsia="仿宋" w:cs="仿宋_GB2312"/>
          <w:sz w:val="24"/>
        </w:rPr>
      </w:pPr>
      <w:r>
        <w:rPr>
          <w:rFonts w:hint="eastAsia" w:ascii="仿宋" w:hAnsi="仿宋" w:eastAsia="仿宋" w:cs="仿宋_GB2312"/>
          <w:sz w:val="24"/>
        </w:rPr>
        <w:t>（1）时间期限：2019年</w:t>
      </w:r>
      <w:r>
        <w:rPr>
          <w:rFonts w:hint="eastAsia" w:ascii="宋体" w:hAnsi="宋体" w:eastAsia="仿宋" w:cs="宋体"/>
          <w:sz w:val="24"/>
        </w:rPr>
        <w:t>5</w:t>
      </w:r>
      <w:r>
        <w:rPr>
          <w:rFonts w:hint="eastAsia" w:ascii="仿宋" w:hAnsi="仿宋" w:eastAsia="仿宋" w:cs="仿宋_GB2312"/>
          <w:sz w:val="24"/>
        </w:rPr>
        <w:t>月</w:t>
      </w:r>
      <w:r>
        <w:rPr>
          <w:rFonts w:hint="eastAsia" w:ascii="宋体" w:hAnsi="宋体" w:eastAsia="仿宋" w:cs="宋体"/>
          <w:sz w:val="24"/>
        </w:rPr>
        <w:t>17</w:t>
      </w:r>
      <w:r>
        <w:rPr>
          <w:rFonts w:hint="eastAsia" w:ascii="仿宋" w:hAnsi="仿宋" w:eastAsia="仿宋" w:cs="仿宋_GB2312"/>
          <w:sz w:val="24"/>
        </w:rPr>
        <w:t>日至2019年5月</w:t>
      </w:r>
      <w:r>
        <w:rPr>
          <w:rFonts w:hint="eastAsia" w:ascii="宋体" w:hAnsi="宋体" w:eastAsia="仿宋" w:cs="宋体"/>
          <w:sz w:val="24"/>
        </w:rPr>
        <w:t>24</w:t>
      </w:r>
      <w:r>
        <w:rPr>
          <w:rFonts w:hint="eastAsia" w:ascii="仿宋" w:hAnsi="仿宋" w:eastAsia="仿宋" w:cs="仿宋_GB2312"/>
          <w:sz w:val="24"/>
        </w:rPr>
        <w:t>日；</w:t>
      </w:r>
    </w:p>
    <w:p>
      <w:pPr>
        <w:spacing w:line="360" w:lineRule="auto"/>
        <w:rPr>
          <w:rFonts w:ascii="仿宋" w:hAnsi="仿宋" w:eastAsia="仿宋" w:cs="仿宋_GB2312"/>
          <w:sz w:val="24"/>
        </w:rPr>
      </w:pPr>
      <w:r>
        <w:rPr>
          <w:rFonts w:hint="eastAsia" w:ascii="仿宋" w:hAnsi="仿宋" w:eastAsia="仿宋" w:cs="仿宋_GB2312"/>
          <w:sz w:val="24"/>
        </w:rPr>
        <w:t>（2）地点：浙江省政府采购网、杭州市公共资源交易网；</w:t>
      </w:r>
    </w:p>
    <w:p>
      <w:pPr>
        <w:spacing w:line="360" w:lineRule="auto"/>
        <w:rPr>
          <w:rFonts w:ascii="仿宋" w:hAnsi="仿宋" w:eastAsia="仿宋" w:cs="仿宋_GB2312"/>
          <w:sz w:val="24"/>
        </w:rPr>
      </w:pPr>
      <w:r>
        <w:rPr>
          <w:rFonts w:hint="eastAsia" w:ascii="仿宋" w:hAnsi="仿宋" w:eastAsia="仿宋" w:cs="仿宋_GB2312"/>
          <w:sz w:val="24"/>
        </w:rPr>
        <w:t>（3）方式：网上在线获取；</w:t>
      </w:r>
    </w:p>
    <w:p>
      <w:pPr>
        <w:spacing w:line="360" w:lineRule="auto"/>
        <w:rPr>
          <w:rFonts w:ascii="仿宋" w:hAnsi="仿宋" w:eastAsia="仿宋" w:cs="仿宋_GB2312"/>
          <w:sz w:val="24"/>
        </w:rPr>
      </w:pPr>
      <w:r>
        <w:rPr>
          <w:rFonts w:hint="eastAsia" w:ascii="仿宋" w:hAnsi="仿宋" w:eastAsia="仿宋" w:cs="仿宋_GB2312"/>
          <w:sz w:val="24"/>
        </w:rPr>
        <w:t>（4）售价：免费</w:t>
      </w:r>
    </w:p>
    <w:p>
      <w:pPr>
        <w:spacing w:line="360" w:lineRule="auto"/>
        <w:rPr>
          <w:rFonts w:ascii="仿宋" w:hAnsi="仿宋" w:eastAsia="仿宋" w:cs="仿宋_GB2312"/>
          <w:sz w:val="24"/>
        </w:rPr>
      </w:pPr>
      <w:r>
        <w:rPr>
          <w:rFonts w:hint="eastAsia" w:ascii="仿宋" w:hAnsi="仿宋" w:eastAsia="仿宋" w:cs="仿宋_GB2312"/>
          <w:sz w:val="24"/>
        </w:rPr>
        <w:t>（5）供应商获取招标文件时须提交的文件资料：无；</w:t>
      </w:r>
    </w:p>
    <w:p>
      <w:pPr>
        <w:spacing w:line="360" w:lineRule="auto"/>
        <w:rPr>
          <w:rFonts w:ascii="仿宋" w:hAnsi="仿宋" w:eastAsia="仿宋" w:cs="仿宋_GB2312"/>
          <w:sz w:val="24"/>
        </w:rPr>
      </w:pPr>
      <w:r>
        <w:rPr>
          <w:rFonts w:hint="eastAsia" w:ascii="仿宋" w:hAnsi="仿宋" w:eastAsia="仿宋" w:cs="仿宋_GB2312"/>
          <w:sz w:val="24"/>
        </w:rPr>
        <w:t>（6）提示：</w:t>
      </w:r>
    </w:p>
    <w:p>
      <w:pPr>
        <w:spacing w:line="360" w:lineRule="auto"/>
        <w:rPr>
          <w:rFonts w:ascii="仿宋" w:hAnsi="仿宋" w:eastAsia="仿宋" w:cs="仿宋_GB2312"/>
          <w:sz w:val="24"/>
        </w:rPr>
      </w:pPr>
      <w:r>
        <w:rPr>
          <w:rFonts w:hint="eastAsia" w:ascii="仿宋" w:hAnsi="仿宋" w:eastAsia="仿宋" w:cs="仿宋_GB2312"/>
          <w:sz w:val="24"/>
        </w:rPr>
        <w:t>1）不提供招标文件纸质版；投标人未按上述方式（网上在线获取）获取的招标文件与采购机构发布的招标文件不一致的，由其自行承担由此产生的后果。</w:t>
      </w:r>
    </w:p>
    <w:p>
      <w:pPr>
        <w:widowControl/>
        <w:spacing w:line="360" w:lineRule="auto"/>
        <w:jc w:val="left"/>
        <w:rPr>
          <w:rFonts w:hint="eastAsia" w:ascii="仿宋" w:hAnsi="仿宋" w:eastAsia="仿宋" w:cs="仿宋_GB2312"/>
          <w:sz w:val="24"/>
        </w:rPr>
      </w:pPr>
      <w:r>
        <w:rPr>
          <w:rFonts w:hint="eastAsia" w:ascii="仿宋" w:hAnsi="仿宋" w:eastAsia="仿宋" w:cs="仿宋_GB2312"/>
          <w:sz w:val="24"/>
        </w:rPr>
        <w:t>2）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pStyle w:val="19"/>
        <w:spacing w:line="360" w:lineRule="auto"/>
        <w:ind w:firstLine="436" w:firstLineChars="181"/>
        <w:rPr>
          <w:rFonts w:hint="eastAsia" w:ascii="仿宋" w:hAnsi="仿宋" w:eastAsia="仿宋" w:cs="仿宋_GB2312"/>
          <w:color w:val="auto"/>
          <w:sz w:val="24"/>
        </w:rPr>
      </w:pPr>
      <w:r>
        <w:rPr>
          <w:rFonts w:hint="eastAsia" w:ascii="仿宋" w:hAnsi="仿宋" w:eastAsia="仿宋" w:cs="仿宋_GB2312"/>
          <w:b/>
          <w:color w:val="auto"/>
          <w:sz w:val="24"/>
        </w:rPr>
        <w:t>10、投标截止时间与地点：</w:t>
      </w:r>
      <w:r>
        <w:rPr>
          <w:rFonts w:hint="eastAsia" w:ascii="仿宋" w:hAnsi="仿宋" w:eastAsia="仿宋" w:cs="仿宋_GB2312"/>
          <w:color w:val="auto"/>
          <w:sz w:val="24"/>
        </w:rPr>
        <w:t>2019年6月6日上午10时00分00秒，地点：</w:t>
      </w:r>
      <w:bookmarkStart w:id="11" w:name="OLE_LINK8"/>
      <w:r>
        <w:rPr>
          <w:rFonts w:hint="eastAsia" w:ascii="仿宋" w:hAnsi="仿宋" w:eastAsia="仿宋" w:cs="仿宋_GB2312"/>
          <w:color w:val="auto"/>
          <w:sz w:val="24"/>
        </w:rPr>
        <w:t>杭州市公共资源交易中心第五开标室</w:t>
      </w:r>
      <w:r>
        <w:rPr>
          <w:rFonts w:hint="eastAsia" w:ascii="仿宋" w:hAnsi="仿宋" w:eastAsia="仿宋" w:cs="仿宋_GB2312"/>
          <w:b/>
          <w:color w:val="auto"/>
          <w:sz w:val="24"/>
        </w:rPr>
        <w:t>[杭州市之江路925号（临江金座2号楼）三楼]</w:t>
      </w:r>
      <w:bookmarkEnd w:id="11"/>
      <w:r>
        <w:rPr>
          <w:rFonts w:hint="eastAsia" w:ascii="仿宋" w:hAnsi="仿宋" w:eastAsia="仿宋" w:cs="仿宋_GB2312"/>
          <w:color w:val="auto"/>
          <w:sz w:val="24"/>
        </w:rPr>
        <w:t>。</w:t>
      </w:r>
    </w:p>
    <w:p>
      <w:pPr>
        <w:pStyle w:val="19"/>
        <w:spacing w:line="360" w:lineRule="auto"/>
        <w:ind w:firstLine="436" w:firstLineChars="181"/>
        <w:rPr>
          <w:rFonts w:hint="eastAsia" w:ascii="仿宋" w:hAnsi="仿宋" w:eastAsia="仿宋" w:cs="仿宋_GB2312"/>
          <w:color w:val="auto"/>
          <w:sz w:val="24"/>
        </w:rPr>
      </w:pPr>
      <w:r>
        <w:rPr>
          <w:rFonts w:hint="eastAsia" w:ascii="仿宋" w:hAnsi="仿宋" w:eastAsia="仿宋" w:cs="仿宋_GB2312"/>
          <w:b/>
          <w:color w:val="auto"/>
          <w:sz w:val="24"/>
        </w:rPr>
        <w:t>11、开标时间与地点：投标截止时间与地点：</w:t>
      </w:r>
      <w:r>
        <w:rPr>
          <w:rFonts w:hint="eastAsia" w:ascii="仿宋" w:hAnsi="仿宋" w:eastAsia="仿宋" w:cs="仿宋_GB2312"/>
          <w:color w:val="auto"/>
          <w:sz w:val="24"/>
        </w:rPr>
        <w:t>2019年6月6日上午10时00分00秒，地点：杭州市公共资源交易中心第五开标室</w:t>
      </w:r>
      <w:r>
        <w:rPr>
          <w:rFonts w:hint="eastAsia" w:ascii="仿宋" w:hAnsi="仿宋" w:eastAsia="仿宋" w:cs="仿宋_GB2312"/>
          <w:b/>
          <w:color w:val="auto"/>
          <w:sz w:val="24"/>
        </w:rPr>
        <w:t>[杭州市之江路925号（临江金座2号楼）三楼]</w:t>
      </w:r>
      <w:r>
        <w:rPr>
          <w:rFonts w:hint="eastAsia" w:ascii="仿宋" w:hAnsi="仿宋" w:eastAsia="仿宋" w:cs="仿宋_GB2312"/>
          <w:color w:val="auto"/>
          <w:sz w:val="24"/>
        </w:rPr>
        <w:t>。</w:t>
      </w:r>
    </w:p>
    <w:p>
      <w:pPr>
        <w:pStyle w:val="19"/>
        <w:spacing w:line="360" w:lineRule="auto"/>
        <w:ind w:firstLine="436" w:firstLineChars="181"/>
        <w:rPr>
          <w:rFonts w:hint="eastAsia" w:ascii="仿宋" w:hAnsi="仿宋" w:eastAsia="仿宋" w:cs="仿宋_GB2312"/>
          <w:b/>
          <w:color w:val="auto"/>
          <w:sz w:val="24"/>
        </w:rPr>
      </w:pPr>
      <w:r>
        <w:rPr>
          <w:rFonts w:hint="eastAsia" w:ascii="仿宋" w:hAnsi="仿宋" w:eastAsia="仿宋" w:cs="仿宋_GB2312"/>
          <w:b/>
          <w:color w:val="auto"/>
          <w:sz w:val="24"/>
        </w:rPr>
        <w:t>12、投标保证金：</w:t>
      </w:r>
    </w:p>
    <w:p>
      <w:pPr>
        <w:pStyle w:val="43"/>
        <w:spacing w:line="360" w:lineRule="auto"/>
        <w:ind w:firstLine="470" w:firstLineChars="196"/>
        <w:rPr>
          <w:rFonts w:hint="eastAsia" w:ascii="仿宋" w:hAnsi="仿宋" w:eastAsia="仿宋" w:cs="仿宋_GB2312"/>
          <w:sz w:val="24"/>
        </w:rPr>
      </w:pPr>
      <w:r>
        <w:rPr>
          <w:rFonts w:hint="eastAsia" w:ascii="仿宋" w:hAnsi="仿宋" w:eastAsia="仿宋" w:cs="仿宋_GB2312"/>
          <w:sz w:val="24"/>
        </w:rPr>
        <w:t>不需缴纳。</w:t>
      </w:r>
    </w:p>
    <w:p>
      <w:pPr>
        <w:pStyle w:val="43"/>
        <w:spacing w:line="360" w:lineRule="auto"/>
        <w:ind w:firstLine="472" w:firstLineChars="196"/>
        <w:rPr>
          <w:rFonts w:hint="eastAsia" w:ascii="仿宋" w:hAnsi="仿宋" w:eastAsia="仿宋"/>
          <w:b/>
          <w:sz w:val="24"/>
          <w:szCs w:val="24"/>
        </w:rPr>
      </w:pPr>
      <w:r>
        <w:rPr>
          <w:rFonts w:hint="eastAsia" w:ascii="仿宋" w:hAnsi="仿宋" w:eastAsia="仿宋" w:cs="仿宋_GB2312"/>
          <w:b/>
          <w:sz w:val="24"/>
          <w:szCs w:val="24"/>
        </w:rPr>
        <w:t>13、</w:t>
      </w:r>
      <w:r>
        <w:rPr>
          <w:rFonts w:hint="eastAsia" w:ascii="仿宋" w:hAnsi="仿宋" w:eastAsia="仿宋"/>
          <w:b/>
          <w:sz w:val="24"/>
          <w:szCs w:val="24"/>
        </w:rPr>
        <w:t>采购人、采购代理机构：</w:t>
      </w:r>
    </w:p>
    <w:p>
      <w:pPr>
        <w:pStyle w:val="19"/>
        <w:spacing w:line="360" w:lineRule="auto"/>
        <w:ind w:left="-181" w:leftChars="-86" w:right="-420" w:rightChars="-200" w:firstLine="672" w:firstLineChars="280"/>
        <w:rPr>
          <w:rFonts w:hint="eastAsia" w:ascii="仿宋" w:hAnsi="仿宋" w:eastAsia="仿宋" w:cs="仿宋_GB2312"/>
          <w:color w:val="auto"/>
          <w:sz w:val="24"/>
        </w:rPr>
      </w:pPr>
      <w:r>
        <w:rPr>
          <w:rFonts w:hint="eastAsia" w:ascii="仿宋" w:hAnsi="仿宋" w:eastAsia="仿宋"/>
          <w:color w:val="auto"/>
          <w:sz w:val="24"/>
        </w:rPr>
        <w:t>（1）</w:t>
      </w:r>
      <w:r>
        <w:rPr>
          <w:rFonts w:hint="eastAsia" w:ascii="仿宋" w:hAnsi="仿宋" w:eastAsia="仿宋" w:cs="仿宋_GB2312"/>
          <w:color w:val="auto"/>
          <w:sz w:val="24"/>
        </w:rPr>
        <w:t>采购人：杭州师范大学；联系方式：采购项目联系人：徐老师，联系电话：0571-28867117、13735575367。</w:t>
      </w:r>
    </w:p>
    <w:p>
      <w:pPr>
        <w:pStyle w:val="43"/>
        <w:spacing w:line="360" w:lineRule="auto"/>
        <w:ind w:firstLine="470" w:firstLineChars="196"/>
        <w:rPr>
          <w:rFonts w:ascii="仿宋_GB2312" w:hAnsi="Bodoni MT" w:eastAsia="仿宋_GB2312"/>
          <w:bCs/>
          <w:kern w:val="28"/>
          <w:sz w:val="24"/>
          <w:szCs w:val="24"/>
        </w:rPr>
      </w:pPr>
      <w:r>
        <w:rPr>
          <w:rFonts w:hint="eastAsia" w:ascii="仿宋" w:hAnsi="仿宋" w:eastAsia="仿宋"/>
          <w:bCs/>
          <w:sz w:val="24"/>
        </w:rPr>
        <w:t>（2）采购代理机构：杭州市公共资源交易中心（杭州市政府采购中心）；</w:t>
      </w:r>
      <w:r>
        <w:rPr>
          <w:rFonts w:hint="eastAsia" w:ascii="仿宋" w:hAnsi="仿宋" w:eastAsia="仿宋" w:cs="仿宋_GB2312"/>
          <w:sz w:val="24"/>
        </w:rPr>
        <w:t>地址：杭州市之江路925号；</w:t>
      </w:r>
      <w:r>
        <w:rPr>
          <w:rFonts w:hint="eastAsia" w:ascii="仿宋" w:hAnsi="仿宋" w:eastAsia="仿宋" w:cs="仿宋_GB2312"/>
          <w:sz w:val="24"/>
          <w:szCs w:val="24"/>
        </w:rPr>
        <w:t>联系方式：采购项目</w:t>
      </w:r>
      <w:r>
        <w:rPr>
          <w:rFonts w:hint="eastAsia" w:ascii="仿宋_GB2312" w:eastAsia="仿宋_GB2312"/>
          <w:bCs/>
          <w:sz w:val="24"/>
        </w:rPr>
        <w:t>联系人：陈星宇，联系电话：0571-85085569，85085572传真：0571-85085019</w:t>
      </w:r>
      <w:r>
        <w:rPr>
          <w:rFonts w:hint="eastAsia" w:ascii="仿宋" w:hAnsi="仿宋" w:eastAsia="仿宋" w:cs="仿宋_GB2312"/>
          <w:sz w:val="24"/>
        </w:rPr>
        <w:t>。</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Arial"/>
          <w:bCs/>
          <w:snapToGrid w:val="0"/>
          <w:kern w:val="28"/>
          <w:sz w:val="24"/>
        </w:rPr>
        <w:t>（3）同级政府采购监督管理部门：</w:t>
      </w:r>
      <w:r>
        <w:rPr>
          <w:rFonts w:hint="eastAsia" w:ascii="仿宋_GB2312" w:hAnsi="宋体" w:eastAsia="仿宋_GB2312"/>
          <w:sz w:val="24"/>
        </w:rPr>
        <w:t>杭州市财政局政府采购监管处（杭州市中河中路152号617办公室）；联系人：吕先生；联系电话：0571-87715261，传真：0571-87233325。</w:t>
      </w:r>
      <w:r>
        <w:rPr>
          <w:rFonts w:hint="eastAsia" w:ascii="仿宋" w:hAnsi="仿宋" w:eastAsia="仿宋" w:cs="仿宋_GB2312"/>
          <w:sz w:val="24"/>
        </w:rPr>
        <w:t xml:space="preserve"> </w:t>
      </w:r>
    </w:p>
    <w:p>
      <w:pPr>
        <w:pStyle w:val="19"/>
        <w:adjustRightInd/>
        <w:spacing w:line="360" w:lineRule="auto"/>
        <w:ind w:firstLine="472" w:firstLineChars="196"/>
        <w:rPr>
          <w:rFonts w:hint="eastAsia" w:ascii="仿宋" w:hAnsi="仿宋" w:eastAsia="仿宋" w:cs="Arial"/>
          <w:color w:val="auto"/>
          <w:sz w:val="24"/>
        </w:rPr>
      </w:pPr>
      <w:r>
        <w:rPr>
          <w:rFonts w:hint="eastAsia" w:ascii="仿宋" w:hAnsi="仿宋" w:eastAsia="仿宋" w:cs="仿宋_GB2312"/>
          <w:b/>
          <w:color w:val="auto"/>
          <w:sz w:val="24"/>
        </w:rPr>
        <w:t>14、</w:t>
      </w:r>
      <w:r>
        <w:rPr>
          <w:rFonts w:hint="eastAsia" w:ascii="仿宋" w:hAnsi="仿宋" w:eastAsia="仿宋" w:cs="Arial"/>
          <w:b/>
          <w:color w:val="auto"/>
          <w:sz w:val="24"/>
        </w:rPr>
        <w:t>本项目采购文件公告期限为：</w:t>
      </w:r>
      <w:r>
        <w:rPr>
          <w:rFonts w:hint="eastAsia" w:ascii="仿宋" w:hAnsi="仿宋" w:eastAsia="仿宋" w:cs="Arial"/>
          <w:color w:val="auto"/>
          <w:sz w:val="24"/>
        </w:rPr>
        <w:t>本公告发布之日起五个工作日。</w:t>
      </w:r>
    </w:p>
    <w:p>
      <w:pPr>
        <w:widowControl/>
        <w:spacing w:line="360" w:lineRule="auto"/>
        <w:ind w:firstLine="480" w:firstLineChars="200"/>
        <w:jc w:val="left"/>
        <w:rPr>
          <w:rFonts w:ascii="仿宋" w:hAnsi="仿宋" w:eastAsia="仿宋" w:cs="仿宋_GB2312"/>
          <w:sz w:val="24"/>
        </w:rPr>
      </w:pPr>
    </w:p>
    <w:p>
      <w:pPr>
        <w:pStyle w:val="43"/>
        <w:spacing w:line="360" w:lineRule="auto"/>
        <w:ind w:firstLine="470" w:firstLineChars="196"/>
        <w:rPr>
          <w:rFonts w:hint="eastAsia" w:ascii="仿宋" w:hAnsi="仿宋" w:eastAsia="仿宋"/>
          <w:bCs/>
          <w:kern w:val="28"/>
          <w:sz w:val="24"/>
          <w:szCs w:val="24"/>
        </w:rPr>
      </w:pPr>
    </w:p>
    <w:p>
      <w:pPr>
        <w:pStyle w:val="43"/>
        <w:spacing w:line="360" w:lineRule="auto"/>
        <w:ind w:firstLine="472" w:firstLineChars="196"/>
        <w:rPr>
          <w:rFonts w:hint="eastAsia" w:ascii="仿宋" w:hAnsi="仿宋" w:eastAsia="仿宋" w:cs="仿宋_GB2312"/>
          <w:b/>
          <w:sz w:val="24"/>
          <w:szCs w:val="24"/>
        </w:rPr>
      </w:pPr>
    </w:p>
    <w:p>
      <w:pPr>
        <w:pStyle w:val="43"/>
        <w:spacing w:line="360" w:lineRule="auto"/>
        <w:ind w:firstLine="472" w:firstLineChars="196"/>
        <w:rPr>
          <w:rFonts w:hint="eastAsia" w:ascii="仿宋" w:hAnsi="仿宋" w:eastAsia="仿宋" w:cs="仿宋_GB2312"/>
          <w:b/>
          <w:sz w:val="24"/>
          <w:szCs w:val="24"/>
        </w:rPr>
      </w:pPr>
    </w:p>
    <w:p>
      <w:pPr>
        <w:spacing w:line="360" w:lineRule="auto"/>
        <w:ind w:firstLine="200"/>
        <w:jc w:val="center"/>
        <w:rPr>
          <w:rFonts w:hint="eastAsia" w:ascii="仿宋" w:hAnsi="仿宋" w:eastAsia="仿宋" w:cs="仿宋_GB2312"/>
          <w:sz w:val="24"/>
        </w:rPr>
      </w:pPr>
      <w:r>
        <w:rPr>
          <w:rFonts w:hint="eastAsia" w:ascii="仿宋" w:hAnsi="仿宋" w:eastAsia="仿宋" w:cs="仿宋_GB2312"/>
          <w:sz w:val="24"/>
        </w:rPr>
        <w:t xml:space="preserve">                            </w:t>
      </w:r>
    </w:p>
    <w:p>
      <w:pPr>
        <w:spacing w:line="360" w:lineRule="auto"/>
        <w:ind w:firstLine="200"/>
        <w:jc w:val="center"/>
        <w:rPr>
          <w:rFonts w:hint="eastAsia" w:ascii="仿宋" w:hAnsi="仿宋" w:eastAsia="仿宋" w:cs="仿宋_GB2312"/>
          <w:sz w:val="24"/>
        </w:rPr>
      </w:pPr>
      <w:r>
        <w:rPr>
          <w:rFonts w:hint="eastAsia" w:ascii="仿宋" w:hAnsi="仿宋" w:eastAsia="仿宋" w:cs="仿宋_GB2312"/>
          <w:sz w:val="24"/>
        </w:rPr>
        <w:t xml:space="preserve">                               杭州市公共资源交易中心（杭州市政府采购中心）</w:t>
      </w:r>
    </w:p>
    <w:p>
      <w:pPr>
        <w:pStyle w:val="43"/>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 xml:space="preserve">                                         二○一九年五月十七日</w:t>
      </w:r>
    </w:p>
    <w:p>
      <w:pPr>
        <w:adjustRightInd/>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投标人须知</w:t>
      </w:r>
      <w:bookmarkEnd w:id="9"/>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前附表</w:t>
      </w:r>
    </w:p>
    <w:tbl>
      <w:tblPr>
        <w:tblStyle w:val="8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843"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事项</w:t>
            </w:r>
          </w:p>
        </w:tc>
        <w:tc>
          <w:tcPr>
            <w:tcW w:w="6079"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7118"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843"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报价要求</w:t>
            </w:r>
          </w:p>
        </w:tc>
        <w:tc>
          <w:tcPr>
            <w:tcW w:w="6079" w:type="dxa"/>
            <w:noWrap w:val="0"/>
            <w:vAlign w:val="center"/>
          </w:tcPr>
          <w:p>
            <w:pPr>
              <w:snapToGrid w:val="0"/>
              <w:spacing w:line="360" w:lineRule="auto"/>
              <w:jc w:val="left"/>
              <w:rPr>
                <w:rFonts w:hint="eastAsia" w:ascii="仿宋" w:hAnsi="仿宋" w:eastAsia="仿宋" w:cs="仿宋_GB2312"/>
                <w:kern w:val="0"/>
                <w:sz w:val="24"/>
                <w:lang w:val="zh-CN"/>
              </w:rPr>
            </w:pPr>
            <w:r>
              <w:rPr>
                <w:rFonts w:hint="eastAsia" w:ascii="仿宋" w:hAnsi="仿宋" w:eastAsia="仿宋"/>
                <w:kern w:val="0"/>
                <w:sz w:val="24"/>
                <w:lang w:val="zh-CN"/>
              </w:rPr>
              <w:t>有关本项目建设所需的费用均计入报价。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w:t>
            </w:r>
          </w:p>
          <w:p>
            <w:pPr>
              <w:spacing w:line="360" w:lineRule="auto"/>
              <w:rPr>
                <w:rFonts w:hint="eastAsia"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342" w:hRule="atLeast"/>
          <w:tblHeader/>
        </w:trPr>
        <w:tc>
          <w:tcPr>
            <w:tcW w:w="629"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1843" w:type="dxa"/>
            <w:noWrap w:val="0"/>
            <w:vAlign w:val="center"/>
          </w:tcPr>
          <w:p>
            <w:pPr>
              <w:snapToGrid w:val="0"/>
              <w:spacing w:line="360" w:lineRule="auto"/>
              <w:rPr>
                <w:rFonts w:hint="eastAsia" w:ascii="仿宋" w:hAnsi="仿宋" w:eastAsia="仿宋" w:cs="仿宋_GB2312"/>
                <w:b/>
                <w:sz w:val="24"/>
              </w:rPr>
            </w:pPr>
            <w:r>
              <w:rPr>
                <w:rFonts w:hint="eastAsia" w:ascii="仿宋" w:hAnsi="仿宋" w:eastAsia="仿宋" w:cs="仿宋_GB2312"/>
                <w:b/>
                <w:sz w:val="24"/>
              </w:rPr>
              <w:t>分包或转包。</w:t>
            </w:r>
          </w:p>
        </w:tc>
        <w:tc>
          <w:tcPr>
            <w:tcW w:w="6079"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2157"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1843"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投标人应当提供的资格、资信证明文件</w:t>
            </w:r>
          </w:p>
        </w:tc>
        <w:tc>
          <w:tcPr>
            <w:tcW w:w="6079" w:type="dxa"/>
            <w:noWrap w:val="0"/>
            <w:vAlign w:val="center"/>
          </w:tcPr>
          <w:p>
            <w:pPr>
              <w:snapToGrid w:val="0"/>
              <w:spacing w:line="360" w:lineRule="auto"/>
              <w:rPr>
                <w:rFonts w:hint="eastAsia" w:ascii="仿宋_GB2312" w:hAnsi="仿宋_GB2312" w:eastAsia="仿宋_GB2312" w:cs="仿宋_GB2312"/>
                <w:sz w:val="24"/>
              </w:rPr>
            </w:pPr>
            <w:r>
              <w:rPr>
                <w:rFonts w:hint="eastAsia" w:ascii="仿宋" w:hAnsi="仿宋" w:eastAsia="仿宋"/>
                <w:sz w:val="24"/>
              </w:rPr>
              <w:t>（1）资格证明文件：</w:t>
            </w:r>
            <w:r>
              <w:rPr>
                <w:rFonts w:hint="eastAsia" w:ascii="仿宋_GB2312" w:hAnsi="仿宋_GB2312" w:eastAsia="仿宋_GB2312" w:cs="仿宋_GB2312"/>
                <w:sz w:val="24"/>
              </w:rPr>
              <w:t>营业执照(或事业法人登记证或其他工商 等登记证明材料)复印件、税务登记证(或其它缴纳证明材料)复印件、社保登记证（或其它缴纳证明材料）复印件、</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2018年度资产负债表等财务报表资料文件(新成立的公司，提供情况说明)、具有履行合同所必需的设备和专业技术能力的承诺函、参加政府采购活动前三年内，在经营活动中没有重大违法记录的声明。</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（2）资信证明文件：投标人已取得省级及以上安全技术防范行业资信等级壹级证书、计算机系统集成叁级证书等资质证书。</w:t>
            </w:r>
          </w:p>
          <w:p>
            <w:pPr>
              <w:spacing w:line="360" w:lineRule="auto"/>
              <w:rPr>
                <w:rFonts w:hint="eastAsia"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4</w:t>
            </w:r>
          </w:p>
          <w:p>
            <w:pPr>
              <w:snapToGrid w:val="0"/>
              <w:spacing w:line="360" w:lineRule="auto"/>
              <w:jc w:val="center"/>
              <w:rPr>
                <w:rFonts w:hint="eastAsia" w:ascii="仿宋" w:hAnsi="仿宋" w:eastAsia="仿宋" w:cs="仿宋_GB2312"/>
                <w:sz w:val="24"/>
              </w:rPr>
            </w:pPr>
          </w:p>
        </w:tc>
        <w:tc>
          <w:tcPr>
            <w:tcW w:w="1843"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投标文件的份数</w:t>
            </w:r>
          </w:p>
        </w:tc>
        <w:tc>
          <w:tcPr>
            <w:tcW w:w="6079" w:type="dxa"/>
            <w:noWrap w:val="0"/>
            <w:vAlign w:val="center"/>
          </w:tcPr>
          <w:p>
            <w:pPr>
              <w:spacing w:line="360" w:lineRule="auto"/>
              <w:rPr>
                <w:rFonts w:hint="eastAsia" w:ascii="仿宋" w:hAnsi="仿宋" w:eastAsia="仿宋"/>
                <w:sz w:val="24"/>
              </w:rPr>
            </w:pPr>
            <w:r>
              <w:rPr>
                <w:rFonts w:hint="eastAsia" w:ascii="仿宋" w:hAnsi="仿宋" w:eastAsia="仿宋"/>
                <w:sz w:val="24"/>
              </w:rPr>
              <w:t xml:space="preserve">资格文件正本1份，副本无需提供；报价文件正本1份，副本 </w:t>
            </w:r>
            <w:r>
              <w:rPr>
                <w:rFonts w:hint="eastAsia" w:ascii="仿宋" w:hAnsi="仿宋" w:eastAsia="仿宋"/>
                <w:sz w:val="24"/>
                <w:u w:val="single"/>
              </w:rPr>
              <w:t xml:space="preserve">  5 </w:t>
            </w:r>
            <w:r>
              <w:rPr>
                <w:rFonts w:hint="eastAsia" w:ascii="仿宋" w:hAnsi="仿宋" w:eastAsia="仿宋"/>
                <w:sz w:val="24"/>
              </w:rPr>
              <w:t>份；商务技术文件正本1份，副本</w:t>
            </w:r>
            <w:r>
              <w:rPr>
                <w:rFonts w:hint="eastAsia" w:ascii="仿宋" w:hAnsi="仿宋" w:eastAsia="仿宋"/>
                <w:sz w:val="24"/>
                <w:u w:val="single"/>
              </w:rPr>
              <w:t xml:space="preserve">  5  </w:t>
            </w:r>
            <w:r>
              <w:rPr>
                <w:rFonts w:hint="eastAsia" w:ascii="仿宋" w:hAnsi="仿宋" w:eastAsia="仿宋"/>
                <w:sz w:val="24"/>
              </w:rPr>
              <w:t>份。</w:t>
            </w:r>
          </w:p>
          <w:p>
            <w:pPr>
              <w:spacing w:line="360" w:lineRule="auto"/>
              <w:rPr>
                <w:rFonts w:hint="eastAsia" w:ascii="仿宋" w:hAnsi="仿宋" w:eastAsia="仿宋" w:cs="仿宋_GB2312"/>
                <w:sz w:val="24"/>
              </w:rPr>
            </w:pPr>
            <w:r>
              <w:rPr>
                <w:rFonts w:hint="eastAsia" w:ascii="仿宋" w:hAnsi="仿宋" w:eastAsia="仿宋"/>
                <w:b/>
                <w:sz w:val="24"/>
              </w:rPr>
              <w:t>▲</w:t>
            </w:r>
            <w:r>
              <w:rPr>
                <w:rFonts w:hint="eastAsia" w:ascii="仿宋" w:hAnsi="仿宋" w:eastAsia="仿宋" w:cs="仿宋_GB2312"/>
                <w:b/>
                <w:sz w:val="24"/>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843"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6079" w:type="dxa"/>
            <w:noWrap w:val="0"/>
            <w:vAlign w:val="center"/>
          </w:tcPr>
          <w:p>
            <w:pPr>
              <w:pStyle w:val="43"/>
              <w:spacing w:line="360" w:lineRule="auto"/>
              <w:rPr>
                <w:rFonts w:hint="eastAsia" w:ascii="仿宋" w:hAnsi="仿宋" w:eastAsia="仿宋" w:cs="Times New Roman"/>
                <w:snapToGrid/>
                <w:sz w:val="24"/>
                <w:szCs w:val="20"/>
              </w:rPr>
            </w:pPr>
            <w:r>
              <w:rPr>
                <w:rFonts w:hint="eastAsia" w:ascii="仿宋" w:hAnsi="仿宋" w:eastAsia="仿宋" w:cs="Times New Roman"/>
                <w:snapToGrid/>
                <w:sz w:val="24"/>
                <w:szCs w:val="2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97" w:hRule="atLeast"/>
          <w:tblHeader/>
        </w:trPr>
        <w:tc>
          <w:tcPr>
            <w:tcW w:w="629"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1843"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样品提供</w:t>
            </w:r>
          </w:p>
        </w:tc>
        <w:tc>
          <w:tcPr>
            <w:tcW w:w="6079" w:type="dxa"/>
            <w:noWrap w:val="0"/>
            <w:vAlign w:val="center"/>
          </w:tcPr>
          <w:p>
            <w:pPr>
              <w:widowControl/>
              <w:spacing w:before="100" w:beforeAutospacing="1" w:after="240" w:line="360" w:lineRule="auto"/>
              <w:rPr>
                <w:rFonts w:hint="eastAsia" w:ascii="仿宋" w:hAnsi="仿宋" w:eastAsia="仿宋"/>
                <w:b/>
                <w:sz w:val="24"/>
              </w:rPr>
            </w:pPr>
            <w:r>
              <w:rPr>
                <w:rFonts w:hint="eastAsia" w:ascii="仿宋" w:hAnsi="仿宋" w:eastAsia="仿宋"/>
                <w:sz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76" w:hRule="atLeast"/>
          <w:tblHeader/>
        </w:trPr>
        <w:tc>
          <w:tcPr>
            <w:tcW w:w="629"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7</w:t>
            </w:r>
          </w:p>
        </w:tc>
        <w:tc>
          <w:tcPr>
            <w:tcW w:w="1843" w:type="dxa"/>
            <w:noWrap w:val="0"/>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_GB2312"/>
                <w:b/>
                <w:sz w:val="24"/>
              </w:rPr>
              <w:t>现场演示</w:t>
            </w:r>
          </w:p>
        </w:tc>
        <w:tc>
          <w:tcPr>
            <w:tcW w:w="6079"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kern w:val="0"/>
                <w:sz w:val="24"/>
                <w:lang w:val="zh-CN"/>
              </w:rPr>
              <w:t>在评标时将安排每个投标人进行系统功能介绍及与学校现有系统的无缝对接方案讲解。每个投标人时间不超过15分钟。讲标次序以投标登记次序为准。讲标进场人员须为投标人所属固定职员。测试结束后由投标人解答评标委员会的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1008"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8</w:t>
            </w:r>
          </w:p>
        </w:tc>
        <w:tc>
          <w:tcPr>
            <w:tcW w:w="1843"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采购代理机构代理费用</w:t>
            </w:r>
          </w:p>
        </w:tc>
        <w:tc>
          <w:tcPr>
            <w:tcW w:w="6079" w:type="dxa"/>
            <w:noWrap w:val="0"/>
            <w:vAlign w:val="center"/>
          </w:tcPr>
          <w:p>
            <w:pPr>
              <w:snapToGrid w:val="0"/>
              <w:spacing w:line="360" w:lineRule="auto"/>
              <w:rPr>
                <w:rFonts w:hint="eastAsia" w:ascii="仿宋" w:hAnsi="仿宋" w:eastAsia="仿宋"/>
                <w:sz w:val="24"/>
              </w:rPr>
            </w:pPr>
            <w:r>
              <w:rPr>
                <w:rFonts w:hint="eastAsia" w:ascii="仿宋" w:hAnsi="仿宋" w:eastAsia="仿宋"/>
                <w:sz w:val="24"/>
              </w:rPr>
              <w:t>无。</w:t>
            </w:r>
          </w:p>
        </w:tc>
      </w:tr>
    </w:tbl>
    <w:p>
      <w:pPr>
        <w:snapToGrid w:val="0"/>
        <w:spacing w:line="360" w:lineRule="auto"/>
        <w:jc w:val="center"/>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r>
        <w:rPr>
          <w:rFonts w:hint="eastAsia" w:ascii="仿宋" w:hAnsi="仿宋" w:eastAsia="仿宋" w:cs="仿宋_GB2312"/>
          <w:b/>
          <w:sz w:val="32"/>
          <w:szCs w:val="20"/>
        </w:rPr>
        <w:t>一、总则</w:t>
      </w:r>
      <w:bookmarkEnd w:id="10"/>
    </w:p>
    <w:p>
      <w:pPr>
        <w:snapToGrid w:val="0"/>
        <w:spacing w:line="360" w:lineRule="auto"/>
        <w:ind w:firstLine="361" w:firstLineChars="15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_GB2312"/>
          <w:b/>
          <w:sz w:val="24"/>
        </w:rPr>
      </w:pPr>
      <w:r>
        <w:rPr>
          <w:rFonts w:hint="eastAsia" w:ascii="仿宋" w:hAnsi="仿宋" w:eastAsia="仿宋" w:cs="仿宋_GB2312"/>
          <w:b/>
          <w:sz w:val="24"/>
        </w:rPr>
        <w:t xml:space="preserve">   2.定义</w:t>
      </w:r>
    </w:p>
    <w:p>
      <w:pPr>
        <w:spacing w:line="360" w:lineRule="auto"/>
        <w:ind w:firstLine="480" w:firstLineChars="200"/>
        <w:rPr>
          <w:rFonts w:hint="eastAsia"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hint="eastAsia"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hint="eastAsia"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hint="eastAsia"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ind w:firstLine="241" w:firstLineChars="100"/>
        <w:rPr>
          <w:rFonts w:hint="eastAsia"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360" w:lineRule="auto"/>
        <w:ind w:firstLine="240" w:firstLineChars="100"/>
        <w:rPr>
          <w:rFonts w:hint="eastAsia"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hint="eastAsia" w:ascii="仿宋" w:hAnsi="仿宋" w:eastAsia="仿宋"/>
          <w:sz w:val="24"/>
        </w:rPr>
      </w:pPr>
      <w:r>
        <w:rPr>
          <w:rFonts w:hint="eastAsia" w:ascii="仿宋" w:hAnsi="仿宋" w:eastAsia="仿宋"/>
          <w:sz w:val="24"/>
        </w:rPr>
        <w:t>3.2 节能环保要求</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3.2.1</w:t>
      </w:r>
      <w:r>
        <w:rPr>
          <w:rFonts w:ascii="仿宋" w:hAnsi="仿宋" w:eastAsia="仿宋"/>
          <w:sz w:val="24"/>
        </w:rPr>
        <w:t>采购人拟采购的产品属于品目清单范围的，采购人及其委托的采购代理机构</w:t>
      </w:r>
      <w:r>
        <w:rPr>
          <w:rFonts w:hint="eastAsia" w:ascii="仿宋" w:hAnsi="仿宋" w:eastAsia="仿宋"/>
          <w:sz w:val="24"/>
        </w:rPr>
        <w:t>将</w:t>
      </w:r>
      <w:r>
        <w:rPr>
          <w:rFonts w:ascii="仿宋" w:hAnsi="仿宋" w:eastAsia="仿宋"/>
          <w:sz w:val="24"/>
        </w:rPr>
        <w:t>依据国家确定的认证机构出具的、处于有效期之内的节能产品、环境标志产品认证证书，对获得证书的产品实施政府优先采购或强制采购。</w:t>
      </w:r>
      <w:r>
        <w:rPr>
          <w:rFonts w:hint="eastAsia" w:ascii="仿宋" w:hAnsi="仿宋" w:eastAsia="仿宋"/>
          <w:sz w:val="24"/>
        </w:rPr>
        <w:t>供应商须按磋商文件要求提供相关产品认证证书。</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3.2.2 </w:t>
      </w:r>
      <w:r>
        <w:rPr>
          <w:rFonts w:hint="eastAsia" w:ascii="仿宋" w:hAnsi="仿宋" w:eastAsia="仿宋" w:cs="仿宋_GB2312"/>
          <w:color w:val="000000"/>
          <w:sz w:val="24"/>
          <w:szCs w:val="20"/>
        </w:rPr>
        <w:t>▲</w:t>
      </w:r>
      <w:r>
        <w:rPr>
          <w:rFonts w:ascii="仿宋" w:hAnsi="仿宋" w:eastAsia="仿宋"/>
          <w:b/>
          <w:sz w:val="24"/>
        </w:rPr>
        <w:t>采购人拟采购的产品属于</w:t>
      </w:r>
      <w:r>
        <w:rPr>
          <w:rFonts w:hint="eastAsia" w:ascii="仿宋" w:hAnsi="仿宋" w:eastAsia="仿宋"/>
          <w:b/>
          <w:sz w:val="24"/>
        </w:rPr>
        <w:t>政府强制采购的节能产品品目清单范围的，供应商未按磋商文件要求提供国家确定的认证机构出具的、处于有效期之内的节能产品认证证书，响应无效。</w:t>
      </w:r>
    </w:p>
    <w:p>
      <w:pPr>
        <w:spacing w:line="360" w:lineRule="auto"/>
        <w:ind w:firstLine="240" w:firstLineChars="100"/>
        <w:rPr>
          <w:rFonts w:hint="eastAsia" w:ascii="仿宋" w:hAnsi="仿宋" w:eastAsia="仿宋"/>
          <w:sz w:val="24"/>
        </w:rPr>
      </w:pPr>
      <w:r>
        <w:rPr>
          <w:rFonts w:hint="eastAsia" w:ascii="仿宋" w:hAnsi="仿宋" w:eastAsia="仿宋"/>
          <w:sz w:val="24"/>
        </w:rPr>
        <w:t>3.3</w:t>
      </w:r>
      <w:r>
        <w:rPr>
          <w:rFonts w:hint="eastAsia" w:ascii="仿宋_GB2312" w:eastAsia="仿宋_GB2312"/>
          <w:bCs/>
          <w:sz w:val="24"/>
        </w:rPr>
        <w:t>小型、微型</w:t>
      </w:r>
      <w:r>
        <w:rPr>
          <w:rFonts w:hint="eastAsia" w:ascii="仿宋" w:hAnsi="仿宋" w:eastAsia="仿宋"/>
          <w:sz w:val="24"/>
        </w:rPr>
        <w:t>企业价格扣除。</w:t>
      </w:r>
    </w:p>
    <w:p>
      <w:pPr>
        <w:spacing w:line="360" w:lineRule="auto"/>
        <w:ind w:firstLine="480" w:firstLineChars="200"/>
        <w:rPr>
          <w:rFonts w:hint="eastAsia" w:ascii="仿宋_GB2312" w:eastAsia="仿宋_GB2312"/>
          <w:bCs/>
          <w:sz w:val="24"/>
        </w:rPr>
      </w:pPr>
      <w:r>
        <w:rPr>
          <w:rFonts w:hint="eastAsia" w:ascii="仿宋" w:hAnsi="仿宋" w:eastAsia="仿宋"/>
          <w:sz w:val="24"/>
        </w:rPr>
        <w:t>3.3.1</w:t>
      </w:r>
      <w:r>
        <w:rPr>
          <w:rFonts w:hint="eastAsia" w:ascii="仿宋_GB2312" w:eastAsia="仿宋_GB2312"/>
          <w:bCs/>
          <w:sz w:val="24"/>
        </w:rPr>
        <w:t>小型、微型企业应当同时符合以下条件：</w:t>
      </w:r>
    </w:p>
    <w:p>
      <w:pPr>
        <w:spacing w:line="360" w:lineRule="auto"/>
        <w:ind w:firstLine="480" w:firstLineChars="200"/>
        <w:rPr>
          <w:rFonts w:hint="eastAsia" w:ascii="仿宋_GB2312" w:eastAsia="仿宋_GB2312"/>
          <w:bCs/>
          <w:sz w:val="24"/>
        </w:rPr>
      </w:pPr>
      <w:r>
        <w:rPr>
          <w:rFonts w:hint="eastAsia" w:ascii="仿宋_GB2312" w:eastAsia="仿宋_GB2312"/>
          <w:bCs/>
          <w:sz w:val="24"/>
        </w:rPr>
        <w:t>（1）符合中小企业划分标准；</w:t>
      </w:r>
    </w:p>
    <w:p>
      <w:pPr>
        <w:spacing w:line="360" w:lineRule="auto"/>
        <w:ind w:firstLine="480" w:firstLineChars="200"/>
        <w:rPr>
          <w:rFonts w:hint="eastAsia" w:ascii="仿宋_GB2312" w:eastAsia="仿宋_GB2312"/>
          <w:bCs/>
          <w:sz w:val="24"/>
        </w:rPr>
      </w:pPr>
      <w:r>
        <w:rPr>
          <w:rFonts w:hint="eastAsia" w:ascii="仿宋_GB2312" w:eastAsia="仿宋_GB2312"/>
          <w:bCs/>
          <w:sz w:val="24"/>
        </w:rPr>
        <w:t>（2）</w:t>
      </w:r>
      <w:r>
        <w:rPr>
          <w:rFonts w:hint="eastAsia" w:ascii="仿宋_GB2312" w:eastAsia="仿宋_GB2312"/>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仿宋" w:hAnsi="仿宋" w:eastAsia="仿宋"/>
          <w:sz w:val="24"/>
        </w:rPr>
      </w:pPr>
      <w:r>
        <w:rPr>
          <w:rFonts w:hint="eastAsia" w:ascii="仿宋" w:hAnsi="仿宋" w:eastAsia="仿宋"/>
          <w:sz w:val="24"/>
        </w:rPr>
        <w:t>3.3.2小型、微型企业应按照招标文件格式要求提供《中小企业声明函》。</w:t>
      </w:r>
    </w:p>
    <w:p>
      <w:pPr>
        <w:spacing w:line="360" w:lineRule="auto"/>
        <w:ind w:firstLine="480" w:firstLineChars="200"/>
        <w:rPr>
          <w:rFonts w:hint="eastAsia" w:ascii="仿宋" w:hAnsi="仿宋" w:eastAsia="仿宋"/>
          <w:sz w:val="24"/>
        </w:rPr>
      </w:pPr>
      <w:r>
        <w:rPr>
          <w:rFonts w:hint="eastAsia" w:ascii="仿宋" w:hAnsi="仿宋" w:eastAsia="仿宋"/>
          <w:sz w:val="24"/>
        </w:rPr>
        <w:t>3.3.3对于非专门面向此类企业的项目，对小型和微型企业产品的投标价格给予6 %的扣除，用扣除后的价格参与评审。</w:t>
      </w:r>
    </w:p>
    <w:p>
      <w:pPr>
        <w:spacing w:line="360" w:lineRule="auto"/>
        <w:ind w:firstLine="480" w:firstLineChars="200"/>
        <w:rPr>
          <w:rFonts w:hint="eastAsia" w:ascii="仿宋" w:hAnsi="仿宋" w:eastAsia="仿宋"/>
          <w:sz w:val="24"/>
        </w:rPr>
      </w:pPr>
      <w:r>
        <w:rPr>
          <w:rFonts w:hint="eastAsia" w:ascii="仿宋" w:hAnsi="仿宋" w:eastAsia="仿宋"/>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仿宋" w:hAnsi="仿宋" w:eastAsia="仿宋"/>
          <w:sz w:val="24"/>
        </w:rPr>
      </w:pPr>
      <w:r>
        <w:rPr>
          <w:rFonts w:hint="eastAsia" w:ascii="仿宋" w:hAnsi="仿宋" w:eastAsia="仿宋"/>
          <w:sz w:val="24"/>
        </w:rPr>
        <w:t>联合体各方均为小型、微型企业的，联合体视同为小型、微型企业。</w:t>
      </w:r>
    </w:p>
    <w:p>
      <w:pPr>
        <w:spacing w:line="360" w:lineRule="auto"/>
        <w:ind w:firstLine="480" w:firstLineChars="200"/>
        <w:rPr>
          <w:rFonts w:hint="eastAsia"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240" w:firstLineChars="100"/>
        <w:rPr>
          <w:rFonts w:hint="eastAsia" w:ascii="仿宋" w:hAnsi="仿宋" w:eastAsia="仿宋"/>
          <w:b/>
          <w:sz w:val="24"/>
        </w:rPr>
      </w:pPr>
      <w:r>
        <w:rPr>
          <w:rFonts w:hint="eastAsia" w:ascii="仿宋" w:hAnsi="仿宋" w:eastAsia="仿宋"/>
          <w:sz w:val="24"/>
        </w:rPr>
        <w:t>3.4企业信用融资：为支持和促进中小企业发展，进一步发挥政府采购政策功能，杭</w:t>
      </w:r>
      <w:r>
        <w:rPr>
          <w:rFonts w:hint="eastAsia" w:ascii="仿宋" w:hAnsi="仿宋" w:eastAsia="仿宋"/>
          <w:sz w:val="24"/>
          <w:szCs w:val="20"/>
        </w:rPr>
        <w:t>州市财政局与省银监局、市金融办、市经信委共同出台了《杭州市政府采购支持中小企业信用融资暂行办法》，供应商若有融资意向，详见本招标文件尾页《政府采购支持中</w:t>
      </w:r>
      <w:r>
        <w:rPr>
          <w:rFonts w:hint="eastAsia" w:ascii="仿宋" w:hAnsi="仿宋" w:eastAsia="仿宋"/>
          <w:sz w:val="24"/>
        </w:rPr>
        <w:t>小企业信用融资相关事项通知》，或登陆杭州市政府采购网（http://cg.hzft.gov.cn）“中小企业信用融资”专栏，查看信用融资政策文件及各相关银行服务方案。</w:t>
      </w:r>
      <w:r>
        <w:rPr>
          <w:rFonts w:hint="eastAsia" w:ascii="仿宋" w:hAnsi="仿宋" w:eastAsia="仿宋"/>
          <w:sz w:val="24"/>
        </w:rPr>
        <w:cr/>
      </w:r>
      <w:r>
        <w:rPr>
          <w:rFonts w:hint="eastAsia" w:ascii="仿宋" w:hAnsi="仿宋" w:eastAsia="仿宋"/>
          <w:b/>
          <w:sz w:val="24"/>
        </w:rPr>
        <w:t>4. 询问、质疑、投诉</w:t>
      </w:r>
    </w:p>
    <w:p>
      <w:pPr>
        <w:autoSpaceDE w:val="0"/>
        <w:autoSpaceDN w:val="0"/>
        <w:spacing w:line="360" w:lineRule="auto"/>
        <w:ind w:firstLine="240" w:firstLineChars="1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43"/>
        <w:spacing w:line="360" w:lineRule="auto"/>
        <w:ind w:firstLine="480" w:firstLineChars="200"/>
        <w:rPr>
          <w:rFonts w:ascii="仿宋" w:hAnsi="仿宋" w:eastAsia="仿宋"/>
          <w:sz w:val="24"/>
        </w:rPr>
      </w:pPr>
      <w:r>
        <w:rPr>
          <w:rFonts w:hint="eastAsia" w:ascii="仿宋" w:hAnsi="仿宋" w:eastAsia="仿宋"/>
          <w:sz w:val="24"/>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43"/>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43"/>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34" w:firstLineChars="181"/>
        <w:rPr>
          <w:rFonts w:hint="eastAsia"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代理机构负责答复。</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43"/>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（3）对采购结果提出质疑的，质疑期限自采购结果公告期限届满之日起计算。对采购结果提出质疑的，采购机构负责答复。</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4.2.3供应商提出质疑应当提交质疑函和必要的证明材料。质疑函应当包括下列内容：</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　　4.2.3.1供应商的姓名或者名称、地址、邮编、联系人及联系电话；</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　　4.2.3.2质疑项目的名称、编号；</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　　4.2.3.3具体、明确的质疑事项和与质疑事项相关的请求；</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　　4.2.3.4事实依据；</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　　4.2.3.5必要的法律依据；</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　　4.2.3.6提出质疑的日期。</w:t>
      </w:r>
    </w:p>
    <w:p>
      <w:pPr>
        <w:pStyle w:val="43"/>
        <w:spacing w:line="360" w:lineRule="auto"/>
        <w:ind w:firstLine="480" w:firstLineChars="200"/>
        <w:rPr>
          <w:rFonts w:hint="eastAsia" w:ascii="仿宋" w:hAnsi="仿宋" w:eastAsia="仿宋"/>
          <w:sz w:val="24"/>
        </w:rPr>
      </w:pPr>
      <w:r>
        <w:rPr>
          <w:rFonts w:hint="eastAsia" w:ascii="仿宋" w:hAnsi="仿宋" w:eastAsia="仿宋"/>
          <w:sz w:val="24"/>
        </w:rPr>
        <w:t>供应商提交的质疑函需一式三份。</w:t>
      </w:r>
      <w:r>
        <w:rPr>
          <w:rFonts w:ascii="仿宋" w:hAnsi="仿宋" w:eastAsia="仿宋"/>
          <w:sz w:val="24"/>
        </w:rPr>
        <w:t>供应商为自然人的，应当由本人签字；供应商为法人或者其他组织的，应当由法定代表人、主要负责人，或者其授权代表签字或者盖章，并加盖公章。</w:t>
      </w:r>
    </w:p>
    <w:p>
      <w:pPr>
        <w:pStyle w:val="43"/>
        <w:spacing w:line="360" w:lineRule="auto"/>
        <w:ind w:firstLine="480" w:firstLineChars="200"/>
        <w:rPr>
          <w:rFonts w:ascii="仿宋" w:hAnsi="仿宋" w:eastAsia="仿宋"/>
          <w:sz w:val="24"/>
        </w:rPr>
      </w:pPr>
      <w:r>
        <w:rPr>
          <w:rFonts w:hint="eastAsia" w:ascii="仿宋" w:hAnsi="仿宋" w:eastAsia="仿宋"/>
          <w:sz w:val="24"/>
        </w:rPr>
        <w:t>质疑函范本及制作说明详见附件3。</w:t>
      </w:r>
    </w:p>
    <w:p>
      <w:pPr>
        <w:pStyle w:val="43"/>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43"/>
        <w:spacing w:line="360" w:lineRule="auto"/>
        <w:ind w:firstLine="480" w:firstLineChars="200"/>
        <w:rPr>
          <w:rFonts w:hint="eastAsia"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.5询问或者质疑事项可能影响采购结果的，采购人应当暂停签订合同，已经签订合同的，应当中止履行合同。</w:t>
      </w:r>
    </w:p>
    <w:p>
      <w:pPr>
        <w:pStyle w:val="19"/>
        <w:spacing w:line="360" w:lineRule="auto"/>
        <w:ind w:firstLine="434" w:firstLineChars="181"/>
        <w:rPr>
          <w:rFonts w:ascii="仿宋" w:hAnsi="仿宋" w:eastAsia="仿宋"/>
          <w:snapToGrid/>
          <w:color w:val="auto"/>
          <w:kern w:val="2"/>
          <w:sz w:val="24"/>
        </w:rPr>
      </w:pPr>
      <w:r>
        <w:rPr>
          <w:rFonts w:hint="eastAsia" w:ascii="仿宋" w:hAnsi="仿宋" w:eastAsia="仿宋"/>
          <w:snapToGrid/>
          <w:color w:val="auto"/>
          <w:kern w:val="2"/>
          <w:sz w:val="24"/>
        </w:rPr>
        <w:t>4.2.6质疑接收人：孙凝；联系电话：0571-85085463 ，传真：0571-87008117；地址：杭州市公共资源交易中心 [杭州市之江路925号（临江金座2号楼）]12楼1208办公室。</w:t>
      </w:r>
    </w:p>
    <w:p>
      <w:pPr>
        <w:pStyle w:val="43"/>
        <w:spacing w:line="360" w:lineRule="auto"/>
        <w:ind w:firstLine="240" w:firstLineChars="1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4.3供应商投诉</w:t>
      </w:r>
    </w:p>
    <w:p>
      <w:pPr>
        <w:pStyle w:val="312"/>
        <w:snapToGrid w:val="0"/>
        <w:spacing w:before="0"/>
        <w:ind w:firstLine="480"/>
        <w:rPr>
          <w:rFonts w:ascii="仿宋" w:hAnsi="仿宋" w:eastAsia="仿宋" w:cs="仿宋_GB2312"/>
        </w:rPr>
      </w:pPr>
      <w:r>
        <w:rPr>
          <w:rFonts w:ascii="仿宋" w:hAnsi="仿宋" w:eastAsia="仿宋"/>
        </w:rPr>
        <w:t>4.3</w:t>
      </w:r>
      <w:r>
        <w:rPr>
          <w:rFonts w:hint="eastAsia" w:ascii="仿宋" w:hAnsi="仿宋" w:eastAsia="仿宋"/>
        </w:rPr>
        <w:t>.1质疑供应商对采购人、采购机构的答复不满意或者采购人、采购机构未在规定的时间内作出答复的，可以在答复期满后十五个工作日内向同级政府采购监督管理部门提出投诉。</w:t>
      </w:r>
    </w:p>
    <w:p>
      <w:pPr>
        <w:pStyle w:val="43"/>
        <w:spacing w:line="360" w:lineRule="auto"/>
        <w:ind w:firstLine="480" w:firstLineChars="200"/>
        <w:rPr>
          <w:rFonts w:ascii="仿宋" w:hAnsi="仿宋" w:eastAsia="仿宋" w:cs="微软雅黑"/>
          <w:b/>
          <w:kern w:val="0"/>
          <w:sz w:val="24"/>
          <w:szCs w:val="24"/>
          <w:lang w:val="zh-CN"/>
        </w:rPr>
      </w:pPr>
      <w:r>
        <w:rPr>
          <w:rFonts w:ascii="仿宋" w:hAnsi="仿宋" w:eastAsia="仿宋"/>
          <w:sz w:val="24"/>
        </w:rPr>
        <w:t>4.3</w:t>
      </w:r>
      <w:r>
        <w:rPr>
          <w:rFonts w:hint="eastAsia" w:ascii="仿宋" w:hAnsi="仿宋" w:eastAsia="仿宋"/>
          <w:sz w:val="24"/>
        </w:rPr>
        <w:t>.</w:t>
      </w:r>
      <w:r>
        <w:rPr>
          <w:rFonts w:hint="eastAsia" w:ascii="仿宋" w:hAnsi="仿宋" w:eastAsia="仿宋" w:cs="微软雅黑"/>
          <w:kern w:val="0"/>
          <w:sz w:val="24"/>
          <w:szCs w:val="24"/>
          <w:lang w:val="zh-CN"/>
        </w:rPr>
        <w:t>2</w:t>
      </w:r>
      <w:r>
        <w:rPr>
          <w:rFonts w:hint="eastAsia" w:ascii="仿宋" w:hAnsi="仿宋" w:eastAsia="仿宋"/>
          <w:sz w:val="24"/>
        </w:rPr>
        <w:t>供应商投诉的事项不得超出已质疑事项的范围，基于质疑答复内容提出的投诉事项除外。</w:t>
      </w:r>
    </w:p>
    <w:p>
      <w:pPr>
        <w:pStyle w:val="43"/>
        <w:spacing w:line="360" w:lineRule="auto"/>
        <w:ind w:firstLine="480" w:firstLineChars="200"/>
        <w:rPr>
          <w:rFonts w:hint="eastAsia" w:ascii="仿宋" w:hAnsi="仿宋" w:eastAsia="仿宋"/>
          <w:sz w:val="24"/>
        </w:rPr>
      </w:pPr>
      <w:r>
        <w:rPr>
          <w:rFonts w:ascii="仿宋" w:hAnsi="仿宋" w:eastAsia="仿宋"/>
          <w:sz w:val="24"/>
        </w:rPr>
        <w:t>4.3</w:t>
      </w:r>
      <w:r>
        <w:rPr>
          <w:rFonts w:hint="eastAsia" w:ascii="仿宋" w:hAnsi="仿宋" w:eastAsia="仿宋"/>
          <w:sz w:val="24"/>
        </w:rPr>
        <w:t>.3供应商投诉应当有明确的请求和必要的证明材料。投诉书范本及制作说明详见附件4.</w:t>
      </w:r>
    </w:p>
    <w:p>
      <w:pPr>
        <w:pStyle w:val="43"/>
        <w:spacing w:line="360" w:lineRule="auto"/>
        <w:ind w:firstLine="480" w:firstLineChars="200"/>
        <w:rPr>
          <w:rFonts w:hint="eastAsia" w:ascii="仿宋" w:hAnsi="仿宋" w:eastAsia="仿宋"/>
          <w:sz w:val="24"/>
        </w:rPr>
      </w:pPr>
      <w:r>
        <w:rPr>
          <w:rFonts w:ascii="仿宋" w:hAnsi="仿宋" w:eastAsia="仿宋"/>
          <w:sz w:val="24"/>
        </w:rPr>
        <w:t>4.3</w:t>
      </w:r>
      <w:r>
        <w:rPr>
          <w:rFonts w:hint="eastAsia" w:ascii="仿宋" w:hAnsi="仿宋" w:eastAsia="仿宋"/>
          <w:sz w:val="24"/>
        </w:rPr>
        <w:t>.5 以联合体形式参加政府采购活动的，其投诉应当由组成联合体的所有供应商共同提出。</w:t>
      </w:r>
    </w:p>
    <w:p>
      <w:pPr>
        <w:pStyle w:val="43"/>
        <w:spacing w:line="360" w:lineRule="auto"/>
        <w:ind w:firstLine="480" w:firstLineChars="200"/>
        <w:rPr>
          <w:rFonts w:ascii="仿宋" w:hAnsi="仿宋" w:eastAsia="仿宋"/>
          <w:sz w:val="24"/>
        </w:rPr>
      </w:pPr>
      <w:r>
        <w:rPr>
          <w:rFonts w:hint="eastAsia" w:ascii="仿宋" w:hAnsi="仿宋" w:eastAsia="仿宋"/>
          <w:sz w:val="24"/>
        </w:rPr>
        <w:t>投诉书范本及制作说明详见附件3。</w:t>
      </w:r>
    </w:p>
    <w:p>
      <w:pPr>
        <w:pStyle w:val="312"/>
        <w:snapToGrid w:val="0"/>
        <w:spacing w:before="0"/>
        <w:ind w:firstLine="360"/>
        <w:rPr>
          <w:rFonts w:hint="eastAsia" w:ascii="仿宋" w:hAnsi="仿宋" w:eastAsia="仿宋" w:cs="仿宋_GB2312"/>
          <w:sz w:val="18"/>
          <w:szCs w:val="18"/>
        </w:rPr>
      </w:pPr>
    </w:p>
    <w:p>
      <w:pPr>
        <w:adjustRightInd/>
        <w:spacing w:line="360" w:lineRule="auto"/>
        <w:jc w:val="center"/>
        <w:outlineLvl w:val="0"/>
        <w:rPr>
          <w:rFonts w:hint="eastAsia" w:ascii="仿宋" w:hAnsi="仿宋" w:eastAsia="仿宋" w:cs="仿宋_GB2312"/>
          <w:b/>
          <w:sz w:val="32"/>
          <w:szCs w:val="20"/>
        </w:rPr>
      </w:pPr>
      <w:bookmarkStart w:id="12" w:name="_Hlt68057669"/>
      <w:bookmarkEnd w:id="12"/>
      <w:bookmarkStart w:id="13" w:name="_Hlt74730295"/>
      <w:bookmarkEnd w:id="13"/>
      <w:bookmarkStart w:id="14" w:name="_Hlt74729768"/>
      <w:bookmarkEnd w:id="14"/>
      <w:bookmarkStart w:id="15" w:name="_Hlt68072990"/>
      <w:bookmarkEnd w:id="15"/>
      <w:bookmarkStart w:id="16" w:name="_Hlt74714665"/>
      <w:bookmarkEnd w:id="16"/>
      <w:bookmarkStart w:id="17" w:name="_Hlt75236290"/>
      <w:bookmarkEnd w:id="17"/>
      <w:bookmarkStart w:id="18" w:name="_Hlt74707468"/>
      <w:bookmarkEnd w:id="18"/>
      <w:bookmarkStart w:id="19" w:name="_Toc91899879"/>
      <w:r>
        <w:rPr>
          <w:rFonts w:hint="eastAsia" w:ascii="仿宋" w:hAnsi="仿宋" w:eastAsia="仿宋" w:cs="仿宋_GB2312"/>
          <w:b/>
          <w:sz w:val="32"/>
          <w:szCs w:val="20"/>
        </w:rPr>
        <w:t>二、招标文件</w:t>
      </w:r>
      <w:bookmarkEnd w:id="19"/>
      <w:r>
        <w:rPr>
          <w:rFonts w:hint="eastAsia" w:ascii="仿宋" w:hAnsi="仿宋" w:eastAsia="仿宋" w:cs="仿宋_GB2312"/>
          <w:b/>
          <w:sz w:val="32"/>
          <w:szCs w:val="20"/>
        </w:rPr>
        <w:t>的构成、澄清、修改</w:t>
      </w:r>
    </w:p>
    <w:p>
      <w:pPr>
        <w:pStyle w:val="43"/>
        <w:spacing w:line="360" w:lineRule="auto"/>
        <w:rPr>
          <w:rFonts w:hint="eastAsia" w:ascii="仿宋" w:hAnsi="仿宋" w:eastAsia="仿宋" w:cs="仿宋_GB2312"/>
          <w:b/>
          <w:sz w:val="24"/>
          <w:szCs w:val="24"/>
        </w:rPr>
      </w:pPr>
      <w:bookmarkStart w:id="20" w:name="_Toc91899880"/>
      <w:bookmarkStart w:id="21" w:name="_Hlt74730307"/>
      <w:r>
        <w:rPr>
          <w:rFonts w:hint="eastAsia" w:ascii="仿宋" w:hAnsi="仿宋" w:eastAsia="仿宋" w:cs="仿宋_GB2312"/>
          <w:b/>
          <w:sz w:val="24"/>
          <w:szCs w:val="24"/>
        </w:rPr>
        <w:t>5．招标文件的构成</w:t>
      </w:r>
      <w:bookmarkEnd w:id="20"/>
    </w:p>
    <w:bookmarkEnd w:id="21"/>
    <w:p>
      <w:pPr>
        <w:pStyle w:val="43"/>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第一部分 招标公告</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第二部分 投标人须知</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第三部分 采购需求</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6. 招标文件的澄清、修改</w:t>
      </w:r>
    </w:p>
    <w:p>
      <w:pPr>
        <w:pStyle w:val="312"/>
        <w:snapToGrid w:val="0"/>
        <w:spacing w:before="0"/>
        <w:ind w:firstLine="480"/>
        <w:rPr>
          <w:rFonts w:hint="eastAsia"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6.1已获取招标文件的潜在投标人，若有问题需要澄清，应于投标截止时间前，以书面形式向采购机构提出，采购机构与采购人研究后，对认为有必要回答的问题，将以书面解答形式通知所有招标文件收受人。</w:t>
      </w:r>
    </w:p>
    <w:p>
      <w:pPr>
        <w:pStyle w:val="312"/>
        <w:snapToGrid w:val="0"/>
        <w:spacing w:before="0"/>
        <w:ind w:firstLine="480"/>
        <w:rPr>
          <w:rFonts w:hint="eastAsia" w:ascii="仿宋" w:hAnsi="仿宋" w:eastAsia="仿宋"/>
        </w:rPr>
      </w:pPr>
      <w:r>
        <w:rPr>
          <w:rFonts w:hint="eastAsia" w:ascii="仿宋" w:hAnsi="仿宋" w:eastAsia="仿宋"/>
        </w:rPr>
        <w:t>6.2采购机构如对已发出的招标文件进行必要澄清或者修改的，将在发布招标公告的网站上发布更正公告，同时视情况延长投标截止时间和开标时间。该澄清或者修改的内容为招标文件的组成部分。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p>
    <w:p>
      <w:pPr>
        <w:pStyle w:val="32"/>
        <w:rPr>
          <w:rFonts w:hint="eastAsia" w:ascii="仿宋" w:hAnsi="仿宋" w:eastAsia="仿宋" w:cs="仿宋_GB2312"/>
          <w:sz w:val="18"/>
          <w:szCs w:val="18"/>
          <w:lang w:val="en-US"/>
        </w:rPr>
      </w:pPr>
      <w:r>
        <w:rPr>
          <w:rFonts w:hint="eastAsia" w:ascii="仿宋" w:hAnsi="仿宋" w:eastAsia="仿宋" w:cs="仿宋_GB2312"/>
          <w:szCs w:val="24"/>
          <w:lang w:val="en-US"/>
        </w:rPr>
        <w:t xml:space="preserve">    </w:t>
      </w:r>
    </w:p>
    <w:p>
      <w:pPr>
        <w:adjustRightInd/>
        <w:spacing w:line="360" w:lineRule="auto"/>
        <w:jc w:val="center"/>
        <w:outlineLvl w:val="0"/>
        <w:rPr>
          <w:rFonts w:hint="eastAsia" w:ascii="仿宋" w:hAnsi="仿宋" w:eastAsia="仿宋" w:cs="仿宋_GB2312"/>
          <w:b/>
          <w:sz w:val="30"/>
          <w:szCs w:val="20"/>
        </w:rPr>
      </w:pPr>
      <w:bookmarkStart w:id="22" w:name="_Hlt75236011"/>
      <w:bookmarkEnd w:id="22"/>
      <w:bookmarkStart w:id="23" w:name="_Toc91899884"/>
      <w:r>
        <w:rPr>
          <w:rFonts w:hint="eastAsia" w:ascii="仿宋" w:hAnsi="仿宋" w:eastAsia="仿宋" w:cs="仿宋_GB2312"/>
          <w:b/>
          <w:sz w:val="30"/>
          <w:szCs w:val="20"/>
        </w:rPr>
        <w:t>三、投标</w:t>
      </w:r>
      <w:bookmarkEnd w:id="23"/>
    </w:p>
    <w:p>
      <w:pPr>
        <w:pStyle w:val="43"/>
        <w:spacing w:line="360" w:lineRule="auto"/>
        <w:rPr>
          <w:rFonts w:hint="eastAsia" w:ascii="仿宋" w:hAnsi="仿宋" w:eastAsia="仿宋" w:cs="仿宋_GB2312"/>
          <w:b/>
          <w:sz w:val="24"/>
          <w:szCs w:val="24"/>
        </w:rPr>
      </w:pPr>
      <w:bookmarkStart w:id="24" w:name="_Toc86216991"/>
      <w:bookmarkStart w:id="25" w:name="_Toc91899892"/>
      <w:r>
        <w:rPr>
          <w:rFonts w:hint="eastAsia" w:ascii="仿宋" w:hAnsi="仿宋" w:eastAsia="仿宋" w:cs="仿宋_GB2312"/>
          <w:b/>
          <w:sz w:val="24"/>
          <w:szCs w:val="24"/>
        </w:rPr>
        <w:t>7. 招标文件的获取</w:t>
      </w:r>
    </w:p>
    <w:p>
      <w:pPr>
        <w:spacing w:line="360" w:lineRule="auto"/>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43"/>
        <w:spacing w:line="360" w:lineRule="auto"/>
        <w:ind w:firstLine="240" w:firstLineChars="100"/>
        <w:rPr>
          <w:rFonts w:hint="eastAsia"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9. 投标文件的语言</w:t>
      </w:r>
    </w:p>
    <w:p>
      <w:pPr>
        <w:autoSpaceDE w:val="0"/>
        <w:autoSpaceDN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11. 投标文件的组成</w:t>
      </w:r>
    </w:p>
    <w:p>
      <w:pPr>
        <w:pStyle w:val="43"/>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应包括以下内容（均需加盖公章）：</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43"/>
        <w:spacing w:line="360" w:lineRule="auto"/>
        <w:ind w:firstLine="480" w:firstLineChars="200"/>
        <w:rPr>
          <w:rFonts w:hint="eastAsia" w:ascii="仿宋" w:hAnsi="仿宋" w:eastAsia="仿宋"/>
          <w:sz w:val="24"/>
        </w:rPr>
      </w:pPr>
      <w:bookmarkStart w:id="26" w:name="_Hlt68072998"/>
      <w:bookmarkEnd w:id="26"/>
      <w:bookmarkStart w:id="27" w:name="_Hlt68403820"/>
      <w:bookmarkEnd w:id="27"/>
      <w:bookmarkStart w:id="28" w:name="_Hlt68073093"/>
      <w:bookmarkEnd w:id="28"/>
      <w:r>
        <w:rPr>
          <w:rFonts w:hint="eastAsia" w:ascii="仿宋" w:hAnsi="仿宋" w:eastAsia="仿宋" w:cs="仿宋_GB2312"/>
          <w:sz w:val="24"/>
        </w:rPr>
        <w:t>11.1.1</w:t>
      </w:r>
      <w:r>
        <w:rPr>
          <w:rFonts w:hint="eastAsia" w:ascii="仿宋" w:hAnsi="仿宋" w:eastAsia="仿宋"/>
          <w:sz w:val="24"/>
        </w:rPr>
        <w:t>营业执照(或事业法人登记证或其他工商等登记证明材料)复印件（投标人为自然人的，提供</w:t>
      </w:r>
      <w:r>
        <w:rPr>
          <w:rFonts w:hint="eastAsia" w:ascii="仿宋_GB2312" w:hAnsi="Helvetica" w:eastAsia="仿宋_GB2312" w:cs="Helvetica"/>
          <w:kern w:val="0"/>
          <w:sz w:val="24"/>
        </w:rPr>
        <w:t>自然人的身份证明</w:t>
      </w:r>
      <w:r>
        <w:rPr>
          <w:rFonts w:hint="eastAsia" w:ascii="仿宋" w:hAnsi="仿宋" w:eastAsia="仿宋"/>
          <w:sz w:val="24"/>
        </w:rPr>
        <w:t>）、税务登记证(</w:t>
      </w:r>
      <w:r>
        <w:rPr>
          <w:rFonts w:hint="eastAsia" w:ascii="仿宋_GB2312" w:hAnsi="Helvetica" w:eastAsia="仿宋_GB2312" w:cs="Helvetica"/>
          <w:kern w:val="0"/>
          <w:sz w:val="24"/>
        </w:rPr>
        <w:t>或其它依法缴纳税收的相关材料</w:t>
      </w:r>
      <w:r>
        <w:rPr>
          <w:rFonts w:hint="eastAsia" w:ascii="仿宋" w:hAnsi="仿宋" w:eastAsia="仿宋"/>
          <w:sz w:val="24"/>
        </w:rPr>
        <w:t>)复印件、社保登记证（</w:t>
      </w:r>
      <w:r>
        <w:rPr>
          <w:rFonts w:hint="eastAsia" w:ascii="仿宋_GB2312" w:hAnsi="Helvetica" w:eastAsia="仿宋_GB2312" w:cs="Helvetica"/>
          <w:kern w:val="0"/>
          <w:sz w:val="24"/>
        </w:rPr>
        <w:t>或其它依法缴社会保障资金的相关材料</w:t>
      </w:r>
      <w:r>
        <w:rPr>
          <w:rFonts w:hint="eastAsia" w:ascii="仿宋" w:hAnsi="仿宋" w:eastAsia="仿宋"/>
          <w:sz w:val="24"/>
        </w:rPr>
        <w:t>）复印件；实施“多证合一、一照一码”登记制度改革的，只需提供改革后取得的营业执照复印件；</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11.1.2 2017年度资产负债表等财务报表资料文件 (或其它</w:t>
      </w:r>
      <w:r>
        <w:rPr>
          <w:rFonts w:hint="eastAsia" w:ascii="仿宋_GB2312" w:hAnsi="Helvetica" w:eastAsia="仿宋_GB2312" w:cs="Helvetica"/>
          <w:kern w:val="0"/>
          <w:sz w:val="24"/>
        </w:rPr>
        <w:t>财务状况报告，</w:t>
      </w:r>
      <w:r>
        <w:rPr>
          <w:rFonts w:hint="eastAsia" w:ascii="仿宋" w:hAnsi="仿宋" w:eastAsia="仿宋" w:cs="仿宋_GB2312"/>
          <w:sz w:val="24"/>
        </w:rPr>
        <w:t>新成立的公司，必须提供情况说明)；</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11.1.3具有履行合同所必需的设备和专业技术能力的承诺函；</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11.1.4参加政府采购活动前三年内，在经营活动中没有重大违法记录的声明；</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sz w:val="24"/>
        </w:rPr>
        <w:t>11.1.5</w:t>
      </w:r>
      <w:r>
        <w:rPr>
          <w:rFonts w:hint="eastAsia" w:ascii="仿宋" w:hAnsi="仿宋" w:eastAsia="仿宋" w:cs="仿宋_GB2312"/>
          <w:sz w:val="24"/>
          <w:szCs w:val="20"/>
        </w:rPr>
        <w:t xml:space="preserve">具有良好商业信誉的特别声明；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11.1.6符合特定资格条件（如果项目要求）的有关证明材料（复印件）；</w:t>
      </w:r>
    </w:p>
    <w:p>
      <w:pPr>
        <w:spacing w:line="360" w:lineRule="auto"/>
        <w:ind w:firstLine="480" w:firstLineChars="200"/>
        <w:rPr>
          <w:rFonts w:hint="eastAsia" w:ascii="仿宋" w:hAnsi="仿宋" w:eastAsia="仿宋"/>
          <w:sz w:val="24"/>
        </w:rPr>
      </w:pPr>
      <w:r>
        <w:rPr>
          <w:rFonts w:hint="eastAsia" w:ascii="仿宋" w:hAnsi="仿宋" w:eastAsia="仿宋" w:cs="仿宋_GB2312"/>
          <w:sz w:val="24"/>
        </w:rPr>
        <w:t>附法定代表人授权书（如法定代表人直接参加投标并对相应文件签字的，只需提供其身份证复印件正反面；</w:t>
      </w:r>
      <w:r>
        <w:rPr>
          <w:rFonts w:hint="eastAsia" w:ascii="仿宋" w:hAnsi="仿宋" w:eastAsia="仿宋"/>
          <w:sz w:val="24"/>
        </w:rPr>
        <w:t>如以联合体形式参加政府采购活动的，按招标文件有关格式范例提供联合体投标授权书）；</w:t>
      </w:r>
    </w:p>
    <w:p>
      <w:pPr>
        <w:snapToGrid w:val="0"/>
        <w:spacing w:line="360" w:lineRule="auto"/>
        <w:ind w:firstLine="480" w:firstLineChars="200"/>
        <w:rPr>
          <w:rFonts w:hint="eastAsia"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应包括以下内容（均需加盖公章）：</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43"/>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11.2.2投标(开标)一览表；</w:t>
      </w:r>
    </w:p>
    <w:p>
      <w:pPr>
        <w:pStyle w:val="43"/>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11.2.3中小企业声明函。</w:t>
      </w:r>
    </w:p>
    <w:p>
      <w:pPr>
        <w:pStyle w:val="43"/>
        <w:spacing w:line="360" w:lineRule="auto"/>
        <w:ind w:firstLine="480" w:firstLineChars="200"/>
        <w:rPr>
          <w:rFonts w:hint="eastAsia"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sz w:val="24"/>
          <w:szCs w:val="24"/>
        </w:rPr>
        <w:t>（均需加盖公章）</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11.3.1</w:t>
      </w:r>
      <w:r>
        <w:rPr>
          <w:rFonts w:hint="eastAsia" w:ascii="仿宋" w:hAnsi="仿宋" w:eastAsia="仿宋"/>
          <w:sz w:val="24"/>
        </w:rPr>
        <w:t>营业执照(或事业法人登记证或其他工商等登记证明材料)复印件（投标人为自然人的，须提供</w:t>
      </w:r>
      <w:r>
        <w:rPr>
          <w:rFonts w:hint="eastAsia" w:ascii="仿宋_GB2312" w:hAnsi="Helvetica" w:eastAsia="仿宋_GB2312" w:cs="Helvetica"/>
          <w:kern w:val="0"/>
          <w:sz w:val="24"/>
        </w:rPr>
        <w:t>自然人的身份证明</w:t>
      </w:r>
      <w:r>
        <w:rPr>
          <w:rFonts w:hint="eastAsia" w:ascii="仿宋" w:hAnsi="仿宋" w:eastAsia="仿宋"/>
          <w:sz w:val="24"/>
        </w:rPr>
        <w:t>）</w:t>
      </w:r>
      <w:r>
        <w:rPr>
          <w:rFonts w:hint="eastAsia" w:ascii="仿宋" w:hAnsi="仿宋" w:eastAsia="仿宋" w:cs="仿宋_GB2312"/>
          <w:sz w:val="24"/>
        </w:rPr>
        <w:t>；</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11.3.2</w:t>
      </w:r>
      <w:r>
        <w:rPr>
          <w:rFonts w:hint="eastAsia" w:ascii="仿宋" w:hAnsi="仿宋" w:eastAsia="仿宋" w:cs="仿宋_GB2312"/>
          <w:sz w:val="24"/>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sz w:val="24"/>
        </w:rPr>
        <w:t>▲</w:t>
      </w:r>
      <w:r>
        <w:rPr>
          <w:rFonts w:hint="eastAsia" w:ascii="仿宋" w:hAnsi="仿宋" w:eastAsia="仿宋" w:cs="仿宋_GB2312"/>
          <w:b/>
          <w:sz w:val="24"/>
        </w:rPr>
        <w:t>投标文件中法定代表人授权书所载内容与本项目内容有异的，投标无效</w:t>
      </w:r>
    </w:p>
    <w:p>
      <w:pPr>
        <w:pStyle w:val="43"/>
        <w:spacing w:line="360" w:lineRule="auto"/>
        <w:ind w:firstLine="480" w:firstLineChars="200"/>
        <w:rPr>
          <w:rFonts w:hint="eastAsia" w:ascii="仿宋" w:hAnsi="仿宋" w:eastAsia="仿宋"/>
          <w:sz w:val="24"/>
        </w:rPr>
      </w:pPr>
      <w:r>
        <w:rPr>
          <w:rFonts w:hint="eastAsia" w:ascii="仿宋" w:hAnsi="仿宋" w:eastAsia="仿宋" w:cs="仿宋_GB2312"/>
          <w:sz w:val="24"/>
          <w:lang w:val="zh-CN"/>
        </w:rPr>
        <w:t>11.3.3</w:t>
      </w:r>
      <w:r>
        <w:rPr>
          <w:rFonts w:hint="eastAsia" w:ascii="仿宋" w:hAnsi="仿宋" w:eastAsia="仿宋"/>
          <w:sz w:val="24"/>
        </w:rPr>
        <w:t>如以联合体形式参加政府采购活动的，</w:t>
      </w:r>
      <w:r>
        <w:rPr>
          <w:rFonts w:hint="eastAsia" w:ascii="仿宋" w:hAnsi="仿宋" w:eastAsia="仿宋"/>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hint="eastAsia" w:ascii="仿宋" w:hAnsi="仿宋" w:eastAsia="仿宋"/>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sz w:val="24"/>
        </w:rPr>
        <w:t>▲如以联合体形式参加政府采购活动的，联合体协议不符合招标文件规定的联合体协议要求的，投标无效。</w:t>
      </w:r>
      <w:r>
        <w:rPr>
          <w:rFonts w:hint="eastAsia" w:ascii="仿宋" w:hAnsi="仿宋" w:eastAsia="仿宋"/>
          <w:sz w:val="24"/>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rPr>
        <w:t>4资信文件：</w:t>
      </w:r>
      <w:r>
        <w:rPr>
          <w:rFonts w:hint="eastAsia" w:ascii="仿宋" w:hAnsi="仿宋" w:eastAsia="仿宋" w:cs="仿宋_GB2312"/>
          <w:kern w:val="0"/>
          <w:sz w:val="24"/>
          <w:szCs w:val="20"/>
        </w:rPr>
        <w:t>见投标须知前附表所述。</w:t>
      </w:r>
    </w:p>
    <w:p>
      <w:pPr>
        <w:pStyle w:val="312"/>
        <w:snapToGrid w:val="0"/>
        <w:spacing w:before="0"/>
        <w:ind w:firstLine="480"/>
        <w:rPr>
          <w:rFonts w:hint="eastAsia" w:ascii="仿宋" w:hAnsi="仿宋" w:eastAsia="仿宋"/>
          <w:kern w:val="0"/>
          <w:lang w:val="zh-CN"/>
        </w:rPr>
      </w:pPr>
      <w:r>
        <w:rPr>
          <w:rFonts w:hint="eastAsia" w:ascii="仿宋" w:hAnsi="仿宋" w:eastAsia="仿宋" w:cs="仿宋_GB2312"/>
          <w:lang w:val="zh-CN"/>
        </w:rPr>
        <w:t>11.3.</w:t>
      </w:r>
      <w:r>
        <w:rPr>
          <w:rFonts w:hint="eastAsia" w:ascii="仿宋" w:hAnsi="仿宋" w:eastAsia="仿宋" w:cs="仿宋_GB2312"/>
        </w:rPr>
        <w:t>5</w:t>
      </w:r>
      <w:r>
        <w:rPr>
          <w:rFonts w:hint="eastAsia" w:ascii="仿宋" w:hAnsi="仿宋" w:eastAsia="仿宋" w:cs="宋体"/>
          <w:kern w:val="0"/>
        </w:rPr>
        <w:t>投标截止时间前三年投标人的主要业绩证明材料即</w:t>
      </w:r>
      <w:r>
        <w:rPr>
          <w:rFonts w:hint="eastAsia" w:ascii="仿宋" w:hAnsi="仿宋" w:eastAsia="仿宋"/>
          <w:lang w:val="zh-CN"/>
        </w:rPr>
        <w:t>合同</w:t>
      </w:r>
      <w:r>
        <w:rPr>
          <w:rFonts w:hint="eastAsia" w:ascii="仿宋" w:hAnsi="仿宋" w:eastAsia="仿宋"/>
        </w:rPr>
        <w:t>和用户验收报告（</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rPr>
        <w:t>)</w:t>
      </w:r>
      <w:r>
        <w:rPr>
          <w:rFonts w:hint="eastAsia" w:ascii="仿宋" w:hAnsi="仿宋" w:eastAsia="仿宋" w:cs="宋体"/>
          <w:kern w:val="0"/>
        </w:rPr>
        <w:t>；</w:t>
      </w:r>
    </w:p>
    <w:p>
      <w:pPr>
        <w:snapToGrid w:val="0"/>
        <w:spacing w:line="360" w:lineRule="auto"/>
        <w:ind w:firstLine="540" w:firstLineChars="225"/>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rPr>
        <w:t>6</w:t>
      </w:r>
      <w:r>
        <w:rPr>
          <w:rFonts w:hint="eastAsia" w:ascii="仿宋" w:hAnsi="仿宋" w:eastAsia="仿宋" w:cs="仿宋_GB2312"/>
          <w:kern w:val="0"/>
          <w:sz w:val="24"/>
          <w:lang w:val="zh-CN"/>
        </w:rPr>
        <w:t>投标人认为需要的其他商务文件或说明；</w:t>
      </w:r>
      <w:r>
        <w:rPr>
          <w:rFonts w:hint="eastAsia" w:ascii="仿宋" w:hAnsi="仿宋" w:eastAsia="仿宋" w:cs="仿宋_GB2312"/>
          <w:sz w:val="24"/>
        </w:rPr>
        <w:t xml:space="preserve"> </w:t>
      </w:r>
    </w:p>
    <w:p>
      <w:pPr>
        <w:pStyle w:val="43"/>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11.3.</w:t>
      </w:r>
      <w:r>
        <w:rPr>
          <w:rFonts w:hint="eastAsia" w:ascii="仿宋" w:hAnsi="仿宋" w:eastAsia="仿宋" w:cs="仿宋_GB2312"/>
          <w:sz w:val="24"/>
        </w:rPr>
        <w:t>7</w:t>
      </w:r>
      <w:r>
        <w:rPr>
          <w:rFonts w:hint="eastAsia" w:ascii="仿宋" w:hAnsi="仿宋" w:eastAsia="仿宋" w:cs="仿宋_GB2312"/>
          <w:sz w:val="24"/>
          <w:lang w:val="zh-CN"/>
        </w:rPr>
        <w:t>投标人应提供针对项目的完整技术解决方案：</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43"/>
        <w:snapToGrid w:val="0"/>
        <w:spacing w:line="360" w:lineRule="auto"/>
        <w:ind w:firstLine="482" w:firstLineChars="200"/>
        <w:rPr>
          <w:rFonts w:hint="eastAsia" w:ascii="仿宋" w:hAnsi="仿宋" w:eastAsia="仿宋" w:cs="仿宋_GB2312"/>
          <w:kern w:val="0"/>
          <w:sz w:val="24"/>
          <w:lang w:val="zh-CN"/>
        </w:rPr>
      </w:pPr>
      <w:r>
        <w:rPr>
          <w:rFonts w:hint="eastAsia" w:ascii="仿宋" w:hAnsi="仿宋" w:eastAsia="仿宋"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sz w:val="24"/>
        </w:rPr>
        <w:t>）</w:t>
      </w:r>
      <w:r>
        <w:rPr>
          <w:rFonts w:hint="eastAsia" w:ascii="仿宋" w:hAnsi="仿宋" w:eastAsia="仿宋" w:cs="仿宋_GB2312"/>
          <w:b/>
          <w:sz w:val="24"/>
        </w:rPr>
        <w:t>。否则</w:t>
      </w:r>
      <w:r>
        <w:rPr>
          <w:rFonts w:hint="eastAsia" w:ascii="仿宋" w:hAnsi="仿宋" w:eastAsia="仿宋" w:cs="仿宋_GB2312"/>
          <w:b/>
          <w:kern w:val="0"/>
          <w:sz w:val="24"/>
          <w:lang w:val="zh-CN"/>
        </w:rPr>
        <w:t>任何含糊不清的</w:t>
      </w:r>
      <w:r>
        <w:rPr>
          <w:rFonts w:hint="eastAsia" w:ascii="仿宋" w:hAnsi="仿宋" w:eastAsia="仿宋" w:cs="仿宋_GB2312"/>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cs="仿宋_GB2312"/>
          <w:sz w:val="24"/>
        </w:rPr>
        <w:t>。</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kern w:val="0"/>
          <w:sz w:val="24"/>
        </w:rPr>
        <w:t xml:space="preserve"> </w:t>
      </w:r>
      <w:r>
        <w:rPr>
          <w:rFonts w:hint="eastAsia" w:ascii="仿宋" w:hAnsi="仿宋" w:eastAsia="仿宋" w:cs="仿宋_GB2312"/>
          <w:sz w:val="24"/>
          <w:lang w:val="zh-CN"/>
        </w:rPr>
        <w:t>11.3.9</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采购需求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11.3.10</w:t>
      </w:r>
      <w:r>
        <w:rPr>
          <w:rFonts w:hint="eastAsia" w:ascii="仿宋" w:hAnsi="仿宋" w:eastAsia="仿宋"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11.3.11</w:t>
      </w:r>
      <w:r>
        <w:rPr>
          <w:rFonts w:hint="eastAsia" w:ascii="仿宋" w:hAnsi="仿宋" w:eastAsia="仿宋"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11.3.12</w:t>
      </w:r>
      <w:r>
        <w:rPr>
          <w:rFonts w:hint="eastAsia" w:ascii="仿宋" w:hAnsi="仿宋" w:eastAsia="仿宋"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11.3.13</w:t>
      </w:r>
      <w:r>
        <w:rPr>
          <w:rFonts w:hint="eastAsia" w:ascii="仿宋" w:hAnsi="仿宋" w:eastAsia="仿宋"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11.3.14</w:t>
      </w:r>
      <w:r>
        <w:rPr>
          <w:rFonts w:hint="eastAsia" w:ascii="仿宋" w:hAnsi="仿宋" w:eastAsia="仿宋"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11.3.15</w:t>
      </w:r>
      <w:r>
        <w:rPr>
          <w:rFonts w:hint="eastAsia" w:ascii="仿宋" w:hAnsi="仿宋" w:eastAsia="仿宋" w:cs="仿宋_GB2312"/>
          <w:kern w:val="0"/>
          <w:sz w:val="24"/>
          <w:lang w:val="zh-CN"/>
        </w:rPr>
        <w:t>培训计划；（如果有）</w:t>
      </w:r>
    </w:p>
    <w:p>
      <w:pPr>
        <w:pStyle w:val="43"/>
        <w:spacing w:line="360" w:lineRule="auto"/>
        <w:ind w:firstLine="360" w:firstLineChars="150"/>
        <w:rPr>
          <w:rFonts w:hint="eastAsia" w:ascii="仿宋" w:hAnsi="仿宋" w:eastAsia="仿宋" w:cs="仿宋_GB2312"/>
          <w:kern w:val="0"/>
          <w:sz w:val="24"/>
          <w:szCs w:val="24"/>
          <w:lang w:val="zh-CN"/>
        </w:rPr>
      </w:pPr>
      <w:r>
        <w:rPr>
          <w:rFonts w:hint="eastAsia" w:ascii="仿宋" w:hAnsi="仿宋" w:eastAsia="仿宋" w:cs="仿宋_GB2312"/>
          <w:sz w:val="24"/>
          <w:lang w:val="zh-CN"/>
        </w:rPr>
        <w:t>11.3.16</w:t>
      </w:r>
      <w:r>
        <w:rPr>
          <w:rFonts w:hint="eastAsia" w:ascii="仿宋" w:hAnsi="仿宋" w:eastAsia="仿宋" w:cs="仿宋_GB2312"/>
          <w:kern w:val="0"/>
          <w:sz w:val="24"/>
          <w:szCs w:val="24"/>
          <w:lang w:val="zh-CN"/>
        </w:rPr>
        <w:t>投标人认为需要的其他技术文件或说明；</w:t>
      </w:r>
    </w:p>
    <w:p>
      <w:pPr>
        <w:tabs>
          <w:tab w:val="left" w:pos="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11.3.17</w:t>
      </w:r>
      <w:r>
        <w:rPr>
          <w:rFonts w:hint="eastAsia" w:ascii="仿宋" w:hAnsi="仿宋" w:eastAsia="仿宋" w:cs="仿宋_GB2312"/>
          <w:kern w:val="0"/>
          <w:sz w:val="24"/>
          <w:lang w:val="zh-CN"/>
        </w:rPr>
        <w:t>关于对招标文件商务、合同中有关条款的拒绝声明。（如果有）</w:t>
      </w:r>
    </w:p>
    <w:p>
      <w:pPr>
        <w:spacing w:line="360" w:lineRule="auto"/>
        <w:ind w:firstLine="482" w:firstLineChars="200"/>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仿宋_GB2312"/>
          <w:b/>
          <w:sz w:val="24"/>
        </w:rPr>
        <w:t>投标文件组成漏项，内容不全或内容字迹模糊辨认不清的，投标无效；</w:t>
      </w:r>
    </w:p>
    <w:p>
      <w:pPr>
        <w:spacing w:line="360" w:lineRule="auto"/>
        <w:ind w:firstLine="482" w:firstLineChars="200"/>
        <w:rPr>
          <w:rFonts w:hint="eastAsia"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▲投标人提供虚假材料投标的，投标无效。</w:t>
      </w:r>
    </w:p>
    <w:p>
      <w:pPr>
        <w:pStyle w:val="312"/>
        <w:snapToGrid w:val="0"/>
        <w:spacing w:before="0"/>
        <w:ind w:firstLine="0" w:firstLineChars="0"/>
        <w:outlineLvl w:val="0"/>
        <w:rPr>
          <w:rFonts w:hint="eastAsia" w:ascii="仿宋" w:hAnsi="仿宋" w:eastAsia="仿宋" w:cs="仿宋_GB2312"/>
          <w:b/>
        </w:rPr>
      </w:pPr>
      <w:bookmarkStart w:id="29" w:name="_Toc91899887"/>
      <w:r>
        <w:rPr>
          <w:rFonts w:hint="eastAsia" w:ascii="仿宋" w:hAnsi="仿宋" w:eastAsia="仿宋" w:cs="仿宋_GB2312"/>
          <w:b/>
        </w:rPr>
        <w:t>12</w:t>
      </w:r>
      <w:r>
        <w:rPr>
          <w:rFonts w:hint="eastAsia" w:ascii="仿宋" w:hAnsi="仿宋" w:eastAsia="仿宋" w:cs="仿宋_GB2312"/>
          <w:b/>
          <w:kern w:val="0"/>
          <w:lang w:val="zh-CN"/>
        </w:rPr>
        <w:t xml:space="preserve">. </w:t>
      </w:r>
      <w:r>
        <w:rPr>
          <w:rFonts w:hint="eastAsia" w:ascii="仿宋" w:hAnsi="仿宋" w:eastAsia="仿宋" w:cs="仿宋_GB2312"/>
          <w:b/>
        </w:rPr>
        <w:t>投标文件的编制</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b/>
          <w:sz w:val="24"/>
        </w:rPr>
        <w:t>▲</w:t>
      </w:r>
      <w:r>
        <w:rPr>
          <w:rFonts w:hint="eastAsia" w:ascii="仿宋" w:hAnsi="仿宋" w:eastAsia="仿宋" w:cs="仿宋_GB2312"/>
          <w:b/>
          <w:sz w:val="24"/>
        </w:rPr>
        <w:t>投标文件未按规定的格式编制的，投标无效；</w:t>
      </w:r>
    </w:p>
    <w:bookmarkEnd w:id="29"/>
    <w:p>
      <w:pPr>
        <w:pStyle w:val="312"/>
        <w:snapToGrid w:val="0"/>
        <w:spacing w:before="0"/>
        <w:ind w:firstLine="480"/>
        <w:rPr>
          <w:rFonts w:hint="eastAsia" w:ascii="仿宋" w:hAnsi="仿宋" w:eastAsia="仿宋" w:cs="仿宋_GB2312"/>
        </w:rPr>
      </w:pPr>
      <w:r>
        <w:rPr>
          <w:rFonts w:hint="eastAsia" w:ascii="仿宋" w:hAnsi="仿宋" w:eastAsia="仿宋" w:cs="仿宋_GB2312"/>
        </w:rPr>
        <w:t>12.2投标人按前附表规定的份数编制投标文件，并在封面上标明“正本”和“副本”。投标文件正本和副本如有不一致之处，以正本为准。</w:t>
      </w:r>
    </w:p>
    <w:p>
      <w:pPr>
        <w:pStyle w:val="312"/>
        <w:snapToGrid w:val="0"/>
        <w:spacing w:before="0"/>
        <w:ind w:firstLine="480"/>
        <w:rPr>
          <w:rFonts w:hint="eastAsia" w:ascii="仿宋" w:hAnsi="仿宋" w:eastAsia="仿宋" w:cs="仿宋_GB2312"/>
        </w:rPr>
      </w:pPr>
      <w:r>
        <w:rPr>
          <w:rFonts w:hint="eastAsia" w:ascii="仿宋" w:hAnsi="仿宋" w:eastAsia="仿宋" w:cs="仿宋_GB2312"/>
        </w:rPr>
        <w:t>12.3投标文件正本应使用不能擦去的墨水打印或书写。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12.4全套投标文件应无涂改和行间插字，除非这些删改是根据采购机构要求进行，或者是投标人造成的必须修改的错误。所修改处应由法定代表人或其授权代表签字盖章予以确认。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hint="eastAsia"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2.5 投标文件建议采用A4幅面，按顺序统一编目编码装订成册。</w:t>
      </w:r>
      <w:r>
        <w:rPr>
          <w:rFonts w:hint="eastAsia" w:ascii="仿宋" w:hAnsi="仿宋" w:eastAsia="仿宋" w:cs="仿宋_GB2312"/>
          <w:b/>
          <w:sz w:val="24"/>
        </w:rPr>
        <w:t>提倡双面打印</w:t>
      </w:r>
      <w:r>
        <w:rPr>
          <w:rFonts w:hint="eastAsia" w:ascii="仿宋" w:hAnsi="仿宋" w:eastAsia="仿宋" w:cs="仿宋_GB2312"/>
          <w:sz w:val="24"/>
        </w:rPr>
        <w:t>。</w:t>
      </w:r>
    </w:p>
    <w:p>
      <w:pPr>
        <w:snapToGrid w:val="0"/>
        <w:spacing w:line="360" w:lineRule="auto"/>
        <w:rPr>
          <w:rFonts w:hint="eastAsia" w:ascii="仿宋" w:hAnsi="仿宋" w:eastAsia="仿宋" w:cs="仿宋_GB2312"/>
          <w:b/>
          <w:sz w:val="24"/>
        </w:rPr>
      </w:pPr>
      <w:r>
        <w:rPr>
          <w:rFonts w:hint="eastAsia" w:ascii="仿宋" w:hAnsi="仿宋" w:eastAsia="仿宋" w:cs="仿宋_GB2312"/>
          <w:b/>
          <w:sz w:val="24"/>
        </w:rPr>
        <w:t>13.投标文件的装订</w:t>
      </w:r>
    </w:p>
    <w:p>
      <w:pPr>
        <w:snapToGrid w:val="0"/>
        <w:spacing w:line="360" w:lineRule="auto"/>
        <w:ind w:firstLine="480" w:firstLineChars="200"/>
        <w:rPr>
          <w:rFonts w:hint="eastAsia" w:ascii="仿宋" w:hAnsi="仿宋" w:eastAsia="仿宋"/>
          <w:b/>
          <w:sz w:val="24"/>
        </w:rPr>
      </w:pPr>
      <w:r>
        <w:rPr>
          <w:rFonts w:hint="eastAsia" w:ascii="仿宋" w:hAnsi="仿宋" w:eastAsia="仿宋"/>
          <w:sz w:val="24"/>
        </w:rPr>
        <w:t>将投标文件的资格文件、商务技术文件、报价文件</w:t>
      </w:r>
      <w:r>
        <w:rPr>
          <w:rFonts w:hint="eastAsia" w:ascii="仿宋" w:hAnsi="仿宋" w:eastAsia="仿宋"/>
          <w:b/>
          <w:sz w:val="24"/>
        </w:rPr>
        <w:t>三</w:t>
      </w:r>
      <w:r>
        <w:rPr>
          <w:rFonts w:hint="eastAsia" w:ascii="仿宋" w:hAnsi="仿宋" w:eastAsia="仿宋"/>
          <w:sz w:val="24"/>
        </w:rPr>
        <w:t>部分分别装订成册，投标文件的装订必须采用</w:t>
      </w:r>
      <w:r>
        <w:rPr>
          <w:rFonts w:hint="eastAsia" w:ascii="仿宋" w:hAnsi="仿宋" w:eastAsia="仿宋"/>
          <w:b/>
          <w:sz w:val="24"/>
        </w:rPr>
        <w:t>胶订或线订</w:t>
      </w:r>
      <w:r>
        <w:rPr>
          <w:rFonts w:hint="eastAsia" w:ascii="仿宋" w:hAnsi="仿宋" w:eastAsia="仿宋"/>
          <w:sz w:val="24"/>
        </w:rPr>
        <w:t>形式，不得采用活页装订方式（胶订或线订以外装订形式视为活页装订）。</w:t>
      </w:r>
      <w:r>
        <w:rPr>
          <w:rFonts w:hint="eastAsia" w:ascii="仿宋" w:hAnsi="仿宋" w:eastAsia="仿宋"/>
          <w:b/>
          <w:sz w:val="24"/>
        </w:rPr>
        <w:t>对不符合装订要求的投标文件，开标时，现场工作人员将予以退还。</w:t>
      </w:r>
    </w:p>
    <w:p>
      <w:pPr>
        <w:snapToGrid w:val="0"/>
        <w:spacing w:line="360" w:lineRule="auto"/>
        <w:rPr>
          <w:rFonts w:hint="eastAsia" w:ascii="仿宋" w:hAnsi="仿宋" w:eastAsia="仿宋"/>
          <w:b/>
          <w:sz w:val="24"/>
        </w:rPr>
      </w:pPr>
      <w:r>
        <w:rPr>
          <w:rFonts w:hint="eastAsia" w:ascii="仿宋" w:hAnsi="仿宋" w:eastAsia="仿宋"/>
          <w:b/>
          <w:sz w:val="24"/>
        </w:rPr>
        <w:t>14.投标文件的签署、盖章</w:t>
      </w:r>
    </w:p>
    <w:p>
      <w:pPr>
        <w:pStyle w:val="312"/>
        <w:snapToGrid w:val="0"/>
        <w:spacing w:before="0"/>
        <w:ind w:firstLine="480"/>
        <w:rPr>
          <w:rFonts w:hint="eastAsia" w:ascii="仿宋" w:hAnsi="仿宋" w:eastAsia="仿宋" w:cs="仿宋_GB2312"/>
          <w:b/>
        </w:rPr>
      </w:pPr>
      <w:r>
        <w:rPr>
          <w:rFonts w:hint="eastAsia" w:ascii="仿宋" w:hAnsi="仿宋" w:eastAsia="仿宋" w:cs="仿宋_GB2312"/>
        </w:rPr>
        <w:t>投标文件按照招标文件第六部分格式要求进行签署、盖章。</w:t>
      </w:r>
      <w:r>
        <w:rPr>
          <w:rFonts w:hint="eastAsia" w:ascii="仿宋" w:hAnsi="仿宋" w:eastAsia="仿宋" w:cs="仿宋_GB2312"/>
          <w:b/>
        </w:rPr>
        <w:t>投标人的投标文件未按照招标文件要求签署、盖章的，其投标无效；</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15. 投标文件的密封与标志</w:t>
      </w:r>
    </w:p>
    <w:p>
      <w:pPr>
        <w:pStyle w:val="312"/>
        <w:spacing w:before="0"/>
        <w:ind w:firstLine="480"/>
        <w:rPr>
          <w:rFonts w:hint="eastAsia" w:ascii="仿宋" w:hAnsi="仿宋" w:eastAsia="仿宋"/>
          <w:b/>
        </w:rPr>
      </w:pPr>
      <w:r>
        <w:rPr>
          <w:rFonts w:hint="eastAsia" w:ascii="仿宋" w:hAnsi="仿宋" w:eastAsia="仿宋"/>
        </w:rPr>
        <w:t>15.1</w:t>
      </w:r>
      <w:r>
        <w:rPr>
          <w:rFonts w:hint="eastAsia" w:ascii="仿宋_GB2312" w:hAnsi="仿宋" w:eastAsia="仿宋_GB2312"/>
        </w:rPr>
        <w:t>投标文件须</w:t>
      </w:r>
      <w:r>
        <w:rPr>
          <w:rFonts w:hint="eastAsia" w:ascii="仿宋_GB2312" w:hAnsi="仿宋" w:eastAsia="仿宋_GB2312"/>
          <w:b/>
        </w:rPr>
        <w:t>密封包装</w:t>
      </w:r>
      <w:r>
        <w:rPr>
          <w:rFonts w:hint="eastAsia" w:ascii="仿宋_GB2312" w:hAnsi="仿宋" w:eastAsia="仿宋_GB2312"/>
        </w:rPr>
        <w:t>，密封包装指：所有投标文件应密封在一起，内含资格文件、商务技术文件、报价文件三部分。其中，报价文件须单独密封，未单独密封的，在开标时发生报价泄露的，由投标人自行承担相关责任</w:t>
      </w:r>
      <w:r>
        <w:rPr>
          <w:rFonts w:hint="eastAsia" w:ascii="仿宋_GB2312" w:hAnsi="仿宋" w:eastAsia="仿宋_GB2312"/>
          <w:b/>
        </w:rPr>
        <w:t>。没有密封包装的投标文件，将被拒收。</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15.2投标文件包装封面物应写明项目名称、投标人名称(联合体投标的，包装物封面需注明联合体投标，并注明联合体成员各方的名称和联合体协议中约定的牵头人的名称)。</w:t>
      </w:r>
    </w:p>
    <w:p>
      <w:pPr>
        <w:pStyle w:val="312"/>
        <w:spacing w:before="0"/>
        <w:ind w:firstLine="0" w:firstLineChars="0"/>
        <w:rPr>
          <w:rFonts w:hint="eastAsia" w:ascii="仿宋" w:hAnsi="仿宋" w:eastAsia="仿宋" w:cs="仿宋_GB2312"/>
          <w:b/>
        </w:rPr>
      </w:pPr>
      <w:r>
        <w:rPr>
          <w:rFonts w:hint="eastAsia" w:ascii="仿宋" w:hAnsi="仿宋" w:eastAsia="仿宋" w:cs="仿宋_GB2312"/>
          <w:b/>
        </w:rPr>
        <w:t>16. 投标文件的提交</w:t>
      </w:r>
    </w:p>
    <w:p>
      <w:pPr>
        <w:pStyle w:val="312"/>
        <w:spacing w:before="0"/>
        <w:ind w:firstLine="480"/>
        <w:rPr>
          <w:rFonts w:hint="eastAsia" w:ascii="仿宋" w:hAnsi="仿宋" w:eastAsia="仿宋" w:cs="仿宋_GB2312"/>
        </w:rPr>
      </w:pPr>
      <w:r>
        <w:rPr>
          <w:rFonts w:hint="eastAsia" w:ascii="仿宋" w:hAnsi="仿宋" w:eastAsia="仿宋" w:cs="仿宋_GB2312"/>
        </w:rPr>
        <w:t>16.1投标人应按“招标公告”规定的时间、地点将投标文件提交给采购机构，采购机构将拒绝接受逾期送达的投标文件。</w:t>
      </w:r>
    </w:p>
    <w:p>
      <w:pPr>
        <w:pStyle w:val="312"/>
        <w:spacing w:before="0"/>
        <w:ind w:firstLine="480"/>
        <w:rPr>
          <w:rFonts w:hint="eastAsia" w:ascii="仿宋" w:hAnsi="仿宋" w:eastAsia="仿宋" w:cs="仿宋_GB2312"/>
        </w:rPr>
      </w:pPr>
      <w:r>
        <w:rPr>
          <w:rFonts w:hint="eastAsia" w:ascii="仿宋" w:hAnsi="仿宋" w:eastAsia="仿宋" w:cs="仿宋_GB2312"/>
        </w:rPr>
        <w:t>16.2采购机构可以视情况延长投标文件提交的截止时间。在上述情况下，采购机构与投标人以前在投标截止期方面的全部权利、责任和义务，将适用于延长至新的投标截止期。</w:t>
      </w:r>
    </w:p>
    <w:bookmarkEnd w:id="24"/>
    <w:bookmarkEnd w:id="25"/>
    <w:p>
      <w:pPr>
        <w:pStyle w:val="43"/>
        <w:spacing w:line="360" w:lineRule="auto"/>
        <w:rPr>
          <w:rFonts w:hint="eastAsia" w:ascii="仿宋" w:hAnsi="仿宋" w:eastAsia="仿宋" w:cs="仿宋_GB2312"/>
          <w:b/>
          <w:sz w:val="24"/>
          <w:szCs w:val="24"/>
        </w:rPr>
      </w:pPr>
      <w:bookmarkStart w:id="30" w:name="第三部分"/>
      <w:bookmarkStart w:id="31" w:name="_Toc164416483"/>
      <w:r>
        <w:rPr>
          <w:rFonts w:hint="eastAsia" w:ascii="仿宋" w:hAnsi="仿宋" w:eastAsia="仿宋" w:cs="仿宋_GB2312"/>
          <w:b/>
          <w:sz w:val="24"/>
          <w:szCs w:val="24"/>
        </w:rPr>
        <w:t>17. 投标文件的补充、修改、撤回</w:t>
      </w:r>
    </w:p>
    <w:p>
      <w:pPr>
        <w:pStyle w:val="312"/>
        <w:spacing w:before="0"/>
        <w:ind w:firstLine="480"/>
        <w:rPr>
          <w:rFonts w:hint="eastAsia" w:ascii="仿宋" w:hAnsi="仿宋" w:eastAsia="仿宋" w:cs="仿宋_GB2312"/>
        </w:rPr>
      </w:pPr>
      <w:r>
        <w:rPr>
          <w:rFonts w:hint="eastAsia" w:ascii="仿宋" w:hAnsi="仿宋" w:eastAsia="仿宋" w:cs="仿宋_GB2312"/>
        </w:rPr>
        <w:t>17.1投标人递交投标文件以后，在规定的投标截止时间之前，可以书面形式对投标文件进行补充、修改，补充、修改文件须加盖单位公章，并由法定代表人或其授权代表签字或盖章，在投标截止时间以后，不能补充、修改投标文件。</w:t>
      </w:r>
    </w:p>
    <w:p>
      <w:pPr>
        <w:pStyle w:val="312"/>
        <w:spacing w:before="0"/>
        <w:ind w:firstLine="480"/>
        <w:rPr>
          <w:rFonts w:hint="eastAsia" w:ascii="仿宋" w:hAnsi="仿宋" w:eastAsia="仿宋" w:cs="仿宋_GB2312"/>
        </w:rPr>
      </w:pPr>
      <w:r>
        <w:rPr>
          <w:rFonts w:hint="eastAsia" w:ascii="仿宋" w:hAnsi="仿宋" w:eastAsia="仿宋" w:cs="仿宋_GB2312"/>
        </w:rPr>
        <w:t>17.2 投标人的补充、修改文件，应按本须知规定编制、密封、标志和递交，如果一份投标文件有几份函件时，应注明哪一份有效，否则所作修改视为无效。</w:t>
      </w:r>
    </w:p>
    <w:p>
      <w:pPr>
        <w:pStyle w:val="312"/>
        <w:spacing w:before="0"/>
        <w:ind w:firstLine="480"/>
        <w:rPr>
          <w:rFonts w:hint="eastAsia" w:ascii="仿宋" w:hAnsi="仿宋" w:eastAsia="仿宋" w:cs="仿宋_GB2312"/>
        </w:rPr>
      </w:pPr>
      <w:r>
        <w:rPr>
          <w:rFonts w:hint="eastAsia" w:ascii="仿宋" w:hAnsi="仿宋" w:eastAsia="仿宋" w:cs="仿宋_GB2312"/>
        </w:rPr>
        <w:t>17.3投标人对投标文件的修改均要加以说明，否则其修改将被视为无效。</w:t>
      </w:r>
    </w:p>
    <w:p>
      <w:pPr>
        <w:pStyle w:val="312"/>
        <w:spacing w:before="0"/>
        <w:ind w:firstLine="480"/>
        <w:rPr>
          <w:rFonts w:hint="eastAsia" w:ascii="仿宋" w:hAnsi="仿宋" w:eastAsia="仿宋" w:cs="仿宋_GB2312"/>
        </w:rPr>
      </w:pPr>
      <w:r>
        <w:rPr>
          <w:rFonts w:hint="eastAsia" w:ascii="仿宋" w:hAnsi="仿宋" w:eastAsia="仿宋" w:cs="仿宋_GB2312"/>
        </w:rPr>
        <w:t>17.4投标人在投标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312"/>
        <w:spacing w:before="0"/>
        <w:ind w:firstLine="0" w:firstLineChars="0"/>
        <w:rPr>
          <w:rFonts w:hint="eastAsia" w:ascii="仿宋" w:hAnsi="仿宋" w:eastAsia="仿宋" w:cs="仿宋_GB2312"/>
          <w:b/>
        </w:rPr>
      </w:pPr>
      <w:r>
        <w:rPr>
          <w:rFonts w:hint="eastAsia" w:ascii="仿宋" w:hAnsi="仿宋" w:eastAsia="仿宋" w:cs="仿宋_GB2312"/>
          <w:b/>
        </w:rPr>
        <w:t>18.投标文件的无效处理</w:t>
      </w:r>
    </w:p>
    <w:p>
      <w:pPr>
        <w:pStyle w:val="33"/>
        <w:spacing w:line="360" w:lineRule="auto"/>
        <w:ind w:firstLine="360" w:firstLineChars="150"/>
        <w:rPr>
          <w:rFonts w:hint="eastAsia"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第13项规定</w:t>
      </w:r>
      <w:r>
        <w:rPr>
          <w:rFonts w:hint="eastAsia" w:ascii="仿宋" w:hAnsi="仿宋" w:eastAsia="仿宋" w:cs="仿宋_GB2312"/>
          <w:szCs w:val="21"/>
        </w:rPr>
        <w:t>的情形之一的，投标无效：</w:t>
      </w:r>
    </w:p>
    <w:p>
      <w:pPr>
        <w:pStyle w:val="312"/>
        <w:spacing w:before="0"/>
        <w:ind w:firstLine="0" w:firstLineChars="0"/>
        <w:rPr>
          <w:rFonts w:hint="eastAsia" w:ascii="仿宋" w:hAnsi="仿宋" w:eastAsia="仿宋" w:cs="仿宋_GB2312"/>
          <w:b/>
        </w:rPr>
      </w:pPr>
      <w:r>
        <w:rPr>
          <w:rFonts w:hint="eastAsia" w:ascii="仿宋" w:hAnsi="仿宋" w:eastAsia="仿宋" w:cs="仿宋_GB2312"/>
          <w:b/>
        </w:rPr>
        <w:t>19.投标有效期</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0"/>
        </w:rPr>
        <w:t>19.1投标有效期为从提交投标文件的截止之日起90天。▲投标人的投标文件中承</w:t>
      </w:r>
      <w:r>
        <w:rPr>
          <w:rFonts w:hint="eastAsia" w:ascii="仿宋" w:hAnsi="仿宋" w:eastAsia="仿宋" w:cs="仿宋_GB2312"/>
          <w:b/>
          <w:sz w:val="24"/>
          <w:szCs w:val="21"/>
        </w:rPr>
        <w:t>诺的投标有效期少于招标文件中载明的投标有效期的，投标无效。</w:t>
      </w:r>
    </w:p>
    <w:p>
      <w:pPr>
        <w:pStyle w:val="312"/>
        <w:spacing w:before="0"/>
        <w:ind w:firstLine="480"/>
        <w:rPr>
          <w:rFonts w:hint="eastAsia" w:ascii="仿宋" w:hAnsi="仿宋" w:eastAsia="仿宋" w:cs="仿宋_GB2312"/>
        </w:rPr>
      </w:pPr>
      <w:r>
        <w:rPr>
          <w:rFonts w:hint="eastAsia" w:ascii="仿宋" w:hAnsi="仿宋" w:eastAsia="仿宋" w:cs="仿宋_GB2312"/>
        </w:rPr>
        <w:t>19.2投标文件合格投递后，自投标截止日期起，在投标有效期内有效。</w:t>
      </w:r>
    </w:p>
    <w:p>
      <w:pPr>
        <w:pStyle w:val="312"/>
        <w:spacing w:before="0"/>
        <w:ind w:firstLine="480"/>
        <w:rPr>
          <w:rFonts w:hint="eastAsia" w:ascii="仿宋" w:hAnsi="仿宋" w:eastAsia="仿宋" w:cs="仿宋_GB2312"/>
        </w:rPr>
      </w:pPr>
      <w:r>
        <w:rPr>
          <w:rFonts w:hint="eastAsia" w:ascii="仿宋" w:hAnsi="仿宋" w:eastAsia="仿宋" w:cs="仿宋_GB2312"/>
        </w:rPr>
        <w:t>19.3在原定投标有效期满之前，如果出现特殊情况，采购机构可以以书面形式通知投标人延长投标有效期。</w:t>
      </w:r>
    </w:p>
    <w:p>
      <w:pPr>
        <w:pStyle w:val="312"/>
        <w:spacing w:before="0"/>
        <w:ind w:firstLine="643"/>
        <w:rPr>
          <w:rFonts w:hint="eastAsia" w:ascii="仿宋" w:hAnsi="仿宋" w:eastAsia="仿宋" w:cs="仿宋_GB2312"/>
          <w:b/>
          <w:sz w:val="32"/>
        </w:rPr>
      </w:pPr>
      <w:bookmarkStart w:id="32" w:name="_Toc91899897"/>
    </w:p>
    <w:p>
      <w:pPr>
        <w:pStyle w:val="312"/>
        <w:spacing w:before="0"/>
        <w:ind w:firstLine="1928" w:firstLineChars="600"/>
        <w:rPr>
          <w:rFonts w:hint="eastAsia" w:ascii="仿宋" w:hAnsi="仿宋" w:eastAsia="仿宋" w:cs="仿宋_GB2312"/>
          <w:b/>
          <w:sz w:val="32"/>
        </w:rPr>
      </w:pPr>
      <w:r>
        <w:rPr>
          <w:rFonts w:hint="eastAsia" w:ascii="仿宋" w:hAnsi="仿宋" w:eastAsia="仿宋" w:cs="仿宋_GB2312"/>
          <w:b/>
          <w:sz w:val="32"/>
        </w:rPr>
        <w:t>四、开标</w:t>
      </w:r>
      <w:bookmarkEnd w:id="32"/>
      <w:r>
        <w:rPr>
          <w:rFonts w:hint="eastAsia" w:ascii="仿宋" w:hAnsi="仿宋" w:eastAsia="仿宋" w:cs="仿宋_GB2312"/>
          <w:b/>
          <w:sz w:val="32"/>
        </w:rPr>
        <w:t>、资格审查与信用信息查询</w:t>
      </w:r>
    </w:p>
    <w:p>
      <w:pPr>
        <w:pStyle w:val="723"/>
        <w:spacing w:before="0" w:line="360" w:lineRule="auto"/>
        <w:ind w:left="0" w:firstLine="241" w:firstLineChars="100"/>
        <w:rPr>
          <w:rFonts w:hint="eastAsia" w:ascii="仿宋_GB2312" w:eastAsia="仿宋_GB2312"/>
          <w:sz w:val="24"/>
        </w:rPr>
      </w:pPr>
      <w:r>
        <w:rPr>
          <w:rFonts w:hint="eastAsia" w:ascii="仿宋" w:hAnsi="仿宋" w:eastAsia="仿宋" w:cs="仿宋_GB2312"/>
          <w:b/>
          <w:sz w:val="24"/>
          <w:szCs w:val="24"/>
        </w:rPr>
        <w:t>20.开标</w:t>
      </w:r>
      <w:r>
        <w:rPr>
          <w:rFonts w:hint="eastAsia" w:ascii="仿宋_GB2312" w:eastAsia="仿宋_GB2312"/>
          <w:sz w:val="24"/>
        </w:rPr>
        <w:t xml:space="preserve"> </w:t>
      </w:r>
    </w:p>
    <w:p>
      <w:pPr>
        <w:widowControl/>
        <w:spacing w:before="100" w:beforeAutospacing="1" w:after="240" w:line="360" w:lineRule="auto"/>
        <w:ind w:firstLine="480" w:firstLineChars="200"/>
        <w:jc w:val="left"/>
        <w:rPr>
          <w:rFonts w:ascii="仿宋" w:hAnsi="仿宋" w:eastAsia="仿宋" w:cs="仿宋_GB2312"/>
          <w:sz w:val="24"/>
          <w:szCs w:val="20"/>
        </w:rPr>
      </w:pPr>
      <w:r>
        <w:rPr>
          <w:rFonts w:hint="eastAsia" w:ascii="仿宋" w:hAnsi="仿宋" w:eastAsia="仿宋" w:cs="仿宋_GB2312"/>
          <w:sz w:val="24"/>
          <w:szCs w:val="20"/>
        </w:rPr>
        <w:t>20.1</w:t>
      </w:r>
      <w:r>
        <w:rPr>
          <w:rFonts w:ascii="仿宋" w:hAnsi="仿宋" w:eastAsia="仿宋" w:cs="仿宋_GB2312"/>
          <w:sz w:val="24"/>
          <w:szCs w:val="20"/>
        </w:rPr>
        <w:t xml:space="preserve"> 开标在招标文件确定的时间</w:t>
      </w:r>
      <w:r>
        <w:rPr>
          <w:rFonts w:hint="eastAsia" w:ascii="仿宋" w:hAnsi="仿宋" w:eastAsia="仿宋" w:cs="仿宋_GB2312"/>
          <w:sz w:val="24"/>
          <w:szCs w:val="20"/>
        </w:rPr>
        <w:t>、</w:t>
      </w:r>
      <w:r>
        <w:rPr>
          <w:rFonts w:ascii="仿宋" w:hAnsi="仿宋" w:eastAsia="仿宋" w:cs="仿宋_GB2312"/>
          <w:sz w:val="24"/>
          <w:szCs w:val="20"/>
        </w:rPr>
        <w:t>地点</w:t>
      </w:r>
      <w:r>
        <w:rPr>
          <w:rFonts w:hint="eastAsia" w:ascii="仿宋" w:hAnsi="仿宋" w:eastAsia="仿宋" w:cs="仿宋_GB2312"/>
          <w:sz w:val="24"/>
          <w:szCs w:val="20"/>
        </w:rPr>
        <w:t>进行</w:t>
      </w:r>
      <w:r>
        <w:rPr>
          <w:rFonts w:ascii="仿宋" w:hAnsi="仿宋" w:eastAsia="仿宋" w:cs="仿宋_GB2312"/>
          <w:sz w:val="24"/>
          <w:szCs w:val="20"/>
        </w:rPr>
        <w:t>。</w:t>
      </w:r>
    </w:p>
    <w:p>
      <w:pPr>
        <w:widowControl/>
        <w:spacing w:before="100" w:beforeAutospacing="1" w:after="240" w:line="360" w:lineRule="auto"/>
        <w:jc w:val="left"/>
        <w:rPr>
          <w:rFonts w:ascii="仿宋" w:hAnsi="仿宋" w:eastAsia="仿宋" w:cs="仿宋_GB2312"/>
          <w:sz w:val="24"/>
          <w:szCs w:val="20"/>
        </w:rPr>
      </w:pPr>
      <w:r>
        <w:rPr>
          <w:rFonts w:ascii="仿宋" w:hAnsi="仿宋" w:eastAsia="仿宋" w:cs="仿宋_GB2312"/>
          <w:sz w:val="24"/>
          <w:szCs w:val="20"/>
        </w:rPr>
        <w:t>　　</w:t>
      </w:r>
      <w:r>
        <w:rPr>
          <w:rFonts w:hint="eastAsia" w:ascii="仿宋" w:hAnsi="仿宋" w:eastAsia="仿宋" w:cs="仿宋_GB2312"/>
          <w:sz w:val="24"/>
          <w:szCs w:val="20"/>
        </w:rPr>
        <w:t>20.2</w:t>
      </w:r>
      <w:r>
        <w:rPr>
          <w:rFonts w:ascii="仿宋" w:hAnsi="仿宋" w:eastAsia="仿宋" w:cs="仿宋_GB2312"/>
          <w:sz w:val="24"/>
          <w:szCs w:val="20"/>
        </w:rPr>
        <w:t xml:space="preserve"> 开标由采购人或者采购代理机构主持，邀请投标人参加。评标委员会成员不得参加开标活动。</w:t>
      </w:r>
    </w:p>
    <w:p>
      <w:pPr>
        <w:widowControl/>
        <w:spacing w:before="100" w:beforeAutospacing="1" w:after="240" w:line="360" w:lineRule="auto"/>
        <w:jc w:val="left"/>
        <w:rPr>
          <w:rFonts w:ascii="仿宋" w:hAnsi="仿宋" w:eastAsia="仿宋" w:cs="仿宋_GB2312"/>
          <w:sz w:val="24"/>
          <w:szCs w:val="20"/>
        </w:rPr>
      </w:pPr>
      <w:r>
        <w:rPr>
          <w:rFonts w:ascii="仿宋" w:hAnsi="仿宋" w:eastAsia="仿宋" w:cs="仿宋_GB2312"/>
          <w:sz w:val="24"/>
          <w:szCs w:val="20"/>
        </w:rPr>
        <w:t>　　</w:t>
      </w:r>
      <w:r>
        <w:rPr>
          <w:rFonts w:hint="eastAsia" w:ascii="仿宋" w:hAnsi="仿宋" w:eastAsia="仿宋" w:cs="仿宋_GB2312"/>
          <w:sz w:val="24"/>
          <w:szCs w:val="20"/>
        </w:rPr>
        <w:t xml:space="preserve">20.3 </w:t>
      </w:r>
      <w:r>
        <w:rPr>
          <w:rFonts w:ascii="仿宋" w:hAnsi="仿宋" w:eastAsia="仿宋" w:cs="仿宋_GB2312"/>
          <w:sz w:val="24"/>
          <w:szCs w:val="20"/>
        </w:rPr>
        <w:t xml:space="preserve"> 开标时，由投标人或者其推选的代表检查投标文件的密封情况；经确认无误后，由采购人或者采购代理机构工作人员当众拆封，宣布投标人名称、投标价格</w:t>
      </w:r>
      <w:r>
        <w:rPr>
          <w:rFonts w:hint="eastAsia" w:ascii="仿宋" w:hAnsi="仿宋" w:eastAsia="仿宋" w:cs="仿宋_GB2312"/>
          <w:sz w:val="24"/>
          <w:szCs w:val="20"/>
        </w:rPr>
        <w:t>等</w:t>
      </w:r>
      <w:r>
        <w:rPr>
          <w:rFonts w:ascii="仿宋" w:hAnsi="仿宋" w:eastAsia="仿宋" w:cs="仿宋_GB2312"/>
          <w:sz w:val="24"/>
          <w:szCs w:val="20"/>
        </w:rPr>
        <w:t>内容。</w:t>
      </w:r>
    </w:p>
    <w:p>
      <w:pPr>
        <w:widowControl/>
        <w:spacing w:before="100" w:beforeAutospacing="1" w:after="240" w:line="360" w:lineRule="auto"/>
        <w:jc w:val="left"/>
        <w:rPr>
          <w:rFonts w:ascii="仿宋" w:hAnsi="仿宋" w:eastAsia="仿宋" w:cs="仿宋_GB2312"/>
          <w:b/>
          <w:sz w:val="24"/>
          <w:szCs w:val="20"/>
        </w:rPr>
      </w:pPr>
      <w:r>
        <w:rPr>
          <w:rFonts w:ascii="仿宋" w:hAnsi="仿宋" w:eastAsia="仿宋" w:cs="仿宋_GB2312"/>
          <w:sz w:val="24"/>
          <w:szCs w:val="20"/>
        </w:rPr>
        <w:t>　</w:t>
      </w:r>
      <w:r>
        <w:rPr>
          <w:rFonts w:ascii="仿宋" w:hAnsi="仿宋" w:eastAsia="仿宋" w:cs="仿宋_GB2312"/>
          <w:b/>
          <w:sz w:val="24"/>
          <w:szCs w:val="20"/>
        </w:rPr>
        <w:t>　投标人不足3家的，不得开标。</w:t>
      </w:r>
    </w:p>
    <w:p>
      <w:pPr>
        <w:widowControl/>
        <w:spacing w:before="100" w:beforeAutospacing="1" w:after="240" w:line="360" w:lineRule="auto"/>
        <w:jc w:val="left"/>
        <w:rPr>
          <w:rFonts w:ascii="仿宋" w:hAnsi="仿宋" w:eastAsia="仿宋" w:cs="仿宋_GB2312"/>
          <w:sz w:val="24"/>
          <w:szCs w:val="20"/>
        </w:rPr>
      </w:pPr>
      <w:r>
        <w:rPr>
          <w:rFonts w:ascii="仿宋" w:hAnsi="仿宋" w:eastAsia="仿宋" w:cs="仿宋_GB2312"/>
          <w:sz w:val="24"/>
          <w:szCs w:val="20"/>
        </w:rPr>
        <w:t>　　</w:t>
      </w:r>
      <w:r>
        <w:rPr>
          <w:rFonts w:hint="eastAsia" w:ascii="仿宋" w:hAnsi="仿宋" w:eastAsia="仿宋" w:cs="仿宋_GB2312"/>
          <w:sz w:val="24"/>
          <w:szCs w:val="20"/>
        </w:rPr>
        <w:t>20.4</w:t>
      </w:r>
      <w:r>
        <w:rPr>
          <w:rFonts w:ascii="仿宋" w:hAnsi="仿宋" w:eastAsia="仿宋" w:cs="仿宋_GB2312"/>
          <w:sz w:val="24"/>
          <w:szCs w:val="20"/>
        </w:rPr>
        <w:t xml:space="preserve"> 开标过程应当由采购人或者采购代理机构负责记录，由参加开标的各投标人代表和相关工作人员签字确认后随采购文件一并存档。</w:t>
      </w:r>
    </w:p>
    <w:p>
      <w:pPr>
        <w:widowControl/>
        <w:spacing w:before="100" w:beforeAutospacing="1" w:after="240" w:line="360" w:lineRule="auto"/>
        <w:jc w:val="left"/>
        <w:rPr>
          <w:rFonts w:ascii="仿宋" w:hAnsi="仿宋" w:eastAsia="仿宋" w:cs="仿宋_GB2312"/>
          <w:sz w:val="24"/>
          <w:szCs w:val="20"/>
        </w:rPr>
      </w:pPr>
      <w:r>
        <w:rPr>
          <w:rFonts w:ascii="仿宋" w:hAnsi="仿宋" w:eastAsia="仿宋" w:cs="仿宋_GB2312"/>
          <w:sz w:val="24"/>
          <w:szCs w:val="20"/>
        </w:rPr>
        <w:t>　</w:t>
      </w:r>
      <w:r>
        <w:rPr>
          <w:rFonts w:hint="eastAsia" w:ascii="仿宋" w:hAnsi="仿宋" w:eastAsia="仿宋" w:cs="仿宋_GB2312"/>
          <w:sz w:val="24"/>
          <w:szCs w:val="20"/>
        </w:rPr>
        <w:t>20.5</w:t>
      </w:r>
      <w:r>
        <w:rPr>
          <w:rFonts w:ascii="仿宋" w:hAnsi="仿宋" w:eastAsia="仿宋" w:cs="仿宋_GB2312"/>
          <w:sz w:val="24"/>
          <w:szCs w:val="20"/>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widowControl/>
        <w:spacing w:before="100" w:beforeAutospacing="1" w:after="240" w:line="360" w:lineRule="auto"/>
        <w:jc w:val="left"/>
        <w:rPr>
          <w:rFonts w:ascii="仿宋" w:hAnsi="仿宋" w:eastAsia="仿宋" w:cs="仿宋_GB2312"/>
          <w:sz w:val="24"/>
          <w:szCs w:val="20"/>
        </w:rPr>
      </w:pPr>
      <w:r>
        <w:rPr>
          <w:rFonts w:ascii="仿宋" w:hAnsi="仿宋" w:eastAsia="仿宋" w:cs="仿宋_GB2312"/>
          <w:sz w:val="24"/>
          <w:szCs w:val="20"/>
        </w:rPr>
        <w:t>　　投标人未参加开标的，视同认可开标结果。</w:t>
      </w:r>
    </w:p>
    <w:p>
      <w:pPr>
        <w:widowControl/>
        <w:spacing w:before="100" w:beforeAutospacing="1" w:after="240" w:line="360" w:lineRule="auto"/>
        <w:jc w:val="left"/>
        <w:rPr>
          <w:rFonts w:hint="eastAsia" w:ascii="仿宋" w:hAnsi="仿宋" w:eastAsia="仿宋" w:cs="仿宋_GB2312"/>
          <w:b/>
          <w:sz w:val="24"/>
          <w:szCs w:val="20"/>
        </w:rPr>
      </w:pPr>
      <w:r>
        <w:rPr>
          <w:rFonts w:ascii="仿宋" w:hAnsi="仿宋" w:eastAsia="仿宋" w:cs="仿宋_GB2312"/>
          <w:b/>
          <w:sz w:val="24"/>
          <w:szCs w:val="20"/>
        </w:rPr>
        <w:t>　</w:t>
      </w:r>
      <w:r>
        <w:rPr>
          <w:rFonts w:hint="eastAsia" w:ascii="仿宋" w:hAnsi="仿宋" w:eastAsia="仿宋" w:cs="仿宋_GB2312"/>
          <w:b/>
          <w:sz w:val="24"/>
          <w:szCs w:val="20"/>
        </w:rPr>
        <w:t>21、资格审查</w:t>
      </w:r>
    </w:p>
    <w:p>
      <w:pPr>
        <w:pStyle w:val="312"/>
        <w:spacing w:before="0"/>
        <w:ind w:firstLine="480"/>
        <w:rPr>
          <w:rFonts w:hint="eastAsia" w:ascii="仿宋" w:hAnsi="仿宋" w:eastAsia="仿宋" w:cs="Arial"/>
          <w:kern w:val="0"/>
        </w:rPr>
      </w:pPr>
      <w:r>
        <w:rPr>
          <w:rFonts w:hint="eastAsia" w:ascii="仿宋" w:hAnsi="仿宋" w:eastAsia="仿宋" w:cs="Arial"/>
          <w:kern w:val="0"/>
        </w:rPr>
        <w:t>21.1开标后，采购人或采购代理机构将依法对投标人的资格进行审查。</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Arial"/>
          <w:kern w:val="0"/>
          <w:sz w:val="24"/>
        </w:rPr>
        <w:t>21.2</w:t>
      </w:r>
      <w:r>
        <w:rPr>
          <w:rFonts w:hint="eastAsia" w:ascii="仿宋" w:hAnsi="仿宋" w:eastAsia="仿宋" w:cs="仿宋_GB2312"/>
          <w:sz w:val="24"/>
        </w:rPr>
        <w:t>采购人或采购代理机构依据法律法规和招标文件的规定，对投标人的基本资格条件、特定资格条件进行审查。</w:t>
      </w:r>
    </w:p>
    <w:p>
      <w:pPr>
        <w:pStyle w:val="312"/>
        <w:spacing w:before="0"/>
        <w:ind w:firstLine="480"/>
        <w:rPr>
          <w:rFonts w:hint="eastAsia" w:ascii="仿宋" w:hAnsi="仿宋" w:eastAsia="仿宋" w:cs="仿宋_GB2312"/>
        </w:rPr>
      </w:pPr>
      <w:r>
        <w:rPr>
          <w:rFonts w:hint="eastAsia" w:ascii="仿宋" w:hAnsi="仿宋" w:eastAsia="仿宋" w:cs="Arial"/>
          <w:kern w:val="0"/>
        </w:rPr>
        <w:t>21.3投标人未按照招标文件要求提供与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rPr>
        <w:t>有效资格证明材料的，视为</w:t>
      </w:r>
      <w:r>
        <w:rPr>
          <w:rFonts w:hint="eastAsia" w:ascii="仿宋" w:hAnsi="仿宋" w:eastAsia="仿宋" w:cs="仿宋_GB2312"/>
        </w:rPr>
        <w:t>投标人不具备招标文件中规定的资格要求，其投标无效。</w:t>
      </w:r>
    </w:p>
    <w:p>
      <w:pPr>
        <w:pStyle w:val="312"/>
        <w:spacing w:before="0"/>
        <w:ind w:firstLine="480"/>
        <w:rPr>
          <w:rFonts w:hint="eastAsia" w:ascii="仿宋" w:hAnsi="仿宋" w:eastAsia="仿宋" w:cs="仿宋_GB2312"/>
        </w:rPr>
      </w:pPr>
      <w:r>
        <w:rPr>
          <w:rFonts w:hint="eastAsia" w:ascii="仿宋" w:hAnsi="仿宋" w:eastAsia="仿宋" w:cs="仿宋_GB2312"/>
        </w:rPr>
        <w:t>21.4对未通过资格审查的投标人，采购人或采购代理机构告知其未通过的原因。</w:t>
      </w:r>
    </w:p>
    <w:p>
      <w:pPr>
        <w:pStyle w:val="312"/>
        <w:spacing w:before="0"/>
        <w:ind w:firstLine="480"/>
        <w:rPr>
          <w:rFonts w:hint="eastAsia" w:ascii="仿宋" w:hAnsi="仿宋" w:eastAsia="仿宋" w:cs="仿宋_GB2312"/>
        </w:rPr>
      </w:pPr>
      <w:r>
        <w:rPr>
          <w:rFonts w:hint="eastAsia" w:ascii="仿宋" w:hAnsi="仿宋" w:eastAsia="仿宋" w:cs="仿宋_GB2312"/>
        </w:rPr>
        <w:t>21.5合格投标人不足3家的，不再评标。</w:t>
      </w:r>
    </w:p>
    <w:p>
      <w:pPr>
        <w:pStyle w:val="312"/>
        <w:spacing w:before="0"/>
        <w:ind w:firstLine="0" w:firstLineChars="0"/>
        <w:rPr>
          <w:rFonts w:hint="eastAsia" w:ascii="仿宋" w:hAnsi="仿宋" w:eastAsia="仿宋" w:cs="仿宋_GB2312"/>
          <w:b/>
        </w:rPr>
      </w:pPr>
      <w:r>
        <w:rPr>
          <w:rFonts w:hint="eastAsia" w:ascii="仿宋" w:hAnsi="仿宋" w:eastAsia="仿宋" w:cs="仿宋_GB2312"/>
          <w:b/>
        </w:rPr>
        <w:t>22、信用信息查询</w:t>
      </w:r>
    </w:p>
    <w:p>
      <w:pPr>
        <w:pStyle w:val="312"/>
        <w:spacing w:before="0"/>
        <w:ind w:firstLine="495" w:firstLineChars="0"/>
        <w:rPr>
          <w:rFonts w:hint="eastAsia" w:ascii="仿宋" w:hAnsi="仿宋" w:eastAsia="仿宋" w:cs="Arial"/>
          <w:kern w:val="0"/>
        </w:rPr>
      </w:pPr>
      <w:r>
        <w:rPr>
          <w:rFonts w:hint="eastAsia" w:ascii="仿宋" w:hAnsi="仿宋" w:eastAsia="仿宋" w:cs="Arial"/>
          <w:kern w:val="0"/>
        </w:rPr>
        <w:t>22.1信用信息查询渠道及截止时间：采购机构将通过“信用中国”网站(www.creditchina.gov.cn)、中国政府采购网(www.ccgp.gov.cn)渠道查询投标人投标截止时间前的信用记录。</w:t>
      </w:r>
    </w:p>
    <w:p>
      <w:pPr>
        <w:pStyle w:val="312"/>
        <w:spacing w:before="0"/>
        <w:ind w:firstLine="495" w:firstLineChars="0"/>
        <w:rPr>
          <w:rFonts w:hint="eastAsia" w:ascii="仿宋" w:hAnsi="仿宋" w:eastAsia="仿宋" w:cs="Arial"/>
          <w:kern w:val="0"/>
        </w:rPr>
      </w:pPr>
      <w:r>
        <w:rPr>
          <w:rFonts w:hint="eastAsia" w:ascii="仿宋" w:hAnsi="仿宋" w:eastAsia="仿宋" w:cs="Arial"/>
          <w:kern w:val="0"/>
        </w:rPr>
        <w:t>22.2信用信息查询记录和证据留存的具体方式：现场查询的投标人的信用记录、查询结果经确认后将与采购文件一起存档。</w:t>
      </w:r>
    </w:p>
    <w:p>
      <w:pPr>
        <w:pStyle w:val="312"/>
        <w:spacing w:before="0"/>
        <w:ind w:firstLine="495" w:firstLineChars="0"/>
        <w:rPr>
          <w:rFonts w:hint="eastAsia" w:ascii="仿宋" w:hAnsi="仿宋" w:eastAsia="仿宋" w:cs="Arial"/>
          <w:kern w:val="0"/>
        </w:rPr>
      </w:pPr>
      <w:r>
        <w:rPr>
          <w:rFonts w:hint="eastAsia" w:ascii="仿宋" w:hAnsi="仿宋" w:eastAsia="仿宋" w:cs="Arial"/>
          <w:kern w:val="0"/>
        </w:rPr>
        <w:t>22.3信用信息的使用规则：经查询列入失信被执行人名单、重大税收违法案件当事人名单、政府采购严重违法失信行为记录名单的投标人将被拒绝参与政府采购活动。</w:t>
      </w:r>
    </w:p>
    <w:p>
      <w:pPr>
        <w:pStyle w:val="312"/>
        <w:spacing w:before="0"/>
        <w:ind w:firstLine="480"/>
        <w:rPr>
          <w:rFonts w:hint="eastAsia" w:ascii="仿宋" w:hAnsi="仿宋" w:eastAsia="仿宋" w:cs="仿宋_GB2312"/>
        </w:rPr>
      </w:pPr>
      <w:r>
        <w:rPr>
          <w:rFonts w:hint="eastAsia" w:ascii="仿宋" w:hAnsi="仿宋" w:eastAsia="仿宋" w:cs="Arial"/>
          <w:kern w:val="0"/>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312"/>
        <w:spacing w:before="0"/>
        <w:ind w:firstLine="0" w:firstLineChars="0"/>
        <w:rPr>
          <w:rFonts w:hint="eastAsia" w:ascii="仿宋" w:hAnsi="仿宋" w:eastAsia="仿宋" w:cs="Arial"/>
          <w:kern w:val="0"/>
        </w:rPr>
      </w:pPr>
    </w:p>
    <w:p>
      <w:pPr>
        <w:snapToGrid w:val="0"/>
        <w:spacing w:line="360" w:lineRule="auto"/>
        <w:jc w:val="center"/>
        <w:outlineLvl w:val="0"/>
        <w:rPr>
          <w:rFonts w:hint="eastAsia" w:ascii="仿宋" w:hAnsi="仿宋" w:eastAsia="仿宋" w:cs="仿宋_GB2312"/>
          <w:b/>
          <w:sz w:val="36"/>
          <w:szCs w:val="36"/>
        </w:rPr>
      </w:pPr>
      <w:bookmarkStart w:id="33" w:name="_Hlt75236101"/>
      <w:bookmarkEnd w:id="33"/>
      <w:bookmarkStart w:id="34" w:name="_Toc91899902"/>
      <w:r>
        <w:rPr>
          <w:rFonts w:hint="eastAsia" w:ascii="仿宋" w:hAnsi="仿宋" w:eastAsia="仿宋" w:cs="仿宋_GB2312"/>
          <w:b/>
          <w:sz w:val="36"/>
          <w:szCs w:val="36"/>
        </w:rPr>
        <w:t>五、评标</w:t>
      </w:r>
      <w:bookmarkEnd w:id="34"/>
    </w:p>
    <w:p>
      <w:pPr>
        <w:spacing w:line="360" w:lineRule="auto"/>
        <w:rPr>
          <w:rFonts w:hint="eastAsia" w:ascii="仿宋" w:hAnsi="仿宋" w:eastAsia="仿宋" w:cs="仿宋_GB2312"/>
          <w:b/>
          <w:sz w:val="24"/>
        </w:rPr>
      </w:pPr>
      <w:bookmarkStart w:id="35" w:name="_Toc91899903"/>
      <w:r>
        <w:rPr>
          <w:rFonts w:hint="eastAsia" w:ascii="仿宋" w:hAnsi="仿宋" w:eastAsia="仿宋" w:cs="仿宋_GB2312"/>
          <w:b/>
          <w:sz w:val="24"/>
        </w:rPr>
        <w:t>23.</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spacing w:line="360" w:lineRule="auto"/>
        <w:rPr>
          <w:rFonts w:hint="eastAsia" w:ascii="仿宋" w:hAnsi="仿宋" w:eastAsia="仿宋" w:cs="仿宋_GB2312"/>
          <w:b/>
          <w:sz w:val="24"/>
        </w:rPr>
      </w:pPr>
    </w:p>
    <w:p>
      <w:pPr>
        <w:snapToGrid w:val="0"/>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六、定 标</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24. 确定中标供应商</w:t>
      </w:r>
    </w:p>
    <w:p>
      <w:pPr>
        <w:pStyle w:val="312"/>
        <w:snapToGrid w:val="0"/>
        <w:spacing w:before="0"/>
        <w:ind w:firstLine="480"/>
        <w:rPr>
          <w:rFonts w:hint="eastAsia" w:ascii="仿宋" w:hAnsi="仿宋" w:eastAsia="仿宋" w:cs="仿宋_GB2312"/>
          <w:b/>
        </w:rPr>
      </w:pPr>
      <w:r>
        <w:rPr>
          <w:rFonts w:hint="eastAsia" w:ascii="仿宋" w:hAnsi="仿宋" w:eastAsia="仿宋" w:cs="仿宋_GB2312"/>
        </w:rPr>
        <w:t>采购代理机构将自评审结束之日起2个工作日内将评审报告送交采购人。采购人将自收到评审报告之日起5个工作日内在评审报告推荐的中标候选人中按顺序确定中标交供应商。</w:t>
      </w:r>
    </w:p>
    <w:p>
      <w:pPr>
        <w:pStyle w:val="312"/>
        <w:snapToGrid w:val="0"/>
        <w:spacing w:before="0"/>
        <w:ind w:firstLine="0" w:firstLineChars="0"/>
        <w:rPr>
          <w:rFonts w:hint="eastAsia" w:ascii="仿宋" w:hAnsi="仿宋" w:eastAsia="仿宋" w:cs="仿宋_GB2312"/>
          <w:b/>
        </w:rPr>
      </w:pPr>
      <w:r>
        <w:rPr>
          <w:rFonts w:hint="eastAsia" w:ascii="仿宋" w:hAnsi="仿宋" w:eastAsia="仿宋" w:cs="仿宋_GB2312"/>
          <w:b/>
        </w:rPr>
        <w:t>25. 中标通知与中标结果公告</w:t>
      </w:r>
    </w:p>
    <w:p>
      <w:pPr>
        <w:widowControl/>
        <w:shd w:val="clear" w:color="auto" w:fill="FFFFFF"/>
        <w:spacing w:line="360" w:lineRule="auto"/>
        <w:ind w:firstLine="480"/>
        <w:jc w:val="left"/>
        <w:rPr>
          <w:rFonts w:hint="eastAsia" w:ascii="仿宋" w:hAnsi="仿宋" w:eastAsia="仿宋" w:cs="仿宋_GB2312"/>
          <w:sz w:val="24"/>
        </w:rPr>
      </w:pPr>
      <w:r>
        <w:rPr>
          <w:rFonts w:hint="eastAsia" w:ascii="仿宋" w:hAnsi="仿宋" w:eastAsia="仿宋" w:cs="仿宋_GB2312"/>
          <w:sz w:val="24"/>
        </w:rPr>
        <w:t>25.1采购代理机构将在自中标人确定之日起2个工作日内，发出中标通知书，并在发布招标公告的网站上公告中标结果。</w:t>
      </w:r>
    </w:p>
    <w:p>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25.2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25.3</w:t>
      </w:r>
      <w:r>
        <w:rPr>
          <w:rFonts w:ascii="仿宋" w:hAnsi="仿宋" w:eastAsia="仿宋" w:cs="仿宋_GB2312"/>
          <w:sz w:val="24"/>
        </w:rPr>
        <w:t>公告期限为1个工作日。</w:t>
      </w:r>
    </w:p>
    <w:p>
      <w:pPr>
        <w:tabs>
          <w:tab w:val="left" w:pos="0"/>
        </w:tabs>
        <w:spacing w:line="360" w:lineRule="auto"/>
        <w:ind w:firstLine="480"/>
        <w:rPr>
          <w:rFonts w:hint="eastAsia"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七、合同授予</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 xml:space="preserve">26. </w:t>
      </w:r>
      <w:r>
        <w:rPr>
          <w:rFonts w:hint="eastAsia" w:ascii="仿宋" w:hAnsi="仿宋" w:eastAsia="仿宋" w:cs="仿宋_GB2312"/>
        </w:rPr>
        <w:t>合同主要条款详见第五部分拟签订的合同文本。</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27. 合同的签订</w:t>
      </w:r>
    </w:p>
    <w:p>
      <w:pPr>
        <w:widowControl/>
        <w:shd w:val="clear" w:color="auto" w:fill="FFFFFF"/>
        <w:spacing w:line="360" w:lineRule="auto"/>
        <w:ind w:firstLine="480"/>
        <w:jc w:val="left"/>
        <w:rPr>
          <w:rFonts w:hint="eastAsia" w:ascii="仿宋" w:hAnsi="仿宋" w:eastAsia="仿宋" w:cs="Arial"/>
          <w:kern w:val="0"/>
          <w:sz w:val="24"/>
        </w:rPr>
      </w:pPr>
      <w:r>
        <w:rPr>
          <w:rFonts w:hint="eastAsia" w:ascii="仿宋" w:hAnsi="仿宋" w:eastAsia="仿宋" w:cs="仿宋_GB2312"/>
          <w:sz w:val="24"/>
        </w:rPr>
        <w:t>27.1</w:t>
      </w:r>
      <w:r>
        <w:rPr>
          <w:rFonts w:hint="eastAsia" w:ascii="仿宋" w:hAnsi="仿宋" w:eastAsia="仿宋" w:cs="Arial"/>
          <w:kern w:val="0"/>
          <w:sz w:val="24"/>
        </w:rPr>
        <w:t xml:space="preserve"> 采购人与中标人应当在中标通知书发出之日起三十日内，按照招标文件确定的事项签订政府采购合同。</w:t>
      </w:r>
    </w:p>
    <w:p>
      <w:pPr>
        <w:pStyle w:val="312"/>
        <w:snapToGrid w:val="0"/>
        <w:spacing w:before="0"/>
        <w:ind w:firstLine="480"/>
        <w:rPr>
          <w:rFonts w:hint="eastAsia" w:ascii="仿宋" w:hAnsi="仿宋" w:eastAsia="仿宋"/>
          <w:kern w:val="0"/>
        </w:rPr>
      </w:pPr>
      <w:r>
        <w:rPr>
          <w:rFonts w:hint="eastAsia" w:ascii="仿宋" w:hAnsi="仿宋" w:eastAsia="仿宋" w:cs="仿宋_GB2312"/>
          <w:kern w:val="0"/>
          <w:lang w:val="zh-CN"/>
        </w:rPr>
        <w:t>27.2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312"/>
        <w:snapToGrid w:val="0"/>
        <w:spacing w:before="0"/>
        <w:ind w:firstLine="480"/>
        <w:rPr>
          <w:rFonts w:hint="eastAsia" w:ascii="仿宋" w:hAnsi="仿宋" w:eastAsia="仿宋" w:cs="仿宋_GB2312"/>
        </w:rPr>
      </w:pPr>
      <w:r>
        <w:rPr>
          <w:rFonts w:hint="eastAsia" w:ascii="仿宋" w:hAnsi="仿宋" w:eastAsia="仿宋" w:cs="仿宋_GB2312"/>
        </w:rPr>
        <w:t>27.3如签订合同并生效后，供应商无故拒绝或延期，除按照合同条款处理外，列入不良行为记录一次，并给予通报。</w:t>
      </w:r>
    </w:p>
    <w:p>
      <w:pPr>
        <w:pStyle w:val="312"/>
        <w:snapToGrid w:val="0"/>
        <w:spacing w:before="0"/>
        <w:ind w:firstLine="480"/>
        <w:rPr>
          <w:rFonts w:hint="eastAsia" w:ascii="仿宋" w:hAnsi="仿宋" w:eastAsia="仿宋" w:cs="仿宋_GB2312"/>
        </w:rPr>
      </w:pPr>
      <w:r>
        <w:rPr>
          <w:rFonts w:hint="eastAsia" w:ascii="仿宋" w:hAnsi="仿宋" w:eastAsia="仿宋" w:cs="仿宋_GB2312"/>
        </w:rPr>
        <w:t>27.4中标供应商拒绝与采购人签订合同的，采购人可以按照评审报告推荐的中标或者成交候选人名单排序，确定下一候选人为中标供应商，也可以重新开展政府采购活动。</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28. 履约保证金</w:t>
      </w:r>
    </w:p>
    <w:p>
      <w:pPr>
        <w:tabs>
          <w:tab w:val="left" w:pos="0"/>
        </w:tabs>
        <w:spacing w:line="360" w:lineRule="auto"/>
        <w:ind w:firstLine="480"/>
        <w:rPr>
          <w:rFonts w:hint="eastAsia"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。履约保证金的数额不得超过政府采购合同金额的10%。</w:t>
      </w:r>
    </w:p>
    <w:p>
      <w:pPr>
        <w:tabs>
          <w:tab w:val="left" w:pos="0"/>
        </w:tabs>
        <w:spacing w:line="360" w:lineRule="auto"/>
        <w:ind w:firstLine="480"/>
        <w:rPr>
          <w:rFonts w:hint="eastAsia" w:ascii="仿宋" w:hAnsi="仿宋" w:eastAsia="仿宋"/>
          <w:sz w:val="24"/>
        </w:rPr>
      </w:pPr>
    </w:p>
    <w:p>
      <w:pPr>
        <w:snapToGrid w:val="0"/>
        <w:spacing w:line="360" w:lineRule="auto"/>
        <w:ind w:left="120" w:leftChars="57" w:firstLine="360" w:firstLineChars="150"/>
        <w:jc w:val="center"/>
        <w:rPr>
          <w:rFonts w:hint="eastAsia" w:ascii="仿宋" w:hAnsi="仿宋" w:eastAsia="仿宋" w:cs="仿宋_GB2312"/>
          <w:b/>
          <w:sz w:val="32"/>
        </w:rPr>
      </w:pPr>
      <w:r>
        <w:rPr>
          <w:rFonts w:hint="eastAsia" w:ascii="仿宋" w:hAnsi="仿宋" w:eastAsia="仿宋"/>
          <w:sz w:val="24"/>
        </w:rPr>
        <w:t xml:space="preserve"> </w:t>
      </w:r>
      <w:r>
        <w:rPr>
          <w:rFonts w:hint="eastAsia" w:ascii="仿宋" w:hAnsi="仿宋" w:eastAsia="仿宋" w:cs="仿宋_GB2312"/>
          <w:b/>
          <w:sz w:val="32"/>
        </w:rPr>
        <w:t>八、验收</w:t>
      </w:r>
    </w:p>
    <w:p>
      <w:pPr>
        <w:pStyle w:val="33"/>
        <w:spacing w:line="360" w:lineRule="auto"/>
        <w:ind w:firstLine="0" w:firstLineChars="0"/>
        <w:rPr>
          <w:rFonts w:hint="eastAsia" w:ascii="仿宋" w:hAnsi="仿宋" w:eastAsia="仿宋" w:cs="仿宋_GB2312"/>
          <w:b/>
        </w:rPr>
      </w:pPr>
      <w:r>
        <w:rPr>
          <w:rFonts w:hint="eastAsia" w:ascii="仿宋" w:hAnsi="仿宋" w:eastAsia="仿宋" w:cs="仿宋_GB2312"/>
          <w:b/>
        </w:rPr>
        <w:t>29.验收</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5"/>
    <w:p>
      <w:pPr>
        <w:adjustRightInd/>
        <w:spacing w:line="360" w:lineRule="auto"/>
        <w:rPr>
          <w:rFonts w:hint="eastAsia" w:ascii="仿宋" w:hAnsi="仿宋" w:eastAsia="仿宋"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0"/>
    <w:bookmarkEnd w:id="31"/>
    <w:p>
      <w:pPr>
        <w:spacing w:line="360" w:lineRule="auto"/>
        <w:jc w:val="center"/>
        <w:outlineLvl w:val="0"/>
        <w:rPr>
          <w:rFonts w:hint="eastAsia" w:ascii="仿宋" w:hAnsi="仿宋" w:eastAsia="仿宋" w:cs="仿宋_GB2312"/>
          <w:b/>
          <w:sz w:val="36"/>
          <w:szCs w:val="36"/>
        </w:rPr>
      </w:pPr>
      <w:bookmarkStart w:id="36" w:name="第四部分"/>
      <w:r>
        <w:rPr>
          <w:rFonts w:hint="eastAsia" w:ascii="仿宋" w:hAnsi="仿宋" w:eastAsia="仿宋" w:cs="仿宋_GB2312"/>
          <w:b/>
          <w:sz w:val="36"/>
          <w:szCs w:val="36"/>
        </w:rPr>
        <w:t>第三部分   采购需求</w:t>
      </w:r>
    </w:p>
    <w:p>
      <w:pPr>
        <w:snapToGrid w:val="0"/>
        <w:spacing w:line="360" w:lineRule="auto"/>
        <w:jc w:val="left"/>
        <w:rPr>
          <w:rFonts w:hint="eastAsia" w:ascii="仿宋" w:hAnsi="仿宋" w:eastAsia="仿宋"/>
          <w:sz w:val="24"/>
        </w:rPr>
      </w:pPr>
      <w:r>
        <w:rPr>
          <w:rFonts w:hint="eastAsia" w:ascii="仿宋" w:hAnsi="仿宋" w:eastAsia="仿宋"/>
          <w:sz w:val="28"/>
          <w:szCs w:val="28"/>
        </w:rPr>
        <w:t xml:space="preserve">   </w:t>
      </w:r>
      <w:r>
        <w:rPr>
          <w:rFonts w:hint="eastAsia" w:ascii="仿宋" w:hAnsi="仿宋" w:eastAsia="仿宋"/>
          <w:sz w:val="24"/>
        </w:rPr>
        <w:t>属于实质性要求条款的，请用符号“▲”标明，否则属于非实质性要求。</w:t>
      </w:r>
    </w:p>
    <w:p>
      <w:pPr>
        <w:snapToGrid w:val="0"/>
        <w:spacing w:line="360" w:lineRule="auto"/>
        <w:ind w:firstLine="482" w:firstLineChars="200"/>
        <w:outlineLvl w:val="0"/>
        <w:rPr>
          <w:rFonts w:hint="eastAsia" w:ascii="宋体" w:hAnsi="宋体"/>
          <w:b/>
          <w:sz w:val="24"/>
        </w:rPr>
      </w:pPr>
      <w:r>
        <w:rPr>
          <w:rFonts w:hint="eastAsia" w:ascii="宋体" w:hAnsi="宋体"/>
          <w:b/>
          <w:sz w:val="24"/>
        </w:rPr>
        <w:t>一、项目概况</w:t>
      </w:r>
    </w:p>
    <w:p>
      <w:pPr>
        <w:spacing w:line="360" w:lineRule="auto"/>
        <w:ind w:firstLine="470" w:firstLineChars="196"/>
        <w:rPr>
          <w:rFonts w:ascii="仿宋" w:hAnsi="仿宋" w:eastAsia="仿宋"/>
          <w:sz w:val="24"/>
        </w:rPr>
      </w:pPr>
      <w:r>
        <w:rPr>
          <w:rFonts w:hint="eastAsia" w:ascii="仿宋" w:hAnsi="仿宋" w:eastAsia="仿宋"/>
          <w:sz w:val="24"/>
        </w:rPr>
        <w:t>根据2016年1月1日起实行的“《**法》三十二条：重点目标的管理单位应当建立公共安全视频图像信息系统值班监看、信息保存使用、运行维护等管理制度，保障相关系统正常运行。采集的视频图像信息保存期限不得少于九十日”要求，我校存储需按90天配置。而现在建的区块中监控存储设计仍只有30天。故将建区块存储扩容。又根据智能校园监控设施功能性、智能化的发展需要，考虑到今后设置人脸识别、周界预警、人流车辆、音视频同步存储管理等等需要，现在设计安装的摄像机像素是达不到要求，故在存储码流的计算上采用4M标准，并保留后续的扩展空间，对存储设备进行提前预置接入端口。今后，只需更换磁盘就可以保证存储时间。如将4T磁盘改为6\8\10T。</w:t>
      </w:r>
    </w:p>
    <w:p>
      <w:pPr>
        <w:spacing w:line="360" w:lineRule="auto"/>
        <w:ind w:firstLine="470" w:firstLineChars="196"/>
        <w:rPr>
          <w:rFonts w:hint="eastAsia" w:ascii="仿宋" w:hAnsi="仿宋" w:eastAsia="仿宋"/>
          <w:sz w:val="24"/>
        </w:rPr>
      </w:pPr>
      <w:r>
        <w:rPr>
          <w:rFonts w:hint="eastAsia" w:ascii="仿宋" w:hAnsi="仿宋" w:eastAsia="仿宋"/>
          <w:sz w:val="24"/>
        </w:rPr>
        <w:t>1、项目实施地点：杭州师范大学及其指定地点。</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2、项目实施时间：签订合同30日内完成安装调试、系统集成，验收合格，试运行正常后方可交付使用。</w:t>
      </w:r>
    </w:p>
    <w:p>
      <w:pPr>
        <w:snapToGrid w:val="0"/>
        <w:spacing w:line="360" w:lineRule="auto"/>
        <w:ind w:firstLine="480" w:firstLineChars="200"/>
        <w:outlineLvl w:val="0"/>
        <w:rPr>
          <w:rFonts w:ascii="仿宋" w:hAnsi="仿宋" w:eastAsia="仿宋"/>
          <w:sz w:val="24"/>
        </w:rPr>
      </w:pPr>
      <w:r>
        <w:rPr>
          <w:rFonts w:hint="eastAsia" w:ascii="仿宋" w:hAnsi="仿宋" w:eastAsia="仿宋"/>
          <w:sz w:val="24"/>
        </w:rPr>
        <w:t>3、质保（服务）期：要求提供不少于三年7*24免费售后技术支持服务（包括版本升级、故障排除、性能调优、技术咨询等，并负责处理、协调与各系统软件、硬件等供应商的关系）。</w:t>
      </w:r>
    </w:p>
    <w:p>
      <w:pPr>
        <w:snapToGrid w:val="0"/>
        <w:spacing w:line="360" w:lineRule="auto"/>
        <w:ind w:firstLine="480" w:firstLineChars="200"/>
        <w:outlineLvl w:val="0"/>
        <w:rPr>
          <w:rFonts w:ascii="仿宋" w:hAnsi="仿宋" w:eastAsia="仿宋"/>
          <w:sz w:val="24"/>
        </w:rPr>
      </w:pPr>
      <w:r>
        <w:rPr>
          <w:rFonts w:hint="eastAsia" w:ascii="仿宋" w:hAnsi="仿宋" w:eastAsia="仿宋"/>
          <w:sz w:val="24"/>
        </w:rPr>
        <w:t>4、项目清单：</w:t>
      </w:r>
    </w:p>
    <w:tbl>
      <w:tblPr>
        <w:tblStyle w:val="85"/>
        <w:tblW w:w="0" w:type="auto"/>
        <w:jc w:val="center"/>
        <w:tblLayout w:type="fixed"/>
        <w:tblCellMar>
          <w:top w:w="0" w:type="dxa"/>
          <w:left w:w="108" w:type="dxa"/>
          <w:bottom w:w="0" w:type="dxa"/>
          <w:right w:w="108" w:type="dxa"/>
        </w:tblCellMar>
      </w:tblPr>
      <w:tblGrid>
        <w:gridCol w:w="418"/>
        <w:gridCol w:w="1080"/>
        <w:gridCol w:w="483"/>
        <w:gridCol w:w="417"/>
        <w:gridCol w:w="919"/>
        <w:gridCol w:w="951"/>
        <w:gridCol w:w="835"/>
        <w:gridCol w:w="1225"/>
        <w:gridCol w:w="810"/>
        <w:gridCol w:w="1496"/>
        <w:gridCol w:w="1316"/>
      </w:tblGrid>
      <w:tr>
        <w:tblPrEx>
          <w:tblCellMar>
            <w:top w:w="0" w:type="dxa"/>
            <w:left w:w="108" w:type="dxa"/>
            <w:bottom w:w="0" w:type="dxa"/>
            <w:right w:w="108" w:type="dxa"/>
          </w:tblCellMar>
        </w:tblPrEx>
        <w:trPr>
          <w:trHeight w:val="681"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标项</w:t>
            </w:r>
          </w:p>
        </w:tc>
        <w:tc>
          <w:tcPr>
            <w:tcW w:w="1080"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设备名称</w:t>
            </w:r>
          </w:p>
        </w:tc>
        <w:tc>
          <w:tcPr>
            <w:tcW w:w="483"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数量</w:t>
            </w:r>
          </w:p>
        </w:tc>
        <w:tc>
          <w:tcPr>
            <w:tcW w:w="417"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计量单位</w:t>
            </w:r>
          </w:p>
        </w:tc>
        <w:tc>
          <w:tcPr>
            <w:tcW w:w="91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预算金额</w:t>
            </w:r>
            <w:r>
              <w:rPr>
                <w:rFonts w:hint="eastAsia" w:ascii="宋体" w:hAnsi="宋体" w:cs="宋体"/>
                <w:b/>
                <w:bCs/>
                <w:kern w:val="0"/>
                <w:sz w:val="20"/>
                <w:szCs w:val="20"/>
              </w:rPr>
              <w:br w:type="textWrapping"/>
            </w:r>
            <w:r>
              <w:rPr>
                <w:rFonts w:hint="eastAsia" w:ascii="宋体" w:hAnsi="宋体" w:cs="宋体"/>
                <w:b/>
                <w:bCs/>
                <w:kern w:val="0"/>
                <w:sz w:val="20"/>
                <w:szCs w:val="20"/>
              </w:rPr>
              <w:t>(元)</w:t>
            </w:r>
          </w:p>
        </w:tc>
        <w:tc>
          <w:tcPr>
            <w:tcW w:w="951"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申报部门</w:t>
            </w:r>
          </w:p>
        </w:tc>
        <w:tc>
          <w:tcPr>
            <w:tcW w:w="835"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申报人</w:t>
            </w:r>
          </w:p>
        </w:tc>
        <w:tc>
          <w:tcPr>
            <w:tcW w:w="1225"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联系电话</w:t>
            </w:r>
          </w:p>
        </w:tc>
        <w:tc>
          <w:tcPr>
            <w:tcW w:w="810"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经费名称</w:t>
            </w:r>
          </w:p>
        </w:tc>
        <w:tc>
          <w:tcPr>
            <w:tcW w:w="1496"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预算号</w:t>
            </w:r>
          </w:p>
        </w:tc>
        <w:tc>
          <w:tcPr>
            <w:tcW w:w="1316"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执行号</w:t>
            </w:r>
          </w:p>
        </w:tc>
      </w:tr>
      <w:tr>
        <w:tblPrEx>
          <w:tblCellMar>
            <w:top w:w="0" w:type="dxa"/>
            <w:left w:w="108" w:type="dxa"/>
            <w:bottom w:w="0" w:type="dxa"/>
            <w:right w:w="108" w:type="dxa"/>
          </w:tblCellMar>
        </w:tblPrEx>
        <w:trPr>
          <w:trHeight w:val="482" w:hRule="atLeast"/>
          <w:jc w:val="center"/>
        </w:trPr>
        <w:tc>
          <w:tcPr>
            <w:tcW w:w="418" w:type="dxa"/>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一</w:t>
            </w:r>
          </w:p>
        </w:tc>
        <w:tc>
          <w:tcPr>
            <w:tcW w:w="108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D</w:t>
            </w:r>
            <w:r>
              <w:rPr>
                <w:rFonts w:ascii="宋体" w:hAnsi="宋体" w:cs="宋体"/>
                <w:kern w:val="0"/>
                <w:sz w:val="20"/>
                <w:szCs w:val="20"/>
              </w:rPr>
              <w:t>1</w:t>
            </w:r>
            <w:r>
              <w:rPr>
                <w:rFonts w:hint="eastAsia" w:ascii="宋体" w:hAnsi="宋体" w:cs="宋体"/>
                <w:kern w:val="0"/>
                <w:sz w:val="20"/>
                <w:szCs w:val="20"/>
              </w:rPr>
              <w:t>区块监控机房存储扩展</w:t>
            </w:r>
          </w:p>
        </w:tc>
        <w:tc>
          <w:tcPr>
            <w:tcW w:w="483"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1</w:t>
            </w:r>
          </w:p>
        </w:tc>
        <w:tc>
          <w:tcPr>
            <w:tcW w:w="417"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批</w:t>
            </w:r>
          </w:p>
        </w:tc>
        <w:tc>
          <w:tcPr>
            <w:tcW w:w="919"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920000</w:t>
            </w:r>
          </w:p>
        </w:tc>
        <w:tc>
          <w:tcPr>
            <w:tcW w:w="951"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保卫处</w:t>
            </w:r>
          </w:p>
        </w:tc>
        <w:tc>
          <w:tcPr>
            <w:tcW w:w="83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徐盖鸿</w:t>
            </w:r>
          </w:p>
        </w:tc>
        <w:tc>
          <w:tcPr>
            <w:tcW w:w="122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28867117</w:t>
            </w:r>
          </w:p>
        </w:tc>
        <w:tc>
          <w:tcPr>
            <w:tcW w:w="81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基建经费</w:t>
            </w:r>
          </w:p>
        </w:tc>
        <w:tc>
          <w:tcPr>
            <w:tcW w:w="1496"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HZZFCG-YS</w:t>
            </w:r>
          </w:p>
          <w:p>
            <w:pPr>
              <w:widowControl/>
              <w:adjustRightInd/>
              <w:jc w:val="center"/>
              <w:rPr>
                <w:rFonts w:hint="eastAsia" w:ascii="宋体" w:hAnsi="宋体" w:cs="宋体"/>
                <w:kern w:val="0"/>
                <w:sz w:val="20"/>
                <w:szCs w:val="20"/>
              </w:rPr>
            </w:pPr>
            <w:r>
              <w:rPr>
                <w:rFonts w:hint="eastAsia" w:ascii="宋体" w:hAnsi="宋体" w:cs="宋体"/>
                <w:kern w:val="0"/>
                <w:sz w:val="20"/>
                <w:szCs w:val="20"/>
              </w:rPr>
              <w:t>-2019-06069</w:t>
            </w:r>
          </w:p>
        </w:tc>
        <w:tc>
          <w:tcPr>
            <w:tcW w:w="1316"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杭政采集-2019-00504</w:t>
            </w:r>
          </w:p>
        </w:tc>
      </w:tr>
      <w:tr>
        <w:tblPrEx>
          <w:tblCellMar>
            <w:top w:w="0" w:type="dxa"/>
            <w:left w:w="108" w:type="dxa"/>
            <w:bottom w:w="0" w:type="dxa"/>
            <w:right w:w="108" w:type="dxa"/>
          </w:tblCellMar>
        </w:tblPrEx>
        <w:trPr>
          <w:trHeight w:val="565" w:hRule="atLeast"/>
          <w:jc w:val="center"/>
        </w:trPr>
        <w:tc>
          <w:tcPr>
            <w:tcW w:w="418" w:type="dxa"/>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二</w:t>
            </w:r>
          </w:p>
        </w:tc>
        <w:tc>
          <w:tcPr>
            <w:tcW w:w="108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D</w:t>
            </w:r>
            <w:r>
              <w:rPr>
                <w:rFonts w:ascii="宋体" w:hAnsi="宋体" w:cs="宋体"/>
                <w:kern w:val="0"/>
                <w:sz w:val="20"/>
                <w:szCs w:val="20"/>
              </w:rPr>
              <w:t>5</w:t>
            </w:r>
            <w:r>
              <w:rPr>
                <w:rFonts w:hint="eastAsia" w:ascii="宋体" w:hAnsi="宋体" w:cs="宋体"/>
                <w:kern w:val="0"/>
                <w:sz w:val="20"/>
                <w:szCs w:val="20"/>
              </w:rPr>
              <w:t>区块监控机房存储扩展</w:t>
            </w:r>
          </w:p>
        </w:tc>
        <w:tc>
          <w:tcPr>
            <w:tcW w:w="483"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1</w:t>
            </w:r>
          </w:p>
        </w:tc>
        <w:tc>
          <w:tcPr>
            <w:tcW w:w="417"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批</w:t>
            </w:r>
          </w:p>
        </w:tc>
        <w:tc>
          <w:tcPr>
            <w:tcW w:w="919"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960000</w:t>
            </w:r>
          </w:p>
        </w:tc>
        <w:tc>
          <w:tcPr>
            <w:tcW w:w="951"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保卫处</w:t>
            </w:r>
          </w:p>
        </w:tc>
        <w:tc>
          <w:tcPr>
            <w:tcW w:w="83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徐盖鸿</w:t>
            </w:r>
          </w:p>
        </w:tc>
        <w:tc>
          <w:tcPr>
            <w:tcW w:w="122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28867117</w:t>
            </w:r>
          </w:p>
        </w:tc>
        <w:tc>
          <w:tcPr>
            <w:tcW w:w="81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基建经费</w:t>
            </w:r>
          </w:p>
        </w:tc>
        <w:tc>
          <w:tcPr>
            <w:tcW w:w="1496"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HZZFCG-YS</w:t>
            </w:r>
          </w:p>
          <w:p>
            <w:pPr>
              <w:widowControl/>
              <w:adjustRightInd/>
              <w:jc w:val="center"/>
              <w:rPr>
                <w:rFonts w:hint="eastAsia" w:ascii="宋体" w:hAnsi="宋体" w:cs="宋体"/>
                <w:kern w:val="0"/>
                <w:sz w:val="20"/>
                <w:szCs w:val="20"/>
              </w:rPr>
            </w:pPr>
            <w:r>
              <w:rPr>
                <w:rFonts w:hint="eastAsia" w:ascii="宋体" w:hAnsi="宋体" w:cs="宋体"/>
                <w:kern w:val="0"/>
                <w:sz w:val="20"/>
                <w:szCs w:val="20"/>
              </w:rPr>
              <w:t>-2019-04734</w:t>
            </w:r>
          </w:p>
        </w:tc>
        <w:tc>
          <w:tcPr>
            <w:tcW w:w="1316"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杭政采集-2019-00504</w:t>
            </w:r>
          </w:p>
        </w:tc>
      </w:tr>
      <w:tr>
        <w:tblPrEx>
          <w:tblCellMar>
            <w:top w:w="0" w:type="dxa"/>
            <w:left w:w="108" w:type="dxa"/>
            <w:bottom w:w="0" w:type="dxa"/>
            <w:right w:w="108" w:type="dxa"/>
          </w:tblCellMar>
        </w:tblPrEx>
        <w:trPr>
          <w:trHeight w:val="335" w:hRule="atLeast"/>
          <w:jc w:val="center"/>
        </w:trPr>
        <w:tc>
          <w:tcPr>
            <w:tcW w:w="418" w:type="dxa"/>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三</w:t>
            </w:r>
          </w:p>
        </w:tc>
        <w:tc>
          <w:tcPr>
            <w:tcW w:w="108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ascii="宋体" w:hAnsi="宋体" w:cs="宋体"/>
                <w:kern w:val="0"/>
                <w:sz w:val="20"/>
                <w:szCs w:val="20"/>
              </w:rPr>
              <w:t>C</w:t>
            </w:r>
            <w:r>
              <w:rPr>
                <w:rFonts w:hint="eastAsia" w:ascii="宋体" w:hAnsi="宋体" w:cs="宋体"/>
                <w:kern w:val="0"/>
                <w:sz w:val="20"/>
                <w:szCs w:val="20"/>
              </w:rPr>
              <w:t>区块监控机房存储扩展</w:t>
            </w:r>
          </w:p>
        </w:tc>
        <w:tc>
          <w:tcPr>
            <w:tcW w:w="483"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1</w:t>
            </w:r>
          </w:p>
        </w:tc>
        <w:tc>
          <w:tcPr>
            <w:tcW w:w="417"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批</w:t>
            </w:r>
          </w:p>
        </w:tc>
        <w:tc>
          <w:tcPr>
            <w:tcW w:w="919"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3610000</w:t>
            </w:r>
          </w:p>
        </w:tc>
        <w:tc>
          <w:tcPr>
            <w:tcW w:w="951"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保卫处</w:t>
            </w:r>
          </w:p>
        </w:tc>
        <w:tc>
          <w:tcPr>
            <w:tcW w:w="83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徐盖鸿</w:t>
            </w:r>
          </w:p>
        </w:tc>
        <w:tc>
          <w:tcPr>
            <w:tcW w:w="122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28867117</w:t>
            </w:r>
          </w:p>
        </w:tc>
        <w:tc>
          <w:tcPr>
            <w:tcW w:w="81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基建经费</w:t>
            </w:r>
          </w:p>
        </w:tc>
        <w:tc>
          <w:tcPr>
            <w:tcW w:w="1496"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HZZFCG-YS</w:t>
            </w:r>
          </w:p>
          <w:p>
            <w:pPr>
              <w:widowControl/>
              <w:adjustRightInd/>
              <w:jc w:val="center"/>
              <w:rPr>
                <w:rFonts w:hint="eastAsia" w:ascii="宋体" w:hAnsi="宋体" w:cs="宋体"/>
                <w:kern w:val="0"/>
                <w:sz w:val="20"/>
                <w:szCs w:val="20"/>
              </w:rPr>
            </w:pPr>
            <w:r>
              <w:rPr>
                <w:rFonts w:hint="eastAsia" w:ascii="宋体" w:hAnsi="宋体" w:cs="宋体"/>
                <w:kern w:val="0"/>
                <w:sz w:val="20"/>
                <w:szCs w:val="20"/>
              </w:rPr>
              <w:t>-2019-04714</w:t>
            </w:r>
          </w:p>
        </w:tc>
        <w:tc>
          <w:tcPr>
            <w:tcW w:w="1316"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 w:val="20"/>
                <w:szCs w:val="20"/>
              </w:rPr>
            </w:pPr>
            <w:r>
              <w:rPr>
                <w:rFonts w:hint="eastAsia" w:ascii="宋体" w:hAnsi="宋体" w:cs="宋体"/>
                <w:kern w:val="0"/>
                <w:sz w:val="20"/>
                <w:szCs w:val="20"/>
              </w:rPr>
              <w:t>杭政采集-2019-00504</w:t>
            </w:r>
          </w:p>
        </w:tc>
      </w:tr>
    </w:tbl>
    <w:p>
      <w:pPr>
        <w:snapToGrid w:val="0"/>
        <w:spacing w:line="360" w:lineRule="auto"/>
        <w:outlineLvl w:val="0"/>
        <w:rPr>
          <w:rFonts w:hint="eastAsia" w:ascii="仿宋" w:hAnsi="仿宋" w:eastAsia="仿宋"/>
          <w:sz w:val="24"/>
        </w:rPr>
      </w:pPr>
    </w:p>
    <w:p>
      <w:pPr>
        <w:snapToGrid w:val="0"/>
        <w:spacing w:line="360" w:lineRule="auto"/>
        <w:ind w:firstLine="482" w:firstLineChars="200"/>
        <w:outlineLvl w:val="0"/>
        <w:rPr>
          <w:rFonts w:ascii="宋体" w:hAnsi="宋体"/>
          <w:b/>
          <w:sz w:val="24"/>
        </w:rPr>
      </w:pPr>
      <w:r>
        <w:rPr>
          <w:rFonts w:hint="eastAsia" w:ascii="宋体" w:hAnsi="宋体"/>
          <w:b/>
          <w:sz w:val="24"/>
        </w:rPr>
        <w:t>二、具体参数</w:t>
      </w:r>
    </w:p>
    <w:p>
      <w:pPr>
        <w:snapToGrid w:val="0"/>
        <w:spacing w:line="360" w:lineRule="auto"/>
        <w:ind w:firstLine="482" w:firstLineChars="200"/>
        <w:outlineLvl w:val="0"/>
        <w:rPr>
          <w:rFonts w:ascii="宋体" w:hAnsi="宋体"/>
          <w:b/>
          <w:sz w:val="24"/>
        </w:rPr>
      </w:pPr>
      <w:r>
        <w:rPr>
          <w:rFonts w:hint="eastAsia" w:ascii="宋体" w:hAnsi="宋体"/>
          <w:b/>
          <w:sz w:val="24"/>
        </w:rPr>
        <w:t>标项一：D</w:t>
      </w:r>
      <w:r>
        <w:rPr>
          <w:rFonts w:ascii="宋体" w:hAnsi="宋体"/>
          <w:b/>
          <w:sz w:val="24"/>
        </w:rPr>
        <w:t>1</w:t>
      </w:r>
      <w:r>
        <w:rPr>
          <w:rFonts w:hint="eastAsia" w:ascii="宋体" w:hAnsi="宋体"/>
          <w:b/>
          <w:sz w:val="24"/>
        </w:rPr>
        <w:t>区块监控机房存储扩展</w:t>
      </w:r>
    </w:p>
    <w:tbl>
      <w:tblPr>
        <w:tblStyle w:val="85"/>
        <w:tblW w:w="0" w:type="auto"/>
        <w:jc w:val="center"/>
        <w:tblLayout w:type="fixed"/>
        <w:tblCellMar>
          <w:top w:w="15" w:type="dxa"/>
          <w:left w:w="108" w:type="dxa"/>
          <w:bottom w:w="15" w:type="dxa"/>
          <w:right w:w="108" w:type="dxa"/>
        </w:tblCellMar>
      </w:tblPr>
      <w:tblGrid>
        <w:gridCol w:w="915"/>
        <w:gridCol w:w="6256"/>
        <w:gridCol w:w="817"/>
        <w:gridCol w:w="1033"/>
      </w:tblGrid>
      <w:tr>
        <w:tblPrEx>
          <w:tblCellMar>
            <w:top w:w="15" w:type="dxa"/>
            <w:left w:w="108" w:type="dxa"/>
            <w:bottom w:w="15" w:type="dxa"/>
            <w:right w:w="108" w:type="dxa"/>
          </w:tblCellMar>
        </w:tblPrEx>
        <w:trPr>
          <w:wBefore w:w="0" w:type="dxa"/>
          <w:wAfter w:w="0" w:type="dxa"/>
          <w:trHeight w:val="690" w:hRule="atLeast"/>
          <w:jc w:val="center"/>
        </w:trPr>
        <w:tc>
          <w:tcPr>
            <w:tcW w:w="91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设备名称</w:t>
            </w:r>
          </w:p>
        </w:tc>
        <w:tc>
          <w:tcPr>
            <w:tcW w:w="625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参数</w:t>
            </w:r>
          </w:p>
        </w:tc>
        <w:tc>
          <w:tcPr>
            <w:tcW w:w="81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数量</w:t>
            </w:r>
          </w:p>
        </w:tc>
        <w:tc>
          <w:tcPr>
            <w:tcW w:w="103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备注</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sz w:val="20"/>
                <w:szCs w:val="20"/>
              </w:rPr>
              <w:t>★</w:t>
            </w:r>
            <w:r>
              <w:rPr>
                <w:rFonts w:hint="eastAsia" w:ascii="华文仿宋" w:hAnsi="华文仿宋" w:eastAsia="华文仿宋" w:cs="Tahoma"/>
                <w:kern w:val="0"/>
                <w:sz w:val="20"/>
                <w:szCs w:val="20"/>
              </w:rPr>
              <w:t>48盘位存储服务器（核心产品）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48盘位存储主机；</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单设备应配置64位多核处理器，≥4GB内存，内存支持扩展到≥128GB，需配置冗余金牌电源；</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单设备应标配≥2个千兆网口，可增扩≥2个万兆口或≥8个光纤接口口或增配≥4个HDMI接口或≥2个SAS3.0接口，可扩展2个SSD固态硬盘；</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能提供RAID0、1、3、5、6、10、50、60、JBOD、RAIDErasingCode、Raid5EE模式，支持全局、局部等多种热备选择，支持坏盘自动重构；</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能对视音频、图片、智能分析录像混合直存，无需存储服务器和图片服务器参与；</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▲最多可支持同时损坏8块盘时所属RAID存储数据不丢失，可以正常读写；</w:t>
            </w:r>
            <w:r>
              <w:rPr>
                <w:rFonts w:hint="eastAsia" w:ascii="宋体" w:hAnsi="宋体" w:cs="Tahoma"/>
                <w:kern w:val="0"/>
                <w:sz w:val="20"/>
                <w:szCs w:val="20"/>
              </w:rPr>
              <w:t>（提供检测报告并加盖公章）</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能接入并存储1600Mbps视频图像，同时转发1600Mbps的视频图像；同时回放384Mbps的视频图像；</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▲可根据数据对象的重要性、访问频率等属性对数据进行自动分层存储；</w:t>
            </w:r>
            <w:r>
              <w:rPr>
                <w:rFonts w:hint="eastAsia" w:ascii="宋体" w:hAnsi="宋体" w:cs="Tahoma"/>
                <w:kern w:val="0"/>
                <w:sz w:val="20"/>
                <w:szCs w:val="20"/>
              </w:rPr>
              <w:t>（提供检测报告并加盖公章）</w:t>
            </w:r>
          </w:p>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支持RTSP/ONVIF/PSIA/SIP（GB/T28181）等标准网络协议</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▲支持网络中断后重新恢复，设备可续存断网期间存储在前端设备中的录像文件，并可通过IE浏览器设置自动回传和手动回传</w:t>
            </w:r>
            <w:r>
              <w:rPr>
                <w:rFonts w:hint="eastAsia" w:ascii="宋体" w:hAnsi="宋体" w:cs="Tahoma"/>
                <w:kern w:val="0"/>
                <w:sz w:val="20"/>
                <w:szCs w:val="20"/>
              </w:rPr>
              <w:t>（提供检测报告并加盖公章）</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7</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ascii="华文仿宋" w:hAnsi="华文仿宋" w:eastAsia="华文仿宋" w:cs="Tahoma"/>
                <w:kern w:val="0"/>
                <w:szCs w:val="21"/>
              </w:rPr>
            </w:pPr>
            <w:r>
              <w:rPr>
                <w:rFonts w:hint="eastAsia" w:ascii="华文仿宋" w:hAnsi="华文仿宋" w:eastAsia="华文仿宋" w:cs="Tahoma"/>
                <w:kern w:val="0"/>
                <w:szCs w:val="21"/>
              </w:rPr>
              <w:t>1.D1区块摄像机数量为254路。</w:t>
            </w:r>
            <w:r>
              <w:rPr>
                <w:rFonts w:hint="eastAsia" w:ascii="华文仿宋" w:hAnsi="华文仿宋" w:eastAsia="华文仿宋" w:cs="Tahoma"/>
                <w:kern w:val="0"/>
                <w:szCs w:val="21"/>
              </w:rPr>
              <w:br w:type="textWrapping"/>
            </w:r>
            <w:r>
              <w:rPr>
                <w:rFonts w:hint="eastAsia" w:ascii="华文仿宋" w:hAnsi="华文仿宋" w:eastAsia="华文仿宋" w:cs="Tahoma"/>
                <w:kern w:val="0"/>
                <w:szCs w:val="21"/>
              </w:rPr>
              <w:t>2.前端码流按照4M计算</w:t>
            </w:r>
            <w:r>
              <w:rPr>
                <w:rFonts w:hint="eastAsia" w:ascii="华文仿宋" w:hAnsi="华文仿宋" w:eastAsia="华文仿宋" w:cs="Tahoma"/>
                <w:kern w:val="0"/>
                <w:szCs w:val="21"/>
              </w:rPr>
              <w:br w:type="textWrapping"/>
            </w:r>
            <w:r>
              <w:rPr>
                <w:rFonts w:hint="eastAsia" w:ascii="华文仿宋" w:hAnsi="华文仿宋" w:eastAsia="华文仿宋" w:cs="Tahoma"/>
                <w:kern w:val="0"/>
                <w:szCs w:val="21"/>
              </w:rPr>
              <w:t>3.存储时间60天</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4T企业级硬盘</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4TB/128MB(6Gb/秒 NCQ)/7200RPM/SATA3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336</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流媒体服务器</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4114(10核2.2GHz)×1/32G DDR4/600G SAS×2/SAS_HBA/1GbE×2/Win Svr 2016 简中标版/550W(1+1)/2U/16DIMM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sz w:val="20"/>
                <w:szCs w:val="20"/>
              </w:rPr>
              <w:t>★</w:t>
            </w:r>
            <w:r>
              <w:rPr>
                <w:rFonts w:hint="eastAsia" w:ascii="华文仿宋" w:hAnsi="华文仿宋" w:eastAsia="华文仿宋" w:cs="Tahoma"/>
                <w:kern w:val="0"/>
                <w:sz w:val="20"/>
                <w:szCs w:val="20"/>
              </w:rPr>
              <w:t>存储管理服务器（核心产品）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包含1500路授权</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实现实时预览、云台控制、录像回放等视频监控功能。实现统一身份认证和权限控制、组织与角色管理维护、设备集中管理、任务计划执行和调度、报警规则与处理管理、电子地图集中配置、设备巡检和日志管理等功能。</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支持多种报警的接收，包括视频丢失报警，视频遮挡报警，移动侦测报警、IO报警、智能分析事件报警，服务器异常状态报警；</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支持报警联动方式有：客户端弹视频图像、声光显示、信息叠加、语音对讲、电子地图、云台联动，报警上墙、短信联动、Email联动等方式；</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支持报警手动确认并插入确认信息；</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支持临时性单个及批量报警布撤防；</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支持报警信息按时间类型查询检索；</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支持报警日志关联录像查询回放；</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支持报警信息的过滤，避免大量重复报警信息；</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支持手动触发报警；</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支持接收巡查报警，门禁报警，停车场报警，报警主机等传来的报警，并对其进行操作和过滤，支持状态图例显示，如报警，布撤防，离线等</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全高清2.5D地图，能够提供丰富的图上作战功能，包括基于GIS的监控点范围查询、轨迹查询、预览回放、一键上墙、覆盖范围可视化管控、报警可视化应用、案情管理、多资源显示和快速查询等功能；支持数据地图与卫星地图的切换显示；支持地图漫游，放大，缩小，测距，测面，框选，截图等地图功能；支持地图鹰眼功能；支持地图预置点设置，修改，调用功能；支持监控点，车辆，告警IO，监控点分组等元素在地图上的显示；支持地图上对视频资源的预览，云台控制，录像回放，历史告警查询，广播等功能；支持地图元素的资产信息，维护信息的显示，设备在线状态，现场安装图片的显示；支持监控点，智能监控点的告警信息实时闪烁提示功能；支持车载，单兵等带有GPS信息设备在地图上位置实时显示和历史轨迹回放；支持按区域统计监控点、报警点等资源的信息，在线率显示。</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▲投标产品须与该区块设备匹配并与学校现有主平台软件无缝对接，完美兼容，保证系统正常运行，</w:t>
            </w:r>
            <w:r>
              <w:rPr>
                <w:rFonts w:hint="eastAsia" w:ascii="宋体" w:hAnsi="宋体" w:cs="Tahoma"/>
                <w:kern w:val="0"/>
                <w:sz w:val="20"/>
                <w:szCs w:val="20"/>
              </w:rPr>
              <w:t>并在投标时提供无缝对接承诺书。</w:t>
            </w:r>
            <w:r>
              <w:rPr>
                <w:rFonts w:hint="eastAsia" w:ascii="华文仿宋" w:hAnsi="华文仿宋" w:eastAsia="华文仿宋" w:cs="Tahoma"/>
                <w:kern w:val="0"/>
                <w:sz w:val="20"/>
                <w:szCs w:val="20"/>
              </w:rPr>
              <w:t>如中标后发现所投品牌型号不能与现有设备匹配兼容，后果均有由投标人自行承担，费用不作调整。</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核心交换机</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性能要求</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交换容量≥</w:t>
            </w:r>
            <w:r>
              <w:rPr>
                <w:rFonts w:ascii="华文仿宋" w:hAnsi="华文仿宋" w:eastAsia="华文仿宋" w:cs="Tahoma"/>
                <w:kern w:val="0"/>
                <w:sz w:val="20"/>
                <w:szCs w:val="20"/>
              </w:rPr>
              <w:t>590</w:t>
            </w:r>
            <w:r>
              <w:rPr>
                <w:rFonts w:hint="eastAsia" w:ascii="华文仿宋" w:hAnsi="华文仿宋" w:eastAsia="华文仿宋" w:cs="Tahoma"/>
                <w:kern w:val="0"/>
                <w:sz w:val="20"/>
                <w:szCs w:val="20"/>
              </w:rPr>
              <w:t>Gbps，包转发率≥</w:t>
            </w:r>
            <w:r>
              <w:rPr>
                <w:rFonts w:ascii="华文仿宋" w:hAnsi="华文仿宋" w:eastAsia="华文仿宋" w:cs="Tahoma"/>
                <w:kern w:val="0"/>
                <w:sz w:val="20"/>
                <w:szCs w:val="20"/>
              </w:rPr>
              <w:t>220</w:t>
            </w:r>
            <w:r>
              <w:rPr>
                <w:rFonts w:hint="eastAsia" w:ascii="华文仿宋" w:hAnsi="华文仿宋" w:eastAsia="华文仿宋" w:cs="Tahoma"/>
                <w:kern w:val="0"/>
                <w:sz w:val="20"/>
                <w:szCs w:val="20"/>
              </w:rPr>
              <w:t xml:space="preserve">Mpps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支持≥2</w:t>
            </w:r>
            <w:r>
              <w:rPr>
                <w:rFonts w:ascii="华文仿宋" w:hAnsi="华文仿宋" w:eastAsia="华文仿宋" w:cs="Tahoma"/>
                <w:kern w:val="0"/>
                <w:sz w:val="20"/>
                <w:szCs w:val="20"/>
              </w:rPr>
              <w:t>8</w:t>
            </w:r>
            <w:r>
              <w:rPr>
                <w:rFonts w:hint="eastAsia" w:ascii="华文仿宋" w:hAnsi="华文仿宋" w:eastAsia="华文仿宋" w:cs="Tahoma"/>
                <w:kern w:val="0"/>
                <w:sz w:val="20"/>
                <w:szCs w:val="20"/>
              </w:rPr>
              <w:t>个千兆电口， ≥</w:t>
            </w:r>
            <w:r>
              <w:rPr>
                <w:rFonts w:ascii="华文仿宋" w:hAnsi="华文仿宋" w:eastAsia="华文仿宋" w:cs="Tahoma"/>
                <w:kern w:val="0"/>
                <w:sz w:val="20"/>
                <w:szCs w:val="20"/>
              </w:rPr>
              <w:t xml:space="preserve">4个复用的千兆Combo </w:t>
            </w:r>
            <w:r>
              <w:rPr>
                <w:rFonts w:hint="eastAsia" w:ascii="华文仿宋" w:hAnsi="华文仿宋" w:eastAsia="华文仿宋" w:cs="Tahoma"/>
                <w:kern w:val="0"/>
                <w:sz w:val="20"/>
                <w:szCs w:val="20"/>
              </w:rPr>
              <w:t>光口，≥4个万兆光口，≥1个扩展槽</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实配电源冗余配置、支持电源冗余配置</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支持4K个VLAN，支持Voice VLAN，基于端口的VLAN，基于MAC的VLAN，基于协议的VLAN</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支持MAC地址≥</w:t>
            </w:r>
            <w:r>
              <w:rPr>
                <w:rFonts w:ascii="华文仿宋" w:hAnsi="华文仿宋" w:eastAsia="华文仿宋" w:cs="Tahoma"/>
                <w:kern w:val="0"/>
                <w:sz w:val="20"/>
                <w:szCs w:val="20"/>
              </w:rPr>
              <w:t>64</w:t>
            </w:r>
            <w:r>
              <w:rPr>
                <w:rFonts w:hint="eastAsia" w:ascii="华文仿宋" w:hAnsi="华文仿宋" w:eastAsia="华文仿宋" w:cs="Tahoma"/>
                <w:kern w:val="0"/>
                <w:sz w:val="20"/>
                <w:szCs w:val="20"/>
              </w:rPr>
              <w:t>K，提供第三方权威机构检测报告</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支持端口聚合，每个聚合组至少8个端口，支持跨设备链路聚合</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IP路由</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 xml:space="preserve">支持静态路由、RIP、RIPng、OSPF路由协议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 xml:space="preserve">支持IPv6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为方便管理，接入交换机可作为现有核心交换机纵向子节点零配置即插即用；提供第三方权威机构检测报告及技术白皮书</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支持802.1x认证、AAA认证、Radius等多种方式</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支持端口隔离、端口安全，DHCP Snooping，CPU保护等功能</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支持智能以太保护SEP协议，支持ERPS以太环保护协议（G.8032）</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接口防雷能力≥</w:t>
            </w:r>
            <w:r>
              <w:rPr>
                <w:rFonts w:ascii="华文仿宋" w:hAnsi="华文仿宋" w:eastAsia="华文仿宋" w:cs="Tahoma"/>
                <w:kern w:val="0"/>
                <w:sz w:val="20"/>
                <w:szCs w:val="20"/>
              </w:rPr>
              <w:t>8</w:t>
            </w:r>
            <w:r>
              <w:rPr>
                <w:rFonts w:hint="eastAsia" w:ascii="华文仿宋" w:hAnsi="华文仿宋" w:eastAsia="华文仿宋" w:cs="Tahoma"/>
                <w:kern w:val="0"/>
                <w:sz w:val="20"/>
                <w:szCs w:val="20"/>
              </w:rPr>
              <w:t>kv</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支持SNMP v1/v2/v3、Telnet远程维护、网管系统管理、WEB网管</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支持堆叠，主机堆叠数不小于9台，要求与现有监控网核心设备做虚拟化功能，支持统一接入管理。</w:t>
            </w:r>
          </w:p>
          <w:p>
            <w:pPr>
              <w:rPr>
                <w:rFonts w:ascii="华文仿宋" w:hAnsi="华文仿宋" w:eastAsia="华文仿宋" w:cs="Tahoma"/>
                <w:kern w:val="0"/>
                <w:sz w:val="20"/>
                <w:szCs w:val="20"/>
              </w:rPr>
            </w:pPr>
            <w:r>
              <w:rPr>
                <w:rFonts w:ascii="华文仿宋" w:hAnsi="华文仿宋" w:eastAsia="华文仿宋" w:cs="Tahoma"/>
                <w:kern w:val="0"/>
                <w:sz w:val="20"/>
                <w:szCs w:val="20"/>
              </w:rPr>
              <w:t>本次采购所有产品（包含光模块等）序列号必须原厂官网可查询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46寸液晶拼接屏</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sz w:val="20"/>
                <w:szCs w:val="20"/>
              </w:rPr>
            </w:pPr>
            <w:r>
              <w:rPr>
                <w:rFonts w:hint="eastAsia" w:ascii="华文仿宋" w:hAnsi="华文仿宋" w:eastAsia="华文仿宋"/>
                <w:sz w:val="20"/>
                <w:szCs w:val="20"/>
              </w:rPr>
              <w:t>LCD液晶显示单元；</w:t>
            </w:r>
            <w:r>
              <w:rPr>
                <w:rFonts w:hint="eastAsia" w:ascii="华文仿宋" w:hAnsi="华文仿宋" w:eastAsia="华文仿宋"/>
                <w:sz w:val="20"/>
                <w:szCs w:val="20"/>
              </w:rPr>
              <w:br w:type="textWrapping"/>
            </w:r>
            <w:r>
              <w:rPr>
                <w:rFonts w:hint="eastAsia" w:ascii="华文仿宋" w:hAnsi="华文仿宋" w:eastAsia="华文仿宋"/>
                <w:sz w:val="20"/>
                <w:szCs w:val="20"/>
              </w:rPr>
              <w:t>尺寸：46英寸；</w:t>
            </w:r>
            <w:r>
              <w:rPr>
                <w:rFonts w:hint="eastAsia" w:ascii="华文仿宋" w:hAnsi="华文仿宋" w:eastAsia="华文仿宋"/>
                <w:sz w:val="20"/>
                <w:szCs w:val="20"/>
              </w:rPr>
              <w:br w:type="textWrapping"/>
            </w:r>
            <w:r>
              <w:rPr>
                <w:rFonts w:hint="eastAsia" w:ascii="华文仿宋" w:hAnsi="华文仿宋" w:eastAsia="华文仿宋" w:cs="Tahoma"/>
                <w:kern w:val="0"/>
                <w:sz w:val="20"/>
                <w:szCs w:val="20"/>
              </w:rPr>
              <w:t>▲</w:t>
            </w:r>
            <w:r>
              <w:rPr>
                <w:rFonts w:hint="eastAsia" w:ascii="华文仿宋" w:hAnsi="华文仿宋" w:eastAsia="华文仿宋"/>
                <w:sz w:val="20"/>
                <w:szCs w:val="20"/>
              </w:rPr>
              <w:t>LCD显示单元为：46“超窄边液晶屏；物理分辨率达到1920×1080，物理拼缝≤3.5mm，漏光≤ 1 cd/㎡；</w:t>
            </w:r>
            <w:r>
              <w:rPr>
                <w:rFonts w:hint="eastAsia" w:ascii="华文仿宋" w:hAnsi="华文仿宋" w:eastAsia="华文仿宋"/>
                <w:sz w:val="20"/>
                <w:szCs w:val="20"/>
              </w:rPr>
              <w:br w:type="textWrapping"/>
            </w:r>
            <w:r>
              <w:rPr>
                <w:rFonts w:hint="eastAsia" w:ascii="华文仿宋" w:hAnsi="华文仿宋" w:eastAsia="华文仿宋"/>
                <w:sz w:val="20"/>
                <w:szCs w:val="20"/>
              </w:rPr>
              <w:t>LCD显示单元视角可达178°，画面的输出精确和稳定，色彩饱和靓丽，屏幕更加明亮。屏幕漏光度小于0.01cd/㎡，可抵抗太阳光等强光干扰,照度在95KLux能正常工作；</w:t>
            </w:r>
            <w:r>
              <w:rPr>
                <w:rFonts w:hint="eastAsia" w:ascii="华文仿宋" w:hAnsi="华文仿宋" w:eastAsia="华文仿宋"/>
                <w:sz w:val="20"/>
                <w:szCs w:val="20"/>
              </w:rPr>
              <w:br w:type="textWrapping"/>
            </w:r>
            <w:r>
              <w:rPr>
                <w:rFonts w:hint="eastAsia" w:ascii="华文仿宋" w:hAnsi="华文仿宋" w:eastAsia="华文仿宋" w:cs="Tahoma"/>
                <w:kern w:val="0"/>
                <w:sz w:val="20"/>
                <w:szCs w:val="20"/>
              </w:rPr>
              <w:t>▲</w:t>
            </w:r>
            <w:r>
              <w:rPr>
                <w:rFonts w:hint="eastAsia" w:ascii="华文仿宋" w:hAnsi="华文仿宋" w:eastAsia="华文仿宋"/>
                <w:sz w:val="20"/>
                <w:szCs w:val="20"/>
              </w:rPr>
              <w:t>LCD显示单元亮度达到700cd/㎡</w:t>
            </w:r>
            <w:r>
              <w:rPr>
                <w:rFonts w:hint="eastAsia" w:ascii="华文仿宋" w:hAnsi="华文仿宋" w:eastAsia="华文仿宋"/>
                <w:sz w:val="20"/>
                <w:szCs w:val="20"/>
              </w:rPr>
              <w:br w:type="textWrapping"/>
            </w:r>
            <w:r>
              <w:rPr>
                <w:rFonts w:hint="eastAsia" w:ascii="华文仿宋" w:hAnsi="华文仿宋" w:eastAsia="华文仿宋"/>
                <w:sz w:val="20"/>
                <w:szCs w:val="20"/>
              </w:rPr>
              <w:t>LCD显示单元具备智能光感护眼功能,液晶单元可自动识别环境光强弱,根据环境光变化调节屏幕亮度；</w:t>
            </w:r>
            <w:r>
              <w:rPr>
                <w:rFonts w:hint="eastAsia" w:ascii="华文仿宋" w:hAnsi="华文仿宋" w:eastAsia="华文仿宋"/>
                <w:sz w:val="20"/>
                <w:szCs w:val="20"/>
              </w:rPr>
              <w:br w:type="textWrapping"/>
            </w:r>
            <w:r>
              <w:rPr>
                <w:rFonts w:hint="eastAsia" w:ascii="华文仿宋" w:hAnsi="华文仿宋" w:eastAsia="华文仿宋"/>
                <w:sz w:val="20"/>
                <w:szCs w:val="20"/>
              </w:rPr>
              <w:t>输入接口：VGA×1，DVI×1，BNC×1，HDMI×1，USB×1；</w:t>
            </w:r>
            <w:r>
              <w:rPr>
                <w:rFonts w:hint="eastAsia" w:ascii="华文仿宋" w:hAnsi="华文仿宋" w:eastAsia="华文仿宋"/>
                <w:sz w:val="20"/>
                <w:szCs w:val="20"/>
              </w:rPr>
              <w:br w:type="textWrapping"/>
            </w:r>
            <w:r>
              <w:rPr>
                <w:rFonts w:hint="eastAsia" w:ascii="华文仿宋" w:hAnsi="华文仿宋" w:eastAsia="华文仿宋"/>
                <w:sz w:val="20"/>
                <w:szCs w:val="20"/>
              </w:rPr>
              <w:t>输出接口：VGA×1，DVI×1，BNC×1；</w:t>
            </w:r>
            <w:r>
              <w:rPr>
                <w:rFonts w:hint="eastAsia" w:ascii="华文仿宋" w:hAnsi="华文仿宋" w:eastAsia="华文仿宋"/>
                <w:sz w:val="20"/>
                <w:szCs w:val="20"/>
              </w:rPr>
              <w:br w:type="textWrapping"/>
            </w:r>
            <w:r>
              <w:rPr>
                <w:rFonts w:hint="eastAsia" w:ascii="华文仿宋" w:hAnsi="华文仿宋" w:eastAsia="华文仿宋"/>
                <w:sz w:val="20"/>
                <w:szCs w:val="20"/>
              </w:rPr>
              <w:t>可选配接口 3G SDI(输入×1、输出×1)、DP、HDbaseT、TVI(输入×1、输出×1)、网络源；</w:t>
            </w:r>
            <w:r>
              <w:rPr>
                <w:rFonts w:hint="eastAsia" w:ascii="华文仿宋" w:hAnsi="华文仿宋" w:eastAsia="华文仿宋"/>
                <w:sz w:val="20"/>
                <w:szCs w:val="20"/>
              </w:rPr>
              <w:br w:type="textWrapping"/>
            </w:r>
            <w:r>
              <w:rPr>
                <w:rFonts w:hint="eastAsia" w:ascii="华文仿宋" w:hAnsi="华文仿宋" w:eastAsia="华文仿宋"/>
                <w:sz w:val="20"/>
                <w:szCs w:val="20"/>
              </w:rPr>
              <w:t>功耗：≤111W；</w:t>
            </w:r>
            <w:r>
              <w:rPr>
                <w:rFonts w:hint="eastAsia" w:ascii="华文仿宋" w:hAnsi="华文仿宋" w:eastAsia="华文仿宋"/>
                <w:sz w:val="20"/>
                <w:szCs w:val="20"/>
              </w:rPr>
              <w:br w:type="textWrapping"/>
            </w:r>
            <w:r>
              <w:rPr>
                <w:rFonts w:hint="eastAsia" w:ascii="华文仿宋" w:hAnsi="华文仿宋" w:eastAsia="华文仿宋"/>
                <w:sz w:val="20"/>
                <w:szCs w:val="20"/>
              </w:rPr>
              <w:t>电源要求：AC 90-264V～；</w:t>
            </w:r>
            <w:r>
              <w:rPr>
                <w:rFonts w:hint="eastAsia" w:ascii="华文仿宋" w:hAnsi="华文仿宋" w:eastAsia="华文仿宋"/>
                <w:sz w:val="20"/>
                <w:szCs w:val="20"/>
              </w:rPr>
              <w:br w:type="textWrapping"/>
            </w:r>
            <w:r>
              <w:rPr>
                <w:rFonts w:hint="eastAsia" w:ascii="华文仿宋" w:hAnsi="华文仿宋" w:eastAsia="华文仿宋"/>
                <w:sz w:val="20"/>
                <w:szCs w:val="20"/>
              </w:rPr>
              <w:t>保证产品具备良好的防护性和稳定性，LCD显示单元应具有盐雾试验、防火、防尘IP6X的等级；</w:t>
            </w:r>
            <w:r>
              <w:rPr>
                <w:rFonts w:hint="eastAsia" w:ascii="华文仿宋" w:hAnsi="华文仿宋" w:eastAsia="华文仿宋"/>
                <w:sz w:val="20"/>
                <w:szCs w:val="20"/>
              </w:rPr>
              <w:br w:type="textWrapping"/>
            </w:r>
            <w:r>
              <w:rPr>
                <w:rFonts w:hint="eastAsia" w:ascii="华文仿宋" w:hAnsi="华文仿宋" w:eastAsia="华文仿宋"/>
                <w:sz w:val="20"/>
                <w:szCs w:val="20"/>
              </w:rPr>
              <w:t>液晶拼接屏须采用整机设计，严禁使用飞线屏（供货时如果发现飞线屏，业主有权取消中标资格），显示屏具备完整后壳，不得以支架或挡板替代，无任何裸露在外的电路线，整体美观大方，而且产品符合检测规范；</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4</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拼接屏支架及基座</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大屏一体化定制支架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4路高清解码器</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高清视音频解码器</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采用嵌入式架构，采用Linux操作系统，运行稳定可靠</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▲提供4路BNC输出、4路VGA输出、4路HDMI输出，支持BNC/VGA/HDMI同源、同时输出；</w:t>
            </w:r>
            <w:r>
              <w:rPr>
                <w:rFonts w:hint="eastAsia" w:ascii="宋体" w:hAnsi="宋体" w:cs="Tahoma"/>
                <w:kern w:val="0"/>
                <w:sz w:val="20"/>
                <w:szCs w:val="20"/>
              </w:rPr>
              <w:t>（提供检测报告并加盖公章）</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编码格式：支持H.265、H.264、MPEG4、MJPEG等主流的编码格式；</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封装格式：支持PS、RTP、TS、ES等主流的封装格式；</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音频解码：支持G.722、G.711A、G.726、G.711U、MPEG2-L2、AAC音频格式的解码；</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解码能力：支持4路1200W，或8路800W，或12路500W，或20路300W，或32路1080P及以下分辨率同时实时解码；</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可对输入的视频画面进行90°旋转显示；</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画面分割：支持1、2、4、6、8、9、10、12、16、25画面分割显示；</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可通过软件将1路输入视频图像发送至多个输出接口拼接显示，支持1×2、1×3、1×4、2×1、2×2、3×1、4×1的拼接显示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管理电脑</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商用台式机电脑 三年上门 单主机 I7-6700 8G2T R7350-4G独显,处理器：Intel i7,硬盘容量：3T,电脑类别：商用电脑,内存容量：8G,显卡：2G独立显卡,系统：Windows7及以上.含22寸显示器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3</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操作台</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三联操作台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服务器机柜</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42U标准服务器机柜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bl>
    <w:p>
      <w:pPr>
        <w:snapToGrid w:val="0"/>
        <w:spacing w:line="360" w:lineRule="auto"/>
        <w:ind w:firstLine="482" w:firstLineChars="200"/>
        <w:outlineLvl w:val="0"/>
        <w:rPr>
          <w:rFonts w:ascii="宋体" w:hAnsi="宋体"/>
          <w:b/>
          <w:sz w:val="24"/>
        </w:rPr>
      </w:pPr>
    </w:p>
    <w:p>
      <w:pPr>
        <w:snapToGrid w:val="0"/>
        <w:spacing w:line="360" w:lineRule="auto"/>
        <w:ind w:firstLine="482" w:firstLineChars="200"/>
        <w:outlineLvl w:val="0"/>
        <w:rPr>
          <w:rFonts w:ascii="宋体" w:hAnsi="宋体"/>
          <w:b/>
          <w:sz w:val="24"/>
        </w:rPr>
      </w:pPr>
      <w:r>
        <w:rPr>
          <w:rFonts w:hint="eastAsia" w:ascii="宋体" w:hAnsi="宋体"/>
          <w:b/>
          <w:sz w:val="24"/>
        </w:rPr>
        <w:t>标项二：D</w:t>
      </w:r>
      <w:r>
        <w:rPr>
          <w:rFonts w:ascii="宋体" w:hAnsi="宋体"/>
          <w:b/>
          <w:sz w:val="24"/>
        </w:rPr>
        <w:t>5</w:t>
      </w:r>
      <w:r>
        <w:rPr>
          <w:rFonts w:hint="eastAsia" w:ascii="宋体" w:hAnsi="宋体"/>
          <w:b/>
          <w:sz w:val="24"/>
        </w:rPr>
        <w:t>区块监控机房存储扩展</w:t>
      </w:r>
    </w:p>
    <w:tbl>
      <w:tblPr>
        <w:tblStyle w:val="85"/>
        <w:tblW w:w="0" w:type="auto"/>
        <w:jc w:val="center"/>
        <w:tblLayout w:type="fixed"/>
        <w:tblCellMar>
          <w:top w:w="15" w:type="dxa"/>
          <w:left w:w="108" w:type="dxa"/>
          <w:bottom w:w="15" w:type="dxa"/>
          <w:right w:w="108" w:type="dxa"/>
        </w:tblCellMar>
      </w:tblPr>
      <w:tblGrid>
        <w:gridCol w:w="915"/>
        <w:gridCol w:w="6273"/>
        <w:gridCol w:w="800"/>
        <w:gridCol w:w="1033"/>
      </w:tblGrid>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设备名称</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参数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数量</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备注</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sz w:val="20"/>
                <w:szCs w:val="20"/>
              </w:rPr>
              <w:t>★</w:t>
            </w:r>
            <w:r>
              <w:rPr>
                <w:rFonts w:hint="eastAsia" w:ascii="华文仿宋" w:hAnsi="华文仿宋" w:eastAsia="华文仿宋" w:cs="Tahoma"/>
                <w:kern w:val="0"/>
                <w:sz w:val="20"/>
                <w:szCs w:val="20"/>
              </w:rPr>
              <w:t>48盘位存储服务器（核心产品）</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48盘位存储主机；</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单设备应配置64位多核处理器，≥4GB内存，内存支持扩展到≥128GB，需配置冗余金牌电源；</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单设备应标配≥2个千兆网口，可增扩≥2个万兆口或≥8个光纤接口口或增配≥4个HDMI接口或≥2个SAS3.0接口，可扩展2个SSD固态硬盘；</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能提供RAID0、1、3、5、6、10、50、60、JBOD、RAIDErasingCode、Raid5EE模式，支持全局、局部等多种热备选择，支持坏盘自动重构；</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能对视音频、图片、智能分析录像混合直存，无需存储服务器和图片服务器参与；</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▲最多可支持同时损坏8块盘时所属RAID存储数据不丢失，可以正常读写；</w:t>
            </w:r>
            <w:r>
              <w:rPr>
                <w:rFonts w:hint="eastAsia" w:ascii="宋体" w:hAnsi="宋体" w:cs="Tahoma"/>
                <w:kern w:val="0"/>
                <w:sz w:val="20"/>
                <w:szCs w:val="20"/>
              </w:rPr>
              <w:t>（提供检测报告并加盖公章）</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能接入并存储1600Mbps视频图像，同时转发1600Mbps的视频图像；同时回放384Mbps的视频图像；</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▲可根据数据对象的重要性、访问频率等属性对数据进行自动分层存储；</w:t>
            </w:r>
            <w:r>
              <w:rPr>
                <w:rFonts w:hint="eastAsia" w:ascii="宋体" w:hAnsi="宋体" w:cs="Tahoma"/>
                <w:kern w:val="0"/>
                <w:sz w:val="20"/>
                <w:szCs w:val="20"/>
              </w:rPr>
              <w:t>（提供检测报告并加盖公章）</w:t>
            </w:r>
          </w:p>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支持RTSP/ONVIF/PSIA/SIP（GB/T28181）等标准网络协议</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▲支持网络中断后重新恢复，设备可续存断网期间存储在前端设备中的录像文件，并可通过IE浏览器设置自动回传和手动回传</w:t>
            </w:r>
            <w:r>
              <w:rPr>
                <w:rFonts w:hint="eastAsia" w:ascii="宋体" w:hAnsi="宋体" w:cs="Tahoma"/>
                <w:kern w:val="0"/>
                <w:sz w:val="20"/>
                <w:szCs w:val="20"/>
              </w:rPr>
              <w:t>（提供检测报告并加盖公章）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8</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Cs w:val="21"/>
              </w:rPr>
            </w:pPr>
            <w:r>
              <w:rPr>
                <w:rFonts w:hint="eastAsia" w:ascii="华文仿宋" w:hAnsi="华文仿宋" w:eastAsia="华文仿宋" w:cs="Tahoma"/>
                <w:kern w:val="0"/>
                <w:szCs w:val="21"/>
              </w:rPr>
              <w:t>1.D5区块摄像机数量为301路。</w:t>
            </w:r>
            <w:r>
              <w:rPr>
                <w:rFonts w:hint="eastAsia" w:ascii="华文仿宋" w:hAnsi="华文仿宋" w:eastAsia="华文仿宋" w:cs="Tahoma"/>
                <w:kern w:val="0"/>
                <w:szCs w:val="21"/>
              </w:rPr>
              <w:br w:type="textWrapping"/>
            </w:r>
            <w:r>
              <w:rPr>
                <w:rFonts w:hint="eastAsia" w:ascii="华文仿宋" w:hAnsi="华文仿宋" w:eastAsia="华文仿宋" w:cs="Tahoma"/>
                <w:kern w:val="0"/>
                <w:szCs w:val="21"/>
              </w:rPr>
              <w:t>2.前端码流按照4M计算</w:t>
            </w:r>
            <w:r>
              <w:rPr>
                <w:rFonts w:hint="eastAsia" w:ascii="华文仿宋" w:hAnsi="华文仿宋" w:eastAsia="华文仿宋" w:cs="Tahoma"/>
                <w:kern w:val="0"/>
                <w:szCs w:val="21"/>
              </w:rPr>
              <w:br w:type="textWrapping"/>
            </w:r>
            <w:r>
              <w:rPr>
                <w:rFonts w:hint="eastAsia" w:ascii="华文仿宋" w:hAnsi="华文仿宋" w:eastAsia="华文仿宋" w:cs="Tahoma"/>
                <w:kern w:val="0"/>
                <w:szCs w:val="21"/>
              </w:rPr>
              <w:t>3.存储时间60天</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4T企业级硬盘</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4TB/128MB(6Gb/秒 NCQ)/7200RPM/SATA3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384</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流媒体服务器</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4114(10核2.2GHz)×1/32G DDR4/600G SAS×2/SAS_HBA/1GbE×2/Win Svr 2016 简中标版/550W(1+1)/2U/16DIMM</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sz w:val="20"/>
                <w:szCs w:val="20"/>
              </w:rPr>
              <w:t>★</w:t>
            </w:r>
            <w:r>
              <w:rPr>
                <w:rFonts w:hint="eastAsia" w:ascii="华文仿宋" w:hAnsi="华文仿宋" w:eastAsia="华文仿宋" w:cs="Tahoma"/>
                <w:kern w:val="0"/>
                <w:sz w:val="20"/>
                <w:szCs w:val="20"/>
              </w:rPr>
              <w:t>存储管理服务器（核心产品）</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包含1500路授权</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实现实时预览、云台控制、录像回放等视频监控功能。实现统一身份认证和权限控制、组织与角色管理维护、设备集中管理、任务计划执行和调度、报警规则与处理管理、电子地图集中配置、设备巡检和日志管理等功能。</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支持多种报警的接收，包括视频丢失报警，视频遮挡报警，移动侦测报警、IO报警、智能分析事件报警，服务器异常状态报警；</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支持报警联动方式有：客户端弹视频图像、声光显示、信息叠加、语音对讲、电子地图、云台联动，报警上墙、短信联动、Email联动等方式；</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支持报警手动确认并插入确认信息；</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支持临时性单个及批量报警布撤防；</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支持报警信息按时间类型查询检索；</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支持报警日志关联录像查询回放；</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支持报警信息的过滤，避免大量重复报警信息；</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支持手动触发报警；</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支持接收巡查报警，门禁报警，停车场报警，报警主机等传来的报警，并对其进行操作和过滤，支持状态图例显示，如报警，布撤防，离线等</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全高清2.5D地图，能够提供丰富的图上作战功能，包括基于GIS的监控点范围查询、轨迹查询、预览回放、一键上墙、覆盖范围可视化管控、报警可视化应用、案情管理、多资源显示和快速查询等功能；支持数据地图与卫星地图的切换显示；支持地图漫游，放大，缩小，测距，测面，框选，截图等地图功能；支持地图鹰眼功能；支持地图预置点设置，修改，调用功能；支持监控点，车辆，告警IO，监控点分组等元素在地图上的显示；支持地图上对视频资源的预览，云台控制，录像回放，历史告警查询，广播等功能；支持地图元素的资产信息，维护信息的显示，设备在线状态，现场安装图片的显示；支持监控点，智能监控点的告警信息实时闪烁提示功能；支持车载，单兵等带有GPS信息设备在地图上位置实时显示和历史轨迹回放；支持按区域统计监控点、报警点等资源的信息，在线率显示。</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▲投标产品须与该区块设备匹配并与学校现有主平台软件无缝对接，完美兼容，保证系统正常运行，</w:t>
            </w:r>
            <w:r>
              <w:rPr>
                <w:rFonts w:hint="eastAsia" w:ascii="宋体" w:hAnsi="宋体" w:cs="Tahoma"/>
                <w:kern w:val="0"/>
                <w:sz w:val="20"/>
                <w:szCs w:val="20"/>
              </w:rPr>
              <w:t>并在投标时提供无缝对接承诺书。</w:t>
            </w:r>
            <w:r>
              <w:rPr>
                <w:rFonts w:hint="eastAsia" w:ascii="华文仿宋" w:hAnsi="华文仿宋" w:eastAsia="华文仿宋" w:cs="Tahoma"/>
                <w:kern w:val="0"/>
                <w:sz w:val="20"/>
                <w:szCs w:val="20"/>
              </w:rPr>
              <w:t>如中标后发现所投品牌型号不能与现有设备匹配兼容，后果均有由投标人自行承担，费用不作调整。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核心交换机</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性能要求</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交换容量≥</w:t>
            </w:r>
            <w:r>
              <w:rPr>
                <w:rFonts w:ascii="华文仿宋" w:hAnsi="华文仿宋" w:eastAsia="华文仿宋" w:cs="Tahoma"/>
                <w:kern w:val="0"/>
                <w:sz w:val="20"/>
                <w:szCs w:val="20"/>
              </w:rPr>
              <w:t>590</w:t>
            </w:r>
            <w:r>
              <w:rPr>
                <w:rFonts w:hint="eastAsia" w:ascii="华文仿宋" w:hAnsi="华文仿宋" w:eastAsia="华文仿宋" w:cs="Tahoma"/>
                <w:kern w:val="0"/>
                <w:sz w:val="20"/>
                <w:szCs w:val="20"/>
              </w:rPr>
              <w:t>Gbps，包转发率≥</w:t>
            </w:r>
            <w:r>
              <w:rPr>
                <w:rFonts w:ascii="华文仿宋" w:hAnsi="华文仿宋" w:eastAsia="华文仿宋" w:cs="Tahoma"/>
                <w:kern w:val="0"/>
                <w:sz w:val="20"/>
                <w:szCs w:val="20"/>
              </w:rPr>
              <w:t>220</w:t>
            </w:r>
            <w:r>
              <w:rPr>
                <w:rFonts w:hint="eastAsia" w:ascii="华文仿宋" w:hAnsi="华文仿宋" w:eastAsia="华文仿宋" w:cs="Tahoma"/>
                <w:kern w:val="0"/>
                <w:sz w:val="20"/>
                <w:szCs w:val="20"/>
              </w:rPr>
              <w:t xml:space="preserve">Mpps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支持≥2</w:t>
            </w:r>
            <w:r>
              <w:rPr>
                <w:rFonts w:ascii="华文仿宋" w:hAnsi="华文仿宋" w:eastAsia="华文仿宋" w:cs="Tahoma"/>
                <w:kern w:val="0"/>
                <w:sz w:val="20"/>
                <w:szCs w:val="20"/>
              </w:rPr>
              <w:t>8</w:t>
            </w:r>
            <w:r>
              <w:rPr>
                <w:rFonts w:hint="eastAsia" w:ascii="华文仿宋" w:hAnsi="华文仿宋" w:eastAsia="华文仿宋" w:cs="Tahoma"/>
                <w:kern w:val="0"/>
                <w:sz w:val="20"/>
                <w:szCs w:val="20"/>
              </w:rPr>
              <w:t>个千兆电口， ≥</w:t>
            </w:r>
            <w:r>
              <w:rPr>
                <w:rFonts w:ascii="华文仿宋" w:hAnsi="华文仿宋" w:eastAsia="华文仿宋" w:cs="Tahoma"/>
                <w:kern w:val="0"/>
                <w:sz w:val="20"/>
                <w:szCs w:val="20"/>
              </w:rPr>
              <w:t xml:space="preserve">4个复用的千兆Combo </w:t>
            </w:r>
            <w:r>
              <w:rPr>
                <w:rFonts w:hint="eastAsia" w:ascii="华文仿宋" w:hAnsi="华文仿宋" w:eastAsia="华文仿宋" w:cs="Tahoma"/>
                <w:kern w:val="0"/>
                <w:sz w:val="20"/>
                <w:szCs w:val="20"/>
              </w:rPr>
              <w:t>光口，≥4个万兆光口，≥1个扩展槽</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实配电源冗余配置、支持电源冗余配置</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支持4K个VLAN，支持Voice VLAN，基于端口的VLAN，基于MAC的VLAN，基于协议的VLAN</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支持MAC地址≥</w:t>
            </w:r>
            <w:r>
              <w:rPr>
                <w:rFonts w:ascii="华文仿宋" w:hAnsi="华文仿宋" w:eastAsia="华文仿宋" w:cs="Tahoma"/>
                <w:kern w:val="0"/>
                <w:sz w:val="20"/>
                <w:szCs w:val="20"/>
              </w:rPr>
              <w:t>64</w:t>
            </w:r>
            <w:r>
              <w:rPr>
                <w:rFonts w:hint="eastAsia" w:ascii="华文仿宋" w:hAnsi="华文仿宋" w:eastAsia="华文仿宋" w:cs="Tahoma"/>
                <w:kern w:val="0"/>
                <w:sz w:val="20"/>
                <w:szCs w:val="20"/>
              </w:rPr>
              <w:t>K，提供第三方权威机构检测报告</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支持端口聚合，每个聚合组至少8个端口，支持跨设备链路聚合</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IP路由</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 xml:space="preserve">支持静态路由、RIP、RIPng、OSPF路由协议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 xml:space="preserve">支持IPv6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为方便管理，接入交换机可作为现有核心交换机纵向子节点零配置即插即用；提供第三方权威机构检测报告及技术白皮书</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支持802.1x认证、AAA认证、Radius等多种方式</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支持端口隔离、端口安全，DHCP Snooping，CPU保护等功能</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支持智能以太保护SEP协议，支持ERPS以太环保护协议（G.8032）</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接口防雷能力≥</w:t>
            </w:r>
            <w:r>
              <w:rPr>
                <w:rFonts w:ascii="华文仿宋" w:hAnsi="华文仿宋" w:eastAsia="华文仿宋" w:cs="Tahoma"/>
                <w:kern w:val="0"/>
                <w:sz w:val="20"/>
                <w:szCs w:val="20"/>
              </w:rPr>
              <w:t>8</w:t>
            </w:r>
            <w:r>
              <w:rPr>
                <w:rFonts w:hint="eastAsia" w:ascii="华文仿宋" w:hAnsi="华文仿宋" w:eastAsia="华文仿宋" w:cs="Tahoma"/>
                <w:kern w:val="0"/>
                <w:sz w:val="20"/>
                <w:szCs w:val="20"/>
              </w:rPr>
              <w:t>kv</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支持SNMP v1/v2/v3、Telnet远程维护、网管系统管理、WEB网管</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支持堆叠，主机堆叠数不小于9台，要求与现有监控网核心设备做虚拟化功能，支持统一接入管理。</w:t>
            </w:r>
          </w:p>
          <w:p>
            <w:pPr>
              <w:rPr>
                <w:rFonts w:hint="eastAsia" w:ascii="华文仿宋" w:hAnsi="华文仿宋" w:eastAsia="华文仿宋" w:cs="Tahoma"/>
                <w:kern w:val="0"/>
                <w:sz w:val="20"/>
                <w:szCs w:val="20"/>
              </w:rPr>
            </w:pPr>
            <w:r>
              <w:rPr>
                <w:rFonts w:ascii="华文仿宋" w:hAnsi="华文仿宋" w:eastAsia="华文仿宋" w:cs="Tahoma"/>
                <w:kern w:val="0"/>
                <w:sz w:val="20"/>
                <w:szCs w:val="20"/>
              </w:rPr>
              <w:t>本次采购所有产品（包含光模块等）序列号必须原厂官网可查询</w:t>
            </w:r>
          </w:p>
          <w:p>
            <w:pPr>
              <w:widowControl/>
              <w:jc w:val="left"/>
              <w:rPr>
                <w:rFonts w:ascii="华文仿宋" w:hAnsi="华文仿宋" w:eastAsia="华文仿宋" w:cs="Tahoma"/>
                <w:kern w:val="0"/>
                <w:sz w:val="20"/>
                <w:szCs w:val="20"/>
              </w:rPr>
            </w:pPr>
            <w:r>
              <w:rPr>
                <w:rFonts w:ascii="华文仿宋" w:hAnsi="华文仿宋" w:eastAsia="华文仿宋" w:cs="Tahoma"/>
                <w:kern w:val="0"/>
                <w:sz w:val="20"/>
                <w:szCs w:val="20"/>
              </w:rPr>
              <w:t>要求在杭州设有备件库；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管理电脑</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商用台式机电脑 三年上门 单主机 I7-6700 8G2T R7350-4G独显,处理器：Intel i7,硬盘容量：3T,电脑类别：商用电脑,内存容量：8G,显卡：2G独立显卡,系统：Windows7及以上.含22寸显示器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3</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操作台</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三联操作台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服务器机柜</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42U标准服务器机柜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8"/>
                <w:szCs w:val="28"/>
              </w:rPr>
            </w:pPr>
          </w:p>
        </w:tc>
      </w:tr>
    </w:tbl>
    <w:p>
      <w:pPr>
        <w:snapToGrid w:val="0"/>
        <w:spacing w:line="360" w:lineRule="auto"/>
        <w:ind w:firstLine="482" w:firstLineChars="200"/>
        <w:outlineLvl w:val="0"/>
        <w:rPr>
          <w:rFonts w:ascii="宋体" w:hAnsi="宋体"/>
          <w:b/>
          <w:sz w:val="24"/>
        </w:rPr>
      </w:pPr>
    </w:p>
    <w:p>
      <w:pPr>
        <w:snapToGrid w:val="0"/>
        <w:spacing w:line="360" w:lineRule="auto"/>
        <w:ind w:firstLine="482" w:firstLineChars="200"/>
        <w:outlineLvl w:val="0"/>
        <w:rPr>
          <w:rFonts w:ascii="宋体" w:hAnsi="宋体"/>
          <w:b/>
          <w:sz w:val="24"/>
        </w:rPr>
      </w:pPr>
      <w:r>
        <w:rPr>
          <w:rFonts w:hint="eastAsia" w:ascii="宋体" w:hAnsi="宋体"/>
          <w:b/>
          <w:sz w:val="24"/>
        </w:rPr>
        <w:t>标项三：</w:t>
      </w:r>
      <w:r>
        <w:rPr>
          <w:rFonts w:ascii="宋体" w:hAnsi="宋体"/>
          <w:b/>
          <w:sz w:val="24"/>
        </w:rPr>
        <w:t>C</w:t>
      </w:r>
      <w:r>
        <w:rPr>
          <w:rFonts w:hint="eastAsia" w:ascii="宋体" w:hAnsi="宋体"/>
          <w:b/>
          <w:sz w:val="24"/>
        </w:rPr>
        <w:t>区块监控机房存储扩展</w:t>
      </w:r>
    </w:p>
    <w:tbl>
      <w:tblPr>
        <w:tblStyle w:val="85"/>
        <w:tblW w:w="0" w:type="auto"/>
        <w:jc w:val="center"/>
        <w:tblLayout w:type="fixed"/>
        <w:tblCellMar>
          <w:top w:w="15" w:type="dxa"/>
          <w:left w:w="108" w:type="dxa"/>
          <w:bottom w:w="15" w:type="dxa"/>
          <w:right w:w="108" w:type="dxa"/>
        </w:tblCellMar>
      </w:tblPr>
      <w:tblGrid>
        <w:gridCol w:w="915"/>
        <w:gridCol w:w="6256"/>
        <w:gridCol w:w="817"/>
        <w:gridCol w:w="1033"/>
      </w:tblGrid>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设备名称</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参数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数量</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4"/>
              </w:rPr>
            </w:pPr>
            <w:r>
              <w:rPr>
                <w:rFonts w:hint="eastAsia" w:ascii="华文仿宋" w:hAnsi="华文仿宋" w:eastAsia="华文仿宋" w:cs="Tahoma"/>
                <w:kern w:val="0"/>
                <w:sz w:val="24"/>
              </w:rPr>
              <w:t>备注</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★48盘位存储服务器（核心产品）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48盘位存储主机；</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单设备应配置≥两颗64位多核处理器，≥8GB内存，内存支持扩展到≥128GB，需配置冗余金牌电源；</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单设备应标配≥2个千兆网口，可增扩≥4个万兆口或≥8个光纤接口口或增配≥4个HDMI接口或≥2个SAS3.0接口，可扩展2个SSD固态硬盘；</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能提供RAID0、1、3、5、6、10、50、60、JBOD、RAIDErasingCode、Raid5EE模式，支持全局、局部等多种热备选择，支持坏盘自动重构；</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能对视音频、图片、智能分析录像混合直存，无需存储服务器和图片服务器参与；</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▲允许RAID内丢失2块（含）以上硬盘但至少有1块正常磁盘时，数据不丢失，服务不中断；</w:t>
            </w:r>
            <w:r>
              <w:rPr>
                <w:rFonts w:hint="eastAsia" w:ascii="宋体" w:hAnsi="宋体" w:cs="Tahoma"/>
                <w:kern w:val="0"/>
                <w:sz w:val="20"/>
                <w:szCs w:val="20"/>
              </w:rPr>
              <w:t>（提供检测报告并加盖公章）</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能接入并存储1880Mbps视频图像，同时转发1880Mbps的视频图像；同时回放512Mbps的视频图像；</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▲可根据数据对象的重要性、访问频率等属性对数据进行自动分层存储；</w:t>
            </w:r>
            <w:r>
              <w:rPr>
                <w:rFonts w:hint="eastAsia" w:ascii="宋体" w:hAnsi="宋体" w:cs="Tahoma"/>
                <w:kern w:val="0"/>
                <w:sz w:val="20"/>
                <w:szCs w:val="20"/>
              </w:rPr>
              <w:t>（提供检测报告并加盖公章）</w:t>
            </w:r>
          </w:p>
          <w:p>
            <w:pPr>
              <w:widowControl/>
              <w:jc w:val="left"/>
              <w:rPr>
                <w:rFonts w:hint="eastAsia" w:ascii="华文仿宋" w:hAnsi="华文仿宋" w:eastAsia="华文仿宋" w:cs="Tahoma"/>
                <w:kern w:val="0"/>
                <w:sz w:val="20"/>
                <w:szCs w:val="20"/>
              </w:rPr>
            </w:pPr>
            <w:r>
              <w:rPr>
                <w:rFonts w:hint="eastAsia" w:ascii="华文仿宋" w:hAnsi="华文仿宋" w:eastAsia="华文仿宋" w:cs="Tahoma"/>
                <w:kern w:val="0"/>
                <w:sz w:val="20"/>
                <w:szCs w:val="20"/>
              </w:rPr>
              <w:t>支持RTSP/ONVIF/PSIA/SIP（GB/T28181）等标准网络协议；</w:t>
            </w:r>
          </w:p>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▲支持网络中断后重新恢复，设备可续存断网期间存储在前端设备中的录像文件，并可通过IE浏览器设置自动回传和手动回传</w:t>
            </w:r>
            <w:r>
              <w:rPr>
                <w:rFonts w:hint="eastAsia" w:ascii="宋体" w:hAnsi="宋体" w:cs="Tahoma"/>
                <w:kern w:val="0"/>
                <w:sz w:val="20"/>
                <w:szCs w:val="20"/>
              </w:rPr>
              <w:t>（提供检测报告并加盖公章）</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34</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ascii="华文仿宋" w:hAnsi="华文仿宋" w:eastAsia="华文仿宋" w:cs="Tahoma"/>
                <w:kern w:val="0"/>
                <w:sz w:val="20"/>
                <w:szCs w:val="20"/>
              </w:rPr>
            </w:pPr>
            <w:r>
              <w:rPr>
                <w:rFonts w:hint="eastAsia" w:ascii="华文仿宋" w:hAnsi="华文仿宋" w:eastAsia="华文仿宋" w:cs="Tahoma"/>
                <w:kern w:val="0"/>
                <w:sz w:val="20"/>
                <w:szCs w:val="20"/>
              </w:rPr>
              <w:t>1.教学区675路，生活区488路，室外有118路周界摄像机和46路球机，一共1327路</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2.前端码流按照4M计算</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3.存储时间60天</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4T企业级硬盘</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4TB/128MB(6Gb/秒 NCQ)/7200RPM/SATA3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1632</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流媒体服务器</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4114(10核2.2GHz)×1/32G DDR4/600G SAS×2/SAS_HBA/1GbE×2/Win Svr 2016 简中标版/550W(1+1)/2U/16DIMM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3</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★存储管理服务器（核心产品）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包含1500路授权</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实现实时预览、云台控制、录像回放等视频监控功能。实现统一身份认证和权限控制、组织与角色管理维护、设备集中管理、任务计划执行和调度、报警规则与处理管理、电子地图集中配置、设备巡检和日志管理等功能。</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支持多种报警的接收，包括视频丢失报警，视频遮挡报警，移动侦测报警、IO报警、智能分析事件报警，服务器异常状态报警；</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支持报警联动方式有：客户端弹视频图像、声光显示、信息叠加、语音对讲、电子地图、云台联动，报警上墙、短信联动、Email联动等方式；</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支持报警手动确认并插入确认信息；</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支持临时性单个及批量报警布撤防；</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支持报警信息按时间类型查询检索；</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支持报警日志关联录像查询回放；</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支持报警信息的过滤，避免大量重复报警信息；</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支持手动触发报警；</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支持接收巡查报警，门禁报警，停车场报警，报警主机等传来的报警，并对其进行操作和过滤，支持状态图例显示，如报警，布撤防，离线等</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支持全高清2.5D地图，能够提供丰富的图上作战功能，包括基于GIS的监控点范围查询、轨迹查询、预览回放、一键上墙、覆盖范围可视化管控、报警可视化应用、案情管理、多资源显示和快速查询等功能；支持数据地图与卫星地图的切换显示；支持地图漫游，放大，缩小，测距，测面，框选，截图等地图功能；支持地图鹰眼功能；支持地图预置点设置，修改，调用功能；支持监控点，车辆，告警IO，监控点分组等元素在地图上的显示；支持地图上对视频资源的预览，云台控制，录像回放，历史告警查询，广播等功能；支持地图元素的资产信息，维护信息的显示，设备在线状态，现场安装图片的显示；支持监控点，智能监控点的告警信息实时闪烁提示功能；支持车载，单兵等带有GPS信息设备在地图上位置实时显示和历史轨迹回放；支持按区域统计监控点、报警点等资源的信息，在线率显示。</w:t>
            </w:r>
            <w:r>
              <w:rPr>
                <w:rFonts w:hint="eastAsia" w:ascii="华文仿宋" w:hAnsi="华文仿宋" w:eastAsia="华文仿宋" w:cs="Tahoma"/>
                <w:kern w:val="0"/>
                <w:sz w:val="20"/>
                <w:szCs w:val="20"/>
              </w:rPr>
              <w:br w:type="textWrapping"/>
            </w:r>
            <w:r>
              <w:rPr>
                <w:rFonts w:hint="eastAsia" w:ascii="华文仿宋" w:hAnsi="华文仿宋" w:eastAsia="华文仿宋" w:cs="Tahoma"/>
                <w:kern w:val="0"/>
                <w:sz w:val="20"/>
                <w:szCs w:val="20"/>
              </w:rPr>
              <w:t>▲投标产品须与该区块设备匹配并与学校现有主平台软件无缝对接，完美兼容，保证系统正常运行，</w:t>
            </w:r>
            <w:r>
              <w:rPr>
                <w:rFonts w:hint="eastAsia" w:ascii="宋体" w:hAnsi="宋体" w:cs="Tahoma"/>
                <w:kern w:val="0"/>
                <w:sz w:val="20"/>
                <w:szCs w:val="20"/>
              </w:rPr>
              <w:t>并在投标时提供无缝对接承诺书。</w:t>
            </w:r>
            <w:r>
              <w:rPr>
                <w:rFonts w:hint="eastAsia" w:ascii="华文仿宋" w:hAnsi="华文仿宋" w:eastAsia="华文仿宋" w:cs="Tahoma"/>
                <w:kern w:val="0"/>
                <w:sz w:val="20"/>
                <w:szCs w:val="20"/>
              </w:rPr>
              <w:t>如中标后发现所投品牌型号不能与现有设备匹配兼容，后果均有由投标人自行承担，费用不作调整。</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核心交换机</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性能要求</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交换容量≥</w:t>
            </w:r>
            <w:r>
              <w:rPr>
                <w:rFonts w:ascii="华文仿宋" w:hAnsi="华文仿宋" w:eastAsia="华文仿宋" w:cs="Tahoma"/>
                <w:kern w:val="0"/>
                <w:sz w:val="20"/>
                <w:szCs w:val="20"/>
              </w:rPr>
              <w:t>590</w:t>
            </w:r>
            <w:r>
              <w:rPr>
                <w:rFonts w:hint="eastAsia" w:ascii="华文仿宋" w:hAnsi="华文仿宋" w:eastAsia="华文仿宋" w:cs="Tahoma"/>
                <w:kern w:val="0"/>
                <w:sz w:val="20"/>
                <w:szCs w:val="20"/>
              </w:rPr>
              <w:t>Gbps，包转发率≥</w:t>
            </w:r>
            <w:r>
              <w:rPr>
                <w:rFonts w:ascii="华文仿宋" w:hAnsi="华文仿宋" w:eastAsia="华文仿宋" w:cs="Tahoma"/>
                <w:kern w:val="0"/>
                <w:sz w:val="20"/>
                <w:szCs w:val="20"/>
              </w:rPr>
              <w:t>250</w:t>
            </w:r>
            <w:r>
              <w:rPr>
                <w:rFonts w:hint="eastAsia" w:ascii="华文仿宋" w:hAnsi="华文仿宋" w:eastAsia="华文仿宋" w:cs="Tahoma"/>
                <w:kern w:val="0"/>
                <w:sz w:val="20"/>
                <w:szCs w:val="20"/>
              </w:rPr>
              <w:t xml:space="preserve">Mpps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支持≥4</w:t>
            </w:r>
            <w:r>
              <w:rPr>
                <w:rFonts w:ascii="华文仿宋" w:hAnsi="华文仿宋" w:eastAsia="华文仿宋" w:cs="Tahoma"/>
                <w:kern w:val="0"/>
                <w:sz w:val="20"/>
                <w:szCs w:val="20"/>
              </w:rPr>
              <w:t>8</w:t>
            </w:r>
            <w:r>
              <w:rPr>
                <w:rFonts w:hint="eastAsia" w:ascii="华文仿宋" w:hAnsi="华文仿宋" w:eastAsia="华文仿宋" w:cs="Tahoma"/>
                <w:kern w:val="0"/>
                <w:sz w:val="20"/>
                <w:szCs w:val="20"/>
              </w:rPr>
              <w:t>个千兆电口， ≥4个万兆光口，≥1个扩展槽</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实配电源冗余配置、支持电源冗余配置</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支持4K个VLAN，支持Voice VLAN，基于端口的VLAN，基于MAC的VLAN，基于协议的VLAN</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支持MAC地址≥</w:t>
            </w:r>
            <w:r>
              <w:rPr>
                <w:rFonts w:ascii="华文仿宋" w:hAnsi="华文仿宋" w:eastAsia="华文仿宋" w:cs="Tahoma"/>
                <w:kern w:val="0"/>
                <w:sz w:val="20"/>
                <w:szCs w:val="20"/>
              </w:rPr>
              <w:t>64</w:t>
            </w:r>
            <w:r>
              <w:rPr>
                <w:rFonts w:hint="eastAsia" w:ascii="华文仿宋" w:hAnsi="华文仿宋" w:eastAsia="华文仿宋" w:cs="Tahoma"/>
                <w:kern w:val="0"/>
                <w:sz w:val="20"/>
                <w:szCs w:val="20"/>
              </w:rPr>
              <w:t>K，提供第三方权威机构检测报告</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支持端口聚合，每个聚合组至少8个端口，支持跨设备链路聚合</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IP路由</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 xml:space="preserve">支持静态路由、RIP、RIPng、OSPF路由协议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 xml:space="preserve">支持IPv6 </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为方便管理，接入交换机可作为现有核心交换机纵向子节点零配置即插即用；提供第三方权威机构检测报告及技术白皮书</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支持802.1x认证、AAA认证、Radius等多种方式</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支持端口隔离、端口安全，DHCP Snooping，CPU保护等功能</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支持智能以太保护SEP协议，支持ERPS以太环保护协议（G.8032）</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接口防雷能力≥8kv</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支持SNMP v1/v2/v3、Telnet远程维护、网管系统管理、WEB网管</w:t>
            </w:r>
          </w:p>
          <w:p>
            <w:pPr>
              <w:rPr>
                <w:rFonts w:ascii="华文仿宋" w:hAnsi="华文仿宋" w:eastAsia="华文仿宋" w:cs="Tahoma"/>
                <w:kern w:val="0"/>
                <w:sz w:val="20"/>
                <w:szCs w:val="20"/>
              </w:rPr>
            </w:pPr>
            <w:r>
              <w:rPr>
                <w:rFonts w:hint="eastAsia" w:ascii="华文仿宋" w:hAnsi="华文仿宋" w:eastAsia="华文仿宋" w:cs="Tahoma"/>
                <w:kern w:val="0"/>
                <w:sz w:val="20"/>
                <w:szCs w:val="20"/>
              </w:rPr>
              <w:t>支持堆叠，主机堆叠数不小于9台，要求与现有监控网核心设备做虚拟化功能，支持统一接入管理。</w:t>
            </w:r>
          </w:p>
          <w:p>
            <w:pPr>
              <w:rPr>
                <w:rFonts w:ascii="华文仿宋" w:hAnsi="华文仿宋" w:eastAsia="华文仿宋" w:cs="Tahoma"/>
                <w:kern w:val="0"/>
                <w:sz w:val="20"/>
                <w:szCs w:val="20"/>
              </w:rPr>
            </w:pPr>
            <w:r>
              <w:rPr>
                <w:rFonts w:ascii="华文仿宋" w:hAnsi="华文仿宋" w:eastAsia="华文仿宋" w:cs="Tahoma"/>
                <w:kern w:val="0"/>
                <w:sz w:val="20"/>
                <w:szCs w:val="20"/>
              </w:rPr>
              <w:t>本次采购所有产品（包含光模块等）序列号必须原厂官网可查询</w:t>
            </w:r>
            <w:r>
              <w:rPr>
                <w:rFonts w:hint="eastAsia" w:ascii="华文仿宋" w:hAnsi="华文仿宋" w:eastAsia="华文仿宋" w:cs="Tahoma"/>
                <w:kern w:val="0"/>
                <w:sz w:val="20"/>
                <w:szCs w:val="20"/>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服务器机柜</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r>
              <w:rPr>
                <w:rFonts w:hint="eastAsia" w:ascii="华文仿宋" w:hAnsi="华文仿宋" w:eastAsia="华文仿宋" w:cs="Tahoma"/>
                <w:kern w:val="0"/>
                <w:sz w:val="20"/>
                <w:szCs w:val="20"/>
              </w:rPr>
              <w:t>42U标准服务器机柜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kern w:val="0"/>
                <w:sz w:val="20"/>
                <w:szCs w:val="20"/>
              </w:rPr>
            </w:pPr>
            <w:r>
              <w:rPr>
                <w:rFonts w:hint="eastAsia" w:ascii="华文仿宋" w:hAnsi="华文仿宋" w:eastAsia="华文仿宋" w:cs="Tahoma"/>
                <w:kern w:val="0"/>
                <w:sz w:val="20"/>
                <w:szCs w:val="20"/>
              </w:rPr>
              <w:t>7</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kern w:val="0"/>
                <w:sz w:val="20"/>
                <w:szCs w:val="20"/>
              </w:rPr>
            </w:pPr>
          </w:p>
        </w:tc>
      </w:tr>
    </w:tbl>
    <w:p>
      <w:pPr>
        <w:snapToGrid w:val="0"/>
        <w:spacing w:line="360" w:lineRule="auto"/>
        <w:ind w:firstLine="482" w:firstLineChars="200"/>
        <w:outlineLvl w:val="0"/>
        <w:rPr>
          <w:rFonts w:ascii="宋体" w:hAnsi="宋体"/>
          <w:b/>
          <w:sz w:val="24"/>
        </w:rPr>
      </w:pPr>
    </w:p>
    <w:p>
      <w:pPr>
        <w:spacing w:line="360" w:lineRule="auto"/>
        <w:jc w:val="center"/>
        <w:outlineLvl w:val="0"/>
        <w:rPr>
          <w:rFonts w:hint="eastAsia" w:ascii="仿宋_GB2312" w:hAnsi="仿宋" w:eastAsia="仿宋_GB2312"/>
          <w:b/>
          <w:sz w:val="36"/>
          <w:szCs w:val="36"/>
        </w:rPr>
      </w:pPr>
    </w:p>
    <w:p>
      <w:pPr>
        <w:spacing w:line="360" w:lineRule="auto"/>
        <w:outlineLvl w:val="0"/>
        <w:rPr>
          <w:rFonts w:ascii="仿宋_GB2312" w:hAnsi="仿宋_GB2312" w:eastAsia="仿宋_GB2312" w:cs="仿宋_GB2312"/>
          <w:b/>
          <w:sz w:val="36"/>
          <w:szCs w:val="36"/>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cols w:space="720" w:num="1"/>
          <w:titlePg/>
          <w:docGrid w:linePitch="312" w:charSpace="0"/>
        </w:sectPr>
      </w:pPr>
    </w:p>
    <w:p>
      <w:pPr>
        <w:adjustRightInd/>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 xml:space="preserve">第四部分   </w:t>
      </w:r>
      <w:bookmarkStart w:id="37" w:name="_Toc184308040"/>
      <w:bookmarkEnd w:id="37"/>
      <w:bookmarkStart w:id="38" w:name="_Toc184313262"/>
      <w:bookmarkEnd w:id="38"/>
      <w:bookmarkStart w:id="39" w:name="_Toc184310296"/>
      <w:bookmarkEnd w:id="39"/>
      <w:bookmarkStart w:id="40" w:name="_Toc184313277"/>
      <w:bookmarkEnd w:id="40"/>
      <w:bookmarkStart w:id="41" w:name="_Toc184308058"/>
      <w:bookmarkEnd w:id="41"/>
      <w:bookmarkStart w:id="42" w:name="_Toc184310317"/>
      <w:bookmarkEnd w:id="42"/>
      <w:bookmarkStart w:id="43" w:name="_Toc184310297"/>
      <w:bookmarkEnd w:id="43"/>
      <w:bookmarkStart w:id="44" w:name="_Toc184313292"/>
      <w:bookmarkEnd w:id="44"/>
      <w:bookmarkStart w:id="45" w:name="_Toc184308049"/>
      <w:bookmarkEnd w:id="45"/>
      <w:bookmarkStart w:id="46" w:name="_Toc184313287"/>
      <w:bookmarkEnd w:id="46"/>
      <w:bookmarkStart w:id="47" w:name="_Toc184308061"/>
      <w:bookmarkEnd w:id="47"/>
      <w:bookmarkStart w:id="48" w:name="_Toc184314450"/>
      <w:bookmarkEnd w:id="48"/>
      <w:bookmarkStart w:id="49" w:name="_Toc184312116"/>
      <w:bookmarkEnd w:id="49"/>
      <w:bookmarkStart w:id="50" w:name="_Toc184314431"/>
      <w:bookmarkEnd w:id="50"/>
      <w:bookmarkStart w:id="51" w:name="_Toc184313253"/>
      <w:bookmarkEnd w:id="51"/>
      <w:bookmarkStart w:id="52" w:name="_Toc184314449"/>
      <w:bookmarkEnd w:id="52"/>
      <w:bookmarkStart w:id="53" w:name="_Toc184308039"/>
      <w:bookmarkEnd w:id="53"/>
      <w:bookmarkStart w:id="54" w:name="_Toc184310275"/>
      <w:bookmarkEnd w:id="54"/>
      <w:bookmarkStart w:id="55" w:name="_Toc184312085"/>
      <w:bookmarkEnd w:id="55"/>
      <w:bookmarkStart w:id="56" w:name="_Toc184314458"/>
      <w:bookmarkEnd w:id="56"/>
      <w:bookmarkStart w:id="57" w:name="_Toc184308081"/>
      <w:bookmarkEnd w:id="57"/>
      <w:bookmarkStart w:id="58" w:name="_Toc184312112"/>
      <w:bookmarkEnd w:id="58"/>
      <w:bookmarkStart w:id="59" w:name="_Toc184312087"/>
      <w:bookmarkEnd w:id="59"/>
      <w:bookmarkStart w:id="60" w:name="_Toc184310299"/>
      <w:bookmarkEnd w:id="60"/>
      <w:bookmarkStart w:id="61" w:name="_Toc184314473"/>
      <w:bookmarkEnd w:id="61"/>
      <w:bookmarkStart w:id="62" w:name="_Toc184310322"/>
      <w:bookmarkEnd w:id="62"/>
      <w:bookmarkStart w:id="63" w:name="_Toc184312070"/>
      <w:bookmarkEnd w:id="63"/>
      <w:bookmarkStart w:id="64" w:name="_Toc184310336"/>
      <w:bookmarkEnd w:id="64"/>
      <w:bookmarkStart w:id="65" w:name="_Toc184308101"/>
      <w:bookmarkEnd w:id="65"/>
      <w:bookmarkStart w:id="66" w:name="_Toc184313306"/>
      <w:bookmarkEnd w:id="66"/>
      <w:bookmarkStart w:id="67" w:name="_Toc184312084"/>
      <w:bookmarkEnd w:id="67"/>
      <w:bookmarkStart w:id="68" w:name="_Toc184308054"/>
      <w:bookmarkEnd w:id="68"/>
      <w:bookmarkStart w:id="69" w:name="_Toc184313307"/>
      <w:bookmarkEnd w:id="69"/>
      <w:bookmarkStart w:id="70" w:name="_Toc184308055"/>
      <w:bookmarkEnd w:id="70"/>
      <w:bookmarkStart w:id="71" w:name="_Toc184308053"/>
      <w:bookmarkEnd w:id="71"/>
      <w:bookmarkStart w:id="72" w:name="_Toc184312086"/>
      <w:bookmarkEnd w:id="72"/>
      <w:bookmarkStart w:id="73" w:name="_Toc184314413"/>
      <w:bookmarkEnd w:id="73"/>
      <w:bookmarkStart w:id="74" w:name="_Toc184313257"/>
      <w:bookmarkEnd w:id="74"/>
      <w:bookmarkStart w:id="75" w:name="_Toc184312069"/>
      <w:bookmarkEnd w:id="75"/>
      <w:bookmarkStart w:id="76" w:name="_Toc184310288"/>
      <w:bookmarkEnd w:id="76"/>
      <w:bookmarkStart w:id="77" w:name="_Toc184313254"/>
      <w:bookmarkEnd w:id="77"/>
      <w:bookmarkStart w:id="78" w:name="_Toc184314429"/>
      <w:bookmarkEnd w:id="78"/>
      <w:bookmarkStart w:id="79" w:name="_Toc184310281"/>
      <w:bookmarkEnd w:id="79"/>
      <w:bookmarkStart w:id="80" w:name="_Toc184314478"/>
      <w:bookmarkEnd w:id="80"/>
      <w:bookmarkStart w:id="81" w:name="_Toc184310291"/>
      <w:bookmarkEnd w:id="81"/>
      <w:bookmarkStart w:id="82" w:name="_Toc184310292"/>
      <w:bookmarkEnd w:id="82"/>
      <w:bookmarkStart w:id="83" w:name="_Toc184314455"/>
      <w:bookmarkEnd w:id="83"/>
      <w:bookmarkStart w:id="84" w:name="_Toc184308056"/>
      <w:bookmarkEnd w:id="84"/>
      <w:bookmarkStart w:id="85" w:name="_Toc184313251"/>
      <w:bookmarkEnd w:id="85"/>
      <w:bookmarkStart w:id="86" w:name="_Toc184314428"/>
      <w:bookmarkEnd w:id="86"/>
      <w:bookmarkStart w:id="87" w:name="_Toc184313258"/>
      <w:bookmarkEnd w:id="87"/>
      <w:bookmarkStart w:id="88" w:name="_Toc184314430"/>
      <w:bookmarkEnd w:id="88"/>
      <w:bookmarkStart w:id="89" w:name="_Toc184314432"/>
      <w:bookmarkEnd w:id="89"/>
      <w:bookmarkStart w:id="90" w:name="_Toc184312067"/>
      <w:bookmarkEnd w:id="90"/>
      <w:bookmarkStart w:id="91" w:name="_Toc184312088"/>
      <w:bookmarkEnd w:id="91"/>
      <w:bookmarkStart w:id="92" w:name="_Toc184314446"/>
      <w:bookmarkEnd w:id="92"/>
      <w:bookmarkStart w:id="93" w:name="_Toc184314475"/>
      <w:bookmarkEnd w:id="93"/>
      <w:bookmarkStart w:id="94" w:name="_Toc184312068"/>
      <w:bookmarkEnd w:id="94"/>
      <w:bookmarkStart w:id="95" w:name="_Toc184308074"/>
      <w:bookmarkEnd w:id="95"/>
      <w:bookmarkStart w:id="96" w:name="_Toc184310315"/>
      <w:bookmarkEnd w:id="96"/>
      <w:bookmarkStart w:id="97" w:name="_Toc184310300"/>
      <w:bookmarkEnd w:id="97"/>
      <w:bookmarkStart w:id="98" w:name="_Toc184314454"/>
      <w:bookmarkEnd w:id="98"/>
      <w:bookmarkStart w:id="99" w:name="_Toc184313255"/>
      <w:bookmarkEnd w:id="99"/>
      <w:bookmarkStart w:id="100" w:name="_Toc184313275"/>
      <w:bookmarkEnd w:id="100"/>
      <w:bookmarkStart w:id="101" w:name="_Toc184313283"/>
      <w:bookmarkEnd w:id="101"/>
      <w:bookmarkStart w:id="102" w:name="_Toc184312113"/>
      <w:bookmarkEnd w:id="102"/>
      <w:bookmarkStart w:id="103" w:name="_Toc184308052"/>
      <w:bookmarkEnd w:id="103"/>
      <w:bookmarkStart w:id="104" w:name="_Toc184312095"/>
      <w:bookmarkEnd w:id="104"/>
      <w:bookmarkStart w:id="105" w:name="_Toc184314426"/>
      <w:bookmarkEnd w:id="105"/>
      <w:bookmarkStart w:id="106" w:name="_Toc184313266"/>
      <w:bookmarkEnd w:id="106"/>
      <w:bookmarkStart w:id="107" w:name="_Toc184310273"/>
      <w:bookmarkEnd w:id="107"/>
      <w:bookmarkStart w:id="108" w:name="_Toc184313256"/>
      <w:bookmarkEnd w:id="108"/>
      <w:bookmarkStart w:id="109" w:name="_Toc184313281"/>
      <w:bookmarkEnd w:id="109"/>
      <w:bookmarkStart w:id="110" w:name="_Toc184310341"/>
      <w:bookmarkEnd w:id="110"/>
      <w:bookmarkStart w:id="111" w:name="_Toc184312083"/>
      <w:bookmarkEnd w:id="111"/>
      <w:bookmarkStart w:id="112" w:name="_Toc184308057"/>
      <w:bookmarkEnd w:id="112"/>
      <w:bookmarkStart w:id="113" w:name="_Toc184313259"/>
      <w:bookmarkEnd w:id="113"/>
      <w:bookmarkStart w:id="114" w:name="_Toc184312106"/>
      <w:bookmarkEnd w:id="114"/>
      <w:bookmarkStart w:id="115" w:name="_Toc184313303"/>
      <w:bookmarkEnd w:id="115"/>
      <w:bookmarkStart w:id="116" w:name="_Toc184310293"/>
      <w:bookmarkEnd w:id="116"/>
      <w:bookmarkStart w:id="117" w:name="_Toc184310282"/>
      <w:bookmarkEnd w:id="117"/>
      <w:bookmarkStart w:id="118" w:name="_Toc184308064"/>
      <w:bookmarkEnd w:id="118"/>
      <w:bookmarkStart w:id="119" w:name="_Toc184310289"/>
      <w:bookmarkEnd w:id="119"/>
      <w:bookmarkStart w:id="120" w:name="_Toc184314434"/>
      <w:bookmarkEnd w:id="120"/>
      <w:bookmarkStart w:id="121" w:name="_Toc184314447"/>
      <w:bookmarkEnd w:id="121"/>
      <w:bookmarkStart w:id="122" w:name="_Toc184314438"/>
      <w:bookmarkEnd w:id="122"/>
      <w:bookmarkStart w:id="123" w:name="_Toc184314440"/>
      <w:bookmarkEnd w:id="123"/>
      <w:bookmarkStart w:id="124" w:name="_Toc184312101"/>
      <w:bookmarkEnd w:id="124"/>
      <w:bookmarkStart w:id="125" w:name="_Toc184310301"/>
      <w:bookmarkEnd w:id="125"/>
      <w:bookmarkStart w:id="126" w:name="_Toc184312100"/>
      <w:bookmarkEnd w:id="126"/>
      <w:bookmarkStart w:id="127" w:name="_Toc184313272"/>
      <w:bookmarkEnd w:id="127"/>
      <w:bookmarkStart w:id="128" w:name="_Toc184308071"/>
      <w:bookmarkEnd w:id="128"/>
      <w:bookmarkStart w:id="129" w:name="_Toc184310307"/>
      <w:bookmarkEnd w:id="129"/>
      <w:bookmarkStart w:id="130" w:name="_Toc184308066"/>
      <w:bookmarkEnd w:id="130"/>
      <w:bookmarkStart w:id="131" w:name="_Toc184308070"/>
      <w:bookmarkEnd w:id="131"/>
      <w:bookmarkStart w:id="132" w:name="_Toc184313267"/>
      <w:bookmarkEnd w:id="132"/>
      <w:bookmarkStart w:id="133" w:name="_Toc184313268"/>
      <w:bookmarkEnd w:id="133"/>
      <w:bookmarkStart w:id="134" w:name="_Toc184310302"/>
      <w:bookmarkEnd w:id="134"/>
      <w:bookmarkStart w:id="135" w:name="_Toc184312136"/>
      <w:bookmarkEnd w:id="135"/>
      <w:bookmarkStart w:id="136" w:name="_Toc184308067"/>
      <w:bookmarkEnd w:id="136"/>
      <w:bookmarkStart w:id="137" w:name="_Toc184314444"/>
      <w:bookmarkEnd w:id="137"/>
      <w:bookmarkStart w:id="138" w:name="_Toc184313269"/>
      <w:bookmarkEnd w:id="138"/>
      <w:bookmarkStart w:id="139" w:name="_Toc184312097"/>
      <w:bookmarkEnd w:id="139"/>
      <w:bookmarkStart w:id="140" w:name="_Toc184310303"/>
      <w:bookmarkEnd w:id="140"/>
      <w:bookmarkStart w:id="141" w:name="_Toc184310306"/>
      <w:bookmarkEnd w:id="141"/>
      <w:bookmarkStart w:id="142" w:name="_Toc184312098"/>
      <w:bookmarkEnd w:id="142"/>
      <w:bookmarkStart w:id="143" w:name="_Toc184308047"/>
      <w:bookmarkEnd w:id="143"/>
      <w:bookmarkStart w:id="144" w:name="_Toc184314442"/>
      <w:bookmarkEnd w:id="144"/>
      <w:bookmarkStart w:id="145" w:name="_Toc184314439"/>
      <w:bookmarkEnd w:id="145"/>
      <w:bookmarkStart w:id="146" w:name="_Toc184312103"/>
      <w:bookmarkEnd w:id="146"/>
      <w:bookmarkStart w:id="147" w:name="_Toc184310310"/>
      <w:bookmarkEnd w:id="147"/>
      <w:bookmarkStart w:id="148" w:name="_Toc184308069"/>
      <w:bookmarkEnd w:id="148"/>
      <w:bookmarkStart w:id="149" w:name="_Toc184313270"/>
      <w:bookmarkEnd w:id="149"/>
      <w:bookmarkStart w:id="150" w:name="_Toc184312096"/>
      <w:bookmarkEnd w:id="150"/>
      <w:bookmarkStart w:id="151" w:name="_Toc184313271"/>
      <w:bookmarkEnd w:id="151"/>
      <w:bookmarkStart w:id="152" w:name="_Toc184310305"/>
      <w:bookmarkEnd w:id="152"/>
      <w:bookmarkStart w:id="153" w:name="_Toc184308065"/>
      <w:bookmarkEnd w:id="153"/>
      <w:bookmarkStart w:id="154" w:name="_Toc184314443"/>
      <w:bookmarkEnd w:id="154"/>
      <w:bookmarkStart w:id="155" w:name="_Toc184313252"/>
      <w:bookmarkEnd w:id="155"/>
      <w:bookmarkStart w:id="156" w:name="_Toc184308051"/>
      <w:bookmarkEnd w:id="156"/>
      <w:bookmarkStart w:id="157" w:name="_Toc184308084"/>
      <w:bookmarkEnd w:id="157"/>
      <w:bookmarkStart w:id="158" w:name="_Toc184314420"/>
      <w:bookmarkEnd w:id="158"/>
      <w:bookmarkStart w:id="159" w:name="_Toc184310286"/>
      <w:bookmarkEnd w:id="159"/>
      <w:bookmarkStart w:id="160" w:name="_Toc184312126"/>
      <w:bookmarkEnd w:id="160"/>
      <w:bookmarkStart w:id="161" w:name="_Toc184312079"/>
      <w:bookmarkEnd w:id="161"/>
      <w:bookmarkStart w:id="162" w:name="_Toc184308100"/>
      <w:bookmarkEnd w:id="162"/>
      <w:bookmarkStart w:id="163" w:name="_Toc184313273"/>
      <w:bookmarkEnd w:id="163"/>
      <w:bookmarkStart w:id="164" w:name="_Toc184313247"/>
      <w:bookmarkEnd w:id="164"/>
      <w:bookmarkStart w:id="165" w:name="_Toc184308082"/>
      <w:bookmarkEnd w:id="165"/>
      <w:bookmarkStart w:id="166" w:name="_Toc184312138"/>
      <w:bookmarkEnd w:id="166"/>
      <w:bookmarkStart w:id="167" w:name="_Toc184312071"/>
      <w:bookmarkEnd w:id="167"/>
      <w:bookmarkStart w:id="168" w:name="_Toc184314423"/>
      <w:bookmarkEnd w:id="168"/>
      <w:bookmarkStart w:id="169" w:name="_Toc184310284"/>
      <w:bookmarkEnd w:id="169"/>
      <w:bookmarkStart w:id="170" w:name="_Toc184313242"/>
      <w:bookmarkEnd w:id="170"/>
      <w:bookmarkStart w:id="171" w:name="_Toc184312078"/>
      <w:bookmarkEnd w:id="171"/>
      <w:bookmarkStart w:id="172" w:name="_Toc184308086"/>
      <w:bookmarkEnd w:id="172"/>
      <w:bookmarkStart w:id="173" w:name="_Toc184310308"/>
      <w:bookmarkEnd w:id="173"/>
      <w:bookmarkStart w:id="174" w:name="_Toc184313238"/>
      <w:bookmarkEnd w:id="174"/>
      <w:bookmarkStart w:id="175" w:name="_Toc184308102"/>
      <w:bookmarkEnd w:id="175"/>
      <w:bookmarkStart w:id="176" w:name="_Toc184312102"/>
      <w:bookmarkEnd w:id="176"/>
      <w:bookmarkStart w:id="177" w:name="_Toc184314445"/>
      <w:bookmarkEnd w:id="177"/>
      <w:bookmarkStart w:id="178" w:name="_Toc184314410"/>
      <w:bookmarkEnd w:id="178"/>
      <w:bookmarkStart w:id="179" w:name="_Toc184310311"/>
      <w:bookmarkEnd w:id="179"/>
      <w:bookmarkStart w:id="180" w:name="_Toc184313249"/>
      <w:bookmarkEnd w:id="180"/>
      <w:bookmarkStart w:id="181" w:name="_Toc184312104"/>
      <w:bookmarkEnd w:id="181"/>
      <w:bookmarkStart w:id="182" w:name="_Toc184313240"/>
      <w:bookmarkEnd w:id="182"/>
      <w:bookmarkStart w:id="183" w:name="_Toc184314419"/>
      <w:bookmarkEnd w:id="183"/>
      <w:bookmarkStart w:id="184" w:name="_Toc184310283"/>
      <w:bookmarkEnd w:id="184"/>
      <w:bookmarkStart w:id="185" w:name="_Toc184308072"/>
      <w:bookmarkEnd w:id="185"/>
      <w:bookmarkStart w:id="186" w:name="_Toc184312081"/>
      <w:bookmarkEnd w:id="186"/>
      <w:bookmarkStart w:id="187" w:name="_Toc184314482"/>
      <w:bookmarkEnd w:id="187"/>
      <w:bookmarkStart w:id="188" w:name="_Toc184312114"/>
      <w:bookmarkEnd w:id="188"/>
      <w:bookmarkStart w:id="189" w:name="_Toc184310313"/>
      <w:bookmarkEnd w:id="189"/>
      <w:bookmarkStart w:id="190" w:name="_Toc184312093"/>
      <w:bookmarkEnd w:id="190"/>
      <w:bookmarkStart w:id="191" w:name="_Toc184314421"/>
      <w:bookmarkEnd w:id="191"/>
      <w:bookmarkStart w:id="192" w:name="_Toc184308048"/>
      <w:bookmarkEnd w:id="192"/>
      <w:bookmarkStart w:id="193" w:name="_Toc184308079"/>
      <w:bookmarkEnd w:id="193"/>
      <w:bookmarkStart w:id="194" w:name="_Toc184314456"/>
      <w:bookmarkEnd w:id="194"/>
      <w:bookmarkStart w:id="195" w:name="_Toc184308063"/>
      <w:bookmarkEnd w:id="195"/>
      <w:bookmarkStart w:id="196" w:name="_Toc184312099"/>
      <w:bookmarkEnd w:id="196"/>
      <w:bookmarkStart w:id="197" w:name="_Toc184310285"/>
      <w:bookmarkEnd w:id="197"/>
      <w:bookmarkStart w:id="198" w:name="_Toc184308083"/>
      <w:bookmarkEnd w:id="198"/>
      <w:bookmarkStart w:id="199" w:name="_Toc184313239"/>
      <w:bookmarkEnd w:id="199"/>
      <w:bookmarkStart w:id="200" w:name="_Toc184308108"/>
      <w:bookmarkEnd w:id="200"/>
      <w:bookmarkStart w:id="201" w:name="_Toc184310309"/>
      <w:bookmarkEnd w:id="201"/>
      <w:bookmarkStart w:id="202" w:name="_Toc184314464"/>
      <w:bookmarkEnd w:id="202"/>
      <w:bookmarkStart w:id="203" w:name="_Toc184314441"/>
      <w:bookmarkEnd w:id="203"/>
      <w:bookmarkStart w:id="204" w:name="_Toc184312131"/>
      <w:bookmarkEnd w:id="204"/>
      <w:bookmarkStart w:id="205" w:name="_Toc184314436"/>
      <w:bookmarkEnd w:id="205"/>
      <w:bookmarkStart w:id="206" w:name="_Toc184310337"/>
      <w:bookmarkEnd w:id="206"/>
      <w:bookmarkStart w:id="207" w:name="_Toc184314422"/>
      <w:bookmarkEnd w:id="207"/>
      <w:bookmarkStart w:id="208" w:name="_Toc184308078"/>
      <w:bookmarkEnd w:id="208"/>
      <w:bookmarkStart w:id="209" w:name="_Toc184314479"/>
      <w:bookmarkEnd w:id="209"/>
      <w:bookmarkStart w:id="210" w:name="_Toc184314453"/>
      <w:bookmarkEnd w:id="210"/>
      <w:bookmarkStart w:id="211" w:name="_Toc184313279"/>
      <w:bookmarkEnd w:id="211"/>
      <w:bookmarkStart w:id="212" w:name="_Toc184310319"/>
      <w:bookmarkEnd w:id="212"/>
      <w:bookmarkStart w:id="213" w:name="_Toc184313250"/>
      <w:bookmarkEnd w:id="213"/>
      <w:bookmarkStart w:id="214" w:name="_Toc184313274"/>
      <w:bookmarkEnd w:id="214"/>
      <w:bookmarkStart w:id="215" w:name="_Toc184313310"/>
      <w:bookmarkEnd w:id="215"/>
      <w:bookmarkStart w:id="216" w:name="_Toc184312139"/>
      <w:bookmarkEnd w:id="216"/>
      <w:bookmarkStart w:id="217" w:name="_Toc184313264"/>
      <w:bookmarkEnd w:id="217"/>
      <w:bookmarkStart w:id="218" w:name="_Toc184308085"/>
      <w:bookmarkEnd w:id="218"/>
      <w:bookmarkStart w:id="219" w:name="_Toc184312080"/>
      <w:bookmarkEnd w:id="219"/>
      <w:bookmarkStart w:id="220" w:name="_Toc184310325"/>
      <w:bookmarkEnd w:id="220"/>
      <w:bookmarkStart w:id="221" w:name="_Toc184313289"/>
      <w:bookmarkEnd w:id="221"/>
      <w:bookmarkStart w:id="222" w:name="_Toc184312120"/>
      <w:bookmarkEnd w:id="222"/>
      <w:bookmarkStart w:id="223" w:name="_Toc184313291"/>
      <w:bookmarkEnd w:id="223"/>
      <w:bookmarkStart w:id="224" w:name="_Toc184308090"/>
      <w:bookmarkEnd w:id="224"/>
      <w:bookmarkStart w:id="225" w:name="_Toc184310326"/>
      <w:bookmarkEnd w:id="225"/>
      <w:bookmarkStart w:id="226" w:name="_Toc184312108"/>
      <w:bookmarkEnd w:id="226"/>
      <w:bookmarkStart w:id="227" w:name="_Toc184310324"/>
      <w:bookmarkEnd w:id="227"/>
      <w:bookmarkStart w:id="228" w:name="_Toc184310331"/>
      <w:bookmarkEnd w:id="228"/>
      <w:bookmarkStart w:id="229" w:name="_Toc184308089"/>
      <w:bookmarkEnd w:id="229"/>
      <w:bookmarkStart w:id="230" w:name="_Toc184313248"/>
      <w:bookmarkEnd w:id="230"/>
      <w:bookmarkStart w:id="231" w:name="_Toc184310343"/>
      <w:bookmarkEnd w:id="231"/>
      <w:bookmarkStart w:id="232" w:name="_Toc184312137"/>
      <w:bookmarkEnd w:id="232"/>
      <w:bookmarkStart w:id="233" w:name="_Toc184314463"/>
      <w:bookmarkEnd w:id="233"/>
      <w:bookmarkStart w:id="234" w:name="_Toc184314481"/>
      <w:bookmarkEnd w:id="234"/>
      <w:bookmarkStart w:id="235" w:name="_Toc184312105"/>
      <w:bookmarkEnd w:id="235"/>
      <w:bookmarkStart w:id="236" w:name="_Toc184313308"/>
      <w:bookmarkEnd w:id="236"/>
      <w:bookmarkStart w:id="237" w:name="_Toc184312119"/>
      <w:bookmarkEnd w:id="237"/>
      <w:bookmarkStart w:id="238" w:name="_Toc184314480"/>
      <w:bookmarkEnd w:id="238"/>
      <w:bookmarkStart w:id="239" w:name="_Toc184308077"/>
      <w:bookmarkEnd w:id="239"/>
      <w:bookmarkStart w:id="240" w:name="_Toc184308087"/>
      <w:bookmarkEnd w:id="240"/>
      <w:bookmarkStart w:id="241" w:name="_Toc184314451"/>
      <w:bookmarkEnd w:id="241"/>
      <w:bookmarkStart w:id="242" w:name="_Toc184308107"/>
      <w:bookmarkEnd w:id="242"/>
      <w:bookmarkStart w:id="243" w:name="_Toc184313288"/>
      <w:bookmarkEnd w:id="243"/>
      <w:bookmarkStart w:id="244" w:name="_Toc184310323"/>
      <w:bookmarkEnd w:id="244"/>
      <w:bookmarkStart w:id="245" w:name="_Toc184314460"/>
      <w:bookmarkEnd w:id="245"/>
      <w:bookmarkStart w:id="246" w:name="_Toc184314461"/>
      <w:bookmarkEnd w:id="246"/>
      <w:bookmarkStart w:id="247" w:name="_Toc184308088"/>
      <w:bookmarkEnd w:id="247"/>
      <w:bookmarkStart w:id="248" w:name="_Toc184312118"/>
      <w:bookmarkEnd w:id="248"/>
      <w:bookmarkStart w:id="249" w:name="_Toc184313290"/>
      <w:bookmarkEnd w:id="249"/>
      <w:bookmarkStart w:id="250" w:name="_Toc184314462"/>
      <w:bookmarkEnd w:id="250"/>
      <w:bookmarkStart w:id="251" w:name="_Toc184312082"/>
      <w:bookmarkEnd w:id="251"/>
      <w:bookmarkStart w:id="252" w:name="_Toc184313297"/>
      <w:bookmarkEnd w:id="252"/>
      <w:bookmarkStart w:id="253" w:name="_Toc184310328"/>
      <w:bookmarkEnd w:id="253"/>
      <w:bookmarkStart w:id="254" w:name="_Toc184313295"/>
      <w:bookmarkEnd w:id="254"/>
      <w:bookmarkStart w:id="255" w:name="_Toc184313293"/>
      <w:bookmarkEnd w:id="255"/>
      <w:bookmarkStart w:id="256" w:name="_Toc184312122"/>
      <w:bookmarkEnd w:id="256"/>
      <w:bookmarkStart w:id="257" w:name="_Toc184308091"/>
      <w:bookmarkEnd w:id="257"/>
      <w:bookmarkStart w:id="258" w:name="_Toc184308092"/>
      <w:bookmarkEnd w:id="258"/>
      <w:bookmarkStart w:id="259" w:name="_Toc184308093"/>
      <w:bookmarkEnd w:id="259"/>
      <w:bookmarkStart w:id="260" w:name="_Toc184310329"/>
      <w:bookmarkEnd w:id="260"/>
      <w:bookmarkStart w:id="261" w:name="_Toc184312109"/>
      <w:bookmarkEnd w:id="261"/>
      <w:bookmarkStart w:id="262" w:name="_Toc184314467"/>
      <w:bookmarkEnd w:id="262"/>
      <w:bookmarkStart w:id="263" w:name="_Toc184312125"/>
      <w:bookmarkEnd w:id="263"/>
      <w:bookmarkStart w:id="264" w:name="_Toc184313296"/>
      <w:bookmarkEnd w:id="264"/>
      <w:bookmarkStart w:id="265" w:name="_Toc184312091"/>
      <w:bookmarkEnd w:id="265"/>
      <w:bookmarkStart w:id="266" w:name="_Toc184314469"/>
      <w:bookmarkEnd w:id="266"/>
      <w:bookmarkStart w:id="267" w:name="_Toc184308096"/>
      <w:bookmarkEnd w:id="267"/>
      <w:bookmarkStart w:id="268" w:name="_Toc184310332"/>
      <w:bookmarkEnd w:id="268"/>
      <w:bookmarkStart w:id="269" w:name="_Toc184312121"/>
      <w:bookmarkEnd w:id="269"/>
      <w:bookmarkStart w:id="270" w:name="_Toc184312123"/>
      <w:bookmarkEnd w:id="270"/>
      <w:bookmarkStart w:id="271" w:name="_Toc184312124"/>
      <w:bookmarkEnd w:id="271"/>
      <w:bookmarkStart w:id="272" w:name="_Toc184310330"/>
      <w:bookmarkEnd w:id="272"/>
      <w:bookmarkStart w:id="273" w:name="_Toc184314465"/>
      <w:bookmarkEnd w:id="273"/>
      <w:bookmarkStart w:id="274" w:name="_Toc184308094"/>
      <w:bookmarkEnd w:id="274"/>
      <w:bookmarkStart w:id="275" w:name="_Toc184308068"/>
      <w:bookmarkEnd w:id="275"/>
      <w:bookmarkStart w:id="276" w:name="_Toc184310327"/>
      <w:bookmarkEnd w:id="276"/>
      <w:bookmarkStart w:id="277" w:name="_Toc184313294"/>
      <w:bookmarkEnd w:id="277"/>
      <w:bookmarkStart w:id="278" w:name="_Toc184313302"/>
      <w:bookmarkEnd w:id="278"/>
      <w:bookmarkStart w:id="279" w:name="_Toc184313241"/>
      <w:bookmarkEnd w:id="279"/>
      <w:bookmarkStart w:id="280" w:name="_Toc184314466"/>
      <w:bookmarkEnd w:id="280"/>
      <w:bookmarkStart w:id="281" w:name="_Toc184314468"/>
      <w:bookmarkEnd w:id="281"/>
      <w:bookmarkStart w:id="282" w:name="_Toc184308095"/>
      <w:bookmarkEnd w:id="282"/>
      <w:bookmarkStart w:id="283" w:name="_Toc184314476"/>
      <w:bookmarkEnd w:id="283"/>
      <w:bookmarkStart w:id="284" w:name="_Toc184313300"/>
      <w:bookmarkEnd w:id="284"/>
      <w:bookmarkStart w:id="285" w:name="_Toc184314472"/>
      <w:bookmarkEnd w:id="285"/>
      <w:bookmarkStart w:id="286" w:name="_Toc184312133"/>
      <w:bookmarkEnd w:id="286"/>
      <w:bookmarkStart w:id="287" w:name="_Toc184313298"/>
      <w:bookmarkEnd w:id="287"/>
      <w:bookmarkStart w:id="288" w:name="_Toc184308103"/>
      <w:bookmarkEnd w:id="288"/>
      <w:bookmarkStart w:id="289" w:name="_Toc184310339"/>
      <w:bookmarkEnd w:id="289"/>
      <w:bookmarkStart w:id="290" w:name="_Toc184313305"/>
      <w:bookmarkEnd w:id="290"/>
      <w:bookmarkStart w:id="291" w:name="_Toc184314452"/>
      <w:bookmarkEnd w:id="291"/>
      <w:bookmarkStart w:id="292" w:name="_Toc184308104"/>
      <w:bookmarkEnd w:id="292"/>
      <w:bookmarkStart w:id="293" w:name="_Toc184310340"/>
      <w:bookmarkEnd w:id="293"/>
      <w:bookmarkStart w:id="294" w:name="_Toc184313301"/>
      <w:bookmarkEnd w:id="294"/>
      <w:bookmarkStart w:id="295" w:name="_Toc184310318"/>
      <w:bookmarkEnd w:id="295"/>
      <w:bookmarkStart w:id="296" w:name="_Toc184312111"/>
      <w:bookmarkEnd w:id="296"/>
      <w:bookmarkStart w:id="297" w:name="_Toc184308080"/>
      <w:bookmarkEnd w:id="297"/>
      <w:bookmarkStart w:id="298" w:name="_Toc184312128"/>
      <w:bookmarkEnd w:id="298"/>
      <w:bookmarkStart w:id="299" w:name="_Toc184310334"/>
      <w:bookmarkEnd w:id="299"/>
      <w:bookmarkStart w:id="300" w:name="_Toc184308097"/>
      <w:bookmarkEnd w:id="300"/>
      <w:bookmarkStart w:id="301" w:name="_Toc184313299"/>
      <w:bookmarkEnd w:id="301"/>
      <w:bookmarkStart w:id="302" w:name="_Toc184312130"/>
      <w:bookmarkEnd w:id="302"/>
      <w:bookmarkStart w:id="303" w:name="_Toc184308098"/>
      <w:bookmarkEnd w:id="303"/>
      <w:bookmarkStart w:id="304" w:name="_Toc184308099"/>
      <w:bookmarkEnd w:id="304"/>
      <w:bookmarkStart w:id="305" w:name="_Toc184310335"/>
      <w:bookmarkEnd w:id="305"/>
      <w:bookmarkStart w:id="306" w:name="_Toc184313304"/>
      <w:bookmarkEnd w:id="306"/>
      <w:bookmarkStart w:id="307" w:name="_Toc184314471"/>
      <w:bookmarkEnd w:id="307"/>
      <w:bookmarkStart w:id="308" w:name="_Toc184312134"/>
      <w:bookmarkEnd w:id="308"/>
      <w:bookmarkStart w:id="309" w:name="_Toc184314477"/>
      <w:bookmarkEnd w:id="309"/>
      <w:bookmarkStart w:id="310" w:name="_Toc184310333"/>
      <w:bookmarkEnd w:id="310"/>
      <w:bookmarkStart w:id="311" w:name="_Toc184312127"/>
      <w:bookmarkEnd w:id="311"/>
      <w:bookmarkStart w:id="312" w:name="_Toc184314470"/>
      <w:bookmarkEnd w:id="312"/>
      <w:bookmarkStart w:id="313" w:name="_Toc184312129"/>
      <w:bookmarkEnd w:id="313"/>
      <w:bookmarkStart w:id="314" w:name="_Toc184310338"/>
      <w:bookmarkEnd w:id="314"/>
      <w:bookmarkStart w:id="315" w:name="_Toc184314427"/>
      <w:bookmarkEnd w:id="315"/>
      <w:bookmarkStart w:id="316" w:name="_Toc184310276"/>
      <w:bookmarkEnd w:id="316"/>
      <w:bookmarkStart w:id="317" w:name="_Toc184312132"/>
      <w:bookmarkEnd w:id="317"/>
      <w:bookmarkStart w:id="318" w:name="_Toc184310320"/>
      <w:bookmarkEnd w:id="318"/>
      <w:bookmarkStart w:id="319" w:name="_Toc184310316"/>
      <w:bookmarkEnd w:id="319"/>
      <w:bookmarkStart w:id="320" w:name="_Toc184314424"/>
      <w:bookmarkEnd w:id="320"/>
      <w:bookmarkStart w:id="321" w:name="_Toc184310312"/>
      <w:bookmarkEnd w:id="321"/>
      <w:bookmarkStart w:id="322" w:name="_Toc184313285"/>
      <w:bookmarkEnd w:id="322"/>
      <w:bookmarkStart w:id="323" w:name="_Toc184310344"/>
      <w:bookmarkEnd w:id="323"/>
      <w:bookmarkStart w:id="324" w:name="_Toc184312092"/>
      <w:bookmarkEnd w:id="324"/>
      <w:bookmarkStart w:id="325" w:name="_Toc184313309"/>
      <w:bookmarkEnd w:id="325"/>
      <w:bookmarkStart w:id="326" w:name="_Toc184312077"/>
      <w:bookmarkEnd w:id="326"/>
      <w:bookmarkStart w:id="327" w:name="_Toc184313282"/>
      <w:bookmarkEnd w:id="327"/>
      <w:bookmarkStart w:id="328" w:name="_Toc184312107"/>
      <w:bookmarkEnd w:id="328"/>
      <w:bookmarkStart w:id="329" w:name="_Toc184313278"/>
      <w:bookmarkEnd w:id="329"/>
      <w:bookmarkStart w:id="330" w:name="_Toc184310287"/>
      <w:bookmarkEnd w:id="330"/>
      <w:bookmarkStart w:id="331" w:name="_Toc184314457"/>
      <w:bookmarkEnd w:id="331"/>
      <w:bookmarkStart w:id="332" w:name="_Toc184308076"/>
      <w:bookmarkEnd w:id="332"/>
      <w:bookmarkStart w:id="333" w:name="_Toc184308073"/>
      <w:bookmarkEnd w:id="333"/>
      <w:bookmarkStart w:id="334" w:name="_Toc184313276"/>
      <w:bookmarkEnd w:id="334"/>
      <w:bookmarkStart w:id="335" w:name="_Toc184313265"/>
      <w:bookmarkEnd w:id="335"/>
      <w:bookmarkStart w:id="336" w:name="_Toc184312110"/>
      <w:bookmarkEnd w:id="336"/>
      <w:bookmarkStart w:id="337" w:name="_Toc184313286"/>
      <w:bookmarkEnd w:id="337"/>
      <w:bookmarkStart w:id="338" w:name="_Toc184308106"/>
      <w:bookmarkEnd w:id="338"/>
      <w:bookmarkStart w:id="339" w:name="_Toc184314437"/>
      <w:bookmarkEnd w:id="339"/>
      <w:bookmarkStart w:id="340" w:name="_Toc184308050"/>
      <w:bookmarkEnd w:id="340"/>
      <w:bookmarkStart w:id="341" w:name="_Toc184314474"/>
      <w:bookmarkEnd w:id="341"/>
      <w:bookmarkStart w:id="342" w:name="_Toc184314435"/>
      <w:bookmarkEnd w:id="342"/>
      <w:bookmarkStart w:id="343" w:name="_Toc184308046"/>
      <w:bookmarkEnd w:id="343"/>
      <w:bookmarkStart w:id="344" w:name="_Toc184312090"/>
      <w:bookmarkEnd w:id="344"/>
      <w:bookmarkStart w:id="345" w:name="_Toc184310290"/>
      <w:bookmarkEnd w:id="345"/>
      <w:bookmarkStart w:id="346" w:name="_Toc184313284"/>
      <w:bookmarkEnd w:id="346"/>
      <w:bookmarkStart w:id="347" w:name="_Toc184312073"/>
      <w:bookmarkEnd w:id="347"/>
      <w:bookmarkStart w:id="348" w:name="_Toc184308059"/>
      <w:bookmarkEnd w:id="348"/>
      <w:bookmarkStart w:id="349" w:name="_Toc184308075"/>
      <w:bookmarkEnd w:id="349"/>
      <w:bookmarkStart w:id="350" w:name="_Toc184308060"/>
      <w:bookmarkEnd w:id="350"/>
      <w:bookmarkStart w:id="351" w:name="_Toc184313261"/>
      <w:bookmarkEnd w:id="351"/>
      <w:bookmarkStart w:id="352" w:name="_Toc184314411"/>
      <w:bookmarkEnd w:id="352"/>
      <w:bookmarkStart w:id="353" w:name="_Toc184310294"/>
      <w:bookmarkEnd w:id="353"/>
      <w:bookmarkStart w:id="354" w:name="_Toc184314448"/>
      <w:bookmarkEnd w:id="354"/>
      <w:bookmarkStart w:id="355" w:name="_Toc184312076"/>
      <w:bookmarkEnd w:id="355"/>
      <w:bookmarkStart w:id="356" w:name="_Toc184308045"/>
      <w:bookmarkEnd w:id="356"/>
      <w:bookmarkStart w:id="357" w:name="_Toc184310342"/>
      <w:bookmarkEnd w:id="357"/>
      <w:bookmarkStart w:id="358" w:name="_Toc184314414"/>
      <w:bookmarkEnd w:id="358"/>
      <w:bookmarkStart w:id="359" w:name="_Toc184314433"/>
      <w:bookmarkEnd w:id="359"/>
      <w:bookmarkStart w:id="360" w:name="_Toc184310277"/>
      <w:bookmarkEnd w:id="360"/>
      <w:bookmarkStart w:id="361" w:name="_Toc184310295"/>
      <w:bookmarkEnd w:id="361"/>
      <w:bookmarkStart w:id="362" w:name="_Toc184313243"/>
      <w:bookmarkEnd w:id="362"/>
      <w:bookmarkStart w:id="363" w:name="_Toc184312089"/>
      <w:bookmarkEnd w:id="363"/>
      <w:bookmarkStart w:id="364" w:name="_Toc184314425"/>
      <w:bookmarkEnd w:id="364"/>
      <w:bookmarkStart w:id="365" w:name="_Toc184310272"/>
      <w:bookmarkEnd w:id="365"/>
      <w:bookmarkStart w:id="366" w:name="_Toc184314415"/>
      <w:bookmarkEnd w:id="366"/>
      <w:bookmarkStart w:id="367" w:name="_Toc184310304"/>
      <w:bookmarkEnd w:id="367"/>
      <w:bookmarkStart w:id="368" w:name="_Toc184308036"/>
      <w:bookmarkEnd w:id="368"/>
      <w:bookmarkStart w:id="369" w:name="_Toc184312072"/>
      <w:bookmarkEnd w:id="369"/>
      <w:bookmarkStart w:id="370" w:name="_Toc184308042"/>
      <w:bookmarkEnd w:id="370"/>
      <w:bookmarkStart w:id="371" w:name="_Toc184308062"/>
      <w:bookmarkEnd w:id="371"/>
      <w:bookmarkStart w:id="372" w:name="_Toc184310321"/>
      <w:bookmarkEnd w:id="372"/>
      <w:bookmarkStart w:id="373" w:name="_Toc184314412"/>
      <w:bookmarkEnd w:id="373"/>
      <w:bookmarkStart w:id="374" w:name="_Toc184308041"/>
      <w:bookmarkEnd w:id="374"/>
      <w:bookmarkStart w:id="375" w:name="_Toc184310278"/>
      <w:bookmarkEnd w:id="375"/>
      <w:bookmarkStart w:id="376" w:name="_Toc184313244"/>
      <w:bookmarkEnd w:id="376"/>
      <w:bookmarkStart w:id="377" w:name="_Toc184308038"/>
      <w:bookmarkEnd w:id="377"/>
      <w:bookmarkStart w:id="378" w:name="_Toc184308037"/>
      <w:bookmarkEnd w:id="378"/>
      <w:bookmarkStart w:id="379" w:name="_Toc184312094"/>
      <w:bookmarkEnd w:id="379"/>
      <w:bookmarkStart w:id="380" w:name="_Toc184310298"/>
      <w:bookmarkEnd w:id="380"/>
      <w:bookmarkStart w:id="381" w:name="_Toc184313260"/>
      <w:bookmarkEnd w:id="381"/>
      <w:bookmarkStart w:id="382" w:name="_Toc184313263"/>
      <w:bookmarkEnd w:id="382"/>
      <w:bookmarkStart w:id="383" w:name="_Toc184312117"/>
      <w:bookmarkEnd w:id="383"/>
      <w:bookmarkStart w:id="384" w:name="_Toc184310314"/>
      <w:bookmarkEnd w:id="384"/>
      <w:bookmarkStart w:id="385" w:name="_Toc184313245"/>
      <w:bookmarkEnd w:id="385"/>
      <w:bookmarkStart w:id="386" w:name="_Toc184310279"/>
      <w:bookmarkEnd w:id="386"/>
      <w:bookmarkStart w:id="387" w:name="_Toc184314416"/>
      <w:bookmarkEnd w:id="387"/>
      <w:bookmarkStart w:id="388" w:name="_Toc184312115"/>
      <w:bookmarkEnd w:id="388"/>
      <w:bookmarkStart w:id="389" w:name="_Toc184308043"/>
      <w:bookmarkEnd w:id="389"/>
      <w:bookmarkStart w:id="390" w:name="_Toc184314417"/>
      <w:bookmarkEnd w:id="390"/>
      <w:bookmarkStart w:id="391" w:name="_Toc184312075"/>
      <w:bookmarkEnd w:id="391"/>
      <w:bookmarkStart w:id="392" w:name="_Toc184312074"/>
      <w:bookmarkEnd w:id="392"/>
      <w:bookmarkStart w:id="393" w:name="_Toc184308044"/>
      <w:bookmarkEnd w:id="393"/>
      <w:bookmarkStart w:id="394" w:name="_Toc184313246"/>
      <w:bookmarkEnd w:id="394"/>
      <w:bookmarkStart w:id="395" w:name="_Toc184308105"/>
      <w:bookmarkEnd w:id="395"/>
      <w:bookmarkStart w:id="396" w:name="_Toc184310280"/>
      <w:bookmarkEnd w:id="396"/>
      <w:bookmarkStart w:id="397" w:name="_Toc184310274"/>
      <w:bookmarkEnd w:id="397"/>
      <w:bookmarkStart w:id="398" w:name="_Toc184312135"/>
      <w:bookmarkEnd w:id="398"/>
      <w:bookmarkStart w:id="399" w:name="_Toc184314418"/>
      <w:bookmarkEnd w:id="399"/>
      <w:bookmarkStart w:id="400" w:name="_Toc184314459"/>
      <w:bookmarkEnd w:id="400"/>
      <w:bookmarkStart w:id="401" w:name="_Toc184313280"/>
      <w:bookmarkEnd w:id="401"/>
      <w:r>
        <w:rPr>
          <w:rFonts w:hint="eastAsia" w:ascii="仿宋" w:hAnsi="仿宋" w:eastAsia="仿宋" w:cs="仿宋_GB2312"/>
          <w:b/>
          <w:sz w:val="36"/>
          <w:szCs w:val="36"/>
        </w:rPr>
        <w:t>评标方法及评分标准</w:t>
      </w:r>
    </w:p>
    <w:p>
      <w:pPr>
        <w:snapToGrid w:val="0"/>
        <w:spacing w:line="360" w:lineRule="auto"/>
        <w:ind w:firstLine="3052" w:firstLineChars="950"/>
        <w:rPr>
          <w:rFonts w:hint="eastAsia" w:ascii="仿宋" w:hAnsi="仿宋" w:eastAsia="仿宋"/>
          <w:b/>
          <w:sz w:val="28"/>
          <w:szCs w:val="28"/>
        </w:rPr>
      </w:pPr>
      <w:r>
        <w:rPr>
          <w:rFonts w:hint="eastAsia" w:ascii="仿宋" w:hAnsi="仿宋" w:eastAsia="仿宋" w:cs="仿宋_GB2312"/>
          <w:b/>
          <w:sz w:val="32"/>
        </w:rPr>
        <w:t>一、评标方法</w:t>
      </w:r>
    </w:p>
    <w:p>
      <w:pPr>
        <w:adjustRightInd/>
        <w:spacing w:line="360" w:lineRule="auto"/>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kern w:val="0"/>
          <w:sz w:val="24"/>
        </w:rPr>
      </w:pPr>
    </w:p>
    <w:p>
      <w:pPr>
        <w:snapToGrid w:val="0"/>
        <w:spacing w:line="360" w:lineRule="auto"/>
        <w:ind w:left="120" w:leftChars="57" w:firstLine="422" w:firstLineChars="150"/>
        <w:jc w:val="center"/>
        <w:rPr>
          <w:rFonts w:hint="eastAsia" w:ascii="仿宋" w:hAnsi="仿宋" w:eastAsia="仿宋" w:cs="仿宋_GB2312"/>
          <w:b/>
          <w:sz w:val="32"/>
        </w:rPr>
      </w:pPr>
      <w:r>
        <w:rPr>
          <w:rFonts w:hint="eastAsia" w:ascii="仿宋" w:hAnsi="仿宋" w:eastAsia="仿宋"/>
          <w:b/>
          <w:sz w:val="28"/>
          <w:szCs w:val="28"/>
        </w:rPr>
        <w:t xml:space="preserve">   </w:t>
      </w:r>
      <w:r>
        <w:rPr>
          <w:rFonts w:hint="eastAsia" w:ascii="仿宋" w:hAnsi="仿宋" w:eastAsia="仿宋" w:cs="仿宋_GB2312"/>
          <w:b/>
          <w:sz w:val="32"/>
        </w:rPr>
        <w:t>二、评标委员会的组成</w:t>
      </w:r>
    </w:p>
    <w:p>
      <w:pPr>
        <w:snapToGrid w:val="0"/>
        <w:spacing w:line="360" w:lineRule="auto"/>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312"/>
        <w:spacing w:before="0"/>
        <w:ind w:firstLine="0" w:firstLineChars="0"/>
        <w:rPr>
          <w:rFonts w:hint="eastAsia" w:ascii="仿宋" w:hAnsi="仿宋" w:eastAsia="仿宋" w:cs="Arial"/>
          <w:kern w:val="0"/>
        </w:rPr>
      </w:pPr>
      <w:r>
        <w:rPr>
          <w:rFonts w:hint="eastAsia" w:ascii="仿宋" w:hAnsi="仿宋" w:eastAsia="仿宋" w:cs="Arial"/>
          <w:b/>
          <w:kern w:val="0"/>
        </w:rPr>
        <w:t>3.评标委员会的组成人员的回避。</w:t>
      </w:r>
      <w:r>
        <w:rPr>
          <w:rFonts w:hint="eastAsia" w:ascii="仿宋" w:hAnsi="仿宋" w:eastAsia="仿宋" w:cs="Arial"/>
          <w:kern w:val="0"/>
        </w:rPr>
        <w:t>在政府采购活动中，评标委员会的组成人员与供应商有下列利害关系之一的，应当回避：</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　　3.1参加采购活动前3年内与供应商存在劳动关系；</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　　3.2参加采购活动前3年内担任供应商的董事、监事；</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　　3.3参加采购活动前3年内是供应商的控股股东或者实际控制人；</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　　3.4与供应商的法定代表人或者负责人有夫妻、直系血亲、三代以内旁系血亲或者近姻亲关系；</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　 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sz w:val="32"/>
          <w:szCs w:val="32"/>
        </w:rPr>
      </w:pPr>
    </w:p>
    <w:p>
      <w:pPr>
        <w:snapToGrid w:val="0"/>
        <w:spacing w:line="360" w:lineRule="auto"/>
        <w:ind w:left="120" w:leftChars="57" w:firstLine="482" w:firstLineChars="150"/>
        <w:jc w:val="center"/>
        <w:rPr>
          <w:rFonts w:hint="eastAsia" w:ascii="仿宋" w:hAnsi="仿宋" w:eastAsia="仿宋"/>
          <w:b/>
          <w:sz w:val="32"/>
          <w:szCs w:val="32"/>
        </w:rPr>
      </w:pPr>
      <w:r>
        <w:rPr>
          <w:rFonts w:ascii="仿宋" w:hAnsi="仿宋" w:eastAsia="仿宋"/>
          <w:b/>
          <w:sz w:val="32"/>
          <w:szCs w:val="32"/>
        </w:rPr>
        <w:t>　</w:t>
      </w:r>
      <w:r>
        <w:rPr>
          <w:rFonts w:ascii="仿宋" w:hAnsi="仿宋" w:eastAsia="仿宋" w:cs="仿宋_GB2312"/>
          <w:b/>
          <w:sz w:val="32"/>
        </w:rPr>
        <w:t>　</w:t>
      </w:r>
      <w:r>
        <w:rPr>
          <w:rFonts w:hint="eastAsia" w:ascii="仿宋" w:hAnsi="仿宋" w:eastAsia="仿宋" w:cs="仿宋_GB2312"/>
          <w:b/>
          <w:sz w:val="32"/>
        </w:rPr>
        <w:t>三、评标委员会的职责</w:t>
      </w:r>
    </w:p>
    <w:p>
      <w:pPr>
        <w:pStyle w:val="312"/>
        <w:spacing w:before="0"/>
        <w:ind w:firstLine="0" w:firstLineChars="0"/>
        <w:rPr>
          <w:rFonts w:hint="eastAsia" w:ascii="仿宋" w:hAnsi="仿宋" w:eastAsia="仿宋" w:cs="Arial"/>
          <w:b/>
          <w:kern w:val="0"/>
        </w:rPr>
      </w:pPr>
      <w:r>
        <w:rPr>
          <w:rFonts w:hint="eastAsia" w:ascii="仿宋" w:hAnsi="仿宋" w:eastAsia="仿宋" w:cs="Arial"/>
          <w:b/>
          <w:kern w:val="0"/>
        </w:rPr>
        <w:t>4.</w:t>
      </w:r>
      <w:r>
        <w:rPr>
          <w:rFonts w:ascii="仿宋" w:hAnsi="仿宋" w:eastAsia="仿宋" w:cs="Arial"/>
          <w:b/>
          <w:kern w:val="0"/>
        </w:rPr>
        <w:t>评标委员会负责具体评标事务，并独立履行下列职责：</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312"/>
        <w:spacing w:before="0"/>
        <w:ind w:firstLine="0" w:firstLineChars="0"/>
        <w:rPr>
          <w:rFonts w:ascii="仿宋" w:hAnsi="仿宋" w:eastAsia="仿宋" w:cs="Arial"/>
          <w:b/>
          <w:kern w:val="0"/>
        </w:rPr>
      </w:pPr>
      <w:r>
        <w:rPr>
          <w:rFonts w:hint="eastAsia" w:ascii="仿宋" w:hAnsi="仿宋" w:eastAsia="仿宋" w:cs="Arial"/>
          <w:b/>
          <w:kern w:val="0"/>
        </w:rPr>
        <w:t>5.</w:t>
      </w:r>
      <w:r>
        <w:rPr>
          <w:rFonts w:ascii="仿宋" w:hAnsi="仿宋" w:eastAsia="仿宋" w:cs="Arial"/>
          <w:b/>
          <w:kern w:val="0"/>
        </w:rPr>
        <w:t>评标委员会及其成员不得有下列行为：</w:t>
      </w:r>
    </w:p>
    <w:p>
      <w:pPr>
        <w:pStyle w:val="312"/>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312"/>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5.2</w:t>
      </w:r>
      <w:r>
        <w:rPr>
          <w:rFonts w:ascii="仿宋" w:hAnsi="仿宋" w:eastAsia="仿宋" w:cs="Arial"/>
          <w:kern w:val="0"/>
        </w:rPr>
        <w:t>接受投标人提出的与投标文件不一致的澄清或者说明，本办法第五十一条规定的情形除外；</w:t>
      </w:r>
    </w:p>
    <w:p>
      <w:pPr>
        <w:pStyle w:val="312"/>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312"/>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5.4</w:t>
      </w:r>
      <w:r>
        <w:rPr>
          <w:rFonts w:ascii="仿宋" w:hAnsi="仿宋" w:eastAsia="仿宋" w:cs="Arial"/>
          <w:kern w:val="0"/>
        </w:rPr>
        <w:t>对需要专业判断的主观评审因素协商评分；</w:t>
      </w:r>
    </w:p>
    <w:p>
      <w:pPr>
        <w:pStyle w:val="312"/>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312"/>
        <w:spacing w:before="0"/>
        <w:ind w:firstLine="240" w:firstLineChars="10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312"/>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5.7</w:t>
      </w:r>
      <w:r>
        <w:rPr>
          <w:rFonts w:ascii="仿宋" w:hAnsi="仿宋" w:eastAsia="仿宋" w:cs="Arial"/>
          <w:kern w:val="0"/>
        </w:rPr>
        <w:t>其他不遵守评标纪律的行为。</w:t>
      </w:r>
    </w:p>
    <w:p>
      <w:pPr>
        <w:pStyle w:val="312"/>
        <w:spacing w:before="0"/>
        <w:ind w:firstLine="0" w:firstLineChars="0"/>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5.1-5.5</w:t>
      </w:r>
      <w:r>
        <w:rPr>
          <w:rFonts w:ascii="仿宋" w:hAnsi="仿宋" w:eastAsia="仿宋" w:cs="Arial"/>
          <w:kern w:val="0"/>
        </w:rPr>
        <w:t>行为之一的，其评审意见无效，并不得获取评审劳务报酬和报销异地评审差旅费。</w:t>
      </w:r>
    </w:p>
    <w:p>
      <w:pPr>
        <w:pStyle w:val="312"/>
        <w:spacing w:before="0"/>
        <w:ind w:firstLine="0" w:firstLineChars="0"/>
        <w:rPr>
          <w:rFonts w:hint="eastAsia" w:ascii="仿宋" w:hAnsi="仿宋" w:eastAsia="仿宋" w:cs="Arial"/>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312"/>
        <w:spacing w:before="0"/>
        <w:ind w:firstLine="0" w:firstLineChars="0"/>
        <w:rPr>
          <w:rFonts w:hint="eastAsia" w:ascii="仿宋" w:hAnsi="仿宋" w:eastAsia="仿宋" w:cs="Arial"/>
          <w:kern w:val="0"/>
        </w:rPr>
      </w:pPr>
      <w:r>
        <w:rPr>
          <w:rFonts w:hint="eastAsia" w:ascii="仿宋" w:hAnsi="仿宋" w:eastAsia="仿宋" w:cs="Arial"/>
          <w:b/>
          <w:kern w:val="0"/>
        </w:rPr>
        <w:t>6.符合性审查。</w:t>
      </w:r>
      <w:r>
        <w:rPr>
          <w:rFonts w:ascii="仿宋" w:hAnsi="仿宋" w:eastAsia="仿宋" w:cs="Arial"/>
          <w:b/>
          <w:kern w:val="0"/>
        </w:rPr>
        <w:t xml:space="preserve"> </w:t>
      </w:r>
      <w:r>
        <w:rPr>
          <w:rFonts w:ascii="仿宋" w:hAnsi="仿宋" w:eastAsia="仿宋" w:cs="Arial"/>
          <w:kern w:val="0"/>
        </w:rPr>
        <w:t>评标委员会应当对符合资格的投标人的投标文件进行符合性审查，以确定其是否满足招标文件的实质性要求</w:t>
      </w:r>
      <w:r>
        <w:rPr>
          <w:rFonts w:hint="eastAsia" w:ascii="仿宋" w:hAnsi="仿宋" w:eastAsia="仿宋" w:cs="Arial"/>
          <w:kern w:val="0"/>
        </w:rPr>
        <w:t>。符合投标无效情形的，投标无效</w:t>
      </w:r>
      <w:r>
        <w:rPr>
          <w:rFonts w:ascii="仿宋" w:hAnsi="仿宋" w:eastAsia="仿宋" w:cs="Arial"/>
          <w:kern w:val="0"/>
        </w:rPr>
        <w:t>。</w:t>
      </w:r>
    </w:p>
    <w:p>
      <w:pPr>
        <w:pStyle w:val="312"/>
        <w:spacing w:before="0"/>
        <w:ind w:firstLine="0" w:firstLineChars="0"/>
        <w:rPr>
          <w:rFonts w:hint="eastAsia" w:ascii="仿宋" w:hAnsi="仿宋" w:eastAsia="仿宋" w:cs="Arial"/>
          <w:kern w:val="0"/>
        </w:rPr>
      </w:pPr>
      <w:r>
        <w:rPr>
          <w:rFonts w:hint="eastAsia" w:ascii="仿宋" w:hAnsi="仿宋" w:eastAsia="仿宋" w:cs="Arial"/>
          <w:b/>
          <w:kern w:val="0"/>
        </w:rPr>
        <w:t>7.投标人澄清、说明或者补正。</w:t>
      </w:r>
      <w:r>
        <w:rPr>
          <w:rFonts w:ascii="仿宋" w:hAnsi="仿宋" w:eastAsia="仿宋" w:cs="Arial"/>
          <w:kern w:val="0"/>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312"/>
        <w:spacing w:before="0"/>
        <w:ind w:firstLine="0" w:firstLineChars="0"/>
        <w:rPr>
          <w:rFonts w:hint="eastAsia" w:ascii="仿宋" w:hAnsi="仿宋" w:eastAsia="仿宋" w:cs="Arial"/>
          <w:kern w:val="0"/>
        </w:rPr>
      </w:pPr>
      <w:r>
        <w:rPr>
          <w:rFonts w:hint="eastAsia" w:ascii="仿宋" w:hAnsi="仿宋" w:eastAsia="仿宋" w:cs="Arial"/>
          <w:b/>
          <w:kern w:val="0"/>
        </w:rPr>
        <w:t>8.</w:t>
      </w:r>
      <w:r>
        <w:rPr>
          <w:rFonts w:ascii="仿宋" w:hAnsi="仿宋" w:eastAsia="仿宋" w:cs="Arial"/>
          <w:b/>
          <w:kern w:val="0"/>
        </w:rPr>
        <w:t xml:space="preserve"> 比较与评价</w:t>
      </w:r>
      <w:r>
        <w:rPr>
          <w:rFonts w:hint="eastAsia" w:ascii="仿宋" w:hAnsi="仿宋" w:eastAsia="仿宋" w:cs="Arial"/>
          <w:b/>
          <w:kern w:val="0"/>
        </w:rPr>
        <w:t>。</w:t>
      </w:r>
      <w:r>
        <w:rPr>
          <w:rFonts w:ascii="仿宋" w:hAnsi="仿宋" w:eastAsia="仿宋" w:cs="Arial"/>
          <w:kern w:val="0"/>
        </w:rPr>
        <w:t>标委员会应当按照评标标准，对符合性审查合格的投标文件进行商务和技术评估，综合比较与评价。</w:t>
      </w:r>
    </w:p>
    <w:p>
      <w:pPr>
        <w:pStyle w:val="312"/>
        <w:spacing w:before="0"/>
        <w:ind w:firstLine="0" w:firstLineChars="0"/>
        <w:rPr>
          <w:rFonts w:hint="eastAsia" w:ascii="仿宋" w:hAnsi="仿宋" w:eastAsia="仿宋" w:cs="Arial"/>
          <w:kern w:val="0"/>
        </w:rPr>
      </w:pPr>
      <w:r>
        <w:rPr>
          <w:rFonts w:hint="eastAsia" w:ascii="仿宋" w:hAnsi="仿宋" w:eastAsia="仿宋" w:cs="Arial"/>
          <w:b/>
          <w:kern w:val="0"/>
        </w:rPr>
        <w:t>9.</w:t>
      </w:r>
      <w:r>
        <w:rPr>
          <w:rFonts w:ascii="仿宋" w:hAnsi="仿宋" w:eastAsia="仿宋" w:cs="Arial"/>
          <w:b/>
          <w:kern w:val="0"/>
        </w:rPr>
        <w:t xml:space="preserve"> 汇总</w:t>
      </w:r>
      <w:r>
        <w:rPr>
          <w:rFonts w:hint="eastAsia" w:ascii="仿宋" w:hAnsi="仿宋" w:eastAsia="仿宋" w:cs="Arial"/>
          <w:b/>
          <w:kern w:val="0"/>
        </w:rPr>
        <w:t>（商务技术得分情况）。</w:t>
      </w:r>
      <w:r>
        <w:rPr>
          <w:rFonts w:ascii="仿宋" w:hAnsi="仿宋" w:eastAsia="仿宋" w:cs="Arial"/>
          <w:kern w:val="0"/>
        </w:rPr>
        <w:t>评标委员会各成员应当独立对每个投标人的</w:t>
      </w:r>
      <w:r>
        <w:rPr>
          <w:rFonts w:hint="eastAsia" w:ascii="仿宋" w:hAnsi="仿宋" w:eastAsia="仿宋" w:cs="Arial"/>
          <w:kern w:val="0"/>
        </w:rPr>
        <w:t>商务和技术</w:t>
      </w:r>
      <w:r>
        <w:rPr>
          <w:rFonts w:ascii="仿宋" w:hAnsi="仿宋" w:eastAsia="仿宋" w:cs="Arial"/>
          <w:kern w:val="0"/>
        </w:rPr>
        <w:t>文件进行评价，并汇总</w:t>
      </w:r>
      <w:r>
        <w:rPr>
          <w:rFonts w:hint="eastAsia" w:ascii="仿宋" w:hAnsi="仿宋" w:eastAsia="仿宋" w:cs="Arial"/>
          <w:kern w:val="0"/>
        </w:rPr>
        <w:t>商务技术得分情况</w:t>
      </w:r>
      <w:r>
        <w:rPr>
          <w:rFonts w:ascii="仿宋" w:hAnsi="仿宋" w:eastAsia="仿宋" w:cs="Arial"/>
          <w:kern w:val="0"/>
        </w:rPr>
        <w:t>。</w:t>
      </w:r>
    </w:p>
    <w:p>
      <w:pPr>
        <w:pStyle w:val="312"/>
        <w:spacing w:before="0"/>
        <w:ind w:firstLine="0" w:firstLineChars="0"/>
        <w:rPr>
          <w:rFonts w:hint="eastAsia" w:ascii="仿宋" w:hAnsi="仿宋" w:eastAsia="仿宋" w:cs="Arial"/>
          <w:kern w:val="0"/>
        </w:rPr>
      </w:pPr>
      <w:r>
        <w:rPr>
          <w:rFonts w:hint="eastAsia" w:ascii="仿宋" w:hAnsi="仿宋" w:eastAsia="仿宋" w:cs="Arial"/>
          <w:b/>
          <w:kern w:val="0"/>
        </w:rPr>
        <w:t>10. 报价审核。</w:t>
      </w:r>
      <w:r>
        <w:rPr>
          <w:rFonts w:hint="eastAsia" w:ascii="仿宋" w:hAnsi="仿宋" w:eastAsia="仿宋" w:cs="Arial"/>
          <w:kern w:val="0"/>
        </w:rPr>
        <w:t>对经商务和技术评审符合采购需求的投标人的报价的合理性、准确性等进行审查核实。</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10.2根据财政部发布的《政府采购促进中小企业发展暂行办法》规定，对于非专门面向中小企业的项目，对小型和微型企业产品的价格给予一定的扣除，用扣除后的价格参与评审。</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10.3投标价格的修正原则。投标文件报价出现前后不一致的，按照下列规定修正：</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10.3.1投标文件中开标一览表(报价表)内容与投标文件中相应内容不一致的，以开标一览表(报价表)为准;</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10.3.2大写金额和小写金额不一致的，以大写金额为准;</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10.3.3单价金额小数点或者百分比有明显错位的，以开标一览表的总价为准，并修改单价;</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10.3.4总价金额与按单价汇总金额不一致的，以单价金额计算结果为准。</w:t>
      </w:r>
    </w:p>
    <w:p>
      <w:pPr>
        <w:pStyle w:val="312"/>
        <w:spacing w:before="0"/>
        <w:ind w:firstLine="0" w:firstLineChars="0"/>
        <w:rPr>
          <w:rFonts w:hint="eastAsia" w:ascii="仿宋" w:hAnsi="仿宋" w:eastAsia="仿宋" w:cs="Arial"/>
          <w:kern w:val="0"/>
        </w:rPr>
      </w:pPr>
      <w:r>
        <w:rPr>
          <w:rFonts w:hint="eastAsia" w:ascii="仿宋" w:hAnsi="仿宋" w:eastAsia="仿宋" w:cs="Arial"/>
          <w:kern w:val="0"/>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rPr>
          <w:rFonts w:hint="eastAsia"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rPr>
          <w:rFonts w:hint="eastAsia" w:ascii="仿宋" w:hAnsi="仿宋" w:eastAsia="仿宋" w:cs="仿宋_GB2312"/>
          <w:sz w:val="24"/>
          <w:szCs w:val="21"/>
        </w:rPr>
      </w:pPr>
      <w:r>
        <w:rPr>
          <w:rFonts w:hint="eastAsia" w:ascii="仿宋" w:hAnsi="仿宋" w:eastAsia="仿宋" w:cs="仿宋_GB2312"/>
          <w:sz w:val="24"/>
          <w:szCs w:val="21"/>
        </w:rPr>
        <w:t>12.1</w:t>
      </w:r>
      <w:r>
        <w:rPr>
          <w:rFonts w:ascii="仿宋" w:hAnsi="仿宋" w:eastAsia="仿宋" w:cs="仿宋_GB2312"/>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rPr>
          <w:rFonts w:ascii="仿宋" w:hAnsi="仿宋" w:eastAsia="仿宋" w:cs="仿宋_GB2312"/>
          <w:sz w:val="24"/>
          <w:szCs w:val="21"/>
        </w:rPr>
      </w:pPr>
      <w:r>
        <w:rPr>
          <w:rFonts w:hint="eastAsia" w:ascii="仿宋" w:hAnsi="仿宋" w:eastAsia="仿宋" w:cs="仿宋_GB2312"/>
          <w:sz w:val="24"/>
          <w:szCs w:val="21"/>
        </w:rPr>
        <w:t>12.2多家投标人</w:t>
      </w:r>
      <w:r>
        <w:rPr>
          <w:rFonts w:ascii="仿宋" w:hAnsi="仿宋" w:eastAsia="仿宋" w:cs="仿宋_GB2312"/>
          <w:sz w:val="24"/>
          <w:szCs w:val="21"/>
        </w:rPr>
        <w:t>提供相同品牌产品</w:t>
      </w:r>
      <w:r>
        <w:rPr>
          <w:rFonts w:hint="eastAsia" w:ascii="仿宋" w:hAnsi="仿宋" w:eastAsia="仿宋" w:cs="仿宋_GB2312"/>
          <w:sz w:val="24"/>
          <w:szCs w:val="21"/>
        </w:rPr>
        <w:t>（</w:t>
      </w:r>
      <w:r>
        <w:rPr>
          <w:rFonts w:ascii="仿宋" w:hAnsi="仿宋" w:eastAsia="仿宋" w:cs="仿宋_GB2312"/>
          <w:sz w:val="24"/>
          <w:szCs w:val="21"/>
        </w:rPr>
        <w:t>单一产品采购项目</w:t>
      </w:r>
      <w:r>
        <w:rPr>
          <w:rFonts w:hint="eastAsia" w:ascii="仿宋" w:hAnsi="仿宋" w:eastAsia="仿宋" w:cs="仿宋_GB2312"/>
          <w:sz w:val="24"/>
          <w:szCs w:val="21"/>
        </w:rPr>
        <w:t>中的该产品或者非</w:t>
      </w:r>
      <w:r>
        <w:rPr>
          <w:rFonts w:ascii="仿宋" w:hAnsi="仿宋" w:eastAsia="仿宋" w:cs="仿宋_GB2312"/>
          <w:sz w:val="24"/>
          <w:szCs w:val="21"/>
        </w:rPr>
        <w:t>单一产品采购项目</w:t>
      </w:r>
      <w:r>
        <w:rPr>
          <w:rFonts w:hint="eastAsia" w:ascii="仿宋" w:hAnsi="仿宋" w:eastAsia="仿宋" w:cs="仿宋_GB2312"/>
          <w:sz w:val="24"/>
          <w:szCs w:val="21"/>
        </w:rPr>
        <w:t>的核心产品）</w:t>
      </w:r>
      <w:r>
        <w:rPr>
          <w:rFonts w:ascii="仿宋" w:hAnsi="仿宋" w:eastAsia="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3"/>
        <w:spacing w:line="360" w:lineRule="auto"/>
        <w:ind w:left="559" w:hanging="559" w:hangingChars="199"/>
        <w:rPr>
          <w:rFonts w:hint="eastAsia"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szCs w:val="21"/>
        </w:rPr>
        <w:t>有下列情况之一的，投标无效：</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w:t>
      </w:r>
      <w:r>
        <w:rPr>
          <w:rFonts w:hint="eastAsia" w:ascii="仿宋" w:hAnsi="仿宋" w:eastAsia="仿宋" w:cs="仿宋_GB2312"/>
          <w:sz w:val="24"/>
          <w:szCs w:val="21"/>
        </w:rPr>
        <w:t>单位负责人为同一人或者存在直接控股、管理关系的不同供应商参加同一合同项下的政府采购活动的（均无效）；</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13.2</w:t>
      </w:r>
      <w:r>
        <w:rPr>
          <w:rFonts w:hint="eastAsia" w:ascii="仿宋" w:hAnsi="仿宋" w:eastAsia="仿宋" w:cs="仿宋_GB2312"/>
          <w:sz w:val="24"/>
          <w:szCs w:val="21"/>
        </w:rPr>
        <w:t>为采购项目提供整体设计、规范编制或者项目管理、监理、检测等服务的供应商再参加该采购项目的其他采购活动的；</w:t>
      </w:r>
      <w:r>
        <w:rPr>
          <w:rFonts w:ascii="仿宋" w:hAnsi="仿宋" w:eastAsia="仿宋" w:cs="仿宋_GB2312"/>
          <w:sz w:val="24"/>
          <w:szCs w:val="21"/>
        </w:rPr>
        <w:t xml:space="preserve"> </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13.3</w:t>
      </w:r>
      <w:r>
        <w:rPr>
          <w:rFonts w:hint="eastAsia" w:ascii="仿宋" w:hAnsi="仿宋" w:eastAsia="仿宋" w:cs="仿宋_GB2312"/>
          <w:sz w:val="24"/>
          <w:szCs w:val="21"/>
        </w:rPr>
        <w:t>投标人不具备招标文件中规定的资格要求的（投标人未提供有效的资格证明文件的，视为投标人不具备招标文件中规定的资格要求）；</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13.4</w:t>
      </w:r>
      <w:r>
        <w:rPr>
          <w:rFonts w:hint="eastAsia" w:ascii="仿宋" w:hAnsi="仿宋" w:eastAsia="仿宋" w:cs="仿宋_GB2312"/>
          <w:sz w:val="24"/>
          <w:szCs w:val="21"/>
        </w:rPr>
        <w:t>如以联合体形式参加政府采购活动的，联合体协议不符合招标文件规定的联合体协议要求的；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13. 5</w:t>
      </w:r>
      <w:r>
        <w:rPr>
          <w:rFonts w:hint="eastAsia" w:ascii="仿宋" w:hAnsi="仿宋" w:eastAsia="仿宋" w:cs="仿宋_GB2312"/>
          <w:sz w:val="24"/>
          <w:szCs w:val="21"/>
        </w:rPr>
        <w:t>投标文件未按规定的格式编制的；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13.6</w:t>
      </w:r>
      <w:r>
        <w:rPr>
          <w:rFonts w:hint="eastAsia" w:ascii="仿宋" w:hAnsi="仿宋" w:eastAsia="仿宋" w:cs="仿宋_GB2312"/>
          <w:sz w:val="24"/>
          <w:szCs w:val="21"/>
        </w:rPr>
        <w:t>投标文件未按招标文件的澄清、修改的内容编制，又不符合实质性要求的；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13.7</w:t>
      </w:r>
      <w:r>
        <w:rPr>
          <w:rFonts w:hint="eastAsia" w:ascii="仿宋" w:hAnsi="仿宋" w:eastAsia="仿宋" w:cs="仿宋_GB2312"/>
          <w:sz w:val="24"/>
          <w:szCs w:val="21"/>
        </w:rPr>
        <w:t>投标文件组成漏项，内容不全或内容字迹模糊辨认不清的；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13.8</w:t>
      </w:r>
      <w:r>
        <w:rPr>
          <w:rFonts w:hint="eastAsia" w:ascii="仿宋" w:hAnsi="仿宋" w:eastAsia="仿宋" w:cs="仿宋_GB2312"/>
          <w:sz w:val="24"/>
          <w:szCs w:val="21"/>
        </w:rPr>
        <w:t>投标文件中法定代表人授权书所载内容与本项目内容有异的；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13.9</w:t>
      </w:r>
      <w:r>
        <w:rPr>
          <w:rFonts w:hint="eastAsia" w:ascii="仿宋" w:hAnsi="仿宋" w:eastAsia="仿宋" w:cs="仿宋_GB2312"/>
          <w:sz w:val="24"/>
          <w:szCs w:val="21"/>
        </w:rPr>
        <w:t>投标文件未按照招标文件要求签署、盖章的；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13.10</w:t>
      </w:r>
      <w:r>
        <w:rPr>
          <w:rFonts w:hint="eastAsia" w:ascii="仿宋" w:hAnsi="仿宋" w:eastAsia="仿宋" w:cs="仿宋_GB2312"/>
          <w:sz w:val="24"/>
          <w:szCs w:val="21"/>
        </w:rPr>
        <w:t>投标文件正、副本份数不足，其投标文件作无效处理；</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13.11</w:t>
      </w:r>
      <w:r>
        <w:rPr>
          <w:rFonts w:hint="eastAsia" w:ascii="仿宋" w:hAnsi="仿宋" w:eastAsia="仿宋" w:cs="仿宋_GB2312"/>
          <w:sz w:val="24"/>
          <w:szCs w:val="21"/>
        </w:rPr>
        <w:t>招标文件要求提供样品，投标人没有提供样品的；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13.12</w:t>
      </w:r>
      <w:r>
        <w:rPr>
          <w:rFonts w:hint="eastAsia" w:ascii="仿宋" w:hAnsi="仿宋" w:eastAsia="仿宋" w:cs="仿宋_GB2312"/>
          <w:sz w:val="24"/>
          <w:szCs w:val="21"/>
        </w:rPr>
        <w:t>投标文件中未含所投产品相应的节能产品政府采购清单页的（如果本项目采购涉及节能清单中的政府强制采购的节能产品的）；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13.13</w:t>
      </w:r>
      <w:r>
        <w:rPr>
          <w:rFonts w:hint="eastAsia" w:ascii="仿宋" w:hAnsi="仿宋" w:eastAsia="仿宋" w:cs="仿宋_GB2312"/>
          <w:sz w:val="24"/>
          <w:szCs w:val="21"/>
        </w:rPr>
        <w:t>投标文件含有采购人不能接受的附加条件的；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13.14</w:t>
      </w:r>
      <w:r>
        <w:rPr>
          <w:rFonts w:hint="eastAsia" w:ascii="仿宋" w:hAnsi="仿宋" w:eastAsia="仿宋" w:cs="仿宋_GB2312"/>
          <w:sz w:val="24"/>
          <w:szCs w:val="21"/>
        </w:rPr>
        <w:t>投标文件中承诺的投标有效期少于招标文件中载明的投标有效期的；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13.15</w:t>
      </w:r>
      <w:r>
        <w:rPr>
          <w:rFonts w:hint="eastAsia" w:ascii="仿宋" w:hAnsi="仿宋" w:eastAsia="仿宋" w:cs="仿宋_GB2312"/>
          <w:sz w:val="24"/>
          <w:szCs w:val="21"/>
        </w:rPr>
        <w:t>投标人所投内容不符合采购需求中实质性要求的；</w:t>
      </w:r>
    </w:p>
    <w:p>
      <w:pPr>
        <w:snapToGrid w:val="0"/>
        <w:spacing w:line="360" w:lineRule="auto"/>
        <w:jc w:val="left"/>
        <w:rPr>
          <w:rFonts w:hint="eastAsia" w:ascii="仿宋" w:hAnsi="仿宋" w:eastAsia="仿宋" w:cs="仿宋_GB2312"/>
          <w:sz w:val="24"/>
          <w:szCs w:val="21"/>
        </w:rPr>
      </w:pPr>
      <w:r>
        <w:rPr>
          <w:rFonts w:hint="eastAsia" w:ascii="仿宋" w:hAnsi="仿宋" w:eastAsia="仿宋" w:cs="仿宋_GB2312"/>
          <w:sz w:val="24"/>
          <w:szCs w:val="21"/>
        </w:rPr>
        <w:t xml:space="preserve">   </w:t>
      </w:r>
      <w:r>
        <w:rPr>
          <w:rFonts w:hint="eastAsia" w:ascii="仿宋" w:hAnsi="仿宋" w:eastAsia="仿宋"/>
        </w:rPr>
        <w:t>13.16</w:t>
      </w:r>
      <w:r>
        <w:rPr>
          <w:rFonts w:hint="eastAsia" w:ascii="仿宋" w:hAnsi="仿宋" w:eastAsia="仿宋" w:cs="仿宋_GB2312"/>
          <w:sz w:val="24"/>
          <w:szCs w:val="21"/>
        </w:rPr>
        <w:t xml:space="preserve"> 投标文件出现不是唯一的、有选择性投标报价的;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13.17</w:t>
      </w:r>
      <w:r>
        <w:rPr>
          <w:rFonts w:hint="eastAsia" w:ascii="仿宋" w:hAnsi="仿宋" w:eastAsia="仿宋" w:cs="仿宋_GB2312"/>
          <w:sz w:val="24"/>
          <w:szCs w:val="21"/>
        </w:rPr>
        <w:t>投标报价高于本项目采购预算或者最高限价的;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rPr>
        <w:t>13.19</w:t>
      </w:r>
      <w:r>
        <w:rPr>
          <w:rFonts w:hint="eastAsia" w:ascii="仿宋" w:hAnsi="仿宋" w:eastAsia="仿宋" w:cs="仿宋_GB2312"/>
          <w:sz w:val="24"/>
          <w:szCs w:val="21"/>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13.20《投标（开标）一览表》填写不完整或字迹不能辨认或有漏项的；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13.21投标人对根据修正原则修正后的报价不确认的；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13.21投标人提供虚假材料投标的（包括但不限于以下情节）；</w:t>
      </w:r>
    </w:p>
    <w:p>
      <w:pPr>
        <w:spacing w:line="360" w:lineRule="auto"/>
        <w:ind w:firstLine="720" w:firstLineChars="300"/>
        <w:rPr>
          <w:rFonts w:hint="eastAsia" w:ascii="仿宋" w:hAnsi="仿宋" w:eastAsia="仿宋" w:cs="仿宋_GB2312"/>
          <w:sz w:val="24"/>
          <w:szCs w:val="21"/>
        </w:rPr>
      </w:pPr>
      <w:r>
        <w:rPr>
          <w:rFonts w:hint="eastAsia" w:ascii="仿宋" w:hAnsi="仿宋" w:eastAsia="仿宋" w:cs="仿宋_GB2312"/>
          <w:sz w:val="24"/>
          <w:szCs w:val="21"/>
        </w:rPr>
        <w:t>13.21.1使用伪造、变造的许可证件；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       13.21.2提供虚假的财务状况或者业绩；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       13.21.3提供虚假的项目负责人或者主要技术人员简历、劳动关系证明；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       13.21.4提供虚假的信用状况；</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ascii="仿宋" w:hAnsi="仿宋" w:eastAsia="仿宋" w:cs="仿宋_GB2312"/>
          <w:sz w:val="24"/>
          <w:szCs w:val="21"/>
        </w:rPr>
        <w:t>13.2</w:t>
      </w:r>
      <w:r>
        <w:rPr>
          <w:rFonts w:hint="eastAsia" w:ascii="仿宋" w:hAnsi="仿宋" w:eastAsia="仿宋" w:cs="仿宋_GB2312"/>
          <w:sz w:val="24"/>
          <w:szCs w:val="21"/>
        </w:rPr>
        <w:t>1</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13.22投标人有恶意串通、妨碍其他投标人的竞争行为、损害采购人或者其他投标人的合法权益情形的；有下列情形之一的，属于或视为恶意串通，其投标无效：</w:t>
      </w:r>
    </w:p>
    <w:p>
      <w:pPr>
        <w:spacing w:line="360" w:lineRule="auto"/>
        <w:ind w:firstLine="525" w:firstLineChars="250"/>
        <w:rPr>
          <w:rFonts w:hint="eastAsia" w:ascii="仿宋" w:hAnsi="仿宋" w:eastAsia="仿宋" w:cs="仿宋_GB2312"/>
          <w:sz w:val="24"/>
          <w:szCs w:val="21"/>
        </w:rPr>
      </w:pPr>
      <w:r>
        <w:rPr>
          <w:rFonts w:hint="eastAsia" w:ascii="仿宋" w:hAnsi="仿宋" w:eastAsia="仿宋"/>
        </w:rPr>
        <w:t>13.22.1</w:t>
      </w:r>
      <w:r>
        <w:rPr>
          <w:rFonts w:hint="eastAsia" w:ascii="仿宋" w:hAnsi="仿宋" w:eastAsia="仿宋" w:cs="仿宋_GB2312"/>
          <w:sz w:val="24"/>
          <w:szCs w:val="21"/>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13.22.2供应商按照采购人或者采购代理机构的授意撤换、修改投标文件或者响应文件；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13.22.3供应商之间协商报价、技术方案等投标文件或者响应文件的实质性内容；</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13.22.5供应商之间事先约定由某一特定供应商中标、成交；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13.22.6供应商之间商定部分供应商放弃参加政府采购活动或者放弃中标、成交；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13.22.8不同投标人的投标文件由同一单位或者个人编制；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13.22.9不同投标人委托同一单位或者个人办理投标事宜；</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13.22.10不同投标人的投标文件载明的项目管理成员或者联系人员为同一人；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13.22.11不同投标人的投标文件异常一致或者投标报价呈规律性差异；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13.22.12不同投标人的投标文件相互混装；</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13.23法律、法规、规章（适用本市的）及省级以上规范性文件（适用本市的）规定的其他无效情形。</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312"/>
        <w:spacing w:before="0"/>
        <w:ind w:firstLine="0" w:firstLineChars="0"/>
        <w:rPr>
          <w:rFonts w:hint="eastAsia" w:ascii="仿宋" w:hAnsi="仿宋" w:eastAsia="仿宋" w:cs="仿宋_GB2312"/>
        </w:rPr>
      </w:pPr>
      <w:r>
        <w:rPr>
          <w:rFonts w:hint="eastAsia" w:ascii="仿宋" w:hAnsi="仿宋" w:eastAsia="仿宋" w:cs="仿宋_GB2312"/>
          <w:b/>
        </w:rPr>
        <w:t>14.</w:t>
      </w:r>
      <w:r>
        <w:rPr>
          <w:rFonts w:ascii="仿宋" w:hAnsi="仿宋" w:eastAsia="仿宋" w:cs="仿宋_GB2312"/>
          <w:b/>
        </w:rPr>
        <w:t xml:space="preserve"> 评标报告</w:t>
      </w:r>
      <w:r>
        <w:rPr>
          <w:rFonts w:hint="eastAsia" w:ascii="仿宋" w:hAnsi="仿宋" w:eastAsia="仿宋" w:cs="仿宋_GB2312"/>
          <w:b/>
        </w:rPr>
        <w:t>与推荐</w:t>
      </w:r>
      <w:r>
        <w:rPr>
          <w:rFonts w:ascii="仿宋" w:hAnsi="仿宋" w:eastAsia="仿宋" w:cs="仿宋_GB2312"/>
          <w:b/>
        </w:rPr>
        <w:t>中标候选人</w:t>
      </w:r>
      <w:r>
        <w:rPr>
          <w:rFonts w:hint="eastAsia" w:ascii="仿宋" w:hAnsi="仿宋" w:eastAsia="仿宋" w:cs="仿宋_GB2312"/>
          <w:b/>
        </w:rPr>
        <w:t>。</w:t>
      </w:r>
      <w:r>
        <w:rPr>
          <w:rFonts w:ascii="仿宋" w:hAnsi="仿宋" w:eastAsia="仿宋" w:cs="仿宋_GB2312"/>
        </w:rPr>
        <w:t>评标委员会根据全体评标成员签字的原始评标记录和评标结果编写评标报告</w:t>
      </w:r>
      <w:r>
        <w:rPr>
          <w:rFonts w:hint="eastAsia" w:ascii="仿宋" w:hAnsi="仿宋" w:eastAsia="仿宋" w:cs="仿宋_GB2312"/>
        </w:rPr>
        <w:t>，</w:t>
      </w:r>
      <w:r>
        <w:rPr>
          <w:rFonts w:ascii="仿宋" w:hAnsi="仿宋" w:eastAsia="仿宋" w:cs="仿宋_GB2312"/>
        </w:rPr>
        <w:t>并</w:t>
      </w:r>
      <w:r>
        <w:rPr>
          <w:rFonts w:hint="eastAsia" w:ascii="仿宋" w:hAnsi="仿宋" w:eastAsia="仿宋" w:cs="仿宋_GB2312"/>
        </w:rPr>
        <w:t>推荐</w:t>
      </w:r>
      <w:r>
        <w:rPr>
          <w:rFonts w:ascii="仿宋" w:hAnsi="仿宋" w:eastAsia="仿宋" w:cs="仿宋_GB2312"/>
        </w:rPr>
        <w:t>中标候选人</w:t>
      </w:r>
      <w:r>
        <w:rPr>
          <w:rFonts w:hint="eastAsia" w:ascii="仿宋" w:hAnsi="仿宋" w:eastAsia="仿宋" w:cs="仿宋_GB2312"/>
        </w:rPr>
        <w:t>，评审</w:t>
      </w:r>
      <w:r>
        <w:rPr>
          <w:rFonts w:ascii="仿宋" w:hAnsi="仿宋" w:eastAsia="仿宋" w:cs="仿宋_GB2312"/>
        </w:rPr>
        <w:t>报告由</w:t>
      </w:r>
      <w:r>
        <w:rPr>
          <w:rFonts w:hint="eastAsia" w:ascii="仿宋" w:hAnsi="仿宋" w:eastAsia="仿宋" w:cs="仿宋_GB2312"/>
        </w:rPr>
        <w:t>评标委员会</w:t>
      </w:r>
      <w:r>
        <w:rPr>
          <w:rFonts w:ascii="仿宋" w:hAnsi="仿宋" w:eastAsia="仿宋" w:cs="仿宋_GB2312"/>
        </w:rPr>
        <w:t>成员签字</w:t>
      </w:r>
      <w:r>
        <w:rPr>
          <w:rFonts w:hint="eastAsia" w:ascii="仿宋" w:hAnsi="仿宋" w:eastAsia="仿宋" w:cs="仿宋_GB2312"/>
        </w:rPr>
        <w:t>确认提交</w:t>
      </w:r>
      <w:r>
        <w:rPr>
          <w:rFonts w:ascii="仿宋" w:hAnsi="仿宋" w:eastAsia="仿宋" w:cs="仿宋_GB2312"/>
        </w:rPr>
        <w:t>。</w:t>
      </w:r>
    </w:p>
    <w:p>
      <w:pPr>
        <w:widowControl/>
        <w:adjustRightInd/>
        <w:spacing w:before="100" w:beforeAutospacing="1" w:after="100" w:afterAutospacing="1" w:line="360" w:lineRule="auto"/>
        <w:jc w:val="left"/>
        <w:rPr>
          <w:rFonts w:ascii="ˎ̥" w:hAnsi="ˎ̥" w:cs="宋体"/>
          <w:kern w:val="0"/>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33"/>
        <w:snapToGrid w:val="0"/>
        <w:spacing w:line="360" w:lineRule="auto"/>
        <w:ind w:firstLine="0" w:firstLineChars="0"/>
        <w:rPr>
          <w:rFonts w:hint="eastAsia"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33"/>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33"/>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33"/>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33"/>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33"/>
        <w:snapToGrid w:val="0"/>
        <w:spacing w:line="360" w:lineRule="auto"/>
        <w:rPr>
          <w:rFonts w:hint="eastAsia" w:ascii="仿宋" w:hAnsi="仿宋" w:eastAsia="仿宋" w:cs="仿宋_GB2312"/>
        </w:rPr>
      </w:pPr>
      <w:r>
        <w:rPr>
          <w:rFonts w:hint="eastAsia" w:ascii="仿宋" w:hAnsi="仿宋" w:eastAsia="仿宋" w:cs="仿宋_GB2312"/>
        </w:rPr>
        <w:t>废标后，采购机构应当将废标理由通知所有投标人。</w:t>
      </w:r>
    </w:p>
    <w:p>
      <w:pPr>
        <w:pStyle w:val="33"/>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 重新组织采购</w:t>
      </w:r>
    </w:p>
    <w:p>
      <w:pPr>
        <w:pStyle w:val="33"/>
        <w:snapToGrid w:val="0"/>
        <w:spacing w:line="360" w:lineRule="auto"/>
        <w:ind w:firstLine="482"/>
        <w:rPr>
          <w:rFonts w:hint="eastAsia"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3"/>
        <w:snapToGrid w:val="0"/>
        <w:spacing w:line="360" w:lineRule="auto"/>
        <w:ind w:firstLine="482"/>
        <w:rPr>
          <w:rFonts w:hint="eastAsia" w:ascii="仿宋" w:hAnsi="仿宋" w:eastAsia="仿宋" w:cs="仿宋_GB2312"/>
        </w:rPr>
      </w:pPr>
      <w:r>
        <w:rPr>
          <w:rFonts w:hint="eastAsia" w:ascii="仿宋_GB2312" w:hAnsi="Helvetica" w:eastAsia="仿宋_GB2312" w:cs="Helvetica"/>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33"/>
        <w:snapToGrid w:val="0"/>
        <w:spacing w:line="360" w:lineRule="auto"/>
        <w:rPr>
          <w:rFonts w:hint="eastAsia"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33"/>
        <w:snapToGrid w:val="0"/>
        <w:spacing w:line="360" w:lineRule="auto"/>
        <w:rPr>
          <w:rFonts w:hint="eastAsia"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3"/>
        <w:snapToGrid w:val="0"/>
        <w:spacing w:line="360" w:lineRule="auto"/>
        <w:rPr>
          <w:rFonts w:hint="eastAsia"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33"/>
        <w:snapToGrid w:val="0"/>
        <w:spacing w:line="360" w:lineRule="auto"/>
        <w:rPr>
          <w:rFonts w:hint="eastAsia"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33"/>
        <w:snapToGrid w:val="0"/>
        <w:spacing w:line="360" w:lineRule="auto"/>
        <w:rPr>
          <w:rFonts w:hint="eastAsia"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pStyle w:val="33"/>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20.录音录像。</w:t>
      </w:r>
      <w:r>
        <w:rPr>
          <w:rFonts w:hint="eastAsia" w:ascii="仿宋" w:hAnsi="仿宋" w:eastAsia="仿宋" w:cs="仿宋_GB2312"/>
          <w:sz w:val="24"/>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九、具体评标标准</w:t>
      </w: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（根据具体采购品目制定）</w:t>
      </w:r>
    </w:p>
    <w:p>
      <w:pPr>
        <w:autoSpaceDE w:val="0"/>
        <w:autoSpaceDN w:val="0"/>
        <w:spacing w:line="360" w:lineRule="auto"/>
        <w:ind w:firstLine="482" w:firstLineChars="200"/>
        <w:rPr>
          <w:rFonts w:hint="eastAsia" w:ascii="仿宋_GB2312" w:hAnsi="宋体" w:eastAsia="仿宋_GB2312"/>
          <w:sz w:val="24"/>
        </w:rPr>
      </w:pPr>
      <w:bookmarkStart w:id="402" w:name="gxebd_pack_1_EvalFactorAccordEnd"/>
      <w:bookmarkEnd w:id="402"/>
      <w:r>
        <w:rPr>
          <w:rFonts w:hint="eastAsia" w:ascii="仿宋_GB2312" w:eastAsia="仿宋_GB2312"/>
          <w:b/>
          <w:sz w:val="24"/>
        </w:rPr>
        <w:t>一、本项目采用综合</w:t>
      </w:r>
      <w:r>
        <w:rPr>
          <w:rFonts w:hint="eastAsia" w:ascii="仿宋_GB2312" w:hAnsi="宋体" w:eastAsia="仿宋_GB2312"/>
          <w:b/>
          <w:sz w:val="24"/>
        </w:rPr>
        <w:t>评分法</w:t>
      </w:r>
      <w:r>
        <w:rPr>
          <w:rFonts w:hint="eastAsia" w:ascii="仿宋_GB2312" w:hAnsi="宋体" w:eastAsia="仿宋_GB2312"/>
          <w:sz w:val="24"/>
        </w:rPr>
        <w:t>，</w:t>
      </w:r>
      <w:r>
        <w:rPr>
          <w:rFonts w:hint="eastAsia" w:ascii="仿宋_GB2312" w:eastAsia="仿宋_GB2312"/>
          <w:sz w:val="24"/>
        </w:rPr>
        <w:t>评标委员会将对各投标人的投标报价、</w:t>
      </w:r>
      <w:r>
        <w:rPr>
          <w:rFonts w:hint="eastAsia" w:ascii="仿宋_GB2312" w:hAnsi="宋体" w:eastAsia="仿宋_GB2312"/>
          <w:bCs/>
          <w:sz w:val="24"/>
        </w:rPr>
        <w:t>技术和服务方案</w:t>
      </w:r>
      <w:r>
        <w:rPr>
          <w:rFonts w:hint="eastAsia" w:ascii="仿宋_GB2312" w:eastAsia="仿宋_GB2312"/>
          <w:sz w:val="24"/>
        </w:rPr>
        <w:t>、</w:t>
      </w:r>
      <w:r>
        <w:rPr>
          <w:rFonts w:hint="eastAsia" w:ascii="仿宋_GB2312" w:hAnsi="宋体" w:eastAsia="仿宋_GB2312"/>
          <w:sz w:val="24"/>
        </w:rPr>
        <w:t>投标人提供的资质和业绩情况</w:t>
      </w:r>
      <w:r>
        <w:rPr>
          <w:rFonts w:hint="eastAsia" w:ascii="仿宋_GB2312" w:eastAsia="仿宋_GB2312"/>
          <w:sz w:val="24"/>
        </w:rPr>
        <w:t>等方面进行综合评审，评标委员会各成员应当独立对每个有效投标人的投标文件进行评价、打分</w:t>
      </w:r>
      <w:r>
        <w:rPr>
          <w:rFonts w:hint="eastAsia" w:ascii="仿宋_GB2312" w:hAnsi="宋体" w:eastAsia="仿宋_GB2312"/>
          <w:sz w:val="24"/>
        </w:rPr>
        <w:t>。</w:t>
      </w:r>
      <w:r>
        <w:rPr>
          <w:rFonts w:hint="eastAsia" w:ascii="仿宋_GB2312" w:eastAsia="仿宋_GB2312"/>
          <w:sz w:val="24"/>
        </w:rPr>
        <w:t>经统计，得出各投标人的最终评审分,按最终评审分由高到低顺序排列。得分相同的，按</w:t>
      </w:r>
      <w:r>
        <w:rPr>
          <w:rFonts w:hint="eastAsia" w:ascii="仿宋_GB2312" w:hAnsi="宋体" w:eastAsia="仿宋_GB2312"/>
          <w:sz w:val="24"/>
        </w:rPr>
        <w:t>投标</w:t>
      </w:r>
      <w:r>
        <w:rPr>
          <w:rFonts w:hint="eastAsia" w:ascii="仿宋_GB2312" w:eastAsia="仿宋_GB2312"/>
          <w:sz w:val="24"/>
        </w:rPr>
        <w:t>报价由低到高顺序排列。得分且投标报价相同的，按技术指标优劣顺序排列，并形成评标意见</w:t>
      </w:r>
      <w:r>
        <w:rPr>
          <w:rFonts w:hint="eastAsia" w:ascii="仿宋_GB2312" w:hAnsi="宋体" w:eastAsia="仿宋_GB2312"/>
          <w:sz w:val="24"/>
        </w:rPr>
        <w:t xml:space="preserve">。 </w:t>
      </w:r>
    </w:p>
    <w:p>
      <w:pPr>
        <w:spacing w:line="360" w:lineRule="auto"/>
        <w:ind w:left="105" w:leftChars="50" w:firstLine="427" w:firstLineChars="178"/>
        <w:rPr>
          <w:rFonts w:hint="eastAsia" w:ascii="仿宋_GB2312" w:hAnsi="宋体" w:eastAsia="仿宋_GB2312"/>
          <w:b/>
          <w:sz w:val="24"/>
        </w:rPr>
      </w:pPr>
      <w:r>
        <w:rPr>
          <w:rFonts w:hint="eastAsia" w:ascii="仿宋_GB2312" w:hAnsi="宋体" w:eastAsia="仿宋_GB2312"/>
          <w:sz w:val="24"/>
        </w:rPr>
        <w:t>各投标人的综合得分为：投标价格得分+</w:t>
      </w:r>
      <w:r>
        <w:rPr>
          <w:rFonts w:hint="eastAsia" w:ascii="仿宋_GB2312" w:hAnsi="宋体" w:eastAsia="仿宋_GB2312"/>
          <w:bCs/>
          <w:sz w:val="24"/>
        </w:rPr>
        <w:t>技术和服务方案</w:t>
      </w:r>
      <w:r>
        <w:rPr>
          <w:rFonts w:hint="eastAsia" w:ascii="仿宋_GB2312" w:hAnsi="宋体" w:eastAsia="仿宋_GB2312"/>
          <w:sz w:val="24"/>
        </w:rPr>
        <w:t>得分+投标人的资质和业绩情况得分之和，</w:t>
      </w:r>
      <w:r>
        <w:rPr>
          <w:rFonts w:hint="eastAsia" w:ascii="仿宋_GB2312" w:hAnsi="宋体" w:eastAsia="仿宋_GB2312"/>
          <w:b/>
          <w:sz w:val="24"/>
        </w:rPr>
        <w:t>总和为</w:t>
      </w:r>
      <w:r>
        <w:rPr>
          <w:rFonts w:hint="eastAsia" w:ascii="仿宋_GB2312" w:hAnsi="宋体" w:eastAsia="仿宋_GB2312"/>
          <w:b/>
          <w:sz w:val="24"/>
          <w:u w:val="single"/>
        </w:rPr>
        <w:t>100</w:t>
      </w:r>
      <w:r>
        <w:rPr>
          <w:rFonts w:hint="eastAsia" w:ascii="仿宋_GB2312" w:hAnsi="宋体" w:eastAsia="仿宋_GB2312"/>
          <w:b/>
          <w:sz w:val="24"/>
        </w:rPr>
        <w:t>分</w:t>
      </w:r>
      <w:r>
        <w:rPr>
          <w:rFonts w:hint="eastAsia" w:ascii="仿宋_GB2312" w:hAnsi="宋体" w:eastAsia="仿宋_GB2312"/>
          <w:sz w:val="24"/>
        </w:rPr>
        <w:t>，其中：</w:t>
      </w:r>
      <w:r>
        <w:rPr>
          <w:rFonts w:hint="eastAsia" w:ascii="仿宋_GB2312" w:hAnsi="宋体" w:eastAsia="仿宋_GB2312"/>
          <w:b/>
          <w:sz w:val="24"/>
        </w:rPr>
        <w:t>投标价格得分</w:t>
      </w:r>
      <w:r>
        <w:rPr>
          <w:rFonts w:hint="eastAsia" w:ascii="仿宋_GB2312" w:hAnsi="宋体" w:eastAsia="仿宋_GB2312"/>
          <w:b/>
          <w:sz w:val="24"/>
          <w:u w:val="single"/>
        </w:rPr>
        <w:t>30</w:t>
      </w:r>
      <w:r>
        <w:rPr>
          <w:rFonts w:hint="eastAsia" w:ascii="仿宋_GB2312" w:hAnsi="宋体" w:eastAsia="仿宋_GB2312"/>
          <w:b/>
          <w:sz w:val="24"/>
        </w:rPr>
        <w:t>分，</w:t>
      </w:r>
      <w:r>
        <w:rPr>
          <w:rFonts w:hint="eastAsia" w:ascii="仿宋_GB2312" w:hAnsi="宋体" w:eastAsia="仿宋_GB2312"/>
          <w:b/>
          <w:bCs/>
          <w:sz w:val="24"/>
        </w:rPr>
        <w:t>技术和服务方案得分</w:t>
      </w:r>
      <w:r>
        <w:rPr>
          <w:rFonts w:hint="eastAsia" w:ascii="仿宋_GB2312" w:hAnsi="宋体" w:eastAsia="仿宋_GB2312"/>
          <w:b/>
          <w:sz w:val="24"/>
          <w:u w:val="single"/>
        </w:rPr>
        <w:t>65</w:t>
      </w:r>
      <w:r>
        <w:rPr>
          <w:rFonts w:hint="eastAsia" w:ascii="仿宋_GB2312" w:hAnsi="宋体" w:eastAsia="仿宋_GB2312"/>
          <w:b/>
          <w:sz w:val="24"/>
        </w:rPr>
        <w:t>分，投标人的资质和业绩情况得分</w:t>
      </w:r>
      <w:r>
        <w:rPr>
          <w:rFonts w:hint="eastAsia" w:ascii="仿宋_GB2312" w:hAnsi="宋体" w:eastAsia="仿宋_GB2312"/>
          <w:b/>
          <w:sz w:val="24"/>
          <w:u w:val="single"/>
        </w:rPr>
        <w:t>5</w:t>
      </w:r>
      <w:r>
        <w:rPr>
          <w:rFonts w:hint="eastAsia" w:ascii="仿宋_GB2312" w:hAnsi="宋体" w:eastAsia="仿宋_GB2312"/>
          <w:b/>
          <w:sz w:val="24"/>
        </w:rPr>
        <w:t>分。各投标人总分为：综合得分</w:t>
      </w:r>
      <w:r>
        <w:rPr>
          <w:rFonts w:hint="eastAsia" w:ascii="仿宋_GB2312" w:hAnsi="宋体" w:eastAsia="仿宋_GB2312"/>
          <w:sz w:val="24"/>
        </w:rPr>
        <w:t>-</w:t>
      </w:r>
      <w:r>
        <w:rPr>
          <w:rFonts w:hint="eastAsia" w:ascii="仿宋_GB2312" w:eastAsia="仿宋_GB2312"/>
          <w:b/>
          <w:sz w:val="24"/>
        </w:rPr>
        <w:t>投标人的信誉情况扣分。</w:t>
      </w:r>
    </w:p>
    <w:p>
      <w:pPr>
        <w:tabs>
          <w:tab w:val="left" w:pos="0"/>
        </w:tabs>
        <w:spacing w:line="360" w:lineRule="auto"/>
        <w:ind w:firstLine="542" w:firstLineChars="225"/>
        <w:rPr>
          <w:rFonts w:hint="eastAsia" w:ascii="仿宋_GB2312" w:hAnsi="宋体" w:eastAsia="仿宋_GB2312"/>
          <w:sz w:val="24"/>
        </w:rPr>
      </w:pPr>
      <w:r>
        <w:rPr>
          <w:rFonts w:hint="eastAsia" w:ascii="仿宋_GB2312" w:hAnsi="宋体" w:eastAsia="仿宋_GB2312"/>
          <w:b/>
          <w:sz w:val="24"/>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kern w:val="0"/>
          <w:sz w:val="24"/>
        </w:rPr>
        <w:t>公式由采购机构计算，</w:t>
      </w:r>
      <w:r>
        <w:rPr>
          <w:rFonts w:hint="eastAsia" w:ascii="仿宋_GB2312" w:hAnsi="宋体" w:eastAsia="仿宋_GB2312"/>
          <w:b/>
          <w:sz w:val="24"/>
        </w:rPr>
        <w:t>评标委员会审核。</w:t>
      </w:r>
      <w:r>
        <w:rPr>
          <w:rFonts w:hint="eastAsia" w:ascii="仿宋_GB2312" w:hAnsi="宋体" w:eastAsia="仿宋_GB2312"/>
          <w:sz w:val="24"/>
        </w:rPr>
        <w:t>根据上述评标原则，分值安排如下：</w:t>
      </w:r>
    </w:p>
    <w:p>
      <w:pPr>
        <w:spacing w:line="360" w:lineRule="auto"/>
        <w:ind w:firstLine="482" w:firstLineChars="200"/>
        <w:rPr>
          <w:rFonts w:hint="eastAsia" w:ascii="仿宋_GB2312" w:eastAsia="仿宋_GB2312"/>
          <w:b/>
          <w:sz w:val="24"/>
        </w:rPr>
      </w:pPr>
      <w:r>
        <w:rPr>
          <w:rFonts w:hint="eastAsia" w:ascii="仿宋_GB2312" w:hAnsi="宋体" w:eastAsia="仿宋_GB2312"/>
          <w:b/>
          <w:bCs/>
          <w:sz w:val="24"/>
        </w:rPr>
        <w:t>▲</w:t>
      </w:r>
      <w:r>
        <w:rPr>
          <w:rFonts w:hint="eastAsia" w:ascii="仿宋_GB2312" w:hAnsi="宋体" w:eastAsia="仿宋_GB2312"/>
          <w:b/>
          <w:sz w:val="24"/>
        </w:rPr>
        <w:t>投标价格（A=30分）：</w:t>
      </w:r>
    </w:p>
    <w:p>
      <w:pPr>
        <w:autoSpaceDE w:val="0"/>
        <w:autoSpaceDN w:val="0"/>
        <w:spacing w:line="360" w:lineRule="auto"/>
        <w:ind w:firstLine="482"/>
        <w:rPr>
          <w:rFonts w:hint="eastAsia" w:ascii="仿宋_GB2312" w:eastAsia="仿宋_GB2312"/>
          <w:sz w:val="24"/>
          <w:lang w:val="zh-CN"/>
        </w:rPr>
      </w:pPr>
      <w:r>
        <w:rPr>
          <w:rFonts w:hint="eastAsia" w:ascii="仿宋_GB2312" w:hAnsi="宋体" w:eastAsia="仿宋_GB2312"/>
          <w:sz w:val="18"/>
          <w:szCs w:val="18"/>
        </w:rPr>
        <w:t xml:space="preserve">● </w:t>
      </w:r>
      <w:r>
        <w:rPr>
          <w:rFonts w:hint="eastAsia" w:ascii="仿宋_GB2312" w:hAnsi="宋体" w:eastAsia="仿宋_GB2312"/>
          <w:b/>
          <w:sz w:val="24"/>
        </w:rPr>
        <w:t>投标价格的合理性</w:t>
      </w:r>
      <w:r>
        <w:rPr>
          <w:rFonts w:hint="eastAsia" w:ascii="仿宋_GB2312" w:hAnsi="宋体" w:eastAsia="仿宋_GB2312"/>
          <w:sz w:val="24"/>
        </w:rPr>
        <w:t>：</w:t>
      </w:r>
      <w:r>
        <w:rPr>
          <w:rFonts w:hint="eastAsia" w:ascii="仿宋_GB2312" w:eastAsia="仿宋_GB2312"/>
          <w:sz w:val="24"/>
          <w:lang w:val="zh-CN"/>
        </w:rPr>
        <w:t>分析总报价及各个分项报价是否合理，报价范围是否完整，有否重大错漏项</w:t>
      </w:r>
      <w:r>
        <w:rPr>
          <w:rFonts w:hint="eastAsia" w:ascii="仿宋_GB2312" w:hAnsi="宋体" w:eastAsia="仿宋_GB2312"/>
          <w:sz w:val="24"/>
        </w:rPr>
        <w:t>，评标委员会认为投标报价出现异常时，有权要求投标人在评标期间对投标报价的详细组成和投标设备的供应渠道等事项作出解释和澄清，并确认其投标报价是否有效</w:t>
      </w:r>
      <w:r>
        <w:rPr>
          <w:rFonts w:hint="eastAsia" w:ascii="仿宋_GB2312" w:eastAsia="仿宋_GB2312"/>
          <w:sz w:val="24"/>
          <w:lang w:val="zh-CN"/>
        </w:rPr>
        <w:t>；</w:t>
      </w:r>
    </w:p>
    <w:p>
      <w:pPr>
        <w:snapToGrid w:val="0"/>
        <w:spacing w:line="360" w:lineRule="auto"/>
        <w:ind w:firstLine="480" w:firstLineChars="200"/>
        <w:rPr>
          <w:rFonts w:hint="eastAsia" w:ascii="仿宋_GB2312" w:hAnsi="宋体" w:eastAsia="仿宋_GB2312"/>
          <w:sz w:val="24"/>
        </w:rPr>
      </w:pPr>
      <w:r>
        <w:rPr>
          <w:rFonts w:hint="eastAsia" w:ascii="仿宋_GB2312" w:eastAsia="仿宋_GB2312"/>
          <w:sz w:val="24"/>
          <w:lang w:val="zh-CN"/>
        </w:rPr>
        <w:t>报价分计算方法：根据各投标人的有效投标报价，以满足招标文件要求且有效投标价格的最低的投标报价为评标基准价，其价格分为</w:t>
      </w:r>
      <w:r>
        <w:rPr>
          <w:rFonts w:hint="eastAsia" w:ascii="仿宋_GB2312" w:eastAsia="仿宋_GB2312"/>
          <w:sz w:val="24"/>
        </w:rPr>
        <w:t>30</w:t>
      </w:r>
      <w:r>
        <w:rPr>
          <w:rFonts w:hint="eastAsia" w:ascii="仿宋_GB2312" w:eastAsia="仿宋_GB2312"/>
          <w:sz w:val="24"/>
          <w:lang w:val="zh-CN"/>
        </w:rPr>
        <w:t>分。其他投标人的价格分统一按照下列公式计算：投标报价得分＝(评标基准价/有效投标报价)</w:t>
      </w:r>
      <w:r>
        <w:rPr>
          <w:rFonts w:hint="eastAsia" w:ascii="仿宋_GB2312" w:eastAsia="仿宋_GB2312"/>
          <w:sz w:val="24"/>
        </w:rPr>
        <w:t>×</w:t>
      </w:r>
      <w:r>
        <w:rPr>
          <w:rFonts w:hint="eastAsia" w:ascii="仿宋_GB2312" w:eastAsia="仿宋_GB2312"/>
          <w:sz w:val="24"/>
          <w:lang w:val="zh-CN"/>
        </w:rPr>
        <w:t>价格权值</w:t>
      </w:r>
      <w:r>
        <w:rPr>
          <w:rFonts w:hint="eastAsia" w:ascii="仿宋_GB2312" w:eastAsia="仿宋_GB2312"/>
          <w:sz w:val="24"/>
        </w:rPr>
        <w:t>×</w:t>
      </w:r>
      <w:r>
        <w:rPr>
          <w:rFonts w:hint="eastAsia" w:ascii="仿宋_GB2312" w:eastAsia="仿宋_GB2312"/>
          <w:sz w:val="24"/>
          <w:lang w:val="zh-CN"/>
        </w:rPr>
        <w:t>100(精确到小数点后二位，由采购机构当场统一计算)。</w:t>
      </w:r>
    </w:p>
    <w:p>
      <w:pPr>
        <w:snapToGrid w:val="0"/>
        <w:spacing w:line="360" w:lineRule="auto"/>
        <w:ind w:firstLine="480" w:firstLineChars="200"/>
        <w:rPr>
          <w:rFonts w:hint="eastAsia" w:ascii="华文仿宋" w:hAnsi="华文仿宋" w:eastAsia="华文仿宋" w:cs="仿宋_GB2312"/>
          <w:b/>
          <w:color w:val="0000FF"/>
          <w:sz w:val="24"/>
        </w:rPr>
      </w:pPr>
      <w:r>
        <w:rPr>
          <w:rFonts w:hint="eastAsia" w:ascii="华文仿宋" w:hAnsi="华文仿宋" w:eastAsia="华文仿宋" w:cs="仿宋_GB2312"/>
          <w:b/>
          <w:bCs/>
          <w:sz w:val="24"/>
        </w:rPr>
        <w:t>▲ 技术和服务方案（</w:t>
      </w:r>
      <w:r>
        <w:rPr>
          <w:rFonts w:hint="eastAsia" w:ascii="华文仿宋" w:hAnsi="华文仿宋" w:eastAsia="华文仿宋" w:cs="仿宋_GB2312"/>
          <w:b/>
          <w:color w:val="0000FF"/>
          <w:sz w:val="24"/>
        </w:rPr>
        <w:t>B= 6</w:t>
      </w:r>
      <w:r>
        <w:rPr>
          <w:rFonts w:ascii="华文仿宋" w:hAnsi="华文仿宋" w:eastAsia="华文仿宋" w:cs="仿宋_GB2312"/>
          <w:b/>
          <w:color w:val="0000FF"/>
          <w:sz w:val="24"/>
        </w:rPr>
        <w:t>5</w:t>
      </w:r>
      <w:r>
        <w:rPr>
          <w:rFonts w:hint="eastAsia" w:ascii="华文仿宋" w:hAnsi="华文仿宋" w:eastAsia="华文仿宋" w:cs="仿宋_GB2312"/>
          <w:b/>
          <w:color w:val="0000FF"/>
          <w:sz w:val="24"/>
        </w:rPr>
        <w:t>分</w:t>
      </w:r>
      <w:r>
        <w:rPr>
          <w:rFonts w:hint="eastAsia" w:ascii="华文仿宋" w:hAnsi="华文仿宋" w:eastAsia="华文仿宋" w:cs="仿宋_GB2312"/>
          <w:b/>
          <w:bCs/>
          <w:sz w:val="24"/>
        </w:rPr>
        <w:t>）：</w:t>
      </w:r>
      <w:r>
        <w:rPr>
          <w:rFonts w:hint="eastAsia" w:ascii="华文仿宋" w:hAnsi="华文仿宋" w:eastAsia="华文仿宋" w:cs="仿宋_GB2312"/>
          <w:sz w:val="24"/>
        </w:rPr>
        <w:t>主要包含方案的</w:t>
      </w:r>
      <w:r>
        <w:rPr>
          <w:rFonts w:hint="eastAsia" w:ascii="华文仿宋" w:hAnsi="华文仿宋" w:eastAsia="华文仿宋" w:cs="仿宋_GB2312"/>
          <w:bCs/>
          <w:sz w:val="24"/>
        </w:rPr>
        <w:t>先进性、科学性和完整性，产品与</w:t>
      </w:r>
      <w:r>
        <w:rPr>
          <w:rFonts w:hint="eastAsia" w:ascii="华文仿宋" w:hAnsi="华文仿宋" w:eastAsia="华文仿宋" w:cs="仿宋_GB2312"/>
          <w:sz w:val="24"/>
        </w:rPr>
        <w:t>需求的吻合程度</w:t>
      </w:r>
      <w:r>
        <w:rPr>
          <w:rFonts w:hint="eastAsia" w:ascii="华文仿宋" w:hAnsi="华文仿宋" w:eastAsia="华文仿宋" w:cs="仿宋_GB2312"/>
          <w:bCs/>
          <w:sz w:val="24"/>
        </w:rPr>
        <w:t>，</w:t>
      </w:r>
      <w:r>
        <w:rPr>
          <w:rFonts w:hint="eastAsia" w:ascii="华文仿宋" w:hAnsi="华文仿宋" w:eastAsia="华文仿宋" w:cs="仿宋_GB2312"/>
          <w:sz w:val="24"/>
        </w:rPr>
        <w:t>提供的售后服务方案、维护人员和机构等情况的服务优劣程度等方面的因素</w:t>
      </w:r>
      <w:r>
        <w:rPr>
          <w:rFonts w:hint="eastAsia" w:ascii="华文仿宋" w:hAnsi="华文仿宋" w:eastAsia="华文仿宋" w:cs="仿宋_GB2312"/>
          <w:kern w:val="0"/>
          <w:sz w:val="24"/>
        </w:rPr>
        <w:t>，</w:t>
      </w:r>
      <w:r>
        <w:rPr>
          <w:rFonts w:hint="eastAsia" w:ascii="华文仿宋" w:hAnsi="华文仿宋" w:eastAsia="华文仿宋" w:cs="仿宋_GB2312"/>
          <w:sz w:val="24"/>
        </w:rPr>
        <w:t>以及承诺和优惠。</w:t>
      </w:r>
    </w:p>
    <w:p>
      <w:pPr>
        <w:snapToGrid w:val="0"/>
        <w:spacing w:line="360" w:lineRule="auto"/>
        <w:ind w:right="-109" w:rightChars="-52" w:firstLine="360" w:firstLineChars="150"/>
        <w:rPr>
          <w:rFonts w:ascii="华文仿宋" w:hAnsi="华文仿宋" w:eastAsia="华文仿宋"/>
          <w:b/>
          <w:color w:val="0000FF"/>
          <w:sz w:val="24"/>
        </w:rPr>
      </w:pPr>
      <w:r>
        <w:rPr>
          <w:rFonts w:hint="eastAsia" w:ascii="华文仿宋" w:hAnsi="华文仿宋" w:eastAsia="华文仿宋"/>
          <w:b/>
          <w:color w:val="0000FF"/>
          <w:sz w:val="24"/>
        </w:rPr>
        <w:t>（1）投标方案的</w:t>
      </w:r>
      <w:r>
        <w:rPr>
          <w:rFonts w:hint="eastAsia" w:ascii="华文仿宋" w:hAnsi="华文仿宋" w:eastAsia="华文仿宋"/>
          <w:b/>
          <w:bCs/>
          <w:color w:val="0000FF"/>
          <w:sz w:val="24"/>
        </w:rPr>
        <w:t>科学性和完整性</w:t>
      </w:r>
      <w:r>
        <w:rPr>
          <w:rFonts w:hint="eastAsia" w:ascii="华文仿宋" w:hAnsi="华文仿宋" w:eastAsia="华文仿宋"/>
          <w:b/>
          <w:color w:val="0000FF"/>
          <w:sz w:val="24"/>
        </w:rPr>
        <w:t>（6分）：</w:t>
      </w:r>
    </w:p>
    <w:p>
      <w:pPr>
        <w:snapToGrid w:val="0"/>
        <w:spacing w:line="360" w:lineRule="auto"/>
        <w:ind w:firstLine="450" w:firstLineChars="250"/>
        <w:rPr>
          <w:rFonts w:ascii="华文仿宋" w:hAnsi="华文仿宋" w:eastAsia="华文仿宋" w:cs="Wingdings"/>
          <w:sz w:val="24"/>
        </w:rPr>
      </w:pPr>
      <w:r>
        <w:rPr>
          <w:rFonts w:hint="eastAsia" w:ascii="华文仿宋" w:hAnsi="华文仿宋" w:eastAsia="华文仿宋"/>
          <w:sz w:val="18"/>
          <w:szCs w:val="18"/>
        </w:rPr>
        <w:t xml:space="preserve">● </w:t>
      </w:r>
      <w:r>
        <w:rPr>
          <w:rFonts w:hint="eastAsia" w:ascii="华文仿宋" w:hAnsi="华文仿宋" w:eastAsia="华文仿宋"/>
          <w:sz w:val="24"/>
        </w:rPr>
        <w:t>投标方案与需求的吻合程度，包括方案的科学性、先进性、可靠性、成熟性、合理性和扩展性；方案配置的合理性等方面与项目对应需求的满足程度。</w:t>
      </w:r>
      <w:r>
        <w:rPr>
          <w:rFonts w:hint="eastAsia" w:ascii="华文仿宋" w:hAnsi="华文仿宋" w:eastAsia="华文仿宋" w:cs="Wingdings"/>
          <w:sz w:val="24"/>
        </w:rPr>
        <w:t>（2分）；</w:t>
      </w:r>
    </w:p>
    <w:p>
      <w:pPr>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w:t>
      </w:r>
      <w:r>
        <w:rPr>
          <w:rFonts w:hint="eastAsia" w:ascii="华文仿宋" w:hAnsi="华文仿宋" w:eastAsia="华文仿宋" w:cs="Wingdings"/>
          <w:sz w:val="24"/>
        </w:rPr>
        <w:t>对该项目了解情况，是否满足功能需求，对该建设的理解情况和所采取的措施情况，对重点、难点技术环节是否有先进、合理的建议，解决方</w:t>
      </w:r>
      <w:r>
        <w:rPr>
          <w:rFonts w:hint="eastAsia" w:ascii="华文仿宋" w:hAnsi="华文仿宋" w:eastAsia="华文仿宋" w:cs="仿宋_GB2312"/>
          <w:sz w:val="24"/>
          <w:lang w:val="zh-CN"/>
        </w:rPr>
        <w:t>案是否完整、经济、安全、切实可行，措施得力（</w:t>
      </w:r>
      <w:r>
        <w:rPr>
          <w:rFonts w:hint="eastAsia" w:ascii="华文仿宋" w:hAnsi="华文仿宋" w:eastAsia="华文仿宋" w:cs="仿宋_GB2312"/>
          <w:sz w:val="24"/>
        </w:rPr>
        <w:t>2</w:t>
      </w:r>
      <w:r>
        <w:rPr>
          <w:rFonts w:hint="eastAsia" w:ascii="华文仿宋" w:hAnsi="华文仿宋" w:eastAsia="华文仿宋" w:cs="仿宋_GB2312"/>
          <w:sz w:val="24"/>
          <w:lang w:val="zh-CN"/>
        </w:rPr>
        <w:t>分）</w:t>
      </w:r>
      <w:r>
        <w:rPr>
          <w:rFonts w:hint="eastAsia" w:ascii="华文仿宋" w:hAnsi="华文仿宋" w:eastAsia="华文仿宋" w:cs="Wingdings"/>
          <w:sz w:val="24"/>
        </w:rPr>
        <w:t>；</w:t>
      </w:r>
    </w:p>
    <w:p>
      <w:pPr>
        <w:tabs>
          <w:tab w:val="left" w:pos="0"/>
        </w:tabs>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sz w:val="24"/>
        </w:rPr>
        <w:t>对是否全面熟知</w:t>
      </w:r>
      <w:r>
        <w:rPr>
          <w:rFonts w:hint="eastAsia" w:ascii="华文仿宋" w:hAnsi="华文仿宋" w:eastAsia="华文仿宋" w:cs="Wingdings"/>
          <w:sz w:val="24"/>
        </w:rPr>
        <w:t>采购项目</w:t>
      </w:r>
      <w:r>
        <w:rPr>
          <w:rFonts w:hint="eastAsia" w:ascii="华文仿宋" w:hAnsi="华文仿宋" w:eastAsia="华文仿宋"/>
          <w:sz w:val="24"/>
        </w:rPr>
        <w:t>技术要求的理解情况，应急方案设计</w:t>
      </w:r>
      <w:r>
        <w:rPr>
          <w:rFonts w:hint="eastAsia" w:ascii="华文仿宋" w:hAnsi="华文仿宋" w:eastAsia="华文仿宋" w:cs="Wingdings"/>
          <w:sz w:val="24"/>
        </w:rPr>
        <w:t>是否</w:t>
      </w:r>
      <w:r>
        <w:rPr>
          <w:rFonts w:hint="eastAsia" w:ascii="华文仿宋" w:hAnsi="华文仿宋" w:eastAsia="华文仿宋"/>
          <w:sz w:val="24"/>
        </w:rPr>
        <w:t>合理，</w:t>
      </w:r>
      <w:r>
        <w:rPr>
          <w:rFonts w:hint="eastAsia" w:ascii="华文仿宋" w:hAnsi="华文仿宋" w:eastAsia="华文仿宋" w:cs="Wingdings"/>
          <w:sz w:val="24"/>
        </w:rPr>
        <w:t>是否</w:t>
      </w:r>
      <w:r>
        <w:rPr>
          <w:rFonts w:hint="eastAsia" w:ascii="华文仿宋" w:hAnsi="华文仿宋" w:eastAsia="华文仿宋"/>
          <w:sz w:val="24"/>
        </w:rPr>
        <w:t>充分考虑用户实际使用需求，方案在确保阶段性任务实现的同时，是否统筹考虑了总体目标的实现</w:t>
      </w:r>
      <w:r>
        <w:rPr>
          <w:rFonts w:hint="eastAsia" w:ascii="华文仿宋" w:hAnsi="华文仿宋" w:eastAsia="华文仿宋" w:cs="Wingdings"/>
          <w:sz w:val="24"/>
        </w:rPr>
        <w:t>（2分）。</w:t>
      </w:r>
    </w:p>
    <w:p>
      <w:pPr>
        <w:snapToGrid w:val="0"/>
        <w:spacing w:line="360" w:lineRule="auto"/>
        <w:ind w:firstLine="360" w:firstLineChars="150"/>
        <w:rPr>
          <w:rFonts w:ascii="华文仿宋" w:hAnsi="华文仿宋" w:eastAsia="华文仿宋"/>
          <w:b/>
          <w:color w:val="0000FF"/>
          <w:sz w:val="24"/>
        </w:rPr>
      </w:pPr>
      <w:r>
        <w:rPr>
          <w:rFonts w:hint="eastAsia" w:ascii="华文仿宋" w:hAnsi="华文仿宋" w:eastAsia="华文仿宋"/>
          <w:b/>
          <w:color w:val="0000FF"/>
          <w:sz w:val="24"/>
        </w:rPr>
        <w:t>（2）投标产品的性能与需求的吻合程度（2</w:t>
      </w:r>
      <w:r>
        <w:rPr>
          <w:rFonts w:ascii="华文仿宋" w:hAnsi="华文仿宋" w:eastAsia="华文仿宋"/>
          <w:b/>
          <w:color w:val="0000FF"/>
          <w:sz w:val="24"/>
        </w:rPr>
        <w:t>8</w:t>
      </w:r>
      <w:r>
        <w:rPr>
          <w:rFonts w:hint="eastAsia" w:ascii="华文仿宋" w:hAnsi="华文仿宋" w:eastAsia="华文仿宋"/>
          <w:b/>
          <w:color w:val="0000FF"/>
          <w:sz w:val="24"/>
        </w:rPr>
        <w:t>分）：</w:t>
      </w:r>
    </w:p>
    <w:p>
      <w:pPr>
        <w:tabs>
          <w:tab w:val="left" w:pos="0"/>
        </w:tabs>
        <w:autoSpaceDE w:val="0"/>
        <w:autoSpaceDN w:val="0"/>
        <w:snapToGrid w:val="0"/>
        <w:spacing w:line="360" w:lineRule="auto"/>
        <w:ind w:firstLine="54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cs="Arial"/>
          <w:sz w:val="24"/>
        </w:rPr>
        <w:t>投标产品的基本功能、技术指标与需求的吻合程度和偏差情况（包括所投标产品的品牌、规格型号、详细配置、主要技术参数、随机软件等），是否能够满足招标文件要求；</w:t>
      </w:r>
      <w:r>
        <w:rPr>
          <w:rFonts w:hint="eastAsia" w:ascii="华文仿宋" w:hAnsi="华文仿宋" w:eastAsia="华文仿宋"/>
          <w:sz w:val="24"/>
        </w:rPr>
        <w:t>技术指标负偏离每一项扣减</w:t>
      </w:r>
      <w:r>
        <w:rPr>
          <w:rFonts w:ascii="华文仿宋" w:hAnsi="华文仿宋" w:eastAsia="华文仿宋"/>
          <w:sz w:val="24"/>
        </w:rPr>
        <w:t>3</w:t>
      </w:r>
      <w:r>
        <w:rPr>
          <w:rFonts w:hint="eastAsia" w:ascii="华文仿宋" w:hAnsi="华文仿宋" w:eastAsia="华文仿宋"/>
          <w:sz w:val="24"/>
        </w:rPr>
        <w:t>分，扣完为止，若▲标记的参数出现负偏离则认定投标无效（1</w:t>
      </w:r>
      <w:r>
        <w:rPr>
          <w:rFonts w:ascii="华文仿宋" w:hAnsi="华文仿宋" w:eastAsia="华文仿宋"/>
          <w:sz w:val="24"/>
        </w:rPr>
        <w:t>8</w:t>
      </w:r>
      <w:r>
        <w:rPr>
          <w:rFonts w:hint="eastAsia" w:ascii="华文仿宋" w:hAnsi="华文仿宋" w:eastAsia="华文仿宋"/>
          <w:sz w:val="24"/>
        </w:rPr>
        <w:t>分）；</w:t>
      </w:r>
    </w:p>
    <w:p>
      <w:pPr>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sz w:val="24"/>
        </w:rPr>
        <w:t>投标</w:t>
      </w:r>
      <w:r>
        <w:rPr>
          <w:rFonts w:hint="eastAsia" w:ascii="华文仿宋" w:hAnsi="华文仿宋" w:eastAsia="华文仿宋" w:cs="Wingdings"/>
          <w:sz w:val="24"/>
        </w:rPr>
        <w:t>产品的选型上</w:t>
      </w:r>
      <w:r>
        <w:rPr>
          <w:rFonts w:hint="eastAsia" w:ascii="华文仿宋" w:hAnsi="华文仿宋" w:eastAsia="华文仿宋"/>
          <w:kern w:val="0"/>
          <w:sz w:val="24"/>
          <w:lang w:val="zh-CN"/>
        </w:rPr>
        <w:t>选用的产品品牌知名度和市场占有率、性能与招标文件要求的比较，</w:t>
      </w:r>
      <w:r>
        <w:rPr>
          <w:rFonts w:hint="eastAsia" w:ascii="华文仿宋" w:hAnsi="华文仿宋" w:eastAsia="华文仿宋"/>
          <w:sz w:val="24"/>
        </w:rPr>
        <w:t>是否能够</w:t>
      </w:r>
      <w:r>
        <w:rPr>
          <w:rFonts w:hint="eastAsia" w:ascii="华文仿宋" w:hAnsi="华文仿宋" w:eastAsia="华文仿宋"/>
          <w:sz w:val="24"/>
          <w:lang w:val="zh-CN"/>
        </w:rPr>
        <w:t>满足本系统运行的需求</w:t>
      </w:r>
      <w:r>
        <w:rPr>
          <w:rFonts w:hint="eastAsia" w:ascii="华文仿宋" w:hAnsi="华文仿宋" w:eastAsia="华文仿宋"/>
          <w:sz w:val="24"/>
        </w:rPr>
        <w:t>，在同类产品中是否具有优势</w:t>
      </w:r>
      <w:r>
        <w:rPr>
          <w:rFonts w:hint="eastAsia" w:ascii="华文仿宋" w:hAnsi="华文仿宋" w:eastAsia="华文仿宋" w:cs="宋体"/>
          <w:kern w:val="0"/>
          <w:sz w:val="24"/>
        </w:rPr>
        <w:t>等</w:t>
      </w:r>
      <w:r>
        <w:rPr>
          <w:rFonts w:hint="eastAsia" w:ascii="华文仿宋" w:hAnsi="华文仿宋" w:eastAsia="华文仿宋" w:cs="Arial"/>
          <w:sz w:val="24"/>
        </w:rPr>
        <w:t>（5分）；</w:t>
      </w:r>
      <w:r>
        <w:rPr>
          <w:rFonts w:ascii="华文仿宋" w:hAnsi="华文仿宋" w:eastAsia="华文仿宋"/>
          <w:sz w:val="24"/>
        </w:rPr>
        <w:t xml:space="preserve"> </w:t>
      </w:r>
    </w:p>
    <w:p>
      <w:pPr>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sz w:val="24"/>
        </w:rPr>
        <w:t>投标产品的兼容性、可靠性，结合产品性能、</w:t>
      </w:r>
      <w:r>
        <w:rPr>
          <w:rFonts w:hint="eastAsia" w:ascii="华文仿宋" w:hAnsi="华文仿宋" w:eastAsia="华文仿宋"/>
          <w:bCs/>
          <w:sz w:val="24"/>
        </w:rPr>
        <w:t>使用现况和用户反馈情况</w:t>
      </w:r>
      <w:r>
        <w:rPr>
          <w:rFonts w:hint="eastAsia" w:ascii="华文仿宋" w:hAnsi="华文仿宋" w:eastAsia="华文仿宋"/>
          <w:sz w:val="24"/>
        </w:rPr>
        <w:t>，功能</w:t>
      </w:r>
      <w:r>
        <w:rPr>
          <w:rFonts w:hint="eastAsia" w:ascii="华文仿宋" w:hAnsi="华文仿宋" w:eastAsia="华文仿宋" w:cs="宋体"/>
          <w:sz w:val="24"/>
          <w:lang w:val="zh-CN"/>
        </w:rPr>
        <w:t>是否达到采购人的实际需求（</w:t>
      </w:r>
      <w:r>
        <w:rPr>
          <w:rFonts w:hint="eastAsia" w:ascii="华文仿宋" w:hAnsi="华文仿宋" w:eastAsia="华文仿宋" w:cs="宋体"/>
          <w:sz w:val="24"/>
        </w:rPr>
        <w:t>5</w:t>
      </w:r>
      <w:r>
        <w:rPr>
          <w:rFonts w:hint="eastAsia" w:ascii="华文仿宋" w:hAnsi="华文仿宋" w:eastAsia="华文仿宋" w:cs="宋体"/>
          <w:sz w:val="24"/>
          <w:lang w:val="zh-CN"/>
        </w:rPr>
        <w:t>分）</w:t>
      </w:r>
      <w:r>
        <w:rPr>
          <w:rFonts w:hint="eastAsia" w:ascii="华文仿宋" w:hAnsi="华文仿宋" w:eastAsia="华文仿宋"/>
          <w:sz w:val="24"/>
        </w:rPr>
        <w:t>。</w:t>
      </w:r>
    </w:p>
    <w:p>
      <w:pPr>
        <w:snapToGrid w:val="0"/>
        <w:spacing w:line="360" w:lineRule="auto"/>
        <w:ind w:firstLine="480" w:firstLineChars="200"/>
        <w:rPr>
          <w:rFonts w:ascii="华文仿宋" w:hAnsi="华文仿宋" w:eastAsia="华文仿宋"/>
          <w:b/>
          <w:color w:val="0070C0"/>
          <w:sz w:val="24"/>
          <w:lang w:val="zh-CN"/>
        </w:rPr>
      </w:pPr>
      <w:r>
        <w:rPr>
          <w:rFonts w:ascii="华文仿宋" w:hAnsi="华文仿宋" w:eastAsia="华文仿宋"/>
          <w:b/>
          <w:color w:val="0070C0"/>
          <w:sz w:val="24"/>
          <w:lang w:val="zh-CN"/>
        </w:rPr>
        <w:t>（3）系统方案讲解（1</w:t>
      </w:r>
      <w:r>
        <w:rPr>
          <w:rFonts w:hint="eastAsia" w:ascii="华文仿宋" w:hAnsi="华文仿宋" w:eastAsia="华文仿宋"/>
          <w:b/>
          <w:color w:val="0070C0"/>
          <w:sz w:val="24"/>
          <w:lang w:val="zh-CN"/>
        </w:rPr>
        <w:t>2</w:t>
      </w:r>
      <w:r>
        <w:rPr>
          <w:rFonts w:ascii="华文仿宋" w:hAnsi="华文仿宋" w:eastAsia="华文仿宋"/>
          <w:b/>
          <w:color w:val="0070C0"/>
          <w:sz w:val="24"/>
          <w:lang w:val="zh-CN"/>
        </w:rPr>
        <w:t>分）：</w:t>
      </w:r>
    </w:p>
    <w:p>
      <w:pPr>
        <w:snapToGrid w:val="0"/>
        <w:spacing w:line="360" w:lineRule="auto"/>
        <w:ind w:firstLine="450" w:firstLineChars="250"/>
        <w:rPr>
          <w:rFonts w:ascii="华文仿宋" w:hAnsi="华文仿宋" w:eastAsia="华文仿宋"/>
          <w:sz w:val="24"/>
          <w:lang w:val="zh-CN"/>
        </w:rPr>
      </w:pPr>
      <w:r>
        <w:rPr>
          <w:rFonts w:hint="eastAsia" w:ascii="华文仿宋" w:hAnsi="华文仿宋" w:eastAsia="华文仿宋"/>
          <w:sz w:val="18"/>
          <w:szCs w:val="18"/>
        </w:rPr>
        <w:t>●</w:t>
      </w:r>
      <w:r>
        <w:rPr>
          <w:rFonts w:ascii="华文仿宋" w:hAnsi="华文仿宋" w:eastAsia="华文仿宋"/>
          <w:sz w:val="24"/>
          <w:lang w:val="zh-CN"/>
        </w:rPr>
        <w:t>体现与现有系统在系统架构、功能、数据结构上的无缝集成，能符合业务实际情况；无</w:t>
      </w:r>
      <w:r>
        <w:rPr>
          <w:rFonts w:hint="eastAsia" w:ascii="华文仿宋" w:hAnsi="华文仿宋" w:eastAsia="华文仿宋"/>
          <w:sz w:val="24"/>
          <w:lang w:val="zh-CN"/>
        </w:rPr>
        <w:t>讲解</w:t>
      </w:r>
      <w:r>
        <w:rPr>
          <w:rFonts w:ascii="华文仿宋" w:hAnsi="华文仿宋" w:eastAsia="华文仿宋"/>
          <w:sz w:val="24"/>
          <w:lang w:val="zh-CN"/>
        </w:rPr>
        <w:t>或不符合所需要求实际情况此项不得分（4分）；</w:t>
      </w:r>
    </w:p>
    <w:p>
      <w:pPr>
        <w:snapToGrid w:val="0"/>
        <w:spacing w:line="360" w:lineRule="auto"/>
        <w:ind w:firstLine="450" w:firstLineChars="250"/>
        <w:rPr>
          <w:rFonts w:ascii="华文仿宋" w:hAnsi="华文仿宋" w:eastAsia="华文仿宋"/>
          <w:sz w:val="24"/>
          <w:lang w:val="zh-CN"/>
        </w:rPr>
      </w:pPr>
      <w:r>
        <w:rPr>
          <w:rFonts w:hint="eastAsia" w:ascii="华文仿宋" w:hAnsi="华文仿宋" w:eastAsia="华文仿宋"/>
          <w:sz w:val="18"/>
          <w:szCs w:val="18"/>
        </w:rPr>
        <w:t>●</w:t>
      </w:r>
      <w:r>
        <w:rPr>
          <w:rFonts w:ascii="华文仿宋" w:hAnsi="华文仿宋" w:eastAsia="华文仿宋"/>
          <w:sz w:val="24"/>
          <w:lang w:val="zh-CN"/>
        </w:rPr>
        <w:t>系统整体架构，主要组成部分介绍、系统主要功能特性的实现等方面，与项目需求的吻合程度以及偏差情况；系统应用深度，应用关键技术对系统建设的解决能力，实例结果与项目实际需求结果的吻合程度以及偏差情况，该</w:t>
      </w:r>
      <w:r>
        <w:rPr>
          <w:rFonts w:hint="eastAsia" w:ascii="华文仿宋" w:hAnsi="华文仿宋" w:eastAsia="华文仿宋"/>
          <w:sz w:val="24"/>
          <w:lang w:val="zh-CN"/>
        </w:rPr>
        <w:t>系统</w:t>
      </w:r>
      <w:r>
        <w:rPr>
          <w:rFonts w:ascii="华文仿宋" w:hAnsi="华文仿宋" w:eastAsia="华文仿宋"/>
          <w:sz w:val="24"/>
          <w:lang w:val="zh-CN"/>
        </w:rPr>
        <w:t>效果是否达到采购人的实际需求等（</w:t>
      </w:r>
      <w:r>
        <w:rPr>
          <w:rFonts w:hint="eastAsia" w:ascii="华文仿宋" w:hAnsi="华文仿宋" w:eastAsia="华文仿宋"/>
          <w:sz w:val="24"/>
          <w:lang w:val="zh-CN"/>
        </w:rPr>
        <w:t>4</w:t>
      </w:r>
      <w:r>
        <w:rPr>
          <w:rFonts w:ascii="华文仿宋" w:hAnsi="华文仿宋" w:eastAsia="华文仿宋"/>
          <w:sz w:val="24"/>
          <w:lang w:val="zh-CN"/>
        </w:rPr>
        <w:t>分）；</w:t>
      </w:r>
    </w:p>
    <w:p>
      <w:pPr>
        <w:snapToGrid w:val="0"/>
        <w:spacing w:line="360" w:lineRule="auto"/>
        <w:ind w:firstLine="450" w:firstLineChars="250"/>
        <w:rPr>
          <w:rFonts w:hint="eastAsia" w:ascii="华文仿宋" w:hAnsi="华文仿宋" w:eastAsia="华文仿宋"/>
          <w:sz w:val="24"/>
          <w:lang w:val="zh-CN"/>
        </w:rPr>
      </w:pPr>
      <w:r>
        <w:rPr>
          <w:rFonts w:hint="eastAsia" w:ascii="华文仿宋" w:hAnsi="华文仿宋" w:eastAsia="华文仿宋"/>
          <w:sz w:val="18"/>
          <w:szCs w:val="18"/>
        </w:rPr>
        <w:t>●</w:t>
      </w:r>
      <w:r>
        <w:rPr>
          <w:rFonts w:ascii="华文仿宋" w:hAnsi="华文仿宋" w:eastAsia="华文仿宋"/>
          <w:sz w:val="24"/>
          <w:lang w:val="zh-CN"/>
        </w:rPr>
        <w:t>解决系统关键问题、系统扩展性考虑、体系结构、设计思想，是否体现前瞻性，合理性和可行性等；方案讲解中对专家提出问题的回答情况是否全面、科学、合理（</w:t>
      </w:r>
      <w:r>
        <w:rPr>
          <w:rFonts w:hint="eastAsia" w:ascii="华文仿宋" w:hAnsi="华文仿宋" w:eastAsia="华文仿宋"/>
          <w:sz w:val="24"/>
          <w:lang w:val="zh-CN"/>
        </w:rPr>
        <w:t>4</w:t>
      </w:r>
      <w:r>
        <w:rPr>
          <w:rFonts w:ascii="华文仿宋" w:hAnsi="华文仿宋" w:eastAsia="华文仿宋"/>
          <w:sz w:val="24"/>
          <w:lang w:val="zh-CN"/>
        </w:rPr>
        <w:t>分）。</w:t>
      </w:r>
    </w:p>
    <w:p>
      <w:pPr>
        <w:tabs>
          <w:tab w:val="left" w:pos="0"/>
        </w:tabs>
        <w:snapToGrid w:val="0"/>
        <w:spacing w:line="360" w:lineRule="auto"/>
        <w:ind w:firstLine="351" w:firstLineChars="146"/>
        <w:rPr>
          <w:rFonts w:ascii="华文仿宋" w:hAnsi="华文仿宋" w:eastAsia="华文仿宋"/>
          <w:b/>
          <w:sz w:val="24"/>
        </w:rPr>
      </w:pPr>
      <w:r>
        <w:rPr>
          <w:rFonts w:hint="eastAsia" w:ascii="华文仿宋" w:hAnsi="华文仿宋" w:eastAsia="华文仿宋"/>
          <w:b/>
          <w:color w:val="0000FF"/>
          <w:sz w:val="24"/>
        </w:rPr>
        <w:t>（4）组织实施方案（</w:t>
      </w:r>
      <w:r>
        <w:rPr>
          <w:rFonts w:ascii="华文仿宋" w:hAnsi="华文仿宋" w:eastAsia="华文仿宋"/>
          <w:b/>
          <w:color w:val="0000FF"/>
          <w:sz w:val="24"/>
        </w:rPr>
        <w:t>2</w:t>
      </w:r>
      <w:r>
        <w:rPr>
          <w:rFonts w:hint="eastAsia" w:ascii="华文仿宋" w:hAnsi="华文仿宋" w:eastAsia="华文仿宋"/>
          <w:b/>
          <w:color w:val="0000FF"/>
          <w:sz w:val="24"/>
        </w:rPr>
        <w:t>分）</w:t>
      </w:r>
      <w:r>
        <w:rPr>
          <w:rFonts w:hint="eastAsia" w:ascii="华文仿宋" w:hAnsi="华文仿宋" w:eastAsia="华文仿宋"/>
          <w:b/>
          <w:sz w:val="24"/>
        </w:rPr>
        <w:t>：</w:t>
      </w:r>
    </w:p>
    <w:p>
      <w:pPr>
        <w:tabs>
          <w:tab w:val="left" w:pos="0"/>
        </w:tabs>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投标人组织实施方案的科学性、合理性、规范性和可操作性，包括设备供货、验货、安装调试、系统集成、试运行、测试、调优、系统管理培训、系统运行维护培训等内容，以及组织机构、工作时间进度表、工作程序和步骤、管理和协调方法、关键步骤的思路和要点等。</w:t>
      </w:r>
    </w:p>
    <w:p>
      <w:pPr>
        <w:tabs>
          <w:tab w:val="left" w:pos="0"/>
        </w:tabs>
        <w:snapToGrid w:val="0"/>
        <w:spacing w:line="360" w:lineRule="auto"/>
        <w:ind w:firstLine="353" w:firstLineChars="147"/>
        <w:rPr>
          <w:rFonts w:ascii="华文仿宋" w:hAnsi="华文仿宋" w:eastAsia="华文仿宋"/>
          <w:b/>
          <w:color w:val="0000FF"/>
          <w:sz w:val="24"/>
        </w:rPr>
      </w:pPr>
      <w:r>
        <w:rPr>
          <w:rFonts w:hint="eastAsia" w:ascii="华文仿宋" w:hAnsi="华文仿宋" w:eastAsia="华文仿宋"/>
          <w:b/>
          <w:color w:val="0000FF"/>
          <w:sz w:val="24"/>
        </w:rPr>
        <w:t>（5）售后、维护服务方案情况（8分）：</w:t>
      </w:r>
    </w:p>
    <w:p>
      <w:pPr>
        <w:tabs>
          <w:tab w:val="left" w:pos="0"/>
        </w:tabs>
        <w:snapToGrid w:val="0"/>
        <w:spacing w:line="360" w:lineRule="auto"/>
        <w:ind w:firstLine="495" w:firstLineChars="275"/>
        <w:rPr>
          <w:rFonts w:ascii="华文仿宋" w:hAnsi="华文仿宋" w:eastAsia="华文仿宋"/>
          <w:sz w:val="18"/>
          <w:szCs w:val="18"/>
        </w:rPr>
      </w:pPr>
      <w:r>
        <w:rPr>
          <w:rFonts w:hint="eastAsia" w:ascii="华文仿宋" w:hAnsi="华文仿宋" w:eastAsia="华文仿宋"/>
          <w:sz w:val="18"/>
          <w:szCs w:val="18"/>
        </w:rPr>
        <w:t xml:space="preserve">● </w:t>
      </w:r>
      <w:r>
        <w:rPr>
          <w:rFonts w:hint="eastAsia" w:ascii="华文仿宋" w:hAnsi="华文仿宋" w:eastAsia="华文仿宋"/>
          <w:sz w:val="24"/>
        </w:rPr>
        <w:t>投标人提供的售后维护机构和人员等情况，是否具有较强的本地化服务能力，</w:t>
      </w:r>
      <w:r>
        <w:rPr>
          <w:rFonts w:hint="eastAsia" w:ascii="华文仿宋" w:hAnsi="华文仿宋" w:eastAsia="华文仿宋"/>
          <w:sz w:val="24"/>
          <w:lang w:val="zh-CN"/>
        </w:rPr>
        <w:t>在本地是否拥有常驻服务和技术支持机构</w:t>
      </w:r>
      <w:r>
        <w:rPr>
          <w:rFonts w:hint="eastAsia" w:ascii="华文仿宋" w:hAnsi="华文仿宋" w:eastAsia="华文仿宋"/>
          <w:sz w:val="24"/>
        </w:rPr>
        <w:t>（</w:t>
      </w:r>
      <w:r>
        <w:rPr>
          <w:rFonts w:hint="eastAsia" w:ascii="华文仿宋" w:hAnsi="华文仿宋" w:eastAsia="华文仿宋"/>
          <w:snapToGrid w:val="0"/>
          <w:sz w:val="24"/>
        </w:rPr>
        <w:t>非本地投标人</w:t>
      </w:r>
      <w:r>
        <w:rPr>
          <w:rFonts w:hint="eastAsia" w:ascii="华文仿宋" w:hAnsi="华文仿宋" w:eastAsia="华文仿宋"/>
          <w:sz w:val="24"/>
        </w:rPr>
        <w:t>在杭州是否有分公司或办事处或第三方协作单位作为常驻服务和技术支持机构）</w:t>
      </w:r>
      <w:r>
        <w:rPr>
          <w:rFonts w:hint="eastAsia" w:ascii="华文仿宋" w:hAnsi="华文仿宋" w:eastAsia="华文仿宋"/>
          <w:sz w:val="24"/>
          <w:lang w:val="zh-CN"/>
        </w:rPr>
        <w:t>以及</w:t>
      </w:r>
      <w:r>
        <w:rPr>
          <w:rFonts w:hint="eastAsia" w:ascii="华文仿宋" w:hAnsi="华文仿宋" w:eastAsia="华文仿宋"/>
          <w:sz w:val="24"/>
        </w:rPr>
        <w:t>较强的专业技术队伍，能提供快速的售后服务响应（2分）；</w:t>
      </w:r>
    </w:p>
    <w:p>
      <w:pPr>
        <w:tabs>
          <w:tab w:val="left" w:pos="0"/>
        </w:tabs>
        <w:snapToGrid w:val="0"/>
        <w:spacing w:line="360" w:lineRule="auto"/>
        <w:ind w:firstLine="495" w:firstLineChars="275"/>
        <w:rPr>
          <w:rFonts w:ascii="华文仿宋" w:hAnsi="华文仿宋" w:eastAsia="华文仿宋" w:cs="Wingdings"/>
          <w:sz w:val="24"/>
        </w:rPr>
      </w:pPr>
      <w:r>
        <w:rPr>
          <w:rFonts w:hint="eastAsia" w:ascii="华文仿宋" w:hAnsi="华文仿宋" w:eastAsia="华文仿宋"/>
          <w:sz w:val="18"/>
          <w:szCs w:val="18"/>
        </w:rPr>
        <w:t xml:space="preserve">● </w:t>
      </w:r>
      <w:r>
        <w:rPr>
          <w:rFonts w:hint="eastAsia" w:ascii="华文仿宋" w:hAnsi="华文仿宋" w:eastAsia="华文仿宋"/>
          <w:sz w:val="24"/>
        </w:rPr>
        <w:t>投标人提供的售后服务方案、维护人员和机构等情况，</w:t>
      </w:r>
      <w:r>
        <w:rPr>
          <w:rFonts w:hint="eastAsia" w:ascii="华文仿宋" w:hAnsi="华文仿宋" w:eastAsia="华文仿宋" w:cs="Wingdings"/>
          <w:sz w:val="24"/>
        </w:rPr>
        <w:t>是否满足采购人的要求，</w:t>
      </w:r>
      <w:r>
        <w:rPr>
          <w:rFonts w:hint="eastAsia" w:ascii="华文仿宋" w:hAnsi="华文仿宋" w:eastAsia="华文仿宋"/>
          <w:sz w:val="24"/>
        </w:rPr>
        <w:t>质保期限的长短以及服务承诺的可行性、完整性</w:t>
      </w:r>
      <w:r>
        <w:rPr>
          <w:rFonts w:hint="eastAsia" w:ascii="华文仿宋" w:hAnsi="华文仿宋" w:eastAsia="华文仿宋" w:cs="Tahoma"/>
          <w:sz w:val="24"/>
        </w:rPr>
        <w:t>以及</w:t>
      </w:r>
      <w:r>
        <w:rPr>
          <w:rFonts w:hint="eastAsia" w:ascii="华文仿宋" w:hAnsi="华文仿宋" w:eastAsia="华文仿宋"/>
          <w:sz w:val="24"/>
        </w:rPr>
        <w:t>服务承诺落实的保障措施，质保期内外的后续技术支持和维护能力情况等</w:t>
      </w:r>
      <w:r>
        <w:rPr>
          <w:rFonts w:hint="eastAsia" w:ascii="华文仿宋" w:hAnsi="华文仿宋" w:eastAsia="华文仿宋" w:cs="Wingdings"/>
          <w:sz w:val="24"/>
        </w:rPr>
        <w:t>；</w:t>
      </w:r>
      <w:r>
        <w:rPr>
          <w:rFonts w:hint="eastAsia" w:ascii="华文仿宋" w:hAnsi="华文仿宋" w:eastAsia="华文仿宋"/>
          <w:sz w:val="24"/>
        </w:rPr>
        <w:t>投标设备的配件、附件、备品备件的准备和保障措施情况，其它有关资料和材料的完整性、合理性和可操作性等情况</w:t>
      </w:r>
      <w:r>
        <w:rPr>
          <w:rFonts w:hint="eastAsia" w:ascii="华文仿宋" w:hAnsi="华文仿宋" w:eastAsia="华文仿宋" w:cs="Wingdings"/>
          <w:sz w:val="24"/>
        </w:rPr>
        <w:t>（2分）；</w:t>
      </w:r>
    </w:p>
    <w:p>
      <w:pPr>
        <w:tabs>
          <w:tab w:val="left" w:pos="0"/>
        </w:tabs>
        <w:snapToGrid w:val="0"/>
        <w:spacing w:line="360" w:lineRule="auto"/>
        <w:ind w:firstLine="495" w:firstLineChars="275"/>
        <w:rPr>
          <w:rFonts w:ascii="华文仿宋" w:hAnsi="华文仿宋" w:eastAsia="华文仿宋" w:cs="Wingdings"/>
          <w:sz w:val="24"/>
        </w:rPr>
      </w:pPr>
      <w:r>
        <w:rPr>
          <w:rFonts w:hint="eastAsia" w:ascii="华文仿宋" w:hAnsi="华文仿宋" w:eastAsia="华文仿宋"/>
          <w:sz w:val="18"/>
          <w:szCs w:val="18"/>
        </w:rPr>
        <w:t>●</w:t>
      </w:r>
      <w:r>
        <w:rPr>
          <w:rFonts w:hint="eastAsia" w:ascii="华文仿宋" w:hAnsi="华文仿宋" w:eastAsia="华文仿宋"/>
          <w:sz w:val="24"/>
        </w:rPr>
        <w:t>在杭州市区设有的备品备件库情况，特别是关键部件的设备的完备情况，是否能提供快速的服务响应，保证到达现场服务响应时间小于1小时的措施，确保</w:t>
      </w:r>
      <w:r>
        <w:rPr>
          <w:rFonts w:hint="eastAsia" w:ascii="华文仿宋" w:hAnsi="华文仿宋" w:eastAsia="华文仿宋"/>
          <w:kern w:val="0"/>
          <w:sz w:val="24"/>
          <w:lang w:val="zh-CN"/>
        </w:rPr>
        <w:t>采购人系统设备</w:t>
      </w:r>
      <w:r>
        <w:rPr>
          <w:rFonts w:hint="eastAsia" w:ascii="华文仿宋" w:hAnsi="华文仿宋" w:eastAsia="华文仿宋"/>
          <w:spacing w:val="-5"/>
          <w:kern w:val="20"/>
          <w:sz w:val="24"/>
        </w:rPr>
        <w:t>正常运行</w:t>
      </w:r>
      <w:r>
        <w:rPr>
          <w:rFonts w:hint="eastAsia" w:ascii="华文仿宋" w:hAnsi="华文仿宋" w:eastAsia="华文仿宋"/>
          <w:kern w:val="0"/>
          <w:sz w:val="24"/>
          <w:lang w:val="zh-CN"/>
        </w:rPr>
        <w:t>（</w:t>
      </w:r>
      <w:r>
        <w:rPr>
          <w:rFonts w:hint="eastAsia" w:ascii="华文仿宋" w:hAnsi="华文仿宋" w:eastAsia="华文仿宋"/>
          <w:kern w:val="0"/>
          <w:sz w:val="24"/>
        </w:rPr>
        <w:t>2</w:t>
      </w:r>
      <w:r>
        <w:rPr>
          <w:rFonts w:hint="eastAsia" w:ascii="华文仿宋" w:hAnsi="华文仿宋" w:eastAsia="华文仿宋"/>
          <w:kern w:val="0"/>
          <w:sz w:val="24"/>
          <w:lang w:val="zh-CN"/>
        </w:rPr>
        <w:t>分）；</w:t>
      </w:r>
    </w:p>
    <w:p>
      <w:pPr>
        <w:snapToGrid w:val="0"/>
        <w:spacing w:line="360" w:lineRule="auto"/>
        <w:ind w:firstLine="540" w:firstLineChars="300"/>
        <w:rPr>
          <w:rFonts w:ascii="华文仿宋" w:hAnsi="华文仿宋" w:eastAsia="华文仿宋" w:cs="Wingdings"/>
          <w:sz w:val="24"/>
        </w:rPr>
      </w:pPr>
      <w:r>
        <w:rPr>
          <w:rFonts w:hint="eastAsia" w:ascii="华文仿宋" w:hAnsi="华文仿宋" w:eastAsia="华文仿宋"/>
          <w:sz w:val="18"/>
          <w:szCs w:val="18"/>
        </w:rPr>
        <w:t>●</w:t>
      </w:r>
      <w:r>
        <w:rPr>
          <w:rFonts w:hint="eastAsia" w:ascii="华文仿宋" w:hAnsi="华文仿宋" w:eastAsia="华文仿宋"/>
          <w:sz w:val="24"/>
        </w:rPr>
        <w:t>投标产品原厂质保期限及服务承诺是否满足采购需求，参考产品原厂商的质保服务承诺书</w:t>
      </w:r>
      <w:r>
        <w:rPr>
          <w:rFonts w:hint="eastAsia" w:ascii="华文仿宋" w:hAnsi="华文仿宋" w:eastAsia="华文仿宋" w:cs="Wingdings"/>
          <w:sz w:val="24"/>
        </w:rPr>
        <w:t>（2分）；</w:t>
      </w:r>
    </w:p>
    <w:p>
      <w:pPr>
        <w:tabs>
          <w:tab w:val="left" w:pos="0"/>
        </w:tabs>
        <w:snapToGrid w:val="0"/>
        <w:spacing w:line="360" w:lineRule="auto"/>
        <w:ind w:firstLine="353" w:firstLineChars="147"/>
        <w:rPr>
          <w:rFonts w:ascii="华文仿宋" w:hAnsi="华文仿宋" w:eastAsia="华文仿宋"/>
          <w:b/>
          <w:sz w:val="24"/>
        </w:rPr>
      </w:pPr>
      <w:r>
        <w:rPr>
          <w:rFonts w:hint="eastAsia" w:ascii="华文仿宋" w:hAnsi="华文仿宋" w:eastAsia="华文仿宋"/>
          <w:b/>
          <w:color w:val="0000FF"/>
          <w:sz w:val="24"/>
        </w:rPr>
        <w:t>（6）项目的投入和项目组人员素质情况（</w:t>
      </w:r>
      <w:r>
        <w:rPr>
          <w:rFonts w:ascii="华文仿宋" w:hAnsi="华文仿宋" w:eastAsia="华文仿宋"/>
          <w:b/>
          <w:color w:val="0000FF"/>
          <w:sz w:val="24"/>
        </w:rPr>
        <w:t>2</w:t>
      </w:r>
      <w:r>
        <w:rPr>
          <w:rFonts w:hint="eastAsia" w:ascii="华文仿宋" w:hAnsi="华文仿宋" w:eastAsia="华文仿宋"/>
          <w:b/>
          <w:color w:val="0000FF"/>
          <w:sz w:val="24"/>
        </w:rPr>
        <w:t>分）：</w:t>
      </w:r>
    </w:p>
    <w:p>
      <w:pPr>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w:t>
      </w:r>
      <w:r>
        <w:rPr>
          <w:rFonts w:hint="eastAsia" w:ascii="华文仿宋" w:hAnsi="华文仿宋" w:eastAsia="华文仿宋"/>
          <w:sz w:val="24"/>
          <w:lang w:val="zh-CN"/>
        </w:rPr>
        <w:t>是否具有完备的管理组织、项目实施规范和管理制度，是否有完善的质量管理体系，投标人已取得ISO9000质量管理体系认证等，并能有效实施；</w:t>
      </w:r>
      <w:r>
        <w:rPr>
          <w:rFonts w:hint="eastAsia" w:ascii="华文仿宋" w:hAnsi="华文仿宋" w:eastAsia="华文仿宋"/>
          <w:sz w:val="24"/>
        </w:rPr>
        <w:t>拟投入本项目的管理与作业人员总数、软件的综合水平情况（</w:t>
      </w:r>
      <w:r>
        <w:rPr>
          <w:rFonts w:ascii="华文仿宋" w:hAnsi="华文仿宋" w:eastAsia="华文仿宋"/>
          <w:sz w:val="24"/>
        </w:rPr>
        <w:t>2</w:t>
      </w:r>
      <w:r>
        <w:rPr>
          <w:rFonts w:hint="eastAsia" w:ascii="华文仿宋" w:hAnsi="华文仿宋" w:eastAsia="华文仿宋"/>
          <w:sz w:val="24"/>
        </w:rPr>
        <w:t>分）。</w:t>
      </w:r>
    </w:p>
    <w:p>
      <w:pPr>
        <w:tabs>
          <w:tab w:val="left" w:pos="0"/>
        </w:tabs>
        <w:snapToGrid w:val="0"/>
        <w:spacing w:line="360" w:lineRule="auto"/>
        <w:ind w:firstLine="353" w:firstLineChars="147"/>
        <w:rPr>
          <w:rFonts w:hint="eastAsia" w:ascii="华文仿宋" w:hAnsi="华文仿宋" w:eastAsia="华文仿宋"/>
          <w:b/>
          <w:color w:val="0000FF"/>
          <w:sz w:val="24"/>
        </w:rPr>
      </w:pPr>
      <w:r>
        <w:rPr>
          <w:rFonts w:hint="eastAsia" w:ascii="华文仿宋" w:hAnsi="华文仿宋" w:eastAsia="华文仿宋"/>
          <w:b/>
          <w:color w:val="0000FF"/>
          <w:sz w:val="24"/>
        </w:rPr>
        <w:t>（7）培训、测试、试运转和验收（</w:t>
      </w:r>
      <w:r>
        <w:rPr>
          <w:rFonts w:ascii="华文仿宋" w:hAnsi="华文仿宋" w:eastAsia="华文仿宋"/>
          <w:b/>
          <w:color w:val="0000FF"/>
          <w:sz w:val="24"/>
        </w:rPr>
        <w:t>2</w:t>
      </w:r>
      <w:r>
        <w:rPr>
          <w:rFonts w:hint="eastAsia" w:ascii="华文仿宋" w:hAnsi="华文仿宋" w:eastAsia="华文仿宋"/>
          <w:b/>
          <w:color w:val="0000FF"/>
          <w:sz w:val="24"/>
        </w:rPr>
        <w:t>分）：</w:t>
      </w:r>
    </w:p>
    <w:p>
      <w:pPr>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sz w:val="24"/>
        </w:rPr>
        <w:t>投标人提出的功能测试、试运转及验收方案的合理性、可行性情况等（</w:t>
      </w:r>
      <w:r>
        <w:rPr>
          <w:rFonts w:ascii="华文仿宋" w:hAnsi="华文仿宋" w:eastAsia="华文仿宋"/>
          <w:sz w:val="24"/>
        </w:rPr>
        <w:t>1</w:t>
      </w:r>
      <w:r>
        <w:rPr>
          <w:rFonts w:hint="eastAsia" w:ascii="华文仿宋" w:hAnsi="华文仿宋" w:eastAsia="华文仿宋"/>
          <w:sz w:val="24"/>
        </w:rPr>
        <w:t>分）；</w:t>
      </w:r>
    </w:p>
    <w:p>
      <w:pPr>
        <w:tabs>
          <w:tab w:val="left" w:pos="6930"/>
        </w:tabs>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sz w:val="24"/>
        </w:rPr>
        <w:t>投标人提出培训计划、地点、组织、人员配备、软硬件资料等内容是否完整、科学合理，费用是否计入总报价（1分）。</w:t>
      </w:r>
    </w:p>
    <w:p>
      <w:pPr>
        <w:tabs>
          <w:tab w:val="left" w:pos="0"/>
        </w:tabs>
        <w:snapToGrid w:val="0"/>
        <w:spacing w:line="360" w:lineRule="auto"/>
        <w:ind w:firstLine="353" w:firstLineChars="147"/>
        <w:rPr>
          <w:rFonts w:hint="eastAsia" w:ascii="华文仿宋" w:hAnsi="华文仿宋" w:eastAsia="华文仿宋"/>
          <w:b/>
          <w:color w:val="0000FF"/>
          <w:sz w:val="24"/>
        </w:rPr>
      </w:pPr>
      <w:r>
        <w:rPr>
          <w:rFonts w:hint="eastAsia" w:ascii="华文仿宋" w:hAnsi="华文仿宋" w:eastAsia="华文仿宋"/>
          <w:b/>
          <w:color w:val="0000FF"/>
          <w:sz w:val="24"/>
        </w:rPr>
        <w:t>（8）质量保证措施和建设工期情况（</w:t>
      </w:r>
      <w:r>
        <w:rPr>
          <w:rFonts w:ascii="华文仿宋" w:hAnsi="华文仿宋" w:eastAsia="华文仿宋"/>
          <w:b/>
          <w:color w:val="0000FF"/>
          <w:sz w:val="24"/>
        </w:rPr>
        <w:t>2</w:t>
      </w:r>
      <w:r>
        <w:rPr>
          <w:rFonts w:hint="eastAsia" w:ascii="华文仿宋" w:hAnsi="华文仿宋" w:eastAsia="华文仿宋"/>
          <w:b/>
          <w:color w:val="0000FF"/>
          <w:sz w:val="24"/>
        </w:rPr>
        <w:t>分）：</w:t>
      </w:r>
    </w:p>
    <w:p>
      <w:pPr>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cs="Wingdings"/>
          <w:sz w:val="24"/>
        </w:rPr>
        <w:t>投标人按采购人要求有明确的建设质量目标，质量保证措施，并具有详细可行的实施内容等（</w:t>
      </w:r>
      <w:r>
        <w:rPr>
          <w:rFonts w:ascii="华文仿宋" w:hAnsi="华文仿宋" w:eastAsia="华文仿宋" w:cs="Wingdings"/>
          <w:sz w:val="24"/>
        </w:rPr>
        <w:t>1</w:t>
      </w:r>
      <w:r>
        <w:rPr>
          <w:rFonts w:hint="eastAsia" w:ascii="华文仿宋" w:hAnsi="华文仿宋" w:eastAsia="华文仿宋" w:cs="Wingdings"/>
          <w:sz w:val="24"/>
        </w:rPr>
        <w:t>分）</w:t>
      </w:r>
      <w:r>
        <w:rPr>
          <w:rFonts w:hint="eastAsia" w:ascii="华文仿宋" w:hAnsi="华文仿宋" w:eastAsia="华文仿宋"/>
          <w:sz w:val="24"/>
        </w:rPr>
        <w:t>；</w:t>
      </w:r>
    </w:p>
    <w:p>
      <w:pPr>
        <w:snapToGrid w:val="0"/>
        <w:spacing w:line="360" w:lineRule="auto"/>
        <w:ind w:firstLine="450" w:firstLineChars="250"/>
        <w:rPr>
          <w:rFonts w:ascii="华文仿宋" w:hAnsi="华文仿宋" w:eastAsia="华文仿宋"/>
          <w:sz w:val="24"/>
        </w:rPr>
      </w:pPr>
      <w:r>
        <w:rPr>
          <w:rFonts w:hint="eastAsia" w:ascii="华文仿宋" w:hAnsi="华文仿宋" w:eastAsia="华文仿宋"/>
          <w:sz w:val="18"/>
          <w:szCs w:val="18"/>
        </w:rPr>
        <w:t xml:space="preserve">● </w:t>
      </w:r>
      <w:r>
        <w:rPr>
          <w:rFonts w:hint="eastAsia" w:ascii="华文仿宋" w:hAnsi="华文仿宋" w:eastAsia="华文仿宋" w:cs="Wingdings"/>
          <w:sz w:val="24"/>
        </w:rPr>
        <w:t>投标方案</w:t>
      </w:r>
      <w:r>
        <w:rPr>
          <w:rFonts w:hint="eastAsia" w:ascii="华文仿宋" w:hAnsi="华文仿宋" w:eastAsia="华文仿宋" w:cs="Tahoma"/>
          <w:sz w:val="24"/>
        </w:rPr>
        <w:t>是否提出符合招标文件和采购人要求，按期完成设备供货、系统集成、上线运行、</w:t>
      </w:r>
      <w:r>
        <w:rPr>
          <w:rFonts w:hint="eastAsia" w:ascii="华文仿宋" w:hAnsi="华文仿宋" w:eastAsia="华文仿宋"/>
          <w:sz w:val="24"/>
        </w:rPr>
        <w:t>验收等措施（1分）。</w:t>
      </w:r>
    </w:p>
    <w:p>
      <w:pPr>
        <w:pStyle w:val="723"/>
        <w:snapToGrid w:val="0"/>
        <w:spacing w:before="120" w:line="360" w:lineRule="auto"/>
        <w:ind w:left="0" w:firstLine="360" w:firstLineChars="150"/>
        <w:rPr>
          <w:rFonts w:ascii="华文仿宋" w:hAnsi="华文仿宋" w:eastAsia="华文仿宋"/>
          <w:sz w:val="24"/>
          <w:szCs w:val="24"/>
        </w:rPr>
      </w:pPr>
      <w:r>
        <w:rPr>
          <w:rFonts w:hint="eastAsia" w:ascii="华文仿宋" w:hAnsi="华文仿宋" w:eastAsia="华文仿宋"/>
          <w:b/>
          <w:color w:val="0000FF"/>
          <w:kern w:val="2"/>
          <w:sz w:val="24"/>
          <w:szCs w:val="24"/>
        </w:rPr>
        <w:t>（9）优惠和承诺（2分）：</w:t>
      </w:r>
      <w:r>
        <w:rPr>
          <w:rFonts w:hint="eastAsia" w:ascii="华文仿宋" w:hAnsi="华文仿宋" w:eastAsia="华文仿宋" w:cs="Wingdings"/>
          <w:sz w:val="24"/>
        </w:rPr>
        <w:t>投标人提出的优惠条件和承诺情况，</w:t>
      </w:r>
      <w:r>
        <w:rPr>
          <w:rFonts w:hint="eastAsia" w:ascii="华文仿宋" w:hAnsi="华文仿宋" w:eastAsia="华文仿宋"/>
          <w:sz w:val="24"/>
        </w:rPr>
        <w:t>包括与其他软件、硬件产品供应商的合作和</w:t>
      </w:r>
      <w:r>
        <w:rPr>
          <w:rFonts w:hint="eastAsia" w:ascii="华文仿宋" w:hAnsi="华文仿宋" w:eastAsia="华文仿宋" w:cs="Wingdings"/>
          <w:sz w:val="24"/>
        </w:rPr>
        <w:t>可实现程度</w:t>
      </w:r>
      <w:r>
        <w:rPr>
          <w:rFonts w:hint="eastAsia" w:ascii="华文仿宋" w:hAnsi="华文仿宋" w:eastAsia="华文仿宋" w:cs="Wingdings"/>
          <w:color w:val="0070C0"/>
          <w:sz w:val="24"/>
        </w:rPr>
        <w:t>、质保期的延长</w:t>
      </w:r>
      <w:r>
        <w:rPr>
          <w:rFonts w:hint="eastAsia" w:ascii="华文仿宋" w:hAnsi="华文仿宋" w:eastAsia="华文仿宋" w:cs="Wingdings"/>
          <w:sz w:val="24"/>
        </w:rPr>
        <w:t>等</w:t>
      </w:r>
      <w:r>
        <w:rPr>
          <w:rFonts w:hint="eastAsia" w:ascii="华文仿宋" w:hAnsi="华文仿宋" w:eastAsia="华文仿宋"/>
          <w:sz w:val="24"/>
          <w:szCs w:val="24"/>
        </w:rPr>
        <w:t>。</w:t>
      </w:r>
    </w:p>
    <w:p>
      <w:pPr>
        <w:snapToGrid w:val="0"/>
        <w:spacing w:line="360" w:lineRule="auto"/>
        <w:ind w:left="105" w:leftChars="50" w:firstLine="360" w:firstLineChars="150"/>
        <w:rPr>
          <w:rFonts w:hint="eastAsia" w:ascii="华文仿宋" w:hAnsi="华文仿宋" w:eastAsia="华文仿宋" w:cs="仿宋_GB2312"/>
          <w:color w:val="0000FF"/>
          <w:sz w:val="24"/>
        </w:rPr>
      </w:pPr>
      <w:r>
        <w:rPr>
          <w:rFonts w:hint="eastAsia" w:ascii="华文仿宋" w:hAnsi="华文仿宋" w:eastAsia="华文仿宋"/>
          <w:b/>
          <w:color w:val="0000FF"/>
          <w:sz w:val="24"/>
        </w:rPr>
        <w:t>（10）投标文件的制作情况（</w:t>
      </w:r>
      <w:r>
        <w:rPr>
          <w:rFonts w:ascii="华文仿宋" w:hAnsi="华文仿宋" w:eastAsia="华文仿宋"/>
          <w:b/>
          <w:color w:val="0000FF"/>
          <w:sz w:val="24"/>
        </w:rPr>
        <w:t>1</w:t>
      </w:r>
      <w:r>
        <w:rPr>
          <w:rFonts w:hint="eastAsia" w:ascii="华文仿宋" w:hAnsi="华文仿宋" w:eastAsia="华文仿宋"/>
          <w:b/>
          <w:color w:val="0000FF"/>
          <w:sz w:val="24"/>
        </w:rPr>
        <w:t>分）：</w:t>
      </w:r>
      <w:r>
        <w:rPr>
          <w:rFonts w:hint="eastAsia" w:ascii="华文仿宋" w:hAnsi="华文仿宋" w:eastAsia="华文仿宋" w:cs="Wingdings"/>
          <w:sz w:val="24"/>
        </w:rPr>
        <w:t>投标方案点对点应答是否详尽、明晰，是否满足采购文件要求，</w:t>
      </w:r>
      <w:r>
        <w:rPr>
          <w:rFonts w:hint="eastAsia" w:ascii="华文仿宋" w:hAnsi="华文仿宋" w:eastAsia="华文仿宋"/>
          <w:sz w:val="24"/>
        </w:rPr>
        <w:t>投标文件编制是否完整、格式规范、内容齐全、表述准确、条理清晰，内容无前后矛盾，符合采购文件要求。</w:t>
      </w:r>
    </w:p>
    <w:p>
      <w:pPr>
        <w:snapToGrid w:val="0"/>
        <w:spacing w:line="360" w:lineRule="auto"/>
        <w:ind w:firstLine="480" w:firstLineChars="200"/>
        <w:rPr>
          <w:rFonts w:hint="eastAsia" w:ascii="华文仿宋" w:hAnsi="华文仿宋" w:eastAsia="华文仿宋" w:cs="仿宋_GB2312"/>
          <w:sz w:val="24"/>
        </w:rPr>
      </w:pPr>
      <w:r>
        <w:rPr>
          <w:rFonts w:hint="eastAsia" w:ascii="华文仿宋" w:hAnsi="华文仿宋" w:eastAsia="华文仿宋" w:cs="仿宋_GB2312"/>
          <w:b/>
          <w:bCs/>
          <w:sz w:val="24"/>
        </w:rPr>
        <w:t>▲</w:t>
      </w:r>
      <w:r>
        <w:rPr>
          <w:rFonts w:hint="eastAsia" w:ascii="华文仿宋" w:hAnsi="华文仿宋" w:eastAsia="华文仿宋" w:cs="仿宋_GB2312"/>
          <w:b/>
          <w:sz w:val="24"/>
        </w:rPr>
        <w:t>投标人的资质和业绩情况</w:t>
      </w:r>
      <w:r>
        <w:rPr>
          <w:rFonts w:hint="eastAsia" w:ascii="华文仿宋" w:hAnsi="华文仿宋" w:eastAsia="华文仿宋" w:cs="仿宋_GB2312"/>
          <w:b/>
          <w:bCs/>
          <w:sz w:val="24"/>
        </w:rPr>
        <w:t>（</w:t>
      </w:r>
      <w:r>
        <w:rPr>
          <w:rFonts w:hint="eastAsia" w:ascii="华文仿宋" w:hAnsi="华文仿宋" w:eastAsia="华文仿宋"/>
          <w:b/>
          <w:color w:val="0000FF"/>
          <w:sz w:val="24"/>
        </w:rPr>
        <w:t>C=</w:t>
      </w:r>
      <w:r>
        <w:rPr>
          <w:rFonts w:ascii="华文仿宋" w:hAnsi="华文仿宋" w:eastAsia="华文仿宋"/>
          <w:b/>
          <w:color w:val="0000FF"/>
          <w:sz w:val="24"/>
        </w:rPr>
        <w:t>5</w:t>
      </w:r>
      <w:r>
        <w:rPr>
          <w:rFonts w:hint="eastAsia" w:ascii="华文仿宋" w:hAnsi="华文仿宋" w:eastAsia="华文仿宋"/>
          <w:b/>
          <w:color w:val="0000FF"/>
          <w:sz w:val="24"/>
        </w:rPr>
        <w:t>分）</w:t>
      </w:r>
      <w:r>
        <w:rPr>
          <w:rFonts w:hint="eastAsia" w:ascii="华文仿宋" w:hAnsi="华文仿宋" w:eastAsia="华文仿宋" w:cs="仿宋_GB2312"/>
          <w:b/>
          <w:bCs/>
          <w:sz w:val="24"/>
        </w:rPr>
        <w:t>：</w:t>
      </w:r>
      <w:r>
        <w:rPr>
          <w:rFonts w:hint="eastAsia" w:ascii="华文仿宋" w:hAnsi="华文仿宋" w:eastAsia="华文仿宋" w:cs="仿宋_GB2312"/>
          <w:sz w:val="24"/>
        </w:rPr>
        <w:t>主要包含投标人的资质、类似</w:t>
      </w:r>
      <w:r>
        <w:rPr>
          <w:rFonts w:hint="eastAsia" w:ascii="华文仿宋" w:hAnsi="华文仿宋" w:eastAsia="华文仿宋" w:cs="仿宋_GB2312"/>
          <w:kern w:val="28"/>
          <w:sz w:val="24"/>
        </w:rPr>
        <w:t>项目建设</w:t>
      </w:r>
      <w:r>
        <w:rPr>
          <w:rFonts w:hint="eastAsia" w:ascii="华文仿宋" w:hAnsi="华文仿宋" w:eastAsia="华文仿宋" w:cs="仿宋_GB2312"/>
          <w:sz w:val="24"/>
        </w:rPr>
        <w:t xml:space="preserve">成功案例等方面的因素。  </w:t>
      </w:r>
    </w:p>
    <w:p>
      <w:pPr>
        <w:snapToGrid w:val="0"/>
        <w:spacing w:line="360" w:lineRule="auto"/>
        <w:ind w:firstLine="480" w:firstLineChars="200"/>
        <w:rPr>
          <w:rFonts w:hint="eastAsia" w:ascii="华文仿宋" w:hAnsi="华文仿宋" w:eastAsia="华文仿宋" w:cs="仿宋_GB2312"/>
          <w:sz w:val="24"/>
        </w:rPr>
      </w:pPr>
      <w:r>
        <w:rPr>
          <w:rFonts w:hint="eastAsia" w:ascii="华文仿宋" w:hAnsi="华文仿宋" w:eastAsia="华文仿宋" w:cs="仿宋_GB2312"/>
          <w:sz w:val="24"/>
        </w:rPr>
        <w:t>评审要点为：</w:t>
      </w:r>
    </w:p>
    <w:p>
      <w:pPr>
        <w:snapToGrid w:val="0"/>
        <w:spacing w:line="360" w:lineRule="auto"/>
        <w:ind w:firstLine="480" w:firstLineChars="200"/>
        <w:rPr>
          <w:rFonts w:hint="eastAsia" w:ascii="华文仿宋" w:hAnsi="华文仿宋" w:eastAsia="华文仿宋" w:cs="仿宋_GB2312"/>
          <w:b/>
          <w:sz w:val="24"/>
        </w:rPr>
      </w:pPr>
      <w:r>
        <w:rPr>
          <w:rFonts w:hint="eastAsia" w:ascii="华文仿宋" w:hAnsi="华文仿宋" w:eastAsia="华文仿宋" w:cs="仿宋_GB2312"/>
          <w:b/>
          <w:sz w:val="24"/>
        </w:rPr>
        <w:t>（</w:t>
      </w:r>
      <w:r>
        <w:rPr>
          <w:rFonts w:hint="eastAsia" w:ascii="华文仿宋" w:hAnsi="华文仿宋" w:eastAsia="华文仿宋"/>
          <w:b/>
          <w:color w:val="0000FF"/>
          <w:sz w:val="24"/>
        </w:rPr>
        <w:t>1）投标人基本情况（2分）：</w:t>
      </w:r>
    </w:p>
    <w:p>
      <w:pPr>
        <w:snapToGrid w:val="0"/>
        <w:spacing w:line="360" w:lineRule="auto"/>
        <w:ind w:firstLine="360"/>
        <w:rPr>
          <w:rFonts w:ascii="华文仿宋" w:hAnsi="华文仿宋" w:eastAsia="华文仿宋" w:cs="仿宋_GB2312"/>
          <w:bCs/>
          <w:sz w:val="24"/>
          <w:lang w:val="zh-CN"/>
        </w:rPr>
      </w:pPr>
      <w:r>
        <w:rPr>
          <w:rFonts w:hint="eastAsia" w:ascii="华文仿宋" w:hAnsi="华文仿宋" w:eastAsia="华文仿宋" w:cs="仿宋_GB2312"/>
          <w:bCs/>
          <w:sz w:val="24"/>
          <w:lang w:val="zh-CN"/>
        </w:rPr>
        <w:t>●投标人已取得省级及以上安全技术防范行业资信等级壹级证书（1分）；</w:t>
      </w:r>
    </w:p>
    <w:p>
      <w:pPr>
        <w:snapToGrid w:val="0"/>
        <w:spacing w:line="360" w:lineRule="auto"/>
        <w:ind w:firstLine="360"/>
        <w:rPr>
          <w:rFonts w:hint="eastAsia" w:ascii="华文仿宋" w:hAnsi="华文仿宋" w:eastAsia="华文仿宋" w:cs="仿宋_GB2312"/>
          <w:bCs/>
          <w:sz w:val="24"/>
          <w:lang w:val="zh-CN"/>
        </w:rPr>
      </w:pPr>
      <w:r>
        <w:rPr>
          <w:rFonts w:hint="eastAsia" w:ascii="华文仿宋" w:hAnsi="华文仿宋" w:eastAsia="华文仿宋" w:cs="仿宋_GB2312"/>
          <w:bCs/>
          <w:sz w:val="24"/>
          <w:lang w:val="zh-CN"/>
        </w:rPr>
        <w:t>●投标人已取得计算机系统集成叁级证书（1分）。</w:t>
      </w:r>
    </w:p>
    <w:p>
      <w:pPr>
        <w:snapToGrid w:val="0"/>
        <w:spacing w:line="360" w:lineRule="auto"/>
        <w:ind w:firstLine="466" w:firstLineChars="194"/>
        <w:rPr>
          <w:rFonts w:hint="eastAsia" w:ascii="华文仿宋" w:hAnsi="华文仿宋" w:eastAsia="华文仿宋"/>
          <w:b/>
          <w:sz w:val="24"/>
        </w:rPr>
      </w:pPr>
      <w:r>
        <w:rPr>
          <w:rFonts w:hint="eastAsia" w:ascii="华文仿宋" w:hAnsi="华文仿宋" w:eastAsia="华文仿宋"/>
          <w:b/>
          <w:color w:val="0000FF"/>
          <w:sz w:val="24"/>
        </w:rPr>
        <w:t>（2）投标人类似项目建设的成功经验（3分）</w:t>
      </w:r>
      <w:r>
        <w:rPr>
          <w:rFonts w:hint="eastAsia" w:ascii="华文仿宋" w:hAnsi="华文仿宋" w:eastAsia="华文仿宋" w:cs="仿宋_GB2312"/>
          <w:b/>
          <w:sz w:val="24"/>
        </w:rPr>
        <w:t>：</w:t>
      </w:r>
      <w:r>
        <w:rPr>
          <w:rFonts w:hint="eastAsia" w:ascii="华文仿宋" w:hAnsi="华文仿宋" w:eastAsia="华文仿宋"/>
          <w:sz w:val="24"/>
        </w:rPr>
        <w:t>截止投标时间近三年以来投标人</w:t>
      </w:r>
      <w:r>
        <w:rPr>
          <w:rFonts w:hint="eastAsia" w:ascii="华文仿宋" w:hAnsi="华文仿宋" w:eastAsia="华文仿宋" w:cs="仿宋_GB2312"/>
          <w:sz w:val="24"/>
        </w:rPr>
        <w:t>承担类似</w:t>
      </w:r>
      <w:r>
        <w:rPr>
          <w:rFonts w:hint="eastAsia" w:ascii="华文仿宋" w:hAnsi="华文仿宋" w:eastAsia="华文仿宋" w:cs="宋体"/>
          <w:sz w:val="24"/>
        </w:rPr>
        <w:t>项目</w:t>
      </w:r>
      <w:r>
        <w:rPr>
          <w:rFonts w:hint="eastAsia" w:ascii="华文仿宋" w:hAnsi="华文仿宋" w:eastAsia="华文仿宋"/>
          <w:sz w:val="24"/>
        </w:rPr>
        <w:t>实施的成功经验情况</w:t>
      </w:r>
      <w:r>
        <w:rPr>
          <w:rFonts w:hint="eastAsia" w:ascii="华文仿宋" w:hAnsi="华文仿宋" w:eastAsia="华文仿宋" w:cs="宋体"/>
          <w:sz w:val="24"/>
        </w:rPr>
        <w:t>，</w:t>
      </w:r>
      <w:r>
        <w:rPr>
          <w:rFonts w:hint="eastAsia" w:ascii="华文仿宋" w:hAnsi="华文仿宋" w:eastAsia="华文仿宋" w:cs="仿宋_GB2312"/>
          <w:sz w:val="24"/>
          <w:lang w:val="zh-CN"/>
        </w:rPr>
        <w:t>结合</w:t>
      </w:r>
      <w:r>
        <w:rPr>
          <w:rFonts w:hint="eastAsia" w:ascii="华文仿宋" w:hAnsi="华文仿宋" w:eastAsia="华文仿宋"/>
          <w:bCs/>
          <w:sz w:val="24"/>
        </w:rPr>
        <w:t>已完成的项目案例和用户反应情况，</w:t>
      </w:r>
      <w:r>
        <w:rPr>
          <w:rFonts w:hint="eastAsia" w:ascii="华文仿宋" w:hAnsi="华文仿宋" w:eastAsia="华文仿宋"/>
          <w:snapToGrid w:val="0"/>
          <w:sz w:val="24"/>
        </w:rPr>
        <w:t>依照投标人同时提供的</w:t>
      </w:r>
      <w:r>
        <w:rPr>
          <w:rFonts w:hint="eastAsia" w:ascii="华文仿宋" w:hAnsi="华文仿宋" w:eastAsia="华文仿宋"/>
          <w:sz w:val="24"/>
          <w:lang w:val="zh-CN"/>
        </w:rPr>
        <w:t>合同（每份合同</w:t>
      </w:r>
      <w:r>
        <w:rPr>
          <w:rFonts w:hint="eastAsia" w:ascii="华文仿宋" w:hAnsi="华文仿宋" w:eastAsia="华文仿宋"/>
          <w:sz w:val="24"/>
        </w:rPr>
        <w:t>0.5分，总计1.5分</w:t>
      </w:r>
      <w:r>
        <w:rPr>
          <w:rFonts w:hint="eastAsia" w:ascii="华文仿宋" w:hAnsi="华文仿宋" w:eastAsia="华文仿宋"/>
          <w:sz w:val="24"/>
          <w:lang w:val="zh-CN"/>
        </w:rPr>
        <w:t>）</w:t>
      </w:r>
      <w:r>
        <w:rPr>
          <w:rFonts w:hint="eastAsia" w:ascii="华文仿宋" w:hAnsi="华文仿宋" w:eastAsia="华文仿宋"/>
          <w:sz w:val="24"/>
        </w:rPr>
        <w:t>和用户验收报告</w:t>
      </w:r>
      <w:r>
        <w:rPr>
          <w:rFonts w:hint="eastAsia" w:ascii="华文仿宋" w:hAnsi="华文仿宋" w:eastAsia="华文仿宋"/>
          <w:sz w:val="24"/>
          <w:lang w:val="zh-CN"/>
        </w:rPr>
        <w:t>（每份报告</w:t>
      </w:r>
      <w:r>
        <w:rPr>
          <w:rFonts w:hint="eastAsia" w:ascii="华文仿宋" w:hAnsi="华文仿宋" w:eastAsia="华文仿宋"/>
          <w:sz w:val="24"/>
        </w:rPr>
        <w:t>0.5分，总计1.5分</w:t>
      </w:r>
      <w:r>
        <w:rPr>
          <w:rFonts w:hint="eastAsia" w:ascii="华文仿宋" w:hAnsi="华文仿宋" w:eastAsia="华文仿宋"/>
          <w:sz w:val="24"/>
          <w:lang w:val="zh-CN"/>
        </w:rPr>
        <w:t>）</w:t>
      </w:r>
      <w:r>
        <w:rPr>
          <w:rFonts w:hint="eastAsia" w:ascii="华文仿宋" w:hAnsi="华文仿宋" w:eastAsia="华文仿宋"/>
          <w:sz w:val="24"/>
        </w:rPr>
        <w:t>（</w:t>
      </w:r>
      <w:r>
        <w:rPr>
          <w:rFonts w:hint="eastAsia" w:ascii="华文仿宋" w:hAnsi="华文仿宋" w:eastAsia="华文仿宋"/>
          <w:b/>
          <w:sz w:val="24"/>
        </w:rPr>
        <w:t>以验收报告时间为准，原件备查，采购机构在项目评审直至合同签订、履约期间，有权要求投标人出具投标文件中的合同和用户验收报告，予以确认其的真实性和有效性，如出现与事实不符等情况，将根据有关规定以“提供虚假材料谋取中标”予以处理</w:t>
      </w:r>
      <w:r>
        <w:rPr>
          <w:rFonts w:hint="eastAsia" w:ascii="华文仿宋" w:hAnsi="华文仿宋" w:eastAsia="华文仿宋"/>
          <w:sz w:val="24"/>
        </w:rPr>
        <w:t>），</w:t>
      </w:r>
      <w:r>
        <w:rPr>
          <w:rFonts w:hint="eastAsia" w:ascii="华文仿宋" w:hAnsi="华文仿宋" w:eastAsia="华文仿宋" w:cs="仿宋_GB2312"/>
          <w:sz w:val="24"/>
        </w:rPr>
        <w:t>是否有良好的工作业绩和履约记录</w:t>
      </w:r>
      <w:r>
        <w:rPr>
          <w:rFonts w:hint="eastAsia" w:ascii="华文仿宋" w:hAnsi="华文仿宋" w:eastAsia="华文仿宋"/>
          <w:sz w:val="24"/>
          <w:lang w:val="zh-CN"/>
        </w:rPr>
        <w:t>等情况</w:t>
      </w:r>
      <w:r>
        <w:rPr>
          <w:rFonts w:hint="eastAsia" w:ascii="华文仿宋" w:hAnsi="华文仿宋" w:eastAsia="华文仿宋"/>
          <w:sz w:val="24"/>
        </w:rPr>
        <w:t>；</w:t>
      </w:r>
      <w:r>
        <w:rPr>
          <w:rFonts w:hint="eastAsia" w:ascii="华文仿宋" w:hAnsi="华文仿宋" w:eastAsia="华文仿宋" w:cs="Arial"/>
          <w:b/>
          <w:kern w:val="0"/>
          <w:sz w:val="24"/>
        </w:rPr>
        <w:t>以分包方式履行政府采购合同的，还需提供该项目采购方同意分包的证明材料;</w:t>
      </w:r>
      <w:r>
        <w:rPr>
          <w:rFonts w:hint="eastAsia" w:ascii="华文仿宋" w:hAnsi="华文仿宋" w:eastAsia="华文仿宋"/>
          <w:b/>
          <w:sz w:val="24"/>
        </w:rPr>
        <w:t>如投标人提供的合同复印件等实施项目证明材料与投标主体无关或违规转包分包的，评标委员会将进行扣分直至认定投标无效。</w:t>
      </w:r>
    </w:p>
    <w:p>
      <w:pPr>
        <w:snapToGrid w:val="0"/>
        <w:spacing w:line="360" w:lineRule="auto"/>
        <w:ind w:firstLine="466" w:firstLineChars="194"/>
        <w:rPr>
          <w:rFonts w:hint="eastAsia" w:ascii="华文仿宋" w:hAnsi="华文仿宋" w:eastAsia="华文仿宋" w:cs="仿宋_GB2312"/>
          <w:b/>
          <w:sz w:val="24"/>
        </w:rPr>
      </w:pPr>
      <w:r>
        <w:rPr>
          <w:rFonts w:hint="eastAsia" w:ascii="华文仿宋" w:hAnsi="华文仿宋" w:eastAsia="华文仿宋" w:cs="仿宋_GB2312"/>
          <w:b/>
          <w:sz w:val="24"/>
        </w:rPr>
        <w:t>▲ 综合得分=A+B+C</w:t>
      </w:r>
    </w:p>
    <w:p>
      <w:pPr>
        <w:pStyle w:val="43"/>
        <w:spacing w:line="360" w:lineRule="auto"/>
        <w:ind w:firstLine="482" w:firstLineChars="200"/>
        <w:rPr>
          <w:rFonts w:hint="eastAsia" w:ascii="仿宋_GB2312" w:eastAsia="仿宋_GB2312"/>
          <w:sz w:val="24"/>
        </w:rPr>
      </w:pPr>
      <w:r>
        <w:rPr>
          <w:rFonts w:hint="eastAsia" w:ascii="仿宋_GB2312" w:hAnsi="宋体" w:eastAsia="仿宋_GB2312"/>
          <w:b/>
          <w:sz w:val="24"/>
        </w:rPr>
        <w:t xml:space="preserve">▲ </w:t>
      </w:r>
      <w:r>
        <w:rPr>
          <w:rFonts w:hint="eastAsia" w:ascii="仿宋_GB2312" w:eastAsia="仿宋_GB2312"/>
          <w:b/>
          <w:sz w:val="24"/>
        </w:rPr>
        <w:t>减分：投标人的信誉情况</w:t>
      </w:r>
      <w:r>
        <w:rPr>
          <w:rFonts w:hint="eastAsia" w:ascii="仿宋_GB2312" w:hAnsi="宋体" w:eastAsia="仿宋_GB2312"/>
          <w:b/>
          <w:sz w:val="24"/>
        </w:rPr>
        <w:t>（D）</w:t>
      </w:r>
      <w:r>
        <w:rPr>
          <w:rFonts w:hint="eastAsia" w:ascii="仿宋_GB2312" w:eastAsia="仿宋_GB2312"/>
          <w:b/>
          <w:sz w:val="24"/>
        </w:rPr>
        <w:t>：</w:t>
      </w:r>
      <w:r>
        <w:rPr>
          <w:rFonts w:hint="eastAsia" w:ascii="仿宋_GB2312" w:hAnsi="宋体" w:eastAsia="仿宋_GB2312"/>
          <w:kern w:val="0"/>
          <w:sz w:val="24"/>
        </w:rPr>
        <w:t>政府采购领域中</w:t>
      </w:r>
      <w:r>
        <w:rPr>
          <w:rFonts w:hint="eastAsia" w:ascii="仿宋_GB2312" w:eastAsia="仿宋_GB2312"/>
          <w:sz w:val="24"/>
        </w:rPr>
        <w:t>投标人在项目招标、投标和合同履约期间是否存在不良行为记录。</w:t>
      </w:r>
    </w:p>
    <w:p>
      <w:pPr>
        <w:spacing w:line="360" w:lineRule="auto"/>
        <w:ind w:firstLine="437" w:firstLineChars="243"/>
        <w:rPr>
          <w:rFonts w:hint="eastAsia" w:ascii="仿宋_GB2312" w:eastAsia="仿宋_GB2312"/>
          <w:sz w:val="24"/>
        </w:rPr>
      </w:pPr>
      <w:r>
        <w:rPr>
          <w:rFonts w:hint="eastAsia" w:ascii="仿宋_GB2312" w:eastAsia="仿宋_GB2312"/>
          <w:sz w:val="18"/>
          <w:szCs w:val="18"/>
        </w:rPr>
        <w:t>●</w:t>
      </w:r>
      <w:r>
        <w:rPr>
          <w:rFonts w:hint="eastAsia" w:ascii="仿宋_GB2312" w:eastAsia="仿宋_GB2312"/>
          <w:szCs w:val="21"/>
        </w:rPr>
        <w:t xml:space="preserve"> </w:t>
      </w:r>
      <w:r>
        <w:rPr>
          <w:rFonts w:hint="eastAsia" w:ascii="仿宋_GB2312" w:eastAsia="仿宋_GB2312"/>
          <w:sz w:val="24"/>
        </w:rPr>
        <w:t>投标人参与本次招标活动前三年内在浙江省范围内政府采购领域中受到不良行为记录处罚的每次扣1分。</w:t>
      </w:r>
    </w:p>
    <w:p>
      <w:pPr>
        <w:spacing w:line="360" w:lineRule="auto"/>
        <w:ind w:firstLine="467" w:firstLineChars="194"/>
        <w:rPr>
          <w:rFonts w:hint="eastAsia" w:ascii="仿宋_GB2312" w:hAnsi="宋体" w:eastAsia="仿宋_GB2312"/>
          <w:b/>
          <w:sz w:val="24"/>
        </w:rPr>
      </w:pPr>
      <w:r>
        <w:rPr>
          <w:rFonts w:hint="eastAsia" w:ascii="仿宋_GB2312" w:hAnsi="宋体" w:eastAsia="仿宋_GB2312"/>
          <w:b/>
          <w:sz w:val="24"/>
        </w:rPr>
        <w:t>▲ 总分=综合得分-D</w:t>
      </w:r>
    </w:p>
    <w:p>
      <w:pPr>
        <w:pStyle w:val="43"/>
        <w:spacing w:line="360" w:lineRule="auto"/>
        <w:ind w:firstLine="470" w:firstLineChars="196"/>
        <w:rPr>
          <w:rFonts w:hint="eastAsia" w:ascii="仿宋_GB2312" w:eastAsia="仿宋_GB2312" w:cs="Tahoma"/>
          <w:sz w:val="24"/>
          <w:szCs w:val="24"/>
        </w:rPr>
      </w:pPr>
      <w:r>
        <w:rPr>
          <w:rFonts w:hint="eastAsia" w:ascii="仿宋_GB2312" w:eastAsia="仿宋_GB2312"/>
          <w:sz w:val="24"/>
        </w:rPr>
        <w:t>评标委员会根据投标人提供的有效证明材料和采购机构提供的相关数据进行打分</w:t>
      </w:r>
      <w:r>
        <w:rPr>
          <w:rFonts w:hint="eastAsia" w:ascii="仿宋_GB2312" w:hAnsi="宋体" w:eastAsia="仿宋_GB2312"/>
          <w:sz w:val="24"/>
        </w:rPr>
        <w:t>。</w:t>
      </w:r>
    </w:p>
    <w:p>
      <w:pPr>
        <w:spacing w:line="360" w:lineRule="auto"/>
        <w:ind w:firstLine="467" w:firstLineChars="194"/>
        <w:rPr>
          <w:rFonts w:hint="eastAsia" w:ascii="仿宋" w:hAnsi="仿宋" w:eastAsia="仿宋" w:cs="仿宋_GB2312"/>
          <w:b/>
          <w:sz w:val="36"/>
          <w:szCs w:val="36"/>
        </w:rPr>
      </w:pPr>
      <w:r>
        <w:rPr>
          <w:rFonts w:hint="eastAsia" w:ascii="仿宋_GB2312" w:eastAsia="仿宋_GB2312"/>
          <w:b/>
          <w:sz w:val="24"/>
        </w:rPr>
        <w:t>二、采购机构有权对评标委员会各成员的评分情况和评审意见进行合理性和合规性审查</w:t>
      </w:r>
      <w:r>
        <w:rPr>
          <w:rFonts w:hint="eastAsia" w:ascii="仿宋_GB2312" w:eastAsia="仿宋_GB2312"/>
          <w:sz w:val="24"/>
        </w:rPr>
        <w:t>，如发现评标委员会成员的评审意见带有明显倾向性，或不按规定程序和标准评审、计分的，评标委员会成员应进行书面澄清和说明；评标委员会成员拒不接受采购机构审查的，采购机构将向同级政府采购监督管理部门报告并予以处理。</w:t>
      </w:r>
      <w:r>
        <w:rPr>
          <w:rFonts w:ascii="仿宋" w:hAnsi="仿宋" w:eastAsia="仿宋" w:cs="仿宋_GB2312"/>
          <w:b/>
          <w:sz w:val="36"/>
          <w:szCs w:val="36"/>
        </w:rPr>
        <w:br w:type="page"/>
      </w:r>
    </w:p>
    <w:p>
      <w:pPr>
        <w:spacing w:line="360" w:lineRule="auto"/>
        <w:ind w:left="720" w:firstLine="723" w:firstLineChars="200"/>
        <w:outlineLvl w:val="0"/>
        <w:rPr>
          <w:rFonts w:hint="eastAsia" w:ascii="仿宋" w:hAnsi="仿宋" w:eastAsia="仿宋" w:cs="仿宋_GB2312"/>
          <w:b/>
          <w:sz w:val="36"/>
          <w:szCs w:val="36"/>
        </w:rPr>
      </w:pPr>
      <w:r>
        <w:rPr>
          <w:rFonts w:hint="eastAsia" w:ascii="仿宋" w:hAnsi="仿宋" w:eastAsia="仿宋" w:cs="仿宋_GB2312"/>
          <w:b/>
          <w:sz w:val="36"/>
          <w:szCs w:val="36"/>
        </w:rPr>
        <w:t>第五部分</w:t>
      </w:r>
      <w:bookmarkEnd w:id="36"/>
      <w:r>
        <w:rPr>
          <w:rFonts w:hint="eastAsia" w:ascii="仿宋" w:hAnsi="仿宋" w:eastAsia="仿宋" w:cs="仿宋_GB2312"/>
          <w:b/>
          <w:sz w:val="36"/>
          <w:szCs w:val="36"/>
        </w:rPr>
        <w:t xml:space="preserve"> 拟签订的合同文本</w:t>
      </w:r>
    </w:p>
    <w:p>
      <w:pPr>
        <w:spacing w:line="360" w:lineRule="auto"/>
        <w:rPr>
          <w:rFonts w:hint="eastAsia" w:ascii="仿宋_GB2312" w:hAnsi="楷体" w:eastAsia="仿宋_GB2312"/>
          <w:sz w:val="24"/>
        </w:rPr>
      </w:pPr>
      <w:bookmarkStart w:id="403" w:name="_GoBack"/>
      <w:bookmarkEnd w:id="403"/>
      <w:bookmarkStart w:id="404" w:name="第五部分"/>
      <w:bookmarkStart w:id="405" w:name="_Toc86217003"/>
    </w:p>
    <w:p>
      <w:pPr>
        <w:spacing w:line="360" w:lineRule="auto"/>
        <w:rPr>
          <w:rFonts w:hint="eastAsia"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pStyle w:val="368"/>
        <w:ind w:firstLine="482"/>
        <w:jc w:val="center"/>
        <w:rPr>
          <w:rFonts w:hint="eastAsia" w:ascii="仿宋_GB2312" w:hAnsi="楷体" w:eastAsia="仿宋_GB2312"/>
          <w:b/>
          <w:szCs w:val="24"/>
        </w:rPr>
      </w:pPr>
      <w:r>
        <w:rPr>
          <w:rFonts w:hint="eastAsia" w:ascii="仿宋_GB2312" w:hAnsi="楷体" w:eastAsia="仿宋_GB2312"/>
          <w:b/>
          <w:szCs w:val="24"/>
        </w:rPr>
        <w:t>第一部分 合同书</w:t>
      </w:r>
    </w:p>
    <w:p>
      <w:pPr>
        <w:pStyle w:val="368"/>
        <w:rPr>
          <w:rFonts w:hint="eastAsia" w:ascii="仿宋_GB2312" w:hAnsi="楷体" w:eastAsia="仿宋_GB2312"/>
          <w:szCs w:val="24"/>
        </w:rPr>
      </w:pPr>
    </w:p>
    <w:p>
      <w:pPr>
        <w:pStyle w:val="368"/>
        <w:rPr>
          <w:rFonts w:hint="eastAsia" w:ascii="仿宋_GB2312" w:hAnsi="楷体" w:eastAsia="仿宋_GB2312"/>
          <w:szCs w:val="24"/>
        </w:rPr>
      </w:pP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26"/>
        <w:spacing w:before="120"/>
        <w:rPr>
          <w:rFonts w:hint="eastAsia" w:hAnsi="楷体"/>
          <w:szCs w:val="24"/>
        </w:rPr>
      </w:pPr>
    </w:p>
    <w:p>
      <w:pPr>
        <w:pStyle w:val="626"/>
        <w:spacing w:before="120"/>
        <w:rPr>
          <w:rFonts w:hint="eastAsia" w:hAnsi="楷体"/>
          <w:szCs w:val="24"/>
        </w:rPr>
      </w:pPr>
    </w:p>
    <w:p>
      <w:pPr>
        <w:spacing w:line="360" w:lineRule="auto"/>
        <w:rPr>
          <w:rFonts w:hint="eastAsia" w:ascii="仿宋_GB2312"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autoSpaceDE w:val="0"/>
        <w:autoSpaceDN w:val="0"/>
        <w:spacing w:line="360" w:lineRule="auto"/>
        <w:ind w:firstLine="640"/>
        <w:jc w:val="center"/>
        <w:rPr>
          <w:rFonts w:hint="eastAsia" w:ascii="仿宋_GB2312" w:hAnsi="宋体" w:eastAsia="仿宋_GB2312"/>
          <w:sz w:val="24"/>
        </w:rPr>
        <w:sectPr>
          <w:headerReference r:id="rId14" w:type="default"/>
          <w:footerReference r:id="rId15" w:type="default"/>
          <w:pgSz w:w="11907" w:h="16840"/>
          <w:pgMar w:top="1474" w:right="1814" w:bottom="1474" w:left="1814" w:header="851" w:footer="851" w:gutter="0"/>
          <w:cols w:space="720" w:num="1"/>
          <w:docGrid w:linePitch="462" w:charSpace="0"/>
        </w:sect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杭州师范大学   </w:t>
      </w:r>
      <w:r>
        <w:rPr>
          <w:rFonts w:hint="eastAsia" w:ascii="仿宋_GB2312" w:hAnsi="楷体" w:eastAsia="仿宋_GB2312"/>
          <w:sz w:val="24"/>
        </w:rPr>
        <w:t>以</w:t>
      </w:r>
      <w:r>
        <w:rPr>
          <w:rFonts w:hint="eastAsia" w:ascii="仿宋_GB2312" w:hAnsi="楷体" w:eastAsia="仿宋_GB2312"/>
          <w:sz w:val="24"/>
          <w:u w:val="single"/>
        </w:rPr>
        <w:t xml:space="preserve">   公开招标  </w:t>
      </w:r>
      <w:r>
        <w:rPr>
          <w:rFonts w:hint="eastAsia" w:ascii="仿宋_GB2312" w:hAnsi="楷体" w:eastAsia="仿宋_GB2312"/>
          <w:sz w:val="24"/>
        </w:rPr>
        <w:t>对</w:t>
      </w:r>
      <w:r>
        <w:rPr>
          <w:rFonts w:hint="eastAsia" w:ascii="仿宋_GB2312" w:hAnsi="楷体" w:eastAsia="仿宋_GB2312"/>
          <w:sz w:val="24"/>
          <w:u w:val="single"/>
        </w:rPr>
        <w:t xml:space="preserve">   杭州师范大学仓前校区监控机房存储扩展采购项目  </w:t>
      </w:r>
      <w:r>
        <w:rPr>
          <w:rFonts w:hint="eastAsia" w:ascii="仿宋_GB2312" w:hAnsi="楷体" w:eastAsia="仿宋_GB2312"/>
          <w:sz w:val="24"/>
        </w:rPr>
        <w:t>进行了采购。经</w:t>
      </w:r>
      <w:r>
        <w:rPr>
          <w:rFonts w:hint="eastAsia" w:ascii="仿宋_GB2312" w:hAnsi="楷体" w:eastAsia="仿宋_GB2312"/>
          <w:sz w:val="24"/>
          <w:u w:val="single"/>
        </w:rPr>
        <w:t xml:space="preserve">   评标委员会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根据《中华人民共和国合同法》、《中华人民共和国政府采购法》等相关法律法规之规定，按照平等、自愿、公平和诚实信用的原则，经</w:t>
      </w:r>
      <w:r>
        <w:rPr>
          <w:rFonts w:hint="eastAsia" w:ascii="仿宋_GB2312" w:hAnsi="楷体" w:eastAsia="仿宋_GB2312"/>
          <w:sz w:val="24"/>
          <w:u w:val="single"/>
        </w:rPr>
        <w:t xml:space="preserve">   杭州师范大学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hint="eastAsia" w:ascii="仿宋_GB2312" w:hAnsi="楷体" w:eastAsia="仿宋_GB2312"/>
          <w:b/>
          <w:sz w:val="24"/>
        </w:rPr>
      </w:pPr>
      <w:bookmarkStart w:id="406" w:name="_Toc2232"/>
      <w:bookmarkStart w:id="407" w:name="_Toc24059"/>
      <w:bookmarkStart w:id="408" w:name="_Toc3029"/>
      <w:r>
        <w:rPr>
          <w:rFonts w:hint="eastAsia" w:ascii="仿宋_GB2312" w:hAnsi="楷体" w:eastAsia="仿宋_GB2312"/>
          <w:b/>
          <w:sz w:val="24"/>
        </w:rPr>
        <w:t>1.1 合同组成部分</w:t>
      </w:r>
      <w:bookmarkEnd w:id="406"/>
      <w:bookmarkEnd w:id="407"/>
      <w:bookmarkEnd w:id="40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hint="eastAsia" w:ascii="仿宋_GB2312" w:hAnsi="楷体" w:eastAsia="仿宋_GB2312"/>
          <w:b/>
          <w:sz w:val="24"/>
        </w:rPr>
      </w:pPr>
      <w:bookmarkStart w:id="409" w:name="_Toc27126"/>
      <w:bookmarkStart w:id="410" w:name="_Toc24300"/>
      <w:bookmarkStart w:id="411" w:name="_Toc21295"/>
      <w:r>
        <w:rPr>
          <w:rFonts w:hint="eastAsia" w:ascii="仿宋_GB2312" w:hAnsi="楷体" w:eastAsia="仿宋_GB2312"/>
          <w:b/>
          <w:sz w:val="24"/>
        </w:rPr>
        <w:t>1.2 货物</w:t>
      </w:r>
      <w:bookmarkEnd w:id="409"/>
      <w:bookmarkEnd w:id="410"/>
      <w:bookmarkEnd w:id="411"/>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 货物名称：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1.2.2 货物数量：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1.2.3 货物质量：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12" w:name="_Toc23292"/>
      <w:bookmarkStart w:id="413" w:name="_Toc21631"/>
      <w:bookmarkStart w:id="414" w:name="_Toc21551"/>
      <w:r>
        <w:rPr>
          <w:rFonts w:hint="eastAsia" w:ascii="仿宋_GB2312" w:hAnsi="楷体" w:eastAsia="仿宋_GB2312"/>
          <w:b/>
          <w:sz w:val="24"/>
        </w:rPr>
        <w:t>1.3 价款</w:t>
      </w:r>
      <w:bookmarkEnd w:id="412"/>
      <w:bookmarkEnd w:id="413"/>
      <w:bookmarkEnd w:id="41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135"/>
              <w:spacing w:line="360" w:lineRule="auto"/>
              <w:jc w:val="center"/>
              <w:rPr>
                <w:rFonts w:hint="eastAsia" w:ascii="仿宋_GB2312" w:hAnsi="楷体" w:eastAsia="仿宋_GB2312"/>
                <w:kern w:val="2"/>
                <w:sz w:val="24"/>
                <w:szCs w:val="24"/>
              </w:rPr>
            </w:pPr>
            <w:r>
              <w:rPr>
                <w:rFonts w:hint="eastAsia" w:ascii="仿宋_GB2312" w:hAnsi="楷体" w:eastAsia="仿宋_GB2312"/>
                <w:kern w:val="2"/>
                <w:sz w:val="24"/>
                <w:szCs w:val="24"/>
              </w:rPr>
              <w:t>序号</w:t>
            </w:r>
          </w:p>
        </w:tc>
        <w:tc>
          <w:tcPr>
            <w:tcW w:w="3402" w:type="dxa"/>
            <w:noWrap w:val="0"/>
            <w:vAlign w:val="center"/>
          </w:tcPr>
          <w:p>
            <w:pPr>
              <w:pStyle w:val="135"/>
              <w:spacing w:line="360" w:lineRule="auto"/>
              <w:ind w:firstLine="200"/>
              <w:jc w:val="center"/>
              <w:rPr>
                <w:rFonts w:hint="eastAsia" w:ascii="仿宋_GB2312" w:hAnsi="楷体" w:eastAsia="仿宋_GB2312"/>
                <w:kern w:val="2"/>
                <w:sz w:val="24"/>
                <w:szCs w:val="24"/>
              </w:rPr>
            </w:pPr>
            <w:r>
              <w:rPr>
                <w:rFonts w:hint="eastAsia" w:ascii="仿宋_GB2312" w:hAnsi="楷体" w:eastAsia="仿宋_GB2312"/>
                <w:kern w:val="2"/>
                <w:sz w:val="24"/>
                <w:szCs w:val="24"/>
              </w:rPr>
              <w:t>分项名称</w:t>
            </w:r>
          </w:p>
        </w:tc>
        <w:tc>
          <w:tcPr>
            <w:tcW w:w="2552" w:type="dxa"/>
            <w:noWrap w:val="0"/>
            <w:vAlign w:val="center"/>
          </w:tcPr>
          <w:p>
            <w:pPr>
              <w:pStyle w:val="135"/>
              <w:spacing w:line="360" w:lineRule="auto"/>
              <w:jc w:val="center"/>
              <w:rPr>
                <w:rFonts w:hint="eastAsia" w:ascii="仿宋_GB2312" w:hAnsi="楷体" w:eastAsia="仿宋_GB2312"/>
                <w:kern w:val="2"/>
                <w:sz w:val="24"/>
                <w:szCs w:val="24"/>
              </w:rPr>
            </w:pPr>
            <w:r>
              <w:rPr>
                <w:rFonts w:hint="eastAsia" w:ascii="仿宋_GB2312" w:hAnsi="楷体" w:eastAsia="仿宋_GB2312"/>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135"/>
              <w:spacing w:line="360" w:lineRule="auto"/>
              <w:ind w:firstLine="200"/>
              <w:jc w:val="center"/>
              <w:rPr>
                <w:rFonts w:hint="eastAsia" w:ascii="仿宋_GB2312" w:hAnsi="楷体" w:eastAsia="仿宋_GB2312"/>
                <w:kern w:val="2"/>
                <w:sz w:val="24"/>
                <w:szCs w:val="24"/>
              </w:rPr>
            </w:pPr>
          </w:p>
        </w:tc>
        <w:tc>
          <w:tcPr>
            <w:tcW w:w="3402" w:type="dxa"/>
            <w:noWrap w:val="0"/>
            <w:vAlign w:val="center"/>
          </w:tcPr>
          <w:p>
            <w:pPr>
              <w:pStyle w:val="135"/>
              <w:spacing w:line="360" w:lineRule="auto"/>
              <w:ind w:firstLine="200"/>
              <w:jc w:val="center"/>
              <w:rPr>
                <w:rFonts w:hint="eastAsia" w:ascii="仿宋_GB2312" w:hAnsi="楷体" w:eastAsia="仿宋_GB2312"/>
                <w:kern w:val="2"/>
                <w:sz w:val="24"/>
                <w:szCs w:val="24"/>
              </w:rPr>
            </w:pPr>
          </w:p>
        </w:tc>
        <w:tc>
          <w:tcPr>
            <w:tcW w:w="2552" w:type="dxa"/>
            <w:noWrap w:val="0"/>
            <w:vAlign w:val="center"/>
          </w:tcPr>
          <w:p>
            <w:pPr>
              <w:pStyle w:val="135"/>
              <w:spacing w:line="360" w:lineRule="auto"/>
              <w:ind w:firstLine="200"/>
              <w:jc w:val="center"/>
              <w:rPr>
                <w:rFonts w:hint="eastAsia" w:ascii="仿宋_GB2312" w:hAnsi="楷体"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135"/>
              <w:spacing w:line="360" w:lineRule="auto"/>
              <w:ind w:firstLine="200"/>
              <w:jc w:val="center"/>
              <w:rPr>
                <w:rFonts w:hint="eastAsia" w:ascii="仿宋_GB2312" w:hAnsi="楷体" w:eastAsia="仿宋_GB2312"/>
                <w:kern w:val="2"/>
                <w:sz w:val="24"/>
                <w:szCs w:val="24"/>
              </w:rPr>
            </w:pPr>
          </w:p>
        </w:tc>
        <w:tc>
          <w:tcPr>
            <w:tcW w:w="3402" w:type="dxa"/>
            <w:noWrap w:val="0"/>
            <w:vAlign w:val="center"/>
          </w:tcPr>
          <w:p>
            <w:pPr>
              <w:pStyle w:val="135"/>
              <w:spacing w:line="360" w:lineRule="auto"/>
              <w:ind w:firstLine="200"/>
              <w:jc w:val="center"/>
              <w:rPr>
                <w:rFonts w:hint="eastAsia" w:ascii="仿宋_GB2312" w:hAnsi="楷体" w:eastAsia="仿宋_GB2312"/>
                <w:kern w:val="2"/>
                <w:sz w:val="24"/>
                <w:szCs w:val="24"/>
              </w:rPr>
            </w:pPr>
          </w:p>
        </w:tc>
        <w:tc>
          <w:tcPr>
            <w:tcW w:w="2552" w:type="dxa"/>
            <w:noWrap w:val="0"/>
            <w:vAlign w:val="center"/>
          </w:tcPr>
          <w:p>
            <w:pPr>
              <w:pStyle w:val="135"/>
              <w:spacing w:line="360" w:lineRule="auto"/>
              <w:ind w:firstLine="200"/>
              <w:jc w:val="center"/>
              <w:rPr>
                <w:rFonts w:hint="eastAsia" w:ascii="仿宋_GB2312" w:hAnsi="楷体"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135"/>
              <w:spacing w:line="360" w:lineRule="auto"/>
              <w:ind w:firstLine="200"/>
              <w:jc w:val="center"/>
              <w:rPr>
                <w:rFonts w:hint="eastAsia" w:ascii="仿宋_GB2312" w:hAnsi="楷体" w:eastAsia="仿宋_GB2312"/>
                <w:kern w:val="2"/>
                <w:sz w:val="24"/>
                <w:szCs w:val="24"/>
              </w:rPr>
            </w:pPr>
          </w:p>
        </w:tc>
        <w:tc>
          <w:tcPr>
            <w:tcW w:w="3402" w:type="dxa"/>
            <w:noWrap w:val="0"/>
            <w:vAlign w:val="center"/>
          </w:tcPr>
          <w:p>
            <w:pPr>
              <w:pStyle w:val="135"/>
              <w:spacing w:line="360" w:lineRule="auto"/>
              <w:ind w:firstLine="200"/>
              <w:jc w:val="center"/>
              <w:rPr>
                <w:rFonts w:hint="eastAsia" w:ascii="仿宋_GB2312" w:hAnsi="楷体" w:eastAsia="仿宋_GB2312"/>
                <w:kern w:val="2"/>
                <w:sz w:val="24"/>
                <w:szCs w:val="24"/>
              </w:rPr>
            </w:pPr>
          </w:p>
        </w:tc>
        <w:tc>
          <w:tcPr>
            <w:tcW w:w="2552" w:type="dxa"/>
            <w:noWrap w:val="0"/>
            <w:vAlign w:val="center"/>
          </w:tcPr>
          <w:p>
            <w:pPr>
              <w:pStyle w:val="135"/>
              <w:spacing w:line="360" w:lineRule="auto"/>
              <w:ind w:firstLine="200"/>
              <w:jc w:val="center"/>
              <w:rPr>
                <w:rFonts w:hint="eastAsia" w:ascii="仿宋_GB2312" w:hAnsi="楷体"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4603" w:type="dxa"/>
            <w:gridSpan w:val="2"/>
            <w:noWrap w:val="0"/>
            <w:vAlign w:val="center"/>
          </w:tcPr>
          <w:p>
            <w:pPr>
              <w:pStyle w:val="135"/>
              <w:spacing w:line="360" w:lineRule="auto"/>
              <w:ind w:firstLine="200"/>
              <w:jc w:val="center"/>
              <w:rPr>
                <w:rFonts w:hint="eastAsia" w:ascii="仿宋_GB2312" w:hAnsi="楷体" w:eastAsia="仿宋_GB2312"/>
                <w:kern w:val="2"/>
                <w:sz w:val="24"/>
                <w:szCs w:val="24"/>
              </w:rPr>
            </w:pPr>
            <w:r>
              <w:rPr>
                <w:rFonts w:hint="eastAsia" w:ascii="仿宋_GB2312" w:hAnsi="楷体" w:eastAsia="仿宋_GB2312"/>
                <w:kern w:val="2"/>
                <w:sz w:val="24"/>
                <w:szCs w:val="24"/>
              </w:rPr>
              <w:t>总价</w:t>
            </w:r>
          </w:p>
        </w:tc>
        <w:tc>
          <w:tcPr>
            <w:tcW w:w="2552" w:type="dxa"/>
            <w:noWrap w:val="0"/>
            <w:vAlign w:val="center"/>
          </w:tcPr>
          <w:p>
            <w:pPr>
              <w:pStyle w:val="135"/>
              <w:spacing w:line="360" w:lineRule="auto"/>
              <w:ind w:firstLine="200"/>
              <w:jc w:val="center"/>
              <w:rPr>
                <w:rFonts w:hint="eastAsia" w:ascii="仿宋_GB2312" w:hAnsi="楷体" w:eastAsia="仿宋_GB2312"/>
                <w:kern w:val="2"/>
                <w:sz w:val="24"/>
                <w:szCs w:val="24"/>
              </w:rPr>
            </w:pPr>
          </w:p>
        </w:tc>
      </w:tr>
    </w:tbl>
    <w:p/>
    <w:p>
      <w:pPr>
        <w:spacing w:line="360" w:lineRule="auto"/>
        <w:ind w:firstLine="482" w:firstLineChars="200"/>
        <w:outlineLvl w:val="0"/>
        <w:rPr>
          <w:rFonts w:hint="eastAsia" w:ascii="仿宋_GB2312" w:hAnsi="楷体" w:eastAsia="仿宋_GB2312"/>
          <w:b/>
          <w:sz w:val="24"/>
        </w:rPr>
      </w:pPr>
      <w:bookmarkStart w:id="415" w:name="_Toc22618"/>
      <w:bookmarkStart w:id="416" w:name="_Toc1814"/>
      <w:bookmarkStart w:id="417" w:name="_Toc10340"/>
      <w:r>
        <w:rPr>
          <w:rFonts w:hint="eastAsia" w:ascii="仿宋_GB2312" w:hAnsi="楷体" w:eastAsia="仿宋_GB2312"/>
          <w:b/>
          <w:sz w:val="24"/>
        </w:rPr>
        <w:t>1.4 付款方式和发票开具方式</w:t>
      </w:r>
      <w:bookmarkEnd w:id="415"/>
      <w:bookmarkEnd w:id="416"/>
      <w:bookmarkEnd w:id="41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18" w:name="_Toc32071"/>
      <w:bookmarkStart w:id="419" w:name="_Toc2846"/>
      <w:bookmarkStart w:id="420" w:name="_Toc19304"/>
      <w:r>
        <w:rPr>
          <w:rFonts w:hint="eastAsia" w:ascii="仿宋_GB2312" w:hAnsi="楷体" w:eastAsia="仿宋_GB2312"/>
          <w:b/>
          <w:sz w:val="24"/>
        </w:rPr>
        <w:t>1.5 货物交付期限、地点和方式</w:t>
      </w:r>
      <w:bookmarkEnd w:id="418"/>
      <w:bookmarkEnd w:id="419"/>
      <w:bookmarkEnd w:id="420"/>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1" w:name="_Toc27250"/>
      <w:bookmarkStart w:id="422" w:name="_Toc19554"/>
      <w:bookmarkStart w:id="423" w:name="_Toc21423"/>
      <w:r>
        <w:rPr>
          <w:rFonts w:hint="eastAsia" w:ascii="仿宋_GB2312" w:hAnsi="楷体" w:eastAsia="仿宋_GB2312"/>
          <w:b/>
          <w:sz w:val="24"/>
        </w:rPr>
        <w:t>1.6 违约责任</w:t>
      </w:r>
      <w:bookmarkEnd w:id="421"/>
      <w:bookmarkEnd w:id="422"/>
      <w:bookmarkEnd w:id="42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仿宋_GB2312" w:hAnsi="楷体" w:eastAsia="仿宋_GB2312"/>
          <w:b/>
          <w:sz w:val="24"/>
        </w:rPr>
      </w:pPr>
      <w:bookmarkStart w:id="424" w:name="_Toc15583"/>
      <w:bookmarkStart w:id="425" w:name="_Toc16021"/>
      <w:bookmarkStart w:id="426" w:name="_Toc28375"/>
      <w:r>
        <w:rPr>
          <w:rFonts w:hint="eastAsia" w:ascii="仿宋_GB2312" w:hAnsi="楷体" w:eastAsia="仿宋_GB2312"/>
          <w:b/>
          <w:sz w:val="24"/>
        </w:rPr>
        <w:t>1.7 合同争议的解决</w:t>
      </w:r>
      <w:bookmarkEnd w:id="424"/>
      <w:bookmarkEnd w:id="425"/>
      <w:bookmarkEnd w:id="42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sz w:val="24"/>
        </w:rPr>
        <w:t>人民法院起诉。</w:t>
      </w:r>
    </w:p>
    <w:p>
      <w:pPr>
        <w:spacing w:line="360" w:lineRule="auto"/>
        <w:ind w:firstLine="482" w:firstLineChars="200"/>
        <w:outlineLvl w:val="0"/>
        <w:rPr>
          <w:rFonts w:hint="eastAsia" w:ascii="仿宋_GB2312" w:hAnsi="楷体" w:eastAsia="仿宋_GB2312"/>
          <w:b/>
          <w:sz w:val="24"/>
        </w:rPr>
      </w:pPr>
      <w:bookmarkStart w:id="427" w:name="_Toc7245"/>
      <w:bookmarkStart w:id="428" w:name="_Toc15322"/>
      <w:bookmarkStart w:id="429" w:name="_Toc11173"/>
      <w:r>
        <w:rPr>
          <w:rFonts w:hint="eastAsia" w:ascii="仿宋_GB2312" w:hAnsi="楷体" w:eastAsia="仿宋_GB2312"/>
          <w:b/>
          <w:sz w:val="24"/>
        </w:rPr>
        <w:t>1.8 合同生效</w:t>
      </w:r>
      <w:bookmarkEnd w:id="427"/>
      <w:bookmarkEnd w:id="428"/>
      <w:bookmarkEnd w:id="429"/>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spacing w:line="360" w:lineRule="auto"/>
        <w:jc w:val="left"/>
        <w:rPr>
          <w:rFonts w:hint="eastAsia" w:ascii="仿宋_GB2312" w:hAnsi="楷体" w:eastAsia="仿宋_GB2312"/>
          <w:b/>
          <w:sz w:val="24"/>
        </w:rPr>
      </w:pPr>
      <w:bookmarkStart w:id="430" w:name="_Toc331685783"/>
    </w:p>
    <w:p>
      <w:pPr>
        <w:pStyle w:val="368"/>
        <w:ind w:firstLine="482"/>
        <w:jc w:val="center"/>
        <w:rPr>
          <w:rFonts w:hint="eastAsia" w:ascii="仿宋_GB2312" w:hAnsi="楷体" w:eastAsia="仿宋_GB2312"/>
          <w:b/>
          <w:szCs w:val="24"/>
        </w:rPr>
      </w:pPr>
      <w:r>
        <w:rPr>
          <w:rFonts w:hint="eastAsia" w:ascii="仿宋_GB2312" w:hAnsi="楷体" w:eastAsia="仿宋_GB2312"/>
          <w:b/>
          <w:szCs w:val="24"/>
        </w:rPr>
        <w:t>第二部分 合同一般条款</w:t>
      </w:r>
      <w:bookmarkEnd w:id="430"/>
    </w:p>
    <w:p>
      <w:pPr>
        <w:spacing w:line="360" w:lineRule="auto"/>
        <w:ind w:firstLine="482" w:firstLineChars="200"/>
        <w:outlineLvl w:val="0"/>
        <w:rPr>
          <w:rFonts w:hint="eastAsia" w:ascii="仿宋_GB2312" w:hAnsi="楷体" w:eastAsia="仿宋_GB2312"/>
          <w:b/>
          <w:sz w:val="24"/>
        </w:rPr>
      </w:pPr>
      <w:bookmarkStart w:id="431" w:name="_Toc487900349"/>
      <w:bookmarkStart w:id="432" w:name="_Ref467379101"/>
      <w:bookmarkStart w:id="433" w:name="_Ref467379195"/>
      <w:bookmarkStart w:id="434" w:name="_Toc259093669"/>
      <w:bookmarkStart w:id="435" w:name="_Ref467378499"/>
      <w:bookmarkStart w:id="436" w:name="_Toc16917"/>
      <w:bookmarkStart w:id="437" w:name="_Toc28763"/>
      <w:bookmarkStart w:id="438" w:name="_Toc19614"/>
      <w:bookmarkStart w:id="439" w:name="_Ref467379094"/>
      <w:bookmarkStart w:id="440" w:name="_Ref467378463"/>
      <w:bookmarkStart w:id="441" w:name="_Toc279701240"/>
      <w:bookmarkStart w:id="442" w:name="_Ref467379205"/>
      <w:bookmarkStart w:id="443" w:name="_Ref467378404"/>
      <w:bookmarkStart w:id="444" w:name="_Ref467379109"/>
      <w:bookmarkStart w:id="445" w:name="_Ref467379225"/>
      <w:bookmarkStart w:id="446" w:name="_Ref467379214"/>
      <w:r>
        <w:rPr>
          <w:rFonts w:hint="eastAsia" w:ascii="仿宋_GB2312" w:hAnsi="楷体" w:eastAsia="仿宋_GB2312"/>
          <w:b/>
          <w:sz w:val="24"/>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_GB2312" w:hAnsi="楷体" w:eastAsia="仿宋_GB2312"/>
          <w:sz w:val="24"/>
        </w:rPr>
      </w:pPr>
      <w:bookmarkStart w:id="447" w:name="_Ref467378840"/>
      <w:r>
        <w:rPr>
          <w:rFonts w:hint="eastAsia" w:ascii="仿宋_GB2312" w:hAnsi="楷体" w:eastAsia="仿宋_GB2312"/>
          <w:sz w:val="24"/>
        </w:rPr>
        <w:t>2.1.4 “甲方”系指与中标供应商签署合同的采购人</w:t>
      </w:r>
      <w:bookmarkEnd w:id="447"/>
      <w:r>
        <w:rPr>
          <w:rFonts w:hint="eastAsia" w:ascii="仿宋_GB2312" w:hAnsi="楷体" w:eastAsia="仿宋_GB2312"/>
          <w:sz w:val="24"/>
        </w:rPr>
        <w:t>；采购人委托采购代理机构代表其与乙方签订合同的，采购人的授权委托书作为合同附件。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448" w:name="_Ref467379400"/>
      <w:r>
        <w:rPr>
          <w:rFonts w:hint="eastAsia" w:ascii="仿宋_GB2312" w:hAnsi="楷体" w:eastAsia="仿宋_GB2312"/>
          <w:sz w:val="24"/>
        </w:rPr>
        <w:t>2.1.5 “乙方”系指根据合同约定交付货物的中标供应商</w:t>
      </w:r>
      <w:bookmarkEnd w:id="448"/>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449" w:name="_Ref467379436"/>
      <w:r>
        <w:rPr>
          <w:rFonts w:hint="eastAsia" w:ascii="仿宋_GB2312" w:hAnsi="楷体" w:eastAsia="仿宋_GB2312"/>
          <w:sz w:val="24"/>
        </w:rPr>
        <w:t>2.1.6 “现场”系指合同约定货物将要运至或者安装的地点。</w:t>
      </w:r>
      <w:bookmarkEnd w:id="449"/>
    </w:p>
    <w:p>
      <w:pPr>
        <w:spacing w:line="360" w:lineRule="auto"/>
        <w:ind w:firstLine="482" w:firstLineChars="200"/>
        <w:outlineLvl w:val="0"/>
        <w:rPr>
          <w:rFonts w:hint="eastAsia" w:ascii="仿宋_GB2312" w:hAnsi="楷体" w:eastAsia="仿宋_GB2312"/>
          <w:b/>
          <w:sz w:val="24"/>
        </w:rPr>
      </w:pPr>
      <w:bookmarkStart w:id="450" w:name="_Toc27635"/>
      <w:bookmarkStart w:id="451" w:name="_Toc487900350"/>
      <w:bookmarkStart w:id="452" w:name="_Toc259093670"/>
      <w:bookmarkStart w:id="453" w:name="_Toc32504"/>
      <w:bookmarkStart w:id="454" w:name="_Toc279701241"/>
      <w:bookmarkStart w:id="455" w:name="_Toc13336"/>
      <w:r>
        <w:rPr>
          <w:rFonts w:hint="eastAsia" w:ascii="仿宋_GB2312" w:hAnsi="楷体" w:eastAsia="仿宋_GB2312"/>
          <w:b/>
          <w:sz w:val="24"/>
        </w:rPr>
        <w:t>2.2 技术规范</w:t>
      </w:r>
      <w:bookmarkEnd w:id="450"/>
      <w:bookmarkEnd w:id="451"/>
      <w:bookmarkEnd w:id="452"/>
      <w:bookmarkEnd w:id="453"/>
      <w:bookmarkEnd w:id="454"/>
      <w:bookmarkEnd w:id="45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sz w:val="24"/>
        </w:rPr>
      </w:pPr>
      <w:bookmarkStart w:id="456" w:name="_Toc279701242"/>
      <w:bookmarkStart w:id="457" w:name="_Toc259093671"/>
      <w:bookmarkStart w:id="458" w:name="_Toc487900351"/>
      <w:bookmarkStart w:id="459" w:name="_Toc9829"/>
      <w:bookmarkStart w:id="460" w:name="_Toc31634"/>
      <w:bookmarkStart w:id="461" w:name="_Toc27853"/>
      <w:r>
        <w:rPr>
          <w:rFonts w:hint="eastAsia" w:ascii="仿宋_GB2312" w:hAnsi="楷体" w:eastAsia="仿宋_GB2312"/>
          <w:b/>
          <w:sz w:val="24"/>
        </w:rPr>
        <w:t>2.3 知识产权</w:t>
      </w:r>
      <w:bookmarkEnd w:id="456"/>
      <w:bookmarkEnd w:id="457"/>
      <w:bookmarkEnd w:id="458"/>
      <w:bookmarkEnd w:id="459"/>
      <w:bookmarkEnd w:id="460"/>
      <w:bookmarkEnd w:id="46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2.3.2具有知识产权的计算机软件等货物的知识产权归属，详见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62" w:name="_Toc11932"/>
      <w:bookmarkStart w:id="463" w:name="_Toc4194"/>
      <w:bookmarkStart w:id="464" w:name="_Toc29149"/>
      <w:r>
        <w:rPr>
          <w:rFonts w:hint="eastAsia" w:ascii="仿宋_GB2312" w:hAnsi="楷体" w:eastAsia="仿宋_GB2312"/>
          <w:b/>
          <w:sz w:val="24"/>
        </w:rPr>
        <w:t>2.4 包装和装运</w:t>
      </w:r>
      <w:bookmarkEnd w:id="462"/>
      <w:bookmarkEnd w:id="463"/>
      <w:bookmarkEnd w:id="46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装运货物的要求和通知，详见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65" w:name="_Toc487900354"/>
      <w:bookmarkStart w:id="466" w:name="_Toc259093674"/>
      <w:bookmarkStart w:id="467" w:name="_Toc279701245"/>
      <w:bookmarkStart w:id="468" w:name="_Ref467379536"/>
      <w:bookmarkStart w:id="469" w:name="_Ref467379542"/>
      <w:bookmarkStart w:id="470" w:name="_Ref467379527"/>
      <w:bookmarkStart w:id="471" w:name="_Ref467378591"/>
      <w:bookmarkStart w:id="472" w:name="_Ref467378541"/>
      <w:bookmarkStart w:id="473" w:name="_Toc19074"/>
      <w:bookmarkStart w:id="474" w:name="_Toc30272"/>
      <w:bookmarkStart w:id="475" w:name="_Toc26182"/>
      <w:r>
        <w:rPr>
          <w:rFonts w:hint="eastAsia" w:ascii="仿宋_GB2312" w:hAnsi="楷体" w:eastAsia="仿宋_GB2312"/>
          <w:b/>
          <w:sz w:val="24"/>
        </w:rPr>
        <w:t>2.</w:t>
      </w:r>
      <w:bookmarkEnd w:id="465"/>
      <w:bookmarkEnd w:id="466"/>
      <w:bookmarkEnd w:id="467"/>
      <w:bookmarkEnd w:id="468"/>
      <w:bookmarkEnd w:id="469"/>
      <w:bookmarkEnd w:id="470"/>
      <w:bookmarkEnd w:id="471"/>
      <w:bookmarkEnd w:id="472"/>
      <w:r>
        <w:rPr>
          <w:rFonts w:hint="eastAsia" w:ascii="仿宋_GB2312" w:hAnsi="楷体" w:eastAsia="仿宋_GB2312"/>
          <w:b/>
          <w:sz w:val="24"/>
        </w:rPr>
        <w:t>5 履约检查和问题反馈</w:t>
      </w:r>
      <w:bookmarkEnd w:id="473"/>
      <w:bookmarkEnd w:id="474"/>
      <w:bookmarkEnd w:id="475"/>
    </w:p>
    <w:p>
      <w:pPr>
        <w:spacing w:line="360" w:lineRule="auto"/>
        <w:ind w:firstLine="480" w:firstLineChars="200"/>
        <w:rPr>
          <w:rFonts w:hint="eastAsia" w:ascii="仿宋_GB2312" w:hAnsi="楷体" w:eastAsia="仿宋_GB2312"/>
          <w:sz w:val="24"/>
        </w:rPr>
      </w:pPr>
      <w:bookmarkStart w:id="476" w:name="_Ref467379657"/>
      <w:r>
        <w:rPr>
          <w:rFonts w:hint="eastAsia" w:ascii="仿宋_GB2312" w:hAnsi="楷体" w:eastAsia="仿宋_GB2312"/>
          <w:sz w:val="24"/>
        </w:rPr>
        <w:t>2.5.1</w:t>
      </w:r>
      <w:bookmarkEnd w:id="476"/>
      <w:bookmarkStart w:id="477" w:name="_Toc186431854"/>
      <w:bookmarkStart w:id="478" w:name="_Ref467379793"/>
      <w:bookmarkStart w:id="479" w:name="_Toc279701247"/>
      <w:bookmarkStart w:id="480" w:name="_Toc259093676"/>
      <w:bookmarkStart w:id="481" w:name="_Ref467379807"/>
      <w:bookmarkStart w:id="482" w:name="_Toc487900357"/>
      <w:r>
        <w:rPr>
          <w:rFonts w:hint="eastAsia" w:ascii="仿宋_GB2312" w:hAnsi="楷体"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77"/>
      <w:bookmarkStart w:id="483" w:name="_Toc186431855"/>
      <w:r>
        <w:rPr>
          <w:rFonts w:hint="eastAsia" w:ascii="仿宋_GB2312" w:hAnsi="楷体" w:eastAsia="仿宋_GB2312"/>
          <w:sz w:val="24"/>
        </w:rPr>
        <w:t>。</w:t>
      </w:r>
    </w:p>
    <w:bookmarkEnd w:id="483"/>
    <w:p>
      <w:pPr>
        <w:spacing w:line="360" w:lineRule="auto"/>
        <w:ind w:firstLine="482" w:firstLineChars="200"/>
        <w:outlineLvl w:val="0"/>
        <w:rPr>
          <w:rFonts w:hint="eastAsia" w:ascii="仿宋_GB2312" w:hAnsi="楷体" w:eastAsia="仿宋_GB2312"/>
          <w:b/>
          <w:sz w:val="24"/>
        </w:rPr>
      </w:pPr>
      <w:bookmarkStart w:id="484" w:name="_Toc19219"/>
      <w:bookmarkStart w:id="485" w:name="_Toc28451"/>
      <w:bookmarkStart w:id="486" w:name="_Toc7836"/>
      <w:r>
        <w:rPr>
          <w:rFonts w:hint="eastAsia" w:ascii="仿宋_GB2312" w:hAnsi="楷体" w:eastAsia="仿宋_GB2312"/>
          <w:b/>
          <w:sz w:val="24"/>
        </w:rPr>
        <w:t>2.6 结算方式和付款条件</w:t>
      </w:r>
      <w:bookmarkEnd w:id="478"/>
      <w:bookmarkEnd w:id="479"/>
      <w:bookmarkEnd w:id="480"/>
      <w:bookmarkEnd w:id="481"/>
      <w:bookmarkEnd w:id="482"/>
      <w:bookmarkEnd w:id="484"/>
      <w:bookmarkEnd w:id="485"/>
      <w:bookmarkEnd w:id="48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87" w:name="_Ref467379852"/>
      <w:bookmarkStart w:id="488" w:name="_Ref467379863"/>
      <w:bookmarkStart w:id="489" w:name="_Toc259093677"/>
      <w:bookmarkStart w:id="490" w:name="_Toc279701248"/>
      <w:bookmarkStart w:id="491" w:name="_Ref467379923"/>
      <w:bookmarkStart w:id="492" w:name="_Toc487900358"/>
      <w:bookmarkStart w:id="493" w:name="_Toc774"/>
      <w:bookmarkStart w:id="494" w:name="_Toc3225"/>
      <w:bookmarkStart w:id="495" w:name="_Toc16110"/>
      <w:r>
        <w:rPr>
          <w:rFonts w:hint="eastAsia" w:ascii="仿宋_GB2312" w:hAnsi="楷体" w:eastAsia="仿宋_GB2312"/>
          <w:b/>
          <w:sz w:val="24"/>
        </w:rPr>
        <w:t>2.7 技术资料</w:t>
      </w:r>
      <w:bookmarkEnd w:id="487"/>
      <w:bookmarkEnd w:id="488"/>
      <w:bookmarkEnd w:id="489"/>
      <w:bookmarkEnd w:id="490"/>
      <w:bookmarkEnd w:id="491"/>
      <w:bookmarkEnd w:id="492"/>
      <w:r>
        <w:rPr>
          <w:rFonts w:hint="eastAsia" w:ascii="仿宋_GB2312" w:hAnsi="楷体" w:eastAsia="仿宋_GB2312"/>
          <w:b/>
          <w:sz w:val="24"/>
        </w:rPr>
        <w:t>和保密义务</w:t>
      </w:r>
      <w:bookmarkEnd w:id="493"/>
      <w:bookmarkEnd w:id="494"/>
      <w:bookmarkEnd w:id="49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_GB2312" w:hAnsi="楷体" w:eastAsia="仿宋_GB2312"/>
          <w:b/>
          <w:sz w:val="24"/>
        </w:rPr>
      </w:pPr>
      <w:bookmarkStart w:id="496" w:name="_Toc7860"/>
      <w:r>
        <w:rPr>
          <w:rFonts w:hint="eastAsia" w:ascii="仿宋_GB2312" w:hAnsi="楷体" w:eastAsia="仿宋_GB2312"/>
          <w:b/>
          <w:sz w:val="24"/>
        </w:rPr>
        <w:t>2.8 质量保证</w:t>
      </w:r>
      <w:bookmarkEnd w:id="49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_GB2312" w:hAnsi="楷体" w:eastAsia="仿宋_GB2312"/>
          <w:b/>
          <w:sz w:val="24"/>
        </w:rPr>
      </w:pPr>
      <w:bookmarkStart w:id="497" w:name="_Toc17244"/>
      <w:bookmarkStart w:id="498" w:name="_Toc487900362"/>
      <w:bookmarkStart w:id="499" w:name="_Toc279701252"/>
      <w:bookmarkStart w:id="500" w:name="_Toc259093681"/>
      <w:r>
        <w:rPr>
          <w:rFonts w:hint="eastAsia" w:ascii="仿宋_GB2312" w:hAnsi="楷体" w:eastAsia="仿宋_GB2312"/>
          <w:b/>
          <w:sz w:val="24"/>
        </w:rPr>
        <w:t>2.9 货物的风险负担</w:t>
      </w:r>
      <w:bookmarkEnd w:id="497"/>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货物或者在途货物或者交付给第一承运人后的货物毁损、灭失的风险负担详见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501" w:name="_Toc14055"/>
      <w:r>
        <w:rPr>
          <w:rFonts w:hint="eastAsia" w:ascii="仿宋_GB2312" w:hAnsi="楷体" w:eastAsia="仿宋_GB2312"/>
          <w:b/>
          <w:sz w:val="24"/>
        </w:rPr>
        <w:t>2.10 延迟交货</w:t>
      </w:r>
      <w:bookmarkEnd w:id="498"/>
      <w:bookmarkEnd w:id="499"/>
      <w:bookmarkEnd w:id="500"/>
      <w:bookmarkEnd w:id="50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sz w:val="24"/>
        </w:rPr>
      </w:pPr>
      <w:bookmarkStart w:id="502" w:name="_Toc7502"/>
      <w:bookmarkStart w:id="503" w:name="_Toc279701254"/>
      <w:bookmarkStart w:id="504" w:name="_Toc259093683"/>
      <w:bookmarkStart w:id="505" w:name="_Toc487900364"/>
      <w:bookmarkStart w:id="506" w:name="_Ref467378121"/>
      <w:r>
        <w:rPr>
          <w:rFonts w:hint="eastAsia" w:ascii="仿宋_GB2312" w:hAnsi="楷体" w:eastAsia="仿宋_GB2312"/>
          <w:b/>
          <w:sz w:val="24"/>
        </w:rPr>
        <w:t>2.11 合同变更</w:t>
      </w:r>
      <w:bookmarkEnd w:id="50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507" w:name="_Toc259093688"/>
      <w:bookmarkStart w:id="508" w:name="_Toc487900369"/>
      <w:bookmarkStart w:id="509" w:name="_Toc279701259"/>
    </w:p>
    <w:p>
      <w:pPr>
        <w:spacing w:line="360" w:lineRule="auto"/>
        <w:ind w:firstLine="482" w:firstLineChars="200"/>
        <w:outlineLvl w:val="0"/>
        <w:rPr>
          <w:rFonts w:hint="eastAsia" w:ascii="仿宋_GB2312" w:hAnsi="楷体" w:eastAsia="仿宋_GB2312"/>
          <w:b/>
          <w:sz w:val="24"/>
        </w:rPr>
      </w:pPr>
      <w:bookmarkStart w:id="510" w:name="_Toc10366"/>
      <w:bookmarkStart w:id="511" w:name="_Toc15237"/>
      <w:bookmarkStart w:id="512" w:name="_Toc22955"/>
      <w:r>
        <w:rPr>
          <w:rFonts w:hint="eastAsia" w:ascii="仿宋_GB2312" w:hAnsi="楷体" w:eastAsia="仿宋_GB2312"/>
          <w:b/>
          <w:sz w:val="24"/>
        </w:rPr>
        <w:t>2.12 合同转让</w:t>
      </w:r>
      <w:bookmarkEnd w:id="507"/>
      <w:bookmarkEnd w:id="508"/>
      <w:bookmarkEnd w:id="509"/>
      <w:r>
        <w:rPr>
          <w:rFonts w:hint="eastAsia" w:ascii="仿宋_GB2312" w:hAnsi="楷体" w:eastAsia="仿宋_GB2312"/>
          <w:b/>
          <w:sz w:val="24"/>
        </w:rPr>
        <w:t>和分包</w:t>
      </w:r>
      <w:bookmarkEnd w:id="510"/>
      <w:bookmarkEnd w:id="511"/>
      <w:bookmarkEnd w:id="51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sz w:val="24"/>
        </w:rPr>
      </w:pPr>
      <w:bookmarkStart w:id="513" w:name="_Toc13566"/>
      <w:bookmarkStart w:id="514" w:name="_Toc14066"/>
      <w:bookmarkStart w:id="515" w:name="_Toc16508"/>
      <w:r>
        <w:rPr>
          <w:rFonts w:hint="eastAsia" w:ascii="仿宋_GB2312" w:hAnsi="楷体" w:eastAsia="仿宋_GB2312"/>
          <w:b/>
          <w:sz w:val="24"/>
        </w:rPr>
        <w:t>2.13 不可抗力</w:t>
      </w:r>
      <w:bookmarkEnd w:id="513"/>
      <w:bookmarkEnd w:id="514"/>
      <w:bookmarkEnd w:id="51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2" w:firstLineChars="200"/>
        <w:outlineLvl w:val="0"/>
        <w:rPr>
          <w:rFonts w:hint="eastAsia" w:ascii="仿宋_GB2312" w:hAnsi="楷体" w:eastAsia="仿宋_GB2312"/>
          <w:b/>
          <w:sz w:val="24"/>
        </w:rPr>
      </w:pPr>
      <w:bookmarkStart w:id="516" w:name="_Toc259093684"/>
      <w:bookmarkStart w:id="517" w:name="_Toc279701255"/>
      <w:bookmarkStart w:id="518" w:name="_Toc6969"/>
      <w:bookmarkStart w:id="519" w:name="_Toc689"/>
      <w:bookmarkStart w:id="520" w:name="_Toc30676"/>
      <w:bookmarkStart w:id="521" w:name="_Toc487900365"/>
      <w:r>
        <w:rPr>
          <w:rFonts w:hint="eastAsia" w:ascii="仿宋_GB2312" w:hAnsi="楷体" w:eastAsia="仿宋_GB2312"/>
          <w:b/>
          <w:sz w:val="24"/>
        </w:rPr>
        <w:t>2.14 税费</w:t>
      </w:r>
      <w:bookmarkEnd w:id="516"/>
      <w:bookmarkEnd w:id="517"/>
      <w:bookmarkEnd w:id="518"/>
      <w:bookmarkEnd w:id="519"/>
      <w:bookmarkEnd w:id="520"/>
      <w:bookmarkEnd w:id="52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w:t>
      </w:r>
    </w:p>
    <w:p>
      <w:pPr>
        <w:spacing w:line="360" w:lineRule="auto"/>
        <w:ind w:firstLine="482" w:firstLineChars="200"/>
        <w:outlineLvl w:val="0"/>
        <w:rPr>
          <w:rFonts w:hint="eastAsia" w:ascii="仿宋_GB2312" w:hAnsi="楷体" w:eastAsia="仿宋_GB2312"/>
          <w:b/>
          <w:sz w:val="24"/>
        </w:rPr>
      </w:pPr>
      <w:bookmarkStart w:id="522" w:name="_Toc487900368"/>
      <w:bookmarkStart w:id="523" w:name="_Toc259093687"/>
      <w:bookmarkStart w:id="524" w:name="_Toc16959"/>
      <w:bookmarkStart w:id="525" w:name="_Toc8298"/>
      <w:bookmarkStart w:id="526" w:name="_Toc279701258"/>
      <w:bookmarkStart w:id="527" w:name="_Toc7102"/>
      <w:r>
        <w:rPr>
          <w:rFonts w:hint="eastAsia" w:ascii="仿宋_GB2312" w:hAnsi="楷体" w:eastAsia="仿宋_GB2312"/>
          <w:b/>
          <w:sz w:val="24"/>
        </w:rPr>
        <w:t>2.15 乙方破产</w:t>
      </w:r>
      <w:bookmarkEnd w:id="522"/>
      <w:bookmarkEnd w:id="523"/>
      <w:bookmarkEnd w:id="524"/>
      <w:bookmarkEnd w:id="525"/>
      <w:bookmarkEnd w:id="526"/>
      <w:bookmarkEnd w:id="52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sz w:val="24"/>
        </w:rPr>
      </w:pPr>
      <w:bookmarkStart w:id="528" w:name="_Toc29333"/>
      <w:bookmarkStart w:id="529" w:name="_Toc6134"/>
      <w:bookmarkStart w:id="530" w:name="_Toc15387"/>
      <w:r>
        <w:rPr>
          <w:rFonts w:hint="eastAsia" w:ascii="仿宋_GB2312" w:hAnsi="楷体" w:eastAsia="仿宋_GB2312"/>
          <w:b/>
          <w:sz w:val="24"/>
        </w:rPr>
        <w:t>2.16 合同中止、终止</w:t>
      </w:r>
      <w:bookmarkEnd w:id="528"/>
      <w:bookmarkEnd w:id="529"/>
      <w:bookmarkEnd w:id="53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_GB2312" w:hAnsi="楷体" w:eastAsia="仿宋_GB2312"/>
          <w:b/>
          <w:sz w:val="24"/>
        </w:rPr>
      </w:pPr>
      <w:bookmarkStart w:id="531" w:name="_Toc6596"/>
      <w:bookmarkStart w:id="532" w:name="_Toc1125"/>
      <w:bookmarkStart w:id="533" w:name="_Toc14563"/>
      <w:r>
        <w:rPr>
          <w:rFonts w:hint="eastAsia" w:ascii="仿宋_GB2312" w:hAnsi="楷体" w:eastAsia="仿宋_GB2312"/>
          <w:b/>
          <w:sz w:val="24"/>
        </w:rPr>
        <w:t>2.17 检验和验收</w:t>
      </w:r>
      <w:bookmarkEnd w:id="531"/>
      <w:bookmarkEnd w:id="532"/>
      <w:bookmarkEnd w:id="533"/>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2.17.1货物交付前，乙方应对货物的质量、数量等方面进行详细、全面的检验，并向甲方出具证明货物符合合同约定的文件；货物交付时，乙方在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503"/>
    <w:bookmarkEnd w:id="504"/>
    <w:bookmarkEnd w:id="505"/>
    <w:bookmarkEnd w:id="506"/>
    <w:p>
      <w:pPr>
        <w:spacing w:line="360" w:lineRule="auto"/>
        <w:ind w:firstLine="482" w:firstLineChars="200"/>
        <w:outlineLvl w:val="0"/>
        <w:rPr>
          <w:rFonts w:hint="eastAsia" w:ascii="仿宋_GB2312" w:hAnsi="楷体" w:eastAsia="仿宋_GB2312"/>
          <w:b/>
          <w:sz w:val="24"/>
        </w:rPr>
      </w:pPr>
      <w:bookmarkStart w:id="534" w:name="_Toc487900371"/>
      <w:bookmarkStart w:id="535" w:name="_Toc259093690"/>
      <w:bookmarkStart w:id="536" w:name="_Toc279701261"/>
      <w:bookmarkStart w:id="537" w:name="_Toc25182"/>
      <w:bookmarkStart w:id="538" w:name="_Toc19604"/>
      <w:bookmarkStart w:id="539" w:name="_Toc11284"/>
      <w:r>
        <w:rPr>
          <w:rFonts w:hint="eastAsia" w:ascii="仿宋_GB2312" w:hAnsi="楷体" w:eastAsia="仿宋_GB2312"/>
          <w:b/>
          <w:sz w:val="24"/>
        </w:rPr>
        <w:t>2.18 通知</w:t>
      </w:r>
      <w:bookmarkEnd w:id="534"/>
      <w:bookmarkEnd w:id="535"/>
      <w:bookmarkEnd w:id="536"/>
      <w:r>
        <w:rPr>
          <w:rFonts w:hint="eastAsia" w:ascii="仿宋_GB2312" w:hAnsi="楷体" w:eastAsia="仿宋_GB2312"/>
          <w:b/>
          <w:sz w:val="24"/>
        </w:rPr>
        <w:t>和送达</w:t>
      </w:r>
      <w:bookmarkEnd w:id="537"/>
      <w:bookmarkEnd w:id="538"/>
      <w:bookmarkEnd w:id="539"/>
    </w:p>
    <w:p>
      <w:pPr>
        <w:spacing w:line="360" w:lineRule="auto"/>
        <w:ind w:firstLine="480" w:firstLineChars="200"/>
        <w:rPr>
          <w:rFonts w:hint="eastAsia" w:ascii="仿宋_GB2312" w:hAnsi="楷体" w:eastAsia="仿宋_GB2312"/>
          <w:sz w:val="24"/>
        </w:rPr>
      </w:pPr>
      <w:bookmarkStart w:id="540" w:name="_Toc3135"/>
      <w:bookmarkStart w:id="541" w:name="_Toc6698"/>
      <w:bookmarkStart w:id="542" w:name="_Toc259093691"/>
      <w:bookmarkStart w:id="543" w:name="_Toc487900372"/>
      <w:bookmarkStart w:id="544"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 xml:space="preserve">          </w:t>
      </w:r>
      <w:r>
        <w:rPr>
          <w:rFonts w:hint="eastAsia" w:ascii="仿宋_GB2312" w:hAnsi="楷体" w:eastAsia="仿宋_GB2312"/>
          <w:sz w:val="24"/>
        </w:rPr>
        <w:t>发出的所有通知、文件、材料，均视为已向对方当事人送达；任何一方变更上述送达方式或者地址的，应于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40"/>
      <w:bookmarkEnd w:id="541"/>
    </w:p>
    <w:p>
      <w:pPr>
        <w:spacing w:line="360" w:lineRule="auto"/>
        <w:ind w:firstLine="480" w:firstLineChars="200"/>
        <w:rPr>
          <w:rFonts w:hint="eastAsia" w:ascii="仿宋_GB2312" w:hAnsi="楷体" w:eastAsia="仿宋_GB2312"/>
          <w:sz w:val="24"/>
        </w:rPr>
      </w:pPr>
      <w:bookmarkStart w:id="545" w:name="_Toc23128"/>
      <w:bookmarkStart w:id="546"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pPr>
        <w:spacing w:line="360" w:lineRule="auto"/>
        <w:ind w:firstLine="482" w:firstLineChars="200"/>
        <w:outlineLvl w:val="0"/>
        <w:rPr>
          <w:rFonts w:hint="eastAsia" w:ascii="仿宋_GB2312" w:hAnsi="楷体" w:eastAsia="仿宋_GB2312"/>
          <w:b/>
          <w:sz w:val="24"/>
        </w:rPr>
      </w:pPr>
      <w:bookmarkStart w:id="547" w:name="_Toc30599"/>
      <w:bookmarkStart w:id="548" w:name="_Toc4355"/>
      <w:bookmarkStart w:id="549" w:name="_Toc18540"/>
      <w:r>
        <w:rPr>
          <w:rFonts w:hint="eastAsia" w:ascii="仿宋_GB2312" w:hAnsi="楷体" w:eastAsia="仿宋_GB2312"/>
          <w:b/>
          <w:sz w:val="24"/>
        </w:rPr>
        <w:t>2.19 计量单位</w:t>
      </w:r>
      <w:bookmarkEnd w:id="542"/>
      <w:bookmarkEnd w:id="543"/>
      <w:bookmarkEnd w:id="544"/>
      <w:bookmarkEnd w:id="547"/>
      <w:bookmarkEnd w:id="548"/>
      <w:bookmarkEnd w:id="54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sz w:val="24"/>
        </w:rPr>
      </w:pPr>
      <w:bookmarkStart w:id="550" w:name="_Toc279701263"/>
      <w:bookmarkStart w:id="551" w:name="_Toc259093692"/>
      <w:bookmarkStart w:id="552" w:name="_Toc12773"/>
      <w:bookmarkStart w:id="553" w:name="_Toc10330"/>
      <w:bookmarkStart w:id="554" w:name="_Toc487900373"/>
      <w:bookmarkStart w:id="555" w:name="_Toc18567"/>
      <w:r>
        <w:rPr>
          <w:rFonts w:hint="eastAsia" w:ascii="仿宋_GB2312" w:hAnsi="楷体" w:eastAsia="仿宋_GB2312"/>
          <w:b/>
          <w:sz w:val="24"/>
        </w:rPr>
        <w:t>2.20 合同使用的文字和适用的法律</w:t>
      </w:r>
      <w:bookmarkEnd w:id="550"/>
      <w:bookmarkEnd w:id="551"/>
      <w:bookmarkEnd w:id="552"/>
      <w:bookmarkEnd w:id="553"/>
      <w:bookmarkEnd w:id="554"/>
      <w:bookmarkEnd w:id="55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hint="eastAsia" w:ascii="仿宋_GB2312" w:hAnsi="楷体" w:eastAsia="仿宋_GB2312"/>
          <w:b/>
          <w:sz w:val="24"/>
        </w:rPr>
      </w:pPr>
      <w:bookmarkStart w:id="556" w:name="_Toc3148"/>
      <w:bookmarkStart w:id="557" w:name="_Toc16673"/>
      <w:bookmarkStart w:id="558" w:name="_Toc279701264"/>
      <w:bookmarkStart w:id="559" w:name="_Toc12004"/>
      <w:bookmarkStart w:id="560" w:name="_Toc259093693"/>
      <w:bookmarkStart w:id="561" w:name="_Toc487900374"/>
      <w:r>
        <w:rPr>
          <w:rFonts w:hint="eastAsia" w:ascii="仿宋_GB2312" w:hAnsi="楷体" w:eastAsia="仿宋_GB2312"/>
          <w:b/>
          <w:sz w:val="24"/>
        </w:rPr>
        <w:t>2.21 履约保证金</w:t>
      </w:r>
      <w:bookmarkEnd w:id="556"/>
      <w:bookmarkEnd w:id="557"/>
      <w:bookmarkEnd w:id="558"/>
      <w:bookmarkEnd w:id="559"/>
      <w:bookmarkEnd w:id="56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2.21.1 采购文件要求乙方提交履约保证金的，乙方应按</w:t>
      </w:r>
      <w:r>
        <w:rPr>
          <w:rFonts w:hint="eastAsia" w:ascii="仿宋_GB2312" w:hAnsi="楷体" w:eastAsia="仿宋_GB2312"/>
          <w:b/>
          <w:i/>
          <w:sz w:val="24"/>
          <w:u w:val="single"/>
        </w:rPr>
        <w:t>合同专用条款</w:t>
      </w:r>
      <w:r>
        <w:rPr>
          <w:rFonts w:hint="eastAsia" w:ascii="仿宋_GB2312" w:hAnsi="楷体" w:eastAsia="仿宋_GB2312"/>
          <w:sz w:val="24"/>
        </w:rPr>
        <w:t>约定的方式，以支票、汇票、本票或者金融机构、担保机构出具的保函等非现金形式，提交不超过合同价10%的履约保证金；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2.21.2  履约保证金在</w:t>
      </w:r>
      <w:r>
        <w:rPr>
          <w:rFonts w:hint="eastAsia" w:ascii="仿宋_GB2312" w:hAnsi="楷体" w:eastAsia="仿宋_GB2312"/>
          <w:b/>
          <w:i/>
          <w:sz w:val="24"/>
          <w:u w:val="single"/>
        </w:rPr>
        <w:t>合同专用条款</w:t>
      </w:r>
      <w:r>
        <w:rPr>
          <w:rFonts w:hint="eastAsia" w:ascii="仿宋_GB2312" w:hAnsi="楷体" w:eastAsia="仿宋_GB2312"/>
          <w:sz w:val="24"/>
        </w:rPr>
        <w:t>约定期间内或者货物质量保证期内不予退还或者应完全有效，前述约定期间届满或者货物质量保证期届满之日起</w:t>
      </w:r>
      <w:r>
        <w:rPr>
          <w:rFonts w:hint="eastAsia" w:ascii="仿宋_GB2312" w:hAnsi="楷体" w:eastAsia="仿宋_GB2312"/>
          <w:sz w:val="24"/>
          <w:u w:val="single"/>
        </w:rPr>
        <w:t xml:space="preserve">  </w:t>
      </w:r>
      <w:r>
        <w:rPr>
          <w:rFonts w:hint="eastAsia" w:ascii="仿宋_GB2312" w:hAnsi="楷体" w:eastAsia="仿宋_GB2312"/>
          <w:sz w:val="24"/>
        </w:rPr>
        <w:t>个工作日内，甲方应将履约保证金退还乙方；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1"/>
    <w:p>
      <w:pPr>
        <w:spacing w:line="360" w:lineRule="auto"/>
        <w:ind w:firstLine="482" w:firstLineChars="200"/>
        <w:outlineLvl w:val="0"/>
        <w:rPr>
          <w:rFonts w:hint="eastAsia" w:ascii="仿宋_GB2312" w:hAnsi="楷体" w:eastAsia="仿宋_GB2312"/>
          <w:b/>
          <w:sz w:val="24"/>
        </w:rPr>
      </w:pPr>
      <w:bookmarkStart w:id="562" w:name="_Toc6885"/>
      <w:bookmarkStart w:id="563" w:name="_Toc14001"/>
      <w:bookmarkStart w:id="564" w:name="_Toc19890"/>
      <w:r>
        <w:rPr>
          <w:rFonts w:hint="eastAsia" w:ascii="仿宋_GB2312" w:hAnsi="楷体" w:eastAsia="仿宋_GB2312"/>
          <w:b/>
          <w:sz w:val="24"/>
        </w:rPr>
        <w:t>2.22 合同份数</w:t>
      </w:r>
      <w:bookmarkEnd w:id="562"/>
      <w:bookmarkEnd w:id="563"/>
      <w:bookmarkEnd w:id="56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合同份数按</w:t>
      </w:r>
      <w:r>
        <w:rPr>
          <w:rFonts w:hint="eastAsia" w:ascii="仿宋_GB2312" w:hAnsi="楷体" w:eastAsia="仿宋_GB2312"/>
          <w:b/>
          <w:i/>
          <w:sz w:val="24"/>
          <w:u w:val="single"/>
        </w:rPr>
        <w:t>合同专用条款</w:t>
      </w:r>
      <w:r>
        <w:rPr>
          <w:rFonts w:hint="eastAsia" w:ascii="仿宋_GB2312" w:hAnsi="楷体" w:eastAsia="仿宋_GB2312"/>
          <w:sz w:val="24"/>
        </w:rPr>
        <w:t>规定，每份均具有同等法律效力。</w:t>
      </w:r>
    </w:p>
    <w:p>
      <w:pPr>
        <w:pStyle w:val="368"/>
        <w:jc w:val="center"/>
        <w:rPr>
          <w:rFonts w:hint="eastAsia" w:ascii="仿宋_GB2312" w:hAnsi="楷体" w:eastAsia="仿宋_GB2312"/>
          <w:b/>
          <w:szCs w:val="24"/>
        </w:rPr>
      </w:pPr>
      <w:r>
        <w:rPr>
          <w:rFonts w:hint="eastAsia" w:ascii="仿宋_GB2312" w:hAnsi="楷体" w:eastAsia="仿宋_GB2312"/>
          <w:szCs w:val="24"/>
        </w:rPr>
        <w:br w:type="page"/>
      </w:r>
      <w:bookmarkStart w:id="565" w:name="_Toc331685784"/>
      <w:r>
        <w:rPr>
          <w:rFonts w:hint="eastAsia" w:ascii="仿宋_GB2312" w:hAnsi="楷体" w:eastAsia="仿宋_GB2312"/>
          <w:b/>
          <w:szCs w:val="24"/>
        </w:rPr>
        <w:t>第三部分  合同专用条款</w:t>
      </w:r>
      <w:bookmarkEnd w:id="56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1" w:hRule="atLeast"/>
        </w:trPr>
        <w:tc>
          <w:tcPr>
            <w:tcW w:w="801" w:type="dxa"/>
            <w:tcBorders>
              <w:left w:val="single" w:color="auto" w:sz="4" w:space="0"/>
            </w:tcBorders>
            <w:noWrap w:val="0"/>
            <w:vAlign w:val="center"/>
          </w:tcPr>
          <w:p>
            <w:pPr>
              <w:spacing w:line="560" w:lineRule="exact"/>
              <w:jc w:val="center"/>
              <w:rPr>
                <w:rFonts w:hint="eastAsia" w:ascii="仿宋_GB2312" w:hAnsi="楷体" w:eastAsia="仿宋_GB2312"/>
                <w:b/>
                <w:sz w:val="24"/>
              </w:rPr>
            </w:pPr>
            <w:r>
              <w:rPr>
                <w:rFonts w:hint="eastAsia" w:ascii="仿宋_GB2312" w:hAnsi="楷体" w:eastAsia="仿宋_GB2312"/>
                <w:b/>
                <w:sz w:val="24"/>
              </w:rPr>
              <w:t>条款号</w:t>
            </w:r>
          </w:p>
        </w:tc>
        <w:tc>
          <w:tcPr>
            <w:tcW w:w="8299" w:type="dxa"/>
            <w:noWrap w:val="0"/>
            <w:vAlign w:val="center"/>
          </w:tcPr>
          <w:p>
            <w:pPr>
              <w:spacing w:line="560" w:lineRule="exact"/>
              <w:jc w:val="center"/>
              <w:rPr>
                <w:rFonts w:hint="eastAsia"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88"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 xml:space="preserve">2.3.2 </w:t>
            </w:r>
          </w:p>
        </w:tc>
        <w:tc>
          <w:tcPr>
            <w:tcW w:w="8299" w:type="dxa"/>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 xml:space="preserve">具有知识产权的计算机软件等货物的知识产权归属 </w:t>
            </w:r>
            <w:r>
              <w:rPr>
                <w:rFonts w:hint="eastAsia" w:ascii="仿宋_GB2312" w:hAnsi="楷体" w:eastAsia="仿宋_GB2312"/>
                <w:sz w:val="24"/>
                <w:u w:val="single"/>
              </w:rPr>
              <w:t xml:space="preserve"> 采购人</w:t>
            </w:r>
            <w:r>
              <w:rPr>
                <w:rFonts w:hint="eastAsia" w:ascii="仿宋_GB2312" w:hAnsi="楷体"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 xml:space="preserve">2.4.1 </w:t>
            </w:r>
          </w:p>
        </w:tc>
        <w:tc>
          <w:tcPr>
            <w:tcW w:w="8299" w:type="dxa"/>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2.4.2</w:t>
            </w:r>
          </w:p>
        </w:tc>
        <w:tc>
          <w:tcPr>
            <w:tcW w:w="8299" w:type="dxa"/>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装运货物的要求和通知</w:t>
            </w:r>
            <w:r>
              <w:rPr>
                <w:rFonts w:hint="eastAsia" w:ascii="仿宋_GB2312" w:hAnsi="楷体" w:eastAsia="仿宋_GB2312"/>
                <w:sz w:val="24"/>
                <w:u w:val="single"/>
              </w:rPr>
              <w:t xml:space="preserve">  按照本行业通用的方式         </w:t>
            </w:r>
            <w:r>
              <w:rPr>
                <w:rFonts w:hint="eastAsia" w:ascii="仿宋_GB2312" w:hAnsi="楷体"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b/>
                <w:sz w:val="24"/>
              </w:rPr>
              <w:t xml:space="preserve">2.6 </w:t>
            </w:r>
          </w:p>
        </w:tc>
        <w:tc>
          <w:tcPr>
            <w:tcW w:w="8299" w:type="dxa"/>
            <w:noWrap w:val="0"/>
            <w:vAlign w:val="center"/>
          </w:tcPr>
          <w:p>
            <w:pPr>
              <w:spacing w:line="360" w:lineRule="auto"/>
              <w:ind w:firstLine="482" w:firstLineChars="200"/>
              <w:rPr>
                <w:rFonts w:hint="eastAsia" w:ascii="仿宋_GB2312" w:hAnsi="楷体" w:eastAsia="仿宋_GB2312"/>
                <w:sz w:val="24"/>
              </w:rPr>
            </w:pPr>
            <w:r>
              <w:rPr>
                <w:rFonts w:hint="eastAsia" w:ascii="仿宋_GB2312" w:hAnsi="楷体" w:eastAsia="仿宋_GB2312"/>
                <w:b/>
                <w:sz w:val="24"/>
              </w:rPr>
              <w:t>结算方式和付款条件：</w:t>
            </w:r>
            <w:r>
              <w:rPr>
                <w:rFonts w:hint="eastAsia" w:ascii="仿宋_GB2312" w:hAnsi="楷体" w:eastAsia="仿宋_GB2312"/>
                <w:sz w:val="24"/>
              </w:rPr>
              <w:t>本次项目合同总价为大写人民币            （￥    元），采用如下付款方式：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1、乙方按照甲方要求将货物送至各个使用点并安装调试，经验收合格。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2、乙方向甲方开具符合法律、法规规范及行业要求的真实、有效的增值税普通发票（进口免税产品须提供免表及报关单）。</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3、甲方凭供货发票、验收单、入库单等支付凭证办理相关支付手续，向乙方付清全部合同款。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4、若单个合同金额超过五十万人民币（含五十万人民币或等值外币），或产品是属于单独为甲方定制、设计开发的项目，经乙方申请甲方可预先支付合同款的30 %（计</w:t>
            </w:r>
            <w:r>
              <w:rPr>
                <w:rFonts w:hint="eastAsia" w:ascii="仿宋_GB2312" w:hAnsi="楷体" w:eastAsia="仿宋_GB2312"/>
                <w:sz w:val="24"/>
                <w:u w:val="single"/>
              </w:rPr>
              <w:t xml:space="preserve"> </w:t>
            </w:r>
            <w:r>
              <w:rPr>
                <w:rFonts w:ascii="仿宋_GB2312" w:hAnsi="楷体" w:eastAsia="仿宋_GB2312"/>
                <w:sz w:val="24"/>
                <w:u w:val="single"/>
              </w:rPr>
              <w:t xml:space="preserve">   </w:t>
            </w:r>
            <w:r>
              <w:rPr>
                <w:rFonts w:hint="eastAsia" w:ascii="仿宋_GB2312" w:hAnsi="楷体" w:eastAsia="仿宋_GB2312"/>
                <w:sz w:val="24"/>
              </w:rPr>
              <w:t>元）给乙方作为货物的预付款。预付款与合同履行同步进行，预付款支付进程不得影响本合同的履行。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b/>
                <w:sz w:val="24"/>
              </w:rPr>
              <w:t>2.9</w:t>
            </w:r>
          </w:p>
        </w:tc>
        <w:tc>
          <w:tcPr>
            <w:tcW w:w="8299" w:type="dxa"/>
            <w:noWrap w:val="0"/>
            <w:vAlign w:val="center"/>
          </w:tcPr>
          <w:p>
            <w:pPr>
              <w:spacing w:line="560" w:lineRule="exact"/>
              <w:outlineLvl w:val="0"/>
              <w:rPr>
                <w:rFonts w:hint="eastAsia" w:ascii="仿宋_GB2312" w:hAnsi="楷体" w:eastAsia="仿宋_GB2312"/>
                <w:sz w:val="24"/>
                <w:u w:val="single"/>
              </w:rPr>
            </w:pPr>
            <w:r>
              <w:rPr>
                <w:rFonts w:hint="eastAsia" w:ascii="仿宋_GB2312" w:hAnsi="楷体" w:eastAsia="仿宋_GB2312"/>
                <w:b/>
                <w:sz w:val="24"/>
              </w:rPr>
              <w:t>货物的风险负担：</w:t>
            </w:r>
            <w:r>
              <w:rPr>
                <w:rFonts w:hint="eastAsia" w:ascii="仿宋_GB2312" w:hAnsi="楷体" w:eastAsia="仿宋_GB2312"/>
                <w:sz w:val="24"/>
              </w:rPr>
              <w:t>货物或者在途货物或者交付给第一承运人后的货物毁损、灭失的风险负担，全部由乙方承担。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2.13.3</w:t>
            </w:r>
          </w:p>
        </w:tc>
        <w:tc>
          <w:tcPr>
            <w:tcW w:w="8299" w:type="dxa"/>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 xml:space="preserve">因不可抗力致使合同有变更必要的，双方当事人应在 </w:t>
            </w:r>
            <w:r>
              <w:rPr>
                <w:rFonts w:hint="eastAsia" w:ascii="仿宋_GB2312" w:hAnsi="楷体" w:eastAsia="仿宋_GB2312"/>
                <w:sz w:val="24"/>
                <w:u w:val="single"/>
              </w:rPr>
              <w:t xml:space="preserve">  15日内</w:t>
            </w:r>
            <w:r>
              <w:rPr>
                <w:rFonts w:hint="eastAsia" w:ascii="仿宋_GB2312" w:hAnsi="楷体" w:eastAsia="仿宋_GB2312"/>
                <w:sz w:val="24"/>
              </w:rPr>
              <w:t>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2.13.4</w:t>
            </w:r>
          </w:p>
        </w:tc>
        <w:tc>
          <w:tcPr>
            <w:tcW w:w="8299" w:type="dxa"/>
            <w:noWrap w:val="0"/>
            <w:vAlign w:val="center"/>
          </w:tcPr>
          <w:p>
            <w:pPr>
              <w:spacing w:line="560" w:lineRule="exact"/>
              <w:rPr>
                <w:rFonts w:hint="eastAsia" w:ascii="仿宋_GB2312" w:hAnsi="楷体" w:eastAsia="仿宋_GB2312"/>
                <w:sz w:val="24"/>
                <w:u w:val="single"/>
              </w:rPr>
            </w:pPr>
            <w:r>
              <w:rPr>
                <w:rFonts w:hint="eastAsia" w:ascii="仿宋_GB2312" w:hAnsi="楷体" w:eastAsia="仿宋_GB2312"/>
                <w:sz w:val="24"/>
              </w:rPr>
              <w:t>受不可抗力影响的一方在不可抗力发生后，应在</w:t>
            </w:r>
            <w:r>
              <w:rPr>
                <w:rFonts w:hint="eastAsia" w:ascii="仿宋_GB2312" w:hAnsi="楷体" w:eastAsia="仿宋_GB2312"/>
                <w:b/>
                <w:i/>
                <w:sz w:val="24"/>
                <w:u w:val="single"/>
              </w:rPr>
              <w:t xml:space="preserve"> </w:t>
            </w:r>
            <w:r>
              <w:rPr>
                <w:rFonts w:hint="eastAsia" w:ascii="仿宋_GB2312" w:hAnsi="楷体" w:eastAsia="仿宋_GB2312"/>
                <w:sz w:val="24"/>
                <w:u w:val="single"/>
              </w:rPr>
              <w:t xml:space="preserve"> 15日内</w:t>
            </w:r>
            <w:r>
              <w:rPr>
                <w:rFonts w:hint="eastAsia" w:ascii="仿宋_GB2312" w:hAnsi="楷体" w:eastAsia="仿宋_GB2312"/>
                <w:sz w:val="24"/>
              </w:rPr>
              <w:t>以书面形式通知对方当事人，并在</w:t>
            </w:r>
            <w:r>
              <w:rPr>
                <w:rFonts w:hint="eastAsia" w:ascii="仿宋_GB2312" w:hAnsi="楷体" w:eastAsia="仿宋_GB2312"/>
                <w:b/>
                <w:i/>
                <w:sz w:val="24"/>
                <w:u w:val="single"/>
              </w:rPr>
              <w:t xml:space="preserve"> </w:t>
            </w:r>
            <w:r>
              <w:rPr>
                <w:rFonts w:hint="eastAsia" w:ascii="仿宋_GB2312" w:hAnsi="楷体" w:eastAsia="仿宋_GB2312"/>
                <w:sz w:val="24"/>
                <w:u w:val="single"/>
              </w:rPr>
              <w:t xml:space="preserve"> 3日内</w:t>
            </w:r>
            <w:r>
              <w:rPr>
                <w:rFonts w:hint="eastAsia" w:ascii="仿宋_GB2312" w:hAnsi="楷体" w:eastAsia="仿宋_GB2312"/>
                <w:sz w:val="24"/>
              </w:rPr>
              <w:t>，将有关部门出具的证明文件送达对方当事人。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2.17.1</w:t>
            </w:r>
          </w:p>
        </w:tc>
        <w:tc>
          <w:tcPr>
            <w:tcW w:w="8299" w:type="dxa"/>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货物交付前，乙方应对货物的质量、数量等方面进行详细、全面的检验，并向甲方出具证明货物符合合同约定的文件；货物交付时，乙方</w:t>
            </w:r>
            <w:r>
              <w:rPr>
                <w:rFonts w:hint="eastAsia" w:ascii="仿宋_GB2312" w:hAnsi="楷体" w:eastAsia="仿宋_GB2312"/>
                <w:sz w:val="24"/>
                <w:u w:val="single"/>
              </w:rPr>
              <w:t>15日内</w:t>
            </w:r>
            <w:r>
              <w:rPr>
                <w:rFonts w:hint="eastAsia" w:ascii="仿宋_GB2312" w:hAnsi="楷体" w:eastAsia="仿宋_GB2312"/>
                <w:sz w:val="24"/>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2.17.3</w:t>
            </w:r>
          </w:p>
        </w:tc>
        <w:tc>
          <w:tcPr>
            <w:tcW w:w="8299" w:type="dxa"/>
            <w:noWrap w:val="0"/>
            <w:vAlign w:val="center"/>
          </w:tcPr>
          <w:p>
            <w:pPr>
              <w:tabs>
                <w:tab w:val="left" w:pos="360"/>
                <w:tab w:val="left" w:pos="540"/>
                <w:tab w:val="left" w:pos="1080"/>
              </w:tabs>
              <w:spacing w:line="560" w:lineRule="exact"/>
              <w:rPr>
                <w:rFonts w:hint="eastAsia" w:ascii="仿宋_GB2312" w:hAnsi="楷体" w:eastAsia="仿宋_GB2312"/>
                <w:sz w:val="24"/>
              </w:rPr>
            </w:pPr>
            <w:r>
              <w:rPr>
                <w:rFonts w:hint="eastAsia" w:ascii="仿宋_GB2312" w:hAnsi="楷体" w:eastAsia="仿宋_GB2312"/>
                <w:sz w:val="24"/>
              </w:rPr>
              <w:t>检验和验收标准、程序等具体内容以及前述验收书的效力详见</w:t>
            </w:r>
            <w:r>
              <w:rPr>
                <w:rFonts w:hint="eastAsia" w:ascii="仿宋_GB2312" w:hAnsi="楷体" w:eastAsia="仿宋_GB2312"/>
                <w:sz w:val="24"/>
                <w:u w:val="single"/>
              </w:rPr>
              <w:t xml:space="preserve">采购需求 </w:t>
            </w:r>
            <w:r>
              <w:rPr>
                <w:rFonts w:hint="eastAsia" w:ascii="仿宋_GB2312" w:hAnsi="楷体" w:eastAsia="仿宋_GB2312"/>
                <w:i/>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2.21.1</w:t>
            </w:r>
          </w:p>
        </w:tc>
        <w:tc>
          <w:tcPr>
            <w:tcW w:w="8299" w:type="dxa"/>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采购文件要求乙方提交履约保证金的，乙方应3个工作日内按约定的方式，以支票、汇票、本票或者金融机构、担保机构出具的保函等非现金形式，提交不超过合同价10%的履约保证金；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sz w:val="24"/>
              </w:rPr>
              <w:t>2.21.2</w:t>
            </w:r>
          </w:p>
        </w:tc>
        <w:tc>
          <w:tcPr>
            <w:tcW w:w="829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ind w:firstLine="480" w:firstLineChars="200"/>
              <w:rPr>
                <w:rFonts w:hint="eastAsia" w:ascii="仿宋_GB2312" w:hAnsi="楷体" w:eastAsia="仿宋_GB2312"/>
                <w:sz w:val="24"/>
              </w:rPr>
            </w:pPr>
            <w:r>
              <w:rPr>
                <w:rFonts w:hint="eastAsia" w:ascii="仿宋_GB2312" w:hAnsi="楷体" w:eastAsia="仿宋_GB2312"/>
                <w:sz w:val="24"/>
              </w:rPr>
              <w:t>履约保证金在货物质量保证期内不予退还或者应完全有效，前述约定期间届满或者货物质量保证期届满之日起</w:t>
            </w:r>
            <w:r>
              <w:rPr>
                <w:rFonts w:hint="eastAsia" w:ascii="仿宋_GB2312" w:hAnsi="楷体" w:eastAsia="仿宋_GB2312"/>
                <w:sz w:val="24"/>
                <w:u w:val="single"/>
              </w:rPr>
              <w:t xml:space="preserve"> 5 </w:t>
            </w:r>
            <w:r>
              <w:rPr>
                <w:rFonts w:hint="eastAsia" w:ascii="仿宋_GB2312" w:hAnsi="楷体" w:eastAsia="仿宋_GB2312"/>
                <w:sz w:val="24"/>
              </w:rPr>
              <w:t>个工作日内，甲方应将履约保证金退还乙方；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仿宋_GB2312" w:hAnsi="楷体" w:eastAsia="仿宋_GB2312"/>
                <w:sz w:val="24"/>
              </w:rPr>
            </w:pPr>
            <w:r>
              <w:rPr>
                <w:rFonts w:hint="eastAsia" w:ascii="仿宋_GB2312" w:hAnsi="楷体" w:eastAsia="仿宋_GB2312"/>
                <w:b/>
                <w:sz w:val="24"/>
              </w:rPr>
              <w:t>2.22</w:t>
            </w:r>
          </w:p>
        </w:tc>
        <w:tc>
          <w:tcPr>
            <w:tcW w:w="829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ind w:firstLine="480" w:firstLineChars="200"/>
              <w:rPr>
                <w:rFonts w:hint="eastAsia" w:ascii="仿宋_GB2312" w:hAnsi="楷体" w:eastAsia="仿宋_GB2312"/>
                <w:sz w:val="24"/>
              </w:rPr>
            </w:pPr>
            <w:r>
              <w:rPr>
                <w:rFonts w:hint="eastAsia" w:ascii="仿宋_GB2312" w:hAnsi="仿宋_GB2312" w:eastAsia="仿宋_GB2312" w:cs="仿宋_GB2312"/>
                <w:sz w:val="24"/>
              </w:rPr>
              <w:t>本合同一式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份，甲方执</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份，乙方执</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w:t>
            </w:r>
            <w:r>
              <w:rPr>
                <w:rFonts w:hint="eastAsia" w:ascii="仿宋_GB2312" w:hAnsi="楷体" w:eastAsia="仿宋_GB2312"/>
                <w:sz w:val="24"/>
              </w:rPr>
              <w:t>，每份均具有同等法律效力。</w:t>
            </w:r>
          </w:p>
        </w:tc>
      </w:tr>
    </w:tbl>
    <w:p>
      <w:pPr>
        <w:spacing w:line="360" w:lineRule="auto"/>
        <w:rPr>
          <w:rFonts w:hint="eastAsia" w:ascii="仿宋_GB2312" w:hAnsi="仿宋" w:eastAsia="仿宋_GB2312" w:cs="仿宋_GB2312"/>
          <w:sz w:val="24"/>
        </w:rPr>
      </w:pPr>
    </w:p>
    <w:p>
      <w:pPr>
        <w:snapToGrid w:val="0"/>
        <w:spacing w:line="360" w:lineRule="auto"/>
        <w:jc w:val="center"/>
        <w:rPr>
          <w:rFonts w:hint="eastAsia" w:ascii="仿宋_GB2312" w:hAnsi="仿宋" w:eastAsia="仿宋_GB2312" w:cs="仿宋_GB2312"/>
          <w:b/>
          <w:sz w:val="24"/>
        </w:rPr>
      </w:pPr>
    </w:p>
    <w:p>
      <w:pPr>
        <w:snapToGrid w:val="0"/>
        <w:spacing w:line="360" w:lineRule="auto"/>
        <w:jc w:val="center"/>
        <w:rPr>
          <w:rFonts w:hint="eastAsia" w:ascii="仿宋" w:hAnsi="仿宋" w:eastAsia="仿宋" w:cs="仿宋_GB2312"/>
          <w:b/>
          <w:sz w:val="36"/>
          <w:szCs w:val="20"/>
        </w:rPr>
      </w:pPr>
      <w:r>
        <w:rPr>
          <w:rFonts w:hint="eastAsia" w:ascii="仿宋" w:hAnsi="仿宋" w:eastAsia="仿宋" w:cs="仿宋_GB2312"/>
          <w:b/>
          <w:sz w:val="36"/>
          <w:szCs w:val="20"/>
        </w:rPr>
        <w:br w:type="page"/>
      </w:r>
      <w:r>
        <w:rPr>
          <w:rFonts w:hint="eastAsia" w:ascii="仿宋" w:hAnsi="仿宋" w:eastAsia="仿宋" w:cs="仿宋_GB2312"/>
          <w:b/>
          <w:sz w:val="36"/>
          <w:szCs w:val="20"/>
        </w:rPr>
        <w:t>第六部分</w:t>
      </w:r>
      <w:bookmarkEnd w:id="404"/>
      <w:r>
        <w:rPr>
          <w:rFonts w:hint="eastAsia" w:ascii="仿宋" w:hAnsi="仿宋" w:eastAsia="仿宋" w:cs="仿宋_GB2312"/>
          <w:b/>
          <w:sz w:val="36"/>
          <w:szCs w:val="20"/>
        </w:rPr>
        <w:t xml:space="preserve"> </w:t>
      </w:r>
      <w:bookmarkEnd w:id="405"/>
      <w:r>
        <w:rPr>
          <w:rFonts w:hint="eastAsia" w:ascii="仿宋" w:hAnsi="仿宋" w:eastAsia="仿宋" w:cs="仿宋_GB2312"/>
          <w:b/>
          <w:sz w:val="36"/>
          <w:szCs w:val="20"/>
        </w:rPr>
        <w:t>应提交的有关格式范例</w:t>
      </w:r>
    </w:p>
    <w:p>
      <w:pPr>
        <w:spacing w:line="360" w:lineRule="auto"/>
        <w:ind w:firstLine="480" w:firstLineChars="200"/>
        <w:outlineLvl w:val="0"/>
        <w:rPr>
          <w:rFonts w:hint="eastAsia" w:ascii="仿宋" w:hAnsi="仿宋" w:eastAsia="仿宋" w:cs="仿宋_GB2312"/>
          <w:sz w:val="24"/>
        </w:rPr>
      </w:pPr>
      <w:r>
        <w:rPr>
          <w:rFonts w:hint="eastAsia" w:ascii="仿宋" w:hAnsi="仿宋" w:eastAsia="仿宋" w:cs="仿宋_GB2312"/>
          <w:sz w:val="24"/>
        </w:rPr>
        <w:t>投标人按照以下格式编制投标文件，并将资格文件、报价文件、商务技术文件分别装订成册。</w:t>
      </w: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资格文件部分</w:t>
      </w: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hint="eastAsia" w:ascii="仿宋" w:hAnsi="仿宋" w:eastAsia="仿宋" w:cs="仿宋_GB2312"/>
          <w:b/>
          <w:kern w:val="0"/>
          <w:sz w:val="36"/>
          <w:szCs w:val="36"/>
        </w:rPr>
      </w:pPr>
    </w:p>
    <w:p>
      <w:pPr>
        <w:snapToGrid w:val="0"/>
        <w:spacing w:line="360" w:lineRule="auto"/>
        <w:rPr>
          <w:rFonts w:hint="eastAsia" w:ascii="仿宋" w:hAnsi="仿宋" w:eastAsia="仿宋" w:cs="仿宋_GB2312"/>
          <w:sz w:val="24"/>
        </w:rPr>
      </w:pPr>
      <w:r>
        <w:rPr>
          <w:rFonts w:hint="eastAsia" w:ascii="仿宋" w:hAnsi="仿宋" w:eastAsia="仿宋" w:cs="仿宋_GB2312"/>
          <w:kern w:val="0"/>
          <w:sz w:val="24"/>
        </w:rPr>
        <w:t>（1）</w:t>
      </w:r>
      <w:r>
        <w:rPr>
          <w:rFonts w:hint="eastAsia" w:ascii="仿宋" w:hAnsi="仿宋" w:eastAsia="仿宋"/>
          <w:sz w:val="24"/>
        </w:rPr>
        <w:t>营业执照(或事业法人登记证或其他工商等登记证明材料)复印件（投标人为自然人的，须提供</w:t>
      </w:r>
      <w:r>
        <w:rPr>
          <w:rFonts w:hint="eastAsia" w:ascii="仿宋_GB2312" w:hAnsi="Helvetica" w:eastAsia="仿宋_GB2312" w:cs="Helvetica"/>
          <w:kern w:val="0"/>
          <w:sz w:val="24"/>
        </w:rPr>
        <w:t>自然人的身份证明</w:t>
      </w:r>
      <w:r>
        <w:rPr>
          <w:rFonts w:hint="eastAsia" w:ascii="仿宋" w:hAnsi="仿宋" w:eastAsia="仿宋"/>
          <w:sz w:val="24"/>
        </w:rPr>
        <w:t>）</w:t>
      </w:r>
      <w:r>
        <w:rPr>
          <w:rFonts w:hint="eastAsia" w:ascii="仿宋" w:hAnsi="仿宋" w:eastAsia="仿宋" w:cs="仿宋_GB2312"/>
          <w:sz w:val="24"/>
        </w:rPr>
        <w:t>、税务登记证(或其它缴纳证明材料)复印件、社保登记证</w:t>
      </w:r>
      <w:r>
        <w:rPr>
          <w:rFonts w:hint="eastAsia" w:ascii="仿宋" w:hAnsi="仿宋" w:eastAsia="仿宋"/>
          <w:sz w:val="24"/>
        </w:rPr>
        <w:t>（或其它缴纳证明材料）</w:t>
      </w:r>
      <w:r>
        <w:rPr>
          <w:rFonts w:hint="eastAsia" w:ascii="仿宋" w:hAnsi="仿宋" w:eastAsia="仿宋" w:cs="仿宋_GB2312"/>
          <w:sz w:val="24"/>
        </w:rPr>
        <w:t>复印件</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sz w:val="24"/>
        </w:rPr>
      </w:pPr>
      <w:r>
        <w:rPr>
          <w:rFonts w:hint="eastAsia" w:ascii="仿宋" w:hAnsi="仿宋" w:eastAsia="仿宋" w:cs="仿宋_GB2312"/>
          <w:kern w:val="0"/>
          <w:sz w:val="24"/>
        </w:rPr>
        <w:t>（2）</w:t>
      </w:r>
      <w:r>
        <w:rPr>
          <w:rFonts w:hint="eastAsia" w:ascii="仿宋" w:hAnsi="仿宋" w:eastAsia="仿宋" w:cs="仿宋_GB2312"/>
          <w:sz w:val="24"/>
        </w:rPr>
        <w:t>2018年度资产负债表等财务报表资料文件(新成立的公司，提供情况说明)</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rPr>
        <w:t>（3）具有履行合同所必需的设备和专业技术能力的承诺函………………………（页码）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（4）参加政府采购活动前三年内，在经营活动中没有重大违法记录的声明</w:t>
      </w:r>
      <w:r>
        <w:rPr>
          <w:rFonts w:hint="eastAsia" w:ascii="仿宋" w:hAnsi="仿宋" w:eastAsia="仿宋" w:cs="仿宋_GB2312"/>
          <w:kern w:val="0"/>
          <w:sz w:val="24"/>
        </w:rPr>
        <w:t xml:space="preserve"> …（页码）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（5）具有良好商业信誉</w:t>
      </w:r>
      <w:r>
        <w:rPr>
          <w:rFonts w:hint="eastAsia" w:ascii="仿宋" w:hAnsi="仿宋" w:eastAsia="仿宋" w:cs="仿宋_GB2312"/>
          <w:sz w:val="24"/>
          <w:szCs w:val="20"/>
        </w:rPr>
        <w:t>特别声明</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rPr>
        <w:t>（6）</w:t>
      </w:r>
      <w:r>
        <w:rPr>
          <w:rFonts w:hint="eastAsia" w:ascii="仿宋" w:hAnsi="仿宋" w:eastAsia="仿宋" w:cs="仿宋_GB2312"/>
          <w:sz w:val="24"/>
        </w:rPr>
        <w:t>符合特定资格条件（如果项目要求）的有关证明材料（复印件）</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附：法定代表人授权书（如法定代表人直接参加投标并对相应文件签字的，只需提供其身份证复印件正反面；</w:t>
      </w:r>
      <w:r>
        <w:rPr>
          <w:rFonts w:hint="eastAsia" w:ascii="仿宋" w:hAnsi="仿宋" w:eastAsia="仿宋"/>
          <w:sz w:val="24"/>
        </w:rPr>
        <w:t>如以联合体形式参加政府采购活动的，按招标文件有关格式范例提供联合体投标授权书）</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kern w:val="0"/>
          <w:sz w:val="24"/>
        </w:rPr>
      </w:pPr>
    </w:p>
    <w:p>
      <w:pPr>
        <w:snapToGrid w:val="0"/>
        <w:spacing w:line="360" w:lineRule="auto"/>
        <w:rPr>
          <w:rFonts w:hint="eastAsia" w:ascii="仿宋" w:hAnsi="仿宋" w:eastAsia="仿宋" w:cs="仿宋_GB2312"/>
          <w:b/>
          <w:sz w:val="30"/>
          <w:szCs w:val="30"/>
        </w:rPr>
      </w:pPr>
      <w:r>
        <w:rPr>
          <w:rFonts w:ascii="仿宋" w:hAnsi="仿宋" w:eastAsia="仿宋" w:cs="仿宋_GB2312"/>
          <w:sz w:val="36"/>
          <w:szCs w:val="36"/>
        </w:rPr>
        <w:br w:type="page"/>
      </w:r>
      <w:r>
        <w:rPr>
          <w:rFonts w:hint="eastAsia" w:ascii="仿宋" w:hAnsi="仿宋" w:eastAsia="仿宋" w:cs="仿宋_GB2312"/>
          <w:b/>
          <w:kern w:val="0"/>
          <w:sz w:val="32"/>
          <w:szCs w:val="32"/>
          <w:lang w:val="zh-CN"/>
        </w:rPr>
        <w:t>一、</w:t>
      </w:r>
      <w:r>
        <w:rPr>
          <w:rFonts w:hint="eastAsia" w:ascii="仿宋" w:hAnsi="仿宋" w:eastAsia="仿宋" w:cs="仿宋_GB2312"/>
          <w:b/>
          <w:sz w:val="30"/>
          <w:szCs w:val="30"/>
        </w:rPr>
        <w:t>营业执照或事业法人登记证证明材料（复印件）、税务缴纳证明文件（复印件）、社保缴纳证明文件（复印件）</w:t>
      </w:r>
    </w:p>
    <w:p>
      <w:pPr>
        <w:spacing w:line="360" w:lineRule="auto"/>
        <w:jc w:val="center"/>
        <w:rPr>
          <w:rFonts w:hint="eastAsia" w:ascii="仿宋" w:hAnsi="仿宋" w:eastAsia="仿宋" w:cs="仿宋_GB2312"/>
          <w:b/>
          <w:sz w:val="30"/>
          <w:szCs w:val="30"/>
        </w:rPr>
      </w:pPr>
    </w:p>
    <w:p>
      <w:pPr>
        <w:spacing w:line="360" w:lineRule="auto"/>
        <w:jc w:val="center"/>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r>
        <w:rPr>
          <w:rFonts w:hint="eastAsia" w:ascii="仿宋" w:hAnsi="仿宋" w:eastAsia="仿宋" w:cs="仿宋_GB2312"/>
          <w:b/>
          <w:sz w:val="30"/>
          <w:szCs w:val="30"/>
        </w:rPr>
        <w:t>二、2018年度资产负债表等财务报表资料文件（复印件）</w:t>
      </w:r>
    </w:p>
    <w:p>
      <w:pPr>
        <w:spacing w:line="360" w:lineRule="auto"/>
        <w:rPr>
          <w:rFonts w:hint="eastAsia" w:ascii="仿宋" w:hAnsi="仿宋" w:eastAsia="仿宋" w:cs="仿宋_GB2312"/>
          <w:b/>
          <w:sz w:val="30"/>
          <w:szCs w:val="30"/>
        </w:rPr>
      </w:pPr>
    </w:p>
    <w:p>
      <w:pPr>
        <w:snapToGrid w:val="0"/>
        <w:spacing w:line="360" w:lineRule="auto"/>
        <w:ind w:right="480"/>
        <w:jc w:val="center"/>
        <w:rPr>
          <w:rFonts w:hint="eastAsia" w:ascii="仿宋" w:hAnsi="仿宋" w:eastAsia="仿宋" w:cs="仿宋_GB2312"/>
          <w:b/>
          <w:kern w:val="0"/>
          <w:sz w:val="32"/>
          <w:szCs w:val="32"/>
          <w:lang w:val="zh-CN"/>
        </w:rPr>
      </w:pPr>
    </w:p>
    <w:p>
      <w:pPr>
        <w:snapToGrid w:val="0"/>
        <w:spacing w:line="360" w:lineRule="auto"/>
        <w:ind w:right="480"/>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三、具有履行合同所必需的设备和专业技术能力的承诺函</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杭州师范大学、杭州市公共资源交易中心（杭州市政府采购中心）：</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我方郑重承诺，我方具有履行杭州师范大学仓前校区监控机房存储扩展采购项目（招标编号：HZZFCG-2019-017）合同所必需的设备和专业技术能力。如中标，我方将保证合同顺利履行。</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法定代表人或其授权代表(签字)：</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firstLine="480" w:firstLineChars="200"/>
        <w:rPr>
          <w:rFonts w:hint="eastAsia" w:ascii="仿宋" w:hAnsi="仿宋" w:eastAsia="仿宋" w:cs="仿宋_GB2312"/>
          <w:kern w:val="0"/>
          <w:sz w:val="24"/>
          <w:lang w:val="zh-CN"/>
        </w:rPr>
      </w:pPr>
    </w:p>
    <w:p>
      <w:pPr>
        <w:spacing w:line="360" w:lineRule="auto"/>
        <w:jc w:val="center"/>
        <w:rPr>
          <w:rFonts w:hint="eastAsia" w:ascii="仿宋" w:hAnsi="仿宋" w:eastAsia="仿宋" w:cs="仿宋_GB2312"/>
          <w:b/>
          <w:kern w:val="0"/>
          <w:sz w:val="32"/>
          <w:szCs w:val="32"/>
        </w:rPr>
      </w:pPr>
    </w:p>
    <w:p>
      <w:pPr>
        <w:spacing w:line="360" w:lineRule="auto"/>
        <w:jc w:val="center"/>
        <w:rPr>
          <w:rFonts w:hint="eastAsia" w:ascii="仿宋" w:hAnsi="仿宋" w:eastAsia="仿宋" w:cs="仿宋_GB2312"/>
          <w:b/>
          <w:kern w:val="0"/>
          <w:sz w:val="32"/>
          <w:szCs w:val="32"/>
        </w:rPr>
      </w:pPr>
    </w:p>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四、参加政府采购活动前三年内，在经营活动中</w:t>
      </w: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rPr>
        <w:t>没有重大违法记录的声明</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杭州师范大学、杭州市公共资源交易中心（杭州市政府采购中心）</w:t>
      </w:r>
      <w:r>
        <w:rPr>
          <w:rFonts w:hint="eastAsia" w:ascii="仿宋" w:hAnsi="仿宋" w:eastAsia="仿宋" w:cs="仿宋_GB2312"/>
          <w:kern w:val="0"/>
          <w:sz w:val="24"/>
          <w:lang w:val="zh-CN"/>
        </w:rPr>
        <w:t>：</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kern w:val="0"/>
          <w:sz w:val="24"/>
          <w:lang w:val="zh-CN"/>
        </w:rPr>
        <w:t>我方</w:t>
      </w:r>
      <w:r>
        <w:rPr>
          <w:rFonts w:hint="eastAsia" w:ascii="仿宋" w:hAnsi="仿宋" w:eastAsia="仿宋" w:cs="仿宋_GB2312"/>
          <w:sz w:val="24"/>
        </w:rPr>
        <w:t>声明投标截止时间前三年，在</w:t>
      </w:r>
      <w:r>
        <w:rPr>
          <w:rFonts w:hint="eastAsia" w:ascii="仿宋" w:hAnsi="仿宋" w:eastAsia="仿宋" w:cs="仿宋_GB2312"/>
          <w:kern w:val="0"/>
          <w:sz w:val="24"/>
        </w:rPr>
        <w:t>经营活动中</w:t>
      </w:r>
      <w:r>
        <w:rPr>
          <w:rFonts w:hint="eastAsia" w:ascii="仿宋" w:hAnsi="仿宋" w:eastAsia="仿宋" w:cs="仿宋_GB2312"/>
          <w:sz w:val="24"/>
        </w:rPr>
        <w:t>没有重大违法记录</w:t>
      </w:r>
      <w:r>
        <w:rPr>
          <w:rFonts w:hint="eastAsia" w:ascii="仿宋" w:hAnsi="仿宋" w:eastAsia="仿宋" w:cs="仿宋_GB2312"/>
          <w:sz w:val="24"/>
          <w:szCs w:val="20"/>
        </w:rPr>
        <w:t xml:space="preserve">。 </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法定代表人或其授权代表(签字)：</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firstLine="1606" w:firstLineChars="500"/>
        <w:rPr>
          <w:rFonts w:hint="eastAsia" w:ascii="仿宋" w:hAnsi="仿宋" w:eastAsia="仿宋" w:cs="仿宋_GB2312"/>
          <w:b/>
          <w:kern w:val="0"/>
          <w:sz w:val="32"/>
          <w:szCs w:val="32"/>
        </w:rPr>
      </w:pPr>
      <w:r>
        <w:rPr>
          <w:rFonts w:hint="eastAsia" w:ascii="仿宋" w:hAnsi="仿宋" w:eastAsia="仿宋" w:cs="仿宋_GB2312"/>
          <w:b/>
          <w:kern w:val="0"/>
          <w:sz w:val="32"/>
          <w:szCs w:val="32"/>
        </w:rPr>
        <w:t>五、具有良好商业信誉特别声明</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杭州师范大学、杭州市公共资源交易中心（杭州市政府采购中心）</w:t>
      </w:r>
      <w:r>
        <w:rPr>
          <w:rFonts w:hint="eastAsia" w:ascii="仿宋" w:hAnsi="仿宋" w:eastAsia="仿宋" w:cs="仿宋_GB2312"/>
          <w:kern w:val="0"/>
          <w:sz w:val="24"/>
          <w:lang w:val="zh-CN"/>
        </w:rPr>
        <w:t>：</w:t>
      </w:r>
    </w:p>
    <w:p>
      <w:pPr>
        <w:snapToGrid w:val="0"/>
        <w:spacing w:line="360" w:lineRule="auto"/>
        <w:ind w:firstLine="480"/>
        <w:rPr>
          <w:rFonts w:hint="eastAsia" w:ascii="仿宋" w:hAnsi="仿宋" w:eastAsia="仿宋" w:cs="仿宋_GB2312"/>
          <w:kern w:val="0"/>
          <w:sz w:val="24"/>
          <w:lang w:val="zh-CN"/>
        </w:rPr>
      </w:pPr>
      <w:r>
        <w:rPr>
          <w:rFonts w:hint="eastAsia" w:ascii="仿宋" w:hAnsi="仿宋" w:eastAsia="仿宋" w:cs="仿宋_GB2312"/>
          <w:sz w:val="24"/>
        </w:rPr>
        <w:t>截至投标截止时间，我方具有良好的商业信誉，不存在下列情形（包括但不限于）。否则，我方将承担在资格审查时不被通过的后果。</w:t>
      </w:r>
    </w:p>
    <w:p>
      <w:pPr>
        <w:pStyle w:val="312"/>
        <w:spacing w:before="0"/>
        <w:ind w:firstLine="495" w:firstLineChars="0"/>
        <w:rPr>
          <w:rFonts w:hint="eastAsia" w:ascii="仿宋_GB2312" w:eastAsia="仿宋_GB2312"/>
        </w:rPr>
      </w:pPr>
      <w:r>
        <w:rPr>
          <w:rFonts w:hint="eastAsia" w:ascii="仿宋_GB2312" w:eastAsia="仿宋_GB2312"/>
        </w:rPr>
        <w:t>1</w:t>
      </w:r>
      <w:r>
        <w:rPr>
          <w:rFonts w:hint="eastAsia" w:ascii="仿宋" w:hAnsi="仿宋" w:eastAsia="仿宋" w:cs="仿宋_GB2312"/>
          <w:b/>
        </w:rPr>
        <w:t>、</w:t>
      </w:r>
      <w:r>
        <w:rPr>
          <w:rFonts w:hint="eastAsia" w:ascii="仿宋_GB2312"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eastAsia="仿宋_GB2312"/>
          <w:sz w:val="24"/>
          <w:szCs w:val="20"/>
        </w:rPr>
      </w:pPr>
      <w:r>
        <w:rPr>
          <w:rFonts w:hint="eastAsia" w:ascii="仿宋_GB2312" w:eastAsia="仿宋_GB2312"/>
          <w:sz w:val="24"/>
          <w:szCs w:val="20"/>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_GB2312" w:eastAsia="仿宋_GB2312"/>
          <w:sz w:val="24"/>
        </w:rPr>
      </w:pPr>
    </w:p>
    <w:p>
      <w:pPr>
        <w:snapToGrid w:val="0"/>
        <w:spacing w:line="360" w:lineRule="auto"/>
        <w:ind w:firstLine="5160" w:firstLineChars="2150"/>
        <w:rPr>
          <w:rFonts w:hint="eastAsia" w:ascii="仿宋" w:hAnsi="仿宋" w:eastAsia="仿宋" w:cs="仿宋_GB2312"/>
          <w:kern w:val="0"/>
          <w:sz w:val="24"/>
        </w:rPr>
      </w:pPr>
    </w:p>
    <w:p>
      <w:pPr>
        <w:spacing w:line="360" w:lineRule="auto"/>
        <w:jc w:val="center"/>
        <w:rPr>
          <w:rFonts w:hint="eastAsia" w:ascii="仿宋" w:hAnsi="仿宋" w:eastAsia="仿宋" w:cs="仿宋_GB2312"/>
          <w:b/>
          <w:sz w:val="30"/>
          <w:szCs w:val="30"/>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六、特定资格条件要求的资质文件（复印件）</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附：法定代表人授权书（如法定代表人直接参加投标并对相应文件签字的，只需提供其身份证复印件正反面；如以联合体形式参加政府采购活动的，按招标文件有关格式范例提供联合体投标授权书）</w:t>
      </w:r>
    </w:p>
    <w:p>
      <w:pPr>
        <w:widowControl/>
        <w:spacing w:line="360" w:lineRule="auto"/>
        <w:ind w:firstLine="643" w:firstLineChars="200"/>
        <w:jc w:val="left"/>
        <w:rPr>
          <w:rFonts w:hint="eastAsia" w:ascii="仿宋" w:hAnsi="仿宋" w:eastAsia="仿宋" w:cs="仿宋_GB2312"/>
          <w:b/>
          <w:bCs/>
          <w:sz w:val="32"/>
          <w:szCs w:val="32"/>
        </w:rPr>
      </w:pPr>
    </w:p>
    <w:p>
      <w:pPr>
        <w:snapToGrid w:val="0"/>
        <w:spacing w:line="360" w:lineRule="auto"/>
        <w:ind w:firstLine="2891" w:firstLineChars="900"/>
        <w:rPr>
          <w:rFonts w:hint="eastAsia" w:ascii="仿宋" w:hAnsi="仿宋" w:eastAsia="仿宋" w:cs="仿宋_GB2312"/>
          <w:b/>
          <w:kern w:val="0"/>
          <w:sz w:val="36"/>
          <w:szCs w:val="36"/>
        </w:rPr>
      </w:pPr>
      <w:r>
        <w:rPr>
          <w:rFonts w:hint="eastAsia" w:ascii="仿宋" w:hAnsi="仿宋" w:eastAsia="仿宋" w:cs="仿宋_GB2312"/>
          <w:b/>
          <w:bCs/>
          <w:sz w:val="32"/>
          <w:szCs w:val="32"/>
        </w:rPr>
        <w:br w:type="page"/>
      </w:r>
      <w:r>
        <w:rPr>
          <w:rFonts w:hint="eastAsia" w:ascii="仿宋" w:hAnsi="仿宋" w:eastAsia="仿宋" w:cs="仿宋_GB2312"/>
          <w:sz w:val="36"/>
          <w:szCs w:val="36"/>
          <w:lang w:val="zh-CN"/>
        </w:rPr>
        <w:t>▲</w:t>
      </w:r>
      <w:r>
        <w:rPr>
          <w:rFonts w:hint="eastAsia" w:ascii="仿宋" w:hAnsi="仿宋" w:eastAsia="仿宋" w:cs="仿宋_GB2312"/>
          <w:b/>
          <w:kern w:val="0"/>
          <w:sz w:val="36"/>
          <w:szCs w:val="36"/>
        </w:rPr>
        <w:t>报价文件部分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（1）投标响应函……………………………………………………（页码）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（2）投标（开标）一览表…………………………………………（页码）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（3）中小企业声明函………………………………………………（页码）</w:t>
      </w: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sz w:val="32"/>
          <w:szCs w:val="32"/>
        </w:rPr>
      </w:pPr>
      <w:r>
        <w:rPr>
          <w:rFonts w:hint="eastAsia" w:ascii="仿宋" w:hAnsi="仿宋" w:eastAsia="仿宋" w:cs="仿宋_GB2312"/>
          <w:b/>
          <w:kern w:val="0"/>
          <w:sz w:val="32"/>
          <w:szCs w:val="32"/>
        </w:rPr>
        <w:t>一、投标响应</w:t>
      </w:r>
      <w:r>
        <w:rPr>
          <w:rFonts w:hint="eastAsia" w:ascii="仿宋" w:hAnsi="仿宋" w:eastAsia="仿宋" w:cs="仿宋_GB2312"/>
          <w:b/>
          <w:sz w:val="32"/>
          <w:szCs w:val="32"/>
        </w:rPr>
        <w:t>函</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杭州师范大学、杭州市公共资源交易中心（杭州市政府采购中心）：</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(投标人全称)授权</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(职务、职称)为全权代表，参加贵方组织的杭州师范大学仓前校区监控机房存储扩展采购项目【招标编号：HZZFCG-2019-017】招标的有关活动，并对此项目进行投标。为此：</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1、我方同意在投标人</w:t>
      </w:r>
      <w:r>
        <w:rPr>
          <w:rFonts w:hint="eastAsia" w:ascii="仿宋" w:hAnsi="仿宋" w:eastAsia="仿宋" w:cs="仿宋_GB2312"/>
          <w:kern w:val="44"/>
          <w:sz w:val="24"/>
        </w:rPr>
        <w:t>投标人须知</w:t>
      </w:r>
      <w:r>
        <w:rPr>
          <w:rFonts w:hint="eastAsia" w:ascii="仿宋" w:hAnsi="仿宋" w:eastAsia="仿宋" w:cs="仿宋_GB2312"/>
          <w:sz w:val="24"/>
        </w:rPr>
        <w:t>规定的开标日期起遵守本投标文件中的承诺且在投标有效期满之前均具有约束力。</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(1)具有独立承担民事责任的能力；</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(2)遵守国家法律、行政法规，具有良好的信誉和商业道德；</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(3)具有履行合同的能力和良好的履行合同记录；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(4)良好的资金、财务状况；</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(5)产品及生产所需装备符合中国政府规定的相应技术标准和环保标准；</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(6)没有违反政府采购法规、政策的记录；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(7)没有发生重大经济纠纷和走私犯罪记录。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3、我方中标后拟在中标后将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pStyle w:val="43"/>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4、提供</w:t>
      </w:r>
      <w:r>
        <w:rPr>
          <w:rFonts w:hint="eastAsia" w:ascii="仿宋" w:hAnsi="仿宋" w:eastAsia="仿宋" w:cs="仿宋_GB2312"/>
          <w:kern w:val="44"/>
          <w:sz w:val="24"/>
        </w:rPr>
        <w:t>投标人须知</w:t>
      </w:r>
      <w:r>
        <w:rPr>
          <w:rFonts w:hint="eastAsia" w:ascii="仿宋" w:hAnsi="仿宋" w:eastAsia="仿宋" w:cs="仿宋_GB2312"/>
          <w:sz w:val="24"/>
        </w:rPr>
        <w:t>规定的全部投标文件，包括</w:t>
      </w:r>
      <w:r>
        <w:rPr>
          <w:rFonts w:hint="eastAsia" w:ascii="仿宋" w:hAnsi="仿宋" w:eastAsia="仿宋" w:cs="仿宋_GB2312"/>
          <w:b/>
          <w:sz w:val="24"/>
          <w:szCs w:val="24"/>
        </w:rPr>
        <w:t>资格文件正本1份；报价文件正本1份，副本</w:t>
      </w:r>
      <w:r>
        <w:rPr>
          <w:rFonts w:hint="eastAsia" w:ascii="仿宋" w:hAnsi="仿宋" w:eastAsia="仿宋" w:cs="仿宋_GB2312"/>
          <w:kern w:val="0"/>
          <w:sz w:val="24"/>
          <w:u w:val="single"/>
          <w:lang w:val="zh-CN"/>
        </w:rPr>
        <w:t xml:space="preserve">     </w:t>
      </w:r>
      <w:r>
        <w:rPr>
          <w:rFonts w:hint="eastAsia" w:ascii="仿宋" w:hAnsi="仿宋" w:eastAsia="仿宋" w:cs="仿宋_GB2312"/>
          <w:b/>
          <w:sz w:val="24"/>
          <w:szCs w:val="24"/>
        </w:rPr>
        <w:t>份；商务技术文件正本1份，副本</w:t>
      </w:r>
      <w:r>
        <w:rPr>
          <w:rFonts w:hint="eastAsia" w:ascii="仿宋" w:hAnsi="仿宋" w:eastAsia="仿宋" w:cs="仿宋_GB2312"/>
          <w:kern w:val="0"/>
          <w:sz w:val="24"/>
          <w:u w:val="single"/>
          <w:lang w:val="zh-CN"/>
        </w:rPr>
        <w:t xml:space="preserve">     </w:t>
      </w:r>
      <w:r>
        <w:rPr>
          <w:rFonts w:hint="eastAsia" w:ascii="仿宋" w:hAnsi="仿宋" w:eastAsia="仿宋" w:cs="仿宋_GB2312"/>
          <w:b/>
          <w:sz w:val="24"/>
          <w:szCs w:val="24"/>
        </w:rPr>
        <w:t>份</w:t>
      </w:r>
      <w:r>
        <w:rPr>
          <w:rFonts w:hint="eastAsia" w:ascii="仿宋" w:hAnsi="仿宋" w:eastAsia="仿宋" w:cs="仿宋_GB2312"/>
          <w:kern w:val="44"/>
          <w:sz w:val="24"/>
        </w:rPr>
        <w:t>（见投标须知前附表所述）。</w:t>
      </w:r>
      <w:r>
        <w:rPr>
          <w:rFonts w:hint="eastAsia" w:ascii="仿宋" w:hAnsi="仿宋" w:eastAsia="仿宋" w:cs="仿宋_GB2312"/>
          <w:sz w:val="24"/>
        </w:rPr>
        <w:t>具体内容为：</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(1)投标(开标)一览表；</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(2)投标</w:t>
      </w:r>
      <w:r>
        <w:rPr>
          <w:rFonts w:hint="eastAsia" w:ascii="仿宋" w:hAnsi="仿宋" w:eastAsia="仿宋" w:cs="仿宋_GB2312"/>
          <w:kern w:val="0"/>
          <w:sz w:val="24"/>
          <w:lang w:val="zh-CN"/>
        </w:rPr>
        <w:t>技术文件和</w:t>
      </w:r>
      <w:r>
        <w:rPr>
          <w:rFonts w:hint="eastAsia" w:ascii="仿宋" w:hAnsi="仿宋" w:eastAsia="仿宋" w:cs="仿宋_GB2312"/>
          <w:sz w:val="24"/>
          <w:lang w:val="zh-CN"/>
        </w:rPr>
        <w:t>商务文件</w:t>
      </w:r>
      <w:r>
        <w:rPr>
          <w:rFonts w:hint="eastAsia" w:ascii="仿宋" w:hAnsi="仿宋" w:eastAsia="仿宋" w:cs="仿宋_GB2312"/>
          <w:sz w:val="24"/>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kern w:val="44"/>
          <w:sz w:val="24"/>
        </w:rPr>
        <w:t>投标人须知</w:t>
      </w:r>
      <w:r>
        <w:rPr>
          <w:rFonts w:hint="eastAsia" w:ascii="仿宋" w:hAnsi="仿宋" w:eastAsia="仿宋" w:cs="仿宋_GB2312"/>
          <w:sz w:val="24"/>
        </w:rPr>
        <w:t>要求投标人提交的全部文件；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(4)按招标文件要求提供和交付的货物和服务的投标报价详见投标(开标)一览表；</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(5)保证忠实地执行双方所签订的合同，并承担合同规定的责任和义务；</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(6)保证遵守招标文件中的其他有关规定。</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5、我方承诺投标有效期从提交投标文件的截止之日起</w:t>
      </w:r>
      <w:r>
        <w:rPr>
          <w:rFonts w:hint="eastAsia" w:ascii="仿宋" w:hAnsi="仿宋" w:eastAsia="仿宋" w:cs="仿宋_GB2312"/>
          <w:sz w:val="24"/>
          <w:u w:val="single"/>
        </w:rPr>
        <w:t xml:space="preserve">     </w:t>
      </w:r>
      <w:r>
        <w:rPr>
          <w:rFonts w:hint="eastAsia" w:ascii="仿宋" w:hAnsi="仿宋" w:eastAsia="仿宋" w:cs="仿宋_GB2312"/>
          <w:sz w:val="24"/>
        </w:rPr>
        <w:t>天，不少于招标文件中载明的投标有效期（从提交投标文件的截止之日起90天）。</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6、我方完全理解贵方不一定要接受最低价的投标。</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8、我方已详细审核全部招标文件，包括招标文件修改书(如果有)、参考资料及有关附件，确认无误。</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a)提供虚假材料谋取中标、成交的；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b)采取不正当手段诋毁、排挤其他供应商的；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c)与采购人、其它供应商或者采购代理机构恶意串通的；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d)向采购人、采购代理机构行贿或者提供其他不正当利益的；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e)在招标采购过程中与采购人进行协商谈判的；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f)拒绝有关部门监督检查或提供虚假情况的。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供应商有前款第a)至e)项情形之一的，中标、成交无效。</w:t>
      </w:r>
    </w:p>
    <w:p>
      <w:pPr>
        <w:spacing w:line="360" w:lineRule="auto"/>
        <w:ind w:firstLine="3600" w:firstLineChars="1500"/>
        <w:rPr>
          <w:rFonts w:hint="eastAsia" w:ascii="仿宋" w:hAnsi="仿宋" w:eastAsia="仿宋" w:cs="仿宋_GB2312"/>
          <w:sz w:val="24"/>
        </w:rPr>
      </w:pPr>
      <w:r>
        <w:rPr>
          <w:rFonts w:hint="eastAsia" w:ascii="仿宋" w:hAnsi="仿宋" w:eastAsia="仿宋" w:cs="仿宋_GB2312"/>
          <w:sz w:val="24"/>
        </w:rPr>
        <w:t>投标人名称（公章）：</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                          法定代表人或其授权代表（签字或盖章）：</w:t>
      </w:r>
    </w:p>
    <w:p>
      <w:pPr>
        <w:spacing w:line="360" w:lineRule="auto"/>
        <w:jc w:val="center"/>
        <w:rPr>
          <w:rFonts w:hint="eastAsia" w:ascii="仿宋" w:hAnsi="仿宋" w:eastAsia="仿宋" w:cs="仿宋_GB2312"/>
          <w:sz w:val="24"/>
        </w:rPr>
      </w:pPr>
      <w:r>
        <w:rPr>
          <w:rFonts w:hint="eastAsia" w:ascii="仿宋" w:hAnsi="仿宋" w:eastAsia="仿宋" w:cs="仿宋_GB2312"/>
          <w:sz w:val="24"/>
        </w:rPr>
        <w:t xml:space="preserve">     日期：  年   月   日</w:t>
      </w:r>
    </w:p>
    <w:p>
      <w:pPr>
        <w:snapToGrid w:val="0"/>
        <w:spacing w:line="360" w:lineRule="auto"/>
        <w:ind w:left="420" w:leftChars="200" w:firstLine="4200" w:firstLineChars="1750"/>
        <w:rPr>
          <w:rFonts w:hint="eastAsia" w:ascii="仿宋" w:hAnsi="仿宋" w:eastAsia="仿宋" w:cs="仿宋_GB2312"/>
          <w:kern w:val="0"/>
          <w:sz w:val="24"/>
          <w:u w:val="single"/>
          <w:lang w:val="zh-CN"/>
        </w:rPr>
      </w:pP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联系电话： </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b/>
          <w:kern w:val="0"/>
          <w:sz w:val="24"/>
          <w:lang w:val="zh-CN"/>
        </w:rPr>
        <w:t>注：未按照本投标响应函要求填报的将被视为非实质性响应投标，从而可能导致该投标被拒绝。</w:t>
      </w:r>
    </w:p>
    <w:p>
      <w:pPr>
        <w:pStyle w:val="733"/>
        <w:keepNext w:val="0"/>
        <w:pageBreakBefore w:val="0"/>
        <w:tabs>
          <w:tab w:val="clear" w:pos="720"/>
        </w:tabs>
        <w:snapToGrid w:val="0"/>
        <w:ind w:firstLine="640"/>
        <w:outlineLvl w:val="9"/>
        <w:rPr>
          <w:rFonts w:ascii="仿宋" w:hAnsi="仿宋" w:eastAsia="仿宋" w:cs="仿宋_GB2312"/>
          <w:kern w:val="2"/>
          <w:sz w:val="32"/>
          <w:szCs w:val="32"/>
        </w:rPr>
        <w:sectPr>
          <w:headerReference r:id="rId18" w:type="first"/>
          <w:footerReference r:id="rId21" w:type="first"/>
          <w:headerReference r:id="rId16" w:type="default"/>
          <w:footerReference r:id="rId19" w:type="default"/>
          <w:headerReference r:id="rId17" w:type="even"/>
          <w:footerReference r:id="rId20" w:type="even"/>
          <w:pgSz w:w="11906" w:h="16838"/>
          <w:pgMar w:top="1247" w:right="1418" w:bottom="1276" w:left="1418" w:header="851" w:footer="992" w:gutter="0"/>
          <w:cols w:space="720" w:num="1"/>
          <w:titlePg/>
          <w:docGrid w:linePitch="312" w:charSpace="0"/>
        </w:sectPr>
      </w:pPr>
    </w:p>
    <w:p>
      <w:pPr>
        <w:pStyle w:val="733"/>
        <w:keepNext w:val="0"/>
        <w:pageBreakBefore w:val="0"/>
        <w:tabs>
          <w:tab w:val="clear" w:pos="720"/>
        </w:tabs>
        <w:snapToGrid w:val="0"/>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二、投标(开标)一览表</w:t>
      </w:r>
    </w:p>
    <w:p>
      <w:pPr>
        <w:snapToGrid w:val="0"/>
        <w:spacing w:line="360" w:lineRule="auto"/>
        <w:rPr>
          <w:rFonts w:hint="eastAsia" w:ascii="仿宋" w:hAnsi="仿宋" w:eastAsia="仿宋" w:cs="仿宋_GB2312"/>
          <w:kern w:val="0"/>
          <w:sz w:val="24"/>
        </w:rPr>
      </w:pPr>
      <w:bookmarkStart w:id="566" w:name="_Toc86217005"/>
      <w:r>
        <w:rPr>
          <w:rFonts w:hint="eastAsia" w:ascii="仿宋" w:hAnsi="仿宋" w:eastAsia="仿宋" w:cs="仿宋_GB2312"/>
          <w:sz w:val="24"/>
        </w:rPr>
        <w:t>杭州师范大学、杭州市公共资源交易中心（杭州市政府采购中心）</w:t>
      </w:r>
      <w:r>
        <w:rPr>
          <w:rFonts w:hint="eastAsia" w:ascii="仿宋" w:hAnsi="仿宋" w:eastAsia="仿宋" w:cs="仿宋_GB2312"/>
          <w:kern w:val="0"/>
          <w:sz w:val="24"/>
          <w:lang w:val="zh-CN"/>
        </w:rPr>
        <w:t>：</w:t>
      </w:r>
    </w:p>
    <w:p>
      <w:pPr>
        <w:snapToGrid w:val="0"/>
        <w:spacing w:line="360" w:lineRule="auto"/>
        <w:ind w:firstLine="482"/>
        <w:rPr>
          <w:rFonts w:hint="eastAsia"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杭州师范大学仓前校区监控机房存储扩展采购项目</w:t>
      </w:r>
      <w:r>
        <w:rPr>
          <w:rFonts w:hint="eastAsia" w:ascii="仿宋" w:hAnsi="仿宋" w:eastAsia="仿宋" w:cs="仿宋_GB2312"/>
          <w:kern w:val="0"/>
          <w:sz w:val="24"/>
          <w:lang w:val="zh-CN"/>
        </w:rPr>
        <w:t>【招标文件编号：</w:t>
      </w:r>
      <w:r>
        <w:rPr>
          <w:rFonts w:hint="eastAsia" w:ascii="仿宋" w:hAnsi="仿宋" w:eastAsia="仿宋" w:cs="仿宋_GB2312"/>
          <w:sz w:val="24"/>
        </w:rPr>
        <w:t>HZZFCG-2019-017】的实施</w:t>
      </w:r>
      <w:r>
        <w:rPr>
          <w:rFonts w:hint="eastAsia" w:ascii="仿宋" w:hAnsi="仿宋" w:eastAsia="仿宋" w:cs="仿宋_GB2312"/>
          <w:kern w:val="0"/>
          <w:sz w:val="24"/>
          <w:lang w:val="zh-CN"/>
        </w:rPr>
        <w:t>。</w:t>
      </w:r>
    </w:p>
    <w:p>
      <w:pPr>
        <w:spacing w:line="360" w:lineRule="auto"/>
        <w:jc w:val="center"/>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投标(开标)一览表(单位均为人民币元)</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701"/>
        <w:gridCol w:w="2126"/>
        <w:gridCol w:w="850"/>
        <w:gridCol w:w="709"/>
        <w:gridCol w:w="1418"/>
        <w:gridCol w:w="1417"/>
        <w:gridCol w:w="29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7" w:hRule="atLeast"/>
        </w:trPr>
        <w:tc>
          <w:tcPr>
            <w:tcW w:w="39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序号</w:t>
            </w:r>
          </w:p>
        </w:tc>
        <w:tc>
          <w:tcPr>
            <w:tcW w:w="709"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名称</w:t>
            </w:r>
          </w:p>
        </w:tc>
        <w:tc>
          <w:tcPr>
            <w:tcW w:w="1701" w:type="dxa"/>
            <w:noWrap w:val="0"/>
            <w:vAlign w:val="top"/>
          </w:tcPr>
          <w:p>
            <w:pPr>
              <w:spacing w:line="360" w:lineRule="auto"/>
              <w:jc w:val="center"/>
              <w:rPr>
                <w:rFonts w:hint="eastAsia" w:ascii="仿宋" w:hAnsi="仿宋" w:eastAsia="仿宋"/>
                <w:b/>
                <w:sz w:val="24"/>
              </w:rPr>
            </w:pPr>
          </w:p>
          <w:p>
            <w:pPr>
              <w:spacing w:line="360" w:lineRule="auto"/>
              <w:jc w:val="center"/>
              <w:rPr>
                <w:rFonts w:hint="eastAsia" w:ascii="仿宋" w:hAnsi="仿宋" w:eastAsia="仿宋"/>
                <w:b/>
                <w:sz w:val="24"/>
              </w:rPr>
            </w:pPr>
            <w:r>
              <w:rPr>
                <w:rFonts w:hint="eastAsia" w:ascii="仿宋" w:hAnsi="仿宋" w:eastAsia="仿宋"/>
                <w:b/>
                <w:sz w:val="24"/>
              </w:rPr>
              <w:t>品牌</w:t>
            </w:r>
          </w:p>
          <w:p>
            <w:pPr>
              <w:spacing w:line="360" w:lineRule="auto"/>
              <w:jc w:val="center"/>
              <w:rPr>
                <w:rFonts w:hint="eastAsia" w:ascii="仿宋" w:hAnsi="仿宋" w:eastAsia="仿宋" w:cs="仿宋_GB2312"/>
                <w:b/>
                <w:sz w:val="24"/>
              </w:rPr>
            </w:pPr>
            <w:r>
              <w:rPr>
                <w:rFonts w:hint="eastAsia" w:ascii="仿宋" w:hAnsi="仿宋" w:eastAsia="仿宋"/>
                <w:b/>
                <w:sz w:val="24"/>
              </w:rPr>
              <w:t>（如果有）</w:t>
            </w:r>
          </w:p>
        </w:tc>
        <w:tc>
          <w:tcPr>
            <w:tcW w:w="2126" w:type="dxa"/>
            <w:noWrap w:val="0"/>
            <w:vAlign w:val="center"/>
          </w:tcPr>
          <w:p>
            <w:pPr>
              <w:spacing w:line="360" w:lineRule="auto"/>
              <w:jc w:val="center"/>
              <w:rPr>
                <w:rFonts w:hint="eastAsia" w:ascii="仿宋" w:hAnsi="仿宋" w:eastAsia="仿宋"/>
                <w:b/>
                <w:sz w:val="24"/>
              </w:rPr>
            </w:pPr>
            <w:r>
              <w:rPr>
                <w:rFonts w:hint="eastAsia" w:ascii="仿宋" w:hAnsi="仿宋" w:eastAsia="仿宋"/>
                <w:b/>
                <w:sz w:val="24"/>
              </w:rPr>
              <w:t>规格型号</w:t>
            </w:r>
          </w:p>
          <w:p>
            <w:pPr>
              <w:spacing w:line="360" w:lineRule="auto"/>
              <w:jc w:val="center"/>
              <w:rPr>
                <w:rFonts w:hint="eastAsia" w:ascii="仿宋" w:hAnsi="仿宋" w:eastAsia="仿宋" w:cs="仿宋_GB2312"/>
                <w:b/>
                <w:sz w:val="24"/>
              </w:rPr>
            </w:pPr>
            <w:r>
              <w:rPr>
                <w:rFonts w:hint="eastAsia" w:ascii="仿宋" w:hAnsi="仿宋" w:eastAsia="仿宋"/>
                <w:b/>
                <w:sz w:val="24"/>
              </w:rPr>
              <w:t>（或具体服务）</w:t>
            </w:r>
          </w:p>
        </w:tc>
        <w:tc>
          <w:tcPr>
            <w:tcW w:w="850"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数量</w:t>
            </w:r>
          </w:p>
        </w:tc>
        <w:tc>
          <w:tcPr>
            <w:tcW w:w="709"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单价</w:t>
            </w:r>
          </w:p>
        </w:tc>
        <w:tc>
          <w:tcPr>
            <w:tcW w:w="1418"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总价</w:t>
            </w:r>
          </w:p>
        </w:tc>
        <w:tc>
          <w:tcPr>
            <w:tcW w:w="1417"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服务要求（年限）</w:t>
            </w:r>
          </w:p>
        </w:tc>
        <w:tc>
          <w:tcPr>
            <w:tcW w:w="2977" w:type="dxa"/>
            <w:noWrap w:val="0"/>
            <w:vAlign w:val="top"/>
          </w:tcPr>
          <w:p>
            <w:pPr>
              <w:spacing w:line="360" w:lineRule="auto"/>
              <w:jc w:val="center"/>
              <w:rPr>
                <w:rFonts w:hint="eastAsia" w:ascii="仿宋" w:hAnsi="仿宋" w:eastAsia="仿宋"/>
                <w:b/>
                <w:sz w:val="24"/>
              </w:rPr>
            </w:pPr>
          </w:p>
          <w:p>
            <w:pPr>
              <w:spacing w:line="360" w:lineRule="auto"/>
              <w:jc w:val="center"/>
              <w:rPr>
                <w:rFonts w:hint="eastAsia" w:ascii="仿宋" w:hAnsi="仿宋" w:eastAsia="仿宋"/>
                <w:b/>
                <w:sz w:val="24"/>
              </w:rPr>
            </w:pPr>
            <w:r>
              <w:rPr>
                <w:rFonts w:hint="eastAsia" w:ascii="仿宋" w:hAnsi="仿宋" w:eastAsia="仿宋"/>
                <w:b/>
                <w:sz w:val="24"/>
              </w:rPr>
              <w:t>货物的制造商或服务的提供商</w:t>
            </w:r>
          </w:p>
        </w:tc>
        <w:tc>
          <w:tcPr>
            <w:tcW w:w="2268" w:type="dxa"/>
            <w:noWrap w:val="0"/>
            <w:vAlign w:val="top"/>
          </w:tcPr>
          <w:p>
            <w:pPr>
              <w:spacing w:line="360" w:lineRule="auto"/>
              <w:jc w:val="center"/>
              <w:rPr>
                <w:rFonts w:hint="eastAsia" w:ascii="仿宋" w:hAnsi="仿宋" w:eastAsia="仿宋"/>
                <w:b/>
                <w:sz w:val="24"/>
              </w:rPr>
            </w:pPr>
          </w:p>
          <w:p>
            <w:pPr>
              <w:spacing w:line="360" w:lineRule="auto"/>
              <w:jc w:val="center"/>
              <w:rPr>
                <w:rFonts w:hint="eastAsia" w:ascii="仿宋" w:hAnsi="仿宋" w:eastAsia="仿宋" w:cs="仿宋_GB2312"/>
                <w:b/>
              </w:rPr>
            </w:pPr>
            <w:r>
              <w:rPr>
                <w:rFonts w:hint="eastAsia" w:ascii="仿宋" w:hAnsi="仿宋" w:eastAsia="仿宋" w:cs="仿宋_GB2312"/>
                <w:b/>
              </w:rPr>
              <w:t>是否可享受</w:t>
            </w:r>
          </w:p>
          <w:p>
            <w:pPr>
              <w:spacing w:line="360" w:lineRule="auto"/>
              <w:jc w:val="center"/>
              <w:rPr>
                <w:rFonts w:hint="eastAsia" w:ascii="仿宋" w:hAnsi="仿宋" w:eastAsia="仿宋"/>
                <w:b/>
                <w:sz w:val="24"/>
              </w:rPr>
            </w:pPr>
            <w:r>
              <w:rPr>
                <w:rFonts w:hint="eastAsia" w:ascii="仿宋" w:hAnsi="仿宋" w:eastAsia="仿宋" w:cs="仿宋_GB2312"/>
                <w:b/>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709"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2126" w:type="dxa"/>
            <w:noWrap w:val="0"/>
            <w:vAlign w:val="center"/>
          </w:tcPr>
          <w:p>
            <w:pPr>
              <w:snapToGrid w:val="0"/>
              <w:spacing w:line="360" w:lineRule="auto"/>
              <w:jc w:val="center"/>
              <w:rPr>
                <w:rFonts w:hint="eastAsia" w:ascii="仿宋" w:hAnsi="仿宋" w:eastAsia="仿宋" w:cs="仿宋_GB2312"/>
                <w:sz w:val="24"/>
              </w:rPr>
            </w:pPr>
          </w:p>
        </w:tc>
        <w:tc>
          <w:tcPr>
            <w:tcW w:w="850" w:type="dxa"/>
            <w:noWrap w:val="0"/>
            <w:vAlign w:val="center"/>
          </w:tcPr>
          <w:p>
            <w:pPr>
              <w:snapToGrid w:val="0"/>
              <w:spacing w:line="360" w:lineRule="auto"/>
              <w:jc w:val="center"/>
              <w:rPr>
                <w:rFonts w:hint="eastAsia" w:ascii="仿宋" w:hAnsi="仿宋" w:eastAsia="仿宋" w:cs="仿宋_GB2312"/>
                <w:sz w:val="24"/>
              </w:rPr>
            </w:pPr>
          </w:p>
        </w:tc>
        <w:tc>
          <w:tcPr>
            <w:tcW w:w="709" w:type="dxa"/>
            <w:noWrap w:val="0"/>
            <w:vAlign w:val="center"/>
          </w:tcPr>
          <w:p>
            <w:pPr>
              <w:spacing w:line="360" w:lineRule="auto"/>
              <w:jc w:val="center"/>
              <w:rPr>
                <w:rFonts w:hint="eastAsia" w:ascii="仿宋" w:hAnsi="仿宋" w:eastAsia="仿宋" w:cs="仿宋_GB2312"/>
                <w:sz w:val="24"/>
              </w:rPr>
            </w:pPr>
          </w:p>
        </w:tc>
        <w:tc>
          <w:tcPr>
            <w:tcW w:w="1418" w:type="dxa"/>
            <w:noWrap w:val="0"/>
            <w:vAlign w:val="center"/>
          </w:tcPr>
          <w:p>
            <w:pPr>
              <w:spacing w:line="360" w:lineRule="auto"/>
              <w:jc w:val="center"/>
              <w:rPr>
                <w:rFonts w:hint="eastAsia" w:ascii="仿宋" w:hAnsi="仿宋" w:eastAsia="仿宋" w:cs="仿宋_GB2312"/>
                <w:sz w:val="24"/>
              </w:rPr>
            </w:pPr>
          </w:p>
        </w:tc>
        <w:tc>
          <w:tcPr>
            <w:tcW w:w="1417" w:type="dxa"/>
            <w:noWrap w:val="0"/>
            <w:vAlign w:val="center"/>
          </w:tcPr>
          <w:p>
            <w:pPr>
              <w:spacing w:line="360" w:lineRule="auto"/>
              <w:jc w:val="center"/>
              <w:rPr>
                <w:rFonts w:hint="eastAsia" w:ascii="仿宋" w:hAnsi="仿宋" w:eastAsia="仿宋" w:cs="仿宋_GB2312"/>
                <w:sz w:val="24"/>
              </w:rPr>
            </w:pPr>
          </w:p>
        </w:tc>
        <w:tc>
          <w:tcPr>
            <w:tcW w:w="2977" w:type="dxa"/>
            <w:noWrap w:val="0"/>
            <w:vAlign w:val="top"/>
          </w:tcPr>
          <w:p>
            <w:pPr>
              <w:spacing w:line="360" w:lineRule="auto"/>
              <w:jc w:val="center"/>
              <w:rPr>
                <w:rFonts w:hint="eastAsia" w:ascii="仿宋" w:hAnsi="仿宋" w:eastAsia="仿宋" w:cs="仿宋_GB2312"/>
                <w:sz w:val="24"/>
              </w:rPr>
            </w:pPr>
          </w:p>
        </w:tc>
        <w:tc>
          <w:tcPr>
            <w:tcW w:w="2268" w:type="dxa"/>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709"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2126" w:type="dxa"/>
            <w:noWrap w:val="0"/>
            <w:vAlign w:val="center"/>
          </w:tcPr>
          <w:p>
            <w:pPr>
              <w:snapToGrid w:val="0"/>
              <w:spacing w:line="360" w:lineRule="auto"/>
              <w:jc w:val="center"/>
              <w:rPr>
                <w:rFonts w:hint="eastAsia" w:ascii="仿宋" w:hAnsi="仿宋" w:eastAsia="仿宋" w:cs="仿宋_GB2312"/>
                <w:sz w:val="24"/>
              </w:rPr>
            </w:pPr>
          </w:p>
        </w:tc>
        <w:tc>
          <w:tcPr>
            <w:tcW w:w="850" w:type="dxa"/>
            <w:noWrap w:val="0"/>
            <w:vAlign w:val="center"/>
          </w:tcPr>
          <w:p>
            <w:pPr>
              <w:snapToGrid w:val="0"/>
              <w:spacing w:line="360" w:lineRule="auto"/>
              <w:jc w:val="center"/>
              <w:rPr>
                <w:rFonts w:hint="eastAsia" w:ascii="仿宋" w:hAnsi="仿宋" w:eastAsia="仿宋" w:cs="仿宋_GB2312"/>
                <w:sz w:val="24"/>
              </w:rPr>
            </w:pPr>
          </w:p>
        </w:tc>
        <w:tc>
          <w:tcPr>
            <w:tcW w:w="709" w:type="dxa"/>
            <w:noWrap w:val="0"/>
            <w:vAlign w:val="center"/>
          </w:tcPr>
          <w:p>
            <w:pPr>
              <w:spacing w:line="360" w:lineRule="auto"/>
              <w:jc w:val="center"/>
              <w:rPr>
                <w:rFonts w:hint="eastAsia" w:ascii="仿宋" w:hAnsi="仿宋" w:eastAsia="仿宋" w:cs="仿宋_GB2312"/>
                <w:sz w:val="24"/>
              </w:rPr>
            </w:pPr>
          </w:p>
        </w:tc>
        <w:tc>
          <w:tcPr>
            <w:tcW w:w="1418" w:type="dxa"/>
            <w:noWrap w:val="0"/>
            <w:vAlign w:val="center"/>
          </w:tcPr>
          <w:p>
            <w:pPr>
              <w:spacing w:line="360" w:lineRule="auto"/>
              <w:jc w:val="center"/>
              <w:rPr>
                <w:rFonts w:hint="eastAsia" w:ascii="仿宋" w:hAnsi="仿宋" w:eastAsia="仿宋" w:cs="仿宋_GB2312"/>
                <w:sz w:val="24"/>
              </w:rPr>
            </w:pPr>
          </w:p>
        </w:tc>
        <w:tc>
          <w:tcPr>
            <w:tcW w:w="1417" w:type="dxa"/>
            <w:noWrap w:val="0"/>
            <w:vAlign w:val="center"/>
          </w:tcPr>
          <w:p>
            <w:pPr>
              <w:spacing w:line="360" w:lineRule="auto"/>
              <w:jc w:val="center"/>
              <w:rPr>
                <w:rFonts w:hint="eastAsia" w:ascii="仿宋" w:hAnsi="仿宋" w:eastAsia="仿宋" w:cs="仿宋_GB2312"/>
                <w:sz w:val="24"/>
              </w:rPr>
            </w:pPr>
          </w:p>
        </w:tc>
        <w:tc>
          <w:tcPr>
            <w:tcW w:w="2977" w:type="dxa"/>
            <w:noWrap w:val="0"/>
            <w:vAlign w:val="top"/>
          </w:tcPr>
          <w:p>
            <w:pPr>
              <w:spacing w:line="360" w:lineRule="auto"/>
              <w:jc w:val="center"/>
              <w:rPr>
                <w:rFonts w:hint="eastAsia" w:ascii="仿宋" w:hAnsi="仿宋" w:eastAsia="仿宋" w:cs="仿宋_GB2312"/>
                <w:sz w:val="24"/>
              </w:rPr>
            </w:pPr>
          </w:p>
        </w:tc>
        <w:tc>
          <w:tcPr>
            <w:tcW w:w="2268" w:type="dxa"/>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709"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2126" w:type="dxa"/>
            <w:noWrap w:val="0"/>
            <w:vAlign w:val="center"/>
          </w:tcPr>
          <w:p>
            <w:pPr>
              <w:snapToGrid w:val="0"/>
              <w:spacing w:line="360" w:lineRule="auto"/>
              <w:jc w:val="center"/>
              <w:rPr>
                <w:rFonts w:hint="eastAsia" w:ascii="仿宋" w:hAnsi="仿宋" w:eastAsia="仿宋" w:cs="仿宋_GB2312"/>
                <w:sz w:val="24"/>
              </w:rPr>
            </w:pPr>
          </w:p>
        </w:tc>
        <w:tc>
          <w:tcPr>
            <w:tcW w:w="850" w:type="dxa"/>
            <w:noWrap w:val="0"/>
            <w:vAlign w:val="center"/>
          </w:tcPr>
          <w:p>
            <w:pPr>
              <w:snapToGrid w:val="0"/>
              <w:spacing w:line="360" w:lineRule="auto"/>
              <w:jc w:val="center"/>
              <w:rPr>
                <w:rFonts w:hint="eastAsia" w:ascii="仿宋" w:hAnsi="仿宋" w:eastAsia="仿宋" w:cs="仿宋_GB2312"/>
                <w:sz w:val="24"/>
              </w:rPr>
            </w:pPr>
          </w:p>
        </w:tc>
        <w:tc>
          <w:tcPr>
            <w:tcW w:w="709" w:type="dxa"/>
            <w:noWrap w:val="0"/>
            <w:vAlign w:val="center"/>
          </w:tcPr>
          <w:p>
            <w:pPr>
              <w:spacing w:line="360" w:lineRule="auto"/>
              <w:jc w:val="center"/>
              <w:rPr>
                <w:rFonts w:hint="eastAsia" w:ascii="仿宋" w:hAnsi="仿宋" w:eastAsia="仿宋" w:cs="仿宋_GB2312"/>
                <w:sz w:val="24"/>
              </w:rPr>
            </w:pPr>
          </w:p>
        </w:tc>
        <w:tc>
          <w:tcPr>
            <w:tcW w:w="1418" w:type="dxa"/>
            <w:noWrap w:val="0"/>
            <w:vAlign w:val="center"/>
          </w:tcPr>
          <w:p>
            <w:pPr>
              <w:spacing w:line="360" w:lineRule="auto"/>
              <w:jc w:val="center"/>
              <w:rPr>
                <w:rFonts w:hint="eastAsia" w:ascii="仿宋" w:hAnsi="仿宋" w:eastAsia="仿宋" w:cs="仿宋_GB2312"/>
                <w:sz w:val="24"/>
              </w:rPr>
            </w:pPr>
          </w:p>
        </w:tc>
        <w:tc>
          <w:tcPr>
            <w:tcW w:w="1417" w:type="dxa"/>
            <w:noWrap w:val="0"/>
            <w:vAlign w:val="center"/>
          </w:tcPr>
          <w:p>
            <w:pPr>
              <w:spacing w:line="360" w:lineRule="auto"/>
              <w:jc w:val="center"/>
              <w:rPr>
                <w:rFonts w:hint="eastAsia" w:ascii="仿宋" w:hAnsi="仿宋" w:eastAsia="仿宋" w:cs="仿宋_GB2312"/>
                <w:sz w:val="24"/>
              </w:rPr>
            </w:pPr>
          </w:p>
        </w:tc>
        <w:tc>
          <w:tcPr>
            <w:tcW w:w="2977" w:type="dxa"/>
            <w:noWrap w:val="0"/>
            <w:vAlign w:val="top"/>
          </w:tcPr>
          <w:p>
            <w:pPr>
              <w:spacing w:line="360" w:lineRule="auto"/>
              <w:jc w:val="center"/>
              <w:rPr>
                <w:rFonts w:hint="eastAsia" w:ascii="仿宋" w:hAnsi="仿宋" w:eastAsia="仿宋" w:cs="仿宋_GB2312"/>
                <w:sz w:val="24"/>
              </w:rPr>
            </w:pPr>
          </w:p>
        </w:tc>
        <w:tc>
          <w:tcPr>
            <w:tcW w:w="2268" w:type="dxa"/>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4</w:t>
            </w:r>
          </w:p>
        </w:tc>
        <w:tc>
          <w:tcPr>
            <w:tcW w:w="709"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2126" w:type="dxa"/>
            <w:noWrap w:val="0"/>
            <w:vAlign w:val="center"/>
          </w:tcPr>
          <w:p>
            <w:pPr>
              <w:snapToGrid w:val="0"/>
              <w:spacing w:line="360" w:lineRule="auto"/>
              <w:jc w:val="center"/>
              <w:rPr>
                <w:rFonts w:hint="eastAsia" w:ascii="仿宋" w:hAnsi="仿宋" w:eastAsia="仿宋" w:cs="仿宋_GB2312"/>
                <w:sz w:val="24"/>
              </w:rPr>
            </w:pPr>
          </w:p>
        </w:tc>
        <w:tc>
          <w:tcPr>
            <w:tcW w:w="850" w:type="dxa"/>
            <w:noWrap w:val="0"/>
            <w:vAlign w:val="center"/>
          </w:tcPr>
          <w:p>
            <w:pPr>
              <w:snapToGrid w:val="0"/>
              <w:spacing w:line="360" w:lineRule="auto"/>
              <w:jc w:val="center"/>
              <w:rPr>
                <w:rFonts w:hint="eastAsia" w:ascii="仿宋" w:hAnsi="仿宋" w:eastAsia="仿宋" w:cs="仿宋_GB2312"/>
                <w:sz w:val="24"/>
              </w:rPr>
            </w:pPr>
          </w:p>
        </w:tc>
        <w:tc>
          <w:tcPr>
            <w:tcW w:w="709" w:type="dxa"/>
            <w:noWrap w:val="0"/>
            <w:vAlign w:val="center"/>
          </w:tcPr>
          <w:p>
            <w:pPr>
              <w:spacing w:line="360" w:lineRule="auto"/>
              <w:jc w:val="center"/>
              <w:rPr>
                <w:rFonts w:hint="eastAsia" w:ascii="仿宋" w:hAnsi="仿宋" w:eastAsia="仿宋" w:cs="仿宋_GB2312"/>
                <w:sz w:val="24"/>
              </w:rPr>
            </w:pPr>
          </w:p>
        </w:tc>
        <w:tc>
          <w:tcPr>
            <w:tcW w:w="1418" w:type="dxa"/>
            <w:noWrap w:val="0"/>
            <w:vAlign w:val="center"/>
          </w:tcPr>
          <w:p>
            <w:pPr>
              <w:spacing w:line="360" w:lineRule="auto"/>
              <w:jc w:val="center"/>
              <w:rPr>
                <w:rFonts w:hint="eastAsia" w:ascii="仿宋" w:hAnsi="仿宋" w:eastAsia="仿宋" w:cs="仿宋_GB2312"/>
                <w:sz w:val="24"/>
              </w:rPr>
            </w:pPr>
          </w:p>
        </w:tc>
        <w:tc>
          <w:tcPr>
            <w:tcW w:w="1417" w:type="dxa"/>
            <w:noWrap w:val="0"/>
            <w:vAlign w:val="center"/>
          </w:tcPr>
          <w:p>
            <w:pPr>
              <w:spacing w:line="360" w:lineRule="auto"/>
              <w:jc w:val="center"/>
              <w:rPr>
                <w:rFonts w:hint="eastAsia" w:ascii="仿宋" w:hAnsi="仿宋" w:eastAsia="仿宋" w:cs="仿宋_GB2312"/>
                <w:sz w:val="24"/>
              </w:rPr>
            </w:pPr>
          </w:p>
        </w:tc>
        <w:tc>
          <w:tcPr>
            <w:tcW w:w="2977" w:type="dxa"/>
            <w:noWrap w:val="0"/>
            <w:vAlign w:val="top"/>
          </w:tcPr>
          <w:p>
            <w:pPr>
              <w:spacing w:line="360" w:lineRule="auto"/>
              <w:jc w:val="center"/>
              <w:rPr>
                <w:rFonts w:hint="eastAsia" w:ascii="仿宋" w:hAnsi="仿宋" w:eastAsia="仿宋" w:cs="仿宋_GB2312"/>
                <w:sz w:val="24"/>
              </w:rPr>
            </w:pPr>
          </w:p>
        </w:tc>
        <w:tc>
          <w:tcPr>
            <w:tcW w:w="2268" w:type="dxa"/>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709"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2126" w:type="dxa"/>
            <w:noWrap w:val="0"/>
            <w:vAlign w:val="center"/>
          </w:tcPr>
          <w:p>
            <w:pPr>
              <w:snapToGrid w:val="0"/>
              <w:spacing w:line="360" w:lineRule="auto"/>
              <w:jc w:val="center"/>
              <w:rPr>
                <w:rFonts w:hint="eastAsia" w:ascii="仿宋" w:hAnsi="仿宋" w:eastAsia="仿宋" w:cs="仿宋_GB2312"/>
                <w:sz w:val="24"/>
              </w:rPr>
            </w:pPr>
          </w:p>
        </w:tc>
        <w:tc>
          <w:tcPr>
            <w:tcW w:w="850" w:type="dxa"/>
            <w:noWrap w:val="0"/>
            <w:vAlign w:val="center"/>
          </w:tcPr>
          <w:p>
            <w:pPr>
              <w:snapToGrid w:val="0"/>
              <w:spacing w:line="360" w:lineRule="auto"/>
              <w:jc w:val="center"/>
              <w:rPr>
                <w:rFonts w:hint="eastAsia" w:ascii="仿宋" w:hAnsi="仿宋" w:eastAsia="仿宋" w:cs="仿宋_GB2312"/>
                <w:sz w:val="24"/>
              </w:rPr>
            </w:pPr>
          </w:p>
        </w:tc>
        <w:tc>
          <w:tcPr>
            <w:tcW w:w="709" w:type="dxa"/>
            <w:noWrap w:val="0"/>
            <w:vAlign w:val="center"/>
          </w:tcPr>
          <w:p>
            <w:pPr>
              <w:spacing w:line="360" w:lineRule="auto"/>
              <w:jc w:val="center"/>
              <w:rPr>
                <w:rFonts w:hint="eastAsia" w:ascii="仿宋" w:hAnsi="仿宋" w:eastAsia="仿宋" w:cs="仿宋_GB2312"/>
                <w:sz w:val="24"/>
              </w:rPr>
            </w:pPr>
          </w:p>
        </w:tc>
        <w:tc>
          <w:tcPr>
            <w:tcW w:w="1418" w:type="dxa"/>
            <w:noWrap w:val="0"/>
            <w:vAlign w:val="center"/>
          </w:tcPr>
          <w:p>
            <w:pPr>
              <w:spacing w:line="360" w:lineRule="auto"/>
              <w:jc w:val="center"/>
              <w:rPr>
                <w:rFonts w:hint="eastAsia" w:ascii="仿宋" w:hAnsi="仿宋" w:eastAsia="仿宋" w:cs="仿宋_GB2312"/>
                <w:sz w:val="24"/>
              </w:rPr>
            </w:pPr>
          </w:p>
        </w:tc>
        <w:tc>
          <w:tcPr>
            <w:tcW w:w="1417" w:type="dxa"/>
            <w:noWrap w:val="0"/>
            <w:vAlign w:val="center"/>
          </w:tcPr>
          <w:p>
            <w:pPr>
              <w:spacing w:line="360" w:lineRule="auto"/>
              <w:jc w:val="center"/>
              <w:rPr>
                <w:rFonts w:hint="eastAsia" w:ascii="仿宋" w:hAnsi="仿宋" w:eastAsia="仿宋" w:cs="仿宋_GB2312"/>
                <w:sz w:val="24"/>
              </w:rPr>
            </w:pPr>
          </w:p>
        </w:tc>
        <w:tc>
          <w:tcPr>
            <w:tcW w:w="2977" w:type="dxa"/>
            <w:noWrap w:val="0"/>
            <w:vAlign w:val="top"/>
          </w:tcPr>
          <w:p>
            <w:pPr>
              <w:spacing w:line="360" w:lineRule="auto"/>
              <w:jc w:val="center"/>
              <w:rPr>
                <w:rFonts w:hint="eastAsia" w:ascii="仿宋" w:hAnsi="仿宋" w:eastAsia="仿宋" w:cs="仿宋_GB2312"/>
                <w:sz w:val="24"/>
              </w:rPr>
            </w:pPr>
          </w:p>
        </w:tc>
        <w:tc>
          <w:tcPr>
            <w:tcW w:w="2268" w:type="dxa"/>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709" w:type="dxa"/>
            <w:noWrap w:val="0"/>
            <w:vAlign w:val="center"/>
          </w:tcPr>
          <w:p>
            <w:pPr>
              <w:widowControl/>
              <w:spacing w:line="360" w:lineRule="auto"/>
              <w:rPr>
                <w:rFonts w:hint="eastAsia" w:ascii="仿宋" w:hAnsi="仿宋" w:eastAsia="仿宋" w:cs="仿宋_GB2312"/>
                <w:kern w:val="0"/>
                <w:sz w:val="24"/>
                <w:lang w:bidi="hi-IN"/>
              </w:rPr>
            </w:pPr>
          </w:p>
        </w:tc>
        <w:tc>
          <w:tcPr>
            <w:tcW w:w="1701" w:type="dxa"/>
            <w:noWrap w:val="0"/>
            <w:vAlign w:val="center"/>
          </w:tcPr>
          <w:p>
            <w:pPr>
              <w:widowControl/>
              <w:spacing w:line="360" w:lineRule="auto"/>
              <w:rPr>
                <w:rFonts w:hint="eastAsia" w:ascii="仿宋" w:hAnsi="仿宋" w:eastAsia="仿宋" w:cs="仿宋_GB2312"/>
                <w:kern w:val="0"/>
                <w:sz w:val="24"/>
                <w:lang w:bidi="hi-IN"/>
              </w:rPr>
            </w:pPr>
          </w:p>
        </w:tc>
        <w:tc>
          <w:tcPr>
            <w:tcW w:w="2126" w:type="dxa"/>
            <w:noWrap w:val="0"/>
            <w:vAlign w:val="center"/>
          </w:tcPr>
          <w:p>
            <w:pPr>
              <w:spacing w:line="360" w:lineRule="auto"/>
              <w:jc w:val="center"/>
              <w:rPr>
                <w:rFonts w:hint="eastAsia" w:ascii="仿宋" w:hAnsi="仿宋" w:eastAsia="仿宋" w:cs="仿宋_GB2312"/>
                <w:sz w:val="24"/>
              </w:rPr>
            </w:pPr>
          </w:p>
        </w:tc>
        <w:tc>
          <w:tcPr>
            <w:tcW w:w="850" w:type="dxa"/>
            <w:noWrap w:val="0"/>
            <w:vAlign w:val="center"/>
          </w:tcPr>
          <w:p>
            <w:pPr>
              <w:spacing w:line="360" w:lineRule="auto"/>
              <w:jc w:val="center"/>
              <w:rPr>
                <w:rFonts w:hint="eastAsia" w:ascii="仿宋" w:hAnsi="仿宋" w:eastAsia="仿宋" w:cs="仿宋_GB2312"/>
                <w:sz w:val="24"/>
              </w:rPr>
            </w:pPr>
          </w:p>
        </w:tc>
        <w:tc>
          <w:tcPr>
            <w:tcW w:w="709" w:type="dxa"/>
            <w:noWrap w:val="0"/>
            <w:vAlign w:val="center"/>
          </w:tcPr>
          <w:p>
            <w:pPr>
              <w:spacing w:line="360" w:lineRule="auto"/>
              <w:jc w:val="center"/>
              <w:rPr>
                <w:rFonts w:hint="eastAsia" w:ascii="仿宋" w:hAnsi="仿宋" w:eastAsia="仿宋" w:cs="仿宋_GB2312"/>
                <w:sz w:val="24"/>
              </w:rPr>
            </w:pPr>
          </w:p>
        </w:tc>
        <w:tc>
          <w:tcPr>
            <w:tcW w:w="1418" w:type="dxa"/>
            <w:noWrap w:val="0"/>
            <w:vAlign w:val="center"/>
          </w:tcPr>
          <w:p>
            <w:pPr>
              <w:spacing w:line="360" w:lineRule="auto"/>
              <w:jc w:val="center"/>
              <w:rPr>
                <w:rFonts w:hint="eastAsia" w:ascii="仿宋" w:hAnsi="仿宋" w:eastAsia="仿宋" w:cs="仿宋_GB2312"/>
                <w:sz w:val="24"/>
              </w:rPr>
            </w:pPr>
          </w:p>
        </w:tc>
        <w:tc>
          <w:tcPr>
            <w:tcW w:w="1417" w:type="dxa"/>
            <w:noWrap w:val="0"/>
            <w:vAlign w:val="center"/>
          </w:tcPr>
          <w:p>
            <w:pPr>
              <w:spacing w:line="360" w:lineRule="auto"/>
              <w:jc w:val="center"/>
              <w:rPr>
                <w:rFonts w:hint="eastAsia" w:ascii="仿宋" w:hAnsi="仿宋" w:eastAsia="仿宋" w:cs="仿宋_GB2312"/>
                <w:sz w:val="24"/>
              </w:rPr>
            </w:pPr>
          </w:p>
        </w:tc>
        <w:tc>
          <w:tcPr>
            <w:tcW w:w="2977" w:type="dxa"/>
            <w:noWrap w:val="0"/>
            <w:vAlign w:val="top"/>
          </w:tcPr>
          <w:p>
            <w:pPr>
              <w:spacing w:line="360" w:lineRule="auto"/>
              <w:jc w:val="center"/>
              <w:rPr>
                <w:rFonts w:hint="eastAsia" w:ascii="仿宋" w:hAnsi="仿宋" w:eastAsia="仿宋" w:cs="仿宋_GB2312"/>
                <w:sz w:val="24"/>
              </w:rPr>
            </w:pPr>
          </w:p>
        </w:tc>
        <w:tc>
          <w:tcPr>
            <w:tcW w:w="2268" w:type="dxa"/>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4928" w:type="dxa"/>
            <w:gridSpan w:val="4"/>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可享受价格扣除部分的报价合计（小写）</w:t>
            </w:r>
          </w:p>
        </w:tc>
        <w:tc>
          <w:tcPr>
            <w:tcW w:w="9639" w:type="dxa"/>
            <w:gridSpan w:val="6"/>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9" w:hRule="atLeast"/>
        </w:trPr>
        <w:tc>
          <w:tcPr>
            <w:tcW w:w="4928" w:type="dxa"/>
            <w:gridSpan w:val="4"/>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投标报价（小写）</w:t>
            </w:r>
          </w:p>
        </w:tc>
        <w:tc>
          <w:tcPr>
            <w:tcW w:w="9639" w:type="dxa"/>
            <w:gridSpan w:val="6"/>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7" w:hRule="atLeast"/>
        </w:trPr>
        <w:tc>
          <w:tcPr>
            <w:tcW w:w="4928" w:type="dxa"/>
            <w:gridSpan w:val="4"/>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投标报价（大写）</w:t>
            </w:r>
          </w:p>
        </w:tc>
        <w:tc>
          <w:tcPr>
            <w:tcW w:w="9639" w:type="dxa"/>
            <w:gridSpan w:val="6"/>
            <w:noWrap w:val="0"/>
            <w:vAlign w:val="center"/>
          </w:tcPr>
          <w:p>
            <w:pPr>
              <w:spacing w:line="360" w:lineRule="auto"/>
              <w:jc w:val="center"/>
              <w:rPr>
                <w:rFonts w:hint="eastAsia" w:ascii="仿宋" w:hAnsi="仿宋" w:eastAsia="仿宋" w:cs="仿宋_GB2312"/>
                <w:sz w:val="24"/>
              </w:rPr>
            </w:pPr>
          </w:p>
        </w:tc>
      </w:tr>
    </w:tbl>
    <w:p>
      <w:pPr>
        <w:snapToGrid w:val="0"/>
        <w:spacing w:line="360" w:lineRule="auto"/>
        <w:ind w:left="480"/>
        <w:rPr>
          <w:rFonts w:hint="eastAsia"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1、投标人需按本表格式填写，不得自行更改。</w:t>
      </w:r>
    </w:p>
    <w:p>
      <w:pPr>
        <w:snapToGrid w:val="0"/>
        <w:spacing w:line="360" w:lineRule="auto"/>
        <w:ind w:left="480"/>
        <w:rPr>
          <w:rFonts w:hint="eastAsia" w:ascii="仿宋" w:hAnsi="仿宋" w:eastAsia="仿宋" w:cs="仿宋_GB2312"/>
          <w:kern w:val="0"/>
          <w:sz w:val="24"/>
          <w:lang w:val="zh-CN"/>
        </w:rPr>
      </w:pPr>
      <w:r>
        <w:rPr>
          <w:rFonts w:hint="eastAsia" w:ascii="仿宋" w:hAnsi="仿宋" w:eastAsia="仿宋" w:cs="仿宋_GB2312"/>
          <w:kern w:val="0"/>
          <w:sz w:val="24"/>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5、是否可享受价格扣除：根据招标文件3.3小型、微型企业价格扣除的政策规定，给予满足条件的投标人用扣除后的价格参与评审的支持。 </w:t>
      </w:r>
      <w:r>
        <w:rPr>
          <w:rFonts w:hint="eastAsia" w:ascii="仿宋" w:hAnsi="仿宋" w:eastAsia="仿宋"/>
          <w:b/>
          <w:sz w:val="24"/>
        </w:rPr>
        <w:t>▲投标人应如实填写是否可享受价格扣除，否则视为投标人提供虚假材料投标，投标无效</w:t>
      </w:r>
    </w:p>
    <w:p>
      <w:pPr>
        <w:snapToGrid w:val="0"/>
        <w:spacing w:line="360" w:lineRule="auto"/>
        <w:ind w:firstLine="482" w:firstLineChars="200"/>
        <w:jc w:val="left"/>
        <w:rPr>
          <w:rFonts w:hint="eastAsia" w:ascii="仿宋" w:hAnsi="仿宋" w:eastAsia="仿宋"/>
          <w:b/>
          <w:kern w:val="0"/>
          <w:sz w:val="24"/>
        </w:rPr>
      </w:pPr>
    </w:p>
    <w:p>
      <w:pPr>
        <w:spacing w:line="360" w:lineRule="auto"/>
        <w:ind w:firstLine="3600" w:firstLineChars="1500"/>
        <w:rPr>
          <w:rFonts w:hint="eastAsia" w:ascii="仿宋" w:hAnsi="仿宋" w:eastAsia="仿宋" w:cs="仿宋_GB2312"/>
          <w:sz w:val="24"/>
        </w:rPr>
      </w:pPr>
      <w:r>
        <w:rPr>
          <w:rFonts w:hint="eastAsia" w:ascii="仿宋" w:hAnsi="仿宋" w:eastAsia="仿宋" w:cs="仿宋_GB2312"/>
          <w:sz w:val="24"/>
        </w:rPr>
        <w:t>投标人名称（公章）：</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                          法定代表人或其授权代表（签字）：</w:t>
      </w:r>
    </w:p>
    <w:p>
      <w:pPr>
        <w:spacing w:line="360" w:lineRule="auto"/>
        <w:jc w:val="center"/>
        <w:rPr>
          <w:rFonts w:hint="eastAsia" w:ascii="仿宋" w:hAnsi="仿宋" w:eastAsia="仿宋" w:cs="仿宋_GB2312"/>
          <w:sz w:val="24"/>
        </w:rPr>
      </w:pPr>
      <w:r>
        <w:rPr>
          <w:rFonts w:hint="eastAsia" w:ascii="仿宋" w:hAnsi="仿宋" w:eastAsia="仿宋" w:cs="仿宋_GB2312"/>
          <w:sz w:val="24"/>
        </w:rPr>
        <w:t xml:space="preserve">      日期：  年   月   日</w:t>
      </w:r>
    </w:p>
    <w:bookmarkEnd w:id="566"/>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ascii="仿宋" w:hAnsi="仿宋" w:eastAsia="仿宋" w:cs="仿宋_GB2312"/>
          <w:sz w:val="36"/>
          <w:szCs w:val="36"/>
          <w:lang w:val="zh-CN"/>
        </w:rPr>
        <w:sectPr>
          <w:pgSz w:w="16838" w:h="11906" w:orient="landscape"/>
          <w:pgMar w:top="1418" w:right="1276" w:bottom="1418" w:left="1247" w:header="851" w:footer="992" w:gutter="0"/>
          <w:cols w:space="720" w:num="1"/>
          <w:titlePg/>
          <w:docGrid w:linePitch="312" w:charSpace="0"/>
        </w:sectPr>
      </w:pPr>
    </w:p>
    <w:p>
      <w:pPr>
        <w:pStyle w:val="733"/>
        <w:keepNext w:val="0"/>
        <w:pageBreakBefore w:val="0"/>
        <w:tabs>
          <w:tab w:val="clear" w:pos="720"/>
        </w:tabs>
        <w:snapToGrid w:val="0"/>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三、中小企业声明函</w:t>
      </w:r>
    </w:p>
    <w:p>
      <w:pPr>
        <w:spacing w:line="360" w:lineRule="auto"/>
        <w:rPr>
          <w:rFonts w:hint="eastAsia" w:ascii="仿宋" w:hAnsi="仿宋" w:eastAsia="仿宋"/>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本公司郑重声明，根据《政府采购促进中小企业发展暂行办法》（财库[2011]181号）的规定，本公司为</w:t>
      </w:r>
      <w:r>
        <w:rPr>
          <w:rFonts w:hint="eastAsia" w:ascii="仿宋" w:hAnsi="仿宋" w:eastAsia="仿宋" w:cs="仿宋_GB2312"/>
          <w:sz w:val="24"/>
          <w:u w:val="single"/>
        </w:rPr>
        <w:t xml:space="preserve">      </w:t>
      </w:r>
      <w:r>
        <w:rPr>
          <w:rFonts w:hint="eastAsia" w:ascii="仿宋" w:hAnsi="仿宋" w:eastAsia="仿宋" w:cs="仿宋_GB2312"/>
          <w:sz w:val="24"/>
        </w:rPr>
        <w:t>（请填写：中型、小型、微型）企业。即，本公司同时满足以下条件：</w:t>
      </w:r>
    </w:p>
    <w:p>
      <w:pPr>
        <w:pStyle w:val="657"/>
        <w:widowControl/>
        <w:numPr>
          <w:ilvl w:val="0"/>
          <w:numId w:val="13"/>
        </w:numPr>
        <w:ind w:firstLineChars="0"/>
        <w:rPr>
          <w:rFonts w:hint="eastAsia" w:ascii="仿宋" w:hAnsi="仿宋" w:eastAsia="仿宋" w:cs="仿宋_GB2312"/>
          <w:szCs w:val="24"/>
        </w:rPr>
      </w:pPr>
      <w:r>
        <w:rPr>
          <w:rFonts w:hint="eastAsia" w:ascii="仿宋" w:hAnsi="仿宋" w:eastAsia="仿宋" w:cs="仿宋_GB2312"/>
          <w:szCs w:val="24"/>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_GB2312"/>
          <w:szCs w:val="24"/>
          <w:u w:val="single"/>
        </w:rPr>
        <w:t xml:space="preserve">   </w:t>
      </w:r>
      <w:r>
        <w:rPr>
          <w:rFonts w:hint="eastAsia" w:ascii="仿宋" w:hAnsi="仿宋" w:eastAsia="仿宋" w:cs="仿宋_GB2312"/>
          <w:szCs w:val="24"/>
        </w:rPr>
        <w:t>（请填写：中型、小型、微型）企业。</w:t>
      </w:r>
    </w:p>
    <w:p>
      <w:pPr>
        <w:pStyle w:val="657"/>
        <w:widowControl/>
        <w:numPr>
          <w:ilvl w:val="0"/>
          <w:numId w:val="13"/>
        </w:numPr>
        <w:ind w:firstLineChars="0"/>
        <w:rPr>
          <w:rFonts w:hint="eastAsia" w:ascii="仿宋" w:hAnsi="仿宋" w:eastAsia="仿宋" w:cs="仿宋_GB2312"/>
          <w:szCs w:val="24"/>
        </w:rPr>
      </w:pPr>
      <w:r>
        <w:rPr>
          <w:rFonts w:hint="eastAsia" w:ascii="仿宋" w:hAnsi="仿宋" w:eastAsia="仿宋" w:cs="仿宋_GB2312"/>
          <w:szCs w:val="24"/>
        </w:rPr>
        <w:t>本公司参加</w:t>
      </w:r>
      <w:r>
        <w:rPr>
          <w:rFonts w:hint="eastAsia" w:ascii="仿宋" w:hAnsi="仿宋" w:eastAsia="仿宋" w:cs="仿宋_GB2312"/>
          <w:szCs w:val="24"/>
          <w:u w:val="single"/>
        </w:rPr>
        <w:t xml:space="preserve">         </w:t>
      </w:r>
      <w:r>
        <w:rPr>
          <w:rFonts w:hint="eastAsia" w:ascii="仿宋" w:hAnsi="仿宋" w:eastAsia="仿宋" w:cs="仿宋_GB2312"/>
          <w:szCs w:val="24"/>
        </w:rPr>
        <w:t>单位的</w:t>
      </w:r>
      <w:r>
        <w:rPr>
          <w:rFonts w:hint="eastAsia" w:ascii="仿宋" w:hAnsi="仿宋" w:eastAsia="仿宋" w:cs="仿宋_GB2312"/>
          <w:szCs w:val="24"/>
          <w:u w:val="single"/>
        </w:rPr>
        <w:t xml:space="preserve">       </w:t>
      </w:r>
      <w:r>
        <w:rPr>
          <w:rFonts w:hint="eastAsia" w:ascii="仿宋" w:hAnsi="仿宋" w:eastAsia="仿宋" w:cs="仿宋_GB2312"/>
          <w:szCs w:val="24"/>
        </w:rPr>
        <w:t xml:space="preserve">项目采购活动提供本企业制造的货物，由本企业承担工程、提供服务，或者提供其他 </w:t>
      </w:r>
      <w:r>
        <w:rPr>
          <w:rFonts w:hint="eastAsia" w:ascii="仿宋" w:hAnsi="仿宋" w:eastAsia="仿宋" w:cs="仿宋_GB2312"/>
          <w:szCs w:val="24"/>
          <w:u w:val="single"/>
        </w:rPr>
        <w:t xml:space="preserve">        </w:t>
      </w:r>
      <w:r>
        <w:rPr>
          <w:rFonts w:hint="eastAsia" w:ascii="仿宋" w:hAnsi="仿宋" w:eastAsia="仿宋" w:cs="仿宋_GB2312"/>
          <w:szCs w:val="24"/>
        </w:rPr>
        <w:t>（请填写：中型、小型、微型）企业制造的货物。本条所称货物不包括使用大型企业注册商标的货物。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本公司对上述声明的真实性负责。如有虚假，将依法承担相应责任。</w:t>
      </w:r>
    </w:p>
    <w:p>
      <w:pPr>
        <w:spacing w:line="360" w:lineRule="auto"/>
        <w:jc w:val="right"/>
        <w:rPr>
          <w:rFonts w:hint="eastAsia" w:ascii="仿宋" w:hAnsi="仿宋" w:eastAsia="仿宋" w:cs="仿宋_GB2312"/>
          <w:sz w:val="24"/>
        </w:rPr>
      </w:pPr>
    </w:p>
    <w:p>
      <w:pPr>
        <w:spacing w:line="360" w:lineRule="auto"/>
        <w:jc w:val="center"/>
        <w:outlineLvl w:val="0"/>
        <w:rPr>
          <w:rFonts w:hint="eastAsia" w:ascii="仿宋" w:hAnsi="仿宋" w:eastAsia="仿宋" w:cs="仿宋_GB2312"/>
          <w:sz w:val="36"/>
          <w:szCs w:val="36"/>
          <w:lang w:val="zh-CN"/>
        </w:rPr>
      </w:pPr>
      <w:r>
        <w:rPr>
          <w:rFonts w:hint="eastAsia" w:ascii="仿宋" w:hAnsi="仿宋" w:eastAsia="仿宋" w:cs="仿宋_GB2312"/>
          <w:sz w:val="24"/>
        </w:rPr>
        <w:t xml:space="preserve">企业名称（盖章）：               </w:t>
      </w:r>
    </w:p>
    <w:p>
      <w:pPr>
        <w:spacing w:line="360" w:lineRule="auto"/>
        <w:jc w:val="center"/>
        <w:outlineLvl w:val="0"/>
        <w:rPr>
          <w:rFonts w:hint="eastAsia" w:ascii="仿宋" w:hAnsi="仿宋" w:eastAsia="仿宋" w:cs="仿宋_GB2312"/>
          <w:sz w:val="36"/>
          <w:szCs w:val="36"/>
          <w:lang w:val="zh-CN"/>
        </w:rPr>
      </w:pPr>
    </w:p>
    <w:p>
      <w:pPr>
        <w:spacing w:line="360" w:lineRule="auto"/>
        <w:ind w:right="420"/>
        <w:rPr>
          <w:rFonts w:hint="eastAsia" w:ascii="仿宋" w:hAnsi="仿宋" w:eastAsia="仿宋" w:cs="仿宋_GB2312"/>
          <w:sz w:val="24"/>
        </w:rPr>
      </w:pPr>
      <w:r>
        <w:rPr>
          <w:rFonts w:hint="eastAsia" w:ascii="仿宋" w:hAnsi="仿宋" w:eastAsia="仿宋" w:cs="仿宋_GB2312"/>
          <w:sz w:val="24"/>
        </w:rPr>
        <w:t>注：</w:t>
      </w:r>
      <w:r>
        <w:rPr>
          <w:rFonts w:hint="eastAsia" w:ascii="仿宋" w:hAnsi="仿宋" w:eastAsia="仿宋"/>
          <w:b/>
          <w:sz w:val="24"/>
        </w:rPr>
        <w:t>▲投标人提供的中小企业声明函与实际情况不符的，视为投标人提供虚假材料投标的，投标无效。</w:t>
      </w:r>
      <w:r>
        <w:rPr>
          <w:rFonts w:hint="eastAsia" w:ascii="仿宋" w:hAnsi="仿宋" w:eastAsia="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 w:hAnsi="仿宋" w:eastAsia="仿宋" w:cs="仿宋_GB2312"/>
          <w:sz w:val="36"/>
          <w:szCs w:val="36"/>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28"/>
          <w:szCs w:val="28"/>
        </w:rPr>
      </w:pPr>
      <w:r>
        <w:rPr>
          <w:rFonts w:hint="eastAsia" w:ascii="仿宋" w:hAnsi="仿宋" w:eastAsia="仿宋" w:cs="仿宋_GB2312"/>
          <w:b/>
          <w:kern w:val="0"/>
          <w:sz w:val="28"/>
          <w:szCs w:val="28"/>
        </w:rPr>
        <w:t>目录</w:t>
      </w:r>
    </w:p>
    <w:p>
      <w:pPr>
        <w:pStyle w:val="789"/>
        <w:spacing w:line="360" w:lineRule="auto"/>
        <w:rPr>
          <w:rFonts w:hint="eastAsia" w:ascii="仿宋" w:eastAsia="仿宋" w:cs="仿宋_GB2312"/>
        </w:rPr>
      </w:pPr>
      <w:r>
        <w:rPr>
          <w:rFonts w:hint="eastAsia" w:ascii="仿宋" w:eastAsia="仿宋" w:cs="仿宋_GB2312"/>
        </w:rPr>
        <w:t>（1）营业执照(或事业法人登记证或其他工商等登记证明材料)复印件（投标人为 然人的，提供自然人的身份证明）………………………………………（页码）</w:t>
      </w:r>
    </w:p>
    <w:p>
      <w:pPr>
        <w:pStyle w:val="789"/>
        <w:spacing w:line="360" w:lineRule="auto"/>
        <w:rPr>
          <w:rFonts w:hint="eastAsia" w:ascii="仿宋" w:eastAsia="仿宋" w:cs="仿宋_GB2312"/>
        </w:rPr>
      </w:pPr>
      <w:r>
        <w:rPr>
          <w:rFonts w:hint="eastAsia" w:ascii="仿宋" w:eastAsia="仿宋" w:cs="仿宋_GB2312"/>
        </w:rPr>
        <w:t>（2）法定代表人授权书 ………………………………………………（页码）</w:t>
      </w:r>
    </w:p>
    <w:p>
      <w:pPr>
        <w:pStyle w:val="789"/>
        <w:spacing w:line="360" w:lineRule="auto"/>
        <w:rPr>
          <w:rFonts w:hint="eastAsia" w:ascii="仿宋" w:eastAsia="仿宋" w:cs="仿宋_GB2312"/>
        </w:rPr>
      </w:pPr>
      <w:r>
        <w:rPr>
          <w:rFonts w:hint="eastAsia" w:ascii="仿宋" w:eastAsia="仿宋" w:cs="仿宋_GB2312"/>
        </w:rPr>
        <w:t>（3）法定代表人及其授权代表的身份证（复印件）…………………（页码）</w:t>
      </w:r>
    </w:p>
    <w:p>
      <w:pPr>
        <w:pStyle w:val="789"/>
        <w:spacing w:line="360" w:lineRule="auto"/>
        <w:rPr>
          <w:rFonts w:hint="eastAsia" w:ascii="仿宋" w:eastAsia="仿宋" w:cs="仿宋_GB2312"/>
        </w:rPr>
      </w:pPr>
      <w:r>
        <w:rPr>
          <w:rFonts w:hint="eastAsia" w:ascii="仿宋" w:eastAsia="仿宋" w:cs="仿宋_GB2312"/>
        </w:rPr>
        <w:t>（4）联合体协议</w:t>
      </w:r>
      <w:r>
        <w:rPr>
          <w:rFonts w:hint="eastAsia" w:ascii="仿宋" w:eastAsia="仿宋" w:cs="仿宋_GB2312"/>
          <w:lang w:val="zh-CN"/>
        </w:rPr>
        <w:t>… ……………………………………………………</w:t>
      </w:r>
      <w:r>
        <w:rPr>
          <w:rFonts w:hint="eastAsia" w:ascii="仿宋" w:eastAsia="仿宋" w:cs="仿宋_GB2312"/>
        </w:rPr>
        <w:t>（页码）</w:t>
      </w:r>
    </w:p>
    <w:p>
      <w:pPr>
        <w:pStyle w:val="789"/>
        <w:spacing w:line="360" w:lineRule="auto"/>
        <w:rPr>
          <w:rFonts w:hint="eastAsia" w:ascii="仿宋" w:eastAsia="仿宋" w:cs="仿宋_GB2312"/>
        </w:rPr>
      </w:pPr>
      <w:r>
        <w:rPr>
          <w:rFonts w:hint="eastAsia" w:ascii="仿宋" w:eastAsia="仿宋" w:cs="仿宋_GB2312"/>
        </w:rPr>
        <w:t>（5）资信文件复印件（如果要求提供）……………………………（页码）</w:t>
      </w:r>
    </w:p>
    <w:p>
      <w:pPr>
        <w:pStyle w:val="789"/>
        <w:spacing w:line="360" w:lineRule="auto"/>
        <w:rPr>
          <w:rFonts w:hint="eastAsia" w:ascii="仿宋" w:eastAsia="仿宋" w:cs="仿宋_GB2312"/>
        </w:rPr>
      </w:pPr>
      <w:r>
        <w:rPr>
          <w:rFonts w:hint="eastAsia" w:ascii="仿宋" w:eastAsia="仿宋" w:cs="仿宋_GB2312"/>
        </w:rPr>
        <w:t>（6）</w:t>
      </w:r>
      <w:r>
        <w:rPr>
          <w:rFonts w:hint="eastAsia" w:ascii="仿宋" w:eastAsia="仿宋" w:cs="仿宋_GB2312"/>
          <w:lang w:val="zh-CN"/>
        </w:rPr>
        <w:t>主要业绩证明… …………………………………………………</w:t>
      </w:r>
      <w:r>
        <w:rPr>
          <w:rFonts w:hint="eastAsia" w:ascii="仿宋" w:eastAsia="仿宋" w:cs="仿宋_GB2312"/>
        </w:rPr>
        <w:t>（页码）</w:t>
      </w:r>
    </w:p>
    <w:p>
      <w:pPr>
        <w:pStyle w:val="789"/>
        <w:spacing w:line="360" w:lineRule="auto"/>
        <w:rPr>
          <w:rFonts w:hint="eastAsia" w:ascii="仿宋" w:eastAsia="仿宋" w:cs="仿宋_GB2312"/>
        </w:rPr>
      </w:pPr>
      <w:bookmarkStart w:id="567" w:name="OLE_LINK6"/>
      <w:bookmarkStart w:id="568" w:name="OLE_LINK7"/>
      <w:bookmarkStart w:id="569" w:name="OLE_LINK5"/>
      <w:r>
        <w:rPr>
          <w:rFonts w:hint="eastAsia" w:ascii="仿宋" w:eastAsia="仿宋" w:cs="仿宋_GB2312"/>
        </w:rPr>
        <w:t>（7）其他商务文件或说明</w:t>
      </w:r>
      <w:r>
        <w:rPr>
          <w:rFonts w:hint="eastAsia" w:ascii="仿宋" w:eastAsia="仿宋" w:cs="仿宋_GB2312"/>
          <w:lang w:val="zh-CN"/>
        </w:rPr>
        <w:t>………………………………………………</w:t>
      </w:r>
      <w:r>
        <w:rPr>
          <w:rFonts w:hint="eastAsia" w:ascii="仿宋" w:eastAsia="仿宋" w:cs="仿宋_GB2312"/>
        </w:rPr>
        <w:t>（页码）</w:t>
      </w:r>
      <w:bookmarkEnd w:id="567"/>
      <w:bookmarkEnd w:id="568"/>
    </w:p>
    <w:bookmarkEnd w:id="569"/>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（8）技术解决方案……………………………………………………（页码）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（9）技术偏离说明表…………………………………………………（页码）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（10）组织实施方案……………………………………………………（页码）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（11）售后服务方案……………………………………………………（页码）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（12）项目小组人员名单………………………………………………（页码）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（13）</w:t>
      </w:r>
      <w:r>
        <w:rPr>
          <w:rFonts w:hint="eastAsia" w:ascii="仿宋" w:hAnsi="仿宋" w:eastAsia="仿宋" w:cs="仿宋_GB2312"/>
          <w:kern w:val="0"/>
          <w:sz w:val="24"/>
          <w:lang w:val="zh-CN"/>
        </w:rPr>
        <w:t>优惠条件及特殊承诺……………………………………………</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（14）</w:t>
      </w:r>
      <w:r>
        <w:rPr>
          <w:rFonts w:hint="eastAsia" w:ascii="仿宋" w:hAnsi="仿宋" w:eastAsia="仿宋" w:cs="仿宋_GB2312"/>
          <w:kern w:val="0"/>
          <w:sz w:val="24"/>
          <w:lang w:val="zh-CN"/>
        </w:rPr>
        <w:t>备品备件及供选择的配套零部件清单…………………………</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（15）</w:t>
      </w:r>
      <w:r>
        <w:rPr>
          <w:rFonts w:hint="eastAsia" w:ascii="仿宋" w:hAnsi="仿宋" w:eastAsia="仿宋" w:cs="仿宋_GB2312"/>
          <w:kern w:val="0"/>
          <w:sz w:val="24"/>
          <w:lang w:val="zh-CN"/>
        </w:rPr>
        <w:t>培训计划…………………………………………………………</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b/>
          <w:bCs/>
          <w:sz w:val="24"/>
        </w:rPr>
      </w:pPr>
      <w:r>
        <w:rPr>
          <w:rFonts w:hint="eastAsia" w:ascii="仿宋" w:hAnsi="仿宋" w:eastAsia="仿宋" w:cs="仿宋_GB2312"/>
          <w:kern w:val="0"/>
          <w:sz w:val="24"/>
        </w:rPr>
        <w:t>（16）</w:t>
      </w:r>
      <w:r>
        <w:rPr>
          <w:rFonts w:hint="eastAsia" w:ascii="仿宋" w:hAnsi="仿宋" w:eastAsia="仿宋" w:cs="仿宋_GB2312"/>
          <w:kern w:val="0"/>
          <w:sz w:val="24"/>
          <w:lang w:val="zh-CN"/>
        </w:rPr>
        <w:t>认为需要的其他技术文件或说明………………………………</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rPr>
        <w:t>（17）</w:t>
      </w:r>
      <w:r>
        <w:rPr>
          <w:rFonts w:hint="eastAsia" w:ascii="仿宋" w:hAnsi="仿宋" w:eastAsia="仿宋" w:cs="仿宋_GB2312"/>
          <w:kern w:val="0"/>
          <w:sz w:val="24"/>
          <w:lang w:val="zh-CN"/>
        </w:rPr>
        <w:t>关于对招标文件中商务、合同有关条款的拒绝声明……………</w:t>
      </w:r>
      <w:r>
        <w:rPr>
          <w:rFonts w:hint="eastAsia" w:ascii="仿宋" w:hAnsi="仿宋" w:eastAsia="仿宋" w:cs="仿宋_GB2312"/>
          <w:kern w:val="0"/>
          <w:sz w:val="24"/>
        </w:rPr>
        <w:t>（页码）</w:t>
      </w:r>
    </w:p>
    <w:p>
      <w:pPr>
        <w:spacing w:line="360" w:lineRule="auto"/>
        <w:rPr>
          <w:rFonts w:hint="eastAsia"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sz w:val="30"/>
          <w:szCs w:val="30"/>
        </w:rPr>
      </w:pPr>
      <w:r>
        <w:rPr>
          <w:rFonts w:hint="eastAsia" w:ascii="仿宋" w:hAnsi="仿宋" w:eastAsia="仿宋" w:cs="仿宋_GB2312"/>
          <w:b/>
          <w:kern w:val="0"/>
          <w:sz w:val="32"/>
          <w:szCs w:val="32"/>
          <w:lang w:val="zh-CN"/>
        </w:rPr>
        <w:t>一、</w:t>
      </w:r>
      <w:r>
        <w:rPr>
          <w:rFonts w:hint="eastAsia" w:ascii="仿宋" w:hAnsi="仿宋" w:eastAsia="仿宋" w:cs="仿宋_GB2312"/>
          <w:b/>
          <w:sz w:val="30"/>
          <w:szCs w:val="30"/>
        </w:rPr>
        <w:t>营业执照(或事业法人登记证或其他工商等登记证明材料)复印件（投标人为自然人的，提供自然人的身份证明）</w:t>
      </w: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2570" w:firstLineChars="800"/>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二、法定代表人授权书</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杭州师范大学、杭州市公共资源交易中心（杭州市政府采购中心）</w:t>
      </w:r>
      <w:r>
        <w:rPr>
          <w:rFonts w:hint="eastAsia" w:ascii="仿宋" w:hAnsi="仿宋" w:eastAsia="仿宋" w:cs="仿宋_GB2312"/>
          <w:kern w:val="0"/>
          <w:sz w:val="24"/>
          <w:lang w:val="zh-CN"/>
        </w:rPr>
        <w:t>：</w:t>
      </w:r>
    </w:p>
    <w:p>
      <w:pPr>
        <w:snapToGrid w:val="0"/>
        <w:spacing w:line="360" w:lineRule="auto"/>
        <w:ind w:firstLine="576"/>
        <w:rPr>
          <w:rFonts w:hint="eastAsia"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rPr>
        <w:t>杭州师范大学仓前校区监控机房存储扩展采购项目</w:t>
      </w:r>
      <w:r>
        <w:rPr>
          <w:rFonts w:hint="eastAsia" w:ascii="仿宋" w:hAnsi="仿宋" w:eastAsia="仿宋" w:cs="仿宋_GB2312"/>
          <w:kern w:val="0"/>
          <w:sz w:val="24"/>
          <w:lang w:val="zh-CN"/>
        </w:rPr>
        <w:t>【编号：HZZFCG-2019-017】政府采购投标的一切事项，若中标则全权代表本公司签订相关合同，并负责处理合同履行等事宜。</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法定代表人(签字或盖章)：</w:t>
      </w:r>
    </w:p>
    <w:p>
      <w:pPr>
        <w:wordWrap w:val="0"/>
        <w:snapToGrid w:val="0"/>
        <w:spacing w:line="360" w:lineRule="auto"/>
        <w:ind w:right="240"/>
        <w:jc w:val="right"/>
        <w:rPr>
          <w:rFonts w:hint="eastAsia" w:ascii="仿宋" w:hAnsi="仿宋" w:eastAsia="仿宋" w:cs="仿宋_GB2312"/>
          <w:kern w:val="0"/>
          <w:sz w:val="24"/>
          <w:lang w:val="zh-CN"/>
        </w:rPr>
      </w:pPr>
      <w:r>
        <w:rPr>
          <w:rFonts w:hint="eastAsia" w:ascii="仿宋" w:hAnsi="仿宋" w:eastAsia="仿宋" w:cs="仿宋_GB2312"/>
          <w:kern w:val="0"/>
          <w:sz w:val="24"/>
          <w:lang w:val="zh-CN"/>
        </w:rPr>
        <w:t>签发日期：  年  月   日</w:t>
      </w: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联合体投标授权书（适用联合体投标）</w:t>
      </w:r>
    </w:p>
    <w:p>
      <w:pPr>
        <w:snapToGrid w:val="0"/>
        <w:spacing w:line="360" w:lineRule="auto"/>
        <w:ind w:firstLine="576"/>
        <w:rPr>
          <w:rFonts w:hint="eastAsia"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rPr>
        <w:t>杭州师范大学仓前校区监控机房存储扩展采购项目</w:t>
      </w:r>
      <w:r>
        <w:rPr>
          <w:rFonts w:hint="eastAsia" w:ascii="仿宋" w:hAnsi="仿宋" w:eastAsia="仿宋" w:cs="仿宋_GB2312"/>
          <w:kern w:val="0"/>
          <w:sz w:val="24"/>
          <w:lang w:val="zh-CN"/>
        </w:rPr>
        <w:t>【编号：HZZFCG-2019-017】政府采购投标的一切事项，若中标则全权代表本联合体签订相关合同，并负责处理合同履行等事宜。</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法定代表人：（签字或盖章）         法定代表人：（签字或盖章）</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b/>
          <w:bCs/>
          <w:sz w:val="30"/>
          <w:szCs w:val="30"/>
        </w:rPr>
        <w:t>三、</w:t>
      </w:r>
      <w:r>
        <w:rPr>
          <w:rFonts w:hint="eastAsia" w:ascii="仿宋" w:hAnsi="仿宋" w:eastAsia="仿宋" w:cs="仿宋_GB2312"/>
          <w:b/>
          <w:sz w:val="30"/>
          <w:szCs w:val="30"/>
        </w:rPr>
        <w:t>法定代表人及其授权代表的身份证（复印件）</w:t>
      </w:r>
    </w:p>
    <w:p>
      <w:pPr>
        <w:pStyle w:val="171"/>
        <w:spacing w:line="360" w:lineRule="auto"/>
        <w:rPr>
          <w:rFonts w:ascii="仿宋_GB2312" w:eastAsia="仿宋_GB2312"/>
          <w:bCs/>
          <w:sz w:val="24"/>
        </w:rPr>
      </w:pPr>
      <w:r>
        <w:rPr>
          <w:rFonts w:hint="eastAsia" w:ascii="仿宋_GB2312" w:eastAsia="仿宋_GB2312"/>
          <w:bCs/>
          <w:sz w:val="24"/>
          <w:lang w:eastAsia="zh-CN"/>
        </w:rPr>
        <w:t>法定代表</w:t>
      </w:r>
      <w:r>
        <w:rPr>
          <w:rFonts w:hint="eastAsia" w:ascii="仿宋_GB2312" w:eastAsia="仿宋_GB2312"/>
          <w:bCs/>
          <w:sz w:val="24"/>
        </w:rPr>
        <w:t>人身份证件扫描件：</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171"/>
              <w:spacing w:line="360" w:lineRule="auto"/>
              <w:rPr>
                <w:rFonts w:ascii="仿宋_GB2312" w:eastAsia="仿宋_GB2312"/>
                <w:bCs/>
                <w:sz w:val="24"/>
                <w:lang w:eastAsia="zh-CN"/>
              </w:rPr>
            </w:pPr>
            <w:r>
              <w:rPr>
                <w:rFonts w:hint="eastAsia" w:ascii="仿宋_GB2312" w:eastAsia="仿宋_GB2312"/>
                <w:bCs/>
                <w:sz w:val="24"/>
                <w:lang w:eastAsia="zh-CN"/>
              </w:rPr>
              <w:t>正面</w:t>
            </w:r>
            <w:r>
              <w:rPr>
                <w:rFonts w:ascii="仿宋_GB2312" w:eastAsia="仿宋_GB2312"/>
                <w:bCs/>
                <w:sz w:val="24"/>
                <w:lang w:eastAsia="zh-CN"/>
              </w:rPr>
              <w:t>：</w:t>
            </w:r>
            <w:r>
              <w:rPr>
                <w:rFonts w:hint="eastAsia" w:ascii="仿宋_GB2312" w:eastAsia="仿宋_GB2312"/>
                <w:bCs/>
                <w:sz w:val="24"/>
                <w:lang w:eastAsia="zh-CN"/>
              </w:rPr>
              <w:t xml:space="preserve">                                 反面</w:t>
            </w:r>
            <w:r>
              <w:rPr>
                <w:rFonts w:ascii="仿宋_GB2312" w:eastAsia="仿宋_GB2312"/>
                <w:bCs/>
                <w:sz w:val="24"/>
                <w:lang w:eastAsia="zh-CN"/>
              </w:rPr>
              <w:t>：</w:t>
            </w:r>
          </w:p>
          <w:p>
            <w:pPr>
              <w:pStyle w:val="171"/>
              <w:spacing w:line="360" w:lineRule="auto"/>
              <w:rPr>
                <w:rFonts w:hint="eastAsia" w:ascii="仿宋_GB2312" w:eastAsia="仿宋_GB2312"/>
                <w:bCs/>
                <w:sz w:val="24"/>
                <w:lang w:eastAsia="zh-CN"/>
              </w:rPr>
            </w:pPr>
          </w:p>
        </w:tc>
      </w:tr>
    </w:tbl>
    <w:p>
      <w:pPr>
        <w:pStyle w:val="171"/>
        <w:spacing w:line="360" w:lineRule="auto"/>
        <w:rPr>
          <w:rFonts w:ascii="仿宋_GB2312" w:eastAsia="仿宋_GB2312"/>
          <w:bCs/>
          <w:sz w:val="24"/>
        </w:rPr>
      </w:pPr>
      <w:r>
        <w:rPr>
          <w:rFonts w:hint="eastAsia" w:ascii="仿宋_GB2312" w:eastAsia="仿宋_GB2312"/>
          <w:bCs/>
          <w:sz w:val="24"/>
        </w:rPr>
        <w:t>授权代表身份证件扫描件：</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171"/>
              <w:spacing w:line="360" w:lineRule="auto"/>
              <w:rPr>
                <w:rFonts w:ascii="仿宋_GB2312" w:eastAsia="仿宋_GB2312"/>
                <w:bCs/>
                <w:sz w:val="24"/>
                <w:lang w:eastAsia="zh-CN"/>
              </w:rPr>
            </w:pPr>
            <w:r>
              <w:rPr>
                <w:rFonts w:hint="eastAsia" w:ascii="仿宋_GB2312" w:eastAsia="仿宋_GB2312"/>
                <w:bCs/>
                <w:sz w:val="24"/>
                <w:lang w:eastAsia="zh-CN"/>
              </w:rPr>
              <w:t>正面</w:t>
            </w:r>
            <w:r>
              <w:rPr>
                <w:rFonts w:ascii="仿宋_GB2312" w:eastAsia="仿宋_GB2312"/>
                <w:bCs/>
                <w:sz w:val="24"/>
                <w:lang w:eastAsia="zh-CN"/>
              </w:rPr>
              <w:t>：</w:t>
            </w:r>
            <w:r>
              <w:rPr>
                <w:rFonts w:hint="eastAsia" w:ascii="仿宋_GB2312" w:eastAsia="仿宋_GB2312"/>
                <w:bCs/>
                <w:sz w:val="24"/>
                <w:lang w:eastAsia="zh-CN"/>
              </w:rPr>
              <w:t xml:space="preserve">                                 反面</w:t>
            </w:r>
            <w:r>
              <w:rPr>
                <w:rFonts w:ascii="仿宋_GB2312" w:eastAsia="仿宋_GB2312"/>
                <w:bCs/>
                <w:sz w:val="24"/>
                <w:lang w:eastAsia="zh-CN"/>
              </w:rPr>
              <w:t>：</w:t>
            </w:r>
          </w:p>
          <w:p>
            <w:pPr>
              <w:pStyle w:val="171"/>
              <w:spacing w:line="360" w:lineRule="auto"/>
              <w:rPr>
                <w:rFonts w:hint="eastAsia" w:ascii="仿宋_GB2312" w:eastAsia="仿宋_GB2312"/>
                <w:bCs/>
                <w:sz w:val="24"/>
                <w:lang w:eastAsia="zh-CN"/>
              </w:rPr>
            </w:pPr>
          </w:p>
        </w:tc>
      </w:tr>
    </w:tbl>
    <w:p>
      <w:pPr>
        <w:snapToGrid w:val="0"/>
        <w:spacing w:line="360" w:lineRule="auto"/>
        <w:ind w:firstLine="576"/>
        <w:jc w:val="right"/>
        <w:rPr>
          <w:rFonts w:hint="eastAsia" w:ascii="仿宋" w:hAnsi="仿宋" w:eastAsia="仿宋" w:cs="仿宋_GB2312"/>
          <w:kern w:val="0"/>
          <w:sz w:val="24"/>
          <w:lang w:val="zh-CN"/>
        </w:rPr>
      </w:pPr>
    </w:p>
    <w:p>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投标人名称(公章)：</w:t>
      </w:r>
    </w:p>
    <w:p>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w:t>
      </w:r>
    </w:p>
    <w:p>
      <w:pPr>
        <w:snapToGrid w:val="0"/>
        <w:spacing w:line="360" w:lineRule="auto"/>
        <w:ind w:firstLine="576"/>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w:t>
      </w:r>
    </w:p>
    <w:p>
      <w:pPr>
        <w:snapToGrid w:val="0"/>
        <w:spacing w:line="360" w:lineRule="auto"/>
        <w:ind w:firstLine="576"/>
        <w:jc w:val="center"/>
        <w:rPr>
          <w:rFonts w:hint="eastAsia" w:ascii="仿宋" w:hAnsi="仿宋" w:eastAsia="仿宋" w:cs="仿宋_GB2312"/>
          <w:kern w:val="0"/>
          <w:sz w:val="24"/>
          <w:lang w:val="zh-CN"/>
        </w:rPr>
      </w:pPr>
      <w:r>
        <w:rPr>
          <w:rFonts w:ascii="仿宋" w:hAnsi="仿宋" w:eastAsia="仿宋" w:cs="仿宋_GB2312"/>
          <w:kern w:val="0"/>
          <w:sz w:val="24"/>
          <w:lang w:val="zh-CN"/>
        </w:rPr>
        <w:br w:type="page"/>
      </w:r>
    </w:p>
    <w:p>
      <w:pPr>
        <w:snapToGrid w:val="0"/>
        <w:spacing w:before="50" w:after="50" w:line="360" w:lineRule="auto"/>
        <w:jc w:val="center"/>
        <w:rPr>
          <w:rFonts w:hint="eastAsia" w:ascii="仿宋" w:hAnsi="仿宋" w:eastAsia="仿宋" w:cs="仿宋_GB2312"/>
          <w:b/>
          <w:sz w:val="30"/>
          <w:szCs w:val="30"/>
        </w:rPr>
      </w:pPr>
      <w:r>
        <w:rPr>
          <w:rFonts w:hint="eastAsia" w:ascii="仿宋" w:hAnsi="仿宋" w:eastAsia="仿宋" w:cs="仿宋_GB2312"/>
          <w:b/>
          <w:sz w:val="30"/>
          <w:szCs w:val="30"/>
        </w:rPr>
        <w:t>四、联合体协议</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各方经协商一致，决定组成一个联合体，以一个投标人的身份就杭州市公共资源交易中心组织实施的</w:t>
      </w:r>
      <w:r>
        <w:rPr>
          <w:rFonts w:hint="eastAsia" w:ascii="仿宋" w:hAnsi="仿宋" w:eastAsia="仿宋" w:cs="仿宋_GB2312"/>
          <w:sz w:val="24"/>
        </w:rPr>
        <w:t>杭州师范大学仓前校区监控机房存储扩展采购项目</w:t>
      </w:r>
      <w:r>
        <w:rPr>
          <w:rFonts w:hint="eastAsia" w:ascii="仿宋" w:hAnsi="仿宋" w:eastAsia="仿宋" w:cs="仿宋_GB2312"/>
          <w:kern w:val="0"/>
          <w:sz w:val="24"/>
          <w:lang w:val="zh-CN"/>
        </w:rPr>
        <w:t>（HZZFCG-2019-017）共同投标。</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_GB2312" w:hAnsi="宋体" w:eastAsia="仿宋_GB2312"/>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所有联合体成员各方法定代表人签署授权书，授权书载明的</w:t>
      </w:r>
      <w:r>
        <w:rPr>
          <w:rFonts w:hint="eastAsia" w:ascii="仿宋" w:hAnsi="仿宋" w:eastAsia="仿宋"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_GB2312" w:hAnsi="宋体" w:eastAsia="仿宋_GB2312"/>
          <w:u w:val="single"/>
        </w:rPr>
        <w:t xml:space="preserve">             </w:t>
      </w:r>
      <w:r>
        <w:rPr>
          <w:rFonts w:hint="eastAsia" w:ascii="仿宋" w:hAnsi="仿宋" w:eastAsia="仿宋" w:cs="仿宋_GB2312"/>
          <w:kern w:val="0"/>
          <w:sz w:val="24"/>
          <w:lang w:val="zh-CN"/>
        </w:rPr>
        <w:t>；乙方承担的工作和义务为：</w:t>
      </w:r>
      <w:r>
        <w:rPr>
          <w:rFonts w:hint="eastAsia" w:ascii="仿宋_GB2312" w:hAnsi="宋体" w:eastAsia="仿宋_GB2312"/>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rPr>
        <w:t>1</w:t>
      </w:r>
      <w:r>
        <w:rPr>
          <w:rFonts w:hint="eastAsia" w:ascii="仿宋" w:hAnsi="仿宋" w:eastAsia="仿宋" w:cs="仿宋_GB2312"/>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rPr>
        <w:t>2</w:t>
      </w:r>
      <w:r>
        <w:rPr>
          <w:rFonts w:hint="eastAsia" w:ascii="仿宋" w:hAnsi="仿宋" w:eastAsia="仿宋" w:cs="仿宋_GB2312"/>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rPr>
        <w:t>3</w:t>
      </w:r>
      <w:r>
        <w:rPr>
          <w:rFonts w:hint="eastAsia" w:ascii="仿宋" w:hAnsi="仿宋" w:eastAsia="仿宋" w:cs="仿宋_GB2312"/>
          <w:kern w:val="0"/>
          <w:sz w:val="24"/>
          <w:lang w:val="zh-CN"/>
        </w:rPr>
        <w:t>、本协议提交采购人、采购代理机构后，联合体各方不得以任何形式对上述内容进行修改或撤销。</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甲方单位：            （公章）          乙方单位：          （公章）</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法定代表人：（签章）                    法定代表人：（签章）</w:t>
      </w:r>
    </w:p>
    <w:p>
      <w:pPr>
        <w:snapToGrid w:val="0"/>
        <w:spacing w:line="360" w:lineRule="auto"/>
        <w:ind w:firstLine="576"/>
        <w:rPr>
          <w:rFonts w:hint="eastAsia" w:ascii="仿宋" w:hAnsi="仿宋" w:eastAsia="仿宋" w:cs="仿宋_GB2312"/>
          <w:b/>
          <w:kern w:val="0"/>
          <w:sz w:val="32"/>
          <w:szCs w:val="32"/>
          <w:lang w:val="zh-CN"/>
        </w:rPr>
      </w:pPr>
      <w:r>
        <w:rPr>
          <w:rFonts w:hint="eastAsia" w:ascii="仿宋" w:hAnsi="仿宋" w:eastAsia="仿宋" w:cs="仿宋_GB2312"/>
          <w:kern w:val="0"/>
          <w:sz w:val="24"/>
          <w:lang w:val="zh-CN"/>
        </w:rPr>
        <w:t>日期：    年   月   日                 日期：    年   月   日</w:t>
      </w:r>
    </w:p>
    <w:p>
      <w:pPr>
        <w:snapToGrid w:val="0"/>
        <w:spacing w:line="360" w:lineRule="auto"/>
        <w:ind w:right="480"/>
        <w:jc w:val="center"/>
        <w:rPr>
          <w:rFonts w:hint="eastAsia" w:ascii="仿宋" w:hAnsi="仿宋" w:eastAsia="仿宋" w:cs="仿宋_GB2312"/>
          <w:b/>
          <w:kern w:val="0"/>
          <w:sz w:val="32"/>
          <w:szCs w:val="32"/>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五、资信文件复印件（如果要求提供）</w:t>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sz w:val="24"/>
        </w:rPr>
        <w:t>（由投标人根据采购需求及招标文件要求编制）</w:t>
      </w: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六、</w:t>
      </w:r>
      <w:r>
        <w:rPr>
          <w:rFonts w:hint="eastAsia" w:ascii="仿宋" w:hAnsi="仿宋" w:eastAsia="仿宋" w:cs="仿宋_GB2312"/>
          <w:b/>
          <w:kern w:val="0"/>
          <w:sz w:val="32"/>
          <w:szCs w:val="32"/>
          <w:lang w:val="zh-CN"/>
        </w:rPr>
        <w:t>主要业绩证明</w:t>
      </w:r>
    </w:p>
    <w:p>
      <w:pPr>
        <w:autoSpaceDE w:val="0"/>
        <w:autoSpaceDN w:val="0"/>
        <w:spacing w:line="360" w:lineRule="auto"/>
        <w:ind w:firstLine="120"/>
        <w:rPr>
          <w:rFonts w:hint="eastAsia" w:ascii="仿宋" w:hAnsi="仿宋" w:eastAsia="仿宋" w:cs="仿宋_GB2312"/>
          <w:b/>
          <w:sz w:val="24"/>
        </w:rPr>
      </w:pPr>
      <w:r>
        <w:rPr>
          <w:rFonts w:hint="eastAsia" w:ascii="仿宋" w:hAnsi="仿宋" w:eastAsia="仿宋" w:cs="仿宋_GB2312"/>
          <w:b/>
          <w:sz w:val="24"/>
        </w:rPr>
        <w:t>附表 :相关项目建设业绩一览表</w:t>
      </w:r>
    </w:p>
    <w:tbl>
      <w:tblPr>
        <w:tblStyle w:val="85"/>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Before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投资</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wBefore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sz w:val="24"/>
        </w:rPr>
      </w:pPr>
      <w:r>
        <w:rPr>
          <w:rFonts w:hint="eastAsia" w:ascii="仿宋" w:hAnsi="仿宋" w:eastAsia="仿宋" w:cs="仿宋_GB2312"/>
          <w:b/>
          <w:sz w:val="24"/>
        </w:rPr>
        <w:t>注：投标人可按上述的格式自行编制，须随表提交相应的合同复印件和用户单位验收证明并注明所在投标人商务文件页码。</w:t>
      </w: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                   </w:t>
      </w:r>
    </w:p>
    <w:p>
      <w:pPr>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rPr>
          <w:rFonts w:hint="eastAsia" w:ascii="仿宋" w:hAnsi="仿宋" w:eastAsia="仿宋" w:cs="仿宋_GB2312"/>
          <w:kern w:val="0"/>
          <w:sz w:val="24"/>
        </w:rPr>
      </w:pPr>
    </w:p>
    <w:p>
      <w:pPr>
        <w:spacing w:line="360" w:lineRule="auto"/>
        <w:rPr>
          <w:rFonts w:hint="eastAsia" w:ascii="仿宋" w:hAnsi="仿宋" w:eastAsia="仿宋" w:cs="仿宋_GB2312"/>
          <w:kern w:val="0"/>
          <w:sz w:val="24"/>
        </w:rPr>
      </w:pPr>
    </w:p>
    <w:p>
      <w:pPr>
        <w:spacing w:line="360" w:lineRule="auto"/>
        <w:jc w:val="center"/>
        <w:rPr>
          <w:rFonts w:hint="eastAsia" w:ascii="仿宋" w:hAnsi="仿宋" w:eastAsia="仿宋" w:cs="仿宋_GB2312"/>
          <w:b/>
          <w:bCs/>
          <w:sz w:val="32"/>
          <w:szCs w:val="32"/>
        </w:rPr>
      </w:pPr>
      <w:r>
        <w:rPr>
          <w:rFonts w:ascii="仿宋" w:hAnsi="仿宋" w:eastAsia="仿宋" w:cs="仿宋_GB2312"/>
          <w:b/>
          <w:bCs/>
          <w:sz w:val="32"/>
          <w:szCs w:val="32"/>
        </w:rPr>
        <w:br w:type="page"/>
      </w:r>
      <w:r>
        <w:rPr>
          <w:rFonts w:hint="eastAsia" w:ascii="仿宋" w:hAnsi="仿宋" w:eastAsia="仿宋" w:cs="仿宋_GB2312"/>
          <w:b/>
          <w:bCs/>
          <w:sz w:val="32"/>
          <w:szCs w:val="32"/>
        </w:rPr>
        <w:t>七、</w:t>
      </w:r>
      <w:bookmarkStart w:id="570" w:name="OLE_LINK16"/>
      <w:bookmarkStart w:id="571" w:name="OLE_LINK17"/>
      <w:r>
        <w:rPr>
          <w:rFonts w:hint="eastAsia" w:ascii="仿宋" w:hAnsi="仿宋" w:eastAsia="仿宋" w:cs="仿宋_GB2312"/>
          <w:b/>
          <w:bCs/>
          <w:sz w:val="32"/>
          <w:szCs w:val="32"/>
        </w:rPr>
        <w:t>其他商务文件或说明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w:t>
      </w:r>
      <w:bookmarkStart w:id="572" w:name="OLE_LINK11"/>
      <w:bookmarkStart w:id="573" w:name="OLE_LINK10"/>
      <w:r>
        <w:rPr>
          <w:rFonts w:hint="eastAsia" w:ascii="仿宋" w:hAnsi="仿宋" w:eastAsia="仿宋" w:cs="仿宋_GB2312"/>
          <w:sz w:val="24"/>
        </w:rPr>
        <w:t>其他商务文件或说明由投标人根据采购需求自行编制</w:t>
      </w:r>
      <w:bookmarkEnd w:id="572"/>
      <w:bookmarkEnd w:id="573"/>
      <w:r>
        <w:rPr>
          <w:rFonts w:hint="eastAsia" w:ascii="仿宋" w:hAnsi="仿宋" w:eastAsia="仿宋" w:cs="仿宋_GB2312"/>
          <w:sz w:val="24"/>
        </w:rPr>
        <w:t>）</w:t>
      </w:r>
    </w:p>
    <w:bookmarkEnd w:id="570"/>
    <w:bookmarkEnd w:id="571"/>
    <w:p>
      <w:pPr>
        <w:spacing w:line="360" w:lineRule="auto"/>
        <w:jc w:val="center"/>
        <w:rPr>
          <w:rFonts w:hint="eastAsia" w:ascii="仿宋" w:hAnsi="仿宋" w:eastAsia="仿宋" w:cs="仿宋_GB2312"/>
          <w:sz w:val="24"/>
        </w:rPr>
      </w:pPr>
    </w:p>
    <w:p>
      <w:pPr>
        <w:autoSpaceDE w:val="0"/>
        <w:autoSpaceDN w:val="0"/>
        <w:spacing w:line="360" w:lineRule="auto"/>
        <w:ind w:firstLine="4800" w:firstLineChars="2000"/>
        <w:rPr>
          <w:rFonts w:hint="eastAsia"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 </w:t>
      </w:r>
    </w:p>
    <w:p>
      <w:pPr>
        <w:spacing w:line="360" w:lineRule="auto"/>
        <w:ind w:firstLine="1070" w:firstLineChars="44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spacing w:line="360" w:lineRule="auto"/>
        <w:rPr>
          <w:rFonts w:hint="eastAsia" w:ascii="仿宋" w:hAnsi="仿宋" w:eastAsia="仿宋" w:cs="仿宋_GB2312"/>
          <w:b/>
          <w:bCs/>
          <w:kern w:val="0"/>
          <w:sz w:val="24"/>
        </w:rPr>
      </w:pPr>
    </w:p>
    <w:p>
      <w:pPr>
        <w:spacing w:line="360" w:lineRule="auto"/>
        <w:jc w:val="center"/>
        <w:rPr>
          <w:rFonts w:hint="eastAsia" w:ascii="仿宋" w:hAnsi="仿宋" w:eastAsia="仿宋" w:cs="仿宋_GB2312"/>
          <w:b/>
          <w:bCs/>
          <w:sz w:val="32"/>
          <w:szCs w:val="32"/>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sz w:val="32"/>
          <w:szCs w:val="32"/>
        </w:rPr>
        <w:t>八</w:t>
      </w:r>
      <w:r>
        <w:rPr>
          <w:rFonts w:hint="eastAsia" w:ascii="仿宋" w:hAnsi="仿宋" w:eastAsia="仿宋" w:cs="仿宋_GB2312"/>
          <w:b/>
          <w:bCs/>
          <w:sz w:val="32"/>
          <w:szCs w:val="32"/>
        </w:rPr>
        <w:t>、技术解决方案</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jc w:val="center"/>
        <w:rPr>
          <w:rFonts w:hint="eastAsia" w:ascii="仿宋" w:hAnsi="仿宋" w:eastAsia="仿宋" w:cs="仿宋_GB2312"/>
          <w:sz w:val="24"/>
        </w:rPr>
      </w:pPr>
    </w:p>
    <w:p>
      <w:pPr>
        <w:autoSpaceDE w:val="0"/>
        <w:autoSpaceDN w:val="0"/>
        <w:spacing w:line="360" w:lineRule="auto"/>
        <w:rPr>
          <w:rFonts w:hint="eastAsia" w:ascii="仿宋" w:hAnsi="仿宋" w:eastAsia="仿宋" w:cs="仿宋_GB2312"/>
          <w:b/>
          <w:kern w:val="0"/>
          <w:sz w:val="28"/>
          <w:szCs w:val="28"/>
        </w:rPr>
      </w:pPr>
    </w:p>
    <w:p>
      <w:pPr>
        <w:snapToGrid w:val="0"/>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投标产品规格配置清单</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3" w:hRule="atLeast"/>
        </w:trPr>
        <w:tc>
          <w:tcPr>
            <w:tcW w:w="737"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531"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设备名称</w:t>
            </w:r>
          </w:p>
        </w:tc>
        <w:tc>
          <w:tcPr>
            <w:tcW w:w="2160"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投标品牌及型号</w:t>
            </w:r>
          </w:p>
        </w:tc>
        <w:tc>
          <w:tcPr>
            <w:tcW w:w="2340"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规格配置详细说明</w:t>
            </w:r>
          </w:p>
        </w:tc>
        <w:tc>
          <w:tcPr>
            <w:tcW w:w="1080"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数量</w:t>
            </w:r>
          </w:p>
        </w:tc>
        <w:tc>
          <w:tcPr>
            <w:tcW w:w="133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737"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531" w:type="dxa"/>
            <w:noWrap w:val="0"/>
            <w:vAlign w:val="center"/>
          </w:tcPr>
          <w:p>
            <w:pPr>
              <w:snapToGrid w:val="0"/>
              <w:spacing w:line="360" w:lineRule="auto"/>
              <w:jc w:val="center"/>
              <w:rPr>
                <w:rFonts w:hint="eastAsia" w:ascii="仿宋" w:hAnsi="仿宋" w:eastAsia="仿宋" w:cs="仿宋_GB2312"/>
                <w:sz w:val="24"/>
              </w:rPr>
            </w:pPr>
          </w:p>
        </w:tc>
        <w:tc>
          <w:tcPr>
            <w:tcW w:w="2160" w:type="dxa"/>
            <w:noWrap w:val="0"/>
            <w:vAlign w:val="center"/>
          </w:tcPr>
          <w:p>
            <w:pPr>
              <w:snapToGrid w:val="0"/>
              <w:spacing w:line="360" w:lineRule="auto"/>
              <w:jc w:val="center"/>
              <w:rPr>
                <w:rFonts w:hint="eastAsia" w:ascii="仿宋" w:hAnsi="仿宋" w:eastAsia="仿宋" w:cs="仿宋_GB2312"/>
                <w:sz w:val="24"/>
              </w:rPr>
            </w:pPr>
          </w:p>
        </w:tc>
        <w:tc>
          <w:tcPr>
            <w:tcW w:w="2340" w:type="dxa"/>
            <w:noWrap w:val="0"/>
            <w:vAlign w:val="center"/>
          </w:tcPr>
          <w:p>
            <w:pPr>
              <w:spacing w:line="360" w:lineRule="auto"/>
              <w:jc w:val="center"/>
              <w:rPr>
                <w:rFonts w:hint="eastAsia" w:ascii="仿宋" w:hAnsi="仿宋" w:eastAsia="仿宋" w:cs="仿宋_GB2312"/>
                <w:sz w:val="24"/>
              </w:rPr>
            </w:pPr>
          </w:p>
        </w:tc>
        <w:tc>
          <w:tcPr>
            <w:tcW w:w="1080" w:type="dxa"/>
            <w:noWrap w:val="0"/>
            <w:vAlign w:val="center"/>
          </w:tcPr>
          <w:p>
            <w:pPr>
              <w:spacing w:line="360" w:lineRule="auto"/>
              <w:jc w:val="center"/>
              <w:rPr>
                <w:rFonts w:hint="eastAsia" w:ascii="仿宋" w:hAnsi="仿宋" w:eastAsia="仿宋" w:cs="仿宋_GB2312"/>
                <w:sz w:val="24"/>
              </w:rPr>
            </w:pPr>
          </w:p>
        </w:tc>
        <w:tc>
          <w:tcPr>
            <w:tcW w:w="1332"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1531" w:type="dxa"/>
            <w:noWrap w:val="0"/>
            <w:vAlign w:val="center"/>
          </w:tcPr>
          <w:p>
            <w:pPr>
              <w:snapToGrid w:val="0"/>
              <w:spacing w:line="360" w:lineRule="auto"/>
              <w:jc w:val="center"/>
              <w:rPr>
                <w:rFonts w:hint="eastAsia" w:ascii="仿宋" w:hAnsi="仿宋" w:eastAsia="仿宋" w:cs="仿宋_GB2312"/>
                <w:sz w:val="24"/>
              </w:rPr>
            </w:pPr>
          </w:p>
        </w:tc>
        <w:tc>
          <w:tcPr>
            <w:tcW w:w="2160" w:type="dxa"/>
            <w:noWrap w:val="0"/>
            <w:vAlign w:val="center"/>
          </w:tcPr>
          <w:p>
            <w:pPr>
              <w:snapToGrid w:val="0"/>
              <w:spacing w:line="360" w:lineRule="auto"/>
              <w:jc w:val="center"/>
              <w:rPr>
                <w:rFonts w:hint="eastAsia" w:ascii="仿宋" w:hAnsi="仿宋" w:eastAsia="仿宋" w:cs="仿宋_GB2312"/>
                <w:sz w:val="24"/>
              </w:rPr>
            </w:pPr>
          </w:p>
        </w:tc>
        <w:tc>
          <w:tcPr>
            <w:tcW w:w="2340" w:type="dxa"/>
            <w:noWrap w:val="0"/>
            <w:vAlign w:val="center"/>
          </w:tcPr>
          <w:p>
            <w:pPr>
              <w:spacing w:line="360" w:lineRule="auto"/>
              <w:jc w:val="center"/>
              <w:rPr>
                <w:rFonts w:hint="eastAsia" w:ascii="仿宋" w:hAnsi="仿宋" w:eastAsia="仿宋" w:cs="仿宋_GB2312"/>
                <w:sz w:val="24"/>
              </w:rPr>
            </w:pPr>
          </w:p>
        </w:tc>
        <w:tc>
          <w:tcPr>
            <w:tcW w:w="1080" w:type="dxa"/>
            <w:noWrap w:val="0"/>
            <w:vAlign w:val="center"/>
          </w:tcPr>
          <w:p>
            <w:pPr>
              <w:spacing w:line="360" w:lineRule="auto"/>
              <w:jc w:val="center"/>
              <w:rPr>
                <w:rFonts w:hint="eastAsia" w:ascii="仿宋" w:hAnsi="仿宋" w:eastAsia="仿宋" w:cs="仿宋_GB2312"/>
                <w:sz w:val="24"/>
              </w:rPr>
            </w:pPr>
          </w:p>
        </w:tc>
        <w:tc>
          <w:tcPr>
            <w:tcW w:w="1332"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1531" w:type="dxa"/>
            <w:noWrap w:val="0"/>
            <w:vAlign w:val="center"/>
          </w:tcPr>
          <w:p>
            <w:pPr>
              <w:snapToGrid w:val="0"/>
              <w:spacing w:line="360" w:lineRule="auto"/>
              <w:jc w:val="center"/>
              <w:rPr>
                <w:rFonts w:hint="eastAsia" w:ascii="仿宋" w:hAnsi="仿宋" w:eastAsia="仿宋" w:cs="仿宋_GB2312"/>
                <w:sz w:val="24"/>
              </w:rPr>
            </w:pPr>
          </w:p>
        </w:tc>
        <w:tc>
          <w:tcPr>
            <w:tcW w:w="2160" w:type="dxa"/>
            <w:noWrap w:val="0"/>
            <w:vAlign w:val="center"/>
          </w:tcPr>
          <w:p>
            <w:pPr>
              <w:snapToGrid w:val="0"/>
              <w:spacing w:line="360" w:lineRule="auto"/>
              <w:jc w:val="center"/>
              <w:rPr>
                <w:rFonts w:hint="eastAsia" w:ascii="仿宋" w:hAnsi="仿宋" w:eastAsia="仿宋" w:cs="仿宋_GB2312"/>
                <w:sz w:val="24"/>
              </w:rPr>
            </w:pPr>
          </w:p>
        </w:tc>
        <w:tc>
          <w:tcPr>
            <w:tcW w:w="2340" w:type="dxa"/>
            <w:noWrap w:val="0"/>
            <w:vAlign w:val="center"/>
          </w:tcPr>
          <w:p>
            <w:pPr>
              <w:spacing w:line="360" w:lineRule="auto"/>
              <w:jc w:val="center"/>
              <w:rPr>
                <w:rFonts w:hint="eastAsia" w:ascii="仿宋" w:hAnsi="仿宋" w:eastAsia="仿宋" w:cs="仿宋_GB2312"/>
                <w:sz w:val="24"/>
              </w:rPr>
            </w:pPr>
          </w:p>
        </w:tc>
        <w:tc>
          <w:tcPr>
            <w:tcW w:w="1080" w:type="dxa"/>
            <w:noWrap w:val="0"/>
            <w:vAlign w:val="center"/>
          </w:tcPr>
          <w:p>
            <w:pPr>
              <w:spacing w:line="360" w:lineRule="auto"/>
              <w:jc w:val="center"/>
              <w:rPr>
                <w:rFonts w:hint="eastAsia" w:ascii="仿宋" w:hAnsi="仿宋" w:eastAsia="仿宋" w:cs="仿宋_GB2312"/>
                <w:sz w:val="24"/>
              </w:rPr>
            </w:pPr>
          </w:p>
        </w:tc>
        <w:tc>
          <w:tcPr>
            <w:tcW w:w="1332"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4</w:t>
            </w:r>
          </w:p>
        </w:tc>
        <w:tc>
          <w:tcPr>
            <w:tcW w:w="1531" w:type="dxa"/>
            <w:noWrap w:val="0"/>
            <w:vAlign w:val="center"/>
          </w:tcPr>
          <w:p>
            <w:pPr>
              <w:snapToGrid w:val="0"/>
              <w:spacing w:line="360" w:lineRule="auto"/>
              <w:jc w:val="center"/>
              <w:rPr>
                <w:rFonts w:hint="eastAsia" w:ascii="仿宋" w:hAnsi="仿宋" w:eastAsia="仿宋" w:cs="仿宋_GB2312"/>
                <w:sz w:val="24"/>
              </w:rPr>
            </w:pPr>
          </w:p>
        </w:tc>
        <w:tc>
          <w:tcPr>
            <w:tcW w:w="2160" w:type="dxa"/>
            <w:noWrap w:val="0"/>
            <w:vAlign w:val="center"/>
          </w:tcPr>
          <w:p>
            <w:pPr>
              <w:snapToGrid w:val="0"/>
              <w:spacing w:line="360" w:lineRule="auto"/>
              <w:jc w:val="center"/>
              <w:rPr>
                <w:rFonts w:hint="eastAsia" w:ascii="仿宋" w:hAnsi="仿宋" w:eastAsia="仿宋" w:cs="仿宋_GB2312"/>
                <w:sz w:val="24"/>
              </w:rPr>
            </w:pPr>
          </w:p>
        </w:tc>
        <w:tc>
          <w:tcPr>
            <w:tcW w:w="2340" w:type="dxa"/>
            <w:noWrap w:val="0"/>
            <w:vAlign w:val="center"/>
          </w:tcPr>
          <w:p>
            <w:pPr>
              <w:spacing w:line="360" w:lineRule="auto"/>
              <w:jc w:val="center"/>
              <w:rPr>
                <w:rFonts w:hint="eastAsia" w:ascii="仿宋" w:hAnsi="仿宋" w:eastAsia="仿宋" w:cs="仿宋_GB2312"/>
                <w:sz w:val="24"/>
              </w:rPr>
            </w:pPr>
          </w:p>
        </w:tc>
        <w:tc>
          <w:tcPr>
            <w:tcW w:w="1080" w:type="dxa"/>
            <w:noWrap w:val="0"/>
            <w:vAlign w:val="center"/>
          </w:tcPr>
          <w:p>
            <w:pPr>
              <w:spacing w:line="360" w:lineRule="auto"/>
              <w:jc w:val="center"/>
              <w:rPr>
                <w:rFonts w:hint="eastAsia" w:ascii="仿宋" w:hAnsi="仿宋" w:eastAsia="仿宋" w:cs="仿宋_GB2312"/>
                <w:sz w:val="24"/>
              </w:rPr>
            </w:pPr>
          </w:p>
        </w:tc>
        <w:tc>
          <w:tcPr>
            <w:tcW w:w="1332"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531" w:type="dxa"/>
            <w:noWrap w:val="0"/>
            <w:vAlign w:val="center"/>
          </w:tcPr>
          <w:p>
            <w:pPr>
              <w:snapToGrid w:val="0"/>
              <w:spacing w:line="360" w:lineRule="auto"/>
              <w:jc w:val="center"/>
              <w:rPr>
                <w:rFonts w:hint="eastAsia" w:ascii="仿宋" w:hAnsi="仿宋" w:eastAsia="仿宋" w:cs="仿宋_GB2312"/>
                <w:sz w:val="24"/>
              </w:rPr>
            </w:pPr>
          </w:p>
        </w:tc>
        <w:tc>
          <w:tcPr>
            <w:tcW w:w="2160" w:type="dxa"/>
            <w:noWrap w:val="0"/>
            <w:vAlign w:val="center"/>
          </w:tcPr>
          <w:p>
            <w:pPr>
              <w:snapToGrid w:val="0"/>
              <w:spacing w:line="360" w:lineRule="auto"/>
              <w:jc w:val="center"/>
              <w:rPr>
                <w:rFonts w:hint="eastAsia" w:ascii="仿宋" w:hAnsi="仿宋" w:eastAsia="仿宋" w:cs="仿宋_GB2312"/>
                <w:sz w:val="24"/>
              </w:rPr>
            </w:pPr>
          </w:p>
        </w:tc>
        <w:tc>
          <w:tcPr>
            <w:tcW w:w="2340" w:type="dxa"/>
            <w:noWrap w:val="0"/>
            <w:vAlign w:val="center"/>
          </w:tcPr>
          <w:p>
            <w:pPr>
              <w:spacing w:line="360" w:lineRule="auto"/>
              <w:jc w:val="center"/>
              <w:rPr>
                <w:rFonts w:hint="eastAsia" w:ascii="仿宋" w:hAnsi="仿宋" w:eastAsia="仿宋" w:cs="仿宋_GB2312"/>
                <w:sz w:val="24"/>
              </w:rPr>
            </w:pPr>
          </w:p>
        </w:tc>
        <w:tc>
          <w:tcPr>
            <w:tcW w:w="1080" w:type="dxa"/>
            <w:noWrap w:val="0"/>
            <w:vAlign w:val="center"/>
          </w:tcPr>
          <w:p>
            <w:pPr>
              <w:spacing w:line="360" w:lineRule="auto"/>
              <w:jc w:val="center"/>
              <w:rPr>
                <w:rFonts w:hint="eastAsia" w:ascii="仿宋" w:hAnsi="仿宋" w:eastAsia="仿宋" w:cs="仿宋_GB2312"/>
                <w:sz w:val="24"/>
              </w:rPr>
            </w:pPr>
          </w:p>
        </w:tc>
        <w:tc>
          <w:tcPr>
            <w:tcW w:w="1332" w:type="dxa"/>
            <w:noWrap w:val="0"/>
            <w:vAlign w:val="center"/>
          </w:tcPr>
          <w:p>
            <w:pPr>
              <w:spacing w:line="360" w:lineRule="auto"/>
              <w:jc w:val="center"/>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b/>
          <w:kern w:val="0"/>
          <w:sz w:val="28"/>
          <w:szCs w:val="28"/>
        </w:rPr>
      </w:pPr>
      <w:r>
        <w:rPr>
          <w:rFonts w:hint="eastAsia" w:ascii="仿宋" w:hAnsi="仿宋" w:eastAsia="仿宋" w:cs="仿宋_GB2312"/>
          <w:b/>
          <w:sz w:val="24"/>
        </w:rPr>
        <w:t>注：如果本项目涉及硬件设备采购，须在技术文件中提供此配置清单</w:t>
      </w:r>
      <w:r>
        <w:rPr>
          <w:rFonts w:hint="eastAsia" w:ascii="仿宋" w:hAnsi="仿宋" w:eastAsia="仿宋" w:cs="仿宋_GB2312"/>
          <w:b/>
          <w:sz w:val="28"/>
          <w:szCs w:val="28"/>
        </w:rPr>
        <w:t>。</w:t>
      </w:r>
    </w:p>
    <w:p>
      <w:pPr>
        <w:autoSpaceDE w:val="0"/>
        <w:autoSpaceDN w:val="0"/>
        <w:spacing w:line="360" w:lineRule="auto"/>
        <w:rPr>
          <w:rFonts w:hint="eastAsia" w:ascii="仿宋" w:hAnsi="仿宋" w:eastAsia="仿宋" w:cs="仿宋_GB2312"/>
          <w:b/>
          <w:kern w:val="0"/>
          <w:sz w:val="28"/>
          <w:szCs w:val="28"/>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jc w:val="center"/>
        <w:rPr>
          <w:rFonts w:hint="eastAsia" w:ascii="仿宋" w:hAnsi="仿宋" w:eastAsia="仿宋" w:cs="仿宋_GB2312"/>
          <w:b/>
          <w:bCs/>
          <w:kern w:val="0"/>
          <w:sz w:val="24"/>
          <w:lang w:val="zh-CN"/>
        </w:rPr>
      </w:pPr>
      <w:r>
        <w:rPr>
          <w:rFonts w:hint="eastAsia" w:ascii="仿宋" w:hAnsi="仿宋" w:eastAsia="仿宋" w:cs="仿宋_GB2312"/>
          <w:kern w:val="0"/>
          <w:sz w:val="24"/>
        </w:rPr>
        <w:t xml:space="preserve">                     日期：  年  月   日</w:t>
      </w: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ab/>
      </w:r>
      <w:r>
        <w:rPr>
          <w:rFonts w:hint="eastAsia" w:ascii="仿宋" w:hAnsi="仿宋" w:eastAsia="仿宋" w:cs="仿宋_GB2312"/>
          <w:b/>
          <w:bCs/>
          <w:kern w:val="0"/>
          <w:sz w:val="24"/>
          <w:lang w:val="zh-CN"/>
        </w:rPr>
        <w:tab/>
      </w:r>
      <w:r>
        <w:rPr>
          <w:rFonts w:hint="eastAsia" w:ascii="仿宋" w:hAnsi="仿宋" w:eastAsia="仿宋" w:cs="仿宋_GB2312"/>
          <w:b/>
          <w:bCs/>
          <w:kern w:val="0"/>
          <w:sz w:val="24"/>
          <w:lang w:val="zh-CN"/>
        </w:rPr>
        <w:t xml:space="preserve">                        </w:t>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九、技术偏离说明表</w:t>
      </w:r>
    </w:p>
    <w:p>
      <w:pPr>
        <w:spacing w:line="360" w:lineRule="auto"/>
        <w:jc w:val="center"/>
        <w:rPr>
          <w:rFonts w:hint="eastAsia" w:ascii="仿宋" w:hAnsi="仿宋" w:eastAsia="仿宋" w:cs="仿宋_GB2312"/>
          <w:b/>
          <w:bCs/>
          <w:sz w:val="18"/>
          <w:szCs w:val="18"/>
        </w:rPr>
      </w:pPr>
    </w:p>
    <w:tbl>
      <w:tblPr>
        <w:tblStyle w:val="8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r>
    </w:tbl>
    <w:p>
      <w:pPr>
        <w:autoSpaceDE w:val="0"/>
        <w:autoSpaceDN w:val="0"/>
        <w:spacing w:line="360" w:lineRule="auto"/>
        <w:ind w:firstLine="5040" w:firstLineChars="2100"/>
        <w:rPr>
          <w:rFonts w:hint="eastAsia" w:ascii="仿宋" w:hAnsi="仿宋" w:eastAsia="仿宋" w:cs="仿宋_GB2312"/>
          <w:kern w:val="0"/>
          <w:sz w:val="24"/>
          <w:lang w:val="zh-CN"/>
        </w:rPr>
      </w:pPr>
    </w:p>
    <w:p>
      <w:pPr>
        <w:autoSpaceDE w:val="0"/>
        <w:autoSpaceDN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 </w:t>
      </w:r>
    </w:p>
    <w:p>
      <w:pPr>
        <w:spacing w:line="360" w:lineRule="auto"/>
        <w:jc w:val="center"/>
        <w:rPr>
          <w:rFonts w:hint="eastAsia" w:ascii="仿宋" w:hAnsi="仿宋" w:eastAsia="仿宋" w:cs="仿宋_GB2312"/>
          <w:b/>
          <w:sz w:val="24"/>
        </w:rPr>
      </w:pPr>
      <w:r>
        <w:rPr>
          <w:rFonts w:hint="eastAsia" w:ascii="仿宋" w:hAnsi="仿宋" w:eastAsia="仿宋" w:cs="仿宋_GB2312"/>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kern w:val="0"/>
          <w:sz w:val="36"/>
          <w:szCs w:val="36"/>
          <w:lang w:val="zh-CN"/>
        </w:rPr>
      </w:pPr>
      <w:r>
        <w:rPr>
          <w:rFonts w:hint="eastAsia" w:ascii="仿宋" w:hAnsi="仿宋" w:eastAsia="仿宋" w:cs="仿宋_GB2312"/>
          <w:b/>
          <w:bCs/>
          <w:kern w:val="0"/>
          <w:sz w:val="36"/>
          <w:szCs w:val="36"/>
          <w:lang w:val="zh-CN"/>
        </w:rPr>
        <w:t xml:space="preserve"> </w:t>
      </w: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kern w:val="0"/>
          <w:sz w:val="32"/>
          <w:szCs w:val="32"/>
          <w:lang w:val="zh-CN"/>
        </w:rPr>
      </w:pPr>
      <w:r>
        <w:rPr>
          <w:rFonts w:hint="eastAsia" w:ascii="仿宋" w:hAnsi="仿宋" w:eastAsia="仿宋" w:cs="仿宋_GB2312"/>
          <w:b/>
          <w:bCs/>
          <w:kern w:val="0"/>
          <w:sz w:val="32"/>
          <w:szCs w:val="32"/>
          <w:lang w:val="zh-CN"/>
        </w:rPr>
        <w:t>十、组织实施方案</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_GB2312"/>
          <w:b/>
          <w:bCs/>
          <w:kern w:val="0"/>
          <w:sz w:val="24"/>
          <w:lang w:val="zh-CN"/>
        </w:rPr>
      </w:pPr>
    </w:p>
    <w:p>
      <w:pPr>
        <w:tabs>
          <w:tab w:val="left" w:pos="2790"/>
          <w:tab w:val="left" w:pos="4230"/>
        </w:tabs>
        <w:autoSpaceDE w:val="0"/>
        <w:autoSpaceDN w:val="0"/>
        <w:spacing w:line="360" w:lineRule="auto"/>
        <w:ind w:right="1400"/>
        <w:outlineLvl w:val="1"/>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附表:项目实施进度计划表</w:t>
      </w:r>
      <w:r>
        <w:rPr>
          <w:rFonts w:hint="eastAsia" w:ascii="仿宋" w:hAnsi="仿宋" w:eastAsia="仿宋" w:cs="仿宋_GB2312"/>
          <w:b/>
          <w:sz w:val="24"/>
        </w:rPr>
        <w:t xml:space="preserve">(以生效日算起) </w:t>
      </w:r>
    </w:p>
    <w:tbl>
      <w:tblPr>
        <w:tblStyle w:val="8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9" w:hRule="atLeast"/>
        </w:trPr>
        <w:tc>
          <w:tcPr>
            <w:tcW w:w="1188"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lang/>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5"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Sp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pPr>
                                      <w:snapToGrid w:val="0"/>
                                    </w:pPr>
                                    <w:r>
                                      <w:rPr>
                                        <w:rFonts w:hint="eastAsia"/>
                                      </w:rPr>
                                      <w:t>工</w:t>
                                    </w:r>
                                  </w:p>
                                </w:txbxContent>
                              </wps:txbx>
                              <wps:bodyPr wrap="square" lIns="0" tIns="0" rIns="0" bIns="0" upright="1"/>
                            </wps:wsp>
                            <wps:wsp>
                              <wps:cNvPr id="3" name="__TH_B124"/>
                              <wps:cNvSpPr txBox="1"/>
                              <wps:spPr>
                                <a:xfrm>
                                  <a:off x="643" y="419"/>
                                  <a:ext cx="253" cy="263"/>
                                </a:xfrm>
                                <a:prstGeom prst="rect">
                                  <a:avLst/>
                                </a:prstGeom>
                                <a:noFill/>
                                <a:ln>
                                  <a:noFill/>
                                </a:ln>
                              </wps:spPr>
                              <wps:txbx>
                                <w:txbxContent>
                                  <w:p>
                                    <w:pPr>
                                      <w:snapToGrid w:val="0"/>
                                    </w:pPr>
                                    <w:r>
                                      <w:rPr>
                                        <w:rFonts w:hint="eastAsia"/>
                                      </w:rPr>
                                      <w:t>作</w:t>
                                    </w:r>
                                  </w:p>
                                </w:txbxContent>
                              </wps:txbx>
                              <wps:bodyPr wrap="square" lIns="0" tIns="0" rIns="0" bIns="0" upright="1"/>
                            </wps:wsp>
                            <wps:wsp>
                              <wps:cNvPr id="4" name="__TH_B135"/>
                              <wps:cNvSpPr txBox="1"/>
                              <wps:spPr>
                                <a:xfrm>
                                  <a:off x="831" y="717"/>
                                  <a:ext cx="253" cy="262"/>
                                </a:xfrm>
                                <a:prstGeom prst="rect">
                                  <a:avLst/>
                                </a:prstGeom>
                                <a:noFill/>
                                <a:ln>
                                  <a:noFill/>
                                </a:ln>
                              </wps:spPr>
                              <wps:txbx>
                                <w:txbxContent>
                                  <w:p>
                                    <w:pPr>
                                      <w:snapToGrid w:val="0"/>
                                    </w:pPr>
                                    <w:r>
                                      <w:rPr>
                                        <w:rFonts w:hint="eastAsia"/>
                                      </w:rPr>
                                      <w:t>日</w:t>
                                    </w:r>
                                  </w:p>
                                </w:txbxContent>
                              </wps:txbx>
                              <wps:bodyPr wrap="square" lIns="0" tIns="0" rIns="0" bIns="0" upright="1"/>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sMp95vECAADbCQAADgAAAGRycy9lMm9Eb2MueG1s7VbJ btswEL0X6D8QvDcy5bVC5ACpk7RA0AZIeg5oiVoAimRJ2rLvPfSY/+n3FP2NDqkljbPATYEWKOqD POIynHnvzVCHR5uKozXTppQixuRggBETiUxLkcf449XpqxlGxlKRUi4Fi/GWGXw0f/nisFYRC2Uh eco0AifCRLWKcWGtioLAJAWrqDmQigmYzKSuqIVXnQeppjV4r3gQDgaToJY6VVomzBgYXTSTuPWo 93Eos6xM2EImq4oJ23jVjFMLKZmiVAbPfbRZxhL7IcsMs4jHGDK1/gmHgL10z2B+SKNcU1WUSRsC 3SeEnZwqWgo4tHe1oJailS7vuarKREsjM3uQyCpoEvGIQBZksIPNmZYr5XPJozpXPehA1A7qz3ab vF9faFSmMR5jJGgFhH//+vnbzRcUOmxqlUew5EyrS3Wh24G8eXPpbjJduX9IBG08qtseVbaxKIHB 6Wg2GALeCUwRMiNk0MKeFMDNvW1JcdJuJGQKWvTbZhO/J+hODFxgfRy1AimaW3zM7+FzWVDFPOzG Jd/iQzp8rq+v3l6ft/D4FT02JjIA077APJEfjZQ29ozJCjkjxrwULiQa0fW5sUAEQNEtccNcoDrG k+HYAU2hLDMoBzArBdQakfu9RvIyPS05dzuMzpdvuEZr6krD/xzj4PfOMnfIgpqiWeenmqIpGE1P RIrsVoFoBPQK7EKoWIoRZ9BanAUOaWRpyfdZCUdzARE4OhscnbWU6RYoWCld5gUgQXyULeVOoX+A +/AO98eEDF0Q7mjQh2Mf2c2xBK374Nz4IzoYjaHMXB2EXj806ookHA8bqYcT77tX+i3NrRI09LSn lCCkY9gD79CkUT/wML52s9y0ybRQ19AOQTSfVlQDp/ydgHpyvbMzdGcsO+OvkgPANY3LF+YxCUfP JGcyAldAzoi8boT7n5xfuKwe7pqjHXKG42eSMxtCAwZypmT6KDm+pv6NyvEXHNz5viG33yfuo+Ln d98qb7/J5j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YgUAAFtDb250ZW50X1R5cGVzXS54bWxQSwECFAAKAAAAAACHTuJAAAAAAAAAAAAAAAAA BgAAAAAAAAAAABAAAABEBAAAX3JlbHMvUEsBAhQAFAAAAAgAh07iQIoUZjzRAAAAlAEAAAsAAAAA AAAAAQAgAAAAaAQAAF9yZWxzLy5yZWxzUEsBAhQACgAAAAAAh07iQAAAAAAAAAAAAAAAAAQAAAAA AAAAAAAQAAAAAAAAAGRycy9QSwECFAAUAAAACACHTuJA9ctcntgAAAAIAQAADwAAAAAAAAABACAA AAAiAAAAZHJzL2Rvd25yZXYueG1sUEsBAhQAFAAAAAgAh07iQLDKfebxAgAA2wkAAA4AAAAAAAAA AQAgAAAAJwEAAGRycy9lMm9Eb2MueG1sUEsFBgAAAAAGAAYAWQEAAIoGAAAAAA== ">
                      <o:lock v:ext="edit" grouping="f" rotation="f" text="f" aspectratio="f"/>
                      <v:line id="__TH_L2" o:spid="_x0000_s1026" o:spt="20" style="position:absolute;left:0;top:0;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 AAAADwAAAGRycy9kb3ducmV2LnhtbEWPT2sCMRTE7wW/Q3iCt26iB9GtUUpREARx3R56fN08d4Ob l3UT//TbN4WCx2FmfsMsVg/Xihv1wXrWMM4UCOLKG8u1hs9y8zoDESKywdYzafihAKvl4GWBufF3 Luh2jLVIEA45amhi7HIpQ9WQw5D5jjh5J987jEn2tTQ93hPctXKi1FQ6tJwWGuzoo6HqfLw6De9f XKztZf99KE6FLcu54t30rPVoOFZvICI94jP8394aDRP4u5JugFz+Al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RpV0I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 AAAADwAAAGRycy9kb3ducmV2LnhtbEWPQWsCMRSE70L/Q3gFb5pYQX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6fiT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 AAAADwAAAGRycy9kb3ducmV2LnhtbEWPQWsCMRSE70L/Q3gFb5pYR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xAGDn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内容</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3</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4</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5</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6</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7</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8</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9</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10</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11</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12</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13</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14</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15</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b/>
          <w:sz w:val="24"/>
        </w:rPr>
        <w:t>注：投标人可按上述时间表的格式自行编制切合实际的具体时间表。</w:t>
      </w:r>
    </w:p>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十一、售后服务方案</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附表A:售后服务机构情况表</w:t>
      </w:r>
      <w:r>
        <w:rPr>
          <w:rFonts w:hint="eastAsia" w:ascii="仿宋" w:hAnsi="仿宋" w:eastAsia="仿宋" w:cs="仿宋_GB2312"/>
          <w:sz w:val="24"/>
        </w:rPr>
        <w:t>（按此格式自制）</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2340"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机构名称</w:t>
            </w:r>
          </w:p>
        </w:tc>
        <w:tc>
          <w:tcPr>
            <w:tcW w:w="1095"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机构性质</w:t>
            </w:r>
          </w:p>
        </w:tc>
        <w:tc>
          <w:tcPr>
            <w:tcW w:w="1245"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注册地址</w:t>
            </w:r>
          </w:p>
        </w:tc>
        <w:tc>
          <w:tcPr>
            <w:tcW w:w="1980"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服务技术人员数量</w:t>
            </w:r>
          </w:p>
        </w:tc>
        <w:tc>
          <w:tcPr>
            <w:tcW w:w="1260"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sz w:val="24"/>
              </w:rPr>
            </w:pPr>
          </w:p>
        </w:tc>
        <w:tc>
          <w:tcPr>
            <w:tcW w:w="2340" w:type="dxa"/>
            <w:noWrap w:val="0"/>
            <w:vAlign w:val="top"/>
          </w:tcPr>
          <w:p>
            <w:pPr>
              <w:autoSpaceDE w:val="0"/>
              <w:autoSpaceDN w:val="0"/>
              <w:spacing w:line="360" w:lineRule="auto"/>
              <w:jc w:val="center"/>
              <w:rPr>
                <w:rFonts w:hint="eastAsia" w:ascii="仿宋" w:hAnsi="仿宋" w:eastAsia="仿宋" w:cs="仿宋_GB2312"/>
                <w:sz w:val="24"/>
              </w:rPr>
            </w:pPr>
          </w:p>
        </w:tc>
        <w:tc>
          <w:tcPr>
            <w:tcW w:w="1095" w:type="dxa"/>
            <w:noWrap w:val="0"/>
            <w:vAlign w:val="top"/>
          </w:tcPr>
          <w:p>
            <w:pPr>
              <w:autoSpaceDE w:val="0"/>
              <w:autoSpaceDN w:val="0"/>
              <w:spacing w:line="360" w:lineRule="auto"/>
              <w:jc w:val="center"/>
              <w:rPr>
                <w:rFonts w:hint="eastAsia" w:ascii="仿宋" w:hAnsi="仿宋" w:eastAsia="仿宋" w:cs="仿宋_GB2312"/>
                <w:sz w:val="24"/>
              </w:rPr>
            </w:pPr>
          </w:p>
        </w:tc>
        <w:tc>
          <w:tcPr>
            <w:tcW w:w="1245" w:type="dxa"/>
            <w:noWrap w:val="0"/>
            <w:vAlign w:val="top"/>
          </w:tcPr>
          <w:p>
            <w:pPr>
              <w:autoSpaceDE w:val="0"/>
              <w:autoSpaceDN w:val="0"/>
              <w:spacing w:line="360" w:lineRule="auto"/>
              <w:jc w:val="center"/>
              <w:rPr>
                <w:rFonts w:hint="eastAsia" w:ascii="仿宋" w:hAnsi="仿宋" w:eastAsia="仿宋" w:cs="仿宋_GB2312"/>
                <w:sz w:val="24"/>
              </w:rPr>
            </w:pPr>
          </w:p>
        </w:tc>
        <w:tc>
          <w:tcPr>
            <w:tcW w:w="1980" w:type="dxa"/>
            <w:noWrap w:val="0"/>
            <w:vAlign w:val="top"/>
          </w:tcPr>
          <w:p>
            <w:pPr>
              <w:autoSpaceDE w:val="0"/>
              <w:autoSpaceDN w:val="0"/>
              <w:spacing w:line="360" w:lineRule="auto"/>
              <w:jc w:val="center"/>
              <w:rPr>
                <w:rFonts w:hint="eastAsia" w:ascii="仿宋" w:hAnsi="仿宋" w:eastAsia="仿宋" w:cs="仿宋_GB2312"/>
                <w:sz w:val="24"/>
              </w:rPr>
            </w:pPr>
          </w:p>
        </w:tc>
        <w:tc>
          <w:tcPr>
            <w:tcW w:w="1260" w:type="dxa"/>
            <w:noWrap w:val="0"/>
            <w:vAlign w:val="top"/>
          </w:tcPr>
          <w:p>
            <w:pPr>
              <w:autoSpaceDE w:val="0"/>
              <w:autoSpaceDN w:val="0"/>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sz w:val="24"/>
              </w:rPr>
            </w:pPr>
          </w:p>
        </w:tc>
        <w:tc>
          <w:tcPr>
            <w:tcW w:w="2340" w:type="dxa"/>
            <w:noWrap w:val="0"/>
            <w:vAlign w:val="top"/>
          </w:tcPr>
          <w:p>
            <w:pPr>
              <w:autoSpaceDE w:val="0"/>
              <w:autoSpaceDN w:val="0"/>
              <w:spacing w:line="360" w:lineRule="auto"/>
              <w:jc w:val="center"/>
              <w:rPr>
                <w:rFonts w:hint="eastAsia" w:ascii="仿宋" w:hAnsi="仿宋" w:eastAsia="仿宋" w:cs="仿宋_GB2312"/>
                <w:sz w:val="24"/>
              </w:rPr>
            </w:pPr>
          </w:p>
        </w:tc>
        <w:tc>
          <w:tcPr>
            <w:tcW w:w="1095" w:type="dxa"/>
            <w:noWrap w:val="0"/>
            <w:vAlign w:val="top"/>
          </w:tcPr>
          <w:p>
            <w:pPr>
              <w:autoSpaceDE w:val="0"/>
              <w:autoSpaceDN w:val="0"/>
              <w:spacing w:line="360" w:lineRule="auto"/>
              <w:jc w:val="center"/>
              <w:rPr>
                <w:rFonts w:hint="eastAsia" w:ascii="仿宋" w:hAnsi="仿宋" w:eastAsia="仿宋" w:cs="仿宋_GB2312"/>
                <w:sz w:val="24"/>
              </w:rPr>
            </w:pPr>
          </w:p>
        </w:tc>
        <w:tc>
          <w:tcPr>
            <w:tcW w:w="1245" w:type="dxa"/>
            <w:noWrap w:val="0"/>
            <w:vAlign w:val="top"/>
          </w:tcPr>
          <w:p>
            <w:pPr>
              <w:autoSpaceDE w:val="0"/>
              <w:autoSpaceDN w:val="0"/>
              <w:spacing w:line="360" w:lineRule="auto"/>
              <w:jc w:val="center"/>
              <w:rPr>
                <w:rFonts w:hint="eastAsia" w:ascii="仿宋" w:hAnsi="仿宋" w:eastAsia="仿宋" w:cs="仿宋_GB2312"/>
                <w:sz w:val="24"/>
              </w:rPr>
            </w:pPr>
          </w:p>
        </w:tc>
        <w:tc>
          <w:tcPr>
            <w:tcW w:w="1980" w:type="dxa"/>
            <w:noWrap w:val="0"/>
            <w:vAlign w:val="top"/>
          </w:tcPr>
          <w:p>
            <w:pPr>
              <w:autoSpaceDE w:val="0"/>
              <w:autoSpaceDN w:val="0"/>
              <w:spacing w:line="360" w:lineRule="auto"/>
              <w:jc w:val="center"/>
              <w:rPr>
                <w:rFonts w:hint="eastAsia" w:ascii="仿宋" w:hAnsi="仿宋" w:eastAsia="仿宋" w:cs="仿宋_GB2312"/>
                <w:sz w:val="24"/>
              </w:rPr>
            </w:pPr>
          </w:p>
        </w:tc>
        <w:tc>
          <w:tcPr>
            <w:tcW w:w="1260" w:type="dxa"/>
            <w:noWrap w:val="0"/>
            <w:vAlign w:val="top"/>
          </w:tcPr>
          <w:p>
            <w:pPr>
              <w:autoSpaceDE w:val="0"/>
              <w:autoSpaceDN w:val="0"/>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sz w:val="24"/>
              </w:rPr>
            </w:pPr>
          </w:p>
        </w:tc>
        <w:tc>
          <w:tcPr>
            <w:tcW w:w="2340" w:type="dxa"/>
            <w:noWrap w:val="0"/>
            <w:vAlign w:val="top"/>
          </w:tcPr>
          <w:p>
            <w:pPr>
              <w:autoSpaceDE w:val="0"/>
              <w:autoSpaceDN w:val="0"/>
              <w:spacing w:line="360" w:lineRule="auto"/>
              <w:jc w:val="center"/>
              <w:rPr>
                <w:rFonts w:hint="eastAsia" w:ascii="仿宋" w:hAnsi="仿宋" w:eastAsia="仿宋" w:cs="仿宋_GB2312"/>
                <w:sz w:val="24"/>
              </w:rPr>
            </w:pPr>
          </w:p>
        </w:tc>
        <w:tc>
          <w:tcPr>
            <w:tcW w:w="1095" w:type="dxa"/>
            <w:noWrap w:val="0"/>
            <w:vAlign w:val="top"/>
          </w:tcPr>
          <w:p>
            <w:pPr>
              <w:autoSpaceDE w:val="0"/>
              <w:autoSpaceDN w:val="0"/>
              <w:spacing w:line="360" w:lineRule="auto"/>
              <w:jc w:val="center"/>
              <w:rPr>
                <w:rFonts w:hint="eastAsia" w:ascii="仿宋" w:hAnsi="仿宋" w:eastAsia="仿宋" w:cs="仿宋_GB2312"/>
                <w:sz w:val="24"/>
              </w:rPr>
            </w:pPr>
          </w:p>
        </w:tc>
        <w:tc>
          <w:tcPr>
            <w:tcW w:w="1245" w:type="dxa"/>
            <w:noWrap w:val="0"/>
            <w:vAlign w:val="top"/>
          </w:tcPr>
          <w:p>
            <w:pPr>
              <w:autoSpaceDE w:val="0"/>
              <w:autoSpaceDN w:val="0"/>
              <w:spacing w:line="360" w:lineRule="auto"/>
              <w:jc w:val="center"/>
              <w:rPr>
                <w:rFonts w:hint="eastAsia" w:ascii="仿宋" w:hAnsi="仿宋" w:eastAsia="仿宋" w:cs="仿宋_GB2312"/>
                <w:sz w:val="24"/>
              </w:rPr>
            </w:pPr>
          </w:p>
        </w:tc>
        <w:tc>
          <w:tcPr>
            <w:tcW w:w="1980" w:type="dxa"/>
            <w:noWrap w:val="0"/>
            <w:vAlign w:val="top"/>
          </w:tcPr>
          <w:p>
            <w:pPr>
              <w:autoSpaceDE w:val="0"/>
              <w:autoSpaceDN w:val="0"/>
              <w:spacing w:line="360" w:lineRule="auto"/>
              <w:jc w:val="center"/>
              <w:rPr>
                <w:rFonts w:hint="eastAsia" w:ascii="仿宋" w:hAnsi="仿宋" w:eastAsia="仿宋" w:cs="仿宋_GB2312"/>
                <w:sz w:val="24"/>
              </w:rPr>
            </w:pPr>
          </w:p>
        </w:tc>
        <w:tc>
          <w:tcPr>
            <w:tcW w:w="1260" w:type="dxa"/>
            <w:noWrap w:val="0"/>
            <w:vAlign w:val="top"/>
          </w:tcPr>
          <w:p>
            <w:pPr>
              <w:autoSpaceDE w:val="0"/>
              <w:autoSpaceDN w:val="0"/>
              <w:spacing w:line="360" w:lineRule="auto"/>
              <w:jc w:val="center"/>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注：关于项目涉及的所有售后服务机构均在本表注明，包括投标人本单位和符合条件的第三方服务机构；</w:t>
      </w:r>
    </w:p>
    <w:p>
      <w:pPr>
        <w:autoSpaceDE w:val="0"/>
        <w:autoSpaceDN w:val="0"/>
        <w:spacing w:line="360" w:lineRule="auto"/>
        <w:rPr>
          <w:rFonts w:hint="eastAsia" w:ascii="仿宋" w:hAnsi="仿宋" w:eastAsia="仿宋" w:cs="仿宋_GB2312"/>
          <w:kern w:val="0"/>
          <w:sz w:val="24"/>
        </w:rPr>
      </w:pP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b/>
          <w:kern w:val="0"/>
          <w:sz w:val="24"/>
        </w:rPr>
        <w:t>附表B：售后服务人员情况表</w:t>
      </w:r>
      <w:r>
        <w:rPr>
          <w:rFonts w:hint="eastAsia" w:ascii="仿宋" w:hAnsi="仿宋" w:eastAsia="仿宋" w:cs="仿宋_GB2312"/>
          <w:sz w:val="24"/>
        </w:rPr>
        <w:t>（按此格式自制）</w:t>
      </w:r>
    </w:p>
    <w:tbl>
      <w:tblPr>
        <w:tblStyle w:val="85"/>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wBefore w:w="0" w:type="dxa"/>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到达现场时间</w:t>
            </w:r>
          </w:p>
        </w:tc>
      </w:tr>
      <w:tr>
        <w:tblPrEx>
          <w:tblCellMar>
            <w:top w:w="0" w:type="dxa"/>
            <w:left w:w="108" w:type="dxa"/>
            <w:bottom w:w="0" w:type="dxa"/>
            <w:right w:w="108" w:type="dxa"/>
          </w:tblCellMar>
        </w:tblPrEx>
        <w:trPr>
          <w:wBefore w:w="0" w:type="dxa"/>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kern w:val="0"/>
          <w:sz w:val="24"/>
        </w:rPr>
      </w:pPr>
    </w:p>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24"/>
        </w:rPr>
      </w:pPr>
      <w:r>
        <w:rPr>
          <w:rFonts w:ascii="仿宋" w:hAnsi="仿宋" w:eastAsia="仿宋" w:cs="仿宋_GB2312"/>
          <w:b/>
          <w:bCs/>
          <w:sz w:val="24"/>
        </w:rPr>
        <w:br w:type="page"/>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十二、项目小组人员名单</w:t>
      </w:r>
    </w:p>
    <w:p>
      <w:pPr>
        <w:spacing w:line="360" w:lineRule="auto"/>
        <w:jc w:val="center"/>
        <w:rPr>
          <w:rFonts w:hint="eastAsia" w:ascii="仿宋" w:hAnsi="仿宋" w:eastAsia="仿宋" w:cs="仿宋_GB2312"/>
          <w:b/>
          <w:bCs/>
          <w:sz w:val="24"/>
        </w:rPr>
      </w:pPr>
      <w:r>
        <w:rPr>
          <w:rFonts w:hint="eastAsia" w:ascii="仿宋" w:hAnsi="仿宋" w:eastAsia="仿宋" w:cs="仿宋_GB2312"/>
          <w:sz w:val="24"/>
        </w:rPr>
        <w:t>（由投标人根据采购需求及招标文件要求编制）</w:t>
      </w:r>
    </w:p>
    <w:p>
      <w:pPr>
        <w:keepNext/>
        <w:autoSpaceDE w:val="0"/>
        <w:autoSpaceDN w:val="0"/>
        <w:spacing w:line="360" w:lineRule="auto"/>
        <w:ind w:firstLine="477"/>
        <w:rPr>
          <w:rFonts w:hint="eastAsia" w:ascii="仿宋" w:hAnsi="仿宋" w:eastAsia="仿宋" w:cs="仿宋_GB2312"/>
          <w:b/>
          <w:sz w:val="24"/>
        </w:rPr>
      </w:pPr>
      <w:r>
        <w:rPr>
          <w:rFonts w:hint="eastAsia" w:ascii="仿宋" w:hAnsi="仿宋" w:eastAsia="仿宋" w:cs="仿宋_GB2312"/>
          <w:b/>
          <w:sz w:val="24"/>
        </w:rPr>
        <w:t>附表A:本项目的项目经理情况表</w:t>
      </w:r>
    </w:p>
    <w:tbl>
      <w:tblPr>
        <w:tblStyle w:val="85"/>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注：须随表提交相应的证书复印件并注明所在投标技术文件页码。</w:t>
      </w:r>
    </w:p>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附表B:本项目的项目小组人员情况表</w:t>
      </w:r>
      <w:r>
        <w:rPr>
          <w:rFonts w:hint="eastAsia" w:ascii="仿宋" w:hAnsi="仿宋" w:eastAsia="仿宋" w:cs="仿宋_GB2312"/>
          <w:sz w:val="24"/>
        </w:rPr>
        <w:t>（按此格式自制）</w:t>
      </w:r>
    </w:p>
    <w:tbl>
      <w:tblPr>
        <w:tblStyle w:val="85"/>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参与本项目的到位情况</w:t>
            </w:r>
          </w:p>
        </w:tc>
      </w:tr>
      <w:tr>
        <w:tblPrEx>
          <w:tblCellMar>
            <w:top w:w="0" w:type="dxa"/>
            <w:left w:w="108" w:type="dxa"/>
            <w:bottom w:w="0" w:type="dxa"/>
            <w:right w:w="108" w:type="dxa"/>
          </w:tblCellMar>
        </w:tblPrEx>
        <w:trPr>
          <w:wBefore w:w="0" w:type="dxa"/>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spacing w:line="360" w:lineRule="auto"/>
        <w:rPr>
          <w:rFonts w:hint="eastAsia" w:ascii="仿宋" w:hAnsi="仿宋" w:eastAsia="仿宋" w:cs="仿宋_GB2312"/>
          <w:b/>
          <w:bCs/>
          <w:sz w:val="24"/>
        </w:rPr>
      </w:pPr>
      <w:r>
        <w:rPr>
          <w:rFonts w:hint="eastAsia" w:ascii="仿宋" w:hAnsi="仿宋" w:eastAsia="仿宋" w:cs="仿宋_GB2312"/>
          <w:b/>
          <w:sz w:val="24"/>
        </w:rPr>
        <w:t>注：投标人可按上述的格式自行编制，须随表提交相应的证书复印件并注明所在投标技术文件页码。</w:t>
      </w:r>
    </w:p>
    <w:p>
      <w:pPr>
        <w:spacing w:line="360" w:lineRule="auto"/>
        <w:rPr>
          <w:rFonts w:hint="eastAsia" w:ascii="仿宋" w:hAnsi="仿宋" w:eastAsia="仿宋" w:cs="仿宋_GB2312"/>
          <w:b/>
          <w:bCs/>
          <w:sz w:val="24"/>
        </w:rPr>
      </w:pPr>
      <w:r>
        <w:rPr>
          <w:rFonts w:hint="eastAsia" w:ascii="仿宋" w:hAnsi="仿宋" w:eastAsia="仿宋" w:cs="仿宋_GB2312"/>
          <w:b/>
          <w:sz w:val="24"/>
        </w:rPr>
        <w:t>附表C:本项目的项目经理和小组人员近3个月交纳社保记录情况表</w:t>
      </w:r>
      <w:r>
        <w:rPr>
          <w:rFonts w:hint="eastAsia" w:ascii="仿宋" w:hAnsi="仿宋" w:eastAsia="仿宋" w:cs="仿宋_GB2312"/>
          <w:sz w:val="24"/>
        </w:rPr>
        <w:t>（以社保局缴纳凭证作附件）</w:t>
      </w:r>
    </w:p>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十三、</w:t>
      </w:r>
      <w:r>
        <w:rPr>
          <w:rFonts w:hint="eastAsia" w:ascii="仿宋" w:hAnsi="仿宋" w:eastAsia="仿宋" w:cs="仿宋_GB2312"/>
          <w:b/>
          <w:kern w:val="0"/>
          <w:sz w:val="32"/>
          <w:szCs w:val="32"/>
          <w:lang w:val="zh-CN"/>
        </w:rPr>
        <w:t>优惠条件及特殊承诺</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jc w:val="center"/>
        <w:rPr>
          <w:rFonts w:hint="eastAsia" w:ascii="仿宋" w:hAnsi="仿宋" w:eastAsia="仿宋" w:cs="仿宋_GB2312"/>
          <w:sz w:val="18"/>
          <w:szCs w:val="18"/>
        </w:rPr>
      </w:pPr>
    </w:p>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jc w:val="center"/>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18"/>
          <w:szCs w:val="18"/>
        </w:rPr>
      </w:pP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十四、</w:t>
      </w:r>
      <w:r>
        <w:rPr>
          <w:rFonts w:hint="eastAsia" w:ascii="仿宋" w:hAnsi="仿宋" w:eastAsia="仿宋" w:cs="仿宋_GB2312"/>
          <w:b/>
          <w:kern w:val="0"/>
          <w:sz w:val="32"/>
          <w:szCs w:val="32"/>
          <w:lang w:val="zh-CN"/>
        </w:rPr>
        <w:t>备品备件及供选择的配套零部件清单</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十五、</w:t>
      </w:r>
      <w:r>
        <w:rPr>
          <w:rFonts w:hint="eastAsia" w:ascii="仿宋" w:hAnsi="仿宋" w:eastAsia="仿宋" w:cs="仿宋_GB2312"/>
          <w:b/>
          <w:kern w:val="0"/>
          <w:sz w:val="32"/>
          <w:szCs w:val="32"/>
          <w:lang w:val="zh-CN"/>
        </w:rPr>
        <w:t>培训计划</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keepNext/>
        <w:autoSpaceDE w:val="0"/>
        <w:autoSpaceDN w:val="0"/>
        <w:spacing w:line="360" w:lineRule="auto"/>
        <w:ind w:firstLine="477"/>
        <w:jc w:val="left"/>
        <w:rPr>
          <w:rFonts w:hint="eastAsia" w:ascii="仿宋" w:hAnsi="仿宋" w:eastAsia="仿宋" w:cs="仿宋_GB2312"/>
          <w:b/>
          <w:sz w:val="24"/>
        </w:rPr>
      </w:pPr>
      <w:r>
        <w:rPr>
          <w:rFonts w:hint="eastAsia" w:ascii="仿宋" w:hAnsi="仿宋" w:eastAsia="仿宋" w:cs="仿宋_GB2312"/>
          <w:b/>
          <w:sz w:val="24"/>
        </w:rPr>
        <w:t>附表: 培训日程及费用</w:t>
      </w:r>
    </w:p>
    <w:tbl>
      <w:tblPr>
        <w:tblStyle w:val="85"/>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wBefore w:w="0" w:type="dxa"/>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课程费用</w:t>
            </w:r>
          </w:p>
        </w:tc>
      </w:tr>
      <w:tr>
        <w:tblPrEx>
          <w:tblCellMar>
            <w:top w:w="0" w:type="dxa"/>
            <w:left w:w="120" w:type="dxa"/>
            <w:bottom w:w="0" w:type="dxa"/>
            <w:right w:w="120" w:type="dxa"/>
          </w:tblCellMar>
        </w:tblPrEx>
        <w:trPr>
          <w:wBefore w:w="0" w:type="dxa"/>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 w:hAnsi="仿宋" w:eastAsia="仿宋" w:cs="仿宋_GB2312"/>
                <w:sz w:val="24"/>
              </w:rPr>
            </w:pPr>
          </w:p>
        </w:tc>
      </w:tr>
      <w:tr>
        <w:tblPrEx>
          <w:tblCellMar>
            <w:top w:w="0" w:type="dxa"/>
            <w:left w:w="120" w:type="dxa"/>
            <w:bottom w:w="0" w:type="dxa"/>
            <w:right w:w="120" w:type="dxa"/>
          </w:tblCellMar>
        </w:tblPrEx>
        <w:trPr>
          <w:wBefore w:w="0" w:type="dxa"/>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 w:hAnsi="仿宋" w:eastAsia="仿宋" w:cs="仿宋_GB2312"/>
                <w:sz w:val="24"/>
              </w:rPr>
            </w:pPr>
          </w:p>
        </w:tc>
      </w:tr>
      <w:tr>
        <w:tblPrEx>
          <w:tblCellMar>
            <w:top w:w="0" w:type="dxa"/>
            <w:left w:w="120" w:type="dxa"/>
            <w:bottom w:w="0" w:type="dxa"/>
            <w:right w:w="120" w:type="dxa"/>
          </w:tblCellMar>
        </w:tblPrEx>
        <w:trPr>
          <w:wBefore w:w="0" w:type="dxa"/>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hint="eastAsia" w:ascii="仿宋" w:hAnsi="仿宋" w:eastAsia="仿宋"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注解:A</w:t>
      </w:r>
      <w:r>
        <w:rPr>
          <w:rFonts w:hint="eastAsia" w:ascii="仿宋" w:hAnsi="仿宋" w:eastAsia="仿宋" w:cs="仿宋_GB2312"/>
          <w:sz w:val="24"/>
        </w:rPr>
        <w:tab/>
      </w:r>
      <w:r>
        <w:rPr>
          <w:rFonts w:hint="eastAsia" w:ascii="仿宋" w:hAnsi="仿宋" w:eastAsia="仿宋" w:cs="仿宋_GB2312"/>
          <w:sz w:val="24"/>
        </w:rPr>
        <w:t>课程清单按时间顺序排列，并提供以下详细资料：</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课程概要</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课程目的</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教学方式</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先决条件</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教材目录</w:t>
      </w:r>
    </w:p>
    <w:p>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B  按照附表A提供授课教师的简历</w:t>
      </w:r>
    </w:p>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注：须随表提交相应的证书复印件并注明所在投标技术文件页码。</w:t>
      </w:r>
    </w:p>
    <w:p>
      <w:pPr>
        <w:autoSpaceDE w:val="0"/>
        <w:autoSpaceDN w:val="0"/>
        <w:spacing w:line="360" w:lineRule="auto"/>
        <w:ind w:firstLine="4800" w:firstLineChars="2000"/>
        <w:rPr>
          <w:rFonts w:hint="eastAsia" w:ascii="仿宋" w:hAnsi="仿宋" w:eastAsia="仿宋" w:cs="仿宋_GB2312"/>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                   </w:t>
      </w:r>
    </w:p>
    <w:p>
      <w:pPr>
        <w:autoSpaceDE w:val="0"/>
        <w:autoSpaceDN w:val="0"/>
        <w:spacing w:line="360" w:lineRule="auto"/>
        <w:ind w:firstLine="12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autoSpaceDE w:val="0"/>
        <w:autoSpaceDN w:val="0"/>
        <w:spacing w:line="360" w:lineRule="auto"/>
        <w:ind w:firstLine="120"/>
        <w:rPr>
          <w:rFonts w:hint="eastAsia" w:ascii="仿宋" w:hAnsi="仿宋" w:eastAsia="仿宋" w:cs="仿宋_GB2312"/>
          <w:sz w:val="24"/>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十六、认为需要的其他技术文件或说明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jc w:val="center"/>
        <w:rPr>
          <w:rFonts w:hint="eastAsia" w:ascii="仿宋" w:hAnsi="仿宋" w:eastAsia="仿宋" w:cs="仿宋_GB2312"/>
          <w:sz w:val="24"/>
        </w:rPr>
      </w:pPr>
    </w:p>
    <w:p>
      <w:pPr>
        <w:autoSpaceDE w:val="0"/>
        <w:autoSpaceDN w:val="0"/>
        <w:spacing w:line="360" w:lineRule="auto"/>
        <w:ind w:firstLine="4800" w:firstLineChars="2000"/>
        <w:rPr>
          <w:rFonts w:hint="eastAsia" w:ascii="仿宋" w:hAnsi="仿宋" w:eastAsia="仿宋" w:cs="仿宋_GB2312"/>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                   </w:t>
      </w:r>
    </w:p>
    <w:p>
      <w:pPr>
        <w:spacing w:line="360" w:lineRule="auto"/>
        <w:jc w:val="center"/>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0"/>
          <w:szCs w:val="30"/>
        </w:rPr>
      </w:pPr>
    </w:p>
    <w:p>
      <w:pPr>
        <w:spacing w:line="360" w:lineRule="auto"/>
        <w:jc w:val="center"/>
        <w:rPr>
          <w:rFonts w:hint="eastAsia" w:ascii="仿宋" w:hAnsi="仿宋" w:eastAsia="仿宋" w:cs="仿宋_GB2312"/>
          <w:b/>
          <w:bCs/>
          <w:sz w:val="30"/>
          <w:szCs w:val="30"/>
        </w:rPr>
      </w:pPr>
    </w:p>
    <w:p>
      <w:pPr>
        <w:spacing w:line="360" w:lineRule="auto"/>
        <w:jc w:val="center"/>
        <w:rPr>
          <w:rFonts w:hint="eastAsia" w:ascii="仿宋" w:hAnsi="仿宋" w:eastAsia="仿宋" w:cs="仿宋_GB2312"/>
          <w:b/>
          <w:kern w:val="0"/>
          <w:sz w:val="30"/>
          <w:szCs w:val="30"/>
          <w:lang w:val="zh-CN"/>
        </w:rPr>
      </w:pPr>
      <w:r>
        <w:rPr>
          <w:rFonts w:hint="eastAsia" w:ascii="仿宋" w:hAnsi="仿宋" w:eastAsia="仿宋" w:cs="仿宋_GB2312"/>
          <w:b/>
          <w:bCs/>
          <w:sz w:val="30"/>
          <w:szCs w:val="30"/>
        </w:rPr>
        <w:t>十七、关于</w:t>
      </w:r>
      <w:r>
        <w:rPr>
          <w:rFonts w:hint="eastAsia" w:ascii="仿宋" w:hAnsi="仿宋" w:eastAsia="仿宋" w:cs="仿宋_GB2312"/>
          <w:b/>
          <w:kern w:val="0"/>
          <w:sz w:val="30"/>
          <w:szCs w:val="30"/>
          <w:lang w:val="zh-CN"/>
        </w:rPr>
        <w:t>对招标文件中有关商务、合同条款的拒绝声明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hint="eastAsia" w:ascii="仿宋" w:hAnsi="仿宋" w:eastAsia="仿宋" w:cs="仿宋_GB2312"/>
          <w:sz w:val="24"/>
        </w:rPr>
      </w:pPr>
    </w:p>
    <w:p>
      <w:pPr>
        <w:autoSpaceDE w:val="0"/>
        <w:autoSpaceDN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 </w:t>
      </w:r>
    </w:p>
    <w:p>
      <w:pPr>
        <w:spacing w:line="360" w:lineRule="auto"/>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spacing w:line="360" w:lineRule="auto"/>
        <w:jc w:val="center"/>
        <w:rPr>
          <w:rFonts w:hint="eastAsia" w:ascii="仿宋" w:hAnsi="仿宋" w:eastAsia="仿宋" w:cs="仿宋_GB2312"/>
          <w:b/>
          <w:bCs/>
          <w:sz w:val="24"/>
        </w:rPr>
      </w:pPr>
    </w:p>
    <w:p>
      <w:pPr>
        <w:spacing w:line="360" w:lineRule="auto"/>
        <w:jc w:val="center"/>
        <w:rPr>
          <w:rFonts w:hint="eastAsia" w:ascii="仿宋" w:hAnsi="仿宋" w:eastAsia="仿宋" w:cs="仿宋_GB2312"/>
          <w:b/>
          <w:bCs/>
          <w:sz w:val="24"/>
        </w:rPr>
      </w:pPr>
    </w:p>
    <w:p>
      <w:pPr>
        <w:spacing w:line="360" w:lineRule="auto"/>
        <w:jc w:val="center"/>
        <w:rPr>
          <w:rFonts w:hint="eastAsia" w:ascii="仿宋" w:hAnsi="仿宋" w:eastAsia="仿宋" w:cs="仿宋_GB2312"/>
          <w:b/>
          <w:bCs/>
          <w:sz w:val="24"/>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hint="eastAsia" w:ascii="仿宋" w:hAnsi="仿宋" w:eastAsia="仿宋" w:cs="仿宋_GB2312"/>
          <w:b/>
          <w:sz w:val="32"/>
          <w:szCs w:val="32"/>
        </w:rPr>
      </w:pPr>
      <w:r>
        <w:rPr>
          <w:rFonts w:ascii="仿宋" w:hAnsi="仿宋" w:eastAsia="仿宋" w:cs="仿宋_GB2312"/>
          <w:b/>
          <w:sz w:val="32"/>
          <w:szCs w:val="32"/>
        </w:rPr>
        <w:tab/>
      </w: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jc w:val="center"/>
        <w:rPr>
          <w:rFonts w:hint="eastAsia" w:ascii="仿宋" w:hAnsi="仿宋" w:eastAsia="仿宋" w:cs="仿宋_GB2312"/>
          <w:b/>
          <w:sz w:val="32"/>
          <w:szCs w:val="32"/>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一、适用对象</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在杭州市政府采购网上注册入库，并取得杭州市政府采购合同的杭州市内中小企业供应商。</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二、相关信息获取方式</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请登陆杭州市政府采购网（</w:t>
      </w:r>
      <w:r>
        <w:rPr>
          <w:rFonts w:hint="eastAsia" w:ascii="仿宋" w:hAnsi="仿宋" w:eastAsia="仿宋" w:cs="仿宋_GB2312"/>
          <w:sz w:val="24"/>
        </w:rPr>
        <w:fldChar w:fldCharType="begin"/>
      </w:r>
      <w:r>
        <w:rPr>
          <w:rFonts w:hint="eastAsia" w:ascii="仿宋" w:hAnsi="仿宋" w:eastAsia="仿宋" w:cs="仿宋_GB2312"/>
          <w:sz w:val="24"/>
        </w:rPr>
        <w:instrText xml:space="preserve"> HYPERLINK "http://cg.hzft.gov.cn" </w:instrText>
      </w:r>
      <w:r>
        <w:rPr>
          <w:rFonts w:hint="eastAsia" w:ascii="仿宋" w:hAnsi="仿宋" w:eastAsia="仿宋" w:cs="仿宋_GB2312"/>
          <w:sz w:val="24"/>
        </w:rPr>
        <w:fldChar w:fldCharType="separate"/>
      </w:r>
      <w:r>
        <w:rPr>
          <w:rStyle w:val="96"/>
          <w:rFonts w:hint="eastAsia" w:ascii="仿宋" w:hAnsi="仿宋" w:eastAsia="仿宋" w:cs="仿宋_GB2312"/>
          <w:color w:val="auto"/>
          <w:sz w:val="24"/>
        </w:rPr>
        <w:t>http://cg.hzft.gov.cn</w:t>
      </w:r>
      <w:r>
        <w:rPr>
          <w:rFonts w:hint="eastAsia" w:ascii="仿宋" w:hAnsi="仿宋" w:eastAsia="仿宋" w:cs="仿宋_GB2312"/>
          <w:sz w:val="24"/>
        </w:rPr>
        <w:fldChar w:fldCharType="end"/>
      </w:r>
      <w:r>
        <w:rPr>
          <w:rFonts w:hint="eastAsia" w:ascii="仿宋" w:hAnsi="仿宋" w:eastAsia="仿宋" w:cs="仿宋_GB2312"/>
          <w:sz w:val="24"/>
        </w:rPr>
        <w:t>）“中小企业信用融资”专栏，可查看信用融资政策文件及各相关银行服务方案。</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三、申请方式和步骤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1、供应商若有融资意向，需先与六家合作银行对接，办理相关融资前期手续；</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2、中标后，供应商应与采购单位或者采购代理机构及时联系，告知融资需求；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3、采购单位或者采购代理机构在政府采购信息系统录入中标合同信息时，须在合同备案页“是否为可融资合同”前打勾，并选择相应的信用融资合作银行，录入账号信息；</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4、相关信息录入后，相关合作银行将在政府采购信息系统查询到合同备案信息，经审核，与供应商联系并办理相关融资事宜。</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四、注意事项</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请各采购单位和采购代理机构积极支持和配合政府采购信用融资工作，在合同备案环节务必请仔细核对收款银行、账号信息等内容，一旦录入将无法修改。</w:t>
      </w:r>
    </w:p>
    <w:p>
      <w:pPr>
        <w:spacing w:line="360" w:lineRule="auto"/>
        <w:ind w:left="5040" w:hanging="5040" w:hangingChars="2100"/>
        <w:rPr>
          <w:rFonts w:hint="eastAsia" w:ascii="仿宋" w:hAnsi="仿宋" w:eastAsia="仿宋" w:cs="仿宋_GB2312"/>
          <w:kern w:val="0"/>
          <w:sz w:val="24"/>
          <w:lang w:val="zh-CN"/>
        </w:rPr>
      </w:pPr>
    </w:p>
    <w:p>
      <w:pPr>
        <w:spacing w:line="360" w:lineRule="auto"/>
        <w:ind w:left="5060" w:hanging="5060" w:hangingChars="2100"/>
        <w:rPr>
          <w:rFonts w:hint="eastAsia" w:ascii="仿宋" w:hAnsi="仿宋" w:eastAsia="仿宋" w:cs="仿宋_GB2312"/>
          <w:b/>
          <w:bCs/>
          <w:kern w:val="0"/>
          <w:sz w:val="24"/>
        </w:rPr>
      </w:pPr>
    </w:p>
    <w:p>
      <w:pPr>
        <w:spacing w:line="360" w:lineRule="auto"/>
        <w:jc w:val="center"/>
        <w:rPr>
          <w:rFonts w:hint="eastAsia" w:ascii="仿宋" w:hAnsi="仿宋" w:eastAsia="仿宋" w:cs="仿宋_GB2312"/>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pStyle w:val="2"/>
        <w:keepNext w:val="0"/>
        <w:keepLines w:val="0"/>
        <w:pageBreakBefore/>
        <w:widowControl/>
        <w:numPr>
          <w:ilvl w:val="0"/>
          <w:numId w:val="0"/>
        </w:numPr>
        <w:adjustRightInd/>
        <w:spacing w:before="100" w:beforeAutospacing="1" w:after="100" w:afterAutospacing="1" w:line="360" w:lineRule="auto"/>
        <w:ind w:left="1290" w:firstLine="3092" w:firstLineChars="700"/>
        <w:rPr>
          <w:rFonts w:hint="eastAsia" w:ascii="仿宋" w:hAnsi="仿宋" w:eastAsia="仿宋" w:cs="仿宋_GB2312"/>
          <w:kern w:val="2"/>
          <w:sz w:val="32"/>
          <w:szCs w:val="32"/>
        </w:rPr>
      </w:pPr>
      <w:bookmarkStart w:id="574" w:name="_Toc465665161"/>
      <w:r>
        <w:rPr>
          <w:rFonts w:hint="eastAsia" w:ascii="仿宋" w:hAnsi="仿宋" w:eastAsia="仿宋"/>
        </w:rPr>
        <w:t>附件</w:t>
      </w:r>
      <w:bookmarkEnd w:id="574"/>
    </w:p>
    <w:p>
      <w:pPr>
        <w:spacing w:line="360" w:lineRule="auto"/>
        <w:rPr>
          <w:rFonts w:hint="eastAsia" w:ascii="仿宋" w:hAnsi="仿宋" w:eastAsia="仿宋"/>
          <w:b/>
          <w:spacing w:val="6"/>
          <w:sz w:val="32"/>
          <w:szCs w:val="32"/>
        </w:rPr>
      </w:pPr>
      <w:bookmarkStart w:id="575" w:name="OLE_LINK13"/>
      <w:bookmarkStart w:id="576" w:name="OLE_LINK14"/>
      <w:r>
        <w:rPr>
          <w:rFonts w:hint="eastAsia" w:ascii="仿宋" w:hAnsi="仿宋" w:eastAsia="仿宋"/>
          <w:b/>
          <w:spacing w:val="6"/>
          <w:sz w:val="32"/>
          <w:szCs w:val="32"/>
        </w:rPr>
        <w:t>附件1：</w:t>
      </w:r>
    </w:p>
    <w:p>
      <w:pPr>
        <w:spacing w:line="360" w:lineRule="auto"/>
        <w:jc w:val="center"/>
        <w:rPr>
          <w:rFonts w:hint="eastAsia" w:ascii="仿宋" w:hAnsi="仿宋" w:eastAsia="仿宋"/>
          <w:b/>
          <w:spacing w:val="6"/>
          <w:sz w:val="32"/>
          <w:szCs w:val="32"/>
        </w:rPr>
      </w:pPr>
      <w:r>
        <w:rPr>
          <w:rFonts w:hint="eastAsia" w:ascii="仿宋" w:hAnsi="仿宋" w:eastAsia="仿宋"/>
          <w:b/>
          <w:spacing w:val="6"/>
          <w:sz w:val="32"/>
          <w:szCs w:val="32"/>
        </w:rPr>
        <w:t>残疾人福利性单位声明函</w:t>
      </w:r>
    </w:p>
    <w:bookmarkEnd w:id="575"/>
    <w:bookmarkEnd w:id="576"/>
    <w:p>
      <w:pPr>
        <w:spacing w:line="360" w:lineRule="auto"/>
        <w:rPr>
          <w:rFonts w:hint="eastAsia" w:ascii="仿宋" w:hAnsi="仿宋" w:eastAsia="仿宋"/>
          <w:b/>
          <w:spacing w:val="6"/>
          <w:sz w:val="30"/>
          <w:szCs w:val="30"/>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单位名称（盖章）：</w:t>
      </w: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hint="eastAsia" w:ascii="仿宋" w:hAnsi="仿宋" w:eastAsia="仿宋" w:cs="仿宋_GB2312"/>
          <w:b/>
          <w:sz w:val="24"/>
        </w:rPr>
      </w:pPr>
      <w:r>
        <w:rPr>
          <w:rFonts w:ascii="仿宋" w:hAnsi="仿宋" w:eastAsia="仿宋" w:cs="仿宋_GB2312"/>
          <w:sz w:val="24"/>
        </w:rPr>
        <w:br w:type="page"/>
      </w:r>
    </w:p>
    <w:p>
      <w:pPr>
        <w:spacing w:line="360" w:lineRule="auto"/>
        <w:rPr>
          <w:rFonts w:hint="eastAsia" w:ascii="仿宋" w:hAnsi="仿宋" w:eastAsia="仿宋"/>
          <w:b/>
          <w:spacing w:val="6"/>
          <w:sz w:val="32"/>
          <w:szCs w:val="32"/>
        </w:rPr>
      </w:pPr>
      <w:r>
        <w:rPr>
          <w:rFonts w:hint="eastAsia" w:ascii="仿宋" w:hAnsi="仿宋" w:eastAsia="仿宋"/>
          <w:b/>
          <w:spacing w:val="6"/>
          <w:sz w:val="32"/>
          <w:szCs w:val="32"/>
        </w:rPr>
        <w:t>附件2：质疑函范本及制作说明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hint="eastAsia"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hint="eastAsia" w:ascii="仿宋" w:hAnsi="仿宋" w:eastAsia="仿宋"/>
          <w:b/>
          <w:spacing w:val="6"/>
          <w:sz w:val="32"/>
          <w:szCs w:val="32"/>
        </w:rPr>
      </w:pPr>
    </w:p>
    <w:p>
      <w:pPr>
        <w:spacing w:line="360" w:lineRule="auto"/>
        <w:jc w:val="left"/>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r>
        <w:rPr>
          <w:rFonts w:hint="eastAsia" w:ascii="仿宋" w:hAnsi="仿宋" w:eastAsia="仿宋"/>
          <w:b/>
          <w:spacing w:val="6"/>
          <w:sz w:val="32"/>
          <w:szCs w:val="32"/>
        </w:rPr>
        <w:t>附件3：投诉书范本及制作说明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 1：</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rPr>
          <w:rFonts w:ascii="仿宋" w:hAnsi="仿宋" w:eastAsia="仿宋"/>
          <w:sz w:val="24"/>
          <w:u w:val="single"/>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b/>
          <w:spacing w:val="6"/>
          <w:sz w:val="32"/>
          <w:szCs w:val="32"/>
        </w:rPr>
      </w:pPr>
      <w:r>
        <w:rPr>
          <w:rFonts w:hint="eastAsia" w:ascii="仿宋" w:hAnsi="仿宋" w:eastAsia="仿宋"/>
          <w:b/>
          <w:spacing w:val="6"/>
          <w:sz w:val="32"/>
          <w:szCs w:val="32"/>
        </w:rPr>
        <w:t>附件4：政府采购节能产品页码表（复印件加盖公章）</w:t>
      </w:r>
    </w:p>
    <w:tbl>
      <w:tblPr>
        <w:tblStyle w:val="85"/>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wBefore w:w="0" w:type="dxa"/>
          <w:trHeight w:val="714" w:hRule="atLeast"/>
        </w:trPr>
        <w:tc>
          <w:tcPr>
            <w:tcW w:w="735"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序号</w:t>
            </w:r>
          </w:p>
        </w:tc>
        <w:tc>
          <w:tcPr>
            <w:tcW w:w="120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产品型号</w:t>
            </w:r>
          </w:p>
        </w:tc>
        <w:tc>
          <w:tcPr>
            <w:tcW w:w="2471"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节能产品认证证书号</w:t>
            </w:r>
          </w:p>
        </w:tc>
        <w:tc>
          <w:tcPr>
            <w:tcW w:w="199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节能产品在《清单》（第 期）中的页码</w:t>
            </w:r>
          </w:p>
        </w:tc>
      </w:tr>
      <w:tr>
        <w:tblPrEx>
          <w:tblCellMar>
            <w:top w:w="0" w:type="dxa"/>
            <w:left w:w="108" w:type="dxa"/>
            <w:bottom w:w="0" w:type="dxa"/>
            <w:right w:w="108" w:type="dxa"/>
          </w:tblCellMar>
        </w:tblPrEx>
        <w:trPr>
          <w:wBefore w:w="0" w:type="dxa"/>
          <w:trHeight w:val="579"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sz w:val="24"/>
              </w:rPr>
            </w:pPr>
          </w:p>
        </w:tc>
      </w:tr>
      <w:tr>
        <w:tblPrEx>
          <w:tblCellMar>
            <w:top w:w="0" w:type="dxa"/>
            <w:left w:w="108" w:type="dxa"/>
            <w:bottom w:w="0" w:type="dxa"/>
            <w:right w:w="108" w:type="dxa"/>
          </w:tblCellMar>
        </w:tblPrEx>
        <w:trPr>
          <w:wBefore w:w="0" w:type="dxa"/>
          <w:trHeight w:val="615"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sz w:val="24"/>
              </w:rPr>
            </w:pPr>
          </w:p>
        </w:tc>
      </w:tr>
      <w:tr>
        <w:tblPrEx>
          <w:tblCellMar>
            <w:top w:w="0" w:type="dxa"/>
            <w:left w:w="108" w:type="dxa"/>
            <w:bottom w:w="0" w:type="dxa"/>
            <w:right w:w="108" w:type="dxa"/>
          </w:tblCellMar>
        </w:tblPrEx>
        <w:trPr>
          <w:wBefore w:w="0" w:type="dxa"/>
          <w:trHeight w:val="615" w:hRule="atLeast"/>
        </w:trPr>
        <w:tc>
          <w:tcPr>
            <w:tcW w:w="735"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1204"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247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199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462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ascii="仿宋" w:hAnsi="仿宋" w:eastAsia="仿宋"/>
                <w:sz w:val="24"/>
              </w:rPr>
            </w:pPr>
          </w:p>
        </w:tc>
      </w:tr>
    </w:tbl>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r>
        <w:rPr>
          <w:rFonts w:hint="eastAsia" w:ascii="仿宋" w:hAnsi="仿宋" w:eastAsia="仿宋"/>
          <w:b/>
          <w:spacing w:val="6"/>
          <w:sz w:val="32"/>
          <w:szCs w:val="32"/>
        </w:rPr>
        <w:t>附表5：政府采购环境标志产品页码表（复印件加盖公章）</w:t>
      </w:r>
    </w:p>
    <w:tbl>
      <w:tblPr>
        <w:tblStyle w:val="85"/>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wBefore w:w="0" w:type="dxa"/>
          <w:trHeight w:val="714" w:hRule="atLeast"/>
        </w:trPr>
        <w:tc>
          <w:tcPr>
            <w:tcW w:w="7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序号</w:t>
            </w:r>
          </w:p>
        </w:tc>
        <w:tc>
          <w:tcPr>
            <w:tcW w:w="121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产品型号</w:t>
            </w:r>
          </w:p>
        </w:tc>
        <w:tc>
          <w:tcPr>
            <w:tcW w:w="2457"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环境标志产品认证证书号</w:t>
            </w:r>
          </w:p>
        </w:tc>
        <w:tc>
          <w:tcPr>
            <w:tcW w:w="2100"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sz w:val="24"/>
              </w:rPr>
            </w:pPr>
            <w:r>
              <w:rPr>
                <w:rFonts w:hint="eastAsia" w:ascii="仿宋" w:hAnsi="仿宋" w:eastAsia="仿宋"/>
                <w:sz w:val="24"/>
              </w:rPr>
              <w:t>环境标志产品在《清单》（第  期）中的页码</w:t>
            </w:r>
          </w:p>
        </w:tc>
      </w:tr>
      <w:tr>
        <w:tblPrEx>
          <w:tblCellMar>
            <w:top w:w="0" w:type="dxa"/>
            <w:left w:w="108" w:type="dxa"/>
            <w:bottom w:w="0" w:type="dxa"/>
            <w:right w:w="108" w:type="dxa"/>
          </w:tblCellMar>
        </w:tblPrEx>
        <w:trPr>
          <w:wBefore w:w="0" w:type="dxa"/>
          <w:trHeight w:val="63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sz w:val="24"/>
              </w:rPr>
            </w:pPr>
          </w:p>
        </w:tc>
      </w:tr>
      <w:tr>
        <w:tblPrEx>
          <w:tblCellMar>
            <w:top w:w="0" w:type="dxa"/>
            <w:left w:w="108" w:type="dxa"/>
            <w:bottom w:w="0" w:type="dxa"/>
            <w:right w:w="108" w:type="dxa"/>
          </w:tblCellMar>
        </w:tblPrEx>
        <w:trPr>
          <w:wBefore w:w="0" w:type="dxa"/>
          <w:trHeight w:val="61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4"/>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sz w:val="24"/>
              </w:rPr>
            </w:pPr>
          </w:p>
        </w:tc>
      </w:tr>
      <w:tr>
        <w:tblPrEx>
          <w:tblCellMar>
            <w:top w:w="0" w:type="dxa"/>
            <w:left w:w="108" w:type="dxa"/>
            <w:bottom w:w="0" w:type="dxa"/>
            <w:right w:w="108" w:type="dxa"/>
          </w:tblCellMar>
        </w:tblPrEx>
        <w:trPr>
          <w:wBefore w:w="0" w:type="dxa"/>
          <w:trHeight w:val="617" w:hRule="atLeast"/>
        </w:trPr>
        <w:tc>
          <w:tcPr>
            <w:tcW w:w="714"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121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245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21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sz w:val="24"/>
              </w:rPr>
            </w:pPr>
          </w:p>
        </w:tc>
        <w:tc>
          <w:tcPr>
            <w:tcW w:w="441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ascii="仿宋" w:hAnsi="仿宋" w:eastAsia="仿宋"/>
                <w:sz w:val="24"/>
              </w:rPr>
            </w:pPr>
          </w:p>
        </w:tc>
      </w:tr>
    </w:tbl>
    <w:p>
      <w:pPr>
        <w:autoSpaceDE w:val="0"/>
        <w:autoSpaceDN w:val="0"/>
        <w:spacing w:line="360" w:lineRule="auto"/>
        <w:ind w:firstLine="4560" w:firstLineChars="1900"/>
        <w:rPr>
          <w:rFonts w:hint="eastAsia" w:ascii="仿宋" w:hAnsi="仿宋" w:eastAsia="仿宋"/>
          <w:kern w:val="0"/>
          <w:sz w:val="24"/>
        </w:rPr>
      </w:pPr>
    </w:p>
    <w:p>
      <w:pPr>
        <w:autoSpaceDE w:val="0"/>
        <w:autoSpaceDN w:val="0"/>
        <w:spacing w:line="360" w:lineRule="auto"/>
        <w:ind w:firstLine="4560" w:firstLineChars="1900"/>
        <w:rPr>
          <w:rFonts w:hint="eastAsia" w:ascii="仿宋" w:hAnsi="仿宋" w:eastAsia="仿宋"/>
          <w:kern w:val="0"/>
          <w:sz w:val="24"/>
        </w:rPr>
      </w:pPr>
    </w:p>
    <w:p>
      <w:pPr>
        <w:autoSpaceDE w:val="0"/>
        <w:autoSpaceDN w:val="0"/>
        <w:spacing w:line="360" w:lineRule="auto"/>
        <w:ind w:firstLine="4560" w:firstLineChars="1900"/>
        <w:rPr>
          <w:rFonts w:hint="eastAsia" w:ascii="仿宋" w:hAnsi="仿宋" w:eastAsia="仿宋"/>
          <w:kern w:val="0"/>
          <w:sz w:val="24"/>
        </w:rPr>
      </w:pPr>
      <w:r>
        <w:rPr>
          <w:rFonts w:hint="eastAsia" w:ascii="仿宋" w:hAnsi="仿宋" w:eastAsia="仿宋"/>
          <w:kern w:val="0"/>
          <w:sz w:val="24"/>
        </w:rPr>
        <w:t xml:space="preserve">供应商名称（公章）：                       </w:t>
      </w:r>
    </w:p>
    <w:p>
      <w:pPr>
        <w:autoSpaceDE w:val="0"/>
        <w:autoSpaceDN w:val="0"/>
        <w:spacing w:line="360" w:lineRule="auto"/>
        <w:rPr>
          <w:rFonts w:hint="eastAsia" w:ascii="仿宋" w:hAnsi="仿宋" w:eastAsia="仿宋"/>
          <w:kern w:val="0"/>
          <w:sz w:val="24"/>
        </w:rPr>
      </w:pPr>
      <w:r>
        <w:rPr>
          <w:rFonts w:hint="eastAsia" w:ascii="仿宋" w:hAnsi="仿宋" w:eastAsia="仿宋"/>
          <w:kern w:val="0"/>
          <w:sz w:val="24"/>
        </w:rPr>
        <w:t xml:space="preserve">                                      法定代表人或授权委托人（签字）：                   </w:t>
      </w:r>
    </w:p>
    <w:p>
      <w:pPr>
        <w:spacing w:line="360" w:lineRule="auto"/>
        <w:rPr>
          <w:rFonts w:hint="eastAsia" w:ascii="仿宋" w:hAnsi="仿宋" w:eastAsia="仿宋"/>
          <w:bCs/>
          <w:sz w:val="24"/>
        </w:rPr>
      </w:pPr>
      <w:r>
        <w:rPr>
          <w:rFonts w:hint="eastAsia" w:ascii="仿宋" w:hAnsi="仿宋" w:eastAsia="仿宋"/>
          <w:kern w:val="0"/>
          <w:sz w:val="24"/>
        </w:rPr>
        <w:t xml:space="preserve">                                      日期：   年  月   日</w:t>
      </w:r>
    </w:p>
    <w:p>
      <w:pPr>
        <w:spacing w:line="360" w:lineRule="auto"/>
        <w:rPr>
          <w:rFonts w:hint="eastAsia" w:ascii="仿宋" w:hAnsi="仿宋" w:eastAsia="仿宋" w:cs="仿宋_GB2312"/>
          <w:b/>
          <w:sz w:val="24"/>
        </w:rPr>
      </w:pP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Lucida Sans Unicode"/>
    <w:panose1 w:val="020B0602020204020303"/>
    <w:charset w:val="B1"/>
    <w:family w:val="swiss"/>
    <w:pitch w:val="default"/>
    <w:sig w:usb0="80000867" w:usb1="00000000" w:usb2="00000000" w:usb3="00000000" w:csb0="000001FB"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F7FFAFFF" w:usb1="E9DFFFFF" w:usb2="0000003F" w:usb3="00000000" w:csb0="003F01FF" w:csb1="00000000"/>
  </w:font>
  <w:font w:name="Aldine401 BT">
    <w:altName w:val="Courier New"/>
    <w:panose1 w:val="00000000000000000000"/>
    <w:charset w:val="00"/>
    <w:family w:val="roman"/>
    <w:pitch w:val="default"/>
    <w:sig w:usb0="00000007" w:usb1="00000000" w:usb2="00000000" w:usb3="00000000" w:csb0="00000011" w:csb1="00000000"/>
  </w:font>
  <w:font w:name="Arial (W1)">
    <w:altName w:val="Arial"/>
    <w:panose1 w:val="00000000000000000000"/>
    <w:charset w:val="00"/>
    <w:family w:val="swiss"/>
    <w:pitch w:val="default"/>
    <w:sig w:usb0="20007A87" w:usb1="8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Futura Hv">
    <w:altName w:val="Arial"/>
    <w:panose1 w:val="020B0602020204020303"/>
    <w:charset w:val="00"/>
    <w:family w:val="swiss"/>
    <w:pitch w:val="default"/>
    <w:sig w:usb0="00000287"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1" w:usb1="080E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Bodoni MT">
    <w:panose1 w:val="02070603080606020203"/>
    <w:charset w:val="00"/>
    <w:family w:val="roman"/>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8"/>
      </w:rPr>
    </w:pPr>
    <w:r>
      <w:fldChar w:fldCharType="begin"/>
    </w:r>
    <w:r>
      <w:rPr>
        <w:rStyle w:val="88"/>
      </w:rPr>
      <w:instrText xml:space="preserve">PAGE  </w:instrText>
    </w:r>
    <w:r>
      <w:fldChar w:fldCharType="separate"/>
    </w:r>
    <w:r>
      <w:fldChar w:fldCharType="end"/>
    </w:r>
  </w:p>
  <w:p>
    <w:pPr>
      <w:pStyle w:val="5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79</w:t>
    </w:r>
    <w:r>
      <w:rPr>
        <w:rFonts w:hint="eastAsia" w:ascii="仿宋_GB2312" w:eastAsia="仿宋_GB2312"/>
        <w:kern w:val="0"/>
        <w:szCs w:val="21"/>
      </w:rPr>
      <w:fldChar w:fldCharType="end"/>
    </w:r>
    <w:bookmarkStart w:id="577" w:name="_Toc131845147"/>
    <w:bookmarkStart w:id="578" w:name="_Toc91899912"/>
    <w:bookmarkStart w:id="579" w:name="_Toc36110187"/>
    <w:bookmarkStart w:id="580" w:name="_Toc164085800"/>
    <w:r>
      <w:rPr>
        <w:rFonts w:hint="eastAsia" w:ascii="仿宋_GB2312" w:eastAsia="仿宋_GB2312"/>
        <w:kern w:val="0"/>
        <w:szCs w:val="21"/>
      </w:rPr>
      <w:t xml:space="preserve"> 页</w:t>
    </w:r>
    <w:bookmarkEnd w:id="577"/>
    <w:bookmarkEnd w:id="578"/>
    <w:bookmarkEnd w:id="579"/>
    <w:bookmarkEnd w:id="5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8"/>
      </w:rPr>
    </w:pPr>
    <w:r>
      <w:fldChar w:fldCharType="begin"/>
    </w:r>
    <w:r>
      <w:rPr>
        <w:rStyle w:val="88"/>
      </w:rPr>
      <w:instrText xml:space="preserve">PAGE  </w:instrText>
    </w:r>
    <w:r>
      <w:fldChar w:fldCharType="separate"/>
    </w:r>
    <w:r>
      <w:fldChar w:fldCharType="end"/>
    </w:r>
  </w:p>
  <w:p>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120" w:after="120"/>
      <w:ind w:firstLine="480"/>
      <w:jc w:val="center"/>
      <w:rPr>
        <w:rFonts w:hint="eastAsia" w:ascii="仿宋_GB2312" w:eastAsia="仿宋_GB2312"/>
      </w:rP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26</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spacing w:before="120" w:after="120"/>
      <w:ind w:firstLine="480"/>
      <w:rPr>
        <w:rStyle w:val="88"/>
      </w:rPr>
    </w:pPr>
    <w:r>
      <w:fldChar w:fldCharType="begin"/>
    </w:r>
    <w:r>
      <w:rPr>
        <w:rStyle w:val="88"/>
      </w:rPr>
      <w:instrText xml:space="preserve">PAGE  </w:instrText>
    </w:r>
    <w:r>
      <w:fldChar w:fldCharType="separate"/>
    </w:r>
    <w:r>
      <w:fldChar w:fldCharType="end"/>
    </w:r>
  </w:p>
  <w:p>
    <w:pPr>
      <w:pStyle w:val="52"/>
      <w:spacing w:before="120" w:after="120"/>
      <w:ind w:right="360"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120" w:after="120"/>
      <w:ind w:firstLine="480"/>
      <w:jc w:val="center"/>
      <w:rPr>
        <w:rFonts w:hint="eastAsia" w:ascii="仿宋_GB2312" w:eastAsia="仿宋_GB2312"/>
      </w:rP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19</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jc w:val="center"/>
                          </w:pPr>
                          <w:r>
                            <w:fldChar w:fldCharType="begin"/>
                          </w:r>
                          <w:r>
                            <w:instrText xml:space="preserve">PAGE   \* MERGEFORMAT</w:instrText>
                          </w:r>
                          <w:r>
                            <w:fldChar w:fldCharType="separate"/>
                          </w:r>
                          <w:r>
                            <w:rPr>
                              <w:lang w:val="zh-CN"/>
                            </w:rPr>
                            <w:t>39</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YlwYskBAACZAwAADgAAAGRycy9lMm9Eb2MueG1srVPNjtMwEL4j8Q6W 79RpJVZV1HQFqhYhIUBaeADXsRtL/pPHbdIXgDfgxIU7z9XnYOwk3WW57IGLM54Zf/N9M5PN7WAN OckI2ruGLhcVJdIJ32p3aOjXL3ev1pRA4q7lxjvZ0LMEert9+WLTh1qufOdNKyNBEAd1HxrapRRq xkB00nJY+CAdBpWPlie8xgNrI+8R3Rq2qqob1vvYhuiFBEDvbgzSCTE+B9ArpYXceXG00qURNUrD E0qCTgeg28JWKSnSJ6VAJmIaikpTObEI2vt8su2G14fIQ6fFRIE/h8ITTZZrh0WvUDueODlG/Q+U 1SJ68CothLdsFFI6giqW1ZPe3Hc8yKIFWw3h2nT4f7Di4+lzJLpt6A0ljlsc+OXH98vP35df38jr 3J4+QI1Z9wHz0vDWD7g0sx/QmVUPKtr8RT0E49jc87W5ckhE5Efr1XpdYUhgbL4gPnt4HiKkd9Jb ko2GRpxeaSo/fYA0ps4puZrzd9qYMkHj/nIgZvawzH3kmK007IdJ0N63Z9TT4+Ab6nDPKTHvHfY1 78hsxNnYz8YxRH3okNqy8ILw5piQROGWK4ywU2GcWFE3bVdeicf3kvXwR23/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JiXBiyQEAAJkDAAAOAAAAAAAAAAEAIAAAAB4BAABkcnMvZTJvRG9j LnhtbFBLBQYAAAAABgAGAFkBAABZBQAAAAA= ">
              <v:fill on="f" focussize="0,0"/>
              <v:stroke on="f"/>
              <v:imagedata o:title=""/>
              <o:lock v:ext="edit" aspectratio="f"/>
              <v:textbox inset="0mm,0mm,0mm,0mm" style="mso-fit-shape-to-text:t;">
                <w:txbxContent>
                  <w:p>
                    <w:pPr>
                      <w:pStyle w:val="52"/>
                      <w:jc w:val="center"/>
                    </w:pPr>
                    <w:r>
                      <w:fldChar w:fldCharType="begin"/>
                    </w:r>
                    <w:r>
                      <w:instrText xml:space="preserve">PAGE   \* MERGEFORMAT</w:instrText>
                    </w:r>
                    <w:r>
                      <w:fldChar w:fldCharType="separate"/>
                    </w:r>
                    <w:r>
                      <w:rPr>
                        <w:lang w:val="zh-CN"/>
                      </w:rPr>
                      <w:t>39</w:t>
                    </w:r>
                    <w:r>
                      <w:rPr>
                        <w:lang w:val="zh-CN"/>
                      </w:rPr>
                      <w:fldChar w:fldCharType="end"/>
                    </w:r>
                  </w:p>
                </w:txbxContent>
              </v:textbox>
            </v:shape>
          </w:pict>
        </mc:Fallback>
      </mc:AlternateContent>
    </w:r>
  </w:p>
  <w:p>
    <w:pPr>
      <w:pStyle w:val="5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8"/>
      </w:rPr>
    </w:pPr>
    <w:r>
      <w:fldChar w:fldCharType="begin"/>
    </w:r>
    <w:r>
      <w:rPr>
        <w:rStyle w:val="88"/>
      </w:rPr>
      <w:instrText xml:space="preserve">PAGE  </w:instrText>
    </w:r>
    <w:r>
      <w:fldChar w:fldCharType="separate"/>
    </w:r>
    <w:r>
      <w:fldChar w:fldCharType="end"/>
    </w:r>
  </w:p>
  <w:p>
    <w:pPr>
      <w:pStyle w:val="52"/>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sz w:val="18"/>
        <w:u w:val="single"/>
      </w:rPr>
    </w:pPr>
    <w:r>
      <w:rPr>
        <w:rFonts w:hint="eastAsia" w:eastAsia="仿宋_GB2312"/>
        <w:b w:val="0"/>
        <w:i/>
        <w:sz w:val="18"/>
        <w:u w:val="single"/>
      </w:rPr>
      <w:t xml:space="preserve">                                                                       杭州市政府采购公开招标文件</w:t>
    </w:r>
    <w:r>
      <w:rPr>
        <w:rFonts w:hint="eastAsia"/>
        <w:b w:val="0"/>
        <w:sz w:val="18"/>
        <w:u w:val="singl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iCs/>
        <w:sz w:val="18"/>
        <w:szCs w:val="18"/>
        <w:u w:val="single"/>
      </w:rPr>
    </w:pPr>
    <w:r>
      <w:rPr>
        <w:rFonts w:hint="eastAsia" w:eastAsia="仿宋_GB2312"/>
        <w:b w:val="0"/>
        <w:i/>
        <w:iCs/>
        <w:sz w:val="18"/>
        <w:szCs w:val="18"/>
        <w:u w:val="single"/>
      </w:rPr>
      <w:t xml:space="preserve">                                                                      杭州市政府采购公开招标文件</w:t>
    </w:r>
    <w:r>
      <w:rPr>
        <w:rFonts w:hint="eastAsia"/>
        <w:b w:val="0"/>
        <w:sz w:val="18"/>
        <w:szCs w:val="18"/>
        <w:u w:val="single"/>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rFonts w:hint="eastAsia" w:eastAsia="仿宋_GB2312"/>
        <w:i/>
        <w:iCs/>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rFonts w:hint="eastAsia" w:eastAsia="仿宋_GB2312"/>
        <w:i/>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sz w:val="18"/>
        <w:u w:val="single"/>
      </w:rPr>
    </w:pPr>
    <w:r>
      <w:rPr>
        <w:rFonts w:hint="eastAsia"/>
        <w:b w:val="0"/>
        <w:i/>
        <w:sz w:val="18"/>
        <w:u w:val="single"/>
      </w:rPr>
      <w:t xml:space="preserve">                                                             杭州市政府采购公开招标文件</w:t>
    </w:r>
    <w:r>
      <w:rPr>
        <w:rFonts w:hint="eastAsia"/>
        <w:b w:val="0"/>
        <w:sz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right="90"/>
      <w:jc w:val="right"/>
    </w:pPr>
    <w:r>
      <w:rPr>
        <w:rFonts w:hint="eastAsia"/>
        <w:i/>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sz w:val="18"/>
        <w:u w:val="single"/>
      </w:rPr>
    </w:pPr>
    <w:r>
      <w:rPr>
        <w:rFonts w:hint="eastAsia" w:eastAsia="仿宋_GB2312"/>
        <w:b w:val="0"/>
        <w:i/>
        <w:sz w:val="18"/>
        <w:u w:val="single"/>
      </w:rPr>
      <w:t xml:space="preserve">                                                                   杭州市政府采购公开招标文件</w:t>
    </w:r>
    <w:r>
      <w:rPr>
        <w:rFonts w:hint="eastAsia"/>
        <w:b w:val="0"/>
        <w:sz w:val="18"/>
        <w:u w:val="single"/>
      </w:rPr>
      <w:t xml:space="preserve"> </w:t>
    </w:r>
  </w:p>
  <w:p>
    <w:pPr>
      <w:rPr>
        <w:rFonts w:hint="eastAsia"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rFonts w:hint="eastAsia" w:eastAsia="仿宋_GB2312"/>
        <w:i/>
      </w:rPr>
      <w:t>杭州市政府采购公开招标文件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B"/>
    <w:multiLevelType w:val="multilevel"/>
    <w:tmpl w:val="0000000B"/>
    <w:lvl w:ilvl="0" w:tentative="0">
      <w:start w:val="1"/>
      <w:numFmt w:val="bullet"/>
      <w:pStyle w:val="45"/>
      <w:lvlText w:val=""/>
      <w:lvlJc w:val="left"/>
      <w:pPr>
        <w:tabs>
          <w:tab w:val="left" w:pos="840"/>
        </w:tabs>
        <w:ind w:left="840" w:hanging="420"/>
      </w:pPr>
      <w:rPr>
        <w:rFonts w:hint="default" w:ascii="Wingdings" w:hAnsi="Wingdings"/>
      </w:rPr>
    </w:lvl>
    <w:lvl w:ilvl="1" w:tentative="0">
      <w:start w:val="1"/>
      <w:numFmt w:val="bullet"/>
      <w:pStyle w:val="473"/>
      <w:lvlText w:val=""/>
      <w:lvlJc w:val="left"/>
      <w:pPr>
        <w:tabs>
          <w:tab w:val="left" w:pos="1260"/>
        </w:tabs>
        <w:ind w:left="1260" w:hanging="420"/>
      </w:pPr>
      <w:rPr>
        <w:rFonts w:hint="default" w:ascii="Wingdings" w:hAnsi="Wingdings"/>
      </w:rPr>
    </w:lvl>
    <w:lvl w:ilvl="2" w:tentative="0">
      <w:start w:val="1"/>
      <w:numFmt w:val="bullet"/>
      <w:pStyle w:val="485"/>
      <w:lvlText w:val=""/>
      <w:lvlJc w:val="left"/>
      <w:pPr>
        <w:tabs>
          <w:tab w:val="left" w:pos="1680"/>
        </w:tabs>
        <w:ind w:left="1680" w:hanging="420"/>
      </w:pPr>
      <w:rPr>
        <w:rFonts w:hint="default" w:ascii="Wingdings" w:hAnsi="Wingdings"/>
      </w:rPr>
    </w:lvl>
    <w:lvl w:ilvl="3" w:tentative="0">
      <w:start w:val="1"/>
      <w:numFmt w:val="bullet"/>
      <w:pStyle w:val="567"/>
      <w:lvlText w:val=""/>
      <w:lvlJc w:val="left"/>
      <w:pPr>
        <w:tabs>
          <w:tab w:val="left" w:pos="2100"/>
        </w:tabs>
        <w:ind w:left="2100" w:hanging="420"/>
      </w:pPr>
      <w:rPr>
        <w:rFonts w:hint="default" w:ascii="Wingdings" w:hAnsi="Wingdings"/>
      </w:rPr>
    </w:lvl>
    <w:lvl w:ilvl="4" w:tentative="0">
      <w:start w:val="1"/>
      <w:numFmt w:val="bullet"/>
      <w:pStyle w:val="387"/>
      <w:lvlText w:val=""/>
      <w:lvlJc w:val="left"/>
      <w:pPr>
        <w:tabs>
          <w:tab w:val="left" w:pos="2520"/>
        </w:tabs>
        <w:ind w:left="2520" w:hanging="420"/>
      </w:pPr>
      <w:rPr>
        <w:rFonts w:hint="default" w:ascii="Wingdings" w:hAnsi="Wingdings"/>
      </w:rPr>
    </w:lvl>
    <w:lvl w:ilvl="5" w:tentative="0">
      <w:start w:val="1"/>
      <w:numFmt w:val="bullet"/>
      <w:pStyle w:val="718"/>
      <w:lvlText w:val=""/>
      <w:lvlJc w:val="left"/>
      <w:pPr>
        <w:tabs>
          <w:tab w:val="left" w:pos="2940"/>
        </w:tabs>
        <w:ind w:left="2940" w:hanging="420"/>
      </w:pPr>
      <w:rPr>
        <w:rFonts w:hint="default" w:ascii="Wingdings" w:hAnsi="Wingdings"/>
      </w:rPr>
    </w:lvl>
    <w:lvl w:ilvl="6" w:tentative="0">
      <w:start w:val="1"/>
      <w:numFmt w:val="bullet"/>
      <w:pStyle w:val="717"/>
      <w:lvlText w:val=""/>
      <w:lvlJc w:val="left"/>
      <w:pPr>
        <w:tabs>
          <w:tab w:val="left" w:pos="3360"/>
        </w:tabs>
        <w:ind w:left="3360" w:hanging="420"/>
      </w:pPr>
      <w:rPr>
        <w:rFonts w:hint="default" w:ascii="Wingdings" w:hAnsi="Wingdings"/>
      </w:rPr>
    </w:lvl>
    <w:lvl w:ilvl="7" w:tentative="0">
      <w:start w:val="1"/>
      <w:numFmt w:val="bullet"/>
      <w:pStyle w:val="432"/>
      <w:lvlText w:val=""/>
      <w:lvlJc w:val="left"/>
      <w:pPr>
        <w:tabs>
          <w:tab w:val="left" w:pos="3780"/>
        </w:tabs>
        <w:ind w:left="3780" w:hanging="420"/>
      </w:pPr>
      <w:rPr>
        <w:rFonts w:hint="default" w:ascii="Wingdings" w:hAnsi="Wingdings"/>
      </w:rPr>
    </w:lvl>
    <w:lvl w:ilvl="8" w:tentative="0">
      <w:start w:val="1"/>
      <w:numFmt w:val="bullet"/>
      <w:pStyle w:val="636"/>
      <w:lvlText w:val=""/>
      <w:lvlJc w:val="left"/>
      <w:pPr>
        <w:tabs>
          <w:tab w:val="left" w:pos="4200"/>
        </w:tabs>
        <w:ind w:left="4200" w:hanging="420"/>
      </w:pPr>
      <w:rPr>
        <w:rFonts w:hint="default" w:ascii="Wingdings" w:hAnsi="Wingdings"/>
      </w:rPr>
    </w:lvl>
  </w:abstractNum>
  <w:abstractNum w:abstractNumId="2">
    <w:nsid w:val="0000000C"/>
    <w:multiLevelType w:val="multilevel"/>
    <w:tmpl w:val="0000000C"/>
    <w:lvl w:ilvl="0" w:tentative="0">
      <w:start w:val="1"/>
      <w:numFmt w:val="decimal"/>
      <w:suff w:val="nothing"/>
      <w:lvlText w:val="%1  "/>
      <w:lvlJc w:val="left"/>
      <w:pPr>
        <w:ind w:left="0" w:firstLine="0"/>
      </w:pPr>
      <w:rPr>
        <w:rFonts w:hint="default" w:ascii="Arial" w:hAnsi="Arial" w:eastAsia="宋体" w:cs="Arial"/>
        <w:b/>
        <w:bCs/>
        <w:i w:val="0"/>
        <w:iCs w:val="0"/>
        <w:caps w:val="0"/>
        <w:vanish w:val="0"/>
        <w:color w:val="800000"/>
        <w:sz w:val="36"/>
        <w:szCs w:val="48"/>
        <w:vertAlign w:val="baseline"/>
      </w:rPr>
    </w:lvl>
    <w:lvl w:ilvl="1" w:tentative="0">
      <w:start w:val="1"/>
      <w:numFmt w:val="decimal"/>
      <w:suff w:val="nothing"/>
      <w:lvlText w:val="%1.%2  "/>
      <w:lvlJc w:val="left"/>
      <w:pPr>
        <w:ind w:left="0" w:firstLine="0"/>
      </w:pPr>
      <w:rPr>
        <w:rFonts w:hint="default" w:ascii="Arial" w:hAnsi="Arial" w:eastAsia="黑体" w:cs="Arial"/>
        <w:b w:val="0"/>
        <w:bCs/>
        <w:i w:val="0"/>
        <w:iCs w:val="0"/>
        <w:caps w:val="0"/>
        <w:vanish w:val="0"/>
        <w:color w:val="800000"/>
        <w:sz w:val="30"/>
        <w:szCs w:val="30"/>
        <w:vertAlign w:val="baseline"/>
      </w:rPr>
    </w:lvl>
    <w:lvl w:ilvl="2" w:tentative="0">
      <w:start w:val="1"/>
      <w:numFmt w:val="decimal"/>
      <w:suff w:val="nothing"/>
      <w:lvlText w:val="%1.%2.%3  "/>
      <w:lvlJc w:val="left"/>
      <w:pPr>
        <w:ind w:left="0" w:firstLine="0"/>
      </w:pPr>
      <w:rPr>
        <w:rFonts w:hint="default" w:ascii="Arial" w:hAnsi="Arial" w:eastAsia="黑体" w:cs="Arial"/>
        <w:b w:val="0"/>
        <w:bCs/>
        <w:i w:val="0"/>
        <w:iCs w:val="0"/>
        <w:caps w:val="0"/>
        <w:vanish w:val="0"/>
        <w:color w:val="800000"/>
        <w:sz w:val="24"/>
        <w:szCs w:val="24"/>
        <w:vertAlign w:val="baseline"/>
      </w:rPr>
    </w:lvl>
    <w:lvl w:ilvl="3" w:tentative="0">
      <w:start w:val="1"/>
      <w:numFmt w:val="decimal"/>
      <w:suff w:val="nothing"/>
      <w:lvlText w:val="%4. "/>
      <w:lvlJc w:val="left"/>
      <w:pPr>
        <w:ind w:left="0" w:firstLine="624"/>
      </w:pPr>
      <w:rPr>
        <w:rFonts w:hint="default" w:ascii="Arial" w:hAnsi="Arial" w:eastAsia="黑体" w:cs="Arial"/>
        <w:b w:val="0"/>
        <w:bCs/>
        <w:i w:val="0"/>
        <w:iCs w:val="0"/>
        <w:caps w:val="0"/>
        <w:vanish w:val="0"/>
        <w:color w:val="800000"/>
        <w:sz w:val="21"/>
        <w:szCs w:val="21"/>
        <w:vertAlign w:val="baseline"/>
      </w:rPr>
    </w:lvl>
    <w:lvl w:ilvl="4" w:tentative="0">
      <w:start w:val="1"/>
      <w:numFmt w:val="decimal"/>
      <w:lvlText w:val="(%5)"/>
      <w:lvlJc w:val="left"/>
      <w:pPr>
        <w:tabs>
          <w:tab w:val="left" w:pos="1134"/>
        </w:tabs>
        <w:ind w:left="1134" w:hanging="510"/>
      </w:pPr>
      <w:rPr>
        <w:rFonts w:hint="default" w:ascii="Arial" w:hAnsi="Arial" w:eastAsia="宋体"/>
        <w:b w:val="0"/>
        <w:bCs w:val="0"/>
        <w:i w:val="0"/>
        <w:iCs w:val="0"/>
        <w:color w:val="auto"/>
        <w:sz w:val="21"/>
        <w:szCs w:val="20"/>
        <w:u w:val="none"/>
      </w:rPr>
    </w:lvl>
    <w:lvl w:ilvl="5" w:tentative="0">
      <w:start w:val="1"/>
      <w:numFmt w:val="decimal"/>
      <w:pStyle w:val="218"/>
      <w:suff w:val="space"/>
      <w:lvlText w:val="图%6"/>
      <w:lvlJc w:val="left"/>
      <w:pPr>
        <w:ind w:left="0" w:firstLine="624"/>
      </w:pPr>
      <w:rPr>
        <w:rFonts w:hint="default" w:ascii="Arial" w:hAnsi="Arial" w:eastAsia="黑体" w:cs="Arial Narrow"/>
        <w:b w:val="0"/>
        <w:bCs/>
        <w:i w:val="0"/>
        <w:iCs w:val="0"/>
        <w:color w:val="auto"/>
        <w:sz w:val="21"/>
        <w:szCs w:val="20"/>
        <w:u w:val="none"/>
      </w:rPr>
    </w:lvl>
    <w:lvl w:ilvl="6" w:tentative="0">
      <w:start w:val="1"/>
      <w:numFmt w:val="decimal"/>
      <w:suff w:val="space"/>
      <w:lvlText w:val="表%7"/>
      <w:lvlJc w:val="left"/>
      <w:pPr>
        <w:ind w:left="1134" w:hanging="510"/>
      </w:pPr>
      <w:rPr>
        <w:rFonts w:hint="default" w:ascii="Arial" w:hAnsi="Arial" w:eastAsia="黑体"/>
        <w:b w:val="0"/>
        <w:bCs/>
        <w:i w:val="0"/>
        <w:iCs w:val="0"/>
        <w:caps w:val="0"/>
        <w:vanish w:val="0"/>
        <w:color w:val="auto"/>
        <w:spacing w:val="0"/>
        <w:w w:val="100"/>
        <w:kern w:val="0"/>
        <w:position w:val="0"/>
        <w:sz w:val="21"/>
        <w:szCs w:val="18"/>
        <w:vertAlign w:val="baseline"/>
      </w:rPr>
    </w:lvl>
    <w:lvl w:ilvl="7" w:tentative="0">
      <w:start w:val="1"/>
      <w:numFmt w:val="lowerLetter"/>
      <w:lvlText w:val="%8."/>
      <w:lvlJc w:val="left"/>
      <w:pPr>
        <w:tabs>
          <w:tab w:val="left" w:pos="1418"/>
        </w:tabs>
        <w:ind w:left="1418" w:hanging="284"/>
      </w:pPr>
      <w:rPr>
        <w:rFonts w:hint="default" w:ascii="Arial" w:hAnsi="Arial" w:eastAsia="宋体"/>
        <w:color w:val="auto"/>
        <w:sz w:val="21"/>
        <w:szCs w:val="18"/>
      </w:rPr>
    </w:lvl>
    <w:lvl w:ilvl="8" w:tentative="0">
      <w:start w:val="1"/>
      <w:numFmt w:val="decimal"/>
      <w:lvlText w:val="步骤%9"/>
      <w:lvlJc w:val="left"/>
      <w:pPr>
        <w:tabs>
          <w:tab w:val="left" w:pos="737"/>
        </w:tabs>
        <w:ind w:left="737" w:hanging="737"/>
      </w:pPr>
      <w:rPr>
        <w:rFonts w:hint="default" w:ascii="Arial" w:hAnsi="Arial" w:eastAsia="宋体" w:cs="Arial"/>
        <w:b/>
        <w:bCs w:val="0"/>
        <w:i w:val="0"/>
        <w:iCs w:val="0"/>
        <w:caps w:val="0"/>
        <w:vanish w:val="0"/>
        <w:color w:val="auto"/>
        <w:sz w:val="21"/>
        <w:szCs w:val="18"/>
        <w:vertAlign w:val="baseline"/>
        <w:lang w:val="en-US"/>
      </w:rPr>
    </w:lvl>
  </w:abstractNum>
  <w:abstractNum w:abstractNumId="3">
    <w:nsid w:val="0000000D"/>
    <w:multiLevelType w:val="multilevel"/>
    <w:tmpl w:val="0000000D"/>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F"/>
    <w:multiLevelType w:val="multilevel"/>
    <w:tmpl w:val="0000000F"/>
    <w:lvl w:ilvl="0" w:tentative="0">
      <w:start w:val="1"/>
      <w:numFmt w:val="chineseCountingThousand"/>
      <w:pStyle w:val="363"/>
      <w:lvlText w:val="第%1章"/>
      <w:lvlJc w:val="left"/>
      <w:pPr>
        <w:ind w:left="5245" w:hanging="425"/>
      </w:pPr>
      <w:rPr>
        <w:rFonts w:hint="eastAsia"/>
      </w:rPr>
    </w:lvl>
    <w:lvl w:ilvl="1" w:tentative="0">
      <w:start w:val="1"/>
      <w:numFmt w:val="decimal"/>
      <w:pStyle w:val="362"/>
      <w:isLgl/>
      <w:lvlText w:val="%1.%2"/>
      <w:lvlJc w:val="left"/>
      <w:pPr>
        <w:ind w:left="425" w:hanging="425"/>
      </w:pPr>
      <w:rPr>
        <w:rFonts w:hint="eastAsia"/>
      </w:rPr>
    </w:lvl>
    <w:lvl w:ilvl="2" w:tentative="0">
      <w:start w:val="1"/>
      <w:numFmt w:val="decimal"/>
      <w:pStyle w:val="361"/>
      <w:isLgl/>
      <w:lvlText w:val="%1.%2.%3"/>
      <w:lvlJc w:val="left"/>
      <w:pPr>
        <w:ind w:left="425" w:hanging="425"/>
      </w:pPr>
      <w:rPr>
        <w:rFonts w:hint="eastAsia"/>
      </w:rPr>
    </w:lvl>
    <w:lvl w:ilvl="3" w:tentative="0">
      <w:start w:val="1"/>
      <w:numFmt w:val="decimal"/>
      <w:pStyle w:val="360"/>
      <w:isLgl/>
      <w:lvlText w:val="%1.%2.%3.%4"/>
      <w:lvlJc w:val="left"/>
      <w:pPr>
        <w:ind w:left="425" w:hanging="425"/>
      </w:pPr>
      <w:rPr>
        <w:rFonts w:hint="eastAsia"/>
      </w:rPr>
    </w:lvl>
    <w:lvl w:ilvl="4" w:tentative="0">
      <w:start w:val="1"/>
      <w:numFmt w:val="decimal"/>
      <w:pStyle w:val="359"/>
      <w:isLgl/>
      <w:lvlText w:val="%1.%2.%3.%4.%5"/>
      <w:lvlJc w:val="left"/>
      <w:pPr>
        <w:ind w:left="425" w:hanging="425"/>
      </w:pPr>
      <w:rPr>
        <w:rFonts w:hint="eastAsia"/>
      </w:rPr>
    </w:lvl>
    <w:lvl w:ilvl="5" w:tentative="0">
      <w:start w:val="1"/>
      <w:numFmt w:val="decimal"/>
      <w:isLgl/>
      <w:lvlText w:val="%1.%2.%3.%4.%5.%6"/>
      <w:lvlJc w:val="left"/>
      <w:pPr>
        <w:ind w:left="425" w:hanging="425"/>
      </w:pPr>
      <w:rPr>
        <w:rFonts w:hint="eastAsia"/>
      </w:rPr>
    </w:lvl>
    <w:lvl w:ilvl="6" w:tentative="0">
      <w:start w:val="1"/>
      <w:numFmt w:val="decimal"/>
      <w:isLgl/>
      <w:lvlText w:val="%1.%2.%3.%4.%5.%6.%7"/>
      <w:lvlJc w:val="left"/>
      <w:pPr>
        <w:ind w:left="425" w:hanging="425"/>
      </w:pPr>
      <w:rPr>
        <w:rFonts w:hint="eastAsia"/>
      </w:rPr>
    </w:lvl>
    <w:lvl w:ilvl="7" w:tentative="0">
      <w:start w:val="1"/>
      <w:numFmt w:val="decimal"/>
      <w:isLgl/>
      <w:lvlText w:val="%1.%2.%3.%4.%5.%6.%7.%8"/>
      <w:lvlJc w:val="left"/>
      <w:pPr>
        <w:ind w:left="425" w:hanging="425"/>
      </w:pPr>
      <w:rPr>
        <w:rFonts w:hint="eastAsia"/>
      </w:rPr>
    </w:lvl>
    <w:lvl w:ilvl="8" w:tentative="0">
      <w:start w:val="1"/>
      <w:numFmt w:val="decimal"/>
      <w:isLgl/>
      <w:lvlText w:val="%1.%2.%3.%4.%5.%6.%7.%8.%9"/>
      <w:lvlJc w:val="left"/>
      <w:pPr>
        <w:ind w:left="425" w:hanging="425"/>
      </w:pPr>
      <w:rPr>
        <w:rFonts w:hint="eastAsia"/>
      </w:rPr>
    </w:lvl>
  </w:abstractNum>
  <w:abstractNum w:abstractNumId="5">
    <w:nsid w:val="00000010"/>
    <w:multiLevelType w:val="multilevel"/>
    <w:tmpl w:val="00000010"/>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14"/>
    <w:multiLevelType w:val="multilevel"/>
    <w:tmpl w:val="00000014"/>
    <w:lvl w:ilvl="0" w:tentative="0">
      <w:start w:val="1"/>
      <w:numFmt w:val="lowerLetter"/>
      <w:pStyle w:val="452"/>
      <w:lvlText w:val="%1) "/>
      <w:lvlJc w:val="left"/>
      <w:pPr>
        <w:tabs>
          <w:tab w:val="left" w:pos="907"/>
        </w:tabs>
        <w:ind w:left="907" w:hanging="425"/>
      </w:pPr>
      <w:rPr>
        <w:rFonts w:hint="default" w:ascii="Times New Roman" w:hAnsi="Times New Roman" w:eastAsia="宋体"/>
        <w:sz w:val="28"/>
        <w:szCs w:val="28"/>
      </w:rPr>
    </w:lvl>
    <w:lvl w:ilvl="1" w:tentative="0">
      <w:start w:val="1"/>
      <w:numFmt w:val="decimal"/>
      <w:pStyle w:val="684"/>
      <w:lvlText w:val="%2) "/>
      <w:lvlJc w:val="left"/>
      <w:pPr>
        <w:tabs>
          <w:tab w:val="left" w:pos="1588"/>
        </w:tabs>
        <w:ind w:left="1588" w:hanging="681"/>
      </w:pPr>
      <w:rPr>
        <w:rFonts w:hint="eastAsia"/>
      </w:rPr>
    </w:lvl>
    <w:lvl w:ilvl="2" w:tentative="0">
      <w:start w:val="1"/>
      <w:numFmt w:val="decimal"/>
      <w:lvlText w:val="%3)"/>
      <w:lvlJc w:val="left"/>
      <w:pPr>
        <w:tabs>
          <w:tab w:val="left" w:pos="1320"/>
        </w:tabs>
        <w:ind w:left="1320" w:hanging="4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decimal"/>
      <w:pStyle w:val="116"/>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7"/>
    <w:multiLevelType w:val="multilevel"/>
    <w:tmpl w:val="00000017"/>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A"/>
    <w:multiLevelType w:val="singleLevel"/>
    <w:tmpl w:val="0000001A"/>
    <w:lvl w:ilvl="0" w:tentative="0">
      <w:start w:val="1"/>
      <w:numFmt w:val="decimal"/>
      <w:pStyle w:val="666"/>
      <w:lvlText w:val="%1."/>
      <w:lvlJc w:val="left"/>
      <w:pPr>
        <w:tabs>
          <w:tab w:val="left" w:pos="425"/>
        </w:tabs>
        <w:ind w:left="425" w:hanging="425"/>
      </w:pPr>
    </w:lvl>
  </w:abstractNum>
  <w:abstractNum w:abstractNumId="10">
    <w:nsid w:val="0000001B"/>
    <w:multiLevelType w:val="multilevel"/>
    <w:tmpl w:val="0000001B"/>
    <w:lvl w:ilvl="0" w:tentative="0">
      <w:start w:val="1"/>
      <w:numFmt w:val="decimal"/>
      <w:pStyle w:val="497"/>
      <w:lvlText w:val="%1"/>
      <w:lvlJc w:val="left"/>
      <w:pPr>
        <w:tabs>
          <w:tab w:val="left" w:pos="480"/>
        </w:tabs>
        <w:ind w:left="480" w:hanging="480"/>
      </w:pPr>
      <w:rPr>
        <w:rFonts w:hint="eastAsia"/>
        <w:sz w:val="44"/>
        <w:szCs w:val="44"/>
      </w:rPr>
    </w:lvl>
    <w:lvl w:ilvl="1" w:tentative="0">
      <w:start w:val="1"/>
      <w:numFmt w:val="decimal"/>
      <w:pStyle w:val="72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679"/>
      <w:lvlText w:val="%1.%2.%3.%4.%5"/>
      <w:lvlJc w:val="left"/>
      <w:pPr>
        <w:tabs>
          <w:tab w:val="left" w:pos="1080"/>
        </w:tabs>
        <w:ind w:left="1080" w:hanging="1080"/>
      </w:pPr>
      <w:rPr>
        <w:rFonts w:hint="default"/>
      </w:rPr>
    </w:lvl>
    <w:lvl w:ilvl="5" w:tentative="0">
      <w:start w:val="1"/>
      <w:numFmt w:val="decimal"/>
      <w:pStyle w:val="44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1E"/>
    <w:multiLevelType w:val="multilevel"/>
    <w:tmpl w:val="0000001E"/>
    <w:lvl w:ilvl="0" w:tentative="0">
      <w:start w:val="1"/>
      <w:numFmt w:val="bullet"/>
      <w:pStyle w:val="70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00001F"/>
    <w:multiLevelType w:val="multilevel"/>
    <w:tmpl w:val="0000001F"/>
    <w:lvl w:ilvl="0" w:tentative="0">
      <w:start w:val="1"/>
      <w:numFmt w:val="bullet"/>
      <w:pStyle w:val="539"/>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3"/>
  </w:num>
  <w:num w:numId="3">
    <w:abstractNumId w:val="0"/>
  </w:num>
  <w:num w:numId="4">
    <w:abstractNumId w:val="1"/>
  </w:num>
  <w:num w:numId="5">
    <w:abstractNumId w:val="7"/>
  </w:num>
  <w:num w:numId="6">
    <w:abstractNumId w:val="2"/>
  </w:num>
  <w:num w:numId="7">
    <w:abstractNumId w:val="4"/>
  </w:num>
  <w:num w:numId="8">
    <w:abstractNumId w:val="10"/>
  </w:num>
  <w:num w:numId="9">
    <w:abstractNumId w:val="6"/>
  </w:num>
  <w:num w:numId="10">
    <w:abstractNumId w:val="12"/>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40FA"/>
    <w:rsid w:val="000B74CB"/>
    <w:rsid w:val="000F2022"/>
    <w:rsid w:val="0011349C"/>
    <w:rsid w:val="00117961"/>
    <w:rsid w:val="001866D1"/>
    <w:rsid w:val="00187C3C"/>
    <w:rsid w:val="00202CF6"/>
    <w:rsid w:val="00230827"/>
    <w:rsid w:val="00235DA8"/>
    <w:rsid w:val="002700F6"/>
    <w:rsid w:val="002B3242"/>
    <w:rsid w:val="002E2B9A"/>
    <w:rsid w:val="002F7017"/>
    <w:rsid w:val="00323155"/>
    <w:rsid w:val="00370853"/>
    <w:rsid w:val="00380688"/>
    <w:rsid w:val="0039256A"/>
    <w:rsid w:val="003E3B11"/>
    <w:rsid w:val="003F5929"/>
    <w:rsid w:val="0041199C"/>
    <w:rsid w:val="00421157"/>
    <w:rsid w:val="00452D6C"/>
    <w:rsid w:val="00481892"/>
    <w:rsid w:val="004C2580"/>
    <w:rsid w:val="004C681C"/>
    <w:rsid w:val="00516D13"/>
    <w:rsid w:val="00541BE3"/>
    <w:rsid w:val="005529AC"/>
    <w:rsid w:val="005A7593"/>
    <w:rsid w:val="005A7A8D"/>
    <w:rsid w:val="005D304B"/>
    <w:rsid w:val="00640B54"/>
    <w:rsid w:val="0069540C"/>
    <w:rsid w:val="006A1A72"/>
    <w:rsid w:val="00753097"/>
    <w:rsid w:val="00753111"/>
    <w:rsid w:val="00762CAB"/>
    <w:rsid w:val="00774128"/>
    <w:rsid w:val="007819B9"/>
    <w:rsid w:val="007A5ABB"/>
    <w:rsid w:val="007E534D"/>
    <w:rsid w:val="007E5C55"/>
    <w:rsid w:val="008013FF"/>
    <w:rsid w:val="00842CAA"/>
    <w:rsid w:val="0086479C"/>
    <w:rsid w:val="008B2B94"/>
    <w:rsid w:val="00907E96"/>
    <w:rsid w:val="00913D2D"/>
    <w:rsid w:val="00941C6B"/>
    <w:rsid w:val="009533E4"/>
    <w:rsid w:val="00975E7F"/>
    <w:rsid w:val="00991AC3"/>
    <w:rsid w:val="009B56FA"/>
    <w:rsid w:val="009D5CB5"/>
    <w:rsid w:val="009E5285"/>
    <w:rsid w:val="009F1575"/>
    <w:rsid w:val="00A129E2"/>
    <w:rsid w:val="00A168B7"/>
    <w:rsid w:val="00A31EED"/>
    <w:rsid w:val="00A33E85"/>
    <w:rsid w:val="00A72976"/>
    <w:rsid w:val="00AF1E4D"/>
    <w:rsid w:val="00AF2B0A"/>
    <w:rsid w:val="00B10D7E"/>
    <w:rsid w:val="00B16D5D"/>
    <w:rsid w:val="00B97E1D"/>
    <w:rsid w:val="00C061DE"/>
    <w:rsid w:val="00C21A58"/>
    <w:rsid w:val="00C64E64"/>
    <w:rsid w:val="00D240D1"/>
    <w:rsid w:val="00D27653"/>
    <w:rsid w:val="00D54913"/>
    <w:rsid w:val="00DB7525"/>
    <w:rsid w:val="00DF2BD1"/>
    <w:rsid w:val="00E224B7"/>
    <w:rsid w:val="00E340A8"/>
    <w:rsid w:val="00E95435"/>
    <w:rsid w:val="00ED3F22"/>
    <w:rsid w:val="00EF0D17"/>
    <w:rsid w:val="00F25A99"/>
    <w:rsid w:val="00F41D38"/>
    <w:rsid w:val="00F745D2"/>
    <w:rsid w:val="00F85522"/>
    <w:rsid w:val="00FE30F5"/>
    <w:rsid w:val="040B6146"/>
    <w:rsid w:val="05520814"/>
    <w:rsid w:val="055971B7"/>
    <w:rsid w:val="08F365C6"/>
    <w:rsid w:val="08F41CC4"/>
    <w:rsid w:val="09B437E1"/>
    <w:rsid w:val="0C78635A"/>
    <w:rsid w:val="0D53398F"/>
    <w:rsid w:val="0D696395"/>
    <w:rsid w:val="0E7308AD"/>
    <w:rsid w:val="0F047C1C"/>
    <w:rsid w:val="0F405F94"/>
    <w:rsid w:val="0F715E18"/>
    <w:rsid w:val="0F727178"/>
    <w:rsid w:val="12030496"/>
    <w:rsid w:val="12A55833"/>
    <w:rsid w:val="16807377"/>
    <w:rsid w:val="16EA5867"/>
    <w:rsid w:val="188C69A4"/>
    <w:rsid w:val="1B3C485E"/>
    <w:rsid w:val="1C5302E4"/>
    <w:rsid w:val="1C80220E"/>
    <w:rsid w:val="1E587ABA"/>
    <w:rsid w:val="243A7A70"/>
    <w:rsid w:val="24697325"/>
    <w:rsid w:val="248E43FE"/>
    <w:rsid w:val="2626460F"/>
    <w:rsid w:val="26C00620"/>
    <w:rsid w:val="26D46030"/>
    <w:rsid w:val="28225DDC"/>
    <w:rsid w:val="285E0C65"/>
    <w:rsid w:val="29525E4E"/>
    <w:rsid w:val="2B1B7ED3"/>
    <w:rsid w:val="2BE3504A"/>
    <w:rsid w:val="2BE949CC"/>
    <w:rsid w:val="2C5242A5"/>
    <w:rsid w:val="2C5276EE"/>
    <w:rsid w:val="2E2C0ADE"/>
    <w:rsid w:val="30A36F1B"/>
    <w:rsid w:val="32415DFF"/>
    <w:rsid w:val="32CA1ACC"/>
    <w:rsid w:val="3386528F"/>
    <w:rsid w:val="36A75892"/>
    <w:rsid w:val="36E720EE"/>
    <w:rsid w:val="370B2E16"/>
    <w:rsid w:val="37C76327"/>
    <w:rsid w:val="37DE6411"/>
    <w:rsid w:val="38AB7014"/>
    <w:rsid w:val="392C207E"/>
    <w:rsid w:val="396D2760"/>
    <w:rsid w:val="39BC07B8"/>
    <w:rsid w:val="39BD02BF"/>
    <w:rsid w:val="39E73472"/>
    <w:rsid w:val="3D5109D1"/>
    <w:rsid w:val="40A91520"/>
    <w:rsid w:val="410D6922"/>
    <w:rsid w:val="415869FC"/>
    <w:rsid w:val="415D4300"/>
    <w:rsid w:val="4165108B"/>
    <w:rsid w:val="44265814"/>
    <w:rsid w:val="46A922F8"/>
    <w:rsid w:val="49E67BAB"/>
    <w:rsid w:val="4A6444A2"/>
    <w:rsid w:val="4AA77A1E"/>
    <w:rsid w:val="4C61143C"/>
    <w:rsid w:val="4C81681E"/>
    <w:rsid w:val="514D1122"/>
    <w:rsid w:val="51AC4186"/>
    <w:rsid w:val="51E36113"/>
    <w:rsid w:val="520A4277"/>
    <w:rsid w:val="52970667"/>
    <w:rsid w:val="553A26F3"/>
    <w:rsid w:val="555D2F57"/>
    <w:rsid w:val="580561BD"/>
    <w:rsid w:val="58195A1C"/>
    <w:rsid w:val="5BA326D4"/>
    <w:rsid w:val="5C982FF5"/>
    <w:rsid w:val="609B4244"/>
    <w:rsid w:val="60D35F0E"/>
    <w:rsid w:val="621510CA"/>
    <w:rsid w:val="62F66F35"/>
    <w:rsid w:val="63713382"/>
    <w:rsid w:val="63F8124D"/>
    <w:rsid w:val="648D0A1A"/>
    <w:rsid w:val="65D44819"/>
    <w:rsid w:val="65F57504"/>
    <w:rsid w:val="68D407CD"/>
    <w:rsid w:val="692B2259"/>
    <w:rsid w:val="696C2CE0"/>
    <w:rsid w:val="699341A0"/>
    <w:rsid w:val="69F5459F"/>
    <w:rsid w:val="6A9D266B"/>
    <w:rsid w:val="6AB74834"/>
    <w:rsid w:val="6AE359F2"/>
    <w:rsid w:val="6B8C5A25"/>
    <w:rsid w:val="6D6676A5"/>
    <w:rsid w:val="6DFA1169"/>
    <w:rsid w:val="6F843912"/>
    <w:rsid w:val="6FBB381D"/>
    <w:rsid w:val="73755145"/>
    <w:rsid w:val="74300768"/>
    <w:rsid w:val="749D19E0"/>
    <w:rsid w:val="758A39AD"/>
    <w:rsid w:val="76266245"/>
    <w:rsid w:val="76767043"/>
    <w:rsid w:val="76AD4E54"/>
    <w:rsid w:val="78A46D6A"/>
    <w:rsid w:val="79DF3796"/>
    <w:rsid w:val="7AA605DC"/>
    <w:rsid w:val="7DC468F2"/>
    <w:rsid w:val="7F326194"/>
    <w:rsid w:val="7F3E2549"/>
    <w:rsid w:val="7F412003"/>
    <w:rsid w:val="7F654FFE"/>
    <w:rsid w:val="7FDE3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189"/>
    <w:qFormat/>
    <w:uiPriority w:val="0"/>
    <w:pPr>
      <w:keepNext/>
      <w:keepLines/>
      <w:numPr>
        <w:ilvl w:val="0"/>
        <w:numId w:val="1"/>
      </w:numPr>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beforeLines="0" w:after="260" w:afterLines="0" w:line="415" w:lineRule="auto"/>
      <w:outlineLvl w:val="2"/>
    </w:pPr>
    <w:rPr>
      <w:b/>
      <w:bCs/>
      <w:sz w:val="32"/>
      <w:szCs w:val="32"/>
    </w:rPr>
  </w:style>
  <w:style w:type="paragraph" w:styleId="5">
    <w:name w:val="heading 4"/>
    <w:basedOn w:val="1"/>
    <w:next w:val="1"/>
    <w:link w:val="244"/>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lang w:val="zh-CN"/>
    </w:rPr>
  </w:style>
  <w:style w:type="paragraph" w:styleId="6">
    <w:name w:val="heading 5"/>
    <w:basedOn w:val="1"/>
    <w:next w:val="1"/>
    <w:link w:val="259"/>
    <w:qFormat/>
    <w:uiPriority w:val="0"/>
    <w:pPr>
      <w:keepNext/>
      <w:keepLines/>
      <w:numPr>
        <w:ilvl w:val="4"/>
        <w:numId w:val="1"/>
      </w:numPr>
      <w:spacing w:before="280" w:beforeLines="0" w:after="290" w:afterLines="0" w:line="374" w:lineRule="auto"/>
      <w:outlineLvl w:val="4"/>
    </w:pPr>
    <w:rPr>
      <w:b/>
      <w:bCs/>
      <w:sz w:val="28"/>
      <w:szCs w:val="28"/>
    </w:rPr>
  </w:style>
  <w:style w:type="paragraph" w:styleId="7">
    <w:name w:val="heading 6"/>
    <w:basedOn w:val="1"/>
    <w:next w:val="1"/>
    <w:link w:val="329"/>
    <w:qFormat/>
    <w:uiPriority w:val="0"/>
    <w:pPr>
      <w:keepNext/>
      <w:keepLines/>
      <w:numPr>
        <w:ilvl w:val="5"/>
        <w:numId w:val="1"/>
      </w:numPr>
      <w:spacing w:before="240" w:beforeLines="0" w:after="64" w:afterLines="0" w:line="319" w:lineRule="auto"/>
      <w:outlineLvl w:val="5"/>
    </w:pPr>
    <w:rPr>
      <w:rFonts w:ascii="Arial" w:hAnsi="Arial" w:eastAsia="黑体"/>
      <w:b/>
      <w:bCs/>
      <w:sz w:val="24"/>
    </w:rPr>
  </w:style>
  <w:style w:type="paragraph" w:styleId="8">
    <w:name w:val="heading 7"/>
    <w:basedOn w:val="1"/>
    <w:next w:val="1"/>
    <w:link w:val="178"/>
    <w:qFormat/>
    <w:uiPriority w:val="0"/>
    <w:pPr>
      <w:keepNext/>
      <w:keepLines/>
      <w:numPr>
        <w:ilvl w:val="6"/>
        <w:numId w:val="1"/>
      </w:numPr>
      <w:spacing w:before="240" w:beforeLines="0" w:after="64" w:afterLines="0" w:line="319" w:lineRule="auto"/>
      <w:outlineLvl w:val="6"/>
    </w:pPr>
    <w:rPr>
      <w:b/>
      <w:bCs/>
      <w:sz w:val="24"/>
    </w:rPr>
  </w:style>
  <w:style w:type="paragraph" w:styleId="9">
    <w:name w:val="heading 8"/>
    <w:basedOn w:val="1"/>
    <w:next w:val="1"/>
    <w:link w:val="245"/>
    <w:qFormat/>
    <w:uiPriority w:val="0"/>
    <w:pPr>
      <w:keepNext/>
      <w:keepLines/>
      <w:numPr>
        <w:ilvl w:val="7"/>
        <w:numId w:val="1"/>
      </w:numPr>
      <w:spacing w:before="240" w:beforeLines="0" w:after="64" w:afterLines="0" w:line="319" w:lineRule="auto"/>
      <w:outlineLvl w:val="7"/>
    </w:pPr>
    <w:rPr>
      <w:rFonts w:ascii="Arial" w:hAnsi="Arial" w:eastAsia="黑体"/>
      <w:sz w:val="24"/>
    </w:rPr>
  </w:style>
  <w:style w:type="paragraph" w:styleId="10">
    <w:name w:val="heading 9"/>
    <w:basedOn w:val="1"/>
    <w:next w:val="1"/>
    <w:link w:val="292"/>
    <w:qFormat/>
    <w:uiPriority w:val="0"/>
    <w:pPr>
      <w:keepNext/>
      <w:keepLines/>
      <w:numPr>
        <w:ilvl w:val="8"/>
        <w:numId w:val="1"/>
      </w:numPr>
      <w:spacing w:before="240" w:beforeLines="0" w:after="64" w:afterLines="0" w:line="319" w:lineRule="auto"/>
      <w:outlineLvl w:val="8"/>
    </w:pPr>
    <w:rPr>
      <w:rFonts w:ascii="Arial" w:hAnsi="Arial" w:eastAsia="黑体"/>
      <w:szCs w:val="21"/>
    </w:rPr>
  </w:style>
  <w:style w:type="character" w:default="1" w:styleId="86">
    <w:name w:val="Default Paragraph Font"/>
    <w:uiPriority w:val="0"/>
    <w:rPr>
      <w:rFonts w:ascii="Arial" w:hAnsi="Arial" w:eastAsia="黑体" w:cs="Arial"/>
      <w:snapToGrid w:val="0"/>
      <w:kern w:val="0"/>
      <w:szCs w:val="21"/>
    </w:rPr>
  </w:style>
  <w:style w:type="table" w:default="1" w:styleId="85">
    <w:name w:val="Normal Table"/>
    <w:unhideWhenUsed/>
    <w:uiPriority w:val="99"/>
    <w:pPr>
      <w:keepNext w:val="0"/>
      <w:keepLines w:val="0"/>
      <w:widowControl/>
      <w:suppressLineNumbers w:val="0"/>
      <w:spacing w:before="0" w:beforeAutospacing="0" w:after="0" w:afterAutospacing="0"/>
      <w:ind w:left="0" w:right="0"/>
    </w:pPr>
    <w:rPr>
      <w:rFonts w:ascii="Calibri" w:hAnsi="Calibri" w:cs="Times New Roman"/>
      <w:sz w:val="20"/>
      <w:szCs w:val="20"/>
    </w:rPr>
    <w:tblPr>
      <w:tblStyle w:val="85"/>
      <w:tblCellMar>
        <w:top w:w="0" w:type="dxa"/>
        <w:left w:w="108" w:type="dxa"/>
        <w:bottom w:w="0" w:type="dxa"/>
        <w:right w:w="108" w:type="dxa"/>
      </w:tblCellMar>
    </w:tblPr>
  </w:style>
  <w:style w:type="paragraph" w:styleId="11">
    <w:name w:val="List 3"/>
    <w:basedOn w:val="1"/>
    <w:uiPriority w:val="0"/>
    <w:pPr>
      <w:snapToGrid w:val="0"/>
      <w:spacing w:line="360" w:lineRule="auto"/>
      <w:ind w:left="100" w:leftChars="400" w:hanging="200" w:hangingChars="200"/>
      <w:textAlignment w:val="baseline"/>
    </w:pPr>
    <w:rPr>
      <w:rFonts w:eastAsia="仿宋_GB2312"/>
      <w:color w:val="000000"/>
      <w:kern w:val="0"/>
      <w:sz w:val="28"/>
      <w:szCs w:val="20"/>
    </w:rPr>
  </w:style>
  <w:style w:type="paragraph" w:styleId="12">
    <w:name w:val="toc 7"/>
    <w:basedOn w:val="1"/>
    <w:next w:val="1"/>
    <w:uiPriority w:val="0"/>
    <w:pPr>
      <w:ind w:left="2520" w:leftChars="1200"/>
    </w:pPr>
  </w:style>
  <w:style w:type="paragraph" w:styleId="13">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4">
    <w:name w:val="Note Heading"/>
    <w:basedOn w:val="1"/>
    <w:next w:val="1"/>
    <w:link w:val="158"/>
    <w:uiPriority w:val="0"/>
    <w:pPr>
      <w:snapToGrid w:val="0"/>
      <w:spacing w:line="360" w:lineRule="auto"/>
      <w:jc w:val="center"/>
      <w:textAlignment w:val="baseline"/>
    </w:pPr>
    <w:rPr>
      <w:rFonts w:ascii="Arial" w:hAnsi="Arial" w:eastAsia="黑体"/>
      <w:snapToGrid w:val="0"/>
      <w:color w:val="000000"/>
      <w:kern w:val="0"/>
      <w:sz w:val="24"/>
      <w:szCs w:val="21"/>
    </w:rPr>
  </w:style>
  <w:style w:type="paragraph" w:styleId="15">
    <w:name w:val="List Bullet 4"/>
    <w:basedOn w:val="1"/>
    <w:uiPriority w:val="0"/>
    <w:pPr>
      <w:widowControl/>
      <w:numPr>
        <w:ilvl w:val="0"/>
        <w:numId w:val="3"/>
      </w:numPr>
      <w:tabs>
        <w:tab w:val="left" w:pos="432"/>
        <w:tab w:val="clear" w:pos="1440"/>
      </w:tabs>
      <w:adjustRightInd/>
      <w:spacing w:before="40" w:beforeLines="0" w:after="160" w:afterLines="0"/>
      <w:ind w:left="432" w:hanging="432"/>
      <w:jc w:val="left"/>
    </w:pPr>
    <w:rPr>
      <w:rFonts w:ascii="Cambria" w:hAnsi="Cambria" w:eastAsia="微软雅黑" w:cs="Times New Roman"/>
      <w:color w:val="595959"/>
      <w:kern w:val="20"/>
      <w:szCs w:val="20"/>
      <w:lang w:val="zh-CN"/>
    </w:rPr>
  </w:style>
  <w:style w:type="paragraph" w:styleId="16">
    <w:name w:val="index 8"/>
    <w:basedOn w:val="1"/>
    <w:next w:val="1"/>
    <w:uiPriority w:val="0"/>
    <w:pPr>
      <w:adjustRightInd/>
      <w:snapToGrid w:val="0"/>
      <w:ind w:left="2940"/>
    </w:pPr>
    <w:rPr>
      <w:rFonts w:eastAsia="仿宋_GB2312"/>
      <w:color w:val="000000"/>
      <w:sz w:val="28"/>
      <w:szCs w:val="20"/>
    </w:rPr>
  </w:style>
  <w:style w:type="paragraph" w:styleId="17">
    <w:name w:val="E-mail Signature"/>
    <w:basedOn w:val="1"/>
    <w:link w:val="308"/>
    <w:uiPriority w:val="0"/>
    <w:pPr>
      <w:snapToGrid w:val="0"/>
      <w:spacing w:line="360" w:lineRule="auto"/>
      <w:textAlignment w:val="baseline"/>
    </w:pPr>
    <w:rPr>
      <w:rFonts w:ascii="Arial" w:hAnsi="Arial" w:eastAsia="黑体"/>
      <w:snapToGrid w:val="0"/>
      <w:color w:val="000000"/>
      <w:kern w:val="0"/>
      <w:sz w:val="24"/>
      <w:szCs w:val="21"/>
    </w:rPr>
  </w:style>
  <w:style w:type="paragraph" w:styleId="18">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193"/>
    <w:uiPriority w:val="0"/>
    <w:pPr>
      <w:widowControl/>
      <w:adjustRightInd w:val="0"/>
      <w:snapToGrid w:val="0"/>
      <w:spacing w:line="480" w:lineRule="exact"/>
      <w:ind w:firstLine="567"/>
    </w:pPr>
    <w:rPr>
      <w:rFonts w:ascii="宋体" w:eastAsia="宋体"/>
      <w:snapToGrid w:val="0"/>
      <w:color w:val="000000"/>
      <w:kern w:val="28"/>
      <w:sz w:val="28"/>
      <w:szCs w:val="20"/>
    </w:rPr>
  </w:style>
  <w:style w:type="paragraph" w:styleId="20">
    <w:name w:val="caption"/>
    <w:basedOn w:val="1"/>
    <w:next w:val="1"/>
    <w:qFormat/>
    <w:uiPriority w:val="0"/>
    <w:rPr>
      <w:b/>
      <w:sz w:val="28"/>
      <w:szCs w:val="20"/>
    </w:rPr>
  </w:style>
  <w:style w:type="paragraph" w:styleId="21">
    <w:name w:val="index 5"/>
    <w:basedOn w:val="1"/>
    <w:next w:val="1"/>
    <w:uiPriority w:val="0"/>
    <w:pPr>
      <w:adjustRightInd/>
      <w:ind w:left="800" w:leftChars="800" w:firstLine="200" w:firstLineChars="200"/>
    </w:pPr>
  </w:style>
  <w:style w:type="paragraph" w:styleId="22">
    <w:name w:val="List Bullet"/>
    <w:basedOn w:val="1"/>
    <w:uiPriority w:val="0"/>
    <w:pPr>
      <w:tabs>
        <w:tab w:val="left" w:pos="360"/>
      </w:tabs>
      <w:snapToGrid w:val="0"/>
      <w:spacing w:line="360" w:lineRule="auto"/>
      <w:textAlignment w:val="baseline"/>
    </w:pPr>
    <w:rPr>
      <w:rFonts w:eastAsia="仿宋_GB2312"/>
      <w:color w:val="000000"/>
      <w:kern w:val="0"/>
      <w:sz w:val="28"/>
      <w:szCs w:val="20"/>
    </w:rPr>
  </w:style>
  <w:style w:type="paragraph" w:styleId="23">
    <w:name w:val="envelope address"/>
    <w:basedOn w:val="1"/>
    <w:uiPriority w:val="0"/>
    <w:pPr>
      <w:snapToGrid w:val="0"/>
      <w:spacing w:line="360" w:lineRule="auto"/>
      <w:ind w:left="100" w:leftChars="1400"/>
      <w:textAlignment w:val="baseline"/>
    </w:pPr>
    <w:rPr>
      <w:rFonts w:ascii="Arial" w:hAnsi="Arial" w:eastAsia="仿宋_GB2312" w:cs="Arial"/>
      <w:color w:val="000000"/>
      <w:kern w:val="0"/>
      <w:sz w:val="28"/>
    </w:rPr>
  </w:style>
  <w:style w:type="paragraph" w:styleId="24">
    <w:name w:val="Document Map"/>
    <w:basedOn w:val="1"/>
    <w:uiPriority w:val="0"/>
    <w:pPr>
      <w:shd w:val="clear" w:color="auto" w:fill="000080"/>
    </w:pPr>
  </w:style>
  <w:style w:type="paragraph" w:styleId="25">
    <w:name w:val="toa heading"/>
    <w:basedOn w:val="2"/>
    <w:next w:val="1"/>
    <w:uiPriority w:val="0"/>
    <w:pPr>
      <w:numPr>
        <w:ilvl w:val="0"/>
        <w:numId w:val="4"/>
      </w:numPr>
      <w:tabs>
        <w:tab w:val="clear" w:pos="432"/>
      </w:tabs>
      <w:snapToGrid w:val="0"/>
      <w:spacing w:before="120" w:beforeLines="0" w:after="120" w:afterLines="0" w:line="360" w:lineRule="auto"/>
      <w:ind w:left="1283"/>
      <w:jc w:val="left"/>
      <w:textAlignment w:val="baseline"/>
    </w:pPr>
    <w:rPr>
      <w:rFonts w:ascii="Cambria" w:hAnsi="Cambria"/>
      <w:b w:val="0"/>
      <w:bCs w:val="0"/>
      <w:color w:val="000000"/>
      <w:sz w:val="24"/>
      <w:szCs w:val="24"/>
    </w:rPr>
  </w:style>
  <w:style w:type="paragraph" w:styleId="26">
    <w:name w:val="annotation text"/>
    <w:basedOn w:val="1"/>
    <w:link w:val="153"/>
    <w:uiPriority w:val="0"/>
    <w:pPr>
      <w:jc w:val="left"/>
    </w:pPr>
  </w:style>
  <w:style w:type="paragraph" w:styleId="27">
    <w:name w:val="index 6"/>
    <w:basedOn w:val="1"/>
    <w:next w:val="1"/>
    <w:uiPriority w:val="0"/>
    <w:pPr>
      <w:adjustRightInd/>
      <w:snapToGrid w:val="0"/>
      <w:ind w:left="2100"/>
    </w:pPr>
    <w:rPr>
      <w:rFonts w:eastAsia="仿宋_GB2312"/>
      <w:color w:val="000000"/>
      <w:sz w:val="28"/>
      <w:szCs w:val="20"/>
    </w:rPr>
  </w:style>
  <w:style w:type="paragraph" w:styleId="28">
    <w:name w:val="Salutation"/>
    <w:basedOn w:val="1"/>
    <w:next w:val="1"/>
    <w:link w:val="202"/>
    <w:uiPriority w:val="0"/>
    <w:rPr>
      <w:rFonts w:ascii="仿宋_GB2312" w:eastAsia="仿宋_GB2312"/>
      <w:sz w:val="28"/>
      <w:szCs w:val="20"/>
    </w:rPr>
  </w:style>
  <w:style w:type="paragraph" w:styleId="29">
    <w:name w:val="Body Text 3"/>
    <w:basedOn w:val="1"/>
    <w:link w:val="297"/>
    <w:uiPriority w:val="0"/>
    <w:pPr>
      <w:jc w:val="center"/>
    </w:pPr>
    <w:rPr>
      <w:szCs w:val="20"/>
    </w:rPr>
  </w:style>
  <w:style w:type="paragraph" w:styleId="30">
    <w:name w:val="Closing"/>
    <w:basedOn w:val="1"/>
    <w:link w:val="168"/>
    <w:uiPriority w:val="0"/>
    <w:pPr>
      <w:snapToGrid w:val="0"/>
      <w:spacing w:line="360" w:lineRule="auto"/>
      <w:ind w:left="100" w:leftChars="2100"/>
      <w:textAlignment w:val="baseline"/>
    </w:pPr>
    <w:rPr>
      <w:rFonts w:ascii="Arial" w:hAnsi="Arial" w:eastAsia="黑体"/>
      <w:snapToGrid w:val="0"/>
      <w:color w:val="000000"/>
      <w:kern w:val="0"/>
      <w:sz w:val="24"/>
      <w:szCs w:val="21"/>
    </w:rPr>
  </w:style>
  <w:style w:type="paragraph" w:styleId="31">
    <w:name w:val="List Bullet 3"/>
    <w:basedOn w:val="1"/>
    <w:uiPriority w:val="0"/>
    <w:pPr>
      <w:tabs>
        <w:tab w:val="left" w:pos="1200"/>
      </w:tabs>
      <w:snapToGrid w:val="0"/>
      <w:spacing w:line="360" w:lineRule="auto"/>
      <w:ind w:left="1200" w:hanging="360"/>
      <w:textAlignment w:val="baseline"/>
    </w:pPr>
    <w:rPr>
      <w:rFonts w:eastAsia="仿宋_GB2312"/>
      <w:color w:val="000000"/>
      <w:kern w:val="0"/>
      <w:sz w:val="28"/>
      <w:szCs w:val="20"/>
    </w:rPr>
  </w:style>
  <w:style w:type="paragraph" w:styleId="32">
    <w:name w:val="Body Text"/>
    <w:basedOn w:val="1"/>
    <w:link w:val="307"/>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33">
    <w:name w:val="Body Text Indent"/>
    <w:basedOn w:val="1"/>
    <w:link w:val="167"/>
    <w:uiPriority w:val="0"/>
    <w:pPr>
      <w:spacing w:line="480" w:lineRule="exact"/>
      <w:ind w:firstLine="480" w:firstLineChars="200"/>
    </w:pPr>
    <w:rPr>
      <w:rFonts w:ascii="宋体" w:hAnsi="宋体"/>
      <w:sz w:val="24"/>
    </w:rPr>
  </w:style>
  <w:style w:type="paragraph" w:styleId="3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35">
    <w:name w:val="List 2"/>
    <w:basedOn w:val="1"/>
    <w:uiPriority w:val="0"/>
    <w:pPr>
      <w:adjustRightInd/>
      <w:spacing w:line="360" w:lineRule="auto"/>
      <w:ind w:left="100" w:leftChars="200" w:hanging="200" w:hangingChars="200"/>
    </w:pPr>
    <w:rPr>
      <w:rFonts w:eastAsia="微软雅黑"/>
    </w:rPr>
  </w:style>
  <w:style w:type="paragraph" w:styleId="36">
    <w:name w:val="List Continue"/>
    <w:basedOn w:val="1"/>
    <w:uiPriority w:val="0"/>
    <w:pPr>
      <w:snapToGrid w:val="0"/>
      <w:spacing w:after="120" w:afterLines="0" w:line="360" w:lineRule="auto"/>
      <w:ind w:left="420" w:leftChars="200"/>
      <w:textAlignment w:val="baseline"/>
    </w:pPr>
    <w:rPr>
      <w:rFonts w:eastAsia="仿宋_GB2312"/>
      <w:color w:val="000000"/>
      <w:kern w:val="0"/>
      <w:sz w:val="28"/>
      <w:szCs w:val="20"/>
    </w:rPr>
  </w:style>
  <w:style w:type="paragraph" w:styleId="37">
    <w:name w:val="Block Text"/>
    <w:basedOn w:val="1"/>
    <w:uiPriority w:val="0"/>
    <w:pPr>
      <w:ind w:left="-359" w:leftChars="-171" w:rightChars="-244" w:firstLine="501" w:firstLineChars="239"/>
    </w:pPr>
    <w:rPr>
      <w:rFonts w:ascii="仿宋_GB2312" w:eastAsia="仿宋_GB2312"/>
      <w:sz w:val="30"/>
      <w:szCs w:val="20"/>
    </w:rPr>
  </w:style>
  <w:style w:type="paragraph" w:styleId="38">
    <w:name w:val="List Bullet 2"/>
    <w:basedOn w:val="1"/>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319"/>
    <w:uiPriority w:val="0"/>
    <w:pPr>
      <w:widowControl/>
      <w:adjustRightInd/>
      <w:ind w:firstLine="200" w:firstLineChars="200"/>
      <w:jc w:val="left"/>
    </w:pPr>
    <w:rPr>
      <w:rFonts w:ascii="宋体" w:hAnsi="宋体"/>
      <w:i/>
      <w:iCs/>
      <w:kern w:val="0"/>
      <w:sz w:val="24"/>
    </w:rPr>
  </w:style>
  <w:style w:type="paragraph" w:styleId="40">
    <w:name w:val="index 4"/>
    <w:basedOn w:val="1"/>
    <w:next w:val="1"/>
    <w:uiPriority w:val="0"/>
    <w:pPr>
      <w:adjustRightInd/>
      <w:snapToGrid w:val="0"/>
      <w:ind w:left="1260"/>
    </w:pPr>
    <w:rPr>
      <w:rFonts w:eastAsia="仿宋_GB2312"/>
      <w:color w:val="000000"/>
      <w:sz w:val="28"/>
      <w:szCs w:val="20"/>
    </w:rPr>
  </w:style>
  <w:style w:type="paragraph" w:styleId="41">
    <w:name w:val="toc 5"/>
    <w:basedOn w:val="1"/>
    <w:next w:val="1"/>
    <w:uiPriority w:val="0"/>
    <w:pPr>
      <w:ind w:left="1680" w:leftChars="800"/>
    </w:pPr>
  </w:style>
  <w:style w:type="paragraph" w:styleId="42">
    <w:name w:val="toc 3"/>
    <w:basedOn w:val="1"/>
    <w:next w:val="1"/>
    <w:uiPriority w:val="0"/>
    <w:pPr>
      <w:tabs>
        <w:tab w:val="right" w:leader="dot" w:pos="8268"/>
      </w:tabs>
      <w:spacing w:line="460" w:lineRule="exact"/>
      <w:ind w:left="840" w:leftChars="400" w:firstLine="482"/>
    </w:pPr>
    <w:rPr>
      <w:rFonts w:ascii="宋体" w:hAnsi="宋体"/>
      <w:lang/>
    </w:rPr>
  </w:style>
  <w:style w:type="paragraph" w:styleId="43">
    <w:name w:val="Plain Text"/>
    <w:basedOn w:val="1"/>
    <w:link w:val="260"/>
    <w:uiPriority w:val="0"/>
    <w:rPr>
      <w:rFonts w:ascii="宋体" w:hAnsi="Courier New" w:eastAsia="宋体" w:cs="Arial"/>
      <w:snapToGrid w:val="0"/>
      <w:szCs w:val="21"/>
    </w:rPr>
  </w:style>
  <w:style w:type="paragraph" w:styleId="44">
    <w:name w:val="List Bullet 5"/>
    <w:basedOn w:val="1"/>
    <w:uiPriority w:val="0"/>
    <w:pPr>
      <w:tabs>
        <w:tab w:val="left" w:pos="360"/>
      </w:tabs>
      <w:snapToGrid w:val="0"/>
      <w:spacing w:line="360" w:lineRule="auto"/>
      <w:textAlignment w:val="baseline"/>
    </w:pPr>
    <w:rPr>
      <w:rFonts w:eastAsia="仿宋_GB2312"/>
      <w:color w:val="000000"/>
      <w:kern w:val="0"/>
      <w:sz w:val="28"/>
      <w:szCs w:val="20"/>
    </w:rPr>
  </w:style>
  <w:style w:type="paragraph" w:styleId="45">
    <w:name w:val="List Number 4"/>
    <w:basedOn w:val="1"/>
    <w:uiPriority w:val="0"/>
    <w:pPr>
      <w:numPr>
        <w:ilvl w:val="0"/>
        <w:numId w:val="4"/>
      </w:numPr>
      <w:autoSpaceDE w:val="0"/>
      <w:autoSpaceDN w:val="0"/>
      <w:spacing w:line="360" w:lineRule="atLeast"/>
      <w:ind w:left="840" w:hanging="420"/>
    </w:pPr>
    <w:rPr>
      <w:kern w:val="0"/>
      <w:sz w:val="24"/>
    </w:rPr>
  </w:style>
  <w:style w:type="paragraph" w:styleId="46">
    <w:name w:val="toc 8"/>
    <w:basedOn w:val="1"/>
    <w:next w:val="1"/>
    <w:uiPriority w:val="0"/>
    <w:pPr>
      <w:ind w:left="2940" w:leftChars="1400"/>
    </w:pPr>
  </w:style>
  <w:style w:type="paragraph" w:styleId="47">
    <w:name w:val="index 3"/>
    <w:basedOn w:val="1"/>
    <w:next w:val="1"/>
    <w:uiPriority w:val="0"/>
    <w:pPr>
      <w:adjustRightInd/>
      <w:snapToGrid w:val="0"/>
      <w:ind w:left="840"/>
    </w:pPr>
    <w:rPr>
      <w:rFonts w:eastAsia="仿宋_GB2312"/>
      <w:color w:val="000000"/>
      <w:sz w:val="28"/>
      <w:szCs w:val="20"/>
    </w:rPr>
  </w:style>
  <w:style w:type="paragraph" w:styleId="48">
    <w:name w:val="Date"/>
    <w:basedOn w:val="1"/>
    <w:next w:val="1"/>
    <w:link w:val="147"/>
    <w:uiPriority w:val="0"/>
    <w:pPr>
      <w:ind w:left="100" w:leftChars="2500"/>
    </w:pPr>
    <w:rPr>
      <w:rFonts w:ascii="宋体"/>
      <w:sz w:val="24"/>
      <w:szCs w:val="21"/>
      <w:lang w:val="zh-CN"/>
    </w:rPr>
  </w:style>
  <w:style w:type="paragraph" w:styleId="49">
    <w:name w:val="Body Text Indent 2"/>
    <w:basedOn w:val="1"/>
    <w:link w:val="201"/>
    <w:uiPriority w:val="0"/>
    <w:pPr>
      <w:adjustRightInd w:val="0"/>
      <w:spacing w:line="360" w:lineRule="auto"/>
      <w:ind w:firstLine="601"/>
      <w:textAlignment w:val="baseline"/>
    </w:pPr>
    <w:rPr>
      <w:rFonts w:ascii="宋体"/>
      <w:kern w:val="0"/>
      <w:sz w:val="28"/>
      <w:szCs w:val="20"/>
    </w:rPr>
  </w:style>
  <w:style w:type="paragraph" w:styleId="50">
    <w:name w:val="List Continue 5"/>
    <w:basedOn w:val="1"/>
    <w:uiPriority w:val="0"/>
    <w:pPr>
      <w:snapToGrid w:val="0"/>
      <w:spacing w:after="120" w:afterLines="0" w:line="360" w:lineRule="auto"/>
      <w:ind w:left="2100" w:leftChars="1000"/>
      <w:textAlignment w:val="baseline"/>
    </w:pPr>
    <w:rPr>
      <w:rFonts w:eastAsia="仿宋_GB2312"/>
      <w:color w:val="000000"/>
      <w:kern w:val="0"/>
      <w:sz w:val="28"/>
      <w:szCs w:val="20"/>
    </w:rPr>
  </w:style>
  <w:style w:type="paragraph" w:styleId="51">
    <w:name w:val="Balloon Text"/>
    <w:basedOn w:val="1"/>
    <w:link w:val="294"/>
    <w:uiPriority w:val="0"/>
    <w:rPr>
      <w:sz w:val="18"/>
      <w:szCs w:val="18"/>
    </w:rPr>
  </w:style>
  <w:style w:type="paragraph" w:styleId="52">
    <w:name w:val="footer"/>
    <w:basedOn w:val="1"/>
    <w:uiPriority w:val="0"/>
    <w:pPr>
      <w:tabs>
        <w:tab w:val="center" w:pos="4153"/>
        <w:tab w:val="right" w:pos="8306"/>
      </w:tabs>
      <w:snapToGrid w:val="0"/>
      <w:jc w:val="left"/>
    </w:pPr>
    <w:rPr>
      <w:sz w:val="18"/>
      <w:szCs w:val="18"/>
    </w:rPr>
  </w:style>
  <w:style w:type="paragraph" w:styleId="53">
    <w:name w:val="envelope return"/>
    <w:basedOn w:val="1"/>
    <w:uiPriority w:val="0"/>
    <w:pPr>
      <w:snapToGrid w:val="0"/>
      <w:spacing w:line="360" w:lineRule="auto"/>
      <w:textAlignment w:val="baseline"/>
    </w:pPr>
    <w:rPr>
      <w:rFonts w:ascii="Arial" w:hAnsi="Arial" w:eastAsia="仿宋_GB2312" w:cs="Arial"/>
      <w:color w:val="000000"/>
      <w:kern w:val="0"/>
      <w:sz w:val="28"/>
      <w:szCs w:val="20"/>
    </w:rPr>
  </w:style>
  <w:style w:type="paragraph" w:styleId="5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0"/>
    <w:uiPriority w:val="0"/>
    <w:pPr>
      <w:adjustRightInd w:val="0"/>
      <w:spacing w:after="600" w:afterLines="0" w:line="312" w:lineRule="atLeast"/>
      <w:jc w:val="center"/>
      <w:textAlignment w:val="baseline"/>
    </w:pPr>
    <w:rPr>
      <w:rFonts w:eastAsia="仿宋_GB2312"/>
      <w:kern w:val="0"/>
      <w:sz w:val="24"/>
      <w:szCs w:val="20"/>
    </w:rPr>
  </w:style>
  <w:style w:type="paragraph" w:styleId="56">
    <w:name w:val="toc 1"/>
    <w:basedOn w:val="1"/>
    <w:next w:val="1"/>
    <w:uiPriority w:val="0"/>
  </w:style>
  <w:style w:type="paragraph" w:styleId="57">
    <w:name w:val="List Continue 4"/>
    <w:basedOn w:val="1"/>
    <w:uiPriority w:val="0"/>
    <w:pPr>
      <w:snapToGrid w:val="0"/>
      <w:spacing w:after="120" w:afterLines="0" w:line="360" w:lineRule="auto"/>
      <w:ind w:left="1680" w:leftChars="800"/>
      <w:textAlignment w:val="baseline"/>
    </w:pPr>
    <w:rPr>
      <w:rFonts w:eastAsia="仿宋_GB2312"/>
      <w:color w:val="000000"/>
      <w:kern w:val="0"/>
      <w:sz w:val="28"/>
      <w:szCs w:val="20"/>
    </w:rPr>
  </w:style>
  <w:style w:type="paragraph" w:styleId="58">
    <w:name w:val="toc 4"/>
    <w:basedOn w:val="1"/>
    <w:next w:val="1"/>
    <w:uiPriority w:val="0"/>
    <w:pPr>
      <w:ind w:left="1260" w:leftChars="600"/>
    </w:pPr>
  </w:style>
  <w:style w:type="paragraph" w:styleId="59">
    <w:name w:val="index heading"/>
    <w:basedOn w:val="1"/>
    <w:next w:val="60"/>
    <w:uiPriority w:val="0"/>
    <w:pPr>
      <w:adjustRightInd/>
      <w:ind w:firstLine="200" w:firstLineChars="200"/>
    </w:pPr>
  </w:style>
  <w:style w:type="paragraph" w:styleId="60">
    <w:name w:val="index 1"/>
    <w:basedOn w:val="1"/>
    <w:next w:val="1"/>
    <w:uiPriority w:val="0"/>
    <w:pPr>
      <w:adjustRightInd/>
      <w:spacing w:line="360" w:lineRule="auto"/>
      <w:ind w:firstLine="200" w:firstLineChars="200"/>
      <w:jc w:val="center"/>
    </w:pPr>
    <w:rPr>
      <w:sz w:val="24"/>
      <w:szCs w:val="20"/>
    </w:rPr>
  </w:style>
  <w:style w:type="paragraph" w:styleId="61">
    <w:name w:val="Subtitle"/>
    <w:link w:val="235"/>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62">
    <w:name w:val="List Number 5"/>
    <w:basedOn w:val="1"/>
    <w:uiPriority w:val="0"/>
    <w:pPr>
      <w:tabs>
        <w:tab w:val="left" w:pos="902"/>
      </w:tabs>
      <w:adjustRightInd/>
      <w:spacing w:line="400" w:lineRule="exact"/>
      <w:ind w:left="902" w:hanging="420"/>
    </w:pPr>
    <w:rPr>
      <w:sz w:val="24"/>
      <w:szCs w:val="20"/>
    </w:rPr>
  </w:style>
  <w:style w:type="paragraph" w:styleId="63">
    <w:name w:val="List"/>
    <w:basedOn w:val="1"/>
    <w:uiPriority w:val="0"/>
    <w:pPr>
      <w:ind w:left="200" w:hanging="200" w:hangingChars="200"/>
    </w:pPr>
  </w:style>
  <w:style w:type="paragraph" w:styleId="64">
    <w:name w:val="footnote text"/>
    <w:basedOn w:val="19"/>
    <w:link w:val="173"/>
    <w:uiPriority w:val="0"/>
    <w:pPr>
      <w:adjustRightInd/>
      <w:snapToGrid/>
      <w:spacing w:before="60" w:beforeLines="0" w:after="60" w:afterLines="0" w:line="300" w:lineRule="exact"/>
      <w:ind w:firstLine="0"/>
    </w:pPr>
    <w:rPr>
      <w:rFonts w:ascii="等线" w:eastAsia="等线"/>
      <w:snapToGrid/>
      <w:color w:val="0000FF"/>
      <w:kern w:val="0"/>
      <w:sz w:val="21"/>
    </w:rPr>
  </w:style>
  <w:style w:type="paragraph" w:styleId="65">
    <w:name w:val="toc 6"/>
    <w:basedOn w:val="1"/>
    <w:next w:val="1"/>
    <w:uiPriority w:val="0"/>
    <w:pPr>
      <w:ind w:left="2100" w:leftChars="1000"/>
    </w:pPr>
  </w:style>
  <w:style w:type="paragraph" w:styleId="66">
    <w:name w:val="List 5"/>
    <w:basedOn w:val="1"/>
    <w:uiPriority w:val="0"/>
    <w:pPr>
      <w:adjustRightInd/>
      <w:ind w:left="100" w:leftChars="800" w:hanging="200" w:hangingChars="200"/>
    </w:pPr>
  </w:style>
  <w:style w:type="paragraph" w:styleId="67">
    <w:name w:val="Body Text Indent 3"/>
    <w:basedOn w:val="1"/>
    <w:link w:val="129"/>
    <w:uiPriority w:val="0"/>
    <w:pPr>
      <w:spacing w:line="360" w:lineRule="auto"/>
      <w:ind w:firstLine="420"/>
    </w:pPr>
    <w:rPr>
      <w:sz w:val="24"/>
      <w:szCs w:val="20"/>
    </w:rPr>
  </w:style>
  <w:style w:type="paragraph" w:styleId="68">
    <w:name w:val="index 7"/>
    <w:basedOn w:val="1"/>
    <w:next w:val="1"/>
    <w:uiPriority w:val="0"/>
    <w:pPr>
      <w:adjustRightInd/>
      <w:snapToGrid w:val="0"/>
      <w:ind w:left="2520"/>
    </w:pPr>
    <w:rPr>
      <w:rFonts w:eastAsia="仿宋_GB2312"/>
      <w:color w:val="000000"/>
      <w:sz w:val="28"/>
      <w:szCs w:val="20"/>
    </w:rPr>
  </w:style>
  <w:style w:type="paragraph" w:styleId="69">
    <w:name w:val="index 9"/>
    <w:basedOn w:val="1"/>
    <w:next w:val="1"/>
    <w:uiPriority w:val="0"/>
    <w:pPr>
      <w:adjustRightInd/>
      <w:snapToGrid w:val="0"/>
      <w:ind w:left="3360"/>
    </w:pPr>
    <w:rPr>
      <w:rFonts w:eastAsia="仿宋_GB2312"/>
      <w:color w:val="000000"/>
      <w:sz w:val="28"/>
      <w:szCs w:val="20"/>
    </w:rPr>
  </w:style>
  <w:style w:type="paragraph" w:styleId="70">
    <w:name w:val="table of figures"/>
    <w:basedOn w:val="1"/>
    <w:next w:val="1"/>
    <w:uiPriority w:val="0"/>
    <w:pPr>
      <w:adjustRightInd/>
      <w:snapToGrid w:val="0"/>
      <w:ind w:left="840" w:hanging="420"/>
    </w:pPr>
    <w:rPr>
      <w:rFonts w:eastAsia="仿宋_GB2312"/>
      <w:color w:val="000000"/>
      <w:sz w:val="28"/>
      <w:szCs w:val="20"/>
    </w:rPr>
  </w:style>
  <w:style w:type="paragraph" w:styleId="71">
    <w:name w:val="toc 2"/>
    <w:basedOn w:val="1"/>
    <w:next w:val="1"/>
    <w:uiPriority w:val="0"/>
    <w:pPr>
      <w:ind w:left="420" w:leftChars="200"/>
    </w:pPr>
  </w:style>
  <w:style w:type="paragraph" w:styleId="72">
    <w:name w:val="toc 9"/>
    <w:basedOn w:val="1"/>
    <w:next w:val="1"/>
    <w:uiPriority w:val="0"/>
    <w:pPr>
      <w:ind w:left="3360" w:leftChars="1600"/>
    </w:pPr>
  </w:style>
  <w:style w:type="paragraph" w:styleId="73">
    <w:name w:val="Body Text 2"/>
    <w:basedOn w:val="1"/>
    <w:uiPriority w:val="0"/>
    <w:pPr>
      <w:spacing w:after="120" w:afterLines="0" w:line="480" w:lineRule="auto"/>
    </w:pPr>
  </w:style>
  <w:style w:type="paragraph" w:styleId="74">
    <w:name w:val="List 4"/>
    <w:basedOn w:val="1"/>
    <w:uiPriority w:val="0"/>
    <w:pPr>
      <w:snapToGrid w:val="0"/>
      <w:spacing w:line="360" w:lineRule="auto"/>
      <w:ind w:left="100" w:leftChars="600" w:hanging="200" w:hangingChars="200"/>
      <w:textAlignment w:val="baseline"/>
    </w:pPr>
    <w:rPr>
      <w:rFonts w:eastAsia="仿宋_GB2312"/>
      <w:color w:val="000000"/>
      <w:kern w:val="0"/>
      <w:sz w:val="28"/>
      <w:szCs w:val="20"/>
    </w:rPr>
  </w:style>
  <w:style w:type="paragraph" w:styleId="75">
    <w:name w:val="List Continue 2"/>
    <w:basedOn w:val="1"/>
    <w:uiPriority w:val="0"/>
    <w:pPr>
      <w:snapToGrid w:val="0"/>
      <w:spacing w:after="120" w:afterLines="0" w:line="360" w:lineRule="auto"/>
      <w:ind w:left="840" w:leftChars="400"/>
      <w:textAlignment w:val="baseline"/>
    </w:pPr>
    <w:rPr>
      <w:rFonts w:eastAsia="仿宋_GB2312"/>
      <w:color w:val="000000"/>
      <w:kern w:val="0"/>
      <w:sz w:val="28"/>
      <w:szCs w:val="20"/>
    </w:rPr>
  </w:style>
  <w:style w:type="paragraph" w:styleId="76">
    <w:name w:val="Message Header"/>
    <w:basedOn w:val="1"/>
    <w:link w:val="229"/>
    <w:uiPriority w:val="0"/>
    <w:pPr>
      <w:pBdr>
        <w:top w:val="single" w:color="auto" w:sz="6" w:space="1"/>
        <w:left w:val="single" w:color="auto" w:sz="6" w:space="1"/>
        <w:bottom w:val="single" w:color="auto" w:sz="6" w:space="1"/>
        <w:right w:val="single" w:color="auto" w:sz="6" w:space="1"/>
      </w:pBdr>
      <w:shd w:val="pct20" w:color="auto" w:fill="auto"/>
      <w:snapToGrid w:val="0"/>
      <w:spacing w:line="360" w:lineRule="auto"/>
      <w:ind w:left="1080" w:leftChars="500" w:hanging="1080" w:hangingChars="500"/>
      <w:textAlignment w:val="baseline"/>
    </w:pPr>
    <w:rPr>
      <w:rFonts w:ascii="Arial" w:hAnsi="Arial" w:eastAsia="黑体"/>
      <w:snapToGrid w:val="0"/>
      <w:color w:val="000000"/>
      <w:kern w:val="0"/>
      <w:sz w:val="24"/>
      <w:shd w:val="pct20" w:color="auto" w:fill="auto"/>
    </w:rPr>
  </w:style>
  <w:style w:type="paragraph" w:styleId="77">
    <w:name w:val="HTML Preformatted"/>
    <w:basedOn w:val="1"/>
    <w:link w:val="29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8">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79">
    <w:name w:val="List Continue 3"/>
    <w:basedOn w:val="1"/>
    <w:uiPriority w:val="0"/>
    <w:pPr>
      <w:snapToGrid w:val="0"/>
      <w:spacing w:after="120" w:afterLines="0" w:line="360" w:lineRule="auto"/>
      <w:ind w:left="1260" w:leftChars="600"/>
      <w:textAlignment w:val="baseline"/>
    </w:pPr>
    <w:rPr>
      <w:rFonts w:eastAsia="仿宋_GB2312"/>
      <w:color w:val="000000"/>
      <w:kern w:val="0"/>
      <w:sz w:val="28"/>
      <w:szCs w:val="20"/>
    </w:rPr>
  </w:style>
  <w:style w:type="paragraph" w:styleId="80">
    <w:name w:val="index 2"/>
    <w:basedOn w:val="1"/>
    <w:next w:val="1"/>
    <w:uiPriority w:val="0"/>
    <w:pPr>
      <w:adjustRightInd/>
      <w:snapToGrid w:val="0"/>
      <w:ind w:left="420"/>
    </w:pPr>
    <w:rPr>
      <w:rFonts w:eastAsia="仿宋_GB2312"/>
      <w:color w:val="000000"/>
      <w:sz w:val="28"/>
      <w:szCs w:val="20"/>
    </w:rPr>
  </w:style>
  <w:style w:type="paragraph" w:styleId="8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82">
    <w:name w:val="annotation subject"/>
    <w:basedOn w:val="26"/>
    <w:next w:val="26"/>
    <w:uiPriority w:val="0"/>
    <w:rPr>
      <w:b/>
      <w:bCs/>
    </w:rPr>
  </w:style>
  <w:style w:type="paragraph" w:styleId="83">
    <w:name w:val="Body Text First Indent"/>
    <w:basedOn w:val="32"/>
    <w:link w:val="283"/>
    <w:uiPriority w:val="0"/>
    <w:pPr>
      <w:ind w:firstLine="420"/>
    </w:pPr>
    <w:rPr>
      <w:rFonts w:hAnsi="等线" w:eastAsia="等线" w:cs="Times New Roman"/>
      <w:snapToGrid/>
      <w:szCs w:val="20"/>
    </w:rPr>
  </w:style>
  <w:style w:type="paragraph" w:styleId="84">
    <w:name w:val="Body Text First Indent 2"/>
    <w:basedOn w:val="33"/>
    <w:link w:val="264"/>
    <w:uiPriority w:val="0"/>
    <w:pPr>
      <w:adjustRightInd/>
      <w:spacing w:after="120" w:afterLines="0" w:line="240" w:lineRule="auto"/>
      <w:ind w:left="420" w:leftChars="200" w:firstLine="210"/>
    </w:pPr>
    <w:rPr>
      <w:sz w:val="21"/>
    </w:rPr>
  </w:style>
  <w:style w:type="character" w:styleId="87">
    <w:name w:val="Strong"/>
    <w:qFormat/>
    <w:uiPriority w:val="0"/>
    <w:rPr>
      <w:b/>
      <w:bCs/>
    </w:rPr>
  </w:style>
  <w:style w:type="character" w:styleId="88">
    <w:name w:val="page number"/>
    <w:basedOn w:val="86"/>
    <w:uiPriority w:val="0"/>
  </w:style>
  <w:style w:type="character" w:styleId="89">
    <w:name w:val="FollowedHyperlink"/>
    <w:uiPriority w:val="0"/>
    <w:rPr>
      <w:rFonts w:ascii="Arial" w:hAnsi="Arial" w:eastAsia="黑体" w:cs="Arial"/>
      <w:snapToGrid w:val="0"/>
      <w:color w:val="000000"/>
      <w:kern w:val="0"/>
      <w:sz w:val="18"/>
      <w:szCs w:val="18"/>
      <w:u w:val="none"/>
    </w:rPr>
  </w:style>
  <w:style w:type="character" w:styleId="90">
    <w:name w:val="Emphasis"/>
    <w:qFormat/>
    <w:uiPriority w:val="0"/>
    <w:rPr>
      <w:color w:val="CC0033"/>
    </w:rPr>
  </w:style>
  <w:style w:type="character" w:styleId="91">
    <w:name w:val="line number"/>
    <w:basedOn w:val="86"/>
    <w:uiPriority w:val="0"/>
  </w:style>
  <w:style w:type="character" w:styleId="92">
    <w:name w:val="HTML Definition"/>
    <w:uiPriority w:val="0"/>
    <w:rPr>
      <w:i/>
      <w:iCs/>
    </w:rPr>
  </w:style>
  <w:style w:type="character" w:styleId="93">
    <w:name w:val="HTML Typewriter"/>
    <w:uiPriority w:val="0"/>
    <w:rPr>
      <w:rFonts w:ascii="Courier New" w:hAnsi="Courier New" w:cs="Courier New"/>
      <w:sz w:val="20"/>
      <w:szCs w:val="20"/>
    </w:rPr>
  </w:style>
  <w:style w:type="character" w:styleId="94">
    <w:name w:val="HTML Acronym"/>
    <w:uiPriority w:val="0"/>
  </w:style>
  <w:style w:type="character" w:styleId="95">
    <w:name w:val="HTML Variable"/>
    <w:uiPriority w:val="0"/>
    <w:rPr>
      <w:i/>
      <w:iCs/>
    </w:rPr>
  </w:style>
  <w:style w:type="character" w:styleId="96">
    <w:name w:val="Hyperlink"/>
    <w:uiPriority w:val="0"/>
    <w:rPr>
      <w:rFonts w:ascii="Arial" w:hAnsi="Arial" w:eastAsia="黑体" w:cs="Arial"/>
      <w:snapToGrid w:val="0"/>
      <w:color w:val="000000"/>
      <w:kern w:val="0"/>
      <w:sz w:val="18"/>
      <w:szCs w:val="18"/>
      <w:u w:val="none"/>
    </w:rPr>
  </w:style>
  <w:style w:type="character" w:styleId="97">
    <w:name w:val="HTML Code"/>
    <w:uiPriority w:val="0"/>
    <w:rPr>
      <w:rFonts w:ascii="黑体" w:hAnsi="Courier New" w:eastAsia="黑体" w:cs="楷体_GB2312"/>
      <w:sz w:val="20"/>
      <w:szCs w:val="20"/>
    </w:rPr>
  </w:style>
  <w:style w:type="character" w:styleId="98">
    <w:name w:val="annotation reference"/>
    <w:uiPriority w:val="0"/>
    <w:rPr>
      <w:sz w:val="21"/>
      <w:szCs w:val="21"/>
    </w:rPr>
  </w:style>
  <w:style w:type="character" w:styleId="99">
    <w:name w:val="HTML Cite"/>
    <w:uiPriority w:val="0"/>
    <w:rPr>
      <w:i/>
      <w:iCs/>
    </w:rPr>
  </w:style>
  <w:style w:type="character" w:styleId="100">
    <w:name w:val="footnote reference"/>
    <w:uiPriority w:val="0"/>
    <w:rPr>
      <w:rFonts w:ascii="Arial" w:hAnsi="Arial" w:eastAsia="黑体" w:cs="Arial"/>
      <w:snapToGrid w:val="0"/>
      <w:kern w:val="0"/>
      <w:szCs w:val="21"/>
      <w:vertAlign w:val="superscript"/>
    </w:rPr>
  </w:style>
  <w:style w:type="character" w:styleId="101">
    <w:name w:val="HTML Keyboard"/>
    <w:uiPriority w:val="0"/>
    <w:rPr>
      <w:rFonts w:ascii="Courier New" w:hAnsi="Courier New" w:cs="Courier New"/>
      <w:sz w:val="20"/>
      <w:szCs w:val="20"/>
    </w:rPr>
  </w:style>
  <w:style w:type="character" w:styleId="102">
    <w:name w:val="HTML Sample"/>
    <w:uiPriority w:val="0"/>
    <w:rPr>
      <w:rFonts w:ascii="Courier New" w:hAnsi="Courier New" w:cs="Courier New"/>
    </w:rPr>
  </w:style>
  <w:style w:type="character" w:customStyle="1" w:styleId="103">
    <w:name w:val="标书表格字体格式 Char"/>
    <w:uiPriority w:val="0"/>
    <w:rPr>
      <w:kern w:val="2"/>
      <w:sz w:val="21"/>
      <w:szCs w:val="24"/>
      <w:lang w:bidi="ar-SA"/>
    </w:rPr>
  </w:style>
  <w:style w:type="character" w:customStyle="1" w:styleId="104">
    <w:name w:val="tw4winPopup"/>
    <w:uiPriority w:val="0"/>
    <w:rPr>
      <w:rFonts w:ascii="Courier New" w:hAnsi="Courier New" w:cs="Courier New"/>
      <w:color w:val="008000"/>
      <w:lang/>
    </w:rPr>
  </w:style>
  <w:style w:type="character" w:customStyle="1" w:styleId="105">
    <w:name w:val="content1"/>
    <w:uiPriority w:val="0"/>
    <w:rPr>
      <w:sz w:val="18"/>
      <w:szCs w:val="18"/>
    </w:rPr>
  </w:style>
  <w:style w:type="character" w:customStyle="1" w:styleId="106">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107">
    <w:name w:val="pt141"/>
    <w:uiPriority w:val="0"/>
    <w:rPr>
      <w:color w:val="330066"/>
      <w:sz w:val="22"/>
      <w:szCs w:val="22"/>
    </w:rPr>
  </w:style>
  <w:style w:type="character" w:customStyle="1" w:styleId="108">
    <w:name w:val="标题 3 Char2"/>
    <w:aliases w:val="标题3 Char"/>
    <w:uiPriority w:val="0"/>
    <w:rPr>
      <w:rFonts w:eastAsia="宋体"/>
      <w:b/>
      <w:bCs/>
      <w:kern w:val="2"/>
      <w:sz w:val="32"/>
      <w:szCs w:val="32"/>
      <w:lang w:val="en-US" w:eastAsia="zh-CN" w:bidi="ar-SA"/>
    </w:rPr>
  </w:style>
  <w:style w:type="character" w:customStyle="1" w:styleId="109">
    <w:name w:val="正文 项目 Char"/>
    <w:uiPriority w:val="0"/>
    <w:rPr>
      <w:rFonts w:ascii="仿宋_GB2312" w:hAnsi="仿宋_GB2312" w:eastAsia="仿宋_GB2312"/>
      <w:kern w:val="2"/>
      <w:sz w:val="24"/>
      <w:lang w:bidi="ar-SA"/>
    </w:rPr>
  </w:style>
  <w:style w:type="character" w:customStyle="1" w:styleId="110">
    <w:name w:val="普通文字 Char1 Char"/>
    <w:uiPriority w:val="0"/>
    <w:rPr>
      <w:rFonts w:ascii="宋体" w:hAnsi="Courier New" w:eastAsia="宋体"/>
      <w:kern w:val="2"/>
      <w:sz w:val="21"/>
      <w:szCs w:val="24"/>
      <w:lang w:val="en-US" w:eastAsia="zh-CN" w:bidi="ar-SA"/>
    </w:rPr>
  </w:style>
  <w:style w:type="character" w:customStyle="1" w:styleId="111">
    <w:name w:val="font31"/>
    <w:uiPriority w:val="0"/>
    <w:rPr>
      <w:rFonts w:hint="eastAsia" w:ascii="微软雅黑" w:hAnsi="微软雅黑" w:eastAsia="微软雅黑" w:cs="微软雅黑"/>
      <w:snapToGrid w:val="0"/>
      <w:color w:val="000000"/>
      <w:kern w:val="0"/>
      <w:sz w:val="22"/>
      <w:szCs w:val="22"/>
      <w:u w:val="none"/>
    </w:rPr>
  </w:style>
  <w:style w:type="character" w:customStyle="1" w:styleId="112">
    <w:name w:val="文档正文 Char Char Char"/>
    <w:uiPriority w:val="0"/>
    <w:rPr>
      <w:rFonts w:eastAsia="宋体"/>
      <w:sz w:val="24"/>
      <w:szCs w:val="28"/>
      <w:lang w:val="en-US" w:eastAsia="zh-CN" w:bidi="ar-SA"/>
    </w:rPr>
  </w:style>
  <w:style w:type="character" w:customStyle="1" w:styleId="113">
    <w:name w:val=" Char Char4"/>
    <w:uiPriority w:val="0"/>
    <w:rPr>
      <w:rFonts w:eastAsia="宋体"/>
      <w:b/>
      <w:sz w:val="24"/>
      <w:lang w:val="en-GB" w:eastAsia="zh-CN" w:bidi="ar-SA"/>
    </w:rPr>
  </w:style>
  <w:style w:type="character" w:customStyle="1" w:styleId="114">
    <w:name w:val="Table Text Char1"/>
    <w:uiPriority w:val="0"/>
    <w:rPr>
      <w:rFonts w:eastAsia="宋体"/>
      <w:sz w:val="24"/>
      <w:szCs w:val="24"/>
      <w:lang w:val="en-US" w:eastAsia="zh-CN" w:bidi="ar-SA"/>
    </w:rPr>
  </w:style>
  <w:style w:type="character" w:customStyle="1" w:styleId="115">
    <w:name w:val="Item List in Table Char Char"/>
    <w:link w:val="116"/>
    <w:uiPriority w:val="0"/>
    <w:rPr>
      <w:rFonts w:ascii="Arial" w:hAnsi="Arial"/>
      <w:sz w:val="18"/>
      <w:szCs w:val="18"/>
      <w:lang w:val="en-US" w:eastAsia="zh-CN" w:bidi="ar-SA"/>
    </w:rPr>
  </w:style>
  <w:style w:type="paragraph" w:customStyle="1" w:styleId="116">
    <w:name w:val="Item List in Table"/>
    <w:link w:val="115"/>
    <w:uiPriority w:val="0"/>
    <w:pPr>
      <w:numPr>
        <w:ilvl w:val="0"/>
        <w:numId w:val="5"/>
      </w:numPr>
      <w:spacing w:before="40" w:after="40"/>
      <w:jc w:val="both"/>
    </w:pPr>
    <w:rPr>
      <w:rFonts w:ascii="Arial" w:hAnsi="Arial"/>
      <w:sz w:val="18"/>
      <w:szCs w:val="18"/>
      <w:lang w:val="en-US" w:eastAsia="zh-CN" w:bidi="ar-SA"/>
    </w:rPr>
  </w:style>
  <w:style w:type="character" w:customStyle="1" w:styleId="117">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18">
    <w:name w:val="正文（缩进2汉字） Char"/>
    <w:link w:val="119"/>
    <w:uiPriority w:val="0"/>
    <w:rPr>
      <w:rFonts w:ascii="宋体"/>
    </w:rPr>
  </w:style>
  <w:style w:type="paragraph" w:customStyle="1" w:styleId="119">
    <w:name w:val="正文（缩进2汉字）"/>
    <w:basedOn w:val="1"/>
    <w:link w:val="118"/>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0">
    <w:name w:val="tw4winJump"/>
    <w:uiPriority w:val="0"/>
    <w:rPr>
      <w:rFonts w:ascii="Courier New" w:hAnsi="Courier New" w:cs="Courier New"/>
      <w:color w:val="008080"/>
      <w:lang/>
    </w:rPr>
  </w:style>
  <w:style w:type="character" w:customStyle="1" w:styleId="121">
    <w:name w:val="hei16b1"/>
    <w:uiPriority w:val="0"/>
    <w:rPr>
      <w:rFonts w:hint="default" w:ascii="Arial" w:hAnsi="Arial" w:cs="Arial"/>
      <w:b/>
      <w:bCs/>
      <w:color w:val="000000"/>
      <w:sz w:val="24"/>
      <w:szCs w:val="24"/>
    </w:rPr>
  </w:style>
  <w:style w:type="character" w:customStyle="1" w:styleId="122">
    <w:name w:val="Font Style82"/>
    <w:uiPriority w:val="0"/>
    <w:rPr>
      <w:rFonts w:ascii="宋体" w:eastAsia="宋体" w:cs="宋体"/>
      <w:color w:val="000000"/>
      <w:sz w:val="14"/>
      <w:szCs w:val="14"/>
    </w:rPr>
  </w:style>
  <w:style w:type="character" w:customStyle="1" w:styleId="123">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124">
    <w:name w:val="表格(五号) Char"/>
    <w:link w:val="125"/>
    <w:uiPriority w:val="0"/>
    <w:rPr>
      <w:kern w:val="2"/>
      <w:sz w:val="21"/>
      <w:szCs w:val="24"/>
    </w:rPr>
  </w:style>
  <w:style w:type="paragraph" w:customStyle="1" w:styleId="125">
    <w:name w:val="表格(五号)"/>
    <w:basedOn w:val="1"/>
    <w:link w:val="124"/>
    <w:uiPriority w:val="0"/>
    <w:pPr>
      <w:adjustRightInd/>
      <w:snapToGrid w:val="0"/>
      <w:spacing w:before="60" w:beforeLines="0" w:after="60" w:afterLines="0"/>
      <w:ind w:left="11"/>
      <w:jc w:val="center"/>
    </w:pPr>
  </w:style>
  <w:style w:type="character" w:customStyle="1" w:styleId="126">
    <w:name w:val="样式4 Char"/>
    <w:uiPriority w:val="0"/>
    <w:rPr>
      <w:rFonts w:ascii="仿宋_GB2312" w:hAnsi="仿宋" w:eastAsia="仿宋_GB2312"/>
      <w:b/>
      <w:kern w:val="2"/>
      <w:sz w:val="32"/>
      <w:szCs w:val="32"/>
      <w:lang w:bidi="ar-SA"/>
    </w:rPr>
  </w:style>
  <w:style w:type="character" w:customStyle="1" w:styleId="127">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128">
    <w:name w:val="font12gray1"/>
    <w:uiPriority w:val="0"/>
    <w:rPr>
      <w:rFonts w:ascii="仿宋_GB2312" w:eastAsia="微软雅黑"/>
      <w:b/>
      <w:spacing w:val="300"/>
      <w:kern w:val="2"/>
      <w:sz w:val="18"/>
      <w:szCs w:val="18"/>
      <w:lang w:val="en-US" w:eastAsia="zh-CN" w:bidi="ar-SA"/>
    </w:rPr>
  </w:style>
  <w:style w:type="character" w:customStyle="1" w:styleId="129">
    <w:name w:val="正文文本缩进 3 Char"/>
    <w:link w:val="67"/>
    <w:uiPriority w:val="0"/>
    <w:rPr>
      <w:kern w:val="2"/>
      <w:sz w:val="24"/>
    </w:rPr>
  </w:style>
  <w:style w:type="character" w:customStyle="1" w:styleId="130">
    <w:name w:val="样式7 Char"/>
    <w:uiPriority w:val="0"/>
    <w:rPr>
      <w:rFonts w:ascii="仿宋_GB2312" w:hAnsi="仿宋" w:eastAsia="仿宋_GB2312"/>
      <w:b/>
      <w:kern w:val="2"/>
      <w:sz w:val="24"/>
      <w:szCs w:val="24"/>
    </w:rPr>
  </w:style>
  <w:style w:type="character" w:customStyle="1" w:styleId="131">
    <w:name w:val="Document Map Char"/>
    <w:uiPriority w:val="0"/>
    <w:rPr>
      <w:rFonts w:eastAsia="宋体"/>
      <w:kern w:val="2"/>
      <w:sz w:val="21"/>
      <w:szCs w:val="24"/>
      <w:lang w:val="en-US" w:eastAsia="zh-CN" w:bidi="ar-SA"/>
    </w:rPr>
  </w:style>
  <w:style w:type="character" w:customStyle="1" w:styleId="132">
    <w:name w:val="Used by Word for text of Help footnotes Char Char"/>
    <w:uiPriority w:val="0"/>
    <w:rPr>
      <w:rFonts w:ascii="Times New Roman" w:hAnsi="Times New Roman" w:eastAsia="宋体" w:cs="Times New Roman"/>
      <w:sz w:val="20"/>
      <w:szCs w:val="20"/>
    </w:rPr>
  </w:style>
  <w:style w:type="character" w:customStyle="1" w:styleId="133">
    <w:name w:val="二级标题 Char Char"/>
    <w:uiPriority w:val="0"/>
    <w:rPr>
      <w:rFonts w:ascii="宋体" w:hAnsi="宋体" w:eastAsia="宋体"/>
      <w:b/>
      <w:snapToGrid w:val="0"/>
      <w:kern w:val="2"/>
      <w:sz w:val="24"/>
      <w:szCs w:val="24"/>
      <w:lang w:val="en-US" w:eastAsia="zh-CN" w:bidi="ar-SA"/>
    </w:rPr>
  </w:style>
  <w:style w:type="character" w:customStyle="1" w:styleId="134">
    <w:name w:val="纯文本 Char1"/>
    <w:link w:val="135"/>
    <w:uiPriority w:val="0"/>
    <w:rPr>
      <w:rFonts w:ascii="宋体" w:hAnsi="Courier New"/>
    </w:rPr>
  </w:style>
  <w:style w:type="paragraph" w:customStyle="1" w:styleId="135">
    <w:name w:val="纯文本1"/>
    <w:basedOn w:val="1"/>
    <w:link w:val="134"/>
    <w:uiPriority w:val="0"/>
    <w:pPr>
      <w:adjustRightInd/>
    </w:pPr>
    <w:rPr>
      <w:rFonts w:ascii="宋体" w:hAnsi="Courier New"/>
      <w:kern w:val="0"/>
      <w:sz w:val="20"/>
      <w:szCs w:val="20"/>
    </w:rPr>
  </w:style>
  <w:style w:type="character" w:customStyle="1" w:styleId="136">
    <w:name w:val="批注主题 Char"/>
    <w:uiPriority w:val="0"/>
    <w:rPr>
      <w:rFonts w:eastAsia="宋体"/>
      <w:b/>
      <w:bCs/>
      <w:kern w:val="2"/>
      <w:sz w:val="21"/>
      <w:szCs w:val="24"/>
      <w:lang w:val="en-US" w:eastAsia="zh-CN" w:bidi="ar-SA"/>
    </w:rPr>
  </w:style>
  <w:style w:type="character" w:customStyle="1" w:styleId="137">
    <w:name w:val="Char Char12"/>
    <w:uiPriority w:val="0"/>
    <w:rPr>
      <w:rFonts w:ascii="仿宋_GB2312" w:eastAsia="仿宋_GB2312"/>
      <w:b/>
      <w:bCs/>
      <w:kern w:val="2"/>
      <w:sz w:val="24"/>
      <w:szCs w:val="24"/>
      <w:lang w:val="zh-CN" w:eastAsia="zh-CN" w:bidi="ar-SA"/>
    </w:rPr>
  </w:style>
  <w:style w:type="character" w:customStyle="1" w:styleId="138">
    <w:name w:val="Footer-Even Char"/>
    <w:aliases w:val="FtrF Char Char"/>
    <w:uiPriority w:val="0"/>
    <w:rPr>
      <w:rFonts w:eastAsia="宋体"/>
      <w:kern w:val="2"/>
      <w:sz w:val="18"/>
      <w:lang w:val="en-US" w:eastAsia="zh-CN" w:bidi="ar-SA"/>
    </w:rPr>
  </w:style>
  <w:style w:type="character" w:customStyle="1" w:styleId="139">
    <w:name w:val="t21"/>
    <w:uiPriority w:val="0"/>
    <w:rPr>
      <w:rFonts w:ascii="仿宋_GB2312" w:eastAsia="微软雅黑"/>
      <w:b/>
      <w:kern w:val="2"/>
      <w:sz w:val="23"/>
      <w:szCs w:val="23"/>
      <w:lang w:val="en-US" w:eastAsia="zh-CN" w:bidi="ar-SA"/>
    </w:rPr>
  </w:style>
  <w:style w:type="character" w:customStyle="1" w:styleId="140">
    <w:name w:val="页脚 Char1"/>
    <w:uiPriority w:val="0"/>
    <w:rPr>
      <w:rFonts w:eastAsia="宋体"/>
      <w:kern w:val="2"/>
      <w:sz w:val="18"/>
      <w:szCs w:val="18"/>
      <w:lang w:val="en-US" w:eastAsia="zh-CN" w:bidi="ar-SA"/>
    </w:rPr>
  </w:style>
  <w:style w:type="character" w:customStyle="1" w:styleId="141">
    <w:name w:val="冯广丽 Char"/>
    <w:link w:val="142"/>
    <w:uiPriority w:val="0"/>
    <w:rPr>
      <w:rFonts w:ascii="宋体" w:hAnsi="宋体"/>
      <w:kern w:val="2"/>
      <w:sz w:val="24"/>
      <w:szCs w:val="22"/>
    </w:rPr>
  </w:style>
  <w:style w:type="paragraph" w:customStyle="1" w:styleId="142">
    <w:name w:val="冯广丽"/>
    <w:basedOn w:val="1"/>
    <w:link w:val="141"/>
    <w:uiPriority w:val="0"/>
    <w:pPr>
      <w:adjustRightInd/>
      <w:spacing w:line="360" w:lineRule="auto"/>
      <w:ind w:firstLine="480" w:firstLineChars="200"/>
    </w:pPr>
    <w:rPr>
      <w:rFonts w:ascii="宋体" w:hAnsi="宋体"/>
      <w:sz w:val="24"/>
      <w:szCs w:val="22"/>
    </w:rPr>
  </w:style>
  <w:style w:type="character" w:customStyle="1" w:styleId="143">
    <w:name w:val="正文文本 2 Char"/>
    <w:uiPriority w:val="0"/>
    <w:rPr>
      <w:rFonts w:eastAsia="宋体"/>
      <w:kern w:val="2"/>
      <w:sz w:val="21"/>
      <w:szCs w:val="24"/>
      <w:lang w:val="en-US" w:eastAsia="zh-CN" w:bidi="ar-SA"/>
    </w:rPr>
  </w:style>
  <w:style w:type="character" w:customStyle="1" w:styleId="144">
    <w:name w:val="样式 标题 4h4H4Fab-4T5Ref Heading 1rh1Heading sqlsect 1.2.3.... Char"/>
    <w:link w:val="145"/>
    <w:uiPriority w:val="0"/>
    <w:rPr>
      <w:rFonts w:ascii="微软雅黑" w:hAnsi="微软雅黑" w:eastAsia="微软雅黑"/>
      <w:b/>
      <w:bCs/>
      <w:kern w:val="2"/>
      <w:sz w:val="24"/>
      <w:szCs w:val="28"/>
    </w:rPr>
  </w:style>
  <w:style w:type="paragraph" w:customStyle="1" w:styleId="145">
    <w:name w:val="样式 标题 4h4H4Fab-4T5Ref Heading 1rh1Heading sqlsect 1.2.3...."/>
    <w:basedOn w:val="5"/>
    <w:link w:val="144"/>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46">
    <w:name w:val="solutionfonts"/>
    <w:uiPriority w:val="0"/>
  </w:style>
  <w:style w:type="character" w:customStyle="1" w:styleId="147">
    <w:name w:val="日期 Char"/>
    <w:link w:val="48"/>
    <w:uiPriority w:val="0"/>
    <w:rPr>
      <w:rFonts w:ascii="宋体"/>
      <w:kern w:val="2"/>
      <w:sz w:val="24"/>
      <w:szCs w:val="21"/>
      <w:lang w:val="zh-CN"/>
    </w:rPr>
  </w:style>
  <w:style w:type="character" w:customStyle="1" w:styleId="148">
    <w:name w:val="No Spacing Char"/>
    <w:link w:val="149"/>
    <w:uiPriority w:val="0"/>
    <w:rPr>
      <w:rFonts w:ascii="Calibri" w:hAnsi="Calibri"/>
      <w:sz w:val="22"/>
      <w:szCs w:val="22"/>
      <w:lang w:val="en-US" w:eastAsia="zh-CN" w:bidi="ar-SA"/>
    </w:rPr>
  </w:style>
  <w:style w:type="paragraph" w:customStyle="1" w:styleId="149">
    <w:name w:val="无间隔1"/>
    <w:link w:val="148"/>
    <w:uiPriority w:val="0"/>
    <w:rPr>
      <w:sz w:val="22"/>
      <w:szCs w:val="22"/>
      <w:lang w:val="en-US" w:eastAsia="zh-CN" w:bidi="ar-SA"/>
    </w:rPr>
  </w:style>
  <w:style w:type="character" w:customStyle="1" w:styleId="150">
    <w:name w:val="large1"/>
    <w:uiPriority w:val="0"/>
    <w:rPr>
      <w:rFonts w:hint="eastAsia" w:ascii="宋体" w:hAnsi="宋体" w:eastAsia="宋体"/>
      <w:sz w:val="21"/>
      <w:szCs w:val="21"/>
    </w:rPr>
  </w:style>
  <w:style w:type="character" w:customStyle="1" w:styleId="151">
    <w:name w:val="样式 宋体"/>
    <w:uiPriority w:val="0"/>
    <w:rPr>
      <w:rFonts w:ascii="宋体" w:hAnsi="宋体"/>
      <w:sz w:val="24"/>
    </w:rPr>
  </w:style>
  <w:style w:type="character" w:customStyle="1" w:styleId="152">
    <w:name w:val="gf正文1 Char"/>
    <w:uiPriority w:val="0"/>
    <w:rPr>
      <w:rFonts w:ascii="宋体" w:hAnsi="宋体" w:eastAsia="宋体" w:cs="宋体"/>
      <w:kern w:val="2"/>
      <w:sz w:val="24"/>
      <w:szCs w:val="24"/>
      <w:lang w:val="en-US" w:eastAsia="zh-CN" w:bidi="ar-SA"/>
    </w:rPr>
  </w:style>
  <w:style w:type="character" w:customStyle="1" w:styleId="153">
    <w:name w:val="批注文字 Char1"/>
    <w:link w:val="26"/>
    <w:uiPriority w:val="0"/>
    <w:rPr>
      <w:kern w:val="2"/>
      <w:sz w:val="21"/>
      <w:szCs w:val="24"/>
    </w:rPr>
  </w:style>
  <w:style w:type="character" w:customStyle="1" w:styleId="154">
    <w:name w:val="冯 Char"/>
    <w:link w:val="155"/>
    <w:uiPriority w:val="0"/>
    <w:rPr>
      <w:rFonts w:ascii="宋体" w:hAnsi="宋体"/>
      <w:color w:val="000000"/>
      <w:sz w:val="24"/>
      <w:szCs w:val="24"/>
    </w:rPr>
  </w:style>
  <w:style w:type="paragraph" w:customStyle="1" w:styleId="155">
    <w:name w:val="冯"/>
    <w:basedOn w:val="1"/>
    <w:link w:val="154"/>
    <w:uiPriority w:val="0"/>
    <w:pPr>
      <w:widowControl/>
      <w:adjustRightInd/>
      <w:spacing w:line="360" w:lineRule="auto"/>
      <w:ind w:firstLine="480" w:firstLineChars="200"/>
    </w:pPr>
    <w:rPr>
      <w:rFonts w:ascii="宋体" w:hAnsi="宋体"/>
      <w:color w:val="000000"/>
      <w:kern w:val="0"/>
      <w:sz w:val="24"/>
    </w:rPr>
  </w:style>
  <w:style w:type="character" w:customStyle="1" w:styleId="156">
    <w:name w:val="tw4winTerm"/>
    <w:uiPriority w:val="0"/>
    <w:rPr>
      <w:color w:val="0000FF"/>
    </w:rPr>
  </w:style>
  <w:style w:type="character" w:customStyle="1" w:styleId="157">
    <w:name w:val=" Char Char5"/>
    <w:uiPriority w:val="0"/>
    <w:rPr>
      <w:rFonts w:ascii="宋体" w:hAnsi="Courier New" w:eastAsia="宋体"/>
      <w:kern w:val="2"/>
      <w:sz w:val="21"/>
      <w:lang w:val="en-US" w:eastAsia="zh-CN"/>
    </w:rPr>
  </w:style>
  <w:style w:type="character" w:customStyle="1" w:styleId="158">
    <w:name w:val="注释标题 Char"/>
    <w:link w:val="14"/>
    <w:uiPriority w:val="0"/>
    <w:rPr>
      <w:rFonts w:ascii="Arial" w:hAnsi="Arial" w:eastAsia="黑体" w:cs="Arial"/>
      <w:snapToGrid w:val="0"/>
      <w:color w:val="000000"/>
      <w:kern w:val="0"/>
      <w:sz w:val="24"/>
      <w:szCs w:val="21"/>
    </w:rPr>
  </w:style>
  <w:style w:type="character" w:customStyle="1" w:styleId="159">
    <w:name w:val=" Char Char"/>
    <w:uiPriority w:val="0"/>
    <w:rPr>
      <w:rFonts w:ascii="宋体" w:hAnsi="Courier New" w:eastAsia="宋体"/>
      <w:kern w:val="2"/>
      <w:sz w:val="21"/>
      <w:lang w:val="en-US" w:eastAsia="zh-CN" w:bidi="ar-SA"/>
    </w:rPr>
  </w:style>
  <w:style w:type="character" w:customStyle="1" w:styleId="160">
    <w:name w:val="_正文段落 Char"/>
    <w:link w:val="161"/>
    <w:uiPriority w:val="0"/>
    <w:rPr>
      <w:rFonts w:ascii="宋体" w:hAnsi="宋体"/>
      <w:kern w:val="2"/>
      <w:sz w:val="24"/>
      <w:szCs w:val="24"/>
    </w:rPr>
  </w:style>
  <w:style w:type="paragraph" w:customStyle="1" w:styleId="161">
    <w:name w:val="_正文段落"/>
    <w:basedOn w:val="1"/>
    <w:link w:val="160"/>
    <w:uiPriority w:val="0"/>
    <w:pPr>
      <w:adjustRightInd/>
      <w:spacing w:before="46" w:beforeLines="15" w:after="46" w:afterLines="15" w:line="360" w:lineRule="auto"/>
      <w:ind w:firstLine="480" w:firstLineChars="200"/>
    </w:pPr>
    <w:rPr>
      <w:rFonts w:ascii="宋体" w:hAnsi="宋体"/>
      <w:sz w:val="24"/>
    </w:rPr>
  </w:style>
  <w:style w:type="character" w:customStyle="1" w:styleId="162">
    <w:name w:val="列出段落 Char1"/>
    <w:link w:val="163"/>
    <w:uiPriority w:val="0"/>
    <w:rPr>
      <w:rFonts w:eastAsia="楷体_GB2312" w:cs="Lucida Sans"/>
      <w:kern w:val="2"/>
      <w:sz w:val="24"/>
      <w:szCs w:val="24"/>
    </w:rPr>
  </w:style>
  <w:style w:type="paragraph" w:styleId="163">
    <w:name w:val="List Paragraph"/>
    <w:basedOn w:val="1"/>
    <w:link w:val="162"/>
    <w:qFormat/>
    <w:uiPriority w:val="0"/>
    <w:pPr>
      <w:spacing w:line="360" w:lineRule="auto"/>
      <w:ind w:firstLine="200" w:firstLineChars="200"/>
    </w:pPr>
    <w:rPr>
      <w:rFonts w:eastAsia="楷体_GB2312"/>
      <w:sz w:val="24"/>
    </w:rPr>
  </w:style>
  <w:style w:type="character" w:customStyle="1" w:styleId="164">
    <w:name w:val=" Char Char10"/>
    <w:uiPriority w:val="0"/>
    <w:rPr>
      <w:rFonts w:ascii="宋体" w:hAnsi="宋体"/>
      <w:kern w:val="2"/>
      <w:sz w:val="21"/>
      <w:szCs w:val="24"/>
      <w:lang/>
    </w:rPr>
  </w:style>
  <w:style w:type="character" w:customStyle="1" w:styleId="165">
    <w:name w:val="tw4winInternal"/>
    <w:uiPriority w:val="0"/>
    <w:rPr>
      <w:rFonts w:ascii="Courier New" w:hAnsi="Courier New" w:cs="Courier New"/>
      <w:color w:val="FF0000"/>
      <w:lang/>
    </w:rPr>
  </w:style>
  <w:style w:type="character" w:customStyle="1" w:styleId="166">
    <w:name w:val="页脚 Char"/>
    <w:uiPriority w:val="0"/>
    <w:rPr>
      <w:rFonts w:eastAsia="仿宋_GB2312"/>
      <w:kern w:val="2"/>
      <w:sz w:val="18"/>
      <w:lang w:val="en-US" w:eastAsia="zh-CN"/>
    </w:rPr>
  </w:style>
  <w:style w:type="character" w:customStyle="1" w:styleId="167">
    <w:name w:val="正文文本缩进 Char1"/>
    <w:link w:val="33"/>
    <w:uiPriority w:val="0"/>
    <w:rPr>
      <w:rFonts w:ascii="宋体" w:hAnsi="宋体"/>
      <w:kern w:val="2"/>
      <w:sz w:val="24"/>
      <w:szCs w:val="24"/>
    </w:rPr>
  </w:style>
  <w:style w:type="character" w:customStyle="1" w:styleId="168">
    <w:name w:val="结束语 Char"/>
    <w:link w:val="30"/>
    <w:uiPriority w:val="0"/>
    <w:rPr>
      <w:rFonts w:ascii="Arial" w:hAnsi="Arial" w:eastAsia="黑体" w:cs="Arial"/>
      <w:snapToGrid w:val="0"/>
      <w:color w:val="000000"/>
      <w:kern w:val="0"/>
      <w:sz w:val="24"/>
      <w:szCs w:val="21"/>
    </w:rPr>
  </w:style>
  <w:style w:type="character" w:customStyle="1" w:styleId="169">
    <w:name w:val="样式8 Char"/>
    <w:uiPriority w:val="0"/>
    <w:rPr>
      <w:rFonts w:ascii="仿宋_GB2312" w:hAnsi="宋体" w:eastAsia="仿宋_GB2312"/>
      <w:b/>
      <w:bCs/>
      <w:kern w:val="2"/>
      <w:sz w:val="24"/>
      <w:szCs w:val="24"/>
    </w:rPr>
  </w:style>
  <w:style w:type="character" w:customStyle="1" w:styleId="170">
    <w:name w:val="纯文本 Char_0"/>
    <w:link w:val="171"/>
    <w:uiPriority w:val="0"/>
    <w:rPr>
      <w:rFonts w:ascii="宋体" w:hAnsi="Courier New"/>
      <w:kern w:val="2"/>
      <w:sz w:val="21"/>
      <w:szCs w:val="21"/>
      <w:lang/>
    </w:rPr>
  </w:style>
  <w:style w:type="paragraph" w:customStyle="1" w:styleId="171">
    <w:name w:val="纯文本_0_0"/>
    <w:basedOn w:val="172"/>
    <w:link w:val="170"/>
    <w:uiPriority w:val="0"/>
    <w:rPr>
      <w:rFonts w:ascii="宋体" w:hAnsi="Courier New"/>
      <w:szCs w:val="21"/>
      <w:lang/>
    </w:rPr>
  </w:style>
  <w:style w:type="paragraph" w:customStyle="1" w:styleId="172">
    <w:name w:val="正文_1_0"/>
    <w:uiPriority w:val="0"/>
    <w:pPr>
      <w:widowControl w:val="0"/>
      <w:jc w:val="both"/>
    </w:pPr>
    <w:rPr>
      <w:kern w:val="2"/>
      <w:sz w:val="21"/>
      <w:szCs w:val="24"/>
      <w:lang w:val="en-US" w:eastAsia="zh-CN" w:bidi="ar-SA"/>
    </w:rPr>
  </w:style>
  <w:style w:type="character" w:customStyle="1" w:styleId="173">
    <w:name w:val="脚注文本 Char"/>
    <w:link w:val="64"/>
    <w:uiPriority w:val="0"/>
    <w:rPr>
      <w:color w:val="0000FF"/>
      <w:sz w:val="21"/>
    </w:rPr>
  </w:style>
  <w:style w:type="character" w:customStyle="1" w:styleId="174">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75">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76">
    <w:name w:val="公文正文 Char"/>
    <w:uiPriority w:val="0"/>
    <w:rPr>
      <w:rFonts w:ascii="仿宋_GB2312" w:eastAsia="仿宋_GB2312"/>
      <w:kern w:val="2"/>
      <w:sz w:val="24"/>
      <w:szCs w:val="24"/>
      <w:lang w:val="en-US" w:eastAsia="zh-CN" w:bidi="ar-SA"/>
    </w:rPr>
  </w:style>
  <w:style w:type="character" w:customStyle="1" w:styleId="177">
    <w:name w:val="myp1111"/>
    <w:uiPriority w:val="0"/>
    <w:rPr>
      <w:rFonts w:hint="default" w:ascii="ˎ̥" w:hAnsi="ˎ̥"/>
      <w:color w:val="000000"/>
      <w:sz w:val="20"/>
      <w:szCs w:val="20"/>
      <w:u w:val="none"/>
    </w:rPr>
  </w:style>
  <w:style w:type="character" w:customStyle="1" w:styleId="178">
    <w:name w:val="标题 7 Char"/>
    <w:link w:val="8"/>
    <w:uiPriority w:val="0"/>
    <w:rPr>
      <w:b/>
      <w:bCs/>
      <w:kern w:val="2"/>
      <w:sz w:val="24"/>
      <w:szCs w:val="24"/>
    </w:rPr>
  </w:style>
  <w:style w:type="character" w:customStyle="1" w:styleId="179">
    <w:name w:val="Footer-Even Char1"/>
    <w:aliases w:val="FtrF Char Char1"/>
    <w:uiPriority w:val="0"/>
    <w:rPr>
      <w:rFonts w:eastAsia="宋体"/>
      <w:kern w:val="2"/>
      <w:sz w:val="18"/>
      <w:szCs w:val="18"/>
      <w:lang w:val="en-US" w:eastAsia="zh-CN" w:bidi="ar-SA"/>
    </w:rPr>
  </w:style>
  <w:style w:type="character" w:customStyle="1" w:styleId="180">
    <w:name w:val="签名 Char"/>
    <w:link w:val="55"/>
    <w:uiPriority w:val="0"/>
    <w:rPr>
      <w:rFonts w:eastAsia="仿宋_GB2312"/>
      <w:sz w:val="24"/>
    </w:rPr>
  </w:style>
  <w:style w:type="character" w:customStyle="1" w:styleId="181">
    <w:name w:val="正文1 Char"/>
    <w:uiPriority w:val="0"/>
    <w:rPr>
      <w:rFonts w:ascii="宋体" w:eastAsia="宋体"/>
      <w:snapToGrid w:val="0"/>
      <w:color w:val="000000"/>
      <w:kern w:val="28"/>
      <w:sz w:val="28"/>
      <w:lang w:val="en-US" w:eastAsia="zh-CN" w:bidi="ar-SA"/>
    </w:rPr>
  </w:style>
  <w:style w:type="character" w:customStyle="1" w:styleId="182">
    <w:name w:val="标题 Char"/>
    <w:uiPriority w:val="0"/>
    <w:rPr>
      <w:rFonts w:eastAsia="宋体"/>
      <w:b/>
      <w:sz w:val="24"/>
      <w:lang w:val="en-GB" w:eastAsia="zh-CN" w:bidi="ar-SA"/>
    </w:rPr>
  </w:style>
  <w:style w:type="character" w:customStyle="1" w:styleId="183">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184">
    <w:name w:val="正文文本缩进 Char"/>
    <w:uiPriority w:val="0"/>
    <w:rPr>
      <w:rFonts w:ascii="宋体" w:hAnsi="宋体"/>
      <w:kern w:val="2"/>
      <w:sz w:val="24"/>
      <w:szCs w:val="24"/>
    </w:rPr>
  </w:style>
  <w:style w:type="character" w:customStyle="1" w:styleId="185">
    <w:name w:val="Char Char11"/>
    <w:uiPriority w:val="0"/>
    <w:rPr>
      <w:rFonts w:ascii="宋体" w:hAnsi="宋体" w:eastAsia="宋体"/>
      <w:b/>
      <w:kern w:val="2"/>
      <w:sz w:val="24"/>
      <w:szCs w:val="24"/>
      <w:lang w:val="en-US" w:eastAsia="zh-CN" w:bidi="ar-SA"/>
    </w:rPr>
  </w:style>
  <w:style w:type="character" w:customStyle="1" w:styleId="186">
    <w:name w:val="pt9"/>
    <w:uiPriority w:val="0"/>
    <w:rPr>
      <w:rFonts w:ascii="仿宋_GB2312" w:eastAsia="微软雅黑"/>
      <w:b/>
      <w:kern w:val="2"/>
      <w:sz w:val="32"/>
      <w:szCs w:val="32"/>
      <w:lang w:val="en-US" w:eastAsia="zh-CN" w:bidi="ar-SA"/>
    </w:rPr>
  </w:style>
  <w:style w:type="character" w:customStyle="1" w:styleId="187">
    <w:name w:val="文本正文 Char Char"/>
    <w:uiPriority w:val="0"/>
    <w:rPr>
      <w:sz w:val="24"/>
      <w:lang w:bidi="ar-SA"/>
    </w:rPr>
  </w:style>
  <w:style w:type="character" w:customStyle="1" w:styleId="188">
    <w:name w:val="正文缩进 Char3"/>
    <w:uiPriority w:val="0"/>
    <w:rPr>
      <w:rFonts w:ascii="宋体" w:eastAsia="宋体"/>
      <w:snapToGrid w:val="0"/>
      <w:color w:val="000000"/>
      <w:kern w:val="28"/>
      <w:sz w:val="28"/>
      <w:lang w:val="en-US" w:eastAsia="zh-CN" w:bidi="ar-SA"/>
    </w:rPr>
  </w:style>
  <w:style w:type="character" w:customStyle="1" w:styleId="189">
    <w:name w:val="标题 1 Char"/>
    <w:link w:val="2"/>
    <w:uiPriority w:val="0"/>
    <w:rPr>
      <w:b/>
      <w:bCs/>
      <w:kern w:val="44"/>
      <w:sz w:val="44"/>
      <w:szCs w:val="44"/>
    </w:rPr>
  </w:style>
  <w:style w:type="character" w:customStyle="1" w:styleId="190">
    <w:name w:val="仿宋正文 Char"/>
    <w:link w:val="191"/>
    <w:uiPriority w:val="0"/>
    <w:rPr>
      <w:rFonts w:ascii="仿宋_GB2312" w:eastAsia="仿宋_GB2312"/>
      <w:kern w:val="2"/>
      <w:sz w:val="24"/>
      <w:lang w:val="en-US" w:eastAsia="zh-CN" w:bidi="ar-SA"/>
    </w:rPr>
  </w:style>
  <w:style w:type="paragraph" w:customStyle="1" w:styleId="191">
    <w:name w:val="仿宋正文"/>
    <w:basedOn w:val="1"/>
    <w:link w:val="190"/>
    <w:uiPriority w:val="0"/>
    <w:pPr>
      <w:adjustRightInd/>
      <w:spacing w:line="360" w:lineRule="auto"/>
      <w:ind w:firstLine="480" w:firstLineChars="200"/>
    </w:pPr>
    <w:rPr>
      <w:rFonts w:ascii="仿宋_GB2312" w:eastAsia="仿宋_GB2312"/>
      <w:sz w:val="24"/>
      <w:szCs w:val="20"/>
    </w:rPr>
  </w:style>
  <w:style w:type="character" w:customStyle="1" w:styleId="192">
    <w:name w:val="FA正文 Char Char"/>
    <w:uiPriority w:val="0"/>
    <w:rPr>
      <w:rFonts w:hAnsi="宋体"/>
      <w:kern w:val="2"/>
      <w:sz w:val="24"/>
      <w:lang w:bidi="ar-SA"/>
    </w:rPr>
  </w:style>
  <w:style w:type="character" w:customStyle="1" w:styleId="193">
    <w:name w:val="正文缩进 Char2"/>
    <w:link w:val="19"/>
    <w:uiPriority w:val="0"/>
    <w:rPr>
      <w:rFonts w:ascii="宋体" w:eastAsia="宋体"/>
      <w:snapToGrid w:val="0"/>
      <w:color w:val="000000"/>
      <w:kern w:val="28"/>
      <w:sz w:val="28"/>
      <w:lang w:val="en-US" w:eastAsia="zh-CN" w:bidi="ar-SA"/>
    </w:rPr>
  </w:style>
  <w:style w:type="character" w:customStyle="1" w:styleId="194">
    <w:name w:val="标准正文格式 Char"/>
    <w:uiPriority w:val="0"/>
    <w:rPr>
      <w:rFonts w:ascii="宋体" w:eastAsia="仿宋_GB2312" w:cs="宋体"/>
      <w:color w:val="000000"/>
      <w:sz w:val="24"/>
      <w:lang w:val="en-US" w:eastAsia="zh-CN" w:bidi="ar-SA"/>
    </w:rPr>
  </w:style>
  <w:style w:type="character" w:customStyle="1" w:styleId="195">
    <w:name w:val="style91"/>
    <w:uiPriority w:val="0"/>
    <w:rPr>
      <w:color w:val="333333"/>
    </w:rPr>
  </w:style>
  <w:style w:type="character" w:customStyle="1" w:styleId="196">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197">
    <w:name w:val="myp11"/>
    <w:uiPriority w:val="0"/>
    <w:rPr>
      <w:rFonts w:ascii="仿宋_GB2312" w:eastAsia="微软雅黑"/>
      <w:b/>
      <w:kern w:val="2"/>
      <w:sz w:val="32"/>
      <w:szCs w:val="32"/>
      <w:lang w:val="en-US" w:eastAsia="zh-CN" w:bidi="ar-SA"/>
    </w:rPr>
  </w:style>
  <w:style w:type="character" w:customStyle="1" w:styleId="198">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199">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00">
    <w:name w:val="页眉 Char"/>
    <w:aliases w:val="页眉2 Char,Ò³Ã¼ Char,header odd Char,居中页眉 Char"/>
    <w:uiPriority w:val="0"/>
    <w:rPr>
      <w:rFonts w:eastAsia="仿宋_GB2312"/>
      <w:kern w:val="2"/>
      <w:sz w:val="18"/>
      <w:lang w:val="en-US" w:eastAsia="zh-CN"/>
    </w:rPr>
  </w:style>
  <w:style w:type="character" w:customStyle="1" w:styleId="201">
    <w:name w:val="正文文本缩进 2 Char"/>
    <w:link w:val="49"/>
    <w:uiPriority w:val="0"/>
    <w:rPr>
      <w:rFonts w:ascii="宋体"/>
      <w:sz w:val="28"/>
    </w:rPr>
  </w:style>
  <w:style w:type="character" w:customStyle="1" w:styleId="202">
    <w:name w:val="称呼 Char"/>
    <w:link w:val="28"/>
    <w:uiPriority w:val="0"/>
    <w:rPr>
      <w:rFonts w:ascii="仿宋_GB2312" w:eastAsia="仿宋_GB2312"/>
      <w:kern w:val="2"/>
      <w:sz w:val="28"/>
    </w:rPr>
  </w:style>
  <w:style w:type="character" w:customStyle="1" w:styleId="203">
    <w:name w:val="表格标题(居中) Char"/>
    <w:link w:val="204"/>
    <w:uiPriority w:val="0"/>
    <w:rPr>
      <w:rFonts w:eastAsia="黑体"/>
      <w:kern w:val="2"/>
      <w:sz w:val="24"/>
      <w:szCs w:val="24"/>
    </w:rPr>
  </w:style>
  <w:style w:type="paragraph" w:customStyle="1" w:styleId="204">
    <w:name w:val="表格标题(居中)"/>
    <w:basedOn w:val="1"/>
    <w:link w:val="203"/>
    <w:uiPriority w:val="0"/>
    <w:pPr>
      <w:adjustRightInd/>
      <w:snapToGrid w:val="0"/>
      <w:jc w:val="center"/>
    </w:pPr>
    <w:rPr>
      <w:rFonts w:eastAsia="黑体"/>
      <w:sz w:val="24"/>
    </w:rPr>
  </w:style>
  <w:style w:type="character" w:customStyle="1" w:styleId="205">
    <w:name w:val="h Char Char1"/>
    <w:uiPriority w:val="0"/>
    <w:rPr>
      <w:rFonts w:eastAsia="宋体"/>
      <w:kern w:val="2"/>
      <w:sz w:val="18"/>
      <w:szCs w:val="18"/>
      <w:lang w:val="en-US" w:eastAsia="zh-CN" w:bidi="ar-SA"/>
    </w:rPr>
  </w:style>
  <w:style w:type="character" w:customStyle="1" w:styleId="206">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207">
    <w:name w:val="表格 Char Char"/>
    <w:uiPriority w:val="0"/>
    <w:rPr>
      <w:rFonts w:ascii="宋体" w:hAnsi="宋体" w:eastAsia="宋体"/>
      <w:lang w:bidi="ar-SA"/>
    </w:rPr>
  </w:style>
  <w:style w:type="character" w:customStyle="1" w:styleId="208">
    <w:name w:val="f141"/>
    <w:uiPriority w:val="0"/>
    <w:rPr>
      <w:rFonts w:ascii="Tahoma" w:hAnsi="Tahoma" w:eastAsia="宋体"/>
      <w:b/>
      <w:kern w:val="2"/>
      <w:sz w:val="21"/>
      <w:szCs w:val="21"/>
      <w:lang w:val="en-US" w:eastAsia="zh-CN" w:bidi="ar-SA"/>
    </w:rPr>
  </w:style>
  <w:style w:type="character" w:customStyle="1" w:styleId="209">
    <w:name w:val="px14"/>
    <w:uiPriority w:val="0"/>
    <w:rPr>
      <w:rFonts w:ascii="仿宋_GB2312" w:eastAsia="微软雅黑" w:cs="Times New Roman"/>
      <w:b/>
      <w:kern w:val="2"/>
      <w:sz w:val="32"/>
      <w:szCs w:val="32"/>
      <w:lang w:val="en-US" w:eastAsia="zh-CN" w:bidi="ar-SA"/>
    </w:rPr>
  </w:style>
  <w:style w:type="character" w:customStyle="1" w:styleId="210">
    <w:name w:val="Char Char4"/>
    <w:uiPriority w:val="0"/>
    <w:rPr>
      <w:rFonts w:eastAsia="宋体"/>
      <w:b/>
      <w:sz w:val="24"/>
      <w:lang w:val="en-GB" w:eastAsia="zh-CN" w:bidi="ar-SA"/>
    </w:rPr>
  </w:style>
  <w:style w:type="character" w:customStyle="1" w:styleId="211">
    <w:name w:val="方案正文 Char"/>
    <w:uiPriority w:val="0"/>
    <w:rPr>
      <w:rFonts w:ascii="仿宋_GB2312" w:eastAsia="仿宋_GB2312"/>
      <w:b/>
      <w:color w:val="000000"/>
      <w:kern w:val="2"/>
      <w:sz w:val="24"/>
      <w:lang w:val="en-US" w:eastAsia="zh-CN" w:bidi="ar-SA"/>
    </w:rPr>
  </w:style>
  <w:style w:type="character" w:customStyle="1" w:styleId="212">
    <w:name w:val="gray6"/>
    <w:basedOn w:val="86"/>
    <w:uiPriority w:val="0"/>
  </w:style>
  <w:style w:type="character" w:customStyle="1" w:styleId="213">
    <w:name w:val="dandyren_title1"/>
    <w:uiPriority w:val="0"/>
    <w:rPr>
      <w:b/>
      <w:bCs/>
      <w:color w:val="FF6633"/>
      <w:sz w:val="18"/>
      <w:szCs w:val="18"/>
    </w:rPr>
  </w:style>
  <w:style w:type="character" w:customStyle="1" w:styleId="214">
    <w:name w:val="javascript"/>
    <w:uiPriority w:val="0"/>
  </w:style>
  <w:style w:type="character" w:customStyle="1" w:styleId="215">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216">
    <w:name w:val=" Char Char2"/>
    <w:uiPriority w:val="0"/>
    <w:rPr>
      <w:rFonts w:eastAsia="宋体"/>
      <w:b/>
      <w:bCs/>
      <w:kern w:val="2"/>
      <w:sz w:val="21"/>
      <w:szCs w:val="24"/>
      <w:lang w:val="en-US" w:eastAsia="zh-CN" w:bidi="ar-SA"/>
    </w:rPr>
  </w:style>
  <w:style w:type="character" w:customStyle="1" w:styleId="217">
    <w:name w:val="Figure Description Char"/>
    <w:link w:val="218"/>
    <w:uiPriority w:val="0"/>
    <w:rPr>
      <w:rFonts w:ascii="Arial" w:hAnsi="Arial" w:eastAsia="黑体" w:cs="Arial Narrow"/>
      <w:sz w:val="21"/>
      <w:szCs w:val="21"/>
      <w:lang w:val="en-US" w:eastAsia="zh-CN" w:bidi="ar-SA"/>
    </w:rPr>
  </w:style>
  <w:style w:type="paragraph" w:customStyle="1" w:styleId="218">
    <w:name w:val="Figure Description"/>
    <w:next w:val="1"/>
    <w:link w:val="217"/>
    <w:uiPriority w:val="0"/>
    <w:pPr>
      <w:keepNext/>
      <w:keepLines/>
      <w:numPr>
        <w:ilvl w:val="5"/>
        <w:numId w:val="6"/>
      </w:numPr>
      <w:spacing w:before="80" w:after="80" w:line="360" w:lineRule="auto"/>
      <w:ind w:left="842" w:hanging="422"/>
      <w:jc w:val="center"/>
    </w:pPr>
    <w:rPr>
      <w:rFonts w:ascii="Arial" w:hAnsi="Arial" w:eastAsia="黑体" w:cs="Arial Narrow"/>
      <w:sz w:val="21"/>
      <w:szCs w:val="21"/>
      <w:lang w:val="en-US" w:eastAsia="zh-CN" w:bidi="ar-SA"/>
    </w:rPr>
  </w:style>
  <w:style w:type="character" w:customStyle="1" w:styleId="219">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20">
    <w:name w:val="headline-content3"/>
    <w:uiPriority w:val="0"/>
  </w:style>
  <w:style w:type="character" w:customStyle="1" w:styleId="221">
    <w:name w:val="样式2 Char"/>
    <w:uiPriority w:val="0"/>
    <w:rPr>
      <w:rFonts w:ascii="仿宋_GB2312" w:hAnsi="仿宋" w:eastAsia="仿宋_GB2312" w:cs="仿宋_GB2312"/>
      <w:b/>
      <w:bCs/>
      <w:sz w:val="32"/>
      <w:szCs w:val="30"/>
      <w:lang w:val="zh-CN"/>
    </w:rPr>
  </w:style>
  <w:style w:type="character" w:customStyle="1" w:styleId="222">
    <w:name w:val="hui3"/>
    <w:uiPriority w:val="0"/>
    <w:rPr>
      <w:color w:val="333333"/>
    </w:rPr>
  </w:style>
  <w:style w:type="character" w:customStyle="1" w:styleId="223">
    <w:name w:val=" Char Char3"/>
    <w:uiPriority w:val="0"/>
    <w:rPr>
      <w:rFonts w:eastAsia="宋体"/>
      <w:kern w:val="2"/>
      <w:sz w:val="21"/>
      <w:szCs w:val="24"/>
      <w:lang w:val="en-US" w:eastAsia="zh-CN" w:bidi="ar-SA"/>
    </w:rPr>
  </w:style>
  <w:style w:type="character" w:customStyle="1" w:styleId="224">
    <w:name w:val="样式6 Char"/>
    <w:uiPriority w:val="0"/>
    <w:rPr>
      <w:rFonts w:ascii="仿宋_GB2312" w:hAnsi="宋体" w:eastAsia="仿宋_GB2312"/>
      <w:b/>
      <w:bCs/>
      <w:kern w:val="2"/>
      <w:sz w:val="24"/>
      <w:szCs w:val="24"/>
      <w:lang w:val="en-US" w:eastAsia="zh-CN" w:bidi="ar-SA"/>
    </w:rPr>
  </w:style>
  <w:style w:type="character" w:customStyle="1" w:styleId="225">
    <w:name w:val="tw4winError"/>
    <w:uiPriority w:val="0"/>
    <w:rPr>
      <w:rFonts w:ascii="Courier New" w:hAnsi="Courier New" w:cs="Courier New"/>
      <w:color w:val="00FF00"/>
      <w:sz w:val="40"/>
      <w:szCs w:val="40"/>
    </w:rPr>
  </w:style>
  <w:style w:type="character" w:customStyle="1" w:styleId="226">
    <w:name w:val="message1"/>
    <w:uiPriority w:val="0"/>
    <w:rPr>
      <w:rFonts w:hint="default" w:ascii="Tahoma" w:hAnsi="Tahoma" w:cs="Tahoma"/>
      <w:sz w:val="18"/>
      <w:szCs w:val="18"/>
    </w:rPr>
  </w:style>
  <w:style w:type="character" w:customStyle="1" w:styleId="227">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228">
    <w:name w:val="mdeck"/>
    <w:uiPriority w:val="0"/>
    <w:rPr>
      <w:rFonts w:ascii="仿宋_GB2312" w:eastAsia="微软雅黑"/>
      <w:b/>
      <w:kern w:val="2"/>
      <w:sz w:val="32"/>
      <w:szCs w:val="32"/>
      <w:lang w:val="en-US" w:eastAsia="zh-CN" w:bidi="ar-SA"/>
    </w:rPr>
  </w:style>
  <w:style w:type="character" w:customStyle="1" w:styleId="229">
    <w:name w:val="信息标题 Char"/>
    <w:link w:val="76"/>
    <w:uiPriority w:val="0"/>
    <w:rPr>
      <w:rFonts w:ascii="Arial" w:hAnsi="Arial" w:eastAsia="黑体" w:cs="Arial"/>
      <w:snapToGrid w:val="0"/>
      <w:color w:val="000000"/>
      <w:kern w:val="0"/>
      <w:sz w:val="24"/>
      <w:szCs w:val="24"/>
      <w:shd w:val="pct20" w:color="auto" w:fill="auto"/>
    </w:rPr>
  </w:style>
  <w:style w:type="character" w:customStyle="1" w:styleId="230">
    <w:name w:val="正文1 Char1"/>
    <w:uiPriority w:val="0"/>
    <w:rPr>
      <w:rFonts w:ascii="仿宋_GB2312" w:hAnsi="Courier New" w:eastAsia="仿宋_GB2312"/>
      <w:kern w:val="28"/>
      <w:sz w:val="24"/>
      <w:szCs w:val="24"/>
      <w:lang/>
    </w:rPr>
  </w:style>
  <w:style w:type="character" w:customStyle="1" w:styleId="231">
    <w:name w:val="Char Char2"/>
    <w:uiPriority w:val="0"/>
    <w:rPr>
      <w:rFonts w:eastAsia="宋体"/>
      <w:b/>
      <w:bCs/>
      <w:kern w:val="2"/>
      <w:sz w:val="21"/>
      <w:szCs w:val="24"/>
      <w:lang w:val="en-US" w:eastAsia="zh-CN" w:bidi="ar-SA"/>
    </w:rPr>
  </w:style>
  <w:style w:type="character" w:customStyle="1" w:styleId="232">
    <w:name w:val="hui"/>
    <w:basedOn w:val="86"/>
    <w:uiPriority w:val="0"/>
  </w:style>
  <w:style w:type="character" w:customStyle="1" w:styleId="233">
    <w:name w:val="apple-converted-space"/>
    <w:uiPriority w:val="0"/>
  </w:style>
  <w:style w:type="character" w:customStyle="1" w:styleId="234">
    <w:name w:val="dectext1"/>
    <w:uiPriority w:val="0"/>
    <w:rPr>
      <w:rFonts w:ascii="宋体" w:hAnsi="宋体" w:eastAsia="宋体"/>
      <w:color w:val="333333"/>
      <w:sz w:val="21"/>
      <w:szCs w:val="21"/>
      <w:u w:val="none"/>
    </w:rPr>
  </w:style>
  <w:style w:type="character" w:customStyle="1" w:styleId="235">
    <w:name w:val="副标题 Char"/>
    <w:link w:val="61"/>
    <w:uiPriority w:val="0"/>
    <w:rPr>
      <w:rFonts w:ascii="Arial" w:hAnsi="Arial" w:eastAsia="隶书"/>
      <w:b/>
      <w:bCs/>
      <w:kern w:val="28"/>
      <w:sz w:val="44"/>
      <w:szCs w:val="32"/>
      <w:lang w:val="en-US" w:eastAsia="zh-CN" w:bidi="ar-SA"/>
    </w:rPr>
  </w:style>
  <w:style w:type="character" w:customStyle="1" w:styleId="236">
    <w:name w:val="zbggmain style9"/>
    <w:uiPriority w:val="0"/>
  </w:style>
  <w:style w:type="character" w:customStyle="1" w:styleId="237">
    <w:name w:val="正文首行缩进 Char Char Char Char Char Char"/>
    <w:uiPriority w:val="0"/>
    <w:rPr>
      <w:rFonts w:ascii="宋体" w:eastAsia="宋体"/>
      <w:kern w:val="2"/>
      <w:sz w:val="24"/>
      <w:lang w:val="zh-CN" w:bidi="ar-SA"/>
    </w:rPr>
  </w:style>
  <w:style w:type="character" w:customStyle="1" w:styleId="238">
    <w:name w:val="font51"/>
    <w:uiPriority w:val="0"/>
    <w:rPr>
      <w:rFonts w:hint="eastAsia" w:ascii="微软雅黑" w:hAnsi="微软雅黑" w:eastAsia="微软雅黑" w:cs="微软雅黑"/>
      <w:b/>
      <w:color w:val="FF0000"/>
      <w:sz w:val="24"/>
      <w:szCs w:val="24"/>
      <w:u w:val="none"/>
    </w:rPr>
  </w:style>
  <w:style w:type="character" w:customStyle="1" w:styleId="239">
    <w:name w:val="批注文字 Char"/>
    <w:uiPriority w:val="0"/>
    <w:rPr>
      <w:kern w:val="2"/>
      <w:sz w:val="21"/>
      <w:szCs w:val="24"/>
    </w:rPr>
  </w:style>
  <w:style w:type="character" w:customStyle="1" w:styleId="240">
    <w:name w:val="txt"/>
    <w:uiPriority w:val="0"/>
    <w:rPr>
      <w:rFonts w:ascii="仿宋_GB2312" w:eastAsia="微软雅黑"/>
      <w:b/>
      <w:kern w:val="2"/>
      <w:sz w:val="32"/>
      <w:szCs w:val="32"/>
      <w:lang w:val="en-US" w:eastAsia="zh-CN" w:bidi="ar-SA"/>
    </w:rPr>
  </w:style>
  <w:style w:type="character" w:customStyle="1" w:styleId="241">
    <w:name w:val="Balloon Text Char"/>
    <w:uiPriority w:val="0"/>
    <w:rPr>
      <w:rFonts w:eastAsia="宋体"/>
      <w:kern w:val="2"/>
      <w:sz w:val="18"/>
      <w:szCs w:val="18"/>
      <w:lang w:val="en-US" w:eastAsia="zh-CN" w:bidi="ar-SA"/>
    </w:rPr>
  </w:style>
  <w:style w:type="character" w:customStyle="1" w:styleId="242">
    <w:name w:val="样式5 Char"/>
    <w:uiPriority w:val="0"/>
    <w:rPr>
      <w:rFonts w:ascii="仿宋_GB2312" w:hAnsi="仿宋" w:eastAsia="仿宋_GB2312"/>
      <w:kern w:val="2"/>
      <w:sz w:val="24"/>
      <w:szCs w:val="24"/>
    </w:rPr>
  </w:style>
  <w:style w:type="character" w:customStyle="1" w:styleId="243">
    <w:name w:val="tw4winExternal"/>
    <w:uiPriority w:val="0"/>
    <w:rPr>
      <w:rFonts w:ascii="Courier New" w:hAnsi="Courier New" w:cs="Courier New"/>
      <w:color w:val="808080"/>
      <w:lang/>
    </w:rPr>
  </w:style>
  <w:style w:type="character" w:customStyle="1" w:styleId="244">
    <w:name w:val="标题 4 Char"/>
    <w:link w:val="5"/>
    <w:uiPriority w:val="0"/>
    <w:rPr>
      <w:rFonts w:ascii="Arial" w:hAnsi="Arial" w:eastAsia="黑体"/>
      <w:b/>
      <w:bCs/>
      <w:kern w:val="2"/>
      <w:sz w:val="28"/>
      <w:szCs w:val="28"/>
      <w:lang w:val="zh-CN"/>
    </w:rPr>
  </w:style>
  <w:style w:type="character" w:customStyle="1" w:styleId="245">
    <w:name w:val="标题 8 Char"/>
    <w:link w:val="9"/>
    <w:uiPriority w:val="0"/>
    <w:rPr>
      <w:rFonts w:ascii="Arial" w:hAnsi="Arial" w:eastAsia="黑体"/>
      <w:kern w:val="2"/>
      <w:sz w:val="24"/>
      <w:szCs w:val="24"/>
    </w:rPr>
  </w:style>
  <w:style w:type="character" w:customStyle="1" w:styleId="246">
    <w:name w:val="带编号样式 Char"/>
    <w:uiPriority w:val="0"/>
    <w:rPr>
      <w:rFonts w:ascii="仿宋_GB2312" w:eastAsia="仿宋_GB2312"/>
      <w:color w:val="000000"/>
      <w:sz w:val="24"/>
      <w:lang w:bidi="ar-SA"/>
    </w:rPr>
  </w:style>
  <w:style w:type="character" w:customStyle="1" w:styleId="247">
    <w:name w:val="标题 1 Char Char"/>
    <w:uiPriority w:val="0"/>
    <w:rPr>
      <w:rFonts w:hint="eastAsia" w:ascii="宋体" w:hAnsi="宋体" w:eastAsia="宋体"/>
      <w:b/>
      <w:spacing w:val="-2"/>
      <w:sz w:val="24"/>
      <w:lang w:val="en-US" w:eastAsia="zh-CN" w:bidi="ar-SA"/>
    </w:rPr>
  </w:style>
  <w:style w:type="character" w:customStyle="1" w:styleId="248">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249">
    <w:name w:val="正文 编号 Char"/>
    <w:uiPriority w:val="0"/>
    <w:rPr>
      <w:rFonts w:ascii="仿宋_GB2312" w:hAnsi="仿宋_GB2312" w:eastAsia="仿宋_GB2312"/>
      <w:kern w:val="2"/>
      <w:sz w:val="24"/>
      <w:lang w:bidi="ar-SA"/>
    </w:rPr>
  </w:style>
  <w:style w:type="character" w:customStyle="1" w:styleId="250">
    <w:name w:val="样式 样式 标题 4h4H4Fab-4T5Ref Heading 1rh1Heading sqlsect 1.2.3.... +... Char"/>
    <w:link w:val="251"/>
    <w:uiPriority w:val="0"/>
    <w:rPr>
      <w:rFonts w:ascii="微软雅黑" w:hAnsi="微软雅黑" w:eastAsia="微软雅黑"/>
      <w:b/>
      <w:bCs/>
      <w:kern w:val="2"/>
      <w:sz w:val="24"/>
      <w:szCs w:val="28"/>
    </w:rPr>
  </w:style>
  <w:style w:type="paragraph" w:customStyle="1" w:styleId="251">
    <w:name w:val="样式 样式 标题 4h4H4Fab-4T5Ref Heading 1rh1Heading sqlsect 1.2.3.... +..."/>
    <w:basedOn w:val="145"/>
    <w:link w:val="250"/>
    <w:uiPriority w:val="0"/>
  </w:style>
  <w:style w:type="character" w:customStyle="1" w:styleId="252">
    <w:name w:val="unnamed11"/>
    <w:uiPriority w:val="0"/>
    <w:rPr>
      <w:sz w:val="20"/>
      <w:szCs w:val="20"/>
    </w:rPr>
  </w:style>
  <w:style w:type="character" w:customStyle="1" w:styleId="253">
    <w:name w:val="big1"/>
    <w:uiPriority w:val="0"/>
    <w:rPr>
      <w:rFonts w:hint="eastAsia" w:ascii="宋体" w:hAnsi="宋体" w:eastAsia="宋体"/>
      <w:color w:val="333333"/>
      <w:sz w:val="22"/>
      <w:szCs w:val="22"/>
    </w:rPr>
  </w:style>
  <w:style w:type="character" w:customStyle="1" w:styleId="254">
    <w:name w:val="正文 Char"/>
    <w:uiPriority w:val="0"/>
    <w:rPr>
      <w:rFonts w:eastAsia="宋体"/>
      <w:color w:val="000000"/>
      <w:sz w:val="24"/>
      <w:lang w:val="en-US" w:eastAsia="zh-CN" w:bidi="ar-SA"/>
    </w:rPr>
  </w:style>
  <w:style w:type="character" w:customStyle="1" w:styleId="255">
    <w:name w:val=" Char Char9"/>
    <w:uiPriority w:val="0"/>
    <w:rPr>
      <w:rFonts w:eastAsia="宋体"/>
      <w:kern w:val="2"/>
      <w:sz w:val="18"/>
      <w:szCs w:val="18"/>
      <w:lang w:val="en-US" w:eastAsia="zh-CN" w:bidi="ar-SA"/>
    </w:rPr>
  </w:style>
  <w:style w:type="character" w:customStyle="1" w:styleId="256">
    <w:name w:val="正文 项目2 Char"/>
    <w:basedOn w:val="109"/>
    <w:uiPriority w:val="0"/>
  </w:style>
  <w:style w:type="character" w:customStyle="1" w:styleId="257">
    <w:name w:val="DO_NOT_TRANSLATE"/>
    <w:uiPriority w:val="0"/>
    <w:rPr>
      <w:rFonts w:ascii="Courier New" w:hAnsi="Courier New" w:cs="Courier New"/>
      <w:color w:val="800000"/>
      <w:lang/>
    </w:rPr>
  </w:style>
  <w:style w:type="character" w:customStyle="1" w:styleId="258">
    <w:name w:val=" Char Char8"/>
    <w:uiPriority w:val="0"/>
    <w:rPr>
      <w:rFonts w:eastAsia="宋体"/>
      <w:b/>
      <w:sz w:val="24"/>
      <w:lang w:val="en-GB" w:eastAsia="zh-CN"/>
    </w:rPr>
  </w:style>
  <w:style w:type="character" w:customStyle="1" w:styleId="259">
    <w:name w:val="标题 5 Char"/>
    <w:link w:val="6"/>
    <w:uiPriority w:val="0"/>
    <w:rPr>
      <w:b/>
      <w:bCs/>
      <w:kern w:val="2"/>
      <w:sz w:val="28"/>
      <w:szCs w:val="28"/>
    </w:rPr>
  </w:style>
  <w:style w:type="character" w:customStyle="1" w:styleId="260">
    <w:name w:val="纯文本 Char"/>
    <w:link w:val="43"/>
    <w:uiPriority w:val="0"/>
    <w:rPr>
      <w:rFonts w:ascii="宋体" w:hAnsi="Courier New" w:eastAsia="宋体" w:cs="Arial"/>
      <w:snapToGrid w:val="0"/>
      <w:kern w:val="2"/>
      <w:sz w:val="21"/>
      <w:szCs w:val="21"/>
      <w:lang w:val="en-US" w:eastAsia="zh-CN" w:bidi="ar-SA"/>
    </w:rPr>
  </w:style>
  <w:style w:type="character" w:customStyle="1" w:styleId="261">
    <w:name w:val="content"/>
    <w:uiPriority w:val="0"/>
  </w:style>
  <w:style w:type="character" w:customStyle="1" w:styleId="262">
    <w:name w:val="shadow11"/>
    <w:uiPriority w:val="0"/>
    <w:rPr>
      <w:color w:val="000000"/>
      <w:sz w:val="21"/>
    </w:rPr>
  </w:style>
  <w:style w:type="character" w:customStyle="1" w:styleId="263">
    <w:name w:val="Bold"/>
    <w:aliases w:val="b"/>
    <w:uiPriority w:val="0"/>
    <w:rPr>
      <w:rFonts w:ascii="Arial" w:hAnsi="Arial" w:eastAsia="黑体" w:cs="Times New Roman"/>
      <w:b/>
      <w:kern w:val="2"/>
      <w:sz w:val="32"/>
      <w:szCs w:val="32"/>
      <w:lang w:val="en-US" w:eastAsia="zh-CN" w:bidi="ar-SA"/>
    </w:rPr>
  </w:style>
  <w:style w:type="character" w:customStyle="1" w:styleId="264">
    <w:name w:val="正文首行缩进 2 Char"/>
    <w:link w:val="84"/>
    <w:uiPriority w:val="0"/>
    <w:rPr>
      <w:rFonts w:ascii="宋体" w:hAnsi="宋体"/>
      <w:kern w:val="2"/>
      <w:sz w:val="21"/>
      <w:szCs w:val="24"/>
    </w:rPr>
  </w:style>
  <w:style w:type="character" w:customStyle="1" w:styleId="265">
    <w:name w:val="Ò³Ã¼ Char Char"/>
    <w:uiPriority w:val="0"/>
    <w:rPr>
      <w:rFonts w:eastAsia="宋体"/>
      <w:kern w:val="2"/>
      <w:sz w:val="18"/>
      <w:lang w:val="en-US" w:eastAsia="zh-CN" w:bidi="ar-SA"/>
    </w:rPr>
  </w:style>
  <w:style w:type="character" w:customStyle="1" w:styleId="266">
    <w:name w:val="Char Char6"/>
    <w:uiPriority w:val="0"/>
    <w:rPr>
      <w:rFonts w:eastAsia="宋体"/>
      <w:kern w:val="2"/>
      <w:sz w:val="21"/>
      <w:szCs w:val="24"/>
      <w:lang w:val="en-US" w:eastAsia="zh-CN" w:bidi="ar-SA"/>
    </w:rPr>
  </w:style>
  <w:style w:type="character" w:customStyle="1" w:styleId="267">
    <w:name w:val="Item List Char Char"/>
    <w:uiPriority w:val="0"/>
    <w:rPr>
      <w:rFonts w:ascii="Arial" w:hAnsi="Arial" w:eastAsia="黑体" w:cs="Arial"/>
      <w:bCs/>
      <w:snapToGrid w:val="0"/>
      <w:kern w:val="0"/>
      <w:sz w:val="21"/>
      <w:szCs w:val="21"/>
    </w:rPr>
  </w:style>
  <w:style w:type="character" w:customStyle="1" w:styleId="268">
    <w:name w:val="Footer Char"/>
    <w:uiPriority w:val="0"/>
    <w:rPr>
      <w:rFonts w:eastAsia="宋体"/>
      <w:kern w:val="2"/>
      <w:sz w:val="18"/>
      <w:lang w:val="en-US" w:eastAsia="zh-CN" w:bidi="ar-SA"/>
    </w:rPr>
  </w:style>
  <w:style w:type="character" w:customStyle="1" w:styleId="269">
    <w:name w:val="Comment Text Char"/>
    <w:uiPriority w:val="0"/>
    <w:rPr>
      <w:rFonts w:ascii="宋体" w:hAnsi="宋体" w:eastAsia="宋体"/>
      <w:kern w:val="2"/>
      <w:sz w:val="24"/>
      <w:lang w:val="en-US" w:eastAsia="zh-CN" w:bidi="ar-SA"/>
    </w:rPr>
  </w:style>
  <w:style w:type="character" w:customStyle="1" w:styleId="270">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271">
    <w:name w:val="Style 正文（首行缩进）2 + First line:  2 ch Char"/>
    <w:link w:val="272"/>
    <w:uiPriority w:val="0"/>
    <w:rPr>
      <w:rFonts w:ascii="Arial" w:hAnsi="Arial"/>
      <w:sz w:val="24"/>
    </w:rPr>
  </w:style>
  <w:style w:type="paragraph" w:customStyle="1" w:styleId="272">
    <w:name w:val="Style 正文（首行缩进）2 + First line:  2 ch"/>
    <w:basedOn w:val="1"/>
    <w:link w:val="271"/>
    <w:uiPriority w:val="0"/>
    <w:pPr>
      <w:widowControl/>
      <w:adjustRightInd/>
      <w:spacing w:before="100" w:beforeLines="0" w:beforeAutospacing="1" w:after="100" w:afterLines="0" w:afterAutospacing="1" w:line="300" w:lineRule="auto"/>
      <w:ind w:firstLine="480" w:firstLineChars="200"/>
      <w:jc w:val="left"/>
    </w:pPr>
    <w:rPr>
      <w:rFonts w:ascii="Arial" w:hAnsi="Arial"/>
      <w:kern w:val="0"/>
      <w:sz w:val="24"/>
      <w:szCs w:val="20"/>
    </w:rPr>
  </w:style>
  <w:style w:type="character" w:customStyle="1" w:styleId="273">
    <w:name w:val="md"/>
    <w:basedOn w:val="86"/>
    <w:uiPriority w:val="0"/>
  </w:style>
  <w:style w:type="character" w:customStyle="1" w:styleId="274">
    <w:name w:val="标题 4 Char1"/>
    <w:uiPriority w:val="0"/>
    <w:rPr>
      <w:rFonts w:ascii="Cambria" w:hAnsi="Cambria" w:eastAsia="宋体" w:cs="Times New Roman"/>
      <w:b/>
      <w:bCs/>
      <w:kern w:val="2"/>
      <w:sz w:val="28"/>
      <w:szCs w:val="28"/>
    </w:rPr>
  </w:style>
  <w:style w:type="character" w:customStyle="1" w:styleId="275">
    <w:name w:val="Char Char8"/>
    <w:uiPriority w:val="0"/>
    <w:rPr>
      <w:rFonts w:eastAsia="宋体"/>
      <w:b/>
      <w:sz w:val="24"/>
      <w:lang w:val="en-GB" w:eastAsia="zh-CN"/>
    </w:rPr>
  </w:style>
  <w:style w:type="character" w:customStyle="1" w:styleId="276">
    <w:name w:val="此正文 Char"/>
    <w:link w:val="277"/>
    <w:uiPriority w:val="0"/>
    <w:rPr>
      <w:kern w:val="2"/>
      <w:sz w:val="24"/>
      <w:szCs w:val="24"/>
    </w:rPr>
  </w:style>
  <w:style w:type="paragraph" w:customStyle="1" w:styleId="277">
    <w:name w:val="此正文"/>
    <w:basedOn w:val="1"/>
    <w:link w:val="276"/>
    <w:uiPriority w:val="0"/>
    <w:pPr>
      <w:adjustRightInd/>
      <w:spacing w:line="360" w:lineRule="auto"/>
      <w:ind w:firstLine="200" w:firstLineChars="200"/>
    </w:pPr>
    <w:rPr>
      <w:sz w:val="24"/>
    </w:rPr>
  </w:style>
  <w:style w:type="character" w:customStyle="1" w:styleId="278">
    <w:name w:val="Char Char3"/>
    <w:uiPriority w:val="0"/>
    <w:rPr>
      <w:rFonts w:ascii="Times New Roman" w:hAnsi="Times New Roman" w:eastAsia="宋体" w:cs="Times New Roman"/>
      <w:b/>
      <w:kern w:val="2"/>
      <w:sz w:val="32"/>
      <w:szCs w:val="24"/>
      <w:lang w:val="en-US" w:eastAsia="zh-CN" w:bidi="ar-SA"/>
    </w:rPr>
  </w:style>
  <w:style w:type="character" w:customStyle="1" w:styleId="279">
    <w:name w:val="Char Char5"/>
    <w:uiPriority w:val="0"/>
    <w:rPr>
      <w:rFonts w:ascii="宋体" w:hAnsi="Courier New" w:eastAsia="宋体"/>
      <w:kern w:val="2"/>
      <w:sz w:val="21"/>
      <w:lang w:val="en-US" w:eastAsia="zh-CN"/>
    </w:rPr>
  </w:style>
  <w:style w:type="character" w:customStyle="1" w:styleId="280">
    <w:name w:val="ca-131"/>
    <w:uiPriority w:val="0"/>
    <w:rPr>
      <w:rFonts w:hint="eastAsia" w:ascii="仿宋_GB2312" w:eastAsia="仿宋_GB2312"/>
      <w:b/>
      <w:bCs/>
      <w:color w:val="000000"/>
      <w:spacing w:val="-20"/>
      <w:sz w:val="24"/>
      <w:szCs w:val="24"/>
    </w:rPr>
  </w:style>
  <w:style w:type="character" w:customStyle="1" w:styleId="281">
    <w:name w:val=" Char Char7"/>
    <w:uiPriority w:val="0"/>
    <w:rPr>
      <w:rFonts w:eastAsia="宋体"/>
      <w:kern w:val="2"/>
      <w:sz w:val="21"/>
      <w:szCs w:val="24"/>
      <w:lang w:val="en-US" w:eastAsia="zh-CN" w:bidi="ar-SA"/>
    </w:rPr>
  </w:style>
  <w:style w:type="character" w:customStyle="1" w:styleId="282">
    <w:name w:val=" Char Char12"/>
    <w:uiPriority w:val="0"/>
    <w:rPr>
      <w:rFonts w:ascii="仿宋_GB2312" w:eastAsia="仿宋_GB2312"/>
      <w:b/>
      <w:bCs/>
      <w:kern w:val="2"/>
      <w:sz w:val="24"/>
      <w:szCs w:val="24"/>
      <w:lang w:val="zh-CN" w:eastAsia="zh-CN" w:bidi="ar-SA"/>
    </w:rPr>
  </w:style>
  <w:style w:type="character" w:customStyle="1" w:styleId="283">
    <w:name w:val="正文首行缩进 Char"/>
    <w:link w:val="83"/>
    <w:uiPriority w:val="0"/>
    <w:rPr>
      <w:rFonts w:ascii="宋体"/>
      <w:kern w:val="2"/>
      <w:sz w:val="24"/>
      <w:lang w:val="zh-CN"/>
    </w:rPr>
  </w:style>
  <w:style w:type="character" w:customStyle="1" w:styleId="284">
    <w:name w:val=" Char Char6"/>
    <w:uiPriority w:val="0"/>
    <w:rPr>
      <w:rFonts w:eastAsia="宋体"/>
      <w:kern w:val="2"/>
      <w:sz w:val="21"/>
      <w:szCs w:val="24"/>
      <w:lang w:val="en-US" w:eastAsia="zh-CN" w:bidi="ar-SA"/>
    </w:rPr>
  </w:style>
  <w:style w:type="character" w:customStyle="1" w:styleId="285">
    <w:name w:val="文档结构图 Char"/>
    <w:uiPriority w:val="0"/>
    <w:rPr>
      <w:rFonts w:eastAsia="宋体"/>
      <w:kern w:val="2"/>
      <w:sz w:val="21"/>
      <w:szCs w:val="24"/>
      <w:lang w:val="en-US" w:eastAsia="zh-CN" w:bidi="ar-SA"/>
    </w:rPr>
  </w:style>
  <w:style w:type="character" w:customStyle="1" w:styleId="286">
    <w:name w:val="正文缩进 Char"/>
    <w:uiPriority w:val="0"/>
    <w:rPr>
      <w:rFonts w:eastAsia="宋体"/>
      <w:kern w:val="2"/>
      <w:sz w:val="21"/>
      <w:lang w:val="en-US" w:eastAsia="zh-CN"/>
    </w:rPr>
  </w:style>
  <w:style w:type="character" w:customStyle="1" w:styleId="287">
    <w:name w:val="页眉 Char1"/>
    <w:aliases w:val="h Char"/>
    <w:uiPriority w:val="0"/>
    <w:rPr>
      <w:rFonts w:eastAsia="宋体"/>
      <w:kern w:val="2"/>
      <w:sz w:val="18"/>
      <w:szCs w:val="18"/>
      <w:lang w:val="en-US" w:eastAsia="zh-CN" w:bidi="ar-SA"/>
    </w:rPr>
  </w:style>
  <w:style w:type="character" w:customStyle="1" w:styleId="288">
    <w:name w:val="h Char Char"/>
    <w:uiPriority w:val="0"/>
    <w:rPr>
      <w:rFonts w:eastAsia="宋体"/>
      <w:kern w:val="2"/>
      <w:sz w:val="18"/>
      <w:lang w:val="en-US" w:eastAsia="zh-CN" w:bidi="ar-SA"/>
    </w:rPr>
  </w:style>
  <w:style w:type="character" w:customStyle="1" w:styleId="289">
    <w:name w:val="表格非标题文字 Char"/>
    <w:link w:val="290"/>
    <w:uiPriority w:val="0"/>
    <w:rPr>
      <w:rFonts w:ascii="Futura Bk" w:hAnsi="Futura Bk"/>
      <w:kern w:val="2"/>
      <w:sz w:val="18"/>
      <w:szCs w:val="21"/>
      <w:lang w:val="en-US" w:eastAsia="zh-CN" w:bidi="ar-SA"/>
    </w:rPr>
  </w:style>
  <w:style w:type="paragraph" w:customStyle="1" w:styleId="290">
    <w:name w:val="表格非标题文字"/>
    <w:link w:val="289"/>
    <w:uiPriority w:val="0"/>
    <w:pPr>
      <w:snapToGrid w:val="0"/>
      <w:spacing w:before="80" w:after="40"/>
    </w:pPr>
    <w:rPr>
      <w:rFonts w:ascii="Futura Bk" w:hAnsi="Futura Bk"/>
      <w:kern w:val="2"/>
      <w:sz w:val="18"/>
      <w:szCs w:val="21"/>
      <w:lang w:val="en-US" w:eastAsia="zh-CN" w:bidi="ar-SA"/>
    </w:rPr>
  </w:style>
  <w:style w:type="character" w:customStyle="1" w:styleId="291">
    <w:name w:val="副标题 Char1"/>
    <w:uiPriority w:val="0"/>
    <w:rPr>
      <w:rFonts w:ascii="Cambria" w:hAnsi="Cambria" w:eastAsia="宋体" w:cs="Times New Roman"/>
      <w:b/>
      <w:bCs/>
      <w:snapToGrid w:val="0"/>
      <w:kern w:val="28"/>
      <w:sz w:val="32"/>
      <w:szCs w:val="32"/>
    </w:rPr>
  </w:style>
  <w:style w:type="character" w:customStyle="1" w:styleId="292">
    <w:name w:val="标题 9 Char"/>
    <w:link w:val="10"/>
    <w:uiPriority w:val="0"/>
    <w:rPr>
      <w:rFonts w:ascii="Arial" w:hAnsi="Arial" w:eastAsia="黑体"/>
      <w:kern w:val="2"/>
      <w:sz w:val="21"/>
      <w:szCs w:val="21"/>
    </w:rPr>
  </w:style>
  <w:style w:type="character" w:customStyle="1" w:styleId="293">
    <w:name w:val="tw4winMark"/>
    <w:uiPriority w:val="0"/>
    <w:rPr>
      <w:rFonts w:ascii="Courier New" w:hAnsi="Courier New" w:cs="Courier New"/>
      <w:vanish/>
      <w:color w:val="800080"/>
      <w:sz w:val="24"/>
      <w:szCs w:val="24"/>
      <w:vertAlign w:val="subscript"/>
    </w:rPr>
  </w:style>
  <w:style w:type="character" w:customStyle="1" w:styleId="294">
    <w:name w:val="批注框文本 Char"/>
    <w:link w:val="51"/>
    <w:uiPriority w:val="0"/>
    <w:rPr>
      <w:kern w:val="2"/>
      <w:sz w:val="18"/>
      <w:szCs w:val="18"/>
    </w:rPr>
  </w:style>
  <w:style w:type="character" w:customStyle="1" w:styleId="295">
    <w:name w:val="HTML 预设格式 Char"/>
    <w:link w:val="77"/>
    <w:uiPriority w:val="0"/>
    <w:rPr>
      <w:rFonts w:ascii="黑体" w:hAnsi="Courier New" w:eastAsia="黑体"/>
    </w:rPr>
  </w:style>
  <w:style w:type="character" w:customStyle="1" w:styleId="296">
    <w:name w:val="Body Text(ch) Char Char"/>
    <w:uiPriority w:val="0"/>
    <w:rPr>
      <w:rFonts w:ascii="宋体"/>
      <w:kern w:val="2"/>
      <w:sz w:val="24"/>
      <w:szCs w:val="21"/>
      <w:lang w:val="zh-CN"/>
    </w:rPr>
  </w:style>
  <w:style w:type="character" w:customStyle="1" w:styleId="297">
    <w:name w:val="正文文本 3 Char"/>
    <w:link w:val="29"/>
    <w:uiPriority w:val="0"/>
    <w:rPr>
      <w:kern w:val="2"/>
      <w:sz w:val="21"/>
    </w:rPr>
  </w:style>
  <w:style w:type="character" w:customStyle="1" w:styleId="298">
    <w:name w:val="font21"/>
    <w:uiPriority w:val="0"/>
    <w:rPr>
      <w:rFonts w:hint="eastAsia" w:ascii="宋体" w:hAnsi="宋体" w:eastAsia="宋体"/>
      <w:kern w:val="2"/>
      <w:sz w:val="28"/>
      <w:szCs w:val="28"/>
      <w:lang w:val="en-US" w:eastAsia="zh-CN" w:bidi="ar-SA"/>
    </w:rPr>
  </w:style>
  <w:style w:type="character" w:customStyle="1" w:styleId="299">
    <w:name w:val="插图说明 Char"/>
    <w:uiPriority w:val="0"/>
    <w:rPr>
      <w:rFonts w:eastAsia="黑体"/>
      <w:sz w:val="24"/>
      <w:lang w:val="en-US" w:eastAsia="zh-CN"/>
    </w:rPr>
  </w:style>
  <w:style w:type="character" w:customStyle="1" w:styleId="300">
    <w:name w:val="highlight1"/>
    <w:uiPriority w:val="0"/>
    <w:rPr>
      <w:rFonts w:ascii="仿宋_GB2312" w:eastAsia="微软雅黑"/>
      <w:b/>
      <w:kern w:val="2"/>
      <w:sz w:val="23"/>
      <w:szCs w:val="23"/>
      <w:lang w:val="en-US" w:eastAsia="zh-CN" w:bidi="ar-SA"/>
    </w:rPr>
  </w:style>
  <w:style w:type="character" w:customStyle="1" w:styleId="301">
    <w:name w:val="Char Char9"/>
    <w:uiPriority w:val="0"/>
    <w:rPr>
      <w:rFonts w:ascii="Times New Roman" w:hAnsi="Times New Roman" w:eastAsia="宋体" w:cs="Times New Roman"/>
      <w:b/>
      <w:bCs/>
      <w:kern w:val="2"/>
      <w:sz w:val="32"/>
      <w:szCs w:val="32"/>
      <w:lang w:val="en-US" w:eastAsia="zh-CN" w:bidi="ar-SA"/>
    </w:rPr>
  </w:style>
  <w:style w:type="character" w:customStyle="1" w:styleId="302">
    <w:name w:val="Ò³Ã¼ Char Char1"/>
    <w:uiPriority w:val="0"/>
    <w:rPr>
      <w:rFonts w:eastAsia="宋体"/>
      <w:kern w:val="2"/>
      <w:sz w:val="18"/>
      <w:szCs w:val="18"/>
      <w:lang w:val="en-US" w:eastAsia="zh-CN" w:bidi="ar-SA"/>
    </w:rPr>
  </w:style>
  <w:style w:type="character" w:customStyle="1" w:styleId="303">
    <w:name w:val="标题 3 字符"/>
    <w:uiPriority w:val="0"/>
    <w:rPr>
      <w:rFonts w:ascii="仿宋" w:hAnsi="仿宋" w:eastAsia="宋体"/>
      <w:color w:val="4472C4"/>
      <w:kern w:val="2"/>
      <w:sz w:val="28"/>
      <w:szCs w:val="24"/>
    </w:rPr>
  </w:style>
  <w:style w:type="character" w:customStyle="1" w:styleId="304">
    <w:name w:val="样式3 Char"/>
    <w:basedOn w:val="221"/>
    <w:uiPriority w:val="0"/>
  </w:style>
  <w:style w:type="character" w:customStyle="1" w:styleId="305">
    <w:name w:val="Item Step Char"/>
    <w:link w:val="306"/>
    <w:uiPriority w:val="0"/>
    <w:rPr>
      <w:rFonts w:ascii="Arial" w:hAnsi="Arial" w:eastAsia="黑体" w:cs="Arial"/>
      <w:snapToGrid w:val="0"/>
      <w:kern w:val="0"/>
      <w:sz w:val="21"/>
      <w:szCs w:val="24"/>
      <w:lang w:eastAsia="en-US"/>
    </w:rPr>
  </w:style>
  <w:style w:type="paragraph" w:customStyle="1" w:styleId="306">
    <w:name w:val="Item Step"/>
    <w:basedOn w:val="1"/>
    <w:link w:val="305"/>
    <w:uiPriority w:val="0"/>
    <w:pPr>
      <w:widowControl/>
      <w:tabs>
        <w:tab w:val="left" w:pos="1134"/>
      </w:tabs>
      <w:adjustRightInd/>
      <w:spacing w:before="40" w:beforeLines="0" w:after="80" w:afterLines="0"/>
      <w:ind w:left="1134" w:hanging="510"/>
    </w:pPr>
    <w:rPr>
      <w:rFonts w:ascii="Arial" w:hAnsi="Arial" w:eastAsia="黑体"/>
      <w:snapToGrid w:val="0"/>
      <w:kern w:val="0"/>
      <w:lang w:eastAsia="en-US"/>
    </w:rPr>
  </w:style>
  <w:style w:type="character" w:customStyle="1" w:styleId="307">
    <w:name w:val="正文文本 Char1"/>
    <w:link w:val="32"/>
    <w:uiPriority w:val="0"/>
    <w:rPr>
      <w:rFonts w:ascii="宋体" w:hAnsi="Arial" w:eastAsia="宋体" w:cs="Arial"/>
      <w:snapToGrid w:val="0"/>
      <w:kern w:val="2"/>
      <w:sz w:val="24"/>
      <w:szCs w:val="21"/>
      <w:lang w:val="zh-CN" w:eastAsia="zh-CN" w:bidi="ar-SA"/>
    </w:rPr>
  </w:style>
  <w:style w:type="character" w:customStyle="1" w:styleId="308">
    <w:name w:val="电子邮件签名 Char"/>
    <w:link w:val="17"/>
    <w:uiPriority w:val="0"/>
    <w:rPr>
      <w:rFonts w:ascii="Arial" w:hAnsi="Arial" w:eastAsia="黑体" w:cs="Arial"/>
      <w:snapToGrid w:val="0"/>
      <w:color w:val="000000"/>
      <w:kern w:val="0"/>
      <w:sz w:val="24"/>
      <w:szCs w:val="21"/>
    </w:rPr>
  </w:style>
  <w:style w:type="character" w:customStyle="1" w:styleId="309">
    <w:name w:val="标题 2 字符"/>
    <w:uiPriority w:val="0"/>
    <w:rPr>
      <w:rFonts w:ascii="仿宋" w:hAnsi="仿宋"/>
      <w:color w:val="4472C4"/>
      <w:kern w:val="2"/>
      <w:sz w:val="28"/>
      <w:szCs w:val="24"/>
    </w:rPr>
  </w:style>
  <w:style w:type="character" w:customStyle="1" w:styleId="310">
    <w:name w:val="标题 1 Char1"/>
    <w:uiPriority w:val="0"/>
    <w:rPr>
      <w:b/>
      <w:bCs/>
      <w:color w:val="000000"/>
    </w:rPr>
  </w:style>
  <w:style w:type="character" w:customStyle="1" w:styleId="311">
    <w:name w:val="正文2 Char Char"/>
    <w:link w:val="312"/>
    <w:uiPriority w:val="0"/>
    <w:rPr>
      <w:rFonts w:eastAsia="宋体"/>
      <w:kern w:val="2"/>
      <w:sz w:val="24"/>
      <w:lang w:val="en-US" w:eastAsia="zh-CN" w:bidi="ar-SA"/>
    </w:rPr>
  </w:style>
  <w:style w:type="paragraph" w:customStyle="1" w:styleId="312">
    <w:name w:val="正文2"/>
    <w:basedOn w:val="1"/>
    <w:link w:val="311"/>
    <w:uiPriority w:val="0"/>
    <w:pPr>
      <w:spacing w:before="156" w:beforeLines="0" w:line="360" w:lineRule="auto"/>
      <w:ind w:firstLine="510" w:firstLineChars="200"/>
    </w:pPr>
    <w:rPr>
      <w:rFonts w:eastAsia="宋体"/>
      <w:sz w:val="24"/>
      <w:szCs w:val="20"/>
    </w:rPr>
  </w:style>
  <w:style w:type="character" w:customStyle="1" w:styleId="313">
    <w:name w:val="正文（首行缩进） Char"/>
    <w:link w:val="314"/>
    <w:uiPriority w:val="0"/>
    <w:rPr>
      <w:spacing w:val="10"/>
      <w:sz w:val="24"/>
    </w:rPr>
  </w:style>
  <w:style w:type="paragraph" w:customStyle="1" w:styleId="314">
    <w:name w:val="正文（首行缩进）"/>
    <w:basedOn w:val="33"/>
    <w:link w:val="313"/>
    <w:uiPriority w:val="0"/>
    <w:pPr>
      <w:widowControl/>
      <w:tabs>
        <w:tab w:val="left" w:pos="840"/>
      </w:tabs>
      <w:overflowPunct w:val="0"/>
      <w:autoSpaceDE w:val="0"/>
      <w:autoSpaceDN w:val="0"/>
      <w:spacing w:before="156" w:beforeLines="50" w:after="120" w:afterLines="0" w:line="400" w:lineRule="exact"/>
      <w:ind w:left="200" w:leftChars="200" w:firstLine="200"/>
      <w:jc w:val="left"/>
      <w:textAlignment w:val="baseline"/>
    </w:pPr>
    <w:rPr>
      <w:rFonts w:ascii="等线" w:hAnsi="等线"/>
      <w:spacing w:val="10"/>
      <w:kern w:val="0"/>
      <w:szCs w:val="20"/>
    </w:rPr>
  </w:style>
  <w:style w:type="character" w:customStyle="1" w:styleId="315">
    <w:name w:val="首行缩进 Char"/>
    <w:uiPriority w:val="0"/>
    <w:rPr>
      <w:rFonts w:ascii="宋体" w:eastAsia="宋体"/>
      <w:kern w:val="2"/>
      <w:sz w:val="24"/>
      <w:lang w:val="en-US" w:eastAsia="zh-CN" w:bidi="ar-SA"/>
    </w:rPr>
  </w:style>
  <w:style w:type="character" w:customStyle="1" w:styleId="316">
    <w:name w:val="b11_01b Char"/>
    <w:link w:val="317"/>
    <w:uiPriority w:val="0"/>
    <w:rPr>
      <w:rFonts w:ascii="Verdana" w:hAnsi="Verdana"/>
      <w:b/>
      <w:bCs/>
      <w:color w:val="4A82CA"/>
      <w:sz w:val="17"/>
      <w:szCs w:val="17"/>
    </w:rPr>
  </w:style>
  <w:style w:type="paragraph" w:customStyle="1" w:styleId="317">
    <w:name w:val="b11_01b"/>
    <w:basedOn w:val="1"/>
    <w:next w:val="1"/>
    <w:link w:val="316"/>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318">
    <w:name w:val="style36"/>
    <w:basedOn w:val="86"/>
    <w:uiPriority w:val="0"/>
  </w:style>
  <w:style w:type="character" w:customStyle="1" w:styleId="319">
    <w:name w:val="HTML 地址 Char"/>
    <w:link w:val="39"/>
    <w:uiPriority w:val="0"/>
    <w:rPr>
      <w:rFonts w:ascii="宋体" w:hAnsi="宋体"/>
      <w:i/>
      <w:iCs/>
      <w:sz w:val="24"/>
      <w:szCs w:val="24"/>
    </w:rPr>
  </w:style>
  <w:style w:type="character" w:customStyle="1" w:styleId="320">
    <w:name w:val="Heading 7 Char"/>
    <w:uiPriority w:val="0"/>
    <w:rPr>
      <w:rFonts w:ascii="宋体" w:hAnsi="宋体" w:eastAsia="宋体"/>
      <w:b/>
      <w:bCs/>
      <w:kern w:val="2"/>
      <w:sz w:val="24"/>
      <w:szCs w:val="24"/>
      <w:lang w:val="en-US" w:eastAsia="zh-CN" w:bidi="ar-SA"/>
    </w:rPr>
  </w:style>
  <w:style w:type="character" w:customStyle="1" w:styleId="32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322">
    <w:name w:val="正文缩进 Char1"/>
    <w:aliases w:val="正文对齐 Char"/>
    <w:uiPriority w:val="0"/>
    <w:rPr>
      <w:rFonts w:ascii="宋体" w:eastAsia="宋体"/>
      <w:snapToGrid w:val="0"/>
      <w:color w:val="000000"/>
      <w:kern w:val="28"/>
      <w:sz w:val="28"/>
      <w:lang w:val="en-US" w:eastAsia="zh-CN" w:bidi="ar-SA"/>
    </w:rPr>
  </w:style>
  <w:style w:type="character" w:customStyle="1" w:styleId="323">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324">
    <w:name w:val="正文2 Char"/>
    <w:uiPriority w:val="0"/>
    <w:rPr>
      <w:rFonts w:eastAsia="宋体"/>
      <w:kern w:val="2"/>
      <w:sz w:val="24"/>
      <w:lang w:val="en-US" w:eastAsia="zh-CN" w:bidi="ar-SA"/>
    </w:rPr>
  </w:style>
  <w:style w:type="character" w:customStyle="1" w:styleId="325">
    <w:name w:val="标题4-dyf Char"/>
    <w:link w:val="326"/>
    <w:uiPriority w:val="0"/>
    <w:rPr>
      <w:rFonts w:ascii="Cambria" w:hAnsi="Cambria"/>
      <w:b/>
      <w:bCs/>
      <w:color w:val="000000"/>
      <w:kern w:val="2"/>
      <w:sz w:val="21"/>
      <w:szCs w:val="21"/>
    </w:rPr>
  </w:style>
  <w:style w:type="paragraph" w:customStyle="1" w:styleId="326">
    <w:name w:val="标题4-dyf"/>
    <w:basedOn w:val="5"/>
    <w:link w:val="325"/>
    <w:uiPriority w:val="0"/>
    <w:pPr>
      <w:numPr>
        <w:ilvl w:val="3"/>
        <w:numId w:val="0"/>
      </w:numPr>
      <w:tabs>
        <w:tab w:val="left" w:pos="851"/>
        <w:tab w:val="clear" w:pos="864"/>
      </w:tabs>
      <w:adjustRightInd/>
      <w:spacing w:line="376" w:lineRule="atLeast"/>
      <w:ind w:left="851" w:hanging="851"/>
    </w:pPr>
    <w:rPr>
      <w:rFonts w:ascii="Cambria" w:hAnsi="Cambria" w:eastAsia="等线"/>
      <w:color w:val="000000"/>
      <w:sz w:val="21"/>
      <w:szCs w:val="21"/>
    </w:rPr>
  </w:style>
  <w:style w:type="character" w:customStyle="1" w:styleId="327">
    <w:name w:val="Figure Char"/>
    <w:link w:val="328"/>
    <w:uiPriority w:val="0"/>
    <w:rPr>
      <w:rFonts w:ascii="Arial" w:hAnsi="Arial" w:eastAsia="黑体" w:cs="Arial"/>
      <w:kern w:val="2"/>
      <w:sz w:val="21"/>
      <w:szCs w:val="21"/>
      <w:lang w:val="en-US" w:eastAsia="zh-CN" w:bidi="ar-SA"/>
    </w:rPr>
  </w:style>
  <w:style w:type="paragraph" w:customStyle="1" w:styleId="328">
    <w:name w:val="Figure"/>
    <w:next w:val="1"/>
    <w:link w:val="327"/>
    <w:uiPriority w:val="0"/>
    <w:pPr>
      <w:keepNext/>
      <w:spacing w:before="40" w:after="40"/>
      <w:ind w:left="624"/>
      <w:jc w:val="center"/>
    </w:pPr>
    <w:rPr>
      <w:rFonts w:ascii="Arial" w:hAnsi="Arial" w:eastAsia="黑体" w:cs="Arial"/>
      <w:kern w:val="2"/>
      <w:sz w:val="21"/>
      <w:szCs w:val="21"/>
      <w:lang w:val="en-US" w:eastAsia="zh-CN" w:bidi="ar-SA"/>
    </w:rPr>
  </w:style>
  <w:style w:type="character" w:customStyle="1" w:styleId="329">
    <w:name w:val="标题 6 Char"/>
    <w:link w:val="7"/>
    <w:uiPriority w:val="0"/>
    <w:rPr>
      <w:rFonts w:ascii="Arial" w:hAnsi="Arial" w:eastAsia="黑体"/>
      <w:b/>
      <w:bCs/>
      <w:kern w:val="2"/>
      <w:sz w:val="24"/>
      <w:szCs w:val="24"/>
    </w:rPr>
  </w:style>
  <w:style w:type="character" w:customStyle="1" w:styleId="330">
    <w:name w:val="哈哈正文 Char"/>
    <w:link w:val="331"/>
    <w:uiPriority w:val="0"/>
    <w:rPr>
      <w:rFonts w:ascii="宋体" w:hAnsi="宋体" w:eastAsia="宋体"/>
      <w:kern w:val="2"/>
      <w:sz w:val="24"/>
      <w:lang w:bidi="ar-SA"/>
    </w:rPr>
  </w:style>
  <w:style w:type="paragraph" w:customStyle="1" w:styleId="331">
    <w:name w:val="哈哈正文"/>
    <w:basedOn w:val="1"/>
    <w:link w:val="330"/>
    <w:uiPriority w:val="0"/>
    <w:pPr>
      <w:adjustRightInd/>
      <w:spacing w:line="360" w:lineRule="auto"/>
      <w:ind w:firstLine="200" w:firstLineChars="200"/>
    </w:pPr>
    <w:rPr>
      <w:rFonts w:ascii="宋体" w:hAnsi="宋体" w:eastAsia="宋体"/>
      <w:sz w:val="24"/>
      <w:szCs w:val="20"/>
    </w:rPr>
  </w:style>
  <w:style w:type="character" w:customStyle="1" w:styleId="332">
    <w:name w:val="c7 style3"/>
    <w:uiPriority w:val="0"/>
  </w:style>
  <w:style w:type="character" w:customStyle="1" w:styleId="333">
    <w:name w:val="Item List Char"/>
    <w:link w:val="334"/>
    <w:uiPriority w:val="0"/>
    <w:rPr>
      <w:rFonts w:ascii="Arial"/>
      <w:bCs/>
      <w:sz w:val="21"/>
      <w:szCs w:val="21"/>
      <w:lang w:val="en-US" w:eastAsia="zh-CN" w:bidi="ar-SA"/>
    </w:rPr>
  </w:style>
  <w:style w:type="paragraph" w:customStyle="1" w:styleId="334">
    <w:name w:val="Item List"/>
    <w:link w:val="333"/>
    <w:uiPriority w:val="0"/>
    <w:pPr>
      <w:spacing w:after="156" w:line="360" w:lineRule="auto"/>
      <w:ind w:firstLine="424" w:firstLineChars="202"/>
      <w:jc w:val="both"/>
    </w:pPr>
    <w:rPr>
      <w:rFonts w:ascii="Arial"/>
      <w:bCs/>
      <w:sz w:val="21"/>
      <w:szCs w:val="21"/>
      <w:lang w:val="en-US" w:eastAsia="zh-CN" w:bidi="ar-SA"/>
    </w:rPr>
  </w:style>
  <w:style w:type="character" w:customStyle="1" w:styleId="335">
    <w:name w:val="正文首行缩进两字 Char"/>
    <w:uiPriority w:val="0"/>
    <w:rPr>
      <w:sz w:val="24"/>
      <w:szCs w:val="24"/>
      <w:lang w:val="en-US" w:eastAsia="zh-CN" w:bidi="ar-SA"/>
    </w:rPr>
  </w:style>
  <w:style w:type="character" w:customStyle="1" w:styleId="336">
    <w:name w:val="标书正文格式 Char"/>
    <w:uiPriority w:val="0"/>
    <w:rPr>
      <w:rFonts w:eastAsia="楷体_GB2312"/>
      <w:kern w:val="2"/>
      <w:sz w:val="24"/>
      <w:szCs w:val="24"/>
      <w:lang w:bidi="ar-SA"/>
    </w:rPr>
  </w:style>
  <w:style w:type="character" w:customStyle="1" w:styleId="337">
    <w:name w:val="链接"/>
    <w:uiPriority w:val="0"/>
    <w:rPr>
      <w:color w:val="0000FF"/>
      <w:sz w:val="21"/>
      <w:szCs w:val="21"/>
      <w:u w:val="single"/>
    </w:rPr>
  </w:style>
  <w:style w:type="character" w:customStyle="1" w:styleId="338">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339">
    <w:name w:val="Header Char"/>
    <w:uiPriority w:val="0"/>
    <w:rPr>
      <w:rFonts w:eastAsia="宋体"/>
      <w:kern w:val="2"/>
      <w:sz w:val="18"/>
      <w:szCs w:val="18"/>
      <w:lang w:val="en-US" w:eastAsia="zh-CN" w:bidi="ar-SA"/>
    </w:rPr>
  </w:style>
  <w:style w:type="character" w:customStyle="1" w:styleId="340">
    <w:name w:val="blue1"/>
    <w:basedOn w:val="86"/>
    <w:uiPriority w:val="0"/>
  </w:style>
  <w:style w:type="character" w:customStyle="1" w:styleId="341">
    <w:name w:val="列出段落 Char"/>
    <w:aliases w:val="List Char,List1 Char"/>
    <w:uiPriority w:val="0"/>
    <w:rPr>
      <w:rFonts w:eastAsia="楷体_GB2312" w:cs="Lucida Sans"/>
      <w:kern w:val="2"/>
      <w:sz w:val="24"/>
      <w:szCs w:val="24"/>
      <w:lang w:val="en-US" w:eastAsia="zh-CN" w:bidi="ar-SA"/>
    </w:rPr>
  </w:style>
  <w:style w:type="character" w:customStyle="1" w:styleId="342">
    <w:name w:val="unnamed31"/>
    <w:uiPriority w:val="0"/>
    <w:rPr>
      <w:rFonts w:ascii="Tahoma" w:hAnsi="Tahoma" w:eastAsia="宋体"/>
      <w:b/>
      <w:kern w:val="2"/>
      <w:sz w:val="24"/>
      <w:szCs w:val="32"/>
      <w:u w:val="none"/>
      <w:lang w:val="en-US" w:eastAsia="zh-CN" w:bidi="ar-SA"/>
    </w:rPr>
  </w:style>
  <w:style w:type="paragraph" w:customStyle="1" w:styleId="343">
    <w:name w:val="xl114"/>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344">
    <w:name w:val="段"/>
    <w:uiPriority w:val="0"/>
    <w:pPr>
      <w:autoSpaceDE w:val="0"/>
      <w:autoSpaceDN w:val="0"/>
      <w:ind w:firstLine="200" w:firstLineChars="200"/>
      <w:jc w:val="both"/>
    </w:pPr>
    <w:rPr>
      <w:rFonts w:ascii="宋体"/>
      <w:sz w:val="21"/>
      <w:lang w:val="en-US" w:eastAsia="zh-CN" w:bidi="ar-SA"/>
    </w:rPr>
  </w:style>
  <w:style w:type="paragraph" w:customStyle="1" w:styleId="345">
    <w:name w:val="Thf"/>
    <w:basedOn w:val="346"/>
    <w:uiPriority w:val="0"/>
    <w:pPr>
      <w:ind w:left="0"/>
    </w:pPr>
  </w:style>
  <w:style w:type="paragraph" w:customStyle="1" w:styleId="346">
    <w:name w:val="Th"/>
    <w:uiPriority w:val="0"/>
    <w:pPr>
      <w:keepNext/>
      <w:keepLines/>
      <w:spacing w:before="20" w:after="60" w:line="220" w:lineRule="exact"/>
      <w:ind w:left="240"/>
    </w:pPr>
    <w:rPr>
      <w:b/>
      <w:sz w:val="19"/>
      <w:lang w:val="en-US" w:eastAsia="en-US" w:bidi="ar-SA"/>
    </w:rPr>
  </w:style>
  <w:style w:type="paragraph" w:customStyle="1" w:styleId="347">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348">
    <w:name w:val="样式6"/>
    <w:basedOn w:val="43"/>
    <w:uiPriority w:val="0"/>
    <w:pPr>
      <w:spacing w:line="460" w:lineRule="exact"/>
      <w:outlineLvl w:val="2"/>
    </w:pPr>
    <w:rPr>
      <w:rFonts w:ascii="仿宋_GB2312" w:hAnsi="宋体" w:eastAsia="仿宋_GB2312"/>
      <w:b/>
      <w:bCs/>
      <w:sz w:val="24"/>
      <w:szCs w:val="24"/>
    </w:rPr>
  </w:style>
  <w:style w:type="paragraph" w:customStyle="1" w:styleId="349">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350">
    <w:name w:val="xl134"/>
    <w:basedOn w:val="1"/>
    <w:uiPriority w:val="0"/>
    <w:pPr>
      <w:widowControl/>
      <w:pBdr>
        <w:left w:val="single" w:color="auto" w:sz="8" w:space="0"/>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351">
    <w:name w:val="章标题"/>
    <w:next w:val="344"/>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352">
    <w:name w:val="三级条标题"/>
    <w:basedOn w:val="353"/>
    <w:next w:val="344"/>
    <w:uiPriority w:val="0"/>
    <w:pPr>
      <w:numPr>
        <w:ilvl w:val="0"/>
        <w:numId w:val="0"/>
      </w:numPr>
      <w:tabs>
        <w:tab w:val="left" w:pos="2520"/>
      </w:tabs>
      <w:ind w:left="2520" w:hanging="420"/>
      <w:outlineLvl w:val="4"/>
    </w:pPr>
  </w:style>
  <w:style w:type="paragraph" w:customStyle="1" w:styleId="353">
    <w:name w:val="二级条标题"/>
    <w:basedOn w:val="354"/>
    <w:next w:val="344"/>
    <w:uiPriority w:val="0"/>
    <w:pPr>
      <w:tabs>
        <w:tab w:val="left" w:pos="2100"/>
      </w:tabs>
      <w:ind w:left="0"/>
      <w:outlineLvl w:val="3"/>
    </w:pPr>
  </w:style>
  <w:style w:type="paragraph" w:customStyle="1" w:styleId="354">
    <w:name w:val="一级条标题"/>
    <w:basedOn w:val="351"/>
    <w:next w:val="344"/>
    <w:uiPriority w:val="0"/>
    <w:pPr>
      <w:tabs>
        <w:tab w:val="left" w:pos="1680"/>
        <w:tab w:val="clear" w:pos="1260"/>
      </w:tabs>
      <w:spacing w:before="0" w:beforeLines="0" w:after="0" w:afterLines="0"/>
      <w:ind w:left="1680"/>
      <w:outlineLvl w:val="2"/>
    </w:pPr>
  </w:style>
  <w:style w:type="paragraph" w:customStyle="1" w:styleId="355">
    <w:name w:val="表格项目符号 2"/>
    <w:basedOn w:val="38"/>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56">
    <w:name w:val=" Char Char Char"/>
    <w:basedOn w:val="1"/>
    <w:uiPriority w:val="0"/>
    <w:rPr>
      <w:rFonts w:ascii="Tahoma" w:hAnsi="Tahoma"/>
      <w:sz w:val="24"/>
      <w:szCs w:val="20"/>
    </w:rPr>
  </w:style>
  <w:style w:type="paragraph" w:customStyle="1" w:styleId="357">
    <w:name w:val="Char Char8 Char Char Char Char Char Char"/>
    <w:basedOn w:val="1"/>
    <w:uiPriority w:val="0"/>
    <w:pPr>
      <w:adjustRightInd/>
      <w:spacing w:line="360" w:lineRule="auto"/>
    </w:pPr>
    <w:rPr>
      <w:rFonts w:ascii="宋体" w:hAnsi="宋体" w:eastAsia="仿宋_GB2312"/>
      <w:sz w:val="22"/>
    </w:rPr>
  </w:style>
  <w:style w:type="paragraph" w:customStyle="1" w:styleId="358">
    <w:name w:val="正文文字格式"/>
    <w:basedOn w:val="1"/>
    <w:uiPriority w:val="0"/>
    <w:pPr>
      <w:adjustRightInd/>
      <w:spacing w:line="460" w:lineRule="exact"/>
      <w:ind w:firstLine="505"/>
      <w:jc w:val="left"/>
    </w:pPr>
    <w:rPr>
      <w:rFonts w:ascii="宋体"/>
      <w:kern w:val="24"/>
      <w:sz w:val="24"/>
      <w:szCs w:val="20"/>
    </w:rPr>
  </w:style>
  <w:style w:type="paragraph" w:customStyle="1" w:styleId="359">
    <w:name w:val="中铁-标题五"/>
    <w:basedOn w:val="360"/>
    <w:uiPriority w:val="0"/>
    <w:pPr>
      <w:numPr>
        <w:ilvl w:val="4"/>
        <w:numId w:val="7"/>
      </w:numPr>
      <w:outlineLvl w:val="4"/>
    </w:pPr>
    <w:rPr>
      <w:sz w:val="28"/>
    </w:rPr>
  </w:style>
  <w:style w:type="paragraph" w:customStyle="1" w:styleId="360">
    <w:name w:val="中铁-标题四"/>
    <w:basedOn w:val="361"/>
    <w:uiPriority w:val="0"/>
    <w:pPr>
      <w:numPr>
        <w:ilvl w:val="3"/>
        <w:numId w:val="7"/>
      </w:numPr>
      <w:outlineLvl w:val="3"/>
    </w:pPr>
    <w:rPr>
      <w:sz w:val="30"/>
    </w:rPr>
  </w:style>
  <w:style w:type="paragraph" w:customStyle="1" w:styleId="361">
    <w:name w:val="中铁-标题三"/>
    <w:basedOn w:val="362"/>
    <w:uiPriority w:val="0"/>
    <w:pPr>
      <w:numPr>
        <w:ilvl w:val="2"/>
        <w:numId w:val="7"/>
      </w:numPr>
      <w:outlineLvl w:val="2"/>
    </w:pPr>
    <w:rPr>
      <w:sz w:val="32"/>
    </w:rPr>
  </w:style>
  <w:style w:type="paragraph" w:customStyle="1" w:styleId="362">
    <w:name w:val="中铁-标题二"/>
    <w:basedOn w:val="363"/>
    <w:uiPriority w:val="0"/>
    <w:pPr>
      <w:numPr>
        <w:ilvl w:val="1"/>
        <w:numId w:val="7"/>
      </w:numPr>
      <w:outlineLvl w:val="1"/>
    </w:pPr>
    <w:rPr>
      <w:sz w:val="36"/>
    </w:rPr>
  </w:style>
  <w:style w:type="paragraph" w:customStyle="1" w:styleId="363">
    <w:name w:val="中铁-标题一"/>
    <w:basedOn w:val="1"/>
    <w:uiPriority w:val="0"/>
    <w:pPr>
      <w:numPr>
        <w:ilvl w:val="0"/>
        <w:numId w:val="7"/>
      </w:numPr>
      <w:adjustRightInd/>
      <w:spacing w:before="156" w:beforeLines="50" w:after="156" w:afterLines="50"/>
      <w:outlineLvl w:val="0"/>
    </w:pPr>
    <w:rPr>
      <w:rFonts w:ascii="Calibri" w:hAnsi="Calibri" w:eastAsia="华文中宋"/>
      <w:b/>
      <w:sz w:val="44"/>
      <w:szCs w:val="21"/>
    </w:rPr>
  </w:style>
  <w:style w:type="paragraph" w:customStyle="1" w:styleId="364">
    <w:name w:val="MM Topic 1"/>
    <w:basedOn w:val="2"/>
    <w:uiPriority w:val="0"/>
    <w:pPr>
      <w:numPr>
        <w:ilvl w:val="0"/>
        <w:numId w:val="0"/>
      </w:numPr>
      <w:tabs>
        <w:tab w:val="left" w:pos="840"/>
        <w:tab w:val="clear" w:pos="432"/>
      </w:tabs>
      <w:adjustRightInd/>
      <w:ind w:left="840" w:hanging="420"/>
    </w:pPr>
  </w:style>
  <w:style w:type="paragraph" w:customStyle="1" w:styleId="365">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366">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367">
    <w:name w:val="xl95"/>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368">
    <w:name w:val="正文缩进1"/>
    <w:basedOn w:val="1"/>
    <w:next w:val="3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69">
    <w:name w:val="font14"/>
    <w:basedOn w:val="1"/>
    <w:uiPriority w:val="0"/>
    <w:pPr>
      <w:widowControl/>
      <w:adjustRightInd/>
      <w:spacing w:before="100" w:beforeLines="0" w:beforeAutospacing="1" w:after="100" w:afterLines="0" w:afterAutospacing="1"/>
      <w:jc w:val="left"/>
    </w:pPr>
    <w:rPr>
      <w:color w:val="FF0000"/>
      <w:kern w:val="0"/>
      <w:sz w:val="24"/>
    </w:rPr>
  </w:style>
  <w:style w:type="paragraph" w:customStyle="1" w:styleId="370">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371">
    <w:name w:val="xl105"/>
    <w:basedOn w:val="1"/>
    <w:uiPriority w:val="0"/>
    <w:pPr>
      <w:widowControl/>
      <w:pBdr>
        <w:left w:val="single" w:color="auto" w:sz="8" w:space="0"/>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372">
    <w:name w:val="注释"/>
    <w:basedOn w:val="1"/>
    <w:uiPriority w:val="0"/>
    <w:pPr>
      <w:adjustRightInd/>
      <w:spacing w:line="360" w:lineRule="auto"/>
      <w:ind w:firstLine="480"/>
    </w:pPr>
    <w:rPr>
      <w:sz w:val="24"/>
    </w:rPr>
  </w:style>
  <w:style w:type="paragraph" w:customStyle="1" w:styleId="373">
    <w:name w:val=" Char3 Char Char Char"/>
    <w:basedOn w:val="1"/>
    <w:uiPriority w:val="0"/>
    <w:pPr>
      <w:widowControl/>
      <w:adjustRightInd/>
      <w:spacing w:after="160" w:afterLines="0" w:line="240" w:lineRule="exact"/>
      <w:jc w:val="left"/>
    </w:pPr>
    <w:rPr>
      <w:szCs w:val="20"/>
    </w:rPr>
  </w:style>
  <w:style w:type="paragraph" w:customStyle="1" w:styleId="374">
    <w:name w:val="Normal0"/>
    <w:uiPriority w:val="0"/>
    <w:rPr>
      <w:lang w:val="en-US" w:eastAsia="en-US" w:bidi="ar-SA"/>
    </w:rPr>
  </w:style>
  <w:style w:type="paragraph" w:customStyle="1" w:styleId="375">
    <w:name w:val="表文字"/>
    <w:uiPriority w:val="0"/>
    <w:rPr>
      <w:rFonts w:ascii="宋体"/>
      <w:kern w:val="2"/>
      <w:lang w:val="en-US" w:eastAsia="zh-CN" w:bidi="ar-SA"/>
    </w:rPr>
  </w:style>
  <w:style w:type="paragraph" w:customStyle="1" w:styleId="376">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77">
    <w:name w:val="样式2"/>
    <w:basedOn w:val="1"/>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78">
    <w:name w:val="列表内容"/>
    <w:basedOn w:val="1"/>
    <w:next w:val="1"/>
    <w:uiPriority w:val="0"/>
    <w:pPr>
      <w:widowControl/>
      <w:tabs>
        <w:tab w:val="left" w:pos="840"/>
      </w:tabs>
      <w:ind w:left="840" w:hanging="420"/>
      <w:jc w:val="left"/>
    </w:pPr>
    <w:rPr>
      <w:kern w:val="0"/>
      <w:sz w:val="18"/>
    </w:rPr>
  </w:style>
  <w:style w:type="paragraph" w:customStyle="1" w:styleId="379">
    <w:name w:val="xl137"/>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Cs w:val="21"/>
    </w:rPr>
  </w:style>
  <w:style w:type="paragraph" w:customStyle="1" w:styleId="380">
    <w:name w:val="样式 样式2 + 左侧:  1 字符 右侧:  1 字符"/>
    <w:basedOn w:val="377"/>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381">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82">
    <w:name w:val=" Char Char Char Char Char Char Char"/>
    <w:basedOn w:val="1"/>
    <w:uiPriority w:val="0"/>
    <w:rPr>
      <w:rFonts w:ascii="仿宋_GB2312" w:eastAsia="仿宋_GB2312"/>
      <w:b/>
      <w:sz w:val="32"/>
      <w:szCs w:val="32"/>
    </w:rPr>
  </w:style>
  <w:style w:type="paragraph" w:customStyle="1" w:styleId="383">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84">
    <w:name w:val="Char3"/>
    <w:basedOn w:val="1"/>
    <w:uiPriority w:val="0"/>
    <w:pPr>
      <w:adjustRightInd/>
      <w:ind w:firstLine="200" w:firstLineChars="200"/>
    </w:pPr>
    <w:rPr>
      <w:rFonts w:ascii="Tahoma" w:hAnsi="Tahoma"/>
      <w:sz w:val="24"/>
      <w:szCs w:val="20"/>
    </w:rPr>
  </w:style>
  <w:style w:type="paragraph" w:customStyle="1" w:styleId="385">
    <w:name w:val="Char21"/>
    <w:basedOn w:val="1"/>
    <w:uiPriority w:val="0"/>
    <w:pPr>
      <w:adjustRightInd/>
      <w:ind w:firstLine="200" w:firstLineChars="200"/>
    </w:pPr>
    <w:rPr>
      <w:rFonts w:ascii="仿宋_GB2312" w:eastAsia="仿宋_GB2312"/>
      <w:b/>
      <w:sz w:val="32"/>
      <w:szCs w:val="32"/>
    </w:rPr>
  </w:style>
  <w:style w:type="paragraph" w:customStyle="1" w:styleId="386">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387">
    <w:name w:val="MM Topic 5"/>
    <w:basedOn w:val="6"/>
    <w:uiPriority w:val="0"/>
    <w:pPr>
      <w:numPr>
        <w:ilvl w:val="4"/>
        <w:numId w:val="4"/>
      </w:numPr>
      <w:tabs>
        <w:tab w:val="clear" w:pos="1008"/>
      </w:tabs>
      <w:adjustRightInd/>
    </w:pPr>
  </w:style>
  <w:style w:type="paragraph" w:customStyle="1" w:styleId="388">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389">
    <w:name w:val="xl140"/>
    <w:basedOn w:val="1"/>
    <w:uiPriority w:val="0"/>
    <w:pPr>
      <w:widowControl/>
      <w:pBdr>
        <w:top w:val="single" w:color="auto" w:sz="8" w:space="0"/>
        <w:bottom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390">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91">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92">
    <w:name w:val="正文文字缩进项目"/>
    <w:basedOn w:val="33"/>
    <w:uiPriority w:val="0"/>
    <w:pPr>
      <w:tabs>
        <w:tab w:val="left" w:pos="840"/>
      </w:tabs>
      <w:adjustRightInd/>
      <w:spacing w:after="120" w:afterLines="0" w:line="240" w:lineRule="auto"/>
      <w:ind w:hanging="420" w:firstLineChars="0"/>
    </w:pPr>
    <w:rPr>
      <w:rFonts w:ascii="Tahoma" w:hAnsi="Tahoma"/>
      <w:sz w:val="22"/>
      <w:szCs w:val="20"/>
    </w:rPr>
  </w:style>
  <w:style w:type="paragraph" w:customStyle="1" w:styleId="393">
    <w:name w:val="TOC 标题1"/>
    <w:basedOn w:val="2"/>
    <w:next w:val="1"/>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94">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395">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96">
    <w:name w:val="xl129"/>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397">
    <w:name w:val=" Char Char11 Char Char Char"/>
    <w:basedOn w:val="1"/>
    <w:uiPriority w:val="0"/>
    <w:pPr>
      <w:spacing w:line="360" w:lineRule="auto"/>
    </w:pPr>
    <w:rPr>
      <w:szCs w:val="20"/>
    </w:rPr>
  </w:style>
  <w:style w:type="paragraph" w:customStyle="1" w:styleId="398">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99">
    <w:name w:val="默认段落字体 Para Char"/>
    <w:basedOn w:val="1"/>
    <w:uiPriority w:val="0"/>
    <w:rPr>
      <w:rFonts w:ascii="Tahoma" w:hAnsi="Tahoma"/>
      <w:sz w:val="24"/>
      <w:szCs w:val="20"/>
    </w:rPr>
  </w:style>
  <w:style w:type="paragraph" w:customStyle="1" w:styleId="400">
    <w:name w:val="P1"/>
    <w:basedOn w:val="1"/>
    <w:uiPriority w:val="0"/>
    <w:pPr>
      <w:adjustRightInd/>
      <w:spacing w:line="288" w:lineRule="auto"/>
      <w:ind w:firstLine="425" w:firstLineChars="200"/>
    </w:pPr>
  </w:style>
  <w:style w:type="paragraph" w:customStyle="1" w:styleId="401">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402">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403">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4">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05">
    <w:name w:val="xl92"/>
    <w:basedOn w:val="1"/>
    <w:uiPriority w:val="0"/>
    <w:pPr>
      <w:widowControl/>
      <w:pBdr>
        <w:top w:val="single" w:color="auto" w:sz="4" w:space="0"/>
        <w:left w:val="single" w:color="auto" w:sz="8"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06">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407">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3" w:lineRule="auto"/>
      <w:ind w:left="425" w:hanging="425"/>
    </w:pPr>
    <w:rPr>
      <w:rFonts w:ascii="微软雅黑" w:hAnsi="微软雅黑" w:eastAsia="微软雅黑"/>
      <w:sz w:val="32"/>
      <w:szCs w:val="32"/>
      <w:lang w:val="en-US"/>
    </w:rPr>
  </w:style>
  <w:style w:type="paragraph" w:customStyle="1" w:styleId="408">
    <w:name w:val="xl96"/>
    <w:basedOn w:val="1"/>
    <w:uiPriority w:val="0"/>
    <w:pPr>
      <w:widowControl/>
      <w:pBdr>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409">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10">
    <w:name w:val="xl82"/>
    <w:basedOn w:val="1"/>
    <w:uiPriority w:val="0"/>
    <w:pPr>
      <w:widowControl/>
      <w:pBdr>
        <w:top w:val="single" w:color="auto" w:sz="4" w:space="0"/>
        <w:left w:val="single" w:color="auto" w:sz="4" w:space="0"/>
        <w:bottom w:val="single" w:color="auto" w:sz="8"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11">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12">
    <w:name w:val=" Char2 Char Char Char"/>
    <w:basedOn w:val="1"/>
    <w:uiPriority w:val="0"/>
    <w:rPr>
      <w:rFonts w:ascii="仿宋_GB2312" w:eastAsia="仿宋_GB2312"/>
      <w:b/>
      <w:sz w:val="32"/>
      <w:szCs w:val="32"/>
    </w:rPr>
  </w:style>
  <w:style w:type="paragraph" w:customStyle="1" w:styleId="413">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14">
    <w:name w:val="List Paragraph1"/>
    <w:basedOn w:val="1"/>
    <w:uiPriority w:val="0"/>
    <w:pPr>
      <w:spacing w:line="360" w:lineRule="auto"/>
      <w:ind w:firstLine="200" w:firstLineChars="200"/>
    </w:pPr>
    <w:rPr>
      <w:rFonts w:eastAsia="楷体_GB2312" w:cs="Lucida Sans"/>
      <w:sz w:val="24"/>
    </w:rPr>
  </w:style>
  <w:style w:type="paragraph" w:customStyle="1" w:styleId="415">
    <w:name w:val="Char Char"/>
    <w:basedOn w:val="1"/>
    <w:uiPriority w:val="0"/>
    <w:pPr>
      <w:spacing w:line="360" w:lineRule="auto"/>
    </w:pPr>
    <w:rPr>
      <w:rFonts w:ascii="Tahoma" w:hAnsi="Tahoma"/>
      <w:sz w:val="24"/>
      <w:szCs w:val="20"/>
    </w:rPr>
  </w:style>
  <w:style w:type="paragraph" w:customStyle="1" w:styleId="416">
    <w:name w:val=" Char Char Char1 Char"/>
    <w:basedOn w:val="1"/>
    <w:uiPriority w:val="0"/>
    <w:rPr>
      <w:szCs w:val="20"/>
    </w:rPr>
  </w:style>
  <w:style w:type="paragraph" w:customStyle="1" w:styleId="417">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418">
    <w:name w:val="xl70"/>
    <w:basedOn w:val="1"/>
    <w:uiPriority w:val="0"/>
    <w:pPr>
      <w:widowControl/>
      <w:pBdr>
        <w:top w:val="single" w:color="auto" w:sz="8"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19">
    <w:name w:val="正文 首行缩进:  2 字符 Char"/>
    <w:basedOn w:val="1"/>
    <w:uiPriority w:val="0"/>
    <w:pPr>
      <w:adjustRightInd/>
      <w:spacing w:line="360" w:lineRule="auto"/>
      <w:ind w:firstLine="480"/>
    </w:pPr>
    <w:rPr>
      <w:rFonts w:cs="宋体"/>
      <w:sz w:val="24"/>
      <w:szCs w:val="20"/>
    </w:rPr>
  </w:style>
  <w:style w:type="paragraph" w:customStyle="1" w:styleId="420">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21">
    <w:name w:val="xl120"/>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kern w:val="0"/>
      <w:sz w:val="20"/>
      <w:szCs w:val="20"/>
    </w:rPr>
  </w:style>
  <w:style w:type="paragraph" w:customStyle="1" w:styleId="422">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423">
    <w:name w:val=" Char Char11"/>
    <w:basedOn w:val="1"/>
    <w:uiPriority w:val="0"/>
    <w:pPr>
      <w:spacing w:line="360" w:lineRule="auto"/>
    </w:pPr>
    <w:rPr>
      <w:szCs w:val="20"/>
    </w:rPr>
  </w:style>
  <w:style w:type="paragraph" w:customStyle="1" w:styleId="424">
    <w:name w:val="正文21"/>
    <w:basedOn w:val="1"/>
    <w:uiPriority w:val="0"/>
    <w:pPr>
      <w:adjustRightInd/>
      <w:spacing w:before="156" w:beforeLines="0" w:line="360" w:lineRule="auto"/>
      <w:ind w:firstLine="510" w:firstLineChars="200"/>
    </w:pPr>
    <w:rPr>
      <w:sz w:val="24"/>
      <w:szCs w:val="20"/>
    </w:rPr>
  </w:style>
  <w:style w:type="paragraph" w:customStyle="1" w:styleId="425">
    <w:name w:val="目录0"/>
    <w:basedOn w:val="56"/>
    <w:uiPriority w:val="0"/>
    <w:pPr>
      <w:tabs>
        <w:tab w:val="right" w:leader="dot" w:pos="9000"/>
      </w:tabs>
      <w:adjustRightInd/>
      <w:spacing w:before="120" w:beforeLines="0" w:after="120" w:afterLines="0"/>
      <w:jc w:val="center"/>
    </w:pPr>
    <w:rPr>
      <w:rFonts w:eastAsia="黑体"/>
      <w:bCs/>
      <w:caps/>
      <w:sz w:val="32"/>
    </w:rPr>
  </w:style>
  <w:style w:type="paragraph" w:customStyle="1" w:styleId="426">
    <w:name w:val="xl109"/>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Cs w:val="21"/>
    </w:rPr>
  </w:style>
  <w:style w:type="paragraph" w:customStyle="1" w:styleId="427">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428">
    <w:name w:val="数字标题3"/>
    <w:basedOn w:val="4"/>
    <w:next w:val="1"/>
    <w:uiPriority w:val="0"/>
    <w:pPr>
      <w:numPr>
        <w:ilvl w:val="2"/>
        <w:numId w:val="0"/>
      </w:numPr>
      <w:spacing w:line="240" w:lineRule="auto"/>
    </w:pPr>
    <w:rPr>
      <w:sz w:val="28"/>
      <w:szCs w:val="28"/>
    </w:rPr>
  </w:style>
  <w:style w:type="paragraph" w:customStyle="1" w:styleId="429">
    <w:name w:val="font13"/>
    <w:basedOn w:val="1"/>
    <w:uiPriority w:val="0"/>
    <w:pPr>
      <w:widowControl/>
      <w:adjustRightInd/>
      <w:spacing w:before="100" w:beforeLines="0" w:beforeAutospacing="1" w:after="100" w:afterLines="0" w:afterAutospacing="1"/>
      <w:jc w:val="left"/>
    </w:pPr>
    <w:rPr>
      <w:rFonts w:ascii="宋体" w:hAnsi="宋体" w:cs="宋体"/>
      <w:kern w:val="0"/>
      <w:sz w:val="18"/>
      <w:szCs w:val="18"/>
    </w:rPr>
  </w:style>
  <w:style w:type="paragraph" w:customStyle="1" w:styleId="430">
    <w:name w:val="文章标题"/>
    <w:next w:val="431"/>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31">
    <w:name w:val="封面公司名"/>
    <w:uiPriority w:val="0"/>
    <w:pPr>
      <w:jc w:val="center"/>
    </w:pPr>
    <w:rPr>
      <w:rFonts w:ascii="Arial" w:hAnsi="Arial" w:eastAsia="楷体_GB2312" w:cs="宋体"/>
      <w:bCs/>
      <w:kern w:val="2"/>
      <w:sz w:val="28"/>
      <w:lang w:val="en-US" w:eastAsia="zh-CN" w:bidi="ar-SA"/>
    </w:rPr>
  </w:style>
  <w:style w:type="paragraph" w:customStyle="1" w:styleId="432">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styleId="433">
    <w:name w:val=""/>
    <w:uiPriority w:val="0"/>
    <w:rPr>
      <w:kern w:val="2"/>
      <w:sz w:val="21"/>
      <w:lang w:val="en-US" w:eastAsia="zh-CN" w:bidi="ar-SA"/>
    </w:rPr>
  </w:style>
  <w:style w:type="paragraph" w:customStyle="1" w:styleId="434">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435">
    <w:name w:val="xl88"/>
    <w:basedOn w:val="1"/>
    <w:uiPriority w:val="0"/>
    <w:pPr>
      <w:widowControl/>
      <w:pBdr>
        <w:top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36">
    <w:name w:val="Char Char Char1"/>
    <w:basedOn w:val="1"/>
    <w:uiPriority w:val="0"/>
    <w:pPr>
      <w:adjustRightInd/>
    </w:pPr>
    <w:rPr>
      <w:rFonts w:eastAsia="仿宋_GB2312"/>
      <w:szCs w:val="21"/>
    </w:rPr>
  </w:style>
  <w:style w:type="paragraph" w:customStyle="1" w:styleId="437">
    <w:name w:val="列出段落2"/>
    <w:basedOn w:val="1"/>
    <w:uiPriority w:val="0"/>
    <w:pPr>
      <w:adjustRightInd/>
      <w:ind w:firstLine="420" w:firstLineChars="200"/>
    </w:pPr>
    <w:rPr>
      <w:rFonts w:ascii="宋体" w:hAnsi="宋体"/>
      <w:sz w:val="24"/>
    </w:rPr>
  </w:style>
  <w:style w:type="paragraph" w:customStyle="1" w:styleId="438">
    <w:name w:val="Char Char8 Char Char Char Char Char Char1"/>
    <w:basedOn w:val="1"/>
    <w:uiPriority w:val="0"/>
    <w:pPr>
      <w:adjustRightInd/>
      <w:spacing w:line="360" w:lineRule="auto"/>
    </w:pPr>
    <w:rPr>
      <w:rFonts w:ascii="宋体" w:hAnsi="宋体" w:eastAsia="仿宋_GB2312"/>
      <w:sz w:val="22"/>
    </w:rPr>
  </w:style>
  <w:style w:type="paragraph" w:customStyle="1" w:styleId="439">
    <w:name w:val="xl89"/>
    <w:basedOn w:val="1"/>
    <w:uiPriority w:val="0"/>
    <w:pPr>
      <w:widowControl/>
      <w:pBdr>
        <w:left w:val="single" w:color="auto" w:sz="4"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40">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1">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42">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443">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44">
    <w:name w:val=" Char Char Char Char Char Char Char Char"/>
    <w:basedOn w:val="1"/>
    <w:uiPriority w:val="0"/>
    <w:pPr>
      <w:tabs>
        <w:tab w:val="left" w:pos="360"/>
      </w:tabs>
    </w:pPr>
    <w:rPr>
      <w:sz w:val="24"/>
      <w:szCs w:val="20"/>
    </w:rPr>
  </w:style>
  <w:style w:type="paragraph" w:customStyle="1" w:styleId="445">
    <w:name w:val="Picture"/>
    <w:basedOn w:val="1"/>
    <w:next w:val="20"/>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6">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447">
    <w:name w:val="xl84"/>
    <w:basedOn w:val="1"/>
    <w:uiPriority w:val="0"/>
    <w:pPr>
      <w:widowControl/>
      <w:pBdr>
        <w:top w:val="single" w:color="auto" w:sz="4"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448">
    <w:name w:val="数字标题6"/>
    <w:basedOn w:val="7"/>
    <w:next w:val="1"/>
    <w:uiPriority w:val="0"/>
    <w:pPr>
      <w:numPr>
        <w:ilvl w:val="5"/>
        <w:numId w:val="8"/>
      </w:numPr>
      <w:tabs>
        <w:tab w:val="clear" w:pos="1152"/>
      </w:tabs>
    </w:pPr>
    <w:rPr>
      <w:rFonts w:ascii="Times New Roman" w:hAnsi="Times New Roman" w:eastAsia="宋体"/>
      <w:i/>
    </w:rPr>
  </w:style>
  <w:style w:type="paragraph" w:customStyle="1" w:styleId="449">
    <w:name w:val="Char Char1 Char Char Char"/>
    <w:basedOn w:val="1"/>
    <w:uiPriority w:val="0"/>
    <w:rPr>
      <w:rFonts w:ascii="仿宋_GB2312" w:eastAsia="仿宋_GB2312"/>
      <w:b/>
      <w:sz w:val="32"/>
      <w:szCs w:val="20"/>
    </w:rPr>
  </w:style>
  <w:style w:type="paragraph" w:customStyle="1" w:styleId="450">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451">
    <w:name w:val="trs_editor"/>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52">
    <w:name w:val="签署页"/>
    <w:basedOn w:val="1"/>
    <w:uiPriority w:val="0"/>
    <w:pPr>
      <w:widowControl/>
      <w:numPr>
        <w:ilvl w:val="0"/>
        <w:numId w:val="9"/>
      </w:numPr>
      <w:tabs>
        <w:tab w:val="clear" w:pos="907"/>
      </w:tabs>
      <w:snapToGrid w:val="0"/>
      <w:spacing w:line="480" w:lineRule="auto"/>
      <w:ind w:left="2438" w:hanging="1701"/>
      <w:textAlignment w:val="baseline"/>
    </w:pPr>
    <w:rPr>
      <w:rFonts w:ascii="宋体" w:hAnsi="Calibri"/>
      <w:spacing w:val="6"/>
      <w:sz w:val="32"/>
    </w:rPr>
  </w:style>
  <w:style w:type="paragraph" w:customStyle="1" w:styleId="453">
    <w:name w:val="0"/>
    <w:basedOn w:val="1"/>
    <w:uiPriority w:val="0"/>
    <w:pPr>
      <w:widowControl/>
    </w:pPr>
    <w:rPr>
      <w:kern w:val="0"/>
      <w:sz w:val="24"/>
      <w:szCs w:val="20"/>
    </w:rPr>
  </w:style>
  <w:style w:type="paragraph" w:customStyle="1" w:styleId="454">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455">
    <w:name w:val="xl75"/>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56">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57">
    <w:name w:val="bullet"/>
    <w:basedOn w:val="1"/>
    <w:uiPriority w:val="0"/>
    <w:pPr>
      <w:tabs>
        <w:tab w:val="left" w:pos="840"/>
      </w:tabs>
      <w:adjustRightInd/>
      <w:ind w:left="840" w:hanging="420"/>
    </w:pPr>
  </w:style>
  <w:style w:type="paragraph" w:customStyle="1" w:styleId="458">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59">
    <w:name w:val="subhead"/>
    <w:uiPriority w:val="0"/>
    <w:pPr>
      <w:spacing w:after="120" w:line="300" w:lineRule="exact"/>
    </w:pPr>
    <w:rPr>
      <w:rFonts w:ascii="Arial" w:hAnsi="Arial"/>
      <w:b/>
      <w:sz w:val="26"/>
      <w:lang w:val="en-US" w:eastAsia="en-US" w:bidi="ar-SA"/>
    </w:rPr>
  </w:style>
  <w:style w:type="paragraph" w:customStyle="1" w:styleId="460">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61">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62">
    <w:name w:val="xl7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63">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64">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465">
    <w:name w:val="方案正文"/>
    <w:basedOn w:val="1"/>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66">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467">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468">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469">
    <w:name w:val="Char2"/>
    <w:basedOn w:val="1"/>
    <w:uiPriority w:val="0"/>
    <w:rPr>
      <w:rFonts w:ascii="仿宋_GB2312" w:eastAsia="仿宋_GB2312"/>
      <w:b/>
      <w:sz w:val="32"/>
      <w:szCs w:val="32"/>
    </w:rPr>
  </w:style>
  <w:style w:type="paragraph" w:customStyle="1" w:styleId="470">
    <w:name w:val="a0"/>
    <w:basedOn w:val="1"/>
    <w:uiPriority w:val="0"/>
    <w:pPr>
      <w:widowControl/>
      <w:adjustRightInd/>
      <w:snapToGrid w:val="0"/>
      <w:spacing w:before="60" w:beforeLines="0" w:after="60" w:afterLines="0"/>
      <w:ind w:left="11"/>
      <w:jc w:val="center"/>
    </w:pPr>
    <w:rPr>
      <w:rFonts w:ascii="宋体" w:hAnsi="宋体" w:eastAsia="仿宋_GB2312" w:cs="宋体"/>
      <w:kern w:val="0"/>
      <w:szCs w:val="21"/>
    </w:rPr>
  </w:style>
  <w:style w:type="paragraph" w:customStyle="1" w:styleId="471">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72">
    <w:name w:val="样式 左侧:  0.85 厘米 首行缩进:  0.85 厘米"/>
    <w:basedOn w:val="1"/>
    <w:uiPriority w:val="0"/>
    <w:pPr>
      <w:adjustRightInd/>
      <w:spacing w:line="360" w:lineRule="auto"/>
      <w:ind w:firstLine="482"/>
    </w:pPr>
    <w:rPr>
      <w:rFonts w:cs="宋体"/>
      <w:sz w:val="24"/>
      <w:szCs w:val="20"/>
    </w:rPr>
  </w:style>
  <w:style w:type="paragraph" w:customStyle="1" w:styleId="473">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474">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75">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76">
    <w:name w:val="xl99"/>
    <w:basedOn w:val="1"/>
    <w:uiPriority w:val="0"/>
    <w:pPr>
      <w:widowControl/>
      <w:pBdr>
        <w:left w:val="single" w:color="auto" w:sz="12"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477">
    <w:name w:val="xl101"/>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478">
    <w:name w:val="reader-word-layer"/>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79">
    <w:name w:val="xl110"/>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480">
    <w:name w:val="xl125"/>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481">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482">
    <w:name w:val="WW-正文文字缩进 2"/>
    <w:basedOn w:val="1"/>
    <w:uiPriority w:val="0"/>
    <w:pPr>
      <w:suppressAutoHyphens/>
      <w:adjustRightInd/>
      <w:ind w:firstLine="420"/>
    </w:pPr>
    <w:rPr>
      <w:kern w:val="1"/>
      <w:szCs w:val="20"/>
      <w:lang/>
    </w:rPr>
  </w:style>
  <w:style w:type="paragraph" w:customStyle="1" w:styleId="483">
    <w:name w:val="样式 正文缩进 + 首行缩进:  2 字符"/>
    <w:basedOn w:val="19"/>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84">
    <w:name w:val="中等深浅网格 1 - 强调文字颜色 21"/>
    <w:basedOn w:val="1"/>
    <w:uiPriority w:val="0"/>
    <w:pPr>
      <w:spacing w:line="360" w:lineRule="auto"/>
      <w:ind w:firstLine="200" w:firstLineChars="200"/>
    </w:pPr>
    <w:rPr>
      <w:rFonts w:eastAsia="楷体_GB2312" w:cs="Lucida Sans"/>
      <w:sz w:val="24"/>
    </w:rPr>
  </w:style>
  <w:style w:type="paragraph" w:customStyle="1" w:styleId="485">
    <w:name w:val="MM Topic 3"/>
    <w:basedOn w:val="4"/>
    <w:uiPriority w:val="0"/>
    <w:pPr>
      <w:numPr>
        <w:ilvl w:val="2"/>
        <w:numId w:val="4"/>
      </w:numPr>
      <w:tabs>
        <w:tab w:val="clear" w:pos="900"/>
      </w:tabs>
      <w:adjustRightInd/>
    </w:pPr>
    <w:rPr>
      <w:lang w:val="en-US" w:eastAsia="zh-CN"/>
    </w:rPr>
  </w:style>
  <w:style w:type="paragraph" w:customStyle="1" w:styleId="486">
    <w:name w:val="Char Char1"/>
    <w:basedOn w:val="1"/>
    <w:uiPriority w:val="0"/>
    <w:pPr>
      <w:widowControl/>
      <w:spacing w:after="160" w:afterLines="0" w:line="240" w:lineRule="exact"/>
      <w:jc w:val="left"/>
    </w:pPr>
    <w:rPr>
      <w:rFonts w:eastAsia="仿宋_GB2312"/>
      <w:sz w:val="28"/>
    </w:rPr>
  </w:style>
  <w:style w:type="paragraph" w:customStyle="1" w:styleId="487">
    <w:name w:val="xl71"/>
    <w:basedOn w:val="1"/>
    <w:uiPriority w:val="0"/>
    <w:pPr>
      <w:widowControl/>
      <w:pBdr>
        <w:top w:val="single" w:color="auto" w:sz="8"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88">
    <w:name w:val="aspnumfaautoadjustrightr"/>
    <w:uiPriority w:val="0"/>
    <w:pPr>
      <w:widowControl w:val="0"/>
      <w:autoSpaceDE w:val="0"/>
      <w:autoSpaceDN w:val="0"/>
      <w:adjustRightInd w:val="0"/>
      <w:ind w:firstLine="720"/>
      <w:jc w:val="both"/>
    </w:pPr>
    <w:rPr>
      <w:lang w:val="en-US" w:eastAsia="zh-CN" w:bidi="ar-SA"/>
    </w:rPr>
  </w:style>
  <w:style w:type="paragraph" w:customStyle="1" w:styleId="489">
    <w:name w:val="默认段落字体 Para Char Char Char Char Char Char Char Char Char Char Char Char Char Char Char Char2 Char"/>
    <w:next w:val="1"/>
    <w:uiPriority w:val="0"/>
    <w:pPr>
      <w:keepNext/>
      <w:keepLines/>
      <w:tabs>
        <w:tab w:val="left" w:pos="900"/>
      </w:tabs>
      <w:spacing w:before="240" w:after="240"/>
      <w:ind w:left="900" w:hanging="720"/>
      <w:outlineLvl w:val="7"/>
    </w:pPr>
    <w:rPr>
      <w:rFonts w:ascii="Arial" w:hAnsi="Arial" w:eastAsia="黑体" w:cs="Arial"/>
      <w:snapToGrid w:val="0"/>
      <w:sz w:val="21"/>
      <w:szCs w:val="21"/>
      <w:lang w:val="en-US" w:eastAsia="zh-CN" w:bidi="ar-SA"/>
    </w:rPr>
  </w:style>
  <w:style w:type="paragraph" w:customStyle="1" w:styleId="490">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1">
    <w:name w:val="Char Char11 Char Char Char"/>
    <w:basedOn w:val="1"/>
    <w:uiPriority w:val="0"/>
    <w:pPr>
      <w:spacing w:line="360" w:lineRule="auto"/>
    </w:pPr>
    <w:rPr>
      <w:szCs w:val="20"/>
    </w:rPr>
  </w:style>
  <w:style w:type="paragraph" w:customStyle="1" w:styleId="492">
    <w:name w:val="xl128"/>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493">
    <w:name w:val="xl127"/>
    <w:basedOn w:val="1"/>
    <w:uiPriority w:val="0"/>
    <w:pPr>
      <w:widowControl/>
      <w:pBdr>
        <w:top w:val="single" w:color="auto" w:sz="8" w:space="0"/>
        <w:bottom w:val="single" w:color="auto" w:sz="8" w:space="0"/>
        <w:right w:val="single" w:color="auto" w:sz="12"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494">
    <w:name w:val="有符号正文"/>
    <w:basedOn w:val="1"/>
    <w:uiPriority w:val="0"/>
    <w:pPr>
      <w:adjustRightInd/>
      <w:spacing w:line="400" w:lineRule="exact"/>
      <w:ind w:firstLine="200" w:firstLineChars="200"/>
    </w:pPr>
    <w:rPr>
      <w:rFonts w:ascii="Arial" w:hAnsi="Arial"/>
    </w:rPr>
  </w:style>
  <w:style w:type="paragraph" w:customStyle="1" w:styleId="495">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96">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497">
    <w:name w:val="数字标题1"/>
    <w:basedOn w:val="2"/>
    <w:next w:val="1"/>
    <w:uiPriority w:val="0"/>
    <w:pPr>
      <w:numPr>
        <w:ilvl w:val="0"/>
        <w:numId w:val="8"/>
      </w:numPr>
      <w:tabs>
        <w:tab w:val="clear" w:pos="432"/>
      </w:tabs>
    </w:pPr>
  </w:style>
  <w:style w:type="paragraph" w:customStyle="1" w:styleId="498">
    <w:name w:val="金宏发行正文"/>
    <w:basedOn w:val="1"/>
    <w:uiPriority w:val="0"/>
    <w:pPr>
      <w:adjustRightInd/>
      <w:spacing w:line="500" w:lineRule="exact"/>
      <w:ind w:firstLine="560" w:firstLineChars="200"/>
    </w:pPr>
    <w:rPr>
      <w:rFonts w:eastAsia="仿宋_GB2312"/>
      <w:sz w:val="28"/>
      <w:szCs w:val="20"/>
    </w:rPr>
  </w:style>
  <w:style w:type="paragraph" w:customStyle="1" w:styleId="499">
    <w:name w:val="List Paragraph"/>
    <w:basedOn w:val="1"/>
    <w:uiPriority w:val="0"/>
    <w:pPr>
      <w:adjustRightInd/>
      <w:spacing w:line="360" w:lineRule="auto"/>
      <w:ind w:firstLine="420" w:firstLineChars="200"/>
    </w:pPr>
    <w:rPr>
      <w:rFonts w:ascii="Calibri" w:hAnsi="Calibri"/>
      <w:sz w:val="24"/>
      <w:szCs w:val="22"/>
    </w:rPr>
  </w:style>
  <w:style w:type="paragraph" w:customStyle="1" w:styleId="500">
    <w:name w:val="xl119"/>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b/>
      <w:bCs/>
      <w:kern w:val="0"/>
      <w:sz w:val="20"/>
      <w:szCs w:val="20"/>
    </w:rPr>
  </w:style>
  <w:style w:type="paragraph" w:customStyle="1" w:styleId="501">
    <w:name w:val="xl130"/>
    <w:basedOn w:val="1"/>
    <w:uiPriority w:val="0"/>
    <w:pPr>
      <w:widowControl/>
      <w:pBdr>
        <w:top w:val="single" w:color="auto" w:sz="8" w:space="0"/>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502">
    <w:name w:val="单元格居中"/>
    <w:basedOn w:val="1"/>
    <w:uiPriority w:val="0"/>
    <w:pPr>
      <w:adjustRightInd/>
      <w:spacing w:line="360" w:lineRule="auto"/>
      <w:jc w:val="center"/>
    </w:pPr>
    <w:rPr>
      <w:sz w:val="24"/>
    </w:rPr>
  </w:style>
  <w:style w:type="paragraph" w:customStyle="1" w:styleId="503">
    <w:name w:val="MM Empty"/>
    <w:basedOn w:val="1"/>
    <w:uiPriority w:val="0"/>
    <w:pPr>
      <w:adjustRightInd/>
    </w:pPr>
  </w:style>
  <w:style w:type="paragraph" w:customStyle="1" w:styleId="504">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05">
    <w:name w:val="xl139"/>
    <w:basedOn w:val="1"/>
    <w:uiPriority w:val="0"/>
    <w:pPr>
      <w:widowControl/>
      <w:pBdr>
        <w:top w:val="single" w:color="auto" w:sz="8" w:space="0"/>
        <w:left w:val="single" w:color="auto" w:sz="12" w:space="0"/>
        <w:bottom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506">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7">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08">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509">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510">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511">
    <w:name w:val="xl83"/>
    <w:basedOn w:val="1"/>
    <w:uiPriority w:val="0"/>
    <w:pPr>
      <w:widowControl/>
      <w:pBdr>
        <w:top w:val="single" w:color="auto" w:sz="4" w:space="0"/>
        <w:left w:val="single" w:color="auto" w:sz="8"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512">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513">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514">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15">
    <w:name w:val="Char Char Char Char Char Char Char Char Char Char Char Char1 Char"/>
    <w:basedOn w:val="1"/>
    <w:uiPriority w:val="0"/>
    <w:rPr>
      <w:rFonts w:ascii="Tahoma" w:hAnsi="Tahoma" w:cs="仿宋_GB2312"/>
      <w:sz w:val="24"/>
      <w:szCs w:val="20"/>
    </w:rPr>
  </w:style>
  <w:style w:type="paragraph" w:customStyle="1" w:styleId="516">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17">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left"/>
    </w:pPr>
    <w:rPr>
      <w:rFonts w:ascii="微软雅黑" w:hAnsi="微软雅黑" w:eastAsia="微软雅黑" w:cs="宋体"/>
      <w:kern w:val="0"/>
      <w:sz w:val="20"/>
      <w:szCs w:val="20"/>
    </w:rPr>
  </w:style>
  <w:style w:type="paragraph" w:customStyle="1" w:styleId="518">
    <w:name w:val="左对齐表格文字"/>
    <w:basedOn w:val="1"/>
    <w:uiPriority w:val="0"/>
    <w:pPr>
      <w:adjustRightInd/>
      <w:ind w:firstLine="200" w:firstLineChars="200"/>
      <w:jc w:val="right"/>
    </w:pPr>
  </w:style>
  <w:style w:type="paragraph" w:customStyle="1" w:styleId="519">
    <w:name w:val="正文文字表格居中"/>
    <w:basedOn w:val="1"/>
    <w:next w:val="73"/>
    <w:uiPriority w:val="0"/>
    <w:pPr>
      <w:snapToGrid w:val="0"/>
      <w:spacing w:line="360" w:lineRule="auto"/>
    </w:pPr>
    <w:rPr>
      <w:rFonts w:ascii="宋体"/>
      <w:b/>
      <w:sz w:val="24"/>
      <w:szCs w:val="20"/>
    </w:rPr>
  </w:style>
  <w:style w:type="paragraph" w:customStyle="1" w:styleId="520">
    <w:name w:val="xl93"/>
    <w:basedOn w:val="1"/>
    <w:uiPriority w:val="0"/>
    <w:pPr>
      <w:widowControl/>
      <w:pBdr>
        <w:top w:val="single" w:color="auto" w:sz="4" w:space="0"/>
        <w:left w:val="single" w:color="auto" w:sz="8" w:space="0"/>
        <w:bottom w:val="single" w:color="auto" w:sz="8"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21">
    <w:name w:val="!大节"/>
    <w:basedOn w:val="3"/>
    <w:uiPriority w:val="0"/>
    <w:pPr>
      <w:numPr>
        <w:ilvl w:val="0"/>
        <w:numId w:val="0"/>
      </w:numPr>
      <w:spacing w:before="260" w:beforeLines="0" w:after="260" w:afterLines="0" w:line="413" w:lineRule="auto"/>
      <w:ind w:left="420" w:hanging="420"/>
      <w:jc w:val="left"/>
    </w:pPr>
    <w:rPr>
      <w:rFonts w:ascii="Arial" w:hAnsi="Arial" w:eastAsia="微软雅黑"/>
      <w:sz w:val="32"/>
      <w:szCs w:val="32"/>
      <w:lang w:val="en-US"/>
    </w:rPr>
  </w:style>
  <w:style w:type="paragraph" w:customStyle="1" w:styleId="522">
    <w:name w:val="默认段落字体 Para Char Char Char Char Char Char Char Char Char Char Char Char Char Char Char Char"/>
    <w:basedOn w:val="24"/>
    <w:uiPriority w:val="0"/>
    <w:pPr>
      <w:adjustRightInd/>
    </w:pPr>
    <w:rPr>
      <w:rFonts w:ascii="Tahoma" w:hAnsi="Tahoma"/>
    </w:rPr>
  </w:style>
  <w:style w:type="paragraph" w:customStyle="1" w:styleId="523">
    <w:name w:val="正文文字 2"/>
    <w:basedOn w:val="409"/>
    <w:next w:val="409"/>
    <w:uiPriority w:val="0"/>
    <w:rPr>
      <w:rFonts w:ascii="宋体" w:eastAsia="宋体" w:cs="Times New Roman"/>
      <w:color w:val="auto"/>
    </w:rPr>
  </w:style>
  <w:style w:type="paragraph" w:customStyle="1" w:styleId="524">
    <w:name w:val="xl7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25">
    <w:name w:val="FA正文"/>
    <w:basedOn w:val="1"/>
    <w:uiPriority w:val="0"/>
    <w:pPr>
      <w:spacing w:line="360" w:lineRule="auto"/>
      <w:ind w:firstLine="480" w:firstLineChars="200"/>
    </w:pPr>
    <w:rPr>
      <w:rFonts w:hAnsi="宋体"/>
      <w:sz w:val="24"/>
      <w:szCs w:val="20"/>
    </w:rPr>
  </w:style>
  <w:style w:type="paragraph" w:customStyle="1" w:styleId="526">
    <w:name w:val="xl85"/>
    <w:basedOn w:val="1"/>
    <w:uiPriority w:val="0"/>
    <w:pPr>
      <w:widowControl/>
      <w:pBdr>
        <w:top w:val="single" w:color="auto" w:sz="4" w:space="0"/>
        <w:bottom w:val="single" w:color="auto" w:sz="4" w:space="0"/>
        <w:right w:val="single" w:color="auto" w:sz="8"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527">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528">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29">
    <w:name w:val="Char1 Char Char Char1"/>
    <w:basedOn w:val="1"/>
    <w:uiPriority w:val="0"/>
    <w:pPr>
      <w:adjustRightInd/>
      <w:ind w:firstLine="200" w:firstLineChars="200"/>
    </w:pPr>
    <w:rPr>
      <w:rFonts w:ascii="Tahoma" w:hAnsi="Tahoma"/>
      <w:sz w:val="24"/>
      <w:szCs w:val="20"/>
    </w:rPr>
  </w:style>
  <w:style w:type="paragraph" w:customStyle="1" w:styleId="530">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31">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32">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533">
    <w:name w:val="Char19"/>
    <w:basedOn w:val="1"/>
    <w:uiPriority w:val="0"/>
    <w:pPr>
      <w:adjustRightInd/>
    </w:pPr>
    <w:rPr>
      <w:szCs w:val="20"/>
    </w:rPr>
  </w:style>
  <w:style w:type="paragraph" w:customStyle="1" w:styleId="534">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535">
    <w:name w:val="正文首行缩进1"/>
    <w:basedOn w:val="3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536">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537">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38">
    <w:name w:val="样式 正文文本缩进 + 左侧:  2 字符 首行缩进:  2 字符"/>
    <w:basedOn w:val="3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39">
    <w:name w:val="技术方案正文样式"/>
    <w:basedOn w:val="1"/>
    <w:uiPriority w:val="0"/>
    <w:pPr>
      <w:widowControl/>
      <w:numPr>
        <w:ilvl w:val="0"/>
        <w:numId w:val="10"/>
      </w:numPr>
      <w:tabs>
        <w:tab w:val="clear" w:pos="284"/>
      </w:tabs>
      <w:autoSpaceDE w:val="0"/>
      <w:autoSpaceDN w:val="0"/>
      <w:adjustRightInd/>
      <w:spacing w:line="400" w:lineRule="exact"/>
      <w:ind w:left="0" w:firstLine="0"/>
    </w:pPr>
    <w:rPr>
      <w:rFonts w:ascii="宋体" w:hAnsi="宋体" w:cs="宋体"/>
      <w:kern w:val="0"/>
      <w:sz w:val="24"/>
    </w:rPr>
  </w:style>
  <w:style w:type="paragraph" w:customStyle="1" w:styleId="540">
    <w:name w:val="xl116"/>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541">
    <w:name w:val="Char1 Char Char Char4"/>
    <w:basedOn w:val="1"/>
    <w:uiPriority w:val="0"/>
    <w:pPr>
      <w:adjustRightInd/>
      <w:ind w:firstLine="200" w:firstLineChars="200"/>
    </w:pPr>
    <w:rPr>
      <w:rFonts w:ascii="Tahoma" w:hAnsi="Tahoma"/>
      <w:sz w:val="24"/>
      <w:szCs w:val="20"/>
    </w:rPr>
  </w:style>
  <w:style w:type="paragraph" w:customStyle="1" w:styleId="542">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543">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544">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545">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46">
    <w:name w:val="默认段落字体 Para Char Char Char Char Char Char Char Char Char1 Char Char Char Char"/>
    <w:basedOn w:val="1"/>
    <w:uiPriority w:val="0"/>
    <w:pPr>
      <w:adjustRightInd/>
    </w:pPr>
    <w:rPr>
      <w:rFonts w:ascii="Tahoma" w:hAnsi="Tahoma"/>
      <w:sz w:val="24"/>
      <w:szCs w:val="20"/>
    </w:rPr>
  </w:style>
  <w:style w:type="paragraph" w:customStyle="1" w:styleId="547">
    <w:name w:val="T 标题 5"/>
    <w:basedOn w:val="6"/>
    <w:uiPriority w:val="0"/>
    <w:pPr>
      <w:numPr>
        <w:ilvl w:val="0"/>
        <w:numId w:val="0"/>
      </w:numPr>
      <w:tabs>
        <w:tab w:val="clear" w:pos="1008"/>
      </w:tabs>
      <w:spacing w:before="156" w:beforeLines="50" w:after="156" w:afterLines="50" w:line="300" w:lineRule="auto"/>
      <w:ind w:firstLine="198"/>
      <w:textAlignment w:val="baseline"/>
    </w:pPr>
    <w:rPr>
      <w:b w:val="0"/>
      <w:kern w:val="0"/>
      <w:sz w:val="24"/>
      <w:szCs w:val="24"/>
      <w:lang w:val="zh-CN"/>
    </w:rPr>
  </w:style>
  <w:style w:type="paragraph" w:customStyle="1" w:styleId="548">
    <w:name w:val="xl98"/>
    <w:basedOn w:val="1"/>
    <w:uiPriority w:val="0"/>
    <w:pPr>
      <w:widowControl/>
      <w:pBdr>
        <w:top w:val="single" w:color="auto" w:sz="8" w:space="0"/>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549">
    <w:name w:val="xl123"/>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550">
    <w:name w:val="Char1 Char Char Char5"/>
    <w:basedOn w:val="1"/>
    <w:uiPriority w:val="0"/>
    <w:pPr>
      <w:adjustRightInd/>
      <w:ind w:firstLine="200" w:firstLineChars="200"/>
    </w:pPr>
    <w:rPr>
      <w:rFonts w:ascii="Tahoma" w:hAnsi="Tahoma"/>
      <w:sz w:val="24"/>
      <w:szCs w:val="20"/>
    </w:rPr>
  </w:style>
  <w:style w:type="paragraph" w:customStyle="1" w:styleId="551">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52">
    <w:name w:val="xl81"/>
    <w:basedOn w:val="1"/>
    <w:uiPriority w:val="0"/>
    <w:pPr>
      <w:widowControl/>
      <w:pBdr>
        <w:top w:val="single" w:color="auto" w:sz="4" w:space="0"/>
        <w:left w:val="single" w:color="auto" w:sz="4" w:space="0"/>
        <w:bottom w:val="single" w:color="auto" w:sz="8"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53">
    <w:name w:val="Char Char Char Char Char Char Char Char Char Char Char1 Char"/>
    <w:basedOn w:val="1"/>
    <w:uiPriority w:val="0"/>
    <w:pPr>
      <w:adjustRightInd/>
    </w:pPr>
    <w:rPr>
      <w:rFonts w:ascii="Tahoma" w:hAnsi="Tahoma"/>
      <w:sz w:val="24"/>
      <w:lang/>
    </w:rPr>
  </w:style>
  <w:style w:type="paragraph" w:customStyle="1" w:styleId="554">
    <w:name w:val=" Char Char1"/>
    <w:basedOn w:val="1"/>
    <w:uiPriority w:val="0"/>
    <w:pPr>
      <w:widowControl/>
      <w:spacing w:after="160" w:afterLines="0" w:line="240" w:lineRule="exact"/>
      <w:jc w:val="left"/>
    </w:pPr>
    <w:rPr>
      <w:rFonts w:eastAsia="仿宋_GB2312"/>
      <w:sz w:val="28"/>
    </w:rPr>
  </w:style>
  <w:style w:type="paragraph" w:customStyle="1" w:styleId="555">
    <w:name w:val="样式3"/>
    <w:basedOn w:val="377"/>
    <w:uiPriority w:val="0"/>
    <w:pPr>
      <w:spacing w:before="312" w:beforeLines="100"/>
      <w:jc w:val="left"/>
    </w:pPr>
  </w:style>
  <w:style w:type="paragraph" w:customStyle="1" w:styleId="556">
    <w:name w:val="U_正文2"/>
    <w:basedOn w:val="1"/>
    <w:uiPriority w:val="0"/>
    <w:pPr>
      <w:adjustRightInd/>
      <w:spacing w:before="31" w:beforeLines="10" w:after="31" w:afterLines="10" w:line="300" w:lineRule="auto"/>
    </w:pPr>
    <w:rPr>
      <w:rFonts w:eastAsia="仿宋_GB2312"/>
      <w:sz w:val="28"/>
      <w:szCs w:val="20"/>
    </w:rPr>
  </w:style>
  <w:style w:type="paragraph" w:customStyle="1" w:styleId="557">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58">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59">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0">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61">
    <w:name w:val=" Char Char1 Char Char Char Char Char Char"/>
    <w:basedOn w:val="1"/>
    <w:uiPriority w:val="0"/>
    <w:rPr>
      <w:rFonts w:ascii="仿宋_GB2312" w:eastAsia="仿宋_GB2312"/>
      <w:b/>
      <w:sz w:val="32"/>
      <w:szCs w:val="20"/>
    </w:rPr>
  </w:style>
  <w:style w:type="paragraph" w:customStyle="1" w:styleId="562">
    <w:name w:val="T 标题 6"/>
    <w:basedOn w:val="547"/>
    <w:uiPriority w:val="0"/>
    <w:pPr>
      <w:outlineLvl w:val="5"/>
    </w:pPr>
  </w:style>
  <w:style w:type="paragraph" w:customStyle="1" w:styleId="563">
    <w:name w:val="样式 标题 4PIM 4H4h4bulletblbbH41H42H43H44H45H46H47H48...1"/>
    <w:basedOn w:val="5"/>
    <w:uiPriority w:val="0"/>
    <w:pPr>
      <w:widowControl/>
      <w:jc w:val="left"/>
    </w:pPr>
    <w:rPr>
      <w:rFonts w:cs="宋体"/>
      <w:sz w:val="24"/>
      <w:szCs w:val="20"/>
    </w:rPr>
  </w:style>
  <w:style w:type="paragraph" w:customStyle="1" w:styleId="564">
    <w:name w:val="xl104"/>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565">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566">
    <w:name w:val="xl68"/>
    <w:basedOn w:val="1"/>
    <w:uiPriority w:val="0"/>
    <w:pPr>
      <w:widowControl/>
      <w:pBdr>
        <w:top w:val="single" w:color="auto" w:sz="8" w:space="0"/>
        <w:left w:val="single" w:color="auto" w:sz="8"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67">
    <w:name w:val="MM Topic 4"/>
    <w:basedOn w:val="5"/>
    <w:uiPriority w:val="0"/>
    <w:pPr>
      <w:numPr>
        <w:ilvl w:val="3"/>
        <w:numId w:val="4"/>
      </w:numPr>
      <w:tabs>
        <w:tab w:val="clear" w:pos="864"/>
      </w:tabs>
      <w:adjustRightInd/>
    </w:pPr>
    <w:rPr>
      <w:lang w:val="en-US"/>
    </w:rPr>
  </w:style>
  <w:style w:type="paragraph" w:customStyle="1" w:styleId="568">
    <w:name w:val="font10"/>
    <w:basedOn w:val="1"/>
    <w:uiPriority w:val="0"/>
    <w:pPr>
      <w:widowControl/>
      <w:adjustRightInd/>
      <w:spacing w:before="100" w:beforeLines="0" w:beforeAutospacing="1" w:after="100" w:afterLines="0" w:afterAutospacing="1"/>
      <w:jc w:val="left"/>
    </w:pPr>
    <w:rPr>
      <w:rFonts w:eastAsia="仿宋_GB2312"/>
      <w:b/>
      <w:bCs/>
      <w:kern w:val="0"/>
      <w:sz w:val="22"/>
      <w:szCs w:val="22"/>
    </w:rPr>
  </w:style>
  <w:style w:type="paragraph" w:customStyle="1" w:styleId="569">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70">
    <w:name w:val=" Char Char1 Char Char Char"/>
    <w:basedOn w:val="1"/>
    <w:uiPriority w:val="0"/>
    <w:rPr>
      <w:rFonts w:ascii="仿宋_GB2312" w:eastAsia="仿宋_GB2312"/>
      <w:b/>
      <w:sz w:val="32"/>
      <w:szCs w:val="32"/>
    </w:rPr>
  </w:style>
  <w:style w:type="paragraph" w:customStyle="1" w:styleId="571">
    <w:name w:val="Char Char1 Char Char Char Char Char Char"/>
    <w:basedOn w:val="1"/>
    <w:uiPriority w:val="0"/>
    <w:rPr>
      <w:rFonts w:ascii="仿宋_GB2312" w:eastAsia="仿宋_GB2312"/>
      <w:b/>
      <w:sz w:val="32"/>
      <w:szCs w:val="20"/>
    </w:rPr>
  </w:style>
  <w:style w:type="paragraph" w:customStyle="1" w:styleId="572">
    <w:name w:val="正文－恩普"/>
    <w:basedOn w:val="19"/>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73">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574">
    <w:name w:val="正文段"/>
    <w:basedOn w:val="1"/>
    <w:uiPriority w:val="0"/>
    <w:pPr>
      <w:widowControl/>
      <w:snapToGrid w:val="0"/>
      <w:spacing w:after="156" w:afterLines="50"/>
      <w:ind w:firstLine="200" w:firstLineChars="200"/>
    </w:pPr>
    <w:rPr>
      <w:kern w:val="0"/>
      <w:sz w:val="24"/>
      <w:szCs w:val="20"/>
    </w:rPr>
  </w:style>
  <w:style w:type="paragraph" w:customStyle="1" w:styleId="575">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76">
    <w:name w:val="Char Char Char Char Char Char Char Char Char"/>
    <w:basedOn w:val="1"/>
    <w:uiPriority w:val="0"/>
    <w:pPr>
      <w:adjustRightInd/>
      <w:ind w:firstLine="200" w:firstLineChars="200"/>
    </w:pPr>
    <w:rPr>
      <w:rFonts w:ascii="Tahoma" w:hAnsi="Tahoma"/>
      <w:sz w:val="24"/>
      <w:szCs w:val="20"/>
    </w:rPr>
  </w:style>
  <w:style w:type="paragraph" w:customStyle="1" w:styleId="577">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78">
    <w:name w:val="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79">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80">
    <w:name w:val="样式8"/>
    <w:basedOn w:val="1"/>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1">
    <w:name w:val="xl126"/>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582">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583">
    <w:name w:val="样式1 + (中宋体"/>
    <w:basedOn w:val="584"/>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584">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85">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586">
    <w:name w:val="浅色底纹 - 强调文字颜色 51"/>
    <w:uiPriority w:val="0"/>
    <w:rPr>
      <w:kern w:val="2"/>
      <w:sz w:val="21"/>
      <w:szCs w:val="24"/>
      <w:lang w:val="en-US" w:eastAsia="zh-CN" w:bidi="ar-SA"/>
    </w:rPr>
  </w:style>
  <w:style w:type="paragraph" w:customStyle="1" w:styleId="587">
    <w:name w:val="Char Char4 Char Char"/>
    <w:basedOn w:val="1"/>
    <w:uiPriority w:val="0"/>
    <w:pPr>
      <w:widowControl/>
      <w:adjustRightInd/>
      <w:spacing w:after="160" w:afterLines="0" w:line="240" w:lineRule="exact"/>
      <w:jc w:val="left"/>
    </w:pPr>
  </w:style>
  <w:style w:type="paragraph" w:customStyle="1" w:styleId="588">
    <w:name w:val="xl79"/>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89">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590">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591">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92">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93">
    <w:name w:val="表格内文"/>
    <w:basedOn w:val="1"/>
    <w:uiPriority w:val="0"/>
    <w:pPr>
      <w:adjustRightInd/>
      <w:spacing w:line="360" w:lineRule="auto"/>
    </w:pPr>
    <w:rPr>
      <w:rFonts w:ascii="宋体" w:hAnsi="宋体" w:cs="宋体"/>
      <w:color w:val="000000"/>
      <w:szCs w:val="20"/>
    </w:rPr>
  </w:style>
  <w:style w:type="paragraph" w:customStyle="1" w:styleId="594">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95">
    <w:name w:val="CSS1级正文 Char"/>
    <w:basedOn w:val="32"/>
    <w:uiPriority w:val="0"/>
    <w:pPr>
      <w:autoSpaceDE/>
      <w:autoSpaceDN/>
      <w:snapToGrid w:val="0"/>
      <w:ind w:firstLine="480" w:firstLineChars="200"/>
    </w:pPr>
    <w:rPr>
      <w:rFonts w:ascii="Times New Roman"/>
      <w:szCs w:val="24"/>
      <w:lang w:val="en-US" w:eastAsia="zh-CN"/>
    </w:rPr>
  </w:style>
  <w:style w:type="paragraph" w:customStyle="1" w:styleId="596">
    <w:name w:val="xl106"/>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597">
    <w:name w:val="xl136"/>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598">
    <w:name w:val="font12"/>
    <w:basedOn w:val="1"/>
    <w:uiPriority w:val="0"/>
    <w:pPr>
      <w:widowControl/>
      <w:adjustRightInd/>
      <w:spacing w:before="100" w:beforeLines="0" w:beforeAutospacing="1" w:after="100" w:afterLines="0" w:afterAutospacing="1"/>
      <w:jc w:val="left"/>
    </w:pPr>
    <w:rPr>
      <w:rFonts w:ascii="宋体" w:hAnsi="宋体" w:eastAsia="仿宋_GB2312" w:cs="宋体"/>
      <w:b/>
      <w:bCs/>
      <w:kern w:val="0"/>
      <w:sz w:val="28"/>
    </w:rPr>
  </w:style>
  <w:style w:type="paragraph" w:customStyle="1" w:styleId="599">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600">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601">
    <w:name w:val="_Style 12"/>
    <w:basedOn w:val="24"/>
    <w:uiPriority w:val="0"/>
    <w:pPr>
      <w:snapToGrid w:val="0"/>
      <w:spacing w:line="360" w:lineRule="auto"/>
    </w:pPr>
  </w:style>
  <w:style w:type="paragraph" w:customStyle="1" w:styleId="602">
    <w:name w:val="xl118"/>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b/>
      <w:bCs/>
      <w:kern w:val="0"/>
      <w:sz w:val="20"/>
      <w:szCs w:val="20"/>
    </w:rPr>
  </w:style>
  <w:style w:type="paragraph" w:customStyle="1" w:styleId="603">
    <w:name w:val="xl65"/>
    <w:basedOn w:val="1"/>
    <w:uiPriority w:val="0"/>
    <w:pPr>
      <w:widowControl/>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604">
    <w:name w:val="样式 小四 行距: 多倍行距 1.25 字行"/>
    <w:basedOn w:val="1"/>
    <w:uiPriority w:val="0"/>
    <w:pPr>
      <w:adjustRightInd/>
      <w:spacing w:line="300" w:lineRule="auto"/>
      <w:ind w:firstLine="540" w:firstLineChars="225"/>
    </w:pPr>
    <w:rPr>
      <w:rFonts w:cs="宋体"/>
      <w:sz w:val="24"/>
      <w:szCs w:val="20"/>
    </w:rPr>
  </w:style>
  <w:style w:type="paragraph" w:customStyle="1" w:styleId="605">
    <w:name w:val="Char1 Char Char Char2"/>
    <w:basedOn w:val="1"/>
    <w:uiPriority w:val="0"/>
    <w:pPr>
      <w:adjustRightInd/>
      <w:ind w:firstLine="200" w:firstLineChars="200"/>
    </w:pPr>
    <w:rPr>
      <w:rFonts w:ascii="Tahoma" w:hAnsi="Tahoma"/>
      <w:sz w:val="24"/>
      <w:szCs w:val="20"/>
    </w:rPr>
  </w:style>
  <w:style w:type="paragraph" w:customStyle="1" w:styleId="606">
    <w:name w:val="正文表标题"/>
    <w:next w:val="344"/>
    <w:uiPriority w:val="0"/>
    <w:pPr>
      <w:tabs>
        <w:tab w:val="left" w:pos="840"/>
      </w:tabs>
      <w:ind w:left="840" w:hanging="420"/>
      <w:jc w:val="center"/>
    </w:pPr>
    <w:rPr>
      <w:rFonts w:ascii="黑体" w:eastAsia="黑体"/>
      <w:sz w:val="21"/>
      <w:lang w:val="en-US" w:eastAsia="zh-CN" w:bidi="ar-SA"/>
    </w:rPr>
  </w:style>
  <w:style w:type="paragraph" w:customStyle="1" w:styleId="607">
    <w:name w:val="char"/>
    <w:basedOn w:val="1"/>
    <w:uiPriority w:val="0"/>
    <w:pPr>
      <w:widowControl/>
      <w:adjustRightInd/>
      <w:snapToGrid w:val="0"/>
      <w:spacing w:line="360" w:lineRule="auto"/>
      <w:jc w:val="center"/>
    </w:pPr>
    <w:rPr>
      <w:rFonts w:eastAsia="仿宋_GB2312"/>
      <w:kern w:val="0"/>
      <w:sz w:val="28"/>
    </w:rPr>
  </w:style>
  <w:style w:type="paragraph" w:customStyle="1" w:styleId="608">
    <w:name w:val="xl69"/>
    <w:basedOn w:val="1"/>
    <w:uiPriority w:val="0"/>
    <w:pPr>
      <w:widowControl/>
      <w:pBdr>
        <w:top w:val="single" w:color="auto" w:sz="8"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09">
    <w:name w:val="xl103"/>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610">
    <w:name w:val="body text bold"/>
    <w:basedOn w:val="3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611">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12">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13">
    <w:name w:val="xl133"/>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614">
    <w:name w:val="Char Char1 Char Char Char Char Char Char Char"/>
    <w:basedOn w:val="1"/>
    <w:uiPriority w:val="0"/>
    <w:pPr>
      <w:adjustRightInd/>
    </w:pPr>
    <w:rPr>
      <w:rFonts w:ascii="Tahoma" w:hAnsi="Tahoma" w:eastAsia="仿宋_GB2312"/>
      <w:sz w:val="28"/>
    </w:rPr>
  </w:style>
  <w:style w:type="paragraph" w:customStyle="1" w:styleId="615">
    <w:name w:val="默认段落字体 Para Char Char Char1 Char"/>
    <w:basedOn w:val="1"/>
    <w:uiPriority w:val="0"/>
    <w:pPr>
      <w:spacing w:line="240" w:lineRule="atLeast"/>
      <w:ind w:left="420" w:firstLine="420"/>
    </w:pPr>
    <w:rPr>
      <w:sz w:val="24"/>
    </w:rPr>
  </w:style>
  <w:style w:type="paragraph" w:customStyle="1" w:styleId="616">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17">
    <w:name w:val="font11"/>
    <w:basedOn w:val="1"/>
    <w:uiPriority w:val="0"/>
    <w:pPr>
      <w:widowControl/>
      <w:adjustRightInd/>
      <w:spacing w:before="100" w:beforeLines="0" w:beforeAutospacing="1" w:after="100" w:afterLines="0" w:afterAutospacing="1"/>
      <w:jc w:val="left"/>
    </w:pPr>
    <w:rPr>
      <w:rFonts w:ascii="宋体" w:hAnsi="宋体" w:eastAsia="仿宋_GB2312" w:cs="宋体"/>
      <w:b/>
      <w:bCs/>
      <w:kern w:val="0"/>
      <w:sz w:val="22"/>
      <w:szCs w:val="22"/>
    </w:rPr>
  </w:style>
  <w:style w:type="paragraph" w:customStyle="1" w:styleId="618">
    <w:name w:val="Bulleted List"/>
    <w:basedOn w:val="1"/>
    <w:uiPriority w:val="0"/>
    <w:pPr>
      <w:tabs>
        <w:tab w:val="left" w:pos="1260"/>
      </w:tabs>
      <w:adjustRightInd/>
      <w:ind w:left="1260" w:hanging="420"/>
    </w:pPr>
  </w:style>
  <w:style w:type="paragraph" w:customStyle="1" w:styleId="619">
    <w:name w:val="Char Char Char Char Char Char Char Char Char Char"/>
    <w:basedOn w:val="1"/>
    <w:uiPriority w:val="0"/>
    <w:rPr>
      <w:rFonts w:ascii="仿宋_GB2312" w:eastAsia="仿宋_GB2312"/>
      <w:b/>
      <w:sz w:val="32"/>
      <w:szCs w:val="32"/>
    </w:rPr>
  </w:style>
  <w:style w:type="paragraph" w:customStyle="1" w:styleId="620">
    <w:name w:val="xl112"/>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kern w:val="0"/>
      <w:szCs w:val="21"/>
    </w:rPr>
  </w:style>
  <w:style w:type="paragraph" w:customStyle="1" w:styleId="621">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622">
    <w:name w:val=" Char Char11 Char Char Char Char Char Char Char Char Char"/>
    <w:basedOn w:val="1"/>
    <w:uiPriority w:val="0"/>
    <w:pPr>
      <w:spacing w:line="360" w:lineRule="auto"/>
    </w:pPr>
    <w:rPr>
      <w:szCs w:val="20"/>
    </w:rPr>
  </w:style>
  <w:style w:type="paragraph" w:customStyle="1" w:styleId="623">
    <w:name w:val=" Char2"/>
    <w:basedOn w:val="1"/>
    <w:uiPriority w:val="0"/>
    <w:rPr>
      <w:rFonts w:ascii="仿宋_GB2312" w:eastAsia="仿宋_GB2312"/>
      <w:b/>
      <w:sz w:val="32"/>
      <w:szCs w:val="32"/>
    </w:rPr>
  </w:style>
  <w:style w:type="paragraph" w:customStyle="1" w:styleId="624">
    <w:name w:val="带编号样式"/>
    <w:basedOn w:val="625"/>
    <w:uiPriority w:val="0"/>
    <w:pPr>
      <w:tabs>
        <w:tab w:val="left" w:pos="840"/>
      </w:tabs>
      <w:snapToGrid w:val="0"/>
      <w:ind w:left="840" w:hanging="420" w:firstLineChars="0"/>
    </w:pPr>
    <w:rPr>
      <w:rFonts w:ascii="仿宋_GB2312" w:eastAsia="仿宋_GB2312"/>
      <w:color w:val="000000"/>
    </w:rPr>
  </w:style>
  <w:style w:type="paragraph" w:customStyle="1" w:styleId="625">
    <w:name w:val="文本正文 Char"/>
    <w:basedOn w:val="1"/>
    <w:uiPriority w:val="0"/>
    <w:pPr>
      <w:spacing w:line="360" w:lineRule="auto"/>
      <w:ind w:firstLine="200" w:firstLineChars="200"/>
    </w:pPr>
    <w:rPr>
      <w:kern w:val="0"/>
      <w:sz w:val="24"/>
      <w:szCs w:val="20"/>
    </w:rPr>
  </w:style>
  <w:style w:type="paragraph" w:customStyle="1" w:styleId="626">
    <w:name w:val="索引 11"/>
    <w:basedOn w:val="1"/>
    <w:next w:val="1"/>
    <w:uiPriority w:val="0"/>
    <w:pPr>
      <w:adjustRightInd/>
      <w:spacing w:line="360" w:lineRule="auto"/>
    </w:pPr>
    <w:rPr>
      <w:rFonts w:ascii="仿宋_GB2312" w:eastAsia="仿宋_GB2312"/>
      <w:sz w:val="24"/>
      <w:szCs w:val="20"/>
    </w:rPr>
  </w:style>
  <w:style w:type="paragraph" w:customStyle="1" w:styleId="627">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28">
    <w:name w:val="Char Char Char Char Char Char Char"/>
    <w:basedOn w:val="1"/>
    <w:uiPriority w:val="0"/>
    <w:rPr>
      <w:rFonts w:ascii="仿宋_GB2312" w:eastAsia="仿宋_GB2312"/>
      <w:b/>
      <w:sz w:val="32"/>
      <w:szCs w:val="32"/>
    </w:rPr>
  </w:style>
  <w:style w:type="paragraph" w:customStyle="1" w:styleId="629">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630">
    <w:name w:val="彩色列表 - 强调文字颜色 11"/>
    <w:basedOn w:val="1"/>
    <w:uiPriority w:val="0"/>
    <w:pPr>
      <w:adjustRightInd/>
      <w:ind w:firstLine="420" w:firstLineChars="200"/>
    </w:pPr>
    <w:rPr>
      <w:rFonts w:ascii="Calibri" w:hAnsi="Calibri"/>
      <w:szCs w:val="22"/>
    </w:rPr>
  </w:style>
  <w:style w:type="paragraph" w:customStyle="1" w:styleId="631">
    <w:name w:val="xl121"/>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kern w:val="0"/>
      <w:sz w:val="20"/>
      <w:szCs w:val="20"/>
    </w:rPr>
  </w:style>
  <w:style w:type="paragraph" w:customStyle="1" w:styleId="632">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633">
    <w:name w:val="Char2 Char Char Char"/>
    <w:basedOn w:val="1"/>
    <w:uiPriority w:val="0"/>
    <w:rPr>
      <w:rFonts w:ascii="仿宋_GB2312" w:eastAsia="仿宋_GB2312"/>
      <w:b/>
      <w:sz w:val="32"/>
      <w:szCs w:val="32"/>
    </w:rPr>
  </w:style>
  <w:style w:type="paragraph" w:customStyle="1" w:styleId="634">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35">
    <w:name w:val="xl107"/>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636">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637">
    <w:name w:val="样式4"/>
    <w:basedOn w:val="1"/>
    <w:uiPriority w:val="0"/>
    <w:pPr>
      <w:spacing w:line="360" w:lineRule="auto"/>
      <w:ind w:firstLine="420"/>
      <w:jc w:val="center"/>
      <w:outlineLvl w:val="2"/>
    </w:pPr>
    <w:rPr>
      <w:rFonts w:ascii="仿宋_GB2312" w:hAnsi="仿宋" w:eastAsia="仿宋_GB2312"/>
      <w:b/>
      <w:sz w:val="32"/>
      <w:szCs w:val="32"/>
    </w:rPr>
  </w:style>
  <w:style w:type="paragraph" w:customStyle="1" w:styleId="638">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639">
    <w:name w:val="xl77"/>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color w:val="000000"/>
      <w:kern w:val="0"/>
      <w:sz w:val="20"/>
      <w:szCs w:val="20"/>
    </w:rPr>
  </w:style>
  <w:style w:type="paragraph" w:customStyle="1" w:styleId="640">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41">
    <w:name w:val="彩色底纹 - 强调文字颜色 11"/>
    <w:uiPriority w:val="0"/>
    <w:rPr>
      <w:kern w:val="2"/>
      <w:sz w:val="21"/>
      <w:szCs w:val="24"/>
      <w:lang w:val="en-US" w:eastAsia="zh-CN" w:bidi="ar-SA"/>
    </w:rPr>
  </w:style>
  <w:style w:type="paragraph" w:customStyle="1" w:styleId="642">
    <w:name w:val="彩色列表 - 强调文字颜色 12"/>
    <w:basedOn w:val="1"/>
    <w:uiPriority w:val="0"/>
    <w:pPr>
      <w:adjustRightInd/>
      <w:ind w:firstLine="420" w:firstLineChars="200"/>
    </w:pPr>
    <w:rPr>
      <w:rFonts w:ascii="Calibri" w:hAnsi="Calibri"/>
      <w:szCs w:val="22"/>
    </w:rPr>
  </w:style>
  <w:style w:type="paragraph" w:customStyle="1" w:styleId="643">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644">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645">
    <w:name w:val="a1"/>
    <w:basedOn w:val="1"/>
    <w:uiPriority w:val="0"/>
    <w:pPr>
      <w:widowControl/>
      <w:spacing w:line="300" w:lineRule="atLeast"/>
      <w:jc w:val="left"/>
    </w:pPr>
    <w:rPr>
      <w:rFonts w:ascii="宋体" w:hAnsi="宋体"/>
      <w:kern w:val="0"/>
      <w:sz w:val="18"/>
      <w:szCs w:val="20"/>
    </w:rPr>
  </w:style>
  <w:style w:type="paragraph" w:customStyle="1" w:styleId="646">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647">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648">
    <w:name w:val="Table Text"/>
    <w:basedOn w:val="1"/>
    <w:uiPriority w:val="0"/>
    <w:pPr>
      <w:widowControl/>
      <w:spacing w:before="60" w:beforeLines="0" w:after="60" w:afterLines="0"/>
      <w:jc w:val="left"/>
    </w:pPr>
    <w:rPr>
      <w:kern w:val="0"/>
      <w:sz w:val="24"/>
    </w:rPr>
  </w:style>
  <w:style w:type="paragraph" w:customStyle="1" w:styleId="649">
    <w:name w:val="样式7"/>
    <w:basedOn w:val="637"/>
    <w:next w:val="1"/>
    <w:uiPriority w:val="0"/>
    <w:pPr>
      <w:spacing w:after="156" w:afterLines="50"/>
      <w:jc w:val="left"/>
      <w:outlineLvl w:val="3"/>
    </w:pPr>
    <w:rPr>
      <w:sz w:val="24"/>
      <w:szCs w:val="24"/>
    </w:rPr>
  </w:style>
  <w:style w:type="paragraph" w:customStyle="1" w:styleId="650">
    <w:name w:val="默认段落字体 Para Char Char Char Char"/>
    <w:basedOn w:val="1"/>
    <w:uiPriority w:val="0"/>
    <w:pPr>
      <w:spacing w:line="360" w:lineRule="auto"/>
    </w:pPr>
    <w:rPr>
      <w:szCs w:val="20"/>
    </w:rPr>
  </w:style>
  <w:style w:type="paragraph" w:customStyle="1" w:styleId="651">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652">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53">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654">
    <w:name w:val="正文 项目"/>
    <w:basedOn w:val="1"/>
    <w:uiPriority w:val="0"/>
    <w:pPr>
      <w:widowControl/>
      <w:tabs>
        <w:tab w:val="left" w:pos="840"/>
      </w:tabs>
      <w:spacing w:after="120" w:afterLines="0" w:line="440" w:lineRule="exact"/>
      <w:ind w:left="840" w:hanging="420"/>
      <w:jc w:val="left"/>
    </w:pPr>
    <w:rPr>
      <w:rFonts w:ascii="仿宋_GB2312" w:hAnsi="仿宋_GB2312" w:eastAsia="仿宋_GB2312"/>
      <w:sz w:val="24"/>
      <w:szCs w:val="20"/>
    </w:rPr>
  </w:style>
  <w:style w:type="paragraph" w:customStyle="1" w:styleId="655">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656">
    <w:name w:val="正文（首行缩进2字符）"/>
    <w:basedOn w:val="1"/>
    <w:uiPriority w:val="0"/>
    <w:pPr>
      <w:adjustRightInd/>
      <w:spacing w:line="360" w:lineRule="auto"/>
      <w:ind w:firstLine="480" w:firstLineChars="200"/>
    </w:pPr>
    <w:rPr>
      <w:sz w:val="24"/>
      <w:szCs w:val="20"/>
    </w:rPr>
  </w:style>
  <w:style w:type="paragraph" w:customStyle="1" w:styleId="657">
    <w:name w:val="列出段落1"/>
    <w:basedOn w:val="1"/>
    <w:uiPriority w:val="0"/>
    <w:pPr>
      <w:adjustRightInd/>
      <w:spacing w:line="360" w:lineRule="auto"/>
      <w:ind w:firstLine="420" w:firstLineChars="200"/>
    </w:pPr>
    <w:rPr>
      <w:rFonts w:ascii="Calibri" w:hAnsi="Calibri"/>
      <w:sz w:val="24"/>
      <w:szCs w:val="22"/>
    </w:rPr>
  </w:style>
  <w:style w:type="paragraph" w:customStyle="1" w:styleId="658">
    <w:name w:val="p0"/>
    <w:basedOn w:val="1"/>
    <w:uiPriority w:val="0"/>
    <w:pPr>
      <w:widowControl/>
      <w:adjustRightInd/>
    </w:pPr>
    <w:rPr>
      <w:kern w:val="0"/>
      <w:szCs w:val="21"/>
    </w:rPr>
  </w:style>
  <w:style w:type="paragraph" w:customStyle="1" w:styleId="659">
    <w:name w:val=" Char3"/>
    <w:basedOn w:val="1"/>
    <w:uiPriority w:val="0"/>
    <w:pPr>
      <w:adjustRightInd/>
    </w:pPr>
    <w:rPr>
      <w:rFonts w:ascii="仿宋_GB2312" w:eastAsia="仿宋_GB2312"/>
      <w:b/>
      <w:sz w:val="32"/>
      <w:szCs w:val="32"/>
    </w:rPr>
  </w:style>
  <w:style w:type="paragraph" w:customStyle="1" w:styleId="660">
    <w:name w:val="subhead 2"/>
    <w:uiPriority w:val="0"/>
    <w:pPr>
      <w:spacing w:after="60" w:line="240" w:lineRule="exact"/>
    </w:pPr>
    <w:rPr>
      <w:rFonts w:ascii="Arial" w:hAnsi="Arial"/>
      <w:b/>
      <w:sz w:val="22"/>
      <w:lang w:val="en-US" w:eastAsia="en-US" w:bidi="ar-SA"/>
    </w:rPr>
  </w:style>
  <w:style w:type="paragraph" w:customStyle="1" w:styleId="661">
    <w:name w:val="样式 标题 2标题2H2Heading 2 HiddenHeading 2 CCBSheading 22nd lev..."/>
    <w:basedOn w:val="3"/>
    <w:uiPriority w:val="0"/>
    <w:pPr>
      <w:widowControl/>
      <w:spacing w:before="260" w:beforeLines="0" w:after="260" w:afterLines="0" w:line="415" w:lineRule="auto"/>
      <w:ind w:left="0" w:firstLine="0"/>
    </w:pPr>
    <w:rPr>
      <w:rFonts w:ascii="Arial" w:hAnsi="Arial" w:eastAsia="黑体"/>
      <w:sz w:val="30"/>
      <w:szCs w:val="21"/>
    </w:rPr>
  </w:style>
  <w:style w:type="paragraph" w:customStyle="1" w:styleId="662">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663">
    <w:name w:val="xl91"/>
    <w:basedOn w:val="1"/>
    <w:uiPriority w:val="0"/>
    <w:pPr>
      <w:widowControl/>
      <w:pBdr>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64">
    <w:name w:val="xl138"/>
    <w:basedOn w:val="1"/>
    <w:uiPriority w:val="0"/>
    <w:pPr>
      <w:widowControl/>
      <w:pBdr>
        <w:right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66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666">
    <w:name w:val="编号正文"/>
    <w:basedOn w:val="1"/>
    <w:uiPriority w:val="0"/>
    <w:pPr>
      <w:numPr>
        <w:ilvl w:val="0"/>
        <w:numId w:val="11"/>
      </w:numPr>
      <w:adjustRightInd/>
    </w:pPr>
    <w:rPr>
      <w:rFonts w:ascii="Tahoma" w:hAnsi="Tahoma"/>
      <w:sz w:val="24"/>
      <w:szCs w:val="20"/>
    </w:rPr>
  </w:style>
  <w:style w:type="paragraph" w:customStyle="1" w:styleId="667">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68">
    <w:name w:val="font15"/>
    <w:basedOn w:val="1"/>
    <w:uiPriority w:val="0"/>
    <w:pPr>
      <w:widowControl/>
      <w:adjustRightInd/>
      <w:spacing w:before="100" w:beforeLines="0" w:beforeAutospacing="1" w:after="100" w:afterLines="0" w:afterAutospacing="1"/>
      <w:jc w:val="left"/>
    </w:pPr>
    <w:rPr>
      <w:rFonts w:ascii="宋体" w:hAnsi="宋体" w:cs="宋体"/>
      <w:color w:val="FF0000"/>
      <w:kern w:val="0"/>
      <w:sz w:val="24"/>
    </w:rPr>
  </w:style>
  <w:style w:type="paragraph" w:customStyle="1" w:styleId="669">
    <w:name w:val="MM Title"/>
    <w:basedOn w:val="81"/>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670">
    <w:name w:val=" Char Char Char Char"/>
    <w:basedOn w:val="1"/>
    <w:uiPriority w:val="0"/>
    <w:rPr>
      <w:rFonts w:ascii="Tahoma" w:hAnsi="Tahoma"/>
      <w:sz w:val="24"/>
      <w:szCs w:val="20"/>
    </w:rPr>
  </w:style>
  <w:style w:type="paragraph" w:customStyle="1" w:styleId="671">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2">
    <w:name w:val="表格标题2"/>
    <w:basedOn w:val="593"/>
    <w:uiPriority w:val="0"/>
    <w:rPr>
      <w:b/>
    </w:rPr>
  </w:style>
  <w:style w:type="paragraph" w:customStyle="1" w:styleId="673">
    <w:name w:val="表格文字"/>
    <w:basedOn w:val="1"/>
    <w:next w:val="19"/>
    <w:uiPriority w:val="0"/>
    <w:pPr>
      <w:adjustRightInd/>
      <w:ind w:firstLine="200" w:firstLineChars="200"/>
    </w:pPr>
    <w:rPr>
      <w:rFonts w:ascii="Arial" w:hAnsi="Arial"/>
      <w:spacing w:val="-5"/>
      <w:kern w:val="0"/>
      <w:sz w:val="24"/>
      <w:szCs w:val="20"/>
    </w:rPr>
  </w:style>
  <w:style w:type="paragraph" w:customStyle="1" w:styleId="674">
    <w:name w:val="xl102"/>
    <w:basedOn w:val="1"/>
    <w:uiPriority w:val="0"/>
    <w:pPr>
      <w:widowControl/>
      <w:pBdr>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675">
    <w:name w:val="深色列表 - 强调文字颜色 51"/>
    <w:basedOn w:val="1"/>
    <w:uiPriority w:val="0"/>
    <w:pPr>
      <w:adjustRightInd/>
      <w:spacing w:line="360" w:lineRule="auto"/>
      <w:ind w:firstLine="200" w:firstLineChars="200"/>
    </w:pPr>
    <w:rPr>
      <w:rFonts w:eastAsia="楷体_GB2312" w:cs="Lucida Sans"/>
      <w:sz w:val="24"/>
    </w:rPr>
  </w:style>
  <w:style w:type="paragraph" w:customStyle="1" w:styleId="676">
    <w:name w:val="xl135"/>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677">
    <w:name w:val=" Char Char Char Char Char Char Char Char Char Char Char Char1 Char"/>
    <w:basedOn w:val="1"/>
    <w:uiPriority w:val="0"/>
    <w:rPr>
      <w:rFonts w:ascii="Tahoma" w:hAnsi="Tahoma" w:cs="仿宋_GB2312"/>
      <w:sz w:val="24"/>
      <w:szCs w:val="20"/>
    </w:rPr>
  </w:style>
  <w:style w:type="paragraph" w:customStyle="1" w:styleId="678">
    <w:name w:val="Char Char Char1 Char"/>
    <w:basedOn w:val="1"/>
    <w:uiPriority w:val="0"/>
    <w:rPr>
      <w:szCs w:val="20"/>
    </w:rPr>
  </w:style>
  <w:style w:type="paragraph" w:customStyle="1" w:styleId="679">
    <w:name w:val="数字标题5"/>
    <w:basedOn w:val="6"/>
    <w:next w:val="1"/>
    <w:uiPriority w:val="0"/>
    <w:pPr>
      <w:numPr>
        <w:ilvl w:val="4"/>
        <w:numId w:val="8"/>
      </w:numPr>
      <w:tabs>
        <w:tab w:val="clear" w:pos="1008"/>
      </w:tabs>
    </w:pPr>
  </w:style>
  <w:style w:type="paragraph" w:customStyle="1" w:styleId="680">
    <w:name w:val="正文（标题三）"/>
    <w:basedOn w:val="1"/>
    <w:uiPriority w:val="0"/>
    <w:pPr>
      <w:spacing w:line="360" w:lineRule="auto"/>
      <w:ind w:firstLine="200" w:firstLineChars="200"/>
    </w:pPr>
    <w:rPr>
      <w:sz w:val="24"/>
    </w:rPr>
  </w:style>
  <w:style w:type="paragraph" w:customStyle="1" w:styleId="681">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82">
    <w:name w:val="图中文字"/>
    <w:basedOn w:val="1"/>
    <w:uiPriority w:val="0"/>
    <w:pPr>
      <w:snapToGrid w:val="0"/>
      <w:spacing w:line="0" w:lineRule="atLeast"/>
      <w:ind w:firstLine="200" w:firstLineChars="200"/>
      <w:jc w:val="center"/>
    </w:pPr>
    <w:rPr>
      <w:sz w:val="24"/>
      <w:szCs w:val="20"/>
    </w:rPr>
  </w:style>
  <w:style w:type="paragraph" w:customStyle="1" w:styleId="683">
    <w:name w:val="四号　首行缩进"/>
    <w:basedOn w:val="1"/>
    <w:uiPriority w:val="0"/>
    <w:pPr>
      <w:adjustRightInd/>
      <w:spacing w:line="360" w:lineRule="auto"/>
    </w:pPr>
    <w:rPr>
      <w:rFonts w:ascii="宋体" w:hAnsi="宋体"/>
      <w:szCs w:val="20"/>
    </w:rPr>
  </w:style>
  <w:style w:type="paragraph" w:customStyle="1" w:styleId="684">
    <w:name w:val="序列1)2)3)"/>
    <w:basedOn w:val="1"/>
    <w:next w:val="1"/>
    <w:uiPriority w:val="0"/>
    <w:pPr>
      <w:widowControl/>
      <w:numPr>
        <w:ilvl w:val="1"/>
        <w:numId w:val="9"/>
      </w:numPr>
      <w:tabs>
        <w:tab w:val="left" w:pos="1366"/>
        <w:tab w:val="clear" w:pos="1588"/>
      </w:tabs>
      <w:snapToGrid w:val="0"/>
      <w:spacing w:line="400" w:lineRule="atLeast"/>
      <w:ind w:left="1366" w:hanging="500"/>
      <w:textAlignment w:val="baseline"/>
    </w:pPr>
    <w:rPr>
      <w:rFonts w:ascii="Calibri" w:hAnsi="Calibri"/>
      <w:sz w:val="24"/>
    </w:rPr>
  </w:style>
  <w:style w:type="paragraph" w:customStyle="1" w:styleId="685">
    <w:name w:val="EB_表格"/>
    <w:basedOn w:val="1"/>
    <w:uiPriority w:val="0"/>
    <w:pPr>
      <w:adjustRightInd/>
      <w:spacing w:line="300" w:lineRule="auto"/>
      <w:jc w:val="center"/>
    </w:pPr>
  </w:style>
  <w:style w:type="paragraph" w:customStyle="1" w:styleId="686">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87">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688">
    <w:name w:val="Char Char1 Char Char Char Char Char Char Char1"/>
    <w:basedOn w:val="1"/>
    <w:uiPriority w:val="0"/>
    <w:pPr>
      <w:adjustRightInd/>
    </w:pPr>
    <w:rPr>
      <w:rFonts w:ascii="Tahoma" w:hAnsi="Tahoma" w:eastAsia="仿宋_GB2312"/>
      <w:sz w:val="28"/>
    </w:rPr>
  </w:style>
  <w:style w:type="paragraph" w:customStyle="1" w:styleId="689">
    <w:name w:val="正文1"/>
    <w:basedOn w:val="42"/>
    <w:uiPriority w:val="0"/>
    <w:pPr>
      <w:ind w:left="0" w:leftChars="0" w:firstLine="480" w:firstLineChars="200"/>
    </w:pPr>
    <w:rPr>
      <w:rFonts w:ascii="仿宋_GB2312" w:hAnsi="Courier New" w:eastAsia="仿宋_GB2312"/>
      <w:kern w:val="28"/>
      <w:sz w:val="24"/>
    </w:rPr>
  </w:style>
  <w:style w:type="paragraph" w:customStyle="1" w:styleId="690">
    <w:name w:val="标准有序列表（L1）"/>
    <w:basedOn w:val="19"/>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91">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92">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693">
    <w:name w:val="单元格左对齐"/>
    <w:basedOn w:val="1"/>
    <w:uiPriority w:val="0"/>
    <w:pPr>
      <w:adjustRightInd/>
      <w:spacing w:line="360" w:lineRule="auto"/>
    </w:pPr>
    <w:rPr>
      <w:sz w:val="24"/>
    </w:rPr>
  </w:style>
  <w:style w:type="paragraph" w:customStyle="1" w:styleId="694">
    <w:name w:val="Char2 Char Char"/>
    <w:basedOn w:val="1"/>
    <w:uiPriority w:val="0"/>
    <w:pPr>
      <w:adjustRightInd/>
    </w:pPr>
    <w:rPr>
      <w:rFonts w:ascii="Tahoma" w:hAnsi="Tahoma"/>
      <w:sz w:val="24"/>
      <w:szCs w:val="20"/>
    </w:rPr>
  </w:style>
  <w:style w:type="paragraph" w:customStyle="1" w:styleId="695">
    <w:name w:val=" Char Char Char Char Char Char Char Char Char Char"/>
    <w:basedOn w:val="1"/>
    <w:uiPriority w:val="0"/>
    <w:rPr>
      <w:rFonts w:ascii="仿宋_GB2312" w:eastAsia="仿宋_GB2312"/>
      <w:b/>
      <w:sz w:val="32"/>
      <w:szCs w:val="32"/>
    </w:rPr>
  </w:style>
  <w:style w:type="paragraph" w:customStyle="1" w:styleId="696">
    <w:name w:val="xl117"/>
    <w:basedOn w:val="1"/>
    <w:uiPriority w:val="0"/>
    <w:pPr>
      <w:widowControl/>
      <w:pBdr>
        <w:left w:val="single" w:color="auto" w:sz="12" w:space="0"/>
        <w:bottom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 w:val="20"/>
      <w:szCs w:val="20"/>
    </w:rPr>
  </w:style>
  <w:style w:type="paragraph" w:customStyle="1" w:styleId="697">
    <w:name w:val="Char"/>
    <w:basedOn w:val="1"/>
    <w:uiPriority w:val="0"/>
    <w:rPr>
      <w:rFonts w:ascii="仿宋_GB2312" w:eastAsia="仿宋_GB2312"/>
      <w:b/>
      <w:sz w:val="32"/>
      <w:szCs w:val="32"/>
    </w:rPr>
  </w:style>
  <w:style w:type="paragraph" w:customStyle="1" w:styleId="698">
    <w:name w:val="xl100"/>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699">
    <w:name w:val="xl108"/>
    <w:basedOn w:val="1"/>
    <w:uiPriority w:val="0"/>
    <w:pPr>
      <w:widowControl/>
      <w:pBdr>
        <w:top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700">
    <w:name w:val="正文 项目2"/>
    <w:basedOn w:val="654"/>
    <w:uiPriority w:val="0"/>
    <w:pPr>
      <w:numPr>
        <w:ilvl w:val="0"/>
        <w:numId w:val="12"/>
      </w:numPr>
      <w:tabs>
        <w:tab w:val="clear" w:pos="840"/>
      </w:tabs>
      <w:spacing w:after="0" w:afterLines="0"/>
    </w:pPr>
  </w:style>
  <w:style w:type="paragraph" w:customStyle="1" w:styleId="701">
    <w:name w:val="xl131"/>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702">
    <w:name w:val="Table Cell"/>
    <w:uiPriority w:val="0"/>
    <w:pPr>
      <w:adjustRightInd w:val="0"/>
      <w:snapToGrid w:val="0"/>
      <w:spacing w:before="20" w:after="20"/>
    </w:pPr>
    <w:rPr>
      <w:rFonts w:ascii="Courier New" w:hAnsi="Courier New"/>
      <w:sz w:val="24"/>
      <w:lang w:val="en-US" w:eastAsia="zh-CN" w:bidi="ar-SA"/>
    </w:rPr>
  </w:style>
  <w:style w:type="paragraph" w:customStyle="1" w:styleId="703">
    <w:name w:val="_Style 2"/>
    <w:basedOn w:val="1"/>
    <w:qFormat/>
    <w:uiPriority w:val="0"/>
    <w:pPr>
      <w:spacing w:line="360" w:lineRule="auto"/>
      <w:ind w:firstLine="200" w:firstLineChars="200"/>
    </w:pPr>
    <w:rPr>
      <w:rFonts w:eastAsia="楷体_GB2312"/>
      <w:sz w:val="24"/>
    </w:rPr>
  </w:style>
  <w:style w:type="paragraph" w:customStyle="1" w:styleId="704">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05">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06">
    <w:name w:val="xl67"/>
    <w:basedOn w:val="1"/>
    <w:uiPriority w:val="0"/>
    <w:pPr>
      <w:widowControl/>
      <w:shd w:val="clear" w:color="000000" w:fill="FFFFFF"/>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707">
    <w:name w:val="xl113"/>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708">
    <w:name w:val="Bulleting First Indent 1"/>
    <w:basedOn w:val="83"/>
    <w:uiPriority w:val="0"/>
    <w:pPr>
      <w:tabs>
        <w:tab w:val="left" w:pos="840"/>
      </w:tabs>
      <w:autoSpaceDE/>
      <w:autoSpaceDN/>
      <w:adjustRightInd/>
      <w:spacing w:before="20" w:beforeLines="0" w:after="20" w:afterLines="0" w:line="300" w:lineRule="auto"/>
      <w:ind w:left="840" w:hanging="420"/>
    </w:pPr>
    <w:rPr>
      <w:rFonts w:ascii="Tahoma" w:hAnsi="Tahoma"/>
      <w:kern w:val="0"/>
      <w:sz w:val="21"/>
      <w:szCs w:val="21"/>
      <w:lang w:val="en-US" w:eastAsia="zh-CN"/>
    </w:rPr>
  </w:style>
  <w:style w:type="paragraph" w:customStyle="1" w:styleId="709">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710">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711">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712">
    <w:name w:val="xl122"/>
    <w:basedOn w:val="1"/>
    <w:uiPriority w:val="0"/>
    <w:pPr>
      <w:widowControl/>
      <w:pBdr>
        <w:top w:val="single" w:color="auto" w:sz="8" w:space="0"/>
        <w:bottom w:val="single" w:color="auto" w:sz="8" w:space="0"/>
        <w:right w:val="single" w:color="auto" w:sz="12"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713">
    <w:name w:val="CM14"/>
    <w:basedOn w:val="409"/>
    <w:next w:val="409"/>
    <w:uiPriority w:val="0"/>
    <w:pPr>
      <w:spacing w:after="68" w:afterLines="0"/>
    </w:pPr>
    <w:rPr>
      <w:rFonts w:ascii="FHLHE E+ Futura Bk" w:eastAsia="FHLHE E+ Futura Bk" w:cs="Times New Roman"/>
      <w:color w:val="auto"/>
    </w:rPr>
  </w:style>
  <w:style w:type="paragraph" w:customStyle="1" w:styleId="714">
    <w:name w:val="Char Char Char Char Char Char Char Char"/>
    <w:basedOn w:val="1"/>
    <w:uiPriority w:val="0"/>
    <w:pPr>
      <w:tabs>
        <w:tab w:val="left" w:pos="360"/>
      </w:tabs>
    </w:pPr>
    <w:rPr>
      <w:sz w:val="24"/>
      <w:szCs w:val="20"/>
    </w:rPr>
  </w:style>
  <w:style w:type="paragraph" w:customStyle="1" w:styleId="715">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716">
    <w:name w:val="正文 编号"/>
    <w:basedOn w:val="1"/>
    <w:uiPriority w:val="0"/>
    <w:pPr>
      <w:widowControl/>
      <w:tabs>
        <w:tab w:val="left" w:pos="840"/>
      </w:tabs>
      <w:spacing w:after="120" w:afterLines="0" w:line="440" w:lineRule="exact"/>
      <w:ind w:left="840" w:hanging="420"/>
      <w:jc w:val="left"/>
    </w:pPr>
    <w:rPr>
      <w:rFonts w:ascii="仿宋_GB2312" w:hAnsi="仿宋_GB2312" w:eastAsia="仿宋_GB2312"/>
      <w:sz w:val="24"/>
      <w:szCs w:val="20"/>
    </w:rPr>
  </w:style>
  <w:style w:type="paragraph" w:customStyle="1" w:styleId="717">
    <w:name w:val="五级条标题"/>
    <w:basedOn w:val="718"/>
    <w:next w:val="344"/>
    <w:uiPriority w:val="0"/>
    <w:pPr>
      <w:numPr>
        <w:ilvl w:val="6"/>
        <w:numId w:val="4"/>
      </w:numPr>
      <w:outlineLvl w:val="6"/>
    </w:pPr>
  </w:style>
  <w:style w:type="paragraph" w:customStyle="1" w:styleId="718">
    <w:name w:val="四级条标题"/>
    <w:basedOn w:val="352"/>
    <w:next w:val="344"/>
    <w:uiPriority w:val="0"/>
    <w:pPr>
      <w:numPr>
        <w:ilvl w:val="5"/>
        <w:numId w:val="4"/>
      </w:numPr>
      <w:tabs>
        <w:tab w:val="clear" w:pos="2520"/>
      </w:tabs>
      <w:outlineLvl w:val="5"/>
    </w:pPr>
  </w:style>
  <w:style w:type="paragraph" w:customStyle="1" w:styleId="719">
    <w:name w:val="样式 正文文本缩进 2 + 仿宋_GB2312 黑色 行距: 1.5 倍行距"/>
    <w:basedOn w:val="49"/>
    <w:uiPriority w:val="0"/>
    <w:pPr>
      <w:adjustRightInd/>
      <w:ind w:firstLine="560" w:firstLineChars="200"/>
      <w:textAlignment w:val="auto"/>
    </w:pPr>
    <w:rPr>
      <w:rFonts w:hAnsi="宋体" w:cs="宋体"/>
      <w:color w:val="000000"/>
      <w:kern w:val="2"/>
      <w:sz w:val="24"/>
    </w:rPr>
  </w:style>
  <w:style w:type="paragraph" w:customStyle="1" w:styleId="720">
    <w:name w:val="标书表格字体格式"/>
    <w:next w:val="589"/>
    <w:uiPriority w:val="0"/>
    <w:rPr>
      <w:kern w:val="2"/>
      <w:sz w:val="21"/>
      <w:szCs w:val="24"/>
      <w:lang w:val="en-US" w:eastAsia="zh-CN" w:bidi="ar-SA"/>
    </w:rPr>
  </w:style>
  <w:style w:type="paragraph" w:customStyle="1" w:styleId="721">
    <w:name w:val="Char3 Char Char Char"/>
    <w:basedOn w:val="1"/>
    <w:uiPriority w:val="0"/>
    <w:pPr>
      <w:widowControl/>
      <w:adjustRightInd/>
      <w:spacing w:after="160" w:afterLines="0" w:line="240" w:lineRule="exact"/>
      <w:jc w:val="left"/>
    </w:pPr>
    <w:rPr>
      <w:szCs w:val="20"/>
    </w:rPr>
  </w:style>
  <w:style w:type="paragraph" w:customStyle="1" w:styleId="722">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23">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24">
    <w:name w:val="数字标题2"/>
    <w:basedOn w:val="3"/>
    <w:next w:val="1"/>
    <w:uiPriority w:val="0"/>
    <w:pPr>
      <w:numPr>
        <w:ilvl w:val="1"/>
        <w:numId w:val="8"/>
      </w:numPr>
      <w:tabs>
        <w:tab w:val="clear" w:pos="432"/>
      </w:tabs>
    </w:pPr>
    <w:rPr>
      <w:rFonts w:ascii="Times New Roman" w:eastAsia="宋体"/>
      <w:i/>
      <w:sz w:val="36"/>
      <w:szCs w:val="36"/>
      <w:lang w:val="en-US"/>
    </w:rPr>
  </w:style>
  <w:style w:type="paragraph" w:customStyle="1" w:styleId="725">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26">
    <w:name w:val="Char Char11 Char Char Char Char Char Char Char Char Char"/>
    <w:basedOn w:val="1"/>
    <w:uiPriority w:val="0"/>
    <w:pPr>
      <w:spacing w:line="360" w:lineRule="auto"/>
    </w:pPr>
    <w:rPr>
      <w:szCs w:val="20"/>
    </w:rPr>
  </w:style>
  <w:style w:type="paragraph" w:customStyle="1" w:styleId="727">
    <w:name w:val=" Char1 Char Char Char"/>
    <w:basedOn w:val="1"/>
    <w:uiPriority w:val="0"/>
    <w:rPr>
      <w:rFonts w:ascii="Tahoma" w:hAnsi="Tahoma"/>
      <w:sz w:val="24"/>
      <w:szCs w:val="20"/>
    </w:rPr>
  </w:style>
  <w:style w:type="paragraph" w:customStyle="1" w:styleId="728">
    <w:name w:val="文档正文"/>
    <w:basedOn w:val="1"/>
    <w:uiPriority w:val="0"/>
    <w:pPr>
      <w:adjustRightInd w:val="0"/>
      <w:spacing w:line="480" w:lineRule="atLeast"/>
      <w:ind w:firstLine="567"/>
      <w:textAlignment w:val="baseline"/>
    </w:pPr>
    <w:rPr>
      <w:kern w:val="0"/>
      <w:sz w:val="24"/>
      <w:szCs w:val="20"/>
    </w:rPr>
  </w:style>
  <w:style w:type="paragraph" w:customStyle="1" w:styleId="729">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730">
    <w:name w:val="xl86"/>
    <w:basedOn w:val="1"/>
    <w:uiPriority w:val="0"/>
    <w:pPr>
      <w:widowControl/>
      <w:pBdr>
        <w:top w:val="single" w:color="auto" w:sz="4" w:space="0"/>
        <w:lef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31">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732">
    <w:name w:val="xl115"/>
    <w:basedOn w:val="1"/>
    <w:uiPriority w:val="0"/>
    <w:pPr>
      <w:widowControl/>
      <w:pBdr>
        <w:top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733">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34">
    <w:name w:val=" Char"/>
    <w:basedOn w:val="1"/>
    <w:uiPriority w:val="0"/>
    <w:rPr>
      <w:rFonts w:ascii="仿宋_GB2312" w:eastAsia="仿宋_GB2312"/>
      <w:b/>
      <w:sz w:val="32"/>
      <w:szCs w:val="32"/>
    </w:rPr>
  </w:style>
  <w:style w:type="paragraph" w:customStyle="1" w:styleId="735">
    <w:name w:val="xl80"/>
    <w:basedOn w:val="1"/>
    <w:uiPriority w:val="0"/>
    <w:pPr>
      <w:widowControl/>
      <w:pBdr>
        <w:top w:val="single" w:color="auto" w:sz="4" w:space="0"/>
        <w:left w:val="single" w:color="auto" w:sz="8"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36">
    <w:name w:val="_Style 423"/>
    <w:next w:val="1"/>
    <w:uiPriority w:val="0"/>
    <w:pPr>
      <w:widowControl w:val="0"/>
      <w:adjustRightInd w:val="0"/>
      <w:jc w:val="both"/>
    </w:pPr>
    <w:rPr>
      <w:kern w:val="2"/>
      <w:sz w:val="21"/>
      <w:szCs w:val="24"/>
      <w:lang w:val="en-US" w:eastAsia="zh-CN" w:bidi="ar-SA"/>
    </w:rPr>
  </w:style>
  <w:style w:type="paragraph" w:customStyle="1" w:styleId="737">
    <w:name w:val="默认段落字体 Para Char Char Char Char Char Char Char"/>
    <w:basedOn w:val="1"/>
    <w:uiPriority w:val="0"/>
    <w:rPr>
      <w:rFonts w:eastAsia="仿宋_GB2312"/>
      <w:sz w:val="28"/>
      <w:szCs w:val="20"/>
    </w:rPr>
  </w:style>
  <w:style w:type="paragraph" w:customStyle="1" w:styleId="738">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39">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740">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741">
    <w:name w:val="标题 41"/>
    <w:basedOn w:val="1"/>
    <w:next w:val="1"/>
    <w:uiPriority w:val="0"/>
    <w:pPr>
      <w:keepNext/>
      <w:keepLines/>
      <w:adjustRightInd/>
      <w:spacing w:before="280" w:beforeLines="0" w:after="290" w:afterLines="0" w:line="374" w:lineRule="auto"/>
      <w:outlineLvl w:val="3"/>
    </w:pPr>
    <w:rPr>
      <w:rFonts w:ascii="Cambria" w:hAnsi="Cambria"/>
      <w:b/>
      <w:bCs/>
      <w:sz w:val="28"/>
      <w:szCs w:val="28"/>
    </w:rPr>
  </w:style>
  <w:style w:type="paragraph" w:customStyle="1" w:styleId="742">
    <w:name w:val="表格（小）"/>
    <w:basedOn w:val="1"/>
    <w:uiPriority w:val="0"/>
    <w:pPr>
      <w:adjustRightInd/>
      <w:snapToGrid w:val="0"/>
      <w:spacing w:line="300" w:lineRule="auto"/>
    </w:pPr>
    <w:rPr>
      <w:rFonts w:eastAsia="仿宋"/>
      <w:szCs w:val="21"/>
    </w:rPr>
  </w:style>
  <w:style w:type="paragraph" w:customStyle="1" w:styleId="743">
    <w:name w:val=" Char2 Char Char"/>
    <w:basedOn w:val="1"/>
    <w:uiPriority w:val="0"/>
    <w:pPr>
      <w:adjustRightInd/>
    </w:pPr>
    <w:rPr>
      <w:rFonts w:ascii="Tahoma" w:hAnsi="Tahoma"/>
      <w:sz w:val="24"/>
      <w:szCs w:val="20"/>
    </w:rPr>
  </w:style>
  <w:style w:type="paragraph" w:customStyle="1" w:styleId="744">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745">
    <w:name w:val="FUNO题注"/>
    <w:next w:val="1"/>
    <w:uiPriority w:val="0"/>
    <w:pPr>
      <w:jc w:val="center"/>
    </w:pPr>
    <w:rPr>
      <w:rFonts w:eastAsia="黑体"/>
      <w:kern w:val="2"/>
      <w:sz w:val="18"/>
      <w:szCs w:val="22"/>
      <w:lang w:val="en-US" w:eastAsia="zh-CN" w:bidi="ar-SA"/>
    </w:rPr>
  </w:style>
  <w:style w:type="paragraph" w:styleId="746">
    <w:name w:val="No Spacing"/>
    <w:qFormat/>
    <w:uiPriority w:val="0"/>
    <w:pPr>
      <w:widowControl w:val="0"/>
      <w:jc w:val="both"/>
    </w:pPr>
    <w:rPr>
      <w:kern w:val="2"/>
      <w:sz w:val="21"/>
      <w:szCs w:val="22"/>
      <w:lang w:val="en-US" w:eastAsia="zh-CN" w:bidi="ar-SA"/>
    </w:rPr>
  </w:style>
  <w:style w:type="paragraph" w:customStyle="1" w:styleId="747">
    <w:name w:val="xl94"/>
    <w:basedOn w:val="1"/>
    <w:uiPriority w:val="0"/>
    <w:pPr>
      <w:widowControl/>
      <w:pBdr>
        <w:top w:val="single" w:color="auto" w:sz="8" w:space="0"/>
        <w:left w:val="single" w:color="auto" w:sz="12"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748">
    <w:name w:val="表格"/>
    <w:basedOn w:val="1"/>
    <w:uiPriority w:val="0"/>
    <w:pPr>
      <w:snapToGrid w:val="0"/>
      <w:ind w:firstLine="42" w:firstLineChars="21"/>
    </w:pPr>
    <w:rPr>
      <w:rFonts w:ascii="宋体" w:hAnsi="宋体"/>
      <w:kern w:val="0"/>
      <w:sz w:val="20"/>
      <w:szCs w:val="20"/>
    </w:rPr>
  </w:style>
  <w:style w:type="paragraph" w:customStyle="1" w:styleId="749">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750">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751">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52">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753">
    <w:name w:val="Char1 Char Char Char3"/>
    <w:basedOn w:val="1"/>
    <w:uiPriority w:val="0"/>
    <w:pPr>
      <w:adjustRightInd/>
      <w:ind w:firstLine="200" w:firstLineChars="200"/>
    </w:pPr>
    <w:rPr>
      <w:rFonts w:ascii="Tahoma" w:hAnsi="Tahoma"/>
      <w:sz w:val="24"/>
      <w:szCs w:val="20"/>
    </w:rPr>
  </w:style>
  <w:style w:type="paragraph" w:customStyle="1" w:styleId="754">
    <w:name w:val="xl87"/>
    <w:basedOn w:val="1"/>
    <w:uiPriority w:val="0"/>
    <w:pPr>
      <w:widowControl/>
      <w:pBdr>
        <w:top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55">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756">
    <w:name w:val="样式 正文文本缩进 + 段前: 2 字符"/>
    <w:basedOn w:val="1"/>
    <w:uiPriority w:val="0"/>
    <w:pPr>
      <w:adjustRightInd/>
      <w:ind w:left="420" w:leftChars="200"/>
      <w:jc w:val="left"/>
    </w:pPr>
    <w:rPr>
      <w:sz w:val="28"/>
      <w:szCs w:val="20"/>
      <w:lang w:eastAsia="zh-TW"/>
    </w:rPr>
  </w:style>
  <w:style w:type="paragraph" w:customStyle="1" w:styleId="757">
    <w:name w:val="Char1 Char Char Char Char Char Char Char Char Char"/>
    <w:basedOn w:val="1"/>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758">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759">
    <w:name w:val="模板普通正文"/>
    <w:basedOn w:val="3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760">
    <w:name w:val="UNI_正文"/>
    <w:basedOn w:val="1"/>
    <w:uiPriority w:val="0"/>
    <w:pPr>
      <w:adjustRightInd/>
      <w:spacing w:before="60" w:beforeLines="0" w:after="60" w:afterLines="0"/>
      <w:ind w:firstLine="200" w:firstLineChars="200"/>
    </w:pPr>
    <w:rPr>
      <w:rFonts w:eastAsia="仿宋_GB2312"/>
      <w:sz w:val="28"/>
      <w:szCs w:val="20"/>
    </w:rPr>
  </w:style>
  <w:style w:type="paragraph" w:customStyle="1" w:styleId="761">
    <w:name w:val="标准小四"/>
    <w:basedOn w:val="1"/>
    <w:uiPriority w:val="0"/>
    <w:pPr>
      <w:spacing w:line="360" w:lineRule="auto"/>
      <w:ind w:firstLine="480" w:firstLineChars="200"/>
    </w:pPr>
    <w:rPr>
      <w:rFonts w:ascii="Arial" w:hAnsi="Arial"/>
      <w:sz w:val="24"/>
      <w:szCs w:val="21"/>
    </w:rPr>
  </w:style>
  <w:style w:type="paragraph" w:customStyle="1" w:styleId="762">
    <w:name w:val="封面"/>
    <w:basedOn w:val="1"/>
    <w:uiPriority w:val="0"/>
    <w:pPr>
      <w:spacing w:line="360" w:lineRule="atLeast"/>
      <w:jc w:val="right"/>
      <w:textAlignment w:val="baseline"/>
    </w:pPr>
    <w:rPr>
      <w:rFonts w:ascii="Symbol" w:hAnsi="Symbol"/>
      <w:kern w:val="0"/>
      <w:szCs w:val="20"/>
    </w:rPr>
  </w:style>
  <w:style w:type="paragraph" w:customStyle="1" w:styleId="763">
    <w:name w:val="xl66"/>
    <w:basedOn w:val="1"/>
    <w:uiPriority w:val="0"/>
    <w:pPr>
      <w:widowControl/>
      <w:shd w:val="clear" w:color="000000" w:fill="FFFF00"/>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764">
    <w:name w:val="xl90"/>
    <w:basedOn w:val="1"/>
    <w:uiPriority w:val="0"/>
    <w:pPr>
      <w:widowControl/>
      <w:pBdr>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65">
    <w:name w:val="trademark"/>
    <w:uiPriority w:val="0"/>
    <w:pPr>
      <w:spacing w:after="60"/>
    </w:pPr>
    <w:rPr>
      <w:rFonts w:ascii="Futura Bk" w:hAnsi="Futura Bk"/>
      <w:sz w:val="15"/>
      <w:lang w:val="en-US" w:eastAsia="en-US" w:bidi="ar-SA"/>
    </w:rPr>
  </w:style>
  <w:style w:type="paragraph" w:styleId="766">
    <w:name w:val=""/>
    <w:basedOn w:val="2"/>
    <w:next w:val="1"/>
    <w:qFormat/>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767">
    <w:name w:val="默认段落样式"/>
    <w:basedOn w:val="312"/>
    <w:uiPriority w:val="0"/>
    <w:pPr>
      <w:spacing w:before="0" w:beforeLines="0"/>
      <w:ind w:firstLine="480"/>
      <w:outlineLvl w:val="2"/>
    </w:pPr>
    <w:rPr>
      <w:rFonts w:ascii="仿宋_GB2312" w:hAnsi="宋体" w:eastAsia="仿宋_GB2312"/>
      <w:color w:val="000000"/>
      <w:szCs w:val="24"/>
    </w:rPr>
  </w:style>
  <w:style w:type="paragraph" w:customStyle="1" w:styleId="768">
    <w:name w:val="Char Char1 Char Char1 Char Char1"/>
    <w:basedOn w:val="1"/>
    <w:uiPriority w:val="0"/>
    <w:pPr>
      <w:tabs>
        <w:tab w:val="left" w:pos="840"/>
      </w:tabs>
      <w:ind w:left="840" w:hanging="420"/>
    </w:pPr>
    <w:rPr>
      <w:rFonts w:ascii="Tahoma" w:hAnsi="Tahoma"/>
      <w:sz w:val="24"/>
    </w:rPr>
  </w:style>
  <w:style w:type="paragraph" w:customStyle="1" w:styleId="769">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70">
    <w:name w:val="4"/>
    <w:basedOn w:val="1"/>
    <w:next w:val="49"/>
    <w:uiPriority w:val="0"/>
    <w:pPr>
      <w:spacing w:after="120" w:afterLines="0" w:line="480" w:lineRule="auto"/>
      <w:ind w:left="420" w:leftChars="200"/>
    </w:pPr>
    <w:rPr>
      <w:sz w:val="24"/>
      <w:szCs w:val="20"/>
    </w:rPr>
  </w:style>
  <w:style w:type="paragraph" w:customStyle="1" w:styleId="771">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772">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3">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774">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75">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color w:val="000000"/>
      <w:kern w:val="0"/>
      <w:sz w:val="20"/>
      <w:szCs w:val="20"/>
    </w:rPr>
  </w:style>
  <w:style w:type="paragraph" w:customStyle="1" w:styleId="776">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77">
    <w:name w:val="正文文字缩进2字"/>
    <w:basedOn w:val="3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778">
    <w:name w:val="xl111"/>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779">
    <w:name w:val="标题五"/>
    <w:basedOn w:val="1"/>
    <w:uiPriority w:val="0"/>
    <w:pPr>
      <w:adjustRightInd/>
      <w:spacing w:before="156" w:beforeLines="50" w:line="360" w:lineRule="auto"/>
    </w:pPr>
    <w:rPr>
      <w:b/>
      <w:sz w:val="24"/>
    </w:rPr>
  </w:style>
  <w:style w:type="paragraph" w:customStyle="1" w:styleId="780">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781">
    <w:name w:val="xl97"/>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782">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783">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84">
    <w:name w:val="xl124"/>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b/>
      <w:bCs/>
      <w:kern w:val="0"/>
      <w:sz w:val="22"/>
      <w:szCs w:val="22"/>
    </w:rPr>
  </w:style>
  <w:style w:type="paragraph" w:customStyle="1" w:styleId="785">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786">
    <w:name w:val="xl132"/>
    <w:basedOn w:val="1"/>
    <w:uiPriority w:val="0"/>
    <w:pPr>
      <w:widowControl/>
      <w:pBdr>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787">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788">
    <w:name w:val="首行缩进"/>
    <w:basedOn w:val="1"/>
    <w:uiPriority w:val="0"/>
    <w:pPr>
      <w:spacing w:line="360" w:lineRule="auto"/>
      <w:ind w:firstLine="480" w:firstLineChars="200"/>
    </w:pPr>
    <w:rPr>
      <w:rFonts w:ascii="宋体"/>
      <w:sz w:val="24"/>
      <w:szCs w:val="20"/>
    </w:rPr>
  </w:style>
  <w:style w:type="paragraph" w:customStyle="1" w:styleId="789">
    <w:name w:val="样式5"/>
    <w:basedOn w:val="1"/>
    <w:uiPriority w:val="0"/>
    <w:pPr>
      <w:spacing w:line="440" w:lineRule="exact"/>
      <w:ind w:left="2" w:firstLine="480" w:firstLineChars="200"/>
    </w:pPr>
    <w:rPr>
      <w:rFonts w:ascii="仿宋_GB2312" w:hAnsi="仿宋" w:eastAsia="仿宋_GB2312"/>
      <w:sz w:val="24"/>
    </w:rPr>
  </w:style>
  <w:style w:type="paragraph" w:customStyle="1" w:styleId="790">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91">
    <w:name w:val=" Char Char1 Char"/>
    <w:basedOn w:val="1"/>
    <w:uiPriority w:val="0"/>
    <w:rPr>
      <w:rFonts w:ascii="仿宋_GB2312" w:eastAsia="仿宋_GB2312"/>
      <w:b/>
      <w:sz w:val="32"/>
      <w:szCs w:val="32"/>
    </w:rPr>
  </w:style>
  <w:style w:type="paragraph" w:customStyle="1" w:styleId="792">
    <w:name w:val=" Char1"/>
    <w:basedOn w:val="1"/>
    <w:uiPriority w:val="0"/>
    <w:rPr>
      <w:rFonts w:ascii="仿宋_GB2312" w:eastAsia="仿宋_GB2312"/>
      <w:b/>
      <w:sz w:val="32"/>
      <w:szCs w:val="32"/>
    </w:rPr>
  </w:style>
  <w:style w:type="paragraph" w:customStyle="1" w:styleId="793">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794">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95">
    <w:name w:val="插图说明"/>
    <w:basedOn w:val="1"/>
    <w:uiPriority w:val="0"/>
    <w:pPr>
      <w:spacing w:after="240" w:afterLines="0"/>
      <w:ind w:firstLineChars="200"/>
      <w:jc w:val="center"/>
      <w:textAlignment w:val="baseline"/>
    </w:pPr>
    <w:rPr>
      <w:rFonts w:eastAsia="黑体"/>
      <w:sz w:val="24"/>
      <w:szCs w:val="20"/>
    </w:rPr>
  </w:style>
  <w:style w:type="paragraph" w:customStyle="1" w:styleId="796">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797">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Group</Company>
  <Pages>79</Pages>
  <Words>7848</Words>
  <Characters>44734</Characters>
  <Lines>372</Lines>
  <Paragraphs>104</Paragraphs>
  <TotalTime>0</TotalTime>
  <ScaleCrop>false</ScaleCrop>
  <LinksUpToDate>false</LinksUpToDate>
  <CharactersWithSpaces>52478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2019-05-10T07:39:00Z</dcterms:created>
  <dc:creator>玥</dc:creator>
  <cp:lastModifiedBy>zcy</cp:lastModifiedBy>
  <cp:lastPrinted>2019-04-04T01:16:00Z</cp:lastPrinted>
  <dcterms:modified xsi:type="dcterms:W3CDTF">2024-01-31T05:22:06Z</dcterms:modified>
  <cp:revision>14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62B30BEC8062498D82B5694D2259EBA3_13</vt:lpwstr>
  </property>
</Properties>
</file>