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杭州第十四中学青山湖学校</w:t>
      </w:r>
      <w:bookmarkStart w:id="409" w:name="_GoBack"/>
      <w:bookmarkEnd w:id="409"/>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多媒体教室二期建设项目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编号:HZZFCG-2024-067</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杭州第十四中学青山湖学校</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九日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杭州第十四中学青山湖学校多媒体教室二期建设项目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2024</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4</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w:t>
      </w:r>
      <w:r>
        <w:rPr>
          <w:rFonts w:hint="eastAsia" w:ascii="宋体" w:hAnsi="宋体" w:cs="宋体"/>
          <w:b/>
          <w:color w:val="auto"/>
          <w:sz w:val="24"/>
          <w:highlight w:val="none"/>
        </w:rPr>
        <w:t>号：</w:t>
      </w:r>
      <w:r>
        <w:rPr>
          <w:rFonts w:hint="eastAsia" w:ascii="宋体" w:hAnsi="宋体" w:cs="宋体"/>
          <w:color w:val="auto"/>
          <w:sz w:val="24"/>
          <w:highlight w:val="none"/>
        </w:rPr>
        <w:t>HZZFCG-2024-067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杭州第十四中学青山湖学校多媒体教室二期建设项目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1952500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1952500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杭州第十四中学青山湖学校多媒体教室二期建设项目主要内容：</w:t>
      </w:r>
      <w:r>
        <w:rPr>
          <w:rFonts w:hAnsi="宋体" w:cs="宋体"/>
          <w:bCs/>
          <w:snapToGrid/>
          <w:color w:val="auto"/>
          <w:kern w:val="2"/>
          <w:sz w:val="24"/>
          <w:szCs w:val="24"/>
          <w:highlight w:val="none"/>
        </w:rPr>
        <w:t>57</w:t>
      </w:r>
      <w:r>
        <w:rPr>
          <w:rFonts w:hint="eastAsia" w:hAnsi="宋体" w:cs="宋体"/>
          <w:bCs/>
          <w:snapToGrid/>
          <w:color w:val="auto"/>
          <w:kern w:val="2"/>
          <w:sz w:val="24"/>
          <w:szCs w:val="24"/>
          <w:highlight w:val="none"/>
        </w:rPr>
        <w:t>个教室的多媒体建设，包括</w:t>
      </w:r>
      <w:r>
        <w:rPr>
          <w:rFonts w:hint="eastAsia" w:asciiTheme="minorEastAsia" w:hAnsiTheme="minorEastAsia" w:eastAsiaTheme="minorEastAsia"/>
          <w:snapToGrid/>
          <w:color w:val="auto"/>
          <w:kern w:val="2"/>
          <w:sz w:val="24"/>
          <w:szCs w:val="24"/>
          <w:highlight w:val="none"/>
        </w:rPr>
        <w:t>智慧黑板</w:t>
      </w:r>
      <w:r>
        <w:rPr>
          <w:rFonts w:asciiTheme="minorEastAsia" w:hAnsiTheme="minorEastAsia" w:eastAsiaTheme="minorEastAsia"/>
          <w:snapToGrid/>
          <w:color w:val="auto"/>
          <w:kern w:val="2"/>
          <w:sz w:val="24"/>
          <w:szCs w:val="24"/>
          <w:highlight w:val="none"/>
        </w:rPr>
        <w:t>57块、内置OPS模块57套、互动教学软件57套、校园设备运维管理系统57套、</w:t>
      </w:r>
      <w:r>
        <w:rPr>
          <w:rFonts w:hint="eastAsia" w:asciiTheme="minorEastAsia" w:hAnsiTheme="minorEastAsia" w:eastAsiaTheme="minorEastAsia"/>
          <w:snapToGrid/>
          <w:color w:val="auto"/>
          <w:kern w:val="2"/>
          <w:sz w:val="24"/>
          <w:szCs w:val="24"/>
          <w:highlight w:val="none"/>
        </w:rPr>
        <w:t>学生综合素质管理系统</w:t>
      </w:r>
      <w:r>
        <w:rPr>
          <w:rFonts w:asciiTheme="minorEastAsia" w:hAnsiTheme="minorEastAsia" w:eastAsiaTheme="minorEastAsia"/>
          <w:snapToGrid/>
          <w:color w:val="auto"/>
          <w:kern w:val="2"/>
          <w:sz w:val="24"/>
          <w:szCs w:val="24"/>
          <w:highlight w:val="none"/>
        </w:rPr>
        <w:t>57套、教学教研平台1套、高清壁挂展台57套、</w:t>
      </w:r>
      <w:r>
        <w:rPr>
          <w:rFonts w:hint="eastAsia" w:asciiTheme="minorEastAsia" w:hAnsiTheme="minorEastAsia" w:eastAsiaTheme="minorEastAsia"/>
          <w:snapToGrid/>
          <w:color w:val="auto"/>
          <w:kern w:val="2"/>
          <w:sz w:val="24"/>
          <w:szCs w:val="24"/>
          <w:highlight w:val="none"/>
        </w:rPr>
        <w:t>无线耳麦</w:t>
      </w:r>
      <w:r>
        <w:rPr>
          <w:rFonts w:asciiTheme="minorEastAsia" w:hAnsiTheme="minorEastAsia" w:eastAsiaTheme="minorEastAsia"/>
          <w:snapToGrid/>
          <w:color w:val="auto"/>
          <w:kern w:val="2"/>
          <w:sz w:val="24"/>
          <w:szCs w:val="24"/>
          <w:highlight w:val="none"/>
        </w:rPr>
        <w:t>57套</w:t>
      </w:r>
      <w:r>
        <w:rPr>
          <w:rFonts w:hint="eastAsia" w:asciiTheme="minorEastAsia" w:hAnsiTheme="minorEastAsia" w:eastAsiaTheme="minorEastAsia"/>
          <w:snapToGrid/>
          <w:color w:val="auto"/>
          <w:kern w:val="2"/>
          <w:sz w:val="24"/>
          <w:szCs w:val="24"/>
          <w:highlight w:val="none"/>
        </w:rPr>
        <w:t>、一体化蓝牙音箱</w:t>
      </w:r>
      <w:r>
        <w:rPr>
          <w:rFonts w:asciiTheme="minorEastAsia" w:hAnsiTheme="minorEastAsia" w:eastAsiaTheme="minorEastAsia"/>
          <w:snapToGrid/>
          <w:color w:val="auto"/>
          <w:kern w:val="2"/>
          <w:sz w:val="24"/>
          <w:szCs w:val="24"/>
          <w:highlight w:val="none"/>
        </w:rPr>
        <w:t>57套、</w:t>
      </w:r>
      <w:r>
        <w:rPr>
          <w:rFonts w:hint="eastAsia" w:asciiTheme="minorEastAsia" w:hAnsiTheme="minorEastAsia" w:eastAsiaTheme="minorEastAsia"/>
          <w:snapToGrid/>
          <w:color w:val="auto"/>
          <w:kern w:val="2"/>
          <w:sz w:val="24"/>
          <w:szCs w:val="24"/>
          <w:highlight w:val="none"/>
        </w:rPr>
        <w:t>绿板</w:t>
      </w:r>
      <w:r>
        <w:rPr>
          <w:rFonts w:asciiTheme="minorEastAsia" w:hAnsiTheme="minorEastAsia" w:eastAsiaTheme="minorEastAsia"/>
          <w:snapToGrid/>
          <w:color w:val="auto"/>
          <w:kern w:val="2"/>
          <w:sz w:val="24"/>
          <w:szCs w:val="24"/>
          <w:highlight w:val="none"/>
        </w:rPr>
        <w:t>57块</w:t>
      </w:r>
      <w:r>
        <w:rPr>
          <w:rFonts w:hint="eastAsia" w:asciiTheme="minorEastAsia" w:hAnsiTheme="minorEastAsia" w:eastAsiaTheme="minorEastAsia"/>
          <w:snapToGrid/>
          <w:color w:val="auto"/>
          <w:kern w:val="2"/>
          <w:sz w:val="24"/>
          <w:szCs w:val="24"/>
          <w:highlight w:val="none"/>
        </w:rPr>
        <w:t>、软木板</w:t>
      </w:r>
      <w:r>
        <w:rPr>
          <w:rFonts w:asciiTheme="minorEastAsia" w:hAnsiTheme="minorEastAsia" w:eastAsiaTheme="minorEastAsia"/>
          <w:snapToGrid/>
          <w:color w:val="auto"/>
          <w:kern w:val="2"/>
          <w:sz w:val="24"/>
          <w:szCs w:val="24"/>
          <w:highlight w:val="none"/>
        </w:rPr>
        <w:t>57块</w:t>
      </w:r>
      <w:r>
        <w:rPr>
          <w:rFonts w:hint="eastAsia" w:asciiTheme="minorEastAsia" w:hAnsiTheme="minorEastAsia" w:eastAsiaTheme="minorEastAsia"/>
          <w:snapToGrid/>
          <w:color w:val="auto"/>
          <w:kern w:val="2"/>
          <w:sz w:val="24"/>
          <w:szCs w:val="24"/>
          <w:highlight w:val="none"/>
        </w:rPr>
        <w:t>，以及</w:t>
      </w:r>
      <w:r>
        <w:rPr>
          <w:rFonts w:hint="eastAsia" w:hAnsi="宋体" w:cs="宋体"/>
          <w:bCs/>
          <w:snapToGrid/>
          <w:color w:val="auto"/>
          <w:kern w:val="2"/>
          <w:sz w:val="24"/>
          <w:szCs w:val="24"/>
          <w:highlight w:val="none"/>
        </w:rPr>
        <w:t>教学智慧黑板的安装调试、教室软木板的定制安装以及教室里面扩音设备耳麦音箱的安装调试，以及配套的多媒体教学软件等。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olor w:val="auto"/>
          <w:highlight w:val="none"/>
        </w:rPr>
        <w:t>中标人接采购人通知后三十天内完成运输安装及调试</w:t>
      </w:r>
      <w:r>
        <w:rPr>
          <w:rFonts w:hint="eastAsia" w:hAnsi="宋体" w:cs="宋体"/>
          <w:bCs/>
          <w:color w:val="auto"/>
          <w:szCs w:val="24"/>
          <w:highlight w:val="none"/>
        </w:rPr>
        <w:t>。</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货物全部由符合政策要求的中小微企业制造，提供中小企业声明函；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rPr>
        <w:t>名    称：杭州第十四中学青山湖学校</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址：杭州市临安区青山湖街道柏铖街8号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项目联系人（询问）：刘老师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项目联系方式（询问）：0571-87917707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杨老师</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0571-87917707（请通过以下路径在线提起质疑：政采云-项目采购-询问质疑投诉-质疑列表）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潘工、张工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项目联系方式（询问）：0571-85085361、85085067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质疑联系人：谢栋华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质疑联系方式：0571-85085477（请通过以下路径在线提起质疑：政采云-项目采购-询问质疑投诉-质疑列表）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监督投诉电话：电话：0571-85252453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2"/>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智慧黑板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112" w:firstLineChars="47"/>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标的1：</w:t>
            </w:r>
            <w:r>
              <w:rPr>
                <w:rFonts w:hint="eastAsia" w:cs="宋体" w:asciiTheme="minorEastAsia" w:hAnsiTheme="minorEastAsia" w:eastAsiaTheme="minorEastAsia"/>
                <w:color w:val="auto"/>
                <w:sz w:val="24"/>
                <w:highlight w:val="none"/>
                <w:u w:val="single"/>
              </w:rPr>
              <w:t xml:space="preserve"> 智慧黑板</w:t>
            </w:r>
            <w:r>
              <w:rPr>
                <w:rFonts w:hint="eastAsia" w:cs="宋体" w:asciiTheme="minorEastAsia" w:hAnsiTheme="minorEastAsia" w:eastAsiaTheme="minorEastAsia"/>
                <w:color w:val="auto"/>
                <w:sz w:val="24"/>
                <w:highlight w:val="none"/>
              </w:rPr>
              <w:t xml:space="preserve"> ，属于 </w:t>
            </w:r>
            <w:r>
              <w:rPr>
                <w:rFonts w:hint="eastAsia" w:cs="宋体" w:asciiTheme="minorEastAsia" w:hAnsiTheme="minorEastAsia" w:eastAsiaTheme="minorEastAsia"/>
                <w:color w:val="auto"/>
                <w:sz w:val="24"/>
                <w:highlight w:val="none"/>
                <w:u w:val="single"/>
              </w:rPr>
              <w:t>工业</w:t>
            </w:r>
            <w:r>
              <w:rPr>
                <w:rFonts w:hint="eastAsia" w:cs="宋体" w:asciiTheme="minorEastAsia" w:hAnsiTheme="minorEastAsia" w:eastAsiaTheme="minorEastAsia"/>
                <w:color w:val="auto"/>
                <w:sz w:val="24"/>
                <w:highlight w:val="none"/>
              </w:rPr>
              <w:t>行业</w:t>
            </w:r>
          </w:p>
          <w:p>
            <w:pPr>
              <w:spacing w:line="360" w:lineRule="auto"/>
              <w:ind w:firstLine="112" w:firstLineChars="47"/>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标的2：</w:t>
            </w:r>
            <w:r>
              <w:rPr>
                <w:rFonts w:cs="宋体"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szCs w:val="21"/>
                <w:highlight w:val="none"/>
                <w:u w:val="single"/>
              </w:rPr>
              <w:t>内置OPS模块</w:t>
            </w:r>
            <w:r>
              <w:rPr>
                <w:rFonts w:hint="eastAsia" w:cs="宋体" w:asciiTheme="minorEastAsia" w:hAnsiTheme="minorEastAsia" w:eastAsiaTheme="minorEastAsia"/>
                <w:color w:val="auto"/>
                <w:sz w:val="24"/>
                <w:highlight w:val="none"/>
              </w:rPr>
              <w:t xml:space="preserve"> ，属于 </w:t>
            </w:r>
            <w:r>
              <w:rPr>
                <w:rFonts w:hint="eastAsia" w:cs="宋体" w:asciiTheme="minorEastAsia" w:hAnsiTheme="minorEastAsia" w:eastAsiaTheme="minorEastAsia"/>
                <w:color w:val="auto"/>
                <w:sz w:val="24"/>
                <w:highlight w:val="none"/>
                <w:u w:val="single"/>
              </w:rPr>
              <w:t>工业</w:t>
            </w:r>
            <w:r>
              <w:rPr>
                <w:rFonts w:hint="eastAsia" w:cs="宋体" w:asciiTheme="minorEastAsia" w:hAnsiTheme="minorEastAsia" w:eastAsiaTheme="minorEastAsia"/>
                <w:color w:val="auto"/>
                <w:sz w:val="24"/>
                <w:highlight w:val="none"/>
              </w:rPr>
              <w:t>行业 ；</w:t>
            </w:r>
            <w:r>
              <w:rPr>
                <w:rFonts w:cs="宋体" w:asciiTheme="minorEastAsia" w:hAnsiTheme="minorEastAsia" w:eastAsiaTheme="minorEastAsia"/>
                <w:color w:val="auto"/>
                <w:sz w:val="24"/>
                <w:highlight w:val="none"/>
              </w:rPr>
              <w:t xml:space="preserve"> </w:t>
            </w:r>
          </w:p>
          <w:p>
            <w:pPr>
              <w:pStyle w:val="712"/>
              <w:ind w:firstLine="112" w:firstLineChars="47"/>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标的3：</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高清壁挂展台</w:t>
            </w:r>
            <w:r>
              <w:rPr>
                <w:rFonts w:hint="eastAsia" w:asciiTheme="minorEastAsia" w:hAnsiTheme="minorEastAsia" w:eastAsiaTheme="minorEastAsia"/>
                <w:color w:val="auto"/>
                <w:highlight w:val="none"/>
              </w:rPr>
              <w:t xml:space="preserve"> ，属于</w:t>
            </w:r>
            <w:r>
              <w:rPr>
                <w:rFonts w:hint="eastAsia" w:asciiTheme="minorEastAsia" w:hAnsiTheme="minorEastAsia" w:eastAsiaTheme="minorEastAsia"/>
                <w:color w:val="auto"/>
                <w:highlight w:val="none"/>
                <w:u w:val="single"/>
              </w:rPr>
              <w:t xml:space="preserve"> 工业</w:t>
            </w:r>
            <w:r>
              <w:rPr>
                <w:rFonts w:hint="eastAsia" w:asciiTheme="minorEastAsia" w:hAnsiTheme="minorEastAsia" w:eastAsiaTheme="minorEastAsia"/>
                <w:color w:val="auto"/>
                <w:highlight w:val="none"/>
              </w:rPr>
              <w:t>行业 ；</w:t>
            </w:r>
            <w:r>
              <w:rPr>
                <w:rFonts w:asciiTheme="minorEastAsia" w:hAnsiTheme="minorEastAsia" w:eastAsiaTheme="minorEastAsia"/>
                <w:color w:val="auto"/>
                <w:highlight w:val="none"/>
              </w:rPr>
              <w:t xml:space="preserve"> </w:t>
            </w:r>
          </w:p>
          <w:p>
            <w:pPr>
              <w:pStyle w:val="712"/>
              <w:ind w:firstLine="112" w:firstLineChars="47"/>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标的4：</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无线耳麦</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工业</w:t>
            </w:r>
            <w:r>
              <w:rPr>
                <w:rFonts w:hint="eastAsia" w:asciiTheme="minorEastAsia" w:hAnsiTheme="minorEastAsia" w:eastAsiaTheme="minorEastAsia"/>
                <w:color w:val="auto"/>
                <w:highlight w:val="none"/>
              </w:rPr>
              <w:t>行业</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p>
          <w:p>
            <w:pPr>
              <w:pStyle w:val="712"/>
              <w:ind w:firstLine="112" w:firstLineChars="47"/>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标的5：</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一体化蓝牙音箱</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工业</w:t>
            </w:r>
            <w:r>
              <w:rPr>
                <w:rFonts w:hint="eastAsia" w:asciiTheme="minorEastAsia" w:hAnsiTheme="minorEastAsia" w:eastAsiaTheme="minorEastAsia"/>
                <w:color w:val="auto"/>
                <w:highlight w:val="none"/>
              </w:rPr>
              <w:t>行业</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p>
          <w:p>
            <w:pPr>
              <w:pStyle w:val="712"/>
              <w:tabs>
                <w:tab w:val="left" w:pos="4600"/>
              </w:tabs>
              <w:ind w:firstLine="112" w:firstLineChars="47"/>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标的6：</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绿板</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工业</w:t>
            </w:r>
            <w:r>
              <w:rPr>
                <w:rFonts w:hint="eastAsia" w:asciiTheme="minorEastAsia" w:hAnsiTheme="minorEastAsia" w:eastAsiaTheme="minorEastAsia"/>
                <w:color w:val="auto"/>
                <w:highlight w:val="none"/>
              </w:rPr>
              <w:t>行业</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ab/>
            </w:r>
          </w:p>
          <w:p>
            <w:pPr>
              <w:pStyle w:val="2"/>
              <w:ind w:left="437" w:leftChars="88" w:hanging="252" w:hangingChars="105"/>
              <w:rPr>
                <w:rFonts w:ascii="宋体" w:hAnsi="宋体" w:eastAsia="宋体" w:cs="宋体"/>
                <w:color w:val="auto"/>
                <w:highlight w:val="none"/>
                <w:lang w:val="en-US"/>
              </w:rPr>
            </w:pPr>
            <w:r>
              <w:rPr>
                <w:rFonts w:hint="eastAsia" w:asciiTheme="minorEastAsia" w:hAnsiTheme="minorEastAsia" w:eastAsiaTheme="minorEastAsia"/>
                <w:b w:val="0"/>
                <w:bCs w:val="0"/>
                <w:color w:val="auto"/>
                <w:sz w:val="24"/>
                <w:szCs w:val="21"/>
                <w:highlight w:val="none"/>
                <w:lang w:val="en-US"/>
              </w:rPr>
              <w:t>标的7：</w:t>
            </w:r>
            <w:r>
              <w:rPr>
                <w:rFonts w:asciiTheme="minorEastAsia" w:hAnsiTheme="minorEastAsia" w:eastAsiaTheme="minorEastAsia"/>
                <w:b w:val="0"/>
                <w:bCs w:val="0"/>
                <w:color w:val="auto"/>
                <w:sz w:val="24"/>
                <w:szCs w:val="21"/>
                <w:highlight w:val="none"/>
                <w:u w:val="single"/>
                <w:lang w:val="en-US"/>
              </w:rPr>
              <w:t xml:space="preserve"> </w:t>
            </w:r>
            <w:r>
              <w:rPr>
                <w:rFonts w:hint="eastAsia" w:asciiTheme="minorEastAsia" w:hAnsiTheme="minorEastAsia" w:eastAsiaTheme="minorEastAsia"/>
                <w:b w:val="0"/>
                <w:bCs w:val="0"/>
                <w:color w:val="auto"/>
                <w:sz w:val="24"/>
                <w:szCs w:val="21"/>
                <w:highlight w:val="none"/>
                <w:u w:val="single"/>
                <w:lang w:val="en-US"/>
              </w:rPr>
              <w:t>软木板</w:t>
            </w:r>
            <w:r>
              <w:rPr>
                <w:rFonts w:asciiTheme="minorEastAsia" w:hAnsiTheme="minorEastAsia" w:eastAsiaTheme="minorEastAsia"/>
                <w:b w:val="0"/>
                <w:bCs w:val="0"/>
                <w:color w:val="auto"/>
                <w:sz w:val="24"/>
                <w:szCs w:val="21"/>
                <w:highlight w:val="none"/>
                <w:lang w:val="en-US"/>
              </w:rPr>
              <w:t xml:space="preserve"> </w:t>
            </w:r>
            <w:r>
              <w:rPr>
                <w:rFonts w:hint="eastAsia" w:asciiTheme="minorEastAsia" w:hAnsiTheme="minorEastAsia" w:eastAsiaTheme="minorEastAsia"/>
                <w:b w:val="0"/>
                <w:bCs w:val="0"/>
                <w:color w:val="auto"/>
                <w:sz w:val="24"/>
                <w:szCs w:val="21"/>
                <w:highlight w:val="none"/>
                <w:lang w:val="en-US"/>
              </w:rPr>
              <w:t>，属于</w:t>
            </w:r>
            <w:r>
              <w:rPr>
                <w:rFonts w:asciiTheme="minorEastAsia" w:hAnsiTheme="minorEastAsia" w:eastAsiaTheme="minorEastAsia"/>
                <w:b w:val="0"/>
                <w:bCs w:val="0"/>
                <w:color w:val="auto"/>
                <w:sz w:val="24"/>
                <w:szCs w:val="21"/>
                <w:highlight w:val="none"/>
                <w:lang w:val="en-US"/>
              </w:rPr>
              <w:t xml:space="preserve"> </w:t>
            </w:r>
            <w:r>
              <w:rPr>
                <w:rFonts w:hint="eastAsia" w:asciiTheme="minorEastAsia" w:hAnsiTheme="minorEastAsia" w:eastAsiaTheme="minorEastAsia"/>
                <w:b w:val="0"/>
                <w:bCs w:val="0"/>
                <w:color w:val="auto"/>
                <w:sz w:val="24"/>
                <w:szCs w:val="21"/>
                <w:highlight w:val="none"/>
                <w:u w:val="single"/>
                <w:lang w:val="en-US"/>
              </w:rPr>
              <w:t>工业</w:t>
            </w:r>
            <w:r>
              <w:rPr>
                <w:rFonts w:hint="eastAsia" w:asciiTheme="minorEastAsia" w:hAnsiTheme="minorEastAsia" w:eastAsiaTheme="minorEastAsia"/>
                <w:b w:val="0"/>
                <w:bCs w:val="0"/>
                <w:color w:val="auto"/>
                <w:sz w:val="24"/>
                <w:szCs w:val="21"/>
                <w:highlight w:val="none"/>
                <w:lang w:val="en-US"/>
              </w:rPr>
              <w:t>行业</w:t>
            </w:r>
            <w:r>
              <w:rPr>
                <w:rFonts w:asciiTheme="minorEastAsia" w:hAnsiTheme="minorEastAsia" w:eastAsiaTheme="minorEastAsia"/>
                <w:b w:val="0"/>
                <w:bCs w:val="0"/>
                <w:color w:val="auto"/>
                <w:sz w:val="24"/>
                <w:szCs w:val="21"/>
                <w:highlight w:val="none"/>
                <w:lang w:val="en-US"/>
              </w:rPr>
              <w:t xml:space="preserve"> </w:t>
            </w:r>
            <w:r>
              <w:rPr>
                <w:rFonts w:hint="eastAsia" w:asciiTheme="minorEastAsia" w:hAnsiTheme="minorEastAsia" w:eastAsiaTheme="minorEastAsia"/>
                <w:b w:val="0"/>
                <w:bCs w:val="0"/>
                <w:color w:val="auto"/>
                <w:sz w:val="24"/>
                <w:szCs w:val="21"/>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设备安装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杭州市公共资源交易中心4楼答疑室（讲标室）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ascii="Wingdings" w:hAnsi="Wingdings"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cs="宋体"/>
                <w:color w:val="auto"/>
                <w:kern w:val="0"/>
                <w:sz w:val="24"/>
                <w:highlight w:val="none"/>
                <w:lang w:val="zh-CN"/>
              </w:rPr>
              <w:t>对</w:t>
            </w:r>
            <w:r>
              <w:rPr>
                <w:rFonts w:hint="eastAsia"/>
                <w:color w:val="auto"/>
                <w:highlight w:val="none"/>
                <w:lang w:val="en-US" w:eastAsia="zh-CN"/>
              </w:rPr>
              <w:t xml:space="preserve">  /  </w:t>
            </w:r>
            <w:r>
              <w:rPr>
                <w:rFonts w:hint="eastAsia" w:ascii="宋体" w:hAnsi="宋体" w:cs="宋体"/>
                <w:color w:val="auto"/>
                <w:kern w:val="0"/>
                <w:sz w:val="24"/>
                <w:highlight w:val="none"/>
                <w:lang w:val="zh-CN"/>
              </w:rPr>
              <w:t>实施政</w:t>
            </w:r>
            <w:r>
              <w:rPr>
                <w:rFonts w:hint="eastAsia" w:ascii="宋体" w:hAnsi="宋体" w:cs="宋体"/>
                <w:color w:val="auto"/>
                <w:kern w:val="0"/>
                <w:sz w:val="24"/>
                <w:highlight w:val="none"/>
                <w:lang w:val="zh-CN"/>
              </w:rPr>
              <w:t>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智慧黑板</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ascii="Wingdings" w:hAnsi="Wingdings"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智慧黑板</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rPr>
                <w:color w:val="auto"/>
                <w:highlight w:val="none"/>
              </w:rPr>
            </w:pPr>
            <w:sdt>
              <w:sdtPr>
                <w:rPr>
                  <w:rFonts w:hint="eastAsia" w:ascii="宋体" w:hAnsi="宋体" w:cs="宋体"/>
                  <w:color w:val="auto"/>
                  <w:kern w:val="0"/>
                  <w:sz w:val="24"/>
                  <w:highlight w:val="none"/>
                </w:rPr>
                <w:id w:val="-3780036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color w:val="auto"/>
                <w:kern w:val="0"/>
                <w:sz w:val="24"/>
                <w:highlight w:val="none"/>
              </w:rPr>
            </w:pPr>
            <w:r>
              <w:rPr>
                <w:rFonts w:hint="eastAsia" w:ascii="宋体" w:hAnsi="宋体" w:cs="宋体"/>
                <w:color w:val="auto"/>
                <w:kern w:val="0"/>
                <w:sz w:val="24"/>
                <w:highlight w:val="none"/>
                <w:lang w:val="en"/>
              </w:rPr>
              <w:t>本项目评审报告推荐的中标候选人数量：</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e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优先采购绿色包装产品、绿色物流配送服务以及循环利用产品</w:t>
      </w:r>
      <w:bookmarkEnd w:id="15"/>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询问、质疑、投诉、补偿救济</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、“资格审查”等由采购人负责组织的环节的质疑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0571-85252453。</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pPr>
        <w:pStyle w:val="888"/>
        <w:shd w:val="clear" w:color="auto" w:fill="FFFFFF"/>
        <w:snapToGrid w:val="0"/>
        <w:spacing w:after="240" w:afterAutospacing="0" w:line="360" w:lineRule="auto"/>
        <w:ind w:firstLine="400"/>
        <w:contextualSpacing/>
        <w:rPr>
          <w:color w:val="auto"/>
          <w:highlight w:val="none"/>
        </w:rPr>
      </w:pPr>
      <w:r>
        <w:rPr>
          <w:rFonts w:hint="eastAsia" w:cs="仿宋"/>
          <w:color w:val="auto"/>
          <w:highlight w:val="none"/>
        </w:rPr>
        <w:t>采购人（行政机关）因政策变化、规划调整而不履行政府采购合同的，供应商可依据《杭州市涉企补偿救济实施办法（试行）》向采购人（行政机关）提起补偿申请。</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通知书和中标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after="120" w:afterLines="50"/>
        <w:ind w:left="479" w:hanging="479" w:hangingChars="199"/>
        <w:rPr>
          <w:rFonts w:cs="宋体"/>
          <w:b/>
          <w:color w:val="auto"/>
          <w:highlight w:val="none"/>
        </w:rPr>
      </w:pPr>
      <w:r>
        <w:rPr>
          <w:rFonts w:hint="eastAsia" w:cs="宋体"/>
          <w:b/>
          <w:color w:val="auto"/>
          <w:highlight w:val="none"/>
        </w:rPr>
        <w:t>27.预付款</w:t>
      </w:r>
    </w:p>
    <w:p>
      <w:pPr>
        <w:pStyle w:val="2"/>
        <w:tabs>
          <w:tab w:val="clear" w:pos="432"/>
        </w:tabs>
        <w:ind w:left="0" w:firstLine="480" w:firstLineChars="200"/>
        <w:rPr>
          <w:rFonts w:ascii="宋体" w:hAnsi="宋体" w:eastAsia="宋体" w:cs="宋体"/>
          <w:b w:val="0"/>
          <w:bCs w:val="0"/>
          <w:snapToGrid w:val="0"/>
          <w:color w:val="auto"/>
          <w:kern w:val="28"/>
          <w:sz w:val="24"/>
          <w:highlight w:val="none"/>
          <w:lang w:val="en-US"/>
        </w:rPr>
      </w:pPr>
      <w:r>
        <w:rPr>
          <w:rFonts w:hint="eastAsia" w:ascii="宋体" w:hAnsi="宋体" w:eastAsia="宋体" w:cs="宋体"/>
          <w:b w:val="0"/>
          <w:bCs w:val="0"/>
          <w:snapToGrid w:val="0"/>
          <w:color w:val="auto"/>
          <w:kern w:val="28"/>
          <w:sz w:val="24"/>
          <w:highlight w:val="none"/>
        </w:rPr>
        <w:t>采购</w:t>
      </w:r>
      <w:r>
        <w:rPr>
          <w:rFonts w:hint="eastAsia" w:ascii="宋体" w:hAnsi="宋体" w:eastAsia="宋体" w:cs="宋体"/>
          <w:b w:val="0"/>
          <w:bCs w:val="0"/>
          <w:snapToGrid w:val="0"/>
          <w:color w:val="auto"/>
          <w:kern w:val="28"/>
          <w:sz w:val="24"/>
          <w:highlight w:val="none"/>
          <w:lang w:val="en-US"/>
        </w:rPr>
        <w:t>人</w:t>
      </w:r>
      <w:r>
        <w:rPr>
          <w:rFonts w:hint="eastAsia" w:ascii="宋体" w:hAnsi="宋体" w:eastAsia="宋体" w:cs="宋体"/>
          <w:b w:val="0"/>
          <w:bCs w:val="0"/>
          <w:snapToGrid w:val="0"/>
          <w:color w:val="auto"/>
          <w:kern w:val="28"/>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b w:val="0"/>
          <w:bCs w:val="0"/>
          <w:snapToGrid w:val="0"/>
          <w:color w:val="auto"/>
          <w:kern w:val="28"/>
          <w:sz w:val="24"/>
          <w:highlight w:val="none"/>
          <w:lang w:val="en-US"/>
        </w:rPr>
        <w:t>人</w:t>
      </w:r>
      <w:r>
        <w:rPr>
          <w:rFonts w:hint="eastAsia" w:ascii="宋体" w:hAnsi="宋体" w:eastAsia="宋体" w:cs="宋体"/>
          <w:b w:val="0"/>
          <w:bCs w:val="0"/>
          <w:snapToGrid w:val="0"/>
          <w:color w:val="auto"/>
          <w:kern w:val="28"/>
          <w:sz w:val="24"/>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79"/>
        <w:spacing w:line="360" w:lineRule="auto"/>
        <w:ind w:firstLine="480"/>
        <w:rPr>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19" w:name="_Hlt74714665"/>
      <w:bookmarkEnd w:id="19"/>
      <w:bookmarkStart w:id="20" w:name="_Hlt68072998"/>
      <w:bookmarkEnd w:id="20"/>
      <w:bookmarkStart w:id="21" w:name="_Hlt68073093"/>
      <w:bookmarkEnd w:id="21"/>
      <w:bookmarkStart w:id="22" w:name="_Hlt68403820"/>
      <w:bookmarkEnd w:id="22"/>
      <w:bookmarkStart w:id="23" w:name="_Hlt68057669"/>
      <w:bookmarkEnd w:id="23"/>
      <w:bookmarkStart w:id="24" w:name="_Hlt75236101"/>
      <w:bookmarkEnd w:id="24"/>
      <w:bookmarkStart w:id="25" w:name="_Hlt68072990"/>
      <w:bookmarkEnd w:id="25"/>
      <w:bookmarkStart w:id="26" w:name="_Hlt75236290"/>
      <w:bookmarkEnd w:id="26"/>
      <w:bookmarkStart w:id="27" w:name="_Hlt75236011"/>
      <w:bookmarkEnd w:id="27"/>
      <w:bookmarkStart w:id="28" w:name="_Hlt74707468"/>
      <w:bookmarkEnd w:id="28"/>
      <w:bookmarkStart w:id="29" w:name="_Hlt74729768"/>
      <w:bookmarkEnd w:id="29"/>
      <w:bookmarkStart w:id="30" w:name="_Hlt74730295"/>
      <w:bookmarkEnd w:id="30"/>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spacing w:line="360" w:lineRule="auto"/>
        <w:jc w:val="center"/>
        <w:rPr>
          <w:rFonts w:ascii="宋体" w:hAnsi="宋体" w:cs="Arial"/>
          <w:b/>
          <w:color w:val="auto"/>
          <w:sz w:val="28"/>
          <w:szCs w:val="28"/>
          <w:highlight w:val="none"/>
          <w:shd w:val="clear" w:color="auto" w:fill="FFFFFF"/>
        </w:rPr>
      </w:pPr>
      <w:r>
        <w:rPr>
          <w:rFonts w:ascii="宋体" w:hAnsi="宋体" w:cs="Arial"/>
          <w:b/>
          <w:color w:val="auto"/>
          <w:sz w:val="28"/>
          <w:szCs w:val="28"/>
          <w:highlight w:val="none"/>
          <w:shd w:val="clear" w:color="auto" w:fill="FFFFFF"/>
        </w:rPr>
        <w:t>杭州第十四中学青山湖</w:t>
      </w:r>
      <w:r>
        <w:rPr>
          <w:rFonts w:hint="eastAsia" w:ascii="宋体" w:hAnsi="宋体" w:cs="Arial"/>
          <w:b/>
          <w:color w:val="auto"/>
          <w:sz w:val="28"/>
          <w:szCs w:val="28"/>
          <w:highlight w:val="none"/>
          <w:shd w:val="clear" w:color="auto" w:fill="FFFFFF"/>
        </w:rPr>
        <w:t>校区多媒体教室二期建设项目</w:t>
      </w:r>
    </w:p>
    <w:p>
      <w:pPr>
        <w:pStyle w:val="673"/>
        <w:spacing w:line="360" w:lineRule="auto"/>
        <w:ind w:firstLine="513" w:firstLineChars="213"/>
        <w:rPr>
          <w:rFonts w:ascii="宋体" w:hAnsi="宋体" w:cs="Arial"/>
          <w:b/>
          <w:color w:val="auto"/>
          <w:sz w:val="24"/>
          <w:highlight w:val="none"/>
          <w:shd w:val="clear" w:color="auto" w:fill="FFFFFF"/>
        </w:rPr>
      </w:pPr>
      <w:r>
        <w:rPr>
          <w:rFonts w:hint="eastAsia" w:ascii="宋体" w:hAnsi="宋体" w:cs="Arial"/>
          <w:b/>
          <w:color w:val="auto"/>
          <w:sz w:val="24"/>
          <w:highlight w:val="none"/>
          <w:shd w:val="clear" w:color="auto" w:fill="FFFFFF"/>
        </w:rPr>
        <w:t>一、项目概况</w:t>
      </w:r>
    </w:p>
    <w:p>
      <w:pPr>
        <w:pStyle w:val="673"/>
        <w:spacing w:line="360" w:lineRule="auto"/>
        <w:ind w:firstLine="511" w:firstLineChars="213"/>
        <w:rPr>
          <w:rFonts w:hAnsi="宋体" w:cs="宋体"/>
          <w:bCs/>
          <w:color w:val="auto"/>
          <w:kern w:val="2"/>
          <w:sz w:val="24"/>
          <w:highlight w:val="none"/>
        </w:rPr>
      </w:pPr>
      <w:r>
        <w:rPr>
          <w:rFonts w:hint="eastAsia" w:ascii="宋体" w:hAnsi="宋体" w:cs="Arial"/>
          <w:color w:val="auto"/>
          <w:sz w:val="24"/>
          <w:highlight w:val="none"/>
          <w:shd w:val="clear" w:color="auto" w:fill="FFFFFF"/>
        </w:rPr>
        <w:t>本次为二期采购新增57</w:t>
      </w:r>
      <w:r>
        <w:rPr>
          <w:rFonts w:hint="eastAsia" w:hAnsi="宋体" w:cs="宋体"/>
          <w:bCs/>
          <w:color w:val="auto"/>
          <w:kern w:val="2"/>
          <w:sz w:val="24"/>
          <w:highlight w:val="none"/>
        </w:rPr>
        <w:t>个教室的多媒体建设，包括</w:t>
      </w:r>
      <w:r>
        <w:rPr>
          <w:rFonts w:hint="eastAsia" w:asciiTheme="minorEastAsia" w:hAnsiTheme="minorEastAsia" w:eastAsiaTheme="minorEastAsia"/>
          <w:color w:val="auto"/>
          <w:kern w:val="2"/>
          <w:sz w:val="24"/>
          <w:highlight w:val="none"/>
        </w:rPr>
        <w:t>智慧黑板57</w:t>
      </w:r>
      <w:r>
        <w:rPr>
          <w:rFonts w:asciiTheme="minorEastAsia" w:hAnsiTheme="minorEastAsia" w:eastAsiaTheme="minorEastAsia"/>
          <w:color w:val="auto"/>
          <w:kern w:val="2"/>
          <w:sz w:val="24"/>
          <w:highlight w:val="none"/>
        </w:rPr>
        <w:t>块、内置OPS模块</w:t>
      </w:r>
      <w:r>
        <w:rPr>
          <w:rFonts w:hint="eastAsia" w:asciiTheme="minorEastAsia" w:hAnsiTheme="minorEastAsia" w:eastAsiaTheme="minorEastAsia"/>
          <w:color w:val="auto"/>
          <w:kern w:val="2"/>
          <w:sz w:val="24"/>
          <w:highlight w:val="none"/>
        </w:rPr>
        <w:t>57</w:t>
      </w:r>
      <w:r>
        <w:rPr>
          <w:rFonts w:asciiTheme="minorEastAsia" w:hAnsiTheme="minorEastAsia" w:eastAsiaTheme="minorEastAsia"/>
          <w:color w:val="auto"/>
          <w:kern w:val="2"/>
          <w:sz w:val="24"/>
          <w:highlight w:val="none"/>
        </w:rPr>
        <w:t>套、互动教学软件</w:t>
      </w:r>
      <w:r>
        <w:rPr>
          <w:rFonts w:hint="eastAsia" w:asciiTheme="minorEastAsia" w:hAnsiTheme="minorEastAsia" w:eastAsiaTheme="minorEastAsia"/>
          <w:color w:val="auto"/>
          <w:kern w:val="2"/>
          <w:sz w:val="24"/>
          <w:highlight w:val="none"/>
        </w:rPr>
        <w:t>57</w:t>
      </w:r>
      <w:r>
        <w:rPr>
          <w:rFonts w:asciiTheme="minorEastAsia" w:hAnsiTheme="minorEastAsia" w:eastAsiaTheme="minorEastAsia"/>
          <w:color w:val="auto"/>
          <w:kern w:val="2"/>
          <w:sz w:val="24"/>
          <w:highlight w:val="none"/>
        </w:rPr>
        <w:t>套、校园设备运维管理系统</w:t>
      </w:r>
      <w:r>
        <w:rPr>
          <w:rFonts w:hint="eastAsia" w:asciiTheme="minorEastAsia" w:hAnsiTheme="minorEastAsia" w:eastAsiaTheme="minorEastAsia"/>
          <w:color w:val="auto"/>
          <w:kern w:val="2"/>
          <w:sz w:val="24"/>
          <w:highlight w:val="none"/>
        </w:rPr>
        <w:t>57</w:t>
      </w:r>
      <w:r>
        <w:rPr>
          <w:rFonts w:asciiTheme="minorEastAsia" w:hAnsiTheme="minorEastAsia" w:eastAsiaTheme="minorEastAsia"/>
          <w:color w:val="auto"/>
          <w:kern w:val="2"/>
          <w:sz w:val="24"/>
          <w:highlight w:val="none"/>
        </w:rPr>
        <w:t>套、</w:t>
      </w:r>
      <w:r>
        <w:rPr>
          <w:rFonts w:hint="eastAsia" w:asciiTheme="minorEastAsia" w:hAnsiTheme="minorEastAsia" w:eastAsiaTheme="minorEastAsia"/>
          <w:color w:val="auto"/>
          <w:kern w:val="2"/>
          <w:sz w:val="24"/>
          <w:highlight w:val="none"/>
        </w:rPr>
        <w:t>学生综合素质管理系统57</w:t>
      </w:r>
      <w:r>
        <w:rPr>
          <w:rFonts w:asciiTheme="minorEastAsia" w:hAnsiTheme="minorEastAsia" w:eastAsiaTheme="minorEastAsia"/>
          <w:color w:val="auto"/>
          <w:kern w:val="2"/>
          <w:sz w:val="24"/>
          <w:highlight w:val="none"/>
        </w:rPr>
        <w:t>套、教学教研平台1套、高清壁挂展台</w:t>
      </w:r>
      <w:r>
        <w:rPr>
          <w:rFonts w:hint="eastAsia" w:asciiTheme="minorEastAsia" w:hAnsiTheme="minorEastAsia" w:eastAsiaTheme="minorEastAsia"/>
          <w:color w:val="auto"/>
          <w:kern w:val="2"/>
          <w:sz w:val="24"/>
          <w:highlight w:val="none"/>
        </w:rPr>
        <w:t>57</w:t>
      </w:r>
      <w:r>
        <w:rPr>
          <w:rFonts w:asciiTheme="minorEastAsia" w:hAnsiTheme="minorEastAsia" w:eastAsiaTheme="minorEastAsia"/>
          <w:color w:val="auto"/>
          <w:kern w:val="2"/>
          <w:sz w:val="24"/>
          <w:highlight w:val="none"/>
        </w:rPr>
        <w:t>套、</w:t>
      </w:r>
      <w:r>
        <w:rPr>
          <w:rFonts w:hint="eastAsia" w:asciiTheme="minorEastAsia" w:hAnsiTheme="minorEastAsia" w:eastAsiaTheme="minorEastAsia"/>
          <w:color w:val="auto"/>
          <w:kern w:val="2"/>
          <w:sz w:val="24"/>
          <w:highlight w:val="none"/>
        </w:rPr>
        <w:t>无线耳麦57</w:t>
      </w:r>
      <w:r>
        <w:rPr>
          <w:rFonts w:asciiTheme="minorEastAsia" w:hAnsiTheme="minorEastAsia" w:eastAsiaTheme="minorEastAsia"/>
          <w:color w:val="auto"/>
          <w:kern w:val="2"/>
          <w:sz w:val="24"/>
          <w:highlight w:val="none"/>
        </w:rPr>
        <w:t>套</w:t>
      </w:r>
      <w:r>
        <w:rPr>
          <w:rFonts w:hint="eastAsia" w:asciiTheme="minorEastAsia" w:hAnsiTheme="minorEastAsia" w:eastAsiaTheme="minorEastAsia"/>
          <w:color w:val="auto"/>
          <w:kern w:val="2"/>
          <w:sz w:val="24"/>
          <w:highlight w:val="none"/>
        </w:rPr>
        <w:t>、一体化蓝牙音箱57</w:t>
      </w:r>
      <w:r>
        <w:rPr>
          <w:rFonts w:asciiTheme="minorEastAsia" w:hAnsiTheme="minorEastAsia" w:eastAsiaTheme="minorEastAsia"/>
          <w:color w:val="auto"/>
          <w:kern w:val="2"/>
          <w:sz w:val="24"/>
          <w:highlight w:val="none"/>
        </w:rPr>
        <w:t>套、</w:t>
      </w:r>
      <w:r>
        <w:rPr>
          <w:rFonts w:hint="eastAsia" w:asciiTheme="minorEastAsia" w:hAnsiTheme="minorEastAsia" w:eastAsiaTheme="minorEastAsia"/>
          <w:color w:val="auto"/>
          <w:kern w:val="2"/>
          <w:sz w:val="24"/>
          <w:highlight w:val="none"/>
        </w:rPr>
        <w:t>绿板57</w:t>
      </w:r>
      <w:r>
        <w:rPr>
          <w:rFonts w:asciiTheme="minorEastAsia" w:hAnsiTheme="minorEastAsia" w:eastAsiaTheme="minorEastAsia"/>
          <w:color w:val="auto"/>
          <w:kern w:val="2"/>
          <w:sz w:val="24"/>
          <w:highlight w:val="none"/>
        </w:rPr>
        <w:t>块</w:t>
      </w:r>
      <w:r>
        <w:rPr>
          <w:rFonts w:hint="eastAsia" w:asciiTheme="minorEastAsia" w:hAnsiTheme="minorEastAsia" w:eastAsiaTheme="minorEastAsia"/>
          <w:color w:val="auto"/>
          <w:kern w:val="2"/>
          <w:sz w:val="24"/>
          <w:highlight w:val="none"/>
        </w:rPr>
        <w:t>、软木板57</w:t>
      </w:r>
      <w:r>
        <w:rPr>
          <w:rFonts w:asciiTheme="minorEastAsia" w:hAnsiTheme="minorEastAsia" w:eastAsiaTheme="minorEastAsia"/>
          <w:color w:val="auto"/>
          <w:kern w:val="2"/>
          <w:sz w:val="24"/>
          <w:highlight w:val="none"/>
        </w:rPr>
        <w:t>块</w:t>
      </w:r>
      <w:r>
        <w:rPr>
          <w:rFonts w:hint="eastAsia" w:asciiTheme="minorEastAsia" w:hAnsiTheme="minorEastAsia" w:eastAsiaTheme="minorEastAsia"/>
          <w:color w:val="auto"/>
          <w:kern w:val="2"/>
          <w:sz w:val="24"/>
          <w:highlight w:val="none"/>
        </w:rPr>
        <w:t>，以及</w:t>
      </w:r>
      <w:r>
        <w:rPr>
          <w:rFonts w:hint="eastAsia" w:hAnsi="宋体" w:cs="宋体"/>
          <w:bCs/>
          <w:color w:val="auto"/>
          <w:kern w:val="2"/>
          <w:sz w:val="24"/>
          <w:highlight w:val="none"/>
        </w:rPr>
        <w:t>教学智慧黑板的安装调试、教室软木板的定制安装以及教室里面扩音设备耳麦音箱的安装调试，以及配套的多媒体教学软件等。</w:t>
      </w:r>
    </w:p>
    <w:p>
      <w:pPr>
        <w:pStyle w:val="712"/>
        <w:ind w:firstLine="480"/>
        <w:rPr>
          <w:rFonts w:ascii="宋体" w:hAnsi="宋体" w:eastAsia="宋体" w:cs="宋体"/>
          <w:color w:val="auto"/>
          <w:highlight w:val="none"/>
        </w:rPr>
      </w:pPr>
      <w:r>
        <w:rPr>
          <w:rFonts w:hint="eastAsia"/>
          <w:color w:val="auto"/>
          <w:highlight w:val="none"/>
        </w:rPr>
        <w:t>1、</w:t>
      </w:r>
      <w:r>
        <w:rPr>
          <w:rFonts w:hint="eastAsia" w:ascii="宋体" w:hAnsi="宋体" w:eastAsia="宋体" w:cs="宋体"/>
          <w:color w:val="auto"/>
          <w:highlight w:val="none"/>
        </w:rPr>
        <w:t>交付（实施）的时间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中标人接采购人通知后三十天内完成供货、运输安装及调试。</w:t>
      </w:r>
    </w:p>
    <w:p>
      <w:pPr>
        <w:pStyle w:val="712"/>
        <w:ind w:firstLine="480"/>
        <w:rPr>
          <w:rFonts w:ascii="宋体" w:hAnsi="宋体" w:eastAsia="宋体" w:cs="宋体"/>
          <w:color w:val="auto"/>
          <w:highlight w:val="none"/>
        </w:rPr>
      </w:pPr>
      <w:r>
        <w:rPr>
          <w:rFonts w:hint="eastAsia" w:ascii="宋体" w:hAnsi="宋体" w:eastAsia="宋体" w:cs="宋体"/>
          <w:bCs/>
          <w:color w:val="auto"/>
          <w:szCs w:val="24"/>
          <w:highlight w:val="none"/>
        </w:rPr>
        <w:t>2、</w:t>
      </w:r>
      <w:r>
        <w:rPr>
          <w:rFonts w:hint="eastAsia" w:ascii="宋体" w:hAnsi="宋体" w:eastAsia="宋体" w:cs="宋体"/>
          <w:color w:val="auto"/>
          <w:highlight w:val="none"/>
        </w:rPr>
        <w:t>项目实施地点</w:t>
      </w:r>
    </w:p>
    <w:p>
      <w:pPr>
        <w:pStyle w:val="712"/>
        <w:ind w:firstLine="480"/>
        <w:rPr>
          <w:rFonts w:ascii="宋体" w:hAnsi="宋体" w:eastAsia="宋体" w:cs="宋体"/>
          <w:color w:val="auto"/>
          <w:highlight w:val="none"/>
        </w:rPr>
      </w:pPr>
      <w:r>
        <w:rPr>
          <w:rFonts w:hint="eastAsia" w:ascii="宋体" w:hAnsi="宋体" w:eastAsia="宋体" w:cs="宋体"/>
          <w:color w:val="auto"/>
          <w:highlight w:val="none"/>
        </w:rPr>
        <w:t>采购人指定地点。</w:t>
      </w:r>
    </w:p>
    <w:p>
      <w:pPr>
        <w:pStyle w:val="712"/>
        <w:ind w:firstLine="480"/>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、培训要求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需列出项目培训方案的详细计划，包括培训内容、时间、地点、人次，重点对相应应用的操作、使用供应商须保证所提供产品具有合法的版权或使用权，本项目采购的产品，如在本项目范围内使用过程中出现版权或使用权纠纷，应由供应商负责，采购人不承担责任。</w:t>
      </w:r>
    </w:p>
    <w:p>
      <w:pPr>
        <w:pStyle w:val="712"/>
        <w:ind w:firstLine="480"/>
        <w:rPr>
          <w:rFonts w:ascii="宋体" w:hAnsi="宋体" w:eastAsia="宋体" w:cs="宋体"/>
          <w:color w:val="auto"/>
          <w:highlight w:val="none"/>
        </w:rPr>
      </w:pPr>
      <w:r>
        <w:rPr>
          <w:rFonts w:hint="eastAsia" w:ascii="宋体" w:hAnsi="宋体" w:eastAsia="宋体" w:cs="宋体"/>
          <w:color w:val="auto"/>
          <w:highlight w:val="none"/>
        </w:rPr>
        <w:t>4、提供组织实施方案：包括工作时间进度表、工作程序和步骤、管理和协调方案；送货、货物存放、安装调试、验收方案；确保按时交付、正常运作等。</w:t>
      </w:r>
    </w:p>
    <w:p>
      <w:pPr>
        <w:pStyle w:val="712"/>
        <w:ind w:firstLine="480"/>
        <w:rPr>
          <w:rFonts w:ascii="宋体" w:hAnsi="宋体" w:eastAsia="宋体" w:cs="宋体"/>
          <w:color w:val="auto"/>
          <w:highlight w:val="none"/>
        </w:rPr>
      </w:pPr>
      <w:r>
        <w:rPr>
          <w:color w:val="auto"/>
          <w:highlight w:val="none"/>
        </w:rPr>
        <w:t>5</w:t>
      </w:r>
      <w:r>
        <w:rPr>
          <w:rFonts w:hint="eastAsia"/>
          <w:color w:val="auto"/>
          <w:highlight w:val="none"/>
        </w:rPr>
        <w:t>、</w:t>
      </w:r>
      <w:r>
        <w:rPr>
          <w:rFonts w:hint="eastAsia" w:ascii="宋体" w:hAnsi="宋体" w:eastAsia="宋体" w:cs="宋体"/>
          <w:color w:val="auto"/>
          <w:highlight w:val="none"/>
        </w:rPr>
        <w:t>项目维保要求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（1）质保期：最终验收合格之日起不少于3年，并提供不少于3年原厂质保函。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（2）在质保期内，如在正常使用过程中出现的质量问题，供应商须负责修复或调换。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olor w:val="auto"/>
          <w:sz w:val="24"/>
          <w:highlight w:val="none"/>
          <w:u w:val="single"/>
        </w:rPr>
        <w:t>在项目实施过程中及售后服务期内，供应商需承诺指定专人负责与用户保持长期的联系与服务。</w:t>
      </w:r>
      <w:r>
        <w:rPr>
          <w:rFonts w:hint="eastAsia" w:ascii="宋体" w:hAnsi="宋体" w:cs="宋体"/>
          <w:color w:val="auto"/>
          <w:sz w:val="24"/>
          <w:highlight w:val="none"/>
        </w:rPr>
        <w:t>在质保期内，</w:t>
      </w:r>
      <w:r>
        <w:rPr>
          <w:rFonts w:hint="eastAsia" w:ascii="宋体" w:cs="仿宋_GB2312"/>
          <w:color w:val="auto"/>
          <w:sz w:val="24"/>
          <w:highlight w:val="none"/>
          <w:u w:val="single"/>
        </w:rPr>
        <w:t>7*12小时、技术保障四小时内响应、两小时内到现场等要求</w:t>
      </w:r>
      <w:r>
        <w:rPr>
          <w:rFonts w:hint="eastAsia" w:ascii="宋体" w:hAnsi="宋体" w:cs="宋体"/>
          <w:color w:val="auto"/>
          <w:sz w:val="24"/>
          <w:highlight w:val="none"/>
        </w:rPr>
        <w:t>。</w:t>
      </w:r>
    </w:p>
    <w:p>
      <w:pPr>
        <w:pStyle w:val="712"/>
        <w:ind w:firstLine="480"/>
        <w:rPr>
          <w:rFonts w:ascii="宋体" w:hAnsi="宋体" w:eastAsia="宋体" w:cs="宋体"/>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、验收：</w:t>
      </w:r>
    </w:p>
    <w:p>
      <w:pPr>
        <w:pStyle w:val="712"/>
        <w:ind w:firstLine="480"/>
        <w:rPr>
          <w:rFonts w:ascii="宋体" w:hAnsi="宋体" w:eastAsia="宋体" w:cs="宋体"/>
          <w:color w:val="auto"/>
          <w:highlight w:val="none"/>
        </w:rPr>
      </w:pPr>
      <w:r>
        <w:rPr>
          <w:rFonts w:hint="eastAsia" w:ascii="宋体" w:hAnsi="宋体" w:eastAsia="宋体" w:cs="宋体"/>
          <w:color w:val="auto"/>
          <w:highlight w:val="none"/>
        </w:rPr>
        <w:t>（1）设备配件齐全，设备使用说明书、维护操作手册、合格证等齐全。</w:t>
      </w:r>
    </w:p>
    <w:p>
      <w:pPr>
        <w:pStyle w:val="712"/>
        <w:ind w:firstLine="480"/>
        <w:rPr>
          <w:rFonts w:ascii="宋体" w:hAnsi="宋体" w:eastAsia="宋体" w:cs="宋体"/>
          <w:color w:val="auto"/>
          <w:highlight w:val="none"/>
        </w:rPr>
      </w:pPr>
      <w:r>
        <w:rPr>
          <w:rFonts w:hint="eastAsia" w:ascii="宋体" w:hAnsi="宋体" w:eastAsia="宋体" w:cs="宋体"/>
          <w:color w:val="auto"/>
          <w:highlight w:val="none"/>
        </w:rPr>
        <w:t>（2）设备通过采购人提出的相关验收技术指标。</w:t>
      </w:r>
    </w:p>
    <w:p>
      <w:pPr>
        <w:pStyle w:val="712"/>
        <w:ind w:firstLine="480"/>
        <w:rPr>
          <w:rFonts w:ascii="宋体" w:hAnsi="宋体" w:eastAsia="宋体" w:cs="宋体"/>
          <w:color w:val="auto"/>
          <w:highlight w:val="none"/>
        </w:rPr>
      </w:pPr>
      <w:r>
        <w:rPr>
          <w:rFonts w:ascii="宋体" w:hAnsi="宋体" w:eastAsia="宋体" w:cs="宋体"/>
          <w:color w:val="auto"/>
          <w:highlight w:val="none"/>
        </w:rPr>
        <w:t>7</w:t>
      </w:r>
      <w:r>
        <w:rPr>
          <w:rFonts w:hint="eastAsia" w:ascii="宋体" w:hAnsi="宋体" w:eastAsia="宋体" w:cs="宋体"/>
          <w:color w:val="auto"/>
          <w:highlight w:val="none"/>
        </w:rPr>
        <w:t>、签订合同前，提供测试样机，如样机参数性能与投标参数不符，采购人有权向监督部门进行举报。</w:t>
      </w:r>
    </w:p>
    <w:p>
      <w:pPr>
        <w:pStyle w:val="712"/>
        <w:ind w:firstLine="480"/>
        <w:rPr>
          <w:rFonts w:ascii="宋体" w:hAnsi="宋体" w:eastAsia="宋体" w:cs="宋体"/>
          <w:color w:val="auto"/>
          <w:highlight w:val="none"/>
        </w:rPr>
      </w:pPr>
      <w:r>
        <w:rPr>
          <w:rFonts w:ascii="宋体" w:hAnsi="宋体" w:eastAsia="宋体" w:cs="宋体"/>
          <w:color w:val="auto"/>
          <w:highlight w:val="none"/>
        </w:rPr>
        <w:t>8</w:t>
      </w:r>
      <w:r>
        <w:rPr>
          <w:rFonts w:hint="eastAsia" w:ascii="宋体" w:hAnsi="宋体" w:eastAsia="宋体" w:cs="宋体"/>
          <w:color w:val="auto"/>
          <w:highlight w:val="none"/>
        </w:rPr>
        <w:t>、备品配件、专用工具（如果有）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供应商应提供备品备件准备及保障方案，准备充足的备品备件，以满足采购人维修、更换需求。</w:t>
      </w:r>
    </w:p>
    <w:p>
      <w:pPr>
        <w:pStyle w:val="673"/>
        <w:spacing w:line="360" w:lineRule="auto"/>
        <w:ind w:firstLine="513" w:firstLineChars="213"/>
        <w:rPr>
          <w:rFonts w:ascii="宋体" w:hAnsi="宋体" w:cs="Arial"/>
          <w:b/>
          <w:color w:val="auto"/>
          <w:sz w:val="24"/>
          <w:highlight w:val="none"/>
          <w:shd w:val="clear" w:color="auto" w:fill="FFFFFF"/>
        </w:rPr>
      </w:pPr>
      <w:r>
        <w:rPr>
          <w:rFonts w:hint="eastAsia" w:ascii="宋体" w:hAnsi="宋体" w:cs="Arial"/>
          <w:b/>
          <w:color w:val="auto"/>
          <w:sz w:val="24"/>
          <w:highlight w:val="none"/>
          <w:shd w:val="clear" w:color="auto" w:fill="FFFFFF"/>
        </w:rPr>
        <w:t>二、项目背景</w:t>
      </w:r>
    </w:p>
    <w:p>
      <w:pPr>
        <w:pStyle w:val="673"/>
        <w:spacing w:line="360" w:lineRule="auto"/>
        <w:ind w:firstLine="511" w:firstLineChars="213"/>
        <w:rPr>
          <w:rFonts w:ascii="宋体" w:hAnsi="宋体" w:cs="Arial"/>
          <w:color w:val="auto"/>
          <w:sz w:val="24"/>
          <w:highlight w:val="none"/>
          <w:shd w:val="clear" w:color="auto" w:fill="FFFFFF"/>
        </w:rPr>
      </w:pPr>
      <w:r>
        <w:rPr>
          <w:rFonts w:hint="eastAsia" w:ascii="宋体" w:hAnsi="宋体" w:cs="Arial"/>
          <w:color w:val="auto"/>
          <w:sz w:val="24"/>
          <w:highlight w:val="none"/>
          <w:shd w:val="clear" w:color="auto" w:fill="FFFFFF"/>
        </w:rPr>
        <w:t>2018年，《教育信息化2.0行动计划》发布，标志着我国已经正式进入教育信息化2.0时代。我国由之前的“三通两平台”建设，全面进入到了“三全两高一大”的建设中来。在2</w:t>
      </w:r>
      <w:r>
        <w:rPr>
          <w:rFonts w:ascii="宋体" w:hAnsi="宋体" w:cs="Arial"/>
          <w:color w:val="auto"/>
          <w:sz w:val="24"/>
          <w:highlight w:val="none"/>
          <w:shd w:val="clear" w:color="auto" w:fill="FFFFFF"/>
        </w:rPr>
        <w:t>.0</w:t>
      </w:r>
      <w:r>
        <w:rPr>
          <w:rFonts w:hint="eastAsia" w:ascii="宋体" w:hAnsi="宋体" w:cs="Arial"/>
          <w:color w:val="auto"/>
          <w:sz w:val="24"/>
          <w:highlight w:val="none"/>
          <w:shd w:val="clear" w:color="auto" w:fill="FFFFFF"/>
        </w:rPr>
        <w:t>时代，教师发展、学生成长、管理提升是教育信息化一项重要内容；教育信息化是教育现代化的核心特征和核心工作。</w:t>
      </w:r>
    </w:p>
    <w:p>
      <w:pPr>
        <w:pStyle w:val="673"/>
        <w:spacing w:line="360" w:lineRule="auto"/>
        <w:ind w:firstLine="511" w:firstLineChars="213"/>
        <w:rPr>
          <w:rFonts w:ascii="宋体" w:hAnsi="宋体" w:cs="Arial"/>
          <w:color w:val="auto"/>
          <w:sz w:val="24"/>
          <w:highlight w:val="none"/>
          <w:shd w:val="clear" w:color="auto" w:fill="FFFFFF"/>
        </w:rPr>
      </w:pPr>
      <w:r>
        <w:rPr>
          <w:rFonts w:hint="eastAsia" w:ascii="宋体" w:hAnsi="宋体" w:cs="Arial"/>
          <w:color w:val="auto"/>
          <w:sz w:val="24"/>
          <w:highlight w:val="none"/>
          <w:shd w:val="clear" w:color="auto" w:fill="FFFFFF"/>
        </w:rPr>
        <w:t>随着多媒体教学设备以及智慧教室、智慧校园的逐渐普及，传统推拉绿板搭配投影白板的模式因为存在整体外观割裂、视觉一体化较差等问题，已经无法满足学校信息化升级的需求。</w:t>
      </w:r>
    </w:p>
    <w:p>
      <w:pPr>
        <w:pStyle w:val="673"/>
        <w:spacing w:line="360" w:lineRule="auto"/>
        <w:ind w:firstLine="513" w:firstLineChars="213"/>
        <w:rPr>
          <w:rFonts w:ascii="宋体" w:hAnsi="宋体" w:cs="Arial"/>
          <w:b/>
          <w:color w:val="auto"/>
          <w:sz w:val="24"/>
          <w:highlight w:val="none"/>
          <w:shd w:val="clear" w:color="auto" w:fill="FFFFFF"/>
        </w:rPr>
      </w:pPr>
      <w:r>
        <w:rPr>
          <w:rFonts w:hint="eastAsia" w:ascii="宋体" w:hAnsi="宋体" w:cs="Arial"/>
          <w:b/>
          <w:color w:val="auto"/>
          <w:sz w:val="24"/>
          <w:highlight w:val="none"/>
          <w:shd w:val="clear" w:color="auto" w:fill="FFFFFF"/>
        </w:rPr>
        <w:t>三、建设目标</w:t>
      </w:r>
    </w:p>
    <w:p>
      <w:pPr>
        <w:pStyle w:val="673"/>
        <w:spacing w:line="360" w:lineRule="auto"/>
        <w:ind w:firstLine="511" w:firstLineChars="213"/>
        <w:rPr>
          <w:rFonts w:ascii="宋体" w:hAnsi="宋体" w:cs="Arial"/>
          <w:color w:val="auto"/>
          <w:sz w:val="24"/>
          <w:highlight w:val="none"/>
          <w:shd w:val="clear" w:color="auto" w:fill="FFFFFF"/>
        </w:rPr>
      </w:pPr>
      <w:r>
        <w:rPr>
          <w:rFonts w:hint="eastAsia" w:ascii="宋体" w:hAnsi="宋体" w:cs="Arial"/>
          <w:color w:val="auto"/>
          <w:sz w:val="24"/>
          <w:highlight w:val="none"/>
          <w:shd w:val="clear" w:color="auto" w:fill="FFFFFF"/>
        </w:rPr>
        <w:t>多媒体教室是学校占比最高的教室类型，适合以老师为中心，多媒体演示为辅，由点及面的传授式教学。教室空间通常从黑板处出发向讲授方向纵向延展，空间运用更贴近老师的传统教学习惯，通用性和实用性强。</w:t>
      </w:r>
    </w:p>
    <w:p>
      <w:pPr>
        <w:pStyle w:val="673"/>
        <w:spacing w:line="360" w:lineRule="auto"/>
        <w:ind w:firstLine="511" w:firstLineChars="213"/>
        <w:rPr>
          <w:rFonts w:ascii="宋体" w:hAnsi="宋体" w:cs="Arial"/>
          <w:color w:val="auto"/>
          <w:sz w:val="24"/>
          <w:highlight w:val="none"/>
          <w:shd w:val="clear" w:color="auto" w:fill="FFFFFF"/>
        </w:rPr>
      </w:pPr>
      <w:r>
        <w:rPr>
          <w:rFonts w:hint="eastAsia" w:ascii="宋体" w:hAnsi="宋体" w:cs="Arial"/>
          <w:color w:val="auto"/>
          <w:sz w:val="24"/>
          <w:highlight w:val="none"/>
          <w:shd w:val="clear" w:color="auto" w:fill="FFFFFF"/>
        </w:rPr>
        <w:t>多媒体教室教学模式：传递-接受式；教室布局：“秧苗式”教室布局为主；内容呈现：教师显示终端；资源获取：教师授课资源和工具的即时调用；即时交互：师生口语交互为主。</w:t>
      </w:r>
    </w:p>
    <w:p>
      <w:pPr>
        <w:pStyle w:val="673"/>
        <w:spacing w:line="360" w:lineRule="auto"/>
        <w:ind w:firstLine="511" w:firstLineChars="213"/>
        <w:rPr>
          <w:rFonts w:ascii="宋体" w:hAnsi="宋体" w:cs="Arial"/>
          <w:color w:val="auto"/>
          <w:sz w:val="24"/>
          <w:highlight w:val="none"/>
          <w:shd w:val="clear" w:color="auto" w:fill="FFFFFF"/>
        </w:rPr>
      </w:pPr>
      <w:r>
        <w:rPr>
          <w:rFonts w:hint="eastAsia" w:ascii="宋体" w:hAnsi="宋体" w:cs="Arial"/>
          <w:color w:val="auto"/>
          <w:sz w:val="24"/>
          <w:highlight w:val="none"/>
          <w:shd w:val="clear" w:color="auto" w:fill="FFFFFF"/>
        </w:rPr>
        <w:t>多媒体教室也最具有扩展性，在多媒体教学墙面、各类信息化教辅工具的基础上，通过教师便捷备课、互动授课和音视频采集设备的扩展和调整，即可搭建不同特色学科、不同教学目的、不同教学形式的教学空间，如远程网络教室、资源录播教室等。</w:t>
      </w:r>
    </w:p>
    <w:p>
      <w:pPr>
        <w:pStyle w:val="673"/>
        <w:spacing w:line="360" w:lineRule="auto"/>
        <w:ind w:firstLine="513" w:firstLineChars="213"/>
        <w:rPr>
          <w:rFonts w:ascii="宋体" w:hAnsi="宋体" w:cs="Arial"/>
          <w:b/>
          <w:color w:val="auto"/>
          <w:sz w:val="24"/>
          <w:highlight w:val="none"/>
          <w:shd w:val="clear" w:color="auto" w:fill="FFFFFF"/>
        </w:rPr>
      </w:pPr>
      <w:r>
        <w:rPr>
          <w:rFonts w:hint="eastAsia" w:ascii="宋体" w:hAnsi="宋体" w:cs="Arial"/>
          <w:b/>
          <w:color w:val="auto"/>
          <w:sz w:val="24"/>
          <w:highlight w:val="none"/>
          <w:shd w:val="clear" w:color="auto" w:fill="FFFFFF"/>
        </w:rPr>
        <w:t>四、设备清单</w:t>
      </w:r>
    </w:p>
    <w:p>
      <w:pPr>
        <w:pStyle w:val="673"/>
        <w:spacing w:line="360" w:lineRule="auto"/>
        <w:rPr>
          <w:color w:val="auto"/>
          <w:highlight w:val="none"/>
        </w:rPr>
      </w:pPr>
    </w:p>
    <w:tbl>
      <w:tblPr>
        <w:tblStyle w:val="62"/>
        <w:tblW w:w="8330" w:type="dxa"/>
        <w:tblInd w:w="0" w:type="dxa"/>
        <w:tblLayout w:type="fixed"/>
        <w:tblCellMar>
          <w:top w:w="0" w:type="dxa"/>
          <w:left w:w="108" w:type="dxa"/>
          <w:bottom w:w="0" w:type="dxa"/>
          <w:right w:w="108" w:type="dxa"/>
        </w:tblCellMar>
      </w:tblPr>
      <w:tblGrid>
        <w:gridCol w:w="562"/>
        <w:gridCol w:w="818"/>
        <w:gridCol w:w="506"/>
        <w:gridCol w:w="6444"/>
      </w:tblGrid>
      <w:tr>
        <w:tblPrEx>
          <w:tblCellMar>
            <w:top w:w="0" w:type="dxa"/>
            <w:left w:w="108" w:type="dxa"/>
            <w:bottom w:w="0" w:type="dxa"/>
            <w:right w:w="108" w:type="dxa"/>
          </w:tblCellMar>
        </w:tblPrEx>
        <w:trPr>
          <w:trHeight w:val="822"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品名</w:t>
            </w:r>
          </w:p>
        </w:tc>
        <w:tc>
          <w:tcPr>
            <w:tcW w:w="5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数量（台/套）</w:t>
            </w:r>
          </w:p>
        </w:tc>
        <w:tc>
          <w:tcPr>
            <w:tcW w:w="64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技术参数</w:t>
            </w:r>
          </w:p>
        </w:tc>
      </w:tr>
      <w:tr>
        <w:tblPrEx>
          <w:tblCellMar>
            <w:top w:w="0" w:type="dxa"/>
            <w:left w:w="108" w:type="dxa"/>
            <w:bottom w:w="0" w:type="dxa"/>
            <w:right w:w="108" w:type="dxa"/>
          </w:tblCellMar>
        </w:tblPrEx>
        <w:trPr>
          <w:trHeight w:val="139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智慧黑板</w:t>
            </w:r>
            <w:r>
              <w:rPr>
                <w:rFonts w:hint="eastAsia" w:ascii="宋体" w:hAnsi="宋体" w:cs="宋体"/>
                <w:b/>
                <w:color w:val="auto"/>
                <w:kern w:val="0"/>
                <w:sz w:val="22"/>
                <w:highlight w:val="none"/>
              </w:rPr>
              <w:t>（核心产品）</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57</w:t>
            </w:r>
          </w:p>
        </w:tc>
        <w:tc>
          <w:tcPr>
            <w:tcW w:w="6444" w:type="dxa"/>
            <w:tcBorders>
              <w:top w:val="nil"/>
              <w:left w:val="nil"/>
              <w:bottom w:val="single" w:color="auto" w:sz="4" w:space="0"/>
              <w:right w:val="single" w:color="auto" w:sz="4" w:space="0"/>
            </w:tcBorders>
            <w:shd w:val="clear" w:color="auto" w:fill="auto"/>
          </w:tcPr>
          <w:p>
            <w:pPr>
              <w:rPr>
                <w:rFonts w:ascii="宋体" w:hAnsi="宋体" w:cs="宋体"/>
                <w:color w:val="auto"/>
                <w:szCs w:val="21"/>
                <w:highlight w:val="none"/>
              </w:rPr>
            </w:pPr>
            <w:r>
              <w:rPr>
                <w:rFonts w:hint="eastAsia" w:ascii="宋体" w:hAnsi="宋体" w:cs="宋体"/>
                <w:color w:val="auto"/>
                <w:szCs w:val="21"/>
                <w:highlight w:val="none"/>
              </w:rPr>
              <w:t>一、整体设计</w:t>
            </w:r>
            <w:r>
              <w:rPr>
                <w:rFonts w:hint="eastAsia" w:ascii="宋体" w:hAnsi="宋体" w:cs="宋体"/>
                <w:color w:val="auto"/>
                <w:szCs w:val="21"/>
                <w:highlight w:val="none"/>
              </w:rPr>
              <w:tab/>
            </w:r>
            <w:r>
              <w:rPr>
                <w:rFonts w:hint="eastAsia" w:ascii="宋体" w:hAnsi="宋体" w:cs="宋体"/>
                <w:color w:val="auto"/>
                <w:szCs w:val="21"/>
                <w:highlight w:val="none"/>
              </w:rPr>
              <w:tab/>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整体外观尺寸：宽≥4200mm，高≥1200mm，厚≤95mm。整机采用全金属外壳，三拼接平面一体化设计，屏幕边缘采用金属圆角包边防护，整机背板采用金属材质。无推拉式结构，外部无任何可见内部功能模块连接线。主副屏过渡平滑并在同一平面，中间无单独边框阻隔。</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整机屏幕采用86英寸液晶显示器，UHD超高清LED液晶屏，显示比例16:9，分辨率3840×2160；钢化玻璃表面硬度≥9H，灰度等级≥256级。</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整机具备至少6个前置按键，可实现老师开关机、调出中控菜单、音量+/-、护眼、录屏操作。</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三合一电源按键，同一电源物理按键完成Android系统和Windows系统的开机、节能熄屏、关机操作；关机状态下按按键开机；开机状态下按按键实现节能熄屏/唤醒，长按按键实现关机。</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■采用红外触控方式，支持Windows系统中进行40点或以上触控，支持Android系统中进行30点或以上触控。（提供国家认可的第三方检测机构出具的检测报告复印件）</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■整机内置2.2声道扬声器，位于设备上边框，顶置朝前发声，前朝向10W高音扬声器2个，上朝向20W中低音扬声器2个，额定总功率60W。（提供国家认可的第三方检测机构出具的检测报告复印件）</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整机视网膜蓝光危害（蓝光加权辐射亮度LB）满足IEC TR 62778:2014蓝光危害RG0级别</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整机采用硬件低蓝光背光技术，在源头减少有害蓝光波段能量，蓝光占比（有害蓝光415～455nm能量综合）/（整体蓝光400～500能量综合）＜50%，低蓝光保护显示不偏色、不泛黄。</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整机支持纸质护眼模式，可以在任意通道任意画面任意软件所有显示内容下实现画面纹理的实时调整；支持纸质纹理：牛皮纸、素描纸、宣纸、水彩纸、水纹纸；支持透明度调节；支持色温调节。（提供国家认可的第三方检测机构出具的检测报告复印件）</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■整机支持色彩空间可选，包含标准模式和sRGB模式，在sRGB模式下可做到高色准△E≤1.5（提供国家认可的第三方检测机构出具的检测报告复印件）</w:t>
            </w:r>
          </w:p>
          <w:p>
            <w:pPr>
              <w:numPr>
                <w:ilvl w:val="0"/>
                <w:numId w:val="1"/>
              </w:numPr>
              <w:adjustRightInd/>
              <w:rPr>
                <w:rFonts w:ascii="宋体" w:hAnsi="宋体" w:cs="宋体"/>
                <w:color w:val="auto"/>
                <w:szCs w:val="21"/>
                <w:highlight w:val="none"/>
              </w:rPr>
            </w:pPr>
            <w:r>
              <w:rPr>
                <w:rFonts w:hint="eastAsia" w:ascii="宋体" w:hAnsi="宋体" w:cs="宋体"/>
                <w:color w:val="auto"/>
                <w:szCs w:val="21"/>
                <w:highlight w:val="none"/>
              </w:rPr>
              <w:t>■整机支持蓝牙Bluetooth 5.2标准，固件版本号HCI11.20/LMP11.20；Wi-Fi及AP热点支持频段2.4GHz/5GHz ；Wi-Fi制式支持IEEE 802.11 a/b/g/n/ac/ax；支持版本Wi-Fi6。（提供国家认可的第三方检测机构出具的检测报告复印件）</w:t>
            </w:r>
          </w:p>
          <w:p>
            <w:pPr>
              <w:rPr>
                <w:rFonts w:ascii="宋体" w:hAnsi="宋体" w:cs="宋体"/>
                <w:color w:val="auto"/>
                <w:szCs w:val="21"/>
                <w:highlight w:val="none"/>
              </w:rPr>
            </w:pPr>
            <w:r>
              <w:rPr>
                <w:rFonts w:hint="eastAsia" w:ascii="宋体" w:hAnsi="宋体" w:cs="宋体"/>
                <w:color w:val="auto"/>
                <w:szCs w:val="21"/>
                <w:highlight w:val="none"/>
              </w:rPr>
              <w:t>二、主要功能</w:t>
            </w:r>
            <w:r>
              <w:rPr>
                <w:rFonts w:hint="eastAsia" w:ascii="宋体" w:hAnsi="宋体" w:cs="宋体"/>
                <w:color w:val="auto"/>
                <w:szCs w:val="21"/>
                <w:highlight w:val="none"/>
              </w:rPr>
              <w:tab/>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支持经典护眼模式，可通过前置面板物理功能按键一键启用经典护眼模式。</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设备支持通过前置面板物理按键一键启动录屏功能，可将屏幕中显示的课件、音频内容与人声同时录制。</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内置非独立摄像头，拍摄照片像素数≥1600万，摄像头视场角≥135度；整机内置非独立的高清摄像头，可用于远程巡课，拍摄范围可以涵盖整机距离摄像头垂直法线左右水平距离各大于等于4米，左右最边缘深度大于等于2.3米范围内，支持大于等于10米距离时实现AI识别人像，整机摄像头支持人脸识别、快速点人数、随机抽人；识别所有学生，显示标记，然后随机抽选，同时显示标记不少于60人。（提供国家认可的第三方检测机构出具的检测报告复印件）</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■整机支持通过人脸识别进行登录账号。（提供国家认可的第三方检测机构出具的检测报告复印件并）</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整机摄像头支持环境色温判断，根据环境调节合适的显示图像效果。</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整机具备前置Type-C接口，通过Type-C接口实现音视频输入，外接电脑设备经双头Type-C线连接至整机，即可把外接电脑设备画面投到整机上，同时在整机上操作画面，可实现触摸电脑的操作，无需再连接触控USB线。</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外接电脑设备经双头Type-C线连接至整机，可调用整机内置的摄像头、麦克风、扬声器，在外接电脑即可控制整机拍摄教室画面。</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在任意信号源通道下，支持十指长按屏幕5秒和遥控器两种方式实现触摸锁定及解锁，触摸锁定时整机无法被触控操作。</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支持半屏模式，将Windows显示画面上半部分下拉到屏幕下半部分显示，此时依然可以正常触控操作Windows系统；点击非Windows显示画面区域（屏幕上半部分），即可退出该模式。</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当整机处于黑暗环境中并无人操作，一分钟后整机将可以自动进入熄屏模式；整机在五分钟内处于无信号接收状态时，能够自动关机。</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整机全通道侧边栏快捷菜单中可以随时调起切换智能息屏、经典护眼模式、纸质护眼模式、自动亮度模式，并可支持快捷调节音量、亮度。</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安卓和全部外接通道（HDMI、Type-c）下侧边栏支持通过扫描二维码加入班级，老师设置题型，学生回答后提交，教师查看正确率比例及详细讲解；支持随机抽选、实时弹幕；支持管理当前班级成员；支持导出学生报告。（提供国家认可的第三方检测机构出具的检测报告复印件）</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整机设备开机启动后，自动进入教学桌面，支持账号登录、退出，自动获取个人云端教学课件列表、并可进入校本资源库。</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整机设备支持多种身份识别方式，支持通过账号登录、手机扫码登录，并支持账号安全登录检测。</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整机设备支持统一互通的用户身份认证服务，账号登录后，打开教学白板软件、学生行为评价软件的教学应用工具时无需再次输入账号密码重复登录。</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教学桌面支持教学常用的教学白板软件、文件管理软件、学生行为评价软件、随机抽选软件，以便于快速开启授课；并提供快速进入本机所有应用的入口，满足不同教师授课需要。</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整机设备教学桌面的教师登录账号后，可自动获取并在桌面显示最近使用的教学课件，点击任意课件可直接进入授课模式；并支持查看所有个人教学课件资源。</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具备智能手势识别功能，在任意信号源通道下可识别五指上、下、左、右方向手势，五指画O、画~、左右晃动、缩/放方向手势滑动并调用相应功能，支持将各手势滑动方向自定义设置为无操作、熄屏、批注、桌面、半屏模式。（提供国家认可的第三方检测机构出具的检测报告复印件）</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单侧不少于4个触控丝印按键，保存、彩色笔、白色笔、启动板书软件；整机支持通过黑板物理丝印按钮一键切换为彩色笔，一键切换为白色笔，切换后主屏板书软件的笔迹颜色随之改变；方便教师停留在黑板前就可以在白笔和彩色笔之间切换颜色，勾画重点教学内容，且保证教师板书电子化的还原度。（提供国家认可的第三方检测机构出具的检测报告复印件）</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整机支持通过副屏按键进行设定笔的颜色和粗细，彩色笔颜色支持红、黄、蓝等，10种以上。</w:t>
            </w:r>
            <w:r>
              <w:rPr>
                <w:rFonts w:hint="eastAsia" w:ascii="宋体" w:hAnsi="宋体" w:cs="宋体"/>
                <w:color w:val="auto"/>
                <w:szCs w:val="21"/>
                <w:highlight w:val="none"/>
              </w:rPr>
              <w:tab/>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整机板书软件支持开启、退出副屏电子化板书记录功能，支持记录倒计时提示、停止记录功能。</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整机支持副屏书写的板书在主屏板书软件中进行同步展示并且支持使用手掌、板擦擦除并在主屏板书软件中同步显示。</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整机板书软件支持在设备一侧，同时进行粉笔书写和板擦擦除并在主屏同步显示。</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■整机支持左右两侧黑板同时进行书写，且支持同时进行一侧擦除、另一侧书写（提供国家认可的第三方检测机构出具的检测报告复印件）</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整机支持板书软件将已经书写的板书笔迹进行：选择、拖动、缩放、置顶、删除、复制、颜色更换。</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整机板书记录功能，支持副屏黑板与主屏同步显示，支持加页，清除单页板书内容。</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■整机支持副屏左右两侧板书内容在主屏上进行左右对调，教室一侧的学生查看对侧黑板的板书（提供国家认可的第三方检测机构出具的检测报告复印件）</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整机支持左右两侧副屏分别进行10点书写触控，并在主屏上以电子化形式同步显示。</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整机支持在课件播放后，自动开始记录副屏黑板内容，无需用户手动点击记录功能。</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整机支持将副屏书写轨迹进行部分选中，选中的内容可以插入到授课课件中，方便老师结合课件和板书笔迹一起进行讲解。</w:t>
            </w:r>
          </w:p>
          <w:p>
            <w:pPr>
              <w:numPr>
                <w:ilvl w:val="0"/>
                <w:numId w:val="2"/>
              </w:numPr>
              <w:adjustRightInd/>
              <w:rPr>
                <w:rFonts w:ascii="宋体" w:hAnsi="宋体" w:cs="宋体"/>
                <w:color w:val="auto"/>
                <w:szCs w:val="21"/>
                <w:highlight w:val="none"/>
              </w:rPr>
            </w:pPr>
            <w:r>
              <w:rPr>
                <w:rFonts w:hint="eastAsia" w:ascii="宋体" w:hAnsi="宋体" w:cs="宋体"/>
                <w:color w:val="auto"/>
                <w:szCs w:val="21"/>
                <w:highlight w:val="none"/>
              </w:rPr>
              <w:t>■整机支持黑屏记录模式，可以实现副屏板书与主屏板书内容均以电子化同时保存，在两侧黑板和主屏均可以使用粉笔书写，主屏粉笔书写时，不因主屏显示效果影响学生查看粉笔板书（提供国家认可的第三方检测机构出具的检测报告复印件）</w:t>
            </w:r>
            <w:r>
              <w:rPr>
                <w:rFonts w:hint="eastAsia" w:ascii="宋体" w:hAnsi="宋体" w:cs="宋体"/>
                <w:color w:val="auto"/>
                <w:szCs w:val="21"/>
                <w:highlight w:val="none"/>
              </w:rPr>
              <w:tab/>
            </w:r>
          </w:p>
          <w:p>
            <w:pPr>
              <w:rPr>
                <w:rFonts w:ascii="宋体" w:hAnsi="宋体" w:cs="宋体"/>
                <w:color w:val="auto"/>
                <w:szCs w:val="21"/>
                <w:highlight w:val="none"/>
              </w:rPr>
            </w:pPr>
            <w:r>
              <w:rPr>
                <w:rFonts w:hint="eastAsia" w:ascii="宋体" w:hAnsi="宋体" w:cs="宋体"/>
                <w:color w:val="auto"/>
                <w:szCs w:val="21"/>
                <w:highlight w:val="none"/>
              </w:rPr>
              <w:t>三、嵌入式系统</w:t>
            </w:r>
          </w:p>
          <w:p>
            <w:pPr>
              <w:numPr>
                <w:ilvl w:val="0"/>
                <w:numId w:val="3"/>
              </w:numPr>
              <w:adjustRightInd/>
              <w:rPr>
                <w:rFonts w:ascii="宋体" w:hAnsi="宋体" w:cs="宋体"/>
                <w:color w:val="auto"/>
                <w:szCs w:val="21"/>
                <w:highlight w:val="none"/>
              </w:rPr>
            </w:pPr>
            <w:r>
              <w:rPr>
                <w:rFonts w:hint="eastAsia" w:ascii="宋体" w:hAnsi="宋体" w:cs="宋体"/>
                <w:color w:val="auto"/>
                <w:szCs w:val="21"/>
                <w:highlight w:val="none"/>
              </w:rPr>
              <w:t>嵌入式系统版本不低于Android 11，内存≥2GB，存储空间≥8GB。</w:t>
            </w:r>
          </w:p>
          <w:p>
            <w:pPr>
              <w:numPr>
                <w:ilvl w:val="0"/>
                <w:numId w:val="3"/>
              </w:numPr>
              <w:adjustRightInd/>
              <w:rPr>
                <w:rFonts w:ascii="宋体" w:hAnsi="宋体" w:cs="宋体"/>
                <w:color w:val="auto"/>
                <w:szCs w:val="21"/>
                <w:highlight w:val="none"/>
              </w:rPr>
            </w:pPr>
            <w:r>
              <w:rPr>
                <w:rFonts w:hint="eastAsia" w:ascii="宋体" w:hAnsi="宋体" w:cs="宋体"/>
                <w:color w:val="auto"/>
                <w:szCs w:val="21"/>
                <w:highlight w:val="none"/>
              </w:rPr>
              <w:t>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numPr>
                <w:ilvl w:val="0"/>
                <w:numId w:val="3"/>
              </w:numPr>
              <w:adjustRightInd/>
              <w:rPr>
                <w:rFonts w:ascii="宋体" w:hAnsi="宋体" w:cs="宋体"/>
                <w:color w:val="auto"/>
                <w:szCs w:val="21"/>
                <w:highlight w:val="none"/>
              </w:rPr>
            </w:pPr>
            <w:r>
              <w:rPr>
                <w:rFonts w:hint="eastAsia" w:ascii="宋体" w:hAnsi="宋体" w:cs="宋体"/>
                <w:color w:val="auto"/>
                <w:szCs w:val="21"/>
                <w:highlight w:val="none"/>
              </w:rPr>
              <w:t>无PC状态下，嵌入式Android操作系统下可实现windows系统中常用的教学应用功能，如白板书写、WPS软件使用和网页浏览。</w:t>
            </w:r>
          </w:p>
          <w:p>
            <w:pPr>
              <w:rPr>
                <w:rFonts w:ascii="宋体" w:hAnsi="宋体" w:cs="宋体"/>
                <w:color w:val="auto"/>
                <w:szCs w:val="21"/>
                <w:highlight w:val="none"/>
              </w:rPr>
            </w:pPr>
            <w:r>
              <w:rPr>
                <w:rFonts w:hint="eastAsia" w:ascii="宋体" w:hAnsi="宋体" w:cs="宋体"/>
                <w:color w:val="auto"/>
                <w:szCs w:val="21"/>
                <w:highlight w:val="none"/>
              </w:rPr>
              <w:t>四、教学软件：</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提供拼音卡片、古诗词、汉字卡片、中文听写、网络画板、字母卡片、英汉词典、英文听写、化学实验、元素周期表、化学方程式、物理实验、星球工具、藏文卡片等至少20种学科工具，可一键插入课件。</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具有互动式教学课件资源，不少于150000份的互动课件，其中学科教育各学段各地区教材版本不少于120个。</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支持PPT的原生解析，教师可将pptx课件转化为互动教学课件。支持将互动课件导出为pptx、pdf、H5或web链接，在多终端（包含windows、Macos、iOS、安卓、uos）二次编辑。</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■课件定向分享：互动教学课件支持定向分享，分享者可将互动课件、课件组推送至指定接收方账号云空间，接收方可在云空间接收并打开分享课件。（提供国家认可的第三方检测机构出具的检测报告复印件）</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课件云分享：互动教学课件支持开放式云分享：分享者可将互动课件、课件组以公开或加密的web链接和二维码形式进行分享，分享链接可设置访问有效期。</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提供国家认可的第三方检测机构出具的检测报告复印件）</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快捷抠图：内置图片处理功能，无需借助专业图片处理软件即可对课件内的图片进行快速抠图，图片主体处理后边缘无明显毛边，且处理后的图片可直接上传至教师云空间供后续复用。</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AI智能生成课堂活动：具有课堂活动智能填写功能，支持选词填空、判断对错和趣味选择三大课堂活动。输入文本后可以一键解析，自动将文本内容结构化填充至题干和正确选项，完成课堂活动的制作。</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AI智能纠错：内置的AI智能语义分析模块，可对输入的英文文本的拼写、句型、语法进行错误检查，并支持一键纠错。</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移动授课：支持移动授课，实现公网连接控制课件翻页、播放，支持手机拍照上传、投屏。手机端和电脑端登录同一账号后即可自动连接，拍照上传、控制课件支持公网。</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支持电子化听评课，支持在授课模式中发起授课评价，根据课程和评课表生成二维码，可选择是否分享课件，若选择分享课件，评课人通过扫码即可参与评课并获取课件。（提供国家认可的第三方检测机构出具的检测报告复印件）</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校本资源库：支持电脑端/手机端实现校本资源共建共享。支持课件、教案、胶囊及多媒体文件的上传。在交互式备授课软件中，支持获取校本多媒体资源到本地查看，实现校内资源的共建共享。</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云教案：提供教案模板，预置模板不少于7个。支持校本模板，设置校本模板后，可在云教案模板调用。云教案与云课件可一对多关联绑定，产生绑定后，在课件页和教案页均支持在同一面板打开关联的云课件或云教案预览。</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提供国家认可的第三方检测机构出具的检测报告复印件）</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p>
          <w:p>
            <w:pPr>
              <w:pStyle w:val="673"/>
              <w:numPr>
                <w:ilvl w:val="0"/>
                <w:numId w:val="4"/>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知识胶囊：胶囊式微课功能内置于交互式课件工具中，支持快速录制胶囊式微课，微课可录制保存音频和课件的互动操作。</w:t>
            </w:r>
          </w:p>
          <w:p>
            <w:pPr>
              <w:pStyle w:val="673"/>
              <w:numPr>
                <w:ilvl w:val="0"/>
                <w:numId w:val="4"/>
              </w:numPr>
              <w:rPr>
                <w:rFonts w:ascii="宋体" w:hAnsi="宋体" w:cs="宋体"/>
                <w:color w:val="auto"/>
                <w:sz w:val="21"/>
                <w:szCs w:val="21"/>
                <w:highlight w:val="none"/>
              </w:rPr>
            </w:pPr>
            <w:r>
              <w:rPr>
                <w:rFonts w:hint="eastAsia" w:ascii="宋体" w:hAnsi="宋体" w:cs="宋体"/>
                <w:color w:val="auto"/>
                <w:kern w:val="2"/>
                <w:sz w:val="21"/>
                <w:szCs w:val="21"/>
                <w:highlight w:val="none"/>
              </w:rPr>
              <w:t>■空中课堂功能内置于交互式备授课软件中，无需额外安装部署直播软件，可实现语音直播、课件同步、互动工具等远程教学功能：包括文本聊天工具、互动答题工具、远程互动工具、课堂奖励工具、远程考勤管理、课程回放。（提供国家认可的第三方检测机构出具的检测报告复印件）</w:t>
            </w:r>
          </w:p>
        </w:tc>
      </w:tr>
      <w:tr>
        <w:tblPrEx>
          <w:tblCellMar>
            <w:top w:w="0" w:type="dxa"/>
            <w:left w:w="108" w:type="dxa"/>
            <w:bottom w:w="0" w:type="dxa"/>
            <w:right w:w="108" w:type="dxa"/>
          </w:tblCellMar>
        </w:tblPrEx>
        <w:trPr>
          <w:trHeight w:val="1519"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内置OPS模块</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57</w:t>
            </w:r>
          </w:p>
        </w:tc>
        <w:tc>
          <w:tcPr>
            <w:tcW w:w="6444" w:type="dxa"/>
            <w:tcBorders>
              <w:top w:val="nil"/>
              <w:left w:val="nil"/>
              <w:bottom w:val="single" w:color="auto" w:sz="4" w:space="0"/>
              <w:right w:val="single" w:color="auto" w:sz="4" w:space="0"/>
            </w:tcBorders>
            <w:shd w:val="clear" w:color="auto" w:fill="auto"/>
          </w:tcPr>
          <w:p>
            <w:pPr>
              <w:numPr>
                <w:ilvl w:val="0"/>
                <w:numId w:val="5"/>
              </w:numPr>
              <w:adjustRightInd/>
              <w:rPr>
                <w:rFonts w:ascii="宋体" w:hAnsi="宋体" w:cs="宋体"/>
                <w:color w:val="auto"/>
                <w:szCs w:val="21"/>
                <w:highlight w:val="none"/>
              </w:rPr>
            </w:pPr>
            <w:r>
              <w:rPr>
                <w:rFonts w:hint="eastAsia" w:ascii="宋体" w:hAnsi="宋体" w:cs="宋体"/>
                <w:color w:val="auto"/>
                <w:szCs w:val="21"/>
                <w:highlight w:val="none"/>
              </w:rPr>
              <w:t>抽拉内置式，PC模块可完全插入整机，保护PC模块不易受教室灰尘影响，PC模块可抽拉式插入整机，可实现无单独接线的插拔。</w:t>
            </w:r>
          </w:p>
          <w:p>
            <w:pPr>
              <w:numPr>
                <w:ilvl w:val="0"/>
                <w:numId w:val="5"/>
              </w:numPr>
              <w:adjustRightInd/>
              <w:rPr>
                <w:rFonts w:ascii="宋体" w:hAnsi="宋体" w:cs="宋体"/>
                <w:color w:val="auto"/>
                <w:szCs w:val="21"/>
                <w:highlight w:val="none"/>
              </w:rPr>
            </w:pPr>
            <w:r>
              <w:rPr>
                <w:rFonts w:hint="eastAsia" w:ascii="宋体" w:hAnsi="宋体" w:cs="宋体"/>
                <w:color w:val="auto"/>
                <w:szCs w:val="21"/>
                <w:highlight w:val="none"/>
              </w:rPr>
              <w:t xml:space="preserve">PC和整机的连接采用万兆级接口，传输速率≥10Gbps。（提供国家认可的第三方检测机构出具的检测报告复印件） </w:t>
            </w:r>
          </w:p>
          <w:p>
            <w:pPr>
              <w:numPr>
                <w:ilvl w:val="0"/>
                <w:numId w:val="5"/>
              </w:numPr>
              <w:adjustRightInd/>
              <w:rPr>
                <w:rFonts w:ascii="宋体" w:hAnsi="宋体" w:cs="宋体"/>
                <w:color w:val="auto"/>
                <w:szCs w:val="21"/>
                <w:highlight w:val="none"/>
              </w:rPr>
            </w:pPr>
            <w:r>
              <w:rPr>
                <w:rFonts w:hint="eastAsia" w:ascii="宋体" w:hAnsi="宋体" w:cs="宋体"/>
                <w:color w:val="auto"/>
                <w:szCs w:val="21"/>
                <w:highlight w:val="none"/>
              </w:rPr>
              <w:t>采用按压式卡扣，无需工具即可快速拆卸电脑模块，机身采用热浸镀锌金属材质，采用智能风扇低噪音散热设计,模块主体预留足够散热空间，确保封闭空间内有效散热。</w:t>
            </w:r>
          </w:p>
          <w:p>
            <w:pPr>
              <w:numPr>
                <w:ilvl w:val="0"/>
                <w:numId w:val="5"/>
              </w:numPr>
              <w:adjustRightInd/>
              <w:rPr>
                <w:rFonts w:ascii="宋体" w:hAnsi="宋体" w:cs="宋体"/>
                <w:color w:val="auto"/>
                <w:szCs w:val="21"/>
                <w:highlight w:val="none"/>
              </w:rPr>
            </w:pPr>
            <w:r>
              <w:rPr>
                <w:rFonts w:hint="eastAsia" w:ascii="宋体" w:hAnsi="宋体" w:cs="宋体"/>
                <w:color w:val="auto"/>
                <w:szCs w:val="21"/>
                <w:highlight w:val="none"/>
              </w:rPr>
              <w:t>处理器：参照或相当于Intel 12代酷睿系列 i5 CPU；内存：</w:t>
            </w:r>
            <w:r>
              <w:rPr>
                <w:rFonts w:ascii="宋体" w:hAnsi="宋体" w:cs="宋体"/>
                <w:color w:val="auto"/>
                <w:szCs w:val="21"/>
                <w:highlight w:val="none"/>
              </w:rPr>
              <w:t>8</w:t>
            </w:r>
            <w:r>
              <w:rPr>
                <w:rFonts w:hint="eastAsia" w:ascii="宋体" w:hAnsi="宋体" w:cs="宋体"/>
                <w:color w:val="auto"/>
                <w:szCs w:val="21"/>
                <w:highlight w:val="none"/>
              </w:rPr>
              <w:t>G DDR4笔记本内存或以上配置；硬盘：256G或以上SSD 。</w:t>
            </w:r>
          </w:p>
          <w:p>
            <w:pPr>
              <w:numPr>
                <w:ilvl w:val="0"/>
                <w:numId w:val="5"/>
              </w:numPr>
              <w:adjustRightInd/>
              <w:rPr>
                <w:rFonts w:ascii="宋体" w:hAnsi="宋体" w:cs="宋体"/>
                <w:color w:val="auto"/>
                <w:szCs w:val="21"/>
                <w:highlight w:val="none"/>
              </w:rPr>
            </w:pPr>
            <w:r>
              <w:rPr>
                <w:rFonts w:hint="eastAsia" w:ascii="宋体" w:hAnsi="宋体" w:cs="宋体"/>
                <w:color w:val="auto"/>
                <w:szCs w:val="21"/>
                <w:highlight w:val="none"/>
              </w:rPr>
              <w:t>PC模块支持不断电情况下热插拔，以便快速维护或替换模块</w:t>
            </w:r>
          </w:p>
          <w:p>
            <w:pPr>
              <w:pStyle w:val="673"/>
              <w:rPr>
                <w:rFonts w:ascii="宋体" w:hAnsi="宋体" w:cs="仿宋_GB2312"/>
                <w:color w:val="auto"/>
                <w:sz w:val="21"/>
                <w:szCs w:val="21"/>
                <w:highlight w:val="none"/>
              </w:rPr>
            </w:pPr>
            <w:r>
              <w:rPr>
                <w:rFonts w:hint="eastAsia" w:ascii="宋体" w:hAnsi="宋体" w:cs="宋体"/>
                <w:color w:val="auto"/>
                <w:sz w:val="21"/>
                <w:szCs w:val="21"/>
                <w:highlight w:val="none"/>
              </w:rPr>
              <w:t>PC模块的USB接口须为冗余备份接口，在正常使用整机的内置摄像头、内置麦克风功能时，USB接口不被占用，确保教师有足够的接口外接存储设备及显示设备</w:t>
            </w:r>
          </w:p>
        </w:tc>
      </w:tr>
      <w:tr>
        <w:tblPrEx>
          <w:tblCellMar>
            <w:top w:w="0" w:type="dxa"/>
            <w:left w:w="108" w:type="dxa"/>
            <w:bottom w:w="0" w:type="dxa"/>
            <w:right w:w="108" w:type="dxa"/>
          </w:tblCellMar>
        </w:tblPrEx>
        <w:trPr>
          <w:trHeight w:val="9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互动教学软件</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57</w:t>
            </w:r>
          </w:p>
        </w:tc>
        <w:tc>
          <w:tcPr>
            <w:tcW w:w="6444" w:type="dxa"/>
            <w:tcBorders>
              <w:top w:val="nil"/>
              <w:left w:val="nil"/>
              <w:bottom w:val="single" w:color="auto" w:sz="4" w:space="0"/>
              <w:right w:val="single" w:color="auto" w:sz="4" w:space="0"/>
            </w:tcBorders>
            <w:shd w:val="clear" w:color="auto" w:fill="auto"/>
          </w:tcPr>
          <w:p>
            <w:pPr>
              <w:widowControl/>
              <w:jc w:val="left"/>
              <w:rPr>
                <w:rFonts w:ascii="宋体" w:hAnsi="宋体" w:cs="仿宋_GB2312"/>
                <w:color w:val="auto"/>
                <w:sz w:val="24"/>
                <w:highlight w:val="none"/>
              </w:rPr>
            </w:pPr>
            <w:r>
              <w:rPr>
                <w:rFonts w:hint="eastAsia" w:ascii="宋体" w:hAnsi="宋体"/>
                <w:color w:val="auto"/>
                <w:sz w:val="22"/>
                <w:szCs w:val="22"/>
                <w:highlight w:val="none"/>
              </w:rPr>
              <w:t>1)软件应支持微信扫码登录，无需输入帐号密码即可实现登录，用户可便捷、快速进入课堂。</w:t>
            </w:r>
            <w:r>
              <w:rPr>
                <w:rFonts w:hint="eastAsia" w:ascii="宋体" w:hAnsi="宋体"/>
                <w:color w:val="auto"/>
                <w:sz w:val="22"/>
                <w:szCs w:val="22"/>
                <w:highlight w:val="none"/>
              </w:rPr>
              <w:br w:type="textWrapping"/>
            </w:r>
            <w:r>
              <w:rPr>
                <w:rFonts w:hint="eastAsia" w:ascii="宋体" w:hAnsi="宋体"/>
                <w:color w:val="auto"/>
                <w:sz w:val="22"/>
                <w:szCs w:val="22"/>
                <w:highlight w:val="none"/>
              </w:rPr>
              <w:t>2)支持按天显示预约的活动信息，包括直播活动、互动课堂、网络教研的活动类型、活动名称、活动时间、活动状态。</w:t>
            </w:r>
            <w:r>
              <w:rPr>
                <w:rFonts w:hint="eastAsia" w:ascii="宋体" w:hAnsi="宋体"/>
                <w:color w:val="auto"/>
                <w:sz w:val="22"/>
                <w:szCs w:val="22"/>
                <w:highlight w:val="none"/>
              </w:rPr>
              <w:br w:type="textWrapping"/>
            </w:r>
            <w:r>
              <w:rPr>
                <w:rFonts w:hint="eastAsia" w:ascii="宋体" w:hAnsi="宋体"/>
                <w:color w:val="auto"/>
                <w:sz w:val="22"/>
                <w:szCs w:val="22"/>
                <w:highlight w:val="none"/>
              </w:rPr>
              <w:t>3)■支持搭配录播主机，进入录制视频、直播活动、互动课堂、网络教研等活动；支持在课前设置录播机的录制画面、导播模式，在课中更改导播模式。（需提供国家广播电视产品质量监督检验中心或国家电子计算机质量监督检验中心出具的检测报告复印件）</w:t>
            </w:r>
            <w:r>
              <w:rPr>
                <w:rFonts w:hint="eastAsia" w:ascii="宋体" w:hAnsi="宋体"/>
                <w:color w:val="auto"/>
                <w:sz w:val="22"/>
                <w:szCs w:val="22"/>
                <w:highlight w:val="none"/>
              </w:rPr>
              <w:br w:type="textWrapping"/>
            </w:r>
            <w:r>
              <w:rPr>
                <w:rFonts w:hint="eastAsia" w:ascii="宋体" w:hAnsi="宋体"/>
                <w:color w:val="auto"/>
                <w:sz w:val="22"/>
                <w:szCs w:val="22"/>
                <w:highlight w:val="none"/>
              </w:rPr>
              <w:t>4)■支持用户无需通过平台，直接创建公网直播，即时生成直播二维码，支持不少于200点同时观看高清直播功能。（需提供国家广播电视产品质量监督检验中心或国家电子计算机质量监督检验中心出具的检测报告复印件）</w:t>
            </w:r>
            <w:r>
              <w:rPr>
                <w:rFonts w:hint="eastAsia" w:ascii="宋体" w:hAnsi="宋体"/>
                <w:color w:val="auto"/>
                <w:sz w:val="22"/>
                <w:szCs w:val="22"/>
                <w:highlight w:val="none"/>
              </w:rPr>
              <w:br w:type="textWrapping"/>
            </w:r>
            <w:r>
              <w:rPr>
                <w:rFonts w:hint="eastAsia" w:ascii="宋体" w:hAnsi="宋体"/>
                <w:color w:val="auto"/>
                <w:sz w:val="22"/>
                <w:szCs w:val="22"/>
                <w:highlight w:val="none"/>
              </w:rPr>
              <w:t>5)支持用户通过公网点开直播链接，观看已结束的直播活动视频，视频至少在云端保存七天，并支持下载MP4格式到本地。</w:t>
            </w:r>
            <w:r>
              <w:rPr>
                <w:rFonts w:hint="eastAsia" w:ascii="宋体" w:hAnsi="宋体"/>
                <w:color w:val="auto"/>
                <w:sz w:val="22"/>
                <w:szCs w:val="22"/>
                <w:highlight w:val="none"/>
              </w:rPr>
              <w:br w:type="textWrapping"/>
            </w:r>
            <w:r>
              <w:rPr>
                <w:rFonts w:hint="eastAsia" w:ascii="宋体" w:hAnsi="宋体"/>
                <w:color w:val="auto"/>
                <w:sz w:val="22"/>
                <w:szCs w:val="22"/>
                <w:highlight w:val="none"/>
              </w:rPr>
              <w:t>6)■支持用户无需通过平台，直接创建网络教研，即时生成教研二维码，扫码可进行查看教研简介、发送点评等。（需提供国家广播电视产品质量监督检验中心或国家电子计算机质量监督检验中心出具的检测报告复印件）</w:t>
            </w:r>
            <w:r>
              <w:rPr>
                <w:rFonts w:hint="eastAsia" w:ascii="宋体" w:hAnsi="宋体"/>
                <w:color w:val="auto"/>
                <w:sz w:val="22"/>
                <w:szCs w:val="22"/>
                <w:highlight w:val="none"/>
              </w:rPr>
              <w:br w:type="textWrapping"/>
            </w:r>
            <w:r>
              <w:rPr>
                <w:rFonts w:hint="eastAsia" w:ascii="宋体" w:hAnsi="宋体"/>
                <w:color w:val="auto"/>
                <w:sz w:val="22"/>
                <w:szCs w:val="22"/>
                <w:highlight w:val="none"/>
              </w:rPr>
              <w:t>7)互动课堂连接支持按键拨号形式，可直接拨号呼叫，账号为11位手机号码，充分考虑用户的日常使用习惯，无需额外学习即可快速掌握使用方法。</w:t>
            </w:r>
            <w:r>
              <w:rPr>
                <w:rFonts w:hint="eastAsia" w:ascii="宋体" w:hAnsi="宋体"/>
                <w:color w:val="auto"/>
                <w:sz w:val="22"/>
                <w:szCs w:val="22"/>
                <w:highlight w:val="none"/>
              </w:rPr>
              <w:br w:type="textWrapping"/>
            </w:r>
            <w:r>
              <w:rPr>
                <w:rFonts w:hint="eastAsia" w:ascii="宋体" w:hAnsi="宋体"/>
                <w:color w:val="auto"/>
                <w:sz w:val="22"/>
                <w:szCs w:val="22"/>
                <w:highlight w:val="none"/>
              </w:rPr>
              <w:t>8)系统具备前向纠错、丢包重传等功能，支持冗余数据（FEC）和重传策略（ARQ）的动态平衡，既保障宽带的充分利用，又可避免抢带宽造成的链路自身拥塞。根据应用场景实现码率和帧率的智能调节，保障画质和流畅性的平衡效果。</w:t>
            </w:r>
            <w:r>
              <w:rPr>
                <w:rFonts w:hint="eastAsia" w:ascii="宋体" w:hAnsi="宋体"/>
                <w:color w:val="auto"/>
                <w:sz w:val="22"/>
                <w:szCs w:val="22"/>
                <w:highlight w:val="none"/>
              </w:rPr>
              <w:br w:type="textWrapping"/>
            </w:r>
            <w:r>
              <w:rPr>
                <w:rFonts w:hint="eastAsia" w:ascii="宋体" w:hAnsi="宋体"/>
                <w:color w:val="auto"/>
                <w:sz w:val="22"/>
                <w:szCs w:val="22"/>
                <w:highlight w:val="none"/>
              </w:rPr>
              <w:t>9)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r>
              <w:rPr>
                <w:rFonts w:hint="eastAsia" w:ascii="宋体" w:hAnsi="宋体"/>
                <w:color w:val="auto"/>
                <w:sz w:val="22"/>
                <w:szCs w:val="22"/>
                <w:highlight w:val="none"/>
              </w:rPr>
              <w:br w:type="textWrapping"/>
            </w:r>
            <w:r>
              <w:rPr>
                <w:rFonts w:hint="eastAsia" w:ascii="宋体" w:hAnsi="宋体"/>
                <w:color w:val="auto"/>
                <w:sz w:val="22"/>
                <w:szCs w:val="22"/>
                <w:highlight w:val="none"/>
              </w:rPr>
              <w:t>10)■软件具有多系统兼容性。除适配Windows操作系统外，至少能与主流国产操作系统（鸿蒙、UOS、麒麟、深度）其中一个适配并正常安装运行。（需提供国家广播电视产品质量监督检验中心或国家电子计算机质量监督检验中心出具的检测报告复印件）</w:t>
            </w:r>
            <w:r>
              <w:rPr>
                <w:rFonts w:hint="eastAsia" w:ascii="宋体" w:hAnsi="宋体"/>
                <w:color w:val="auto"/>
                <w:sz w:val="22"/>
                <w:szCs w:val="22"/>
                <w:highlight w:val="none"/>
              </w:rPr>
              <w:br w:type="textWrapping"/>
            </w:r>
            <w:r>
              <w:rPr>
                <w:rFonts w:hint="eastAsia" w:ascii="宋体" w:hAnsi="宋体"/>
                <w:color w:val="auto"/>
                <w:sz w:val="22"/>
                <w:szCs w:val="22"/>
                <w:highlight w:val="none"/>
              </w:rPr>
              <w:t xml:space="preserve">11)■云课件：支持用户在线打开云课件列表，无需下载至本地，即可在线打开云课件进行展示及讲授。（需提供国家广播电视产品质量监督检验中心或国家电子计算机质量监督检验中心出具的检测报告复印件） </w:t>
            </w:r>
            <w:r>
              <w:rPr>
                <w:rFonts w:hint="eastAsia" w:ascii="宋体" w:hAnsi="宋体"/>
                <w:color w:val="auto"/>
                <w:sz w:val="22"/>
                <w:szCs w:val="22"/>
                <w:highlight w:val="none"/>
              </w:rPr>
              <w:br w:type="textWrapping"/>
            </w:r>
            <w:r>
              <w:rPr>
                <w:rFonts w:hint="eastAsia" w:ascii="宋体" w:hAnsi="宋体"/>
                <w:color w:val="auto"/>
                <w:sz w:val="22"/>
                <w:szCs w:val="22"/>
                <w:highlight w:val="none"/>
              </w:rPr>
              <w:t>12)■课堂活动：支持用户在云课件中进行远程同步课堂游戏，异地教室的学生可同时在大屏上进行知识竞赛，以左右分屏形式实现两个教室的学生同台竞争。支持至少6种类型、50个模板的课堂活动。（需提供国家广播电视产品质量监督检验中心或国家电子计算机质量监督检验中心出具的检测报告复印件）</w:t>
            </w:r>
            <w:r>
              <w:rPr>
                <w:rFonts w:hint="eastAsia" w:ascii="宋体" w:hAnsi="宋体"/>
                <w:color w:val="auto"/>
                <w:sz w:val="22"/>
                <w:szCs w:val="22"/>
                <w:highlight w:val="none"/>
              </w:rPr>
              <w:br w:type="textWrapping"/>
            </w:r>
            <w:r>
              <w:rPr>
                <w:rFonts w:hint="eastAsia" w:ascii="宋体" w:hAnsi="宋体"/>
                <w:color w:val="auto"/>
                <w:sz w:val="22"/>
                <w:szCs w:val="22"/>
                <w:highlight w:val="none"/>
              </w:rPr>
              <w:t>13)■乐器同步：授课过程中支持用户调起乐器工具，提供虚拟键盘，不少于36个 琴键，授课端弹奏的内容可同步到所有听课端；听课端也可弹奏并反向同步到所有授课端和听课端。（需提供国家广播电视产品质量监督检验中心或国家电子计算机质量监督检验中心出具的检测报告复印件）</w:t>
            </w:r>
            <w:r>
              <w:rPr>
                <w:rFonts w:hint="eastAsia" w:ascii="宋体" w:hAnsi="宋体"/>
                <w:color w:val="auto"/>
                <w:sz w:val="22"/>
                <w:szCs w:val="22"/>
                <w:highlight w:val="none"/>
              </w:rPr>
              <w:br w:type="textWrapping"/>
            </w:r>
            <w:r>
              <w:rPr>
                <w:rFonts w:hint="eastAsia" w:ascii="宋体" w:hAnsi="宋体"/>
                <w:color w:val="auto"/>
                <w:sz w:val="22"/>
                <w:szCs w:val="22"/>
                <w:highlight w:val="none"/>
              </w:rPr>
              <w:t>14)■支持互动课堂中可对本地班级、听课班级中表现好的班级发送点评奖励，每堂课可统计各班点评总分，并在课上一键展示最高得分的班级进行表扬。（需提供国家广播电视产品质量监督检验中心或国家电子计算机质量监督检验中心出具的检测报告复印件）</w:t>
            </w:r>
            <w:r>
              <w:rPr>
                <w:rFonts w:hint="eastAsia" w:ascii="宋体" w:hAnsi="宋体"/>
                <w:color w:val="auto"/>
                <w:sz w:val="22"/>
                <w:szCs w:val="22"/>
                <w:highlight w:val="none"/>
              </w:rPr>
              <w:br w:type="textWrapping"/>
            </w:r>
            <w:r>
              <w:rPr>
                <w:rFonts w:hint="eastAsia" w:ascii="宋体" w:hAnsi="宋体"/>
                <w:color w:val="auto"/>
                <w:sz w:val="22"/>
                <w:szCs w:val="22"/>
                <w:highlight w:val="none"/>
              </w:rPr>
              <w:t>15)提供不少于4个通用工具，8个学科工具，支持语文、数学、英语、美术、地理等学科使用，并支持授课端与听课端多方交互触控。</w:t>
            </w:r>
          </w:p>
        </w:tc>
      </w:tr>
      <w:tr>
        <w:tblPrEx>
          <w:tblCellMar>
            <w:top w:w="0" w:type="dxa"/>
            <w:left w:w="108" w:type="dxa"/>
            <w:bottom w:w="0" w:type="dxa"/>
            <w:right w:w="108" w:type="dxa"/>
          </w:tblCellMar>
        </w:tblPrEx>
        <w:trPr>
          <w:trHeight w:val="882"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highlight w:val="none"/>
              </w:rPr>
            </w:pPr>
            <w:r>
              <w:rPr>
                <w:rFonts w:hint="eastAsia" w:ascii="宋体" w:hAnsi="宋体" w:cs="宋体"/>
                <w:color w:val="auto"/>
                <w:kern w:val="0"/>
                <w:sz w:val="22"/>
                <w:highlight w:val="none"/>
              </w:rPr>
              <w:t>校园设备运维管理系统软件</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57</w:t>
            </w:r>
          </w:p>
        </w:tc>
        <w:tc>
          <w:tcPr>
            <w:tcW w:w="6444" w:type="dxa"/>
            <w:tcBorders>
              <w:top w:val="nil"/>
              <w:left w:val="nil"/>
              <w:bottom w:val="single" w:color="auto" w:sz="4" w:space="0"/>
              <w:right w:val="single" w:color="auto" w:sz="4" w:space="0"/>
            </w:tcBorders>
            <w:shd w:val="clear" w:color="auto" w:fill="auto"/>
          </w:tcPr>
          <w:p>
            <w:pPr>
              <w:pStyle w:val="673"/>
              <w:rPr>
                <w:rFonts w:ascii="宋体" w:hAnsi="宋体" w:cs="宋体"/>
                <w:color w:val="auto"/>
                <w:kern w:val="2"/>
                <w:sz w:val="21"/>
                <w:szCs w:val="21"/>
                <w:highlight w:val="none"/>
              </w:rPr>
            </w:pPr>
            <w:r>
              <w:rPr>
                <w:rFonts w:hint="eastAsia" w:ascii="宋体" w:hAnsi="宋体" w:cs="宋体"/>
                <w:color w:val="auto"/>
                <w:kern w:val="2"/>
                <w:sz w:val="21"/>
                <w:szCs w:val="21"/>
                <w:highlight w:val="none"/>
              </w:rPr>
              <w:t>一、系统架构设计</w:t>
            </w:r>
          </w:p>
          <w:p>
            <w:pPr>
              <w:pStyle w:val="673"/>
              <w:numPr>
                <w:ilvl w:val="0"/>
                <w:numId w:val="6"/>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系统基于SaaS布局，应用界面采用B/S架构设计，支持学校管理员在Windows、Linux、Android、IOS等多种不同的操作系统上通过网页浏览器登录进行所有管理指令操作。</w:t>
            </w:r>
          </w:p>
          <w:p>
            <w:pPr>
              <w:pStyle w:val="673"/>
              <w:numPr>
                <w:ilvl w:val="0"/>
                <w:numId w:val="6"/>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系统支持多类型设备接入，集中运维。包含班班通设备、录播设备、班牌设备、校园屏显设备、学生平板设备。</w:t>
            </w:r>
          </w:p>
          <w:p>
            <w:pPr>
              <w:pStyle w:val="673"/>
              <w:numPr>
                <w:ilvl w:val="0"/>
                <w:numId w:val="6"/>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批量关联：支持通过设备辅助管理软件，在单台班班通设备关联学校代码后，自动发现并关联同网段下其他班班通设备。</w:t>
            </w:r>
          </w:p>
          <w:p>
            <w:pPr>
              <w:pStyle w:val="673"/>
              <w:numPr>
                <w:ilvl w:val="0"/>
                <w:numId w:val="6"/>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登录方式多样性：支持账号/密码、手机扫码登录。扫码登录：用户首次登录时绑定微信用户ID与账号的对应关系，之后即可通过微信扫一扫安全登录。</w:t>
            </w:r>
          </w:p>
          <w:p>
            <w:pPr>
              <w:pStyle w:val="673"/>
              <w:numPr>
                <w:ilvl w:val="0"/>
                <w:numId w:val="6"/>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系统自定义：支持自定义系统logo和系统名称，适用于校园定制系统。</w:t>
            </w:r>
          </w:p>
          <w:p>
            <w:pPr>
              <w:pStyle w:val="673"/>
              <w:numPr>
                <w:ilvl w:val="0"/>
                <w:numId w:val="6"/>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权限管理：支持学校高级管理员添加多位管理员协同管理，并支持为普通管理员分配不同权限，权限支持按系统功能菜单分配、按管理设备分配方式。并支持转让高级管理员给其他管理员。通用管理</w:t>
            </w:r>
          </w:p>
          <w:p>
            <w:pPr>
              <w:pStyle w:val="673"/>
              <w:rPr>
                <w:rFonts w:ascii="宋体" w:hAnsi="宋体" w:cs="宋体"/>
                <w:color w:val="auto"/>
                <w:kern w:val="2"/>
                <w:sz w:val="21"/>
                <w:szCs w:val="21"/>
                <w:highlight w:val="none"/>
              </w:rPr>
            </w:pPr>
            <w:r>
              <w:rPr>
                <w:rFonts w:hint="eastAsia" w:ascii="宋体" w:hAnsi="宋体" w:cs="宋体"/>
                <w:color w:val="auto"/>
                <w:kern w:val="2"/>
                <w:sz w:val="21"/>
                <w:szCs w:val="21"/>
                <w:highlight w:val="none"/>
              </w:rPr>
              <w:t>二、精细管理</w:t>
            </w:r>
          </w:p>
          <w:p>
            <w:pPr>
              <w:pStyle w:val="673"/>
              <w:numPr>
                <w:ilvl w:val="0"/>
                <w:numId w:val="7"/>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并行管理：支持实时展示不少于20台设备的运行画面，并支持切换画面模式/列表模式，方便管理员根据实际管理需要选择管理模式。</w:t>
            </w:r>
          </w:p>
          <w:p>
            <w:pPr>
              <w:pStyle w:val="673"/>
              <w:numPr>
                <w:ilvl w:val="0"/>
                <w:numId w:val="7"/>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支持查看设备当前使用老师信息，以及最近一次设备解锁时间、解锁方式、解锁老师，实时了解班班通设备教学应用情况。</w:t>
            </w:r>
          </w:p>
          <w:p>
            <w:pPr>
              <w:pStyle w:val="673"/>
              <w:numPr>
                <w:ilvl w:val="0"/>
                <w:numId w:val="7"/>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分组管理：支持根据设备类型、设备所属年级/场地/自定义分组、设备开关机状态进行分组管理；支持文字检索设备名称，快速定位对应设备进行定向精准管理。</w:t>
            </w:r>
          </w:p>
          <w:p>
            <w:pPr>
              <w:pStyle w:val="673"/>
              <w:numPr>
                <w:ilvl w:val="0"/>
                <w:numId w:val="7"/>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详情管理：支持查看单台设备的当日开机次数、开机时间分布情况、设备已安装软件列表及使用情况、内存/硬盘占用情况、基础参数；支持查看设备异常情况及系统提供对应的解决建议；支持查看设备所有待执行的指令信息； 并支持远程修改设备关联信息。</w:t>
            </w:r>
          </w:p>
          <w:p>
            <w:pPr>
              <w:pStyle w:val="673"/>
              <w:rPr>
                <w:rFonts w:ascii="宋体" w:hAnsi="宋体" w:cs="宋体"/>
                <w:color w:val="auto"/>
                <w:kern w:val="2"/>
                <w:sz w:val="21"/>
                <w:szCs w:val="21"/>
                <w:highlight w:val="none"/>
              </w:rPr>
            </w:pPr>
            <w:r>
              <w:rPr>
                <w:rFonts w:hint="eastAsia" w:ascii="宋体" w:hAnsi="宋体" w:cs="宋体"/>
                <w:color w:val="auto"/>
                <w:kern w:val="2"/>
                <w:sz w:val="21"/>
                <w:szCs w:val="21"/>
                <w:highlight w:val="none"/>
              </w:rPr>
              <w:t>三、基础指令</w:t>
            </w:r>
          </w:p>
          <w:p>
            <w:pPr>
              <w:pStyle w:val="673"/>
              <w:numPr>
                <w:ilvl w:val="0"/>
                <w:numId w:val="8"/>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pPr>
              <w:pStyle w:val="673"/>
              <w:numPr>
                <w:ilvl w:val="0"/>
                <w:numId w:val="8"/>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大文件传输：支持同时上传多个大于50MB的文件，并可批量发送至多台设备。</w:t>
            </w:r>
          </w:p>
          <w:p>
            <w:pPr>
              <w:pStyle w:val="673"/>
              <w:numPr>
                <w:ilvl w:val="0"/>
                <w:numId w:val="8"/>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循环指令：支持设置即时、定时、循环模式的关机、重启、打铃、锁屏/解锁指令。其中打铃指令支持上传自定义铃声、设置播放时长；</w:t>
            </w:r>
          </w:p>
          <w:p>
            <w:pPr>
              <w:pStyle w:val="673"/>
              <w:numPr>
                <w:ilvl w:val="0"/>
                <w:numId w:val="8"/>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消息通知：支持发送提醒类通知、全剧弹窗类紧急通知、桌面常驻类公告通知。支持设置常用通知消息模版，便于快捷发布。</w:t>
            </w:r>
          </w:p>
          <w:p>
            <w:pPr>
              <w:pStyle w:val="673"/>
              <w:numPr>
                <w:ilvl w:val="0"/>
                <w:numId w:val="8"/>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远程控制：支持远程实时控制设备，可监测设备当前运行界面，并远程操作设备界面，适用于远程维护和修复设备软件问题。</w:t>
            </w:r>
          </w:p>
          <w:p>
            <w:pPr>
              <w:pStyle w:val="673"/>
              <w:numPr>
                <w:ilvl w:val="0"/>
                <w:numId w:val="8"/>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倒计日：支持支持设置倒计日，用于重大教学安排的提醒，并可定向远程开启/关闭指定设备的倒计日功能。</w:t>
            </w:r>
          </w:p>
          <w:p>
            <w:pPr>
              <w:pStyle w:val="673"/>
              <w:numPr>
                <w:ilvl w:val="0"/>
                <w:numId w:val="8"/>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指令管理：支持查看和撤销待执行指令；支持查看已执行指令情况、指令执行实时状态；支持查看设备操作日志，精确记录设备每次解锁方式、解锁时间、解锁人信息，便于管理员了解设备是否存在违规使用，规范管理。</w:t>
            </w:r>
          </w:p>
          <w:p>
            <w:pPr>
              <w:pStyle w:val="673"/>
              <w:rPr>
                <w:rFonts w:ascii="宋体" w:hAnsi="宋体" w:cs="宋体"/>
                <w:color w:val="auto"/>
                <w:kern w:val="2"/>
                <w:sz w:val="21"/>
                <w:szCs w:val="21"/>
                <w:highlight w:val="none"/>
              </w:rPr>
            </w:pPr>
            <w:r>
              <w:rPr>
                <w:rFonts w:hint="eastAsia" w:ascii="宋体" w:hAnsi="宋体" w:cs="宋体"/>
                <w:color w:val="auto"/>
                <w:kern w:val="2"/>
                <w:sz w:val="21"/>
                <w:szCs w:val="21"/>
                <w:highlight w:val="none"/>
              </w:rPr>
              <w:t>四、高效管理</w:t>
            </w:r>
          </w:p>
          <w:p>
            <w:pPr>
              <w:pStyle w:val="673"/>
              <w:numPr>
                <w:ilvl w:val="0"/>
                <w:numId w:val="9"/>
              </w:numPr>
              <w:rPr>
                <w:rFonts w:ascii="宋体" w:hAnsi="宋体" w:cs="宋体"/>
                <w:color w:val="auto"/>
                <w:kern w:val="2"/>
                <w:sz w:val="21"/>
                <w:szCs w:val="21"/>
                <w:highlight w:val="none"/>
              </w:rPr>
            </w:pPr>
            <w:r>
              <w:rPr>
                <w:rFonts w:hint="eastAsia" w:ascii="宋体" w:hAnsi="宋体"/>
                <w:color w:val="auto"/>
                <w:sz w:val="21"/>
                <w:szCs w:val="21"/>
                <w:highlight w:val="none"/>
              </w:rPr>
              <w:t>■</w:t>
            </w:r>
            <w:r>
              <w:rPr>
                <w:rFonts w:hint="eastAsia" w:ascii="宋体" w:hAnsi="宋体" w:cs="宋体"/>
                <w:color w:val="auto"/>
                <w:kern w:val="2"/>
                <w:sz w:val="21"/>
                <w:szCs w:val="21"/>
                <w:highlight w:val="none"/>
              </w:rPr>
              <w:t>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提供国家认可的第三方检测机构出具的检测报告复印件）</w:t>
            </w:r>
          </w:p>
          <w:p>
            <w:pPr>
              <w:pStyle w:val="673"/>
              <w:numPr>
                <w:ilvl w:val="0"/>
                <w:numId w:val="9"/>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智慧管控：支持设备长时间无人使用时，自动进入屏保、锁屏、息屏、关机状态，保护显示器，延长班班通使用寿命。</w:t>
            </w:r>
          </w:p>
          <w:p>
            <w:pPr>
              <w:pStyle w:val="673"/>
              <w:numPr>
                <w:ilvl w:val="0"/>
                <w:numId w:val="9"/>
              </w:numPr>
              <w:rPr>
                <w:rFonts w:ascii="宋体" w:hAnsi="宋体" w:cs="宋体"/>
                <w:color w:val="auto"/>
                <w:kern w:val="2"/>
                <w:sz w:val="21"/>
                <w:szCs w:val="21"/>
                <w:highlight w:val="none"/>
              </w:rPr>
            </w:pPr>
            <w:r>
              <w:rPr>
                <w:rFonts w:hint="eastAsia" w:ascii="宋体" w:hAnsi="宋体"/>
                <w:color w:val="auto"/>
                <w:sz w:val="21"/>
                <w:szCs w:val="21"/>
                <w:highlight w:val="none"/>
              </w:rPr>
              <w:t>■</w:t>
            </w:r>
            <w:r>
              <w:rPr>
                <w:rFonts w:hint="eastAsia" w:ascii="宋体" w:hAnsi="宋体" w:cs="宋体"/>
                <w:color w:val="auto"/>
                <w:kern w:val="2"/>
                <w:sz w:val="21"/>
                <w:szCs w:val="21"/>
                <w:highlight w:val="none"/>
              </w:rPr>
              <w:t>软件静默安装：支持用户自主上传官方正版软件，经过人工封装软件后，批量将软件发送至班班通设备安装，整个安装过程完全无感，不影响正常教学。（提供国家认可的第三方检测机构出具的检测报告复印件）</w:t>
            </w:r>
          </w:p>
          <w:p>
            <w:pPr>
              <w:pStyle w:val="673"/>
              <w:numPr>
                <w:ilvl w:val="0"/>
                <w:numId w:val="9"/>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pPr>
              <w:pStyle w:val="673"/>
              <w:numPr>
                <w:ilvl w:val="0"/>
                <w:numId w:val="9"/>
              </w:numPr>
              <w:rPr>
                <w:rFonts w:ascii="宋体" w:hAnsi="宋体" w:cs="宋体"/>
                <w:color w:val="auto"/>
                <w:kern w:val="2"/>
                <w:sz w:val="21"/>
                <w:szCs w:val="21"/>
                <w:highlight w:val="none"/>
              </w:rPr>
            </w:pPr>
            <w:r>
              <w:rPr>
                <w:rFonts w:hint="eastAsia" w:ascii="宋体" w:hAnsi="宋体"/>
                <w:color w:val="auto"/>
                <w:sz w:val="21"/>
                <w:szCs w:val="21"/>
                <w:highlight w:val="none"/>
              </w:rPr>
              <w:t>■</w:t>
            </w:r>
            <w:r>
              <w:rPr>
                <w:rFonts w:hint="eastAsia" w:ascii="宋体" w:hAnsi="宋体" w:cs="宋体"/>
                <w:color w:val="auto"/>
                <w:kern w:val="2"/>
                <w:sz w:val="21"/>
                <w:szCs w:val="21"/>
                <w:highlight w:val="none"/>
              </w:rPr>
              <w:t>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国家认可的第三方检测机构出具的检测报告复印件）</w:t>
            </w:r>
          </w:p>
          <w:p>
            <w:pPr>
              <w:pStyle w:val="673"/>
              <w:numPr>
                <w:ilvl w:val="0"/>
                <w:numId w:val="9"/>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冰点还原：支持远程批量设置设备的冰冻状态；支持实时监测设备冰点存在的风险，并提供对应解决方案。</w:t>
            </w:r>
          </w:p>
          <w:p>
            <w:pPr>
              <w:pStyle w:val="673"/>
              <w:numPr>
                <w:ilvl w:val="0"/>
                <w:numId w:val="9"/>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p>
          <w:p>
            <w:pPr>
              <w:pStyle w:val="673"/>
              <w:numPr>
                <w:ilvl w:val="0"/>
                <w:numId w:val="9"/>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p>
            <w:pPr>
              <w:pStyle w:val="673"/>
              <w:numPr>
                <w:ilvl w:val="0"/>
                <w:numId w:val="9"/>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pPr>
              <w:pStyle w:val="673"/>
              <w:numPr>
                <w:ilvl w:val="0"/>
                <w:numId w:val="9"/>
              </w:numPr>
              <w:rPr>
                <w:rFonts w:ascii="宋体" w:hAnsi="宋体" w:cs="宋体"/>
                <w:color w:val="auto"/>
                <w:kern w:val="2"/>
                <w:sz w:val="21"/>
                <w:szCs w:val="21"/>
                <w:highlight w:val="none"/>
              </w:rPr>
            </w:pPr>
            <w:r>
              <w:rPr>
                <w:rFonts w:hint="eastAsia" w:ascii="宋体" w:hAnsi="宋体" w:cs="宋体"/>
                <w:color w:val="auto"/>
                <w:kern w:val="2"/>
                <w:sz w:val="21"/>
                <w:szCs w:val="21"/>
                <w:highlight w:val="none"/>
              </w:rPr>
              <w:t>移动端管理：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p>
            <w:pPr>
              <w:pStyle w:val="673"/>
              <w:numPr>
                <w:ilvl w:val="0"/>
                <w:numId w:val="9"/>
              </w:numPr>
              <w:rPr>
                <w:rFonts w:ascii="宋体" w:hAnsi="宋体" w:cs="宋体"/>
                <w:color w:val="auto"/>
                <w:kern w:val="2"/>
                <w:sz w:val="21"/>
                <w:szCs w:val="21"/>
                <w:highlight w:val="none"/>
              </w:rPr>
            </w:pPr>
            <w:r>
              <w:rPr>
                <w:rFonts w:hint="eastAsia" w:ascii="宋体" w:hAnsi="宋体"/>
                <w:color w:val="auto"/>
                <w:sz w:val="21"/>
                <w:szCs w:val="21"/>
                <w:highlight w:val="none"/>
              </w:rPr>
              <w:t>■</w:t>
            </w:r>
            <w:r>
              <w:rPr>
                <w:rFonts w:hint="eastAsia" w:ascii="宋体" w:hAnsi="宋体" w:cs="宋体"/>
                <w:color w:val="auto"/>
                <w:kern w:val="2"/>
                <w:sz w:val="21"/>
                <w:szCs w:val="21"/>
                <w:highlight w:val="none"/>
              </w:rPr>
              <w:t>本次采购包含5</w:t>
            </w:r>
            <w:r>
              <w:rPr>
                <w:rFonts w:ascii="宋体" w:hAnsi="宋体" w:cs="宋体"/>
                <w:color w:val="auto"/>
                <w:kern w:val="2"/>
                <w:sz w:val="21"/>
                <w:szCs w:val="21"/>
                <w:highlight w:val="none"/>
              </w:rPr>
              <w:t>7</w:t>
            </w:r>
            <w:r>
              <w:rPr>
                <w:rFonts w:hint="eastAsia" w:ascii="宋体" w:hAnsi="宋体" w:cs="宋体"/>
                <w:color w:val="auto"/>
                <w:kern w:val="2"/>
                <w:sz w:val="21"/>
                <w:szCs w:val="21"/>
                <w:highlight w:val="none"/>
              </w:rPr>
              <w:t>台设备授权，并需要对接到学校一期设备管理平台，实现统一账号管理，对接费用包含在本次投标报价中。</w:t>
            </w:r>
          </w:p>
          <w:p>
            <w:pPr>
              <w:pStyle w:val="673"/>
              <w:rPr>
                <w:rFonts w:ascii="宋体" w:hAnsi="宋体" w:cs="宋体"/>
                <w:color w:val="auto"/>
                <w:sz w:val="21"/>
                <w:szCs w:val="21"/>
                <w:highlight w:val="none"/>
              </w:rPr>
            </w:pPr>
          </w:p>
        </w:tc>
      </w:tr>
      <w:tr>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学生综合素质管理系统软件</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2"/>
                <w:highlight w:val="none"/>
                <w:lang w:val="en-US"/>
              </w:rPr>
            </w:pPr>
            <w:r>
              <w:rPr>
                <w:rFonts w:hint="eastAsia" w:ascii="宋体" w:hAnsi="宋体" w:cs="宋体"/>
                <w:color w:val="auto"/>
                <w:kern w:val="0"/>
                <w:sz w:val="22"/>
                <w:highlight w:val="none"/>
                <w:lang w:val="en-US" w:eastAsia="zh-CN"/>
              </w:rPr>
              <w:t>57</w:t>
            </w:r>
          </w:p>
        </w:tc>
        <w:tc>
          <w:tcPr>
            <w:tcW w:w="64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软件系统整体要求：</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学生行为评价系统，集成四大功能模块：学校管理中心、教师管理中心、课堂表现评价、家校互联互通，功能及操作均在同一软件平台同一账号体系实现。</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 支持PC客户端、PC网页端、安卓手机端、苹果手机端登陆使用，且各个端的数据是互通的，方便老师随时随地对学生进行管理与评价。</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 支持多个老师管理同一个班级，从而满足一个班级有班主任和多个任课老师的实际情况。</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 软件支持同一账号下，老师/家长双重身份切换，满足既是老师又是学生家长的人群需求。</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 支持邀请家长入班，使家长可查看到自己的孩子在学校的各种表现。</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学校管理中心：</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支持邀请教师入校、审核教师的入校申请、移除学校的教师，方便学校管理员管理学校的教师信息。</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 支持查看学校下的班级列表信息，包括班级名、班主任、学生数、家长数、表扬得分与待改进得分。可自由设置查看信息的时间区间，并可显示或隐藏某个班级，方便管理员进行汇总查看。</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 支持查看学校下某个班级的详细信息，包括该班级的表现情况、考勤记录，并支持导出数据，方便管理员进行分析查看。</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4.支持发送全校通知，可将图片或文字信息发送给学校的教师和家长，支持选择部分班级发送。</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5.支持选择教师或家长发送。</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教师管理中心：</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支持教师设置个人帐号信息，包括头像、昵称、密码、所教年级、学科。</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 支持设置班级信息，包括学段、年级、班级名称。</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 支持设置学生信息，包括学生姓名、学生所属分组。</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 持创建新班级，并可从现有班级中快速导入学生与家长账号。</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支持通过输入学校邀请码的方式申请加入学校。</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课堂表现评价：</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老师可通过移动端、PC端及网页端对学生、小组及班级进行行为评价打分。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 支持查看所有班级、小组、学生的评价得分，界面及头像均采用卡通化方式，提供课堂趣味性。</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 软件预设的头像类型不少于12种，并支持老师自定义符合自身教学需求的学生头像。</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 软件预设的评价类型不少于9种，并支持老师自定义符合自身教学需求的评价类型，可设置对应的图标、名称和分数。</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 根据评价得分情况，对应小组或学生的头像会升级变化，以游戏化方式激励学生积极参与课堂互动。</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 为提高课堂趣味性，软件支持随机抽选学生进行评价。</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 为方便把控课堂活动时间，支持计时器功能，包括秒表和倒计时。</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 支持考勤功能，可将学生状态设定为出勤、迟到、缺勤、请假等。</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9. 支持课堂分数重置，从而开始新一轮的课堂评价。</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 支持桌面光荣榜功能，可显示班级得分前列的学生信息，可设置隐藏。</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11. 支持查看课堂表现评价统计报表，按饼状图形式展现学生课堂表现情况，支持查看班级或学生个人的评价情况，并可具体查看到每一条评价的原因、对象、分值，便于老师做统计分析。报表数据支持导出成excel文件。</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12.支持查看课堂考勤统计报表，可具体看到某一天的课程有几人未出勤，以及每个人的考勤状态。</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家校互联互通：</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支持老师发送公告及作业给其他老师或家长，公告支持超过200字的文本输入。</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 支持老师发送作业给其他老师或家长，作业支持超过200字的文本输入。</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 支持老师发送学生在校表现，可编辑文本、图片，与家长及时交流。</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 支持成绩报告功能：</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a) 支持按EXCEL模板填写上传考试成绩，可自动生成班级成绩单，包括学生排名、学生姓名、学生总分，并可查看每个学生的每科得分情况以及平均分对比图。</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b) 支持自动生成班级成绩分析报表，包括每个学科以及总分的得分率、优秀率、及格率，并支持显示总分平均分得分率分布图。</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c) 支持将学生的成绩报告发送给对应的家长。</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4.支持在线公开及匿名投票功能，可设定投票内容、投票类型、结束时间等，并可查看投票结果统计，方便老师收集家长意见。</w:t>
            </w:r>
          </w:p>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9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教学教研平台</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6444" w:type="dxa"/>
            <w:tcBorders>
              <w:top w:val="nil"/>
              <w:left w:val="nil"/>
              <w:bottom w:val="single" w:color="auto" w:sz="4" w:space="0"/>
              <w:right w:val="single" w:color="auto" w:sz="4" w:space="0"/>
            </w:tcBorders>
            <w:shd w:val="clear" w:color="auto" w:fill="auto"/>
            <w:vAlign w:val="center"/>
          </w:tcPr>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平台概述：基于数据分析的教学教研管理平台，支持学校管理教学教研流程，包括教学计划、集体备课、听课评课、班级氛围、校本资源建设，同时收集数据反馈和评价，方便管理者掌握和促进教学教研效果。同时支持教师管理个人教学教研活动并进行数据采集分析，帮助教师提升个人专业发展。</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多端登录：支持管理员及教师使用网页端、移动端和小程序端登录，移动端支持校本资源的查看和应用，支持进入集体备课、听课评课等教研活动，支持教学动态的实时通知。小程序端支持查看网页端数据信息，教师榜单，并定期推送数据分析报表，帮助学校检验信息化教学成果。</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数据概览：管理者通过学校数据可视化看板，查看学校教师课件制作、校本资源等情况，快速掌握学校教研关键数据，及时了解关键数据环比上周的的具体情况，直观反映学校教学信息化投入的应用成效，为学校各项决策提供信息化支撑。</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信息化指数：通过多维度分析学校的信息化教学应用情况，综合评估出信息化指数，并与月均值、全省均值进行对比，方便管理者快速了解信息化教学进展。</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信息化数据雷达图：将信息化教学数据分五个维度进行评估，分别为课件制作、听课评课、师生互动、互动教学、家校沟通，并与全省均值对比。</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教师考勤：具备教师GPS定位打卡考勤功能。学校管理员可设置考勤时间、考勤范围，还可以查看和导出考勤数据报表。教师可在移动端进行GPS考勤，到达学校范围后即激活打卡，支持入校、离校、迟到、早退等多种打卡状态。</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为学校提供教研全流程管理服务，包含教学计划、教学设计、校本资源、集体备课、听课评课、班级氛围的流程管理和数据分析，方便学校统筹管理教学、掌握教研活动进展，收集数据反馈和评价，了解全校教师的教学教研产出。</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教学设计管理：支持管理者查看全校教师制作的课件数，教案数，以及教师上传到校本的课件数，教案数，通过详情还可查看教师具体制作的教案详情，上传的校本资源详情，点击对应的资源可以预览查看文件。</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校本资源管理：可统一审核发布、移动/删除教师上传至校本库的课件、教案及多媒体等资源。其中多媒体资源类型包括：文档、图片、视频、音频。</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课程评价记录：支持查看以课程维度的评价记录，包括课件名称，授课老师，所属学科，本节课的评课人数，总评价平均分及授课时间，通过点击操作“详情”可查看具体评价情况，支持管理员删除评价记录。</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教师评价记录：支持查看以教师维度的评课记录，查看教师的所属学科，评课节数，点击操作“详情”，可查看该教师详细的评课记录，包括课件名称，授课老师和评课时间，进入详情可查看该教师对该课程的评价记录。</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集体备课管理：支持查看集备活动的名称，主备人、所属学科、集备打磨稿件数，参与人数，浏览次数，评论数，批注数，评论点赞数、集备状态，创建时间，等数据。管理员可随时查看学校集备详情，查看集备的详细内容并给予指导评论，同时支持管理员删除集备活动。</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教案数据：支持查看全校教案总数、教师课件总数、校本教案及校本课件总数。同时支持按本周、本月、自定义时间段查看教案/课件制作数量的排行，查看全校教师的教案，校本教案/课件 ，方便进行教案及校本教案/课件检查，让管理者总览全校教案/课件编写制作情况。</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课件制作数据：支持按本周、本月、自定义时间查看全校教师课件制作的数据排行，教师榜单支持按照课件数、上传校本课件数、校本课件上传量进行排序。课件数据支持按学科对比，方便总览全校课件制作情况。</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校本课件数据详情：在资源中心数据统计中心里，支持按本周、本月、自定义时间查看全校教师上传校本课件的数据排行，支持一键导出详细Excel表格数据。包括校本教案/课件/多媒体数。</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班级氛围数据详情：支持查看班级点评分数数据，包含班级总分榜、当月班级分数榜、教师点评榜、最热点评维度，可以按年级进行柱状图分析对比，方便了解全校班级管理情况。</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集体备课数据详情：全校集体备课数据统一汇总，数据包含集备打磨稿件数，参与人数，浏览次数，评论数，批注数，评论点赞数、集备状态，创建时间等数据，方便了解集体备课活动的开展和参与情况。</w:t>
            </w:r>
          </w:p>
          <w:p>
            <w:pPr>
              <w:widowControl/>
              <w:numPr>
                <w:ilvl w:val="0"/>
                <w:numId w:val="10"/>
              </w:numPr>
              <w:adjustRightInd/>
              <w:jc w:val="left"/>
              <w:rPr>
                <w:rFonts w:ascii="宋体" w:hAnsi="宋体" w:cs="宋体"/>
                <w:color w:val="auto"/>
                <w:kern w:val="0"/>
                <w:szCs w:val="21"/>
                <w:highlight w:val="none"/>
              </w:rPr>
            </w:pPr>
            <w:r>
              <w:rPr>
                <w:rFonts w:hint="eastAsia" w:ascii="宋体" w:hAnsi="宋体" w:cs="宋体"/>
                <w:color w:val="auto"/>
                <w:kern w:val="0"/>
                <w:szCs w:val="21"/>
                <w:highlight w:val="none"/>
              </w:rPr>
              <w:t>听评课数据详情：全校听评课数据统一汇总，数据包含全校本月评课节数，本月评课次数，累计评课节数和累计评课次数，方便了解听评课教研活动的开展情况。</w:t>
            </w:r>
          </w:p>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9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高清壁挂展台</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57</w:t>
            </w:r>
          </w:p>
        </w:tc>
        <w:tc>
          <w:tcPr>
            <w:tcW w:w="6444" w:type="dxa"/>
            <w:tcBorders>
              <w:top w:val="nil"/>
              <w:left w:val="nil"/>
              <w:bottom w:val="single" w:color="auto" w:sz="4" w:space="0"/>
              <w:right w:val="single" w:color="auto" w:sz="4" w:space="0"/>
            </w:tcBorders>
            <w:shd w:val="clear" w:color="auto" w:fill="auto"/>
            <w:vAlign w:val="center"/>
          </w:tcPr>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一、硬件部分：</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1. 壁挂式安装，防盗防破坏。无锐角无利边设计，有效防止师生碰伤、划伤。</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2.采用三折叠开合式托板，展开后托板尺寸≥A4面积，收起时小巧不占空间，高效利用挂墙面积；采用无摄像头悬臂设计。</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3、支持实时视频矫正功能，拍摄画面无梯形畸变，画面如垂直悬臂拍摄效果。（提供国家认可的第三方检测机构所出具的检测报告复印件）</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4、采用USB高速接口，单根USB线实现供电、高清数据传输需求。</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5、采用1300W像素自动对焦摄像头，可拍摄A4画幅。显示视频输出像素≥3840*2160。</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6、支持实时降噪功能，并可开关控制；支持通过双击屏幕画面任意位置，即时改变对焦位置，可对立体物体的局部进行对焦。</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7、展台按键采用电容式触摸按键，可实现一键启动展台画面、画面放大、画面缩小、画面旋转、拍照截图等功能，同时也支持在展台软件上进行同样的操作。</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8、外壳在摄像头部分带保护镜片密封，防止灰尘沾染摄像头，防护等级达到IP4X级别。</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二、软件部分：</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1. 支持对展台实时画面进行放大、缩小、旋转、自适应、冻结画面等操作。</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2. 支持展台画面实时批注，预设多种笔划粗细及颜色供选择，且支持对展台画面联同批注内容进行同步缩放、移动。</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3. 支持展台画面拍照截图并进行多图预览，可对任一图片进行全屏显示。</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4. 老师可在一体机或电脑上选择延时拍照功能，支持5秒或10秒延时模式，预留充足时间以便调整拍摄内容。</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5. 可选择图像、文本或动态等多种情景模式，适应不同展示内容。</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6. 具备图像增强功能，可自动裁剪背景并增强文字显示，使文档画面更清晰。</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7. 支持故障自动检测，在软件无法出现展台拍摄画面时，自动出现检测链接，帮助用户检测“无画面”的原因，并给出引导性解决方案。可判断硬件连接、显卡驱动、摄像头占用、软件版本等问题。</w:t>
            </w:r>
          </w:p>
          <w:p>
            <w:pPr>
              <w:widowControl/>
              <w:adjustRightInd/>
              <w:ind w:left="-43"/>
              <w:jc w:val="left"/>
              <w:rPr>
                <w:rFonts w:ascii="宋体" w:hAnsi="宋体" w:cs="宋体"/>
                <w:color w:val="auto"/>
                <w:kern w:val="0"/>
                <w:szCs w:val="21"/>
                <w:highlight w:val="none"/>
              </w:rPr>
            </w:pPr>
            <w:r>
              <w:rPr>
                <w:rFonts w:hint="eastAsia" w:ascii="宋体" w:hAnsi="宋体" w:cs="宋体"/>
                <w:color w:val="auto"/>
                <w:kern w:val="0"/>
                <w:szCs w:val="21"/>
                <w:highlight w:val="none"/>
              </w:rPr>
              <w:t>8.支持二维码扫码功能：打开扫一扫功能后，将书本上的二维码放入扫描框内即可自动扫描，并进入系统浏览器获取二维码的链接内容，帮助老师快速获取电子教学资源。</w:t>
            </w:r>
          </w:p>
        </w:tc>
      </w:tr>
      <w:tr>
        <w:tblPrEx>
          <w:tblCellMar>
            <w:top w:w="0" w:type="dxa"/>
            <w:left w:w="108" w:type="dxa"/>
            <w:bottom w:w="0" w:type="dxa"/>
            <w:right w:w="108" w:type="dxa"/>
          </w:tblCellMar>
        </w:tblPrEx>
        <w:trPr>
          <w:trHeight w:val="402"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无线耳麦</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57</w:t>
            </w:r>
          </w:p>
        </w:tc>
        <w:tc>
          <w:tcPr>
            <w:tcW w:w="64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1．无线麦克风集音频发射处理器、天线、电池、拾音麦克风于一体，配合一体化有源音箱，无需任何外接辅助设备即可实现本地扩声功能。</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2．麦克风和功放音箱之间采用数字U段传输技术，有效避免环境中2.4G信号干扰，例如蓝牙及WIFI设备。</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3．支持智能红外对码及UHF对码，可在2s内快速完成与教学扩声音箱对码，无需繁琐操作。可与移动音箱或录播主机对码连接。</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4．采用触点磁吸式充电方式，支持快速充电与超低功耗工作模式，课间充电10分钟，实现80分钟续航。</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5．麦克风距离音箱最大有效工作距离≥10米，保证全教室覆盖。</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6．需配合一体化有源音箱使用</w:t>
            </w:r>
          </w:p>
        </w:tc>
      </w:tr>
      <w:tr>
        <w:tblPrEx>
          <w:tblCellMar>
            <w:top w:w="0" w:type="dxa"/>
            <w:left w:w="108" w:type="dxa"/>
            <w:bottom w:w="0" w:type="dxa"/>
            <w:right w:w="108" w:type="dxa"/>
          </w:tblCellMar>
        </w:tblPrEx>
        <w:trPr>
          <w:trHeight w:val="9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一体化蓝牙音箱</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57</w:t>
            </w:r>
          </w:p>
        </w:tc>
        <w:tc>
          <w:tcPr>
            <w:tcW w:w="64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1．采用功放及有源音箱一体化设计。</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2．双音箱配对，采用木质材质，保证声音还原度。</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3．输出功率: 2*40W。</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4．端口：电源*1、Line in*1、Line out*1、U盘接口*1。</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5．支持专业无线麦克风接收技术数字U段无线麦克风扩音接收，有效避开wifi干扰。</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6．配置独立音频数字信号处理芯片，支持啸叫抑制功能，在麦克风挂绳模式下会自动打开。</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7．支持蓝牙无线接收，方便老师分享移动设备上的音频。蓝牙支持密码模式，防止学生连接。</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8．支持手机通过蓝牙无线连接音箱，实现控制有源音箱的音量、设置蓝牙名称、设置蓝牙密码等功能，方便教师对音箱的管控。</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9．支持扩音和输入音源叠加输出，方便与录播系统结合，或者通过串联功放支持更大环境扩音。</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10．为保证无线兼容性和可靠性，需要提供SRRC证书</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11.提供国家认可的具备CMA</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CNAS认证的检测机构所出具的权威检测报告复印件</w:t>
            </w:r>
          </w:p>
        </w:tc>
      </w:tr>
      <w:tr>
        <w:tblPrEx>
          <w:tblCellMar>
            <w:top w:w="0" w:type="dxa"/>
            <w:left w:w="108" w:type="dxa"/>
            <w:bottom w:w="0" w:type="dxa"/>
            <w:right w:w="108" w:type="dxa"/>
          </w:tblCellMar>
        </w:tblPrEx>
        <w:trPr>
          <w:trHeight w:val="9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绿板</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57</w:t>
            </w:r>
          </w:p>
        </w:tc>
        <w:tc>
          <w:tcPr>
            <w:tcW w:w="64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规格：约1200*400MM（具体规格根据采购人实际情况定制）</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1、面板：书写面板颜色为墨绿色，烤漆绿白板板材，0.3mm基材镀锌钢板。板面平整，可吸附磁钉、磁片，易写易擦、坚固耐用。</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2、背板选用，高质量镀锌板，厚度0.3MM，表面镀锌处理，镀锌层为0.02MM，耐腐蚀，表面无油易和各类平面粘合；</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3、内芯材料：采用高强度瓦楞纸板做夹层，中间夹层厚度≥10mm，面层平整，无折痕，不变形，吸音强且环保。</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4、边框选用高强度工业用铝合金板，表面电泳处理，壁厚1.2mm、宽32mm，颜色为香槟色；</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5、胶水为强力胶和强力粘合剂；</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6、包角材料：抗疲劳ABS工程塑料，色泽接近铝框色，模具成型。</w:t>
            </w:r>
          </w:p>
        </w:tc>
      </w:tr>
      <w:tr>
        <w:tblPrEx>
          <w:tblCellMar>
            <w:top w:w="0" w:type="dxa"/>
            <w:left w:w="108" w:type="dxa"/>
            <w:bottom w:w="0" w:type="dxa"/>
            <w:right w:w="108" w:type="dxa"/>
          </w:tblCellMar>
        </w:tblPrEx>
        <w:trPr>
          <w:trHeight w:val="9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软木板</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57</w:t>
            </w:r>
          </w:p>
        </w:tc>
        <w:tc>
          <w:tcPr>
            <w:tcW w:w="64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规格：约1200*1000MM（具体规格根据采购人实际情况定制）</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1、软木面采用毛麻帖面，颜色定制。</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2、背板选用，高质量镀锌板，厚度0.3MM，表面镀锌处理，镀锌层为0.02MM，耐腐蚀，表面无油易和各类平面粘合；</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3、中间层选用0.3MM厚软木纸，强化软木板耐用度和强度；</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4、夹层选用七层双胶瓦楞（A楞加强）纸，厚度为10mm，具有防蚀、防霉；</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5、边框选用高强度工业用铝合金板，表面电泳处理，壁厚1.2mm、宽32mm，颜色为香槟色；</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6、胶水为强力胶和强力粘合剂；</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7、包角材料：抗疲劳ABS工程塑料，色泽接近铝框色，模具成型；</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8、配件，框架，塑料包角等物品装配吻合，坚固耐用，外表无损伤，歪斜等缺陷。</w:t>
            </w:r>
          </w:p>
        </w:tc>
      </w:tr>
      <w:tr>
        <w:tblPrEx>
          <w:tblCellMar>
            <w:top w:w="0" w:type="dxa"/>
            <w:left w:w="108" w:type="dxa"/>
            <w:bottom w:w="0" w:type="dxa"/>
            <w:right w:w="108" w:type="dxa"/>
          </w:tblCellMar>
        </w:tblPrEx>
        <w:trPr>
          <w:trHeight w:val="762"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安装实施</w:t>
            </w:r>
          </w:p>
        </w:tc>
        <w:tc>
          <w:tcPr>
            <w:tcW w:w="5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64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拆旧、旧品安放、墙面破损处理、新品安装培训和运维服务以及所需耗材</w:t>
            </w:r>
          </w:p>
        </w:tc>
      </w:tr>
    </w:tbl>
    <w:p>
      <w:pPr>
        <w:rPr>
          <w:color w:val="auto"/>
          <w:highlight w:val="none"/>
        </w:rPr>
      </w:pPr>
    </w:p>
    <w:p>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其它：招标文件第四部分评分办法中评审因素相应的其它要求及第五部分采购合同中相应的其他要求。</w:t>
      </w:r>
    </w:p>
    <w:p>
      <w:pPr>
        <w:rPr>
          <w:color w:val="auto"/>
          <w:highlight w:val="none"/>
        </w:rPr>
      </w:pPr>
    </w:p>
    <w:p>
      <w:pPr>
        <w:widowControl/>
        <w:ind w:firstLine="720" w:firstLineChars="300"/>
        <w:jc w:val="left"/>
        <w:rPr>
          <w:rFonts w:ascii="宋体" w:hAnsi="宋体" w:cs="宋体"/>
          <w:bCs/>
          <w:color w:val="auto"/>
          <w:sz w:val="24"/>
          <w:highlight w:val="none"/>
        </w:rPr>
      </w:pPr>
    </w:p>
    <w:p>
      <w:pPr>
        <w:tabs>
          <w:tab w:val="left" w:pos="0"/>
        </w:tabs>
        <w:spacing w:line="360" w:lineRule="auto"/>
        <w:ind w:firstLine="480"/>
        <w:rPr>
          <w:rFonts w:ascii="宋体" w:hAnsi="宋体" w:cs="宋体"/>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2073"/>
      <w:bookmarkEnd w:id="32"/>
      <w:bookmarkStart w:id="33" w:name="_Toc184313276"/>
      <w:bookmarkEnd w:id="33"/>
      <w:bookmarkStart w:id="34" w:name="_Toc184313285"/>
      <w:bookmarkEnd w:id="34"/>
      <w:bookmarkStart w:id="35" w:name="_Toc184312107"/>
      <w:bookmarkEnd w:id="35"/>
      <w:bookmarkStart w:id="36" w:name="_Toc184310295"/>
      <w:bookmarkEnd w:id="36"/>
      <w:bookmarkStart w:id="37" w:name="_Toc184312129"/>
      <w:bookmarkEnd w:id="37"/>
      <w:bookmarkStart w:id="38" w:name="_Toc184314475"/>
      <w:bookmarkEnd w:id="38"/>
      <w:bookmarkStart w:id="39" w:name="_Toc184308056"/>
      <w:bookmarkEnd w:id="39"/>
      <w:bookmarkStart w:id="40" w:name="_Toc184314411"/>
      <w:bookmarkEnd w:id="40"/>
      <w:bookmarkStart w:id="41" w:name="_Toc184312072"/>
      <w:bookmarkEnd w:id="41"/>
      <w:bookmarkStart w:id="42" w:name="_Toc184314414"/>
      <w:bookmarkEnd w:id="42"/>
      <w:bookmarkStart w:id="43" w:name="_Toc184312124"/>
      <w:bookmarkEnd w:id="43"/>
      <w:bookmarkStart w:id="44" w:name="_Toc184308087"/>
      <w:bookmarkEnd w:id="44"/>
      <w:bookmarkStart w:id="45" w:name="_Toc184312080"/>
      <w:bookmarkEnd w:id="45"/>
      <w:bookmarkStart w:id="46" w:name="_Toc184313248"/>
      <w:bookmarkEnd w:id="46"/>
      <w:bookmarkStart w:id="47" w:name="_Toc184312121"/>
      <w:bookmarkEnd w:id="47"/>
      <w:bookmarkStart w:id="48" w:name="_Toc184308036"/>
      <w:bookmarkEnd w:id="48"/>
      <w:bookmarkStart w:id="49" w:name="_Toc184310327"/>
      <w:bookmarkEnd w:id="49"/>
      <w:bookmarkStart w:id="50" w:name="_Toc184313268"/>
      <w:bookmarkEnd w:id="50"/>
      <w:bookmarkStart w:id="51" w:name="_Toc184313247"/>
      <w:bookmarkEnd w:id="51"/>
      <w:bookmarkStart w:id="52" w:name="_Toc184308082"/>
      <w:bookmarkEnd w:id="52"/>
      <w:bookmarkStart w:id="53" w:name="_Toc184313278"/>
      <w:bookmarkEnd w:id="53"/>
      <w:bookmarkStart w:id="54" w:name="_Toc184314456"/>
      <w:bookmarkEnd w:id="54"/>
      <w:bookmarkStart w:id="55" w:name="_Toc184308095"/>
      <w:bookmarkEnd w:id="55"/>
      <w:bookmarkStart w:id="56" w:name="_Toc184312087"/>
      <w:bookmarkEnd w:id="56"/>
      <w:bookmarkStart w:id="57" w:name="_Toc184310320"/>
      <w:bookmarkEnd w:id="57"/>
      <w:bookmarkStart w:id="58" w:name="_Toc184310283"/>
      <w:bookmarkEnd w:id="58"/>
      <w:bookmarkStart w:id="59" w:name="_Toc184314471"/>
      <w:bookmarkEnd w:id="59"/>
      <w:bookmarkStart w:id="60" w:name="_Toc184314438"/>
      <w:bookmarkEnd w:id="60"/>
      <w:bookmarkStart w:id="61" w:name="_Toc184312079"/>
      <w:bookmarkEnd w:id="61"/>
      <w:bookmarkStart w:id="62" w:name="_Toc184308051"/>
      <w:bookmarkEnd w:id="62"/>
      <w:bookmarkStart w:id="63" w:name="_Toc184308074"/>
      <w:bookmarkEnd w:id="63"/>
      <w:bookmarkStart w:id="64" w:name="_Toc184308050"/>
      <w:bookmarkEnd w:id="64"/>
      <w:bookmarkStart w:id="65" w:name="_Toc184312105"/>
      <w:bookmarkEnd w:id="65"/>
      <w:bookmarkStart w:id="66" w:name="_Toc184308042"/>
      <w:bookmarkEnd w:id="66"/>
      <w:bookmarkStart w:id="67" w:name="_Toc184312128"/>
      <w:bookmarkEnd w:id="67"/>
      <w:bookmarkStart w:id="68" w:name="_Toc184313282"/>
      <w:bookmarkEnd w:id="68"/>
      <w:bookmarkStart w:id="69" w:name="_Toc184313309"/>
      <w:bookmarkEnd w:id="69"/>
      <w:bookmarkStart w:id="70" w:name="_Toc184308103"/>
      <w:bookmarkEnd w:id="70"/>
      <w:bookmarkStart w:id="71" w:name="_Toc184313262"/>
      <w:bookmarkEnd w:id="71"/>
      <w:bookmarkStart w:id="72" w:name="_Toc184308107"/>
      <w:bookmarkEnd w:id="72"/>
      <w:bookmarkStart w:id="73" w:name="_Toc184310297"/>
      <w:bookmarkEnd w:id="73"/>
      <w:bookmarkStart w:id="74" w:name="_Toc184312070"/>
      <w:bookmarkEnd w:id="74"/>
      <w:bookmarkStart w:id="75" w:name="_Toc184313249"/>
      <w:bookmarkEnd w:id="75"/>
      <w:bookmarkStart w:id="76" w:name="_Toc184314419"/>
      <w:bookmarkEnd w:id="76"/>
      <w:bookmarkStart w:id="77" w:name="_Toc184312138"/>
      <w:bookmarkEnd w:id="77"/>
      <w:bookmarkStart w:id="78" w:name="_Toc184312095"/>
      <w:bookmarkEnd w:id="78"/>
      <w:bookmarkStart w:id="79" w:name="_Toc184312094"/>
      <w:bookmarkEnd w:id="79"/>
      <w:bookmarkStart w:id="80" w:name="_Toc184310294"/>
      <w:bookmarkEnd w:id="80"/>
      <w:bookmarkStart w:id="81" w:name="_Toc184308065"/>
      <w:bookmarkEnd w:id="81"/>
      <w:bookmarkStart w:id="82" w:name="_Toc184308066"/>
      <w:bookmarkEnd w:id="82"/>
      <w:bookmarkStart w:id="83" w:name="_Toc184314466"/>
      <w:bookmarkEnd w:id="83"/>
      <w:bookmarkStart w:id="84" w:name="_Toc184310290"/>
      <w:bookmarkEnd w:id="84"/>
      <w:bookmarkStart w:id="85" w:name="_Toc184308058"/>
      <w:bookmarkEnd w:id="85"/>
      <w:bookmarkStart w:id="86" w:name="_Toc184312133"/>
      <w:bookmarkEnd w:id="86"/>
      <w:bookmarkStart w:id="87" w:name="_Toc184310298"/>
      <w:bookmarkEnd w:id="87"/>
      <w:bookmarkStart w:id="88" w:name="_Toc184313279"/>
      <w:bookmarkEnd w:id="88"/>
      <w:bookmarkStart w:id="89" w:name="_Toc184310317"/>
      <w:bookmarkEnd w:id="89"/>
      <w:bookmarkStart w:id="90" w:name="_Toc184313242"/>
      <w:bookmarkEnd w:id="90"/>
      <w:bookmarkStart w:id="91" w:name="_Toc184313241"/>
      <w:bookmarkEnd w:id="91"/>
      <w:bookmarkStart w:id="92" w:name="_Toc184310306"/>
      <w:bookmarkEnd w:id="92"/>
      <w:bookmarkStart w:id="93" w:name="_Toc184312082"/>
      <w:bookmarkEnd w:id="93"/>
      <w:bookmarkStart w:id="94" w:name="_Toc184313255"/>
      <w:bookmarkEnd w:id="94"/>
      <w:bookmarkStart w:id="95" w:name="_Toc184313310"/>
      <w:bookmarkEnd w:id="95"/>
      <w:bookmarkStart w:id="96" w:name="_Toc184310273"/>
      <w:bookmarkEnd w:id="96"/>
      <w:bookmarkStart w:id="97" w:name="_Toc184310343"/>
      <w:bookmarkEnd w:id="97"/>
      <w:bookmarkStart w:id="98" w:name="_Toc184313293"/>
      <w:bookmarkEnd w:id="98"/>
      <w:bookmarkStart w:id="99" w:name="_Toc184308063"/>
      <w:bookmarkEnd w:id="99"/>
      <w:bookmarkStart w:id="100" w:name="_Toc184313299"/>
      <w:bookmarkEnd w:id="100"/>
      <w:bookmarkStart w:id="101" w:name="_Toc184313280"/>
      <w:bookmarkEnd w:id="101"/>
      <w:bookmarkStart w:id="102" w:name="_Toc184310276"/>
      <w:bookmarkEnd w:id="102"/>
      <w:bookmarkStart w:id="103" w:name="_Toc184308038"/>
      <w:bookmarkEnd w:id="103"/>
      <w:bookmarkStart w:id="104" w:name="_Toc184314425"/>
      <w:bookmarkEnd w:id="104"/>
      <w:bookmarkStart w:id="105" w:name="_Toc184308080"/>
      <w:bookmarkEnd w:id="105"/>
      <w:bookmarkStart w:id="106" w:name="_Toc184308101"/>
      <w:bookmarkEnd w:id="106"/>
      <w:bookmarkStart w:id="107" w:name="_Toc184312101"/>
      <w:bookmarkEnd w:id="107"/>
      <w:bookmarkStart w:id="108" w:name="_Toc184313257"/>
      <w:bookmarkEnd w:id="108"/>
      <w:bookmarkStart w:id="109" w:name="_Toc184308047"/>
      <w:bookmarkEnd w:id="109"/>
      <w:bookmarkStart w:id="110" w:name="_Toc184314446"/>
      <w:bookmarkEnd w:id="110"/>
      <w:bookmarkStart w:id="111" w:name="_Toc184314462"/>
      <w:bookmarkEnd w:id="111"/>
      <w:bookmarkStart w:id="112" w:name="_Toc184312068"/>
      <w:bookmarkEnd w:id="112"/>
      <w:bookmarkStart w:id="113" w:name="_Toc184314422"/>
      <w:bookmarkEnd w:id="113"/>
      <w:bookmarkStart w:id="114" w:name="_Toc184308092"/>
      <w:bookmarkEnd w:id="114"/>
      <w:bookmarkStart w:id="115" w:name="_Toc184312083"/>
      <w:bookmarkEnd w:id="115"/>
      <w:bookmarkStart w:id="116" w:name="_Toc184313296"/>
      <w:bookmarkEnd w:id="116"/>
      <w:bookmarkStart w:id="117" w:name="_Toc184314427"/>
      <w:bookmarkEnd w:id="117"/>
      <w:bookmarkStart w:id="118" w:name="_Toc184310309"/>
      <w:bookmarkEnd w:id="118"/>
      <w:bookmarkStart w:id="119" w:name="_Toc184313238"/>
      <w:bookmarkEnd w:id="119"/>
      <w:bookmarkStart w:id="120" w:name="_Toc184314447"/>
      <w:bookmarkEnd w:id="120"/>
      <w:bookmarkStart w:id="121" w:name="_Toc184308077"/>
      <w:bookmarkEnd w:id="121"/>
      <w:bookmarkStart w:id="122" w:name="_Toc184308068"/>
      <w:bookmarkEnd w:id="122"/>
      <w:bookmarkStart w:id="123" w:name="_Toc184312125"/>
      <w:bookmarkEnd w:id="123"/>
      <w:bookmarkStart w:id="124" w:name="_Toc184314469"/>
      <w:bookmarkEnd w:id="124"/>
      <w:bookmarkStart w:id="125" w:name="_Toc184310335"/>
      <w:bookmarkEnd w:id="125"/>
      <w:bookmarkStart w:id="126" w:name="_Toc184314412"/>
      <w:bookmarkEnd w:id="126"/>
      <w:bookmarkStart w:id="127" w:name="_Toc184310272"/>
      <w:bookmarkEnd w:id="127"/>
      <w:bookmarkStart w:id="128" w:name="_Toc184310322"/>
      <w:bookmarkEnd w:id="128"/>
      <w:bookmarkStart w:id="129" w:name="_Toc184308061"/>
      <w:bookmarkEnd w:id="129"/>
      <w:bookmarkStart w:id="130" w:name="_Toc184310341"/>
      <w:bookmarkEnd w:id="130"/>
      <w:bookmarkStart w:id="131" w:name="_Toc184314459"/>
      <w:bookmarkEnd w:id="131"/>
      <w:bookmarkStart w:id="132" w:name="_Toc184310291"/>
      <w:bookmarkEnd w:id="132"/>
      <w:bookmarkStart w:id="133" w:name="_Toc184313297"/>
      <w:bookmarkEnd w:id="133"/>
      <w:bookmarkStart w:id="134" w:name="_Toc184310275"/>
      <w:bookmarkEnd w:id="134"/>
      <w:bookmarkStart w:id="135" w:name="_Toc184308060"/>
      <w:bookmarkEnd w:id="135"/>
      <w:bookmarkStart w:id="136" w:name="_Toc184310303"/>
      <w:bookmarkEnd w:id="136"/>
      <w:bookmarkStart w:id="137" w:name="_Toc184312102"/>
      <w:bookmarkEnd w:id="137"/>
      <w:bookmarkStart w:id="138" w:name="_Toc184314464"/>
      <w:bookmarkEnd w:id="138"/>
      <w:bookmarkStart w:id="139" w:name="_Toc184312137"/>
      <w:bookmarkEnd w:id="139"/>
      <w:bookmarkStart w:id="140" w:name="_Toc184312085"/>
      <w:bookmarkEnd w:id="140"/>
      <w:bookmarkStart w:id="141" w:name="_Toc184314434"/>
      <w:bookmarkEnd w:id="141"/>
      <w:bookmarkStart w:id="142" w:name="_Toc184308075"/>
      <w:bookmarkEnd w:id="142"/>
      <w:bookmarkStart w:id="143" w:name="_Toc184308046"/>
      <w:bookmarkEnd w:id="143"/>
      <w:bookmarkStart w:id="144" w:name="_Toc184310318"/>
      <w:bookmarkEnd w:id="144"/>
      <w:bookmarkStart w:id="145" w:name="_Toc184310293"/>
      <w:bookmarkEnd w:id="145"/>
      <w:bookmarkStart w:id="146" w:name="_Toc184313258"/>
      <w:bookmarkEnd w:id="146"/>
      <w:bookmarkStart w:id="147" w:name="_Toc184314423"/>
      <w:bookmarkEnd w:id="147"/>
      <w:bookmarkStart w:id="148" w:name="_Toc184308052"/>
      <w:bookmarkEnd w:id="148"/>
      <w:bookmarkStart w:id="149" w:name="_Toc184312136"/>
      <w:bookmarkEnd w:id="149"/>
      <w:bookmarkStart w:id="150" w:name="_Toc184312130"/>
      <w:bookmarkEnd w:id="150"/>
      <w:bookmarkStart w:id="151" w:name="_Toc184313289"/>
      <w:bookmarkEnd w:id="151"/>
      <w:bookmarkStart w:id="152" w:name="_Toc184308085"/>
      <w:bookmarkEnd w:id="152"/>
      <w:bookmarkStart w:id="153" w:name="_Toc184308073"/>
      <w:bookmarkEnd w:id="153"/>
      <w:bookmarkStart w:id="154" w:name="_Toc184313271"/>
      <w:bookmarkEnd w:id="154"/>
      <w:bookmarkStart w:id="155" w:name="_Toc184313308"/>
      <w:bookmarkEnd w:id="155"/>
      <w:bookmarkStart w:id="156" w:name="_Toc184313307"/>
      <w:bookmarkEnd w:id="156"/>
      <w:bookmarkStart w:id="157" w:name="_Toc184312086"/>
      <w:bookmarkEnd w:id="157"/>
      <w:bookmarkStart w:id="158" w:name="_Toc184314437"/>
      <w:bookmarkEnd w:id="158"/>
      <w:bookmarkStart w:id="159" w:name="_Toc184314454"/>
      <w:bookmarkEnd w:id="159"/>
      <w:bookmarkStart w:id="160" w:name="_Toc184314444"/>
      <w:bookmarkEnd w:id="160"/>
      <w:bookmarkStart w:id="161" w:name="_Toc184314430"/>
      <w:bookmarkEnd w:id="161"/>
      <w:bookmarkStart w:id="162" w:name="_Toc184314455"/>
      <w:bookmarkEnd w:id="162"/>
      <w:bookmarkStart w:id="163" w:name="_Toc184310285"/>
      <w:bookmarkEnd w:id="163"/>
      <w:bookmarkStart w:id="164" w:name="_Toc184312119"/>
      <w:bookmarkEnd w:id="164"/>
      <w:bookmarkStart w:id="165" w:name="_Toc184313300"/>
      <w:bookmarkEnd w:id="165"/>
      <w:bookmarkStart w:id="166" w:name="_Toc184314465"/>
      <w:bookmarkEnd w:id="166"/>
      <w:bookmarkStart w:id="167" w:name="_Toc184310288"/>
      <w:bookmarkEnd w:id="167"/>
      <w:bookmarkStart w:id="168" w:name="_Toc184310286"/>
      <w:bookmarkEnd w:id="168"/>
      <w:bookmarkStart w:id="169" w:name="_Toc184312113"/>
      <w:bookmarkEnd w:id="169"/>
      <w:bookmarkStart w:id="170" w:name="_Toc184308072"/>
      <w:bookmarkEnd w:id="170"/>
      <w:bookmarkStart w:id="171" w:name="_Toc184308108"/>
      <w:bookmarkEnd w:id="171"/>
      <w:bookmarkStart w:id="172" w:name="_Toc184314481"/>
      <w:bookmarkEnd w:id="172"/>
      <w:bookmarkStart w:id="173" w:name="_Toc184308078"/>
      <w:bookmarkEnd w:id="173"/>
      <w:bookmarkStart w:id="174" w:name="_Toc184313275"/>
      <w:bookmarkEnd w:id="174"/>
      <w:bookmarkStart w:id="175" w:name="_Toc184310304"/>
      <w:bookmarkEnd w:id="175"/>
      <w:bookmarkStart w:id="176" w:name="_Toc184314461"/>
      <w:bookmarkEnd w:id="176"/>
      <w:bookmarkStart w:id="177" w:name="_Toc184312076"/>
      <w:bookmarkEnd w:id="177"/>
      <w:bookmarkStart w:id="178" w:name="_Toc184312120"/>
      <w:bookmarkEnd w:id="178"/>
      <w:bookmarkStart w:id="179" w:name="_Toc184308069"/>
      <w:bookmarkEnd w:id="179"/>
      <w:bookmarkStart w:id="180" w:name="_Toc184308045"/>
      <w:bookmarkEnd w:id="180"/>
      <w:bookmarkStart w:id="181" w:name="_Toc184310336"/>
      <w:bookmarkEnd w:id="181"/>
      <w:bookmarkStart w:id="182" w:name="_Toc184314473"/>
      <w:bookmarkEnd w:id="182"/>
      <w:bookmarkStart w:id="183" w:name="_Toc184313290"/>
      <w:bookmarkEnd w:id="183"/>
      <w:bookmarkStart w:id="184" w:name="_Toc184310316"/>
      <w:bookmarkEnd w:id="184"/>
      <w:bookmarkStart w:id="185" w:name="_Toc184312126"/>
      <w:bookmarkEnd w:id="185"/>
      <w:bookmarkStart w:id="186" w:name="_Toc184308081"/>
      <w:bookmarkEnd w:id="186"/>
      <w:bookmarkStart w:id="187" w:name="_Toc184308105"/>
      <w:bookmarkEnd w:id="187"/>
      <w:bookmarkStart w:id="188" w:name="_Toc184310332"/>
      <w:bookmarkEnd w:id="188"/>
      <w:bookmarkStart w:id="189" w:name="_Toc184313298"/>
      <w:bookmarkEnd w:id="189"/>
      <w:bookmarkStart w:id="190" w:name="_Toc184314440"/>
      <w:bookmarkEnd w:id="190"/>
      <w:bookmarkStart w:id="191" w:name="_Toc184308049"/>
      <w:bookmarkEnd w:id="191"/>
      <w:bookmarkStart w:id="192" w:name="_Toc184310329"/>
      <w:bookmarkEnd w:id="192"/>
      <w:bookmarkStart w:id="193" w:name="_Toc184312109"/>
      <w:bookmarkEnd w:id="193"/>
      <w:bookmarkStart w:id="194" w:name="_Toc184310330"/>
      <w:bookmarkEnd w:id="194"/>
      <w:bookmarkStart w:id="195" w:name="_Toc184314449"/>
      <w:bookmarkEnd w:id="195"/>
      <w:bookmarkStart w:id="196" w:name="_Toc184313295"/>
      <w:bookmarkEnd w:id="196"/>
      <w:bookmarkStart w:id="197" w:name="_Toc184314458"/>
      <w:bookmarkEnd w:id="197"/>
      <w:bookmarkStart w:id="198" w:name="_Toc184313260"/>
      <w:bookmarkEnd w:id="198"/>
      <w:bookmarkStart w:id="199" w:name="_Toc184308037"/>
      <w:bookmarkEnd w:id="199"/>
      <w:bookmarkStart w:id="200" w:name="_Toc184310308"/>
      <w:bookmarkEnd w:id="200"/>
      <w:bookmarkStart w:id="201" w:name="_Toc184312114"/>
      <w:bookmarkEnd w:id="201"/>
      <w:bookmarkStart w:id="202" w:name="_Toc184313263"/>
      <w:bookmarkEnd w:id="202"/>
      <w:bookmarkStart w:id="203" w:name="_Toc184313277"/>
      <w:bookmarkEnd w:id="203"/>
      <w:bookmarkStart w:id="204" w:name="_Toc184314410"/>
      <w:bookmarkEnd w:id="204"/>
      <w:bookmarkStart w:id="205" w:name="_Toc184308057"/>
      <w:bookmarkEnd w:id="205"/>
      <w:bookmarkStart w:id="206" w:name="_Toc184312135"/>
      <w:bookmarkEnd w:id="206"/>
      <w:bookmarkStart w:id="207" w:name="_Toc184308106"/>
      <w:bookmarkEnd w:id="207"/>
      <w:bookmarkStart w:id="208" w:name="_Toc184310302"/>
      <w:bookmarkEnd w:id="208"/>
      <w:bookmarkStart w:id="209" w:name="_Toc184313274"/>
      <w:bookmarkEnd w:id="209"/>
      <w:bookmarkStart w:id="210" w:name="_Toc184308076"/>
      <w:bookmarkEnd w:id="210"/>
      <w:bookmarkStart w:id="211" w:name="_Toc184313240"/>
      <w:bookmarkEnd w:id="211"/>
      <w:bookmarkStart w:id="212" w:name="_Toc184314429"/>
      <w:bookmarkEnd w:id="212"/>
      <w:bookmarkStart w:id="213" w:name="_Toc184312118"/>
      <w:bookmarkEnd w:id="213"/>
      <w:bookmarkStart w:id="214" w:name="_Toc184312067"/>
      <w:bookmarkEnd w:id="214"/>
      <w:bookmarkStart w:id="215" w:name="_Toc184313267"/>
      <w:bookmarkEnd w:id="215"/>
      <w:bookmarkStart w:id="216" w:name="_Toc184314428"/>
      <w:bookmarkEnd w:id="216"/>
      <w:bookmarkStart w:id="217" w:name="_Toc184310274"/>
      <w:bookmarkEnd w:id="217"/>
      <w:bookmarkStart w:id="218" w:name="_Toc184308044"/>
      <w:bookmarkEnd w:id="218"/>
      <w:bookmarkStart w:id="219" w:name="_Toc184313239"/>
      <w:bookmarkEnd w:id="219"/>
      <w:bookmarkStart w:id="220" w:name="_Toc184310319"/>
      <w:bookmarkEnd w:id="220"/>
      <w:bookmarkStart w:id="221" w:name="_Toc184314457"/>
      <w:bookmarkEnd w:id="221"/>
      <w:bookmarkStart w:id="222" w:name="_Toc184313269"/>
      <w:bookmarkEnd w:id="222"/>
      <w:bookmarkStart w:id="223" w:name="_Toc184310292"/>
      <w:bookmarkEnd w:id="223"/>
      <w:bookmarkStart w:id="224" w:name="_Toc184310284"/>
      <w:bookmarkEnd w:id="224"/>
      <w:bookmarkStart w:id="225" w:name="_Toc184313302"/>
      <w:bookmarkEnd w:id="225"/>
      <w:bookmarkStart w:id="226" w:name="_Toc184314432"/>
      <w:bookmarkEnd w:id="226"/>
      <w:bookmarkStart w:id="227" w:name="_Toc184314482"/>
      <w:bookmarkEnd w:id="227"/>
      <w:bookmarkStart w:id="228" w:name="_Toc184310282"/>
      <w:bookmarkEnd w:id="228"/>
      <w:bookmarkStart w:id="229" w:name="_Toc184310337"/>
      <w:bookmarkEnd w:id="229"/>
      <w:bookmarkStart w:id="230" w:name="_Toc184312069"/>
      <w:bookmarkEnd w:id="230"/>
      <w:bookmarkStart w:id="231" w:name="_Toc184310289"/>
      <w:bookmarkEnd w:id="231"/>
      <w:bookmarkStart w:id="232" w:name="_Toc184310312"/>
      <w:bookmarkEnd w:id="232"/>
      <w:bookmarkStart w:id="233" w:name="_Toc184310338"/>
      <w:bookmarkEnd w:id="233"/>
      <w:bookmarkStart w:id="234" w:name="_Toc184312100"/>
      <w:bookmarkEnd w:id="234"/>
      <w:bookmarkStart w:id="235" w:name="_Toc184314460"/>
      <w:bookmarkEnd w:id="235"/>
      <w:bookmarkStart w:id="236" w:name="_Toc184313292"/>
      <w:bookmarkEnd w:id="236"/>
      <w:bookmarkStart w:id="237" w:name="_Toc184308096"/>
      <w:bookmarkEnd w:id="237"/>
      <w:bookmarkStart w:id="238" w:name="_Toc184308064"/>
      <w:bookmarkEnd w:id="238"/>
      <w:bookmarkStart w:id="239" w:name="_Toc184314467"/>
      <w:bookmarkEnd w:id="239"/>
      <w:bookmarkStart w:id="240" w:name="_Toc184308053"/>
      <w:bookmarkEnd w:id="240"/>
      <w:bookmarkStart w:id="241" w:name="_Toc184313244"/>
      <w:bookmarkEnd w:id="241"/>
      <w:bookmarkStart w:id="242" w:name="_Toc184310277"/>
      <w:bookmarkEnd w:id="242"/>
      <w:bookmarkStart w:id="243" w:name="_Toc184314442"/>
      <w:bookmarkEnd w:id="243"/>
      <w:bookmarkStart w:id="244" w:name="_Toc184312097"/>
      <w:bookmarkEnd w:id="244"/>
      <w:bookmarkStart w:id="245" w:name="_Toc184313303"/>
      <w:bookmarkEnd w:id="245"/>
      <w:bookmarkStart w:id="246" w:name="_Toc184310342"/>
      <w:bookmarkEnd w:id="246"/>
      <w:bookmarkStart w:id="247" w:name="_Toc184310325"/>
      <w:bookmarkEnd w:id="247"/>
      <w:bookmarkStart w:id="248" w:name="_Toc184310299"/>
      <w:bookmarkEnd w:id="248"/>
      <w:bookmarkStart w:id="249" w:name="_Toc184310300"/>
      <w:bookmarkEnd w:id="249"/>
      <w:bookmarkStart w:id="250" w:name="_Toc184310340"/>
      <w:bookmarkEnd w:id="250"/>
      <w:bookmarkStart w:id="251" w:name="_Toc184310315"/>
      <w:bookmarkEnd w:id="251"/>
      <w:bookmarkStart w:id="252" w:name="_Toc184312139"/>
      <w:bookmarkEnd w:id="252"/>
      <w:bookmarkStart w:id="253" w:name="_Toc184314448"/>
      <w:bookmarkEnd w:id="253"/>
      <w:bookmarkStart w:id="254" w:name="_Toc184314421"/>
      <w:bookmarkEnd w:id="254"/>
      <w:bookmarkStart w:id="255" w:name="_Toc184312089"/>
      <w:bookmarkEnd w:id="255"/>
      <w:bookmarkStart w:id="256" w:name="_Toc184308102"/>
      <w:bookmarkEnd w:id="256"/>
      <w:bookmarkStart w:id="257" w:name="_Toc184312108"/>
      <w:bookmarkEnd w:id="257"/>
      <w:bookmarkStart w:id="258" w:name="_Toc184310326"/>
      <w:bookmarkEnd w:id="258"/>
      <w:bookmarkStart w:id="259" w:name="_Toc184314431"/>
      <w:bookmarkEnd w:id="259"/>
      <w:bookmarkStart w:id="260" w:name="_Toc184312075"/>
      <w:bookmarkEnd w:id="260"/>
      <w:bookmarkStart w:id="261" w:name="_Toc184308094"/>
      <w:bookmarkEnd w:id="261"/>
      <w:bookmarkStart w:id="262" w:name="_Toc184313294"/>
      <w:bookmarkEnd w:id="262"/>
      <w:bookmarkStart w:id="263" w:name="_Toc184314441"/>
      <w:bookmarkEnd w:id="263"/>
      <w:bookmarkStart w:id="264" w:name="_Toc184308041"/>
      <w:bookmarkEnd w:id="264"/>
      <w:bookmarkStart w:id="265" w:name="_Toc184313288"/>
      <w:bookmarkEnd w:id="265"/>
      <w:bookmarkStart w:id="266" w:name="_Toc184313264"/>
      <w:bookmarkEnd w:id="266"/>
      <w:bookmarkStart w:id="267" w:name="_Toc184308083"/>
      <w:bookmarkEnd w:id="267"/>
      <w:bookmarkStart w:id="268" w:name="_Toc184312115"/>
      <w:bookmarkEnd w:id="268"/>
      <w:bookmarkStart w:id="269" w:name="_Toc184308089"/>
      <w:bookmarkEnd w:id="269"/>
      <w:bookmarkStart w:id="270" w:name="_Toc184313246"/>
      <w:bookmarkEnd w:id="270"/>
      <w:bookmarkStart w:id="271" w:name="_Toc184310305"/>
      <w:bookmarkEnd w:id="271"/>
      <w:bookmarkStart w:id="272" w:name="_Toc184310307"/>
      <w:bookmarkEnd w:id="272"/>
      <w:bookmarkStart w:id="273" w:name="_Toc184310313"/>
      <w:bookmarkEnd w:id="273"/>
      <w:bookmarkStart w:id="274" w:name="_Toc184310323"/>
      <w:bookmarkEnd w:id="274"/>
      <w:bookmarkStart w:id="275" w:name="_Toc184310279"/>
      <w:bookmarkEnd w:id="275"/>
      <w:bookmarkStart w:id="276" w:name="_Toc184314463"/>
      <w:bookmarkEnd w:id="276"/>
      <w:bookmarkStart w:id="277" w:name="_Toc184312088"/>
      <w:bookmarkEnd w:id="277"/>
      <w:bookmarkStart w:id="278" w:name="_Toc184312127"/>
      <w:bookmarkEnd w:id="278"/>
      <w:bookmarkStart w:id="279" w:name="_Toc184313265"/>
      <w:bookmarkEnd w:id="279"/>
      <w:bookmarkStart w:id="280" w:name="_Toc184314479"/>
      <w:bookmarkEnd w:id="280"/>
      <w:bookmarkStart w:id="281" w:name="_Toc184308067"/>
      <w:bookmarkEnd w:id="281"/>
      <w:bookmarkStart w:id="282" w:name="_Toc184314476"/>
      <w:bookmarkEnd w:id="282"/>
      <w:bookmarkStart w:id="283" w:name="_Toc184314474"/>
      <w:bookmarkEnd w:id="283"/>
      <w:bookmarkStart w:id="284" w:name="_Toc184313261"/>
      <w:bookmarkEnd w:id="284"/>
      <w:bookmarkStart w:id="285" w:name="_Toc184314416"/>
      <w:bookmarkEnd w:id="285"/>
      <w:bookmarkStart w:id="286" w:name="_Toc184310301"/>
      <w:bookmarkEnd w:id="286"/>
      <w:bookmarkStart w:id="287" w:name="_Toc184313306"/>
      <w:bookmarkEnd w:id="287"/>
      <w:bookmarkStart w:id="288" w:name="_Toc184314415"/>
      <w:bookmarkEnd w:id="288"/>
      <w:bookmarkStart w:id="289" w:name="_Toc184313287"/>
      <w:bookmarkEnd w:id="289"/>
      <w:bookmarkStart w:id="290" w:name="_Toc184314480"/>
      <w:bookmarkEnd w:id="290"/>
      <w:bookmarkStart w:id="291" w:name="_Toc184313270"/>
      <w:bookmarkEnd w:id="291"/>
      <w:bookmarkStart w:id="292" w:name="_Toc184312117"/>
      <w:bookmarkEnd w:id="292"/>
      <w:bookmarkStart w:id="293" w:name="_Toc184310278"/>
      <w:bookmarkEnd w:id="293"/>
      <w:bookmarkStart w:id="294" w:name="_Toc184314472"/>
      <w:bookmarkEnd w:id="294"/>
      <w:bookmarkStart w:id="295" w:name="_Toc184310339"/>
      <w:bookmarkEnd w:id="295"/>
      <w:bookmarkStart w:id="296" w:name="_Toc184310296"/>
      <w:bookmarkEnd w:id="296"/>
      <w:bookmarkStart w:id="297" w:name="_Toc184312084"/>
      <w:bookmarkEnd w:id="297"/>
      <w:bookmarkStart w:id="298" w:name="_Toc184314453"/>
      <w:bookmarkEnd w:id="298"/>
      <w:bookmarkStart w:id="299" w:name="_Toc184308098"/>
      <w:bookmarkEnd w:id="299"/>
      <w:bookmarkStart w:id="300" w:name="_Toc184310321"/>
      <w:bookmarkEnd w:id="300"/>
      <w:bookmarkStart w:id="301" w:name="_Toc184312111"/>
      <w:bookmarkEnd w:id="301"/>
      <w:bookmarkStart w:id="302" w:name="_Toc184314417"/>
      <w:bookmarkEnd w:id="302"/>
      <w:bookmarkStart w:id="303" w:name="_Toc184312099"/>
      <w:bookmarkEnd w:id="303"/>
      <w:bookmarkStart w:id="304" w:name="_Toc184313253"/>
      <w:bookmarkEnd w:id="304"/>
      <w:bookmarkStart w:id="305" w:name="_Toc184313281"/>
      <w:bookmarkEnd w:id="305"/>
      <w:bookmarkStart w:id="306" w:name="_Toc184310334"/>
      <w:bookmarkEnd w:id="306"/>
      <w:bookmarkStart w:id="307" w:name="_Toc184308086"/>
      <w:bookmarkEnd w:id="307"/>
      <w:bookmarkStart w:id="308" w:name="_Toc184314436"/>
      <w:bookmarkEnd w:id="308"/>
      <w:bookmarkStart w:id="309" w:name="_Toc184312116"/>
      <w:bookmarkEnd w:id="309"/>
      <w:bookmarkStart w:id="310" w:name="_Toc184310287"/>
      <w:bookmarkEnd w:id="310"/>
      <w:bookmarkStart w:id="311" w:name="_Toc184310344"/>
      <w:bookmarkEnd w:id="311"/>
      <w:bookmarkStart w:id="312" w:name="_Toc184313286"/>
      <w:bookmarkEnd w:id="312"/>
      <w:bookmarkStart w:id="313" w:name="_Toc184312074"/>
      <w:bookmarkEnd w:id="313"/>
      <w:bookmarkStart w:id="314" w:name="_Toc184312098"/>
      <w:bookmarkEnd w:id="314"/>
      <w:bookmarkStart w:id="315" w:name="_Toc184312132"/>
      <w:bookmarkEnd w:id="315"/>
      <w:bookmarkStart w:id="316" w:name="_Toc184308048"/>
      <w:bookmarkEnd w:id="316"/>
      <w:bookmarkStart w:id="317" w:name="_Toc184312092"/>
      <w:bookmarkEnd w:id="317"/>
      <w:bookmarkStart w:id="318" w:name="_Toc184312104"/>
      <w:bookmarkEnd w:id="318"/>
      <w:bookmarkStart w:id="319" w:name="_Toc184308079"/>
      <w:bookmarkEnd w:id="319"/>
      <w:bookmarkStart w:id="320" w:name="_Toc184310333"/>
      <w:bookmarkEnd w:id="320"/>
      <w:bookmarkStart w:id="321" w:name="_Toc184308039"/>
      <w:bookmarkEnd w:id="321"/>
      <w:bookmarkStart w:id="322" w:name="_Toc184308088"/>
      <w:bookmarkEnd w:id="322"/>
      <w:bookmarkStart w:id="323" w:name="_Toc184308043"/>
      <w:bookmarkEnd w:id="323"/>
      <w:bookmarkStart w:id="324" w:name="_Toc184312122"/>
      <w:bookmarkEnd w:id="324"/>
      <w:bookmarkStart w:id="325" w:name="_Toc184313301"/>
      <w:bookmarkEnd w:id="325"/>
      <w:bookmarkStart w:id="326" w:name="_Toc184310280"/>
      <w:bookmarkEnd w:id="326"/>
      <w:bookmarkStart w:id="327" w:name="_Toc184312112"/>
      <w:bookmarkEnd w:id="327"/>
      <w:bookmarkStart w:id="328" w:name="_Toc184312134"/>
      <w:bookmarkEnd w:id="328"/>
      <w:bookmarkStart w:id="329" w:name="_Toc184313284"/>
      <w:bookmarkEnd w:id="329"/>
      <w:bookmarkStart w:id="330" w:name="_Toc184310324"/>
      <w:bookmarkEnd w:id="330"/>
      <w:bookmarkStart w:id="331" w:name="_Toc184312077"/>
      <w:bookmarkEnd w:id="331"/>
      <w:bookmarkStart w:id="332" w:name="_Toc184314478"/>
      <w:bookmarkEnd w:id="332"/>
      <w:bookmarkStart w:id="333" w:name="_Toc184313272"/>
      <w:bookmarkEnd w:id="333"/>
      <w:bookmarkStart w:id="334" w:name="_Toc184312110"/>
      <w:bookmarkEnd w:id="334"/>
      <w:bookmarkStart w:id="335" w:name="_Toc184314470"/>
      <w:bookmarkEnd w:id="335"/>
      <w:bookmarkStart w:id="336" w:name="_Toc184312071"/>
      <w:bookmarkEnd w:id="336"/>
      <w:bookmarkStart w:id="337" w:name="_Toc184314420"/>
      <w:bookmarkEnd w:id="337"/>
      <w:bookmarkStart w:id="338" w:name="_Toc184313250"/>
      <w:bookmarkEnd w:id="338"/>
      <w:bookmarkStart w:id="339" w:name="_Toc184310310"/>
      <w:bookmarkEnd w:id="339"/>
      <w:bookmarkStart w:id="340" w:name="_Toc184312090"/>
      <w:bookmarkEnd w:id="340"/>
      <w:bookmarkStart w:id="341" w:name="_Toc184313283"/>
      <w:bookmarkEnd w:id="341"/>
      <w:bookmarkStart w:id="342" w:name="_Toc184314450"/>
      <w:bookmarkEnd w:id="342"/>
      <w:bookmarkStart w:id="343" w:name="_Toc184314426"/>
      <w:bookmarkEnd w:id="343"/>
      <w:bookmarkStart w:id="344" w:name="_Toc184310311"/>
      <w:bookmarkEnd w:id="344"/>
      <w:bookmarkStart w:id="345" w:name="_Toc184313254"/>
      <w:bookmarkEnd w:id="345"/>
      <w:bookmarkStart w:id="346" w:name="_Toc184312091"/>
      <w:bookmarkEnd w:id="346"/>
      <w:bookmarkStart w:id="347" w:name="_Toc184308054"/>
      <w:bookmarkEnd w:id="347"/>
      <w:bookmarkStart w:id="348" w:name="_Toc184312106"/>
      <w:bookmarkEnd w:id="348"/>
      <w:bookmarkStart w:id="349" w:name="_Toc184313251"/>
      <w:bookmarkEnd w:id="349"/>
      <w:bookmarkStart w:id="350" w:name="_Toc184310331"/>
      <w:bookmarkEnd w:id="350"/>
      <w:bookmarkStart w:id="351" w:name="_Toc184308059"/>
      <w:bookmarkEnd w:id="351"/>
      <w:bookmarkStart w:id="352" w:name="_Toc184312078"/>
      <w:bookmarkEnd w:id="352"/>
      <w:bookmarkStart w:id="353" w:name="_Toc184312123"/>
      <w:bookmarkEnd w:id="353"/>
      <w:bookmarkStart w:id="354" w:name="_Toc184308062"/>
      <w:bookmarkEnd w:id="354"/>
      <w:bookmarkStart w:id="355" w:name="_Toc184312093"/>
      <w:bookmarkEnd w:id="355"/>
      <w:bookmarkStart w:id="356" w:name="_Toc184313266"/>
      <w:bookmarkEnd w:id="356"/>
      <w:bookmarkStart w:id="357" w:name="_Toc184314445"/>
      <w:bookmarkEnd w:id="357"/>
      <w:bookmarkStart w:id="358" w:name="_Toc184314435"/>
      <w:bookmarkEnd w:id="358"/>
      <w:bookmarkStart w:id="359" w:name="_Toc184314418"/>
      <w:bookmarkEnd w:id="359"/>
      <w:bookmarkStart w:id="360" w:name="_Toc184308090"/>
      <w:bookmarkEnd w:id="360"/>
      <w:bookmarkStart w:id="361" w:name="_Toc184313259"/>
      <w:bookmarkEnd w:id="361"/>
      <w:bookmarkStart w:id="362" w:name="_Toc184308084"/>
      <w:bookmarkEnd w:id="362"/>
      <w:bookmarkStart w:id="363" w:name="_Toc184308099"/>
      <w:bookmarkEnd w:id="363"/>
      <w:bookmarkStart w:id="364" w:name="_Toc184310314"/>
      <w:bookmarkEnd w:id="364"/>
      <w:bookmarkStart w:id="365" w:name="_Toc184308091"/>
      <w:bookmarkEnd w:id="365"/>
      <w:bookmarkStart w:id="366" w:name="_Toc184308093"/>
      <w:bookmarkEnd w:id="366"/>
      <w:bookmarkStart w:id="367" w:name="_Toc184313243"/>
      <w:bookmarkEnd w:id="367"/>
      <w:bookmarkStart w:id="368" w:name="_Toc184314452"/>
      <w:bookmarkEnd w:id="368"/>
      <w:bookmarkStart w:id="369" w:name="_Toc184313291"/>
      <w:bookmarkEnd w:id="369"/>
      <w:bookmarkStart w:id="370" w:name="_Toc184314433"/>
      <w:bookmarkEnd w:id="370"/>
      <w:bookmarkStart w:id="371" w:name="_Toc184314424"/>
      <w:bookmarkEnd w:id="371"/>
      <w:bookmarkStart w:id="372" w:name="_Toc184308040"/>
      <w:bookmarkEnd w:id="372"/>
      <w:bookmarkStart w:id="373" w:name="_Toc184308100"/>
      <w:bookmarkEnd w:id="373"/>
      <w:bookmarkStart w:id="374" w:name="_Toc184313273"/>
      <w:bookmarkEnd w:id="374"/>
      <w:bookmarkStart w:id="375" w:name="_Toc184313252"/>
      <w:bookmarkEnd w:id="375"/>
      <w:bookmarkStart w:id="376" w:name="_Toc184308104"/>
      <w:bookmarkEnd w:id="376"/>
      <w:bookmarkStart w:id="377" w:name="_Toc184310281"/>
      <w:bookmarkEnd w:id="377"/>
      <w:bookmarkStart w:id="378" w:name="_Toc184313256"/>
      <w:bookmarkEnd w:id="378"/>
      <w:bookmarkStart w:id="379" w:name="_Toc184314477"/>
      <w:bookmarkEnd w:id="379"/>
      <w:bookmarkStart w:id="380" w:name="_Toc184314439"/>
      <w:bookmarkEnd w:id="380"/>
      <w:bookmarkStart w:id="381" w:name="_Toc184308097"/>
      <w:bookmarkEnd w:id="381"/>
      <w:bookmarkStart w:id="382" w:name="_Toc184308071"/>
      <w:bookmarkEnd w:id="382"/>
      <w:bookmarkStart w:id="383" w:name="_Toc184314443"/>
      <w:bookmarkEnd w:id="383"/>
      <w:bookmarkStart w:id="384" w:name="_Toc184313245"/>
      <w:bookmarkEnd w:id="384"/>
      <w:bookmarkStart w:id="385" w:name="_Toc184314468"/>
      <w:bookmarkEnd w:id="385"/>
      <w:bookmarkStart w:id="386" w:name="_Toc184312103"/>
      <w:bookmarkEnd w:id="386"/>
      <w:bookmarkStart w:id="387" w:name="_Toc184312081"/>
      <w:bookmarkEnd w:id="387"/>
      <w:bookmarkStart w:id="388" w:name="_Toc184313304"/>
      <w:bookmarkEnd w:id="388"/>
      <w:bookmarkStart w:id="389" w:name="_Toc184313305"/>
      <w:bookmarkEnd w:id="389"/>
      <w:bookmarkStart w:id="390" w:name="_Toc184314413"/>
      <w:bookmarkEnd w:id="390"/>
      <w:bookmarkStart w:id="391" w:name="_Toc184308055"/>
      <w:bookmarkEnd w:id="391"/>
      <w:bookmarkStart w:id="392" w:name="_Toc184308070"/>
      <w:bookmarkEnd w:id="392"/>
      <w:bookmarkStart w:id="393" w:name="_Toc184310328"/>
      <w:bookmarkEnd w:id="393"/>
      <w:bookmarkStart w:id="394" w:name="_Toc184312096"/>
      <w:bookmarkEnd w:id="394"/>
      <w:bookmarkStart w:id="395" w:name="_Toc184314451"/>
      <w:bookmarkEnd w:id="395"/>
      <w:bookmarkStart w:id="396" w:name="_Toc184312131"/>
      <w:bookmarkEnd w:id="396"/>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10"/>
        <w:gridCol w:w="732"/>
        <w:gridCol w:w="1031"/>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11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最高分值</w:t>
            </w:r>
          </w:p>
        </w:tc>
        <w:tc>
          <w:tcPr>
            <w:tcW w:w="1031"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7"/>
              <w:numPr>
                <w:ilvl w:val="0"/>
                <w:numId w:val="11"/>
              </w:numPr>
              <w:snapToGrid w:val="0"/>
              <w:ind w:firstLineChars="0"/>
              <w:jc w:val="center"/>
              <w:rPr>
                <w:rFonts w:cs="仿宋_GB2312" w:asciiTheme="minorEastAsia" w:hAnsiTheme="minorEastAsia" w:eastAsiaTheme="minorEastAsia"/>
                <w:color w:val="auto"/>
                <w:highlight w:val="none"/>
              </w:rPr>
            </w:pPr>
          </w:p>
        </w:tc>
        <w:tc>
          <w:tcPr>
            <w:tcW w:w="4110" w:type="dxa"/>
            <w:vAlign w:val="center"/>
          </w:tcPr>
          <w:p>
            <w:pPr>
              <w:snapToGrid w:val="0"/>
              <w:spacing w:line="360" w:lineRule="auto"/>
              <w:jc w:val="left"/>
              <w:rPr>
                <w:rFonts w:cs="仿宋_GB2312" w:asciiTheme="minorEastAsia" w:hAnsiTheme="minorEastAsia" w:eastAsiaTheme="minorEastAsia"/>
                <w:b/>
                <w:bCs/>
                <w:color w:val="auto"/>
                <w:kern w:val="0"/>
                <w:sz w:val="24"/>
                <w:highlight w:val="none"/>
              </w:rPr>
            </w:pPr>
            <w:r>
              <w:rPr>
                <w:rFonts w:hint="eastAsia" w:cs="仿宋_GB2312" w:asciiTheme="minorEastAsia" w:hAnsiTheme="minorEastAsia" w:eastAsiaTheme="minorEastAsia"/>
                <w:b/>
                <w:bCs/>
                <w:color w:val="auto"/>
                <w:sz w:val="24"/>
                <w:highlight w:val="none"/>
              </w:rPr>
              <w:t>投标产品与需求的吻合程度</w:t>
            </w:r>
          </w:p>
        </w:tc>
        <w:tc>
          <w:tcPr>
            <w:tcW w:w="732"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cs="仿宋_GB2312" w:asciiTheme="minorEastAsia" w:hAnsiTheme="minorEastAsia" w:eastAsiaTheme="minorEastAsia"/>
                <w:b/>
                <w:bCs/>
                <w:color w:val="auto"/>
                <w:sz w:val="24"/>
                <w:highlight w:val="none"/>
              </w:rPr>
              <w:t>35</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1.1</w:t>
            </w:r>
          </w:p>
        </w:tc>
        <w:tc>
          <w:tcPr>
            <w:tcW w:w="4110" w:type="dxa"/>
            <w:vAlign w:val="center"/>
          </w:tcPr>
          <w:p>
            <w:pPr>
              <w:snapToGrid w:val="0"/>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
                <w:bCs/>
                <w:color w:val="auto"/>
                <w:szCs w:val="21"/>
                <w:highlight w:val="none"/>
              </w:rPr>
              <w:t>智慧黑板：</w:t>
            </w:r>
            <w:r>
              <w:rPr>
                <w:rFonts w:hint="eastAsia" w:cs="仿宋_GB2312" w:asciiTheme="minorEastAsia" w:hAnsiTheme="minorEastAsia" w:eastAsiaTheme="minorEastAsia"/>
                <w:bCs/>
                <w:color w:val="auto"/>
                <w:szCs w:val="21"/>
                <w:highlight w:val="none"/>
              </w:rPr>
              <w:t>采用红外触控方式，支持Windows系统中进行40点或以上触控，支持Android系统中进行30点或以上触控。（</w:t>
            </w:r>
            <w:r>
              <w:rPr>
                <w:rFonts w:hint="eastAsia" w:ascii="宋体" w:hAnsi="宋体" w:cs="宋体"/>
                <w:color w:val="auto"/>
                <w:szCs w:val="21"/>
                <w:highlight w:val="none"/>
              </w:rPr>
              <w:t>提供国家认可的第三方检测机构出具的检测报告复印件</w:t>
            </w:r>
            <w:r>
              <w:rPr>
                <w:rFonts w:hint="eastAsia" w:cs="仿宋_GB2312" w:asciiTheme="minorEastAsia" w:hAnsiTheme="minorEastAsia" w:eastAsiaTheme="minorEastAsia"/>
                <w:bCs/>
                <w:color w:val="auto"/>
                <w:szCs w:val="21"/>
                <w:highlight w:val="none"/>
              </w:rPr>
              <w:t>）。符合得2分，不符合不得分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w:t>
            </w:r>
            <w:r>
              <w:rPr>
                <w:rFonts w:hint="eastAsia" w:cs="仿宋_GB2312" w:asciiTheme="minorEastAsia" w:hAnsiTheme="minorEastAsia" w:eastAsiaTheme="minorEastAsia"/>
                <w:b/>
                <w:bCs/>
                <w:color w:val="auto"/>
                <w:kern w:val="0"/>
                <w:sz w:val="24"/>
                <w:highlight w:val="none"/>
              </w:rPr>
              <w:t>智慧黑板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1.2</w:t>
            </w:r>
          </w:p>
        </w:tc>
        <w:tc>
          <w:tcPr>
            <w:tcW w:w="4110" w:type="dxa"/>
            <w:vAlign w:val="center"/>
          </w:tcPr>
          <w:p>
            <w:pPr>
              <w:snapToGrid w:val="0"/>
              <w:spacing w:line="360" w:lineRule="auto"/>
              <w:jc w:val="left"/>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
                <w:bCs/>
                <w:color w:val="auto"/>
                <w:sz w:val="24"/>
                <w:highlight w:val="none"/>
              </w:rPr>
              <w:t>智慧黑板</w:t>
            </w: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Cs/>
                <w:color w:val="auto"/>
                <w:szCs w:val="21"/>
                <w:highlight w:val="none"/>
              </w:rPr>
              <w:t>整机内置2.2声道扬声器，位于设备上边框，顶置朝前发声，前朝向10W高音扬声器2个，上朝向20W中低音扬声器2个，额定总功率60W。（</w:t>
            </w:r>
            <w:r>
              <w:rPr>
                <w:rFonts w:hint="eastAsia" w:ascii="宋体" w:hAnsi="宋体" w:cs="宋体"/>
                <w:color w:val="auto"/>
                <w:szCs w:val="21"/>
                <w:highlight w:val="none"/>
              </w:rPr>
              <w:t>提供国家认可的第三方检测机构出具的检测报告复印件</w:t>
            </w:r>
            <w:r>
              <w:rPr>
                <w:rFonts w:hint="eastAsia" w:cs="仿宋_GB2312" w:asciiTheme="minorEastAsia" w:hAnsiTheme="minorEastAsia" w:eastAsiaTheme="minorEastAsia"/>
                <w:bCs/>
                <w:color w:val="auto"/>
                <w:szCs w:val="21"/>
                <w:highlight w:val="none"/>
              </w:rPr>
              <w:t>）。符合得2分，不符合不得分。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w:t>
            </w:r>
            <w:r>
              <w:rPr>
                <w:rFonts w:hint="eastAsia" w:cs="仿宋_GB2312" w:asciiTheme="minorEastAsia" w:hAnsiTheme="minorEastAsia" w:eastAsiaTheme="minorEastAsia"/>
                <w:b/>
                <w:bCs/>
                <w:color w:val="auto"/>
                <w:kern w:val="0"/>
                <w:sz w:val="24"/>
                <w:highlight w:val="none"/>
              </w:rPr>
              <w:t>智慧黑板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1.3</w:t>
            </w:r>
          </w:p>
        </w:tc>
        <w:tc>
          <w:tcPr>
            <w:tcW w:w="4110"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kern w:val="0"/>
                <w:sz w:val="24"/>
                <w:highlight w:val="none"/>
              </w:rPr>
              <w:t>智慧黑板：</w:t>
            </w:r>
            <w:r>
              <w:rPr>
                <w:rFonts w:hint="eastAsia" w:cs="仿宋_GB2312" w:asciiTheme="minorEastAsia" w:hAnsiTheme="minorEastAsia" w:eastAsiaTheme="minorEastAsia"/>
                <w:bCs/>
                <w:color w:val="auto"/>
                <w:szCs w:val="21"/>
                <w:highlight w:val="none"/>
              </w:rPr>
              <w:t>整机支持纸质护眼模式，可以在任意通道任意画面任意软件所有显示内容下实现画面纹理的实时调整；支持纸质纹理：牛皮纸、素描纸、宣纸、水彩纸、水纹纸；支持透明度调节；支持色温调节。（</w:t>
            </w:r>
            <w:r>
              <w:rPr>
                <w:rFonts w:hint="eastAsia" w:ascii="宋体" w:hAnsi="宋体" w:cs="宋体"/>
                <w:color w:val="auto"/>
                <w:szCs w:val="21"/>
                <w:highlight w:val="none"/>
              </w:rPr>
              <w:t>提供国家认可的第三方检测机构出具的检测报告复印件</w:t>
            </w:r>
            <w:r>
              <w:rPr>
                <w:rFonts w:hint="eastAsia" w:cs="仿宋_GB2312" w:asciiTheme="minorEastAsia" w:hAnsiTheme="minorEastAsia" w:eastAsiaTheme="minorEastAsia"/>
                <w:bCs/>
                <w:color w:val="auto"/>
                <w:szCs w:val="21"/>
                <w:highlight w:val="none"/>
              </w:rPr>
              <w:t>）。符合得2分，不符合不得分。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w:t>
            </w:r>
            <w:r>
              <w:rPr>
                <w:rFonts w:hint="eastAsia" w:cs="仿宋_GB2312" w:asciiTheme="minorEastAsia" w:hAnsiTheme="minorEastAsia" w:eastAsiaTheme="minorEastAsia"/>
                <w:b/>
                <w:bCs/>
                <w:color w:val="auto"/>
                <w:kern w:val="0"/>
                <w:sz w:val="24"/>
                <w:highlight w:val="none"/>
              </w:rPr>
              <w:t>智慧黑板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1.4</w:t>
            </w:r>
          </w:p>
        </w:tc>
        <w:tc>
          <w:tcPr>
            <w:tcW w:w="4110"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kern w:val="0"/>
                <w:sz w:val="24"/>
                <w:highlight w:val="none"/>
              </w:rPr>
              <w:t>智慧黑板：</w:t>
            </w:r>
            <w:r>
              <w:rPr>
                <w:rFonts w:hint="eastAsia" w:cs="仿宋_GB2312" w:asciiTheme="minorEastAsia" w:hAnsiTheme="minorEastAsia" w:eastAsiaTheme="minorEastAsia"/>
                <w:bCs/>
                <w:color w:val="auto"/>
                <w:szCs w:val="21"/>
                <w:highlight w:val="none"/>
              </w:rPr>
              <w:t>整机支持色彩空间可选，包含标准模式和sRGB模式，在sRGB模式下可做到高色准△E≤1.5。（</w:t>
            </w:r>
            <w:r>
              <w:rPr>
                <w:rFonts w:hint="eastAsia" w:ascii="宋体" w:hAnsi="宋体" w:cs="宋体"/>
                <w:color w:val="auto"/>
                <w:szCs w:val="21"/>
                <w:highlight w:val="none"/>
              </w:rPr>
              <w:t>提供国家认可的第三方检测机构出具的检测报告复印件</w:t>
            </w:r>
            <w:r>
              <w:rPr>
                <w:rFonts w:hint="eastAsia" w:cs="仿宋_GB2312" w:asciiTheme="minorEastAsia" w:hAnsiTheme="minorEastAsia" w:eastAsiaTheme="minorEastAsia"/>
                <w:bCs/>
                <w:color w:val="auto"/>
                <w:szCs w:val="21"/>
                <w:highlight w:val="none"/>
              </w:rPr>
              <w:t>）。符合得2分，不符合不得分。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w:t>
            </w:r>
            <w:r>
              <w:rPr>
                <w:rFonts w:hint="eastAsia" w:cs="仿宋_GB2312" w:asciiTheme="minorEastAsia" w:hAnsiTheme="minorEastAsia" w:eastAsiaTheme="minorEastAsia"/>
                <w:b/>
                <w:bCs/>
                <w:color w:val="auto"/>
                <w:kern w:val="0"/>
                <w:sz w:val="24"/>
                <w:highlight w:val="none"/>
              </w:rPr>
              <w:t>智慧黑板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1.5</w:t>
            </w:r>
          </w:p>
        </w:tc>
        <w:tc>
          <w:tcPr>
            <w:tcW w:w="4110"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智慧黑板：</w:t>
            </w:r>
            <w:r>
              <w:rPr>
                <w:rFonts w:hint="eastAsia" w:cs="仿宋_GB2312" w:asciiTheme="minorEastAsia" w:hAnsiTheme="minorEastAsia" w:eastAsiaTheme="minorEastAsia"/>
                <w:bCs/>
                <w:color w:val="auto"/>
                <w:szCs w:val="21"/>
                <w:highlight w:val="none"/>
              </w:rPr>
              <w:t>整机支持左右两侧黑板同时进行书写，且支持同时进行一侧擦除、另一侧书写。（</w:t>
            </w:r>
            <w:r>
              <w:rPr>
                <w:rFonts w:hint="eastAsia" w:ascii="宋体" w:hAnsi="宋体" w:cs="宋体"/>
                <w:color w:val="auto"/>
                <w:szCs w:val="21"/>
                <w:highlight w:val="none"/>
              </w:rPr>
              <w:t>提供国家认可的第三方检测机构出具的检测报告复印件</w:t>
            </w:r>
            <w:r>
              <w:rPr>
                <w:rFonts w:hint="eastAsia" w:cs="仿宋_GB2312" w:asciiTheme="minorEastAsia" w:hAnsiTheme="minorEastAsia" w:eastAsiaTheme="minorEastAsia"/>
                <w:bCs/>
                <w:color w:val="auto"/>
                <w:szCs w:val="21"/>
                <w:highlight w:val="none"/>
              </w:rPr>
              <w:t>）。符合得2分，不符合不得分。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w:t>
            </w:r>
            <w:r>
              <w:rPr>
                <w:rFonts w:hint="eastAsia" w:cs="仿宋_GB2312" w:asciiTheme="minorEastAsia" w:hAnsiTheme="minorEastAsia" w:eastAsiaTheme="minorEastAsia"/>
                <w:b/>
                <w:bCs/>
                <w:color w:val="auto"/>
                <w:kern w:val="0"/>
                <w:sz w:val="24"/>
                <w:highlight w:val="none"/>
              </w:rPr>
              <w:t>智慧黑板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1.6</w:t>
            </w:r>
          </w:p>
        </w:tc>
        <w:tc>
          <w:tcPr>
            <w:tcW w:w="4110"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lang w:val="zh-CN"/>
              </w:rPr>
              <w:t>智慧黑板</w:t>
            </w:r>
            <w:r>
              <w:rPr>
                <w:rFonts w:hint="eastAsia" w:cs="仿宋_GB2312" w:asciiTheme="minorEastAsia" w:hAnsiTheme="minorEastAsia" w:eastAsiaTheme="minorEastAsia"/>
                <w:bCs/>
                <w:color w:val="auto"/>
                <w:sz w:val="24"/>
                <w:highlight w:val="none"/>
                <w:lang w:val="zh-CN"/>
              </w:rPr>
              <w:t>：</w:t>
            </w:r>
            <w:r>
              <w:rPr>
                <w:rFonts w:hint="eastAsia" w:cs="仿宋_GB2312" w:asciiTheme="minorEastAsia" w:hAnsiTheme="minorEastAsia" w:eastAsiaTheme="minorEastAsia"/>
                <w:bCs/>
                <w:color w:val="auto"/>
                <w:szCs w:val="21"/>
                <w:highlight w:val="none"/>
              </w:rPr>
              <w:t>整机内置非独立摄像头，拍摄照片像素数≥1600万，摄像头视场角≥135度；整机内置非独立的高清摄像头，可用于远程巡课，拍摄范围可以涵盖整机距离摄像头垂直法线左右水平距离各大于等于4米，左右最边缘深度大于等于2.3米范围内，支持大于等于10米距离时实现AI识别人像，整机摄像头支持人脸识别、快速点人数、随机抽人；识别所有学生，显示标记，然后随机抽选，同时显示标记不少于60人。（</w:t>
            </w:r>
            <w:r>
              <w:rPr>
                <w:rFonts w:hint="eastAsia" w:ascii="宋体" w:hAnsi="宋体" w:cs="宋体"/>
                <w:color w:val="auto"/>
                <w:szCs w:val="21"/>
                <w:highlight w:val="none"/>
              </w:rPr>
              <w:t>提供国家认可的第三方检测机构出具的检测报告复印件</w:t>
            </w:r>
            <w:r>
              <w:rPr>
                <w:rFonts w:hint="eastAsia" w:cs="仿宋_GB2312" w:asciiTheme="minorEastAsia" w:hAnsiTheme="minorEastAsia" w:eastAsiaTheme="minorEastAsia"/>
                <w:bCs/>
                <w:color w:val="auto"/>
                <w:szCs w:val="21"/>
                <w:highlight w:val="none"/>
              </w:rPr>
              <w:t>）。符合得2分，不符合不得分。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w:t>
            </w:r>
            <w:r>
              <w:rPr>
                <w:rFonts w:hint="eastAsia" w:cs="仿宋_GB2312" w:asciiTheme="minorEastAsia" w:hAnsiTheme="minorEastAsia" w:eastAsiaTheme="minorEastAsia"/>
                <w:b/>
                <w:bCs/>
                <w:color w:val="auto"/>
                <w:kern w:val="0"/>
                <w:sz w:val="24"/>
                <w:highlight w:val="none"/>
              </w:rPr>
              <w:t>智慧黑板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1.7</w:t>
            </w:r>
          </w:p>
        </w:tc>
        <w:tc>
          <w:tcPr>
            <w:tcW w:w="4110"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Cs w:val="21"/>
                <w:highlight w:val="none"/>
              </w:rPr>
              <w:t>整机支持单侧不少于4个触控丝印按键，保存、彩色笔、白色笔、启动板书软件。（</w:t>
            </w:r>
            <w:r>
              <w:rPr>
                <w:rFonts w:hint="eastAsia" w:ascii="宋体" w:hAnsi="宋体" w:cs="宋体"/>
                <w:color w:val="auto"/>
                <w:szCs w:val="21"/>
                <w:highlight w:val="none"/>
              </w:rPr>
              <w:t>提供国家认可的第三方检测机构出具的检测报告复印件</w:t>
            </w:r>
            <w:r>
              <w:rPr>
                <w:rFonts w:hint="eastAsia" w:cs="仿宋_GB2312" w:asciiTheme="minorEastAsia" w:hAnsiTheme="minorEastAsia" w:eastAsiaTheme="minorEastAsia"/>
                <w:bCs/>
                <w:color w:val="auto"/>
                <w:szCs w:val="21"/>
                <w:highlight w:val="none"/>
              </w:rPr>
              <w:t>）。符合得2分，不符合不得分。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1.8</w:t>
            </w:r>
          </w:p>
        </w:tc>
        <w:tc>
          <w:tcPr>
            <w:tcW w:w="4110"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教学软件：</w:t>
            </w:r>
            <w:r>
              <w:rPr>
                <w:rFonts w:hint="eastAsia" w:cs="仿宋_GB2312" w:asciiTheme="minorEastAsia" w:hAnsiTheme="minorEastAsia" w:eastAsiaTheme="minorEastAsia"/>
                <w:bCs/>
                <w:color w:val="auto"/>
                <w:szCs w:val="21"/>
                <w:highlight w:val="none"/>
              </w:rPr>
              <w:t>空中课堂功能内置于软件中，无需额外安装部署直播软件，可实现语音直播、课件同步、互动工具等远程教学功能。（</w:t>
            </w:r>
            <w:r>
              <w:rPr>
                <w:rFonts w:hint="eastAsia" w:ascii="宋体" w:hAnsi="宋体" w:cs="宋体"/>
                <w:color w:val="auto"/>
                <w:szCs w:val="21"/>
                <w:highlight w:val="none"/>
              </w:rPr>
              <w:t>提供国家认可的第三方检测机构出具的检测报告复印件</w:t>
            </w:r>
            <w:r>
              <w:rPr>
                <w:rFonts w:hint="eastAsia" w:cs="仿宋_GB2312" w:asciiTheme="minorEastAsia" w:hAnsiTheme="minorEastAsia" w:eastAsiaTheme="minorEastAsia"/>
                <w:bCs/>
                <w:color w:val="auto"/>
                <w:szCs w:val="21"/>
                <w:highlight w:val="none"/>
              </w:rPr>
              <w:t>）。符合得2分，不符合不得分。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1.9</w:t>
            </w:r>
          </w:p>
        </w:tc>
        <w:tc>
          <w:tcPr>
            <w:tcW w:w="4110"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校园设备运维管理系统：</w:t>
            </w:r>
            <w:r>
              <w:rPr>
                <w:rFonts w:hint="eastAsia" w:cs="仿宋_GB2312" w:asciiTheme="minorEastAsia" w:hAnsiTheme="minorEastAsia" w:eastAsiaTheme="minorEastAsia"/>
                <w:bCs/>
                <w:color w:val="auto"/>
                <w:szCs w:val="21"/>
                <w:highlight w:val="none"/>
              </w:rPr>
              <w:t>本次采购包含所有设备授权，需要对接到学校一期设备管理平台，实现统一账号管理。（提供承诺函）。符合得2分，不符合不得分。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（三）校园设备运维管理系统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1.10</w:t>
            </w:r>
          </w:p>
        </w:tc>
        <w:tc>
          <w:tcPr>
            <w:tcW w:w="4110"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校园设备运维管理系统：</w:t>
            </w:r>
            <w:r>
              <w:rPr>
                <w:rFonts w:hint="eastAsia" w:cs="仿宋_GB2312" w:asciiTheme="minorEastAsia" w:hAnsiTheme="minorEastAsia" w:eastAsiaTheme="minorEastAsia"/>
                <w:bCs/>
                <w:color w:val="auto"/>
                <w:szCs w:val="21"/>
                <w:highlight w:val="none"/>
              </w:rPr>
              <w:t>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国家认可的检测机构出具的检测报告复印件）。符合得2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（三）校园设备运维管理系统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1.11</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招标文件第三部分第四条设备清单中“技术参数”要求每有一项负偏离(要求提供检测报告未提供的视作负偏离）扣1分，扣完为止。注：评分标准中序号1.1</w:t>
            </w:r>
            <w:r>
              <w:rPr>
                <w:rFonts w:cs="仿宋_GB2312" w:asciiTheme="minorEastAsia" w:hAnsiTheme="minorEastAsia" w:eastAsiaTheme="minorEastAsia"/>
                <w:bCs/>
                <w:color w:val="auto"/>
                <w:szCs w:val="21"/>
                <w:highlight w:val="none"/>
              </w:rPr>
              <w:t>-1</w:t>
            </w:r>
            <w:r>
              <w:rPr>
                <w:rFonts w:hint="eastAsia" w:cs="仿宋_GB2312" w:asciiTheme="minorEastAsia" w:hAnsiTheme="minorEastAsia" w:eastAsiaTheme="minorEastAsia"/>
                <w:bCs/>
                <w:color w:val="auto"/>
                <w:szCs w:val="21"/>
                <w:highlight w:val="none"/>
              </w:rPr>
              <w:t>.10已做</w:t>
            </w:r>
            <w:r>
              <w:rPr>
                <w:rFonts w:cs="仿宋_GB2312" w:asciiTheme="minorEastAsia" w:hAnsiTheme="minorEastAsia" w:eastAsiaTheme="minorEastAsia"/>
                <w:bCs/>
                <w:color w:val="auto"/>
                <w:szCs w:val="21"/>
                <w:highlight w:val="none"/>
              </w:rPr>
              <w:t>0分的参数，不再重复扣分。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bCs/>
                <w:color w:val="auto"/>
                <w:sz w:val="24"/>
                <w:highlight w:val="none"/>
              </w:rPr>
              <w:t>15</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（四）技术指标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7"/>
              <w:numPr>
                <w:ilvl w:val="0"/>
                <w:numId w:val="11"/>
              </w:numPr>
              <w:snapToGrid w:val="0"/>
              <w:ind w:firstLineChars="0"/>
              <w:jc w:val="center"/>
              <w:rPr>
                <w:rFonts w:cs="仿宋_GB2312" w:asciiTheme="minorEastAsia" w:hAnsiTheme="minorEastAsia" w:eastAsiaTheme="minorEastAsia"/>
                <w:color w:val="auto"/>
                <w:highlight w:val="none"/>
              </w:rPr>
            </w:pPr>
          </w:p>
        </w:tc>
        <w:tc>
          <w:tcPr>
            <w:tcW w:w="4110"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产品功能演示</w:t>
            </w:r>
          </w:p>
        </w:tc>
        <w:tc>
          <w:tcPr>
            <w:tcW w:w="732"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16</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人脸识别账号登录：演示通过设备内置摄像头进行人脸识别登陆，登陆后自动获取个人云端教学课件列表，并可进入校本资源库；显示本地磁盘、移动类存储设备（全部符合得2分，不符合或未演示不得分）；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 xml:space="preserve"> </w:t>
            </w:r>
            <w:r>
              <w:rPr>
                <w:rFonts w:hint="eastAsia" w:cs="仿宋_GB2312" w:asciiTheme="minorEastAsia" w:hAnsiTheme="minorEastAsia" w:eastAsiaTheme="minorEastAsia"/>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2.2</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教学专注助手：演示教师可通过手机端预约授课内容，授课当日桌面自动推送预约课件（全部符合得2分，不符合或未演示不得分）；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 xml:space="preserve">2 </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2.3</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教室轻物联：演示设备在Windows、安卓双通道下，中控菜单均可显示实物展台、智能笔等教具的运行情况，并可在中控菜单中一键打开视频展台。（全部符合得2分，不符合或未演示不得分）；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2.4</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学情分析：演示在教学白板软件内现场新建微课，老师录制微课时可设置答题板功能，现场演示学生边看微课边答题；支持立即导出学情分析表，包括课程信息、学生基本信息、观看微课时间、答题数及正确率等。（全部符合得2分，不符合或未演示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2.5</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远程巡课：演示管理员通过管控平台和手机端对学校教室进行巡课，可查看本地教室的上课画面、声音；管理员可以对巡视教室发布消息、远程实时喊话等（不接受本地录音发送到多媒体设备的形式），后台还能保留巡课历史。（全部符合得2分，不符合或未演示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2.6</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设备磁盘清理：支持远程批量清理设备磁盘及指定文件夹，支持删除或迁移系统盘视频、图片、音乐等空间占用较大的文件，保障设备磁盘可用空间最大化，从而提升设备运行流畅性。（全部符合得2分，不符合或未演示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集体备课：支持在备课平台创建集体备课活动，支持校内和跨校集备，老师可以针对课件、教案进行批注和研讨。主备人可多次修改稿件后上传，具备稿件版本对比功能。支持数据统计和访问记录查看。支持一键导出为文字版报告。（全部符合得2分，不符合或未演示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2.8</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学科工具：支持语文及英语学科自定义听写频率和次数，一键生成听写卡，一键开启听写朗读；支持老师在输入错误的英语单词、语法时，软件进行错误提示，点击提示的正确内容，可一键纠错为正确的内容。（全部符合得2分，不符合或未演示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7"/>
              <w:numPr>
                <w:ilvl w:val="0"/>
                <w:numId w:val="11"/>
              </w:numPr>
              <w:snapToGrid w:val="0"/>
              <w:ind w:firstLineChars="0"/>
              <w:jc w:val="center"/>
              <w:rPr>
                <w:rFonts w:cs="仿宋_GB2312" w:asciiTheme="minorEastAsia" w:hAnsiTheme="minorEastAsia" w:eastAsiaTheme="minorEastAsia"/>
                <w:color w:val="auto"/>
                <w:highlight w:val="none"/>
              </w:rPr>
            </w:pPr>
          </w:p>
        </w:tc>
        <w:tc>
          <w:tcPr>
            <w:tcW w:w="4110"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投标人资信</w:t>
            </w:r>
          </w:p>
        </w:tc>
        <w:tc>
          <w:tcPr>
            <w:tcW w:w="732" w:type="dxa"/>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.5</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3.1</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投标人已取得ISO</w:t>
            </w:r>
            <w:r>
              <w:rPr>
                <w:rFonts w:cs="仿宋_GB2312" w:asciiTheme="minorEastAsia" w:hAnsiTheme="minorEastAsia" w:eastAsiaTheme="minorEastAsia"/>
                <w:bCs/>
                <w:color w:val="auto"/>
                <w:szCs w:val="21"/>
                <w:highlight w:val="none"/>
              </w:rPr>
              <w:t>9</w:t>
            </w:r>
            <w:r>
              <w:rPr>
                <w:rFonts w:hint="eastAsia" w:cs="仿宋_GB2312" w:asciiTheme="minorEastAsia" w:hAnsiTheme="minorEastAsia" w:eastAsiaTheme="minorEastAsia"/>
                <w:bCs/>
                <w:color w:val="auto"/>
                <w:szCs w:val="21"/>
                <w:highlight w:val="none"/>
              </w:rPr>
              <w:t>001质量管理体系认证证书，提供证书复印件。提供有效证书复印件得</w:t>
            </w:r>
            <w:r>
              <w:rPr>
                <w:rFonts w:cs="仿宋_GB2312" w:asciiTheme="minorEastAsia" w:hAnsiTheme="minorEastAsia" w:eastAsiaTheme="minorEastAsia"/>
                <w:bCs/>
                <w:color w:val="auto"/>
                <w:szCs w:val="21"/>
                <w:highlight w:val="none"/>
              </w:rPr>
              <w:t>0.5</w:t>
            </w:r>
            <w:r>
              <w:rPr>
                <w:rFonts w:hint="eastAsia" w:cs="仿宋_GB2312" w:asciiTheme="minorEastAsia" w:hAnsiTheme="minorEastAsia" w:eastAsiaTheme="minorEastAsia"/>
                <w:bCs/>
                <w:color w:val="auto"/>
                <w:szCs w:val="21"/>
                <w:highlight w:val="none"/>
              </w:rPr>
              <w:t>分，不提供不得分。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bCs/>
                <w:color w:val="auto"/>
                <w:sz w:val="24"/>
                <w:highlight w:val="none"/>
              </w:rPr>
              <w:t>0.5</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（五）投标人资信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投标人已取得ISO14001环境管理体系认证证书，提供证书复印件。提供有效证书复印件得</w:t>
            </w:r>
            <w:r>
              <w:rPr>
                <w:rFonts w:cs="仿宋_GB2312" w:asciiTheme="minorEastAsia" w:hAnsiTheme="minorEastAsia" w:eastAsiaTheme="minorEastAsia"/>
                <w:bCs/>
                <w:color w:val="auto"/>
                <w:szCs w:val="21"/>
                <w:highlight w:val="none"/>
              </w:rPr>
              <w:t>0.5</w:t>
            </w:r>
            <w:r>
              <w:rPr>
                <w:rFonts w:hint="eastAsia" w:cs="仿宋_GB2312" w:asciiTheme="minorEastAsia" w:hAnsiTheme="minorEastAsia" w:eastAsiaTheme="minorEastAsia"/>
                <w:bCs/>
                <w:color w:val="auto"/>
                <w:szCs w:val="21"/>
                <w:highlight w:val="none"/>
              </w:rPr>
              <w:t>分，不提供不得分。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bCs/>
                <w:color w:val="auto"/>
                <w:sz w:val="24"/>
                <w:highlight w:val="none"/>
              </w:rPr>
              <w:t>0.5</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（五）投标人资信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投标人已取得IS</w:t>
            </w:r>
            <w:r>
              <w:rPr>
                <w:rFonts w:cs="仿宋_GB2312" w:asciiTheme="minorEastAsia" w:hAnsiTheme="minorEastAsia" w:eastAsiaTheme="minorEastAsia"/>
                <w:bCs/>
                <w:color w:val="auto"/>
                <w:szCs w:val="21"/>
                <w:highlight w:val="none"/>
              </w:rPr>
              <w:t>O450</w:t>
            </w:r>
            <w:r>
              <w:rPr>
                <w:rFonts w:hint="eastAsia" w:cs="仿宋_GB2312" w:asciiTheme="minorEastAsia" w:hAnsiTheme="minorEastAsia" w:eastAsiaTheme="minorEastAsia"/>
                <w:bCs/>
                <w:color w:val="auto"/>
                <w:szCs w:val="21"/>
                <w:highlight w:val="none"/>
              </w:rPr>
              <w:t>01职业健康安全管理体系认证证书，提供证书复印件。提供有效证书复印件得</w:t>
            </w:r>
            <w:r>
              <w:rPr>
                <w:rFonts w:cs="仿宋_GB2312" w:asciiTheme="minorEastAsia" w:hAnsiTheme="minorEastAsia" w:eastAsiaTheme="minorEastAsia"/>
                <w:bCs/>
                <w:color w:val="auto"/>
                <w:szCs w:val="21"/>
                <w:highlight w:val="none"/>
              </w:rPr>
              <w:t>0.5</w:t>
            </w:r>
            <w:r>
              <w:rPr>
                <w:rFonts w:hint="eastAsia" w:cs="仿宋_GB2312" w:asciiTheme="minorEastAsia" w:hAnsiTheme="minorEastAsia" w:eastAsiaTheme="minorEastAsia"/>
                <w:bCs/>
                <w:color w:val="auto"/>
                <w:szCs w:val="21"/>
                <w:highlight w:val="none"/>
              </w:rPr>
              <w:t>分，不提供不得分。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bCs/>
                <w:color w:val="auto"/>
                <w:sz w:val="24"/>
                <w:highlight w:val="none"/>
              </w:rPr>
              <w:t>0.5</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（五）投标人资信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3.4</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投标人已取得IS</w:t>
            </w:r>
            <w:r>
              <w:rPr>
                <w:rFonts w:cs="仿宋_GB2312" w:asciiTheme="minorEastAsia" w:hAnsiTheme="minorEastAsia" w:eastAsiaTheme="minorEastAsia"/>
                <w:bCs/>
                <w:color w:val="auto"/>
                <w:szCs w:val="21"/>
                <w:highlight w:val="none"/>
              </w:rPr>
              <w:t>O2000</w:t>
            </w:r>
            <w:r>
              <w:rPr>
                <w:rFonts w:hint="eastAsia" w:cs="仿宋_GB2312" w:asciiTheme="minorEastAsia" w:hAnsiTheme="minorEastAsia" w:eastAsiaTheme="minorEastAsia"/>
                <w:bCs/>
                <w:color w:val="auto"/>
                <w:szCs w:val="21"/>
                <w:highlight w:val="none"/>
              </w:rPr>
              <w:t>1信息技术服务管理体系认证证书，提供证书复印件。提供有效证书复印件得</w:t>
            </w:r>
            <w:r>
              <w:rPr>
                <w:rFonts w:hint="eastAsia" w:cs="仿宋_GB2312" w:asciiTheme="minorEastAsia" w:hAnsiTheme="minorEastAsia" w:eastAsiaTheme="minorEastAsia"/>
                <w:bCs/>
                <w:color w:val="auto"/>
                <w:szCs w:val="21"/>
                <w:highlight w:val="none"/>
                <w:lang w:val="en-US" w:eastAsia="zh-CN"/>
              </w:rPr>
              <w:t>1</w:t>
            </w:r>
            <w:r>
              <w:rPr>
                <w:rFonts w:hint="eastAsia" w:cs="仿宋_GB2312" w:asciiTheme="minorEastAsia" w:hAnsiTheme="minorEastAsia" w:eastAsiaTheme="minorEastAsia"/>
                <w:bCs/>
                <w:color w:val="auto"/>
                <w:szCs w:val="21"/>
                <w:highlight w:val="none"/>
              </w:rPr>
              <w:t>分，不提供不得分。</w:t>
            </w:r>
          </w:p>
        </w:tc>
        <w:tc>
          <w:tcPr>
            <w:tcW w:w="732"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1</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（五）投标人资信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7"/>
              <w:numPr>
                <w:ilvl w:val="0"/>
                <w:numId w:val="11"/>
              </w:numPr>
              <w:snapToGrid w:val="0"/>
              <w:ind w:firstLineChars="0"/>
              <w:jc w:val="center"/>
              <w:rPr>
                <w:rFonts w:cs="仿宋_GB2312" w:asciiTheme="minorEastAsia" w:hAnsiTheme="minorEastAsia" w:eastAsiaTheme="minorEastAsia"/>
                <w:color w:val="auto"/>
                <w:highlight w:val="none"/>
              </w:rPr>
            </w:pPr>
          </w:p>
        </w:tc>
        <w:tc>
          <w:tcPr>
            <w:tcW w:w="4110" w:type="dxa"/>
            <w:vAlign w:val="center"/>
          </w:tcPr>
          <w:p>
            <w:pPr>
              <w:snapToGrid w:val="0"/>
              <w:spacing w:line="360" w:lineRule="auto"/>
              <w:jc w:val="left"/>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
                <w:color w:val="auto"/>
                <w:sz w:val="24"/>
                <w:highlight w:val="none"/>
              </w:rPr>
              <w:t>投标产品及厂家资信</w:t>
            </w:r>
          </w:p>
        </w:tc>
        <w:tc>
          <w:tcPr>
            <w:tcW w:w="732"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lang w:val="en-US" w:eastAsia="zh-CN"/>
              </w:rPr>
              <w:t>1.5</w:t>
            </w:r>
          </w:p>
        </w:tc>
        <w:tc>
          <w:tcPr>
            <w:tcW w:w="1031"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4.1</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为保证产品使用视觉健康，所投智慧黑板产品须通过视觉测试，并达到视觉舒适度A+级或以上标准，提供证明文件得1分。</w:t>
            </w:r>
          </w:p>
        </w:tc>
        <w:tc>
          <w:tcPr>
            <w:tcW w:w="732"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cs="仿宋_GB2312" w:asciiTheme="minorEastAsia" w:hAnsiTheme="minorEastAsia" w:eastAsiaTheme="minorEastAsia"/>
                <w:bCs/>
                <w:color w:val="auto"/>
                <w:sz w:val="24"/>
                <w:highlight w:val="none"/>
              </w:rPr>
              <w:t>1</w:t>
            </w:r>
          </w:p>
        </w:tc>
        <w:tc>
          <w:tcPr>
            <w:tcW w:w="1031"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（六）投标产品及厂家资信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rPr>
              <w:t>4.</w:t>
            </w:r>
            <w:r>
              <w:rPr>
                <w:rFonts w:hint="eastAsia" w:cs="仿宋_GB2312" w:asciiTheme="minorEastAsia" w:hAnsiTheme="minorEastAsia" w:eastAsiaTheme="minorEastAsia"/>
                <w:color w:val="auto"/>
                <w:highlight w:val="none"/>
                <w:lang w:val="en-US" w:eastAsia="zh-CN"/>
              </w:rPr>
              <w:t>2</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智慧黑板产品有处于有效期之内的环境标志产品认证证书得</w:t>
            </w:r>
            <w:r>
              <w:rPr>
                <w:rFonts w:hint="eastAsia" w:cs="仿宋_GB2312" w:asciiTheme="minorEastAsia" w:hAnsiTheme="minorEastAsia" w:eastAsiaTheme="minorEastAsia"/>
                <w:bCs/>
                <w:color w:val="auto"/>
                <w:szCs w:val="21"/>
                <w:highlight w:val="none"/>
                <w:lang w:val="en-US" w:eastAsia="zh-CN"/>
              </w:rPr>
              <w:t>0.5</w:t>
            </w:r>
            <w:r>
              <w:rPr>
                <w:rFonts w:hint="eastAsia" w:cs="仿宋_GB2312" w:asciiTheme="minorEastAsia" w:hAnsiTheme="minorEastAsia" w:eastAsiaTheme="minorEastAsia"/>
                <w:bCs/>
                <w:color w:val="auto"/>
                <w:szCs w:val="21"/>
                <w:highlight w:val="none"/>
              </w:rPr>
              <w:t>分。</w:t>
            </w:r>
          </w:p>
        </w:tc>
        <w:tc>
          <w:tcPr>
            <w:tcW w:w="732" w:type="dxa"/>
            <w:vAlign w:val="center"/>
          </w:tcPr>
          <w:p>
            <w:pPr>
              <w:snapToGrid w:val="0"/>
              <w:spacing w:line="360" w:lineRule="auto"/>
              <w:jc w:val="center"/>
              <w:rPr>
                <w:rFonts w:hint="default"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0.5</w:t>
            </w:r>
          </w:p>
        </w:tc>
        <w:tc>
          <w:tcPr>
            <w:tcW w:w="1031"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（六）投标产品及厂家资信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7"/>
              <w:numPr>
                <w:ilvl w:val="0"/>
                <w:numId w:val="11"/>
              </w:numPr>
              <w:snapToGrid w:val="0"/>
              <w:ind w:firstLineChars="0"/>
              <w:jc w:val="center"/>
              <w:rPr>
                <w:rFonts w:cs="仿宋_GB2312" w:asciiTheme="minorEastAsia" w:hAnsiTheme="minorEastAsia" w:eastAsiaTheme="minorEastAsia"/>
                <w:color w:val="auto"/>
                <w:highlight w:val="none"/>
              </w:rPr>
            </w:pPr>
          </w:p>
        </w:tc>
        <w:tc>
          <w:tcPr>
            <w:tcW w:w="4110" w:type="dxa"/>
          </w:tcPr>
          <w:p>
            <w:pPr>
              <w:snapToGrid w:val="0"/>
              <w:spacing w:line="360" w:lineRule="auto"/>
              <w:jc w:val="left"/>
              <w:rPr>
                <w:rFonts w:cs="仿宋_GB2312" w:asciiTheme="minorEastAsia" w:hAnsiTheme="minorEastAsia" w:eastAsiaTheme="minorEastAsia"/>
                <w:bCs/>
                <w:color w:val="auto"/>
                <w:sz w:val="24"/>
                <w:highlight w:val="none"/>
                <w:lang w:val="zh-CN"/>
              </w:rPr>
            </w:pPr>
            <w:r>
              <w:rPr>
                <w:rFonts w:hint="eastAsia" w:cs="仿宋_GB2312" w:asciiTheme="minorEastAsia" w:hAnsiTheme="minorEastAsia" w:eastAsiaTheme="minorEastAsia"/>
                <w:b/>
                <w:bCs/>
                <w:color w:val="auto"/>
                <w:sz w:val="24"/>
                <w:highlight w:val="none"/>
                <w:lang w:val="zh-TW"/>
              </w:rPr>
              <w:t>项目组织实施方案：</w:t>
            </w:r>
          </w:p>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●提供供货、安装调试方案并符合采购需求（符合得1分，不符合不得分）；</w:t>
            </w:r>
          </w:p>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●提供功能测试、试运行及验收方案并符合采购需求（符合得1分，不符合不得分）；</w:t>
            </w:r>
          </w:p>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●提供培训计划并符合采购需求（符合得1分，不符合不得分）；</w:t>
            </w:r>
          </w:p>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Cs w:val="21"/>
                <w:highlight w:val="none"/>
              </w:rPr>
              <w:t>●提供供货进度实施及进度保障措施方案（符合得1分，不符合不得分）。</w:t>
            </w:r>
          </w:p>
        </w:tc>
        <w:tc>
          <w:tcPr>
            <w:tcW w:w="732"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（七）项目组织实施方案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7"/>
              <w:numPr>
                <w:ilvl w:val="0"/>
                <w:numId w:val="11"/>
              </w:numPr>
              <w:snapToGrid w:val="0"/>
              <w:ind w:firstLineChars="0"/>
              <w:jc w:val="center"/>
              <w:rPr>
                <w:rFonts w:cs="仿宋_GB2312" w:asciiTheme="minorEastAsia" w:hAnsiTheme="minorEastAsia" w:eastAsiaTheme="minorEastAsia"/>
                <w:color w:val="auto"/>
                <w:highlight w:val="none"/>
              </w:rPr>
            </w:pPr>
          </w:p>
        </w:tc>
        <w:tc>
          <w:tcPr>
            <w:tcW w:w="4110"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项目人员配置</w:t>
            </w:r>
          </w:p>
        </w:tc>
        <w:tc>
          <w:tcPr>
            <w:tcW w:w="732"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6.1</w:t>
            </w:r>
          </w:p>
        </w:tc>
        <w:tc>
          <w:tcPr>
            <w:tcW w:w="4110" w:type="dxa"/>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技术负责人的专业素质、技术能力、同类项目实施经验情况（根据资质、有效证明材料、缴纳社保证明等各类材料。符合采购需求得2分，部分符合得1分，不符合不得分。</w:t>
            </w:r>
          </w:p>
        </w:tc>
        <w:tc>
          <w:tcPr>
            <w:tcW w:w="732"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（八）项目人员配置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6.2</w:t>
            </w:r>
          </w:p>
        </w:tc>
        <w:tc>
          <w:tcPr>
            <w:tcW w:w="4110" w:type="dxa"/>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除技术负责人外其他专业技术人员组成、数量、专业素质、技术能力、经验等情况（根据资质、有效证明材料缴纳社保证明等各类材料）。符合采购需求得2分，部分符合得1分，不符合不得分。</w:t>
            </w:r>
          </w:p>
        </w:tc>
        <w:tc>
          <w:tcPr>
            <w:tcW w:w="732"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（八）项目人员配置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7"/>
              <w:numPr>
                <w:ilvl w:val="0"/>
                <w:numId w:val="11"/>
              </w:numPr>
              <w:snapToGrid w:val="0"/>
              <w:ind w:firstLineChars="0"/>
              <w:jc w:val="center"/>
              <w:rPr>
                <w:rFonts w:cs="仿宋_GB2312" w:asciiTheme="minorEastAsia" w:hAnsiTheme="minorEastAsia" w:eastAsiaTheme="minorEastAsia"/>
                <w:color w:val="auto"/>
                <w:highlight w:val="none"/>
              </w:rPr>
            </w:pPr>
          </w:p>
        </w:tc>
        <w:tc>
          <w:tcPr>
            <w:tcW w:w="4110"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售后服务</w:t>
            </w:r>
          </w:p>
        </w:tc>
        <w:tc>
          <w:tcPr>
            <w:tcW w:w="732"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7.1</w:t>
            </w:r>
          </w:p>
        </w:tc>
        <w:tc>
          <w:tcPr>
            <w:tcW w:w="4110" w:type="dxa"/>
            <w:vAlign w:val="center"/>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 xml:space="preserve">投标人在杭具有快速售后服务能力，能提供快速的售后服务响应，提供网点地址和服务电话及相关的有效证明文件（满足得2分，不满足或未提供不得分） </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（九）售后服务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7.2</w:t>
            </w:r>
          </w:p>
        </w:tc>
        <w:tc>
          <w:tcPr>
            <w:tcW w:w="4110" w:type="dxa"/>
          </w:tcPr>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提供满足项目需求的备品备件或可用于项目售后的备品备件清单（符合采购需求得2分，部分符合得1分，不符合不得分。）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2</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（九）售后服务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7"/>
              <w:numPr>
                <w:ilvl w:val="0"/>
                <w:numId w:val="11"/>
              </w:numPr>
              <w:snapToGrid w:val="0"/>
              <w:ind w:firstLineChars="0"/>
              <w:jc w:val="center"/>
              <w:rPr>
                <w:rFonts w:cs="仿宋_GB2312" w:asciiTheme="minorEastAsia" w:hAnsiTheme="minorEastAsia" w:eastAsiaTheme="minorEastAsia"/>
                <w:color w:val="auto"/>
                <w:highlight w:val="none"/>
              </w:rPr>
            </w:pPr>
          </w:p>
        </w:tc>
        <w:tc>
          <w:tcPr>
            <w:tcW w:w="4110" w:type="dxa"/>
            <w:vAlign w:val="center"/>
          </w:tcPr>
          <w:p>
            <w:pPr>
              <w:snapToGrid w:val="0"/>
              <w:spacing w:line="360" w:lineRule="auto"/>
              <w:jc w:val="left"/>
              <w:rPr>
                <w:rFonts w:cs="仿宋_GB2312" w:asciiTheme="minorEastAsia" w:hAnsiTheme="minorEastAsia" w:eastAsiaTheme="minorEastAsia"/>
                <w:b/>
                <w:bCs/>
                <w:color w:val="auto"/>
                <w:sz w:val="24"/>
                <w:highlight w:val="none"/>
                <w:lang w:val="zh-TW"/>
              </w:rPr>
            </w:pPr>
            <w:r>
              <w:rPr>
                <w:rFonts w:hint="eastAsia" w:cs="仿宋_GB2312" w:asciiTheme="minorEastAsia" w:hAnsiTheme="minorEastAsia" w:eastAsiaTheme="minorEastAsia"/>
                <w:b/>
                <w:bCs/>
                <w:color w:val="auto"/>
                <w:sz w:val="24"/>
                <w:highlight w:val="none"/>
                <w:lang w:val="zh-TW"/>
              </w:rPr>
              <w:t>投标人业绩：</w:t>
            </w:r>
          </w:p>
          <w:p>
            <w:pPr>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bCs/>
                <w:color w:val="auto"/>
                <w:szCs w:val="21"/>
                <w:highlight w:val="none"/>
              </w:rPr>
              <w:t>投标人自 2019年1月1日以来完成的同类案例。每个案例需提供合同</w:t>
            </w:r>
            <w:r>
              <w:rPr>
                <w:rFonts w:hint="eastAsia" w:cs="仿宋_GB2312" w:asciiTheme="minorEastAsia" w:hAnsiTheme="minorEastAsia" w:eastAsiaTheme="minorEastAsia"/>
                <w:bCs/>
                <w:color w:val="auto"/>
                <w:szCs w:val="21"/>
                <w:highlight w:val="none"/>
                <w:lang w:val="en-US" w:eastAsia="zh-CN"/>
              </w:rPr>
              <w:t>和</w:t>
            </w:r>
            <w:r>
              <w:rPr>
                <w:rFonts w:hint="eastAsia" w:cs="仿宋_GB2312" w:asciiTheme="minorEastAsia" w:hAnsiTheme="minorEastAsia" w:eastAsiaTheme="minorEastAsia"/>
                <w:bCs/>
                <w:color w:val="auto"/>
                <w:szCs w:val="21"/>
                <w:highlight w:val="none"/>
              </w:rPr>
              <w:t>用户验收报告</w:t>
            </w:r>
            <w:r>
              <w:rPr>
                <w:rFonts w:hint="eastAsia" w:cs="仿宋_GB2312" w:asciiTheme="minorEastAsia" w:hAnsiTheme="minorEastAsia" w:eastAsiaTheme="minorEastAsia"/>
                <w:bCs/>
                <w:color w:val="auto"/>
                <w:szCs w:val="21"/>
                <w:highlight w:val="none"/>
                <w:lang w:eastAsia="zh-CN"/>
              </w:rPr>
              <w:t>（</w:t>
            </w:r>
            <w:r>
              <w:rPr>
                <w:rFonts w:hint="eastAsia" w:cs="仿宋_GB2312" w:asciiTheme="minorEastAsia" w:hAnsiTheme="minorEastAsia" w:eastAsiaTheme="minorEastAsia"/>
                <w:bCs/>
                <w:color w:val="auto"/>
                <w:szCs w:val="21"/>
                <w:highlight w:val="none"/>
                <w:lang w:val="en-US" w:eastAsia="zh-CN"/>
              </w:rPr>
              <w:t>验收通过</w:t>
            </w:r>
            <w:r>
              <w:rPr>
                <w:rFonts w:hint="eastAsia" w:cs="仿宋_GB2312" w:asciiTheme="minorEastAsia" w:hAnsiTheme="minorEastAsia" w:eastAsiaTheme="minorEastAsia"/>
                <w:bCs/>
                <w:color w:val="auto"/>
                <w:szCs w:val="21"/>
                <w:highlight w:val="none"/>
                <w:lang w:eastAsia="zh-CN"/>
              </w:rPr>
              <w:t>）</w:t>
            </w:r>
            <w:r>
              <w:rPr>
                <w:rFonts w:hint="eastAsia" w:cs="仿宋_GB2312" w:asciiTheme="minorEastAsia" w:hAnsiTheme="minorEastAsia" w:eastAsiaTheme="minorEastAsia"/>
                <w:bCs/>
                <w:color w:val="auto"/>
                <w:szCs w:val="21"/>
                <w:highlight w:val="none"/>
              </w:rPr>
              <w:t>，每个得 1分，最高得3分。(同类案例是指与采购标的智慧黑板一体机同品类的产品案例）</w:t>
            </w:r>
            <w:r>
              <w:rPr>
                <w:rFonts w:hint="eastAsia" w:cs="仿宋_GB2312" w:asciiTheme="minorEastAsia" w:hAnsiTheme="minorEastAsia" w:eastAsiaTheme="minorEastAsia"/>
                <w:bCs/>
                <w:color w:val="auto"/>
                <w:szCs w:val="21"/>
                <w:highlight w:val="none"/>
                <w:lang w:eastAsia="zh-CN"/>
              </w:rPr>
              <w:t>（时间以合同为准）</w:t>
            </w:r>
          </w:p>
        </w:tc>
        <w:tc>
          <w:tcPr>
            <w:tcW w:w="73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3</w:t>
            </w:r>
          </w:p>
        </w:tc>
        <w:tc>
          <w:tcPr>
            <w:tcW w:w="103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zh-TW"/>
              </w:rPr>
              <w:t>（十）投标人业绩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7"/>
              <w:numPr>
                <w:ilvl w:val="0"/>
                <w:numId w:val="11"/>
              </w:numPr>
              <w:snapToGrid w:val="0"/>
              <w:ind w:firstLineChars="0"/>
              <w:jc w:val="center"/>
              <w:rPr>
                <w:rFonts w:cs="仿宋_GB2312" w:asciiTheme="minorEastAsia" w:hAnsiTheme="minorEastAsia" w:eastAsiaTheme="minorEastAsia"/>
                <w:color w:val="auto"/>
                <w:highlight w:val="none"/>
              </w:rPr>
            </w:pPr>
          </w:p>
        </w:tc>
        <w:tc>
          <w:tcPr>
            <w:tcW w:w="4110" w:type="dxa"/>
          </w:tcPr>
          <w:p>
            <w:pPr>
              <w:snapToGrid w:val="0"/>
              <w:spacing w:line="360" w:lineRule="auto"/>
              <w:jc w:val="left"/>
              <w:rPr>
                <w:rFonts w:cs="仿宋_GB2312" w:asciiTheme="minorEastAsia" w:hAnsiTheme="minorEastAsia" w:eastAsiaTheme="minorEastAsia"/>
                <w:b/>
                <w:bCs/>
                <w:color w:val="auto"/>
                <w:sz w:val="24"/>
                <w:highlight w:val="none"/>
                <w:lang w:val="zh-TW"/>
              </w:rPr>
            </w:pPr>
            <w:r>
              <w:rPr>
                <w:rFonts w:hint="eastAsia" w:cs="仿宋_GB2312" w:asciiTheme="minorEastAsia" w:hAnsiTheme="minorEastAsia" w:eastAsiaTheme="minorEastAsia"/>
                <w:b/>
                <w:bCs/>
                <w:color w:val="auto"/>
                <w:sz w:val="24"/>
                <w:highlight w:val="none"/>
                <w:lang w:val="zh-TW"/>
              </w:rPr>
              <w:t>投标报价：</w:t>
            </w:r>
          </w:p>
          <w:p>
            <w:pPr>
              <w:snapToGrid w:val="0"/>
              <w:spacing w:line="360" w:lineRule="auto"/>
              <w:jc w:val="left"/>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有效投标报价的最低价作为评标基准价，其最低报价为满分；按［投标报价得分</w:t>
            </w:r>
            <w:r>
              <w:rPr>
                <w:rFonts w:cs="仿宋_GB2312" w:asciiTheme="minorEastAsia" w:hAnsiTheme="minorEastAsia" w:eastAsiaTheme="minorEastAsia"/>
                <w:bCs/>
                <w:color w:val="auto"/>
                <w:szCs w:val="21"/>
                <w:highlight w:val="none"/>
              </w:rPr>
              <w:t>=（评标基准价/投标报价）*</w:t>
            </w:r>
            <w:r>
              <w:rPr>
                <w:rFonts w:hint="eastAsia" w:cs="仿宋_GB2312" w:asciiTheme="minorEastAsia" w:hAnsiTheme="minorEastAsia" w:eastAsiaTheme="minorEastAsia"/>
                <w:bCs/>
                <w:color w:val="auto"/>
                <w:szCs w:val="21"/>
                <w:highlight w:val="none"/>
              </w:rPr>
              <w:t>30</w:t>
            </w:r>
            <w:r>
              <w:rPr>
                <w:rFonts w:cs="仿宋_GB2312" w:asciiTheme="minorEastAsia" w:hAnsiTheme="minorEastAsia" w:eastAsiaTheme="minorEastAsia"/>
                <w:bCs/>
                <w:color w:val="auto"/>
                <w:szCs w:val="21"/>
                <w:highlight w:val="none"/>
              </w:rPr>
              <w:t>］的计算公式计算。</w:t>
            </w:r>
          </w:p>
          <w:p>
            <w:pPr>
              <w:widowControl/>
              <w:shd w:val="clear" w:color="auto" w:fill="FFFFFF"/>
              <w:adjustRightInd/>
              <w:snapToGrid w:val="0"/>
              <w:spacing w:after="225" w:line="315" w:lineRule="atLeast"/>
              <w:ind w:firstLine="420"/>
              <w:jc w:val="left"/>
              <w:rPr>
                <w:rFonts w:cs="仿宋_GB2312" w:asciiTheme="minorEastAsia" w:hAnsiTheme="minorEastAsia" w:eastAsiaTheme="minorEastAsia"/>
                <w:bCs/>
                <w:color w:val="auto"/>
                <w:szCs w:val="21"/>
                <w:highlight w:val="none"/>
              </w:rPr>
            </w:pPr>
            <w:r>
              <w:rPr>
                <w:rFonts w:cs="仿宋_GB2312" w:asciiTheme="minorEastAsia" w:hAnsiTheme="minorEastAsia" w:eastAsiaTheme="minorEastAsia"/>
                <w:bCs/>
                <w:color w:val="auto"/>
                <w:szCs w:val="21"/>
                <w:highlight w:val="none"/>
              </w:rPr>
              <w:t>评标过程中，不得去掉报价中的最高报价和最低报价。</w:t>
            </w:r>
          </w:p>
        </w:tc>
        <w:tc>
          <w:tcPr>
            <w:tcW w:w="732"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cs="仿宋_GB2312" w:asciiTheme="minorEastAsia" w:hAnsiTheme="minorEastAsia" w:eastAsiaTheme="minorEastAsia"/>
                <w:color w:val="auto"/>
                <w:sz w:val="24"/>
                <w:highlight w:val="none"/>
              </w:rPr>
              <w:t>0</w:t>
            </w:r>
          </w:p>
        </w:tc>
        <w:tc>
          <w:tcPr>
            <w:tcW w:w="1031"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947"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1"/>
    <w:p>
      <w:pPr>
        <w:widowControl/>
        <w:adjustRightInd/>
        <w:jc w:val="left"/>
        <w:rPr>
          <w:rFonts w:ascii="宋体" w:hAnsi="宋体" w:cs="宋体"/>
          <w:b/>
          <w:color w:val="auto"/>
          <w:sz w:val="36"/>
          <w:szCs w:val="36"/>
          <w:highlight w:val="none"/>
        </w:rPr>
      </w:pPr>
      <w:bookmarkStart w:id="397" w:name="第五部分"/>
      <w:bookmarkStart w:id="398"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pStyle w:val="701"/>
        <w:jc w:val="center"/>
        <w:rPr>
          <w:rFonts w:ascii="宋体" w:hAnsi="宋体" w:cs="宋体"/>
          <w:color w:val="auto"/>
          <w:szCs w:val="24"/>
          <w:highlight w:val="none"/>
        </w:rPr>
      </w:pP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杭州第十四中学青山湖学校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杭州第十四中学青山湖学校多媒体教室二期建设项目HZZFCG-2024-067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杭州第十四中学青山湖学校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 合同组成部分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1.2 货物</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bl>
    <w:p>
      <w:pPr>
        <w:pStyle w:val="959"/>
        <w:spacing w:before="0" w:beforeAutospacing="0" w:after="0" w:afterAutospacing="0" w:line="360" w:lineRule="auto"/>
        <w:ind w:firstLine="480"/>
        <w:rPr>
          <w:b/>
          <w:color w:val="auto"/>
          <w:highlight w:val="none"/>
        </w:rPr>
      </w:pPr>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b/>
          <w:color w:val="auto"/>
          <w:highlight w:val="none"/>
        </w:rPr>
      </w:pPr>
      <w:r>
        <w:rPr>
          <w:rFonts w:hint="eastAsia" w:ascii="宋体" w:hAnsi="宋体" w:cs="宋体"/>
          <w:b/>
          <w:color w:val="auto"/>
          <w:highlight w:val="none"/>
        </w:rPr>
        <w:br w:type="page"/>
      </w:r>
    </w:p>
    <w:p>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 定义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 技术规范</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2.3 知识产权</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2.4 包装和装运</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2.5 履约检查和问题反馈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2.6 技术资料和保密义务</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2.7 质量保证</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2.8 货物的风险负担</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2.9 延迟交货</w:t>
      </w:r>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2.10 合同变更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2.11 合同转让和分包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2.12 不可抗力</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2.13 税费</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2.14乙方破产</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2.15 合同中止、终止</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2.16检验和验收</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2.17 通知和送达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2.19 合同使用的文字和适用的法律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2.20 合同份数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pStyle w:val="79"/>
        <w:rPr>
          <w:color w:val="auto"/>
          <w:highlight w:val="none"/>
        </w:rPr>
      </w:pP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pPr>
              <w:spacing w:line="360" w:lineRule="auto"/>
              <w:rPr>
                <w:rFonts w:ascii="宋体" w:hAnsi="宋体" w:cs="宋体"/>
                <w:color w:val="auto"/>
                <w:sz w:val="24"/>
                <w:highlight w:val="none"/>
              </w:rPr>
            </w:pPr>
            <w:r>
              <w:rPr>
                <w:rFonts w:hint="eastAsia"/>
                <w:color w:val="auto"/>
                <w:sz w:val="24"/>
                <w:highlight w:val="none"/>
              </w:rPr>
              <w:t>乙方需要支付履约保证金。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4534" w:type="pct"/>
            <w:vAlign w:val="center"/>
          </w:tcPr>
          <w:p>
            <w:pPr>
              <w:spacing w:line="360" w:lineRule="auto"/>
              <w:rPr>
                <w:color w:val="auto"/>
                <w:sz w:val="24"/>
                <w:highlight w:val="none"/>
              </w:rPr>
            </w:pPr>
            <w:r>
              <w:rPr>
                <w:rFonts w:hint="eastAsia"/>
                <w:color w:val="auto"/>
                <w:sz w:val="24"/>
                <w:highlight w:val="none"/>
              </w:rPr>
              <w:t>履约保证金的比例为合同金额的1 %；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支票、汇票、本票或者金融机构、担保机构出具的保函等非现金形式；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4534" w:type="pct"/>
            <w:vAlign w:val="center"/>
          </w:tcPr>
          <w:p>
            <w:pPr>
              <w:spacing w:line="360" w:lineRule="auto"/>
              <w:rPr>
                <w:rFonts w:ascii="宋体" w:hAnsi="宋体" w:cs="宋体"/>
                <w:color w:val="auto"/>
                <w:sz w:val="24"/>
                <w:highlight w:val="none"/>
              </w:rPr>
            </w:pPr>
            <w:r>
              <w:rPr>
                <w:rFonts w:hint="eastAsia"/>
                <w:color w:val="auto"/>
                <w:sz w:val="24"/>
                <w:highlight w:val="none"/>
              </w:rPr>
              <w:t>甲方需要支付预付款。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1）合同签订生效后，乙方提交银行、保险公司等金融机构出具的预付款保函；</w:t>
            </w:r>
          </w:p>
          <w:p>
            <w:pPr>
              <w:spacing w:line="360" w:lineRule="auto"/>
              <w:rPr>
                <w:rFonts w:ascii="宋体" w:hAnsi="宋体" w:cs="宋体"/>
                <w:color w:val="auto"/>
                <w:sz w:val="24"/>
                <w:highlight w:val="none"/>
              </w:rPr>
            </w:pPr>
            <w:r>
              <w:rPr>
                <w:rFonts w:hint="eastAsia" w:ascii="宋体" w:hAnsi="宋体" w:cs="宋体"/>
                <w:color w:val="auto"/>
                <w:sz w:val="24"/>
                <w:highlight w:val="none"/>
              </w:rPr>
              <w:t>2）合同签订生效且具备实施条件，甲方收到乙方发票后5个工作日内支付合同总价40%的预付款。</w:t>
            </w:r>
          </w:p>
          <w:p>
            <w:pPr>
              <w:spacing w:line="360" w:lineRule="auto"/>
              <w:rPr>
                <w:rFonts w:ascii="宋体" w:hAnsi="宋体" w:cs="宋体"/>
                <w:color w:val="auto"/>
                <w:sz w:val="24"/>
                <w:highlight w:val="none"/>
              </w:rPr>
            </w:pPr>
            <w:r>
              <w:rPr>
                <w:rFonts w:hint="eastAsia" w:ascii="宋体" w:hAnsi="宋体" w:cs="宋体"/>
                <w:color w:val="auto"/>
                <w:sz w:val="24"/>
                <w:highlight w:val="none"/>
              </w:rPr>
              <w:t>3）项目验收合格后（指履约验收完成），甲方收到乙方发票后在5个工作日内向乙方支付合同总额的剩余尾款。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同1.5.1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乙方接甲方通知后三十天内完成运输安装及调试，且应与杭州第十四中学青山湖学校总包施工进度相配合。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pPr>
              <w:spacing w:line="360" w:lineRule="auto"/>
              <w:rPr>
                <w:rFonts w:ascii="宋体" w:hAnsi="宋体" w:cs="宋体"/>
                <w:color w:val="auto"/>
                <w:sz w:val="24"/>
                <w:highlight w:val="none"/>
              </w:rPr>
            </w:pPr>
            <w:r>
              <w:rPr>
                <w:rFonts w:ascii="宋体" w:hAnsi="宋体" w:cs="宋体"/>
                <w:color w:val="auto"/>
                <w:sz w:val="24"/>
                <w:highlight w:val="none"/>
              </w:rPr>
              <w:t>杭州第十四中学青山湖学校内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送货上门，乙方负责安装调试，通过验收后交付甲方使用。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1．合同签订后，任何一方不履行或不完全履行本合同约定条款的，即构成违约。任何一方违约时，守约方有权要求违约方继续履行本合同，同时有权要求违约方支付违约金。</w:t>
            </w:r>
          </w:p>
          <w:p>
            <w:pPr>
              <w:spacing w:line="360" w:lineRule="auto"/>
              <w:rPr>
                <w:rFonts w:ascii="宋体" w:hAnsi="宋体" w:cs="宋体"/>
                <w:color w:val="auto"/>
                <w:sz w:val="24"/>
                <w:highlight w:val="none"/>
              </w:rPr>
            </w:pPr>
            <w:r>
              <w:rPr>
                <w:rFonts w:hint="eastAsia" w:ascii="宋体" w:hAnsi="宋体" w:cs="宋体"/>
                <w:color w:val="auto"/>
                <w:sz w:val="24"/>
                <w:highlight w:val="none"/>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pPr>
              <w:spacing w:line="360" w:lineRule="auto"/>
              <w:rPr>
                <w:rFonts w:ascii="宋体" w:hAnsi="宋体" w:cs="宋体"/>
                <w:color w:val="auto"/>
                <w:sz w:val="24"/>
                <w:highlight w:val="none"/>
              </w:rPr>
            </w:pPr>
            <w:r>
              <w:rPr>
                <w:rFonts w:hint="eastAsia" w:ascii="宋体" w:hAnsi="宋体" w:cs="宋体"/>
                <w:color w:val="auto"/>
                <w:sz w:val="24"/>
                <w:highlight w:val="none"/>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spacing w:line="360" w:lineRule="auto"/>
              <w:rPr>
                <w:rFonts w:ascii="宋体" w:hAnsi="宋体" w:cs="宋体"/>
                <w:color w:val="auto"/>
                <w:sz w:val="24"/>
                <w:highlight w:val="none"/>
              </w:rPr>
            </w:pPr>
            <w:r>
              <w:rPr>
                <w:rFonts w:hint="eastAsia" w:ascii="宋体" w:hAnsi="宋体" w:cs="宋体"/>
                <w:color w:val="auto"/>
                <w:sz w:val="24"/>
                <w:highlight w:val="none"/>
              </w:rPr>
              <w:t>4、乙方逾期履行合同的，自逾期之日起，向甲方每日偿付合同总价万分之五的违约金。</w:t>
            </w:r>
          </w:p>
          <w:p>
            <w:pPr>
              <w:spacing w:line="360" w:lineRule="auto"/>
              <w:rPr>
                <w:rFonts w:ascii="宋体" w:hAnsi="宋体" w:cs="宋体"/>
                <w:color w:val="auto"/>
                <w:sz w:val="24"/>
                <w:highlight w:val="none"/>
              </w:rPr>
            </w:pPr>
            <w:r>
              <w:rPr>
                <w:rFonts w:hint="eastAsia" w:ascii="宋体" w:hAnsi="宋体" w:cs="宋体"/>
                <w:color w:val="auto"/>
                <w:sz w:val="24"/>
                <w:highlight w:val="none"/>
              </w:rPr>
              <w:t>5、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spacing w:line="360" w:lineRule="auto"/>
              <w:rPr>
                <w:rFonts w:ascii="宋体" w:hAnsi="宋体" w:cs="宋体"/>
                <w:color w:val="auto"/>
                <w:sz w:val="24"/>
                <w:highlight w:val="none"/>
              </w:rPr>
            </w:pPr>
            <w:r>
              <w:rPr>
                <w:rFonts w:hint="eastAsia" w:ascii="宋体" w:hAnsi="宋体" w:cs="宋体"/>
                <w:color w:val="auto"/>
                <w:sz w:val="24"/>
                <w:highlight w:val="none"/>
              </w:rPr>
              <w:t>6、上述第5项应退回或更换的货物，由乙方在验收后一周内运离安装地点，所需费用由乙方承担。如乙方在二周内不处理（搬走）的，视为乙方放弃，甲方有权自行处置（包括废物处理）。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7、乙方未按招标文件及合同约定履行质保义务的，每次应向甲方承担 2000元的违约金，并赔偿甲方的损失；同时，乙方应继续履行质保义务。</w:t>
            </w:r>
          </w:p>
          <w:p>
            <w:pPr>
              <w:spacing w:line="360" w:lineRule="auto"/>
              <w:rPr>
                <w:rFonts w:ascii="宋体" w:hAnsi="宋体" w:cs="宋体"/>
                <w:color w:val="auto"/>
                <w:sz w:val="24"/>
                <w:highlight w:val="none"/>
              </w:rPr>
            </w:pPr>
            <w:r>
              <w:rPr>
                <w:rFonts w:hint="eastAsia" w:ascii="宋体" w:hAnsi="宋体" w:cs="宋体"/>
                <w:color w:val="auto"/>
                <w:sz w:val="24"/>
                <w:highlight w:val="none"/>
              </w:rPr>
              <w:t>8、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jc w:val="left"/>
              <w:rPr>
                <w:rFonts w:ascii="宋体" w:hAnsi="宋体" w:cs="宋体"/>
                <w:color w:val="auto"/>
                <w:sz w:val="24"/>
                <w:highlight w:val="none"/>
              </w:rPr>
            </w:pPr>
            <w:r>
              <w:rPr>
                <w:rFonts w:hint="eastAsia" w:ascii="宋体" w:hAnsi="宋体" w:cs="宋体"/>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eastAsiaTheme="minorEastAsia"/>
                <w:color w:val="auto"/>
                <w:sz w:val="24"/>
                <w:highlight w:val="none"/>
              </w:rPr>
            </w:pPr>
            <w:r>
              <w:rPr>
                <w:rFonts w:hint="eastAsia" w:cs="仿宋_GB2312" w:asciiTheme="minorEastAsia" w:hAnsiTheme="minorEastAsia" w:eastAsiaTheme="minorEastAsia"/>
                <w:color w:val="auto"/>
                <w:sz w:val="24"/>
                <w:highlight w:val="none"/>
              </w:rPr>
              <w:t>1个工作日内、3个工作日内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10个工作日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本合同一式【陆】份，甲方执【肆】份，乙方执【贰】份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杭州第十四中学青山湖学校、杭州市公共资源交易中心：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我方参与杭州第十四中学青山湖学校多媒体教室二期建设项目【招标编号：HZZFCG-2024-067】政府采购</w:t>
      </w:r>
      <w:r>
        <w:rPr>
          <w:rFonts w:hint="eastAsia" w:ascii="宋体" w:hAnsi="宋体" w:cs="宋体"/>
          <w:color w:val="auto"/>
          <w:sz w:val="24"/>
          <w:highlight w:val="none"/>
        </w:rPr>
        <w:t>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pStyle w:val="2"/>
        <w:rPr>
          <w:color w:val="auto"/>
          <w:highlight w:val="none"/>
        </w:rPr>
      </w:pP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auto"/>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A.专门面向中小企业，货物全部由符合政策要求的中小企业（或小微企业）制造的，提供相应的中小企业声明函（附件</w:t>
      </w:r>
      <w:r>
        <w:rPr>
          <w:rFonts w:ascii="宋体" w:hAnsi="宋体" w:cs="宋体"/>
          <w:b/>
          <w:color w:val="auto"/>
          <w:sz w:val="24"/>
          <w:highlight w:val="none"/>
        </w:rPr>
        <w:t>7</w:t>
      </w:r>
      <w:r>
        <w:rPr>
          <w:rFonts w:hint="eastAsia" w:ascii="宋体" w:hAnsi="宋体" w:cs="宋体"/>
          <w:b/>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w:t>
      </w:r>
      <w:r>
        <w:rPr>
          <w:rFonts w:hint="eastAsia" w:ascii="宋体" w:hAnsi="宋体" w:cs="宋体"/>
          <w:color w:val="auto"/>
          <w:sz w:val="24"/>
          <w:highlight w:val="none"/>
        </w:rPr>
        <w:t>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杭州第十四中学青山湖学校、杭州市公共资源交易中心：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我方参加你方组织的杭州第十四中学青山湖学校多媒体教室二期建设项目【招标编号：HZZFCG-2024-067】招标的有关活动，并对此项目进行投标。为此：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w:t>
      </w:r>
      <w:r>
        <w:rPr>
          <w:rFonts w:hint="eastAsia" w:ascii="宋体" w:hAnsi="宋体" w:cs="宋体"/>
          <w:color w:val="auto"/>
          <w:sz w:val="24"/>
          <w:highlight w:val="none"/>
          <w:lang w:val="zh-CN"/>
        </w:rPr>
        <w:t>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 报价情况说明（如果有）。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杭州第十四中学青山湖学校、杭州市公共资源交易中心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杭州第十四中学青山湖学校多媒体教室二期建设项目【招标编号：HZZFCG-2024-067】</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杭州第十四中学青山湖学校、杭州市公共资源交易中心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杭州第十四中学青山湖学校多媒体教室二期建设项目【招标编号：HZZFCG-2024-067】</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w:t>
      </w:r>
      <w:r>
        <w:rPr>
          <w:rFonts w:hint="eastAsia" w:ascii="宋体" w:hAnsi="宋体" w:cs="宋体"/>
          <w:b/>
          <w:color w:val="auto"/>
          <w:kern w:val="0"/>
          <w:sz w:val="32"/>
          <w:szCs w:val="32"/>
          <w:highlight w:val="none"/>
        </w:rPr>
        <w:t>议（如果有）</w:t>
      </w:r>
    </w:p>
    <w:p>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9"/>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杭州第十四中学青山湖学校、杭州</w:t>
      </w:r>
      <w:r>
        <w:rPr>
          <w:rFonts w:hint="eastAsia" w:ascii="宋体" w:hAnsi="宋体" w:cs="宋体"/>
          <w:color w:val="auto"/>
          <w:sz w:val="24"/>
          <w:highlight w:val="none"/>
        </w:rPr>
        <w:t>市公共资源交易中心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rPr>
        <w:t>）………………………………………………………（页码）</w:t>
      </w:r>
    </w:p>
    <w:p>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杭州第十四中学青山湖学校、杭州市公共资源交易中心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杭州第十四中学青山湖学校多媒体教室二期建设项目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HZZFCG-2024-067】的实施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w:t>
      </w:r>
      <w:r>
        <w:rPr>
          <w:rFonts w:hint="eastAsia" w:ascii="宋体" w:hAnsi="宋体" w:cs="宋体"/>
          <w:color w:val="auto"/>
          <w:kern w:val="0"/>
          <w:sz w:val="24"/>
          <w:highlight w:val="none"/>
          <w:lang w:val="zh-CN"/>
        </w:rPr>
        <w:t>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w:t>
      </w:r>
      <w:r>
        <w:rPr>
          <w:rFonts w:hint="eastAsia" w:ascii="宋体" w:hAnsi="宋体" w:cs="宋体"/>
          <w:b/>
          <w:color w:val="auto"/>
          <w:kern w:val="0"/>
          <w:sz w:val="24"/>
          <w:highlight w:val="none"/>
          <w:lang w:val="zh-CN"/>
        </w:rPr>
        <w:t>，投标人不能作出合理解释的，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w:t>
      </w:r>
      <w:r>
        <w:rPr>
          <w:rFonts w:hint="eastAsia" w:ascii="宋体" w:hAnsi="宋体" w:cs="宋体"/>
          <w:color w:val="auto"/>
          <w:kern w:val="0"/>
          <w:sz w:val="24"/>
          <w:highlight w:val="none"/>
          <w:lang w:val="zh-CN"/>
        </w:rPr>
        <w:t>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pPr>
        <w:spacing w:line="360" w:lineRule="auto"/>
        <w:ind w:firstLine="482" w:firstLineChars="200"/>
        <w:rPr>
          <w:rFonts w:ascii="宋体" w:hAnsi="宋体" w:cs="宋体"/>
          <w:b/>
          <w:color w:val="auto"/>
          <w:sz w:val="24"/>
          <w:highlight w:val="none"/>
        </w:rPr>
      </w:pPr>
    </w:p>
    <w:p>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0" w:name="_Toc465665161"/>
      <w:r>
        <w:rPr>
          <w:rFonts w:hint="eastAsia" w:ascii="宋体" w:hAnsi="宋体" w:cs="宋体"/>
          <w:color w:val="auto"/>
          <w:highlight w:val="none"/>
        </w:rPr>
        <w:t>附件</w:t>
      </w:r>
      <w:bookmarkEnd w:id="40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1" w:name="OLE_LINK14"/>
      <w:bookmarkStart w:id="402" w:name="OLE_LINK13"/>
      <w:r>
        <w:rPr>
          <w:rFonts w:hint="eastAsia" w:ascii="宋体" w:hAnsi="宋体" w:cs="宋体"/>
          <w:b/>
          <w:color w:val="auto"/>
          <w:spacing w:val="6"/>
          <w:sz w:val="32"/>
          <w:szCs w:val="32"/>
          <w:highlight w:val="none"/>
        </w:rPr>
        <w:t>残疾人福利性单位声明函</w:t>
      </w:r>
    </w:p>
    <w:bookmarkEnd w:id="401"/>
    <w:bookmarkEnd w:id="40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w:t>
      </w:r>
      <w:r>
        <w:rPr>
          <w:rFonts w:hint="eastAsia" w:ascii="宋体" w:hAnsi="宋体" w:cs="宋体"/>
          <w:color w:val="auto"/>
          <w:sz w:val="24"/>
          <w:highlight w:val="none"/>
        </w:rPr>
        <w:t>参加</w:t>
      </w:r>
      <w:r>
        <w:rPr>
          <w:rFonts w:hint="eastAsia" w:ascii="宋体" w:hAnsi="宋体" w:cs="宋体"/>
          <w:color w:val="auto"/>
          <w:sz w:val="24"/>
          <w:highlight w:val="none"/>
          <w:u w:val="single"/>
        </w:rPr>
        <w:t>杭州第十四中学青山湖学校</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杭州第十四中学青山湖学校多媒体教室二期建设项目</w:t>
      </w:r>
      <w:r>
        <w:rPr>
          <w:rFonts w:hint="eastAsia" w:ascii="宋体" w:hAnsi="宋体" w:cs="宋体"/>
          <w:color w:val="auto"/>
          <w:sz w:val="24"/>
          <w:highlight w:val="none"/>
        </w:rPr>
        <w:t>项目采购</w:t>
      </w:r>
      <w:r>
        <w:rPr>
          <w:rFonts w:hint="eastAsia" w:ascii="宋体" w:hAnsi="宋体" w:cs="宋体"/>
          <w:color w:val="auto"/>
          <w:sz w:val="24"/>
          <w:highlight w:val="none"/>
        </w:rPr>
        <w:t>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杭州第十四中学青山湖学校、杭州市公共资源交易中心：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你方组织的杭州第十四中学青山湖学校多媒体教室二期建设项目【招标编号：HZZFCG-2024-067】</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w:t>
      </w:r>
      <w:r>
        <w:rPr>
          <w:rFonts w:hint="eastAsia" w:ascii="宋体" w:hAnsi="宋体" w:cs="宋体"/>
          <w:color w:val="auto"/>
          <w:sz w:val="24"/>
          <w:highlight w:val="none"/>
        </w:rPr>
        <w:t xml:space="preserve">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w:t>
      </w:r>
      <w:r>
        <w:rPr>
          <w:rFonts w:hint="eastAsia" w:ascii="宋体" w:hAnsi="宋体" w:cs="宋体"/>
          <w:b/>
          <w:color w:val="auto"/>
          <w:sz w:val="24"/>
          <w:highlight w:val="none"/>
        </w:rPr>
        <w:t>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杭州第十四中学青山湖学校多媒体教室二期建设项目【招标编号：HZZFCG-2024-067】</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0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w:t>
      </w:r>
      <w:r>
        <w:rPr>
          <w:rFonts w:hint="eastAsia" w:ascii="宋体" w:hAnsi="宋体" w:cs="宋体"/>
          <w:color w:val="auto"/>
          <w:kern w:val="0"/>
          <w:sz w:val="24"/>
          <w:highlight w:val="none"/>
          <w:lang w:val="zh-CN"/>
        </w:rPr>
        <w:t>为</w:t>
      </w:r>
      <w:r>
        <w:rPr>
          <w:rFonts w:hint="eastAsia" w:ascii="宋体" w:hAnsi="宋体" w:cs="宋体"/>
          <w:color w:val="auto"/>
          <w:sz w:val="24"/>
          <w:highlight w:val="none"/>
        </w:rPr>
        <w:t>杭州第十四中学青山湖学校多媒体教室二期建设项目【招标编号：HZZFCG-2024-067】</w:t>
      </w:r>
      <w:r>
        <w:rPr>
          <w:rFonts w:hint="eastAsia" w:ascii="宋体" w:hAnsi="宋体" w:cs="宋体"/>
          <w:color w:val="auto"/>
          <w:kern w:val="0"/>
          <w:sz w:val="24"/>
          <w:highlight w:val="none"/>
          <w:lang w:val="zh-CN"/>
        </w:rPr>
        <w:t>的中标</w:t>
      </w:r>
      <w:r>
        <w:rPr>
          <w:rFonts w:hint="eastAsia" w:ascii="宋体" w:hAnsi="宋体" w:cs="宋体"/>
          <w:color w:val="auto"/>
          <w:kern w:val="0"/>
          <w:sz w:val="24"/>
          <w:highlight w:val="none"/>
          <w:lang w:val="zh-CN"/>
        </w:rPr>
        <w:t>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0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w:t>
      </w:r>
      <w:r>
        <w:rPr>
          <w:rFonts w:hint="eastAsia" w:ascii="宋体" w:hAnsi="宋体" w:cs="宋体"/>
          <w:color w:val="auto"/>
          <w:sz w:val="24"/>
          <w:highlight w:val="none"/>
        </w:rPr>
        <w:t xml:space="preserve">参加 </w:t>
      </w:r>
      <w:r>
        <w:rPr>
          <w:rFonts w:hint="eastAsia" w:ascii="宋体" w:hAnsi="宋体" w:cs="宋体"/>
          <w:color w:val="auto"/>
          <w:sz w:val="24"/>
          <w:highlight w:val="none"/>
          <w:u w:val="single"/>
        </w:rPr>
        <w:t xml:space="preserve">杭州第十四中学青山湖学校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杭州第十四中学青山湖学校多媒体教室二期建设项目</w:t>
      </w:r>
      <w:r>
        <w:rPr>
          <w:rFonts w:hint="eastAsia" w:ascii="宋体" w:hAnsi="宋体" w:cs="宋体"/>
          <w:color w:val="auto"/>
          <w:sz w:val="24"/>
          <w:highlight w:val="none"/>
        </w:rPr>
        <w:t xml:space="preserve"> 采购活</w:t>
      </w:r>
      <w:r>
        <w:rPr>
          <w:rFonts w:hint="eastAsia" w:ascii="宋体" w:hAnsi="宋体" w:cs="宋体"/>
          <w:color w:val="auto"/>
          <w:sz w:val="24"/>
          <w:highlight w:val="none"/>
        </w:rPr>
        <w:t>动，提供的货物全部由符合政策要求的中小企业制造。相关企业（含联合体中的中小企业、签订分包意向协议的中小企业）的具体情况如下：</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 xml:space="preserve"> 智慧黑板</w:t>
      </w:r>
      <w:r>
        <w:rPr>
          <w:rFonts w:hint="eastAsia" w:cs="宋体" w:asciiTheme="minorEastAsia" w:hAnsiTheme="minorEastAsia" w:eastAsiaTheme="minorEastAsia"/>
          <w:color w:val="auto"/>
          <w:sz w:val="24"/>
          <w:highlight w:val="none"/>
        </w:rPr>
        <w:t xml:space="preserve"> ，属于 </w:t>
      </w:r>
      <w:r>
        <w:rPr>
          <w:rFonts w:hint="eastAsia" w:cs="宋体" w:asciiTheme="minorEastAsia" w:hAnsiTheme="minorEastAsia" w:eastAsiaTheme="minorEastAsia"/>
          <w:color w:val="auto"/>
          <w:sz w:val="24"/>
          <w:highlight w:val="none"/>
          <w:u w:val="single"/>
        </w:rPr>
        <w:t>工业</w:t>
      </w:r>
      <w:r>
        <w:rPr>
          <w:rFonts w:hint="eastAsia" w:cs="宋体" w:asciiTheme="minorEastAsia" w:hAnsiTheme="minorEastAsia" w:eastAsiaTheme="minorEastAsia"/>
          <w:color w:val="auto"/>
          <w:sz w:val="24"/>
          <w:highlight w:val="none"/>
        </w:rPr>
        <w:t>行业 ；制造商为</w:t>
      </w:r>
      <w:r>
        <w:rPr>
          <w:rFonts w:hint="eastAsia" w:cs="宋体" w:asciiTheme="minorEastAsia" w:hAnsiTheme="minorEastAsia" w:eastAsiaTheme="minorEastAsia"/>
          <w:color w:val="auto"/>
          <w:sz w:val="24"/>
          <w:highlight w:val="none"/>
          <w:u w:val="single"/>
        </w:rPr>
        <w:t xml:space="preserve"> （企业名称）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cs="宋体" w:asciiTheme="minorEastAsia" w:hAnsiTheme="minorEastAsia" w:eastAsiaTheme="minorEastAsia"/>
          <w:color w:val="auto"/>
          <w:sz w:val="24"/>
          <w:highlight w:val="none"/>
          <w:u w:val="single"/>
        </w:rPr>
        <w:t xml:space="preserve"> （中型企业、小型企业、微型企业）</w:t>
      </w:r>
      <w:r>
        <w:rPr>
          <w:rFonts w:cs="宋体" w:asciiTheme="minorEastAsia" w:hAnsiTheme="minorEastAsia" w:eastAsiaTheme="minorEastAsia"/>
          <w:color w:val="auto"/>
          <w:sz w:val="24"/>
          <w:highlight w:val="none"/>
        </w:rPr>
        <w:t xml:space="preserve"> ；</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u w:val="single"/>
        </w:rPr>
        <w:t>内置OPS模块</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工业</w:t>
      </w:r>
      <w:r>
        <w:rPr>
          <w:rFonts w:hint="eastAsia" w:cs="宋体" w:asciiTheme="minorEastAsia" w:hAnsiTheme="minorEastAsia" w:eastAsiaTheme="minorEastAsia"/>
          <w:color w:val="auto"/>
          <w:sz w:val="24"/>
          <w:highlight w:val="none"/>
        </w:rPr>
        <w:t>行业 ；制造商为</w:t>
      </w:r>
      <w:r>
        <w:rPr>
          <w:rFonts w:hint="eastAsia" w:cs="宋体" w:asciiTheme="minorEastAsia" w:hAnsiTheme="minorEastAsia" w:eastAsiaTheme="minorEastAsia"/>
          <w:color w:val="auto"/>
          <w:sz w:val="24"/>
          <w:highlight w:val="none"/>
          <w:u w:val="single"/>
        </w:rPr>
        <w:t xml:space="preserve"> （企业名称）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cs="宋体" w:asciiTheme="minorEastAsia" w:hAnsiTheme="minorEastAsia" w:eastAsiaTheme="minorEastAsia"/>
          <w:color w:val="auto"/>
          <w:sz w:val="24"/>
          <w:highlight w:val="none"/>
          <w:u w:val="single"/>
        </w:rPr>
        <w:t xml:space="preserve"> （中型企业、小型企业、微型企业）</w:t>
      </w:r>
      <w:r>
        <w:rPr>
          <w:rFonts w:cs="宋体" w:asciiTheme="minorEastAsia" w:hAnsiTheme="minorEastAsia" w:eastAsiaTheme="minorEastAsia"/>
          <w:color w:val="auto"/>
          <w:sz w:val="24"/>
          <w:highlight w:val="none"/>
        </w:rPr>
        <w:t xml:space="preserve"> ；</w:t>
      </w:r>
    </w:p>
    <w:p>
      <w:pPr>
        <w:pStyle w:val="712"/>
        <w:ind w:firstLine="480"/>
        <w:rPr>
          <w:rFonts w:asciiTheme="minorEastAsia" w:hAnsiTheme="minorEastAsia" w:eastAsiaTheme="minorEastAsia"/>
          <w:color w:val="auto"/>
          <w:highlight w:val="none"/>
        </w:rPr>
      </w:pPr>
      <w:r>
        <w:rPr>
          <w:rStyle w:val="83"/>
          <w:rFonts w:asciiTheme="minorEastAsia" w:hAnsiTheme="minorEastAsia" w:eastAsiaTheme="minorEastAsia"/>
          <w:color w:val="auto"/>
          <w:highlight w:val="none"/>
        </w:rPr>
        <w:t>3</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高清壁挂展台</w:t>
      </w:r>
      <w:r>
        <w:rPr>
          <w:rFonts w:hint="eastAsia" w:asciiTheme="minorEastAsia" w:hAnsiTheme="minorEastAsia" w:eastAsiaTheme="minorEastAsia"/>
          <w:color w:val="auto"/>
          <w:highlight w:val="none"/>
        </w:rPr>
        <w:t xml:space="preserve"> ，属于</w:t>
      </w:r>
      <w:r>
        <w:rPr>
          <w:rFonts w:hint="eastAsia" w:asciiTheme="minorEastAsia" w:hAnsiTheme="minorEastAsia" w:eastAsiaTheme="minorEastAsia"/>
          <w:color w:val="auto"/>
          <w:highlight w:val="none"/>
          <w:u w:val="single"/>
        </w:rPr>
        <w:t xml:space="preserve"> 工业</w:t>
      </w:r>
      <w:r>
        <w:rPr>
          <w:rFonts w:hint="eastAsia" w:asciiTheme="minorEastAsia" w:hAnsiTheme="minorEastAsia" w:eastAsiaTheme="minorEastAsia"/>
          <w:color w:val="auto"/>
          <w:highlight w:val="none"/>
        </w:rPr>
        <w:t>行业 ；制造商为</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（企业名称）</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，从业人员</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人，营业收入为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万元，资产总额为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（中型企业、小型企业、微型企业）；</w:t>
      </w:r>
    </w:p>
    <w:p>
      <w:pPr>
        <w:pStyle w:val="712"/>
        <w:ind w:firstLine="480"/>
        <w:rPr>
          <w:rFonts w:asciiTheme="minorEastAsia" w:hAnsiTheme="minorEastAsia" w:eastAsiaTheme="minorEastAsia"/>
          <w:color w:val="auto"/>
          <w:highlight w:val="none"/>
        </w:rPr>
      </w:pPr>
      <w:r>
        <w:rPr>
          <w:rStyle w:val="83"/>
          <w:rFonts w:asciiTheme="minorEastAsia" w:hAnsiTheme="minorEastAsia" w:eastAsiaTheme="minorEastAsia"/>
          <w:color w:val="auto"/>
          <w:highlight w:val="none"/>
        </w:rPr>
        <w:t>4</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无线耳麦</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工业</w:t>
      </w:r>
      <w:r>
        <w:rPr>
          <w:rFonts w:hint="eastAsia" w:asciiTheme="minorEastAsia" w:hAnsiTheme="minorEastAsia" w:eastAsiaTheme="minorEastAsia"/>
          <w:color w:val="auto"/>
          <w:highlight w:val="none"/>
        </w:rPr>
        <w:t>行业</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；制造商为</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（企业名称）</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，从业人员</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人，营业收入为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万元，资产总额为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（中型企业、小型企业、微型企业）；</w:t>
      </w:r>
    </w:p>
    <w:p>
      <w:pPr>
        <w:pStyle w:val="712"/>
        <w:ind w:firstLine="480"/>
        <w:rPr>
          <w:rFonts w:asciiTheme="minorEastAsia" w:hAnsiTheme="minorEastAsia" w:eastAsiaTheme="minorEastAsia"/>
          <w:color w:val="auto"/>
          <w:highlight w:val="none"/>
        </w:rPr>
      </w:pPr>
      <w:r>
        <w:rPr>
          <w:rStyle w:val="83"/>
          <w:rFonts w:asciiTheme="minorEastAsia" w:hAnsiTheme="minorEastAsia" w:eastAsiaTheme="minorEastAsia"/>
          <w:color w:val="auto"/>
          <w:highlight w:val="none"/>
        </w:rPr>
        <w:t>5</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一体化蓝牙音箱</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工业</w:t>
      </w:r>
      <w:r>
        <w:rPr>
          <w:rFonts w:hint="eastAsia" w:asciiTheme="minorEastAsia" w:hAnsiTheme="minorEastAsia" w:eastAsiaTheme="minorEastAsia"/>
          <w:color w:val="auto"/>
          <w:highlight w:val="none"/>
        </w:rPr>
        <w:t>行业</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；制造商为</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（企业名称）</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，从业人员</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人，营业收入为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万元，资产总额为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（中型企业、小型企业、微型企业）；</w:t>
      </w:r>
    </w:p>
    <w:p>
      <w:pPr>
        <w:pStyle w:val="712"/>
        <w:ind w:firstLine="480"/>
        <w:rPr>
          <w:rFonts w:asciiTheme="minorEastAsia" w:hAnsiTheme="minorEastAsia" w:eastAsiaTheme="minorEastAsia"/>
          <w:color w:val="auto"/>
          <w:highlight w:val="none"/>
        </w:rPr>
      </w:pPr>
      <w:r>
        <w:rPr>
          <w:rStyle w:val="83"/>
          <w:rFonts w:asciiTheme="minorEastAsia" w:hAnsiTheme="minorEastAsia" w:eastAsiaTheme="minorEastAsia"/>
          <w:color w:val="auto"/>
          <w:highlight w:val="none"/>
        </w:rPr>
        <w:t>6</w:t>
      </w:r>
      <w:r>
        <w:rPr>
          <w:rFonts w:asciiTheme="minorEastAsia" w:hAnsiTheme="minorEastAsia" w:eastAsiaTheme="minorEastAsia"/>
          <w:color w:val="auto"/>
          <w:highlight w:val="none"/>
        </w:rPr>
        <w:t>.</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绿板</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工业</w:t>
      </w:r>
      <w:r>
        <w:rPr>
          <w:rFonts w:hint="eastAsia" w:asciiTheme="minorEastAsia" w:hAnsiTheme="minorEastAsia" w:eastAsiaTheme="minorEastAsia"/>
          <w:color w:val="auto"/>
          <w:highlight w:val="none"/>
        </w:rPr>
        <w:t>行业</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；制造商为</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（企业名称）</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，从业人员</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人，营业收入为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万元，资产总额为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（中型企业、小型企业、微型企业）；</w:t>
      </w:r>
    </w:p>
    <w:p>
      <w:pPr>
        <w:pStyle w:val="712"/>
        <w:ind w:firstLine="480"/>
        <w:rPr>
          <w:rFonts w:asciiTheme="minorEastAsia" w:hAnsiTheme="minorEastAsia" w:eastAsiaTheme="minorEastAsia"/>
          <w:color w:val="auto"/>
          <w:highlight w:val="none"/>
        </w:rPr>
      </w:pPr>
      <w:r>
        <w:rPr>
          <w:rStyle w:val="83"/>
          <w:rFonts w:asciiTheme="minorEastAsia" w:hAnsiTheme="minorEastAsia" w:eastAsiaTheme="minorEastAsia"/>
          <w:color w:val="auto"/>
          <w:highlight w:val="none"/>
        </w:rPr>
        <w:t>7</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软木板</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工业</w:t>
      </w:r>
      <w:r>
        <w:rPr>
          <w:rFonts w:hint="eastAsia" w:asciiTheme="minorEastAsia" w:hAnsiTheme="minorEastAsia" w:eastAsiaTheme="minorEastAsia"/>
          <w:color w:val="auto"/>
          <w:highlight w:val="none"/>
        </w:rPr>
        <w:t>行业</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；制造商为</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u w:val="single"/>
        </w:rPr>
        <w:t>（企业名称）</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，从业人员</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人，营业收入为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万元，资产总额为</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万元，属于</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（中型企业、小型企业、微型企业）。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405" w:name="_Toc131845147"/>
    <w:bookmarkStart w:id="406" w:name="_Toc3611018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C1A37"/>
    <w:multiLevelType w:val="singleLevel"/>
    <w:tmpl w:val="862C1A37"/>
    <w:lvl w:ilvl="0" w:tentative="0">
      <w:start w:val="1"/>
      <w:numFmt w:val="decimal"/>
      <w:suff w:val="nothing"/>
      <w:lvlText w:val="%1．"/>
      <w:lvlJc w:val="left"/>
      <w:pPr>
        <w:ind w:left="0" w:firstLine="0"/>
      </w:pPr>
      <w:rPr>
        <w:rFonts w:hint="default"/>
      </w:rPr>
    </w:lvl>
  </w:abstractNum>
  <w:abstractNum w:abstractNumId="1">
    <w:nsid w:val="99D9A900"/>
    <w:multiLevelType w:val="singleLevel"/>
    <w:tmpl w:val="99D9A900"/>
    <w:lvl w:ilvl="0" w:tentative="0">
      <w:start w:val="1"/>
      <w:numFmt w:val="decimal"/>
      <w:suff w:val="nothing"/>
      <w:lvlText w:val="%1．"/>
      <w:lvlJc w:val="left"/>
      <w:pPr>
        <w:ind w:left="0" w:firstLine="0"/>
      </w:pPr>
      <w:rPr>
        <w:rFonts w:hint="default"/>
      </w:rPr>
    </w:lvl>
  </w:abstractNum>
  <w:abstractNum w:abstractNumId="2">
    <w:nsid w:val="AAB7F671"/>
    <w:multiLevelType w:val="singleLevel"/>
    <w:tmpl w:val="AAB7F671"/>
    <w:lvl w:ilvl="0" w:tentative="0">
      <w:start w:val="1"/>
      <w:numFmt w:val="decimal"/>
      <w:suff w:val="nothing"/>
      <w:lvlText w:val="%1．"/>
      <w:lvlJc w:val="left"/>
      <w:pPr>
        <w:ind w:left="0" w:firstLine="0"/>
      </w:pPr>
      <w:rPr>
        <w:rFonts w:hint="default"/>
      </w:rPr>
    </w:lvl>
  </w:abstractNum>
  <w:abstractNum w:abstractNumId="3">
    <w:nsid w:val="E87F8068"/>
    <w:multiLevelType w:val="singleLevel"/>
    <w:tmpl w:val="E87F8068"/>
    <w:lvl w:ilvl="0" w:tentative="0">
      <w:start w:val="1"/>
      <w:numFmt w:val="decimal"/>
      <w:suff w:val="nothing"/>
      <w:lvlText w:val="%1．"/>
      <w:lvlJc w:val="left"/>
      <w:pPr>
        <w:ind w:left="0" w:firstLine="0"/>
      </w:pPr>
      <w:rPr>
        <w:rFonts w:hint="default"/>
      </w:rPr>
    </w:lvl>
  </w:abstractNum>
  <w:abstractNum w:abstractNumId="4">
    <w:nsid w:val="15CC73B8"/>
    <w:multiLevelType w:val="multilevel"/>
    <w:tmpl w:val="15CC73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312783"/>
    <w:multiLevelType w:val="singleLevel"/>
    <w:tmpl w:val="32312783"/>
    <w:lvl w:ilvl="0" w:tentative="0">
      <w:start w:val="1"/>
      <w:numFmt w:val="decimal"/>
      <w:suff w:val="nothing"/>
      <w:lvlText w:val="%1．"/>
      <w:lvlJc w:val="left"/>
      <w:pPr>
        <w:ind w:left="0" w:firstLine="0"/>
      </w:pPr>
      <w:rPr>
        <w:rFonts w:hint="default"/>
      </w:rPr>
    </w:lvl>
  </w:abstractNum>
  <w:abstractNum w:abstractNumId="6">
    <w:nsid w:val="3D48BA1F"/>
    <w:multiLevelType w:val="singleLevel"/>
    <w:tmpl w:val="3D48BA1F"/>
    <w:lvl w:ilvl="0" w:tentative="0">
      <w:start w:val="1"/>
      <w:numFmt w:val="decimal"/>
      <w:suff w:val="nothing"/>
      <w:lvlText w:val="%1．"/>
      <w:lvlJc w:val="left"/>
      <w:pPr>
        <w:ind w:left="0" w:firstLine="0"/>
      </w:pPr>
      <w:rPr>
        <w:rFonts w:hint="default"/>
      </w:rPr>
    </w:lvl>
  </w:abstractNum>
  <w:abstractNum w:abstractNumId="7">
    <w:nsid w:val="4A9D8658"/>
    <w:multiLevelType w:val="singleLevel"/>
    <w:tmpl w:val="4A9D8658"/>
    <w:lvl w:ilvl="0" w:tentative="0">
      <w:start w:val="1"/>
      <w:numFmt w:val="decimal"/>
      <w:suff w:val="nothing"/>
      <w:lvlText w:val="%1．"/>
      <w:lvlJc w:val="left"/>
      <w:pPr>
        <w:ind w:left="0" w:firstLine="0"/>
      </w:pPr>
      <w:rPr>
        <w:rFonts w:hint="default"/>
      </w:rPr>
    </w:lvl>
  </w:abstractNum>
  <w:abstractNum w:abstractNumId="8">
    <w:nsid w:val="55CF84E0"/>
    <w:multiLevelType w:val="singleLevel"/>
    <w:tmpl w:val="55CF84E0"/>
    <w:lvl w:ilvl="0" w:tentative="0">
      <w:start w:val="1"/>
      <w:numFmt w:val="decimal"/>
      <w:suff w:val="nothing"/>
      <w:lvlText w:val="%1．"/>
      <w:lvlJc w:val="left"/>
      <w:pPr>
        <w:ind w:left="0" w:firstLine="0"/>
      </w:pPr>
      <w:rPr>
        <w:rFonts w:hint="default"/>
      </w:rPr>
    </w:lvl>
  </w:abstractNum>
  <w:abstractNum w:abstractNumId="9">
    <w:nsid w:val="5937F383"/>
    <w:multiLevelType w:val="singleLevel"/>
    <w:tmpl w:val="5937F383"/>
    <w:lvl w:ilvl="0" w:tentative="0">
      <w:start w:val="1"/>
      <w:numFmt w:val="decimal"/>
      <w:suff w:val="nothing"/>
      <w:lvlText w:val="%1．"/>
      <w:lvlJc w:val="left"/>
      <w:pPr>
        <w:ind w:left="0" w:firstLine="0"/>
      </w:pPr>
      <w:rPr>
        <w:rFonts w:hint="default"/>
      </w:rPr>
    </w:lvl>
  </w:abstractNum>
  <w:abstractNum w:abstractNumId="10">
    <w:nsid w:val="7571C1DE"/>
    <w:multiLevelType w:val="singleLevel"/>
    <w:tmpl w:val="7571C1DE"/>
    <w:lvl w:ilvl="0" w:tentative="0">
      <w:start w:val="1"/>
      <w:numFmt w:val="decimal"/>
      <w:suff w:val="nothing"/>
      <w:lvlText w:val="%1．"/>
      <w:lvlJc w:val="left"/>
      <w:pPr>
        <w:ind w:left="0" w:firstLine="0"/>
      </w:pPr>
      <w:rPr>
        <w:rFonts w:hint="default"/>
      </w:rPr>
    </w:lvl>
  </w:abstractNum>
  <w:num w:numId="1">
    <w:abstractNumId w:val="9"/>
  </w:num>
  <w:num w:numId="2">
    <w:abstractNumId w:val="8"/>
  </w:num>
  <w:num w:numId="3">
    <w:abstractNumId w:val="0"/>
  </w:num>
  <w:num w:numId="4">
    <w:abstractNumId w:val="10"/>
  </w:num>
  <w:num w:numId="5">
    <w:abstractNumId w:val="6"/>
  </w:num>
  <w:num w:numId="6">
    <w:abstractNumId w:val="7"/>
  </w:num>
  <w:num w:numId="7">
    <w:abstractNumId w:val="2"/>
  </w:num>
  <w:num w:numId="8">
    <w:abstractNumId w:val="3"/>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648"/>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2B6"/>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EFB"/>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43E"/>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F95"/>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47F82"/>
    <w:rsid w:val="011C32AB"/>
    <w:rsid w:val="011F6449"/>
    <w:rsid w:val="01236AFB"/>
    <w:rsid w:val="01541149"/>
    <w:rsid w:val="019F7441"/>
    <w:rsid w:val="01B37585"/>
    <w:rsid w:val="01D55165"/>
    <w:rsid w:val="01D850E1"/>
    <w:rsid w:val="01DF6BF8"/>
    <w:rsid w:val="01EC2C57"/>
    <w:rsid w:val="020531A4"/>
    <w:rsid w:val="021D1CB0"/>
    <w:rsid w:val="025F0711"/>
    <w:rsid w:val="026B2E25"/>
    <w:rsid w:val="02824D4D"/>
    <w:rsid w:val="02DC4B10"/>
    <w:rsid w:val="02DD76CE"/>
    <w:rsid w:val="02F36323"/>
    <w:rsid w:val="02F5619C"/>
    <w:rsid w:val="0326446A"/>
    <w:rsid w:val="032D5555"/>
    <w:rsid w:val="036634D2"/>
    <w:rsid w:val="036C34DA"/>
    <w:rsid w:val="0385634A"/>
    <w:rsid w:val="03BE6034"/>
    <w:rsid w:val="03DD35E4"/>
    <w:rsid w:val="03E017D2"/>
    <w:rsid w:val="04076900"/>
    <w:rsid w:val="041A5A3B"/>
    <w:rsid w:val="042311BA"/>
    <w:rsid w:val="042B157A"/>
    <w:rsid w:val="044D2C6F"/>
    <w:rsid w:val="048F763B"/>
    <w:rsid w:val="049F330E"/>
    <w:rsid w:val="04AA775C"/>
    <w:rsid w:val="04AF1889"/>
    <w:rsid w:val="04D31337"/>
    <w:rsid w:val="04F66F48"/>
    <w:rsid w:val="05251E14"/>
    <w:rsid w:val="05A16594"/>
    <w:rsid w:val="05A30D0A"/>
    <w:rsid w:val="05A7762D"/>
    <w:rsid w:val="05BD5EF8"/>
    <w:rsid w:val="05CA44E8"/>
    <w:rsid w:val="05FD666C"/>
    <w:rsid w:val="0607573C"/>
    <w:rsid w:val="060E5941"/>
    <w:rsid w:val="06110FAF"/>
    <w:rsid w:val="06145C04"/>
    <w:rsid w:val="06493CA7"/>
    <w:rsid w:val="065A6178"/>
    <w:rsid w:val="066F1CF3"/>
    <w:rsid w:val="06930BB8"/>
    <w:rsid w:val="069F3BC7"/>
    <w:rsid w:val="07245D42"/>
    <w:rsid w:val="07264C62"/>
    <w:rsid w:val="07351E35"/>
    <w:rsid w:val="074C3D3E"/>
    <w:rsid w:val="0779354C"/>
    <w:rsid w:val="08061376"/>
    <w:rsid w:val="08204893"/>
    <w:rsid w:val="082A5712"/>
    <w:rsid w:val="08326375"/>
    <w:rsid w:val="08452D77"/>
    <w:rsid w:val="084C7436"/>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077F7"/>
    <w:rsid w:val="09A92330"/>
    <w:rsid w:val="09B06B87"/>
    <w:rsid w:val="09C13146"/>
    <w:rsid w:val="09E04166"/>
    <w:rsid w:val="09F2225F"/>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F16AD"/>
    <w:rsid w:val="0C4F5747"/>
    <w:rsid w:val="0C571A41"/>
    <w:rsid w:val="0C5C1171"/>
    <w:rsid w:val="0C5E1CBC"/>
    <w:rsid w:val="0C615B50"/>
    <w:rsid w:val="0C8445DA"/>
    <w:rsid w:val="0C87121B"/>
    <w:rsid w:val="0CC007F7"/>
    <w:rsid w:val="0CC617AC"/>
    <w:rsid w:val="0CE618DF"/>
    <w:rsid w:val="0CFE707A"/>
    <w:rsid w:val="0D063BDA"/>
    <w:rsid w:val="0D08375F"/>
    <w:rsid w:val="0D184CFB"/>
    <w:rsid w:val="0D3D7C96"/>
    <w:rsid w:val="0D4A7419"/>
    <w:rsid w:val="0D533015"/>
    <w:rsid w:val="0D827401"/>
    <w:rsid w:val="0D84094E"/>
    <w:rsid w:val="0D8A00E9"/>
    <w:rsid w:val="0D8D589E"/>
    <w:rsid w:val="0DA01C73"/>
    <w:rsid w:val="0DB53CD0"/>
    <w:rsid w:val="0DD63300"/>
    <w:rsid w:val="0DF50604"/>
    <w:rsid w:val="0DF702FE"/>
    <w:rsid w:val="0E060E51"/>
    <w:rsid w:val="0E422022"/>
    <w:rsid w:val="0E4B0190"/>
    <w:rsid w:val="0E5306B0"/>
    <w:rsid w:val="0E5604B2"/>
    <w:rsid w:val="0E613E0B"/>
    <w:rsid w:val="0E6D5D79"/>
    <w:rsid w:val="0E99714E"/>
    <w:rsid w:val="0E9D0089"/>
    <w:rsid w:val="0EB803EE"/>
    <w:rsid w:val="0EF94D4B"/>
    <w:rsid w:val="0F0A3BA7"/>
    <w:rsid w:val="0F4958DC"/>
    <w:rsid w:val="0F515DF7"/>
    <w:rsid w:val="0F596BA8"/>
    <w:rsid w:val="0F6248D2"/>
    <w:rsid w:val="0F693536"/>
    <w:rsid w:val="0F7B0511"/>
    <w:rsid w:val="0F7B76D9"/>
    <w:rsid w:val="0F816ACD"/>
    <w:rsid w:val="0F9832DB"/>
    <w:rsid w:val="0FBF3FD2"/>
    <w:rsid w:val="0FBF7FF3"/>
    <w:rsid w:val="10562014"/>
    <w:rsid w:val="10646583"/>
    <w:rsid w:val="107C6D27"/>
    <w:rsid w:val="107D4B15"/>
    <w:rsid w:val="108A3C80"/>
    <w:rsid w:val="10C26171"/>
    <w:rsid w:val="10C70674"/>
    <w:rsid w:val="10F33360"/>
    <w:rsid w:val="10FC16EA"/>
    <w:rsid w:val="110F1D40"/>
    <w:rsid w:val="11160F29"/>
    <w:rsid w:val="11266F33"/>
    <w:rsid w:val="118963A1"/>
    <w:rsid w:val="11C6522A"/>
    <w:rsid w:val="11CB5870"/>
    <w:rsid w:val="11E104CC"/>
    <w:rsid w:val="11E20309"/>
    <w:rsid w:val="12255233"/>
    <w:rsid w:val="12530213"/>
    <w:rsid w:val="127723A9"/>
    <w:rsid w:val="12862074"/>
    <w:rsid w:val="12883966"/>
    <w:rsid w:val="128B14A3"/>
    <w:rsid w:val="129E45B4"/>
    <w:rsid w:val="12D81596"/>
    <w:rsid w:val="12FB2185"/>
    <w:rsid w:val="13072A44"/>
    <w:rsid w:val="135F4BE2"/>
    <w:rsid w:val="139B1A0A"/>
    <w:rsid w:val="139D25C7"/>
    <w:rsid w:val="13BF3CE4"/>
    <w:rsid w:val="13F76DF0"/>
    <w:rsid w:val="141008D8"/>
    <w:rsid w:val="14125FE6"/>
    <w:rsid w:val="143771ED"/>
    <w:rsid w:val="144B713C"/>
    <w:rsid w:val="14627FE2"/>
    <w:rsid w:val="146D271E"/>
    <w:rsid w:val="14982588"/>
    <w:rsid w:val="149A5AD9"/>
    <w:rsid w:val="14A7619D"/>
    <w:rsid w:val="14C81A92"/>
    <w:rsid w:val="150536C3"/>
    <w:rsid w:val="150C1963"/>
    <w:rsid w:val="151447A0"/>
    <w:rsid w:val="154A6454"/>
    <w:rsid w:val="15762120"/>
    <w:rsid w:val="16421E79"/>
    <w:rsid w:val="16A8729C"/>
    <w:rsid w:val="16B32D77"/>
    <w:rsid w:val="16B33777"/>
    <w:rsid w:val="16BC70A7"/>
    <w:rsid w:val="16C6339E"/>
    <w:rsid w:val="16EA17B8"/>
    <w:rsid w:val="17013AE2"/>
    <w:rsid w:val="172F2D79"/>
    <w:rsid w:val="17557BEF"/>
    <w:rsid w:val="17991F6C"/>
    <w:rsid w:val="17D349C1"/>
    <w:rsid w:val="17E05DED"/>
    <w:rsid w:val="17E94CA2"/>
    <w:rsid w:val="180E64B6"/>
    <w:rsid w:val="1830729E"/>
    <w:rsid w:val="185D11EC"/>
    <w:rsid w:val="1870062C"/>
    <w:rsid w:val="18817102"/>
    <w:rsid w:val="18830A15"/>
    <w:rsid w:val="18852B28"/>
    <w:rsid w:val="188B5321"/>
    <w:rsid w:val="18A63700"/>
    <w:rsid w:val="19121FD6"/>
    <w:rsid w:val="19145D4E"/>
    <w:rsid w:val="19575F5C"/>
    <w:rsid w:val="196071E6"/>
    <w:rsid w:val="19766A09"/>
    <w:rsid w:val="19932372"/>
    <w:rsid w:val="199B6470"/>
    <w:rsid w:val="19A20DD5"/>
    <w:rsid w:val="19AE03F1"/>
    <w:rsid w:val="1A071A03"/>
    <w:rsid w:val="1A1F16AE"/>
    <w:rsid w:val="1A3B5C77"/>
    <w:rsid w:val="1A984BAD"/>
    <w:rsid w:val="1AB772D9"/>
    <w:rsid w:val="1AB8220E"/>
    <w:rsid w:val="1AE4166C"/>
    <w:rsid w:val="1AF06CFB"/>
    <w:rsid w:val="1AF11B8D"/>
    <w:rsid w:val="1B11359C"/>
    <w:rsid w:val="1B2A271F"/>
    <w:rsid w:val="1B4D5548"/>
    <w:rsid w:val="1B530544"/>
    <w:rsid w:val="1B713184"/>
    <w:rsid w:val="1B83082F"/>
    <w:rsid w:val="1BA209CF"/>
    <w:rsid w:val="1BB4777D"/>
    <w:rsid w:val="1BD75AB8"/>
    <w:rsid w:val="1C0459C2"/>
    <w:rsid w:val="1C1B3B4A"/>
    <w:rsid w:val="1C2362A8"/>
    <w:rsid w:val="1C88086E"/>
    <w:rsid w:val="1CA32066"/>
    <w:rsid w:val="1CF814E3"/>
    <w:rsid w:val="1D266CE1"/>
    <w:rsid w:val="1D3963AF"/>
    <w:rsid w:val="1D55566A"/>
    <w:rsid w:val="1D6A673C"/>
    <w:rsid w:val="1D6E17A5"/>
    <w:rsid w:val="1D861EA4"/>
    <w:rsid w:val="1D9247AE"/>
    <w:rsid w:val="1DB567EC"/>
    <w:rsid w:val="1DF51A98"/>
    <w:rsid w:val="1E2E78B2"/>
    <w:rsid w:val="1E3D060F"/>
    <w:rsid w:val="1E3F7D2E"/>
    <w:rsid w:val="1E4134E4"/>
    <w:rsid w:val="1E5062B3"/>
    <w:rsid w:val="1E523514"/>
    <w:rsid w:val="1E714A66"/>
    <w:rsid w:val="1E802593"/>
    <w:rsid w:val="1E8B6156"/>
    <w:rsid w:val="1EA703CC"/>
    <w:rsid w:val="1EB7330C"/>
    <w:rsid w:val="1F0A0FF3"/>
    <w:rsid w:val="1F5771FF"/>
    <w:rsid w:val="1FBC7140"/>
    <w:rsid w:val="1FE868A9"/>
    <w:rsid w:val="20034907"/>
    <w:rsid w:val="20173E4B"/>
    <w:rsid w:val="20277BF5"/>
    <w:rsid w:val="203E6ACC"/>
    <w:rsid w:val="204E48BC"/>
    <w:rsid w:val="20761D66"/>
    <w:rsid w:val="208921B3"/>
    <w:rsid w:val="20973DEB"/>
    <w:rsid w:val="20B26522"/>
    <w:rsid w:val="20B44310"/>
    <w:rsid w:val="211116EB"/>
    <w:rsid w:val="216133FC"/>
    <w:rsid w:val="21871088"/>
    <w:rsid w:val="21BB6D03"/>
    <w:rsid w:val="21C1200C"/>
    <w:rsid w:val="21D56769"/>
    <w:rsid w:val="21E52EF3"/>
    <w:rsid w:val="21F52495"/>
    <w:rsid w:val="21FB5D7B"/>
    <w:rsid w:val="22015E94"/>
    <w:rsid w:val="220B1C3D"/>
    <w:rsid w:val="22160D89"/>
    <w:rsid w:val="221D1D20"/>
    <w:rsid w:val="222D1C2F"/>
    <w:rsid w:val="22334A87"/>
    <w:rsid w:val="22342FBD"/>
    <w:rsid w:val="22474405"/>
    <w:rsid w:val="22BE6801"/>
    <w:rsid w:val="233500BF"/>
    <w:rsid w:val="23377FF7"/>
    <w:rsid w:val="235002CB"/>
    <w:rsid w:val="236B425F"/>
    <w:rsid w:val="23836192"/>
    <w:rsid w:val="23901F29"/>
    <w:rsid w:val="239C0061"/>
    <w:rsid w:val="23B908A4"/>
    <w:rsid w:val="23E95BEF"/>
    <w:rsid w:val="23F252C0"/>
    <w:rsid w:val="23FD0064"/>
    <w:rsid w:val="24417C14"/>
    <w:rsid w:val="24476BBD"/>
    <w:rsid w:val="245375B0"/>
    <w:rsid w:val="24642C0A"/>
    <w:rsid w:val="24AA57B9"/>
    <w:rsid w:val="24B22173"/>
    <w:rsid w:val="24B95AD9"/>
    <w:rsid w:val="24BE24DA"/>
    <w:rsid w:val="24C70119"/>
    <w:rsid w:val="24CF5825"/>
    <w:rsid w:val="24D663E6"/>
    <w:rsid w:val="24D77F2B"/>
    <w:rsid w:val="24D82CD6"/>
    <w:rsid w:val="257C53A7"/>
    <w:rsid w:val="258B00E2"/>
    <w:rsid w:val="25A917A6"/>
    <w:rsid w:val="25BE27CC"/>
    <w:rsid w:val="25CC175F"/>
    <w:rsid w:val="25F74A5C"/>
    <w:rsid w:val="2628662C"/>
    <w:rsid w:val="262D45DE"/>
    <w:rsid w:val="266D6A9E"/>
    <w:rsid w:val="26871DC8"/>
    <w:rsid w:val="26A53EF9"/>
    <w:rsid w:val="26A94201"/>
    <w:rsid w:val="26AC274F"/>
    <w:rsid w:val="27044A29"/>
    <w:rsid w:val="271D34C8"/>
    <w:rsid w:val="276142BF"/>
    <w:rsid w:val="27783712"/>
    <w:rsid w:val="27907362"/>
    <w:rsid w:val="280671AA"/>
    <w:rsid w:val="281A7247"/>
    <w:rsid w:val="28333E1D"/>
    <w:rsid w:val="28454BD6"/>
    <w:rsid w:val="28455253"/>
    <w:rsid w:val="28551971"/>
    <w:rsid w:val="285B1C53"/>
    <w:rsid w:val="28893937"/>
    <w:rsid w:val="289F7086"/>
    <w:rsid w:val="28C32028"/>
    <w:rsid w:val="28CC490F"/>
    <w:rsid w:val="28DE40AA"/>
    <w:rsid w:val="292A6EC8"/>
    <w:rsid w:val="29345E77"/>
    <w:rsid w:val="29363ABF"/>
    <w:rsid w:val="294C65AD"/>
    <w:rsid w:val="29806583"/>
    <w:rsid w:val="298B3C4C"/>
    <w:rsid w:val="29F26D24"/>
    <w:rsid w:val="2A027E45"/>
    <w:rsid w:val="2A15033F"/>
    <w:rsid w:val="2A1662C1"/>
    <w:rsid w:val="2A1C7367"/>
    <w:rsid w:val="2A1D4C7F"/>
    <w:rsid w:val="2A2815FA"/>
    <w:rsid w:val="2A331DAD"/>
    <w:rsid w:val="2A6D6092"/>
    <w:rsid w:val="2A7D76B4"/>
    <w:rsid w:val="2B437463"/>
    <w:rsid w:val="2B6F150A"/>
    <w:rsid w:val="2B7807EE"/>
    <w:rsid w:val="2B966A97"/>
    <w:rsid w:val="2BA50BF7"/>
    <w:rsid w:val="2BAA2542"/>
    <w:rsid w:val="2BBF00EC"/>
    <w:rsid w:val="2BC37CFD"/>
    <w:rsid w:val="2BD5237F"/>
    <w:rsid w:val="2BE536CE"/>
    <w:rsid w:val="2BE758D9"/>
    <w:rsid w:val="2C09049E"/>
    <w:rsid w:val="2C0A653C"/>
    <w:rsid w:val="2C191F85"/>
    <w:rsid w:val="2C82701B"/>
    <w:rsid w:val="2CE82D6F"/>
    <w:rsid w:val="2D343236"/>
    <w:rsid w:val="2DD15014"/>
    <w:rsid w:val="2DF72DE4"/>
    <w:rsid w:val="2E0220AF"/>
    <w:rsid w:val="2E4B082A"/>
    <w:rsid w:val="2E5D4E86"/>
    <w:rsid w:val="2E5D790B"/>
    <w:rsid w:val="2E9A3C18"/>
    <w:rsid w:val="2EAE2349"/>
    <w:rsid w:val="2EBB0FEE"/>
    <w:rsid w:val="2EC63002"/>
    <w:rsid w:val="2F0A6B38"/>
    <w:rsid w:val="2F946CCB"/>
    <w:rsid w:val="2FD25781"/>
    <w:rsid w:val="2FDC745C"/>
    <w:rsid w:val="2FFD7934"/>
    <w:rsid w:val="300E12F2"/>
    <w:rsid w:val="30185CCC"/>
    <w:rsid w:val="30733ACD"/>
    <w:rsid w:val="308C3862"/>
    <w:rsid w:val="309379D8"/>
    <w:rsid w:val="30A270F7"/>
    <w:rsid w:val="30DF1478"/>
    <w:rsid w:val="30EC586F"/>
    <w:rsid w:val="317538EE"/>
    <w:rsid w:val="31933ADE"/>
    <w:rsid w:val="319824F3"/>
    <w:rsid w:val="319C6071"/>
    <w:rsid w:val="31AC537E"/>
    <w:rsid w:val="31E3679B"/>
    <w:rsid w:val="31E732FD"/>
    <w:rsid w:val="320D55D9"/>
    <w:rsid w:val="32364B30"/>
    <w:rsid w:val="324B0876"/>
    <w:rsid w:val="32517576"/>
    <w:rsid w:val="32BE5C2C"/>
    <w:rsid w:val="32FB6478"/>
    <w:rsid w:val="33263B3F"/>
    <w:rsid w:val="33462B51"/>
    <w:rsid w:val="336869F8"/>
    <w:rsid w:val="336963EB"/>
    <w:rsid w:val="33816EEB"/>
    <w:rsid w:val="33EB55CD"/>
    <w:rsid w:val="33EC4C02"/>
    <w:rsid w:val="340D2360"/>
    <w:rsid w:val="3410665D"/>
    <w:rsid w:val="34126ED7"/>
    <w:rsid w:val="34211214"/>
    <w:rsid w:val="342E63AB"/>
    <w:rsid w:val="34950E68"/>
    <w:rsid w:val="34986E94"/>
    <w:rsid w:val="34AF62C9"/>
    <w:rsid w:val="34CB4388"/>
    <w:rsid w:val="34FA6E12"/>
    <w:rsid w:val="34FD36E3"/>
    <w:rsid w:val="354D7158"/>
    <w:rsid w:val="358D5588"/>
    <w:rsid w:val="35BC70FA"/>
    <w:rsid w:val="363A3B40"/>
    <w:rsid w:val="365302AE"/>
    <w:rsid w:val="36607A0A"/>
    <w:rsid w:val="366E227C"/>
    <w:rsid w:val="366F2E0D"/>
    <w:rsid w:val="367B6A5C"/>
    <w:rsid w:val="369E361B"/>
    <w:rsid w:val="36A74ADA"/>
    <w:rsid w:val="36AD60D5"/>
    <w:rsid w:val="36B224F9"/>
    <w:rsid w:val="36EC0CC9"/>
    <w:rsid w:val="37377380"/>
    <w:rsid w:val="373F410B"/>
    <w:rsid w:val="375D116C"/>
    <w:rsid w:val="37EE7094"/>
    <w:rsid w:val="38296C89"/>
    <w:rsid w:val="383002EB"/>
    <w:rsid w:val="38586797"/>
    <w:rsid w:val="38BC0149"/>
    <w:rsid w:val="38D87D1C"/>
    <w:rsid w:val="3934169D"/>
    <w:rsid w:val="39636459"/>
    <w:rsid w:val="396B7F6C"/>
    <w:rsid w:val="398C14D9"/>
    <w:rsid w:val="39B417A9"/>
    <w:rsid w:val="39FC5695"/>
    <w:rsid w:val="3A006D8E"/>
    <w:rsid w:val="3A3651E5"/>
    <w:rsid w:val="3A744481"/>
    <w:rsid w:val="3A772A1D"/>
    <w:rsid w:val="3A8C7BEF"/>
    <w:rsid w:val="3A906246"/>
    <w:rsid w:val="3AAD5BAB"/>
    <w:rsid w:val="3B2349B7"/>
    <w:rsid w:val="3B616CFF"/>
    <w:rsid w:val="3B6259F6"/>
    <w:rsid w:val="3B7F268E"/>
    <w:rsid w:val="3B976654"/>
    <w:rsid w:val="3BC01EFC"/>
    <w:rsid w:val="3BCA786A"/>
    <w:rsid w:val="3BD31E2F"/>
    <w:rsid w:val="3BF15831"/>
    <w:rsid w:val="3C105946"/>
    <w:rsid w:val="3C471448"/>
    <w:rsid w:val="3C5F759A"/>
    <w:rsid w:val="3C6436E5"/>
    <w:rsid w:val="3C6C525A"/>
    <w:rsid w:val="3C7E335B"/>
    <w:rsid w:val="3C885F88"/>
    <w:rsid w:val="3CCE23CB"/>
    <w:rsid w:val="3CD17D17"/>
    <w:rsid w:val="3D3C7F39"/>
    <w:rsid w:val="3D440F09"/>
    <w:rsid w:val="3D4504A0"/>
    <w:rsid w:val="3D4D2D2E"/>
    <w:rsid w:val="3D8734BB"/>
    <w:rsid w:val="3D9A11D4"/>
    <w:rsid w:val="3DA16D89"/>
    <w:rsid w:val="3DA364BE"/>
    <w:rsid w:val="3DE041CB"/>
    <w:rsid w:val="3E0D48F6"/>
    <w:rsid w:val="3E1868B4"/>
    <w:rsid w:val="3E377251"/>
    <w:rsid w:val="3E3E7246"/>
    <w:rsid w:val="3E42664B"/>
    <w:rsid w:val="3E5A7334"/>
    <w:rsid w:val="3E6842C3"/>
    <w:rsid w:val="3E7B5D6B"/>
    <w:rsid w:val="3E843E66"/>
    <w:rsid w:val="3E8F51FE"/>
    <w:rsid w:val="3E926F87"/>
    <w:rsid w:val="3E9A59DE"/>
    <w:rsid w:val="3EAF4836"/>
    <w:rsid w:val="3EC33DFA"/>
    <w:rsid w:val="3EF21DDE"/>
    <w:rsid w:val="3F0264C5"/>
    <w:rsid w:val="3F060E16"/>
    <w:rsid w:val="3F1D1096"/>
    <w:rsid w:val="3F2F0234"/>
    <w:rsid w:val="3F6363FE"/>
    <w:rsid w:val="3F756B8F"/>
    <w:rsid w:val="3F95482B"/>
    <w:rsid w:val="4019356B"/>
    <w:rsid w:val="402661E4"/>
    <w:rsid w:val="40592157"/>
    <w:rsid w:val="406E1CAE"/>
    <w:rsid w:val="40A0133A"/>
    <w:rsid w:val="40BB71FC"/>
    <w:rsid w:val="40C31A53"/>
    <w:rsid w:val="40DF0D69"/>
    <w:rsid w:val="40FF545D"/>
    <w:rsid w:val="410067C8"/>
    <w:rsid w:val="418F0D2A"/>
    <w:rsid w:val="41967399"/>
    <w:rsid w:val="41D01505"/>
    <w:rsid w:val="42474939"/>
    <w:rsid w:val="424C3C57"/>
    <w:rsid w:val="42530DE6"/>
    <w:rsid w:val="42613FF3"/>
    <w:rsid w:val="42660D96"/>
    <w:rsid w:val="428667D2"/>
    <w:rsid w:val="42CD1CE0"/>
    <w:rsid w:val="42E1381E"/>
    <w:rsid w:val="42ED6459"/>
    <w:rsid w:val="42FE58DD"/>
    <w:rsid w:val="43174B3D"/>
    <w:rsid w:val="433724B6"/>
    <w:rsid w:val="434A21E9"/>
    <w:rsid w:val="434B790E"/>
    <w:rsid w:val="4360274F"/>
    <w:rsid w:val="43977AB6"/>
    <w:rsid w:val="439A302D"/>
    <w:rsid w:val="43A3342B"/>
    <w:rsid w:val="43C77C27"/>
    <w:rsid w:val="43DE09EE"/>
    <w:rsid w:val="43F565F9"/>
    <w:rsid w:val="44002FAD"/>
    <w:rsid w:val="44330ECF"/>
    <w:rsid w:val="44801C3A"/>
    <w:rsid w:val="449101DD"/>
    <w:rsid w:val="44B042CE"/>
    <w:rsid w:val="44DE1391"/>
    <w:rsid w:val="451B225C"/>
    <w:rsid w:val="452410C9"/>
    <w:rsid w:val="45317DFB"/>
    <w:rsid w:val="4535161A"/>
    <w:rsid w:val="45425A4E"/>
    <w:rsid w:val="456D3CE4"/>
    <w:rsid w:val="4579042C"/>
    <w:rsid w:val="457F0571"/>
    <w:rsid w:val="45851176"/>
    <w:rsid w:val="45C63B94"/>
    <w:rsid w:val="460E7DA5"/>
    <w:rsid w:val="46422483"/>
    <w:rsid w:val="4659254A"/>
    <w:rsid w:val="465B0637"/>
    <w:rsid w:val="465E3F0D"/>
    <w:rsid w:val="466A16E6"/>
    <w:rsid w:val="468679DC"/>
    <w:rsid w:val="46893F2B"/>
    <w:rsid w:val="46957C1F"/>
    <w:rsid w:val="46C4686E"/>
    <w:rsid w:val="47134FE8"/>
    <w:rsid w:val="472C0120"/>
    <w:rsid w:val="475C24EB"/>
    <w:rsid w:val="477B778F"/>
    <w:rsid w:val="478203EC"/>
    <w:rsid w:val="47B025FA"/>
    <w:rsid w:val="4809698F"/>
    <w:rsid w:val="4811697D"/>
    <w:rsid w:val="481B05F8"/>
    <w:rsid w:val="485C3F8A"/>
    <w:rsid w:val="487A3E25"/>
    <w:rsid w:val="487A531F"/>
    <w:rsid w:val="488B5503"/>
    <w:rsid w:val="48937E21"/>
    <w:rsid w:val="489A0361"/>
    <w:rsid w:val="48B94FF3"/>
    <w:rsid w:val="48E37AAB"/>
    <w:rsid w:val="48FD4B4C"/>
    <w:rsid w:val="490A68E0"/>
    <w:rsid w:val="491055FE"/>
    <w:rsid w:val="495F5B3E"/>
    <w:rsid w:val="496F77D7"/>
    <w:rsid w:val="497654FD"/>
    <w:rsid w:val="49B64211"/>
    <w:rsid w:val="49BA174B"/>
    <w:rsid w:val="49C8030C"/>
    <w:rsid w:val="49F6167F"/>
    <w:rsid w:val="4A064FA0"/>
    <w:rsid w:val="4A16615C"/>
    <w:rsid w:val="4A4424D7"/>
    <w:rsid w:val="4A503792"/>
    <w:rsid w:val="4A5C2802"/>
    <w:rsid w:val="4A9621B8"/>
    <w:rsid w:val="4AB82D0F"/>
    <w:rsid w:val="4ADA6548"/>
    <w:rsid w:val="4AE03433"/>
    <w:rsid w:val="4AEB7664"/>
    <w:rsid w:val="4AFD7C19"/>
    <w:rsid w:val="4B0567D1"/>
    <w:rsid w:val="4B236AAE"/>
    <w:rsid w:val="4B332D80"/>
    <w:rsid w:val="4B707271"/>
    <w:rsid w:val="4B9739F7"/>
    <w:rsid w:val="4BCD1C09"/>
    <w:rsid w:val="4BEE2503"/>
    <w:rsid w:val="4BFB6776"/>
    <w:rsid w:val="4C245A30"/>
    <w:rsid w:val="4CB6685F"/>
    <w:rsid w:val="4CC367FE"/>
    <w:rsid w:val="4CC62B8A"/>
    <w:rsid w:val="4D077F3C"/>
    <w:rsid w:val="4D123355"/>
    <w:rsid w:val="4D2A3B31"/>
    <w:rsid w:val="4D312C52"/>
    <w:rsid w:val="4D8D46D3"/>
    <w:rsid w:val="4D905305"/>
    <w:rsid w:val="4D964A72"/>
    <w:rsid w:val="4D9C1254"/>
    <w:rsid w:val="4D9C6E2F"/>
    <w:rsid w:val="4DF53699"/>
    <w:rsid w:val="4E693057"/>
    <w:rsid w:val="4E793892"/>
    <w:rsid w:val="4E800872"/>
    <w:rsid w:val="4E915170"/>
    <w:rsid w:val="4EC5306C"/>
    <w:rsid w:val="4EC569ED"/>
    <w:rsid w:val="4ED50EA1"/>
    <w:rsid w:val="4ED7026C"/>
    <w:rsid w:val="4EEC050C"/>
    <w:rsid w:val="4F104EC3"/>
    <w:rsid w:val="4F271630"/>
    <w:rsid w:val="4F47354A"/>
    <w:rsid w:val="4F911C54"/>
    <w:rsid w:val="4FB54E8E"/>
    <w:rsid w:val="4FE625E0"/>
    <w:rsid w:val="5021480F"/>
    <w:rsid w:val="50962ECB"/>
    <w:rsid w:val="50A42E38"/>
    <w:rsid w:val="50A4577F"/>
    <w:rsid w:val="50B73D1F"/>
    <w:rsid w:val="50BD5BC9"/>
    <w:rsid w:val="50C11EEE"/>
    <w:rsid w:val="50E97CFC"/>
    <w:rsid w:val="50FA4028"/>
    <w:rsid w:val="510D65B7"/>
    <w:rsid w:val="511157AB"/>
    <w:rsid w:val="51254295"/>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F270B"/>
    <w:rsid w:val="52D94AA4"/>
    <w:rsid w:val="52EA3A62"/>
    <w:rsid w:val="52F42171"/>
    <w:rsid w:val="52F50BB8"/>
    <w:rsid w:val="53097272"/>
    <w:rsid w:val="53544462"/>
    <w:rsid w:val="5397158E"/>
    <w:rsid w:val="54013861"/>
    <w:rsid w:val="54487265"/>
    <w:rsid w:val="544D6070"/>
    <w:rsid w:val="54605E1E"/>
    <w:rsid w:val="54843081"/>
    <w:rsid w:val="54B3506A"/>
    <w:rsid w:val="54CA0D16"/>
    <w:rsid w:val="54DD4057"/>
    <w:rsid w:val="54DE4E87"/>
    <w:rsid w:val="54E7490F"/>
    <w:rsid w:val="550764A4"/>
    <w:rsid w:val="550B2BF6"/>
    <w:rsid w:val="55214EB5"/>
    <w:rsid w:val="552A2BBF"/>
    <w:rsid w:val="552A4A28"/>
    <w:rsid w:val="55364EFD"/>
    <w:rsid w:val="55564A1D"/>
    <w:rsid w:val="555D4828"/>
    <w:rsid w:val="5563538C"/>
    <w:rsid w:val="557A4C8B"/>
    <w:rsid w:val="558931E1"/>
    <w:rsid w:val="55923347"/>
    <w:rsid w:val="55925180"/>
    <w:rsid w:val="55983B1B"/>
    <w:rsid w:val="55A8376B"/>
    <w:rsid w:val="55DC29B6"/>
    <w:rsid w:val="55DD4241"/>
    <w:rsid w:val="56053BDD"/>
    <w:rsid w:val="56261924"/>
    <w:rsid w:val="566B6D1E"/>
    <w:rsid w:val="566D6480"/>
    <w:rsid w:val="56A7044E"/>
    <w:rsid w:val="56AD3EC1"/>
    <w:rsid w:val="57032A2C"/>
    <w:rsid w:val="570452C9"/>
    <w:rsid w:val="570F5219"/>
    <w:rsid w:val="57566F57"/>
    <w:rsid w:val="575D12B5"/>
    <w:rsid w:val="57610A87"/>
    <w:rsid w:val="577B1140"/>
    <w:rsid w:val="577B7F21"/>
    <w:rsid w:val="577F181B"/>
    <w:rsid w:val="57921984"/>
    <w:rsid w:val="579655A5"/>
    <w:rsid w:val="579737F0"/>
    <w:rsid w:val="57A203EE"/>
    <w:rsid w:val="57AB7B30"/>
    <w:rsid w:val="57AF5251"/>
    <w:rsid w:val="57B26373"/>
    <w:rsid w:val="57B63F04"/>
    <w:rsid w:val="57CD20C2"/>
    <w:rsid w:val="57D675AB"/>
    <w:rsid w:val="57D95FDD"/>
    <w:rsid w:val="582708F3"/>
    <w:rsid w:val="586C6306"/>
    <w:rsid w:val="58917D2F"/>
    <w:rsid w:val="5894085C"/>
    <w:rsid w:val="58AE4F0C"/>
    <w:rsid w:val="58B85899"/>
    <w:rsid w:val="58E363A9"/>
    <w:rsid w:val="595E1678"/>
    <w:rsid w:val="596D5BD4"/>
    <w:rsid w:val="597E3DD8"/>
    <w:rsid w:val="59C83A10"/>
    <w:rsid w:val="59F80043"/>
    <w:rsid w:val="5A09252F"/>
    <w:rsid w:val="5A0B2778"/>
    <w:rsid w:val="5A2A7C7B"/>
    <w:rsid w:val="5A3E2560"/>
    <w:rsid w:val="5A5D3B6E"/>
    <w:rsid w:val="5A637A76"/>
    <w:rsid w:val="5A6D33BA"/>
    <w:rsid w:val="5A792B1F"/>
    <w:rsid w:val="5A8262B5"/>
    <w:rsid w:val="5A874767"/>
    <w:rsid w:val="5AA85BE2"/>
    <w:rsid w:val="5AAD6F28"/>
    <w:rsid w:val="5AD63A24"/>
    <w:rsid w:val="5AFF16B3"/>
    <w:rsid w:val="5B022F52"/>
    <w:rsid w:val="5B2E1A1D"/>
    <w:rsid w:val="5B835357"/>
    <w:rsid w:val="5B843A1C"/>
    <w:rsid w:val="5B873E3F"/>
    <w:rsid w:val="5BC528FD"/>
    <w:rsid w:val="5C02690E"/>
    <w:rsid w:val="5C196DA7"/>
    <w:rsid w:val="5C2A048C"/>
    <w:rsid w:val="5C80234E"/>
    <w:rsid w:val="5C8A680C"/>
    <w:rsid w:val="5D0C4701"/>
    <w:rsid w:val="5D0F0395"/>
    <w:rsid w:val="5D221076"/>
    <w:rsid w:val="5D235B2D"/>
    <w:rsid w:val="5D397964"/>
    <w:rsid w:val="5D535CE6"/>
    <w:rsid w:val="5D5A391C"/>
    <w:rsid w:val="5D5F10C0"/>
    <w:rsid w:val="5D891B7B"/>
    <w:rsid w:val="5DAD38EE"/>
    <w:rsid w:val="5DE16345"/>
    <w:rsid w:val="5E006862"/>
    <w:rsid w:val="5E0207B9"/>
    <w:rsid w:val="5E1834A1"/>
    <w:rsid w:val="5E261785"/>
    <w:rsid w:val="5E4A7017"/>
    <w:rsid w:val="5E4A70E9"/>
    <w:rsid w:val="5E552BBA"/>
    <w:rsid w:val="5E611C10"/>
    <w:rsid w:val="5E7A0F3F"/>
    <w:rsid w:val="5E7D126D"/>
    <w:rsid w:val="5EA52572"/>
    <w:rsid w:val="5EFC7377"/>
    <w:rsid w:val="5F061262"/>
    <w:rsid w:val="5F06174D"/>
    <w:rsid w:val="5F3A3602"/>
    <w:rsid w:val="5F45733B"/>
    <w:rsid w:val="5F6277C6"/>
    <w:rsid w:val="5F6D0B1D"/>
    <w:rsid w:val="5F8D0B82"/>
    <w:rsid w:val="5FCC5339"/>
    <w:rsid w:val="5FE34A5B"/>
    <w:rsid w:val="5FFE1E36"/>
    <w:rsid w:val="60232584"/>
    <w:rsid w:val="60732927"/>
    <w:rsid w:val="607330CE"/>
    <w:rsid w:val="60795A64"/>
    <w:rsid w:val="60825176"/>
    <w:rsid w:val="609F2AC4"/>
    <w:rsid w:val="60FA2EE8"/>
    <w:rsid w:val="61054A27"/>
    <w:rsid w:val="610A52BC"/>
    <w:rsid w:val="611D2366"/>
    <w:rsid w:val="61421856"/>
    <w:rsid w:val="615227C4"/>
    <w:rsid w:val="61524EF4"/>
    <w:rsid w:val="61654E3F"/>
    <w:rsid w:val="6182292A"/>
    <w:rsid w:val="61826B9A"/>
    <w:rsid w:val="619F7F92"/>
    <w:rsid w:val="61F94C26"/>
    <w:rsid w:val="62000E56"/>
    <w:rsid w:val="624F3E49"/>
    <w:rsid w:val="62632286"/>
    <w:rsid w:val="62885958"/>
    <w:rsid w:val="62943029"/>
    <w:rsid w:val="62960B4F"/>
    <w:rsid w:val="62B0343B"/>
    <w:rsid w:val="62F40B65"/>
    <w:rsid w:val="62FC2CFE"/>
    <w:rsid w:val="63024505"/>
    <w:rsid w:val="63202864"/>
    <w:rsid w:val="63310C18"/>
    <w:rsid w:val="635600A5"/>
    <w:rsid w:val="635B1DB5"/>
    <w:rsid w:val="63711FED"/>
    <w:rsid w:val="63880DDC"/>
    <w:rsid w:val="638D750D"/>
    <w:rsid w:val="63AC6CC0"/>
    <w:rsid w:val="63FC6D8A"/>
    <w:rsid w:val="64055776"/>
    <w:rsid w:val="64240056"/>
    <w:rsid w:val="643E143A"/>
    <w:rsid w:val="64491666"/>
    <w:rsid w:val="648B6EEF"/>
    <w:rsid w:val="64A55079"/>
    <w:rsid w:val="64C158BF"/>
    <w:rsid w:val="64CE2EAA"/>
    <w:rsid w:val="64D30F5B"/>
    <w:rsid w:val="653C3090"/>
    <w:rsid w:val="65854376"/>
    <w:rsid w:val="6586246E"/>
    <w:rsid w:val="658767BE"/>
    <w:rsid w:val="65892531"/>
    <w:rsid w:val="659770B8"/>
    <w:rsid w:val="65BB0B51"/>
    <w:rsid w:val="65F6740A"/>
    <w:rsid w:val="66195831"/>
    <w:rsid w:val="66285F62"/>
    <w:rsid w:val="662E75B1"/>
    <w:rsid w:val="66342C2E"/>
    <w:rsid w:val="663E784C"/>
    <w:rsid w:val="668B6A45"/>
    <w:rsid w:val="672F3F24"/>
    <w:rsid w:val="673E055F"/>
    <w:rsid w:val="67551CE3"/>
    <w:rsid w:val="67A22552"/>
    <w:rsid w:val="67B22DCC"/>
    <w:rsid w:val="67BE71AA"/>
    <w:rsid w:val="67D90273"/>
    <w:rsid w:val="67DB7004"/>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31305"/>
    <w:rsid w:val="69434E61"/>
    <w:rsid w:val="69627681"/>
    <w:rsid w:val="6977531D"/>
    <w:rsid w:val="69CC2BFF"/>
    <w:rsid w:val="69FD55B8"/>
    <w:rsid w:val="6A0B1C62"/>
    <w:rsid w:val="6A2406C8"/>
    <w:rsid w:val="6A6C124E"/>
    <w:rsid w:val="6A9A31A7"/>
    <w:rsid w:val="6ADE0BD1"/>
    <w:rsid w:val="6AE96859"/>
    <w:rsid w:val="6B147746"/>
    <w:rsid w:val="6B24787C"/>
    <w:rsid w:val="6B573233"/>
    <w:rsid w:val="6B5B6274"/>
    <w:rsid w:val="6B5D66AE"/>
    <w:rsid w:val="6B935D53"/>
    <w:rsid w:val="6BFC528A"/>
    <w:rsid w:val="6C196F71"/>
    <w:rsid w:val="6C226FCB"/>
    <w:rsid w:val="6C31226F"/>
    <w:rsid w:val="6C537AB1"/>
    <w:rsid w:val="6C552F0B"/>
    <w:rsid w:val="6C8C67B7"/>
    <w:rsid w:val="6C9D744C"/>
    <w:rsid w:val="6CA976D1"/>
    <w:rsid w:val="6D167928"/>
    <w:rsid w:val="6D26299B"/>
    <w:rsid w:val="6D285F68"/>
    <w:rsid w:val="6D4772EC"/>
    <w:rsid w:val="6D9078AF"/>
    <w:rsid w:val="6DAA3FEF"/>
    <w:rsid w:val="6DBE0F5A"/>
    <w:rsid w:val="6DC0172B"/>
    <w:rsid w:val="6DCB690C"/>
    <w:rsid w:val="6DD41A5B"/>
    <w:rsid w:val="6DF43C2E"/>
    <w:rsid w:val="6DF51CA3"/>
    <w:rsid w:val="6E8335BD"/>
    <w:rsid w:val="6E8E12EF"/>
    <w:rsid w:val="6E972936"/>
    <w:rsid w:val="6ED446C5"/>
    <w:rsid w:val="6F2A7D94"/>
    <w:rsid w:val="6F455D89"/>
    <w:rsid w:val="6F8331F1"/>
    <w:rsid w:val="6FAA5C3A"/>
    <w:rsid w:val="6FAE1A09"/>
    <w:rsid w:val="6FD75BF8"/>
    <w:rsid w:val="6FFF1196"/>
    <w:rsid w:val="707723D0"/>
    <w:rsid w:val="70F5661B"/>
    <w:rsid w:val="71186BD3"/>
    <w:rsid w:val="71360107"/>
    <w:rsid w:val="713B688E"/>
    <w:rsid w:val="71804EA4"/>
    <w:rsid w:val="71864485"/>
    <w:rsid w:val="71D43752"/>
    <w:rsid w:val="71F1796A"/>
    <w:rsid w:val="72154626"/>
    <w:rsid w:val="72262B5D"/>
    <w:rsid w:val="72283FF7"/>
    <w:rsid w:val="722E7212"/>
    <w:rsid w:val="723A0474"/>
    <w:rsid w:val="725923E4"/>
    <w:rsid w:val="727E0840"/>
    <w:rsid w:val="72864BF7"/>
    <w:rsid w:val="729023FC"/>
    <w:rsid w:val="72BF7C4E"/>
    <w:rsid w:val="73C0646E"/>
    <w:rsid w:val="73F73418"/>
    <w:rsid w:val="741144D9"/>
    <w:rsid w:val="742222F5"/>
    <w:rsid w:val="74476126"/>
    <w:rsid w:val="744D267A"/>
    <w:rsid w:val="74706664"/>
    <w:rsid w:val="747F3682"/>
    <w:rsid w:val="749C4185"/>
    <w:rsid w:val="75067759"/>
    <w:rsid w:val="752E6DCD"/>
    <w:rsid w:val="7530098F"/>
    <w:rsid w:val="7551380D"/>
    <w:rsid w:val="75600BE5"/>
    <w:rsid w:val="7564475C"/>
    <w:rsid w:val="7568637B"/>
    <w:rsid w:val="7583797F"/>
    <w:rsid w:val="758B5587"/>
    <w:rsid w:val="75D20F1D"/>
    <w:rsid w:val="75DA2C18"/>
    <w:rsid w:val="75F54412"/>
    <w:rsid w:val="761D08E0"/>
    <w:rsid w:val="765D347C"/>
    <w:rsid w:val="76826699"/>
    <w:rsid w:val="76C87133"/>
    <w:rsid w:val="76CD08D5"/>
    <w:rsid w:val="76D86CF7"/>
    <w:rsid w:val="76DB4B92"/>
    <w:rsid w:val="76F93003"/>
    <w:rsid w:val="77052AA4"/>
    <w:rsid w:val="77136511"/>
    <w:rsid w:val="77340A39"/>
    <w:rsid w:val="77351FD0"/>
    <w:rsid w:val="77472422"/>
    <w:rsid w:val="777F31F2"/>
    <w:rsid w:val="77D1700D"/>
    <w:rsid w:val="77EC04CC"/>
    <w:rsid w:val="780659D7"/>
    <w:rsid w:val="78775729"/>
    <w:rsid w:val="78917997"/>
    <w:rsid w:val="78A42DB0"/>
    <w:rsid w:val="78A656AB"/>
    <w:rsid w:val="78B2245C"/>
    <w:rsid w:val="78C85C21"/>
    <w:rsid w:val="78E172CC"/>
    <w:rsid w:val="78EA1D1F"/>
    <w:rsid w:val="7904172F"/>
    <w:rsid w:val="790F7E27"/>
    <w:rsid w:val="792A231A"/>
    <w:rsid w:val="79316829"/>
    <w:rsid w:val="793C296C"/>
    <w:rsid w:val="794F33AE"/>
    <w:rsid w:val="79523064"/>
    <w:rsid w:val="797E66A9"/>
    <w:rsid w:val="798518A4"/>
    <w:rsid w:val="7997722F"/>
    <w:rsid w:val="79A97383"/>
    <w:rsid w:val="79BD70A9"/>
    <w:rsid w:val="79CB0C87"/>
    <w:rsid w:val="79E27E8B"/>
    <w:rsid w:val="79F850CE"/>
    <w:rsid w:val="79FD443C"/>
    <w:rsid w:val="7A1D1975"/>
    <w:rsid w:val="7A3E5150"/>
    <w:rsid w:val="7A4670D6"/>
    <w:rsid w:val="7A534B63"/>
    <w:rsid w:val="7A615382"/>
    <w:rsid w:val="7A67303B"/>
    <w:rsid w:val="7AAB1D04"/>
    <w:rsid w:val="7ABA4368"/>
    <w:rsid w:val="7AD05746"/>
    <w:rsid w:val="7AFA5CC1"/>
    <w:rsid w:val="7B257FFD"/>
    <w:rsid w:val="7B343476"/>
    <w:rsid w:val="7B494559"/>
    <w:rsid w:val="7B5A2978"/>
    <w:rsid w:val="7B5A7E4C"/>
    <w:rsid w:val="7B667AF9"/>
    <w:rsid w:val="7B7468F8"/>
    <w:rsid w:val="7B7610C6"/>
    <w:rsid w:val="7BEE0103"/>
    <w:rsid w:val="7C0A0FE4"/>
    <w:rsid w:val="7C254906"/>
    <w:rsid w:val="7C590818"/>
    <w:rsid w:val="7C7C10F6"/>
    <w:rsid w:val="7C853BEA"/>
    <w:rsid w:val="7C881368"/>
    <w:rsid w:val="7CE27788"/>
    <w:rsid w:val="7D0C32F1"/>
    <w:rsid w:val="7D0F408D"/>
    <w:rsid w:val="7D491C6C"/>
    <w:rsid w:val="7D5429C0"/>
    <w:rsid w:val="7D6E6D43"/>
    <w:rsid w:val="7DB57A34"/>
    <w:rsid w:val="7DCC321F"/>
    <w:rsid w:val="7DE60973"/>
    <w:rsid w:val="7DEF0916"/>
    <w:rsid w:val="7E0929FF"/>
    <w:rsid w:val="7E1E5218"/>
    <w:rsid w:val="7E3231B3"/>
    <w:rsid w:val="7E492AC2"/>
    <w:rsid w:val="7E9A4E1F"/>
    <w:rsid w:val="7EA36676"/>
    <w:rsid w:val="7EA7723A"/>
    <w:rsid w:val="7EF23159"/>
    <w:rsid w:val="7EF56FBB"/>
    <w:rsid w:val="7F0768EB"/>
    <w:rsid w:val="7F143BEC"/>
    <w:rsid w:val="7F6000C3"/>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AF0D0-1878-4E3C-99D2-F8E2D061006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9606</Words>
  <Characters>54755</Characters>
  <Lines>456</Lines>
  <Paragraphs>128</Paragraphs>
  <TotalTime>41</TotalTime>
  <ScaleCrop>false</ScaleCrop>
  <LinksUpToDate>false</LinksUpToDate>
  <CharactersWithSpaces>64233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WPS_1661847895</cp:lastModifiedBy>
  <cp:lastPrinted>2021-12-27T03:06:00Z</cp:lastPrinted>
  <dcterms:modified xsi:type="dcterms:W3CDTF">2024-04-09T09:00:03Z</dcterms:modified>
  <dc:title>杭州市市民卡扩大发卡工程</dc:title>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