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cs="宋体"/>
          <w:b/>
          <w:bCs/>
          <w:color w:val="auto"/>
          <w:sz w:val="48"/>
          <w:szCs w:val="48"/>
          <w:lang w:eastAsia="zh-CN"/>
        </w:rPr>
      </w:pPr>
      <w:r>
        <w:rPr>
          <w:rFonts w:hint="eastAsia" w:ascii="宋体" w:hAnsi="宋体" w:cs="宋体"/>
          <w:b/>
          <w:bCs/>
          <w:color w:val="auto"/>
          <w:sz w:val="48"/>
          <w:szCs w:val="48"/>
          <w:lang w:eastAsia="zh-CN"/>
        </w:rPr>
        <w:t>杭州第一技师学院</w:t>
      </w: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b/>
          <w:bCs/>
          <w:color w:val="auto"/>
          <w:sz w:val="48"/>
          <w:szCs w:val="48"/>
          <w:lang w:eastAsia="zh-CN"/>
        </w:rPr>
        <w:t>物业服务采购项目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HZZFCG-2022-207(2)</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杭州第一技师学院</w:t>
      </w: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杭州市公共资源交易中心（杭州市政府采购中心）</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三</w:t>
      </w:r>
      <w:r>
        <w:rPr>
          <w:rFonts w:hint="eastAsia" w:ascii="宋体" w:hAnsi="宋体" w:cs="宋体"/>
          <w:bCs/>
          <w:color w:val="auto"/>
          <w:sz w:val="32"/>
          <w:szCs w:val="32"/>
        </w:rPr>
        <w:t>年</w:t>
      </w:r>
      <w:r>
        <w:rPr>
          <w:rFonts w:hint="eastAsia" w:ascii="宋体" w:hAnsi="宋体" w:cs="宋体"/>
          <w:bCs/>
          <w:color w:val="auto"/>
          <w:sz w:val="32"/>
          <w:szCs w:val="32"/>
          <w:lang w:eastAsia="zh-CN"/>
        </w:rPr>
        <w:t>一</w:t>
      </w:r>
      <w:r>
        <w:rPr>
          <w:rFonts w:hint="eastAsia" w:ascii="宋体" w:hAnsi="宋体" w:cs="宋体"/>
          <w:bCs/>
          <w:color w:val="auto"/>
          <w:sz w:val="32"/>
          <w:szCs w:val="32"/>
        </w:rPr>
        <w:t>月</w:t>
      </w:r>
      <w:r>
        <w:rPr>
          <w:rFonts w:hint="eastAsia" w:ascii="宋体" w:hAnsi="宋体" w:cs="宋体"/>
          <w:bCs/>
          <w:color w:val="auto"/>
          <w:sz w:val="32"/>
          <w:szCs w:val="32"/>
          <w:lang w:eastAsia="zh-CN"/>
        </w:rPr>
        <w:t>九</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4"/>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杭州第一技师学院物业服务采购项目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eastAsia="宋体" w:cs="宋体"/>
          <w:snapToGrid/>
          <w:color w:val="auto"/>
          <w:kern w:val="2"/>
          <w:sz w:val="24"/>
          <w:szCs w:val="24"/>
          <w:u w:val="single"/>
        </w:rPr>
        <w:t>202</w:t>
      </w:r>
      <w:r>
        <w:rPr>
          <w:rStyle w:val="76"/>
          <w:rFonts w:hint="eastAsia" w:ascii="宋体" w:hAnsi="宋体" w:cs="宋体"/>
          <w:snapToGrid/>
          <w:color w:val="auto"/>
          <w:kern w:val="2"/>
          <w:sz w:val="24"/>
          <w:szCs w:val="24"/>
          <w:u w:val="single"/>
          <w:lang w:val="en-US" w:eastAsia="zh-CN"/>
        </w:rPr>
        <w:t>3</w:t>
      </w:r>
      <w:r>
        <w:rPr>
          <w:rStyle w:val="76"/>
          <w:rFonts w:hint="eastAsia" w:ascii="宋体" w:hAnsi="宋体" w:eastAsia="宋体" w:cs="宋体"/>
          <w:snapToGrid/>
          <w:color w:val="auto"/>
          <w:kern w:val="2"/>
          <w:sz w:val="24"/>
          <w:szCs w:val="24"/>
          <w:u w:val="single"/>
        </w:rPr>
        <w:t>年</w:t>
      </w:r>
      <w:r>
        <w:rPr>
          <w:rStyle w:val="76"/>
          <w:rFonts w:hint="eastAsia" w:ascii="宋体" w:hAnsi="宋体" w:cs="宋体"/>
          <w:snapToGrid/>
          <w:color w:val="auto"/>
          <w:kern w:val="2"/>
          <w:sz w:val="24"/>
          <w:szCs w:val="24"/>
          <w:u w:val="single"/>
          <w:lang w:val="en-US" w:eastAsia="zh-CN"/>
        </w:rPr>
        <w:t>1</w:t>
      </w:r>
      <w:r>
        <w:rPr>
          <w:rStyle w:val="76"/>
          <w:rFonts w:hint="eastAsia" w:ascii="宋体" w:hAnsi="宋体" w:eastAsia="宋体" w:cs="宋体"/>
          <w:snapToGrid/>
          <w:color w:val="auto"/>
          <w:kern w:val="2"/>
          <w:sz w:val="24"/>
          <w:szCs w:val="24"/>
          <w:u w:val="single"/>
        </w:rPr>
        <w:t>月</w:t>
      </w:r>
      <w:r>
        <w:rPr>
          <w:rStyle w:val="76"/>
          <w:rFonts w:hint="eastAsia" w:ascii="宋体" w:hAnsi="宋体" w:cs="宋体"/>
          <w:snapToGrid/>
          <w:color w:val="auto"/>
          <w:kern w:val="2"/>
          <w:sz w:val="24"/>
          <w:szCs w:val="24"/>
          <w:u w:val="single"/>
          <w:lang w:val="en-US" w:eastAsia="zh-CN"/>
        </w:rPr>
        <w:t>30</w:t>
      </w:r>
      <w:r>
        <w:rPr>
          <w:rStyle w:val="76"/>
          <w:rFonts w:hint="eastAsia" w:ascii="宋体" w:hAnsi="宋体" w:eastAsia="宋体" w:cs="宋体"/>
          <w:snapToGrid/>
          <w:color w:val="auto"/>
          <w:kern w:val="2"/>
          <w:sz w:val="24"/>
          <w:szCs w:val="24"/>
          <w:u w:val="single"/>
        </w:rPr>
        <w:t>日</w:t>
      </w:r>
      <w:r>
        <w:rPr>
          <w:rStyle w:val="76"/>
          <w:rFonts w:hint="eastAsia" w:ascii="宋体" w:hAnsi="宋体" w:cs="宋体"/>
          <w:snapToGrid/>
          <w:color w:val="auto"/>
          <w:kern w:val="2"/>
          <w:sz w:val="24"/>
          <w:szCs w:val="24"/>
          <w:u w:val="single"/>
          <w:lang w:val="en-US" w:eastAsia="zh-CN"/>
        </w:rPr>
        <w:t>10</w:t>
      </w:r>
      <w:r>
        <w:rPr>
          <w:rStyle w:val="76"/>
          <w:rFonts w:hint="eastAsia" w:ascii="宋体" w:hAnsi="宋体" w:eastAsia="宋体" w:cs="宋体"/>
          <w:snapToGrid/>
          <w:color w:val="auto"/>
          <w:kern w:val="2"/>
          <w:sz w:val="24"/>
          <w:szCs w:val="24"/>
          <w:u w:val="single"/>
        </w:rPr>
        <w:t>点</w:t>
      </w:r>
      <w:r>
        <w:rPr>
          <w:rStyle w:val="76"/>
          <w:rFonts w:hint="eastAsia" w:ascii="宋体" w:hAnsi="宋体" w:cs="宋体"/>
          <w:snapToGrid/>
          <w:color w:val="auto"/>
          <w:kern w:val="2"/>
          <w:sz w:val="24"/>
          <w:szCs w:val="24"/>
          <w:u w:val="single"/>
          <w:lang w:val="en-US" w:eastAsia="zh-CN"/>
        </w:rPr>
        <w:t>00</w:t>
      </w:r>
      <w:r>
        <w:rPr>
          <w:rStyle w:val="76"/>
          <w:rFonts w:hint="eastAsia" w:ascii="宋体" w:hAnsi="宋体" w:eastAsia="宋体" w:cs="宋体"/>
          <w:snapToGrid/>
          <w:color w:val="auto"/>
          <w:kern w:val="2"/>
          <w:sz w:val="24"/>
          <w:szCs w:val="24"/>
          <w:u w:val="single"/>
        </w:rPr>
        <w:t>分</w:t>
      </w:r>
      <w:r>
        <w:rPr>
          <w:rStyle w:val="76"/>
          <w:rFonts w:hint="eastAsia" w:ascii="宋体" w:hAnsi="宋体" w:eastAsia="宋体" w:cs="宋体"/>
          <w:bCs/>
          <w:snapToGrid/>
          <w:color w:val="auto"/>
          <w:kern w:val="2"/>
          <w:sz w:val="24"/>
          <w:szCs w:val="24"/>
          <w:u w:val="single"/>
        </w:rPr>
        <w:t>00秒</w:t>
      </w:r>
      <w:r>
        <w:rPr>
          <w:rStyle w:val="76"/>
          <w:rFonts w:hint="eastAsia" w:ascii="宋体" w:hAnsi="宋体" w:eastAsia="宋体" w:cs="宋体"/>
          <w:bCs/>
          <w:snapToGrid/>
          <w:color w:val="auto"/>
          <w:kern w:val="2"/>
          <w:sz w:val="24"/>
          <w:szCs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HZZFCG-2022-207(2)</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杭州第一技师学院物业服务采购项目</w:t>
      </w:r>
    </w:p>
    <w:p>
      <w:pPr>
        <w:spacing w:line="360" w:lineRule="auto"/>
        <w:ind w:firstLine="480"/>
        <w:rPr>
          <w:rFonts w:hint="eastAsia" w:asciiTheme="minorEastAsia" w:hAnsiTheme="minorEastAsia" w:eastAsiaTheme="minorEastAsia"/>
          <w:b/>
          <w:color w:val="auto"/>
          <w:sz w:val="24"/>
          <w:lang w:val="en-US" w:eastAsia="zh-CN"/>
        </w:rPr>
      </w:pPr>
      <w:r>
        <w:rPr>
          <w:rFonts w:hint="eastAsia" w:ascii="宋体" w:hAnsi="宋体" w:cs="宋体"/>
          <w:b/>
          <w:color w:val="auto"/>
          <w:sz w:val="24"/>
        </w:rPr>
        <w:t>预算金额（元）：</w:t>
      </w:r>
      <w:r>
        <w:rPr>
          <w:rFonts w:hint="eastAsia" w:asciiTheme="minorEastAsia" w:hAnsiTheme="minorEastAsia" w:eastAsiaTheme="minorEastAsia"/>
          <w:b/>
          <w:color w:val="auto"/>
          <w:sz w:val="24"/>
          <w:lang w:val="en-US" w:eastAsia="zh-CN"/>
        </w:rPr>
        <w:t>6098700</w:t>
      </w:r>
    </w:p>
    <w:p>
      <w:pPr>
        <w:spacing w:line="360" w:lineRule="auto"/>
        <w:ind w:firstLine="480"/>
        <w:rPr>
          <w:rFonts w:hint="eastAsia" w:asciiTheme="minorEastAsia" w:hAnsiTheme="minorEastAsia" w:eastAsiaTheme="minorEastAsia"/>
          <w:b/>
          <w:color w:val="auto"/>
          <w:sz w:val="24"/>
          <w:highlight w:val="none"/>
          <w:lang w:val="en-US" w:eastAsia="zh-CN"/>
        </w:rPr>
      </w:pPr>
      <w:r>
        <w:rPr>
          <w:rFonts w:hint="eastAsia" w:ascii="宋体" w:hAnsi="宋体" w:cs="宋体"/>
          <w:b/>
          <w:color w:val="auto"/>
          <w:sz w:val="24"/>
        </w:rPr>
        <w:t>最高限</w:t>
      </w:r>
      <w:r>
        <w:rPr>
          <w:rFonts w:hint="eastAsia" w:ascii="宋体" w:hAnsi="宋体" w:cs="宋体"/>
          <w:b/>
          <w:color w:val="auto"/>
          <w:sz w:val="24"/>
          <w:highlight w:val="none"/>
        </w:rPr>
        <w:t>价（元）：</w:t>
      </w:r>
      <w:r>
        <w:rPr>
          <w:rFonts w:hint="eastAsia" w:asciiTheme="minorEastAsia" w:hAnsiTheme="minorEastAsia" w:eastAsiaTheme="minorEastAsia"/>
          <w:b/>
          <w:color w:val="auto"/>
          <w:sz w:val="24"/>
          <w:highlight w:val="none"/>
          <w:lang w:val="en-US" w:eastAsia="zh-CN"/>
        </w:rPr>
        <w:t>6098700</w:t>
      </w:r>
    </w:p>
    <w:p>
      <w:pPr>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bCs/>
          <w:snapToGrid/>
          <w:color w:val="auto"/>
          <w:kern w:val="2"/>
          <w:sz w:val="24"/>
          <w:szCs w:val="24"/>
          <w:highlight w:val="none"/>
          <w:lang w:eastAsia="zh-CN"/>
        </w:rPr>
        <w:t>杭州第一技师学院物业服务采购项目</w:t>
      </w:r>
      <w:r>
        <w:rPr>
          <w:rFonts w:hint="eastAsia" w:asciiTheme="minorEastAsia" w:hAnsiTheme="minorEastAsia" w:eastAsiaTheme="minorEastAsia"/>
          <w:bCs/>
          <w:snapToGrid/>
          <w:color w:val="auto"/>
          <w:kern w:val="2"/>
          <w:sz w:val="24"/>
          <w:szCs w:val="24"/>
          <w:highlight w:val="none"/>
        </w:rPr>
        <w:t>主要内容</w:t>
      </w:r>
      <w:r>
        <w:rPr>
          <w:rFonts w:hint="eastAsia" w:asciiTheme="minorEastAsia" w:hAnsiTheme="minorEastAsia" w:eastAsiaTheme="minorEastAsia"/>
          <w:b w:val="0"/>
          <w:bCs/>
          <w:snapToGrid/>
          <w:color w:val="auto"/>
          <w:kern w:val="2"/>
          <w:sz w:val="24"/>
          <w:szCs w:val="24"/>
          <w:highlight w:val="none"/>
        </w:rPr>
        <w:t>：</w:t>
      </w:r>
      <w:r>
        <w:rPr>
          <w:rFonts w:hint="eastAsia" w:ascii="宋体" w:hAnsi="宋体" w:eastAsia="宋体" w:cs="宋体"/>
          <w:b w:val="0"/>
          <w:bCs/>
          <w:color w:val="auto"/>
          <w:sz w:val="24"/>
          <w:highlight w:val="none"/>
        </w:rPr>
        <w:t>安保消控（包括传达、安保、秩序管理和消控、监控值班等）；学生公寓管理（包括公共区域清卫保洁、住校生秩序管理）；清卫保洁（包括物业范围清洁、消毒、垃圾清运与白蚁防治、垃圾收集容器配置、除“四害”等）；绿化养护（包括绿化植物日常养护和管理、原绿化区域内由于养护管理原因引起死亡的植物补种，办公室和会议室观叶植物布置，山林日常维护和防火等）；工程设备维护（包括房屋和道路日常维修维护、给排水系统维护保养维修、公共照明与综合维修、空调拆移机及维修保养、高配室值班与设备维护、广电系统维护保养等）；电梯维保维修与年检；采购人交办的其他工作等。</w:t>
      </w:r>
      <w:r>
        <w:rPr>
          <w:rFonts w:hint="eastAsia" w:asciiTheme="minorEastAsia" w:hAnsiTheme="minorEastAsia" w:eastAsiaTheme="minorEastAsia"/>
          <w:b w:val="0"/>
          <w:bCs/>
          <w:snapToGrid/>
          <w:color w:val="auto"/>
          <w:kern w:val="2"/>
          <w:sz w:val="24"/>
          <w:szCs w:val="24"/>
          <w:highlight w:val="none"/>
        </w:rPr>
        <w:t>详见招标文</w:t>
      </w:r>
      <w:r>
        <w:rPr>
          <w:rFonts w:hint="eastAsia" w:asciiTheme="minorEastAsia" w:hAnsiTheme="minorEastAsia" w:eastAsiaTheme="minorEastAsia"/>
          <w:bCs/>
          <w:snapToGrid/>
          <w:color w:val="auto"/>
          <w:kern w:val="2"/>
          <w:sz w:val="24"/>
          <w:szCs w:val="24"/>
          <w:highlight w:val="none"/>
        </w:rPr>
        <w:t>件。</w:t>
      </w:r>
    </w:p>
    <w:p>
      <w:pPr>
        <w:pStyle w:val="128"/>
        <w:ind w:firstLine="482"/>
        <w:outlineLvl w:val="2"/>
        <w:rPr>
          <w:rFonts w:asciiTheme="minorEastAsia" w:hAnsiTheme="minorEastAsia" w:eastAsiaTheme="minorEastAsia"/>
          <w:color w:val="auto"/>
          <w:highlight w:val="none"/>
        </w:rPr>
      </w:pPr>
      <w:r>
        <w:rPr>
          <w:rFonts w:hint="eastAsia" w:ascii="宋体" w:hAnsi="宋体" w:cs="宋体"/>
          <w:b/>
          <w:color w:val="auto"/>
          <w:highlight w:val="none"/>
        </w:rPr>
        <w:t>合同履约期限：</w:t>
      </w:r>
      <w:r>
        <w:rPr>
          <w:rFonts w:hint="eastAsia" w:asciiTheme="minorEastAsia" w:hAnsiTheme="minorEastAsia" w:eastAsiaTheme="minorEastAsia"/>
          <w:color w:val="auto"/>
          <w:highlight w:val="none"/>
        </w:rPr>
        <w:t>自合同</w:t>
      </w:r>
      <w:r>
        <w:rPr>
          <w:rFonts w:hint="eastAsia" w:asciiTheme="minorEastAsia" w:hAnsiTheme="minorEastAsia" w:eastAsiaTheme="minorEastAsia"/>
          <w:color w:val="auto"/>
          <w:highlight w:val="none"/>
          <w:lang w:eastAsia="zh-CN"/>
        </w:rPr>
        <w:t>生效</w:t>
      </w:r>
      <w:r>
        <w:rPr>
          <w:rFonts w:hint="eastAsia" w:asciiTheme="minorEastAsia" w:hAnsiTheme="minorEastAsia" w:eastAsiaTheme="minorEastAsia"/>
          <w:color w:val="auto"/>
          <w:highlight w:val="none"/>
        </w:rPr>
        <w:t>之日起</w:t>
      </w:r>
      <w:r>
        <w:rPr>
          <w:rFonts w:asciiTheme="minorEastAsia" w:hAnsiTheme="minorEastAsia" w:eastAsiaTheme="minorEastAsia"/>
          <w:color w:val="auto"/>
          <w:highlight w:val="none"/>
        </w:rPr>
        <w:t>202</w:t>
      </w:r>
      <w:r>
        <w:rPr>
          <w:rFonts w:hint="eastAsia" w:asciiTheme="minorEastAsia" w:hAnsiTheme="minorEastAsia" w:eastAsiaTheme="minorEastAsia"/>
          <w:color w:val="auto"/>
          <w:highlight w:val="none"/>
          <w:lang w:val="en-US" w:eastAsia="zh-CN"/>
        </w:rPr>
        <w:t>3</w:t>
      </w:r>
      <w:r>
        <w:rPr>
          <w:rFonts w:asciiTheme="minorEastAsia" w:hAnsiTheme="minorEastAsia" w:eastAsiaTheme="minorEastAsia"/>
          <w:color w:val="auto"/>
          <w:highlight w:val="none"/>
        </w:rPr>
        <w:t>年12</w:t>
      </w:r>
      <w:r>
        <w:rPr>
          <w:rFonts w:hint="eastAsia" w:asciiTheme="minorEastAsia" w:hAnsiTheme="minorEastAsia" w:eastAsiaTheme="minorEastAsia"/>
          <w:color w:val="auto"/>
          <w:highlight w:val="none"/>
        </w:rPr>
        <w:t>月</w:t>
      </w:r>
      <w:r>
        <w:rPr>
          <w:rFonts w:asciiTheme="minorEastAsia" w:hAnsiTheme="minorEastAsia" w:eastAsiaTheme="minorEastAsia"/>
          <w:color w:val="auto"/>
          <w:highlight w:val="none"/>
        </w:rPr>
        <w:t>31</w:t>
      </w:r>
      <w:r>
        <w:rPr>
          <w:rFonts w:hint="eastAsia" w:asciiTheme="minorEastAsia" w:hAnsiTheme="minorEastAsia" w:eastAsiaTheme="minorEastAsia"/>
          <w:color w:val="auto"/>
          <w:highlight w:val="none"/>
        </w:rPr>
        <w:t>日。</w:t>
      </w:r>
      <w:r>
        <w:rPr>
          <w:rFonts w:hint="eastAsia" w:cs="仿宋" w:asciiTheme="minorEastAsia" w:hAnsiTheme="minorEastAsia" w:eastAsiaTheme="minorEastAsia"/>
          <w:b/>
          <w:snapToGrid w:val="0"/>
          <w:color w:val="auto"/>
          <w:highlight w:val="none"/>
          <w:lang w:val="zh-CN"/>
        </w:rPr>
        <w:t>特别说明：202</w:t>
      </w:r>
      <w:r>
        <w:rPr>
          <w:rFonts w:hint="eastAsia" w:cs="仿宋" w:asciiTheme="minorEastAsia" w:hAnsiTheme="minorEastAsia" w:eastAsiaTheme="minorEastAsia"/>
          <w:b/>
          <w:snapToGrid w:val="0"/>
          <w:color w:val="auto"/>
          <w:highlight w:val="none"/>
          <w:lang w:val="en-US" w:eastAsia="zh-CN"/>
        </w:rPr>
        <w:t>3</w:t>
      </w:r>
      <w:r>
        <w:rPr>
          <w:rFonts w:hint="eastAsia" w:cs="仿宋" w:asciiTheme="minorEastAsia" w:hAnsiTheme="minorEastAsia" w:eastAsiaTheme="minorEastAsia"/>
          <w:b/>
          <w:snapToGrid w:val="0"/>
          <w:color w:val="auto"/>
          <w:highlight w:val="none"/>
          <w:lang w:val="zh-CN"/>
        </w:rPr>
        <w:t>年</w:t>
      </w:r>
      <w:r>
        <w:rPr>
          <w:rFonts w:hint="eastAsia" w:cs="仿宋" w:asciiTheme="minorEastAsia" w:hAnsiTheme="minorEastAsia" w:eastAsiaTheme="minorEastAsia"/>
          <w:b/>
          <w:snapToGrid w:val="0"/>
          <w:color w:val="auto"/>
          <w:highlight w:val="none"/>
          <w:lang w:val="en-US" w:eastAsia="zh-CN"/>
        </w:rPr>
        <w:t>1</w:t>
      </w:r>
      <w:r>
        <w:rPr>
          <w:rFonts w:hint="eastAsia" w:cs="仿宋" w:asciiTheme="minorEastAsia" w:hAnsiTheme="minorEastAsia" w:eastAsiaTheme="minorEastAsia"/>
          <w:b/>
          <w:snapToGrid w:val="0"/>
          <w:color w:val="auto"/>
          <w:highlight w:val="none"/>
          <w:lang w:val="zh-CN"/>
        </w:rPr>
        <w:t>月1日至合同签订之日前的空档期物业服务由原供应商承担，费用由中标人按本次中标价单日金额乘以实际服务天数，与原供应商结算</w:t>
      </w:r>
      <w:r>
        <w:rPr>
          <w:rFonts w:hint="eastAsia" w:cs="仿宋" w:asciiTheme="minorEastAsia" w:hAnsiTheme="minorEastAsia" w:eastAsiaTheme="minorEastAsia"/>
          <w:b/>
          <w:color w:val="auto"/>
          <w:highlight w:val="none"/>
        </w:rPr>
        <w:t>。</w:t>
      </w:r>
    </w:p>
    <w:p>
      <w:pPr>
        <w:pStyle w:val="5"/>
        <w:spacing w:line="360" w:lineRule="auto"/>
        <w:ind w:firstLine="480"/>
        <w:rPr>
          <w:rFonts w:hAnsi="宋体" w:cs="宋体"/>
          <w:b/>
          <w:color w:val="auto"/>
          <w:highlight w:val="none"/>
        </w:rPr>
      </w:pPr>
      <w:r>
        <w:rPr>
          <w:rFonts w:hint="eastAsia" w:hAnsi="宋体" w:cs="宋体"/>
          <w:b/>
          <w:color w:val="auto"/>
          <w:sz w:val="24"/>
        </w:rPr>
        <w:t>本项目接受联合体投</w:t>
      </w:r>
      <w:r>
        <w:rPr>
          <w:rFonts w:hint="eastAsia" w:hAnsi="宋体" w:cs="宋体"/>
          <w:b/>
          <w:color w:val="auto"/>
          <w:sz w:val="24"/>
          <w:highlight w:val="none"/>
        </w:rPr>
        <w:t>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hint="eastAsia" w:asciiTheme="minorEastAsia" w:hAnsiTheme="minorEastAsia" w:eastAsiaTheme="minorEastAsia"/>
          <w:color w:val="auto"/>
          <w:sz w:val="24"/>
          <w:lang w:eastAsia="zh-CN"/>
        </w:rPr>
      </w:pPr>
      <w:r>
        <w:rPr>
          <w:rFonts w:hint="eastAsia" w:ascii="宋体" w:hAnsi="宋体" w:cs="宋体"/>
          <w:color w:val="auto"/>
          <w:sz w:val="24"/>
        </w:rPr>
        <w:t xml:space="preserve">    </w:t>
      </w:r>
      <w:r>
        <w:rPr>
          <w:rFonts w:hint="eastAsia" w:asciiTheme="minorEastAsia" w:hAnsiTheme="minorEastAsia" w:eastAsiaTheme="minorEastAsia"/>
          <w:color w:val="auto"/>
          <w:sz w:val="24"/>
        </w:rPr>
        <w:t>名    称：</w:t>
      </w:r>
      <w:r>
        <w:rPr>
          <w:rFonts w:hint="eastAsia" w:asciiTheme="minorEastAsia" w:hAnsiTheme="minorEastAsia" w:eastAsiaTheme="minorEastAsia"/>
          <w:color w:val="auto"/>
          <w:sz w:val="24"/>
          <w:lang w:eastAsia="zh-CN"/>
        </w:rPr>
        <w:t>杭州第一技师学院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地址：杭州市西湖区西溪路719号</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真：0571-88805123</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项目联系人（询问）：金建红</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项目联系方式（询问）：0571-88835092</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eastAsia="zh-CN"/>
        </w:rPr>
        <w:t>李佳颖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质疑联系方式：0571-88835092</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称：杭州市公共资源交易中心</w:t>
      </w:r>
    </w:p>
    <w:p>
      <w:pPr>
        <w:spacing w:line="360" w:lineRule="auto"/>
        <w:ind w:firstLine="480"/>
        <w:rPr>
          <w:rFonts w:ascii="宋体" w:hAnsi="宋体" w:cs="宋体"/>
          <w:color w:val="auto"/>
          <w:sz w:val="24"/>
        </w:rPr>
      </w:pPr>
      <w:r>
        <w:rPr>
          <w:rFonts w:hint="eastAsia" w:ascii="宋体" w:hAnsi="宋体" w:cs="宋体"/>
          <w:color w:val="auto"/>
          <w:sz w:val="24"/>
        </w:rPr>
        <w:t>地    址：杭州市之江路925号（临江金座2号楼)</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eastAsia="zh-CN"/>
        </w:rPr>
        <w:t>潘颖颖</w:t>
      </w:r>
      <w:r>
        <w:rPr>
          <w:rFonts w:hint="eastAsia" w:ascii="宋体" w:hAnsi="宋体" w:cs="宋体"/>
          <w:color w:val="auto"/>
          <w:sz w:val="24"/>
        </w:rPr>
        <w:t xml:space="preserve">、张曙平          </w:t>
      </w:r>
    </w:p>
    <w:p>
      <w:pPr>
        <w:spacing w:line="360" w:lineRule="auto"/>
        <w:rPr>
          <w:rFonts w:ascii="宋体" w:hAnsi="宋体" w:cs="宋体"/>
          <w:color w:val="auto"/>
          <w:sz w:val="24"/>
        </w:rPr>
      </w:pPr>
      <w:r>
        <w:rPr>
          <w:rFonts w:hint="eastAsia" w:ascii="宋体" w:hAnsi="宋体" w:cs="宋体"/>
          <w:color w:val="auto"/>
          <w:sz w:val="24"/>
        </w:rPr>
        <w:t xml:space="preserve">    项目联系方式（询问）：0571-85085</w:t>
      </w:r>
      <w:r>
        <w:rPr>
          <w:rFonts w:hint="eastAsia" w:ascii="宋体" w:hAnsi="宋体" w:cs="宋体"/>
          <w:color w:val="auto"/>
          <w:sz w:val="24"/>
          <w:lang w:val="en-US" w:eastAsia="zh-CN"/>
        </w:rPr>
        <w:t>361</w:t>
      </w:r>
      <w:r>
        <w:rPr>
          <w:rFonts w:hint="eastAsia" w:ascii="宋体" w:hAnsi="宋体" w:cs="宋体"/>
          <w:color w:val="auto"/>
          <w:sz w:val="24"/>
        </w:rPr>
        <w:t>、85085067</w:t>
      </w:r>
    </w:p>
    <w:p>
      <w:pPr>
        <w:spacing w:line="360" w:lineRule="auto"/>
        <w:rPr>
          <w:rFonts w:ascii="宋体" w:hAnsi="宋体" w:cs="宋体"/>
          <w:color w:val="auto"/>
          <w:sz w:val="24"/>
        </w:rPr>
      </w:pPr>
      <w:r>
        <w:rPr>
          <w:rFonts w:hint="eastAsia" w:ascii="宋体" w:hAnsi="宋体" w:cs="宋体"/>
          <w:color w:val="auto"/>
          <w:sz w:val="24"/>
        </w:rPr>
        <w:t xml:space="preserve">    质疑联系人：滕菲              </w:t>
      </w:r>
    </w:p>
    <w:p>
      <w:pPr>
        <w:spacing w:line="360" w:lineRule="auto"/>
        <w:rPr>
          <w:rFonts w:ascii="宋体" w:hAnsi="宋体" w:cs="宋体"/>
          <w:color w:val="auto"/>
          <w:sz w:val="24"/>
        </w:rPr>
      </w:pPr>
      <w:r>
        <w:rPr>
          <w:rFonts w:hint="eastAsia" w:ascii="宋体" w:hAnsi="宋体" w:cs="宋体"/>
          <w:color w:val="auto"/>
          <w:sz w:val="24"/>
        </w:rPr>
        <w:t xml:space="preserve">    质疑联系方式：0571-85085388</w:t>
      </w:r>
    </w:p>
    <w:p>
      <w:pPr>
        <w:spacing w:line="360" w:lineRule="auto"/>
        <w:rPr>
          <w:rFonts w:ascii="宋体" w:hAnsi="宋体" w:cs="宋体"/>
          <w:sz w:val="24"/>
        </w:rPr>
      </w:pPr>
      <w:r>
        <w:rPr>
          <w:rFonts w:hint="eastAsia" w:ascii="宋体" w:hAnsi="宋体" w:cs="宋体"/>
          <w:color w:val="auto"/>
          <w:sz w:val="24"/>
        </w:rPr>
        <w:t xml:space="preserve">    </w:t>
      </w: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rPr>
          <w:rFonts w:ascii="宋体" w:hAnsi="宋体" w:cs="宋体"/>
          <w:sz w:val="24"/>
        </w:rPr>
      </w:pPr>
      <w:r>
        <w:rPr>
          <w:rFonts w:hint="eastAsia" w:ascii="宋体" w:hAnsi="宋体" w:cs="宋体"/>
          <w:sz w:val="24"/>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spacing w:line="360" w:lineRule="auto"/>
        <w:ind w:firstLine="480" w:firstLineChars="200"/>
        <w:rPr>
          <w:rFonts w:ascii="宋体" w:hAnsi="宋体" w:cs="宋体"/>
          <w:color w:val="auto"/>
          <w:sz w:val="24"/>
        </w:rPr>
      </w:pPr>
      <w:bookmarkStart w:id="519" w:name="_GoBack"/>
      <w:bookmarkEnd w:id="519"/>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rPr>
                <w:rFonts w:hint="eastAsia" w:ascii="宋体" w:hAnsi="宋体" w:cs="宋体" w:eastAsiaTheme="minorEastAsia"/>
                <w:color w:val="auto"/>
                <w:lang w:val="en-US" w:eastAsia="zh-CN"/>
              </w:rPr>
            </w:pPr>
            <w:r>
              <w:rPr>
                <w:rFonts w:hint="eastAsia" w:cs="Arial" w:asciiTheme="minorEastAsia" w:hAnsiTheme="minorEastAsia" w:eastAsiaTheme="minorEastAsia"/>
                <w:b w:val="0"/>
                <w:bCs w:val="0"/>
                <w:color w:val="auto"/>
                <w:kern w:val="0"/>
                <w:sz w:val="24"/>
                <w:highlight w:val="none"/>
              </w:rPr>
              <w:t>（</w:t>
            </w:r>
            <w:r>
              <w:rPr>
                <w:rFonts w:cs="Arial" w:asciiTheme="minorEastAsia" w:hAnsiTheme="minorEastAsia" w:eastAsiaTheme="minorEastAsia"/>
                <w:b w:val="0"/>
                <w:bCs w:val="0"/>
                <w:color w:val="auto"/>
                <w:kern w:val="0"/>
                <w:sz w:val="24"/>
                <w:highlight w:val="none"/>
              </w:rPr>
              <w:t>1</w:t>
            </w:r>
            <w:r>
              <w:rPr>
                <w:rFonts w:hint="eastAsia" w:cs="Arial" w:asciiTheme="minorEastAsia" w:hAnsiTheme="minorEastAsia" w:eastAsiaTheme="minorEastAsia"/>
                <w:b w:val="0"/>
                <w:bCs w:val="0"/>
                <w:color w:val="auto"/>
                <w:kern w:val="0"/>
                <w:sz w:val="24"/>
                <w:highlight w:val="none"/>
              </w:rPr>
              <w:t>）标的：</w:t>
            </w:r>
            <w:r>
              <w:rPr>
                <w:rFonts w:hint="eastAsia" w:asciiTheme="minorEastAsia" w:hAnsiTheme="minorEastAsia" w:eastAsiaTheme="minorEastAsia"/>
                <w:b w:val="0"/>
                <w:bCs w:val="0"/>
                <w:color w:val="auto"/>
                <w:sz w:val="24"/>
                <w:highlight w:val="none"/>
                <w:u w:val="single"/>
              </w:rPr>
              <w:t>物业服务</w:t>
            </w:r>
            <w:r>
              <w:rPr>
                <w:rFonts w:hint="eastAsia" w:cs="Arial" w:asciiTheme="minorEastAsia" w:hAnsiTheme="minorEastAsia" w:eastAsiaTheme="minorEastAsia"/>
                <w:b w:val="0"/>
                <w:bCs w:val="0"/>
                <w:color w:val="auto"/>
                <w:kern w:val="0"/>
                <w:sz w:val="24"/>
                <w:highlight w:val="none"/>
              </w:rPr>
              <w:t>，属于：</w:t>
            </w:r>
            <w:r>
              <w:rPr>
                <w:rFonts w:hint="eastAsia" w:asciiTheme="minorEastAsia" w:hAnsiTheme="minorEastAsia" w:eastAsiaTheme="minorEastAsia"/>
                <w:b w:val="0"/>
                <w:bCs w:val="0"/>
                <w:color w:val="auto"/>
                <w:sz w:val="24"/>
                <w:highlight w:val="none"/>
                <w:u w:val="single"/>
              </w:rPr>
              <w:t>物业管理</w:t>
            </w:r>
            <w:r>
              <w:rPr>
                <w:rFonts w:hint="eastAsia" w:cs="Arial" w:asciiTheme="minorEastAsia" w:hAnsiTheme="minorEastAsia" w:eastAsiaTheme="minorEastAsia"/>
                <w:b w:val="0"/>
                <w:bCs w:val="0"/>
                <w:color w:val="auto"/>
                <w:kern w:val="0"/>
                <w:sz w:val="24"/>
                <w:highlight w:val="none"/>
              </w:rPr>
              <w:t>行业</w:t>
            </w:r>
            <w:r>
              <w:rPr>
                <w:rFonts w:hint="eastAsia" w:cs="Arial" w:asciiTheme="minorEastAsia" w:hAnsiTheme="minorEastAsia" w:eastAsiaTheme="minorEastAsia"/>
                <w:b w:val="0"/>
                <w:bCs w:val="0"/>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垃圾清运、除四害、电梯维保、化粪池清理、消防监控维保、山林维护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杭州市公共资源交易中心4楼答疑室（讲标室）</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杭州市之江路925号临江金座2号楼1010室（杭州市公共资源交易中心政府采购处）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0571-87008103</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“采购机构”系指招标公告中载明的本项目的采购机构。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w:t>
      </w:r>
      <w:r>
        <w:rPr>
          <w:rFonts w:hint="eastAsia" w:ascii="宋体" w:hAnsi="宋体" w:cs="宋体"/>
          <w:color w:val="auto"/>
          <w:sz w:val="24"/>
          <w:highlight w:val="none"/>
        </w:rPr>
        <w:t>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highlight w:val="none"/>
        </w:rPr>
        <w:t>3.2.2 修缮、装修类项目采购建材的，采购人</w:t>
      </w:r>
      <w:r>
        <w:rPr>
          <w:rFonts w:hint="eastAsia" w:ascii="宋体" w:hAnsi="宋体" w:cs="宋体"/>
          <w:color w:val="auto"/>
          <w:sz w:val="24"/>
        </w:rPr>
        <w:t>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rPr>
      </w:pPr>
      <w:r>
        <w:rPr>
          <w:rFonts w:hint="eastAsia" w:ascii="宋体" w:hAnsi="宋体" w:cs="宋体"/>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4.1供应商询问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4.2</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4.2</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rPr>
      </w:pPr>
      <w:r>
        <w:rPr>
          <w:rFonts w:hint="eastAsia" w:hAnsi="宋体" w:cs="宋体"/>
          <w:color w:val="auto"/>
          <w:sz w:val="24"/>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4.2.3</w:t>
      </w:r>
      <w:r>
        <w:rPr>
          <w:rFonts w:hint="eastAsia" w:hAnsi="宋体" w:cs="宋体"/>
          <w:color w:val="auto"/>
          <w:sz w:val="24"/>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4.2.3.1供应商的姓名或者名称、地址、邮编、联系人及联系电话；</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4.2.3.2质疑项目的名称、编号；</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4.2.3.3具体、明确的质疑事项和与质疑事项相关的请求；</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4.2.3.4事实依据；</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4.2.3.5必要的法律依据；</w:t>
      </w:r>
    </w:p>
    <w:p>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4.2.3.6提出质疑的日期。</w:t>
      </w:r>
    </w:p>
    <w:p>
      <w:pPr>
        <w:pStyle w:val="886"/>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6"/>
        <w:shd w:val="clear" w:color="auto" w:fill="FFFFFF"/>
        <w:snapToGrid w:val="0"/>
        <w:spacing w:after="240" w:afterAutospacing="0" w:line="360" w:lineRule="auto"/>
        <w:ind w:firstLine="400"/>
        <w:contextualSpacing/>
        <w:rPr>
          <w:color w:val="auto"/>
        </w:rPr>
      </w:pPr>
      <w:r>
        <w:rPr>
          <w:rFonts w:hint="eastAsia"/>
          <w:color w:val="auto"/>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4.2</w:t>
      </w:r>
      <w:r>
        <w:rPr>
          <w:rFonts w:hint="eastAsia"/>
          <w:color w:val="auto"/>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4.2</w:t>
      </w:r>
      <w:r>
        <w:rPr>
          <w:rFonts w:hint="eastAsia"/>
          <w:color w:val="auto"/>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4.3供应商投诉</w:t>
      </w:r>
    </w:p>
    <w:p>
      <w:pPr>
        <w:pStyle w:val="886"/>
        <w:shd w:val="clear" w:color="auto" w:fill="FFFFFF"/>
        <w:snapToGrid w:val="0"/>
        <w:spacing w:after="240" w:afterAutospacing="0" w:line="360" w:lineRule="auto"/>
        <w:ind w:firstLine="400"/>
        <w:contextualSpacing/>
        <w:rPr>
          <w:color w:val="auto"/>
        </w:rPr>
      </w:pPr>
      <w:r>
        <w:rPr>
          <w:rFonts w:hint="eastAsia"/>
          <w:color w:val="auto"/>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rPr>
      </w:pPr>
      <w:r>
        <w:rPr>
          <w:rFonts w:hint="eastAsia"/>
          <w:color w:val="auto"/>
        </w:rPr>
        <w:t>4.3.</w:t>
      </w:r>
      <w:r>
        <w:rPr>
          <w:rFonts w:hint="eastAsia"/>
          <w:color w:val="auto"/>
          <w:lang w:val="zh-CN"/>
        </w:rPr>
        <w:t>2</w:t>
      </w:r>
      <w:r>
        <w:rPr>
          <w:rFonts w:hint="eastAsia"/>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rPr>
      </w:pPr>
      <w:r>
        <w:rPr>
          <w:rFonts w:hint="eastAsia"/>
          <w:color w:val="auto"/>
        </w:rPr>
        <w:t>4.3.3供应商投诉应当有明确的请求和必要的证明材料。</w:t>
      </w:r>
    </w:p>
    <w:p>
      <w:pPr>
        <w:pStyle w:val="886"/>
        <w:shd w:val="clear" w:color="auto" w:fill="FFFFFF"/>
        <w:snapToGrid w:val="0"/>
        <w:spacing w:after="240" w:afterAutospacing="0" w:line="360" w:lineRule="auto"/>
        <w:ind w:firstLine="400"/>
        <w:contextualSpacing/>
        <w:rPr>
          <w:color w:val="auto"/>
        </w:rPr>
      </w:pPr>
      <w:r>
        <w:rPr>
          <w:rFonts w:hint="eastAsia"/>
          <w:color w:val="auto"/>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886"/>
        <w:shd w:val="clear" w:color="auto" w:fill="FFFFFF"/>
        <w:snapToGrid w:val="0"/>
        <w:spacing w:after="240" w:afterAutospacing="0" w:line="360" w:lineRule="auto"/>
        <w:ind w:firstLine="400"/>
        <w:contextualSpacing/>
        <w:rPr>
          <w:color w:val="auto"/>
        </w:rPr>
      </w:pPr>
      <w:r>
        <w:rPr>
          <w:rFonts w:hint="eastAsia"/>
          <w:color w:val="auto"/>
        </w:rPr>
        <w:t>4.4在线质疑、投诉。</w:t>
      </w:r>
    </w:p>
    <w:p>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6.1已获取招标文件的潜在投标人，若有问题需要澄清，应于投标截止时间前，以书面形式向采购机构提出。</w:t>
      </w:r>
    </w:p>
    <w:p>
      <w:pPr>
        <w:pStyle w:val="128"/>
        <w:snapToGrid w:val="0"/>
        <w:spacing w:before="0"/>
        <w:ind w:firstLine="480"/>
        <w:rPr>
          <w:rFonts w:ascii="宋体" w:hAnsi="宋体" w:cs="宋体"/>
          <w:color w:val="auto"/>
        </w:rPr>
      </w:pPr>
      <w:r>
        <w:rPr>
          <w:rFonts w:hint="eastAsia" w:ascii="宋体" w:hAnsi="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rPr>
      </w:pPr>
      <w:r>
        <w:rPr>
          <w:rFonts w:hint="eastAsia" w:hAnsi="宋体" w:cs="宋体"/>
          <w:b/>
          <w:color w:val="auto"/>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rPr>
      </w:pPr>
      <w:r>
        <w:rPr>
          <w:rFonts w:hint="eastAsia" w:ascii="宋体" w:hAnsi="宋体" w:cs="宋体"/>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color w:val="auto"/>
          <w:sz w:val="24"/>
          <w:szCs w:val="24"/>
        </w:rPr>
      </w:pPr>
      <w:r>
        <w:rPr>
          <w:rFonts w:hint="eastAsia" w:hAnsi="宋体" w:cs="宋体"/>
          <w:b/>
          <w:color w:val="auto"/>
          <w:sz w:val="24"/>
          <w:szCs w:val="24"/>
        </w:rPr>
        <w:t>15.备份投标文件</w:t>
      </w:r>
    </w:p>
    <w:p>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但采购人、采购机构不强制或变相强制投标人提交备份投标文件。</w:t>
      </w:r>
    </w:p>
    <w:p>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rPr>
      </w:pPr>
    </w:p>
    <w:p>
      <w:pPr>
        <w:pStyle w:val="12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19.1开标后，采购人或采购机构将依法对投标人的资格进行审查。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19.2</w:t>
      </w:r>
      <w:r>
        <w:rPr>
          <w:rFonts w:hint="eastAsia" w:ascii="宋体" w:hAnsi="宋体" w:cs="宋体"/>
          <w:color w:val="auto"/>
          <w:sz w:val="24"/>
        </w:rPr>
        <w:t>采购人或采购机构依据法律法规和招标文件的规定，对投标人的资格进行审查。</w:t>
      </w:r>
    </w:p>
    <w:p>
      <w:pPr>
        <w:pStyle w:val="128"/>
        <w:spacing w:before="0"/>
        <w:ind w:firstLine="480"/>
        <w:rPr>
          <w:rFonts w:ascii="宋体" w:hAnsi="宋体" w:cs="宋体"/>
          <w:color w:val="auto"/>
        </w:rPr>
      </w:pPr>
      <w:r>
        <w:rPr>
          <w:rFonts w:hint="eastAsia" w:ascii="宋体" w:hAnsi="宋体" w:cs="宋体"/>
          <w:color w:val="auto"/>
          <w:kern w:val="0"/>
          <w:szCs w:val="24"/>
        </w:rPr>
        <w:t>19.3投标人未按照招标文件要求提供与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4对未通过资格审查的投标人，采购人或采购机构告知其未通过的原因。</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5合格投标人不足3家的，不再评标。</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28"/>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4"/>
        <w:spacing w:line="360" w:lineRule="auto"/>
        <w:ind w:left="479" w:hanging="479" w:hangingChars="199"/>
        <w:rPr>
          <w:rFonts w:cs="宋体"/>
          <w:b/>
          <w:color w:val="auto"/>
        </w:rPr>
      </w:pPr>
      <w:r>
        <w:rPr>
          <w:rFonts w:hint="eastAsia" w:cs="宋体"/>
          <w:b/>
          <w:color w:val="auto"/>
        </w:rPr>
        <w:t>22. 确定中标供应商</w:t>
      </w:r>
    </w:p>
    <w:p>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4"/>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rPr>
        <w:t>26. 履约保</w:t>
      </w:r>
      <w:r>
        <w:rPr>
          <w:rFonts w:hint="eastAsia" w:cs="宋体"/>
          <w:b/>
          <w:color w:val="auto"/>
          <w:highlight w:val="none"/>
        </w:rPr>
        <w:t>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2"/>
        <w:rPr>
          <w:rFonts w:ascii="宋体" w:hAnsi="宋体" w:cs="宋体"/>
          <w:color w:val="auto"/>
          <w:sz w:val="24"/>
          <w:szCs w:val="20"/>
          <w:highlight w:val="none"/>
        </w:rPr>
      </w:pPr>
      <w:r>
        <w:rPr>
          <w:rFonts w:hint="eastAsia" w:ascii="宋体" w:hAnsi="宋体" w:cs="宋体"/>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w:t>
      </w:r>
    </w:p>
    <w:p>
      <w:pPr>
        <w:pStyle w:val="2"/>
        <w:ind w:left="0" w:firstLine="480" w:firstLineChars="200"/>
        <w:rPr>
          <w:rFonts w:ascii="宋体" w:hAnsi="宋体" w:eastAsia="宋体" w:cs="宋体"/>
          <w:color w:val="auto"/>
          <w:lang w:val="en-US"/>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28"/>
        <w:snapToGrid w:val="0"/>
        <w:spacing w:before="0"/>
        <w:ind w:firstLine="0" w:firstLineChars="0"/>
        <w:rPr>
          <w:rFonts w:ascii="宋体" w:hAnsi="宋体" w:cs="宋体"/>
          <w:color w:val="auto"/>
        </w:rPr>
      </w:pPr>
      <w:r>
        <w:rPr>
          <w:rFonts w:hint="eastAsia" w:ascii="宋体" w:hAnsi="宋体" w:cs="宋体"/>
          <w:color w:val="auto"/>
        </w:rPr>
        <w:t>2</w:t>
      </w:r>
      <w:r>
        <w:rPr>
          <w:rFonts w:hint="eastAsia" w:ascii="宋体" w:hAnsi="宋体" w:cs="宋体"/>
          <w:b/>
          <w:color w:val="auto"/>
          <w:szCs w:val="24"/>
        </w:rPr>
        <w:t>7. 电子交易活动的中止。</w:t>
      </w:r>
      <w:r>
        <w:rPr>
          <w:rFonts w:hint="eastAsia" w:ascii="宋体" w:hAnsi="宋体" w:cs="宋体"/>
          <w:color w:val="auto"/>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color w:val="auto"/>
        </w:rPr>
      </w:pPr>
      <w:r>
        <w:rPr>
          <w:rFonts w:hint="eastAsia" w:ascii="宋体" w:hAnsi="宋体" w:cs="宋体"/>
          <w:color w:val="auto"/>
        </w:rPr>
        <w:t xml:space="preserve">27.1电子交易平台发生故障而无法登录访问的； </w:t>
      </w:r>
    </w:p>
    <w:p>
      <w:pPr>
        <w:pStyle w:val="128"/>
        <w:snapToGrid w:val="0"/>
        <w:spacing w:before="0"/>
        <w:ind w:firstLine="480"/>
        <w:rPr>
          <w:rFonts w:ascii="宋体" w:hAnsi="宋体" w:cs="宋体"/>
          <w:color w:val="auto"/>
        </w:rPr>
      </w:pPr>
      <w:r>
        <w:rPr>
          <w:rFonts w:hint="eastAsia" w:ascii="宋体" w:hAnsi="宋体" w:cs="宋体"/>
          <w:color w:val="auto"/>
        </w:rPr>
        <w:t>27.2电子交易平台应用或数据库出现错误，不能进行正常操作的；</w:t>
      </w:r>
    </w:p>
    <w:p>
      <w:pPr>
        <w:pStyle w:val="128"/>
        <w:snapToGrid w:val="0"/>
        <w:spacing w:before="0"/>
        <w:ind w:firstLine="480"/>
        <w:rPr>
          <w:rFonts w:ascii="宋体" w:hAnsi="宋体" w:cs="宋体"/>
          <w:color w:val="auto"/>
        </w:rPr>
      </w:pPr>
      <w:r>
        <w:rPr>
          <w:rFonts w:hint="eastAsia" w:ascii="宋体" w:hAnsi="宋体" w:cs="宋体"/>
          <w:color w:val="auto"/>
        </w:rPr>
        <w:t>27.3电子交易平台发现严重安全漏洞，有潜在泄密危险的；</w:t>
      </w:r>
    </w:p>
    <w:p>
      <w:pPr>
        <w:pStyle w:val="128"/>
        <w:snapToGrid w:val="0"/>
        <w:spacing w:before="0"/>
        <w:ind w:firstLine="480"/>
        <w:rPr>
          <w:rFonts w:ascii="宋体" w:hAnsi="宋体" w:cs="宋体"/>
          <w:color w:val="auto"/>
        </w:rPr>
      </w:pPr>
      <w:r>
        <w:rPr>
          <w:rFonts w:hint="eastAsia" w:ascii="宋体" w:hAnsi="宋体" w:cs="宋体"/>
          <w:color w:val="auto"/>
        </w:rPr>
        <w:t xml:space="preserve">27.4病毒发作导致不能进行正常操作的； </w:t>
      </w:r>
    </w:p>
    <w:p>
      <w:pPr>
        <w:pStyle w:val="128"/>
        <w:snapToGrid w:val="0"/>
        <w:spacing w:before="0"/>
        <w:ind w:firstLine="480"/>
        <w:rPr>
          <w:rFonts w:ascii="宋体" w:hAnsi="宋体" w:cs="宋体"/>
          <w:color w:val="auto"/>
        </w:rPr>
      </w:pPr>
      <w:r>
        <w:rPr>
          <w:rFonts w:hint="eastAsia" w:ascii="宋体" w:hAnsi="宋体" w:cs="宋体"/>
          <w:color w:val="auto"/>
        </w:rPr>
        <w:t>27.5其他无法保证电子交易的公平、公正和安全的情况。</w:t>
      </w:r>
    </w:p>
    <w:p>
      <w:pPr>
        <w:pStyle w:val="128"/>
        <w:snapToGrid w:val="0"/>
        <w:spacing w:before="0"/>
        <w:ind w:firstLine="0" w:firstLineChars="0"/>
        <w:rPr>
          <w:rFonts w:ascii="宋体" w:hAnsi="宋体" w:cs="宋体"/>
          <w:color w:val="auto"/>
        </w:rPr>
      </w:pPr>
      <w:r>
        <w:rPr>
          <w:rFonts w:hint="eastAsia" w:ascii="宋体" w:hAnsi="宋体" w:cs="宋体"/>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4"/>
        <w:spacing w:line="360" w:lineRule="auto"/>
        <w:ind w:firstLine="0" w:firstLineChars="0"/>
        <w:rPr>
          <w:rFonts w:cs="宋体"/>
          <w:b/>
          <w:color w:val="auto"/>
        </w:rPr>
      </w:pPr>
      <w:r>
        <w:rPr>
          <w:rFonts w:hint="eastAsia" w:cs="宋体"/>
          <w:b/>
          <w:color w:val="auto"/>
        </w:rPr>
        <w:t>29.验收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30295"/>
      <w:bookmarkEnd w:id="16"/>
      <w:bookmarkStart w:id="17" w:name="_Hlt74729768"/>
      <w:bookmarkEnd w:id="17"/>
      <w:bookmarkStart w:id="18" w:name="_Hlt75236011"/>
      <w:bookmarkEnd w:id="18"/>
      <w:bookmarkStart w:id="19" w:name="_Hlt74714665"/>
      <w:bookmarkEnd w:id="19"/>
      <w:bookmarkStart w:id="20" w:name="_Hlt68072990"/>
      <w:bookmarkEnd w:id="20"/>
      <w:bookmarkStart w:id="21" w:name="_Hlt68403820"/>
      <w:bookmarkEnd w:id="21"/>
      <w:bookmarkStart w:id="22" w:name="_Hlt68073093"/>
      <w:bookmarkEnd w:id="22"/>
      <w:bookmarkStart w:id="23" w:name="_Hlt75236290"/>
      <w:bookmarkEnd w:id="23"/>
      <w:bookmarkStart w:id="24" w:name="_Hlt68057669"/>
      <w:bookmarkEnd w:id="24"/>
      <w:bookmarkStart w:id="25" w:name="_Hlt68072998"/>
      <w:bookmarkEnd w:id="25"/>
      <w:bookmarkStart w:id="26" w:name="_Hlt74707468"/>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adjustRightInd/>
        <w:spacing w:beforeLines="50" w:afterLines="50" w:line="360" w:lineRule="auto"/>
        <w:jc w:val="left"/>
        <w:outlineLvl w:val="1"/>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属于实质性要求条款的，已用符号“▲”标明，否则属于非实质性要求。</w:t>
      </w:r>
    </w:p>
    <w:p>
      <w:pPr>
        <w:pStyle w:val="797"/>
        <w:ind w:firstLine="0" w:firstLineChars="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“★”系产品采购项目中单一产品或核心产品：</w:t>
      </w:r>
      <w:r>
        <w:rPr>
          <w:rFonts w:hint="eastAsia" w:ascii="宋体" w:hAnsi="宋体" w:eastAsia="宋体" w:cs="宋体"/>
          <w:color w:val="auto"/>
          <w:szCs w:val="24"/>
          <w:highlight w:val="none"/>
          <w:u w:val="single"/>
        </w:rPr>
        <w:t>物业管理服务。</w:t>
      </w:r>
    </w:p>
    <w:p>
      <w:pPr>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项目概况</w:t>
      </w:r>
    </w:p>
    <w:p>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杭州第一技师学院隶属于杭州市人力资源和社会保障局。学院是一所集“技工教育、职业培训、技能鉴定、竞赛集训、公共实训、就业服务”六位一体的区域服务型技工院校，系国家重点技工院校、全国职业教育先进单位、国家技能人才培育突出贡献奖获得单位、国家中等职业教育改革发展示范学院、国家级高技能人才培训基地、世界技能大赛中国集训基地、全国职工职业技能实训基地和浙江省文明单位。现开设有电气、机械、医药、园林、酒店管理和中西烹饪等技师、高级工层次的专业20余个，招收应届初中毕业生，学制分别是6年、5年和4年。在校学生4000余名，其中住校生比例占75%左右；教职工250人。</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2、杭州第一技师学院物业管理服务采购项目，服务范围含杭州第一技师学院本部、</w:t>
      </w:r>
      <w:r>
        <w:rPr>
          <w:rFonts w:hint="eastAsia" w:ascii="宋体" w:hAnsi="宋体" w:eastAsia="宋体" w:cs="宋体"/>
          <w:color w:val="auto"/>
          <w:sz w:val="24"/>
          <w:highlight w:val="none"/>
        </w:rPr>
        <w:t>莫干山路102号（立新大厦1-3层）、临安校区和教工宿舍等五处，共计建筑面积76234.19平方米。其中：</w:t>
      </w:r>
    </w:p>
    <w:p>
      <w:pPr>
        <w:spacing w:line="500" w:lineRule="exact"/>
        <w:ind w:firstLine="480"/>
        <w:rPr>
          <w:rFonts w:hint="eastAsia" w:ascii="宋体" w:hAnsi="宋体" w:eastAsia="宋体" w:cs="宋体"/>
          <w:color w:val="auto"/>
          <w:sz w:val="24"/>
        </w:rPr>
      </w:pPr>
      <w:r>
        <w:rPr>
          <w:rFonts w:hint="eastAsia" w:ascii="宋体" w:hAnsi="宋体" w:eastAsia="宋体" w:cs="宋体"/>
          <w:b/>
          <w:color w:val="auto"/>
          <w:sz w:val="24"/>
        </w:rPr>
        <w:t xml:space="preserve">学院本部 </w:t>
      </w:r>
      <w:r>
        <w:rPr>
          <w:rFonts w:hint="eastAsia" w:ascii="宋体" w:hAnsi="宋体" w:eastAsia="宋体" w:cs="宋体"/>
          <w:color w:val="auto"/>
          <w:sz w:val="24"/>
        </w:rPr>
        <w:t>位于杭州市西湖区西溪路719号，宗地面积97749平方米（146.6亩），林权面积116.2亩，其中建筑物占地面积20795平方米，公共道路、广场和室外运动场地面积39120平方米，绿地面积37834平方米。分教学区、生活区两个区域，主要建筑物有行政楼、教学楼、综合实训楼、数控实训楼、图书馆、体育馆、学生宿舍、食堂等18幢建筑物，建筑面积72086.20平方米。</w:t>
      </w:r>
    </w:p>
    <w:p>
      <w:pPr>
        <w:spacing w:line="500" w:lineRule="exact"/>
        <w:ind w:firstLine="472" w:firstLineChars="196"/>
        <w:rPr>
          <w:rFonts w:hint="eastAsia" w:ascii="宋体" w:hAnsi="宋体" w:eastAsia="宋体" w:cs="宋体"/>
          <w:color w:val="auto"/>
          <w:sz w:val="24"/>
        </w:rPr>
      </w:pPr>
      <w:r>
        <w:rPr>
          <w:rFonts w:hint="eastAsia" w:ascii="宋体" w:hAnsi="宋体" w:eastAsia="宋体" w:cs="宋体"/>
          <w:b/>
          <w:color w:val="auto"/>
          <w:sz w:val="24"/>
        </w:rPr>
        <w:t>莫干山路102号（立新大厦</w:t>
      </w:r>
      <w:r>
        <w:rPr>
          <w:rFonts w:hint="eastAsia" w:ascii="宋体" w:hAnsi="宋体" w:eastAsia="宋体" w:cs="宋体"/>
          <w:bCs/>
          <w:color w:val="auto"/>
          <w:kern w:val="0"/>
          <w:sz w:val="24"/>
        </w:rPr>
        <w:t>一、二、三层楼</w:t>
      </w:r>
      <w:r>
        <w:rPr>
          <w:rFonts w:hint="eastAsia" w:ascii="宋体" w:hAnsi="宋体" w:eastAsia="宋体" w:cs="宋体"/>
          <w:b/>
          <w:color w:val="auto"/>
          <w:sz w:val="24"/>
        </w:rPr>
        <w:t xml:space="preserve">）  </w:t>
      </w:r>
      <w:r>
        <w:rPr>
          <w:rFonts w:hint="eastAsia" w:ascii="宋体" w:hAnsi="宋体" w:eastAsia="宋体" w:cs="宋体"/>
          <w:color w:val="auto"/>
          <w:sz w:val="24"/>
        </w:rPr>
        <w:t>建筑面积 3390.34平方米。</w:t>
      </w:r>
    </w:p>
    <w:p>
      <w:pPr>
        <w:spacing w:line="500" w:lineRule="exact"/>
        <w:ind w:firstLine="480"/>
        <w:rPr>
          <w:rFonts w:hint="eastAsia" w:ascii="宋体" w:hAnsi="宋体" w:eastAsia="宋体" w:cs="宋体"/>
          <w:b/>
          <w:color w:val="auto"/>
          <w:sz w:val="24"/>
        </w:rPr>
      </w:pPr>
      <w:r>
        <w:rPr>
          <w:rFonts w:hint="eastAsia" w:ascii="宋体" w:hAnsi="宋体" w:eastAsia="宋体" w:cs="宋体"/>
          <w:b/>
          <w:color w:val="auto"/>
          <w:sz w:val="24"/>
        </w:rPr>
        <w:t xml:space="preserve">临安校区 </w:t>
      </w:r>
      <w:r>
        <w:rPr>
          <w:rFonts w:hint="eastAsia" w:ascii="宋体" w:hAnsi="宋体" w:eastAsia="宋体" w:cs="宋体"/>
          <w:color w:val="auto"/>
          <w:sz w:val="24"/>
        </w:rPr>
        <w:t>位于临安区板桥镇板桥村，规划总占地252.88亩，其中林地约115亩；规划建筑面积42702平方米。目前处于筹建阶段。</w:t>
      </w:r>
    </w:p>
    <w:p>
      <w:pPr>
        <w:spacing w:line="500" w:lineRule="exact"/>
        <w:ind w:firstLine="475" w:firstLineChars="197"/>
        <w:rPr>
          <w:rFonts w:hint="eastAsia" w:ascii="宋体" w:hAnsi="宋体" w:eastAsia="宋体" w:cs="宋体"/>
          <w:color w:val="auto"/>
          <w:sz w:val="24"/>
        </w:rPr>
      </w:pPr>
      <w:r>
        <w:rPr>
          <w:rFonts w:hint="eastAsia" w:ascii="宋体" w:hAnsi="宋体" w:eastAsia="宋体" w:cs="宋体"/>
          <w:b/>
          <w:color w:val="auto"/>
          <w:sz w:val="24"/>
        </w:rPr>
        <w:t>教工宿舍</w:t>
      </w:r>
      <w:r>
        <w:rPr>
          <w:rFonts w:hint="eastAsia" w:ascii="宋体" w:hAnsi="宋体" w:eastAsia="宋体" w:cs="宋体"/>
          <w:color w:val="auto"/>
          <w:sz w:val="24"/>
        </w:rPr>
        <w:t xml:space="preserve"> 分别位于西溪路717号（7套），东新关10幢（2套），建筑面积757.65平方米。</w:t>
      </w:r>
    </w:p>
    <w:p>
      <w:pPr>
        <w:spacing w:line="500" w:lineRule="exact"/>
        <w:ind w:firstLine="600" w:firstLineChars="250"/>
        <w:rPr>
          <w:rFonts w:hint="eastAsia" w:ascii="宋体" w:hAnsi="宋体" w:eastAsia="宋体" w:cs="宋体"/>
          <w:b/>
          <w:color w:val="auto"/>
          <w:sz w:val="24"/>
        </w:rPr>
      </w:pPr>
      <w:r>
        <w:rPr>
          <w:rFonts w:hint="eastAsia" w:ascii="宋体" w:hAnsi="宋体" w:eastAsia="宋体" w:cs="宋体"/>
          <w:color w:val="auto"/>
          <w:sz w:val="24"/>
        </w:rPr>
        <w:t>本次采购的物业管理服务主要有以下内容：</w:t>
      </w:r>
      <w:r>
        <w:rPr>
          <w:rFonts w:hint="eastAsia" w:ascii="宋体" w:hAnsi="宋体" w:eastAsia="宋体" w:cs="宋体"/>
          <w:b/>
          <w:color w:val="auto"/>
          <w:sz w:val="24"/>
        </w:rPr>
        <w:t>安保消控（包括传达、安保、秩序管理和消控、监控值班等）；学生公寓管理（包括公共区域清卫保洁、住校生秩序管理）；清卫保洁（包括物业范围清洁、消毒、垃圾清运与白蚁防治、垃圾收集容器配置、除“四害”等）；绿化养护（包括绿化植物日常养护和管理、原绿化区域内由于养护管理原因引起死亡的植物补种，办公室和会议室观叶植物布置，山林日常维护和防火等）；工程设备维护（包括房屋和道路日常维修维护、给排水系统维护保养维修、公共照明与综合维修、空调拆移机及维修保养、高配室值班与设备维护、广电系统维护保养等）；电梯维保维修与年检；采购人交办的其他工作等。</w:t>
      </w:r>
    </w:p>
    <w:p>
      <w:pPr>
        <w:snapToGrid w:val="0"/>
        <w:spacing w:line="440" w:lineRule="exact"/>
        <w:rPr>
          <w:rFonts w:hint="eastAsia" w:ascii="宋体" w:hAnsi="宋体" w:eastAsia="宋体" w:cs="宋体"/>
          <w:b/>
          <w:color w:val="auto"/>
          <w:sz w:val="24"/>
        </w:rPr>
      </w:pPr>
      <w:r>
        <w:rPr>
          <w:rFonts w:hint="eastAsia" w:ascii="宋体" w:hAnsi="宋体" w:eastAsia="宋体" w:cs="宋体"/>
          <w:b/>
          <w:color w:val="auto"/>
          <w:sz w:val="24"/>
        </w:rPr>
        <w:t>建筑物建筑面积统计</w:t>
      </w:r>
    </w:p>
    <w:p>
      <w:pPr>
        <w:snapToGrid w:val="0"/>
        <w:spacing w:line="440" w:lineRule="exact"/>
        <w:jc w:val="center"/>
        <w:rPr>
          <w:rFonts w:hint="eastAsia" w:ascii="宋体" w:hAnsi="宋体" w:eastAsia="宋体" w:cs="宋体"/>
          <w:b/>
          <w:color w:val="auto"/>
          <w:sz w:val="24"/>
        </w:rPr>
      </w:pPr>
      <w:r>
        <w:rPr>
          <w:rFonts w:hint="eastAsia" w:ascii="宋体" w:hAnsi="宋体" w:eastAsia="宋体" w:cs="宋体"/>
          <w:b/>
          <w:color w:val="auto"/>
          <w:sz w:val="24"/>
        </w:rPr>
        <w:t xml:space="preserve">                                               单位：平方米</w:t>
      </w:r>
    </w:p>
    <w:tbl>
      <w:tblPr>
        <w:tblStyle w:val="62"/>
        <w:tblW w:w="8314" w:type="dxa"/>
        <w:tblInd w:w="8" w:type="dxa"/>
        <w:tblLayout w:type="fixed"/>
        <w:tblCellMar>
          <w:top w:w="0" w:type="dxa"/>
          <w:left w:w="0" w:type="dxa"/>
          <w:bottom w:w="0" w:type="dxa"/>
          <w:right w:w="0" w:type="dxa"/>
        </w:tblCellMar>
      </w:tblPr>
      <w:tblGrid>
        <w:gridCol w:w="4987"/>
        <w:gridCol w:w="3327"/>
      </w:tblGrid>
      <w:tr>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bookmarkStart w:id="28" w:name="_Toc374201520"/>
            <w:r>
              <w:rPr>
                <w:rFonts w:hint="eastAsia" w:ascii="宋体" w:hAnsi="宋体" w:eastAsia="宋体" w:cs="宋体"/>
                <w:color w:val="auto"/>
                <w:sz w:val="24"/>
              </w:rPr>
              <w:t>名    称</w:t>
            </w:r>
          </w:p>
        </w:tc>
        <w:tc>
          <w:tcPr>
            <w:tcW w:w="332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建筑面积（平方米）</w:t>
            </w:r>
          </w:p>
        </w:tc>
      </w:tr>
      <w:tr>
        <w:tblPrEx>
          <w:tblCellMar>
            <w:top w:w="0" w:type="dxa"/>
            <w:left w:w="0" w:type="dxa"/>
            <w:bottom w:w="0" w:type="dxa"/>
            <w:right w:w="0" w:type="dxa"/>
          </w:tblCellMar>
        </w:tblPrEx>
        <w:trPr>
          <w:trHeight w:val="469" w:hRule="atLeast"/>
        </w:trPr>
        <w:tc>
          <w:tcPr>
            <w:tcW w:w="4987" w:type="dxa"/>
            <w:tcBorders>
              <w:top w:val="single" w:color="auto" w:sz="6" w:space="0"/>
              <w:left w:val="single" w:color="auto" w:sz="6" w:space="0"/>
              <w:bottom w:val="single" w:color="auto" w:sz="4"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教学楼（3幢，4层）</w:t>
            </w:r>
          </w:p>
        </w:tc>
        <w:tc>
          <w:tcPr>
            <w:tcW w:w="3327" w:type="dxa"/>
            <w:tcBorders>
              <w:top w:val="single" w:color="auto" w:sz="6" w:space="0"/>
              <w:left w:val="single" w:color="auto" w:sz="6" w:space="0"/>
              <w:bottom w:val="single" w:color="auto" w:sz="4" w:space="0"/>
              <w:right w:val="single" w:color="auto" w:sz="6"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14232.70</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综合实训楼（1幢，4层）</w:t>
            </w:r>
          </w:p>
        </w:tc>
        <w:tc>
          <w:tcPr>
            <w:tcW w:w="3327" w:type="dxa"/>
            <w:tcBorders>
              <w:top w:val="single" w:color="auto" w:sz="6" w:space="0"/>
              <w:left w:val="single" w:color="auto" w:sz="6" w:space="0"/>
              <w:bottom w:val="single" w:color="auto" w:sz="4" w:space="0"/>
              <w:right w:val="single" w:color="auto" w:sz="6"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15715.59</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图书馆（1幢，4层）</w:t>
            </w:r>
          </w:p>
        </w:tc>
        <w:tc>
          <w:tcPr>
            <w:tcW w:w="3327" w:type="dxa"/>
            <w:tcBorders>
              <w:top w:val="single" w:color="auto" w:sz="4"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5976.32</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行政楼（1幢，4层）</w:t>
            </w:r>
          </w:p>
        </w:tc>
        <w:tc>
          <w:tcPr>
            <w:tcW w:w="3327"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4189.75</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体育馆（1幢，3层）</w:t>
            </w:r>
          </w:p>
        </w:tc>
        <w:tc>
          <w:tcPr>
            <w:tcW w:w="3327"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5291.88</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数控实训楼（1幢，3层）</w:t>
            </w:r>
          </w:p>
        </w:tc>
        <w:tc>
          <w:tcPr>
            <w:tcW w:w="3327"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2163.81</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学生宿舍（6幢，4层）</w:t>
            </w:r>
          </w:p>
        </w:tc>
        <w:tc>
          <w:tcPr>
            <w:tcW w:w="3327"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15783.09</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教工宿舍（两处，9间）</w:t>
            </w:r>
          </w:p>
        </w:tc>
        <w:tc>
          <w:tcPr>
            <w:tcW w:w="3327"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757.65</w:t>
            </w:r>
          </w:p>
        </w:tc>
      </w:tr>
      <w:tr>
        <w:tblPrEx>
          <w:tblCellMar>
            <w:top w:w="0" w:type="dxa"/>
            <w:left w:w="0" w:type="dxa"/>
            <w:bottom w:w="0" w:type="dxa"/>
            <w:right w:w="0" w:type="dxa"/>
          </w:tblCellMar>
        </w:tblPrEx>
        <w:trPr>
          <w:trHeight w:val="469"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食堂（1幢，4层）</w:t>
            </w:r>
          </w:p>
        </w:tc>
        <w:tc>
          <w:tcPr>
            <w:tcW w:w="3327" w:type="dxa"/>
            <w:tcBorders>
              <w:top w:val="single" w:color="auto" w:sz="6" w:space="0"/>
              <w:left w:val="single" w:color="auto" w:sz="6" w:space="0"/>
              <w:bottom w:val="single" w:color="auto" w:sz="6" w:space="0"/>
              <w:right w:val="single" w:color="auto" w:sz="4"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7756.09</w:t>
            </w:r>
          </w:p>
        </w:tc>
      </w:tr>
      <w:tr>
        <w:tblPrEx>
          <w:tblCellMar>
            <w:top w:w="0" w:type="dxa"/>
            <w:left w:w="0" w:type="dxa"/>
            <w:bottom w:w="0" w:type="dxa"/>
            <w:right w:w="0" w:type="dxa"/>
          </w:tblCellMar>
        </w:tblPrEx>
        <w:trPr>
          <w:trHeight w:val="469"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传达室（2个，1层）</w:t>
            </w:r>
          </w:p>
        </w:tc>
        <w:tc>
          <w:tcPr>
            <w:tcW w:w="3327" w:type="dxa"/>
            <w:tcBorders>
              <w:top w:val="single" w:color="auto" w:sz="6" w:space="0"/>
              <w:left w:val="single" w:color="auto" w:sz="6" w:space="0"/>
              <w:bottom w:val="single" w:color="auto" w:sz="6" w:space="0"/>
              <w:right w:val="single" w:color="auto" w:sz="4"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55.96</w:t>
            </w:r>
          </w:p>
        </w:tc>
      </w:tr>
      <w:tr>
        <w:tblPrEx>
          <w:tblCellMar>
            <w:top w:w="0" w:type="dxa"/>
            <w:left w:w="0" w:type="dxa"/>
            <w:bottom w:w="0" w:type="dxa"/>
            <w:right w:w="0" w:type="dxa"/>
          </w:tblCellMar>
        </w:tblPrEx>
        <w:trPr>
          <w:trHeight w:val="469"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田径场看台</w:t>
            </w:r>
          </w:p>
        </w:tc>
        <w:tc>
          <w:tcPr>
            <w:tcW w:w="3327" w:type="dxa"/>
            <w:tcBorders>
              <w:top w:val="single" w:color="auto" w:sz="6" w:space="0"/>
              <w:left w:val="single" w:color="auto" w:sz="6" w:space="0"/>
              <w:bottom w:val="single" w:color="auto" w:sz="6" w:space="0"/>
              <w:right w:val="single" w:color="auto" w:sz="4"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866.27</w:t>
            </w:r>
          </w:p>
        </w:tc>
      </w:tr>
      <w:tr>
        <w:tblPrEx>
          <w:tblCellMar>
            <w:top w:w="0" w:type="dxa"/>
            <w:left w:w="0" w:type="dxa"/>
            <w:bottom w:w="0" w:type="dxa"/>
            <w:right w:w="0" w:type="dxa"/>
          </w:tblCellMar>
        </w:tblPrEx>
        <w:trPr>
          <w:trHeight w:val="469"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附属用房</w:t>
            </w:r>
          </w:p>
        </w:tc>
        <w:tc>
          <w:tcPr>
            <w:tcW w:w="3327" w:type="dxa"/>
            <w:tcBorders>
              <w:top w:val="single" w:color="auto" w:sz="6" w:space="0"/>
              <w:left w:val="single" w:color="auto" w:sz="6" w:space="0"/>
              <w:bottom w:val="single" w:color="auto" w:sz="6" w:space="0"/>
              <w:right w:val="single" w:color="auto" w:sz="4"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54.74</w:t>
            </w:r>
          </w:p>
        </w:tc>
      </w:tr>
      <w:tr>
        <w:tblPrEx>
          <w:tblCellMar>
            <w:top w:w="0" w:type="dxa"/>
            <w:left w:w="0" w:type="dxa"/>
            <w:bottom w:w="0" w:type="dxa"/>
            <w:right w:w="0" w:type="dxa"/>
          </w:tblCellMar>
        </w:tblPrEx>
        <w:trPr>
          <w:trHeight w:val="469"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莫干山路102号（立新大厦一层、二层、三层）</w:t>
            </w:r>
          </w:p>
        </w:tc>
        <w:tc>
          <w:tcPr>
            <w:tcW w:w="3327" w:type="dxa"/>
            <w:tcBorders>
              <w:top w:val="single" w:color="auto" w:sz="6" w:space="0"/>
              <w:left w:val="single" w:color="auto" w:sz="6" w:space="0"/>
              <w:bottom w:val="single" w:color="auto" w:sz="6" w:space="0"/>
              <w:right w:val="single" w:color="auto" w:sz="4"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3390.34</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建筑物总面积合计</w:t>
            </w:r>
          </w:p>
        </w:tc>
        <w:tc>
          <w:tcPr>
            <w:tcW w:w="3327" w:type="dxa"/>
            <w:tcBorders>
              <w:top w:val="single" w:color="auto" w:sz="6" w:space="0"/>
              <w:left w:val="single" w:color="auto" w:sz="6" w:space="0"/>
              <w:bottom w:val="single" w:color="auto" w:sz="6" w:space="0"/>
              <w:right w:val="single" w:color="auto" w:sz="4" w:space="0"/>
            </w:tcBorders>
            <w:noWrap/>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76234.19</w:t>
            </w:r>
          </w:p>
        </w:tc>
      </w:tr>
      <w:tr>
        <w:tblPrEx>
          <w:tblCellMar>
            <w:top w:w="0" w:type="dxa"/>
            <w:left w:w="0" w:type="dxa"/>
            <w:bottom w:w="0" w:type="dxa"/>
            <w:right w:w="0" w:type="dxa"/>
          </w:tblCellMar>
        </w:tblPrEx>
        <w:trPr>
          <w:cantSplit/>
          <w:trHeight w:val="455" w:hRule="atLeast"/>
        </w:trPr>
        <w:tc>
          <w:tcPr>
            <w:tcW w:w="4987" w:type="dxa"/>
            <w:tcBorders>
              <w:top w:val="single" w:color="auto" w:sz="4" w:space="0"/>
              <w:left w:val="single" w:color="auto" w:sz="6" w:space="0"/>
              <w:bottom w:val="single" w:color="auto" w:sz="4" w:space="0"/>
              <w:right w:val="single" w:color="auto" w:sz="6" w:space="0"/>
            </w:tcBorders>
            <w:noWrap/>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校内绿地面积（含田径场草坪）</w:t>
            </w:r>
          </w:p>
        </w:tc>
        <w:tc>
          <w:tcPr>
            <w:tcW w:w="3327" w:type="dxa"/>
            <w:tcBorders>
              <w:top w:val="single" w:color="auto" w:sz="4" w:space="0"/>
              <w:left w:val="single" w:color="auto" w:sz="6" w:space="0"/>
              <w:bottom w:val="single" w:color="auto" w:sz="4" w:space="0"/>
              <w:right w:val="single" w:color="auto" w:sz="6" w:space="0"/>
            </w:tcBorders>
            <w:noWrap/>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37834</w:t>
            </w:r>
          </w:p>
        </w:tc>
      </w:tr>
      <w:tr>
        <w:tblPrEx>
          <w:tblCellMar>
            <w:top w:w="0" w:type="dxa"/>
            <w:left w:w="0" w:type="dxa"/>
            <w:bottom w:w="0" w:type="dxa"/>
            <w:right w:w="0" w:type="dxa"/>
          </w:tblCellMar>
        </w:tblPrEx>
        <w:trPr>
          <w:cantSplit/>
          <w:trHeight w:val="455" w:hRule="atLeast"/>
        </w:trPr>
        <w:tc>
          <w:tcPr>
            <w:tcW w:w="4987" w:type="dxa"/>
            <w:tcBorders>
              <w:top w:val="single" w:color="auto" w:sz="4" w:space="0"/>
              <w:left w:val="single" w:color="auto" w:sz="6" w:space="0"/>
              <w:bottom w:val="single" w:color="auto" w:sz="4" w:space="0"/>
              <w:right w:val="single" w:color="auto" w:sz="6" w:space="0"/>
            </w:tcBorders>
            <w:noWrap/>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公共道路、广场和室外运动场地面积</w:t>
            </w:r>
          </w:p>
        </w:tc>
        <w:tc>
          <w:tcPr>
            <w:tcW w:w="3327" w:type="dxa"/>
            <w:tcBorders>
              <w:top w:val="single" w:color="auto" w:sz="4" w:space="0"/>
              <w:left w:val="single" w:color="auto" w:sz="6" w:space="0"/>
              <w:bottom w:val="single" w:color="auto" w:sz="4" w:space="0"/>
              <w:right w:val="single" w:color="auto" w:sz="6" w:space="0"/>
            </w:tcBorders>
            <w:noWrap/>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39120</w:t>
            </w:r>
          </w:p>
        </w:tc>
      </w:tr>
      <w:tr>
        <w:tblPrEx>
          <w:tblCellMar>
            <w:top w:w="0" w:type="dxa"/>
            <w:left w:w="0" w:type="dxa"/>
            <w:bottom w:w="0" w:type="dxa"/>
            <w:right w:w="0" w:type="dxa"/>
          </w:tblCellMar>
        </w:tblPrEx>
        <w:trPr>
          <w:cantSplit/>
          <w:trHeight w:val="909" w:hRule="atLeast"/>
        </w:trPr>
        <w:tc>
          <w:tcPr>
            <w:tcW w:w="4987" w:type="dxa"/>
            <w:tcBorders>
              <w:top w:val="single" w:color="auto" w:sz="4" w:space="0"/>
              <w:left w:val="single" w:color="auto" w:sz="6" w:space="0"/>
              <w:bottom w:val="single" w:color="auto" w:sz="6" w:space="0"/>
              <w:right w:val="single" w:color="auto" w:sz="6" w:space="0"/>
            </w:tcBorders>
            <w:noWrap/>
            <w:vAlign w:val="center"/>
          </w:tcPr>
          <w:p>
            <w:pPr>
              <w:pStyle w:val="19"/>
              <w:snapToGrid w:val="0"/>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杭州市公共实训基地杭州第一技师学院分基地（杭州第一技师学院临安校区）</w:t>
            </w:r>
          </w:p>
        </w:tc>
        <w:tc>
          <w:tcPr>
            <w:tcW w:w="3327" w:type="dxa"/>
            <w:tcBorders>
              <w:top w:val="single" w:color="auto" w:sz="4" w:space="0"/>
              <w:left w:val="single" w:color="auto" w:sz="6" w:space="0"/>
              <w:bottom w:val="single" w:color="auto" w:sz="6" w:space="0"/>
              <w:right w:val="single" w:color="auto" w:sz="6" w:space="0"/>
            </w:tcBorders>
            <w:noWrap/>
            <w:vAlign w:val="center"/>
          </w:tcPr>
          <w:p>
            <w:pPr>
              <w:pStyle w:val="19"/>
              <w:snapToGrid w:val="0"/>
              <w:spacing w:line="400" w:lineRule="exact"/>
              <w:jc w:val="both"/>
              <w:rPr>
                <w:rFonts w:hint="eastAsia" w:ascii="宋体" w:hAnsi="宋体" w:eastAsia="宋体" w:cs="宋体"/>
                <w:b/>
                <w:color w:val="auto"/>
                <w:sz w:val="24"/>
              </w:rPr>
            </w:pPr>
            <w:r>
              <w:rPr>
                <w:rFonts w:hint="eastAsia" w:ascii="宋体" w:hAnsi="宋体" w:eastAsia="宋体" w:cs="宋体"/>
                <w:b/>
                <w:color w:val="auto"/>
                <w:sz w:val="24"/>
              </w:rPr>
              <w:t>规划总占地168588平方米，其中林地约76500平方米；规划建筑面积42702平方米。</w:t>
            </w:r>
          </w:p>
        </w:tc>
      </w:tr>
    </w:tbl>
    <w:p>
      <w:pPr>
        <w:pStyle w:val="2"/>
        <w:numPr>
          <w:ilvl w:val="0"/>
          <w:numId w:val="0"/>
        </w:numPr>
        <w:rPr>
          <w:rFonts w:hint="eastAsia" w:ascii="宋体" w:hAnsi="宋体" w:eastAsia="宋体" w:cs="宋体"/>
          <w:color w:val="auto"/>
          <w:sz w:val="24"/>
          <w:szCs w:val="24"/>
        </w:rPr>
      </w:pPr>
      <w:r>
        <w:rPr>
          <w:rFonts w:hint="eastAsia" w:ascii="宋体" w:hAnsi="宋体" w:eastAsia="宋体" w:cs="宋体"/>
          <w:color w:val="auto"/>
          <w:sz w:val="24"/>
          <w:szCs w:val="24"/>
          <w:lang w:val="en-US"/>
        </w:rPr>
        <w:t>2</w:t>
      </w:r>
      <w:r>
        <w:rPr>
          <w:rFonts w:hint="eastAsia" w:ascii="宋体" w:hAnsi="宋体" w:eastAsia="宋体" w:cs="宋体"/>
          <w:color w:val="auto"/>
          <w:sz w:val="24"/>
          <w:szCs w:val="24"/>
        </w:rPr>
        <w:t>物业管理服务内容</w:t>
      </w:r>
      <w:bookmarkEnd w:id="28"/>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2.1物业管理服务区域包括的范围</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（1）教学楼</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① 教室：76个。</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 教师办公室：16个。</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③ 配电室：4个。</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④ 卫生间：24个。</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（2）综合实训楼</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① 实习实训室：75个。</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 计算机房：4个。</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③ 教师办公室：12个。</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④ 配电室：3个。</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⑤卫生间：16个。</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（3）图书馆</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①一楼开架、闭架书库。</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②二楼纸质图书、电子阅览室。</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③三楼报告厅、电子阅览室。</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④四楼报告厅。</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⑤卫生间：8个</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（4）行政楼</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①一楼办公室：10间；会议室：1间。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②二楼办公室：10间；会议室1间；校史陈列室1间。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③三楼办公室：11间；会议室1间；支部活动室2间。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④四楼办公室：2间；会议室：2间；职工俱乐部1间；学院电视台1间；网络机房1间；电信机房1间；资料室2间。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5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⑤</w:t>
      </w:r>
      <w:r>
        <w:rPr>
          <w:rFonts w:hint="eastAsia" w:ascii="宋体" w:hAnsi="宋体" w:eastAsia="宋体" w:cs="宋体"/>
          <w:color w:val="auto"/>
          <w:sz w:val="24"/>
        </w:rPr>
        <w:fldChar w:fldCharType="end"/>
      </w:r>
      <w:r>
        <w:rPr>
          <w:rFonts w:hint="eastAsia" w:ascii="宋体" w:hAnsi="宋体" w:eastAsia="宋体" w:cs="宋体"/>
          <w:color w:val="auto"/>
          <w:sz w:val="24"/>
        </w:rPr>
        <w:t>卫生间：8个。</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（5）体育馆</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①底层为汽修和普车实训室。</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②二楼：办公室4间、乒乓室2间、器材室1间、健身房1间、形体室1间。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③三层为篮球馆、羽毛球馆。</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④卫生间：4个。</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（6）数控实训楼</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①实训车间3个；实训室2间；办公室3间。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②卫生间6个</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（7）学生宿舍</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①学生宿舍楼共6幢，房间共392个（单独卫生间）。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②值班室6间、配电间6间。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③公共盥洗室24间。</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（8）食堂</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①底层：超市、创客空间、洗衣房、充值间、快递寄存房、外卖就餐区域等。</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②二楼：酒店管理专业实训室；伙房和教职工餐厅。</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③三楼、四楼：伙房、学生餐厅。</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④卫生间：8间。</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（9）教工集体宿舍</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西溪路717号药物研究所宿舍7套，东新关2套。</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（10）附属用房</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①传达室2个。</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②燃气房1个。</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（11）运动场地</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①300米跑道（6道）田径场一座，足球场1个。 </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②篮球场5个，排球场1个。</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rPr>
        <w:t>看台866平方米，座椅2272个。</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（12）公共道路和广场：</w:t>
      </w:r>
      <w:r>
        <w:rPr>
          <w:rFonts w:hint="eastAsia" w:ascii="宋体" w:hAnsi="宋体" w:eastAsia="宋体" w:cs="宋体"/>
          <w:color w:val="auto"/>
          <w:sz w:val="24"/>
        </w:rPr>
        <w:t>31120平方米。</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（13）校内绿地面积:</w:t>
      </w:r>
      <w:r>
        <w:rPr>
          <w:rFonts w:hint="eastAsia" w:ascii="宋体" w:hAnsi="宋体" w:eastAsia="宋体" w:cs="宋体"/>
          <w:color w:val="auto"/>
          <w:sz w:val="24"/>
        </w:rPr>
        <w:t>37834平方米。</w:t>
      </w:r>
    </w:p>
    <w:p>
      <w:pPr>
        <w:snapToGrid w:val="0"/>
        <w:spacing w:line="500" w:lineRule="exact"/>
        <w:rPr>
          <w:rFonts w:hint="eastAsia" w:ascii="宋体" w:hAnsi="宋体" w:eastAsia="宋体" w:cs="宋体"/>
          <w:color w:val="auto"/>
          <w:sz w:val="24"/>
        </w:rPr>
      </w:pPr>
      <w:r>
        <w:rPr>
          <w:rFonts w:hint="eastAsia" w:ascii="宋体" w:hAnsi="宋体" w:eastAsia="宋体" w:cs="宋体"/>
          <w:b/>
          <w:color w:val="auto"/>
          <w:sz w:val="24"/>
        </w:rPr>
        <w:t>（14）山林面积：</w:t>
      </w:r>
      <w:r>
        <w:rPr>
          <w:rFonts w:hint="eastAsia" w:ascii="宋体" w:hAnsi="宋体" w:eastAsia="宋体" w:cs="宋体"/>
          <w:color w:val="auto"/>
          <w:sz w:val="24"/>
        </w:rPr>
        <w:t>院本部116.2亩；临安校区115亩。</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（15）杭州市公共实训基地杭州第一技师学院分基地（临安校区）</w:t>
      </w:r>
    </w:p>
    <w:p>
      <w:pPr>
        <w:autoSpaceDE w:val="0"/>
        <w:autoSpaceDN w:val="0"/>
        <w:snapToGrid w:val="0"/>
        <w:spacing w:line="500" w:lineRule="exact"/>
        <w:ind w:firstLine="475" w:firstLineChars="198"/>
        <w:outlineLvl w:val="1"/>
        <w:rPr>
          <w:rFonts w:hint="eastAsia" w:ascii="宋体" w:hAnsi="宋体" w:eastAsia="宋体" w:cs="宋体"/>
          <w:color w:val="auto"/>
          <w:sz w:val="24"/>
        </w:rPr>
      </w:pPr>
      <w:r>
        <w:rPr>
          <w:rFonts w:hint="eastAsia" w:ascii="宋体" w:hAnsi="宋体" w:eastAsia="宋体" w:cs="宋体"/>
          <w:color w:val="auto"/>
          <w:sz w:val="24"/>
        </w:rPr>
        <w:t>规划总占地168588平方米，其中林地约115亩；规划建筑面积42702平方米。目前处于筹建阶段，仅需提供场地安保管理和防洪排涝、山林维护及防火管理。</w:t>
      </w:r>
    </w:p>
    <w:p>
      <w:pPr>
        <w:autoSpaceDE w:val="0"/>
        <w:autoSpaceDN w:val="0"/>
        <w:snapToGrid w:val="0"/>
        <w:spacing w:line="500" w:lineRule="exact"/>
        <w:outlineLvl w:val="1"/>
        <w:rPr>
          <w:rFonts w:hint="eastAsia" w:ascii="宋体" w:hAnsi="宋体" w:eastAsia="宋体" w:cs="宋体"/>
          <w:b/>
          <w:color w:val="auto"/>
          <w:sz w:val="24"/>
        </w:rPr>
      </w:pPr>
      <w:r>
        <w:rPr>
          <w:rFonts w:hint="eastAsia" w:ascii="宋体" w:hAnsi="宋体" w:eastAsia="宋体" w:cs="宋体"/>
          <w:b/>
          <w:color w:val="auto"/>
          <w:sz w:val="24"/>
        </w:rPr>
        <w:t>（16）莫干山路102号立新大厦1至3层</w:t>
      </w:r>
    </w:p>
    <w:p>
      <w:pPr>
        <w:autoSpaceDE w:val="0"/>
        <w:autoSpaceDN w:val="0"/>
        <w:snapToGrid w:val="0"/>
        <w:spacing w:line="500" w:lineRule="exact"/>
        <w:ind w:firstLine="475" w:firstLineChars="198"/>
        <w:outlineLvl w:val="1"/>
        <w:rPr>
          <w:rFonts w:hint="eastAsia" w:ascii="宋体" w:hAnsi="宋体" w:eastAsia="宋体" w:cs="宋体"/>
          <w:color w:val="auto"/>
          <w:sz w:val="24"/>
        </w:rPr>
      </w:pPr>
      <w:r>
        <w:rPr>
          <w:rFonts w:hint="eastAsia" w:ascii="宋体" w:hAnsi="宋体" w:eastAsia="宋体" w:cs="宋体"/>
          <w:color w:val="auto"/>
          <w:sz w:val="24"/>
        </w:rPr>
        <w:t>一楼：2个卫生间，教室4个，办公室2个，开水间1个；</w:t>
      </w:r>
    </w:p>
    <w:p>
      <w:pPr>
        <w:snapToGrid w:val="0"/>
        <w:spacing w:line="500" w:lineRule="exact"/>
        <w:ind w:firstLine="475" w:firstLineChars="198"/>
        <w:textAlignment w:val="baseline"/>
        <w:rPr>
          <w:rFonts w:hint="eastAsia" w:ascii="宋体" w:hAnsi="宋体" w:eastAsia="宋体" w:cs="宋体"/>
          <w:color w:val="auto"/>
          <w:sz w:val="24"/>
        </w:rPr>
      </w:pPr>
      <w:r>
        <w:rPr>
          <w:rFonts w:hint="eastAsia" w:ascii="宋体" w:hAnsi="宋体" w:eastAsia="宋体" w:cs="宋体"/>
          <w:color w:val="auto"/>
          <w:sz w:val="24"/>
        </w:rPr>
        <w:t>二楼：</w:t>
      </w:r>
      <w:r>
        <w:rPr>
          <w:rStyle w:val="962"/>
          <w:rFonts w:hint="eastAsia" w:ascii="宋体" w:hAnsi="宋体" w:eastAsia="宋体" w:cs="宋体"/>
          <w:color w:val="auto"/>
          <w:sz w:val="24"/>
        </w:rPr>
        <w:t>1个卫生间，1个清洗间，教室6个，办公室5个，仓库2个；</w:t>
      </w:r>
    </w:p>
    <w:p>
      <w:pPr>
        <w:autoSpaceDE w:val="0"/>
        <w:autoSpaceDN w:val="0"/>
        <w:snapToGrid w:val="0"/>
        <w:spacing w:line="500" w:lineRule="exact"/>
        <w:ind w:firstLine="475" w:firstLineChars="198"/>
        <w:outlineLvl w:val="1"/>
        <w:rPr>
          <w:rFonts w:hint="eastAsia" w:ascii="宋体" w:hAnsi="宋体" w:eastAsia="宋体" w:cs="宋体"/>
          <w:color w:val="auto"/>
          <w:sz w:val="24"/>
        </w:rPr>
      </w:pPr>
      <w:r>
        <w:rPr>
          <w:rFonts w:hint="eastAsia" w:ascii="宋体" w:hAnsi="宋体" w:eastAsia="宋体" w:cs="宋体"/>
          <w:color w:val="auto"/>
          <w:sz w:val="24"/>
        </w:rPr>
        <w:t>三楼：1个卫生间，教室5个，办公室5个，仓库1个，设备间2个，会议室1个。</w:t>
      </w:r>
    </w:p>
    <w:p>
      <w:pPr>
        <w:autoSpaceDE w:val="0"/>
        <w:autoSpaceDN w:val="0"/>
        <w:snapToGrid w:val="0"/>
        <w:spacing w:line="500" w:lineRule="exact"/>
        <w:outlineLvl w:val="1"/>
        <w:rPr>
          <w:rFonts w:hint="eastAsia" w:ascii="宋体" w:hAnsi="宋体" w:eastAsia="宋体" w:cs="宋体"/>
          <w:b/>
          <w:bCs/>
          <w:color w:val="auto"/>
          <w:sz w:val="24"/>
        </w:rPr>
      </w:pPr>
      <w:r>
        <w:rPr>
          <w:rFonts w:hint="eastAsia" w:ascii="宋体" w:hAnsi="宋体" w:eastAsia="宋体" w:cs="宋体"/>
          <w:b/>
          <w:bCs/>
          <w:color w:val="auto"/>
          <w:sz w:val="24"/>
        </w:rPr>
        <w:t>2.2   安保消控</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2.2.1 总则</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安保工作的目标是要保证学院公共财物不受损失，保证师生人身安全。确保足够当班人数，做好门岗守卫和人员进出、车辆进出、物品进出的管理工作，加强巡查与秩序管理，山林防火管理，安全隐患排查，有效处置突发事件，消防和监控设施维护和管理，确保学院无火灾事故、无群体恶性事件发生，确保校园平安。</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2.2.2 物业内容</w:t>
      </w:r>
    </w:p>
    <w:p>
      <w:pPr>
        <w:widowControl/>
        <w:autoSpaceDE w:val="0"/>
        <w:autoSpaceDN w:val="0"/>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（1）服务内容</w:t>
      </w:r>
    </w:p>
    <w:p>
      <w:pPr>
        <w:widowControl/>
        <w:autoSpaceDE w:val="0"/>
        <w:autoSpaceDN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①处理来人来访的通报、证件检验、登记、报刊信件收发等。</w:t>
      </w:r>
    </w:p>
    <w:p>
      <w:pPr>
        <w:widowControl/>
        <w:autoSpaceDE w:val="0"/>
        <w:autoSpaceDN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②门卫、守护和巡逻，维护公共秩序，处理治安及其它突发事件。</w:t>
      </w:r>
    </w:p>
    <w:p>
      <w:pPr>
        <w:widowControl/>
        <w:autoSpaceDE w:val="0"/>
        <w:autoSpaceDN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③负责道路交通管理、机动车和非机动车停放管理。</w:t>
      </w:r>
    </w:p>
    <w:p>
      <w:pPr>
        <w:widowControl/>
        <w:autoSpaceDE w:val="0"/>
        <w:autoSpaceDN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④负责防盗、防火报警监控设备运行管理。</w:t>
      </w:r>
    </w:p>
    <w:p>
      <w:pPr>
        <w:widowControl/>
        <w:autoSpaceDE w:val="0"/>
        <w:autoSpaceDN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⑤积极配合对口管理部门的临时应急调度。</w:t>
      </w:r>
    </w:p>
    <w:p>
      <w:pPr>
        <w:widowControl/>
        <w:autoSpaceDE w:val="0"/>
        <w:autoSpaceDN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⑥建立完善的消防制度和消防工作计划，物管人员应接受消防培训并掌握现有消防设施设备的使用方法，并能及时处理各种火灾事故。</w:t>
      </w:r>
    </w:p>
    <w:p>
      <w:pPr>
        <w:widowControl/>
        <w:autoSpaceDE w:val="0"/>
        <w:autoSpaceDN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⑦明确防火责任人，按照突发火灾的应急方案，照明设施及引路标志完好，保证紧急疏散通道畅通。</w:t>
      </w:r>
    </w:p>
    <w:p>
      <w:pPr>
        <w:widowControl/>
        <w:autoSpaceDE w:val="0"/>
        <w:autoSpaceDN w:val="0"/>
        <w:snapToGrid w:val="0"/>
        <w:spacing w:line="50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⑧成立微型消防站（队），对</w:t>
      </w:r>
      <w:r>
        <w:rPr>
          <w:rFonts w:hint="eastAsia" w:ascii="宋体" w:hAnsi="宋体" w:eastAsia="宋体" w:cs="宋体"/>
          <w:color w:val="auto"/>
          <w:kern w:val="0"/>
          <w:sz w:val="24"/>
        </w:rPr>
        <w:t>办公区域内的消防喷淋灭火系统、气体灭火系统、火灾报警系统、电器火灾报警系统、消防排烟机组等消控设备按安保条例进行使用和维护。</w:t>
      </w:r>
    </w:p>
    <w:p>
      <w:pPr>
        <w:pStyle w:val="32"/>
        <w:snapToGrid w:val="0"/>
        <w:spacing w:line="500" w:lineRule="exact"/>
        <w:rPr>
          <w:rFonts w:hint="eastAsia" w:ascii="宋体" w:hAnsi="宋体" w:eastAsia="宋体" w:cs="宋体"/>
          <w:b/>
          <w:color w:val="auto"/>
          <w:sz w:val="24"/>
          <w:szCs w:val="24"/>
        </w:rPr>
      </w:pPr>
      <w:r>
        <w:rPr>
          <w:rFonts w:hint="eastAsia" w:ascii="宋体" w:hAnsi="宋体" w:eastAsia="宋体" w:cs="宋体"/>
          <w:b/>
          <w:bCs/>
          <w:color w:val="auto"/>
          <w:sz w:val="24"/>
          <w:szCs w:val="24"/>
        </w:rPr>
        <w:t>2.2.3</w:t>
      </w:r>
      <w:r>
        <w:rPr>
          <w:rFonts w:hint="eastAsia" w:ascii="宋体" w:hAnsi="宋体" w:eastAsia="宋体" w:cs="宋体"/>
          <w:b/>
          <w:color w:val="auto"/>
          <w:sz w:val="24"/>
          <w:szCs w:val="24"/>
        </w:rPr>
        <w:t>物业服务标准和要求</w:t>
      </w:r>
    </w:p>
    <w:p>
      <w:pPr>
        <w:pStyle w:val="32"/>
        <w:snapToGrid w:val="0"/>
        <w:spacing w:line="500" w:lineRule="exact"/>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1） 门卫值班</w:t>
      </w:r>
    </w:p>
    <w:p>
      <w:pPr>
        <w:pStyle w:val="32"/>
        <w:snapToGrid w:val="0"/>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①上岗时佩戴统一标志，按需求穿戴统一制服，装备佩戴规范，仪容仪表规范整齐，当值时坐姿挺直，站岗时不倚不靠。文明执勤，训练有素，言语规范，认真负责；配备对讲装置和其他必备的安全护卫器械。</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②实行24小时值班，维护学院秩序，确保学院安全。主入口每天早上6:30至晚上20：30时必须立岗，立岗期间主入口确保双人执勤。每天教职工上下班及学生放学时间，要及时排除校门外(离校门150米内)的摊点和停放车辆堵塞障碍物，有效疏通交通避免拥堵。</w:t>
      </w:r>
    </w:p>
    <w:p>
      <w:pPr>
        <w:pStyle w:val="32"/>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③交接班：有详细完整的交接班记录。</w:t>
      </w:r>
    </w:p>
    <w:p>
      <w:pPr>
        <w:pStyle w:val="32"/>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④外来人员：对外来人员询问登记，并通过对讲系统联系相关人员，决定是否放行，杜绝闲杂人员进入校园。</w:t>
      </w:r>
    </w:p>
    <w:p>
      <w:pPr>
        <w:pStyle w:val="32"/>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⑤外来车辆：对进出学院的车辆严格控制，确需进入的实施证（卡）管理和登记，引导车辆有序通行并停放。</w:t>
      </w:r>
    </w:p>
    <w:p>
      <w:pPr>
        <w:pStyle w:val="32"/>
        <w:snapToGrid w:val="0"/>
        <w:spacing w:line="5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⑥物品进出门：物品出门务必有职能部门出门单和部门负责人签字，对物品确认后，方可放行实行，同时做好登记工作。对物品进出实施分类管理，实行物品进出审验制度，杜绝危险物品进入校园。</w:t>
      </w:r>
    </w:p>
    <w:p>
      <w:pPr>
        <w:pStyle w:val="32"/>
        <w:snapToGrid w:val="0"/>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2）秩序管理</w:t>
      </w:r>
    </w:p>
    <w:p>
      <w:pPr>
        <w:pStyle w:val="32"/>
        <w:snapToGrid w:val="0"/>
        <w:spacing w:line="500" w:lineRule="exact"/>
        <w:ind w:firstLine="600" w:firstLineChars="250"/>
        <w:rPr>
          <w:rFonts w:hint="eastAsia" w:ascii="宋体" w:hAnsi="宋体" w:eastAsia="宋体" w:cs="宋体"/>
          <w:b/>
          <w:color w:val="auto"/>
          <w:sz w:val="24"/>
          <w:szCs w:val="24"/>
        </w:rPr>
      </w:pPr>
      <w:r>
        <w:rPr>
          <w:rFonts w:hint="eastAsia" w:ascii="宋体" w:hAnsi="宋体" w:eastAsia="宋体" w:cs="宋体"/>
          <w:color w:val="auto"/>
          <w:sz w:val="24"/>
          <w:szCs w:val="24"/>
        </w:rPr>
        <w:t>①校园范围以内安排24小时巡查。</w:t>
      </w:r>
    </w:p>
    <w:p>
      <w:pPr>
        <w:pStyle w:val="32"/>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②明确巡查工作职责，规范巡视工作流程，制定相对固定的巡视路线，对重要区域、部位、设备机房进行重点巡视并记录巡视情况，及时发现和处理各种安全和事故隐患。</w:t>
      </w:r>
    </w:p>
    <w:p>
      <w:pPr>
        <w:pStyle w:val="32"/>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③巡视时必须使用巡更设备进行点位打卡，并按指定的时间和路线每2小时巡查一次，重点部位（水泵房、食堂、体育馆、图书馆、实训场地）重点区域（教学楼、实训楼、学生宿舍、玻璃大棚）每1小时巡逻一次。</w:t>
      </w:r>
    </w:p>
    <w:p>
      <w:pPr>
        <w:pStyle w:val="32"/>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④监控室应保持巡更记录。在接到监控室发出的指令后，巡视人员应及时到达事发现场，采取相应措施妥善处理。</w:t>
      </w:r>
    </w:p>
    <w:p>
      <w:pPr>
        <w:pStyle w:val="32"/>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⑤巡视时发现异常（如：盗窃、火灾、打架斗殴）等情况，应立即通知有关部门并在现场采取必要措施，随时准备启动并执行相应的应急预案。</w:t>
      </w:r>
    </w:p>
    <w:p>
      <w:pPr>
        <w:pStyle w:val="32"/>
        <w:snapToGrid w:val="0"/>
        <w:spacing w:line="50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⑥下班后和晚自修后应检查，检查学院、办公室内电灯、电扇、门窗是否关好，发现未关，应及时妥善处理，做好详细记录，并向学院保卫处汇报。</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⑦安排保安人员对学校围墙周边外卖情况进行检查和劝阻。</w:t>
      </w:r>
    </w:p>
    <w:p>
      <w:pPr>
        <w:pStyle w:val="32"/>
        <w:snapToGrid w:val="0"/>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3）消控、监控室值班</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①监控室应配备专业的人员值班，消监控人员持证上岗，按国家规范和标准要求实行昼夜专人值班，并保持完整的监控记录。</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②值班人员应坚守岗位，认真履行岗位职责，严格落实各项规章制度、规定和安全操作规程，确保监控系统的正常运行。</w:t>
      </w:r>
    </w:p>
    <w:p>
      <w:pPr>
        <w:pStyle w:val="32"/>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③保证对各出入口、内部重点区域的安全监控、录像及协助布警。监控室收到火情、险情及其他异常情况报警信号后，应及时报警，并联系巡逻人员赶到现场，进行前期处理，同时报告学院值班领导进行后续处理。</w:t>
      </w:r>
    </w:p>
    <w:p>
      <w:pPr>
        <w:pStyle w:val="32"/>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④监控资料应至少保持30天，有特殊要求的参照相关规定或行业标准执行。同时，确保治安电话畅通，接听及时(在铃响三声内应接听)。</w:t>
      </w:r>
    </w:p>
    <w:p>
      <w:pPr>
        <w:pStyle w:val="32"/>
        <w:snapToGrid w:val="0"/>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4）微型消防站建设与管理</w:t>
      </w:r>
    </w:p>
    <w:p>
      <w:pPr>
        <w:pStyle w:val="32"/>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①负责微型消防站的建设与管理，设施设备的维护，每月消防演练一次。</w:t>
      </w:r>
    </w:p>
    <w:p>
      <w:pPr>
        <w:pStyle w:val="32"/>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②每月检查一次设备情况，如有设备异常，应及时修复和更换。</w:t>
      </w:r>
    </w:p>
    <w:p>
      <w:pPr>
        <w:pStyle w:val="32"/>
        <w:snapToGrid w:val="0"/>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5）停车管理</w:t>
      </w:r>
    </w:p>
    <w:p>
      <w:pPr>
        <w:pStyle w:val="32"/>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 xml:space="preserve">①在管辖区域设置行车指示标志，规定车辆行驶路线，指定车辆停放区域，非机动车应实行定点停放，并确保校园内车辆停放无误。           </w:t>
      </w:r>
    </w:p>
    <w:p>
      <w:pPr>
        <w:pStyle w:val="32"/>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②对进出管辖区域的各类车辆进行管理，维护交通秩序，保证车辆有序通行、有序停放。对出入车辆进行指挥，防止通道堵塞。做好停放车辆的安全监控。</w:t>
      </w:r>
    </w:p>
    <w:p>
      <w:pPr>
        <w:pStyle w:val="32"/>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③每天不少于6次巡查，检查车辆门窗关闭情况，车辆有无异常情况，外来车辆停放记录，（车主联系方式、校内联系人、进出时间等）准确、完整可追溯。</w:t>
      </w:r>
    </w:p>
    <w:p>
      <w:pPr>
        <w:pStyle w:val="32"/>
        <w:snapToGrid w:val="0"/>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6）收发室</w:t>
      </w:r>
    </w:p>
    <w:p>
      <w:pPr>
        <w:pStyle w:val="32"/>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配备东门食堂一层收发员1名，每天工作时间上午8:00至下午17：00点，报刊的收发工作。全年（包括双休日、节假日）挂号信、邮件必须由登记、领取手续、并做好台账。保持人员稳定，负责信件、报纸、杂志、快递等的准确登记收发，并及时送交相关部门人员。</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②做好报刊信函的接收和分发工作，并做好当班记录对来往信函做好保密工作。</w:t>
      </w:r>
    </w:p>
    <w:p>
      <w:pPr>
        <w:widowControl/>
        <w:autoSpaceDE w:val="0"/>
        <w:autoSpaceDN w:val="0"/>
        <w:snapToGrid w:val="0"/>
        <w:spacing w:line="500" w:lineRule="exact"/>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7）突发事件处理</w:t>
      </w:r>
    </w:p>
    <w:p>
      <w:pPr>
        <w:widowControl/>
        <w:autoSpaceDE w:val="0"/>
        <w:autoSpaceDN w:val="0"/>
        <w:snapToGrid w:val="0"/>
        <w:spacing w:line="500" w:lineRule="exact"/>
        <w:ind w:firstLine="555"/>
        <w:rPr>
          <w:rFonts w:hint="eastAsia" w:ascii="宋体" w:hAnsi="宋体" w:eastAsia="宋体" w:cs="宋体"/>
          <w:color w:val="auto"/>
          <w:kern w:val="0"/>
          <w:sz w:val="24"/>
        </w:rPr>
      </w:pPr>
      <w:r>
        <w:rPr>
          <w:rFonts w:hint="eastAsia" w:ascii="宋体" w:hAnsi="宋体" w:eastAsia="宋体" w:cs="宋体"/>
          <w:color w:val="auto"/>
          <w:kern w:val="0"/>
          <w:sz w:val="24"/>
        </w:rPr>
        <w:t>①按照突发事件应急预案的要求执行，在保卫处督办下完成每年两次的演练，并将预案内容在北门值班室处张榜悬挂。</w:t>
      </w:r>
    </w:p>
    <w:p>
      <w:pPr>
        <w:widowControl/>
        <w:autoSpaceDE w:val="0"/>
        <w:autoSpaceDN w:val="0"/>
        <w:snapToGrid w:val="0"/>
        <w:spacing w:line="500" w:lineRule="exact"/>
        <w:ind w:firstLine="555"/>
        <w:rPr>
          <w:rFonts w:hint="eastAsia" w:ascii="宋体" w:hAnsi="宋体" w:eastAsia="宋体" w:cs="宋体"/>
          <w:color w:val="auto"/>
          <w:kern w:val="0"/>
          <w:sz w:val="24"/>
        </w:rPr>
      </w:pPr>
      <w:r>
        <w:rPr>
          <w:rFonts w:hint="eastAsia" w:ascii="宋体" w:hAnsi="宋体" w:eastAsia="宋体" w:cs="宋体"/>
          <w:color w:val="auto"/>
          <w:kern w:val="0"/>
          <w:sz w:val="24"/>
        </w:rPr>
        <w:t>②在各楼层固定位置悬挂疏散示意图及引路标志，每学期参与不少于1次突发事件应急演习和1次学生宿舍楼安全疏散演习。</w:t>
      </w:r>
    </w:p>
    <w:p>
      <w:pPr>
        <w:widowControl/>
        <w:autoSpaceDE w:val="0"/>
        <w:autoSpaceDN w:val="0"/>
        <w:snapToGrid w:val="0"/>
        <w:spacing w:line="500" w:lineRule="exact"/>
        <w:ind w:firstLine="555"/>
        <w:rPr>
          <w:rFonts w:hint="eastAsia" w:ascii="宋体" w:hAnsi="宋体" w:eastAsia="宋体" w:cs="宋体"/>
          <w:color w:val="auto"/>
          <w:kern w:val="0"/>
          <w:sz w:val="24"/>
        </w:rPr>
      </w:pPr>
      <w:r>
        <w:rPr>
          <w:rFonts w:hint="eastAsia" w:ascii="宋体" w:hAnsi="宋体" w:eastAsia="宋体" w:cs="宋体"/>
          <w:color w:val="auto"/>
          <w:kern w:val="0"/>
          <w:sz w:val="24"/>
        </w:rPr>
        <w:t>③当发生台风、暴雨等灾害性天气及其他危害公共突发事件时，应采取以下应急措施:对实训场地、停车场、宣传栏、电线杆等露天设施进行检查和加固。各岗位人员必须按规定实行岗位警戒，根据不同突发事件的现场情况进行应变处理，在有关部门到达现场前，确保人身安全，减少财产损失，并全力协助处理相关事宜。</w:t>
      </w:r>
    </w:p>
    <w:p>
      <w:pPr>
        <w:widowControl/>
        <w:autoSpaceDE w:val="0"/>
        <w:autoSpaceDN w:val="0"/>
        <w:snapToGrid w:val="0"/>
        <w:spacing w:line="500" w:lineRule="exact"/>
        <w:ind w:firstLine="555"/>
        <w:rPr>
          <w:rFonts w:hint="eastAsia" w:ascii="宋体" w:hAnsi="宋体" w:eastAsia="宋体" w:cs="宋体"/>
          <w:color w:val="auto"/>
          <w:kern w:val="0"/>
          <w:sz w:val="24"/>
        </w:rPr>
      </w:pPr>
      <w:r>
        <w:rPr>
          <w:rFonts w:hint="eastAsia" w:ascii="宋体" w:hAnsi="宋体" w:eastAsia="宋体" w:cs="宋体"/>
          <w:color w:val="auto"/>
          <w:kern w:val="0"/>
          <w:sz w:val="24"/>
        </w:rPr>
        <w:t>④对待上访人员做到耐心说服，及时报告有关部门予以妥善处置。</w:t>
      </w:r>
    </w:p>
    <w:p>
      <w:pPr>
        <w:tabs>
          <w:tab w:val="left" w:pos="540"/>
        </w:tabs>
        <w:snapToGrid w:val="0"/>
        <w:spacing w:line="50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8）山林防火巡查</w:t>
      </w:r>
    </w:p>
    <w:p>
      <w:pPr>
        <w:tabs>
          <w:tab w:val="left" w:pos="540"/>
        </w:tabs>
        <w:snapToGrid w:val="0"/>
        <w:spacing w:line="500" w:lineRule="exact"/>
        <w:ind w:left="240" w:hanging="240" w:hangingChars="100"/>
        <w:rPr>
          <w:rFonts w:hint="eastAsia" w:ascii="宋体" w:hAnsi="宋体" w:eastAsia="宋体" w:cs="宋体"/>
          <w:color w:val="auto"/>
          <w:sz w:val="24"/>
        </w:rPr>
      </w:pPr>
      <w:r>
        <w:rPr>
          <w:rFonts w:hint="eastAsia" w:ascii="宋体" w:hAnsi="宋体" w:eastAsia="宋体" w:cs="宋体"/>
          <w:color w:val="auto"/>
          <w:kern w:val="0"/>
          <w:sz w:val="24"/>
        </w:rPr>
        <w:t>①</w:t>
      </w:r>
      <w:r>
        <w:rPr>
          <w:rFonts w:hint="eastAsia" w:ascii="宋体" w:hAnsi="宋体" w:eastAsia="宋体" w:cs="宋体"/>
          <w:color w:val="auto"/>
          <w:sz w:val="24"/>
        </w:rPr>
        <w:t xml:space="preserve"> 落实专人管理，每天9:30-15:30对山林区域进行全面巡查，并做好巡查记录。</w:t>
      </w:r>
    </w:p>
    <w:p>
      <w:pPr>
        <w:tabs>
          <w:tab w:val="left" w:pos="540"/>
        </w:tabs>
        <w:snapToGrid w:val="0"/>
        <w:spacing w:line="500" w:lineRule="exact"/>
        <w:ind w:left="298" w:leftChars="142" w:firstLine="240" w:firstLineChars="100"/>
        <w:rPr>
          <w:rFonts w:hint="eastAsia" w:ascii="宋体" w:hAnsi="宋体" w:eastAsia="宋体" w:cs="宋体"/>
          <w:color w:val="auto"/>
          <w:sz w:val="24"/>
        </w:rPr>
      </w:pPr>
      <w:r>
        <w:rPr>
          <w:rFonts w:hint="eastAsia" w:ascii="宋体" w:hAnsi="宋体" w:eastAsia="宋体" w:cs="宋体"/>
          <w:color w:val="auto"/>
          <w:kern w:val="0"/>
          <w:sz w:val="24"/>
        </w:rPr>
        <w:t>②</w:t>
      </w:r>
      <w:r>
        <w:rPr>
          <w:rFonts w:hint="eastAsia" w:ascii="宋体" w:hAnsi="宋体" w:eastAsia="宋体" w:cs="宋体"/>
          <w:color w:val="auto"/>
          <w:sz w:val="24"/>
        </w:rPr>
        <w:t>在春季、秋冬季、祭扫季节，特别要加强对森林的防火巡查。有人上山祭扫时应做好祭扫人员的工作，带好灭火器，陪同祭扫人员上山下山，平时不允许其他无关工作人员上山。</w:t>
      </w:r>
    </w:p>
    <w:p>
      <w:pPr>
        <w:snapToGrid w:val="0"/>
        <w:spacing w:line="50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9）消防监控设施管理</w:t>
      </w:r>
    </w:p>
    <w:p>
      <w:pPr>
        <w:snapToGrid w:val="0"/>
        <w:spacing w:line="500" w:lineRule="exact"/>
        <w:ind w:firstLine="470" w:firstLineChars="195"/>
        <w:rPr>
          <w:rFonts w:hint="eastAsia" w:ascii="宋体" w:hAnsi="宋体" w:eastAsia="宋体" w:cs="宋体"/>
          <w:b/>
          <w:color w:val="auto"/>
          <w:sz w:val="24"/>
        </w:rPr>
      </w:pPr>
      <w:r>
        <w:rPr>
          <w:rFonts w:hint="eastAsia" w:ascii="宋体" w:hAnsi="宋体" w:eastAsia="宋体" w:cs="宋体"/>
          <w:b/>
          <w:color w:val="auto"/>
          <w:sz w:val="24"/>
        </w:rPr>
        <w:t>①监控室管理</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A.无关人员不得随意进入监控室、使用设备,不得使用接警、通信设备拨打无关电话，不得擅自关闭电视监控系统、停止系统运行。</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B.不得随意改变、调整和移动监控设施设备，不得使用大功率和强磁场电器。</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 .保持监控系统正常运行的良好环境。室内要保持整洁、肃静和空气流通，设备上不准有灰尘并避开阳光直射。</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D.做好设备运行记录、监控记录、检查记录、登记簿的情况登记。</w:t>
      </w:r>
    </w:p>
    <w:p>
      <w:pPr>
        <w:snapToGrid w:val="0"/>
        <w:spacing w:line="500" w:lineRule="exact"/>
        <w:ind w:firstLine="470" w:firstLineChars="195"/>
        <w:rPr>
          <w:rFonts w:hint="eastAsia" w:ascii="宋体" w:hAnsi="宋体" w:eastAsia="宋体" w:cs="宋体"/>
          <w:b/>
          <w:bCs/>
          <w:color w:val="auto"/>
          <w:kern w:val="0"/>
          <w:sz w:val="24"/>
        </w:rPr>
      </w:pPr>
      <w:r>
        <w:rPr>
          <w:rFonts w:hint="eastAsia" w:ascii="宋体" w:hAnsi="宋体" w:eastAsia="宋体" w:cs="宋体"/>
          <w:b/>
          <w:color w:val="auto"/>
          <w:kern w:val="0"/>
          <w:sz w:val="24"/>
        </w:rPr>
        <w:t>②</w:t>
      </w:r>
      <w:r>
        <w:rPr>
          <w:rFonts w:hint="eastAsia" w:ascii="宋体" w:hAnsi="宋体" w:eastAsia="宋体" w:cs="宋体"/>
          <w:b/>
          <w:bCs/>
          <w:color w:val="auto"/>
          <w:kern w:val="0"/>
          <w:sz w:val="24"/>
        </w:rPr>
        <w:t>监控设施设备维护及维修要求</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A.对全院室内外监控摄像头254个、监控室15个视频（维护人员（值班人员）必须有上岗证）进行维护。</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 每个月应对校园区域内监控摄像头、监控设施设备、监控机房、感烟探测器、手动报警按钮及其他形式的监控和消防设施、设备进行检查，是否有遮挡或损坏等情况。</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C.每周必须对对监控室各设施、设备和室内、室外系统设备进行一次清理灰尘，确保设备干净，运作正常。</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D.每月对各系统设备进行检测，如有异常情况务必在1小时内赶到现场处理，同时上报保卫处。</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E.故障维修应及时通知学院保卫处,由物业工作人员填写维修申请，经保卫处签字确认后移交物业并联系维保单位在24小时内实施维修，维修结束后须经保卫处验收并签字确认。</w:t>
      </w:r>
    </w:p>
    <w:p>
      <w:pPr>
        <w:tabs>
          <w:tab w:val="left" w:pos="540"/>
        </w:tabs>
        <w:snapToGrid w:val="0"/>
        <w:spacing w:line="50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 3 \* GB3 </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③</w:t>
      </w:r>
      <w:r>
        <w:rPr>
          <w:rFonts w:hint="eastAsia" w:ascii="宋体" w:hAnsi="宋体" w:eastAsia="宋体" w:cs="宋体"/>
          <w:b/>
          <w:color w:val="auto"/>
          <w:sz w:val="24"/>
        </w:rPr>
        <w:fldChar w:fldCharType="end"/>
      </w:r>
      <w:r>
        <w:rPr>
          <w:rFonts w:hint="eastAsia" w:ascii="宋体" w:hAnsi="宋体" w:eastAsia="宋体" w:cs="宋体"/>
          <w:b/>
          <w:color w:val="auto"/>
          <w:sz w:val="24"/>
        </w:rPr>
        <w:t>消防设施设备维护及维修要求</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A.为确保消防设施设备的正常运作，保持各系统高效能的运作效果，必须有消防专业资质单位进行维护和维修。</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B.对全校室内外消防栓261个、烟感器850个、消防按钮295个进行维护。</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C.消防设施及消防设备的技术性能的维修保养和定期技术检测，保持消防设备的运行，发现异常及时安排维修，使设备保持完好的技术状态，保持设施整洁、卫生、完好。</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D.消防设施和消防设备应定期测试：</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◆烟、温感报警系统的测试，每个烟、温感探头至少每年轮测一次。</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◆消防水泵、喷淋水泵、每月试开泵一次，检查其是否完整好用。</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◆正压送风、防排烟系统每半年检测一次。</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◆室内消火栓、喷淋泄水测试每季度一次。</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◆消防指示灯、应急灯：每天检查保证其完好。</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◆每年11月底对全校消防设施做出年度检测报告一份（由消防检测专业机构持有资质单位）。</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◆其它消防设备的测试，根据不同情况决定测试时间。</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E.消防器材管理：</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◆对消防器材应每天检查，发现丢失、过期、损坏、更换、维修应及时通知保卫处协调处理，点检卡每月记录一次。</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◆每年在冬防、夏防期间定期两次对灭火器进行全面普查。</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◆每年六月份对室外消防栓油漆一次。</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F.消防设施设备的维修：</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设施设备有异常应在24小时内排除，如需要维修和更新应及时通知学院保卫处,由物业工作人员填写维修申请，经保卫处签字确认后移交物业并联系维保单位在24小时内实施维修，维修结束后须经保卫处验收并签字确认。</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◆消防设备设施完好率100％；</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◆零修、报修及时率100％，返修率小于1％；</w:t>
      </w:r>
    </w:p>
    <w:p>
      <w:pPr>
        <w:tabs>
          <w:tab w:val="left" w:pos="540"/>
        </w:tabs>
        <w:snapToGrid w:val="0"/>
        <w:spacing w:line="500" w:lineRule="exact"/>
        <w:ind w:firstLine="472" w:firstLineChars="196"/>
        <w:rPr>
          <w:rFonts w:hint="eastAsia" w:ascii="宋体" w:hAnsi="宋体" w:eastAsia="宋体" w:cs="宋体"/>
          <w:b/>
          <w:bCs/>
          <w:color w:val="auto"/>
          <w:sz w:val="24"/>
        </w:rPr>
      </w:pPr>
      <w:r>
        <w:rPr>
          <w:rFonts w:hint="eastAsia" w:ascii="宋体" w:hAnsi="宋体" w:eastAsia="宋体" w:cs="宋体"/>
          <w:b/>
          <w:bCs/>
          <w:color w:val="auto"/>
          <w:sz w:val="24"/>
        </w:rPr>
        <w:t>10)其它要求</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①学院保安人员肩负着学院安全保卫重任，要有高度的责任感，严格遵守保安职业道德，认真履行岗位职责，如因工作失误，造成学院财产损失人员伤亡，需承担相应责任。</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②组织保安业务训练，每位保安员都必须参加全部训练。保安员要主动进行业务练兵，摸熟摸透与安全、消防工作相关的环境、人员、设施设配等。掌握应对基本功，以熟生巧，以提高业务知识和技能来提高工作效率。妥善保管好头盔、橡皮警棍、武装带、防割手套、催泪喷雾器等五件套及盾牌、等应急防范器械。器械摆放在规定的位置，每天检查擦拭干净。保安室要保持清洁卫生，保持良好的工作环境。</w:t>
      </w:r>
    </w:p>
    <w:p>
      <w:pPr>
        <w:widowControl/>
        <w:autoSpaceDE w:val="0"/>
        <w:autoSpaceDN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③组织安保例会。每月第一周周一上午项目经理必须组织召开一次保安例会，并提前3天通知保卫处负责人参加。</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④做好学院临时交办的工作任务。（学院如有大型活动，</w:t>
      </w:r>
      <w:r>
        <w:rPr>
          <w:rFonts w:hint="eastAsia" w:ascii="宋体" w:hAnsi="宋体" w:cs="宋体"/>
          <w:color w:val="auto"/>
          <w:sz w:val="24"/>
          <w:highlight w:val="none"/>
          <w:lang w:eastAsia="zh-CN"/>
        </w:rPr>
        <w:t>供应商</w:t>
      </w:r>
      <w:r>
        <w:rPr>
          <w:rFonts w:hint="eastAsia" w:ascii="宋体" w:hAnsi="宋体" w:eastAsia="宋体" w:cs="宋体"/>
          <w:color w:val="auto"/>
          <w:sz w:val="24"/>
        </w:rPr>
        <w:t>应按要求增派安保人员）。</w:t>
      </w:r>
    </w:p>
    <w:p>
      <w:pPr>
        <w:tabs>
          <w:tab w:val="left" w:pos="0"/>
        </w:tabs>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2.3  清卫保洁</w:t>
      </w:r>
    </w:p>
    <w:p>
      <w:pPr>
        <w:tabs>
          <w:tab w:val="left" w:pos="0"/>
        </w:tabs>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2.3.1  总则</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保持采购人室内外公共区域的清洁、保洁、消毒、生活垃圾的收集、清运等。对物业区域范围内的场所进行日常定时清扫，做到全天候、全方位保洁，并按要求做好垃圾分类工作。定期进行杀灭老鼠、苍蝇、蚊虫、蟑螂(臭虫)和白蚁防治工作（时间按相关工作规范要求执行），并做到无滋生源，定期对范围内的场所消毒（时间按相关工作规范要求执行）。</w:t>
      </w:r>
    </w:p>
    <w:p>
      <w:pPr>
        <w:tabs>
          <w:tab w:val="left" w:pos="0"/>
          <w:tab w:val="left" w:pos="480"/>
        </w:tabs>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2.3.2  工作时间</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全年：7：00－16：30（双休日和节假日视情人员减半）；如遇采购人有临时性工作任务，必须按照采购人要求全力保障。</w:t>
      </w:r>
    </w:p>
    <w:p>
      <w:pPr>
        <w:tabs>
          <w:tab w:val="left" w:pos="0"/>
          <w:tab w:val="left" w:pos="480"/>
        </w:tabs>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2.3.3  物业区域</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教学楼、宿舍楼、食堂走廊、楼梯道、卫生间、配电间、宣传栏、不锈钢栏杆、防火门</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行政楼会议室、接待室、值班室、大厅、阳台、屋顶平台、走廊、楼梯道、卫生间、配电间、宣传栏、 不锈钢栏杆、防火门</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实训楼走廊、楼梯道、卫生间、配电间、宣传栏、不锈钢栏杆、防火门</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图书馆报告厅、一楼大厅、走廊、楼梯道、卫生间、阳台、屋顶平台、宣传栏、不锈钢栏杆、防火门</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室外宣传橱窗、灯箱、路灯和停车场等　</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体育场台阶、跑道、看台、草坪、司令台、卫生间、不锈钢栏杆</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 xml:space="preserve">体育馆大厅、宣传栏、不锈钢栏杆、防火门、各楼层走廊、卫生间、配电间、   </w:t>
      </w:r>
    </w:p>
    <w:p>
      <w:pPr>
        <w:tabs>
          <w:tab w:val="left" w:pos="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三楼篮球馆等公共区域</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校园内各水系水池</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校园内的各室外道路、绿化带、架空层</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除“四害”系全校所有涉及区域（不含食堂伙房内部）</w:t>
      </w:r>
    </w:p>
    <w:p>
      <w:pPr>
        <w:tabs>
          <w:tab w:val="left" w:pos="0"/>
          <w:tab w:val="left" w:pos="480"/>
        </w:tabs>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2.3.4  物业标准和要求</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（1）公共区域及各楼层走廊、楼梯道清洁标准和要求</w:t>
      </w:r>
    </w:p>
    <w:p>
      <w:pPr>
        <w:numPr>
          <w:ilvl w:val="0"/>
          <w:numId w:val="2"/>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门窗(包括玻璃、窗框、窗台、门把手)、 瓷砖、墙面、镜子无手印、无污渍。</w:t>
      </w:r>
    </w:p>
    <w:p>
      <w:pPr>
        <w:numPr>
          <w:ilvl w:val="0"/>
          <w:numId w:val="2"/>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门厅、地面、瓷砖墙线、指示牌、悬挂牌无污渍、无痰渍、水迹、尘迹。</w:t>
      </w:r>
    </w:p>
    <w:p>
      <w:pPr>
        <w:numPr>
          <w:ilvl w:val="0"/>
          <w:numId w:val="2"/>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垃圾桶摆放统一整齐。消防器材箱、果皮箱、垃圾箱表面无污渍、无尘迹。</w:t>
      </w:r>
    </w:p>
    <w:p>
      <w:pPr>
        <w:numPr>
          <w:ilvl w:val="0"/>
          <w:numId w:val="2"/>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灯罩、灯饰、走廊的立面、天花顶等区域无蛛丝、无污尘。</w:t>
      </w:r>
    </w:p>
    <w:p>
      <w:pPr>
        <w:numPr>
          <w:ilvl w:val="0"/>
          <w:numId w:val="2"/>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通道无杂物，开水炉表面洁净，洗手池龙头台面如有水迹及时擦拭干净。开水炉每天对表面及底座清洗一次，每季度对内胆水垢进行一次清洗并更换净水滤芯，并将清洗结果三天内反馈给总务处。</w:t>
      </w:r>
    </w:p>
    <w:p>
      <w:pPr>
        <w:numPr>
          <w:ilvl w:val="0"/>
          <w:numId w:val="2"/>
        </w:numPr>
        <w:tabs>
          <w:tab w:val="left" w:pos="36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逢雨天雪天，负责各教学区、办公区域防滑垫的铺设与收回。</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（2）公共卫生间清洁标准和要求</w:t>
      </w:r>
    </w:p>
    <w:p>
      <w:pPr>
        <w:numPr>
          <w:ilvl w:val="0"/>
          <w:numId w:val="3"/>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地面、墙面、门、窗、玻璃镜面、隔板无灰尘污渍。</w:t>
      </w:r>
    </w:p>
    <w:p>
      <w:pPr>
        <w:numPr>
          <w:ilvl w:val="0"/>
          <w:numId w:val="3"/>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小便器、坐厕、洗手盆无污渍、无积水、无垢、无臭，瓷器光洁明亮。</w:t>
      </w:r>
    </w:p>
    <w:p>
      <w:pPr>
        <w:numPr>
          <w:ilvl w:val="0"/>
          <w:numId w:val="3"/>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保持下水管道畅通。</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（3）露天部分清洁标准和要求</w:t>
      </w:r>
    </w:p>
    <w:p>
      <w:pPr>
        <w:numPr>
          <w:ilvl w:val="0"/>
          <w:numId w:val="4"/>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道路整洁，侧石路面接缝无杂草，地面无垃圾杂物、无积水、无明显污渍油迹、无口香糖痕迹。</w:t>
      </w:r>
    </w:p>
    <w:p>
      <w:pPr>
        <w:numPr>
          <w:ilvl w:val="0"/>
          <w:numId w:val="4"/>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门岗、道闸无明显尘迹、污渍、无垃圾杂物。</w:t>
      </w:r>
    </w:p>
    <w:p>
      <w:pPr>
        <w:numPr>
          <w:ilvl w:val="0"/>
          <w:numId w:val="4"/>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室外设施无明显灰尘污渍及不良张贴物。</w:t>
      </w:r>
    </w:p>
    <w:p>
      <w:pPr>
        <w:numPr>
          <w:ilvl w:val="0"/>
          <w:numId w:val="4"/>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公共场所公园椅、景观灯、射灯、开关、饰物、灯罩、无污渍、水迹及明显灰尘。</w:t>
      </w:r>
    </w:p>
    <w:p>
      <w:pPr>
        <w:numPr>
          <w:ilvl w:val="0"/>
          <w:numId w:val="4"/>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2米以下栏杆、道路指示牌、路灯杆无尘迹。</w:t>
      </w:r>
    </w:p>
    <w:p>
      <w:pPr>
        <w:numPr>
          <w:ilvl w:val="0"/>
          <w:numId w:val="4"/>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绿化带无杂物及枯枝落叶。</w:t>
      </w:r>
    </w:p>
    <w:p>
      <w:pPr>
        <w:numPr>
          <w:ilvl w:val="0"/>
          <w:numId w:val="4"/>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校园各个水池面无明显漂浮物。</w:t>
      </w:r>
    </w:p>
    <w:p>
      <w:pPr>
        <w:numPr>
          <w:ilvl w:val="0"/>
          <w:numId w:val="4"/>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雕塑、雕像无污渍、涂鸦字迹及明显灰尘。</w:t>
      </w:r>
    </w:p>
    <w:p>
      <w:pPr>
        <w:tabs>
          <w:tab w:val="left" w:pos="425"/>
          <w:tab w:val="left" w:pos="540"/>
        </w:tabs>
        <w:snapToGrid w:val="0"/>
        <w:spacing w:line="500" w:lineRule="exact"/>
        <w:rPr>
          <w:rFonts w:hint="eastAsia" w:ascii="宋体" w:hAnsi="宋体" w:eastAsia="宋体" w:cs="宋体"/>
          <w:color w:val="auto"/>
          <w:sz w:val="24"/>
        </w:rPr>
      </w:pPr>
      <w:r>
        <w:rPr>
          <w:rFonts w:hint="eastAsia" w:ascii="宋体" w:hAnsi="宋体" w:eastAsia="宋体" w:cs="宋体"/>
          <w:b/>
          <w:bCs/>
          <w:color w:val="auto"/>
          <w:sz w:val="24"/>
        </w:rPr>
        <w:t>（4）垃圾清运清洁标准和要求</w:t>
      </w:r>
    </w:p>
    <w:p>
      <w:pPr>
        <w:numPr>
          <w:ilvl w:val="0"/>
          <w:numId w:val="5"/>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垃圾清运及时，垃圾中转站工具、垃圾箱筒摆放整齐。</w:t>
      </w:r>
    </w:p>
    <w:p>
      <w:pPr>
        <w:numPr>
          <w:ilvl w:val="0"/>
          <w:numId w:val="5"/>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及时清运垃圾箱筒，垃圾存量不超过三分之二，日产日清，并做到每周对垃圾箱筒清洗消毒一次。</w:t>
      </w:r>
    </w:p>
    <w:p>
      <w:pPr>
        <w:numPr>
          <w:ilvl w:val="0"/>
          <w:numId w:val="5"/>
        </w:numPr>
        <w:tabs>
          <w:tab w:val="left" w:pos="360"/>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垃圾清运工具应保持清洁无破损，清运过程中不得产生二次污染。</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（5）除“四害”和环境消杀标准和要求</w:t>
      </w:r>
    </w:p>
    <w:p>
      <w:pPr>
        <w:numPr>
          <w:ilvl w:val="0"/>
          <w:numId w:val="6"/>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定期请专业机构投药消杀，降低老鼠、苍蝇、蚊虫,蟑螂(臭虫) “四害”密度，并做到无滋生源。6月、8月、10月各开展一次外环境下水道热烟雾灭蚊、灭蟑、灭蝇；5月、10月至11月分别开展一次统一灭鼠，室内外同时开展，其余时间查遗补漏；5月、8月至9月各开展一次室内统一灭蟑螂。</w:t>
      </w:r>
    </w:p>
    <w:p>
      <w:pPr>
        <w:numPr>
          <w:ilvl w:val="0"/>
          <w:numId w:val="6"/>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每次投药或消杀前，需向院总务处提出申请许可，并附投药通知和专业机构资质相关资料，经总务处审核后方可进行投药工作。</w:t>
      </w:r>
    </w:p>
    <w:p>
      <w:pPr>
        <w:numPr>
          <w:ilvl w:val="0"/>
          <w:numId w:val="6"/>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根据流行病疫情情况，及时做好环境消杀工作。</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（6）白蚁防治标准和要求</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1）定期巡查和掌握校园建筑物内外、绿化植物的白蚁发生情况。</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2）根据白蚁生长习性，有重点地开展白蚁防治，及时请专业机构投药消杀。</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（7）其他要求</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1）每年暑期对办公室、会议室、接待室、报告厅、教室、实训室的窗帘布和纱窗全面清洗一次。</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2)在如遇重要工作、活动、赛事和考务承办等临时性卫生任务时，必须及时搞好清扫保洁工作，随叫随到。</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2.4  绿化养护和管理</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2.4.1  总则</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确保校园内绿化植物成活率98%以上，根据各类植物的寄生虫对象及时采取措施防治，无明显病虫害发生。开展科学养护，保证校园内植物生长良好，形成较好的植物景观。</w:t>
      </w:r>
    </w:p>
    <w:p>
      <w:pPr>
        <w:tabs>
          <w:tab w:val="left" w:pos="0"/>
          <w:tab w:val="left" w:pos="480"/>
        </w:tabs>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2.4.2  物业内容</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包括固有绿地、道路两边绿化、楼宇间绿地、运动场草坪、办公室和会议室观叶植物布置等，涵盖校园范围的所有树木、绿化带、草坪、花坛、绿篱；约120平方米花镜的时花布置，分别于元旦、五一、新学年开学前、国庆节前布置校园、天然植物群落。</w:t>
      </w:r>
    </w:p>
    <w:p>
      <w:pPr>
        <w:tabs>
          <w:tab w:val="left" w:pos="0"/>
          <w:tab w:val="left" w:pos="480"/>
        </w:tabs>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2.4.3  工作时间</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全年：8:00-16:30（双休日和节假日视情人员减半）；如遇采购人有临时性工作任务，必须按照采购人要求全力保障。</w:t>
      </w:r>
    </w:p>
    <w:p>
      <w:pPr>
        <w:numPr>
          <w:ilvl w:val="2"/>
          <w:numId w:val="7"/>
        </w:numPr>
        <w:tabs>
          <w:tab w:val="left" w:pos="0"/>
          <w:tab w:val="left" w:pos="480"/>
        </w:tabs>
        <w:adjustRightInd w:val="0"/>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 xml:space="preserve"> 物业标准和要求</w:t>
      </w:r>
    </w:p>
    <w:p>
      <w:pPr>
        <w:tabs>
          <w:tab w:val="left" w:pos="0"/>
          <w:tab w:val="left" w:pos="480"/>
        </w:tabs>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（1）日常养护与管理</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行道树和绿地内无死树，树木修剪（5米以下）基本合理，树形美观，能较好地解决树冠与电线（与电压≤1000伏电力线至少相距1米，与30千伏≤电压≤110千伏电力线，树冠与其距离必须大于4米）、建筑物、交通等之间的矛盾。</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2）绿化领班需具有园林及相关专业学习经历3年以上，并具有3年以上植物养护工作经验；其余人员须具有3年以上植物养护工作经验。</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3)绿化生产垃圾要做到日产日清，绿地内无明显的废弃物，能根据学院安排在重大节日或临时性任务前进行突击清理。</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4)根据草坪生长周期，定期围封学院操场，养护操场草坪，并做好围封标识牌的挂牌、通知等工作。</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5)抗旱、抗台、抗涝：旱季及新种植物要及时进行灌溉，防止植物因脱水而造成枯死。大雪、冰雹、台讯期间要做好加固、排涝抢险工作，及时处理道路上的折断树枝等杂物，防止植物受损。</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6)学院水系进水闸须由</w:t>
      </w:r>
      <w:r>
        <w:rPr>
          <w:rFonts w:hint="eastAsia" w:ascii="宋体" w:hAnsi="宋体" w:cs="宋体"/>
          <w:color w:val="auto"/>
          <w:sz w:val="24"/>
          <w:highlight w:val="none"/>
          <w:lang w:eastAsia="zh-CN"/>
        </w:rPr>
        <w:t>供应商</w:t>
      </w:r>
      <w:r>
        <w:rPr>
          <w:rFonts w:hint="eastAsia" w:ascii="宋体" w:hAnsi="宋体" w:eastAsia="宋体" w:cs="宋体"/>
          <w:color w:val="auto"/>
          <w:sz w:val="24"/>
        </w:rPr>
        <w:t>指定专人进行管理，以维持水系平衡。</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7)每年进行一次大乔木缩冠修剪及粗大枯枝修剪（含5米以上）。</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8)树木枯枝存在如有安全风险，必须立即处理。</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9)绿化生产资料购置由</w:t>
      </w:r>
      <w:r>
        <w:rPr>
          <w:rFonts w:hint="eastAsia" w:ascii="宋体" w:hAnsi="宋体" w:cs="宋体"/>
          <w:color w:val="auto"/>
          <w:sz w:val="24"/>
          <w:highlight w:val="none"/>
          <w:lang w:eastAsia="zh-CN"/>
        </w:rPr>
        <w:t>供应商</w:t>
      </w:r>
      <w:r>
        <w:rPr>
          <w:rFonts w:hint="eastAsia" w:ascii="宋体" w:hAnsi="宋体" w:eastAsia="宋体" w:cs="宋体"/>
          <w:color w:val="auto"/>
          <w:sz w:val="24"/>
        </w:rPr>
        <w:t>负责。</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（2）绿化植物补种</w:t>
      </w:r>
    </w:p>
    <w:p>
      <w:pPr>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负责原绿化区域内由于养护管理原因引起死亡的植物补种。</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（3）办公室和会议室观叶植物布置</w:t>
      </w:r>
    </w:p>
    <w:p>
      <w:pPr>
        <w:snapToGrid w:val="0"/>
        <w:spacing w:line="500" w:lineRule="exact"/>
        <w:ind w:firstLine="235" w:firstLineChars="98"/>
        <w:rPr>
          <w:rFonts w:hint="eastAsia" w:ascii="宋体" w:hAnsi="宋体" w:eastAsia="宋体" w:cs="宋体"/>
          <w:color w:val="auto"/>
          <w:sz w:val="24"/>
        </w:rPr>
      </w:pPr>
      <w:r>
        <w:rPr>
          <w:rFonts w:hint="eastAsia" w:ascii="宋体" w:hAnsi="宋体" w:eastAsia="宋体" w:cs="宋体"/>
          <w:color w:val="auto"/>
          <w:sz w:val="24"/>
        </w:rPr>
        <w:t>负责68间教职工办公室、8间会议（接待）室的观叶植物布置和养护，并视生长养护情况及时更换。</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（4）山林日常维护和防火</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1）设山林防护员2名（院本部和临安校区各1名），落实山林区域的常年清扫维护，有效预防森林火灾事故的发生。</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2）制订山林维护计划并报请采购人批准后实施，须对山林区域、走道上的枯树、枯竹、落叶、杂枝、垃圾全面清理。</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3）山林走道两侧、与邻交界处清理出5米防火隔离区。</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4）根据采购人要求，有计划地实施梳林工作。</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5）清理出的垃圾须及时运走，不得就地焚烧或填埋；不得损坏绿化植物。</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2.5  工程设备维护</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2.5.1  给排水系统维护保养维修、公共照明与综合维修</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（1）总则</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确保校园内的自来水、污水管道、化粪池、窨井、窨沟、排水沟（含房顶雨水沟）、集水井等保证畅通，无堵塞外溢现象；确保公共照明、消防安全指示灯、应急灯的亮灯率100%。确保各类办公、教学和学生生活等各类设施设备的正常使用。提供合理的用水、用电管理建议，协助采购人对用水用电进行科学管理。</w:t>
      </w:r>
    </w:p>
    <w:p>
      <w:pPr>
        <w:tabs>
          <w:tab w:val="left" w:pos="420"/>
        </w:tabs>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（2）工作时间</w:t>
      </w:r>
    </w:p>
    <w:p>
      <w:pPr>
        <w:numPr>
          <w:ilvl w:val="0"/>
          <w:numId w:val="8"/>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工作日：7:30-16:30 ；晚间水电值班（含抢修）1人，工作时间16:30-22:00，此时间外的抢修任务随叫随到。</w:t>
      </w:r>
    </w:p>
    <w:p>
      <w:pPr>
        <w:numPr>
          <w:ilvl w:val="0"/>
          <w:numId w:val="8"/>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双休日和节假日：水电工1人，工作时间8:00-22:00，此时间外的抢修任务随叫随到。</w:t>
      </w:r>
    </w:p>
    <w:p>
      <w:pPr>
        <w:numPr>
          <w:ilvl w:val="0"/>
          <w:numId w:val="8"/>
        </w:numPr>
        <w:adjustRightInd w:val="0"/>
        <w:snapToGrid w:val="0"/>
        <w:spacing w:line="500" w:lineRule="exact"/>
        <w:ind w:left="0" w:firstLine="0"/>
        <w:rPr>
          <w:rFonts w:hint="eastAsia" w:ascii="宋体" w:hAnsi="宋体" w:eastAsia="宋体" w:cs="宋体"/>
          <w:bCs/>
          <w:color w:val="auto"/>
          <w:sz w:val="24"/>
        </w:rPr>
      </w:pPr>
      <w:r>
        <w:rPr>
          <w:rFonts w:hint="eastAsia" w:ascii="宋体" w:hAnsi="宋体" w:eastAsia="宋体" w:cs="宋体"/>
          <w:color w:val="auto"/>
          <w:sz w:val="24"/>
        </w:rPr>
        <w:t>若遇维修、抢修任务随叫随到，根据</w:t>
      </w:r>
      <w:r>
        <w:rPr>
          <w:rFonts w:hint="eastAsia" w:ascii="宋体" w:hAnsi="宋体" w:eastAsia="宋体" w:cs="宋体"/>
          <w:color w:val="auto"/>
          <w:sz w:val="24"/>
          <w:lang w:eastAsia="zh-CN"/>
        </w:rPr>
        <w:t>采购人</w:t>
      </w:r>
      <w:r>
        <w:rPr>
          <w:rFonts w:hint="eastAsia" w:ascii="宋体" w:hAnsi="宋体" w:eastAsia="宋体" w:cs="宋体"/>
          <w:color w:val="auto"/>
          <w:sz w:val="24"/>
        </w:rPr>
        <w:t>要求安排落实人员。</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（3）各子项物业内容、标准与要求</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1）雨、污水管道疏通</w:t>
      </w:r>
    </w:p>
    <w:p>
      <w:pPr>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 1 \* GB3 </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①</w:t>
      </w:r>
      <w:r>
        <w:rPr>
          <w:rFonts w:hint="eastAsia" w:ascii="宋体" w:hAnsi="宋体" w:eastAsia="宋体" w:cs="宋体"/>
          <w:b/>
          <w:color w:val="auto"/>
          <w:sz w:val="24"/>
        </w:rPr>
        <w:fldChar w:fldCharType="end"/>
      </w:r>
      <w:r>
        <w:rPr>
          <w:rFonts w:hint="eastAsia" w:ascii="宋体" w:hAnsi="宋体" w:eastAsia="宋体" w:cs="宋体"/>
          <w:b/>
          <w:color w:val="auto"/>
          <w:sz w:val="24"/>
        </w:rPr>
        <w:t>物业内容</w:t>
      </w:r>
    </w:p>
    <w:p>
      <w:pPr>
        <w:tabs>
          <w:tab w:val="left" w:pos="0"/>
        </w:tabs>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学院楼宇（含各教学楼、行政楼、实训楼、食堂生活便利店各学生宿舍楼、图书馆、体育馆、教工宿舍等）及各公共区域的雨、污水管道（含阀门、管道、水龙头等附属设备），以及涉及各楼宇排污排水的零星地下管线路的维修。</w:t>
      </w:r>
    </w:p>
    <w:p>
      <w:pPr>
        <w:tabs>
          <w:tab w:val="left" w:pos="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 2 \* GB3 </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②</w:t>
      </w:r>
      <w:r>
        <w:rPr>
          <w:rFonts w:hint="eastAsia" w:ascii="宋体" w:hAnsi="宋体" w:eastAsia="宋体" w:cs="宋体"/>
          <w:b/>
          <w:color w:val="auto"/>
          <w:sz w:val="24"/>
        </w:rPr>
        <w:fldChar w:fldCharType="end"/>
      </w:r>
      <w:r>
        <w:rPr>
          <w:rFonts w:hint="eastAsia" w:ascii="宋体" w:hAnsi="宋体" w:eastAsia="宋体" w:cs="宋体"/>
          <w:b/>
          <w:color w:val="auto"/>
          <w:sz w:val="24"/>
        </w:rPr>
        <w:t>物业标准和要求</w:t>
      </w:r>
    </w:p>
    <w:p>
      <w:pPr>
        <w:tabs>
          <w:tab w:val="left" w:pos="420"/>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A.水电维修人员必须在接到报修后一小时内到达现场，仪容仪表规范整齐，持证上岗，上岗时佩戴统一标志；严格执行用水用电安全规范，确保用水用电安全。</w:t>
      </w:r>
    </w:p>
    <w:p>
      <w:pPr>
        <w:tabs>
          <w:tab w:val="left" w:pos="420"/>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B.各排水管、排污管、窨井、阴沟、排水沟（含房顶雨水沟）、集水井，要保持畅通管道通畅，无堵塞外溢现象。</w:t>
      </w:r>
    </w:p>
    <w:p>
      <w:pPr>
        <w:tabs>
          <w:tab w:val="left" w:pos="420"/>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C.学院的下水管道(雨水井、污水管道、沉降井、避沟、泄洪沟)的清理（淤</w:t>
      </w:r>
    </w:p>
    <w:p>
      <w:pPr>
        <w:tabs>
          <w:tab w:val="left" w:pos="420"/>
          <w:tab w:val="left" w:pos="540"/>
        </w:tabs>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泥、树枝、石子等）与疏通。每季度至少请专业公司清理疏通一次，并将疏通结果以书面形式报总务备案。</w:t>
      </w:r>
    </w:p>
    <w:p>
      <w:pPr>
        <w:tabs>
          <w:tab w:val="left" w:pos="420"/>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D.图书馆、行政楼、教学楼、实验实训楼、学生宿舍楼的卫生清理及排水沟清理与疏通。每季度至少请专业公司清理疏通一次。</w:t>
      </w:r>
    </w:p>
    <w:p>
      <w:pPr>
        <w:tabs>
          <w:tab w:val="left" w:pos="420"/>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E.化粪池：保持通畅、无堵塞、无满溢，半年清掏一次。厕所堵塞应当天疏通，如有堵塞当天不能疏通的，必须经总务处同意后方可延期完成。</w:t>
      </w:r>
    </w:p>
    <w:p>
      <w:pPr>
        <w:tabs>
          <w:tab w:val="left" w:pos="420"/>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F.如遇异常天气(台风、暴雨、雪等)前，物管组织人员进行抗自然灾害的预防准备工作，异常天气(台风、暴雨、雪等)中，物管组织人员投入到抗自然灾害的各项工作，异常天气(台风、暴雨、雪等)后，物管组织专业公司人员进行对屋顶平台的卫生清理和天沟屋顶平台排水沟清理与疏通及下水管道(雨水井、沉降井、避水沟、泄洪沟)的清理与疏通。每次清理疏通工作完毕后，物管须向学院相关部门告知，学院相关部门对清理疏通工作进行查验。</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2)供水系统与水泵房维护维修与抢修</w:t>
      </w:r>
    </w:p>
    <w:p>
      <w:pPr>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 1 \* GB3 </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①</w:t>
      </w:r>
      <w:r>
        <w:rPr>
          <w:rFonts w:hint="eastAsia" w:ascii="宋体" w:hAnsi="宋体" w:eastAsia="宋体" w:cs="宋体"/>
          <w:b/>
          <w:color w:val="auto"/>
          <w:sz w:val="24"/>
        </w:rPr>
        <w:fldChar w:fldCharType="end"/>
      </w:r>
      <w:r>
        <w:rPr>
          <w:rFonts w:hint="eastAsia" w:ascii="宋体" w:hAnsi="宋体" w:eastAsia="宋体" w:cs="宋体"/>
          <w:b/>
          <w:color w:val="auto"/>
          <w:sz w:val="24"/>
        </w:rPr>
        <w:t>物业内容</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A.负责市政自来水公司进水管道到水泵房的管路（含地下管线部分）的维护维修与抢修。</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B.负责校园内的两个水泵房的日常巡检维护和维修抢修。</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C.负责整个校园内水管系统的维护维修抢修任务。</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D.供水设备：设施设备完好、无渗漏、无污染。</w:t>
      </w:r>
    </w:p>
    <w:p>
      <w:pPr>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 2 \* GB3 </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②</w:t>
      </w:r>
      <w:r>
        <w:rPr>
          <w:rFonts w:hint="eastAsia" w:ascii="宋体" w:hAnsi="宋体" w:eastAsia="宋体" w:cs="宋体"/>
          <w:b/>
          <w:color w:val="auto"/>
          <w:sz w:val="24"/>
        </w:rPr>
        <w:fldChar w:fldCharType="end"/>
      </w:r>
      <w:r>
        <w:rPr>
          <w:rFonts w:hint="eastAsia" w:ascii="宋体" w:hAnsi="宋体" w:eastAsia="宋体" w:cs="宋体"/>
          <w:b/>
          <w:color w:val="auto"/>
          <w:sz w:val="24"/>
        </w:rPr>
        <w:t>物业标准和要求</w:t>
      </w:r>
    </w:p>
    <w:p>
      <w:pPr>
        <w:tabs>
          <w:tab w:val="left" w:pos="0"/>
          <w:tab w:val="left" w:pos="42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A.水电维修人员必须在接到报修后半小时内到达现场，仪容仪表规范整齐，持证上岗，上岗时佩戴统一标志；严格执行用水用电安全规范。</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B.水泵房一周三次巡检，发现问题及时维修，一般维修不得超过半天，抢修任务不得超过一天，做好台帐记录。</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C.水泵房实施专人管理，管道：每年一次除锈、油漆；每季对润滑点加油，必须对人员进出泵房情况实施登记，保证二次供水正常。</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D.每季度对开水炉滤芯进行更换，并报请总务处验收。</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E.如遇有难度的维修事项需延期修复或请社会专业机构维修的，需报请总务或其他报修部门的同意后延期维修。</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水箱、蓄水池：每年定期二次清洗，二次供水水质符合国家生活用水标准，并提供合格检测报告，要求请有资质的自来水公司实施。</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减压阀：每年二次测压并记录，无渗漏现象。水箱、蓄水池盖板，溢流口金属防护网：水箱、蓄水池盖板保持完好并加锁，溢流管口安装金属防护网完好。</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生活水泵：每年保养一次，保证其运行正常。</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控制柜：每月检查一次，控制柜电器性能完好，运作正常。</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室外水管：秋、冬季进行防冻保养，保证二次供水正常。</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水表箱内阀门接口及减压阀：每季检查一次，无渗漏现象。</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管网及闸阀：每年保养，无明显锈蚀、无渗漏。</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二次供水卫生许可证、水质化验单、操作人员健康合格证齐全。</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设备出现故障时，维修人员应在接到报修后5分钟内到达现场，维修合格率100%，一般性故障排除不过夜。</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及时发现用水异常现象，每周做好总表、分表用水记录，发现异常及时报告，并作出处理。</w:t>
      </w:r>
    </w:p>
    <w:p>
      <w:pPr>
        <w:numPr>
          <w:ilvl w:val="0"/>
          <w:numId w:val="9"/>
        </w:numPr>
        <w:adjustRightInd w:val="0"/>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公共照明系统的维修保养</w:t>
      </w:r>
    </w:p>
    <w:p>
      <w:pPr>
        <w:snapToGrid w:val="0"/>
        <w:spacing w:line="500" w:lineRule="exact"/>
        <w:ind w:left="240"/>
        <w:rPr>
          <w:rFonts w:hint="eastAsia" w:ascii="宋体" w:hAnsi="宋体" w:eastAsia="宋体" w:cs="宋体"/>
          <w:b/>
          <w:color w:val="auto"/>
          <w:sz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 1 \* GB3 </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①</w:t>
      </w:r>
      <w:r>
        <w:rPr>
          <w:rFonts w:hint="eastAsia" w:ascii="宋体" w:hAnsi="宋体" w:eastAsia="宋体" w:cs="宋体"/>
          <w:b/>
          <w:color w:val="auto"/>
          <w:sz w:val="24"/>
        </w:rPr>
        <w:fldChar w:fldCharType="end"/>
      </w:r>
      <w:r>
        <w:rPr>
          <w:rFonts w:hint="eastAsia" w:ascii="宋体" w:hAnsi="宋体" w:eastAsia="宋体" w:cs="宋体"/>
          <w:b/>
          <w:color w:val="auto"/>
          <w:sz w:val="24"/>
        </w:rPr>
        <w:t>物业内容</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A.总配电箱及各分电表箱、配电箱、配电柜及每层管线分线盒</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B.公共使用的照明、指示灯(含消防指示灯)、应急灯（含电线、开关等附件）</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C.伸缩门、道闸</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D.低配间巡检与维护维修</w:t>
      </w:r>
    </w:p>
    <w:p>
      <w:pPr>
        <w:tabs>
          <w:tab w:val="left" w:pos="425"/>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 2 \* GB3 </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②</w:t>
      </w:r>
      <w:r>
        <w:rPr>
          <w:rFonts w:hint="eastAsia" w:ascii="宋体" w:hAnsi="宋体" w:eastAsia="宋体" w:cs="宋体"/>
          <w:b/>
          <w:color w:val="auto"/>
          <w:sz w:val="24"/>
        </w:rPr>
        <w:fldChar w:fldCharType="end"/>
      </w:r>
      <w:r>
        <w:rPr>
          <w:rFonts w:hint="eastAsia" w:ascii="宋体" w:hAnsi="宋体" w:eastAsia="宋体" w:cs="宋体"/>
          <w:b/>
          <w:color w:val="auto"/>
          <w:sz w:val="24"/>
        </w:rPr>
        <w:t>物业标准和要求</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A.总配电箱及各分电表箱、配电箱、配电柜及每层管线分线盒：无积尘，头无松动现象；每学期清洁一次，主要用电线路的绝缘状况，每学期测试一次，绝缘良好。</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B.公共使用的照明、指示灯（含消防指示灯）和应急灯（具线路、开关要保证完好）；路灯、楼道灯、各房间内的照明灯，亮灯率100%。路灯杆、景观灯灯杆、道路标示牌杆每年油漆防锈保养一次，保养计划与通知应提前一周报总务同意后方可实行，并做好保养期间的围封与通知挂牌工作。</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C.各低配间一周两次的巡检和维修,并建立台账记录。</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D.伸缩门、道闸：启动灵活，完好无损，正常使用，每半年保养一次。</w:t>
      </w:r>
    </w:p>
    <w:p>
      <w:pPr>
        <w:numPr>
          <w:ilvl w:val="0"/>
          <w:numId w:val="9"/>
        </w:numPr>
        <w:adjustRightInd w:val="0"/>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综合维修</w:t>
      </w:r>
    </w:p>
    <w:p>
      <w:pPr>
        <w:snapToGrid w:val="0"/>
        <w:spacing w:line="500" w:lineRule="exact"/>
        <w:ind w:left="240"/>
        <w:rPr>
          <w:rFonts w:hint="eastAsia" w:ascii="宋体" w:hAnsi="宋体" w:eastAsia="宋体" w:cs="宋体"/>
          <w:b/>
          <w:color w:val="auto"/>
          <w:sz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 1 \* GB3 </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①</w:t>
      </w:r>
      <w:r>
        <w:rPr>
          <w:rFonts w:hint="eastAsia" w:ascii="宋体" w:hAnsi="宋体" w:eastAsia="宋体" w:cs="宋体"/>
          <w:b/>
          <w:color w:val="auto"/>
          <w:sz w:val="24"/>
        </w:rPr>
        <w:fldChar w:fldCharType="end"/>
      </w:r>
      <w:r>
        <w:rPr>
          <w:rFonts w:hint="eastAsia" w:ascii="宋体" w:hAnsi="宋体" w:eastAsia="宋体" w:cs="宋体"/>
          <w:b/>
          <w:color w:val="auto"/>
          <w:sz w:val="24"/>
        </w:rPr>
        <w:t>物业内容</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A.各类办公、教学或学生生活设施设备如灯具、风扇、插座、开关、公共开水炉、水龙头、床、桌、椅、凳、课桌椅、门、窗、锁、玻璃、消防箱玻璃、道路指示牌、消防标示牌、学生宿舍家具、柜子、镜子、洗手盆、大小便器、花洒、晾衣架等。　</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B.房屋日常养护和小型维修：建筑物安全巡查和外墙面砖掉落应急处理；屋面、天沟和下水道定期清理；建筑物内部基础装饰设施维修：包括校园内各楼宇室内外的瓷砖、贴脚线、台面、墙砖、地面、墙壁、吊顶、门、窗、锁、供水终端设施、楼梯、护栏等零星维修。</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C.采购人物业区域内防雷相关设施设备的维修维护，防雷检测。</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D.道路、运动场塑胶地面修补与维护。</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E.电信机房及通讯线路维护。</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F.大钟维修与保养。</w:t>
      </w:r>
    </w:p>
    <w:p>
      <w:pPr>
        <w:tabs>
          <w:tab w:val="left" w:pos="0"/>
          <w:tab w:val="left" w:pos="42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 2 \* GB3 </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②</w:t>
      </w:r>
      <w:r>
        <w:rPr>
          <w:rFonts w:hint="eastAsia" w:ascii="宋体" w:hAnsi="宋体" w:eastAsia="宋体" w:cs="宋体"/>
          <w:b/>
          <w:color w:val="auto"/>
          <w:sz w:val="24"/>
        </w:rPr>
        <w:fldChar w:fldCharType="end"/>
      </w:r>
      <w:r>
        <w:rPr>
          <w:rFonts w:hint="eastAsia" w:ascii="宋体" w:hAnsi="宋体" w:eastAsia="宋体" w:cs="宋体"/>
          <w:b/>
          <w:color w:val="auto"/>
          <w:sz w:val="24"/>
        </w:rPr>
        <w:t>物业标准和要求</w:t>
      </w:r>
    </w:p>
    <w:p>
      <w:pPr>
        <w:tabs>
          <w:tab w:val="left" w:pos="0"/>
          <w:tab w:val="left" w:pos="42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A.每日对建筑物安全进行巡查，及时做好外墙面砖掉落应急处理，并建立台账。</w:t>
      </w:r>
    </w:p>
    <w:p>
      <w:pPr>
        <w:tabs>
          <w:tab w:val="left" w:pos="0"/>
          <w:tab w:val="left" w:pos="42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B.每季度不少于1次对建筑物屋面、天沟和下水道进行清理，并通知总务验收和建立台账。</w:t>
      </w:r>
    </w:p>
    <w:p>
      <w:pPr>
        <w:tabs>
          <w:tab w:val="left" w:pos="0"/>
          <w:tab w:val="left" w:pos="42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C.</w:t>
      </w:r>
      <w:r>
        <w:rPr>
          <w:rFonts w:hint="eastAsia" w:ascii="宋体" w:hAnsi="宋体" w:eastAsia="宋体" w:cs="宋体"/>
          <w:color w:val="auto"/>
          <w:sz w:val="24"/>
          <w:lang w:eastAsia="zh-CN"/>
        </w:rPr>
        <w:t>供应商</w:t>
      </w:r>
      <w:r>
        <w:rPr>
          <w:rFonts w:hint="eastAsia" w:ascii="宋体" w:hAnsi="宋体" w:eastAsia="宋体" w:cs="宋体"/>
          <w:color w:val="auto"/>
          <w:sz w:val="24"/>
        </w:rPr>
        <w:t>必须指定一名报修接单员，接到报修单后在1-5日内完成，紧急抢修不过夜，维修合格率达到100%，在遇维修件较多情况下，需服从总务安排的维修次序进行维修，不得随意调换维修次序。如遇有难度的维修需延期修复的，需报请总务或其他报修部门的同意后延期维修。</w:t>
      </w:r>
    </w:p>
    <w:p>
      <w:pPr>
        <w:tabs>
          <w:tab w:val="left" w:pos="0"/>
          <w:tab w:val="left" w:pos="42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D.维修完成后，报修单必须由报修部门或人员签字，并签署意见后，于当天或第二天将报修单返回到总务处指定人员处；并做好当天的维修统计工作。</w:t>
      </w:r>
    </w:p>
    <w:p>
      <w:pPr>
        <w:snapToGrid w:val="0"/>
        <w:spacing w:line="500" w:lineRule="exact"/>
        <w:ind w:firstLine="240" w:firstLineChars="100"/>
        <w:rPr>
          <w:rFonts w:hint="eastAsia" w:ascii="宋体" w:hAnsi="宋体" w:eastAsia="宋体" w:cs="宋体"/>
          <w:bCs/>
          <w:color w:val="auto"/>
          <w:sz w:val="24"/>
        </w:rPr>
      </w:pPr>
      <w:r>
        <w:rPr>
          <w:rFonts w:hint="eastAsia" w:ascii="宋体" w:hAnsi="宋体" w:eastAsia="宋体" w:cs="宋体"/>
          <w:color w:val="auto"/>
          <w:sz w:val="24"/>
        </w:rPr>
        <w:t>E.建立维修资料的收集、分类整理、归档管理制度，以备学院相关部门检查或</w:t>
      </w:r>
      <w:r>
        <w:rPr>
          <w:rFonts w:hint="eastAsia" w:ascii="宋体" w:hAnsi="宋体" w:eastAsia="宋体" w:cs="宋体"/>
          <w:bCs/>
          <w:color w:val="auto"/>
          <w:sz w:val="24"/>
        </w:rPr>
        <w:t>调用数据资料。</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2.5.2  空调拆移机及维修保养</w:t>
      </w:r>
    </w:p>
    <w:p>
      <w:pPr>
        <w:snapToGrid w:val="0"/>
        <w:spacing w:line="500" w:lineRule="exact"/>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rPr>
        <w:t>（1）总则</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确保采购人873台教学办公生活所用的空调正常运行，根据采购需要，做好拆移机工作，及时进行养护和维修，保证随到随修；建立维修制度；及时成立抢修小组，可随时到达现场抢修。提供服务后质量保证。维修合格率100%。</w:t>
      </w:r>
    </w:p>
    <w:p>
      <w:pPr>
        <w:tabs>
          <w:tab w:val="left" w:pos="480"/>
        </w:tabs>
        <w:snapToGrid w:val="0"/>
        <w:spacing w:line="500" w:lineRule="exact"/>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rPr>
        <w:t>（2）物业内容</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采购人物业区域场地内所涉及的所有空调。</w:t>
      </w:r>
    </w:p>
    <w:p>
      <w:pPr>
        <w:tabs>
          <w:tab w:val="left" w:pos="480"/>
        </w:tabs>
        <w:snapToGrid w:val="0"/>
        <w:spacing w:line="500" w:lineRule="exact"/>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rPr>
        <w:t>（3）物业标准和要求</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每年5月及11月各一次定期进行过滤网清洗。</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空调拆机、移机、加液、维修响应时间不得长于24小时，特殊情况下不能响应的，需报请总务处同意后延时响应。</w:t>
      </w:r>
    </w:p>
    <w:p>
      <w:pPr>
        <w:tabs>
          <w:tab w:val="left" w:pos="540"/>
        </w:tabs>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2.5.3  高配室值班与设备维护</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（1）总则</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严格遵守国家和省市的电力法律、法规及操作规程，制定配电值班制度和安全方面的制度；做好所管辖范围内相关设施设备的日常维护、保养、巡视、检查及维修工作。</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（2）物业内容</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3个高配配电间和之间的联络电缆正常供电。</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（3）物业标准和要求</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配电值班安排：</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保证24小时值班、每班不少于1人、配电值班人员要求相对固定，同时所有值班人员必须持证上岗（持有高</w:t>
      </w:r>
      <w:r>
        <w:rPr>
          <w:rFonts w:hint="eastAsia" w:ascii="宋体" w:hAnsi="宋体" w:eastAsia="宋体" w:cs="宋体"/>
          <w:color w:val="auto"/>
          <w:sz w:val="24"/>
        </w:rPr>
        <w:t>配上岗证及相关的电工操作证）。</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公共照明系统、教室空调电源应根据使用日的季节与气候情况掌握提前开启时间，用毕应立即关闭，避免浪费。</w:t>
      </w:r>
    </w:p>
    <w:p>
      <w:pPr>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rPr>
        <w:t>如发现</w:t>
      </w:r>
      <w:r>
        <w:rPr>
          <w:rFonts w:hint="eastAsia" w:ascii="宋体" w:hAnsi="宋体" w:cs="宋体"/>
          <w:color w:val="auto"/>
          <w:sz w:val="24"/>
          <w:highlight w:val="none"/>
          <w:lang w:eastAsia="zh-CN"/>
        </w:rPr>
        <w:t>供应商</w:t>
      </w:r>
      <w:r>
        <w:rPr>
          <w:rFonts w:hint="eastAsia" w:ascii="宋体" w:hAnsi="宋体" w:eastAsia="宋体" w:cs="宋体"/>
          <w:color w:val="auto"/>
          <w:sz w:val="24"/>
        </w:rPr>
        <w:t>违反电力法律、法规及操作规程的，采购人有权要求</w:t>
      </w:r>
      <w:r>
        <w:rPr>
          <w:rFonts w:hint="eastAsia" w:ascii="宋体" w:hAnsi="宋体" w:cs="宋体"/>
          <w:color w:val="auto"/>
          <w:sz w:val="24"/>
          <w:highlight w:val="none"/>
          <w:lang w:eastAsia="zh-CN"/>
        </w:rPr>
        <w:t>供应商</w:t>
      </w:r>
      <w:r>
        <w:rPr>
          <w:rFonts w:hint="eastAsia" w:ascii="宋体" w:hAnsi="宋体" w:eastAsia="宋体" w:cs="宋体"/>
          <w:color w:val="auto"/>
          <w:sz w:val="24"/>
        </w:rPr>
        <w:t>进行限期整改。</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rPr>
        <w:tab/>
      </w:r>
      <w:r>
        <w:rPr>
          <w:rFonts w:hint="eastAsia" w:ascii="宋体" w:hAnsi="宋体" w:eastAsia="宋体" w:cs="宋体"/>
          <w:color w:val="auto"/>
          <w:sz w:val="24"/>
        </w:rPr>
        <w:t>双方应严格遵守配电值班的相关制度，非高配值班人员进入高配间应进行必要的登记。</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5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⑤</w:t>
      </w:r>
      <w:r>
        <w:rPr>
          <w:rFonts w:hint="eastAsia" w:ascii="宋体" w:hAnsi="宋体" w:eastAsia="宋体" w:cs="宋体"/>
          <w:color w:val="auto"/>
          <w:sz w:val="24"/>
        </w:rPr>
        <w:fldChar w:fldCharType="end"/>
      </w:r>
      <w:r>
        <w:rPr>
          <w:rFonts w:hint="eastAsia" w:ascii="宋体" w:hAnsi="宋体" w:eastAsia="宋体" w:cs="宋体"/>
          <w:color w:val="auto"/>
          <w:sz w:val="24"/>
        </w:rPr>
        <w:t>应做好停电或设备检修时的配电倒闸操作，倒闸操作必须2人在场操作。</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6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⑥</w:t>
      </w:r>
      <w:r>
        <w:rPr>
          <w:rFonts w:hint="eastAsia" w:ascii="宋体" w:hAnsi="宋体" w:eastAsia="宋体" w:cs="宋体"/>
          <w:color w:val="auto"/>
          <w:sz w:val="24"/>
        </w:rPr>
        <w:fldChar w:fldCharType="end"/>
      </w:r>
      <w:r>
        <w:rPr>
          <w:rFonts w:hint="eastAsia" w:ascii="宋体" w:hAnsi="宋体" w:eastAsia="宋体" w:cs="宋体"/>
          <w:color w:val="auto"/>
          <w:sz w:val="24"/>
        </w:rPr>
        <w:t>办理涉及与供电局及相关业务单位有关的相关联系工作。</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7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⑦</w:t>
      </w:r>
      <w:r>
        <w:rPr>
          <w:rFonts w:hint="eastAsia" w:ascii="宋体" w:hAnsi="宋体" w:eastAsia="宋体" w:cs="宋体"/>
          <w:color w:val="auto"/>
          <w:sz w:val="24"/>
        </w:rPr>
        <w:fldChar w:fldCharType="end"/>
      </w:r>
      <w:r>
        <w:rPr>
          <w:rFonts w:hint="eastAsia" w:ascii="宋体" w:hAnsi="宋体" w:eastAsia="宋体" w:cs="宋体"/>
          <w:color w:val="auto"/>
          <w:sz w:val="24"/>
        </w:rPr>
        <w:tab/>
      </w:r>
      <w:r>
        <w:rPr>
          <w:rFonts w:hint="eastAsia" w:ascii="宋体" w:hAnsi="宋体" w:eastAsia="宋体" w:cs="宋体"/>
          <w:color w:val="auto"/>
          <w:sz w:val="24"/>
        </w:rPr>
        <w:t>及时登记非高配工作人员之外的人员进出情况，并做好检查、维修、维护等记录、统计报表等台帐。</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8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⑧</w:t>
      </w:r>
      <w:r>
        <w:rPr>
          <w:rFonts w:hint="eastAsia" w:ascii="宋体" w:hAnsi="宋体" w:eastAsia="宋体" w:cs="宋体"/>
          <w:color w:val="auto"/>
          <w:sz w:val="24"/>
        </w:rPr>
        <w:fldChar w:fldCharType="end"/>
      </w:r>
      <w:r>
        <w:rPr>
          <w:rFonts w:hint="eastAsia" w:ascii="宋体" w:hAnsi="宋体" w:eastAsia="宋体" w:cs="宋体"/>
          <w:color w:val="auto"/>
          <w:sz w:val="24"/>
        </w:rPr>
        <w:t>每年委托第三方公司检测高配设施，开展全院用电安全情况评估。</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2.5.4  广电系统维护保养</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（1）总则</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维护广电系统的各种设备，报修响应时间不超过6小时，24小时内完成任务（更换设备或更换线缆除外）；维修故障时须派专业人员上门维修，避免出现维修人员不懂如何维修设备的情况；如遇重大、疑难问题在24小时内对解决方法和解决时间提供明确的回复，双方就故障情况共同协商解决方案。</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（2）服务内容及具体要求</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1）有线电视系统</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卫星电视接收及播出系统</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维护设备：卫星天线、卫星接收机、调制解调器、各设备连接线路</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维护要求：硬件设备的故障维修，卫星信号调试</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电视演播系统</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维护设备：演播厅及灯光系统、多功能演播录像主机及软件、显示器、调音台、矩阵、信号切换器、摄像机、字幕提示器及软件、各设备连接线路</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维护要求：硬件设备的故障维修，演播厅灯光系统故障调试，多功能演播录像系统软件故障调试，字幕提示器软件故障调试</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rPr>
        <w:t>非编系统</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维护设备：非编系统主机及软件、显示器、有源音箱</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维护要求：硬件设备的故障维修，非编系统软件（Windows操作系统、视频编辑软件）故障调试</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rPr>
        <w:t>有线电视线路及终端设备</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维护设备：有线电视线路、信号放大器，电视机</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维护要求：硬件设备的故障维修，无电视信号及信号弱的调试</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2）弱电网络布线</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网络信息插口(墙插)维修</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维护设备：办公建筑物内网络信息插口（强插）</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维护要求：网络信息插口的面板破损、模块故障维修</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办公、教学用房网线调整、敷设。</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维护设备：根据学校办公、教学需要对办公室、实训室、教室内的网线走向进行调整或重新敷设。</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维护要求：需要根据学校办公、教学业务调整要求和建筑物的情况进行适当的打孔穿墙、网线敷设并穿入pvc管槽内。</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③校内电话机房及分机站维护。</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3）其他设备</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移动音响播出设备</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维护设备：功放、音箱、数字处理器、调音台、电源时序器、无线话筒及其信号发射接收器、各设备连接线路</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维护要求：硬件设备的故障维修</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LED电子屏(3块)</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维护设备：LED电子屏，控制电脑及软件，信号线路及信号传输设备</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维护要求：硬件设备的故障维修，控制电脑及软件故障调试</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rPr>
        <w:t>其他设备</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维护设备：有线话筒、无线话筒及其信号发射接收器</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维护要求：硬件设备的故障维修</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4）其他要求</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每年定期巡回检查、维护保养二次，时间为每学期结束的最后一周。</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报修故障上门维护。</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2.6 电梯维保维修与年检</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2.6.1总则</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坚持“安全第一、预防为主、综合治理”的方针，中标方为电梯安全使用的责任主体，对电梯安全使用负第一责任。严格遵守国家和省市的电梯安全工作的法规，明确电梯维修和维保过程中的安全责任，明确电梯检验检测机构安全责任。强化电梯安全措施，加强电梯质量安全监管，加强电梯安全隐患排查治理。</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2.6.2  物业内容</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食堂两部电梯（报停一部）、实训楼一部电梯、数控实训中心一部电梯、图书馆一部电梯，共四部。</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2.6.3  物业标准和要求</w:t>
      </w:r>
    </w:p>
    <w:p>
      <w:pPr>
        <w:tabs>
          <w:tab w:val="left" w:pos="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（1）委托专业机构按国家规范要求定期维护保养，维保现场必须有物业人员监管，维保情况报请总务处确认，并规范建立电梯维保、使用、检修台账。</w:t>
      </w:r>
    </w:p>
    <w:p>
      <w:pPr>
        <w:tabs>
          <w:tab w:val="left" w:pos="0"/>
          <w:tab w:val="left" w:pos="425"/>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（2）建立健全检测、维保、使用管理安全责任追究机制。</w:t>
      </w:r>
    </w:p>
    <w:p>
      <w:pPr>
        <w:tabs>
          <w:tab w:val="left" w:pos="0"/>
          <w:tab w:val="left" w:pos="425"/>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（3）完善电梯应急救援机制。电梯发生故障，及时通知维修部门。发生电梯困人或其它重大事件时，物业服务人员须在五分钟内到现场应急处理，联系维修部门，等待专业技术人员到达现场进行救助。</w:t>
      </w:r>
    </w:p>
    <w:p>
      <w:pPr>
        <w:tabs>
          <w:tab w:val="left" w:pos="0"/>
          <w:tab w:val="left" w:pos="425"/>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（4）确保轿厢内设施完好，轿厢整洁，底坑无积水，井道保持清洁，运行环境良好。</w:t>
      </w:r>
    </w:p>
    <w:p>
      <w:pPr>
        <w:tabs>
          <w:tab w:val="left" w:pos="0"/>
          <w:tab w:val="left" w:pos="425"/>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（5）每年进行安全检测并持有有效的《安全使用许可证》，有专人（持有相关证件）对电梯运行进行管理。</w:t>
      </w:r>
    </w:p>
    <w:p>
      <w:pPr>
        <w:tabs>
          <w:tab w:val="left" w:pos="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（6）每年按国家规定进行年检。 </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2.7 </w:t>
      </w:r>
      <w:r>
        <w:rPr>
          <w:rFonts w:hint="eastAsia" w:ascii="宋体" w:hAnsi="宋体" w:eastAsia="宋体" w:cs="宋体"/>
          <w:b/>
          <w:color w:val="auto"/>
          <w:sz w:val="24"/>
        </w:rPr>
        <w:t>学生公寓管理</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学生公寓共有六幢，其中一号楼50个房间，二号楼50个房间，三号楼123个房间，四号楼103个房间，五号楼35个房间，六号楼31个房间，共392个房间，每间6－8人。其中一、二、五号楼为女生宿舍楼；三、四、六号楼为男生宿舍。住校人数2700人左右，两班次共需设置16个宿舍管理员。</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总体要求：营造“安全、文明、卫生、有序”的学生公寓氛围，加强学生的安全意识教育，切实保障学生的人身及财物安全。</w:t>
      </w:r>
    </w:p>
    <w:p>
      <w:pPr>
        <w:snapToGrid w:val="0"/>
        <w:spacing w:line="50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一、人员要求</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1、人员以中青年为主（50周岁以下占50%），身体健康，工作认真负责并定期接受培训，初中以上文化程度。</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2、人员配备：16人，其中设班组长1名；女员工不少于8名。</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3、要求具有一定的宿舍管理经验，有岗位育人的意识，对学生有爱心、有耐心。管理工作文明礼貌、语言规范。</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4、上岗时佩戴统一标志，统一着装，仪容仪表规范整齐。</w:t>
      </w:r>
    </w:p>
    <w:p>
      <w:pPr>
        <w:snapToGrid w:val="0"/>
        <w:spacing w:line="50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二、服务内容</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1、学生公寓值班服务；2、学生公寓卫生管理；3、学生行为管理、引导和公寓文化建设；4、学生公寓的安全管理；5、学生公寓的学生管理；6、学生公寓设施管理及维修；7、节假日住校生的管理。</w:t>
      </w:r>
    </w:p>
    <w:p>
      <w:pPr>
        <w:snapToGrid w:val="0"/>
        <w:spacing w:line="50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三、服务质量标准</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1、学生公寓值班服务</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（1）门厅进出人员的管理。</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（2）寝室钥匙的保管和借用服务，公共场所、通道门钥匙的管理。</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（3）开展便利服务工作（如工具借用等）。</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（4）门厅秩序和保洁、消毒。</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（5）及时上报需维修项目。</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2、学生公寓卫生管理（学生公寓公共部位保洁标准）</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（1）走廊地面清洁，走廊油墙无积尘，清洁筒及时清空、外观干净。</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（2）门窗干净无积尘，玻璃明亮无尘。</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（3）墙面无张贴物、无积尘、无蜘蛛网。</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（4）楼梯台阶清洁，楼梯扶手干净。</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（5）楼内所有公共通道、梯道、门厅、平台、管网等无灰尘、无积水、无污染，不停放各种车辆，无堆积物，以上公共场所及门、窗、玻璃、顶棚等无蜘蛛网。</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（6）每天4次常规的楼区巡视工作。</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①灭火器（压力）和水枪、水带完整性检查（每月1次）和疏散通道（每天1次）的检查。</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②确保公共场所设施完好，出现故障及时维修。</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③楼区内及包干区域的保洁情况。</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④红外报警或监控设施的使用情况。</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⑤公共区域水、照明、公共设施的节能、损坏报修工作。 </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⑥学生行为管理、引导和公寓文化。</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3、学生行为管理和引导</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对住宿学生开展集体生活行为文明及住宿秩序方面的引导和宣传教育。在甲方授权下，对公寓里学生违纪情况进行检查，向甲方反馈学生行为表现以及动态。</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4、开展学生公寓文化建设</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（1）公寓的门厅建设、楼区氛围布置。</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（2）制作书写人文、安全、环保方面的引导、提示、警示标语。</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（3）开展文明寝室评比活动，营造学生积极向上、团结和谐的寝室文化氛围。</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5、学生公寓的安全管理</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（1）来访人员实行登记管理。</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（2）实行上课时间学生进楼验证（请假条）、登记制度。</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（3）在学校总体预案的基础上，建立“学生公寓消防应急预案”、“学生公寓突发事件处理预案”等安全应急预案，预案须经学校审批同意后方可实施。</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（4）定期开展学生公寓安全检查，发现问题及时处置或上报。</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（5）员工熟知公寓内消防设置配置情况，熟练掌握消防器材的使用；定期检查消防器材设施有无缺损，发现问题及时报修；保持消防通道的畅通。</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（6）具备各项应急预案，发生问题及时响应。</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（7）宣传有关法律、消防知识，提高学生安全防范意识，共建和谐校园。</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（8）聘用员工履行合法用工手续。</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（9）学生公寓的学生管理。</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（10）进行学生寝室卫生检查，督促学生保持寝室内卫生。</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（11）实行查房制度，学生在早、晚离开寝室后，对所有寝室进行检查，防止学生无故滞留。</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（12）实行学生公寓晚点名制度，保证学生按时学习、按时就寝。</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（13）对发现管理区域内、管理时段内违反学校相关管理制度的学生，及时报学校研究处理。</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（14）了解、掌握住校学生的动态，预防各类偶发事件的发生。</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（15）对住校生规定时间（如晚自修、就寝、双休日、节假日等）缺勤的学生，应及时联系学生、学生家长、班主任，掌握有关情况，并按规定及时上报学校。</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6、学生公寓设施管理及维修</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（1）内容包括：①公共场所的设施。如楼道照明、应急灯、监控设施等；②学生寝室内学校财物（门窗、床、柜、日光灯、电扇、空调等）。</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（2）特别说明：为保证学生公寓服务和管理的质量，切实完成学校的管理要求，维修工要求具备水电、木工、泥工维修技术，并具备相关上岗证。学生公寓实行全年、全天按规定进行各项服务和管理工作。</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（3）学生公寓的门厅建设、楼区氛围布置等费用根据</w:t>
      </w:r>
      <w:r>
        <w:rPr>
          <w:rFonts w:hint="eastAsia" w:ascii="宋体" w:hAnsi="宋体" w:cs="宋体"/>
          <w:color w:val="auto"/>
          <w:sz w:val="24"/>
          <w:lang w:eastAsia="zh-CN"/>
        </w:rPr>
        <w:t>供应商</w:t>
      </w:r>
      <w:r>
        <w:rPr>
          <w:rFonts w:hint="eastAsia" w:ascii="宋体" w:hAnsi="宋体" w:eastAsia="宋体" w:cs="宋体"/>
          <w:color w:val="auto"/>
          <w:sz w:val="24"/>
        </w:rPr>
        <w:t>提供的方案，经学校审核后由学校采购或委托</w:t>
      </w:r>
      <w:r>
        <w:rPr>
          <w:rFonts w:hint="eastAsia" w:ascii="宋体" w:hAnsi="宋体" w:cs="宋体"/>
          <w:color w:val="auto"/>
          <w:sz w:val="24"/>
          <w:highlight w:val="none"/>
          <w:lang w:eastAsia="zh-CN"/>
        </w:rPr>
        <w:t>供应商</w:t>
      </w:r>
      <w:r>
        <w:rPr>
          <w:rFonts w:hint="eastAsia" w:ascii="宋体" w:hAnsi="宋体" w:eastAsia="宋体" w:cs="宋体"/>
          <w:color w:val="auto"/>
          <w:sz w:val="24"/>
        </w:rPr>
        <w:t>实施。</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（4）特别强调：服务方应针对上述服务内容和管理内容和要求，提供切实可行的实施方案和相关的管理制度及工作流程。</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7、节假日住校生的管理</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2.8 疫情防控工作</w:t>
      </w:r>
    </w:p>
    <w:p>
      <w:pPr>
        <w:snapToGrid w:val="0"/>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严格按照学院要求，不折不扣落实上级疫情防控部门各项措施，防患于未然。积极做好全院各个角落消杀，切实保障全院师生健康防疫。</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2.9其它服务要求</w:t>
      </w:r>
    </w:p>
    <w:p>
      <w:pPr>
        <w:tabs>
          <w:tab w:val="left" w:pos="0"/>
          <w:tab w:val="left" w:pos="425"/>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（1）协助做好学院重大活动、赛事承办等任务的场地准备工作（含相关设施搬迁）。</w:t>
      </w:r>
    </w:p>
    <w:p>
      <w:pPr>
        <w:tabs>
          <w:tab w:val="left" w:pos="0"/>
          <w:tab w:val="left" w:pos="425"/>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（2）做好新学年开学前的课桌椅调整补充工作。</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2.10批量维护保养与维修工作汇总</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1.教室、寝室电风扇停用启用维保维修  两次/年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2.校园围栏防锈油漆保养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3.运动场、篮球场护栏防锈油漆保养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4.室外景观椅、葡萄架、水系景观木台阶防腐油漆保养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5.六角亭防腐油漆保养与瓦片整理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6.高杆灯指示牌警示牌防锈油漆保养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7.高杆灯罩除尘清洗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8.大乔木缩冠修剪及粗大枯枝修剪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9.水泵房水箱清洗  两次/年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10.开水炉滤芯更换      一次/季度</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11.运动场围封绿化养护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12.冬夏两季空调过滤网清洗  两次/年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13.电梯年检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14.高配设施、用电安全情况委托第三方检测评估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15.塑胶跑道维护修补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16.新学年前一周对新生教室、寝室的首次卫生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17.窗帘布和纱窗清洗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18.篮球场、田径场足球门框刷白漆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19.篮球场篮球框刷油漆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20.6号宿舍楼一楼学院两个值班室保洁及每天更换床上用品    280次/年</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2.11 管理服务应达到的各项指标</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1.杜绝火灾责任事故，杜绝刑事案件；</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2.环境卫生、清洁率达99%；</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3.消防设备设施完好率100%；</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4.房屋完好率99%；</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5.设备完好率100%；</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6.智能化系统运行正常率100%；</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7.零修、报修及时率100%，返修率小于1%；</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8.服务有效投诉少于1%，处理率100%；</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9.回访率95%，业主满意率95%。</w:t>
      </w:r>
    </w:p>
    <w:p>
      <w:pPr>
        <w:snapToGrid w:val="0"/>
        <w:spacing w:line="500" w:lineRule="exact"/>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3. 物业各岗位人员配置要求及工作时间表</w:t>
      </w:r>
    </w:p>
    <w:p>
      <w:pPr>
        <w:snapToGrid w:val="0"/>
        <w:spacing w:line="500" w:lineRule="exact"/>
        <w:rPr>
          <w:rFonts w:hint="eastAsia" w:ascii="宋体" w:hAnsi="宋体" w:eastAsia="宋体" w:cs="宋体"/>
          <w:b/>
          <w:color w:val="auto"/>
          <w:sz w:val="24"/>
        </w:rPr>
      </w:pPr>
      <w:r>
        <w:rPr>
          <w:rFonts w:hint="eastAsia" w:ascii="宋体" w:hAnsi="宋体" w:eastAsia="宋体" w:cs="宋体"/>
          <w:b/>
          <w:snapToGrid w:val="0"/>
          <w:color w:val="auto"/>
          <w:kern w:val="0"/>
          <w:sz w:val="24"/>
        </w:rPr>
        <w:t>3.1 投标人按照采购人的各物业项目人员配置要求进行人员配备，人员配置表如下表所示。</w:t>
      </w:r>
    </w:p>
    <w:p>
      <w:pPr>
        <w:snapToGrid w:val="0"/>
        <w:spacing w:line="500" w:lineRule="exact"/>
        <w:jc w:val="center"/>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物业项目人员配置要求</w:t>
      </w:r>
    </w:p>
    <w:tbl>
      <w:tblPr>
        <w:tblStyle w:val="62"/>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6"/>
        <w:gridCol w:w="1701"/>
        <w:gridCol w:w="1417"/>
        <w:gridCol w:w="2427"/>
        <w:gridCol w:w="2155"/>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552"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子项目</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岗位</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人数（名）</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要求</w:t>
            </w:r>
          </w:p>
        </w:tc>
        <w:tc>
          <w:tcPr>
            <w:tcW w:w="215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综合管理</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项目经理</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具有较强管理和沟通能力，</w:t>
            </w:r>
            <w:r>
              <w:rPr>
                <w:rFonts w:hint="eastAsia" w:ascii="宋体" w:hAnsi="宋体" w:eastAsia="宋体" w:cs="宋体"/>
                <w:color w:val="auto"/>
                <w:sz w:val="24"/>
                <w:lang w:eastAsia="zh-CN"/>
              </w:rPr>
              <w:t>年龄</w:t>
            </w:r>
            <w:r>
              <w:rPr>
                <w:rFonts w:hint="eastAsia" w:ascii="宋体" w:hAnsi="宋体" w:eastAsia="宋体" w:cs="宋体"/>
                <w:color w:val="auto"/>
                <w:sz w:val="24"/>
                <w:lang w:val="en-US" w:eastAsia="zh-CN"/>
              </w:rPr>
              <w:t>45周岁以下，</w:t>
            </w:r>
            <w:r>
              <w:rPr>
                <w:rFonts w:hint="eastAsia" w:ascii="宋体" w:hAnsi="宋体" w:eastAsia="宋体" w:cs="宋体"/>
                <w:color w:val="auto"/>
                <w:sz w:val="24"/>
              </w:rPr>
              <w:t>具有</w:t>
            </w:r>
            <w:r>
              <w:rPr>
                <w:rFonts w:hint="eastAsia" w:ascii="宋体" w:hAnsi="宋体" w:cs="宋体"/>
                <w:color w:val="auto"/>
                <w:sz w:val="24"/>
                <w:lang w:eastAsia="zh-CN"/>
              </w:rPr>
              <w:t>五</w:t>
            </w:r>
            <w:r>
              <w:rPr>
                <w:rFonts w:hint="eastAsia" w:ascii="宋体" w:hAnsi="宋体" w:eastAsia="宋体" w:cs="宋体"/>
                <w:color w:val="auto"/>
                <w:sz w:val="24"/>
              </w:rPr>
              <w:t>年以上同类项目管理经验</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7:00—17:30，紧急情况、重大任务需到场处理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供 电</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高配值班</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b/>
                <w:color w:val="auto"/>
                <w:sz w:val="24"/>
              </w:rPr>
              <w:t>▲</w:t>
            </w:r>
            <w:r>
              <w:rPr>
                <w:rFonts w:hint="eastAsia" w:ascii="宋体" w:hAnsi="宋体" w:eastAsia="宋体" w:cs="宋体"/>
                <w:color w:val="auto"/>
                <w:sz w:val="24"/>
              </w:rPr>
              <w:t>应具有高配电工上岗证</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24小时值班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jc w:val="center"/>
        </w:trPr>
        <w:tc>
          <w:tcPr>
            <w:tcW w:w="1106" w:type="dxa"/>
            <w:vMerge w:val="restart"/>
            <w:tcBorders>
              <w:top w:val="single" w:color="auto" w:sz="4" w:space="0"/>
              <w:left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安保消控</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保安队长</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具有较强管理经验和沟通协调能力</w:t>
            </w:r>
            <w:r>
              <w:rPr>
                <w:rFonts w:hint="eastAsia" w:ascii="宋体" w:hAnsi="宋体" w:eastAsia="宋体" w:cs="宋体"/>
                <w:color w:val="auto"/>
                <w:sz w:val="24"/>
                <w:lang w:eastAsia="zh-CN"/>
              </w:rPr>
              <w:t>，</w:t>
            </w:r>
            <w:r>
              <w:rPr>
                <w:rFonts w:hint="eastAsia" w:ascii="宋体" w:hAnsi="宋体" w:eastAsia="宋体" w:cs="宋体"/>
                <w:color w:val="auto"/>
                <w:sz w:val="24"/>
                <w:highlight w:val="none"/>
              </w:rPr>
              <w:t>具有安保系列二级及以上职业资格或职业技能等级</w:t>
            </w:r>
            <w:r>
              <w:rPr>
                <w:rFonts w:hint="eastAsia" w:ascii="宋体" w:hAnsi="宋体" w:eastAsia="宋体" w:cs="宋体"/>
                <w:color w:val="auto"/>
                <w:sz w:val="24"/>
                <w:highlight w:val="none"/>
                <w:lang w:eastAsia="zh-CN"/>
              </w:rPr>
              <w:t>，</w:t>
            </w:r>
          </w:p>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年龄45周岁以下，有服役经历。</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7:00-19:00</w:t>
            </w:r>
          </w:p>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紧急情况、重大任务需到场处理；要求住校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1106" w:type="dxa"/>
            <w:vMerge w:val="continue"/>
            <w:tcBorders>
              <w:left w:val="single" w:color="auto" w:sz="4" w:space="0"/>
              <w:right w:val="single" w:color="auto" w:sz="4" w:space="0"/>
            </w:tcBorders>
            <w:noWrap/>
            <w:vAlign w:val="center"/>
          </w:tcPr>
          <w:p>
            <w:pPr>
              <w:snapToGrid w:val="0"/>
              <w:spacing w:line="400" w:lineRule="exact"/>
              <w:jc w:val="center"/>
              <w:rPr>
                <w:rFonts w:hint="eastAsia" w:ascii="宋体" w:hAnsi="宋体" w:eastAsia="宋体" w:cs="宋体"/>
                <w:color w:val="auto"/>
                <w:sz w:val="24"/>
              </w:rPr>
            </w:pPr>
          </w:p>
        </w:tc>
        <w:tc>
          <w:tcPr>
            <w:tcW w:w="1701" w:type="dxa"/>
            <w:tcBorders>
              <w:top w:val="single" w:color="auto" w:sz="4" w:space="0"/>
              <w:left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保安员(含门卫、校园和山林巡逻、消、监控值班等人员)</w:t>
            </w:r>
          </w:p>
        </w:tc>
        <w:tc>
          <w:tcPr>
            <w:tcW w:w="1417" w:type="dxa"/>
            <w:tcBorders>
              <w:top w:val="single" w:color="auto" w:sz="4" w:space="0"/>
              <w:left w:val="single" w:color="auto" w:sz="4" w:space="0"/>
              <w:right w:val="single" w:color="auto" w:sz="4" w:space="0"/>
            </w:tcBorders>
            <w:noWrap/>
            <w:vAlign w:val="center"/>
          </w:tcPr>
          <w:p>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pacing w:val="-6"/>
                <w:sz w:val="24"/>
              </w:rPr>
              <w:t>本部20＋临安6+立新大厦6＝32人</w:t>
            </w:r>
          </w:p>
        </w:tc>
        <w:tc>
          <w:tcPr>
            <w:tcW w:w="2427" w:type="dxa"/>
            <w:tcBorders>
              <w:top w:val="single" w:color="auto" w:sz="4" w:space="0"/>
              <w:left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1、具有岗位要求的上岗证</w:t>
            </w:r>
          </w:p>
          <w:p>
            <w:pPr>
              <w:pStyle w:val="32"/>
              <w:snapToGrid w:val="0"/>
              <w:spacing w:line="400" w:lineRule="exact"/>
              <w:rPr>
                <w:rFonts w:hint="eastAsia" w:ascii="宋体" w:hAnsi="宋体" w:eastAsia="宋体" w:cs="宋体"/>
                <w:color w:val="auto"/>
                <w:sz w:val="24"/>
                <w:szCs w:val="24"/>
              </w:rPr>
            </w:pPr>
            <w:r>
              <w:rPr>
                <w:rFonts w:hint="eastAsia" w:ascii="宋体" w:hAnsi="宋体" w:eastAsia="宋体" w:cs="宋体"/>
                <w:b/>
                <w:color w:val="auto"/>
                <w:sz w:val="24"/>
              </w:rPr>
              <w:t>▲2、每班有2名保安持有消控证（建筑消防员资格证书），保安队伍中至少有6人持有消控证，消控员配备数量必须符合消防部门要求（需提供具体人员名单）。</w:t>
            </w:r>
          </w:p>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3、年龄18至50周岁。</w:t>
            </w:r>
          </w:p>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4.保安员中具有服役经历的占20%以上。</w:t>
            </w:r>
          </w:p>
        </w:tc>
        <w:tc>
          <w:tcPr>
            <w:tcW w:w="2164" w:type="dxa"/>
            <w:gridSpan w:val="2"/>
            <w:tcBorders>
              <w:top w:val="single" w:color="auto" w:sz="4" w:space="0"/>
              <w:left w:val="single" w:color="auto" w:sz="4" w:space="0"/>
              <w:right w:val="single" w:color="auto" w:sz="4" w:space="0"/>
            </w:tcBorders>
            <w:noWrap/>
            <w:vAlign w:val="center"/>
          </w:tcPr>
          <w:p>
            <w:pPr>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门岗、巡逻岗、消控室均为24小时值班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106" w:type="dxa"/>
            <w:vMerge w:val="continue"/>
            <w:tcBorders>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收发员</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08:00～17:30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5" w:hRule="atLeast"/>
          <w:jc w:val="center"/>
        </w:trPr>
        <w:tc>
          <w:tcPr>
            <w:tcW w:w="1106" w:type="dxa"/>
            <w:tcBorders>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学生公寓管理</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管理员</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16</w:t>
            </w:r>
          </w:p>
        </w:tc>
        <w:tc>
          <w:tcPr>
            <w:tcW w:w="2427" w:type="dxa"/>
            <w:tcBorders>
              <w:top w:val="single" w:color="auto" w:sz="4" w:space="0"/>
              <w:left w:val="single" w:color="auto" w:sz="4" w:space="0"/>
              <w:bottom w:val="single" w:color="auto" w:sz="4" w:space="0"/>
              <w:right w:val="single" w:color="auto" w:sz="4" w:space="0"/>
            </w:tcBorders>
            <w:noWrap/>
            <w:vAlign w:val="center"/>
          </w:tcPr>
          <w:p>
            <w:pPr>
              <w:snapToGrid w:val="0"/>
              <w:spacing w:line="320" w:lineRule="exact"/>
              <w:rPr>
                <w:rFonts w:hint="eastAsia" w:ascii="宋体" w:hAnsi="宋体" w:eastAsia="宋体" w:cs="宋体"/>
                <w:color w:val="auto"/>
                <w:sz w:val="24"/>
              </w:rPr>
            </w:pPr>
            <w:r>
              <w:rPr>
                <w:rFonts w:hint="eastAsia" w:ascii="宋体" w:hAnsi="宋体" w:eastAsia="宋体" w:cs="宋体"/>
                <w:color w:val="auto"/>
                <w:sz w:val="24"/>
              </w:rPr>
              <w:t>1、年龄50周岁以下占50%以上；身体健康。</w:t>
            </w:r>
          </w:p>
          <w:p>
            <w:pPr>
              <w:snapToGrid w:val="0"/>
              <w:spacing w:line="320" w:lineRule="exact"/>
              <w:rPr>
                <w:rFonts w:hint="eastAsia" w:ascii="宋体" w:hAnsi="宋体" w:eastAsia="宋体" w:cs="宋体"/>
                <w:color w:val="auto"/>
                <w:sz w:val="24"/>
              </w:rPr>
            </w:pPr>
            <w:r>
              <w:rPr>
                <w:rFonts w:hint="eastAsia" w:ascii="宋体" w:hAnsi="宋体" w:eastAsia="宋体" w:cs="宋体"/>
                <w:color w:val="auto"/>
                <w:sz w:val="24"/>
              </w:rPr>
              <w:t xml:space="preserve">2、初中以上文化程度； </w:t>
            </w:r>
          </w:p>
          <w:p>
            <w:pPr>
              <w:snapToGrid w:val="0"/>
              <w:spacing w:line="320" w:lineRule="exact"/>
              <w:rPr>
                <w:rFonts w:hint="eastAsia" w:ascii="宋体" w:hAnsi="宋体" w:eastAsia="宋体" w:cs="宋体"/>
                <w:color w:val="auto"/>
                <w:sz w:val="24"/>
              </w:rPr>
            </w:pPr>
            <w:r>
              <w:rPr>
                <w:rFonts w:hint="eastAsia" w:ascii="宋体" w:hAnsi="宋体" w:eastAsia="宋体" w:cs="宋体"/>
                <w:color w:val="auto"/>
                <w:sz w:val="24"/>
              </w:rPr>
              <w:t>3、其中设班组长1名；女员工不少于8名。</w:t>
            </w:r>
          </w:p>
          <w:p>
            <w:pPr>
              <w:widowControl/>
              <w:snapToGrid w:val="0"/>
              <w:spacing w:line="320" w:lineRule="exact"/>
              <w:jc w:val="left"/>
              <w:rPr>
                <w:rFonts w:hint="eastAsia" w:ascii="宋体" w:hAnsi="宋体" w:eastAsia="宋体" w:cs="宋体"/>
                <w:color w:val="auto"/>
                <w:sz w:val="24"/>
              </w:rPr>
            </w:pPr>
            <w:r>
              <w:rPr>
                <w:rFonts w:hint="eastAsia" w:ascii="宋体" w:hAnsi="宋体" w:eastAsia="宋体" w:cs="宋体"/>
                <w:color w:val="auto"/>
                <w:sz w:val="24"/>
              </w:rPr>
              <w:t>4、要求具有学生宿舍管理经验。</w:t>
            </w:r>
          </w:p>
          <w:p>
            <w:pPr>
              <w:widowControl/>
              <w:snapToGrid w:val="0"/>
              <w:spacing w:line="320" w:lineRule="exact"/>
              <w:jc w:val="left"/>
              <w:rPr>
                <w:rFonts w:hint="eastAsia" w:ascii="宋体" w:hAnsi="宋体" w:eastAsia="宋体" w:cs="宋体"/>
                <w:color w:val="auto"/>
                <w:sz w:val="24"/>
              </w:rPr>
            </w:pPr>
            <w:r>
              <w:rPr>
                <w:rFonts w:hint="eastAsia" w:ascii="宋体" w:hAnsi="宋体" w:eastAsia="宋体" w:cs="宋体"/>
                <w:color w:val="auto"/>
                <w:sz w:val="24"/>
              </w:rPr>
              <w:t>5、采用劳务派遣用工，实行全年综合工时制。</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20" w:lineRule="exact"/>
              <w:rPr>
                <w:rFonts w:hint="eastAsia" w:ascii="宋体" w:hAnsi="宋体" w:eastAsia="宋体" w:cs="宋体"/>
                <w:color w:val="auto"/>
                <w:sz w:val="24"/>
              </w:rPr>
            </w:pPr>
            <w:r>
              <w:rPr>
                <w:rFonts w:hint="eastAsia" w:ascii="宋体" w:hAnsi="宋体" w:eastAsia="宋体" w:cs="宋体"/>
                <w:color w:val="auto"/>
                <w:sz w:val="24"/>
              </w:rPr>
              <w:t>周一至周四：下午3:00—次日上午9:00；周五：上午11:00—次日9:00；</w:t>
            </w:r>
          </w:p>
          <w:p>
            <w:pPr>
              <w:snapToGrid w:val="0"/>
              <w:spacing w:line="320" w:lineRule="exact"/>
              <w:rPr>
                <w:rFonts w:hint="eastAsia" w:ascii="宋体" w:hAnsi="宋体" w:eastAsia="宋体" w:cs="宋体"/>
                <w:color w:val="auto"/>
                <w:sz w:val="24"/>
              </w:rPr>
            </w:pPr>
            <w:r>
              <w:rPr>
                <w:rFonts w:hint="eastAsia" w:ascii="宋体" w:hAnsi="宋体" w:eastAsia="宋体" w:cs="宋体"/>
                <w:color w:val="auto"/>
                <w:sz w:val="24"/>
              </w:rPr>
              <w:t>周六、日：上午9:00—次日9:00。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3" w:hRule="atLeast"/>
          <w:jc w:val="center"/>
        </w:trPr>
        <w:tc>
          <w:tcPr>
            <w:tcW w:w="1106"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保洁</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管理人员</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年龄50</w:t>
            </w:r>
            <w:r>
              <w:rPr>
                <w:rFonts w:hint="eastAsia" w:ascii="宋体" w:hAnsi="宋体" w:eastAsia="宋体" w:cs="宋体"/>
                <w:color w:val="auto"/>
                <w:sz w:val="24"/>
                <w:lang w:eastAsia="zh-CN"/>
              </w:rPr>
              <w:t>周</w:t>
            </w:r>
            <w:r>
              <w:rPr>
                <w:rFonts w:hint="eastAsia" w:ascii="宋体" w:hAnsi="宋体" w:eastAsia="宋体" w:cs="宋体"/>
                <w:color w:val="auto"/>
                <w:sz w:val="24"/>
              </w:rPr>
              <w:t>岁以下，</w:t>
            </w:r>
            <w:r>
              <w:rPr>
                <w:rFonts w:hint="eastAsia" w:ascii="宋体" w:hAnsi="宋体" w:eastAsia="宋体" w:cs="宋体"/>
                <w:color w:val="auto"/>
                <w:sz w:val="24"/>
                <w:lang w:eastAsia="zh-CN"/>
              </w:rPr>
              <w:t>具有类似项目管理经验</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7:00—17：00，外加临时性工作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 w:hRule="atLeast"/>
          <w:jc w:val="center"/>
        </w:trPr>
        <w:tc>
          <w:tcPr>
            <w:tcW w:w="110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保洁</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19</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年龄55</w:t>
            </w:r>
            <w:r>
              <w:rPr>
                <w:rFonts w:hint="eastAsia" w:ascii="宋体" w:hAnsi="宋体" w:eastAsia="宋体" w:cs="宋体"/>
                <w:color w:val="auto"/>
                <w:sz w:val="24"/>
                <w:lang w:eastAsia="zh-CN"/>
              </w:rPr>
              <w:t>周</w:t>
            </w:r>
            <w:r>
              <w:rPr>
                <w:rFonts w:hint="eastAsia" w:ascii="宋体" w:hAnsi="宋体" w:eastAsia="宋体" w:cs="宋体"/>
                <w:color w:val="auto"/>
                <w:sz w:val="24"/>
              </w:rPr>
              <w:t>岁以下，其中50</w:t>
            </w:r>
            <w:r>
              <w:rPr>
                <w:rFonts w:hint="eastAsia" w:ascii="宋体" w:hAnsi="宋体" w:eastAsia="宋体" w:cs="宋体"/>
                <w:color w:val="auto"/>
                <w:sz w:val="24"/>
                <w:lang w:eastAsia="zh-CN"/>
              </w:rPr>
              <w:t>周</w:t>
            </w:r>
            <w:r>
              <w:rPr>
                <w:rFonts w:hint="eastAsia" w:ascii="宋体" w:hAnsi="宋体" w:eastAsia="宋体" w:cs="宋体"/>
                <w:color w:val="auto"/>
                <w:sz w:val="24"/>
              </w:rPr>
              <w:t>岁以下人员要求占60%以上。</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7:00—16：30，外加临时性工作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绿化</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绿化养护工</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8（含山林维护）</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绿化领班需具有园林及相关专业学习经历3年以上，并具有3年以上植物养护工作经验</w:t>
            </w:r>
            <w:r>
              <w:rPr>
                <w:rFonts w:hint="eastAsia" w:ascii="宋体" w:hAnsi="宋体" w:cs="宋体"/>
                <w:color w:val="auto"/>
                <w:sz w:val="24"/>
                <w:lang w:eastAsia="zh-CN"/>
              </w:rPr>
              <w:t>等</w:t>
            </w:r>
            <w:r>
              <w:rPr>
                <w:rFonts w:hint="eastAsia" w:ascii="宋体" w:hAnsi="宋体" w:eastAsia="宋体" w:cs="宋体"/>
                <w:color w:val="auto"/>
                <w:sz w:val="24"/>
              </w:rPr>
              <w:t>；其余人员须具有3年以上植物养护工作经验。</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7:00—16：30，外加临时性工作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水电</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维修人员</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工程主管具有电工二级及以上职业资格或职业技能等级，具有</w:t>
            </w:r>
            <w:r>
              <w:rPr>
                <w:rFonts w:hint="eastAsia" w:ascii="宋体" w:hAnsi="宋体" w:eastAsia="宋体" w:cs="宋体"/>
                <w:color w:val="auto"/>
                <w:sz w:val="24"/>
                <w:highlight w:val="none"/>
                <w:lang w:eastAsia="zh-CN"/>
              </w:rPr>
              <w:t>类似</w:t>
            </w:r>
            <w:r>
              <w:rPr>
                <w:rFonts w:hint="eastAsia" w:ascii="宋体" w:hAnsi="宋体" w:eastAsia="宋体" w:cs="宋体"/>
                <w:color w:val="auto"/>
                <w:sz w:val="24"/>
                <w:highlight w:val="none"/>
              </w:rPr>
              <w:t>维修工作管理经历</w:t>
            </w:r>
            <w:r>
              <w:rPr>
                <w:rFonts w:hint="eastAsia" w:ascii="宋体" w:hAnsi="宋体" w:eastAsia="宋体" w:cs="宋体"/>
                <w:color w:val="auto"/>
                <w:sz w:val="24"/>
                <w:highlight w:val="none"/>
                <w:lang w:eastAsia="zh-CN"/>
              </w:rPr>
              <w:t>等；</w:t>
            </w:r>
          </w:p>
          <w:p>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其余</w:t>
            </w:r>
            <w:r>
              <w:rPr>
                <w:rFonts w:hint="eastAsia" w:ascii="宋体" w:hAnsi="宋体" w:eastAsia="宋体" w:cs="宋体"/>
                <w:color w:val="auto"/>
                <w:sz w:val="24"/>
                <w:highlight w:val="none"/>
              </w:rPr>
              <w:t>具备电工上岗证</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7:30—16：30，外加临时性工作；</w:t>
            </w:r>
          </w:p>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晚间水电值班（抢修），16:30-22：00；</w:t>
            </w:r>
          </w:p>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其中要求1名水电维修工住校值班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9"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弱电</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维修人员</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以弱电为主，强电为辅，强电有上岗证。</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7:30—16：30，外加临时性工作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合计人数</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91人</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8815" w:type="dxa"/>
            <w:gridSpan w:val="6"/>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b/>
                <w:color w:val="auto"/>
                <w:sz w:val="24"/>
              </w:rPr>
              <w:t>注:▲以下岗位人员要求持证上岗：特种设备作业人员证[电梯安全管理（原）人员]；特种作业操作证（制冷与空调作业人员，低压电工人员，高压电工人员）；本项目中如有上述要求持证上岗人员，在投标时，提供相应的证件。</w:t>
            </w:r>
          </w:p>
        </w:tc>
      </w:tr>
    </w:tbl>
    <w:p>
      <w:pPr>
        <w:rPr>
          <w:rFonts w:hint="eastAsia" w:ascii="宋体" w:hAnsi="宋体" w:eastAsia="宋体" w:cs="宋体"/>
          <w:color w:val="auto"/>
        </w:rPr>
      </w:pPr>
    </w:p>
    <w:p>
      <w:pPr>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采购项目的其他要求</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 xml:space="preserve"> 维护保养维修过程中更换（新）所产生的材料费由</w:t>
      </w:r>
      <w:r>
        <w:rPr>
          <w:rFonts w:hint="eastAsia" w:ascii="宋体" w:hAnsi="宋体" w:eastAsia="宋体" w:cs="宋体"/>
          <w:color w:val="auto"/>
          <w:sz w:val="24"/>
          <w:u w:val="none"/>
          <w:lang w:eastAsia="zh-CN"/>
        </w:rPr>
        <w:t>供应商</w:t>
      </w:r>
      <w:r>
        <w:rPr>
          <w:rFonts w:hint="eastAsia" w:ascii="宋体" w:hAnsi="宋体" w:eastAsia="宋体" w:cs="宋体"/>
          <w:color w:val="auto"/>
          <w:sz w:val="24"/>
          <w:u w:val="none"/>
        </w:rPr>
        <w:t>从物业管理费中支付，包括综合维修、水电维护保养维修、绿化种苗、杀虫剂药、清洁清运工具（70升、240升垃圾桶）等方面的材料、人工开支费用。维护保养维修过程中采购的材料（包括自行制作的材料）使用计划报采购人同意后进行采购，采购的材料经采购人进行验收。非正常损坏的材料维修费由损坏人负责赔偿。</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1、 物业费中有1%费用作为奖励费。对于工作完成好的，经学院审核给予物业相关人员奖励；对产生重大问题时，按合同条款予以扣除，扣除的费用用于学院维修项目。</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 xml:space="preserve">2、 </w:t>
      </w:r>
      <w:r>
        <w:rPr>
          <w:rFonts w:hint="eastAsia" w:ascii="宋体" w:hAnsi="宋体" w:eastAsia="宋体" w:cs="宋体"/>
          <w:color w:val="auto"/>
          <w:sz w:val="24"/>
          <w:u w:val="none"/>
          <w:lang w:eastAsia="zh-CN"/>
        </w:rPr>
        <w:t>供应商</w:t>
      </w:r>
      <w:r>
        <w:rPr>
          <w:rFonts w:hint="eastAsia" w:ascii="宋体" w:hAnsi="宋体" w:eastAsia="宋体" w:cs="宋体"/>
          <w:color w:val="auto"/>
          <w:sz w:val="24"/>
          <w:u w:val="none"/>
        </w:rPr>
        <w:t>与社会专业机构签署的协议</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如</w:t>
      </w:r>
      <w:r>
        <w:rPr>
          <w:rFonts w:hint="eastAsia" w:ascii="宋体" w:hAnsi="宋体" w:eastAsia="宋体" w:cs="宋体"/>
          <w:color w:val="auto"/>
          <w:sz w:val="24"/>
          <w:u w:val="none"/>
          <w:lang w:eastAsia="zh-CN"/>
        </w:rPr>
        <w:t>供应商</w:t>
      </w:r>
      <w:r>
        <w:rPr>
          <w:rFonts w:hint="eastAsia" w:ascii="宋体" w:hAnsi="宋体" w:eastAsia="宋体" w:cs="宋体"/>
          <w:color w:val="auto"/>
          <w:sz w:val="24"/>
          <w:u w:val="none"/>
        </w:rPr>
        <w:t>自身不具有消监控维保、白蚁防治、垃圾清运、电梯维保、除“四害”、广电维护等运营资质，在中标后，可委托其它社会专业机构，签署相关协议后报采购人审核备案；或会同采购人签署三方协议。</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3、相关场地提供</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 xml:space="preserve"> 采购人提供物业管理办公用房若干间，该用房在委托管理期限内由物业公司免费使用，水、电、通讯、办公等费用由</w:t>
      </w:r>
      <w:r>
        <w:rPr>
          <w:rFonts w:hint="eastAsia" w:ascii="宋体" w:hAnsi="宋体" w:eastAsia="宋体" w:cs="宋体"/>
          <w:color w:val="auto"/>
          <w:sz w:val="24"/>
          <w:u w:val="none"/>
          <w:lang w:eastAsia="zh-CN"/>
        </w:rPr>
        <w:t>供应商</w:t>
      </w:r>
      <w:r>
        <w:rPr>
          <w:rFonts w:hint="eastAsia" w:ascii="宋体" w:hAnsi="宋体" w:eastAsia="宋体" w:cs="宋体"/>
          <w:color w:val="auto"/>
          <w:sz w:val="24"/>
          <w:u w:val="none"/>
        </w:rPr>
        <w:t>承担。</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 固定材料费用等明细</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4.1.管理服务人员的工资、社会保险和按规定提取的福利费；</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4.2.办公费用；</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4.3.清洁卫生费（包括公共洗手间卫生用品费用）；</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4.4.绿化养护费；</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4.5.物业共用设施、公用设施维护费；</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4.6.机电设施设备维护费；</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4.7.法定税费；</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4.8.物业管理企业利润；</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4.9.本次物业服务费报价不包括设备财产保险及公共责任险；</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4.10.装修施工垃圾由施工单位负责清理；</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4.11.凡处于保修期或养护期内的项目，其维修管理由</w:t>
      </w:r>
      <w:r>
        <w:rPr>
          <w:rFonts w:hint="eastAsia" w:ascii="宋体" w:hAnsi="宋体" w:eastAsia="宋体" w:cs="宋体"/>
          <w:color w:val="auto"/>
          <w:sz w:val="24"/>
          <w:u w:val="none"/>
          <w:lang w:eastAsia="zh-CN"/>
        </w:rPr>
        <w:t>相应</w:t>
      </w:r>
      <w:r>
        <w:rPr>
          <w:rFonts w:hint="eastAsia" w:ascii="宋体" w:hAnsi="宋体" w:eastAsia="宋体" w:cs="宋体"/>
          <w:color w:val="auto"/>
          <w:sz w:val="24"/>
          <w:u w:val="none"/>
        </w:rPr>
        <w:t>供应商负责或由物业公司与供应商协商决定，学院不再另行支付维修费用；</w:t>
      </w:r>
    </w:p>
    <w:p>
      <w:pPr>
        <w:spacing w:line="360" w:lineRule="auto"/>
        <w:ind w:firstLine="420"/>
        <w:jc w:val="left"/>
        <w:rPr>
          <w:rFonts w:ascii="宋体" w:hAnsi="宋体" w:cs="宋体"/>
          <w:color w:val="auto"/>
          <w:sz w:val="24"/>
        </w:rPr>
      </w:pPr>
      <w:r>
        <w:rPr>
          <w:rFonts w:hint="eastAsia" w:ascii="宋体" w:hAnsi="宋体" w:eastAsia="宋体" w:cs="宋体"/>
          <w:color w:val="auto"/>
          <w:sz w:val="24"/>
          <w:u w:val="none"/>
        </w:rPr>
        <w:t xml:space="preserve">4.12.投标人应保证在承包期内其员工最低月工资不低于杭州市最低工资标准。  </w:t>
      </w:r>
    </w:p>
    <w:p>
      <w:pPr>
        <w:widowControl/>
        <w:ind w:firstLine="720" w:firstLineChars="300"/>
        <w:jc w:val="left"/>
        <w:rPr>
          <w:rFonts w:ascii="宋体" w:hAnsi="宋体" w:cs="宋体"/>
          <w:bCs/>
          <w:color w:val="auto"/>
          <w:sz w:val="24"/>
        </w:rPr>
      </w:pPr>
    </w:p>
    <w:p>
      <w:pPr>
        <w:rPr>
          <w:rFonts w:hint="eastAsia" w:ascii="宋体" w:hAnsi="宋体" w:cs="宋体"/>
          <w:b/>
          <w:color w:val="auto"/>
          <w:sz w:val="36"/>
          <w:szCs w:val="36"/>
        </w:rPr>
      </w:pPr>
      <w:r>
        <w:rPr>
          <w:rFonts w:hint="eastAsia" w:ascii="宋体" w:hAnsi="宋体" w:cs="宋体"/>
          <w:b/>
          <w:color w:val="auto"/>
          <w:sz w:val="36"/>
          <w:szCs w:val="36"/>
        </w:rPr>
        <w:br w:type="page"/>
      </w: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9" w:name="_Toc184313299"/>
      <w:bookmarkEnd w:id="29"/>
      <w:bookmarkStart w:id="30" w:name="_Toc184314438"/>
      <w:bookmarkEnd w:id="30"/>
      <w:bookmarkStart w:id="31" w:name="_Toc184313257"/>
      <w:bookmarkEnd w:id="31"/>
      <w:bookmarkStart w:id="32" w:name="_Toc184310317"/>
      <w:bookmarkEnd w:id="32"/>
      <w:bookmarkStart w:id="33" w:name="_Toc184308055"/>
      <w:bookmarkEnd w:id="33"/>
      <w:bookmarkStart w:id="34" w:name="_Toc184308090"/>
      <w:bookmarkEnd w:id="34"/>
      <w:bookmarkStart w:id="35" w:name="_Toc184308081"/>
      <w:bookmarkEnd w:id="35"/>
      <w:bookmarkStart w:id="36" w:name="_Toc184314458"/>
      <w:bookmarkEnd w:id="36"/>
      <w:bookmarkStart w:id="37" w:name="_Toc184314443"/>
      <w:bookmarkEnd w:id="37"/>
      <w:bookmarkStart w:id="38" w:name="_Toc184312084"/>
      <w:bookmarkEnd w:id="38"/>
      <w:bookmarkStart w:id="39" w:name="_Toc184308057"/>
      <w:bookmarkEnd w:id="39"/>
      <w:bookmarkStart w:id="40" w:name="_Toc184308043"/>
      <w:bookmarkEnd w:id="40"/>
      <w:bookmarkStart w:id="41" w:name="_Toc184314414"/>
      <w:bookmarkEnd w:id="41"/>
      <w:bookmarkStart w:id="42" w:name="_Toc184310283"/>
      <w:bookmarkEnd w:id="42"/>
      <w:bookmarkStart w:id="43" w:name="_Toc184308075"/>
      <w:bookmarkEnd w:id="43"/>
      <w:bookmarkStart w:id="44" w:name="_Toc184310299"/>
      <w:bookmarkEnd w:id="44"/>
      <w:bookmarkStart w:id="45" w:name="_Toc184314472"/>
      <w:bookmarkEnd w:id="45"/>
      <w:bookmarkStart w:id="46" w:name="_Toc184312077"/>
      <w:bookmarkEnd w:id="46"/>
      <w:bookmarkStart w:id="47" w:name="_Toc184310296"/>
      <w:bookmarkEnd w:id="47"/>
      <w:bookmarkStart w:id="48" w:name="_Toc184308064"/>
      <w:bookmarkEnd w:id="48"/>
      <w:bookmarkStart w:id="49" w:name="_Toc184312123"/>
      <w:bookmarkEnd w:id="49"/>
      <w:bookmarkStart w:id="50" w:name="_Toc184308065"/>
      <w:bookmarkEnd w:id="50"/>
      <w:bookmarkStart w:id="51" w:name="_Toc184310331"/>
      <w:bookmarkEnd w:id="51"/>
      <w:bookmarkStart w:id="52" w:name="_Toc184308048"/>
      <w:bookmarkEnd w:id="52"/>
      <w:bookmarkStart w:id="53" w:name="_Toc184314428"/>
      <w:bookmarkEnd w:id="53"/>
      <w:bookmarkStart w:id="54" w:name="_Toc184314440"/>
      <w:bookmarkEnd w:id="54"/>
      <w:bookmarkStart w:id="55" w:name="_Toc184313277"/>
      <w:bookmarkEnd w:id="55"/>
      <w:bookmarkStart w:id="56" w:name="_Toc184310275"/>
      <w:bookmarkEnd w:id="56"/>
      <w:bookmarkStart w:id="57" w:name="_Toc184314450"/>
      <w:bookmarkEnd w:id="57"/>
      <w:bookmarkStart w:id="58" w:name="_Toc184308087"/>
      <w:bookmarkEnd w:id="58"/>
      <w:bookmarkStart w:id="59" w:name="_Toc184313300"/>
      <w:bookmarkEnd w:id="59"/>
      <w:bookmarkStart w:id="60" w:name="_Toc184314425"/>
      <w:bookmarkEnd w:id="60"/>
      <w:bookmarkStart w:id="61" w:name="_Toc184314470"/>
      <w:bookmarkEnd w:id="61"/>
      <w:bookmarkStart w:id="62" w:name="_Toc184312068"/>
      <w:bookmarkEnd w:id="62"/>
      <w:bookmarkStart w:id="63" w:name="_Toc184314453"/>
      <w:bookmarkEnd w:id="63"/>
      <w:bookmarkStart w:id="64" w:name="_Toc184310337"/>
      <w:bookmarkEnd w:id="64"/>
      <w:bookmarkStart w:id="65" w:name="_Toc184313294"/>
      <w:bookmarkEnd w:id="65"/>
      <w:bookmarkStart w:id="66" w:name="_Toc184310278"/>
      <w:bookmarkEnd w:id="66"/>
      <w:bookmarkStart w:id="67" w:name="_Toc184312076"/>
      <w:bookmarkEnd w:id="67"/>
      <w:bookmarkStart w:id="68" w:name="_Toc184310335"/>
      <w:bookmarkEnd w:id="68"/>
      <w:bookmarkStart w:id="69" w:name="_Toc184312108"/>
      <w:bookmarkEnd w:id="69"/>
      <w:bookmarkStart w:id="70" w:name="_Toc184314419"/>
      <w:bookmarkEnd w:id="70"/>
      <w:bookmarkStart w:id="71" w:name="_Toc184310291"/>
      <w:bookmarkEnd w:id="71"/>
      <w:bookmarkStart w:id="72" w:name="_Toc184314421"/>
      <w:bookmarkEnd w:id="72"/>
      <w:bookmarkStart w:id="73" w:name="_Toc184313274"/>
      <w:bookmarkEnd w:id="73"/>
      <w:bookmarkStart w:id="74" w:name="_Toc184312099"/>
      <w:bookmarkEnd w:id="74"/>
      <w:bookmarkStart w:id="75" w:name="_Toc184313238"/>
      <w:bookmarkEnd w:id="75"/>
      <w:bookmarkStart w:id="76" w:name="_Toc184308079"/>
      <w:bookmarkEnd w:id="76"/>
      <w:bookmarkStart w:id="77" w:name="_Toc184312104"/>
      <w:bookmarkEnd w:id="77"/>
      <w:bookmarkStart w:id="78" w:name="_Toc184314460"/>
      <w:bookmarkEnd w:id="78"/>
      <w:bookmarkStart w:id="79" w:name="_Toc184314420"/>
      <w:bookmarkEnd w:id="79"/>
      <w:bookmarkStart w:id="80" w:name="_Toc184310319"/>
      <w:bookmarkEnd w:id="80"/>
      <w:bookmarkStart w:id="81" w:name="_Toc184308041"/>
      <w:bookmarkEnd w:id="81"/>
      <w:bookmarkStart w:id="82" w:name="_Toc184314415"/>
      <w:bookmarkEnd w:id="82"/>
      <w:bookmarkStart w:id="83" w:name="_Toc184310272"/>
      <w:bookmarkEnd w:id="83"/>
      <w:bookmarkStart w:id="84" w:name="_Toc184312138"/>
      <w:bookmarkEnd w:id="84"/>
      <w:bookmarkStart w:id="85" w:name="_Toc184314445"/>
      <w:bookmarkEnd w:id="85"/>
      <w:bookmarkStart w:id="86" w:name="_Toc184310289"/>
      <w:bookmarkEnd w:id="86"/>
      <w:bookmarkStart w:id="87" w:name="_Toc184308108"/>
      <w:bookmarkEnd w:id="87"/>
      <w:bookmarkStart w:id="88" w:name="_Toc184310284"/>
      <w:bookmarkEnd w:id="88"/>
      <w:bookmarkStart w:id="89" w:name="_Toc184308100"/>
      <w:bookmarkEnd w:id="89"/>
      <w:bookmarkStart w:id="90" w:name="_Toc184312074"/>
      <w:bookmarkEnd w:id="90"/>
      <w:bookmarkStart w:id="91" w:name="_Toc184312067"/>
      <w:bookmarkEnd w:id="91"/>
      <w:bookmarkStart w:id="92" w:name="_Toc184313295"/>
      <w:bookmarkEnd w:id="92"/>
      <w:bookmarkStart w:id="93" w:name="_Toc184313262"/>
      <w:bookmarkEnd w:id="93"/>
      <w:bookmarkStart w:id="94" w:name="_Toc184314482"/>
      <w:bookmarkEnd w:id="94"/>
      <w:bookmarkStart w:id="95" w:name="_Toc184312139"/>
      <w:bookmarkEnd w:id="95"/>
      <w:bookmarkStart w:id="96" w:name="_Toc184310323"/>
      <w:bookmarkEnd w:id="96"/>
      <w:bookmarkStart w:id="97" w:name="_Toc184313244"/>
      <w:bookmarkEnd w:id="97"/>
      <w:bookmarkStart w:id="98" w:name="_Toc184314449"/>
      <w:bookmarkEnd w:id="98"/>
      <w:bookmarkStart w:id="99" w:name="_Toc184312085"/>
      <w:bookmarkEnd w:id="99"/>
      <w:bookmarkStart w:id="100" w:name="_Toc184313306"/>
      <w:bookmarkEnd w:id="100"/>
      <w:bookmarkStart w:id="101" w:name="_Toc184314444"/>
      <w:bookmarkEnd w:id="101"/>
      <w:bookmarkStart w:id="102" w:name="_Toc184312079"/>
      <w:bookmarkEnd w:id="102"/>
      <w:bookmarkStart w:id="103" w:name="_Toc184312075"/>
      <w:bookmarkEnd w:id="103"/>
      <w:bookmarkStart w:id="104" w:name="_Toc184313282"/>
      <w:bookmarkEnd w:id="104"/>
      <w:bookmarkStart w:id="105" w:name="_Toc184312102"/>
      <w:bookmarkEnd w:id="105"/>
      <w:bookmarkStart w:id="106" w:name="_Toc184313256"/>
      <w:bookmarkEnd w:id="106"/>
      <w:bookmarkStart w:id="107" w:name="_Toc184314411"/>
      <w:bookmarkEnd w:id="107"/>
      <w:bookmarkStart w:id="108" w:name="_Toc184314462"/>
      <w:bookmarkEnd w:id="108"/>
      <w:bookmarkStart w:id="109" w:name="_Toc184308066"/>
      <w:bookmarkEnd w:id="109"/>
      <w:bookmarkStart w:id="110" w:name="_Toc184314418"/>
      <w:bookmarkEnd w:id="110"/>
      <w:bookmarkStart w:id="111" w:name="_Toc184313246"/>
      <w:bookmarkEnd w:id="111"/>
      <w:bookmarkStart w:id="112" w:name="_Toc184310311"/>
      <w:bookmarkEnd w:id="112"/>
      <w:bookmarkStart w:id="113" w:name="_Toc184313301"/>
      <w:bookmarkEnd w:id="113"/>
      <w:bookmarkStart w:id="114" w:name="_Toc184308086"/>
      <w:bookmarkEnd w:id="114"/>
      <w:bookmarkStart w:id="115" w:name="_Toc184312129"/>
      <w:bookmarkEnd w:id="115"/>
      <w:bookmarkStart w:id="116" w:name="_Toc184312078"/>
      <w:bookmarkEnd w:id="116"/>
      <w:bookmarkStart w:id="117" w:name="_Toc184310328"/>
      <w:bookmarkEnd w:id="117"/>
      <w:bookmarkStart w:id="118" w:name="_Toc184308044"/>
      <w:bookmarkEnd w:id="118"/>
      <w:bookmarkStart w:id="119" w:name="_Toc184310318"/>
      <w:bookmarkEnd w:id="119"/>
      <w:bookmarkStart w:id="120" w:name="_Toc184310312"/>
      <w:bookmarkEnd w:id="120"/>
      <w:bookmarkStart w:id="121" w:name="_Toc184310316"/>
      <w:bookmarkEnd w:id="121"/>
      <w:bookmarkStart w:id="122" w:name="_Toc184314432"/>
      <w:bookmarkEnd w:id="122"/>
      <w:bookmarkStart w:id="123" w:name="_Toc184314473"/>
      <w:bookmarkEnd w:id="123"/>
      <w:bookmarkStart w:id="124" w:name="_Toc184312081"/>
      <w:bookmarkEnd w:id="124"/>
      <w:bookmarkStart w:id="125" w:name="_Toc184310285"/>
      <w:bookmarkEnd w:id="125"/>
      <w:bookmarkStart w:id="126" w:name="_Toc184313265"/>
      <w:bookmarkEnd w:id="126"/>
      <w:bookmarkStart w:id="127" w:name="_Toc184308096"/>
      <w:bookmarkEnd w:id="127"/>
      <w:bookmarkStart w:id="128" w:name="_Toc184313264"/>
      <w:bookmarkEnd w:id="128"/>
      <w:bookmarkStart w:id="129" w:name="_Toc184308039"/>
      <w:bookmarkEnd w:id="129"/>
      <w:bookmarkStart w:id="130" w:name="_Toc184314478"/>
      <w:bookmarkEnd w:id="130"/>
      <w:bookmarkStart w:id="131" w:name="_Toc184310297"/>
      <w:bookmarkEnd w:id="131"/>
      <w:bookmarkStart w:id="132" w:name="_Toc184312073"/>
      <w:bookmarkEnd w:id="132"/>
      <w:bookmarkStart w:id="133" w:name="_Toc184312089"/>
      <w:bookmarkEnd w:id="133"/>
      <w:bookmarkStart w:id="134" w:name="_Toc184310287"/>
      <w:bookmarkEnd w:id="134"/>
      <w:bookmarkStart w:id="135" w:name="_Toc184310324"/>
      <w:bookmarkEnd w:id="135"/>
      <w:bookmarkStart w:id="136" w:name="_Toc184312093"/>
      <w:bookmarkEnd w:id="136"/>
      <w:bookmarkStart w:id="137" w:name="_Toc184314467"/>
      <w:bookmarkEnd w:id="137"/>
      <w:bookmarkStart w:id="138" w:name="_Toc184312071"/>
      <w:bookmarkEnd w:id="138"/>
      <w:bookmarkStart w:id="139" w:name="_Toc184308071"/>
      <w:bookmarkEnd w:id="139"/>
      <w:bookmarkStart w:id="140" w:name="_Toc184314447"/>
      <w:bookmarkEnd w:id="140"/>
      <w:bookmarkStart w:id="141" w:name="_Toc184313261"/>
      <w:bookmarkEnd w:id="141"/>
      <w:bookmarkStart w:id="142" w:name="_Toc184312127"/>
      <w:bookmarkEnd w:id="142"/>
      <w:bookmarkStart w:id="143" w:name="_Toc184313245"/>
      <w:bookmarkEnd w:id="143"/>
      <w:bookmarkStart w:id="144" w:name="_Toc184312086"/>
      <w:bookmarkEnd w:id="144"/>
      <w:bookmarkStart w:id="145" w:name="_Toc184310342"/>
      <w:bookmarkEnd w:id="145"/>
      <w:bookmarkStart w:id="146" w:name="_Toc184313239"/>
      <w:bookmarkEnd w:id="146"/>
      <w:bookmarkStart w:id="147" w:name="_Toc184310314"/>
      <w:bookmarkEnd w:id="147"/>
      <w:bookmarkStart w:id="148" w:name="_Toc184313272"/>
      <w:bookmarkEnd w:id="148"/>
      <w:bookmarkStart w:id="149" w:name="_Toc184310339"/>
      <w:bookmarkEnd w:id="149"/>
      <w:bookmarkStart w:id="150" w:name="_Toc184308059"/>
      <w:bookmarkEnd w:id="150"/>
      <w:bookmarkStart w:id="151" w:name="_Toc184314457"/>
      <w:bookmarkEnd w:id="151"/>
      <w:bookmarkStart w:id="152" w:name="_Toc184314479"/>
      <w:bookmarkEnd w:id="152"/>
      <w:bookmarkStart w:id="153" w:name="_Toc184313259"/>
      <w:bookmarkEnd w:id="153"/>
      <w:bookmarkStart w:id="154" w:name="_Toc184314461"/>
      <w:bookmarkEnd w:id="154"/>
      <w:bookmarkStart w:id="155" w:name="_Toc184310277"/>
      <w:bookmarkEnd w:id="155"/>
      <w:bookmarkStart w:id="156" w:name="_Toc184312092"/>
      <w:bookmarkEnd w:id="156"/>
      <w:bookmarkStart w:id="157" w:name="_Toc184310333"/>
      <w:bookmarkEnd w:id="157"/>
      <w:bookmarkStart w:id="158" w:name="_Toc184310344"/>
      <w:bookmarkEnd w:id="158"/>
      <w:bookmarkStart w:id="159" w:name="_Toc184314431"/>
      <w:bookmarkEnd w:id="159"/>
      <w:bookmarkStart w:id="160" w:name="_Toc184312111"/>
      <w:bookmarkEnd w:id="160"/>
      <w:bookmarkStart w:id="161" w:name="_Toc184310279"/>
      <w:bookmarkEnd w:id="161"/>
      <w:bookmarkStart w:id="162" w:name="_Toc184313254"/>
      <w:bookmarkEnd w:id="162"/>
      <w:bookmarkStart w:id="163" w:name="_Toc184313260"/>
      <w:bookmarkEnd w:id="163"/>
      <w:bookmarkStart w:id="164" w:name="_Toc184313243"/>
      <w:bookmarkEnd w:id="164"/>
      <w:bookmarkStart w:id="165" w:name="_Toc184313266"/>
      <w:bookmarkEnd w:id="165"/>
      <w:bookmarkStart w:id="166" w:name="_Toc184308067"/>
      <w:bookmarkEnd w:id="166"/>
      <w:bookmarkStart w:id="167" w:name="_Toc184314480"/>
      <w:bookmarkEnd w:id="167"/>
      <w:bookmarkStart w:id="168" w:name="_Toc184314442"/>
      <w:bookmarkEnd w:id="168"/>
      <w:bookmarkStart w:id="169" w:name="_Toc184308106"/>
      <w:bookmarkEnd w:id="169"/>
      <w:bookmarkStart w:id="170" w:name="_Toc184308094"/>
      <w:bookmarkEnd w:id="170"/>
      <w:bookmarkStart w:id="171" w:name="_Toc184312100"/>
      <w:bookmarkEnd w:id="171"/>
      <w:bookmarkStart w:id="172" w:name="_Toc184308105"/>
      <w:bookmarkEnd w:id="172"/>
      <w:bookmarkStart w:id="173" w:name="_Toc184313270"/>
      <w:bookmarkEnd w:id="173"/>
      <w:bookmarkStart w:id="174" w:name="_Toc184310341"/>
      <w:bookmarkEnd w:id="174"/>
      <w:bookmarkStart w:id="175" w:name="_Toc184308061"/>
      <w:bookmarkEnd w:id="175"/>
      <w:bookmarkStart w:id="176" w:name="_Toc184308042"/>
      <w:bookmarkEnd w:id="176"/>
      <w:bookmarkStart w:id="177" w:name="_Toc184310301"/>
      <w:bookmarkEnd w:id="177"/>
      <w:bookmarkStart w:id="178" w:name="_Toc184308038"/>
      <w:bookmarkEnd w:id="178"/>
      <w:bookmarkStart w:id="179" w:name="_Toc184314434"/>
      <w:bookmarkEnd w:id="179"/>
      <w:bookmarkStart w:id="180" w:name="_Toc184308091"/>
      <w:bookmarkEnd w:id="180"/>
      <w:bookmarkStart w:id="181" w:name="_Toc184310303"/>
      <w:bookmarkEnd w:id="181"/>
      <w:bookmarkStart w:id="182" w:name="_Toc184313267"/>
      <w:bookmarkEnd w:id="182"/>
      <w:bookmarkStart w:id="183" w:name="_Toc184312095"/>
      <w:bookmarkEnd w:id="183"/>
      <w:bookmarkStart w:id="184" w:name="_Toc184314477"/>
      <w:bookmarkEnd w:id="184"/>
      <w:bookmarkStart w:id="185" w:name="_Toc184314463"/>
      <w:bookmarkEnd w:id="185"/>
      <w:bookmarkStart w:id="186" w:name="_Toc184308062"/>
      <w:bookmarkEnd w:id="186"/>
      <w:bookmarkStart w:id="187" w:name="_Toc184310276"/>
      <w:bookmarkEnd w:id="187"/>
      <w:bookmarkStart w:id="188" w:name="_Toc184313308"/>
      <w:bookmarkEnd w:id="188"/>
      <w:bookmarkStart w:id="189" w:name="_Toc184312097"/>
      <w:bookmarkEnd w:id="189"/>
      <w:bookmarkStart w:id="190" w:name="_Toc184310290"/>
      <w:bookmarkEnd w:id="190"/>
      <w:bookmarkStart w:id="191" w:name="_Toc184308083"/>
      <w:bookmarkEnd w:id="191"/>
      <w:bookmarkStart w:id="192" w:name="_Toc184314433"/>
      <w:bookmarkEnd w:id="192"/>
      <w:bookmarkStart w:id="193" w:name="_Toc184314474"/>
      <w:bookmarkEnd w:id="193"/>
      <w:bookmarkStart w:id="194" w:name="_Toc184308089"/>
      <w:bookmarkEnd w:id="194"/>
      <w:bookmarkStart w:id="195" w:name="_Toc184312082"/>
      <w:bookmarkEnd w:id="195"/>
      <w:bookmarkStart w:id="196" w:name="_Toc184310274"/>
      <w:bookmarkEnd w:id="196"/>
      <w:bookmarkStart w:id="197" w:name="_Toc184310326"/>
      <w:bookmarkEnd w:id="197"/>
      <w:bookmarkStart w:id="198" w:name="_Toc184312106"/>
      <w:bookmarkEnd w:id="198"/>
      <w:bookmarkStart w:id="199" w:name="_Toc184314417"/>
      <w:bookmarkEnd w:id="199"/>
      <w:bookmarkStart w:id="200" w:name="_Toc184314416"/>
      <w:bookmarkEnd w:id="200"/>
      <w:bookmarkStart w:id="201" w:name="_Toc184308085"/>
      <w:bookmarkEnd w:id="201"/>
      <w:bookmarkStart w:id="202" w:name="_Toc184314468"/>
      <w:bookmarkEnd w:id="202"/>
      <w:bookmarkStart w:id="203" w:name="_Toc184313273"/>
      <w:bookmarkEnd w:id="203"/>
      <w:bookmarkStart w:id="204" w:name="_Toc184312114"/>
      <w:bookmarkEnd w:id="204"/>
      <w:bookmarkStart w:id="205" w:name="_Toc184310273"/>
      <w:bookmarkEnd w:id="205"/>
      <w:bookmarkStart w:id="206" w:name="_Toc184308084"/>
      <w:bookmarkEnd w:id="206"/>
      <w:bookmarkStart w:id="207" w:name="_Toc184308037"/>
      <w:bookmarkEnd w:id="207"/>
      <w:bookmarkStart w:id="208" w:name="_Toc184312134"/>
      <w:bookmarkEnd w:id="208"/>
      <w:bookmarkStart w:id="209" w:name="_Toc184312117"/>
      <w:bookmarkEnd w:id="209"/>
      <w:bookmarkStart w:id="210" w:name="_Toc184310325"/>
      <w:bookmarkEnd w:id="210"/>
      <w:bookmarkStart w:id="211" w:name="_Toc184312112"/>
      <w:bookmarkEnd w:id="211"/>
      <w:bookmarkStart w:id="212" w:name="_Toc184314412"/>
      <w:bookmarkEnd w:id="212"/>
      <w:bookmarkStart w:id="213" w:name="_Toc184308103"/>
      <w:bookmarkEnd w:id="213"/>
      <w:bookmarkStart w:id="214" w:name="_Toc184314459"/>
      <w:bookmarkEnd w:id="214"/>
      <w:bookmarkStart w:id="215" w:name="_Toc184312121"/>
      <w:bookmarkEnd w:id="215"/>
      <w:bookmarkStart w:id="216" w:name="_Toc184313241"/>
      <w:bookmarkEnd w:id="216"/>
      <w:bookmarkStart w:id="217" w:name="_Toc184312087"/>
      <w:bookmarkEnd w:id="217"/>
      <w:bookmarkStart w:id="218" w:name="_Toc184312120"/>
      <w:bookmarkEnd w:id="218"/>
      <w:bookmarkStart w:id="219" w:name="_Toc184308046"/>
      <w:bookmarkEnd w:id="219"/>
      <w:bookmarkStart w:id="220" w:name="_Toc184312130"/>
      <w:bookmarkEnd w:id="220"/>
      <w:bookmarkStart w:id="221" w:name="_Toc184313310"/>
      <w:bookmarkEnd w:id="221"/>
      <w:bookmarkStart w:id="222" w:name="_Toc184308040"/>
      <w:bookmarkEnd w:id="222"/>
      <w:bookmarkStart w:id="223" w:name="_Toc184314465"/>
      <w:bookmarkEnd w:id="223"/>
      <w:bookmarkStart w:id="224" w:name="_Toc184312137"/>
      <w:bookmarkEnd w:id="224"/>
      <w:bookmarkStart w:id="225" w:name="_Toc184312109"/>
      <w:bookmarkEnd w:id="225"/>
      <w:bookmarkStart w:id="226" w:name="_Toc184310286"/>
      <w:bookmarkEnd w:id="226"/>
      <w:bookmarkStart w:id="227" w:name="_Toc184310304"/>
      <w:bookmarkEnd w:id="227"/>
      <w:bookmarkStart w:id="228" w:name="_Toc184314439"/>
      <w:bookmarkEnd w:id="228"/>
      <w:bookmarkStart w:id="229" w:name="_Toc184313304"/>
      <w:bookmarkEnd w:id="229"/>
      <w:bookmarkStart w:id="230" w:name="_Toc184308049"/>
      <w:bookmarkEnd w:id="230"/>
      <w:bookmarkStart w:id="231" w:name="_Toc184312132"/>
      <w:bookmarkEnd w:id="231"/>
      <w:bookmarkStart w:id="232" w:name="_Toc184314475"/>
      <w:bookmarkEnd w:id="232"/>
      <w:bookmarkStart w:id="233" w:name="_Toc184312088"/>
      <w:bookmarkEnd w:id="233"/>
      <w:bookmarkStart w:id="234" w:name="_Toc184308104"/>
      <w:bookmarkEnd w:id="234"/>
      <w:bookmarkStart w:id="235" w:name="_Toc184313288"/>
      <w:bookmarkEnd w:id="235"/>
      <w:bookmarkStart w:id="236" w:name="_Toc184314413"/>
      <w:bookmarkEnd w:id="236"/>
      <w:bookmarkStart w:id="237" w:name="_Toc184313303"/>
      <w:bookmarkEnd w:id="237"/>
      <w:bookmarkStart w:id="238" w:name="_Toc184310334"/>
      <w:bookmarkEnd w:id="238"/>
      <w:bookmarkStart w:id="239" w:name="_Toc184312072"/>
      <w:bookmarkEnd w:id="239"/>
      <w:bookmarkStart w:id="240" w:name="_Toc184312096"/>
      <w:bookmarkEnd w:id="240"/>
      <w:bookmarkStart w:id="241" w:name="_Toc184310308"/>
      <w:bookmarkEnd w:id="241"/>
      <w:bookmarkStart w:id="242" w:name="_Toc184310305"/>
      <w:bookmarkEnd w:id="242"/>
      <w:bookmarkStart w:id="243" w:name="_Toc184314476"/>
      <w:bookmarkEnd w:id="243"/>
      <w:bookmarkStart w:id="244" w:name="_Toc184314423"/>
      <w:bookmarkEnd w:id="244"/>
      <w:bookmarkStart w:id="245" w:name="_Toc184313263"/>
      <w:bookmarkEnd w:id="245"/>
      <w:bookmarkStart w:id="246" w:name="_Toc184313298"/>
      <w:bookmarkEnd w:id="246"/>
      <w:bookmarkStart w:id="247" w:name="_Toc184312119"/>
      <w:bookmarkEnd w:id="247"/>
      <w:bookmarkStart w:id="248" w:name="_Toc184312135"/>
      <w:bookmarkEnd w:id="248"/>
      <w:bookmarkStart w:id="249" w:name="_Toc184314466"/>
      <w:bookmarkEnd w:id="249"/>
      <w:bookmarkStart w:id="250" w:name="_Toc184312091"/>
      <w:bookmarkEnd w:id="250"/>
      <w:bookmarkStart w:id="251" w:name="_Toc184314424"/>
      <w:bookmarkEnd w:id="251"/>
      <w:bookmarkStart w:id="252" w:name="_Toc184312094"/>
      <w:bookmarkEnd w:id="252"/>
      <w:bookmarkStart w:id="253" w:name="_Toc184308088"/>
      <w:bookmarkEnd w:id="253"/>
      <w:bookmarkStart w:id="254" w:name="_Toc184313248"/>
      <w:bookmarkEnd w:id="254"/>
      <w:bookmarkStart w:id="255" w:name="_Toc184313242"/>
      <w:bookmarkEnd w:id="255"/>
      <w:bookmarkStart w:id="256" w:name="_Toc184314436"/>
      <w:bookmarkEnd w:id="256"/>
      <w:bookmarkStart w:id="257" w:name="_Toc184310288"/>
      <w:bookmarkEnd w:id="257"/>
      <w:bookmarkStart w:id="258" w:name="_Toc184312113"/>
      <w:bookmarkEnd w:id="258"/>
      <w:bookmarkStart w:id="259" w:name="_Toc184308068"/>
      <w:bookmarkEnd w:id="259"/>
      <w:bookmarkStart w:id="260" w:name="_Toc184313287"/>
      <w:bookmarkEnd w:id="260"/>
      <w:bookmarkStart w:id="261" w:name="_Toc184312083"/>
      <w:bookmarkEnd w:id="261"/>
      <w:bookmarkStart w:id="262" w:name="_Toc184312116"/>
      <w:bookmarkEnd w:id="262"/>
      <w:bookmarkStart w:id="263" w:name="_Toc184308102"/>
      <w:bookmarkEnd w:id="263"/>
      <w:bookmarkStart w:id="264" w:name="_Toc184313281"/>
      <w:bookmarkEnd w:id="264"/>
      <w:bookmarkStart w:id="265" w:name="_Toc184312098"/>
      <w:bookmarkEnd w:id="265"/>
      <w:bookmarkStart w:id="266" w:name="_Toc184310315"/>
      <w:bookmarkEnd w:id="266"/>
      <w:bookmarkStart w:id="267" w:name="_Toc184314441"/>
      <w:bookmarkEnd w:id="267"/>
      <w:bookmarkStart w:id="268" w:name="_Toc184314435"/>
      <w:bookmarkEnd w:id="268"/>
      <w:bookmarkStart w:id="269" w:name="_Toc184313258"/>
      <w:bookmarkEnd w:id="269"/>
      <w:bookmarkStart w:id="270" w:name="_Toc184314452"/>
      <w:bookmarkEnd w:id="270"/>
      <w:bookmarkStart w:id="271" w:name="_Toc184308099"/>
      <w:bookmarkEnd w:id="271"/>
      <w:bookmarkStart w:id="272" w:name="_Toc184308107"/>
      <w:bookmarkEnd w:id="272"/>
      <w:bookmarkStart w:id="273" w:name="_Toc184313280"/>
      <w:bookmarkEnd w:id="273"/>
      <w:bookmarkStart w:id="274" w:name="_Toc184312125"/>
      <w:bookmarkEnd w:id="274"/>
      <w:bookmarkStart w:id="275" w:name="_Toc184310340"/>
      <w:bookmarkEnd w:id="275"/>
      <w:bookmarkStart w:id="276" w:name="_Toc184308072"/>
      <w:bookmarkEnd w:id="276"/>
      <w:bookmarkStart w:id="277" w:name="_Toc184314481"/>
      <w:bookmarkEnd w:id="277"/>
      <w:bookmarkStart w:id="278" w:name="_Toc184308073"/>
      <w:bookmarkEnd w:id="278"/>
      <w:bookmarkStart w:id="279" w:name="_Toc184310309"/>
      <w:bookmarkEnd w:id="279"/>
      <w:bookmarkStart w:id="280" w:name="_Toc184312069"/>
      <w:bookmarkEnd w:id="280"/>
      <w:bookmarkStart w:id="281" w:name="_Toc184308054"/>
      <w:bookmarkEnd w:id="281"/>
      <w:bookmarkStart w:id="282" w:name="_Toc184313253"/>
      <w:bookmarkEnd w:id="282"/>
      <w:bookmarkStart w:id="283" w:name="_Toc184313285"/>
      <w:bookmarkEnd w:id="283"/>
      <w:bookmarkStart w:id="284" w:name="_Toc184308051"/>
      <w:bookmarkEnd w:id="284"/>
      <w:bookmarkStart w:id="285" w:name="_Toc184310329"/>
      <w:bookmarkEnd w:id="285"/>
      <w:bookmarkStart w:id="286" w:name="_Toc184308098"/>
      <w:bookmarkEnd w:id="286"/>
      <w:bookmarkStart w:id="287" w:name="_Toc184314454"/>
      <w:bookmarkEnd w:id="287"/>
      <w:bookmarkStart w:id="288" w:name="_Toc184310321"/>
      <w:bookmarkEnd w:id="288"/>
      <w:bookmarkStart w:id="289" w:name="_Toc184312136"/>
      <w:bookmarkEnd w:id="289"/>
      <w:bookmarkStart w:id="290" w:name="_Toc184313251"/>
      <w:bookmarkEnd w:id="290"/>
      <w:bookmarkStart w:id="291" w:name="_Toc184310322"/>
      <w:bookmarkEnd w:id="291"/>
      <w:bookmarkStart w:id="292" w:name="_Toc184308056"/>
      <w:bookmarkEnd w:id="292"/>
      <w:bookmarkStart w:id="293" w:name="_Toc184312126"/>
      <w:bookmarkEnd w:id="293"/>
      <w:bookmarkStart w:id="294" w:name="_Toc184314446"/>
      <w:bookmarkEnd w:id="294"/>
      <w:bookmarkStart w:id="295" w:name="_Toc184308077"/>
      <w:bookmarkEnd w:id="295"/>
      <w:bookmarkStart w:id="296" w:name="_Toc184312122"/>
      <w:bookmarkEnd w:id="296"/>
      <w:bookmarkStart w:id="297" w:name="_Toc184314437"/>
      <w:bookmarkEnd w:id="297"/>
      <w:bookmarkStart w:id="298" w:name="_Toc184313297"/>
      <w:bookmarkEnd w:id="298"/>
      <w:bookmarkStart w:id="299" w:name="_Toc184310338"/>
      <w:bookmarkEnd w:id="299"/>
      <w:bookmarkStart w:id="300" w:name="_Toc184313247"/>
      <w:bookmarkEnd w:id="300"/>
      <w:bookmarkStart w:id="301" w:name="_Toc184312090"/>
      <w:bookmarkEnd w:id="301"/>
      <w:bookmarkStart w:id="302" w:name="_Toc184314427"/>
      <w:bookmarkEnd w:id="302"/>
      <w:bookmarkStart w:id="303" w:name="_Toc184314456"/>
      <w:bookmarkEnd w:id="303"/>
      <w:bookmarkStart w:id="304" w:name="_Toc184313286"/>
      <w:bookmarkEnd w:id="304"/>
      <w:bookmarkStart w:id="305" w:name="_Toc184308080"/>
      <w:bookmarkEnd w:id="305"/>
      <w:bookmarkStart w:id="306" w:name="_Toc184308074"/>
      <w:bookmarkEnd w:id="306"/>
      <w:bookmarkStart w:id="307" w:name="_Toc184313290"/>
      <w:bookmarkEnd w:id="307"/>
      <w:bookmarkStart w:id="308" w:name="_Toc184310294"/>
      <w:bookmarkEnd w:id="308"/>
      <w:bookmarkStart w:id="309" w:name="_Toc184310330"/>
      <w:bookmarkEnd w:id="309"/>
      <w:bookmarkStart w:id="310" w:name="_Toc184308047"/>
      <w:bookmarkEnd w:id="310"/>
      <w:bookmarkStart w:id="311" w:name="_Toc184310307"/>
      <w:bookmarkEnd w:id="311"/>
      <w:bookmarkStart w:id="312" w:name="_Toc184313279"/>
      <w:bookmarkEnd w:id="312"/>
      <w:bookmarkStart w:id="313" w:name="_Toc184312133"/>
      <w:bookmarkEnd w:id="313"/>
      <w:bookmarkStart w:id="314" w:name="_Toc184312118"/>
      <w:bookmarkEnd w:id="314"/>
      <w:bookmarkStart w:id="315" w:name="_Toc184310336"/>
      <w:bookmarkEnd w:id="315"/>
      <w:bookmarkStart w:id="316" w:name="_Toc184313293"/>
      <w:bookmarkEnd w:id="316"/>
      <w:bookmarkStart w:id="317" w:name="_Toc184310298"/>
      <w:bookmarkEnd w:id="317"/>
      <w:bookmarkStart w:id="318" w:name="_Toc184313278"/>
      <w:bookmarkEnd w:id="318"/>
      <w:bookmarkStart w:id="319" w:name="_Toc184308036"/>
      <w:bookmarkEnd w:id="319"/>
      <w:bookmarkStart w:id="320" w:name="_Toc184310310"/>
      <w:bookmarkEnd w:id="320"/>
      <w:bookmarkStart w:id="321" w:name="_Toc184310280"/>
      <w:bookmarkEnd w:id="321"/>
      <w:bookmarkStart w:id="322" w:name="_Toc184308078"/>
      <w:bookmarkEnd w:id="322"/>
      <w:bookmarkStart w:id="323" w:name="_Toc184308095"/>
      <w:bookmarkEnd w:id="323"/>
      <w:bookmarkStart w:id="324" w:name="_Toc184308058"/>
      <w:bookmarkEnd w:id="324"/>
      <w:bookmarkStart w:id="325" w:name="_Toc184312131"/>
      <w:bookmarkEnd w:id="325"/>
      <w:bookmarkStart w:id="326" w:name="_Toc184308076"/>
      <w:bookmarkEnd w:id="326"/>
      <w:bookmarkStart w:id="327" w:name="_Toc184313307"/>
      <w:bookmarkEnd w:id="327"/>
      <w:bookmarkStart w:id="328" w:name="_Toc184312128"/>
      <w:bookmarkEnd w:id="328"/>
      <w:bookmarkStart w:id="329" w:name="_Toc184308097"/>
      <w:bookmarkEnd w:id="329"/>
      <w:bookmarkStart w:id="330" w:name="_Toc184314469"/>
      <w:bookmarkEnd w:id="330"/>
      <w:bookmarkStart w:id="331" w:name="_Toc184313249"/>
      <w:bookmarkEnd w:id="331"/>
      <w:bookmarkStart w:id="332" w:name="_Toc184312124"/>
      <w:bookmarkEnd w:id="332"/>
      <w:bookmarkStart w:id="333" w:name="_Toc184310302"/>
      <w:bookmarkEnd w:id="333"/>
      <w:bookmarkStart w:id="334" w:name="_Toc184314422"/>
      <w:bookmarkEnd w:id="334"/>
      <w:bookmarkStart w:id="335" w:name="_Toc184314455"/>
      <w:bookmarkEnd w:id="335"/>
      <w:bookmarkStart w:id="336" w:name="_Toc184314410"/>
      <w:bookmarkEnd w:id="336"/>
      <w:bookmarkStart w:id="337" w:name="_Toc184310320"/>
      <w:bookmarkEnd w:id="337"/>
      <w:bookmarkStart w:id="338" w:name="_Toc184308053"/>
      <w:bookmarkEnd w:id="338"/>
      <w:bookmarkStart w:id="339" w:name="_Toc184313309"/>
      <w:bookmarkEnd w:id="339"/>
      <w:bookmarkStart w:id="340" w:name="_Toc184313250"/>
      <w:bookmarkEnd w:id="340"/>
      <w:bookmarkStart w:id="341" w:name="_Toc184308070"/>
      <w:bookmarkEnd w:id="341"/>
      <w:bookmarkStart w:id="342" w:name="_Toc184313276"/>
      <w:bookmarkEnd w:id="342"/>
      <w:bookmarkStart w:id="343" w:name="_Toc184308101"/>
      <w:bookmarkEnd w:id="343"/>
      <w:bookmarkStart w:id="344" w:name="_Toc184313305"/>
      <w:bookmarkEnd w:id="344"/>
      <w:bookmarkStart w:id="345" w:name="_Toc184313291"/>
      <w:bookmarkEnd w:id="345"/>
      <w:bookmarkStart w:id="346" w:name="_Toc184308060"/>
      <w:bookmarkEnd w:id="346"/>
      <w:bookmarkStart w:id="347" w:name="_Toc184308092"/>
      <w:bookmarkEnd w:id="347"/>
      <w:bookmarkStart w:id="348" w:name="_Toc184310300"/>
      <w:bookmarkEnd w:id="348"/>
      <w:bookmarkStart w:id="349" w:name="_Toc184313289"/>
      <w:bookmarkEnd w:id="349"/>
      <w:bookmarkStart w:id="350" w:name="_Toc184314464"/>
      <w:bookmarkEnd w:id="350"/>
      <w:bookmarkStart w:id="351" w:name="_Toc184310313"/>
      <w:bookmarkEnd w:id="351"/>
      <w:bookmarkStart w:id="352" w:name="_Toc184310327"/>
      <w:bookmarkEnd w:id="352"/>
      <w:bookmarkStart w:id="353" w:name="_Toc184313302"/>
      <w:bookmarkEnd w:id="353"/>
      <w:bookmarkStart w:id="354" w:name="_Toc184308093"/>
      <w:bookmarkEnd w:id="354"/>
      <w:bookmarkStart w:id="355" w:name="_Toc184314430"/>
      <w:bookmarkEnd w:id="355"/>
      <w:bookmarkStart w:id="356" w:name="_Toc184313296"/>
      <w:bookmarkEnd w:id="356"/>
      <w:bookmarkStart w:id="357" w:name="_Toc184314448"/>
      <w:bookmarkEnd w:id="357"/>
      <w:bookmarkStart w:id="358" w:name="_Toc184310306"/>
      <w:bookmarkEnd w:id="358"/>
      <w:bookmarkStart w:id="359" w:name="_Toc184308069"/>
      <w:bookmarkEnd w:id="359"/>
      <w:bookmarkStart w:id="360" w:name="_Toc184313240"/>
      <w:bookmarkEnd w:id="360"/>
      <w:bookmarkStart w:id="361" w:name="_Toc184310343"/>
      <w:bookmarkEnd w:id="361"/>
      <w:bookmarkStart w:id="362" w:name="_Toc184312105"/>
      <w:bookmarkEnd w:id="362"/>
      <w:bookmarkStart w:id="363" w:name="_Toc184308082"/>
      <w:bookmarkEnd w:id="363"/>
      <w:bookmarkStart w:id="364" w:name="_Toc184310293"/>
      <w:bookmarkEnd w:id="364"/>
      <w:bookmarkStart w:id="365" w:name="_Toc184312115"/>
      <w:bookmarkEnd w:id="365"/>
      <w:bookmarkStart w:id="366" w:name="_Toc184313275"/>
      <w:bookmarkEnd w:id="366"/>
      <w:bookmarkStart w:id="367" w:name="_Toc184308045"/>
      <w:bookmarkEnd w:id="367"/>
      <w:bookmarkStart w:id="368" w:name="_Toc184313255"/>
      <w:bookmarkEnd w:id="368"/>
      <w:bookmarkStart w:id="369" w:name="_Toc184314451"/>
      <w:bookmarkEnd w:id="369"/>
      <w:bookmarkStart w:id="370" w:name="_Toc184310292"/>
      <w:bookmarkEnd w:id="370"/>
      <w:bookmarkStart w:id="371" w:name="_Toc184314429"/>
      <w:bookmarkEnd w:id="371"/>
      <w:bookmarkStart w:id="372" w:name="_Toc184313284"/>
      <w:bookmarkEnd w:id="372"/>
      <w:bookmarkStart w:id="373" w:name="_Toc184310332"/>
      <w:bookmarkEnd w:id="373"/>
      <w:bookmarkStart w:id="374" w:name="_Toc184313269"/>
      <w:bookmarkEnd w:id="374"/>
      <w:bookmarkStart w:id="375" w:name="_Toc184313283"/>
      <w:bookmarkEnd w:id="375"/>
      <w:bookmarkStart w:id="376" w:name="_Toc184312070"/>
      <w:bookmarkEnd w:id="376"/>
      <w:bookmarkStart w:id="377" w:name="_Toc184312103"/>
      <w:bookmarkEnd w:id="377"/>
      <w:bookmarkStart w:id="378" w:name="_Toc184308050"/>
      <w:bookmarkEnd w:id="378"/>
      <w:bookmarkStart w:id="379" w:name="_Toc184312107"/>
      <w:bookmarkEnd w:id="379"/>
      <w:bookmarkStart w:id="380" w:name="_Toc184313252"/>
      <w:bookmarkEnd w:id="380"/>
      <w:bookmarkStart w:id="381" w:name="_Toc184312110"/>
      <w:bookmarkEnd w:id="381"/>
      <w:bookmarkStart w:id="382" w:name="_Toc184312101"/>
      <w:bookmarkEnd w:id="382"/>
      <w:bookmarkStart w:id="383" w:name="_Toc184310295"/>
      <w:bookmarkEnd w:id="383"/>
      <w:bookmarkStart w:id="384" w:name="_Toc184314426"/>
      <w:bookmarkEnd w:id="384"/>
      <w:bookmarkStart w:id="385" w:name="_Toc184312080"/>
      <w:bookmarkEnd w:id="385"/>
      <w:bookmarkStart w:id="386" w:name="_Toc184308063"/>
      <w:bookmarkEnd w:id="386"/>
      <w:bookmarkStart w:id="387" w:name="_Toc184313271"/>
      <w:bookmarkEnd w:id="387"/>
      <w:bookmarkStart w:id="388" w:name="_Toc184313268"/>
      <w:bookmarkEnd w:id="388"/>
      <w:bookmarkStart w:id="389" w:name="_Toc184313292"/>
      <w:bookmarkEnd w:id="389"/>
      <w:bookmarkStart w:id="390" w:name="_Toc184310281"/>
      <w:bookmarkEnd w:id="390"/>
      <w:bookmarkStart w:id="391" w:name="_Toc184314471"/>
      <w:bookmarkEnd w:id="391"/>
      <w:bookmarkStart w:id="392" w:name="_Toc184308052"/>
      <w:bookmarkEnd w:id="392"/>
      <w:bookmarkStart w:id="393" w:name="_Toc184310282"/>
      <w:bookmarkEnd w:id="393"/>
      <w:r>
        <w:rPr>
          <w:rFonts w:hint="eastAsia" w:ascii="宋体" w:hAnsi="宋体" w:cs="宋体"/>
          <w:b/>
          <w:color w:val="auto"/>
          <w:sz w:val="36"/>
          <w:szCs w:val="36"/>
        </w:rPr>
        <w:t>评标办法</w:t>
      </w:r>
    </w:p>
    <w:p>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W w:w="8760"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5370"/>
        <w:gridCol w:w="750"/>
        <w:gridCol w:w="82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序号</w:t>
            </w:r>
          </w:p>
        </w:tc>
        <w:tc>
          <w:tcPr>
            <w:tcW w:w="5370"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评标标准</w:t>
            </w:r>
          </w:p>
        </w:tc>
        <w:tc>
          <w:tcPr>
            <w:tcW w:w="750"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权重</w:t>
            </w:r>
          </w:p>
        </w:tc>
        <w:tc>
          <w:tcPr>
            <w:tcW w:w="825" w:type="dxa"/>
            <w:noWrap w:val="0"/>
            <w:vAlign w:val="top"/>
          </w:tcPr>
          <w:p>
            <w:pPr>
              <w:snapToGrid w:val="0"/>
              <w:spacing w:after="120" w:line="360" w:lineRule="auto"/>
              <w:jc w:val="center"/>
              <w:rPr>
                <w:rFonts w:hint="eastAsia" w:ascii="宋体" w:hAnsi="宋体" w:cs="宋体"/>
                <w:color w:val="auto"/>
                <w:kern w:val="0"/>
                <w:sz w:val="24"/>
                <w:lang w:eastAsia="zh-CN"/>
              </w:rPr>
            </w:pPr>
          </w:p>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主客观分属性</w:t>
            </w:r>
          </w:p>
        </w:tc>
        <w:tc>
          <w:tcPr>
            <w:tcW w:w="1260" w:type="dxa"/>
            <w:noWrap w:val="0"/>
            <w:vAlign w:val="top"/>
          </w:tcPr>
          <w:p>
            <w:pPr>
              <w:snapToGrid w:val="0"/>
              <w:spacing w:after="120" w:line="360" w:lineRule="auto"/>
              <w:jc w:val="left"/>
              <w:rPr>
                <w:rFonts w:hint="eastAsia" w:ascii="宋体" w:hAnsi="宋体" w:cs="宋体"/>
                <w:b/>
                <w:color w:val="auto"/>
                <w:kern w:val="0"/>
                <w:sz w:val="24"/>
              </w:rPr>
            </w:pPr>
            <w:r>
              <w:rPr>
                <w:rFonts w:hint="eastAsia" w:ascii="宋体" w:hAnsi="宋体" w:cs="宋体"/>
                <w:b w:val="0"/>
                <w:bCs/>
                <w:color w:val="auto"/>
                <w:kern w:val="0"/>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5370" w:type="dxa"/>
            <w:noWrap w:val="0"/>
            <w:vAlign w:val="top"/>
          </w:tcPr>
          <w:p>
            <w:pPr>
              <w:snapToGrid w:val="0"/>
              <w:spacing w:after="120" w:line="360" w:lineRule="auto"/>
              <w:jc w:val="left"/>
              <w:rPr>
                <w:rFonts w:ascii="宋体" w:hAnsi="宋体" w:cs="宋体"/>
                <w:color w:val="auto"/>
                <w:kern w:val="0"/>
                <w:sz w:val="24"/>
              </w:rPr>
            </w:pPr>
            <w:r>
              <w:rPr>
                <w:rFonts w:hint="eastAsia" w:ascii="宋体" w:hAnsi="宋体" w:cs="宋体"/>
                <w:color w:val="auto"/>
                <w:kern w:val="0"/>
                <w:sz w:val="24"/>
              </w:rPr>
              <w:t>根据本项目物业管理服务特点提出合理的物业管理服务理念、服务定位、服务目标，并有针对性、切实可行的方案（符合得2分，不符合不得分）；投标方案提出文明服务的计划及承诺（符合得1分，不符合不得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3分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hint="eastAsia" w:ascii="宋体" w:hAnsi="宋体" w:cs="宋体"/>
                <w:b w:val="0"/>
                <w:bCs/>
                <w:color w:val="auto"/>
                <w:kern w:val="0"/>
                <w:sz w:val="24"/>
                <w:szCs w:val="24"/>
              </w:rPr>
            </w:pPr>
            <w:r>
              <w:rPr>
                <w:rFonts w:hint="eastAsia" w:ascii="宋体" w:hAnsi="宋体" w:cs="宋体"/>
                <w:b w:val="0"/>
                <w:bCs/>
                <w:color w:val="auto"/>
                <w:kern w:val="0"/>
                <w:sz w:val="24"/>
                <w:szCs w:val="24"/>
                <w:lang w:eastAsia="zh-CN"/>
              </w:rPr>
              <w:t>（一）</w:t>
            </w:r>
            <w:r>
              <w:rPr>
                <w:rFonts w:hint="eastAsia" w:ascii="宋体" w:hAnsi="宋体" w:cs="宋体"/>
                <w:b w:val="0"/>
                <w:bCs/>
                <w:color w:val="auto"/>
                <w:kern w:val="0"/>
                <w:sz w:val="24"/>
                <w:szCs w:val="24"/>
              </w:rPr>
              <w:t>物业管理服务理念、组织架构及管理制度情况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5370" w:type="dxa"/>
            <w:noWrap w:val="0"/>
            <w:vAlign w:val="top"/>
          </w:tcPr>
          <w:p>
            <w:pPr>
              <w:snapToGrid w:val="0"/>
              <w:spacing w:line="360" w:lineRule="auto"/>
              <w:ind w:left="105" w:leftChars="50"/>
              <w:rPr>
                <w:rFonts w:ascii="宋体" w:hAnsi="宋体" w:cs="宋体"/>
                <w:color w:val="auto"/>
                <w:kern w:val="2"/>
                <w:sz w:val="24"/>
              </w:rPr>
            </w:pPr>
            <w:r>
              <w:rPr>
                <w:rFonts w:hint="eastAsia" w:ascii="宋体" w:hAnsi="宋体" w:cs="宋体"/>
                <w:color w:val="auto"/>
                <w:kern w:val="0"/>
                <w:sz w:val="24"/>
              </w:rPr>
              <w:t>清晰简练地列出主要管理流程，包括</w:t>
            </w:r>
            <w:r>
              <w:rPr>
                <w:rFonts w:hint="eastAsia" w:ascii="宋体" w:hAnsi="宋体" w:cs="宋体"/>
                <w:b/>
                <w:color w:val="auto"/>
                <w:kern w:val="0"/>
                <w:sz w:val="24"/>
              </w:rPr>
              <w:t>运作流程图、激励机制、监督机制、自我约束机制、信息反馈及处理机制</w:t>
            </w:r>
            <w:r>
              <w:rPr>
                <w:rFonts w:hint="eastAsia" w:ascii="宋体" w:hAnsi="宋体" w:cs="宋体"/>
                <w:color w:val="auto"/>
                <w:kern w:val="0"/>
                <w:sz w:val="24"/>
              </w:rPr>
              <w:t>（1项不符合扣1分，扣完为止。此项最高3分。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3分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hint="eastAsia" w:ascii="宋体" w:hAnsi="宋体" w:cs="宋体"/>
                <w:b w:val="0"/>
                <w:bCs/>
                <w:color w:val="auto"/>
                <w:kern w:val="0"/>
                <w:sz w:val="24"/>
                <w:szCs w:val="24"/>
              </w:rPr>
            </w:pPr>
            <w:r>
              <w:rPr>
                <w:rFonts w:hint="eastAsia" w:ascii="宋体" w:hAnsi="宋体" w:cs="宋体"/>
                <w:b w:val="0"/>
                <w:bCs/>
                <w:color w:val="auto"/>
                <w:kern w:val="0"/>
                <w:sz w:val="24"/>
                <w:szCs w:val="24"/>
                <w:lang w:eastAsia="zh-CN"/>
              </w:rPr>
              <w:t>（二）</w:t>
            </w:r>
            <w:r>
              <w:rPr>
                <w:rFonts w:hint="eastAsia" w:ascii="宋体" w:hAnsi="宋体" w:cs="宋体"/>
                <w:b w:val="0"/>
                <w:bCs/>
                <w:color w:val="auto"/>
                <w:kern w:val="0"/>
                <w:sz w:val="24"/>
                <w:szCs w:val="24"/>
              </w:rPr>
              <w:t>针对本项目有比较完善的组织架构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9" w:hRule="atLeast"/>
        </w:trPr>
        <w:tc>
          <w:tcPr>
            <w:tcW w:w="555" w:type="dxa"/>
            <w:noWrap w:val="0"/>
            <w:vAlign w:val="center"/>
          </w:tcPr>
          <w:p>
            <w:pPr>
              <w:snapToGrid w:val="0"/>
              <w:spacing w:after="120"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5370" w:type="dxa"/>
            <w:noWrap w:val="0"/>
            <w:vAlign w:val="top"/>
          </w:tcPr>
          <w:p>
            <w:pPr>
              <w:snapToGrid w:val="0"/>
              <w:spacing w:line="360" w:lineRule="auto"/>
              <w:ind w:left="105" w:leftChars="50"/>
              <w:rPr>
                <w:rFonts w:hint="eastAsia" w:ascii="宋体" w:hAnsi="宋体" w:cs="宋体"/>
                <w:color w:val="auto"/>
                <w:kern w:val="0"/>
                <w:sz w:val="24"/>
              </w:rPr>
            </w:pPr>
            <w:r>
              <w:rPr>
                <w:rFonts w:hint="eastAsia" w:ascii="宋体" w:hAnsi="宋体" w:cs="宋体"/>
                <w:color w:val="auto"/>
                <w:kern w:val="0"/>
                <w:sz w:val="24"/>
              </w:rPr>
              <w:t>针对本项目有比较完善的物业管理制度、作业流程及物业管理工作计划及实施时间，体现标准化服务，管理指标承诺和管理服务水平是否符合国家和行业标准（全部符合得</w:t>
            </w:r>
            <w:r>
              <w:rPr>
                <w:rFonts w:hint="eastAsia" w:ascii="宋体" w:hAnsi="宋体" w:cs="宋体"/>
                <w:color w:val="auto"/>
                <w:kern w:val="0"/>
                <w:sz w:val="24"/>
                <w:lang w:val="en-US" w:eastAsia="zh-CN"/>
              </w:rPr>
              <w:t>4</w:t>
            </w:r>
            <w:r>
              <w:rPr>
                <w:rFonts w:hint="eastAsia" w:ascii="宋体" w:hAnsi="宋体" w:cs="宋体"/>
                <w:color w:val="auto"/>
                <w:kern w:val="0"/>
                <w:sz w:val="24"/>
              </w:rPr>
              <w:t>分，部分符合得</w:t>
            </w:r>
            <w:r>
              <w:rPr>
                <w:rFonts w:hint="eastAsia" w:ascii="宋体" w:hAnsi="宋体" w:cs="宋体"/>
                <w:color w:val="auto"/>
                <w:kern w:val="0"/>
                <w:sz w:val="24"/>
                <w:lang w:val="en-US" w:eastAsia="zh-CN"/>
              </w:rPr>
              <w:t>2</w:t>
            </w:r>
            <w:r>
              <w:rPr>
                <w:rFonts w:hint="eastAsia" w:ascii="宋体" w:hAnsi="宋体" w:cs="宋体"/>
                <w:color w:val="auto"/>
                <w:kern w:val="0"/>
                <w:sz w:val="24"/>
              </w:rPr>
              <w:t>分，不符合不得分）。</w:t>
            </w:r>
          </w:p>
        </w:tc>
        <w:tc>
          <w:tcPr>
            <w:tcW w:w="750" w:type="dxa"/>
            <w:noWrap w:val="0"/>
            <w:vAlign w:val="top"/>
          </w:tcPr>
          <w:p>
            <w:pPr>
              <w:snapToGrid w:val="0"/>
              <w:spacing w:after="120" w:line="360" w:lineRule="auto"/>
              <w:jc w:val="center"/>
              <w:rPr>
                <w:rFonts w:hint="eastAsia" w:ascii="宋体" w:hAnsi="宋体" w:cs="宋体"/>
                <w:color w:val="auto"/>
                <w:kern w:val="0"/>
                <w:sz w:val="24"/>
              </w:rPr>
            </w:pPr>
            <w:r>
              <w:rPr>
                <w:rFonts w:hint="eastAsia" w:ascii="宋体" w:hAnsi="宋体" w:cs="宋体"/>
                <w:color w:val="auto"/>
                <w:kern w:val="0"/>
                <w:sz w:val="24"/>
                <w:lang w:val="en-US" w:eastAsia="zh-CN"/>
              </w:rPr>
              <w:t>4</w:t>
            </w:r>
            <w:r>
              <w:rPr>
                <w:rFonts w:hint="eastAsia" w:ascii="宋体" w:hAnsi="宋体" w:cs="宋体"/>
                <w:color w:val="auto"/>
                <w:kern w:val="0"/>
                <w:sz w:val="24"/>
              </w:rPr>
              <w:t>分</w:t>
            </w:r>
          </w:p>
        </w:tc>
        <w:tc>
          <w:tcPr>
            <w:tcW w:w="825" w:type="dxa"/>
            <w:noWrap w:val="0"/>
            <w:vAlign w:val="top"/>
          </w:tcPr>
          <w:p>
            <w:pPr>
              <w:snapToGrid w:val="0"/>
              <w:spacing w:after="120" w:line="360" w:lineRule="auto"/>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主观</w:t>
            </w:r>
          </w:p>
        </w:tc>
        <w:tc>
          <w:tcPr>
            <w:tcW w:w="1260" w:type="dxa"/>
            <w:noWrap w:val="0"/>
            <w:vAlign w:val="top"/>
          </w:tcPr>
          <w:p>
            <w:pPr>
              <w:snapToGrid w:val="0"/>
              <w:spacing w:after="120" w:line="360" w:lineRule="auto"/>
              <w:jc w:val="left"/>
              <w:rPr>
                <w:rFonts w:hint="eastAsia" w:ascii="宋体" w:hAnsi="宋体" w:cs="宋体"/>
                <w:b w:val="0"/>
                <w:bCs/>
                <w:color w:val="auto"/>
                <w:kern w:val="0"/>
                <w:sz w:val="24"/>
                <w:szCs w:val="24"/>
              </w:rPr>
            </w:pPr>
            <w:r>
              <w:rPr>
                <w:rFonts w:hint="eastAsia" w:ascii="宋体" w:hAnsi="宋体" w:cs="宋体"/>
                <w:b w:val="0"/>
                <w:bCs/>
                <w:color w:val="auto"/>
                <w:kern w:val="0"/>
                <w:sz w:val="24"/>
                <w:szCs w:val="24"/>
                <w:lang w:eastAsia="zh-CN"/>
              </w:rPr>
              <w:t>（三）</w:t>
            </w:r>
            <w:r>
              <w:rPr>
                <w:rFonts w:hint="eastAsia" w:ascii="宋体" w:hAnsi="宋体" w:cs="宋体"/>
                <w:b w:val="0"/>
                <w:bCs/>
                <w:color w:val="auto"/>
                <w:kern w:val="0"/>
                <w:sz w:val="24"/>
                <w:szCs w:val="24"/>
              </w:rPr>
              <w:t>针对本项目有比较完善的物业管理制度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4</w:t>
            </w:r>
          </w:p>
        </w:tc>
        <w:tc>
          <w:tcPr>
            <w:tcW w:w="5370" w:type="dxa"/>
            <w:noWrap w:val="0"/>
            <w:vAlign w:val="bottom"/>
          </w:tcPr>
          <w:p>
            <w:pPr>
              <w:pStyle w:val="128"/>
              <w:snapToGrid w:val="0"/>
              <w:spacing w:before="0"/>
              <w:ind w:firstLine="0" w:firstLineChars="0"/>
              <w:rPr>
                <w:rFonts w:ascii="宋体" w:hAnsi="宋体" w:cs="宋体"/>
                <w:color w:val="auto"/>
                <w:kern w:val="2"/>
                <w:szCs w:val="24"/>
              </w:rPr>
            </w:pPr>
            <w:r>
              <w:rPr>
                <w:rFonts w:hint="eastAsia" w:ascii="宋体" w:hAnsi="宋体" w:cs="宋体"/>
                <w:color w:val="auto"/>
                <w:kern w:val="0"/>
                <w:szCs w:val="24"/>
              </w:rPr>
              <w:t>方案包括</w:t>
            </w:r>
            <w:r>
              <w:rPr>
                <w:rFonts w:hint="eastAsia" w:ascii="宋体" w:hAnsi="宋体" w:cs="宋体"/>
                <w:b/>
                <w:color w:val="auto"/>
                <w:kern w:val="0"/>
                <w:szCs w:val="24"/>
              </w:rPr>
              <w:t>门卫值班</w:t>
            </w:r>
            <w:r>
              <w:rPr>
                <w:rFonts w:hint="eastAsia" w:ascii="宋体" w:hAnsi="宋体" w:cs="宋体"/>
                <w:color w:val="auto"/>
                <w:kern w:val="0"/>
                <w:szCs w:val="24"/>
              </w:rPr>
              <w:t>、</w:t>
            </w:r>
            <w:r>
              <w:rPr>
                <w:rFonts w:hint="eastAsia" w:ascii="宋体" w:hAnsi="宋体" w:cs="宋体"/>
                <w:b/>
                <w:color w:val="auto"/>
                <w:kern w:val="0"/>
                <w:szCs w:val="24"/>
              </w:rPr>
              <w:t>秩序管理</w:t>
            </w:r>
            <w:r>
              <w:rPr>
                <w:rFonts w:hint="eastAsia" w:ascii="宋体" w:hAnsi="宋体" w:cs="宋体"/>
                <w:color w:val="auto"/>
                <w:kern w:val="0"/>
                <w:szCs w:val="24"/>
              </w:rPr>
              <w:t>、</w:t>
            </w:r>
            <w:r>
              <w:rPr>
                <w:rFonts w:hint="eastAsia" w:ascii="宋体" w:hAnsi="宋体" w:cs="宋体"/>
                <w:b/>
                <w:color w:val="auto"/>
                <w:kern w:val="0"/>
                <w:szCs w:val="24"/>
              </w:rPr>
              <w:t>消控与监控室管理和值班</w:t>
            </w:r>
            <w:r>
              <w:rPr>
                <w:rFonts w:hint="eastAsia" w:ascii="宋体" w:hAnsi="宋体" w:cs="宋体"/>
                <w:color w:val="auto"/>
                <w:kern w:val="0"/>
                <w:szCs w:val="24"/>
              </w:rPr>
              <w:t>、</w:t>
            </w:r>
            <w:r>
              <w:rPr>
                <w:rFonts w:hint="eastAsia" w:ascii="宋体" w:hAnsi="宋体" w:cs="宋体"/>
                <w:b/>
                <w:color w:val="auto"/>
                <w:kern w:val="0"/>
                <w:szCs w:val="24"/>
              </w:rPr>
              <w:t>微型消防站建设与管理</w:t>
            </w:r>
            <w:r>
              <w:rPr>
                <w:rFonts w:hint="eastAsia" w:ascii="宋体" w:hAnsi="宋体" w:cs="宋体"/>
                <w:color w:val="auto"/>
                <w:kern w:val="0"/>
                <w:szCs w:val="24"/>
              </w:rPr>
              <w:t>、</w:t>
            </w:r>
            <w:r>
              <w:rPr>
                <w:rFonts w:hint="eastAsia" w:ascii="宋体" w:hAnsi="宋体" w:cs="宋体"/>
                <w:b/>
                <w:color w:val="auto"/>
                <w:kern w:val="0"/>
                <w:szCs w:val="24"/>
              </w:rPr>
              <w:t>车辆出入和停车管理</w:t>
            </w:r>
            <w:r>
              <w:rPr>
                <w:rFonts w:hint="eastAsia" w:ascii="宋体" w:hAnsi="宋体" w:cs="宋体"/>
                <w:color w:val="auto"/>
                <w:kern w:val="0"/>
                <w:szCs w:val="24"/>
              </w:rPr>
              <w:t>、</w:t>
            </w:r>
            <w:r>
              <w:rPr>
                <w:rFonts w:hint="eastAsia" w:ascii="宋体" w:hAnsi="宋体" w:cs="宋体"/>
                <w:b/>
                <w:color w:val="auto"/>
                <w:kern w:val="0"/>
                <w:szCs w:val="24"/>
              </w:rPr>
              <w:t>收发管理及服务</w:t>
            </w:r>
            <w:r>
              <w:rPr>
                <w:rFonts w:hint="eastAsia" w:ascii="宋体" w:hAnsi="宋体" w:cs="宋体"/>
                <w:color w:val="auto"/>
                <w:kern w:val="0"/>
                <w:szCs w:val="24"/>
              </w:rPr>
              <w:t>、</w:t>
            </w:r>
            <w:r>
              <w:rPr>
                <w:rFonts w:hint="eastAsia" w:ascii="宋体" w:hAnsi="宋体" w:cs="宋体"/>
                <w:b/>
                <w:color w:val="auto"/>
                <w:kern w:val="0"/>
                <w:szCs w:val="24"/>
              </w:rPr>
              <w:t>突发事件处理</w:t>
            </w:r>
            <w:r>
              <w:rPr>
                <w:rFonts w:hint="eastAsia" w:ascii="宋体" w:hAnsi="宋体" w:cs="宋体"/>
                <w:color w:val="auto"/>
                <w:kern w:val="0"/>
                <w:szCs w:val="24"/>
              </w:rPr>
              <w:t>、</w:t>
            </w:r>
            <w:r>
              <w:rPr>
                <w:rFonts w:hint="eastAsia" w:ascii="宋体" w:hAnsi="宋体" w:cs="宋体"/>
                <w:b/>
                <w:color w:val="auto"/>
                <w:kern w:val="0"/>
                <w:szCs w:val="24"/>
              </w:rPr>
              <w:t>山林防火巡查</w:t>
            </w:r>
            <w:r>
              <w:rPr>
                <w:rFonts w:hint="eastAsia" w:ascii="宋体" w:hAnsi="宋体" w:cs="宋体"/>
                <w:color w:val="auto"/>
                <w:kern w:val="0"/>
                <w:szCs w:val="24"/>
              </w:rPr>
              <w:t>、</w:t>
            </w:r>
            <w:r>
              <w:rPr>
                <w:rFonts w:hint="eastAsia" w:ascii="宋体" w:hAnsi="宋体" w:cs="宋体"/>
                <w:b/>
                <w:color w:val="auto"/>
                <w:kern w:val="0"/>
                <w:szCs w:val="24"/>
              </w:rPr>
              <w:t>消监控设施维护管理</w:t>
            </w:r>
            <w:r>
              <w:rPr>
                <w:rFonts w:hint="eastAsia" w:ascii="宋体" w:hAnsi="宋体" w:cs="宋体"/>
                <w:color w:val="auto"/>
                <w:kern w:val="0"/>
                <w:szCs w:val="24"/>
              </w:rPr>
              <w:t>等（</w:t>
            </w:r>
            <w:r>
              <w:rPr>
                <w:rFonts w:hint="eastAsia" w:ascii="宋体" w:hAnsi="宋体" w:cs="宋体"/>
                <w:color w:val="auto"/>
                <w:kern w:val="0"/>
              </w:rPr>
              <w:t>符合一项得</w:t>
            </w:r>
            <w:r>
              <w:rPr>
                <w:rFonts w:hint="eastAsia" w:ascii="宋体" w:hAnsi="宋体" w:cs="宋体"/>
                <w:color w:val="auto"/>
                <w:kern w:val="0"/>
                <w:lang w:val="en-US" w:eastAsia="zh-CN"/>
              </w:rPr>
              <w:t>1</w:t>
            </w:r>
            <w:r>
              <w:rPr>
                <w:rFonts w:hint="eastAsia" w:ascii="宋体" w:hAnsi="宋体" w:cs="宋体"/>
                <w:color w:val="auto"/>
                <w:kern w:val="0"/>
              </w:rPr>
              <w:t>.5分，不符合不得分；此项最高13.5分）</w:t>
            </w:r>
            <w:r>
              <w:rPr>
                <w:rFonts w:hint="eastAsia" w:ascii="宋体" w:hAnsi="宋体" w:cs="宋体"/>
                <w:color w:val="auto"/>
                <w:kern w:val="0"/>
                <w:szCs w:val="24"/>
              </w:rPr>
              <w:t>。</w:t>
            </w:r>
          </w:p>
        </w:tc>
        <w:tc>
          <w:tcPr>
            <w:tcW w:w="750" w:type="dxa"/>
            <w:noWrap w:val="0"/>
            <w:vAlign w:val="top"/>
          </w:tcPr>
          <w:p>
            <w:pPr>
              <w:snapToGrid w:val="0"/>
              <w:spacing w:after="120" w:line="360" w:lineRule="auto"/>
              <w:rPr>
                <w:rFonts w:ascii="宋体" w:hAnsi="宋体" w:cs="宋体"/>
                <w:color w:val="auto"/>
                <w:kern w:val="0"/>
                <w:sz w:val="24"/>
              </w:rPr>
            </w:pPr>
            <w:r>
              <w:rPr>
                <w:rFonts w:hint="eastAsia" w:ascii="宋体" w:hAnsi="宋体" w:cs="宋体"/>
                <w:color w:val="auto"/>
                <w:kern w:val="0"/>
                <w:sz w:val="24"/>
              </w:rPr>
              <w:t>13.5</w:t>
            </w:r>
          </w:p>
        </w:tc>
        <w:tc>
          <w:tcPr>
            <w:tcW w:w="825" w:type="dxa"/>
            <w:noWrap w:val="0"/>
            <w:vAlign w:val="top"/>
          </w:tcPr>
          <w:p>
            <w:pPr>
              <w:snapToGrid w:val="0"/>
              <w:spacing w:after="120" w:line="360" w:lineRule="auto"/>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hint="eastAsia" w:ascii="宋体" w:hAnsi="宋体" w:cs="宋体"/>
                <w:b w:val="0"/>
                <w:bCs/>
                <w:color w:val="auto"/>
                <w:kern w:val="0"/>
                <w:sz w:val="24"/>
                <w:szCs w:val="24"/>
              </w:rPr>
            </w:pPr>
            <w:r>
              <w:rPr>
                <w:rFonts w:hint="eastAsia" w:ascii="宋体" w:hAnsi="宋体" w:cs="宋体"/>
                <w:b w:val="0"/>
                <w:bCs/>
                <w:color w:val="auto"/>
                <w:kern w:val="0"/>
                <w:sz w:val="24"/>
                <w:szCs w:val="24"/>
                <w:lang w:eastAsia="zh-CN"/>
              </w:rPr>
              <w:t>（四）</w:t>
            </w:r>
            <w:r>
              <w:rPr>
                <w:rFonts w:hint="eastAsia" w:ascii="宋体" w:hAnsi="宋体" w:cs="宋体"/>
                <w:b w:val="0"/>
                <w:bCs/>
                <w:color w:val="auto"/>
                <w:kern w:val="0"/>
                <w:sz w:val="24"/>
                <w:szCs w:val="24"/>
              </w:rPr>
              <w:t>安保消控管理与服务方案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5</w:t>
            </w:r>
          </w:p>
        </w:tc>
        <w:tc>
          <w:tcPr>
            <w:tcW w:w="5370" w:type="dxa"/>
            <w:noWrap w:val="0"/>
            <w:vAlign w:val="top"/>
          </w:tcPr>
          <w:p>
            <w:pPr>
              <w:snapToGrid w:val="0"/>
              <w:spacing w:after="120" w:line="360" w:lineRule="auto"/>
              <w:jc w:val="left"/>
              <w:rPr>
                <w:rFonts w:hint="eastAsia" w:ascii="宋体" w:hAnsi="宋体" w:eastAsia="宋体" w:cs="宋体"/>
                <w:color w:val="auto"/>
                <w:kern w:val="0"/>
                <w:sz w:val="24"/>
                <w:lang w:eastAsia="zh-CN"/>
              </w:rPr>
            </w:pPr>
            <w:r>
              <w:rPr>
                <w:rFonts w:hint="eastAsia" w:ascii="宋体" w:hAnsi="宋体" w:cs="宋体"/>
                <w:color w:val="auto"/>
                <w:kern w:val="0"/>
                <w:sz w:val="24"/>
              </w:rPr>
              <w:t>方案包括物业服务区域内的楼梯（含安全通道）、大厅、走廊过道、屋顶平台（含各楼层平台）、电梯厅（间）、卫生间、茶水间、会议室、自行车棚、公共活动场所的台（地）面、明沟、墙面、门、窗、宣传灯箱和橱窗、灯具、果壳箱等设施和器皿，楼宇外墙等所有公共部位设施、景观池、绿化带、停车场(库)、垃圾房等所有公共场地及设施，以及“门前三包”区域的</w:t>
            </w:r>
            <w:r>
              <w:rPr>
                <w:rFonts w:hint="eastAsia" w:ascii="宋体" w:hAnsi="宋体" w:cs="宋体"/>
                <w:b/>
                <w:color w:val="auto"/>
                <w:kern w:val="0"/>
                <w:sz w:val="24"/>
              </w:rPr>
              <w:t>日常保洁保养</w:t>
            </w:r>
            <w:r>
              <w:rPr>
                <w:rFonts w:hint="eastAsia" w:ascii="宋体" w:hAnsi="宋体" w:cs="宋体"/>
                <w:b/>
                <w:color w:val="auto"/>
                <w:kern w:val="0"/>
                <w:sz w:val="24"/>
                <w:lang w:eastAsia="zh-CN"/>
              </w:rPr>
              <w:t>、</w:t>
            </w:r>
            <w:r>
              <w:rPr>
                <w:rFonts w:hint="eastAsia" w:ascii="宋体" w:hAnsi="宋体" w:cs="宋体"/>
                <w:b/>
                <w:color w:val="auto"/>
                <w:kern w:val="0"/>
                <w:sz w:val="24"/>
              </w:rPr>
              <w:t>垃圾分类管理、垃圾清运</w:t>
            </w:r>
            <w:r>
              <w:rPr>
                <w:rFonts w:hint="eastAsia" w:ascii="宋体" w:hAnsi="宋体" w:cs="宋体"/>
                <w:b/>
                <w:color w:val="auto"/>
                <w:kern w:val="0"/>
                <w:sz w:val="24"/>
                <w:lang w:eastAsia="zh-CN"/>
              </w:rPr>
              <w:t>、</w:t>
            </w:r>
            <w:r>
              <w:rPr>
                <w:rFonts w:hint="eastAsia" w:ascii="宋体" w:hAnsi="宋体" w:cs="宋体"/>
                <w:b/>
                <w:color w:val="auto"/>
                <w:kern w:val="0"/>
                <w:sz w:val="24"/>
              </w:rPr>
              <w:t>灭“四害”、环境消杀</w:t>
            </w:r>
            <w:r>
              <w:rPr>
                <w:rFonts w:hint="eastAsia" w:ascii="宋体" w:hAnsi="宋体" w:cs="宋体"/>
                <w:color w:val="auto"/>
                <w:kern w:val="0"/>
                <w:sz w:val="24"/>
              </w:rPr>
              <w:t>，</w:t>
            </w:r>
            <w:r>
              <w:rPr>
                <w:rFonts w:hint="eastAsia" w:ascii="宋体" w:hAnsi="宋体" w:cs="宋体"/>
                <w:b/>
                <w:color w:val="auto"/>
                <w:kern w:val="0"/>
                <w:sz w:val="24"/>
              </w:rPr>
              <w:t>白蚁防治</w:t>
            </w:r>
            <w:r>
              <w:rPr>
                <w:rFonts w:hint="eastAsia" w:ascii="宋体" w:hAnsi="宋体" w:cs="宋体"/>
                <w:color w:val="auto"/>
                <w:kern w:val="0"/>
                <w:sz w:val="24"/>
                <w:szCs w:val="24"/>
              </w:rPr>
              <w:t>等（符合一项得</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分，不符合不得分；此项最高</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分）</w:t>
            </w:r>
            <w:r>
              <w:rPr>
                <w:rFonts w:hint="eastAsia" w:ascii="宋体" w:hAnsi="宋体" w:cs="宋体"/>
                <w:color w:val="auto"/>
                <w:kern w:val="0"/>
                <w:sz w:val="24"/>
                <w:szCs w:val="24"/>
                <w:lang w:eastAsia="zh-CN"/>
              </w:rPr>
              <w:t>。</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6分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hint="eastAsia" w:ascii="宋体" w:hAnsi="宋体" w:cs="宋体"/>
                <w:b w:val="0"/>
                <w:bCs/>
                <w:color w:val="auto"/>
                <w:kern w:val="0"/>
                <w:sz w:val="24"/>
                <w:szCs w:val="24"/>
              </w:rPr>
            </w:pPr>
            <w:r>
              <w:rPr>
                <w:rFonts w:hint="eastAsia" w:ascii="宋体" w:hAnsi="宋体" w:cs="宋体"/>
                <w:b w:val="0"/>
                <w:bCs/>
                <w:color w:val="auto"/>
                <w:kern w:val="0"/>
                <w:sz w:val="24"/>
                <w:szCs w:val="24"/>
                <w:lang w:eastAsia="zh-CN"/>
              </w:rPr>
              <w:t>（五）</w:t>
            </w:r>
            <w:r>
              <w:rPr>
                <w:rFonts w:hint="eastAsia" w:ascii="宋体" w:hAnsi="宋体" w:cs="宋体"/>
                <w:b w:val="0"/>
                <w:bCs/>
                <w:color w:val="auto"/>
                <w:kern w:val="0"/>
                <w:sz w:val="24"/>
                <w:szCs w:val="24"/>
              </w:rPr>
              <w:t>清卫保洁管理与服务方案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6</w:t>
            </w:r>
          </w:p>
        </w:tc>
        <w:tc>
          <w:tcPr>
            <w:tcW w:w="5370" w:type="dxa"/>
            <w:noWrap w:val="0"/>
            <w:vAlign w:val="top"/>
          </w:tcPr>
          <w:p>
            <w:pPr>
              <w:spacing w:line="360" w:lineRule="auto"/>
              <w:rPr>
                <w:rFonts w:ascii="宋体" w:hAnsi="宋体" w:cs="宋体"/>
                <w:color w:val="auto"/>
                <w:kern w:val="2"/>
                <w:sz w:val="24"/>
              </w:rPr>
            </w:pPr>
            <w:r>
              <w:rPr>
                <w:rFonts w:hint="eastAsia" w:ascii="宋体" w:hAnsi="宋体" w:cs="宋体"/>
                <w:color w:val="auto"/>
                <w:kern w:val="0"/>
                <w:sz w:val="24"/>
              </w:rPr>
              <w:t>方案包括物业服务区域内的树木、绿化带、运动场草坪、花坛、绿篱、办公室和会议室观叶植物布置等的</w:t>
            </w:r>
            <w:r>
              <w:rPr>
                <w:rFonts w:hint="eastAsia" w:ascii="宋体" w:hAnsi="宋体" w:cs="宋体"/>
                <w:b/>
                <w:color w:val="auto"/>
                <w:kern w:val="0"/>
                <w:sz w:val="24"/>
              </w:rPr>
              <w:t>日常养护和管理</w:t>
            </w:r>
            <w:r>
              <w:rPr>
                <w:rFonts w:hint="eastAsia" w:ascii="宋体" w:hAnsi="宋体" w:cs="宋体"/>
                <w:color w:val="auto"/>
                <w:kern w:val="0"/>
                <w:sz w:val="24"/>
              </w:rPr>
              <w:t>，</w:t>
            </w:r>
            <w:r>
              <w:rPr>
                <w:rFonts w:hint="eastAsia" w:ascii="宋体" w:hAnsi="宋体" w:cs="宋体"/>
                <w:b/>
                <w:color w:val="auto"/>
                <w:kern w:val="0"/>
                <w:sz w:val="24"/>
              </w:rPr>
              <w:t>绿化植物补种</w:t>
            </w:r>
            <w:r>
              <w:rPr>
                <w:rFonts w:hint="eastAsia" w:ascii="宋体" w:hAnsi="宋体" w:cs="宋体"/>
                <w:color w:val="auto"/>
                <w:kern w:val="0"/>
                <w:sz w:val="24"/>
              </w:rPr>
              <w:t>，</w:t>
            </w:r>
            <w:r>
              <w:rPr>
                <w:rFonts w:hint="eastAsia" w:ascii="宋体" w:hAnsi="宋体" w:cs="宋体"/>
                <w:b/>
                <w:color w:val="auto"/>
                <w:kern w:val="0"/>
                <w:sz w:val="24"/>
              </w:rPr>
              <w:t>山林日常维护和防火</w:t>
            </w:r>
            <w:r>
              <w:rPr>
                <w:rFonts w:hint="eastAsia" w:ascii="宋体" w:hAnsi="宋体" w:cs="宋体"/>
                <w:color w:val="auto"/>
                <w:kern w:val="0"/>
                <w:sz w:val="24"/>
              </w:rPr>
              <w:t>，以及</w:t>
            </w:r>
            <w:r>
              <w:rPr>
                <w:rFonts w:hint="eastAsia" w:ascii="宋体" w:hAnsi="宋体" w:cs="宋体"/>
                <w:b/>
                <w:color w:val="auto"/>
                <w:kern w:val="0"/>
                <w:sz w:val="24"/>
              </w:rPr>
              <w:t>元旦、五一、新学年开学前、国庆等时节的花镜时花布置</w:t>
            </w:r>
            <w:r>
              <w:rPr>
                <w:rFonts w:hint="eastAsia" w:ascii="宋体" w:hAnsi="宋体" w:cs="宋体"/>
                <w:color w:val="auto"/>
                <w:kern w:val="0"/>
                <w:sz w:val="24"/>
              </w:rPr>
              <w:t>等，（每一项全部符合得1.5分，部分符合得0.5分，不符合不得分；此项最高6分）；（6分）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6</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szCs w:val="24"/>
              </w:rPr>
            </w:pPr>
            <w:r>
              <w:rPr>
                <w:rFonts w:hint="eastAsia" w:ascii="宋体" w:hAnsi="宋体" w:cs="宋体"/>
                <w:b w:val="0"/>
                <w:bCs/>
                <w:color w:val="auto"/>
                <w:kern w:val="0"/>
                <w:sz w:val="24"/>
                <w:szCs w:val="24"/>
                <w:lang w:eastAsia="zh-CN"/>
              </w:rPr>
              <w:t>（六）</w:t>
            </w:r>
            <w:r>
              <w:rPr>
                <w:rFonts w:hint="eastAsia" w:ascii="宋体" w:hAnsi="宋体" w:cs="宋体"/>
                <w:b w:val="0"/>
                <w:bCs/>
                <w:color w:val="auto"/>
                <w:kern w:val="0"/>
                <w:sz w:val="24"/>
                <w:szCs w:val="24"/>
              </w:rPr>
              <w:t>绿化养护和管理方案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7</w:t>
            </w:r>
          </w:p>
        </w:tc>
        <w:tc>
          <w:tcPr>
            <w:tcW w:w="5370" w:type="dxa"/>
            <w:noWrap w:val="0"/>
            <w:vAlign w:val="top"/>
          </w:tcPr>
          <w:p>
            <w:pPr>
              <w:snapToGrid w:val="0"/>
              <w:spacing w:after="120" w:line="360" w:lineRule="auto"/>
              <w:jc w:val="left"/>
              <w:rPr>
                <w:rFonts w:ascii="宋体" w:hAnsi="宋体" w:cs="宋体"/>
                <w:color w:val="auto"/>
                <w:kern w:val="0"/>
                <w:sz w:val="24"/>
              </w:rPr>
            </w:pPr>
            <w:r>
              <w:rPr>
                <w:rFonts w:hint="eastAsia" w:ascii="宋体" w:hAnsi="宋体" w:cs="宋体"/>
                <w:color w:val="auto"/>
                <w:kern w:val="0"/>
                <w:sz w:val="24"/>
              </w:rPr>
              <w:t>方案包括</w:t>
            </w:r>
            <w:r>
              <w:rPr>
                <w:rFonts w:hint="eastAsia" w:ascii="宋体" w:hAnsi="宋体" w:cs="宋体"/>
                <w:b/>
                <w:color w:val="auto"/>
                <w:kern w:val="0"/>
                <w:sz w:val="24"/>
              </w:rPr>
              <w:t>物业服务区域内给排水系统维护保养维修</w:t>
            </w:r>
            <w:r>
              <w:rPr>
                <w:rFonts w:hint="eastAsia" w:ascii="宋体" w:hAnsi="宋体" w:cs="宋体"/>
                <w:color w:val="auto"/>
                <w:kern w:val="0"/>
                <w:sz w:val="24"/>
              </w:rPr>
              <w:t>（含雨、污水管道疏通，供水系统与水泵房维护维修和抢修等），</w:t>
            </w:r>
            <w:r>
              <w:rPr>
                <w:rFonts w:hint="eastAsia" w:ascii="宋体" w:hAnsi="宋体" w:cs="宋体"/>
                <w:b/>
                <w:color w:val="auto"/>
                <w:kern w:val="0"/>
                <w:sz w:val="24"/>
              </w:rPr>
              <w:t>公共照明系统维修及保养</w:t>
            </w:r>
            <w:r>
              <w:rPr>
                <w:rFonts w:hint="eastAsia" w:ascii="宋体" w:hAnsi="宋体" w:cs="宋体"/>
                <w:color w:val="auto"/>
                <w:kern w:val="0"/>
                <w:sz w:val="24"/>
              </w:rPr>
              <w:t>，</w:t>
            </w:r>
            <w:r>
              <w:rPr>
                <w:rFonts w:hint="eastAsia" w:ascii="宋体" w:hAnsi="宋体" w:cs="宋体"/>
                <w:b/>
                <w:color w:val="auto"/>
                <w:kern w:val="0"/>
                <w:sz w:val="24"/>
              </w:rPr>
              <w:t>综合维修（</w:t>
            </w:r>
            <w:r>
              <w:rPr>
                <w:rFonts w:hint="eastAsia" w:ascii="宋体" w:hAnsi="宋体" w:cs="宋体"/>
                <w:color w:val="auto"/>
                <w:kern w:val="0"/>
                <w:sz w:val="24"/>
              </w:rPr>
              <w:t>含办公、教学与生活设施设备维修维护，房屋日常养护和小型维修等</w:t>
            </w:r>
            <w:r>
              <w:rPr>
                <w:rFonts w:hint="eastAsia" w:ascii="宋体" w:hAnsi="宋体" w:cs="宋体"/>
                <w:b/>
                <w:color w:val="auto"/>
                <w:kern w:val="0"/>
                <w:sz w:val="24"/>
              </w:rPr>
              <w:t>）</w:t>
            </w:r>
            <w:r>
              <w:rPr>
                <w:rFonts w:hint="eastAsia" w:ascii="宋体" w:hAnsi="宋体" w:cs="宋体"/>
                <w:color w:val="auto"/>
                <w:kern w:val="0"/>
                <w:sz w:val="24"/>
              </w:rPr>
              <w:t>，</w:t>
            </w:r>
            <w:r>
              <w:rPr>
                <w:rFonts w:hint="eastAsia" w:ascii="宋体" w:hAnsi="宋体" w:cs="宋体"/>
                <w:b/>
                <w:color w:val="auto"/>
                <w:kern w:val="0"/>
                <w:sz w:val="24"/>
              </w:rPr>
              <w:t>空调拆移机及维修保养</w:t>
            </w:r>
            <w:r>
              <w:rPr>
                <w:rFonts w:hint="eastAsia" w:ascii="宋体" w:hAnsi="宋体" w:cs="宋体"/>
                <w:color w:val="auto"/>
                <w:kern w:val="0"/>
                <w:sz w:val="24"/>
              </w:rPr>
              <w:t>，</w:t>
            </w:r>
            <w:r>
              <w:rPr>
                <w:rFonts w:hint="eastAsia" w:ascii="宋体" w:hAnsi="宋体" w:cs="宋体"/>
                <w:b/>
                <w:color w:val="auto"/>
                <w:kern w:val="0"/>
                <w:sz w:val="24"/>
              </w:rPr>
              <w:t>高配室值班与设备维护</w:t>
            </w:r>
            <w:r>
              <w:rPr>
                <w:rFonts w:hint="eastAsia" w:ascii="宋体" w:hAnsi="宋体" w:cs="宋体"/>
                <w:color w:val="auto"/>
                <w:kern w:val="0"/>
                <w:sz w:val="24"/>
              </w:rPr>
              <w:t>，</w:t>
            </w:r>
            <w:r>
              <w:rPr>
                <w:rFonts w:hint="eastAsia" w:ascii="宋体" w:hAnsi="宋体" w:cs="宋体"/>
                <w:b/>
                <w:color w:val="auto"/>
                <w:kern w:val="0"/>
                <w:sz w:val="24"/>
              </w:rPr>
              <w:t>广电系统维护保养</w:t>
            </w:r>
            <w:r>
              <w:rPr>
                <w:rFonts w:hint="eastAsia" w:ascii="宋体" w:hAnsi="宋体" w:cs="宋体"/>
                <w:color w:val="auto"/>
                <w:kern w:val="0"/>
                <w:sz w:val="24"/>
              </w:rPr>
              <w:t>等（每一项全部符合得1.5分，部分符合得0.5分，不符合不得分；此项最高9分）。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9分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szCs w:val="24"/>
              </w:rPr>
            </w:pPr>
            <w:r>
              <w:rPr>
                <w:rFonts w:hint="eastAsia" w:ascii="宋体" w:hAnsi="宋体" w:cs="宋体"/>
                <w:b w:val="0"/>
                <w:bCs/>
                <w:color w:val="auto"/>
                <w:kern w:val="0"/>
                <w:sz w:val="24"/>
                <w:szCs w:val="24"/>
                <w:lang w:eastAsia="zh-CN"/>
              </w:rPr>
              <w:t>（七）</w:t>
            </w:r>
            <w:r>
              <w:rPr>
                <w:rFonts w:hint="eastAsia" w:ascii="宋体" w:hAnsi="宋体" w:cs="宋体"/>
                <w:b w:val="0"/>
                <w:bCs/>
                <w:color w:val="auto"/>
                <w:kern w:val="0"/>
                <w:sz w:val="24"/>
                <w:szCs w:val="24"/>
              </w:rPr>
              <w:t>工程设备维护方案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8</w:t>
            </w:r>
          </w:p>
        </w:tc>
        <w:tc>
          <w:tcPr>
            <w:tcW w:w="5370" w:type="dxa"/>
            <w:noWrap w:val="0"/>
            <w:vAlign w:val="top"/>
          </w:tcPr>
          <w:p>
            <w:pPr>
              <w:snapToGrid w:val="0"/>
              <w:spacing w:after="120" w:line="360" w:lineRule="auto"/>
              <w:jc w:val="left"/>
              <w:rPr>
                <w:rFonts w:ascii="宋体" w:hAnsi="宋体" w:cs="宋体"/>
                <w:color w:val="auto"/>
                <w:kern w:val="0"/>
                <w:sz w:val="24"/>
              </w:rPr>
            </w:pPr>
            <w:r>
              <w:rPr>
                <w:rFonts w:hint="eastAsia" w:ascii="宋体" w:hAnsi="宋体" w:cs="宋体"/>
                <w:color w:val="auto"/>
                <w:kern w:val="0"/>
                <w:sz w:val="24"/>
                <w:szCs w:val="24"/>
              </w:rPr>
              <w:t>方案包括物业服务区域内电梯</w:t>
            </w:r>
            <w:r>
              <w:rPr>
                <w:rFonts w:hint="eastAsia" w:ascii="宋体" w:hAnsi="宋体" w:cs="宋体"/>
                <w:b/>
                <w:color w:val="auto"/>
                <w:kern w:val="0"/>
                <w:sz w:val="24"/>
                <w:szCs w:val="24"/>
              </w:rPr>
              <w:t>专业维保</w:t>
            </w:r>
            <w:r>
              <w:rPr>
                <w:rFonts w:hint="eastAsia" w:ascii="宋体" w:hAnsi="宋体" w:cs="宋体"/>
                <w:b/>
                <w:color w:val="auto"/>
                <w:kern w:val="0"/>
                <w:sz w:val="24"/>
                <w:szCs w:val="24"/>
                <w:lang w:eastAsia="zh-CN"/>
              </w:rPr>
              <w:t>、</w:t>
            </w:r>
            <w:r>
              <w:rPr>
                <w:rFonts w:hint="eastAsia" w:ascii="宋体" w:hAnsi="宋体" w:cs="宋体"/>
                <w:b/>
                <w:color w:val="auto"/>
                <w:kern w:val="0"/>
                <w:sz w:val="24"/>
                <w:szCs w:val="24"/>
              </w:rPr>
              <w:t>日常管理</w:t>
            </w:r>
            <w:r>
              <w:rPr>
                <w:rFonts w:hint="eastAsia" w:ascii="宋体" w:hAnsi="宋体" w:cs="宋体"/>
                <w:color w:val="auto"/>
                <w:kern w:val="0"/>
                <w:sz w:val="24"/>
                <w:szCs w:val="24"/>
              </w:rPr>
              <w:t>（每一项全部符合得1.5分，部分符合得0.5分，不符合不得分，此项最高3分）；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3分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szCs w:val="24"/>
              </w:rPr>
            </w:pPr>
            <w:r>
              <w:rPr>
                <w:rFonts w:hint="eastAsia" w:ascii="宋体" w:hAnsi="宋体" w:cs="宋体"/>
                <w:b w:val="0"/>
                <w:bCs/>
                <w:color w:val="auto"/>
                <w:kern w:val="0"/>
                <w:sz w:val="24"/>
                <w:szCs w:val="24"/>
                <w:lang w:eastAsia="zh-CN"/>
              </w:rPr>
              <w:t>（八）</w:t>
            </w:r>
            <w:r>
              <w:rPr>
                <w:rFonts w:hint="eastAsia" w:ascii="宋体" w:hAnsi="宋体" w:cs="宋体"/>
                <w:b w:val="0"/>
                <w:bCs/>
                <w:color w:val="auto"/>
                <w:kern w:val="0"/>
                <w:sz w:val="24"/>
                <w:szCs w:val="24"/>
              </w:rPr>
              <w:t>电梯维保维修与年检方案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9</w:t>
            </w:r>
          </w:p>
        </w:tc>
        <w:tc>
          <w:tcPr>
            <w:tcW w:w="5370" w:type="dxa"/>
            <w:noWrap w:val="0"/>
            <w:vAlign w:val="top"/>
          </w:tcPr>
          <w:p>
            <w:pPr>
              <w:snapToGrid w:val="0"/>
              <w:spacing w:after="120" w:line="360" w:lineRule="auto"/>
              <w:jc w:val="left"/>
              <w:rPr>
                <w:rFonts w:ascii="宋体" w:hAnsi="宋体" w:cs="宋体"/>
                <w:color w:val="auto"/>
                <w:kern w:val="0"/>
                <w:sz w:val="24"/>
              </w:rPr>
            </w:pPr>
            <w:r>
              <w:rPr>
                <w:rFonts w:hint="eastAsia" w:ascii="宋体" w:hAnsi="宋体" w:cs="宋体"/>
                <w:color w:val="auto"/>
                <w:kern w:val="0"/>
                <w:sz w:val="24"/>
                <w:szCs w:val="24"/>
              </w:rPr>
              <w:t>方案包括物业服务区域内</w:t>
            </w:r>
            <w:r>
              <w:rPr>
                <w:rFonts w:hint="eastAsia" w:ascii="宋体" w:hAnsi="宋体" w:cs="宋体"/>
                <w:b/>
                <w:color w:val="auto"/>
                <w:kern w:val="0"/>
                <w:sz w:val="24"/>
                <w:szCs w:val="24"/>
              </w:rPr>
              <w:t>学生公寓值班服务</w:t>
            </w:r>
            <w:r>
              <w:rPr>
                <w:rFonts w:hint="eastAsia" w:ascii="宋体" w:hAnsi="宋体" w:cs="宋体"/>
                <w:color w:val="auto"/>
                <w:kern w:val="0"/>
                <w:sz w:val="24"/>
                <w:szCs w:val="24"/>
              </w:rPr>
              <w:t>，</w:t>
            </w:r>
            <w:r>
              <w:rPr>
                <w:rFonts w:hint="eastAsia" w:ascii="宋体" w:hAnsi="宋体" w:cs="宋体"/>
                <w:b/>
                <w:color w:val="auto"/>
                <w:kern w:val="0"/>
                <w:sz w:val="24"/>
                <w:szCs w:val="24"/>
              </w:rPr>
              <w:t>卫生管理</w:t>
            </w:r>
            <w:r>
              <w:rPr>
                <w:rFonts w:hint="eastAsia" w:ascii="宋体" w:hAnsi="宋体" w:cs="宋体"/>
                <w:color w:val="auto"/>
                <w:kern w:val="0"/>
                <w:sz w:val="24"/>
                <w:szCs w:val="24"/>
              </w:rPr>
              <w:t>，</w:t>
            </w:r>
            <w:r>
              <w:rPr>
                <w:rFonts w:hint="eastAsia" w:ascii="宋体" w:hAnsi="宋体" w:cs="宋体"/>
                <w:b/>
                <w:color w:val="auto"/>
                <w:kern w:val="0"/>
                <w:sz w:val="24"/>
                <w:szCs w:val="24"/>
              </w:rPr>
              <w:t>学生行为管理引导</w:t>
            </w:r>
            <w:r>
              <w:rPr>
                <w:rFonts w:hint="eastAsia" w:ascii="宋体" w:hAnsi="宋体" w:cs="宋体"/>
                <w:color w:val="auto"/>
                <w:kern w:val="0"/>
                <w:sz w:val="24"/>
                <w:szCs w:val="24"/>
              </w:rPr>
              <w:t>，</w:t>
            </w:r>
            <w:r>
              <w:rPr>
                <w:rFonts w:hint="eastAsia" w:ascii="宋体" w:hAnsi="宋体" w:cs="宋体"/>
                <w:b/>
                <w:color w:val="auto"/>
                <w:kern w:val="0"/>
                <w:sz w:val="24"/>
                <w:szCs w:val="24"/>
              </w:rPr>
              <w:t>公寓文化建设</w:t>
            </w:r>
            <w:r>
              <w:rPr>
                <w:rFonts w:hint="eastAsia" w:ascii="宋体" w:hAnsi="宋体" w:cs="宋体"/>
                <w:color w:val="auto"/>
                <w:kern w:val="0"/>
                <w:sz w:val="24"/>
                <w:szCs w:val="24"/>
              </w:rPr>
              <w:t>，</w:t>
            </w:r>
            <w:r>
              <w:rPr>
                <w:rFonts w:hint="eastAsia" w:ascii="宋体" w:hAnsi="宋体" w:cs="宋体"/>
                <w:b/>
                <w:color w:val="auto"/>
                <w:kern w:val="0"/>
                <w:sz w:val="24"/>
                <w:szCs w:val="24"/>
              </w:rPr>
              <w:t>安全管理</w:t>
            </w:r>
            <w:r>
              <w:rPr>
                <w:rFonts w:hint="eastAsia" w:ascii="宋体" w:hAnsi="宋体" w:cs="宋体"/>
                <w:color w:val="auto"/>
                <w:kern w:val="0"/>
                <w:sz w:val="24"/>
                <w:szCs w:val="24"/>
              </w:rPr>
              <w:t>，</w:t>
            </w:r>
            <w:r>
              <w:rPr>
                <w:rFonts w:hint="eastAsia" w:ascii="宋体" w:hAnsi="宋体" w:cs="宋体"/>
                <w:b/>
                <w:color w:val="auto"/>
                <w:kern w:val="0"/>
                <w:sz w:val="24"/>
                <w:szCs w:val="24"/>
              </w:rPr>
              <w:t>设施管理及维修</w:t>
            </w:r>
            <w:r>
              <w:rPr>
                <w:rFonts w:hint="eastAsia" w:ascii="宋体" w:hAnsi="宋体" w:cs="宋体"/>
                <w:color w:val="auto"/>
                <w:kern w:val="0"/>
                <w:sz w:val="24"/>
                <w:szCs w:val="24"/>
              </w:rPr>
              <w:t>等符合采购人需求（每一项全部符合得1.5分，部分符合得0.5分，不符合不得分；此项最高9分）。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9分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szCs w:val="24"/>
              </w:rPr>
            </w:pPr>
            <w:r>
              <w:rPr>
                <w:rFonts w:hint="eastAsia" w:ascii="宋体" w:hAnsi="宋体" w:cs="宋体"/>
                <w:b w:val="0"/>
                <w:bCs/>
                <w:color w:val="auto"/>
                <w:kern w:val="0"/>
                <w:sz w:val="24"/>
                <w:szCs w:val="24"/>
                <w:lang w:eastAsia="zh-CN"/>
              </w:rPr>
              <w:t>（九）</w:t>
            </w:r>
            <w:r>
              <w:rPr>
                <w:rFonts w:hint="eastAsia" w:ascii="宋体" w:hAnsi="宋体" w:cs="宋体"/>
                <w:b w:val="0"/>
                <w:bCs/>
                <w:color w:val="auto"/>
                <w:kern w:val="0"/>
                <w:sz w:val="24"/>
                <w:szCs w:val="24"/>
              </w:rPr>
              <w:t>学生公寓管理方案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10</w:t>
            </w:r>
          </w:p>
        </w:tc>
        <w:tc>
          <w:tcPr>
            <w:tcW w:w="5370" w:type="dxa"/>
            <w:noWrap w:val="0"/>
            <w:vAlign w:val="top"/>
          </w:tcPr>
          <w:p>
            <w:pPr>
              <w:snapToGrid w:val="0"/>
              <w:spacing w:after="120" w:line="360" w:lineRule="auto"/>
              <w:jc w:val="left"/>
              <w:rPr>
                <w:rFonts w:ascii="宋体" w:hAnsi="宋体" w:cs="宋体"/>
                <w:color w:val="auto"/>
                <w:kern w:val="0"/>
                <w:sz w:val="24"/>
              </w:rPr>
            </w:pPr>
            <w:r>
              <w:rPr>
                <w:rFonts w:hint="eastAsia" w:ascii="宋体" w:hAnsi="宋体" w:cs="宋体"/>
                <w:color w:val="auto"/>
                <w:kern w:val="0"/>
                <w:sz w:val="24"/>
                <w:szCs w:val="24"/>
              </w:rPr>
              <w:t>方案包括物业服务区域内人员出入管控、环境消杀等制度的实施和保障（符合得1分，不符合不得分）。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szCs w:val="24"/>
              </w:rPr>
            </w:pPr>
            <w:r>
              <w:rPr>
                <w:rFonts w:hint="eastAsia" w:ascii="宋体" w:hAnsi="宋体" w:cs="宋体"/>
                <w:b w:val="0"/>
                <w:bCs/>
                <w:color w:val="auto"/>
                <w:kern w:val="0"/>
                <w:sz w:val="24"/>
                <w:szCs w:val="24"/>
                <w:lang w:eastAsia="zh-CN"/>
              </w:rPr>
              <w:t>（十）</w:t>
            </w:r>
            <w:r>
              <w:rPr>
                <w:rFonts w:hint="eastAsia" w:ascii="宋体" w:hAnsi="宋体" w:cs="宋体"/>
                <w:b w:val="0"/>
                <w:bCs/>
                <w:color w:val="auto"/>
                <w:kern w:val="0"/>
                <w:sz w:val="24"/>
                <w:szCs w:val="24"/>
              </w:rPr>
              <w:t>疫情防控工作方案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11</w:t>
            </w:r>
          </w:p>
        </w:tc>
        <w:tc>
          <w:tcPr>
            <w:tcW w:w="5370" w:type="dxa"/>
            <w:noWrap w:val="0"/>
            <w:vAlign w:val="top"/>
          </w:tcPr>
          <w:p>
            <w:pPr>
              <w:pStyle w:val="128"/>
              <w:snapToGrid w:val="0"/>
              <w:spacing w:before="0"/>
              <w:ind w:left="0" w:leftChars="0" w:firstLine="0" w:firstLineChars="0"/>
              <w:rPr>
                <w:rFonts w:ascii="宋体" w:hAnsi="宋体" w:cs="宋体"/>
                <w:color w:val="auto"/>
                <w:kern w:val="0"/>
                <w:sz w:val="24"/>
              </w:rPr>
            </w:pPr>
            <w:r>
              <w:rPr>
                <w:rFonts w:hint="eastAsia" w:ascii="宋体" w:hAnsi="宋体" w:cs="宋体"/>
                <w:color w:val="auto"/>
                <w:kern w:val="0"/>
                <w:szCs w:val="24"/>
              </w:rPr>
              <w:t>根据采购单位需要提供重大会议、庆典、节日、考试、赛事承办等活动的综合服务，方案包括协助布置会场、绿化（盆景）摆设和养护、横幅悬挂、搬运器材、桌椅、音响、空调、鲜花、会后清场等工作</w:t>
            </w:r>
            <w:r>
              <w:rPr>
                <w:rFonts w:hint="eastAsia" w:ascii="宋体" w:hAnsi="宋体" w:cs="宋体"/>
                <w:b/>
                <w:bCs/>
                <w:color w:val="auto"/>
                <w:kern w:val="0"/>
                <w:szCs w:val="24"/>
              </w:rPr>
              <w:t>（全部</w:t>
            </w:r>
            <w:r>
              <w:rPr>
                <w:rFonts w:hint="eastAsia" w:ascii="宋体" w:hAnsi="宋体" w:cs="宋体"/>
                <w:b/>
                <w:bCs/>
                <w:color w:val="auto"/>
                <w:kern w:val="0"/>
              </w:rPr>
              <w:t>符合得</w:t>
            </w:r>
            <w:r>
              <w:rPr>
                <w:rFonts w:hint="eastAsia" w:ascii="宋体" w:hAnsi="宋体" w:cs="宋体"/>
                <w:b/>
                <w:bCs/>
                <w:color w:val="auto"/>
                <w:kern w:val="0"/>
                <w:lang w:val="en-US" w:eastAsia="zh-CN"/>
              </w:rPr>
              <w:t>3</w:t>
            </w:r>
            <w:r>
              <w:rPr>
                <w:rFonts w:hint="eastAsia" w:ascii="宋体" w:hAnsi="宋体" w:cs="宋体"/>
                <w:b/>
                <w:bCs/>
                <w:color w:val="auto"/>
                <w:kern w:val="0"/>
              </w:rPr>
              <w:t>分，部分符合得1</w:t>
            </w:r>
            <w:r>
              <w:rPr>
                <w:rFonts w:hint="eastAsia" w:ascii="宋体" w:hAnsi="宋体" w:cs="宋体"/>
                <w:b/>
                <w:bCs/>
                <w:color w:val="auto"/>
                <w:kern w:val="0"/>
                <w:lang w:val="en-US" w:eastAsia="zh-CN"/>
              </w:rPr>
              <w:t>.5</w:t>
            </w:r>
            <w:r>
              <w:rPr>
                <w:rFonts w:hint="eastAsia" w:ascii="宋体" w:hAnsi="宋体" w:cs="宋体"/>
                <w:b/>
                <w:bCs/>
                <w:color w:val="auto"/>
                <w:kern w:val="0"/>
              </w:rPr>
              <w:t>分，不符合不得分</w:t>
            </w:r>
            <w:r>
              <w:rPr>
                <w:rFonts w:hint="eastAsia" w:ascii="宋体" w:hAnsi="宋体" w:cs="宋体"/>
                <w:b/>
                <w:bCs/>
                <w:color w:val="auto"/>
                <w:kern w:val="0"/>
                <w:szCs w:val="24"/>
              </w:rPr>
              <w:t>）</w:t>
            </w:r>
            <w:r>
              <w:rPr>
                <w:rFonts w:hint="eastAsia" w:ascii="宋体" w:hAnsi="宋体" w:cs="宋体"/>
                <w:color w:val="auto"/>
                <w:kern w:val="0"/>
                <w:szCs w:val="24"/>
              </w:rPr>
              <w:t>；能保证活动期间全过程值班，满足服务需求，确保各项活动正常进行（遇防汛、抗雪值班应安排物管人员全程服务）（</w:t>
            </w:r>
            <w:r>
              <w:rPr>
                <w:rFonts w:hint="eastAsia" w:ascii="宋体" w:hAnsi="宋体" w:cs="宋体"/>
                <w:color w:val="auto"/>
                <w:kern w:val="0"/>
              </w:rPr>
              <w:t>符合得0.5分，不符合不得分</w:t>
            </w:r>
            <w:r>
              <w:rPr>
                <w:rFonts w:hint="eastAsia" w:ascii="宋体" w:hAnsi="宋体" w:cs="宋体"/>
                <w:color w:val="auto"/>
                <w:kern w:val="0"/>
                <w:szCs w:val="24"/>
              </w:rPr>
              <w:t>）。</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.5分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szCs w:val="24"/>
              </w:rPr>
            </w:pPr>
            <w:r>
              <w:rPr>
                <w:rFonts w:hint="eastAsia" w:ascii="宋体" w:hAnsi="宋体" w:cs="宋体"/>
                <w:b w:val="0"/>
                <w:bCs/>
                <w:color w:val="auto"/>
                <w:kern w:val="0"/>
                <w:sz w:val="24"/>
                <w:szCs w:val="24"/>
                <w:lang w:eastAsia="zh-CN"/>
              </w:rPr>
              <w:t>（十一）</w:t>
            </w:r>
            <w:r>
              <w:rPr>
                <w:rFonts w:hint="eastAsia" w:ascii="宋体" w:hAnsi="宋体" w:cs="宋体"/>
                <w:b w:val="0"/>
                <w:bCs/>
                <w:color w:val="auto"/>
                <w:kern w:val="0"/>
                <w:sz w:val="24"/>
                <w:szCs w:val="24"/>
              </w:rPr>
              <w:t>重大活动保障方案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12</w:t>
            </w:r>
          </w:p>
        </w:tc>
        <w:tc>
          <w:tcPr>
            <w:tcW w:w="5370" w:type="dxa"/>
            <w:noWrap w:val="0"/>
            <w:vAlign w:val="top"/>
          </w:tcPr>
          <w:p>
            <w:pPr>
              <w:spacing w:line="360" w:lineRule="auto"/>
              <w:rPr>
                <w:rFonts w:ascii="宋体" w:hAnsi="宋体" w:cs="宋体"/>
                <w:color w:val="auto"/>
                <w:kern w:val="0"/>
                <w:sz w:val="24"/>
              </w:rPr>
            </w:pPr>
            <w:r>
              <w:rPr>
                <w:rFonts w:hint="eastAsia" w:ascii="宋体" w:hAnsi="宋体" w:cs="宋体"/>
                <w:color w:val="auto"/>
                <w:kern w:val="0"/>
                <w:sz w:val="24"/>
              </w:rPr>
              <w:t>岗位人员配备总体情况。采购需求所述内容为最低响应要求，投标人在投标时需提供详细的岗位人员配备方案，包括物业服务人员的配备数量、工作岗位、排班时间，方案具有合理性、可操作性（符合得</w:t>
            </w:r>
            <w:r>
              <w:rPr>
                <w:rFonts w:hint="eastAsia" w:ascii="宋体" w:hAnsi="宋体" w:cs="宋体"/>
                <w:color w:val="auto"/>
                <w:kern w:val="0"/>
                <w:sz w:val="24"/>
                <w:lang w:val="en-US" w:eastAsia="zh-CN"/>
              </w:rPr>
              <w:t>2</w:t>
            </w:r>
            <w:r>
              <w:rPr>
                <w:rFonts w:hint="eastAsia" w:ascii="宋体" w:hAnsi="宋体" w:cs="宋体"/>
                <w:color w:val="auto"/>
                <w:kern w:val="0"/>
                <w:sz w:val="24"/>
              </w:rPr>
              <w:t>分，不符合不得分）。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分</w:t>
            </w:r>
          </w:p>
        </w:tc>
        <w:tc>
          <w:tcPr>
            <w:tcW w:w="825" w:type="dxa"/>
            <w:noWrap w:val="0"/>
            <w:vAlign w:val="top"/>
          </w:tcPr>
          <w:p>
            <w:pPr>
              <w:snapToGrid w:val="0"/>
              <w:spacing w:after="120" w:line="360" w:lineRule="auto"/>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szCs w:val="24"/>
              </w:rPr>
            </w:pPr>
            <w:r>
              <w:rPr>
                <w:rFonts w:hint="eastAsia" w:ascii="宋体" w:hAnsi="宋体" w:cs="宋体"/>
                <w:b w:val="0"/>
                <w:bCs/>
                <w:color w:val="auto"/>
                <w:kern w:val="0"/>
                <w:sz w:val="24"/>
                <w:szCs w:val="24"/>
                <w:lang w:eastAsia="zh-CN"/>
              </w:rPr>
              <w:t>（十二）</w:t>
            </w:r>
            <w:r>
              <w:rPr>
                <w:rFonts w:hint="eastAsia" w:ascii="宋体" w:hAnsi="宋体" w:cs="宋体"/>
                <w:b w:val="0"/>
                <w:bCs/>
                <w:color w:val="auto"/>
                <w:kern w:val="0"/>
                <w:sz w:val="24"/>
                <w:szCs w:val="24"/>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13</w:t>
            </w:r>
          </w:p>
        </w:tc>
        <w:tc>
          <w:tcPr>
            <w:tcW w:w="5370" w:type="dxa"/>
            <w:noWrap w:val="0"/>
            <w:vAlign w:val="top"/>
          </w:tcPr>
          <w:p>
            <w:pPr>
              <w:spacing w:line="360" w:lineRule="auto"/>
              <w:rPr>
                <w:rFonts w:ascii="宋体" w:hAnsi="宋体" w:cs="宋体"/>
                <w:color w:val="auto"/>
                <w:kern w:val="0"/>
                <w:sz w:val="24"/>
              </w:rPr>
            </w:pPr>
            <w:r>
              <w:rPr>
                <w:rFonts w:hint="eastAsia" w:ascii="宋体" w:hAnsi="宋体" w:cs="宋体"/>
                <w:color w:val="auto"/>
                <w:kern w:val="0"/>
                <w:sz w:val="24"/>
              </w:rPr>
              <w:t>拟派项目经理具备上岗资质，且投标截止时间</w:t>
            </w:r>
            <w:r>
              <w:rPr>
                <w:rFonts w:hint="eastAsia" w:ascii="宋体" w:hAnsi="宋体" w:cs="宋体"/>
                <w:color w:val="auto"/>
                <w:kern w:val="0"/>
                <w:sz w:val="24"/>
                <w:lang w:eastAsia="zh-CN"/>
              </w:rPr>
              <w:t>前</w:t>
            </w:r>
            <w:r>
              <w:rPr>
                <w:rFonts w:hint="eastAsia" w:ascii="宋体" w:hAnsi="宋体" w:cs="宋体"/>
                <w:color w:val="auto"/>
                <w:kern w:val="0"/>
                <w:sz w:val="24"/>
              </w:rPr>
              <w:t>年龄在45周岁（含）以下（符合得1分，不符合不得分），</w:t>
            </w:r>
            <w:r>
              <w:rPr>
                <w:rFonts w:hint="eastAsia" w:ascii="宋体" w:hAnsi="宋体" w:cs="宋体"/>
                <w:color w:val="auto"/>
                <w:kern w:val="0"/>
                <w:sz w:val="24"/>
                <w:highlight w:val="none"/>
              </w:rPr>
              <w:t>具有政府采购物业项目管理经验</w:t>
            </w:r>
            <w:r>
              <w:rPr>
                <w:rFonts w:hint="eastAsia" w:ascii="宋体" w:hAnsi="宋体" w:cs="宋体"/>
                <w:color w:val="auto"/>
                <w:kern w:val="0"/>
                <w:sz w:val="24"/>
                <w:highlight w:val="none"/>
                <w:lang w:eastAsia="zh-CN"/>
              </w:rPr>
              <w:t>，提供证明材料</w:t>
            </w:r>
            <w:r>
              <w:rPr>
                <w:rFonts w:hint="eastAsia" w:ascii="宋体" w:hAnsi="宋体" w:cs="宋体"/>
                <w:color w:val="auto"/>
                <w:kern w:val="0"/>
                <w:sz w:val="24"/>
                <w:highlight w:val="none"/>
              </w:rPr>
              <w:t>（符合得1分，不符合不得分）；具有政府采购物业项目管理经验</w:t>
            </w:r>
            <w:r>
              <w:rPr>
                <w:rFonts w:hint="eastAsia" w:ascii="宋体" w:hAnsi="宋体" w:cs="宋体"/>
                <w:color w:val="auto"/>
                <w:kern w:val="0"/>
                <w:sz w:val="24"/>
                <w:highlight w:val="none"/>
                <w:lang w:eastAsia="zh-CN"/>
              </w:rPr>
              <w:t>，同时</w:t>
            </w:r>
            <w:r>
              <w:rPr>
                <w:rFonts w:hint="eastAsia" w:ascii="宋体" w:hAnsi="宋体" w:cs="宋体"/>
                <w:color w:val="auto"/>
                <w:kern w:val="0"/>
                <w:sz w:val="24"/>
                <w:highlight w:val="none"/>
              </w:rPr>
              <w:t>具有</w:t>
            </w: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年及以上</w:t>
            </w:r>
            <w:r>
              <w:rPr>
                <w:rFonts w:hint="eastAsia" w:ascii="宋体" w:hAnsi="宋体" w:cs="宋体"/>
                <w:color w:val="auto"/>
                <w:kern w:val="0"/>
                <w:sz w:val="24"/>
                <w:highlight w:val="none"/>
              </w:rPr>
              <w:t>学校物业管理经验（符合得1分，不符合不得分）。（3分）</w:t>
            </w:r>
          </w:p>
          <w:p>
            <w:pPr>
              <w:spacing w:line="360" w:lineRule="auto"/>
              <w:rPr>
                <w:rFonts w:ascii="宋体" w:hAnsi="宋体" w:cs="宋体"/>
                <w:color w:val="auto"/>
                <w:kern w:val="0"/>
                <w:sz w:val="24"/>
              </w:rPr>
            </w:pPr>
            <w:r>
              <w:rPr>
                <w:rFonts w:hint="eastAsia" w:ascii="宋体" w:hAnsi="宋体" w:cs="宋体"/>
                <w:color w:val="auto"/>
                <w:kern w:val="0"/>
                <w:sz w:val="24"/>
              </w:rPr>
              <w:t>注: 须提供项目经理在投标人单位连续6个月社保缴纳记录或者提供投标人和拟派人员共同出具的保证能在本项目服务期间专职为本项目服务的承诺函；提供相关证明材料；否则不得分。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3分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客观</w:t>
            </w:r>
          </w:p>
        </w:tc>
        <w:tc>
          <w:tcPr>
            <w:tcW w:w="1260" w:type="dxa"/>
            <w:noWrap w:val="0"/>
            <w:vAlign w:val="top"/>
          </w:tcPr>
          <w:p>
            <w:pPr>
              <w:snapToGrid w:val="0"/>
              <w:spacing w:after="120" w:line="360" w:lineRule="auto"/>
              <w:jc w:val="left"/>
              <w:rPr>
                <w:rFonts w:ascii="宋体" w:hAnsi="宋体" w:cs="宋体"/>
                <w:b w:val="0"/>
                <w:bCs/>
                <w:color w:val="auto"/>
                <w:kern w:val="0"/>
                <w:sz w:val="24"/>
              </w:rPr>
            </w:pPr>
            <w:r>
              <w:rPr>
                <w:rFonts w:hint="eastAsia" w:ascii="宋体" w:hAnsi="宋体" w:cs="宋体"/>
                <w:b w:val="0"/>
                <w:bCs/>
                <w:color w:val="auto"/>
                <w:kern w:val="0"/>
                <w:sz w:val="24"/>
                <w:lang w:eastAsia="zh-CN"/>
              </w:rPr>
              <w:t>（十三）</w:t>
            </w:r>
            <w:r>
              <w:rPr>
                <w:rFonts w:hint="eastAsia" w:ascii="宋体" w:hAnsi="宋体" w:cs="宋体"/>
                <w:b w:val="0"/>
                <w:bCs/>
                <w:color w:val="auto"/>
                <w:kern w:val="0"/>
                <w:sz w:val="24"/>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14</w:t>
            </w:r>
          </w:p>
        </w:tc>
        <w:tc>
          <w:tcPr>
            <w:tcW w:w="5370" w:type="dxa"/>
            <w:noWrap w:val="0"/>
            <w:vAlign w:val="top"/>
          </w:tcPr>
          <w:p>
            <w:pPr>
              <w:spacing w:line="360" w:lineRule="auto"/>
              <w:rPr>
                <w:rFonts w:ascii="宋体" w:hAnsi="宋体" w:cs="宋体"/>
                <w:color w:val="auto"/>
                <w:kern w:val="0"/>
                <w:sz w:val="24"/>
                <w:highlight w:val="yellow"/>
              </w:rPr>
            </w:pPr>
            <w:r>
              <w:rPr>
                <w:rFonts w:hint="eastAsia" w:ascii="宋体" w:hAnsi="宋体" w:cs="宋体"/>
                <w:color w:val="auto"/>
                <w:kern w:val="0"/>
                <w:sz w:val="24"/>
              </w:rPr>
              <w:t>拟派保安队长具有安保系列二级及以上职业资格或职业技能等级，截止投标截止时间年龄在45周岁（含）以下，且具有服役经历（符合得1分，不符合不得分）；保安员队伍年龄在18至50周岁，需提供具体人员名单，承诺保安员人数符合采购需求（符合得1分，不符合不得分）；保安员中具有服役经历的占20%以上，</w:t>
            </w:r>
            <w:r>
              <w:rPr>
                <w:rFonts w:hint="eastAsia" w:ascii="宋体" w:hAnsi="宋体" w:cs="宋体"/>
                <w:color w:val="auto"/>
                <w:kern w:val="0"/>
                <w:sz w:val="24"/>
                <w:lang w:eastAsia="zh-CN"/>
              </w:rPr>
              <w:t>提供承诺函，否则不得分</w:t>
            </w:r>
            <w:r>
              <w:rPr>
                <w:rFonts w:hint="eastAsia" w:ascii="宋体" w:hAnsi="宋体" w:cs="宋体"/>
                <w:color w:val="auto"/>
                <w:kern w:val="0"/>
                <w:sz w:val="24"/>
              </w:rPr>
              <w:t>（符合得1分，不符合不得分）。</w:t>
            </w:r>
          </w:p>
          <w:p>
            <w:pPr>
              <w:spacing w:line="360" w:lineRule="auto"/>
              <w:rPr>
                <w:rFonts w:ascii="宋体" w:hAnsi="宋体" w:cs="宋体"/>
                <w:color w:val="auto"/>
                <w:kern w:val="0"/>
                <w:sz w:val="24"/>
              </w:rPr>
            </w:pPr>
            <w:r>
              <w:rPr>
                <w:rFonts w:hint="eastAsia" w:ascii="宋体" w:hAnsi="宋体" w:cs="宋体"/>
                <w:color w:val="auto"/>
                <w:kern w:val="0"/>
                <w:sz w:val="24"/>
              </w:rPr>
              <w:t>注: 须提供保安队长在投标人单位连续6个月社保缴纳记录或者提供投标人和拟派人员共同出具的保证能在本项目服务期间专职为本项目服务的承诺函；提供相关证明材料；否则不得分。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分</w:t>
            </w:r>
          </w:p>
        </w:tc>
        <w:tc>
          <w:tcPr>
            <w:tcW w:w="825" w:type="dxa"/>
            <w:noWrap w:val="0"/>
            <w:vAlign w:val="top"/>
          </w:tcPr>
          <w:p>
            <w:pPr>
              <w:snapToGrid w:val="0"/>
              <w:spacing w:after="120" w:line="360" w:lineRule="auto"/>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客观</w:t>
            </w:r>
          </w:p>
        </w:tc>
        <w:tc>
          <w:tcPr>
            <w:tcW w:w="1260" w:type="dxa"/>
            <w:noWrap w:val="0"/>
            <w:vAlign w:val="top"/>
          </w:tcPr>
          <w:p>
            <w:pPr>
              <w:snapToGrid w:val="0"/>
              <w:spacing w:after="120" w:line="360" w:lineRule="auto"/>
              <w:jc w:val="left"/>
              <w:rPr>
                <w:rFonts w:ascii="宋体" w:hAnsi="宋体" w:cs="宋体"/>
                <w:b w:val="0"/>
                <w:bCs/>
                <w:color w:val="auto"/>
                <w:kern w:val="0"/>
                <w:sz w:val="24"/>
              </w:rPr>
            </w:pPr>
            <w:r>
              <w:rPr>
                <w:rFonts w:hint="eastAsia" w:ascii="宋体" w:hAnsi="宋体" w:cs="宋体"/>
                <w:b w:val="0"/>
                <w:bCs/>
                <w:color w:val="auto"/>
                <w:kern w:val="0"/>
                <w:sz w:val="24"/>
                <w:lang w:eastAsia="zh-CN"/>
              </w:rPr>
              <w:t>（十四）</w:t>
            </w:r>
            <w:r>
              <w:rPr>
                <w:rFonts w:hint="eastAsia" w:ascii="宋体" w:hAnsi="宋体" w:cs="宋体"/>
                <w:b w:val="0"/>
                <w:bCs/>
                <w:color w:val="auto"/>
                <w:kern w:val="0"/>
                <w:sz w:val="24"/>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15</w:t>
            </w:r>
          </w:p>
        </w:tc>
        <w:tc>
          <w:tcPr>
            <w:tcW w:w="5370" w:type="dxa"/>
            <w:noWrap w:val="0"/>
            <w:vAlign w:val="top"/>
          </w:tcPr>
          <w:p>
            <w:pPr>
              <w:snapToGrid w:val="0"/>
              <w:spacing w:after="120" w:line="360" w:lineRule="auto"/>
              <w:jc w:val="left"/>
              <w:rPr>
                <w:rFonts w:ascii="宋体" w:hAnsi="宋体" w:cs="宋体"/>
                <w:color w:val="auto"/>
                <w:kern w:val="0"/>
                <w:sz w:val="24"/>
              </w:rPr>
            </w:pPr>
            <w:r>
              <w:rPr>
                <w:rFonts w:hint="eastAsia" w:ascii="宋体" w:hAnsi="宋体" w:cs="宋体"/>
                <w:color w:val="auto"/>
                <w:kern w:val="0"/>
                <w:sz w:val="24"/>
              </w:rPr>
              <w:t>承诺学生公寓管理员符合采购需求，提供承诺函得1分，否则不得分。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客观</w:t>
            </w:r>
          </w:p>
        </w:tc>
        <w:tc>
          <w:tcPr>
            <w:tcW w:w="1260" w:type="dxa"/>
            <w:noWrap w:val="0"/>
            <w:vAlign w:val="top"/>
          </w:tcPr>
          <w:p>
            <w:pPr>
              <w:snapToGrid w:val="0"/>
              <w:spacing w:after="120" w:line="360" w:lineRule="auto"/>
              <w:jc w:val="left"/>
              <w:rPr>
                <w:rFonts w:ascii="宋体" w:hAnsi="宋体" w:cs="宋体"/>
                <w:b w:val="0"/>
                <w:bCs/>
                <w:color w:val="auto"/>
                <w:kern w:val="0"/>
                <w:sz w:val="24"/>
              </w:rPr>
            </w:pPr>
            <w:r>
              <w:rPr>
                <w:rFonts w:hint="eastAsia" w:ascii="宋体" w:hAnsi="宋体" w:cs="宋体"/>
                <w:b w:val="0"/>
                <w:bCs/>
                <w:color w:val="auto"/>
                <w:kern w:val="0"/>
                <w:sz w:val="24"/>
              </w:rPr>
              <w:t>项目实施的人员安排况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16</w:t>
            </w:r>
          </w:p>
        </w:tc>
        <w:tc>
          <w:tcPr>
            <w:tcW w:w="5370" w:type="dxa"/>
            <w:noWrap w:val="0"/>
            <w:vAlign w:val="top"/>
          </w:tcPr>
          <w:p>
            <w:pPr>
              <w:spacing w:line="360" w:lineRule="auto"/>
              <w:rPr>
                <w:rFonts w:ascii="宋体" w:hAnsi="宋体" w:cs="宋体"/>
                <w:color w:val="auto"/>
                <w:kern w:val="0"/>
                <w:sz w:val="24"/>
              </w:rPr>
            </w:pPr>
            <w:r>
              <w:rPr>
                <w:rFonts w:hint="eastAsia" w:ascii="宋体" w:hAnsi="宋体" w:cs="宋体"/>
                <w:color w:val="auto"/>
                <w:kern w:val="0"/>
                <w:sz w:val="24"/>
              </w:rPr>
              <w:t>拟派保洁主管截止投标截止时间年龄在50周岁（含）以下，</w:t>
            </w:r>
            <w:r>
              <w:rPr>
                <w:rFonts w:hint="eastAsia" w:ascii="宋体" w:hAnsi="宋体" w:cs="宋体"/>
                <w:color w:val="auto"/>
                <w:kern w:val="0"/>
                <w:sz w:val="24"/>
                <w:highlight w:val="none"/>
              </w:rPr>
              <w:t>具有</w:t>
            </w: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年及以上</w:t>
            </w:r>
            <w:r>
              <w:rPr>
                <w:rFonts w:hint="eastAsia" w:ascii="宋体" w:hAnsi="宋体" w:cs="宋体"/>
                <w:color w:val="auto"/>
                <w:kern w:val="0"/>
                <w:sz w:val="24"/>
                <w:highlight w:val="none"/>
              </w:rPr>
              <w:t>学校物业管理经验</w:t>
            </w:r>
            <w:r>
              <w:rPr>
                <w:rFonts w:hint="eastAsia" w:ascii="宋体" w:hAnsi="宋体" w:cs="宋体"/>
                <w:color w:val="auto"/>
                <w:kern w:val="0"/>
                <w:sz w:val="24"/>
                <w:highlight w:val="none"/>
                <w:lang w:eastAsia="zh-CN"/>
              </w:rPr>
              <w:t>，提供证明材料，否则不得分</w:t>
            </w:r>
            <w:r>
              <w:rPr>
                <w:rFonts w:hint="eastAsia" w:ascii="宋体" w:hAnsi="宋体" w:cs="宋体"/>
                <w:color w:val="auto"/>
                <w:kern w:val="0"/>
                <w:sz w:val="24"/>
                <w:highlight w:val="none"/>
              </w:rPr>
              <w:t>（</w:t>
            </w:r>
            <w:r>
              <w:rPr>
                <w:rFonts w:hint="eastAsia" w:ascii="宋体" w:hAnsi="宋体" w:cs="宋体"/>
                <w:color w:val="auto"/>
                <w:kern w:val="0"/>
                <w:sz w:val="24"/>
              </w:rPr>
              <w:t>符合得1分，不符合不得分）；承诺保洁员符合采购需求，提供承诺函得1分，否则不得分。（2分）</w:t>
            </w:r>
          </w:p>
          <w:p>
            <w:pPr>
              <w:spacing w:line="360" w:lineRule="auto"/>
              <w:rPr>
                <w:rFonts w:ascii="宋体" w:hAnsi="宋体" w:cs="宋体"/>
                <w:color w:val="auto"/>
                <w:kern w:val="0"/>
                <w:sz w:val="24"/>
              </w:rPr>
            </w:pPr>
            <w:r>
              <w:rPr>
                <w:rFonts w:hint="eastAsia" w:ascii="宋体" w:hAnsi="宋体" w:cs="宋体"/>
                <w:color w:val="auto"/>
                <w:kern w:val="0"/>
                <w:sz w:val="24"/>
              </w:rPr>
              <w:t>注: 须提供保洁主管在投标人单位连续6个月社保缴纳记录或者提供投标人和拟派人员共同出具的保证能在本项目服务期间专职为本项目服务的承诺函；提供相关证明材料；否则不得分。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2分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客观</w:t>
            </w:r>
          </w:p>
        </w:tc>
        <w:tc>
          <w:tcPr>
            <w:tcW w:w="1260" w:type="dxa"/>
            <w:noWrap w:val="0"/>
            <w:vAlign w:val="top"/>
          </w:tcPr>
          <w:p>
            <w:pPr>
              <w:snapToGrid w:val="0"/>
              <w:spacing w:after="120" w:line="360" w:lineRule="auto"/>
              <w:jc w:val="left"/>
              <w:rPr>
                <w:rFonts w:ascii="宋体" w:hAnsi="宋体" w:cs="宋体"/>
                <w:b w:val="0"/>
                <w:bCs/>
                <w:color w:val="auto"/>
                <w:kern w:val="0"/>
                <w:sz w:val="24"/>
              </w:rPr>
            </w:pPr>
            <w:r>
              <w:rPr>
                <w:rFonts w:hint="eastAsia" w:ascii="宋体" w:hAnsi="宋体" w:cs="宋体"/>
                <w:b w:val="0"/>
                <w:bCs/>
                <w:color w:val="auto"/>
                <w:kern w:val="0"/>
                <w:sz w:val="24"/>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17</w:t>
            </w:r>
          </w:p>
        </w:tc>
        <w:tc>
          <w:tcPr>
            <w:tcW w:w="5370" w:type="dxa"/>
            <w:noWrap w:val="0"/>
            <w:vAlign w:val="top"/>
          </w:tcPr>
          <w:p>
            <w:pPr>
              <w:spacing w:line="360" w:lineRule="auto"/>
              <w:rPr>
                <w:rFonts w:ascii="宋体" w:hAnsi="宋体" w:cs="宋体"/>
                <w:color w:val="auto"/>
                <w:kern w:val="0"/>
                <w:sz w:val="24"/>
              </w:rPr>
            </w:pPr>
            <w:r>
              <w:rPr>
                <w:rFonts w:hint="eastAsia" w:ascii="宋体" w:hAnsi="宋体" w:cs="宋体"/>
                <w:color w:val="auto"/>
                <w:kern w:val="0"/>
                <w:sz w:val="24"/>
              </w:rPr>
              <w:t>拟派绿化主管具有园林及相关专业学习经历3年以上、且具有3年以上植物养护工作经验（符合得1分，不符合不得分）；承诺绿化养护工符合采购需求，提供承诺函得1分，否则不得分。</w:t>
            </w:r>
          </w:p>
          <w:p>
            <w:pPr>
              <w:spacing w:after="120" w:line="360" w:lineRule="auto"/>
              <w:outlineLvl w:val="0"/>
              <w:rPr>
                <w:rFonts w:hint="eastAsia" w:ascii="宋体" w:hAnsi="宋体" w:eastAsia="宋体" w:cs="宋体"/>
                <w:color w:val="auto"/>
                <w:kern w:val="0"/>
                <w:sz w:val="24"/>
                <w:lang w:eastAsia="zh-CN"/>
              </w:rPr>
            </w:pPr>
            <w:r>
              <w:rPr>
                <w:rFonts w:hint="eastAsia" w:ascii="宋体" w:hAnsi="宋体" w:cs="宋体"/>
                <w:color w:val="auto"/>
                <w:kern w:val="0"/>
                <w:sz w:val="24"/>
              </w:rPr>
              <w:t>注: 须提供绿化主管在投标人单位连续6个月社保缴纳记录或者提供投标人和拟派人员共同出具的保证能在本项目服务期间专职为本项目服务的承诺函；提供相关证明材料；否则不得分</w:t>
            </w:r>
            <w:r>
              <w:rPr>
                <w:rFonts w:hint="eastAsia" w:ascii="宋体" w:hAnsi="宋体" w:cs="宋体"/>
                <w:color w:val="auto"/>
                <w:kern w:val="0"/>
                <w:sz w:val="24"/>
                <w:lang w:eastAsia="zh-CN"/>
              </w:rPr>
              <w:t>。</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2分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客观</w:t>
            </w:r>
          </w:p>
        </w:tc>
        <w:tc>
          <w:tcPr>
            <w:tcW w:w="1260" w:type="dxa"/>
            <w:noWrap w:val="0"/>
            <w:vAlign w:val="top"/>
          </w:tcPr>
          <w:p>
            <w:pPr>
              <w:snapToGrid w:val="0"/>
              <w:spacing w:after="120" w:line="360" w:lineRule="auto"/>
              <w:jc w:val="left"/>
              <w:rPr>
                <w:rFonts w:ascii="宋体" w:hAnsi="宋体" w:cs="宋体"/>
                <w:b w:val="0"/>
                <w:bCs/>
                <w:color w:val="auto"/>
                <w:kern w:val="0"/>
                <w:sz w:val="24"/>
              </w:rPr>
            </w:pPr>
            <w:r>
              <w:rPr>
                <w:rFonts w:hint="eastAsia" w:ascii="宋体" w:hAnsi="宋体" w:cs="宋体"/>
                <w:b w:val="0"/>
                <w:bCs/>
                <w:color w:val="auto"/>
                <w:kern w:val="0"/>
                <w:sz w:val="24"/>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18</w:t>
            </w:r>
          </w:p>
        </w:tc>
        <w:tc>
          <w:tcPr>
            <w:tcW w:w="5370" w:type="dxa"/>
            <w:noWrap w:val="0"/>
            <w:vAlign w:val="top"/>
          </w:tcPr>
          <w:p>
            <w:pPr>
              <w:spacing w:line="360" w:lineRule="auto"/>
              <w:rPr>
                <w:rFonts w:ascii="宋体" w:hAnsi="宋体" w:cs="宋体"/>
                <w:color w:val="auto"/>
                <w:kern w:val="0"/>
                <w:sz w:val="24"/>
              </w:rPr>
            </w:pPr>
            <w:r>
              <w:rPr>
                <w:rFonts w:hint="eastAsia" w:ascii="宋体" w:hAnsi="宋体" w:cs="宋体"/>
                <w:color w:val="auto"/>
                <w:kern w:val="0"/>
                <w:sz w:val="24"/>
              </w:rPr>
              <w:t>拟派工程主管具有电工二级及以上职业资格或职业技能等级，且具有学校维修工作管理经历</w:t>
            </w:r>
            <w:r>
              <w:rPr>
                <w:rFonts w:hint="eastAsia" w:ascii="宋体" w:hAnsi="宋体" w:cs="宋体"/>
                <w:color w:val="auto"/>
                <w:kern w:val="0"/>
                <w:sz w:val="24"/>
                <w:lang w:eastAsia="zh-CN"/>
              </w:rPr>
              <w:t>，提供证明材料，否则不得分</w:t>
            </w:r>
            <w:r>
              <w:rPr>
                <w:rFonts w:hint="eastAsia" w:ascii="宋体" w:hAnsi="宋体" w:cs="宋体"/>
                <w:color w:val="auto"/>
                <w:kern w:val="0"/>
                <w:sz w:val="24"/>
              </w:rPr>
              <w:t>（符合得1分，不符合不得分）；承诺工程维修人员符合采购需求，提供承诺函得1分，否则不得分。（2分）</w:t>
            </w:r>
          </w:p>
          <w:p>
            <w:pPr>
              <w:spacing w:line="360" w:lineRule="auto"/>
              <w:rPr>
                <w:rFonts w:ascii="宋体" w:hAnsi="宋体" w:cs="宋体"/>
                <w:color w:val="auto"/>
                <w:kern w:val="2"/>
                <w:sz w:val="24"/>
              </w:rPr>
            </w:pPr>
            <w:r>
              <w:rPr>
                <w:rFonts w:hint="eastAsia" w:ascii="宋体" w:hAnsi="宋体" w:cs="宋体"/>
                <w:color w:val="auto"/>
                <w:kern w:val="0"/>
                <w:sz w:val="24"/>
              </w:rPr>
              <w:t>注: 须提供工程主管在投标人单位连续6个月社保缴纳记录或者提供投标人和拟派人员共同出具的保证能在本项目服务期间专职为本项目服务的承诺函；提供相关证明材料；否则不得分。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2分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客观</w:t>
            </w:r>
          </w:p>
        </w:tc>
        <w:tc>
          <w:tcPr>
            <w:tcW w:w="1260" w:type="dxa"/>
            <w:noWrap w:val="0"/>
            <w:vAlign w:val="top"/>
          </w:tcPr>
          <w:p>
            <w:pPr>
              <w:snapToGrid w:val="0"/>
              <w:spacing w:after="120" w:line="360" w:lineRule="auto"/>
              <w:jc w:val="left"/>
              <w:rPr>
                <w:rFonts w:ascii="宋体" w:hAnsi="宋体" w:cs="宋体"/>
                <w:b w:val="0"/>
                <w:bCs/>
                <w:color w:val="auto"/>
                <w:kern w:val="0"/>
                <w:sz w:val="24"/>
              </w:rPr>
            </w:pPr>
            <w:r>
              <w:rPr>
                <w:rFonts w:hint="eastAsia" w:ascii="宋体" w:hAnsi="宋体" w:cs="宋体"/>
                <w:b w:val="0"/>
                <w:bCs/>
                <w:color w:val="auto"/>
                <w:kern w:val="0"/>
                <w:sz w:val="24"/>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19</w:t>
            </w:r>
          </w:p>
        </w:tc>
        <w:tc>
          <w:tcPr>
            <w:tcW w:w="5370" w:type="dxa"/>
            <w:noWrap w:val="0"/>
            <w:vAlign w:val="top"/>
          </w:tcPr>
          <w:p>
            <w:pPr>
              <w:spacing w:after="120" w:line="360" w:lineRule="auto"/>
              <w:outlineLvl w:val="0"/>
              <w:rPr>
                <w:rFonts w:ascii="宋体" w:hAnsi="宋体" w:cs="宋体"/>
                <w:color w:val="auto"/>
                <w:kern w:val="0"/>
                <w:sz w:val="24"/>
              </w:rPr>
            </w:pPr>
            <w:r>
              <w:rPr>
                <w:rFonts w:hint="eastAsia" w:ascii="宋体" w:hAnsi="宋体" w:cs="宋体"/>
                <w:color w:val="auto"/>
                <w:kern w:val="0"/>
                <w:sz w:val="24"/>
              </w:rPr>
              <w:t>物业服务区域内各级各类突发事件的应急预案及相应的措施符合采购需求，以</w:t>
            </w:r>
            <w:r>
              <w:rPr>
                <w:rFonts w:hint="eastAsia" w:ascii="宋体" w:hAnsi="宋体" w:cs="宋体"/>
                <w:b/>
                <w:color w:val="auto"/>
                <w:kern w:val="0"/>
                <w:sz w:val="24"/>
              </w:rPr>
              <w:t>化解各类矛盾纠纷、消防、防疫、应对极端天气（包括发生台风、暴雨、冻雪等灾害性天气及其他突发事件）为例</w:t>
            </w:r>
            <w:r>
              <w:rPr>
                <w:rFonts w:hint="eastAsia" w:ascii="宋体" w:hAnsi="宋体" w:cs="宋体"/>
                <w:color w:val="auto"/>
                <w:kern w:val="0"/>
                <w:sz w:val="24"/>
              </w:rPr>
              <w:t>，方案内容有针对性且措施有效。（</w:t>
            </w:r>
            <w:r>
              <w:rPr>
                <w:rFonts w:hint="eastAsia" w:ascii="宋体" w:hAnsi="宋体" w:cs="宋体"/>
                <w:color w:val="auto"/>
                <w:kern w:val="0"/>
                <w:sz w:val="24"/>
                <w:lang w:val="en-US" w:eastAsia="zh-CN"/>
              </w:rPr>
              <w:t>1项不符合扣1分，扣完为止</w:t>
            </w:r>
            <w:r>
              <w:rPr>
                <w:rFonts w:hint="eastAsia" w:ascii="宋体" w:hAnsi="宋体" w:cs="宋体"/>
                <w:color w:val="auto"/>
                <w:kern w:val="0"/>
                <w:sz w:val="24"/>
              </w:rPr>
              <w:t>；此项最高</w:t>
            </w:r>
            <w:r>
              <w:rPr>
                <w:rFonts w:hint="eastAsia" w:ascii="宋体" w:hAnsi="宋体" w:cs="宋体"/>
                <w:color w:val="auto"/>
                <w:kern w:val="0"/>
                <w:sz w:val="24"/>
                <w:lang w:val="en-US" w:eastAsia="zh-CN"/>
              </w:rPr>
              <w:t>4</w:t>
            </w:r>
            <w:r>
              <w:rPr>
                <w:rFonts w:hint="eastAsia" w:ascii="宋体" w:hAnsi="宋体" w:cs="宋体"/>
                <w:color w:val="auto"/>
                <w:kern w:val="0"/>
                <w:sz w:val="24"/>
              </w:rPr>
              <w:t>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lang w:val="en-US" w:eastAsia="zh-CN"/>
              </w:rPr>
              <w:t>4</w:t>
            </w:r>
            <w:r>
              <w:rPr>
                <w:rFonts w:hint="eastAsia" w:ascii="宋体" w:hAnsi="宋体" w:cs="宋体"/>
                <w:color w:val="auto"/>
                <w:kern w:val="0"/>
                <w:sz w:val="24"/>
              </w:rPr>
              <w:t>分</w:t>
            </w:r>
          </w:p>
        </w:tc>
        <w:tc>
          <w:tcPr>
            <w:tcW w:w="825" w:type="dxa"/>
            <w:noWrap w:val="0"/>
            <w:vAlign w:val="top"/>
          </w:tcPr>
          <w:p>
            <w:pPr>
              <w:snapToGrid w:val="0"/>
              <w:spacing w:after="120" w:line="360" w:lineRule="auto"/>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rPr>
            </w:pPr>
            <w:r>
              <w:rPr>
                <w:rFonts w:hint="eastAsia" w:ascii="宋体" w:hAnsi="宋体" w:cs="宋体"/>
                <w:b w:val="0"/>
                <w:bCs/>
                <w:color w:val="auto"/>
                <w:kern w:val="0"/>
                <w:sz w:val="24"/>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20</w:t>
            </w:r>
          </w:p>
        </w:tc>
        <w:tc>
          <w:tcPr>
            <w:tcW w:w="5370" w:type="dxa"/>
            <w:noWrap w:val="0"/>
            <w:vAlign w:val="top"/>
          </w:tcPr>
          <w:p>
            <w:pPr>
              <w:spacing w:after="120" w:line="360" w:lineRule="auto"/>
              <w:outlineLvl w:val="0"/>
              <w:rPr>
                <w:rFonts w:hint="eastAsia" w:ascii="宋体" w:hAnsi="宋体" w:eastAsia="宋体" w:cs="宋体"/>
                <w:color w:val="auto"/>
                <w:kern w:val="0"/>
                <w:sz w:val="24"/>
                <w:lang w:eastAsia="zh-CN"/>
              </w:rPr>
            </w:pPr>
            <w:r>
              <w:rPr>
                <w:rFonts w:hint="eastAsia" w:ascii="宋体" w:hAnsi="宋体" w:cs="宋体"/>
                <w:bCs/>
                <w:color w:val="auto"/>
                <w:kern w:val="0"/>
                <w:sz w:val="24"/>
              </w:rPr>
              <w:t>项目交接方案：</w:t>
            </w:r>
            <w:r>
              <w:rPr>
                <w:rFonts w:hint="eastAsia" w:ascii="宋体" w:hAnsi="宋体" w:cs="宋体"/>
                <w:color w:val="auto"/>
                <w:kern w:val="0"/>
                <w:sz w:val="24"/>
              </w:rPr>
              <w:t>投标人根据本项目的实际情况，提出合理的可操作性的项目进场接管方案确保项目平稳过度。符合得2分，部分符合得1分，不符合不得分</w:t>
            </w:r>
            <w:r>
              <w:rPr>
                <w:rFonts w:hint="eastAsia" w:ascii="宋体" w:hAnsi="宋体" w:cs="宋体"/>
                <w:color w:val="auto"/>
                <w:kern w:val="0"/>
                <w:sz w:val="24"/>
                <w:lang w:eastAsia="zh-CN"/>
              </w:rPr>
              <w:t>。</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2分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rPr>
            </w:pPr>
            <w:r>
              <w:rPr>
                <w:rFonts w:hint="eastAsia" w:ascii="宋体" w:hAnsi="宋体" w:cs="宋体"/>
                <w:b w:val="0"/>
                <w:bCs/>
                <w:color w:val="auto"/>
                <w:kern w:val="0"/>
                <w:sz w:val="24"/>
              </w:rPr>
              <w:t>项目交接方案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21</w:t>
            </w:r>
          </w:p>
        </w:tc>
        <w:tc>
          <w:tcPr>
            <w:tcW w:w="5370" w:type="dxa"/>
            <w:noWrap w:val="0"/>
            <w:vAlign w:val="top"/>
          </w:tcPr>
          <w:p>
            <w:pPr>
              <w:spacing w:after="120" w:line="360" w:lineRule="auto"/>
              <w:outlineLvl w:val="0"/>
              <w:rPr>
                <w:rFonts w:ascii="宋体" w:hAnsi="宋体" w:cs="宋体"/>
                <w:color w:val="auto"/>
                <w:kern w:val="0"/>
                <w:sz w:val="24"/>
              </w:rPr>
            </w:pPr>
            <w:r>
              <w:rPr>
                <w:rFonts w:hint="eastAsia" w:ascii="宋体" w:hAnsi="宋体" w:cs="宋体"/>
                <w:color w:val="auto"/>
                <w:kern w:val="0"/>
                <w:sz w:val="24"/>
              </w:rPr>
              <w:t>在采购人日常需求以外，是否给出其他优惠承诺或增值服务（如遇重要活动或非工作日中，能够提供采购需求之外保安、保洁、工程维修等的工时情况），以及其他特色服务和响应措施等情况（全部符合得2分，部分符合得1分，不符合不得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2分</w:t>
            </w:r>
          </w:p>
        </w:tc>
        <w:tc>
          <w:tcPr>
            <w:tcW w:w="825" w:type="dxa"/>
            <w:noWrap w:val="0"/>
            <w:vAlign w:val="top"/>
          </w:tcPr>
          <w:p>
            <w:pPr>
              <w:snapToGrid w:val="0"/>
              <w:spacing w:after="120" w:line="360" w:lineRule="auto"/>
              <w:jc w:val="center"/>
              <w:rPr>
                <w:rFonts w:hint="eastAsia" w:ascii="宋体" w:hAnsi="宋体" w:cs="宋体"/>
                <w:color w:val="auto"/>
                <w:kern w:val="0"/>
                <w:sz w:val="24"/>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rPr>
            </w:pPr>
            <w:r>
              <w:rPr>
                <w:rFonts w:hint="eastAsia" w:ascii="宋体" w:hAnsi="宋体" w:cs="宋体"/>
                <w:b w:val="0"/>
                <w:bCs/>
                <w:color w:val="auto"/>
                <w:kern w:val="0"/>
                <w:sz w:val="24"/>
              </w:rPr>
              <w:t>优惠承诺和特色服务情况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22</w:t>
            </w:r>
          </w:p>
        </w:tc>
        <w:tc>
          <w:tcPr>
            <w:tcW w:w="5370" w:type="dxa"/>
            <w:noWrap w:val="0"/>
            <w:vAlign w:val="top"/>
          </w:tcPr>
          <w:p>
            <w:pPr>
              <w:keepNext w:val="0"/>
              <w:keepLines w:val="0"/>
              <w:pageBreakBefore w:val="0"/>
              <w:widowControl w:val="0"/>
              <w:kinsoku/>
              <w:wordWrap/>
              <w:overflowPunct/>
              <w:topLinePunct w:val="0"/>
              <w:autoSpaceDE/>
              <w:autoSpaceDN/>
              <w:bidi w:val="0"/>
              <w:adjustRightInd w:val="0"/>
              <w:snapToGrid/>
              <w:spacing w:line="380" w:lineRule="exac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针对本项目特点，制订切实可行的员工素质能力提升培训计划，并有措施保障</w:t>
            </w:r>
            <w:r>
              <w:rPr>
                <w:rFonts w:hint="eastAsia" w:ascii="宋体" w:hAnsi="宋体" w:cs="宋体"/>
                <w:color w:val="auto"/>
                <w:sz w:val="24"/>
                <w:highlight w:val="none"/>
                <w:lang w:eastAsia="zh-CN"/>
              </w:rPr>
              <w:t>落实，如</w:t>
            </w:r>
            <w:r>
              <w:rPr>
                <w:rFonts w:hint="eastAsia" w:ascii="宋体" w:hAnsi="宋体" w:eastAsia="宋体" w:cs="宋体"/>
                <w:color w:val="auto"/>
                <w:kern w:val="2"/>
                <w:sz w:val="24"/>
                <w:szCs w:val="24"/>
                <w:highlight w:val="none"/>
                <w:lang w:val="en-US" w:eastAsia="zh-CN" w:bidi="ar-SA"/>
              </w:rPr>
              <w:t>委托培训</w:t>
            </w:r>
            <w:r>
              <w:rPr>
                <w:rFonts w:hint="eastAsia" w:ascii="宋体" w:hAnsi="宋体" w:cs="宋体"/>
                <w:color w:val="auto"/>
                <w:kern w:val="2"/>
                <w:sz w:val="24"/>
                <w:szCs w:val="24"/>
                <w:highlight w:val="none"/>
                <w:lang w:val="en-US" w:eastAsia="zh-CN" w:bidi="ar-SA"/>
              </w:rPr>
              <w:t>得1分，需</w:t>
            </w:r>
            <w:r>
              <w:rPr>
                <w:rFonts w:hint="eastAsia" w:ascii="宋体" w:hAnsi="宋体" w:eastAsia="宋体" w:cs="宋体"/>
                <w:color w:val="auto"/>
                <w:kern w:val="2"/>
                <w:sz w:val="24"/>
                <w:szCs w:val="24"/>
                <w:highlight w:val="none"/>
                <w:lang w:val="en-US" w:eastAsia="zh-CN" w:bidi="ar-SA"/>
              </w:rPr>
              <w:t>提供</w:t>
            </w:r>
            <w:r>
              <w:rPr>
                <w:rFonts w:hint="eastAsia" w:ascii="宋体" w:hAnsi="宋体" w:cs="宋体"/>
                <w:color w:val="auto"/>
                <w:kern w:val="2"/>
                <w:sz w:val="24"/>
                <w:szCs w:val="24"/>
                <w:highlight w:val="none"/>
                <w:lang w:val="en-US" w:eastAsia="zh-CN" w:bidi="ar-SA"/>
              </w:rPr>
              <w:t>委托</w:t>
            </w:r>
            <w:r>
              <w:rPr>
                <w:rFonts w:hint="eastAsia" w:ascii="宋体" w:hAnsi="宋体" w:eastAsia="宋体" w:cs="宋体"/>
                <w:color w:val="auto"/>
                <w:kern w:val="2"/>
                <w:sz w:val="24"/>
                <w:szCs w:val="24"/>
                <w:highlight w:val="none"/>
                <w:lang w:val="en-US" w:eastAsia="zh-CN" w:bidi="ar-SA"/>
              </w:rPr>
              <w:t>合作协议</w:t>
            </w:r>
            <w:r>
              <w:rPr>
                <w:rFonts w:hint="eastAsia" w:ascii="宋体" w:hAnsi="宋体" w:cs="宋体"/>
                <w:color w:val="auto"/>
                <w:kern w:val="2"/>
                <w:sz w:val="24"/>
                <w:szCs w:val="24"/>
                <w:highlight w:val="none"/>
                <w:lang w:val="en-US" w:eastAsia="zh-CN" w:bidi="ar-SA"/>
              </w:rPr>
              <w:t>；如</w:t>
            </w:r>
            <w:r>
              <w:rPr>
                <w:rFonts w:hint="eastAsia" w:ascii="宋体" w:hAnsi="宋体" w:cs="宋体"/>
                <w:color w:val="auto"/>
                <w:sz w:val="24"/>
                <w:highlight w:val="none"/>
                <w:lang w:eastAsia="zh-CN"/>
              </w:rPr>
              <w:t>有自有专门培训机构得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分，没有不得分。</w:t>
            </w:r>
          </w:p>
          <w:p>
            <w:pPr>
              <w:pStyle w:val="24"/>
              <w:keepNext w:val="0"/>
              <w:keepLines w:val="0"/>
              <w:pageBreakBefore w:val="0"/>
              <w:widowControl w:val="0"/>
              <w:kinsoku/>
              <w:wordWrap/>
              <w:overflowPunct/>
              <w:topLinePunct w:val="0"/>
              <w:autoSpaceDE/>
              <w:autoSpaceDN/>
              <w:bidi w:val="0"/>
              <w:adjustRightInd w:val="0"/>
              <w:snapToGrid/>
              <w:spacing w:line="380" w:lineRule="exact"/>
              <w:ind w:left="0" w:leftChars="0" w:firstLine="0" w:firstLineChars="0"/>
              <w:textAlignment w:val="auto"/>
              <w:outlineLvl w:val="9"/>
              <w:rPr>
                <w:rFonts w:hint="eastAsia" w:ascii="宋体" w:hAnsi="宋体" w:cs="宋体"/>
                <w:color w:val="auto"/>
                <w:kern w:val="0"/>
                <w:sz w:val="24"/>
              </w:rPr>
            </w:pPr>
            <w:r>
              <w:rPr>
                <w:rFonts w:hint="eastAsia" w:ascii="宋体" w:hAnsi="宋体" w:eastAsia="宋体" w:cs="宋体"/>
                <w:color w:val="auto"/>
                <w:kern w:val="2"/>
                <w:sz w:val="24"/>
                <w:szCs w:val="24"/>
                <w:highlight w:val="none"/>
                <w:lang w:val="en-US" w:eastAsia="zh-CN" w:bidi="ar-SA"/>
              </w:rPr>
              <w:t>注: 须提供培训机构证明材料：自有培训机构提供营业执照，委托培训</w:t>
            </w:r>
            <w:r>
              <w:rPr>
                <w:rFonts w:hint="eastAsia" w:ascii="宋体" w:hAnsi="宋体" w:cs="宋体"/>
                <w:color w:val="auto"/>
                <w:kern w:val="2"/>
                <w:sz w:val="24"/>
                <w:szCs w:val="24"/>
                <w:highlight w:val="none"/>
                <w:lang w:val="en-US" w:eastAsia="zh-CN" w:bidi="ar-SA"/>
              </w:rPr>
              <w:t>需</w:t>
            </w:r>
            <w:r>
              <w:rPr>
                <w:rFonts w:hint="eastAsia" w:ascii="宋体" w:hAnsi="宋体" w:eastAsia="宋体" w:cs="宋体"/>
                <w:color w:val="auto"/>
                <w:kern w:val="2"/>
                <w:sz w:val="24"/>
                <w:szCs w:val="24"/>
                <w:highlight w:val="none"/>
                <w:lang w:val="en-US" w:eastAsia="zh-CN" w:bidi="ar-SA"/>
              </w:rPr>
              <w:t>提供合作协议</w:t>
            </w:r>
            <w:r>
              <w:rPr>
                <w:rFonts w:hint="eastAsia" w:ascii="宋体" w:hAnsi="宋体" w:cs="宋体"/>
                <w:color w:val="auto"/>
                <w:kern w:val="2"/>
                <w:sz w:val="24"/>
                <w:szCs w:val="24"/>
                <w:highlight w:val="none"/>
                <w:lang w:val="en-US" w:eastAsia="zh-CN" w:bidi="ar-SA"/>
              </w:rPr>
              <w:t>。</w:t>
            </w:r>
          </w:p>
        </w:tc>
        <w:tc>
          <w:tcPr>
            <w:tcW w:w="750" w:type="dxa"/>
            <w:noWrap w:val="0"/>
            <w:vAlign w:val="top"/>
          </w:tcPr>
          <w:p>
            <w:pPr>
              <w:snapToGrid w:val="0"/>
              <w:spacing w:after="120" w:line="360" w:lineRule="auto"/>
              <w:jc w:val="center"/>
              <w:rPr>
                <w:rFonts w:hint="eastAsia" w:ascii="宋体" w:hAnsi="宋体" w:cs="宋体"/>
                <w:color w:val="auto"/>
                <w:kern w:val="0"/>
                <w:sz w:val="24"/>
              </w:rPr>
            </w:pPr>
            <w:r>
              <w:rPr>
                <w:rFonts w:hint="eastAsia" w:ascii="宋体" w:hAnsi="宋体" w:cs="宋体"/>
                <w:color w:val="auto"/>
                <w:kern w:val="0"/>
                <w:sz w:val="24"/>
              </w:rPr>
              <w:t>2分</w:t>
            </w:r>
          </w:p>
        </w:tc>
        <w:tc>
          <w:tcPr>
            <w:tcW w:w="825" w:type="dxa"/>
            <w:noWrap w:val="0"/>
            <w:vAlign w:val="top"/>
          </w:tcPr>
          <w:p>
            <w:pPr>
              <w:snapToGrid w:val="0"/>
              <w:spacing w:after="120" w:line="360" w:lineRule="auto"/>
              <w:jc w:val="center"/>
              <w:rPr>
                <w:rFonts w:hint="eastAsia" w:ascii="宋体" w:hAnsi="宋体" w:cs="宋体"/>
                <w:color w:val="auto"/>
                <w:kern w:val="0"/>
                <w:sz w:val="24"/>
              </w:rPr>
            </w:pPr>
            <w:r>
              <w:rPr>
                <w:rFonts w:hint="eastAsia" w:ascii="宋体" w:hAnsi="宋体" w:cs="宋体"/>
                <w:color w:val="auto"/>
                <w:kern w:val="0"/>
                <w:sz w:val="24"/>
                <w:lang w:eastAsia="zh-CN"/>
              </w:rPr>
              <w:t>客观</w:t>
            </w:r>
          </w:p>
        </w:tc>
        <w:tc>
          <w:tcPr>
            <w:tcW w:w="1260" w:type="dxa"/>
            <w:noWrap w:val="0"/>
            <w:vAlign w:val="top"/>
          </w:tcPr>
          <w:p>
            <w:pPr>
              <w:snapToGrid w:val="0"/>
              <w:spacing w:after="120" w:line="360" w:lineRule="auto"/>
              <w:jc w:val="left"/>
              <w:rPr>
                <w:rFonts w:hint="eastAsia" w:ascii="宋体" w:hAnsi="宋体" w:cs="宋体"/>
                <w:b w:val="0"/>
                <w:bCs/>
                <w:color w:val="auto"/>
                <w:kern w:val="0"/>
                <w:sz w:val="24"/>
              </w:rPr>
            </w:pPr>
            <w:r>
              <w:rPr>
                <w:rFonts w:hint="eastAsia" w:ascii="宋体" w:hAnsi="宋体" w:cs="宋体"/>
                <w:b w:val="0"/>
                <w:bCs/>
                <w:color w:val="auto"/>
                <w:sz w:val="24"/>
                <w:highlight w:val="none"/>
                <w:lang w:val="en-US" w:eastAsia="zh-CN"/>
              </w:rPr>
              <w:t>员工能力提升培训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2</w:t>
            </w:r>
            <w:r>
              <w:rPr>
                <w:rFonts w:hint="eastAsia" w:ascii="宋体" w:hAnsi="宋体" w:cs="宋体"/>
                <w:color w:val="auto"/>
                <w:kern w:val="0"/>
                <w:sz w:val="24"/>
                <w:lang w:val="en-US" w:eastAsia="zh-CN"/>
              </w:rPr>
              <w:t>3</w:t>
            </w:r>
          </w:p>
        </w:tc>
        <w:tc>
          <w:tcPr>
            <w:tcW w:w="5370" w:type="dxa"/>
            <w:noWrap w:val="0"/>
            <w:vAlign w:val="top"/>
          </w:tcPr>
          <w:p>
            <w:pPr>
              <w:spacing w:after="120" w:line="360" w:lineRule="auto"/>
              <w:outlineLvl w:val="0"/>
              <w:rPr>
                <w:rFonts w:hint="eastAsia" w:ascii="宋体" w:hAnsi="宋体" w:cs="宋体"/>
                <w:color w:val="auto"/>
                <w:kern w:val="0"/>
                <w:sz w:val="24"/>
              </w:rPr>
            </w:pPr>
            <w:r>
              <w:rPr>
                <w:rFonts w:hint="eastAsia" w:ascii="宋体" w:hAnsi="宋体" w:cs="宋体"/>
                <w:color w:val="auto"/>
                <w:kern w:val="0"/>
                <w:sz w:val="24"/>
              </w:rPr>
              <w:t>投标人获得的有效的质量管理体系、环境管理体系、职业健康安全管理体系认证证书情况，提供扫描件，每一项得1分，最高3分。（提供证书原件扫描件，全国认证认可信息公共服务平台</w:t>
            </w:r>
            <w:r>
              <w:rPr>
                <w:color w:val="auto"/>
              </w:rPr>
              <w:fldChar w:fldCharType="begin"/>
            </w:r>
            <w:r>
              <w:rPr>
                <w:color w:val="auto"/>
              </w:rPr>
              <w:instrText xml:space="preserve"> HYPERLINK "http://cx.cnca.cn/CertECloud/result/skipResultList" </w:instrText>
            </w:r>
            <w:r>
              <w:rPr>
                <w:color w:val="auto"/>
              </w:rPr>
              <w:fldChar w:fldCharType="separate"/>
            </w:r>
            <w:r>
              <w:rPr>
                <w:rStyle w:val="76"/>
                <w:rFonts w:hint="eastAsia" w:ascii="宋体" w:hAnsi="宋体" w:cs="宋体"/>
                <w:color w:val="auto"/>
                <w:sz w:val="24"/>
              </w:rPr>
              <w:t>http://cx.cnca.cn/CertECloud/result/skipResultList</w:t>
            </w:r>
            <w:r>
              <w:rPr>
                <w:rFonts w:hint="eastAsia" w:ascii="宋体" w:hAnsi="宋体" w:cs="宋体"/>
                <w:color w:val="auto"/>
                <w:sz w:val="24"/>
              </w:rPr>
              <w:fldChar w:fldCharType="end"/>
            </w:r>
            <w:r>
              <w:rPr>
                <w:rFonts w:hint="eastAsia" w:ascii="宋体" w:hAnsi="宋体" w:cs="宋体"/>
                <w:color w:val="auto"/>
                <w:kern w:val="0"/>
                <w:sz w:val="24"/>
              </w:rPr>
              <w:t>可查询。）</w:t>
            </w:r>
          </w:p>
        </w:tc>
        <w:tc>
          <w:tcPr>
            <w:tcW w:w="750" w:type="dxa"/>
            <w:noWrap w:val="0"/>
            <w:vAlign w:val="top"/>
          </w:tcPr>
          <w:p>
            <w:pPr>
              <w:snapToGrid w:val="0"/>
              <w:spacing w:after="120" w:line="360" w:lineRule="auto"/>
              <w:jc w:val="center"/>
              <w:rPr>
                <w:rFonts w:hint="eastAsia" w:ascii="宋体" w:hAnsi="宋体" w:cs="宋体"/>
                <w:color w:val="auto"/>
                <w:kern w:val="0"/>
                <w:sz w:val="24"/>
              </w:rPr>
            </w:pPr>
            <w:r>
              <w:rPr>
                <w:rFonts w:hint="eastAsia" w:ascii="宋体" w:hAnsi="宋体" w:cs="宋体"/>
                <w:color w:val="auto"/>
                <w:kern w:val="0"/>
                <w:sz w:val="24"/>
              </w:rPr>
              <w:t>3分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客观</w:t>
            </w:r>
          </w:p>
        </w:tc>
        <w:tc>
          <w:tcPr>
            <w:tcW w:w="1260" w:type="dxa"/>
            <w:noWrap w:val="0"/>
            <w:vAlign w:val="top"/>
          </w:tcPr>
          <w:p>
            <w:pPr>
              <w:snapToGrid w:val="0"/>
              <w:spacing w:after="120" w:line="360" w:lineRule="auto"/>
              <w:jc w:val="left"/>
              <w:rPr>
                <w:rFonts w:hint="eastAsia" w:ascii="宋体" w:hAnsi="宋体" w:cs="宋体"/>
                <w:b w:val="0"/>
                <w:bCs/>
                <w:color w:val="auto"/>
                <w:kern w:val="0"/>
                <w:sz w:val="24"/>
              </w:rPr>
            </w:pPr>
            <w:r>
              <w:rPr>
                <w:rFonts w:hint="eastAsia" w:ascii="宋体" w:hAnsi="宋体" w:cs="宋体"/>
                <w:b w:val="0"/>
                <w:bCs/>
                <w:color w:val="auto"/>
                <w:kern w:val="0"/>
                <w:sz w:val="24"/>
              </w:rPr>
              <w:t>投标人的资质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2</w:t>
            </w:r>
            <w:r>
              <w:rPr>
                <w:rFonts w:hint="eastAsia" w:ascii="宋体" w:hAnsi="宋体" w:cs="宋体"/>
                <w:color w:val="auto"/>
                <w:kern w:val="0"/>
                <w:sz w:val="24"/>
                <w:lang w:val="en-US" w:eastAsia="zh-CN"/>
              </w:rPr>
              <w:t>4</w:t>
            </w:r>
          </w:p>
        </w:tc>
        <w:tc>
          <w:tcPr>
            <w:tcW w:w="5370" w:type="dxa"/>
            <w:noWrap w:val="0"/>
            <w:vAlign w:val="top"/>
          </w:tcPr>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投标截止时间前三年内承担过类似物业服务项目情况，根据已完成的项目案例合同和用户验收报告（或用户评价意见）等实例证明进行评分，缺一不可，时间以合同签订时间为准。每份项目合同至少包含安保消控、清卫保洁、绿化养护、工程设备维护等内容，且用户评价优秀。每一个成功案例得1分，最高</w:t>
            </w:r>
            <w:r>
              <w:rPr>
                <w:rFonts w:hint="eastAsia" w:ascii="宋体" w:hAnsi="宋体" w:cs="宋体"/>
                <w:color w:val="auto"/>
                <w:kern w:val="0"/>
                <w:sz w:val="24"/>
                <w:lang w:val="en-US" w:eastAsia="zh-CN"/>
              </w:rPr>
              <w:t>1</w:t>
            </w:r>
            <w:r>
              <w:rPr>
                <w:rFonts w:hint="eastAsia" w:ascii="宋体" w:hAnsi="宋体" w:cs="宋体"/>
                <w:color w:val="auto"/>
                <w:kern w:val="0"/>
                <w:sz w:val="24"/>
              </w:rPr>
              <w:t>分。一个单位分年度多次签订的案例，计入1个案例；同一个项目，分两期或以上完成的，计入1个案例。</w:t>
            </w:r>
          </w:p>
        </w:tc>
        <w:tc>
          <w:tcPr>
            <w:tcW w:w="750" w:type="dxa"/>
            <w:noWrap w:val="0"/>
            <w:vAlign w:val="top"/>
          </w:tcPr>
          <w:p>
            <w:pPr>
              <w:snapToGrid w:val="0"/>
              <w:spacing w:after="120" w:line="360" w:lineRule="auto"/>
              <w:jc w:val="center"/>
              <w:rPr>
                <w:rFonts w:hint="eastAsia"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分</w:t>
            </w:r>
          </w:p>
        </w:tc>
        <w:tc>
          <w:tcPr>
            <w:tcW w:w="825" w:type="dxa"/>
            <w:noWrap w:val="0"/>
            <w:vAlign w:val="top"/>
          </w:tcPr>
          <w:p>
            <w:pPr>
              <w:snapToGrid w:val="0"/>
              <w:spacing w:after="120" w:line="360" w:lineRule="auto"/>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客观</w:t>
            </w:r>
          </w:p>
        </w:tc>
        <w:tc>
          <w:tcPr>
            <w:tcW w:w="1260" w:type="dxa"/>
            <w:noWrap w:val="0"/>
            <w:vAlign w:val="top"/>
          </w:tcPr>
          <w:p>
            <w:pPr>
              <w:snapToGrid w:val="0"/>
              <w:spacing w:after="120" w:line="360" w:lineRule="auto"/>
              <w:jc w:val="left"/>
              <w:rPr>
                <w:rFonts w:hint="eastAsia" w:ascii="宋体" w:hAnsi="宋体" w:cs="宋体"/>
                <w:b w:val="0"/>
                <w:bCs/>
                <w:color w:val="auto"/>
                <w:kern w:val="0"/>
                <w:sz w:val="24"/>
              </w:rPr>
            </w:pPr>
            <w:r>
              <w:rPr>
                <w:rFonts w:hint="eastAsia" w:ascii="宋体" w:hAnsi="宋体" w:cs="宋体"/>
                <w:b w:val="0"/>
                <w:bCs/>
                <w:color w:val="auto"/>
                <w:kern w:val="0"/>
                <w:sz w:val="24"/>
              </w:rPr>
              <w:t>投标人类似项目建设的成功经验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2</w:t>
            </w:r>
            <w:r>
              <w:rPr>
                <w:rFonts w:hint="eastAsia" w:ascii="宋体" w:hAnsi="宋体" w:cs="宋体"/>
                <w:color w:val="auto"/>
                <w:kern w:val="0"/>
                <w:sz w:val="24"/>
                <w:lang w:val="en-US" w:eastAsia="zh-CN"/>
              </w:rPr>
              <w:t>5</w:t>
            </w:r>
          </w:p>
        </w:tc>
        <w:tc>
          <w:tcPr>
            <w:tcW w:w="5370" w:type="dxa"/>
            <w:noWrap w:val="0"/>
            <w:vAlign w:val="top"/>
          </w:tcPr>
          <w:p>
            <w:pPr>
              <w:spacing w:after="120" w:line="360" w:lineRule="auto"/>
              <w:outlineLvl w:val="0"/>
              <w:rPr>
                <w:rFonts w:ascii="宋体" w:hAnsi="宋体" w:cs="宋体"/>
                <w:color w:val="auto"/>
                <w:kern w:val="0"/>
                <w:sz w:val="24"/>
              </w:rPr>
            </w:pPr>
            <w:r>
              <w:rPr>
                <w:rFonts w:hint="eastAsia" w:ascii="宋体" w:hAnsi="宋体" w:cs="宋体"/>
                <w:color w:val="auto"/>
                <w:kern w:val="0"/>
                <w:sz w:val="24"/>
              </w:rPr>
              <w:t>有效投标报价的最低价作为评标基准价，其最低报价为满分；按［投标报价得分=（评标基准价/投标报价）*10］的计算公式计算。</w:t>
            </w:r>
          </w:p>
          <w:p>
            <w:pPr>
              <w:widowControl/>
              <w:shd w:val="clear" w:color="auto" w:fill="FFFFFF"/>
              <w:adjustRightInd/>
              <w:spacing w:after="120" w:line="315" w:lineRule="atLeast"/>
              <w:ind w:firstLine="420"/>
              <w:jc w:val="left"/>
              <w:rPr>
                <w:rFonts w:ascii="宋体" w:hAnsi="宋体" w:cs="宋体"/>
                <w:color w:val="auto"/>
                <w:kern w:val="0"/>
                <w:sz w:val="24"/>
              </w:rPr>
            </w:pPr>
            <w:r>
              <w:rPr>
                <w:rFonts w:hint="eastAsia" w:ascii="宋体" w:hAnsi="宋体" w:cs="宋体"/>
                <w:color w:val="auto"/>
                <w:kern w:val="0"/>
                <w:sz w:val="24"/>
              </w:rPr>
              <w:t>评标过程中，不得去掉报价中的最高报价和最低报价。</w:t>
            </w:r>
          </w:p>
          <w:p>
            <w:pPr>
              <w:widowControl/>
              <w:shd w:val="clear" w:color="auto" w:fill="FFFFFF"/>
              <w:adjustRightInd/>
              <w:spacing w:after="120" w:line="315" w:lineRule="atLeast"/>
              <w:ind w:firstLine="420"/>
              <w:jc w:val="left"/>
              <w:rPr>
                <w:rFonts w:ascii="宋体" w:hAnsi="宋体" w:cs="宋体"/>
                <w:color w:val="auto"/>
                <w:kern w:val="0"/>
                <w:sz w:val="24"/>
              </w:rPr>
            </w:pPr>
            <w:r>
              <w:rPr>
                <w:rFonts w:hint="eastAsia" w:ascii="宋体" w:hAnsi="宋体" w:cs="宋体"/>
                <w:color w:val="auto"/>
                <w:kern w:val="0"/>
                <w:sz w:val="24"/>
              </w:rPr>
              <w:t>因落实政府采购政策需要进行价格调整的，以调整后的价格计算评标基准价和投标报价。</w:t>
            </w:r>
          </w:p>
        </w:tc>
        <w:tc>
          <w:tcPr>
            <w:tcW w:w="750" w:type="dxa"/>
            <w:noWrap w:val="0"/>
            <w:vAlign w:val="center"/>
          </w:tcPr>
          <w:p>
            <w:pPr>
              <w:spacing w:after="120" w:line="360" w:lineRule="auto"/>
              <w:jc w:val="center"/>
              <w:outlineLvl w:val="0"/>
              <w:rPr>
                <w:rFonts w:ascii="宋体" w:hAnsi="宋体" w:cs="宋体"/>
                <w:color w:val="auto"/>
                <w:kern w:val="0"/>
                <w:sz w:val="24"/>
              </w:rPr>
            </w:pPr>
            <w:r>
              <w:rPr>
                <w:rFonts w:hint="eastAsia" w:ascii="宋体" w:hAnsi="宋体" w:cs="宋体"/>
                <w:color w:val="auto"/>
                <w:kern w:val="0"/>
                <w:sz w:val="24"/>
              </w:rPr>
              <w:t>10分</w:t>
            </w:r>
          </w:p>
        </w:tc>
        <w:tc>
          <w:tcPr>
            <w:tcW w:w="825" w:type="dxa"/>
            <w:noWrap w:val="0"/>
            <w:vAlign w:val="center"/>
          </w:tcPr>
          <w:p>
            <w:pPr>
              <w:spacing w:after="120" w:line="360" w:lineRule="auto"/>
              <w:jc w:val="center"/>
              <w:outlineLvl w:val="0"/>
              <w:rPr>
                <w:rFonts w:hint="eastAsia" w:ascii="宋体" w:hAnsi="宋体" w:cs="宋体"/>
                <w:color w:val="auto"/>
                <w:kern w:val="0"/>
                <w:sz w:val="24"/>
              </w:rPr>
            </w:pPr>
          </w:p>
        </w:tc>
        <w:tc>
          <w:tcPr>
            <w:tcW w:w="1260" w:type="dxa"/>
            <w:noWrap w:val="0"/>
            <w:vAlign w:val="center"/>
          </w:tcPr>
          <w:p>
            <w:pPr>
              <w:spacing w:after="120" w:line="360" w:lineRule="auto"/>
              <w:jc w:val="left"/>
              <w:outlineLvl w:val="0"/>
              <w:rPr>
                <w:rFonts w:ascii="宋体" w:hAnsi="宋体" w:cs="宋体"/>
                <w:color w:val="auto"/>
                <w:kern w:val="0"/>
                <w:sz w:val="24"/>
              </w:rPr>
            </w:pPr>
            <w:r>
              <w:rPr>
                <w:rFonts w:hint="eastAsia" w:ascii="宋体" w:hAnsi="宋体" w:cs="宋体"/>
                <w:color w:val="auto"/>
                <w:kern w:val="0"/>
                <w:sz w:val="24"/>
              </w:rPr>
              <w:t>/</w:t>
            </w:r>
          </w:p>
        </w:tc>
      </w:tr>
    </w:tbl>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rPr>
        <w:t>4.2.2</w:t>
      </w:r>
      <w:r>
        <w:rPr>
          <w:rFonts w:hint="eastAsia" w:ascii="宋体" w:hAnsi="宋体" w:cs="宋体"/>
          <w:color w:val="auto"/>
          <w:kern w:val="0"/>
          <w:sz w:val="24"/>
          <w:highlight w:val="none"/>
        </w:rPr>
        <w:t>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4"/>
        <w:snapToGrid w:val="0"/>
        <w:spacing w:line="360" w:lineRule="auto"/>
        <w:rPr>
          <w:rFonts w:cs="宋体"/>
          <w:color w:val="auto"/>
        </w:rPr>
      </w:pPr>
      <w:r>
        <w:rPr>
          <w:rFonts w:hint="eastAsia" w:cs="宋体"/>
          <w:color w:val="auto"/>
        </w:rPr>
        <w:t>5.2出现影响采购公正的违法、违规行为的；</w:t>
      </w:r>
    </w:p>
    <w:p>
      <w:pPr>
        <w:pStyle w:val="24"/>
        <w:snapToGrid w:val="0"/>
        <w:spacing w:line="360" w:lineRule="auto"/>
        <w:rPr>
          <w:rFonts w:cs="宋体"/>
          <w:color w:val="auto"/>
        </w:rPr>
      </w:pPr>
      <w:r>
        <w:rPr>
          <w:rFonts w:hint="eastAsia" w:cs="宋体"/>
          <w:color w:val="auto"/>
        </w:rPr>
        <w:t>5.3投标人的报价均超过了采购预算，采购人不能支付的；</w:t>
      </w:r>
    </w:p>
    <w:p>
      <w:pPr>
        <w:pStyle w:val="24"/>
        <w:snapToGrid w:val="0"/>
        <w:spacing w:line="360" w:lineRule="auto"/>
        <w:rPr>
          <w:rFonts w:cs="宋体"/>
          <w:color w:val="auto"/>
        </w:rPr>
      </w:pPr>
      <w:r>
        <w:rPr>
          <w:rFonts w:hint="eastAsia" w:cs="宋体"/>
          <w:color w:val="auto"/>
        </w:rPr>
        <w:t>5.4因重大变故，采购任务取消的。</w:t>
      </w:r>
    </w:p>
    <w:p>
      <w:pPr>
        <w:pStyle w:val="24"/>
        <w:snapToGrid w:val="0"/>
        <w:spacing w:line="360" w:lineRule="auto"/>
        <w:rPr>
          <w:rFonts w:cs="宋体"/>
          <w:color w:val="auto"/>
        </w:rPr>
      </w:pPr>
      <w:r>
        <w:rPr>
          <w:rFonts w:hint="eastAsia" w:cs="宋体"/>
          <w:color w:val="auto"/>
        </w:rPr>
        <w:t>废标后，采购机构应当将废标理由通知所有投标人。</w:t>
      </w:r>
    </w:p>
    <w:p>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4"/>
        <w:snapToGrid w:val="0"/>
        <w:spacing w:line="360" w:lineRule="auto"/>
        <w:rPr>
          <w:rFonts w:ascii="宋体" w:hAnsi="宋体" w:cs="宋体"/>
          <w:b/>
          <w:color w:val="auto"/>
          <w:sz w:val="36"/>
          <w:szCs w:val="36"/>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r>
        <w:rPr>
          <w:rFonts w:hint="eastAsia" w:ascii="宋体" w:hAnsi="宋体" w:cs="宋体"/>
          <w:b/>
          <w:color w:val="auto"/>
          <w:sz w:val="36"/>
          <w:szCs w:val="36"/>
        </w:rPr>
        <w:t xml:space="preserve">    </w:t>
      </w:r>
    </w:p>
    <w:p>
      <w:pPr>
        <w:widowControl/>
        <w:adjustRightInd/>
        <w:jc w:val="left"/>
        <w:rPr>
          <w:rFonts w:ascii="宋体" w:hAnsi="宋体" w:cs="宋体"/>
          <w:b/>
          <w:color w:val="auto"/>
          <w:sz w:val="36"/>
          <w:szCs w:val="36"/>
        </w:rPr>
      </w:pPr>
    </w:p>
    <w:p>
      <w:pPr>
        <w:rPr>
          <w:rFonts w:hint="eastAsia" w:ascii="宋体" w:hAnsi="宋体" w:cs="宋体"/>
          <w:b/>
          <w:color w:val="auto"/>
          <w:sz w:val="36"/>
          <w:szCs w:val="36"/>
        </w:rPr>
      </w:pPr>
      <w:r>
        <w:rPr>
          <w:rFonts w:hint="eastAsia"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pStyle w:val="2"/>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596"/>
        <w:spacing w:before="120" w:line="22" w:lineRule="atLeast"/>
        <w:rPr>
          <w:rFonts w:ascii="宋体" w:hAnsi="宋体" w:eastAsia="宋体" w:cs="宋体"/>
          <w:color w:val="auto"/>
          <w:szCs w:val="24"/>
        </w:rPr>
      </w:pPr>
    </w:p>
    <w:p>
      <w:pPr>
        <w:pStyle w:val="596"/>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年</w:t>
      </w:r>
      <w:r>
        <w:rPr>
          <w:rFonts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月</w:t>
      </w:r>
      <w:r>
        <w:rPr>
          <w:rFonts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日</w:t>
      </w:r>
      <w:r>
        <w:rPr>
          <w:rFonts w:hint="eastAsia" w:asciiTheme="minorEastAsia" w:hAnsiTheme="minorEastAsia" w:eastAsiaTheme="minorEastAsia"/>
          <w:color w:val="auto"/>
          <w:sz w:val="24"/>
        </w:rPr>
        <w:t>，</w:t>
      </w:r>
      <w:r>
        <w:rPr>
          <w:rFonts w:asciiTheme="minorEastAsia" w:hAnsiTheme="minorEastAsia" w:eastAsiaTheme="minorEastAsia"/>
          <w:color w:val="auto"/>
          <w:sz w:val="24"/>
          <w:u w:val="single"/>
        </w:rPr>
        <w:t xml:space="preserve">   </w:t>
      </w:r>
      <w:r>
        <w:rPr>
          <w:rFonts w:hint="eastAsia" w:ascii="宋体" w:hAnsi="宋体" w:cs="宋体" w:eastAsiaTheme="minorEastAsia"/>
          <w:color w:val="auto"/>
          <w:sz w:val="24"/>
          <w:u w:val="single"/>
          <w:lang w:eastAsia="zh-CN"/>
        </w:rPr>
        <w:t>杭州第一技师学院</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以</w:t>
      </w:r>
      <w:r>
        <w:rPr>
          <w:rFonts w:asciiTheme="minorEastAsia" w:hAnsiTheme="minorEastAsia" w:eastAsiaTheme="minorEastAsia"/>
          <w:color w:val="auto"/>
          <w:sz w:val="24"/>
          <w:u w:val="single"/>
        </w:rPr>
        <w:t xml:space="preserve">   （政府采购方式）  </w:t>
      </w:r>
      <w:r>
        <w:rPr>
          <w:rFonts w:hint="eastAsia" w:asciiTheme="minorEastAsia" w:hAnsiTheme="minorEastAsia" w:eastAsiaTheme="minorEastAsia"/>
          <w:color w:val="auto"/>
          <w:sz w:val="24"/>
        </w:rPr>
        <w:t>对</w:t>
      </w:r>
      <w:r>
        <w:rPr>
          <w:rFonts w:asciiTheme="minorEastAsia" w:hAnsiTheme="minorEastAsia" w:eastAsiaTheme="minorEastAsia"/>
          <w:color w:val="auto"/>
          <w:sz w:val="24"/>
          <w:u w:val="single"/>
        </w:rPr>
        <w:t xml:space="preserve">  </w:t>
      </w:r>
      <w:r>
        <w:rPr>
          <w:rFonts w:hint="eastAsia" w:ascii="宋体" w:hAnsi="宋体" w:cs="宋体" w:eastAsiaTheme="minorEastAsia"/>
          <w:color w:val="auto"/>
          <w:sz w:val="24"/>
          <w:u w:val="single"/>
          <w:lang w:eastAsia="zh-CN"/>
        </w:rPr>
        <w:t>杭州第一技师学院物业服务采购项目</w:t>
      </w:r>
      <w:r>
        <w:rPr>
          <w:rFonts w:hint="eastAsia" w:ascii="宋体" w:hAnsi="宋体" w:cs="宋体"/>
          <w:color w:val="auto"/>
          <w:sz w:val="24"/>
          <w:u w:val="single"/>
        </w:rPr>
        <w:t xml:space="preserve">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项目进行了采购。经</w:t>
      </w:r>
      <w:r>
        <w:rPr>
          <w:rFonts w:asciiTheme="minorEastAsia" w:hAnsiTheme="minorEastAsia" w:eastAsiaTheme="minorEastAsia"/>
          <w:color w:val="auto"/>
          <w:sz w:val="24"/>
          <w:u w:val="single"/>
        </w:rPr>
        <w:t xml:space="preserve">   （相关评定主体名称）   </w:t>
      </w:r>
      <w:r>
        <w:rPr>
          <w:rFonts w:hint="eastAsia" w:asciiTheme="minorEastAsia" w:hAnsiTheme="minorEastAsia" w:eastAsiaTheme="minorEastAsia"/>
          <w:color w:val="auto"/>
          <w:sz w:val="24"/>
        </w:rPr>
        <w:t>评定，</w:t>
      </w:r>
      <w:r>
        <w:rPr>
          <w:rFonts w:asciiTheme="minorEastAsia" w:hAnsiTheme="minorEastAsia" w:eastAsiaTheme="minorEastAsia"/>
          <w:color w:val="auto"/>
          <w:sz w:val="24"/>
          <w:u w:val="single"/>
        </w:rPr>
        <w:t xml:space="preserve">   （中标供应商名称） </w:t>
      </w:r>
      <w:r>
        <w:rPr>
          <w:rFonts w:hint="eastAsia" w:asciiTheme="minorEastAsia" w:hAnsiTheme="minorEastAsia" w:eastAsiaTheme="minorEastAsia"/>
          <w:color w:val="auto"/>
          <w:sz w:val="24"/>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lang w:eastAsia="zh-CN"/>
        </w:rPr>
        <w:t>杭州第一技师学院</w:t>
      </w:r>
      <w:r>
        <w:rPr>
          <w:rFonts w:asciiTheme="minorEastAsia" w:hAnsiTheme="minorEastAsia" w:eastAsiaTheme="minorEastAsia"/>
          <w:color w:val="auto"/>
          <w:sz w:val="24"/>
          <w:u w:val="single"/>
        </w:rPr>
        <w:t xml:space="preserve">   </w:t>
      </w:r>
      <w:r>
        <w:rPr>
          <w:rFonts w:asciiTheme="minorEastAsia" w:hAnsiTheme="minorEastAsia" w:eastAsiaTheme="minorEastAsia"/>
          <w:color w:val="auto"/>
          <w:sz w:val="24"/>
          <w:lang w:val="zh-CN"/>
        </w:rPr>
        <w:t>(以下简称：甲方)和</w:t>
      </w:r>
      <w:r>
        <w:rPr>
          <w:rFonts w:asciiTheme="minorEastAsia" w:hAnsiTheme="minorEastAsia" w:eastAsiaTheme="minorEastAsia"/>
          <w:color w:val="auto"/>
          <w:sz w:val="24"/>
          <w:u w:val="single"/>
        </w:rPr>
        <w:t xml:space="preserve">   （中标供应商名称）   </w:t>
      </w:r>
      <w:r>
        <w:rPr>
          <w:rFonts w:asciiTheme="minorEastAsia" w:hAnsiTheme="minorEastAsia" w:eastAsiaTheme="minorEastAsia"/>
          <w:color w:val="auto"/>
          <w:sz w:val="24"/>
          <w:lang w:val="zh-CN"/>
        </w:rPr>
        <w:t>(以下简称：乙方)协商一致，约定以下合同</w:t>
      </w:r>
      <w:r>
        <w:rPr>
          <w:rFonts w:hint="eastAsia" w:asciiTheme="minorEastAsia" w:hAnsiTheme="minorEastAsia" w:eastAsiaTheme="minorEastAsia"/>
          <w:color w:val="auto"/>
          <w:sz w:val="24"/>
        </w:rPr>
        <w:t>条款，以兹共同遵守、全面履行。</w:t>
      </w:r>
    </w:p>
    <w:p>
      <w:pPr>
        <w:spacing w:line="560" w:lineRule="exact"/>
        <w:ind w:firstLine="482" w:firstLineChars="200"/>
        <w:outlineLvl w:val="0"/>
        <w:rPr>
          <w:rFonts w:asciiTheme="minorEastAsia" w:hAnsiTheme="minorEastAsia" w:eastAsiaTheme="minorEastAsia"/>
          <w:color w:val="auto"/>
          <w:sz w:val="24"/>
        </w:rPr>
      </w:pPr>
      <w:bookmarkStart w:id="396" w:name="_Toc28855"/>
      <w:bookmarkStart w:id="397" w:name="_Toc15367"/>
      <w:bookmarkStart w:id="398" w:name="_Toc22967"/>
      <w:bookmarkStart w:id="399" w:name="_Toc20421"/>
      <w:bookmarkStart w:id="400" w:name="_Toc19273"/>
      <w:r>
        <w:rPr>
          <w:rFonts w:asciiTheme="minorEastAsia" w:hAnsiTheme="minorEastAsia" w:eastAsiaTheme="minorEastAsia"/>
          <w:b/>
          <w:color w:val="auto"/>
          <w:sz w:val="24"/>
        </w:rPr>
        <w:t xml:space="preserve">1.1 </w:t>
      </w:r>
      <w:r>
        <w:rPr>
          <w:rFonts w:hint="eastAsia" w:asciiTheme="minorEastAsia" w:hAnsiTheme="minorEastAsia" w:eastAsiaTheme="minorEastAsia"/>
          <w:b/>
          <w:color w:val="auto"/>
          <w:sz w:val="24"/>
        </w:rPr>
        <w:t>合同组成部分</w:t>
      </w:r>
      <w:bookmarkEnd w:id="396"/>
      <w:bookmarkEnd w:id="397"/>
      <w:bookmarkEnd w:id="398"/>
      <w:bookmarkEnd w:id="399"/>
      <w:bookmarkEnd w:id="400"/>
    </w:p>
    <w:p>
      <w:pPr>
        <w:spacing w:line="5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1.1.1 </w:t>
      </w:r>
      <w:r>
        <w:rPr>
          <w:rFonts w:hint="eastAsia" w:asciiTheme="minorEastAsia" w:hAnsiTheme="minorEastAsia" w:eastAsiaTheme="minorEastAsia"/>
          <w:color w:val="auto"/>
          <w:sz w:val="24"/>
        </w:rPr>
        <w:t>本合同及其补充合同、变更协议；</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1.1.2 </w:t>
      </w:r>
      <w:r>
        <w:rPr>
          <w:rFonts w:hint="eastAsia" w:asciiTheme="minorEastAsia" w:hAnsiTheme="minorEastAsia" w:eastAsiaTheme="minorEastAsia"/>
          <w:color w:val="auto"/>
          <w:sz w:val="24"/>
        </w:rPr>
        <w:t>中标通知书；</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1.1.3 </w:t>
      </w:r>
      <w:r>
        <w:rPr>
          <w:rFonts w:hint="eastAsia" w:asciiTheme="minorEastAsia" w:hAnsiTheme="minorEastAsia" w:eastAsiaTheme="minorEastAsia"/>
          <w:color w:val="auto"/>
          <w:sz w:val="24"/>
        </w:rPr>
        <w:t>投标文件（含澄清或者说明文件）；</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1.1.4 </w:t>
      </w:r>
      <w:r>
        <w:rPr>
          <w:rFonts w:hint="eastAsia" w:asciiTheme="minorEastAsia" w:hAnsiTheme="minorEastAsia" w:eastAsiaTheme="minorEastAsia"/>
          <w:color w:val="auto"/>
          <w:sz w:val="24"/>
        </w:rPr>
        <w:t>招标文件（含澄清或者修改文件）；</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1.1.5 </w:t>
      </w:r>
      <w:r>
        <w:rPr>
          <w:rFonts w:hint="eastAsia" w:asciiTheme="minorEastAsia" w:hAnsiTheme="minorEastAsia" w:eastAsiaTheme="minorEastAsia"/>
          <w:color w:val="auto"/>
          <w:sz w:val="24"/>
        </w:rPr>
        <w:t>其他相关采购文件。</w:t>
      </w:r>
    </w:p>
    <w:p>
      <w:pPr>
        <w:spacing w:line="560" w:lineRule="exact"/>
        <w:ind w:firstLine="482" w:firstLineChars="200"/>
        <w:outlineLvl w:val="0"/>
        <w:rPr>
          <w:rFonts w:asciiTheme="minorEastAsia" w:hAnsiTheme="minorEastAsia" w:eastAsiaTheme="minorEastAsia"/>
          <w:b/>
          <w:color w:val="auto"/>
          <w:sz w:val="24"/>
        </w:rPr>
      </w:pPr>
      <w:bookmarkStart w:id="401" w:name="_Toc2918"/>
      <w:bookmarkStart w:id="402" w:name="_Toc6773"/>
      <w:bookmarkStart w:id="403" w:name="_Toc18585"/>
      <w:bookmarkStart w:id="404" w:name="_Toc6311"/>
      <w:bookmarkStart w:id="405" w:name="_Toc22185"/>
      <w:r>
        <w:rPr>
          <w:rFonts w:asciiTheme="minorEastAsia" w:hAnsiTheme="minorEastAsia" w:eastAsiaTheme="minorEastAsia"/>
          <w:b/>
          <w:color w:val="auto"/>
          <w:sz w:val="24"/>
        </w:rPr>
        <w:t xml:space="preserve">1.2 </w:t>
      </w:r>
      <w:r>
        <w:rPr>
          <w:rFonts w:hint="eastAsia" w:asciiTheme="minorEastAsia" w:hAnsiTheme="minorEastAsia" w:eastAsiaTheme="minorEastAsia"/>
          <w:b/>
          <w:color w:val="auto"/>
          <w:sz w:val="24"/>
        </w:rPr>
        <w:t>标的</w:t>
      </w:r>
      <w:bookmarkEnd w:id="401"/>
      <w:bookmarkEnd w:id="402"/>
      <w:bookmarkEnd w:id="403"/>
      <w:bookmarkEnd w:id="404"/>
      <w:bookmarkEnd w:id="405"/>
    </w:p>
    <w:p>
      <w:pPr>
        <w:spacing w:line="560" w:lineRule="exact"/>
        <w:ind w:firstLine="480" w:firstLineChars="200"/>
        <w:rPr>
          <w:rFonts w:asciiTheme="minorEastAsia" w:hAnsiTheme="minorEastAsia" w:eastAsiaTheme="minorEastAsia"/>
          <w:color w:val="auto"/>
          <w:sz w:val="24"/>
          <w:u w:val="single"/>
        </w:rPr>
      </w:pPr>
      <w:r>
        <w:rPr>
          <w:rFonts w:asciiTheme="minorEastAsia" w:hAnsiTheme="minorEastAsia" w:eastAsiaTheme="minorEastAsia"/>
          <w:color w:val="auto"/>
          <w:sz w:val="24"/>
        </w:rPr>
        <w:t xml:space="preserve">1.2.1 </w:t>
      </w:r>
      <w:r>
        <w:rPr>
          <w:rFonts w:hint="eastAsia" w:asciiTheme="minorEastAsia" w:hAnsiTheme="minorEastAsia" w:eastAsiaTheme="minorEastAsia"/>
          <w:color w:val="auto"/>
          <w:sz w:val="24"/>
        </w:rPr>
        <w:t>标的</w:t>
      </w:r>
      <w:r>
        <w:rPr>
          <w:rFonts w:asciiTheme="minorEastAsia" w:hAnsiTheme="minorEastAsia" w:eastAsiaTheme="minorEastAsia"/>
          <w:color w:val="auto"/>
          <w:sz w:val="24"/>
        </w:rPr>
        <w:t>名称：</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u w:val="single"/>
        </w:rPr>
      </w:pPr>
      <w:r>
        <w:rPr>
          <w:rFonts w:asciiTheme="minorEastAsia" w:hAnsiTheme="minorEastAsia" w:eastAsiaTheme="minorEastAsia"/>
          <w:color w:val="auto"/>
          <w:sz w:val="24"/>
        </w:rPr>
        <w:t xml:space="preserve">1.2.2 </w:t>
      </w:r>
      <w:r>
        <w:rPr>
          <w:rFonts w:hint="eastAsia" w:asciiTheme="minorEastAsia" w:hAnsiTheme="minorEastAsia" w:eastAsiaTheme="minorEastAsia"/>
          <w:color w:val="auto"/>
          <w:sz w:val="24"/>
        </w:rPr>
        <w:t>标的</w:t>
      </w:r>
      <w:r>
        <w:rPr>
          <w:rFonts w:asciiTheme="minorEastAsia" w:hAnsiTheme="minorEastAsia" w:eastAsiaTheme="minorEastAsia"/>
          <w:color w:val="auto"/>
          <w:sz w:val="24"/>
        </w:rPr>
        <w:t>数量：</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1.2.3 </w:t>
      </w:r>
      <w:r>
        <w:rPr>
          <w:rFonts w:hint="eastAsia" w:asciiTheme="minorEastAsia" w:hAnsiTheme="minorEastAsia" w:eastAsiaTheme="minorEastAsia"/>
          <w:color w:val="auto"/>
          <w:sz w:val="24"/>
        </w:rPr>
        <w:t>标的质量：</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w:t>
      </w:r>
    </w:p>
    <w:p>
      <w:pPr>
        <w:spacing w:line="560" w:lineRule="exact"/>
        <w:ind w:firstLine="482" w:firstLineChars="200"/>
        <w:outlineLvl w:val="0"/>
        <w:rPr>
          <w:rFonts w:asciiTheme="minorEastAsia" w:hAnsiTheme="minorEastAsia" w:eastAsiaTheme="minorEastAsia"/>
          <w:b/>
          <w:color w:val="auto"/>
          <w:sz w:val="24"/>
        </w:rPr>
      </w:pPr>
      <w:bookmarkStart w:id="406" w:name="_Toc1386"/>
      <w:bookmarkStart w:id="407" w:name="_Toc4929"/>
      <w:bookmarkStart w:id="408" w:name="_Toc13918"/>
      <w:bookmarkStart w:id="409" w:name="_Toc21124"/>
      <w:bookmarkStart w:id="410" w:name="_Toc5635"/>
      <w:r>
        <w:rPr>
          <w:rFonts w:asciiTheme="minorEastAsia" w:hAnsiTheme="minorEastAsia" w:eastAsiaTheme="minorEastAsia"/>
          <w:b/>
          <w:color w:val="auto"/>
          <w:sz w:val="24"/>
        </w:rPr>
        <w:t>1.3 价款</w:t>
      </w:r>
      <w:bookmarkEnd w:id="406"/>
      <w:bookmarkEnd w:id="407"/>
      <w:bookmarkEnd w:id="408"/>
      <w:bookmarkEnd w:id="409"/>
      <w:bookmarkEnd w:id="410"/>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本合同总价为</w:t>
      </w:r>
      <w:r>
        <w:rPr>
          <w:rFonts w:hint="eastAsia" w:asciiTheme="minorEastAsia" w:hAnsiTheme="minorEastAsia" w:eastAsiaTheme="minorEastAsia"/>
          <w:color w:val="auto"/>
          <w:sz w:val="24"/>
        </w:rPr>
        <w:t>：￥</w:t>
      </w:r>
      <w:r>
        <w:rPr>
          <w:rFonts w:asciiTheme="minorEastAsia" w:hAnsiTheme="minorEastAsia" w:eastAsiaTheme="minorEastAsia"/>
          <w:color w:val="auto"/>
          <w:sz w:val="24"/>
          <w:u w:val="single"/>
        </w:rPr>
        <w:t xml:space="preserve">           </w:t>
      </w:r>
      <w:r>
        <w:rPr>
          <w:rFonts w:asciiTheme="minorEastAsia" w:hAnsiTheme="minorEastAsia" w:eastAsiaTheme="minorEastAsia"/>
          <w:color w:val="auto"/>
          <w:sz w:val="24"/>
        </w:rPr>
        <w:t>元</w:t>
      </w:r>
      <w:r>
        <w:rPr>
          <w:rFonts w:hint="eastAsia" w:asciiTheme="minorEastAsia" w:hAnsiTheme="minorEastAsia" w:eastAsiaTheme="minorEastAsia"/>
          <w:color w:val="auto"/>
          <w:sz w:val="24"/>
        </w:rPr>
        <w:t>（大写：</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元人民币）</w:t>
      </w:r>
      <w:r>
        <w:rPr>
          <w:rFonts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u w:val="single"/>
        </w:rPr>
      </w:pPr>
      <w:r>
        <w:rPr>
          <w:rFonts w:asciiTheme="minorEastAsia" w:hAnsiTheme="minorEastAsia" w:eastAsiaTheme="minorEastAsia"/>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序号</w:t>
            </w: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分项名称</w:t>
            </w:r>
          </w:p>
        </w:tc>
        <w:tc>
          <w:tcPr>
            <w:tcW w:w="2552" w:type="dxa"/>
            <w:vAlign w:val="center"/>
          </w:tcPr>
          <w:p>
            <w:pPr>
              <w:pStyle w:val="317"/>
              <w:spacing w:line="560" w:lineRule="exact"/>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总价</w:t>
            </w: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rPr>
            </w:pPr>
          </w:p>
        </w:tc>
      </w:tr>
    </w:tbl>
    <w:p>
      <w:pPr>
        <w:spacing w:line="560" w:lineRule="exact"/>
        <w:ind w:firstLine="482" w:firstLineChars="200"/>
        <w:outlineLvl w:val="0"/>
        <w:rPr>
          <w:rFonts w:asciiTheme="minorEastAsia" w:hAnsiTheme="minorEastAsia" w:eastAsiaTheme="minorEastAsia"/>
          <w:b/>
          <w:color w:val="auto"/>
          <w:sz w:val="24"/>
        </w:rPr>
      </w:pPr>
      <w:bookmarkStart w:id="411" w:name="_Toc14993"/>
      <w:bookmarkStart w:id="412" w:name="_Toc30158"/>
      <w:bookmarkStart w:id="413" w:name="_Toc26916"/>
      <w:bookmarkStart w:id="414" w:name="_Toc30506"/>
      <w:bookmarkStart w:id="415" w:name="_Toc3654"/>
      <w:r>
        <w:rPr>
          <w:rFonts w:asciiTheme="minorEastAsia" w:hAnsiTheme="minorEastAsia" w:eastAsiaTheme="minorEastAsia"/>
          <w:b/>
          <w:color w:val="auto"/>
          <w:sz w:val="24"/>
        </w:rPr>
        <w:t>1.4 付款方式和发票开具方式</w:t>
      </w:r>
      <w:bookmarkEnd w:id="411"/>
      <w:bookmarkEnd w:id="412"/>
      <w:bookmarkEnd w:id="413"/>
      <w:bookmarkEnd w:id="414"/>
      <w:bookmarkEnd w:id="415"/>
    </w:p>
    <w:p>
      <w:pPr>
        <w:pStyle w:val="957"/>
        <w:spacing w:before="0" w:beforeAutospacing="0" w:after="0" w:afterAutospacing="0" w:line="360" w:lineRule="auto"/>
        <w:ind w:firstLine="480"/>
        <w:rPr>
          <w:rFonts w:cs="Times New Roman" w:asciiTheme="minorEastAsia" w:hAnsiTheme="minorEastAsia" w:eastAsiaTheme="minorEastAsia"/>
          <w:color w:val="auto"/>
        </w:rPr>
      </w:pPr>
      <w:r>
        <w:rPr>
          <w:rFonts w:cs="Times New Roman" w:asciiTheme="minorEastAsia" w:hAnsiTheme="minorEastAsia" w:eastAsiaTheme="minorEastAsia"/>
          <w:color w:val="auto"/>
        </w:rPr>
        <w:t>1.4.1</w:t>
      </w:r>
      <w:r>
        <w:rPr>
          <w:rFonts w:hint="eastAsia" w:cs="Times New Roman" w:asciiTheme="minorEastAsia" w:hAnsiTheme="minorEastAsia" w:eastAsiaTheme="minorEastAsia"/>
          <w:color w:val="auto"/>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color w:val="auto"/>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1.4.2 </w:t>
      </w:r>
      <w:r>
        <w:rPr>
          <w:rFonts w:hint="eastAsia" w:asciiTheme="minorEastAsia" w:hAnsiTheme="minorEastAsia" w:eastAsiaTheme="minorEastAsia"/>
          <w:color w:val="auto"/>
          <w:sz w:val="24"/>
        </w:rPr>
        <w:t>合同预付款比例为合同金额的</w:t>
      </w:r>
      <w:r>
        <w:rPr>
          <w:rFonts w:asciiTheme="minorEastAsia" w:hAnsiTheme="minorEastAsia" w:eastAsiaTheme="minorEastAsia"/>
          <w:color w:val="auto"/>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color w:val="auto"/>
          <w:sz w:val="24"/>
        </w:rPr>
        <w:t>5</w:t>
      </w:r>
      <w:r>
        <w:rPr>
          <w:rFonts w:asciiTheme="minorEastAsia" w:hAnsiTheme="minorEastAsia" w:eastAsiaTheme="minorEastAsia"/>
          <w:color w:val="auto"/>
          <w:sz w:val="24"/>
        </w:rPr>
        <w:t>个工作日内支付。</w:t>
      </w:r>
      <w:r>
        <w:rPr>
          <w:rFonts w:hint="eastAsia" w:asciiTheme="minorEastAsia" w:hAnsiTheme="minorEastAsia" w:eastAsiaTheme="minorEastAsia"/>
          <w:color w:val="auto"/>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color w:val="auto"/>
          <w:sz w:val="24"/>
        </w:rPr>
        <w:t xml:space="preserve"> - </w:t>
      </w:r>
      <w:r>
        <w:rPr>
          <w:rFonts w:hint="eastAsia" w:asciiTheme="minorEastAsia" w:hAnsiTheme="minorEastAsia" w:eastAsiaTheme="minorEastAsia"/>
          <w:color w:val="auto"/>
          <w:sz w:val="24"/>
        </w:rPr>
        <w:t>【保函保险服务】出具预付款保函，具体步骤：选择产品—填写供应商信息—选择中标项目—确认信息—等待保险</w:t>
      </w:r>
      <w:r>
        <w:rPr>
          <w:rFonts w:asciiTheme="minorEastAsia" w:hAnsiTheme="minorEastAsia" w:eastAsiaTheme="minorEastAsia"/>
          <w:color w:val="auto"/>
          <w:sz w:val="24"/>
        </w:rPr>
        <w:t>/保函受理—确认保单—支付保费—成功出单。政</w:t>
      </w:r>
      <w:r>
        <w:rPr>
          <w:rFonts w:hint="eastAsia" w:asciiTheme="minorEastAsia" w:hAnsiTheme="minorEastAsia" w:eastAsiaTheme="minorEastAsia"/>
          <w:color w:val="auto"/>
          <w:sz w:val="24"/>
        </w:rPr>
        <w:t>采云金融专线</w:t>
      </w:r>
      <w:r>
        <w:rPr>
          <w:rFonts w:asciiTheme="minorEastAsia" w:hAnsiTheme="minorEastAsia" w:eastAsiaTheme="minorEastAsia"/>
          <w:color w:val="auto"/>
          <w:sz w:val="24"/>
        </w:rPr>
        <w:t>400-903-9583。</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1.4.3</w:t>
      </w:r>
      <w:r>
        <w:rPr>
          <w:rFonts w:hint="eastAsia" w:asciiTheme="minorEastAsia" w:hAnsiTheme="minorEastAsia" w:eastAsiaTheme="minorEastAsia"/>
          <w:color w:val="auto"/>
          <w:sz w:val="24"/>
        </w:rPr>
        <w:t>甲方迟延支付乙方款项的，向乙方支付逾期利息。双方可以在合同专用条款中约定逾期利率，约定利率不得低于合同订立时</w:t>
      </w:r>
      <w:r>
        <w:rPr>
          <w:rFonts w:asciiTheme="minorEastAsia" w:hAnsiTheme="minorEastAsia" w:eastAsiaTheme="minorEastAsia"/>
          <w:color w:val="auto"/>
          <w:sz w:val="24"/>
        </w:rPr>
        <w:t>1年</w:t>
      </w:r>
      <w:r>
        <w:rPr>
          <w:rFonts w:hint="eastAsia" w:asciiTheme="minorEastAsia" w:hAnsiTheme="minorEastAsia" w:eastAsiaTheme="minorEastAsia"/>
          <w:color w:val="auto"/>
          <w:sz w:val="24"/>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color w:val="auto"/>
          <w:sz w:val="24"/>
        </w:rPr>
      </w:pPr>
      <w:r>
        <w:rPr>
          <w:rFonts w:asciiTheme="minorEastAsia" w:hAnsiTheme="minorEastAsia" w:eastAsiaTheme="minorEastAsia"/>
          <w:color w:val="auto"/>
          <w:sz w:val="24"/>
        </w:rPr>
        <w:t>1.4.4资金支付的方式、时间和条件详见</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w:t>
      </w:r>
    </w:p>
    <w:p>
      <w:pPr>
        <w:spacing w:line="560" w:lineRule="exact"/>
        <w:ind w:firstLine="480" w:firstLineChars="200"/>
        <w:outlineLvl w:val="0"/>
        <w:rPr>
          <w:rFonts w:asciiTheme="minorEastAsia" w:hAnsiTheme="minorEastAsia" w:eastAsiaTheme="minorEastAsia"/>
          <w:color w:val="auto"/>
          <w:sz w:val="24"/>
        </w:rPr>
      </w:pPr>
      <w:r>
        <w:rPr>
          <w:rFonts w:asciiTheme="minorEastAsia" w:hAnsiTheme="minorEastAsia" w:eastAsiaTheme="minorEastAsia"/>
          <w:color w:val="auto"/>
          <w:sz w:val="24"/>
        </w:rPr>
        <w:t>1.4.5</w:t>
      </w:r>
      <w:r>
        <w:rPr>
          <w:rFonts w:hint="eastAsia" w:asciiTheme="minorEastAsia" w:hAnsiTheme="minorEastAsia" w:eastAsiaTheme="minorEastAsia"/>
          <w:color w:val="auto"/>
          <w:sz w:val="24"/>
        </w:rPr>
        <w:t>乙方</w:t>
      </w:r>
      <w:r>
        <w:rPr>
          <w:rFonts w:asciiTheme="minorEastAsia" w:hAnsiTheme="minorEastAsia" w:eastAsiaTheme="minorEastAsia"/>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color w:val="auto"/>
          <w:sz w:val="24"/>
        </w:rPr>
        <w:t>杭财采监〔</w:t>
      </w:r>
      <w:r>
        <w:rPr>
          <w:rFonts w:asciiTheme="minorEastAsia" w:hAnsiTheme="minorEastAsia" w:eastAsiaTheme="minorEastAsia"/>
          <w:color w:val="auto"/>
          <w:sz w:val="24"/>
        </w:rPr>
        <w:t>2021〕17号）。</w:t>
      </w:r>
    </w:p>
    <w:p>
      <w:pPr>
        <w:spacing w:line="560" w:lineRule="exact"/>
        <w:ind w:firstLine="482" w:firstLineChars="200"/>
        <w:outlineLvl w:val="0"/>
        <w:rPr>
          <w:rFonts w:asciiTheme="minorEastAsia" w:hAnsiTheme="minorEastAsia" w:eastAsiaTheme="minorEastAsia"/>
          <w:b/>
          <w:color w:val="auto"/>
          <w:sz w:val="24"/>
        </w:rPr>
      </w:pPr>
      <w:bookmarkStart w:id="416" w:name="_Toc11108"/>
      <w:bookmarkStart w:id="417" w:name="_Toc31421"/>
      <w:bookmarkStart w:id="418" w:name="_Toc8772"/>
      <w:bookmarkStart w:id="419" w:name="_Toc4760"/>
      <w:bookmarkStart w:id="420" w:name="_Toc3625"/>
      <w:r>
        <w:rPr>
          <w:rFonts w:asciiTheme="minorEastAsia" w:hAnsiTheme="minorEastAsia" w:eastAsiaTheme="minorEastAsia"/>
          <w:b/>
          <w:color w:val="auto"/>
          <w:sz w:val="24"/>
        </w:rPr>
        <w:t>1.5 履行期限</w:t>
      </w:r>
      <w:r>
        <w:rPr>
          <w:rFonts w:hint="eastAsia" w:asciiTheme="minorEastAsia" w:hAnsiTheme="minorEastAsia" w:eastAsiaTheme="minorEastAsia"/>
          <w:b/>
          <w:color w:val="auto"/>
          <w:sz w:val="24"/>
        </w:rPr>
        <w:t>、地点和方式</w:t>
      </w:r>
      <w:bookmarkEnd w:id="416"/>
      <w:bookmarkEnd w:id="417"/>
      <w:bookmarkEnd w:id="418"/>
      <w:bookmarkEnd w:id="419"/>
      <w:bookmarkEnd w:id="420"/>
    </w:p>
    <w:p>
      <w:pPr>
        <w:spacing w:line="560" w:lineRule="exact"/>
        <w:ind w:firstLine="480" w:firstLineChars="200"/>
        <w:rPr>
          <w:rFonts w:asciiTheme="minorEastAsia" w:hAnsiTheme="minorEastAsia" w:eastAsiaTheme="minorEastAsia"/>
          <w:color w:val="auto"/>
          <w:sz w:val="24"/>
          <w:u w:val="single"/>
        </w:rPr>
      </w:pPr>
      <w:r>
        <w:rPr>
          <w:rFonts w:asciiTheme="minorEastAsia" w:hAnsiTheme="minorEastAsia" w:eastAsiaTheme="minorEastAsia"/>
          <w:color w:val="auto"/>
          <w:sz w:val="24"/>
        </w:rPr>
        <w:t xml:space="preserve">1.5.1 </w:t>
      </w:r>
      <w:r>
        <w:rPr>
          <w:rFonts w:hint="eastAsia" w:asciiTheme="minorEastAsia" w:hAnsiTheme="minorEastAsia" w:eastAsiaTheme="minorEastAsia"/>
          <w:color w:val="auto"/>
          <w:sz w:val="24"/>
        </w:rPr>
        <w:t>履行期限</w:t>
      </w:r>
      <w:r>
        <w:rPr>
          <w:rFonts w:asciiTheme="minorEastAsia" w:hAnsiTheme="minorEastAsia" w:eastAsiaTheme="minorEastAsia"/>
          <w:color w:val="auto"/>
          <w:sz w:val="24"/>
        </w:rPr>
        <w:t>：</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1.5.2 </w:t>
      </w:r>
      <w:r>
        <w:rPr>
          <w:rFonts w:hint="eastAsia" w:asciiTheme="minorEastAsia" w:hAnsiTheme="minorEastAsia" w:eastAsiaTheme="minorEastAsia"/>
          <w:color w:val="auto"/>
          <w:sz w:val="24"/>
        </w:rPr>
        <w:t>履行地点</w:t>
      </w:r>
      <w:r>
        <w:rPr>
          <w:rFonts w:asciiTheme="minorEastAsia" w:hAnsiTheme="minorEastAsia" w:eastAsiaTheme="minorEastAsia"/>
          <w:color w:val="auto"/>
          <w:sz w:val="24"/>
        </w:rPr>
        <w:t>：</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1.5.3 </w:t>
      </w:r>
      <w:r>
        <w:rPr>
          <w:rFonts w:hint="eastAsia" w:asciiTheme="minorEastAsia" w:hAnsiTheme="minorEastAsia" w:eastAsiaTheme="minorEastAsia"/>
          <w:color w:val="auto"/>
          <w:sz w:val="24"/>
        </w:rPr>
        <w:t>履行方式：</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w:t>
      </w:r>
    </w:p>
    <w:p>
      <w:pPr>
        <w:spacing w:line="560" w:lineRule="exact"/>
        <w:ind w:firstLine="482" w:firstLineChars="200"/>
        <w:outlineLvl w:val="0"/>
        <w:rPr>
          <w:rFonts w:asciiTheme="minorEastAsia" w:hAnsiTheme="minorEastAsia" w:eastAsiaTheme="minorEastAsia"/>
          <w:color w:val="auto"/>
          <w:sz w:val="24"/>
          <w:u w:val="single"/>
        </w:rPr>
      </w:pPr>
      <w:bookmarkStart w:id="421" w:name="_Toc5698"/>
      <w:bookmarkStart w:id="422" w:name="_Toc3079"/>
      <w:bookmarkStart w:id="423" w:name="_Toc8586"/>
      <w:bookmarkStart w:id="424" w:name="_Toc2375"/>
      <w:bookmarkStart w:id="425" w:name="_Toc24662"/>
      <w:r>
        <w:rPr>
          <w:rFonts w:asciiTheme="minorEastAsia" w:hAnsiTheme="minorEastAsia" w:eastAsiaTheme="minorEastAsia"/>
          <w:b/>
          <w:color w:val="auto"/>
          <w:sz w:val="24"/>
        </w:rPr>
        <w:t xml:space="preserve">1.6 </w:t>
      </w:r>
      <w:r>
        <w:rPr>
          <w:rFonts w:hint="eastAsia" w:asciiTheme="minorEastAsia" w:hAnsiTheme="minorEastAsia" w:eastAsiaTheme="minorEastAsia"/>
          <w:b/>
          <w:color w:val="auto"/>
          <w:sz w:val="24"/>
        </w:rPr>
        <w:t>违约责任</w:t>
      </w:r>
      <w:bookmarkEnd w:id="421"/>
      <w:bookmarkEnd w:id="422"/>
      <w:bookmarkEnd w:id="423"/>
      <w:bookmarkEnd w:id="424"/>
      <w:bookmarkEnd w:id="425"/>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1.6.1 除不可抗力外，如果乙方没有按照本合同约定的期限</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地点和方式</w:t>
      </w:r>
      <w:r>
        <w:rPr>
          <w:rFonts w:hint="eastAsia" w:asciiTheme="minorEastAsia" w:hAnsiTheme="minorEastAsia" w:eastAsiaTheme="minorEastAsia"/>
          <w:color w:val="auto"/>
          <w:sz w:val="24"/>
        </w:rPr>
        <w:t>履行</w:t>
      </w:r>
      <w:r>
        <w:rPr>
          <w:rFonts w:asciiTheme="minorEastAsia" w:hAnsiTheme="minorEastAsia" w:eastAsiaTheme="minorEastAsia"/>
          <w:color w:val="auto"/>
          <w:sz w:val="24"/>
        </w:rPr>
        <w:t>，那么甲方可要求乙方支付违约金</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违约金按每迟延</w:t>
      </w:r>
      <w:r>
        <w:rPr>
          <w:rFonts w:hint="eastAsia" w:asciiTheme="minorEastAsia" w:hAnsiTheme="minorEastAsia" w:eastAsiaTheme="minorEastAsia"/>
          <w:color w:val="auto"/>
          <w:sz w:val="24"/>
        </w:rPr>
        <w:t>履行</w:t>
      </w:r>
      <w:r>
        <w:rPr>
          <w:rFonts w:asciiTheme="minorEastAsia" w:hAnsiTheme="minorEastAsia" w:eastAsiaTheme="minorEastAsia"/>
          <w:color w:val="auto"/>
          <w:sz w:val="24"/>
        </w:rPr>
        <w:t>一日的应提供而未</w:t>
      </w:r>
      <w:r>
        <w:rPr>
          <w:rFonts w:hint="eastAsia" w:asciiTheme="minorEastAsia" w:hAnsiTheme="minorEastAsia" w:eastAsiaTheme="minorEastAsia"/>
          <w:color w:val="auto"/>
          <w:sz w:val="24"/>
        </w:rPr>
        <w:t>提供</w:t>
      </w:r>
      <w:r>
        <w:rPr>
          <w:rFonts w:asciiTheme="minorEastAsia" w:hAnsiTheme="minorEastAsia" w:eastAsiaTheme="minorEastAsia"/>
          <w:color w:val="auto"/>
          <w:sz w:val="24"/>
        </w:rPr>
        <w:t>服务价格的</w:t>
      </w:r>
      <w:r>
        <w:rPr>
          <w:rFonts w:asciiTheme="minorEastAsia" w:hAnsiTheme="minorEastAsia" w:eastAsiaTheme="minorEastAsia"/>
          <w:color w:val="auto"/>
          <w:sz w:val="24"/>
          <w:u w:val="single"/>
        </w:rPr>
        <w:t xml:space="preserve"> 0.05   </w:t>
      </w:r>
      <w:r>
        <w:rPr>
          <w:rFonts w:asciiTheme="minorEastAsia" w:hAnsiTheme="minorEastAsia" w:eastAsiaTheme="minorEastAsia"/>
          <w:color w:val="auto"/>
          <w:sz w:val="24"/>
        </w:rPr>
        <w:t>%计算</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最高限额为</w:t>
      </w:r>
      <w:r>
        <w:rPr>
          <w:rFonts w:hint="eastAsia" w:asciiTheme="minorEastAsia" w:hAnsiTheme="minorEastAsia" w:eastAsiaTheme="minorEastAsia"/>
          <w:color w:val="auto"/>
          <w:sz w:val="24"/>
        </w:rPr>
        <w:t>本</w:t>
      </w:r>
      <w:r>
        <w:rPr>
          <w:rFonts w:asciiTheme="minorEastAsia" w:hAnsiTheme="minorEastAsia" w:eastAsiaTheme="minorEastAsia"/>
          <w:color w:val="auto"/>
          <w:sz w:val="24"/>
        </w:rPr>
        <w:t>合同总价的</w:t>
      </w:r>
      <w:r>
        <w:rPr>
          <w:rFonts w:asciiTheme="minorEastAsia" w:hAnsiTheme="minorEastAsia" w:eastAsiaTheme="minorEastAsia"/>
          <w:color w:val="auto"/>
          <w:sz w:val="24"/>
          <w:u w:val="single"/>
        </w:rPr>
        <w:t xml:space="preserve">  20   </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迟延</w:t>
      </w:r>
      <w:r>
        <w:rPr>
          <w:rFonts w:hint="eastAsia" w:asciiTheme="minorEastAsia" w:hAnsiTheme="minorEastAsia" w:eastAsiaTheme="minorEastAsia"/>
          <w:color w:val="auto"/>
          <w:sz w:val="24"/>
        </w:rPr>
        <w:t>履行</w:t>
      </w:r>
      <w:r>
        <w:rPr>
          <w:rFonts w:asciiTheme="minorEastAsia" w:hAnsiTheme="minorEastAsia" w:eastAsiaTheme="minorEastAsia"/>
          <w:color w:val="auto"/>
          <w:sz w:val="24"/>
        </w:rPr>
        <w:t>的违约金计算数额达到前述最高限额之日起</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甲方有权在要求乙方支付违约金的同时</w:t>
      </w:r>
      <w:r>
        <w:rPr>
          <w:rFonts w:hint="eastAsia" w:asciiTheme="minorEastAsia" w:hAnsiTheme="minorEastAsia" w:eastAsiaTheme="minorEastAsia"/>
          <w:color w:val="auto"/>
          <w:sz w:val="24"/>
        </w:rPr>
        <w:t>，书面通知乙方</w:t>
      </w:r>
      <w:r>
        <w:rPr>
          <w:rFonts w:asciiTheme="minorEastAsia" w:hAnsiTheme="minorEastAsia" w:eastAsiaTheme="minorEastAsia"/>
          <w:color w:val="auto"/>
          <w:sz w:val="24"/>
        </w:rPr>
        <w:t>解除本合同</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1.6.2 除不可抗力外，如果甲方没有按照本合同约定的付款方式付款，那么乙方可要求甲方支付违约金</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违约金按每迟延</w:t>
      </w:r>
      <w:r>
        <w:rPr>
          <w:rFonts w:hint="eastAsia" w:asciiTheme="minorEastAsia" w:hAnsiTheme="minorEastAsia" w:eastAsiaTheme="minorEastAsia"/>
          <w:color w:val="auto"/>
          <w:sz w:val="24"/>
        </w:rPr>
        <w:t>付款</w:t>
      </w:r>
      <w:r>
        <w:rPr>
          <w:rFonts w:asciiTheme="minorEastAsia" w:hAnsiTheme="minorEastAsia" w:eastAsiaTheme="minorEastAsia"/>
          <w:color w:val="auto"/>
          <w:sz w:val="24"/>
        </w:rPr>
        <w:t>一日的应付而未付款的</w:t>
      </w:r>
      <w:r>
        <w:rPr>
          <w:rFonts w:asciiTheme="minorEastAsia" w:hAnsiTheme="minorEastAsia" w:eastAsiaTheme="minorEastAsia"/>
          <w:color w:val="auto"/>
          <w:sz w:val="24"/>
          <w:u w:val="single"/>
        </w:rPr>
        <w:t xml:space="preserve"> 0.05   </w:t>
      </w:r>
      <w:r>
        <w:rPr>
          <w:rFonts w:asciiTheme="minorEastAsia" w:hAnsiTheme="minorEastAsia" w:eastAsiaTheme="minorEastAsia"/>
          <w:color w:val="auto"/>
          <w:sz w:val="24"/>
        </w:rPr>
        <w:t>%计算</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最高限额为</w:t>
      </w:r>
      <w:r>
        <w:rPr>
          <w:rFonts w:hint="eastAsia" w:asciiTheme="minorEastAsia" w:hAnsiTheme="minorEastAsia" w:eastAsiaTheme="minorEastAsia"/>
          <w:color w:val="auto"/>
          <w:sz w:val="24"/>
        </w:rPr>
        <w:t>本</w:t>
      </w:r>
      <w:r>
        <w:rPr>
          <w:rFonts w:asciiTheme="minorEastAsia" w:hAnsiTheme="minorEastAsia" w:eastAsiaTheme="minorEastAsia"/>
          <w:color w:val="auto"/>
          <w:sz w:val="24"/>
        </w:rPr>
        <w:t>合同总价的</w:t>
      </w:r>
      <w:r>
        <w:rPr>
          <w:rFonts w:asciiTheme="minorEastAsia" w:hAnsiTheme="minorEastAsia" w:eastAsiaTheme="minorEastAsia"/>
          <w:color w:val="auto"/>
          <w:sz w:val="24"/>
          <w:u w:val="single"/>
        </w:rPr>
        <w:t xml:space="preserve">  20   </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迟延</w:t>
      </w:r>
      <w:r>
        <w:rPr>
          <w:rFonts w:hint="eastAsia" w:asciiTheme="minorEastAsia" w:hAnsiTheme="minorEastAsia" w:eastAsiaTheme="minorEastAsia"/>
          <w:color w:val="auto"/>
          <w:sz w:val="24"/>
        </w:rPr>
        <w:t>付款</w:t>
      </w:r>
      <w:r>
        <w:rPr>
          <w:rFonts w:asciiTheme="minorEastAsia" w:hAnsiTheme="minorEastAsia" w:eastAsiaTheme="minorEastAsia"/>
          <w:color w:val="auto"/>
          <w:sz w:val="24"/>
        </w:rPr>
        <w:t>的违约金计算数额达到前述最高限额之日起</w:t>
      </w:r>
      <w:r>
        <w:rPr>
          <w:rFonts w:hint="eastAsia" w:asciiTheme="minorEastAsia" w:hAnsiTheme="minorEastAsia" w:eastAsiaTheme="minorEastAsia"/>
          <w:color w:val="auto"/>
          <w:sz w:val="24"/>
        </w:rPr>
        <w:t>，乙</w:t>
      </w:r>
      <w:r>
        <w:rPr>
          <w:rFonts w:asciiTheme="minorEastAsia" w:hAnsiTheme="minorEastAsia" w:eastAsiaTheme="minorEastAsia"/>
          <w:color w:val="auto"/>
          <w:sz w:val="24"/>
        </w:rPr>
        <w:t>方有权在要求甲方支付违约金的同时</w:t>
      </w:r>
      <w:r>
        <w:rPr>
          <w:rFonts w:hint="eastAsia" w:asciiTheme="minorEastAsia" w:hAnsiTheme="minorEastAsia" w:eastAsiaTheme="minorEastAsia"/>
          <w:color w:val="auto"/>
          <w:sz w:val="24"/>
        </w:rPr>
        <w:t>，书面通知甲方</w:t>
      </w:r>
      <w:r>
        <w:rPr>
          <w:rFonts w:asciiTheme="minorEastAsia" w:hAnsiTheme="minorEastAsia" w:eastAsiaTheme="minorEastAsia"/>
          <w:color w:val="auto"/>
          <w:sz w:val="24"/>
        </w:rPr>
        <w:t>解除本合同</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1.6.3 </w:t>
      </w:r>
      <w:r>
        <w:rPr>
          <w:rFonts w:hint="eastAsia" w:asciiTheme="minorEastAsia" w:hAnsiTheme="minorEastAsia" w:eastAsiaTheme="minorEastAsia"/>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1.6.4 </w:t>
      </w:r>
      <w:r>
        <w:rPr>
          <w:rFonts w:hint="eastAsia" w:asciiTheme="minorEastAsia" w:hAnsiTheme="minorEastAsia" w:eastAsiaTheme="minorEastAsia"/>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1.6.5 </w:t>
      </w:r>
      <w:r>
        <w:rPr>
          <w:rFonts w:hint="eastAsia" w:asciiTheme="minorEastAsia" w:hAnsiTheme="minorEastAsia" w:eastAsiaTheme="minorEastAsia"/>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1.6.6 </w:t>
      </w:r>
      <w:r>
        <w:rPr>
          <w:rFonts w:hint="eastAsia" w:asciiTheme="minorEastAsia" w:hAnsiTheme="minorEastAsia" w:eastAsiaTheme="minorEastAsia"/>
          <w:color w:val="auto"/>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color w:val="auto"/>
        </w:rPr>
      </w:pPr>
      <w:r>
        <w:rPr>
          <w:rFonts w:asciiTheme="minorEastAsia" w:hAnsiTheme="minorEastAsia" w:eastAsiaTheme="minorEastAsia"/>
          <w:color w:val="auto"/>
          <w:sz w:val="24"/>
        </w:rPr>
        <w:t>1.6.7违约责任</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另有约定的，从其约定。</w:t>
      </w:r>
    </w:p>
    <w:p>
      <w:pPr>
        <w:spacing w:line="560" w:lineRule="exact"/>
        <w:ind w:firstLine="482" w:firstLineChars="200"/>
        <w:outlineLvl w:val="0"/>
        <w:rPr>
          <w:rFonts w:asciiTheme="minorEastAsia" w:hAnsiTheme="minorEastAsia" w:eastAsiaTheme="minorEastAsia"/>
          <w:b/>
          <w:color w:val="auto"/>
          <w:sz w:val="24"/>
        </w:rPr>
      </w:pPr>
      <w:bookmarkStart w:id="426" w:name="_Toc18683"/>
      <w:bookmarkStart w:id="427" w:name="_Toc26807"/>
      <w:bookmarkStart w:id="428" w:name="_Toc9497"/>
      <w:bookmarkStart w:id="429" w:name="_Toc32454"/>
      <w:bookmarkStart w:id="430" w:name="_Toc30329"/>
      <w:r>
        <w:rPr>
          <w:rFonts w:asciiTheme="minorEastAsia" w:hAnsiTheme="minorEastAsia" w:eastAsiaTheme="minorEastAsia"/>
          <w:b/>
          <w:color w:val="auto"/>
          <w:sz w:val="24"/>
        </w:rPr>
        <w:t xml:space="preserve">1.7 </w:t>
      </w:r>
      <w:r>
        <w:rPr>
          <w:rFonts w:hint="eastAsia" w:asciiTheme="minorEastAsia" w:hAnsiTheme="minorEastAsia" w:eastAsiaTheme="minorEastAsia"/>
          <w:b/>
          <w:color w:val="auto"/>
          <w:sz w:val="24"/>
        </w:rPr>
        <w:t>合同</w:t>
      </w:r>
      <w:r>
        <w:rPr>
          <w:rFonts w:asciiTheme="minorEastAsia" w:hAnsiTheme="minorEastAsia" w:eastAsiaTheme="minorEastAsia"/>
          <w:b/>
          <w:color w:val="auto"/>
          <w:sz w:val="24"/>
        </w:rPr>
        <w:t>争议的解决</w:t>
      </w:r>
      <w:bookmarkEnd w:id="426"/>
      <w:bookmarkEnd w:id="427"/>
      <w:bookmarkEnd w:id="428"/>
      <w:bookmarkEnd w:id="429"/>
      <w:bookmarkEnd w:id="430"/>
    </w:p>
    <w:p>
      <w:pPr>
        <w:spacing w:line="560" w:lineRule="exact"/>
        <w:ind w:left="-61" w:leftChars="-29" w:right="-420" w:rightChars="-200" w:firstLine="240" w:firstLineChars="100"/>
        <w:rPr>
          <w:rFonts w:asciiTheme="minorEastAsia" w:hAnsiTheme="minorEastAsia" w:eastAsiaTheme="minorEastAsia"/>
          <w:color w:val="auto"/>
          <w:sz w:val="24"/>
        </w:rPr>
      </w:pPr>
      <w:r>
        <w:rPr>
          <w:rFonts w:hint="eastAsia" w:asciiTheme="minorEastAsia" w:hAnsiTheme="minorEastAsia" w:eastAsiaTheme="minorEastAsia"/>
          <w:color w:val="auto"/>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color w:val="auto"/>
          <w:sz w:val="24"/>
          <w:u w:val="single"/>
        </w:rPr>
        <w:t xml:space="preserve"> 合同专用条款  </w:t>
      </w:r>
      <w:r>
        <w:rPr>
          <w:rFonts w:hint="eastAsia" w:asciiTheme="minorEastAsia" w:hAnsiTheme="minorEastAsia" w:eastAsiaTheme="minorEastAsia"/>
          <w:color w:val="auto"/>
          <w:sz w:val="24"/>
        </w:rPr>
        <w:t>条款规定的方式解决：</w:t>
      </w:r>
    </w:p>
    <w:p>
      <w:pPr>
        <w:spacing w:line="560" w:lineRule="exact"/>
        <w:ind w:left="-420" w:leftChars="-200" w:right="-420" w:rightChars="-200" w:firstLine="600" w:firstLineChars="250"/>
        <w:rPr>
          <w:rFonts w:asciiTheme="minorEastAsia" w:hAnsiTheme="minorEastAsia" w:eastAsiaTheme="minorEastAsia"/>
          <w:color w:val="auto"/>
          <w:sz w:val="24"/>
        </w:rPr>
      </w:pPr>
      <w:r>
        <w:rPr>
          <w:rFonts w:asciiTheme="minorEastAsia" w:hAnsiTheme="minorEastAsia" w:eastAsiaTheme="minorEastAsia"/>
          <w:color w:val="auto"/>
          <w:sz w:val="24"/>
        </w:rPr>
        <w:t xml:space="preserve">1.7.1 </w:t>
      </w:r>
      <w:r>
        <w:rPr>
          <w:rFonts w:hint="eastAsia" w:asciiTheme="minorEastAsia" w:hAnsiTheme="minorEastAsia" w:eastAsiaTheme="minorEastAsia"/>
          <w:color w:val="auto"/>
          <w:sz w:val="24"/>
        </w:rPr>
        <w:t>将争议提交</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color w:val="auto"/>
          <w:sz w:val="24"/>
        </w:rPr>
      </w:pPr>
      <w:r>
        <w:rPr>
          <w:rFonts w:asciiTheme="minorEastAsia" w:hAnsiTheme="minorEastAsia" w:eastAsiaTheme="minorEastAsia"/>
          <w:color w:val="auto"/>
          <w:sz w:val="24"/>
        </w:rPr>
        <w:t xml:space="preserve">1.7.2 </w:t>
      </w:r>
      <w:r>
        <w:rPr>
          <w:rFonts w:hint="eastAsia" w:asciiTheme="minorEastAsia" w:hAnsiTheme="minorEastAsia" w:eastAsiaTheme="minorEastAsia"/>
          <w:color w:val="auto"/>
          <w:sz w:val="24"/>
        </w:rPr>
        <w:t>向</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人民法院起诉。</w:t>
      </w:r>
    </w:p>
    <w:p>
      <w:pPr>
        <w:spacing w:line="560" w:lineRule="exact"/>
        <w:ind w:firstLine="241" w:firstLineChars="100"/>
        <w:outlineLvl w:val="0"/>
        <w:rPr>
          <w:rFonts w:asciiTheme="minorEastAsia" w:hAnsiTheme="minorEastAsia" w:eastAsiaTheme="minorEastAsia"/>
          <w:b/>
          <w:color w:val="auto"/>
          <w:sz w:val="24"/>
        </w:rPr>
      </w:pPr>
      <w:bookmarkStart w:id="431" w:name="_Toc16417"/>
      <w:bookmarkStart w:id="432" w:name="_Toc12273"/>
      <w:bookmarkStart w:id="433" w:name="_Toc26227"/>
      <w:bookmarkStart w:id="434" w:name="_Toc23784"/>
      <w:bookmarkStart w:id="435" w:name="_Toc15827"/>
      <w:r>
        <w:rPr>
          <w:rFonts w:asciiTheme="minorEastAsia" w:hAnsiTheme="minorEastAsia" w:eastAsiaTheme="minorEastAsia"/>
          <w:b/>
          <w:color w:val="auto"/>
          <w:sz w:val="24"/>
        </w:rPr>
        <w:t>1.8 合同生效</w:t>
      </w:r>
      <w:bookmarkEnd w:id="431"/>
      <w:bookmarkEnd w:id="432"/>
      <w:bookmarkEnd w:id="433"/>
      <w:bookmarkEnd w:id="434"/>
      <w:bookmarkEnd w:id="435"/>
    </w:p>
    <w:p>
      <w:pPr>
        <w:spacing w:line="560" w:lineRule="exact"/>
        <w:ind w:firstLine="480" w:firstLineChars="200"/>
        <w:rPr>
          <w:rFonts w:asciiTheme="minorEastAsia" w:hAnsiTheme="minorEastAsia" w:eastAsiaTheme="minorEastAsia"/>
          <w:b/>
          <w:color w:val="auto"/>
          <w:sz w:val="24"/>
        </w:rPr>
      </w:pPr>
      <w:r>
        <w:rPr>
          <w:rFonts w:asciiTheme="minorEastAsia" w:hAnsiTheme="minorEastAsia" w:eastAsiaTheme="minorEastAsia"/>
          <w:color w:val="auto"/>
          <w:sz w:val="24"/>
        </w:rPr>
        <w:t>本合同自</w:t>
      </w:r>
      <w:r>
        <w:rPr>
          <w:rFonts w:hint="eastAsia" w:asciiTheme="minorEastAsia" w:hAnsiTheme="minorEastAsia" w:eastAsiaTheme="minorEastAsia"/>
          <w:color w:val="auto"/>
          <w:sz w:val="24"/>
        </w:rPr>
        <w:t>双方当事人盖章或者签字时</w:t>
      </w:r>
      <w:r>
        <w:rPr>
          <w:rFonts w:asciiTheme="minorEastAsia" w:hAnsiTheme="minorEastAsia" w:eastAsiaTheme="minorEastAsia"/>
          <w:color w:val="auto"/>
          <w:sz w:val="24"/>
        </w:rPr>
        <w:t>生效。</w:t>
      </w:r>
    </w:p>
    <w:p>
      <w:pPr>
        <w:autoSpaceDE w:val="0"/>
        <w:autoSpaceDN w:val="0"/>
        <w:spacing w:line="560" w:lineRule="exact"/>
        <w:rPr>
          <w:rFonts w:asciiTheme="minorEastAsia" w:hAnsiTheme="minorEastAsia" w:eastAsiaTheme="minorEastAsia"/>
          <w:color w:val="auto"/>
          <w:sz w:val="24"/>
          <w:lang w:val="zh-CN"/>
        </w:rPr>
      </w:pP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b/>
          <w:color w:val="auto"/>
          <w:sz w:val="24"/>
          <w:lang w:val="zh-CN"/>
        </w:rPr>
        <w:t>甲方</w:t>
      </w:r>
      <w:r>
        <w:rPr>
          <w:rFonts w:hint="eastAsia" w:asciiTheme="minorEastAsia" w:hAnsiTheme="minorEastAsia" w:eastAsiaTheme="minorEastAsia"/>
          <w:color w:val="auto"/>
          <w:sz w:val="24"/>
          <w:lang w:val="zh-CN"/>
        </w:rPr>
        <w:t>：</w:t>
      </w:r>
      <w:r>
        <w:rPr>
          <w:rFonts w:asciiTheme="minorEastAsia" w:hAnsiTheme="minorEastAsia" w:eastAsiaTheme="minorEastAsia"/>
          <w:color w:val="auto"/>
          <w:sz w:val="24"/>
          <w:lang w:val="zh-CN"/>
        </w:rPr>
        <w:t xml:space="preserve">                             </w:t>
      </w:r>
      <w:r>
        <w:rPr>
          <w:rFonts w:asciiTheme="minorEastAsia" w:hAnsiTheme="minorEastAsia" w:eastAsiaTheme="minorEastAsia"/>
          <w:b/>
          <w:color w:val="auto"/>
          <w:sz w:val="24"/>
          <w:lang w:val="zh-CN"/>
        </w:rPr>
        <w:t xml:space="preserve">      乙方</w:t>
      </w:r>
      <w:r>
        <w:rPr>
          <w:rFonts w:hint="eastAsia" w:asciiTheme="minorEastAsia" w:hAnsiTheme="minorEastAsia" w:eastAsiaTheme="minorEastAsia"/>
          <w:color w:val="auto"/>
          <w:sz w:val="24"/>
          <w:lang w:val="zh-CN"/>
        </w:rPr>
        <w:t>：</w:t>
      </w: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统一社会信用代码：</w:t>
      </w:r>
      <w:r>
        <w:rPr>
          <w:rFonts w:asciiTheme="minorEastAsia" w:hAnsiTheme="minorEastAsia" w:eastAsiaTheme="minorEastAsia"/>
          <w:color w:val="auto"/>
          <w:sz w:val="24"/>
          <w:lang w:val="zh-CN"/>
        </w:rPr>
        <w:t xml:space="preserve">                        </w:t>
      </w:r>
      <w:r>
        <w:rPr>
          <w:rFonts w:hint="eastAsia" w:asciiTheme="minorEastAsia" w:hAnsiTheme="minorEastAsia" w:eastAsiaTheme="minorEastAsia"/>
          <w:color w:val="auto"/>
          <w:sz w:val="24"/>
          <w:lang w:val="zh-CN"/>
        </w:rPr>
        <w:t>统一社会信用代码或身份证号码：</w:t>
      </w:r>
    </w:p>
    <w:p>
      <w:pPr>
        <w:autoSpaceDE w:val="0"/>
        <w:autoSpaceDN w:val="0"/>
        <w:spacing w:line="560" w:lineRule="exact"/>
        <w:rPr>
          <w:rFonts w:asciiTheme="minorEastAsia" w:hAnsiTheme="minorEastAsia" w:eastAsiaTheme="minorEastAsia"/>
          <w:color w:val="auto"/>
          <w:sz w:val="24"/>
          <w:lang w:val="zh-CN"/>
        </w:rPr>
      </w:pP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住所：</w:t>
      </w:r>
      <w:r>
        <w:rPr>
          <w:rFonts w:asciiTheme="minorEastAsia" w:hAnsiTheme="minorEastAsia" w:eastAsiaTheme="minorEastAsia"/>
          <w:color w:val="auto"/>
          <w:sz w:val="24"/>
          <w:lang w:val="zh-CN"/>
        </w:rPr>
        <w:t xml:space="preserve">                                   </w:t>
      </w:r>
      <w:r>
        <w:rPr>
          <w:rFonts w:hint="eastAsia" w:asciiTheme="minorEastAsia" w:hAnsiTheme="minorEastAsia" w:eastAsiaTheme="minorEastAsia"/>
          <w:color w:val="auto"/>
          <w:sz w:val="24"/>
          <w:lang w:val="zh-CN"/>
        </w:rPr>
        <w:t>住所：</w:t>
      </w: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法定代表人或</w:t>
      </w:r>
      <w:r>
        <w:rPr>
          <w:rFonts w:asciiTheme="minorEastAsia" w:hAnsiTheme="minorEastAsia" w:eastAsiaTheme="minorEastAsia"/>
          <w:color w:val="auto"/>
          <w:sz w:val="24"/>
          <w:lang w:val="zh-CN"/>
        </w:rPr>
        <w:t xml:space="preserve">                             </w:t>
      </w:r>
      <w:r>
        <w:rPr>
          <w:rFonts w:hint="eastAsia" w:asciiTheme="minorEastAsia" w:hAnsiTheme="minorEastAsia" w:eastAsiaTheme="minorEastAsia"/>
          <w:color w:val="auto"/>
          <w:sz w:val="24"/>
          <w:lang w:val="zh-CN"/>
        </w:rPr>
        <w:t>法定代表人或</w:t>
      </w: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授权代表（签字）：</w:t>
      </w:r>
      <w:r>
        <w:rPr>
          <w:rFonts w:asciiTheme="minorEastAsia" w:hAnsiTheme="minorEastAsia" w:eastAsiaTheme="minorEastAsia"/>
          <w:color w:val="auto"/>
          <w:sz w:val="24"/>
          <w:lang w:val="zh-CN"/>
        </w:rPr>
        <w:t xml:space="preserve">                       授权代表（签字）: </w:t>
      </w: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联系人：</w:t>
      </w:r>
      <w:r>
        <w:rPr>
          <w:rFonts w:asciiTheme="minorEastAsia" w:hAnsiTheme="minorEastAsia" w:eastAsiaTheme="minorEastAsia"/>
          <w:color w:val="auto"/>
          <w:sz w:val="24"/>
          <w:lang w:val="zh-CN"/>
        </w:rPr>
        <w:t xml:space="preserve">                                 </w:t>
      </w:r>
      <w:r>
        <w:rPr>
          <w:rFonts w:hint="eastAsia" w:asciiTheme="minorEastAsia" w:hAnsiTheme="minorEastAsia" w:eastAsiaTheme="minorEastAsia"/>
          <w:color w:val="auto"/>
          <w:sz w:val="24"/>
          <w:lang w:val="zh-CN"/>
        </w:rPr>
        <w:t>联系人：</w:t>
      </w: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约定送达地址：</w:t>
      </w:r>
      <w:r>
        <w:rPr>
          <w:rFonts w:asciiTheme="minorEastAsia" w:hAnsiTheme="minorEastAsia" w:eastAsiaTheme="minorEastAsia"/>
          <w:color w:val="auto"/>
          <w:sz w:val="24"/>
          <w:lang w:val="zh-CN"/>
        </w:rPr>
        <w:t xml:space="preserve">                           </w:t>
      </w:r>
      <w:r>
        <w:rPr>
          <w:rFonts w:hint="eastAsia" w:asciiTheme="minorEastAsia" w:hAnsiTheme="minorEastAsia" w:eastAsiaTheme="minorEastAsia"/>
          <w:color w:val="auto"/>
          <w:sz w:val="24"/>
          <w:lang w:val="zh-CN"/>
        </w:rPr>
        <w:t>约定送达地址：</w:t>
      </w: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邮政编码：</w:t>
      </w:r>
      <w:r>
        <w:rPr>
          <w:rFonts w:asciiTheme="minorEastAsia" w:hAnsiTheme="minorEastAsia" w:eastAsiaTheme="minorEastAsia"/>
          <w:color w:val="auto"/>
          <w:sz w:val="24"/>
          <w:lang w:val="zh-CN"/>
        </w:rPr>
        <w:t xml:space="preserve">                               </w:t>
      </w:r>
      <w:r>
        <w:rPr>
          <w:rFonts w:hint="eastAsia" w:asciiTheme="minorEastAsia" w:hAnsiTheme="minorEastAsia" w:eastAsiaTheme="minorEastAsia"/>
          <w:color w:val="auto"/>
          <w:sz w:val="24"/>
          <w:lang w:val="zh-CN"/>
        </w:rPr>
        <w:t>邮政编码：</w:t>
      </w: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电话</w:t>
      </w:r>
      <w:r>
        <w:rPr>
          <w:rFonts w:asciiTheme="minorEastAsia" w:hAnsiTheme="minorEastAsia" w:eastAsiaTheme="minorEastAsia"/>
          <w:color w:val="auto"/>
          <w:sz w:val="24"/>
          <w:lang w:val="zh-CN"/>
        </w:rPr>
        <w:t xml:space="preserve">:                                    电话: </w:t>
      </w: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传真</w:t>
      </w:r>
      <w:r>
        <w:rPr>
          <w:rFonts w:asciiTheme="minorEastAsia" w:hAnsiTheme="minorEastAsia" w:eastAsiaTheme="minorEastAsia"/>
          <w:color w:val="auto"/>
          <w:sz w:val="24"/>
          <w:lang w:val="zh-CN"/>
        </w:rPr>
        <w:t xml:space="preserve">:                                    </w:t>
      </w:r>
      <w:r>
        <w:rPr>
          <w:rFonts w:hint="eastAsia" w:asciiTheme="minorEastAsia" w:hAnsiTheme="minorEastAsia" w:eastAsiaTheme="minorEastAsia"/>
          <w:color w:val="auto"/>
          <w:sz w:val="24"/>
          <w:lang w:val="zh-CN"/>
        </w:rPr>
        <w:t>传真</w:t>
      </w:r>
      <w:r>
        <w:rPr>
          <w:rFonts w:asciiTheme="minorEastAsia" w:hAnsiTheme="minorEastAsia" w:eastAsiaTheme="minorEastAsia"/>
          <w:color w:val="auto"/>
          <w:sz w:val="24"/>
          <w:lang w:val="zh-CN"/>
        </w:rPr>
        <w:t>:</w:t>
      </w:r>
    </w:p>
    <w:p>
      <w:pPr>
        <w:autoSpaceDE w:val="0"/>
        <w:autoSpaceDN w:val="0"/>
        <w:spacing w:line="56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lang w:val="zh-CN"/>
        </w:rPr>
        <w:t>电子邮箱：</w:t>
      </w:r>
      <w:r>
        <w:rPr>
          <w:rFonts w:asciiTheme="minorEastAsia" w:hAnsiTheme="minorEastAsia" w:eastAsiaTheme="minorEastAsia"/>
          <w:color w:val="auto"/>
          <w:sz w:val="24"/>
          <w:lang w:val="zh-CN"/>
        </w:rPr>
        <w:t xml:space="preserve">                               </w:t>
      </w:r>
      <w:r>
        <w:rPr>
          <w:rFonts w:hint="eastAsia" w:asciiTheme="minorEastAsia" w:hAnsiTheme="minorEastAsia" w:eastAsiaTheme="minorEastAsia"/>
          <w:color w:val="auto"/>
          <w:sz w:val="24"/>
          <w:lang w:val="zh-CN"/>
        </w:rPr>
        <w:t>电子邮箱：</w:t>
      </w:r>
    </w:p>
    <w:p>
      <w:pPr>
        <w:autoSpaceDE w:val="0"/>
        <w:autoSpaceDN w:val="0"/>
        <w:spacing w:line="56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开户银行：</w:t>
      </w:r>
      <w:r>
        <w:rPr>
          <w:rFonts w:asciiTheme="minorEastAsia" w:hAnsiTheme="minorEastAsia" w:eastAsiaTheme="minorEastAsia"/>
          <w:color w:val="auto"/>
          <w:sz w:val="24"/>
        </w:rPr>
        <w:t xml:space="preserve">                               开户银行： </w:t>
      </w:r>
    </w:p>
    <w:p>
      <w:pPr>
        <w:autoSpaceDE w:val="0"/>
        <w:autoSpaceDN w:val="0"/>
        <w:spacing w:line="56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开户名称：</w:t>
      </w:r>
      <w:r>
        <w:rPr>
          <w:rFonts w:asciiTheme="minorEastAsia" w:hAnsiTheme="minorEastAsia" w:eastAsiaTheme="minorEastAsia"/>
          <w:color w:val="auto"/>
          <w:sz w:val="24"/>
        </w:rPr>
        <w:t xml:space="preserve">                               开户名称： </w:t>
      </w:r>
    </w:p>
    <w:p>
      <w:pPr>
        <w:autoSpaceDE w:val="0"/>
        <w:autoSpaceDN w:val="0"/>
        <w:spacing w:line="56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开户账号：</w:t>
      </w:r>
      <w:r>
        <w:rPr>
          <w:rFonts w:asciiTheme="minorEastAsia" w:hAnsiTheme="minorEastAsia" w:eastAsiaTheme="minorEastAsia"/>
          <w:color w:val="auto"/>
          <w:sz w:val="24"/>
          <w:lang w:val="zh-CN"/>
        </w:rPr>
        <w:t xml:space="preserve">                               </w:t>
      </w:r>
      <w:r>
        <w:rPr>
          <w:rFonts w:hint="eastAsia" w:asciiTheme="minorEastAsia" w:hAnsiTheme="minorEastAsia" w:eastAsiaTheme="minorEastAsia"/>
          <w:color w:val="auto"/>
          <w:sz w:val="24"/>
        </w:rPr>
        <w:t>开户账号：</w:t>
      </w:r>
    </w:p>
    <w:p>
      <w:pPr>
        <w:widowControl/>
        <w:spacing w:line="560" w:lineRule="exact"/>
        <w:jc w:val="left"/>
        <w:rPr>
          <w:rFonts w:asciiTheme="minorEastAsia" w:hAnsiTheme="minorEastAsia" w:eastAsiaTheme="minorEastAsia"/>
          <w:b/>
          <w:color w:val="auto"/>
          <w:sz w:val="24"/>
        </w:rPr>
      </w:pPr>
    </w:p>
    <w:p>
      <w:pPr>
        <w:widowControl/>
        <w:adjustRightInd/>
        <w:jc w:val="left"/>
        <w:rPr>
          <w:rFonts w:asciiTheme="minorEastAsia" w:hAnsiTheme="minorEastAsia" w:eastAsiaTheme="minorEastAsia"/>
          <w:b/>
          <w:color w:val="auto"/>
          <w:sz w:val="24"/>
        </w:rPr>
      </w:pPr>
      <w:r>
        <w:rPr>
          <w:rFonts w:asciiTheme="minorEastAsia" w:hAnsiTheme="minorEastAsia" w:eastAsiaTheme="minorEastAsia"/>
          <w:b/>
          <w:color w:val="auto"/>
        </w:rPr>
        <w:br w:type="page"/>
      </w:r>
    </w:p>
    <w:p>
      <w:pPr>
        <w:pStyle w:val="699"/>
        <w:spacing w:line="560" w:lineRule="exact"/>
        <w:ind w:firstLine="482"/>
        <w:jc w:val="center"/>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第二部分</w:t>
      </w:r>
      <w:r>
        <w:rPr>
          <w:rFonts w:asciiTheme="minorEastAsia" w:hAnsiTheme="minorEastAsia" w:eastAsiaTheme="minorEastAsia"/>
          <w:b/>
          <w:color w:val="auto"/>
          <w:szCs w:val="24"/>
        </w:rPr>
        <w:t xml:space="preserve"> </w:t>
      </w:r>
      <w:r>
        <w:rPr>
          <w:rFonts w:hint="eastAsia" w:asciiTheme="minorEastAsia" w:hAnsiTheme="minorEastAsia" w:eastAsiaTheme="minorEastAsia"/>
          <w:b/>
          <w:color w:val="auto"/>
          <w:szCs w:val="24"/>
        </w:rPr>
        <w:t>合同一般条款</w:t>
      </w:r>
    </w:p>
    <w:p>
      <w:pPr>
        <w:spacing w:line="560" w:lineRule="exact"/>
        <w:ind w:firstLine="482" w:firstLineChars="200"/>
        <w:outlineLvl w:val="0"/>
        <w:rPr>
          <w:rFonts w:asciiTheme="minorEastAsia" w:hAnsiTheme="minorEastAsia" w:eastAsiaTheme="minorEastAsia"/>
          <w:b/>
          <w:color w:val="auto"/>
          <w:sz w:val="24"/>
        </w:rPr>
      </w:pPr>
      <w:bookmarkStart w:id="436" w:name="_Toc25079"/>
      <w:bookmarkStart w:id="437" w:name="_Toc14021"/>
      <w:bookmarkStart w:id="438" w:name="_Toc31297"/>
      <w:bookmarkStart w:id="439" w:name="_Toc5228"/>
      <w:bookmarkStart w:id="440" w:name="_Toc19680"/>
      <w:r>
        <w:rPr>
          <w:rFonts w:asciiTheme="minorEastAsia" w:hAnsiTheme="minorEastAsia" w:eastAsiaTheme="minorEastAsia"/>
          <w:b/>
          <w:color w:val="auto"/>
          <w:sz w:val="24"/>
        </w:rPr>
        <w:t>2.1 定义</w:t>
      </w:r>
      <w:bookmarkEnd w:id="436"/>
      <w:bookmarkEnd w:id="437"/>
      <w:bookmarkEnd w:id="438"/>
      <w:bookmarkEnd w:id="439"/>
      <w:bookmarkEnd w:id="440"/>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本合同中的下列</w:t>
      </w:r>
      <w:r>
        <w:rPr>
          <w:rFonts w:hint="eastAsia" w:asciiTheme="minorEastAsia" w:hAnsiTheme="minorEastAsia" w:eastAsiaTheme="minorEastAsia"/>
          <w:color w:val="auto"/>
          <w:sz w:val="24"/>
        </w:rPr>
        <w:t>词</w:t>
      </w:r>
      <w:r>
        <w:rPr>
          <w:rFonts w:asciiTheme="minorEastAsia" w:hAnsiTheme="minorEastAsia" w:eastAsiaTheme="minorEastAsia"/>
          <w:color w:val="auto"/>
          <w:sz w:val="24"/>
        </w:rPr>
        <w:t>语应</w:t>
      </w:r>
      <w:r>
        <w:rPr>
          <w:rFonts w:hint="eastAsia" w:asciiTheme="minorEastAsia" w:hAnsiTheme="minorEastAsia" w:eastAsiaTheme="minorEastAsia"/>
          <w:color w:val="auto"/>
          <w:sz w:val="24"/>
        </w:rPr>
        <w:t>按以下内容进行</w:t>
      </w:r>
      <w:r>
        <w:rPr>
          <w:rFonts w:asciiTheme="minorEastAsia" w:hAnsiTheme="minorEastAsia" w:eastAsiaTheme="minorEastAsia"/>
          <w:color w:val="auto"/>
          <w:sz w:val="24"/>
        </w:rPr>
        <w:t>解释：</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2.1.2 “合同价”系指根据合同约定，中标供应商在完全履行合同义务后</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采购人应支付给中标供应商的价格。</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2.1.3 “</w:t>
      </w:r>
      <w:r>
        <w:rPr>
          <w:rFonts w:hint="eastAsia" w:asciiTheme="minorEastAsia" w:hAnsiTheme="minorEastAsia" w:eastAsiaTheme="minorEastAsia"/>
          <w:color w:val="auto"/>
          <w:sz w:val="24"/>
        </w:rPr>
        <w:t>服务</w:t>
      </w:r>
      <w:r>
        <w:rPr>
          <w:rFonts w:asciiTheme="minorEastAsia" w:hAnsiTheme="minorEastAsia" w:eastAsiaTheme="minorEastAsia"/>
          <w:color w:val="auto"/>
          <w:sz w:val="24"/>
        </w:rPr>
        <w:t>”系指</w:t>
      </w:r>
      <w:r>
        <w:rPr>
          <w:rFonts w:hint="eastAsia" w:asciiTheme="minorEastAsia" w:hAnsiTheme="minorEastAsia" w:eastAsiaTheme="minorEastAsia"/>
          <w:color w:val="auto"/>
          <w:sz w:val="24"/>
        </w:rPr>
        <w:t>中标供应商</w:t>
      </w:r>
      <w:r>
        <w:rPr>
          <w:rFonts w:asciiTheme="minorEastAsia" w:hAnsiTheme="minorEastAsia" w:eastAsiaTheme="minorEastAsia"/>
          <w:color w:val="auto"/>
          <w:sz w:val="24"/>
        </w:rPr>
        <w:t>根据合同约定应向采购人</w:t>
      </w:r>
      <w:r>
        <w:rPr>
          <w:rFonts w:hint="eastAsia" w:asciiTheme="minorEastAsia" w:hAnsiTheme="minorEastAsia" w:eastAsiaTheme="minorEastAsia"/>
          <w:color w:val="auto"/>
          <w:sz w:val="24"/>
        </w:rPr>
        <w:t>履行</w:t>
      </w:r>
      <w:r>
        <w:rPr>
          <w:rFonts w:asciiTheme="minorEastAsia" w:hAnsiTheme="minorEastAsia" w:eastAsiaTheme="minorEastAsia"/>
          <w:color w:val="auto"/>
          <w:sz w:val="24"/>
        </w:rPr>
        <w:t>的</w:t>
      </w:r>
      <w:r>
        <w:rPr>
          <w:rFonts w:hint="eastAsia" w:asciiTheme="minorEastAsia" w:hAnsiTheme="minorEastAsia" w:eastAsiaTheme="minorEastAsia"/>
          <w:color w:val="auto"/>
          <w:sz w:val="24"/>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2.1.4 “</w:t>
      </w:r>
      <w:r>
        <w:rPr>
          <w:rFonts w:hint="eastAsia" w:asciiTheme="minorEastAsia" w:hAnsiTheme="minorEastAsia" w:eastAsiaTheme="minorEastAsia"/>
          <w:color w:val="auto"/>
          <w:sz w:val="24"/>
        </w:rPr>
        <w:t>甲方</w:t>
      </w:r>
      <w:r>
        <w:rPr>
          <w:rFonts w:asciiTheme="minorEastAsia" w:hAnsiTheme="minorEastAsia" w:eastAsiaTheme="minorEastAsia"/>
          <w:color w:val="auto"/>
          <w:sz w:val="24"/>
        </w:rPr>
        <w:t>”系指与</w:t>
      </w:r>
      <w:r>
        <w:rPr>
          <w:rFonts w:hint="eastAsia" w:asciiTheme="minorEastAsia" w:hAnsiTheme="minorEastAsia" w:eastAsiaTheme="minorEastAsia"/>
          <w:color w:val="auto"/>
          <w:sz w:val="24"/>
        </w:rPr>
        <w:t>中标供应商</w:t>
      </w:r>
      <w:r>
        <w:rPr>
          <w:rFonts w:asciiTheme="minorEastAsia" w:hAnsiTheme="minorEastAsia" w:eastAsiaTheme="minorEastAsia"/>
          <w:color w:val="auto"/>
          <w:sz w:val="24"/>
        </w:rPr>
        <w:t>签署合同的采购人</w:t>
      </w:r>
      <w:r>
        <w:rPr>
          <w:rFonts w:hint="eastAsia" w:asciiTheme="minorEastAsia" w:hAnsiTheme="minorEastAsia" w:eastAsiaTheme="minorEastAsia"/>
          <w:color w:val="auto"/>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2.1.5 “乙方”系指根据合同约定提供服务的中标供应商</w:t>
      </w:r>
      <w:r>
        <w:rPr>
          <w:rFonts w:hint="eastAsia" w:asciiTheme="minorEastAsia" w:hAnsiTheme="minorEastAsia" w:eastAsiaTheme="minorEastAsia"/>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2.1.6 “现场”系指合同约定提供服务的地点。</w:t>
      </w:r>
    </w:p>
    <w:p>
      <w:pPr>
        <w:spacing w:line="560" w:lineRule="exact"/>
        <w:ind w:firstLine="482" w:firstLineChars="200"/>
        <w:outlineLvl w:val="0"/>
        <w:rPr>
          <w:rFonts w:asciiTheme="minorEastAsia" w:hAnsiTheme="minorEastAsia" w:eastAsiaTheme="minorEastAsia"/>
          <w:b/>
          <w:color w:val="auto"/>
          <w:sz w:val="24"/>
        </w:rPr>
      </w:pPr>
      <w:bookmarkStart w:id="441" w:name="_Toc3769"/>
      <w:bookmarkStart w:id="442" w:name="_Toc19539"/>
      <w:bookmarkStart w:id="443" w:name="_Toc23289"/>
      <w:bookmarkStart w:id="444" w:name="_Toc16752"/>
      <w:bookmarkStart w:id="445" w:name="_Toc31402"/>
      <w:r>
        <w:rPr>
          <w:rFonts w:asciiTheme="minorEastAsia" w:hAnsiTheme="minorEastAsia" w:eastAsiaTheme="minorEastAsia"/>
          <w:b/>
          <w:color w:val="auto"/>
          <w:sz w:val="24"/>
        </w:rPr>
        <w:t>2.2 技术规范</w:t>
      </w:r>
      <w:bookmarkEnd w:id="441"/>
      <w:bookmarkEnd w:id="442"/>
      <w:bookmarkEnd w:id="443"/>
      <w:bookmarkEnd w:id="444"/>
      <w:bookmarkEnd w:id="445"/>
    </w:p>
    <w:p>
      <w:pPr>
        <w:spacing w:line="5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服务</w:t>
      </w:r>
      <w:r>
        <w:rPr>
          <w:rFonts w:asciiTheme="minorEastAsia" w:hAnsiTheme="minorEastAsia" w:eastAsiaTheme="minorEastAsia"/>
          <w:color w:val="auto"/>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如果采购文件中没有技术规范的相应说明，那么应以国家有关部门最新颁布的相应标准</w:t>
      </w:r>
      <w:r>
        <w:rPr>
          <w:rFonts w:hint="eastAsia" w:asciiTheme="minorEastAsia" w:hAnsiTheme="minorEastAsia" w:eastAsiaTheme="minorEastAsia"/>
          <w:color w:val="auto"/>
          <w:sz w:val="24"/>
        </w:rPr>
        <w:t>和</w:t>
      </w:r>
      <w:r>
        <w:rPr>
          <w:rFonts w:asciiTheme="minorEastAsia" w:hAnsiTheme="minorEastAsia" w:eastAsiaTheme="minorEastAsia"/>
          <w:color w:val="auto"/>
          <w:sz w:val="24"/>
        </w:rPr>
        <w:t>规范为准。</w:t>
      </w:r>
    </w:p>
    <w:p>
      <w:pPr>
        <w:spacing w:line="560" w:lineRule="exact"/>
        <w:ind w:firstLine="482" w:firstLineChars="200"/>
        <w:outlineLvl w:val="0"/>
        <w:rPr>
          <w:rFonts w:asciiTheme="minorEastAsia" w:hAnsiTheme="minorEastAsia" w:eastAsiaTheme="minorEastAsia"/>
          <w:b/>
          <w:color w:val="auto"/>
          <w:sz w:val="24"/>
        </w:rPr>
      </w:pPr>
      <w:bookmarkStart w:id="446" w:name="_Toc12412"/>
      <w:bookmarkStart w:id="447" w:name="_Toc27945"/>
      <w:bookmarkStart w:id="448" w:name="_Toc13673"/>
      <w:bookmarkStart w:id="449" w:name="_Toc4133"/>
      <w:bookmarkStart w:id="450" w:name="_Toc9161"/>
      <w:r>
        <w:rPr>
          <w:rFonts w:asciiTheme="minorEastAsia" w:hAnsiTheme="minorEastAsia" w:eastAsiaTheme="minorEastAsia"/>
          <w:b/>
          <w:color w:val="auto"/>
          <w:sz w:val="24"/>
        </w:rPr>
        <w:t>2.3 知识产权</w:t>
      </w:r>
      <w:bookmarkEnd w:id="446"/>
      <w:bookmarkEnd w:id="447"/>
      <w:bookmarkEnd w:id="448"/>
      <w:bookmarkEnd w:id="449"/>
      <w:bookmarkEnd w:id="450"/>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2.3.1 </w:t>
      </w:r>
      <w:r>
        <w:rPr>
          <w:rFonts w:hint="eastAsia" w:asciiTheme="minorEastAsia" w:hAnsiTheme="minorEastAsia" w:eastAsiaTheme="minorEastAsia"/>
          <w:color w:val="auto"/>
          <w:sz w:val="24"/>
        </w:rPr>
        <w:t>乙</w:t>
      </w:r>
      <w:r>
        <w:rPr>
          <w:rFonts w:asciiTheme="minorEastAsia" w:hAnsiTheme="minorEastAsia" w:eastAsiaTheme="minorEastAsia"/>
          <w:color w:val="auto"/>
          <w:sz w:val="24"/>
        </w:rPr>
        <w:t>方应保证</w:t>
      </w:r>
      <w:r>
        <w:rPr>
          <w:rFonts w:hint="eastAsia" w:asciiTheme="minorEastAsia" w:hAnsiTheme="minorEastAsia" w:eastAsiaTheme="minorEastAsia"/>
          <w:color w:val="auto"/>
          <w:sz w:val="24"/>
        </w:rPr>
        <w:t>其提供的服务</w:t>
      </w:r>
      <w:r>
        <w:rPr>
          <w:rFonts w:asciiTheme="minorEastAsia" w:hAnsiTheme="minorEastAsia" w:eastAsiaTheme="minorEastAsia"/>
          <w:color w:val="auto"/>
          <w:sz w:val="24"/>
        </w:rPr>
        <w:t>不受任何第三方提出的侵犯其著作权、商标权、专利权等知识产权方面的起诉</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如果任何第三方提出侵权</w:t>
      </w:r>
      <w:r>
        <w:rPr>
          <w:rFonts w:hint="eastAsia" w:asciiTheme="minorEastAsia" w:hAnsiTheme="minorEastAsia" w:eastAsiaTheme="minorEastAsia"/>
          <w:color w:val="auto"/>
          <w:sz w:val="24"/>
        </w:rPr>
        <w:t>指控</w:t>
      </w:r>
      <w:r>
        <w:rPr>
          <w:rFonts w:asciiTheme="minorEastAsia" w:hAnsiTheme="minorEastAsia" w:eastAsiaTheme="minorEastAsia"/>
          <w:color w:val="auto"/>
          <w:sz w:val="24"/>
        </w:rPr>
        <w:t>，那么乙方须与该第三方交涉并承担由此发生的一切责任、费用和赔偿</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2.3.2 </w:t>
      </w:r>
      <w:r>
        <w:rPr>
          <w:rFonts w:hint="eastAsia" w:asciiTheme="minorEastAsia" w:hAnsiTheme="minorEastAsia" w:eastAsiaTheme="minorEastAsia"/>
          <w:color w:val="auto"/>
          <w:sz w:val="24"/>
        </w:rPr>
        <w:t>合同涉及技术成果的归属和收益的分成办法的，</w:t>
      </w:r>
      <w:r>
        <w:rPr>
          <w:rFonts w:asciiTheme="minorEastAsia" w:hAnsiTheme="minorEastAsia" w:eastAsiaTheme="minorEastAsia"/>
          <w:color w:val="auto"/>
          <w:sz w:val="24"/>
        </w:rPr>
        <w:t>详见</w:t>
      </w:r>
      <w:r>
        <w:rPr>
          <w:rFonts w:asciiTheme="minorEastAsia" w:hAnsiTheme="minorEastAsia" w:eastAsiaTheme="minorEastAsia"/>
          <w:b/>
          <w:i/>
          <w:color w:val="auto"/>
          <w:sz w:val="24"/>
          <w:u w:val="single"/>
        </w:rPr>
        <w:t>合同专用条款</w:t>
      </w:r>
      <w:r>
        <w:rPr>
          <w:rFonts w:asciiTheme="minorEastAsia" w:hAnsiTheme="minorEastAsia" w:eastAsiaTheme="minorEastAsia"/>
          <w:color w:val="auto"/>
          <w:sz w:val="24"/>
        </w:rPr>
        <w:t>。</w:t>
      </w:r>
    </w:p>
    <w:p>
      <w:pPr>
        <w:spacing w:line="560" w:lineRule="exact"/>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 xml:space="preserve">2.4 </w:t>
      </w:r>
      <w:r>
        <w:rPr>
          <w:rFonts w:hint="eastAsia" w:asciiTheme="minorEastAsia" w:hAnsiTheme="minorEastAsia" w:eastAsiaTheme="minorEastAsia"/>
          <w:b/>
          <w:color w:val="auto"/>
          <w:sz w:val="24"/>
        </w:rPr>
        <w:t>履约检查和问题反馈</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2.4.1甲方</w:t>
      </w:r>
      <w:r>
        <w:rPr>
          <w:rFonts w:hint="eastAsia" w:asciiTheme="minorEastAsia" w:hAnsiTheme="minorEastAsia" w:eastAsiaTheme="minorEastAsia"/>
          <w:color w:val="auto"/>
          <w:sz w:val="24"/>
        </w:rPr>
        <w:t>有权</w:t>
      </w:r>
      <w:r>
        <w:rPr>
          <w:rFonts w:asciiTheme="minorEastAsia" w:hAnsiTheme="minorEastAsia" w:eastAsiaTheme="minorEastAsia"/>
          <w:color w:val="auto"/>
          <w:sz w:val="24"/>
        </w:rPr>
        <w:t>在其认为必要时</w:t>
      </w:r>
      <w:r>
        <w:rPr>
          <w:rFonts w:hint="eastAsia" w:asciiTheme="minorEastAsia" w:hAnsiTheme="minorEastAsia" w:eastAsiaTheme="minorEastAsia"/>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2.4.2 </w:t>
      </w:r>
      <w:r>
        <w:rPr>
          <w:rFonts w:hint="eastAsia" w:asciiTheme="minorEastAsia" w:hAnsiTheme="minorEastAsia" w:eastAsiaTheme="minorEastAsia"/>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Theme="minorEastAsia" w:hAnsiTheme="minorEastAsia" w:eastAsiaTheme="minorEastAsia"/>
          <w:b/>
          <w:color w:val="auto"/>
          <w:sz w:val="24"/>
        </w:rPr>
      </w:pPr>
      <w:bookmarkStart w:id="451" w:name="_Toc22011"/>
      <w:bookmarkStart w:id="452" w:name="_Toc31233"/>
      <w:bookmarkStart w:id="453" w:name="_Toc15447"/>
      <w:bookmarkStart w:id="454" w:name="_Toc32670"/>
      <w:bookmarkStart w:id="455" w:name="_Toc26555"/>
      <w:r>
        <w:rPr>
          <w:rFonts w:asciiTheme="minorEastAsia" w:hAnsiTheme="minorEastAsia" w:eastAsiaTheme="minorEastAsia"/>
          <w:b/>
          <w:color w:val="auto"/>
          <w:sz w:val="24"/>
        </w:rPr>
        <w:t>2.5 结算方式和付款条件</w:t>
      </w:r>
      <w:bookmarkEnd w:id="451"/>
      <w:bookmarkEnd w:id="452"/>
      <w:bookmarkEnd w:id="453"/>
      <w:bookmarkEnd w:id="454"/>
      <w:bookmarkEnd w:id="455"/>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详见</w:t>
      </w:r>
      <w:r>
        <w:rPr>
          <w:rFonts w:asciiTheme="minorEastAsia" w:hAnsiTheme="minorEastAsia" w:eastAsiaTheme="minorEastAsia"/>
          <w:b/>
          <w:i/>
          <w:color w:val="auto"/>
          <w:sz w:val="24"/>
          <w:u w:val="single"/>
        </w:rPr>
        <w:t>合同专用条款</w:t>
      </w:r>
      <w:r>
        <w:rPr>
          <w:rFonts w:asciiTheme="minorEastAsia" w:hAnsiTheme="minorEastAsia" w:eastAsiaTheme="minorEastAsia"/>
          <w:color w:val="auto"/>
          <w:sz w:val="24"/>
        </w:rPr>
        <w:t>。</w:t>
      </w:r>
    </w:p>
    <w:p>
      <w:pPr>
        <w:spacing w:line="560" w:lineRule="exact"/>
        <w:ind w:firstLine="482" w:firstLineChars="200"/>
        <w:outlineLvl w:val="0"/>
        <w:rPr>
          <w:rFonts w:asciiTheme="minorEastAsia" w:hAnsiTheme="minorEastAsia" w:eastAsiaTheme="minorEastAsia"/>
          <w:b/>
          <w:color w:val="auto"/>
          <w:sz w:val="24"/>
        </w:rPr>
      </w:pPr>
      <w:bookmarkStart w:id="456" w:name="_Toc13154"/>
      <w:bookmarkStart w:id="457" w:name="_Toc18990"/>
      <w:bookmarkStart w:id="458" w:name="_Toc16163"/>
      <w:bookmarkStart w:id="459" w:name="_Toc30507"/>
      <w:bookmarkStart w:id="460" w:name="_Toc13467"/>
      <w:r>
        <w:rPr>
          <w:rFonts w:asciiTheme="minorEastAsia" w:hAnsiTheme="minorEastAsia" w:eastAsiaTheme="minorEastAsia"/>
          <w:b/>
          <w:color w:val="auto"/>
          <w:sz w:val="24"/>
        </w:rPr>
        <w:t>2.6 技术资料和保密义务</w:t>
      </w:r>
      <w:bookmarkEnd w:id="456"/>
      <w:bookmarkEnd w:id="457"/>
      <w:bookmarkEnd w:id="458"/>
      <w:bookmarkEnd w:id="459"/>
      <w:bookmarkEnd w:id="460"/>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2.6.2 </w:t>
      </w:r>
      <w:r>
        <w:rPr>
          <w:rFonts w:hint="eastAsia" w:asciiTheme="minorEastAsia" w:hAnsiTheme="minorEastAsia" w:eastAsiaTheme="minorEastAsia"/>
          <w:color w:val="auto"/>
          <w:sz w:val="24"/>
        </w:rPr>
        <w:t>乙方有义务妥善保管和保护由甲方提供的前款信息和资料等；</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2.6.3 </w:t>
      </w:r>
      <w:r>
        <w:rPr>
          <w:rFonts w:hint="eastAsia" w:asciiTheme="minorEastAsia" w:hAnsiTheme="minorEastAsia" w:eastAsiaTheme="minorEastAsia"/>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rPr>
        <w:t>技术情报</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技术资料</w:t>
      </w:r>
      <w:r>
        <w:rPr>
          <w:rFonts w:hint="eastAsia" w:asciiTheme="minorEastAsia" w:hAnsiTheme="minorEastAsia" w:eastAsiaTheme="minorEastAsia"/>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color w:val="auto"/>
          <w:sz w:val="24"/>
        </w:rPr>
      </w:pPr>
      <w:bookmarkStart w:id="461" w:name="_Toc19069"/>
      <w:r>
        <w:rPr>
          <w:rFonts w:asciiTheme="minorEastAsia" w:hAnsiTheme="minorEastAsia" w:eastAsiaTheme="minorEastAsia"/>
          <w:b/>
          <w:color w:val="auto"/>
          <w:sz w:val="24"/>
        </w:rPr>
        <w:t xml:space="preserve">2.7 </w:t>
      </w:r>
      <w:r>
        <w:rPr>
          <w:rFonts w:hint="eastAsia" w:asciiTheme="minorEastAsia" w:hAnsiTheme="minorEastAsia" w:eastAsiaTheme="minorEastAsia"/>
          <w:b/>
          <w:color w:val="auto"/>
          <w:sz w:val="24"/>
        </w:rPr>
        <w:t>质量保证</w:t>
      </w:r>
      <w:bookmarkEnd w:id="461"/>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2.7.1 </w:t>
      </w:r>
      <w:r>
        <w:rPr>
          <w:rFonts w:hint="eastAsia" w:asciiTheme="minorEastAsia" w:hAnsiTheme="minorEastAsia" w:eastAsiaTheme="minorEastAsia"/>
          <w:color w:val="auto"/>
          <w:sz w:val="24"/>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2.7.2 </w:t>
      </w:r>
      <w:r>
        <w:rPr>
          <w:rFonts w:hint="eastAsia" w:asciiTheme="minorEastAsia" w:hAnsiTheme="minorEastAsia" w:eastAsiaTheme="minorEastAsia"/>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color w:val="auto"/>
          <w:sz w:val="24"/>
        </w:rPr>
      </w:pPr>
      <w:bookmarkStart w:id="462" w:name="_Toc22267"/>
      <w:r>
        <w:rPr>
          <w:rFonts w:asciiTheme="minorEastAsia" w:hAnsiTheme="minorEastAsia" w:eastAsiaTheme="minorEastAsia"/>
          <w:b/>
          <w:color w:val="auto"/>
          <w:sz w:val="24"/>
        </w:rPr>
        <w:t xml:space="preserve">2.8 </w:t>
      </w:r>
      <w:r>
        <w:rPr>
          <w:rFonts w:hint="eastAsia" w:asciiTheme="minorEastAsia" w:hAnsiTheme="minorEastAsia" w:eastAsiaTheme="minorEastAsia"/>
          <w:b/>
          <w:color w:val="auto"/>
          <w:sz w:val="24"/>
        </w:rPr>
        <w:t>延迟履行</w:t>
      </w:r>
      <w:bookmarkEnd w:id="462"/>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在合同履行过程中，如果乙方遇到不能按时</w:t>
      </w:r>
      <w:r>
        <w:rPr>
          <w:rFonts w:hint="eastAsia" w:asciiTheme="minorEastAsia" w:hAnsiTheme="minorEastAsia" w:eastAsiaTheme="minorEastAsia"/>
          <w:color w:val="auto"/>
          <w:sz w:val="24"/>
        </w:rPr>
        <w:t>提供服务</w:t>
      </w:r>
      <w:r>
        <w:rPr>
          <w:rFonts w:asciiTheme="minorEastAsia" w:hAnsiTheme="minorEastAsia" w:eastAsiaTheme="minorEastAsia"/>
          <w:color w:val="auto"/>
          <w:sz w:val="24"/>
        </w:rPr>
        <w:t>的情况，应及时以书面形式将不能按时</w:t>
      </w:r>
      <w:r>
        <w:rPr>
          <w:rFonts w:hint="eastAsia" w:asciiTheme="minorEastAsia" w:hAnsiTheme="minorEastAsia" w:eastAsiaTheme="minorEastAsia"/>
          <w:color w:val="auto"/>
          <w:sz w:val="24"/>
        </w:rPr>
        <w:t>提供服务</w:t>
      </w:r>
      <w:r>
        <w:rPr>
          <w:rFonts w:asciiTheme="minorEastAsia" w:hAnsiTheme="minorEastAsia" w:eastAsiaTheme="minorEastAsia"/>
          <w:color w:val="auto"/>
          <w:sz w:val="24"/>
        </w:rPr>
        <w:t>的理由、预期延误时间通知甲方</w:t>
      </w:r>
      <w:r>
        <w:rPr>
          <w:rFonts w:hint="eastAsia" w:asciiTheme="minorEastAsia" w:hAnsiTheme="minorEastAsia" w:eastAsiaTheme="minorEastAsia"/>
          <w:color w:val="auto"/>
          <w:sz w:val="24"/>
        </w:rPr>
        <w:t>；甲</w:t>
      </w:r>
      <w:r>
        <w:rPr>
          <w:rFonts w:asciiTheme="minorEastAsia" w:hAnsiTheme="minorEastAsia" w:eastAsiaTheme="minorEastAsia"/>
          <w:color w:val="auto"/>
          <w:sz w:val="24"/>
        </w:rPr>
        <w:t>方收到乙方通知后，认为其理由正当的，可以书面形式酌情同意乙方可以延长</w:t>
      </w:r>
      <w:r>
        <w:rPr>
          <w:rFonts w:hint="eastAsia" w:asciiTheme="minorEastAsia" w:hAnsiTheme="minorEastAsia" w:eastAsiaTheme="minorEastAsia"/>
          <w:color w:val="auto"/>
          <w:sz w:val="24"/>
        </w:rPr>
        <w:t>履行</w:t>
      </w:r>
      <w:r>
        <w:rPr>
          <w:rFonts w:asciiTheme="minorEastAsia" w:hAnsiTheme="minorEastAsia" w:eastAsiaTheme="minorEastAsia"/>
          <w:color w:val="auto"/>
          <w:sz w:val="24"/>
        </w:rPr>
        <w:t>的具体时间。</w:t>
      </w:r>
    </w:p>
    <w:p>
      <w:pPr>
        <w:spacing w:line="560" w:lineRule="exact"/>
        <w:ind w:firstLine="482" w:firstLineChars="200"/>
        <w:outlineLvl w:val="0"/>
        <w:rPr>
          <w:rFonts w:asciiTheme="minorEastAsia" w:hAnsiTheme="minorEastAsia" w:eastAsiaTheme="minorEastAsia"/>
          <w:b/>
          <w:color w:val="auto"/>
          <w:sz w:val="24"/>
        </w:rPr>
      </w:pPr>
      <w:bookmarkStart w:id="463" w:name="_Toc10611"/>
      <w:r>
        <w:rPr>
          <w:rFonts w:asciiTheme="minorEastAsia" w:hAnsiTheme="minorEastAsia" w:eastAsiaTheme="minorEastAsia"/>
          <w:b/>
          <w:color w:val="auto"/>
          <w:sz w:val="24"/>
        </w:rPr>
        <w:t xml:space="preserve">2.9 </w:t>
      </w:r>
      <w:r>
        <w:rPr>
          <w:rFonts w:hint="eastAsia" w:asciiTheme="minorEastAsia" w:hAnsiTheme="minorEastAsia" w:eastAsiaTheme="minorEastAsia"/>
          <w:b/>
          <w:color w:val="auto"/>
          <w:sz w:val="24"/>
        </w:rPr>
        <w:t>合同变更</w:t>
      </w:r>
      <w:bookmarkEnd w:id="463"/>
    </w:p>
    <w:p>
      <w:pPr>
        <w:spacing w:line="5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color w:val="auto"/>
          <w:sz w:val="24"/>
        </w:rPr>
      </w:pPr>
      <w:bookmarkStart w:id="464" w:name="_Toc26689"/>
      <w:bookmarkStart w:id="465" w:name="_Toc21830"/>
      <w:bookmarkStart w:id="466" w:name="_Toc23368"/>
      <w:bookmarkStart w:id="467" w:name="_Toc10663"/>
      <w:bookmarkStart w:id="468" w:name="_Toc42"/>
      <w:r>
        <w:rPr>
          <w:rFonts w:asciiTheme="minorEastAsia" w:hAnsiTheme="minorEastAsia" w:eastAsiaTheme="minorEastAsia"/>
          <w:b/>
          <w:color w:val="auto"/>
          <w:sz w:val="24"/>
        </w:rPr>
        <w:t>2.10 合同转让和分包</w:t>
      </w:r>
      <w:bookmarkEnd w:id="464"/>
      <w:bookmarkEnd w:id="465"/>
      <w:bookmarkEnd w:id="466"/>
      <w:bookmarkEnd w:id="467"/>
      <w:bookmarkEnd w:id="468"/>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合同的权利义务依法不</w:t>
      </w:r>
      <w:r>
        <w:rPr>
          <w:rFonts w:hint="eastAsia" w:asciiTheme="minorEastAsia" w:hAnsiTheme="minorEastAsia" w:eastAsiaTheme="minorEastAsia"/>
          <w:color w:val="auto"/>
          <w:sz w:val="24"/>
        </w:rPr>
        <w:t>得</w:t>
      </w:r>
      <w:r>
        <w:rPr>
          <w:rFonts w:asciiTheme="minorEastAsia" w:hAnsiTheme="minorEastAsia" w:eastAsiaTheme="minorEastAsia"/>
          <w:color w:val="auto"/>
          <w:sz w:val="24"/>
        </w:rPr>
        <w:t>转让</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但经甲方</w:t>
      </w:r>
      <w:r>
        <w:rPr>
          <w:rFonts w:hint="eastAsia" w:asciiTheme="minorEastAsia" w:hAnsiTheme="minorEastAsia" w:eastAsiaTheme="minorEastAsia"/>
          <w:color w:val="auto"/>
          <w:sz w:val="24"/>
        </w:rPr>
        <w:t>同意，乙方可以依法采取分包方式履行合同，即：依法可以</w:t>
      </w:r>
      <w:r>
        <w:rPr>
          <w:rFonts w:asciiTheme="minorEastAsia" w:hAnsiTheme="minorEastAsia" w:eastAsiaTheme="minorEastAsia"/>
          <w:color w:val="auto"/>
          <w:sz w:val="24"/>
        </w:rPr>
        <w:t>将合同项下的部分非主体、非关键性工作分包给他人完成</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接受分包的人应当具备相应的资格条件，并不得再次分包</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且乙方应就分包项目向甲方负责</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并</w:t>
      </w:r>
      <w:r>
        <w:rPr>
          <w:rFonts w:hint="eastAsia" w:asciiTheme="minorEastAsia" w:hAnsiTheme="minorEastAsia" w:eastAsiaTheme="minorEastAsia"/>
          <w:color w:val="auto"/>
          <w:sz w:val="24"/>
        </w:rPr>
        <w:t>与分包供应商就分包项目向甲方承担连带责任。</w:t>
      </w:r>
    </w:p>
    <w:p>
      <w:pPr>
        <w:spacing w:line="560" w:lineRule="exact"/>
        <w:ind w:firstLine="482" w:firstLineChars="200"/>
        <w:outlineLvl w:val="0"/>
        <w:rPr>
          <w:rFonts w:asciiTheme="minorEastAsia" w:hAnsiTheme="minorEastAsia" w:eastAsiaTheme="minorEastAsia"/>
          <w:b/>
          <w:color w:val="auto"/>
          <w:sz w:val="24"/>
        </w:rPr>
      </w:pPr>
      <w:bookmarkStart w:id="469" w:name="_Toc25571"/>
      <w:bookmarkStart w:id="470" w:name="_Toc14371"/>
      <w:bookmarkStart w:id="471" w:name="_Toc32494"/>
      <w:bookmarkStart w:id="472" w:name="_Toc26633"/>
      <w:bookmarkStart w:id="473" w:name="_Toc4720"/>
      <w:r>
        <w:rPr>
          <w:rFonts w:asciiTheme="minorEastAsia" w:hAnsiTheme="minorEastAsia" w:eastAsiaTheme="minorEastAsia"/>
          <w:b/>
          <w:color w:val="auto"/>
          <w:sz w:val="24"/>
        </w:rPr>
        <w:t>2.11 不可抗力</w:t>
      </w:r>
      <w:bookmarkEnd w:id="469"/>
      <w:bookmarkEnd w:id="470"/>
      <w:bookmarkEnd w:id="471"/>
      <w:bookmarkEnd w:id="472"/>
      <w:bookmarkEnd w:id="473"/>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2.11.2 </w:t>
      </w:r>
      <w:r>
        <w:rPr>
          <w:rFonts w:hint="eastAsia" w:asciiTheme="minorEastAsia" w:hAnsiTheme="minorEastAsia" w:eastAsiaTheme="minorEastAsia"/>
          <w:color w:val="auto"/>
          <w:sz w:val="24"/>
        </w:rPr>
        <w:t>因不可抗力致使不能实现合同目的的，当事人可以解除合同；</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2.11.3 </w:t>
      </w:r>
      <w:r>
        <w:rPr>
          <w:rFonts w:hint="eastAsia" w:asciiTheme="minorEastAsia" w:hAnsiTheme="minorEastAsia" w:eastAsiaTheme="minorEastAsia"/>
          <w:color w:val="auto"/>
          <w:sz w:val="24"/>
        </w:rPr>
        <w:t>因</w:t>
      </w:r>
      <w:r>
        <w:rPr>
          <w:rFonts w:asciiTheme="minorEastAsia" w:hAnsiTheme="minorEastAsia" w:eastAsiaTheme="minorEastAsia"/>
          <w:color w:val="auto"/>
          <w:sz w:val="24"/>
        </w:rPr>
        <w:t>不可抗力致使合同有变更必要的，双方当事人应在</w:t>
      </w:r>
      <w:r>
        <w:rPr>
          <w:rFonts w:asciiTheme="minorEastAsia" w:hAnsiTheme="minorEastAsia" w:eastAsiaTheme="minorEastAsia"/>
          <w:b/>
          <w:i/>
          <w:color w:val="auto"/>
          <w:sz w:val="24"/>
          <w:u w:val="single"/>
        </w:rPr>
        <w:t>合同专用条款</w:t>
      </w:r>
      <w:r>
        <w:rPr>
          <w:rFonts w:asciiTheme="minorEastAsia" w:hAnsiTheme="minorEastAsia" w:eastAsiaTheme="minorEastAsia"/>
          <w:color w:val="auto"/>
          <w:sz w:val="24"/>
        </w:rPr>
        <w:t>约定时间内以书面形式变更合同</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2.11.4受</w:t>
      </w:r>
      <w:r>
        <w:rPr>
          <w:rFonts w:hint="eastAsia" w:asciiTheme="minorEastAsia" w:hAnsiTheme="minorEastAsia" w:eastAsiaTheme="minorEastAsia"/>
          <w:color w:val="auto"/>
          <w:sz w:val="24"/>
        </w:rPr>
        <w:t>不可抗力</w:t>
      </w:r>
      <w:r>
        <w:rPr>
          <w:rFonts w:asciiTheme="minorEastAsia" w:hAnsiTheme="minorEastAsia" w:eastAsiaTheme="minorEastAsia"/>
          <w:color w:val="auto"/>
          <w:sz w:val="24"/>
        </w:rPr>
        <w:t>影响的一方在不可抗力发生后</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应在</w:t>
      </w:r>
      <w:r>
        <w:rPr>
          <w:rFonts w:asciiTheme="minorEastAsia" w:hAnsiTheme="minorEastAsia" w:eastAsiaTheme="minorEastAsia"/>
          <w:b/>
          <w:i/>
          <w:color w:val="auto"/>
          <w:sz w:val="24"/>
          <w:u w:val="single"/>
        </w:rPr>
        <w:t>合同专用条款</w:t>
      </w:r>
      <w:r>
        <w:rPr>
          <w:rFonts w:asciiTheme="minorEastAsia" w:hAnsiTheme="minorEastAsia" w:eastAsiaTheme="minorEastAsia"/>
          <w:color w:val="auto"/>
          <w:sz w:val="24"/>
        </w:rPr>
        <w:t>约定时间内以书面形式通知</w:t>
      </w:r>
      <w:r>
        <w:rPr>
          <w:rFonts w:hint="eastAsia" w:asciiTheme="minorEastAsia" w:hAnsiTheme="minorEastAsia" w:eastAsiaTheme="minorEastAsia"/>
          <w:color w:val="auto"/>
          <w:sz w:val="24"/>
        </w:rPr>
        <w:t>对</w:t>
      </w:r>
      <w:r>
        <w:rPr>
          <w:rFonts w:asciiTheme="minorEastAsia" w:hAnsiTheme="minorEastAsia" w:eastAsiaTheme="minorEastAsia"/>
          <w:color w:val="auto"/>
          <w:sz w:val="24"/>
        </w:rPr>
        <w:t>方当事人，并在</w:t>
      </w:r>
      <w:r>
        <w:rPr>
          <w:rFonts w:asciiTheme="minorEastAsia" w:hAnsiTheme="minorEastAsia" w:eastAsiaTheme="minorEastAsia"/>
          <w:b/>
          <w:i/>
          <w:color w:val="auto"/>
          <w:sz w:val="24"/>
          <w:u w:val="single"/>
        </w:rPr>
        <w:t>合同专用条款</w:t>
      </w:r>
      <w:r>
        <w:rPr>
          <w:rFonts w:asciiTheme="minorEastAsia" w:hAnsiTheme="minorEastAsia" w:eastAsiaTheme="minorEastAsia"/>
          <w:color w:val="auto"/>
          <w:sz w:val="24"/>
        </w:rPr>
        <w:t>约定时间内，将有关部门出具的证明文件送达</w:t>
      </w:r>
      <w:r>
        <w:rPr>
          <w:rFonts w:hint="eastAsia" w:asciiTheme="minorEastAsia" w:hAnsiTheme="minorEastAsia" w:eastAsiaTheme="minorEastAsia"/>
          <w:color w:val="auto"/>
          <w:sz w:val="24"/>
        </w:rPr>
        <w:t>对方当事人</w:t>
      </w:r>
      <w:r>
        <w:rPr>
          <w:rFonts w:asciiTheme="minorEastAsia" w:hAnsiTheme="minorEastAsia" w:eastAsiaTheme="minorEastAsia"/>
          <w:color w:val="auto"/>
          <w:sz w:val="24"/>
        </w:rPr>
        <w:t>。</w:t>
      </w:r>
    </w:p>
    <w:p>
      <w:pPr>
        <w:spacing w:line="560" w:lineRule="exact"/>
        <w:ind w:firstLine="482" w:firstLineChars="200"/>
        <w:outlineLvl w:val="0"/>
        <w:rPr>
          <w:rFonts w:asciiTheme="minorEastAsia" w:hAnsiTheme="minorEastAsia" w:eastAsiaTheme="minorEastAsia"/>
          <w:b/>
          <w:color w:val="auto"/>
          <w:sz w:val="24"/>
        </w:rPr>
      </w:pPr>
      <w:bookmarkStart w:id="474" w:name="_Toc3638"/>
      <w:bookmarkStart w:id="475" w:name="_Toc23854"/>
      <w:bookmarkStart w:id="476" w:name="_Toc24465"/>
      <w:bookmarkStart w:id="477" w:name="_Toc14115"/>
      <w:bookmarkStart w:id="478" w:name="_Toc25783"/>
      <w:r>
        <w:rPr>
          <w:rFonts w:asciiTheme="minorEastAsia" w:hAnsiTheme="minorEastAsia" w:eastAsiaTheme="minorEastAsia"/>
          <w:b/>
          <w:color w:val="auto"/>
          <w:sz w:val="24"/>
        </w:rPr>
        <w:t>2.12 税费</w:t>
      </w:r>
      <w:bookmarkEnd w:id="474"/>
      <w:bookmarkEnd w:id="475"/>
      <w:bookmarkEnd w:id="476"/>
      <w:bookmarkEnd w:id="477"/>
      <w:bookmarkEnd w:id="478"/>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与合同有关的一切税费</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均按照中华人民共和国法律的相关规定缴纳。</w:t>
      </w:r>
    </w:p>
    <w:p>
      <w:pPr>
        <w:spacing w:line="560" w:lineRule="exact"/>
        <w:ind w:firstLine="482" w:firstLineChars="200"/>
        <w:outlineLvl w:val="0"/>
        <w:rPr>
          <w:rFonts w:asciiTheme="minorEastAsia" w:hAnsiTheme="minorEastAsia" w:eastAsiaTheme="minorEastAsia"/>
          <w:b/>
          <w:color w:val="auto"/>
          <w:sz w:val="24"/>
        </w:rPr>
      </w:pPr>
      <w:bookmarkStart w:id="479" w:name="_Toc7315"/>
      <w:bookmarkStart w:id="480" w:name="_Toc30105"/>
      <w:bookmarkStart w:id="481" w:name="_Toc25525"/>
      <w:bookmarkStart w:id="482" w:name="_Toc14814"/>
      <w:bookmarkStart w:id="483" w:name="_Toc26883"/>
      <w:r>
        <w:rPr>
          <w:rFonts w:asciiTheme="minorEastAsia" w:hAnsiTheme="minorEastAsia" w:eastAsiaTheme="minorEastAsia"/>
          <w:b/>
          <w:color w:val="auto"/>
          <w:sz w:val="24"/>
        </w:rPr>
        <w:t>2.13 乙方破产</w:t>
      </w:r>
      <w:bookmarkEnd w:id="479"/>
      <w:bookmarkEnd w:id="480"/>
      <w:bookmarkEnd w:id="481"/>
      <w:bookmarkEnd w:id="482"/>
      <w:bookmarkEnd w:id="483"/>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rPr>
        <w:t>，但合同的</w:t>
      </w:r>
      <w:r>
        <w:rPr>
          <w:rFonts w:asciiTheme="minorEastAsia" w:hAnsiTheme="minorEastAsia" w:eastAsiaTheme="minorEastAsia"/>
          <w:color w:val="auto"/>
          <w:sz w:val="24"/>
        </w:rPr>
        <w:t>终止不损害或不影响甲方已经采取或将要采取的任何要求乙方支付违约金</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赔偿损失等的行动或补救措施的权利</w:t>
      </w:r>
      <w:r>
        <w:rPr>
          <w:rFonts w:hint="eastAsia" w:asciiTheme="minorEastAsia" w:hAnsiTheme="minorEastAsia" w:eastAsiaTheme="minorEastAsia"/>
          <w:color w:val="auto"/>
          <w:sz w:val="24"/>
        </w:rPr>
        <w:t>。</w:t>
      </w:r>
    </w:p>
    <w:p>
      <w:pPr>
        <w:spacing w:line="560" w:lineRule="exact"/>
        <w:ind w:firstLine="482" w:firstLineChars="200"/>
        <w:outlineLvl w:val="0"/>
        <w:rPr>
          <w:rFonts w:asciiTheme="minorEastAsia" w:hAnsiTheme="minorEastAsia" w:eastAsiaTheme="minorEastAsia"/>
          <w:b/>
          <w:color w:val="auto"/>
          <w:sz w:val="24"/>
        </w:rPr>
      </w:pPr>
      <w:bookmarkStart w:id="484" w:name="_Toc2016"/>
      <w:bookmarkStart w:id="485" w:name="_Toc23323"/>
      <w:bookmarkStart w:id="486" w:name="_Toc1123"/>
      <w:r>
        <w:rPr>
          <w:rFonts w:asciiTheme="minorEastAsia" w:hAnsiTheme="minorEastAsia" w:eastAsiaTheme="minorEastAsia"/>
          <w:b/>
          <w:color w:val="auto"/>
          <w:sz w:val="24"/>
        </w:rPr>
        <w:t>2.14 合同中止、终止</w:t>
      </w:r>
      <w:bookmarkEnd w:id="484"/>
      <w:bookmarkEnd w:id="485"/>
      <w:bookmarkEnd w:id="486"/>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2.14.1 </w:t>
      </w:r>
      <w:r>
        <w:rPr>
          <w:rFonts w:hint="eastAsia" w:asciiTheme="minorEastAsia" w:hAnsiTheme="minorEastAsia" w:eastAsiaTheme="minorEastAsia"/>
          <w:color w:val="auto"/>
          <w:sz w:val="24"/>
        </w:rPr>
        <w:t>双方当事人不得擅自中止或者终止合同；</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color w:val="auto"/>
          <w:sz w:val="24"/>
        </w:rPr>
      </w:pPr>
      <w:bookmarkStart w:id="487" w:name="_Toc1969"/>
      <w:bookmarkStart w:id="488" w:name="_Toc17363"/>
      <w:bookmarkStart w:id="489" w:name="_Toc14525"/>
      <w:r>
        <w:rPr>
          <w:rFonts w:asciiTheme="minorEastAsia" w:hAnsiTheme="minorEastAsia" w:eastAsiaTheme="minorEastAsia"/>
          <w:b/>
          <w:color w:val="auto"/>
          <w:sz w:val="24"/>
        </w:rPr>
        <w:t>2.15 检验和验收</w:t>
      </w:r>
      <w:bookmarkEnd w:id="487"/>
      <w:bookmarkEnd w:id="488"/>
      <w:bookmarkEnd w:id="489"/>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2.15.1 </w:t>
      </w:r>
      <w:r>
        <w:rPr>
          <w:rFonts w:hint="eastAsia" w:asciiTheme="minorEastAsia" w:hAnsiTheme="minorEastAsia" w:eastAsiaTheme="minorEastAsia"/>
          <w:color w:val="auto"/>
          <w:sz w:val="24"/>
        </w:rPr>
        <w:t>乙方按照</w:t>
      </w:r>
      <w:r>
        <w:rPr>
          <w:rFonts w:asciiTheme="minorEastAsia" w:hAnsiTheme="minorEastAsia" w:eastAsiaTheme="minorEastAsia"/>
          <w:b/>
          <w:i/>
          <w:color w:val="auto"/>
          <w:sz w:val="24"/>
          <w:u w:val="single"/>
        </w:rPr>
        <w:t>合同专用条款</w:t>
      </w:r>
      <w:r>
        <w:rPr>
          <w:rFonts w:asciiTheme="minorEastAsia" w:hAnsiTheme="minorEastAsia" w:eastAsiaTheme="minorEastAsia"/>
          <w:color w:val="auto"/>
          <w:sz w:val="24"/>
        </w:rPr>
        <w:t>的约定</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定期提交服务报告</w:t>
      </w:r>
      <w:r>
        <w:rPr>
          <w:rFonts w:hint="eastAsia" w:asciiTheme="minorEastAsia" w:hAnsiTheme="minorEastAsia" w:eastAsiaTheme="minorEastAsia"/>
          <w:color w:val="auto"/>
          <w:sz w:val="24"/>
        </w:rPr>
        <w:t>，甲方按照</w:t>
      </w:r>
      <w:r>
        <w:rPr>
          <w:rFonts w:asciiTheme="minorEastAsia" w:hAnsiTheme="minorEastAsia" w:eastAsiaTheme="minorEastAsia"/>
          <w:b/>
          <w:i/>
          <w:color w:val="auto"/>
          <w:sz w:val="24"/>
          <w:u w:val="single"/>
        </w:rPr>
        <w:t>合同专用条款</w:t>
      </w:r>
      <w:r>
        <w:rPr>
          <w:rFonts w:asciiTheme="minorEastAsia" w:hAnsiTheme="minorEastAsia" w:eastAsiaTheme="minorEastAsia"/>
          <w:color w:val="auto"/>
          <w:sz w:val="24"/>
        </w:rPr>
        <w:t>的约定进行定期验收</w:t>
      </w:r>
      <w:r>
        <w:rPr>
          <w:rFonts w:hint="eastAsia" w:asciiTheme="minorEastAsia" w:hAnsiTheme="minorEastAsia" w:eastAsiaTheme="minorEastAsia"/>
          <w:color w:val="auto"/>
          <w:sz w:val="24"/>
        </w:rPr>
        <w:t>；</w:t>
      </w:r>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2.15.2 </w:t>
      </w:r>
      <w:r>
        <w:rPr>
          <w:rFonts w:hint="eastAsia" w:asciiTheme="minorEastAsia" w:hAnsiTheme="minorEastAsia" w:eastAsiaTheme="minorEastAsia"/>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2.15.3 </w:t>
      </w:r>
      <w:r>
        <w:rPr>
          <w:rFonts w:hint="eastAsia" w:asciiTheme="minorEastAsia" w:hAnsiTheme="minorEastAsia" w:eastAsiaTheme="minorEastAsia"/>
          <w:color w:val="auto"/>
          <w:sz w:val="24"/>
        </w:rPr>
        <w:t>检验和验收标准、程序等具体内容以及前述验收书的效力详见</w:t>
      </w:r>
      <w:r>
        <w:rPr>
          <w:rFonts w:asciiTheme="minorEastAsia" w:hAnsiTheme="minorEastAsia" w:eastAsiaTheme="minorEastAsia"/>
          <w:b/>
          <w:i/>
          <w:color w:val="auto"/>
          <w:sz w:val="24"/>
          <w:u w:val="single"/>
        </w:rPr>
        <w:t>合同专用条款</w:t>
      </w:r>
      <w:r>
        <w:rPr>
          <w:rFonts w:hint="eastAsia" w:asciiTheme="minorEastAsia" w:hAnsiTheme="minorEastAsia" w:eastAsiaTheme="minorEastAsia"/>
          <w:i/>
          <w:color w:val="auto"/>
          <w:sz w:val="24"/>
        </w:rPr>
        <w:t>。</w:t>
      </w:r>
    </w:p>
    <w:p>
      <w:pPr>
        <w:spacing w:line="560" w:lineRule="exact"/>
        <w:ind w:firstLine="482" w:firstLineChars="200"/>
        <w:outlineLvl w:val="0"/>
        <w:rPr>
          <w:rFonts w:asciiTheme="minorEastAsia" w:hAnsiTheme="minorEastAsia" w:eastAsiaTheme="minorEastAsia"/>
          <w:b/>
          <w:color w:val="auto"/>
          <w:sz w:val="24"/>
        </w:rPr>
      </w:pPr>
      <w:bookmarkStart w:id="490" w:name="_Toc12666"/>
      <w:bookmarkStart w:id="491" w:name="_Toc31892"/>
      <w:bookmarkStart w:id="492" w:name="_Toc2308"/>
      <w:bookmarkStart w:id="493" w:name="_Toc25198"/>
      <w:bookmarkStart w:id="494" w:name="_Toc9808"/>
      <w:r>
        <w:rPr>
          <w:rFonts w:asciiTheme="minorEastAsia" w:hAnsiTheme="minorEastAsia" w:eastAsiaTheme="minorEastAsia"/>
          <w:b/>
          <w:color w:val="auto"/>
          <w:sz w:val="24"/>
        </w:rPr>
        <w:t>2.16 通知和送达</w:t>
      </w:r>
      <w:bookmarkEnd w:id="490"/>
      <w:bookmarkEnd w:id="491"/>
      <w:bookmarkEnd w:id="492"/>
      <w:bookmarkEnd w:id="493"/>
      <w:bookmarkEnd w:id="494"/>
    </w:p>
    <w:p>
      <w:pPr>
        <w:spacing w:line="560" w:lineRule="exact"/>
        <w:ind w:firstLine="480" w:firstLineChars="200"/>
        <w:rPr>
          <w:rFonts w:asciiTheme="minorEastAsia" w:hAnsiTheme="minorEastAsia" w:eastAsiaTheme="minorEastAsia"/>
          <w:color w:val="auto"/>
          <w:sz w:val="24"/>
        </w:rPr>
      </w:pPr>
      <w:bookmarkStart w:id="495" w:name="_Toc18401"/>
      <w:bookmarkStart w:id="496" w:name="_Toc27674"/>
      <w:r>
        <w:rPr>
          <w:rFonts w:asciiTheme="minorEastAsia" w:hAnsiTheme="minorEastAsia" w:eastAsiaTheme="minorEastAsia"/>
          <w:color w:val="auto"/>
          <w:sz w:val="24"/>
        </w:rPr>
        <w:t>2.17.1</w:t>
      </w:r>
      <w:r>
        <w:rPr>
          <w:rFonts w:hint="eastAsia" w:asciiTheme="minorEastAsia" w:hAnsiTheme="minorEastAsia" w:eastAsiaTheme="minorEastAsia"/>
          <w:color w:val="auto"/>
          <w:sz w:val="24"/>
        </w:rPr>
        <w:t>任何一方因履行合同而以合同第一部分尾部所列明的传真或电子邮件</w:t>
      </w:r>
      <w:r>
        <w:rPr>
          <w:rFonts w:asciiTheme="minorEastAsia" w:hAnsiTheme="minorEastAsia" w:eastAsiaTheme="minorEastAsia"/>
          <w:color w:val="auto"/>
          <w:sz w:val="24"/>
        </w:rPr>
        <w:t xml:space="preserve">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发出的所有通知、文件、材料，均视为已向对方当事人送达；任何一方变更上述送达方式或者地址的，应于</w:t>
      </w:r>
      <w:r>
        <w:rPr>
          <w:rFonts w:asciiTheme="minorEastAsia" w:hAnsiTheme="minorEastAsia" w:eastAsiaTheme="minorEastAsia"/>
          <w:color w:val="auto"/>
          <w:sz w:val="24"/>
          <w:u w:val="single"/>
        </w:rPr>
        <w:t>3</w:t>
      </w:r>
      <w:r>
        <w:rPr>
          <w:rFonts w:hint="eastAsia" w:asciiTheme="minorEastAsia" w:hAnsiTheme="minorEastAsia" w:eastAsiaTheme="minorEastAsia"/>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color w:val="auto"/>
          <w:sz w:val="24"/>
        </w:rPr>
        <w:t>的，邮件挂号寄出或者交邮之日之次日视为送达。</w:t>
      </w:r>
      <w:bookmarkEnd w:id="495"/>
      <w:bookmarkEnd w:id="496"/>
    </w:p>
    <w:p>
      <w:pPr>
        <w:spacing w:line="560" w:lineRule="exact"/>
        <w:ind w:firstLine="482" w:firstLineChars="200"/>
        <w:outlineLvl w:val="0"/>
        <w:rPr>
          <w:rFonts w:asciiTheme="minorEastAsia" w:hAnsiTheme="minorEastAsia" w:eastAsiaTheme="minorEastAsia"/>
          <w:b/>
          <w:color w:val="auto"/>
          <w:sz w:val="24"/>
        </w:rPr>
      </w:pPr>
      <w:bookmarkStart w:id="497" w:name="_Toc12254"/>
      <w:bookmarkStart w:id="498" w:name="_Toc5063"/>
      <w:bookmarkStart w:id="499" w:name="_Toc20808"/>
      <w:bookmarkStart w:id="500" w:name="_Toc27644"/>
      <w:bookmarkStart w:id="501" w:name="_Toc28906"/>
      <w:r>
        <w:rPr>
          <w:rFonts w:asciiTheme="minorEastAsia" w:hAnsiTheme="minorEastAsia" w:eastAsiaTheme="minorEastAsia"/>
          <w:b/>
          <w:color w:val="auto"/>
          <w:sz w:val="24"/>
        </w:rPr>
        <w:t xml:space="preserve">2.17 </w:t>
      </w:r>
      <w:r>
        <w:rPr>
          <w:rFonts w:hint="eastAsia" w:asciiTheme="minorEastAsia" w:hAnsiTheme="minorEastAsia" w:eastAsiaTheme="minorEastAsia"/>
          <w:b/>
          <w:color w:val="auto"/>
          <w:sz w:val="24"/>
        </w:rPr>
        <w:t>合同使用的文字和</w:t>
      </w:r>
      <w:r>
        <w:rPr>
          <w:rFonts w:asciiTheme="minorEastAsia" w:hAnsiTheme="minorEastAsia" w:eastAsiaTheme="minorEastAsia"/>
          <w:b/>
          <w:color w:val="auto"/>
          <w:sz w:val="24"/>
        </w:rPr>
        <w:t>适用的法律</w:t>
      </w:r>
      <w:bookmarkEnd w:id="497"/>
      <w:bookmarkEnd w:id="498"/>
      <w:bookmarkEnd w:id="499"/>
      <w:bookmarkEnd w:id="500"/>
      <w:bookmarkEnd w:id="501"/>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2.17.1 合同使用汉语书就</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变更和解释</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2.17.2 </w:t>
      </w:r>
      <w:r>
        <w:rPr>
          <w:rFonts w:hint="eastAsia" w:asciiTheme="minorEastAsia" w:hAnsiTheme="minorEastAsia" w:eastAsiaTheme="minorEastAsia"/>
          <w:color w:val="auto"/>
          <w:sz w:val="24"/>
        </w:rPr>
        <w:t>合同适用</w:t>
      </w:r>
      <w:r>
        <w:rPr>
          <w:rFonts w:asciiTheme="minorEastAsia" w:hAnsiTheme="minorEastAsia" w:eastAsiaTheme="minorEastAsia"/>
          <w:color w:val="auto"/>
          <w:sz w:val="24"/>
        </w:rPr>
        <w:t>中华人民共和国法律。</w:t>
      </w:r>
    </w:p>
    <w:p>
      <w:pPr>
        <w:spacing w:line="560" w:lineRule="exact"/>
        <w:ind w:firstLine="482" w:firstLineChars="200"/>
        <w:outlineLvl w:val="0"/>
        <w:rPr>
          <w:rFonts w:asciiTheme="minorEastAsia" w:hAnsiTheme="minorEastAsia" w:eastAsiaTheme="minorEastAsia"/>
          <w:b/>
          <w:color w:val="auto"/>
          <w:sz w:val="24"/>
        </w:rPr>
      </w:pPr>
      <w:bookmarkStart w:id="502" w:name="_Toc30096"/>
      <w:bookmarkStart w:id="503" w:name="_Toc1492"/>
      <w:bookmarkStart w:id="504" w:name="_Toc27403"/>
      <w:bookmarkStart w:id="505" w:name="_Toc27127"/>
      <w:bookmarkStart w:id="506" w:name="_Toc22266"/>
      <w:r>
        <w:rPr>
          <w:rFonts w:asciiTheme="minorEastAsia" w:hAnsiTheme="minorEastAsia" w:eastAsiaTheme="minorEastAsia"/>
          <w:b/>
          <w:color w:val="auto"/>
          <w:sz w:val="24"/>
        </w:rPr>
        <w:t>2.18 履约保证金</w:t>
      </w:r>
      <w:bookmarkEnd w:id="502"/>
      <w:bookmarkEnd w:id="503"/>
      <w:bookmarkEnd w:id="504"/>
      <w:bookmarkEnd w:id="505"/>
      <w:bookmarkEnd w:id="506"/>
    </w:p>
    <w:p>
      <w:pPr>
        <w:pStyle w:val="957"/>
        <w:spacing w:before="0" w:beforeAutospacing="0" w:after="0" w:afterAutospacing="0" w:line="360" w:lineRule="auto"/>
        <w:ind w:firstLine="420"/>
        <w:rPr>
          <w:rFonts w:asciiTheme="minorEastAsia" w:hAnsiTheme="minorEastAsia" w:eastAsiaTheme="minorEastAsia"/>
          <w:color w:val="auto"/>
        </w:rPr>
      </w:pPr>
      <w:r>
        <w:rPr>
          <w:rFonts w:asciiTheme="minorEastAsia" w:hAnsiTheme="minorEastAsia" w:eastAsiaTheme="minorEastAsia"/>
          <w:color w:val="auto"/>
        </w:rPr>
        <w:t xml:space="preserve">2.18.1 </w:t>
      </w:r>
      <w:r>
        <w:rPr>
          <w:rFonts w:hint="eastAsia" w:asciiTheme="minorEastAsia" w:hAnsiTheme="minorEastAsia" w:eastAsiaTheme="minorEastAsia"/>
          <w:color w:val="auto"/>
        </w:rPr>
        <w:t>采购文件要求乙方提交履约保证金的，乙方应按</w:t>
      </w:r>
      <w:r>
        <w:rPr>
          <w:rFonts w:hint="eastAsia" w:asciiTheme="minorEastAsia" w:hAnsiTheme="minorEastAsia" w:eastAsiaTheme="minorEastAsia"/>
          <w:b/>
          <w:i/>
          <w:color w:val="auto"/>
          <w:u w:val="single"/>
        </w:rPr>
        <w:t>合同专用条款</w:t>
      </w:r>
      <w:r>
        <w:rPr>
          <w:rFonts w:hint="eastAsia" w:asciiTheme="minorEastAsia" w:hAnsiTheme="minorEastAsia" w:eastAsiaTheme="minorEastAsia"/>
          <w:color w:val="auto"/>
        </w:rPr>
        <w:t>约定的方式，以支票、汇票、本票或者金融机构、担保机构出具的保函等非现金形式，提交不超过合同金额</w:t>
      </w:r>
      <w:r>
        <w:rPr>
          <w:rFonts w:asciiTheme="minorEastAsia" w:hAnsiTheme="minorEastAsia" w:eastAsiaTheme="minorEastAsia"/>
          <w:color w:val="auto"/>
        </w:rPr>
        <w:t>1%的履约保证金；鼓励和支持乙方以银行、保险公司出具的保函形式提供履约保证</w:t>
      </w:r>
      <w:r>
        <w:rPr>
          <w:rFonts w:hint="eastAsia" w:asciiTheme="minorEastAsia" w:hAnsiTheme="minorEastAsia" w:eastAsiaTheme="minorEastAsia"/>
          <w:color w:val="auto"/>
        </w:rPr>
        <w:t>，乙方以银行、保险公司出具保函形式提交履约保证金的，甲方不得拒收。</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2.18.2  </w:t>
      </w:r>
      <w:r>
        <w:rPr>
          <w:rFonts w:hint="eastAsia" w:asciiTheme="minorEastAsia" w:hAnsiTheme="minorEastAsia" w:eastAsiaTheme="minorEastAsia"/>
          <w:color w:val="auto"/>
          <w:sz w:val="24"/>
        </w:rPr>
        <w:t>甲方在项目验收结</w:t>
      </w:r>
      <w:r>
        <w:rPr>
          <w:rFonts w:hint="eastAsia" w:asciiTheme="minorEastAsia" w:hAnsiTheme="minorEastAsia" w:eastAsiaTheme="minorEastAsia"/>
          <w:color w:val="auto"/>
          <w:sz w:val="24"/>
          <w:highlight w:val="none"/>
        </w:rPr>
        <w:t>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Theme="minorEastAsia" w:hAnsiTheme="minorEastAsia" w:eastAsiaTheme="minorEastAsia"/>
          <w:color w:val="auto"/>
          <w:sz w:val="24"/>
          <w:highlight w:val="none"/>
        </w:rPr>
        <w:t>乙方可要求甲方支付违约金，违约金按每迟延退还一日的应退还</w:t>
      </w:r>
      <w:r>
        <w:rPr>
          <w:rFonts w:hint="eastAsia" w:asciiTheme="minorEastAsia" w:hAnsiTheme="minorEastAsia" w:eastAsiaTheme="minorEastAsia"/>
          <w:color w:val="auto"/>
          <w:sz w:val="24"/>
        </w:rPr>
        <w:t>而未退还金额的</w:t>
      </w:r>
      <w:r>
        <w:rPr>
          <w:rFonts w:asciiTheme="minorEastAsia" w:hAnsiTheme="minorEastAsia" w:eastAsiaTheme="minorEastAsia"/>
          <w:color w:val="auto"/>
          <w:sz w:val="24"/>
          <w:u w:val="single"/>
        </w:rPr>
        <w:t xml:space="preserve">  0.05  </w:t>
      </w:r>
      <w:r>
        <w:rPr>
          <w:rFonts w:asciiTheme="minorEastAsia" w:hAnsiTheme="minorEastAsia" w:eastAsiaTheme="minorEastAsia"/>
          <w:color w:val="auto"/>
          <w:sz w:val="24"/>
        </w:rPr>
        <w:t>%计算，最高限额为本合同履约保证金的</w:t>
      </w:r>
      <w:r>
        <w:rPr>
          <w:rFonts w:asciiTheme="minorEastAsia" w:hAnsiTheme="minorEastAsia" w:eastAsiaTheme="minorEastAsia"/>
          <w:color w:val="auto"/>
          <w:sz w:val="24"/>
          <w:u w:val="single"/>
        </w:rPr>
        <w:t xml:space="preserve">  20   </w:t>
      </w:r>
      <w:r>
        <w:rPr>
          <w:rFonts w:asciiTheme="minorEastAsia" w:hAnsiTheme="minorEastAsia" w:eastAsiaTheme="minorEastAsia"/>
          <w:color w:val="auto"/>
          <w:sz w:val="24"/>
        </w:rPr>
        <w:t xml:space="preserve">%； </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2.18.3 </w:t>
      </w:r>
      <w:r>
        <w:rPr>
          <w:rFonts w:hint="eastAsia" w:asciiTheme="minorEastAsia" w:hAnsiTheme="minorEastAsia" w:eastAsiaTheme="minorEastAsia"/>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2.18.4</w:t>
      </w:r>
      <w:r>
        <w:rPr>
          <w:rFonts w:hint="eastAsia" w:asciiTheme="minorEastAsia" w:hAnsiTheme="minorEastAsia" w:eastAsiaTheme="minorEastAsia"/>
          <w:color w:val="auto"/>
          <w:sz w:val="24"/>
        </w:rPr>
        <w:t> 甲方根据杭州市政府采购网公布的供应商履约评价情况减免履约保证金。乙方履约验收评价总分为</w:t>
      </w:r>
      <w:r>
        <w:rPr>
          <w:rFonts w:asciiTheme="minorEastAsia" w:hAnsiTheme="minorEastAsia" w:eastAsiaTheme="minorEastAsia"/>
          <w:color w:val="auto"/>
          <w:sz w:val="24"/>
        </w:rPr>
        <w:t>100分的，甲方免收履约保证金。</w:t>
      </w:r>
    </w:p>
    <w:p>
      <w:pPr>
        <w:spacing w:line="560" w:lineRule="exact"/>
        <w:ind w:firstLine="480" w:firstLineChars="200"/>
        <w:rPr>
          <w:rFonts w:asciiTheme="minorEastAsia" w:hAnsiTheme="minorEastAsia" w:eastAsiaTheme="minorEastAsia"/>
          <w:color w:val="auto"/>
        </w:rPr>
      </w:pPr>
      <w:r>
        <w:rPr>
          <w:rFonts w:asciiTheme="minorEastAsia" w:hAnsiTheme="minorEastAsia" w:eastAsiaTheme="minorEastAsia"/>
          <w:color w:val="auto"/>
          <w:sz w:val="24"/>
        </w:rPr>
        <w:t>2.18.5</w:t>
      </w:r>
      <w:r>
        <w:rPr>
          <w:rFonts w:hint="eastAsia" w:asciiTheme="minorEastAsia" w:hAnsiTheme="minorEastAsia" w:eastAsiaTheme="minorEastAsia"/>
          <w:color w:val="auto"/>
          <w:sz w:val="24"/>
        </w:rPr>
        <w:t>甲方</w:t>
      </w:r>
      <w:r>
        <w:rPr>
          <w:rFonts w:asciiTheme="minorEastAsia" w:hAnsiTheme="minorEastAsia" w:eastAsiaTheme="minorEastAsia"/>
          <w:color w:val="auto"/>
          <w:sz w:val="24"/>
        </w:rPr>
        <w:t>在</w:t>
      </w:r>
      <w:r>
        <w:rPr>
          <w:rFonts w:hint="eastAsia" w:asciiTheme="minorEastAsia" w:hAnsiTheme="minorEastAsia" w:eastAsiaTheme="minorEastAsia"/>
          <w:color w:val="auto"/>
          <w:sz w:val="24"/>
        </w:rPr>
        <w:t>乙方</w:t>
      </w:r>
      <w:r>
        <w:rPr>
          <w:rFonts w:asciiTheme="minorEastAsia" w:hAnsiTheme="minorEastAsia" w:eastAsiaTheme="minorEastAsia"/>
          <w:color w:val="auto"/>
          <w:sz w:val="24"/>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color w:val="auto"/>
          <w:sz w:val="24"/>
        </w:rPr>
      </w:pPr>
      <w:r>
        <w:rPr>
          <w:rFonts w:asciiTheme="minorEastAsia" w:hAnsiTheme="minorEastAsia" w:eastAsiaTheme="minorEastAsia"/>
          <w:b/>
          <w:bCs/>
          <w:color w:val="auto"/>
          <w:sz w:val="24"/>
        </w:rPr>
        <w:t>2.19</w:t>
      </w:r>
      <w:r>
        <w:rPr>
          <w:rFonts w:asciiTheme="minorEastAsia" w:hAnsiTheme="minorEastAsia" w:eastAsiaTheme="minorEastAsia"/>
          <w:color w:val="auto"/>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color w:val="auto"/>
          <w:sz w:val="24"/>
        </w:rPr>
        <w:t>。</w:t>
      </w:r>
    </w:p>
    <w:p>
      <w:pPr>
        <w:spacing w:line="560" w:lineRule="exact"/>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2.20合同份数</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合同份数按</w:t>
      </w:r>
      <w:r>
        <w:rPr>
          <w:rFonts w:asciiTheme="minorEastAsia" w:hAnsiTheme="minorEastAsia" w:eastAsiaTheme="minorEastAsia"/>
          <w:b/>
          <w:i/>
          <w:color w:val="auto"/>
          <w:sz w:val="24"/>
          <w:u w:val="single"/>
        </w:rPr>
        <w:t>合同专用条款</w:t>
      </w:r>
      <w:r>
        <w:rPr>
          <w:rFonts w:asciiTheme="minorEastAsia" w:hAnsiTheme="minorEastAsia" w:eastAsiaTheme="minorEastAsia"/>
          <w:color w:val="auto"/>
          <w:sz w:val="24"/>
        </w:rPr>
        <w:t>规定</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每份均具有同等法律效力</w:t>
      </w:r>
      <w:r>
        <w:rPr>
          <w:rFonts w:hint="eastAsia" w:asciiTheme="minorEastAsia" w:hAnsiTheme="minorEastAsia" w:eastAsiaTheme="minorEastAsia"/>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w:t>
      </w:r>
    </w:p>
    <w:p>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7" w:name="_Toc331685784"/>
      <w:r>
        <w:rPr>
          <w:rFonts w:hint="eastAsia" w:ascii="宋体" w:hAnsi="宋体" w:cs="宋体"/>
          <w:b/>
          <w:color w:val="auto"/>
          <w:sz w:val="24"/>
        </w:rPr>
        <w:t xml:space="preserve"> </w:t>
      </w:r>
      <w:bookmarkEnd w:id="507"/>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hint="eastAsia" w:ascii="宋体" w:hAnsi="宋体" w:cs="宋体"/>
          <w:color w:val="auto"/>
          <w:sz w:val="24"/>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条款号</w:t>
            </w:r>
          </w:p>
        </w:tc>
        <w:tc>
          <w:tcPr>
            <w:tcW w:w="8275" w:type="dxa"/>
            <w:vAlign w:val="center"/>
          </w:tcPr>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1.4.4</w:t>
            </w:r>
          </w:p>
        </w:tc>
        <w:tc>
          <w:tcPr>
            <w:tcW w:w="8275" w:type="dxa"/>
            <w:vAlign w:val="center"/>
          </w:tcPr>
          <w:p>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付款条件为符合合同规定要求，完成物业服务，</w:t>
            </w:r>
            <w:r>
              <w:rPr>
                <w:rFonts w:asciiTheme="minorEastAsia" w:hAnsiTheme="minorEastAsia" w:eastAsiaTheme="minorEastAsia"/>
                <w:color w:val="auto"/>
                <w:sz w:val="24"/>
              </w:rPr>
              <w:t>预付款比例为合同金额的20%</w:t>
            </w:r>
            <w:r>
              <w:rPr>
                <w:rFonts w:hint="eastAsia" w:asciiTheme="minorEastAsia" w:hAnsiTheme="minorEastAsia" w:eastAsiaTheme="minorEastAsia"/>
                <w:color w:val="auto"/>
                <w:sz w:val="24"/>
                <w:lang w:eastAsia="zh-CN"/>
              </w:rPr>
              <w:t>，按季度</w:t>
            </w:r>
            <w:r>
              <w:rPr>
                <w:rFonts w:hint="eastAsia" w:asciiTheme="minorEastAsia" w:hAnsiTheme="minorEastAsia" w:eastAsiaTheme="minorEastAsia"/>
                <w:color w:val="auto"/>
                <w:sz w:val="24"/>
                <w:highlight w:val="none"/>
                <w:lang w:eastAsia="zh-CN"/>
              </w:rPr>
              <w:t>分期付款。乙方进场服务并通过甲方季度考核，甲方凭借乙方开具的正规发票和甲方认可的各项记录复印件等材料，每季度支付一次，分别在</w:t>
            </w:r>
            <w:r>
              <w:rPr>
                <w:rFonts w:hint="eastAsia" w:asciiTheme="minorEastAsia" w:hAnsiTheme="minorEastAsia" w:eastAsiaTheme="minorEastAsia"/>
                <w:color w:val="auto"/>
                <w:sz w:val="24"/>
                <w:highlight w:val="none"/>
                <w:lang w:val="en-US" w:eastAsia="zh-CN"/>
              </w:rPr>
              <w:t>3月25日、6月25日、9月25日和12月10日前按照合同金额的20%支付给乙方本季度物业管理费，其中第四季度的20%含</w:t>
            </w:r>
            <w:r>
              <w:rPr>
                <w:rFonts w:hint="eastAsia" w:ascii="宋体" w:hAnsi="宋体" w:eastAsia="宋体" w:cs="宋体"/>
                <w:color w:val="auto"/>
                <w:sz w:val="24"/>
                <w:u w:val="none"/>
              </w:rPr>
              <w:t>物业费1%</w:t>
            </w:r>
            <w:r>
              <w:rPr>
                <w:rFonts w:hint="eastAsia" w:ascii="宋体" w:hAnsi="宋体" w:cs="宋体"/>
                <w:color w:val="auto"/>
                <w:sz w:val="24"/>
                <w:u w:val="none"/>
                <w:lang w:eastAsia="zh-CN"/>
              </w:rPr>
              <w:t>的</w:t>
            </w:r>
            <w:r>
              <w:rPr>
                <w:rFonts w:hint="eastAsia" w:ascii="宋体" w:hAnsi="宋体" w:eastAsia="宋体" w:cs="宋体"/>
                <w:color w:val="auto"/>
                <w:sz w:val="24"/>
                <w:u w:val="none"/>
              </w:rPr>
              <w:t>奖励费用</w:t>
            </w:r>
            <w:r>
              <w:rPr>
                <w:rFonts w:hint="eastAsia" w:asciiTheme="minorEastAsia" w:hAnsiTheme="minorEastAsia" w:eastAsiaTheme="minorEastAsia"/>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1.5.1 </w:t>
            </w:r>
          </w:p>
        </w:tc>
        <w:tc>
          <w:tcPr>
            <w:tcW w:w="8275" w:type="dxa"/>
            <w:vAlign w:val="center"/>
          </w:tcPr>
          <w:p>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服务期限：</w:t>
            </w:r>
            <w:r>
              <w:rPr>
                <w:rFonts w:hint="eastAsia" w:asciiTheme="minorEastAsia" w:hAnsiTheme="minorEastAsia" w:eastAsiaTheme="minorEastAsia"/>
                <w:color w:val="auto"/>
                <w:sz w:val="24"/>
                <w:highlight w:val="none"/>
                <w:lang w:val="en-US" w:eastAsia="zh-CN"/>
              </w:rPr>
              <w:t>2023年1月1日</w:t>
            </w:r>
            <w:r>
              <w:rPr>
                <w:rFonts w:hint="eastAsia" w:asciiTheme="minorEastAsia" w:hAnsiTheme="minorEastAsia" w:eastAsiaTheme="minorEastAsia"/>
                <w:color w:val="auto"/>
                <w:sz w:val="24"/>
                <w:highlight w:val="none"/>
                <w:lang w:eastAsia="zh-CN"/>
              </w:rPr>
              <w:t>至</w:t>
            </w:r>
            <w:r>
              <w:rPr>
                <w:rFonts w:hint="eastAsia" w:asciiTheme="minorEastAsia" w:hAnsiTheme="minorEastAsia" w:eastAsiaTheme="minorEastAsia"/>
                <w:color w:val="auto"/>
                <w:sz w:val="24"/>
                <w:highlight w:val="none"/>
                <w:lang w:val="en-US" w:eastAsia="zh-CN"/>
              </w:rPr>
              <w:t>2023年12月31日，为期1年。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1.5.2</w:t>
            </w:r>
          </w:p>
        </w:tc>
        <w:tc>
          <w:tcPr>
            <w:tcW w:w="8275" w:type="dxa"/>
            <w:vAlign w:val="center"/>
          </w:tcPr>
          <w:p>
            <w:pPr>
              <w:snapToGrid w:val="0"/>
              <w:spacing w:line="500" w:lineRule="exact"/>
              <w:rPr>
                <w:rFonts w:hint="eastAsia" w:eastAsia="宋体" w:asciiTheme="minorEastAsia" w:hAnsi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服务地点：杭州第一技师学院西溪路</w:t>
            </w:r>
            <w:r>
              <w:rPr>
                <w:rFonts w:hint="eastAsia" w:asciiTheme="minorEastAsia" w:hAnsiTheme="minorEastAsia" w:eastAsiaTheme="minorEastAsia"/>
                <w:color w:val="auto"/>
                <w:sz w:val="24"/>
                <w:highlight w:val="none"/>
                <w:lang w:val="en-US" w:eastAsia="zh-CN"/>
              </w:rPr>
              <w:t>719号，</w:t>
            </w:r>
            <w:r>
              <w:rPr>
                <w:rFonts w:hint="eastAsia" w:asciiTheme="minorEastAsia" w:hAnsiTheme="minorEastAsia" w:eastAsiaTheme="minorEastAsia"/>
                <w:color w:val="auto"/>
                <w:sz w:val="24"/>
                <w:highlight w:val="none"/>
                <w:lang w:eastAsia="zh-CN"/>
              </w:rPr>
              <w:t>莫干山路102号立新大厦1至3层</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eastAsia="zh-CN"/>
              </w:rPr>
              <w:t>杭州市公共实训基地杭州第一技师学院分基地（杭州第一技师学院临安校区）西溪路717号药物研究所宿舍7套，东新关2套。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1.5.3 </w:t>
            </w:r>
          </w:p>
        </w:tc>
        <w:tc>
          <w:tcPr>
            <w:tcW w:w="8275" w:type="dxa"/>
            <w:vAlign w:val="center"/>
          </w:tcPr>
          <w:p>
            <w:pPr>
              <w:snapToGrid w:val="0"/>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列入本次物业管理服务方式主要做好以下工作内容：安保消控（包括传达、安保、秩序管理和消控、监控值班等）；学生公寓管理（包括公共区域清卫保洁、住校生秩序管理）；清卫保洁（包括物业范围清洁、消毒、垃圾清运与白蚁防治、垃圾收集容器配置、除“四害”等）；绿化养护（包括绿化植物日常养护和管理、原绿化区域内由于养护管理原因引起死亡的植物补种，办公室和会议室观叶植物布置，山林日常维护和防火等）；工程设备维护（包括房屋和道路日常维修维护、给排水系统维护保养维修、公共照明与综合维修、空调拆移机及维修保养、高配室值班与设备维护、广电系统维护保养等）；电梯维保维修与年检；采购人交办的其他工作等。（具体内容详见招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1.6.7</w:t>
            </w:r>
          </w:p>
        </w:tc>
        <w:tc>
          <w:tcPr>
            <w:tcW w:w="8275" w:type="dxa"/>
            <w:vAlign w:val="center"/>
          </w:tcPr>
          <w:p>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p>
        </w:tc>
        <w:tc>
          <w:tcPr>
            <w:tcW w:w="8275" w:type="dxa"/>
            <w:vAlign w:val="center"/>
          </w:tcPr>
          <w:p>
            <w:pPr>
              <w:snapToGrid w:val="0"/>
              <w:spacing w:line="500" w:lineRule="exac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1．合同在履行过程中发生争议时，甲方与乙方及时协商解决。协商不成时，提请杭州仲裁委员会根据仲裁规程仲裁。</w:t>
            </w:r>
          </w:p>
          <w:p>
            <w:pPr>
              <w:snapToGrid w:val="0"/>
              <w:spacing w:line="500" w:lineRule="exac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2.对于因违法或终止合同而引起的损失、损害的赔偿，由甲方与乙方友好协商解决，经协商仍未能达成一致的，提交杭州仲裁委员会仲裁。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w:t>
            </w:r>
          </w:p>
        </w:tc>
        <w:tc>
          <w:tcPr>
            <w:tcW w:w="8275" w:type="dxa"/>
            <w:vAlign w:val="center"/>
          </w:tcPr>
          <w:p>
            <w:pPr>
              <w:snapToGrid w:val="0"/>
              <w:spacing w:line="500" w:lineRule="exac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杭州仲裁委员会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w:t>
            </w:r>
          </w:p>
        </w:tc>
        <w:tc>
          <w:tcPr>
            <w:tcW w:w="8275" w:type="dxa"/>
            <w:vAlign w:val="center"/>
          </w:tcPr>
          <w:p>
            <w:pPr>
              <w:snapToGrid w:val="0"/>
              <w:spacing w:line="500" w:lineRule="exac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杭州市西湖区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10</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p>
        </w:tc>
        <w:tc>
          <w:tcPr>
            <w:tcW w:w="8275" w:type="dxa"/>
            <w:vAlign w:val="center"/>
          </w:tcPr>
          <w:p>
            <w:pPr>
              <w:snapToGrid w:val="0"/>
              <w:spacing w:line="500" w:lineRule="exac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2.10.4</w:t>
            </w:r>
          </w:p>
        </w:tc>
        <w:tc>
          <w:tcPr>
            <w:tcW w:w="8275" w:type="dxa"/>
            <w:vAlign w:val="center"/>
          </w:tcPr>
          <w:p>
            <w:pPr>
              <w:snapToGrid w:val="0"/>
              <w:spacing w:line="500" w:lineRule="exac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15天内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p>
        </w:tc>
        <w:tc>
          <w:tcPr>
            <w:tcW w:w="8275" w:type="dxa"/>
            <w:vAlign w:val="center"/>
          </w:tcPr>
          <w:p>
            <w:pPr>
              <w:widowControl/>
              <w:numPr>
                <w:ilvl w:val="0"/>
                <w:numId w:val="10"/>
              </w:numPr>
              <w:adjustRightInd/>
              <w:snapToGrid w:val="0"/>
              <w:spacing w:line="460" w:lineRule="exact"/>
              <w:ind w:firstLine="48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widowControl/>
              <w:numPr>
                <w:ilvl w:val="0"/>
                <w:numId w:val="10"/>
              </w:numPr>
              <w:adjustRightInd/>
              <w:snapToGrid w:val="0"/>
              <w:spacing w:line="460" w:lineRule="exact"/>
              <w:ind w:firstLine="48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乙方应允许甲方或其授权的人员对承包区域内各项服务质量控制进行检查，有关费用由乙方承担。</w:t>
            </w:r>
          </w:p>
          <w:p>
            <w:pPr>
              <w:widowControl/>
              <w:numPr>
                <w:ilvl w:val="0"/>
                <w:numId w:val="10"/>
              </w:numPr>
              <w:adjustRightInd/>
              <w:snapToGrid w:val="0"/>
              <w:spacing w:line="460" w:lineRule="exact"/>
              <w:ind w:left="0" w:leftChars="0" w:firstLine="480" w:firstLineChars="0"/>
              <w:jc w:val="left"/>
              <w:textAlignment w:val="center"/>
              <w:rPr>
                <w:color w:val="auto"/>
                <w:highlight w:val="none"/>
              </w:rPr>
            </w:pPr>
            <w:r>
              <w:rPr>
                <w:rFonts w:hint="eastAsia" w:ascii="宋体" w:hAnsi="宋体" w:cs="宋体"/>
                <w:color w:val="auto"/>
                <w:kern w:val="0"/>
                <w:sz w:val="24"/>
                <w:highlight w:val="none"/>
              </w:rPr>
              <w:t>在承包区域的各项服务，其工作时间必须满足甲方的工作要求，包括星期天及公众假期。如遇特殊情况，甲方可要求乙方调整工作时间直至全天二十四小时工作。</w:t>
            </w:r>
          </w:p>
          <w:p>
            <w:pPr>
              <w:widowControl/>
              <w:numPr>
                <w:ilvl w:val="0"/>
                <w:numId w:val="0"/>
              </w:numPr>
              <w:adjustRightInd/>
              <w:snapToGrid w:val="0"/>
              <w:spacing w:line="460" w:lineRule="exact"/>
              <w:ind w:firstLine="480" w:firstLineChars="200"/>
              <w:jc w:val="left"/>
              <w:textAlignment w:val="center"/>
              <w:rPr>
                <w:rFonts w:ascii="宋体" w:hAnsi="宋体" w:cs="宋体"/>
                <w:color w:val="auto"/>
                <w:sz w:val="24"/>
                <w:highlight w:val="none"/>
              </w:rPr>
            </w:pPr>
            <w:r>
              <w:rPr>
                <w:rFonts w:hint="eastAsia" w:ascii="宋体" w:hAnsi="宋体" w:cs="宋体"/>
                <w:color w:val="auto"/>
                <w:kern w:val="0"/>
                <w:sz w:val="24"/>
                <w:highlight w:val="none"/>
              </w:rPr>
              <w:t>4. 乙方必须聘请(或指定)一位经理(</w:t>
            </w:r>
            <w:r>
              <w:rPr>
                <w:rFonts w:hint="eastAsia" w:ascii="宋体" w:hAnsi="宋体" w:cs="宋体"/>
                <w:color w:val="auto"/>
                <w:kern w:val="0"/>
                <w:sz w:val="24"/>
                <w:highlight w:val="none"/>
                <w:lang w:eastAsia="zh-CN"/>
              </w:rPr>
              <w:t>项目总</w:t>
            </w:r>
            <w:r>
              <w:rPr>
                <w:rFonts w:hint="eastAsia" w:ascii="宋体" w:hAnsi="宋体" w:cs="宋体"/>
                <w:color w:val="auto"/>
                <w:kern w:val="0"/>
                <w:sz w:val="24"/>
                <w:highlight w:val="none"/>
              </w:rPr>
              <w:t>负责人)，全权代表乙方与甲方保持密切联系并保证承包区域服务工作。根据综合考评或工作情况，甲方有权要求乙方在一个星期内更换经理（</w:t>
            </w:r>
            <w:r>
              <w:rPr>
                <w:rFonts w:hint="eastAsia" w:ascii="宋体" w:hAnsi="宋体" w:cs="宋体"/>
                <w:color w:val="auto"/>
                <w:kern w:val="0"/>
                <w:sz w:val="24"/>
                <w:highlight w:val="none"/>
                <w:lang w:eastAsia="zh-CN"/>
              </w:rPr>
              <w:t>项目总</w:t>
            </w:r>
            <w:r>
              <w:rPr>
                <w:rFonts w:hint="eastAsia" w:ascii="宋体" w:hAnsi="宋体" w:cs="宋体"/>
                <w:color w:val="auto"/>
                <w:kern w:val="0"/>
                <w:sz w:val="24"/>
                <w:highlight w:val="none"/>
              </w:rPr>
              <w:t>负责人）、相关骨干人员。</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5. 为承包区域的服务工作配备承诺的人员及人员数量（9</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人），甲方不定期抽查乙方投入的人员数量，如果抽查时发现乙方投入的人员数量少于合同约定的数量，</w:t>
            </w:r>
            <w:r>
              <w:rPr>
                <w:rFonts w:hint="eastAsia" w:ascii="宋体" w:hAnsi="宋体" w:cs="宋体"/>
                <w:snapToGrid w:val="0"/>
                <w:color w:val="auto"/>
                <w:kern w:val="0"/>
                <w:sz w:val="24"/>
                <w:szCs w:val="22"/>
                <w:highlight w:val="none"/>
              </w:rPr>
              <w:t>10个工作日内乙方未及时补齐缺员，</w:t>
            </w:r>
            <w:r>
              <w:rPr>
                <w:rFonts w:hint="eastAsia" w:ascii="宋体" w:hAnsi="宋体" w:cs="宋体"/>
                <w:color w:val="auto"/>
                <w:kern w:val="0"/>
                <w:sz w:val="24"/>
                <w:highlight w:val="none"/>
              </w:rPr>
              <w:t>甲方可以按缺少人数每人</w:t>
            </w:r>
            <w:r>
              <w:rPr>
                <w:rFonts w:hint="eastAsia" w:ascii="宋体" w:hAnsi="宋体" w:cs="宋体"/>
                <w:color w:val="auto"/>
                <w:kern w:val="0"/>
                <w:sz w:val="24"/>
                <w:highlight w:val="none"/>
                <w:u w:val="single"/>
              </w:rPr>
              <w:t xml:space="preserve"> 1000 </w:t>
            </w:r>
            <w:r>
              <w:rPr>
                <w:rFonts w:hint="eastAsia" w:ascii="宋体" w:hAnsi="宋体" w:cs="宋体"/>
                <w:color w:val="auto"/>
                <w:kern w:val="0"/>
                <w:sz w:val="24"/>
                <w:highlight w:val="none"/>
              </w:rPr>
              <w:t>元/次累计扣除当月合同款。乙方聘用的工作人员必须符合劳动部门有关用工规定，并经乙方相关专业考核合格后持证上岗，甲方有权进行审核，该类费用开支由乙方负担。</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7. 乙方工作人员上岗穿着由甲方确认的制服及甲方许可的装饰物品，费用和制作均由乙方负担。</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8. 乙方必须出具或办妥法律及甲方规定的与承包区域经营业务有关的执照和许可证，方可从事经营并在经营中遵守一切有关条例和规定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自行缴纳有关税、费。</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9. 乙方必须确保为甲方提供优质、高效的专业服务，并根据甲方要求改变不满意的服务状况</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接受有关部门监督与检查。同时，乙方自觉参加甲方认为有助提高甲方形象的宣传活动。</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11. 乙方在承包区域因作业所需增加机械、电力设备及设施应征得甲方同意，并聘请有资格的承造商进行安装、保养并将施工安装保养记录手册和图，交由甲方备案。</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12.</w:t>
            </w:r>
            <w:r>
              <w:rPr>
                <w:rFonts w:hint="eastAsia" w:ascii="宋体" w:hAnsi="宋体" w:cs="宋体"/>
                <w:b/>
                <w:bCs/>
                <w:color w:val="auto"/>
                <w:kern w:val="0"/>
                <w:sz w:val="24"/>
                <w:highlight w:val="none"/>
              </w:rPr>
              <w:t>禁止事项</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12.1乙方不得以任何理由向甲方工作人员支付费用或赠送实物，违者将终止合同。乙方人员也不得以任何形式向甲方相关人员索取小费或钱物等。</w:t>
            </w:r>
          </w:p>
          <w:p>
            <w:pPr>
              <w:widowControl/>
              <w:adjustRightInd/>
              <w:snapToGrid w:val="0"/>
              <w:spacing w:line="460" w:lineRule="exact"/>
              <w:ind w:firstLine="480"/>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12.2不得在承包区域住宿或从事非法活动，也不得从事有损甲方利益的活动，同时不允许在承包区域对甲方经营活动进行滋扰性的行为。</w:t>
            </w:r>
          </w:p>
          <w:p>
            <w:pPr>
              <w:widowControl/>
              <w:adjustRightInd/>
              <w:snapToGrid w:val="0"/>
              <w:spacing w:line="460" w:lineRule="exact"/>
              <w:ind w:firstLine="480"/>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12.3不能说破坏民族团结的话，不能做有违反国家民族政策的事。</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12.4除经甲方批准进行必要的维修工程外，乙方不得损毁承包区域原有的设施和装潢，不得更改已铺设的电缆、电线等电力装置。同时，也不得安装任何可能造成电缆负载过大的电器设备，以免无线电受干扰。</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12.5未获甲方书面同意，乙方任何时候都不能在承包区域存放易燃物品、挥发性大或气味浓烈的液体等。</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13.</w:t>
            </w:r>
            <w:r>
              <w:rPr>
                <w:rFonts w:hint="eastAsia" w:ascii="宋体" w:hAnsi="宋体" w:cs="宋体"/>
                <w:b/>
                <w:bCs/>
                <w:color w:val="auto"/>
                <w:kern w:val="0"/>
                <w:sz w:val="24"/>
                <w:highlight w:val="none"/>
              </w:rPr>
              <w:t>保险</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13.1第三者责任保险</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乙方应对乙方人员以及第三方全权负责(如乙方应投保第三责任险)，在乙方的责任区内由于乙方原因导致自己员工或第三方的事故由乙方负责，甲方不承担任何责任。</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13.2员工人身意外</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在承包期内，乙方所有人员的事故由乙方自行全权负责(如乙方应对其员工投保人身意外险)，以保证甲方在乙方工作人员索赔时不受任何责任的约束。</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13.3其他保险及费用</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乙方须按《劳动合同法》和政府有关各部门规定为全体服务人员交纳所有相关的社会保险及其他相关费用。乙方对此全权负责。</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14. 乙方及其员工遵守学校内的一切行政管理、消防安全等规定和制度，保证承包区域的消防设施能正常使用，消防通道畅通，同时承担违规责任。</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15. 遇突发事件或安全检查时，乙方必须配合有关部门执行任务，并指定专职人员协助工作，直至完成。</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16. 乙方保证在承包期满当天下午五时前撤离现场。</w:t>
            </w:r>
          </w:p>
          <w:p>
            <w:pPr>
              <w:widowControl/>
              <w:adjustRightInd/>
              <w:snapToGrid w:val="0"/>
              <w:spacing w:line="460" w:lineRule="exact"/>
              <w:ind w:firstLine="480"/>
              <w:jc w:val="left"/>
              <w:textAlignment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17. 乙方须积极配合甲方对其进行的物业服务综合考评。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p>
        </w:tc>
        <w:tc>
          <w:tcPr>
            <w:tcW w:w="8275" w:type="dxa"/>
            <w:vAlign w:val="center"/>
          </w:tcPr>
          <w:p>
            <w:pPr>
              <w:spacing w:line="360" w:lineRule="auto"/>
              <w:rPr>
                <w:rFonts w:asciiTheme="minorEastAsia" w:hAnsiTheme="minorEastAsia" w:eastAsiaTheme="minorEastAsia"/>
                <w:color w:val="auto"/>
                <w:sz w:val="24"/>
                <w:highlight w:val="none"/>
              </w:rPr>
            </w:pPr>
            <w:r>
              <w:rPr>
                <w:rFonts w:hint="eastAsia" w:ascii="宋体" w:hAnsi="宋体" w:cs="宋体"/>
                <w:color w:val="auto"/>
                <w:sz w:val="24"/>
                <w:highlight w:val="none"/>
              </w:rPr>
              <w:t>根据合同规定范围提供服务并通过甲方考核后，甲方凭乙方开具的正规发票和甲方认可的各项记录复印件，办理服务费用的支付手续。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.1</w:t>
            </w:r>
          </w:p>
        </w:tc>
        <w:tc>
          <w:tcPr>
            <w:tcW w:w="8275" w:type="dxa"/>
            <w:vAlign w:val="center"/>
          </w:tcPr>
          <w:p>
            <w:pPr>
              <w:widowControl/>
              <w:adjustRightInd/>
              <w:snapToGrid w:val="0"/>
              <w:spacing w:line="460" w:lineRule="exact"/>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1.签订合同后3个工作日内，乙方须向甲方缴纳不超过合同总额</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%的履约保证金。以保证乙方遵守本合同的一切条款、条件和承诺，该保证金在甲方的规定存续期间不计息。</w:t>
            </w:r>
          </w:p>
          <w:p>
            <w:pPr>
              <w:widowControl/>
              <w:adjustRightInd/>
              <w:snapToGrid w:val="0"/>
              <w:spacing w:line="460" w:lineRule="exact"/>
              <w:jc w:val="left"/>
              <w:textAlignment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2. 甲方有权从履约保证金中扣除用于发生重大安全事故或重大安全隐患情况、修复乙方损坏甲方的设备、设施、场地或因乙方违约而导致损失的金额和违约金，且乙方应在接到扣除履约保证金通知后一周内补足扣除差额，保证承包期间履约保证金的完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p>
        </w:tc>
        <w:tc>
          <w:tcPr>
            <w:tcW w:w="8275" w:type="dxa"/>
            <w:vAlign w:val="center"/>
          </w:tcPr>
          <w:p>
            <w:pPr>
              <w:widowControl/>
              <w:adjustRightInd/>
              <w:snapToGrid w:val="0"/>
              <w:spacing w:line="460" w:lineRule="exact"/>
              <w:jc w:val="left"/>
              <w:textAlignment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甲方认为乙方在服务期内没有涉及甲方的应付而未付金额或违约行为，甲方在服务期满后或提前终止承包后</w:t>
            </w:r>
            <w:r>
              <w:rPr>
                <w:rFonts w:hint="eastAsia" w:ascii="宋体" w:hAnsi="宋体" w:cs="宋体"/>
                <w:color w:val="auto"/>
                <w:kern w:val="0"/>
                <w:sz w:val="24"/>
                <w:highlight w:val="none"/>
                <w:lang w:val="en-US" w:eastAsia="zh-CN"/>
              </w:rPr>
              <w:t>5工作日</w:t>
            </w:r>
            <w:r>
              <w:rPr>
                <w:rFonts w:hint="eastAsia" w:ascii="宋体" w:hAnsi="宋体" w:cs="宋体"/>
                <w:color w:val="auto"/>
                <w:kern w:val="0"/>
                <w:sz w:val="24"/>
                <w:highlight w:val="none"/>
              </w:rPr>
              <w:t>内全额退还无息履约保证金，否则，甲方将在扣除乙方应付金额或违约金后退还保证金余额。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19</w:t>
            </w:r>
            <w:r>
              <w:rPr>
                <w:rFonts w:asciiTheme="minorEastAsia" w:hAnsiTheme="minorEastAsia" w:eastAsiaTheme="minorEastAsia"/>
                <w:color w:val="auto"/>
                <w:sz w:val="24"/>
                <w:highlight w:val="none"/>
              </w:rPr>
              <w:t xml:space="preserve"> </w:t>
            </w:r>
          </w:p>
        </w:tc>
        <w:tc>
          <w:tcPr>
            <w:tcW w:w="8275" w:type="dxa"/>
            <w:vAlign w:val="center"/>
          </w:tcPr>
          <w:p>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四份</w:t>
            </w:r>
          </w:p>
        </w:tc>
      </w:tr>
    </w:tbl>
    <w:p>
      <w:pPr>
        <w:pStyle w:val="2"/>
        <w:rPr>
          <w:color w:val="auto"/>
        </w:rPr>
      </w:pPr>
    </w:p>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rPr>
          <w:rFonts w:ascii="宋体" w:hAnsi="宋体" w:cs="宋体"/>
          <w:color w:val="auto"/>
          <w:sz w:val="24"/>
        </w:rPr>
      </w:pPr>
    </w:p>
    <w:p>
      <w:pPr>
        <w:spacing w:line="360" w:lineRule="auto"/>
        <w:ind w:left="-420" w:leftChars="-200" w:right="-420" w:rightChars="-200" w:firstLine="480" w:firstLineChars="200"/>
        <w:jc w:val="center"/>
        <w:outlineLvl w:val="0"/>
        <w:rPr>
          <w:rFonts w:ascii="宋体" w:hAnsi="宋体" w:cs="宋体"/>
          <w:color w:val="auto"/>
          <w:sz w:val="24"/>
        </w:rPr>
      </w:pPr>
    </w:p>
    <w:p>
      <w:pPr>
        <w:spacing w:line="360" w:lineRule="auto"/>
        <w:ind w:left="-420" w:leftChars="-200" w:right="-420" w:rightChars="-200" w:firstLine="480" w:firstLineChars="200"/>
        <w:jc w:val="center"/>
        <w:outlineLvl w:val="0"/>
        <w:rPr>
          <w:rFonts w:ascii="宋体" w:hAnsi="宋体" w:cs="宋体"/>
          <w:color w:val="auto"/>
          <w:sz w:val="24"/>
        </w:rPr>
      </w:pP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4"/>
      <w:r>
        <w:rPr>
          <w:rFonts w:hint="eastAsia" w:ascii="宋体" w:hAnsi="宋体" w:cs="宋体"/>
          <w:b/>
          <w:color w:val="auto"/>
          <w:sz w:val="36"/>
          <w:szCs w:val="20"/>
        </w:rPr>
        <w:t xml:space="preserve"> </w:t>
      </w:r>
      <w:bookmarkEnd w:id="395"/>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杭州第一技师学院</w:t>
      </w:r>
      <w:r>
        <w:rPr>
          <w:rFonts w:hint="eastAsia" w:ascii="宋体" w:hAnsi="宋体" w:cs="宋体"/>
          <w:color w:val="auto"/>
          <w:sz w:val="24"/>
        </w:rPr>
        <w:t>、杭州市公共资源交易中心（杭州市政府采购中心）：</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杭州第一技师学院物业服务采购项目</w:t>
      </w:r>
      <w:r>
        <w:rPr>
          <w:rFonts w:hint="eastAsia" w:ascii="宋体" w:hAnsi="宋体" w:cs="宋体"/>
          <w:color w:val="auto"/>
          <w:sz w:val="24"/>
        </w:rPr>
        <w:t>【招标编号：</w:t>
      </w:r>
      <w:r>
        <w:rPr>
          <w:rFonts w:hint="eastAsia" w:ascii="宋体" w:hAnsi="宋体" w:cs="宋体"/>
          <w:color w:val="auto"/>
          <w:sz w:val="24"/>
          <w:lang w:eastAsia="zh-CN"/>
        </w:rPr>
        <w:t>HZZFCG-2022-207(2)</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杭州第一技师学院</w:t>
      </w:r>
      <w:r>
        <w:rPr>
          <w:rFonts w:hint="eastAsia" w:ascii="宋体" w:hAnsi="宋体" w:cs="宋体"/>
          <w:color w:val="auto"/>
          <w:sz w:val="24"/>
        </w:rPr>
        <w:t>、杭州市公共资源交易中心（杭州市政府采购中心）：</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杭州第一技师学院物业服务采购项目</w:t>
      </w:r>
      <w:r>
        <w:rPr>
          <w:rFonts w:hint="eastAsia" w:ascii="宋体" w:hAnsi="宋体" w:cs="宋体"/>
          <w:color w:val="auto"/>
          <w:sz w:val="24"/>
        </w:rPr>
        <w:t>【招标编号：</w:t>
      </w:r>
      <w:r>
        <w:rPr>
          <w:rFonts w:hint="eastAsia" w:ascii="宋体" w:hAnsi="宋体" w:cs="宋体"/>
          <w:color w:val="auto"/>
          <w:sz w:val="24"/>
          <w:lang w:eastAsia="zh-CN"/>
        </w:rPr>
        <w:t>HZZFCG-2022-207(2)</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8" w:name="_Hlk101257010"/>
      <w:r>
        <w:rPr>
          <w:rFonts w:hint="eastAsia" w:ascii="宋体" w:hAnsi="宋体" w:cs="宋体"/>
          <w:color w:val="auto"/>
          <w:sz w:val="24"/>
        </w:rPr>
        <w:t>（如果有)</w:t>
      </w:r>
      <w:bookmarkEnd w:id="508"/>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2"/>
        <w:rPr>
          <w:color w:val="auto"/>
          <w:lang w:val="en-US"/>
        </w:rPr>
      </w:pPr>
    </w:p>
    <w:p>
      <w:pPr>
        <w:rPr>
          <w:color w:val="auto"/>
          <w:lang w:val="en-US"/>
        </w:rPr>
      </w:pPr>
    </w:p>
    <w:p>
      <w:pPr>
        <w:pStyle w:val="2"/>
        <w:rPr>
          <w:color w:val="auto"/>
          <w:lang w:val="en-US"/>
        </w:rPr>
      </w:pPr>
    </w:p>
    <w:p>
      <w:pPr>
        <w:jc w:val="center"/>
        <w:rPr>
          <w:rFonts w:ascii="宋体" w:hAnsi="宋体" w:cs="宋体"/>
          <w:b/>
          <w:color w:val="auto"/>
          <w:kern w:val="0"/>
          <w:sz w:val="32"/>
          <w:szCs w:val="32"/>
        </w:rPr>
      </w:pPr>
    </w:p>
    <w:p>
      <w:pPr>
        <w:pStyle w:val="60"/>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杭州第一技师学院</w:t>
      </w:r>
      <w:r>
        <w:rPr>
          <w:rFonts w:hint="eastAsia" w:ascii="宋体" w:hAnsi="宋体" w:cs="宋体"/>
          <w:color w:val="auto"/>
          <w:sz w:val="24"/>
        </w:rPr>
        <w:t>、杭州市公共资源交易中心（杭州市政府采购中心）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杭州第一技师学院物业服务采购项目</w:t>
      </w:r>
      <w:r>
        <w:rPr>
          <w:rFonts w:hint="eastAsia" w:ascii="宋体" w:hAnsi="宋体" w:cs="宋体"/>
          <w:color w:val="auto"/>
          <w:sz w:val="24"/>
        </w:rPr>
        <w:t>【招标编号：</w:t>
      </w:r>
      <w:r>
        <w:rPr>
          <w:rFonts w:hint="eastAsia" w:ascii="宋体" w:hAnsi="宋体" w:cs="宋体"/>
          <w:color w:val="auto"/>
          <w:sz w:val="24"/>
          <w:lang w:eastAsia="zh-CN"/>
        </w:rPr>
        <w:t>HZZFCG-2022-207(2)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杭州第一技师学院</w:t>
      </w:r>
      <w:r>
        <w:rPr>
          <w:rFonts w:hint="eastAsia" w:ascii="宋体" w:hAnsi="宋体" w:cs="宋体"/>
          <w:color w:val="auto"/>
          <w:sz w:val="24"/>
        </w:rPr>
        <w:t>、杭州市公共资源交易中心（杭州市政府采购中心）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杭州第一技师学院物业服务采购项目</w:t>
      </w:r>
      <w:r>
        <w:rPr>
          <w:rFonts w:hint="eastAsia" w:ascii="宋体" w:hAnsi="宋体" w:cs="宋体"/>
          <w:color w:val="auto"/>
          <w:sz w:val="24"/>
        </w:rPr>
        <w:t>【招标编号：</w:t>
      </w:r>
      <w:r>
        <w:rPr>
          <w:rFonts w:hint="eastAsia" w:ascii="宋体" w:hAnsi="宋体" w:cs="宋体"/>
          <w:color w:val="auto"/>
          <w:sz w:val="24"/>
          <w:lang w:eastAsia="zh-CN"/>
        </w:rPr>
        <w:t>HZZFCG-2022-207(2)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pStyle w:val="60"/>
        <w:rPr>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rPr>
            </w:pPr>
            <w:r>
              <w:rPr>
                <w:rFonts w:hint="eastAsia" w:hAnsi="宋体" w:cs="宋体"/>
                <w:bCs/>
                <w:color w:val="auto"/>
                <w:sz w:val="24"/>
              </w:rPr>
              <w:t>正面：                                 反面：</w:t>
            </w:r>
          </w:p>
          <w:p>
            <w:pPr>
              <w:pStyle w:val="146"/>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杭州第一技师学院</w:t>
      </w:r>
      <w:r>
        <w:rPr>
          <w:rFonts w:hint="eastAsia" w:ascii="宋体" w:hAnsi="宋体" w:cs="宋体"/>
          <w:color w:val="auto"/>
          <w:sz w:val="24"/>
        </w:rPr>
        <w:t>、杭州市公共资源交易中心（杭州市政府采购中心）</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杭州第一技师学院</w:t>
      </w:r>
      <w:r>
        <w:rPr>
          <w:rFonts w:hint="eastAsia" w:ascii="宋体" w:hAnsi="宋体" w:cs="宋体"/>
          <w:color w:val="auto"/>
          <w:sz w:val="24"/>
        </w:rPr>
        <w:t>、杭州市公共资源交易中心（杭州市政府采购中心）</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杭州第一技师学院物业服务采购项目</w:t>
      </w:r>
      <w:r>
        <w:rPr>
          <w:rFonts w:hint="eastAsia" w:ascii="宋体" w:hAnsi="宋体" w:cs="宋体"/>
          <w:color w:val="auto"/>
          <w:kern w:val="0"/>
          <w:sz w:val="24"/>
          <w:lang w:val="zh-CN"/>
        </w:rPr>
        <w:t>【招标编号：</w:t>
      </w:r>
      <w:r>
        <w:rPr>
          <w:rFonts w:hint="eastAsia" w:ascii="宋体" w:hAnsi="宋体" w:cs="宋体"/>
          <w:color w:val="auto"/>
          <w:sz w:val="24"/>
          <w:lang w:eastAsia="zh-CN"/>
        </w:rPr>
        <w:t>HZZFCG-2022-207(2)</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10"/>
        <w:gridCol w:w="1725"/>
        <w:gridCol w:w="2355"/>
        <w:gridCol w:w="1365"/>
        <w:gridCol w:w="1995"/>
        <w:gridCol w:w="1541"/>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32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725"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35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136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199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41"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1834"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3210" w:type="dxa"/>
            <w:vAlign w:val="center"/>
          </w:tcPr>
          <w:p>
            <w:pPr>
              <w:snapToGrid w:val="0"/>
              <w:spacing w:line="320" w:lineRule="exact"/>
              <w:jc w:val="left"/>
              <w:rPr>
                <w:rFonts w:ascii="宋体" w:hAnsi="宋体" w:cs="宋体"/>
                <w:color w:val="auto"/>
                <w:sz w:val="24"/>
              </w:rPr>
            </w:pPr>
            <w:r>
              <w:rPr>
                <w:rFonts w:hint="eastAsia" w:ascii="宋体" w:hAnsi="宋体" w:eastAsia="宋体" w:cs="宋体"/>
                <w:color w:val="auto"/>
                <w:sz w:val="24"/>
                <w:highlight w:val="none"/>
                <w:lang w:val="zh-CN"/>
              </w:rPr>
              <w:t>安保消控</w:t>
            </w:r>
            <w:r>
              <w:rPr>
                <w:rFonts w:hint="eastAsia" w:ascii="宋体" w:hAnsi="宋体" w:eastAsia="宋体" w:cs="宋体"/>
                <w:color w:val="auto"/>
                <w:sz w:val="24"/>
                <w:highlight w:val="none"/>
              </w:rPr>
              <w:t>（包括门卫值班及秩序管理、消控与监控室管理和值班、微型消防站建设与管理、车辆出入和停车管理、收发管理及服务、消监控设施维护管理等）</w:t>
            </w:r>
          </w:p>
        </w:tc>
        <w:tc>
          <w:tcPr>
            <w:tcW w:w="1725" w:type="dxa"/>
            <w:vAlign w:val="center"/>
          </w:tcPr>
          <w:p>
            <w:pPr>
              <w:snapToGrid w:val="0"/>
              <w:spacing w:line="360" w:lineRule="auto"/>
              <w:jc w:val="center"/>
              <w:rPr>
                <w:rFonts w:ascii="宋体" w:hAnsi="宋体" w:cs="宋体"/>
                <w:color w:val="auto"/>
                <w:sz w:val="24"/>
              </w:rPr>
            </w:pPr>
          </w:p>
        </w:tc>
        <w:tc>
          <w:tcPr>
            <w:tcW w:w="2355" w:type="dxa"/>
            <w:vAlign w:val="center"/>
          </w:tcPr>
          <w:p>
            <w:pPr>
              <w:snapToGrid w:val="0"/>
              <w:spacing w:line="360" w:lineRule="auto"/>
              <w:jc w:val="center"/>
              <w:rPr>
                <w:rFonts w:ascii="宋体" w:hAnsi="宋体" w:cs="宋体"/>
                <w:color w:val="auto"/>
                <w:sz w:val="24"/>
              </w:rPr>
            </w:pPr>
          </w:p>
        </w:tc>
        <w:tc>
          <w:tcPr>
            <w:tcW w:w="1365" w:type="dxa"/>
            <w:vAlign w:val="center"/>
          </w:tcPr>
          <w:p>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12个月</w:t>
            </w:r>
          </w:p>
        </w:tc>
        <w:tc>
          <w:tcPr>
            <w:tcW w:w="1995" w:type="dxa"/>
            <w:vAlign w:val="center"/>
          </w:tcPr>
          <w:p>
            <w:pPr>
              <w:spacing w:line="360" w:lineRule="auto"/>
              <w:jc w:val="center"/>
              <w:rPr>
                <w:rFonts w:ascii="宋体" w:hAnsi="宋体" w:cs="宋体"/>
                <w:color w:val="auto"/>
                <w:sz w:val="24"/>
              </w:rPr>
            </w:pPr>
          </w:p>
        </w:tc>
        <w:tc>
          <w:tcPr>
            <w:tcW w:w="1541" w:type="dxa"/>
          </w:tcPr>
          <w:p>
            <w:pPr>
              <w:spacing w:line="360" w:lineRule="auto"/>
              <w:jc w:val="center"/>
              <w:rPr>
                <w:rFonts w:ascii="宋体" w:hAnsi="宋体" w:cs="宋体"/>
                <w:color w:val="auto"/>
                <w:sz w:val="24"/>
              </w:rPr>
            </w:pPr>
          </w:p>
        </w:tc>
        <w:tc>
          <w:tcPr>
            <w:tcW w:w="1834"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3210" w:type="dxa"/>
            <w:vAlign w:val="center"/>
          </w:tcPr>
          <w:p>
            <w:pPr>
              <w:snapToGrid w:val="0"/>
              <w:spacing w:line="320" w:lineRule="exact"/>
              <w:jc w:val="left"/>
              <w:rPr>
                <w:rFonts w:ascii="宋体" w:hAnsi="宋体" w:cs="宋体"/>
                <w:color w:val="auto"/>
                <w:sz w:val="24"/>
              </w:rPr>
            </w:pPr>
            <w:r>
              <w:rPr>
                <w:rFonts w:hint="eastAsia" w:ascii="宋体" w:hAnsi="宋体" w:eastAsia="宋体" w:cs="宋体"/>
                <w:color w:val="auto"/>
                <w:sz w:val="24"/>
                <w:highlight w:val="none"/>
                <w:lang w:val="zh-CN"/>
              </w:rPr>
              <w:t>清卫保洁</w:t>
            </w:r>
            <w:r>
              <w:rPr>
                <w:rFonts w:hint="eastAsia" w:ascii="宋体" w:hAnsi="宋体" w:eastAsia="宋体" w:cs="宋体"/>
                <w:color w:val="auto"/>
                <w:sz w:val="24"/>
                <w:highlight w:val="none"/>
              </w:rPr>
              <w:t>（包括物业范围日常保洁保养，垃圾分类管理和垃圾清运，灭“四害”和环境消杀，白蚁防治等）</w:t>
            </w:r>
          </w:p>
        </w:tc>
        <w:tc>
          <w:tcPr>
            <w:tcW w:w="1725" w:type="dxa"/>
            <w:vAlign w:val="center"/>
          </w:tcPr>
          <w:p>
            <w:pPr>
              <w:snapToGrid w:val="0"/>
              <w:spacing w:line="360" w:lineRule="auto"/>
              <w:jc w:val="center"/>
              <w:rPr>
                <w:rFonts w:ascii="宋体" w:hAnsi="宋体" w:cs="宋体"/>
                <w:color w:val="auto"/>
                <w:sz w:val="24"/>
              </w:rPr>
            </w:pPr>
          </w:p>
        </w:tc>
        <w:tc>
          <w:tcPr>
            <w:tcW w:w="2355" w:type="dxa"/>
            <w:vAlign w:val="center"/>
          </w:tcPr>
          <w:p>
            <w:pPr>
              <w:snapToGrid w:val="0"/>
              <w:spacing w:line="360" w:lineRule="auto"/>
              <w:jc w:val="center"/>
              <w:rPr>
                <w:rFonts w:ascii="宋体" w:hAnsi="宋体" w:cs="宋体"/>
                <w:color w:val="auto"/>
                <w:sz w:val="24"/>
              </w:rPr>
            </w:pPr>
          </w:p>
        </w:tc>
        <w:tc>
          <w:tcPr>
            <w:tcW w:w="1365"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12个月</w:t>
            </w:r>
          </w:p>
        </w:tc>
        <w:tc>
          <w:tcPr>
            <w:tcW w:w="1995" w:type="dxa"/>
            <w:vAlign w:val="center"/>
          </w:tcPr>
          <w:p>
            <w:pPr>
              <w:spacing w:line="360" w:lineRule="auto"/>
              <w:jc w:val="center"/>
              <w:rPr>
                <w:rFonts w:ascii="宋体" w:hAnsi="宋体" w:cs="宋体"/>
                <w:color w:val="auto"/>
                <w:sz w:val="24"/>
              </w:rPr>
            </w:pPr>
          </w:p>
        </w:tc>
        <w:tc>
          <w:tcPr>
            <w:tcW w:w="1541" w:type="dxa"/>
          </w:tcPr>
          <w:p>
            <w:pPr>
              <w:spacing w:line="360" w:lineRule="auto"/>
              <w:jc w:val="center"/>
              <w:rPr>
                <w:rFonts w:ascii="宋体" w:hAnsi="宋体" w:cs="宋体"/>
                <w:color w:val="auto"/>
                <w:sz w:val="24"/>
              </w:rPr>
            </w:pPr>
          </w:p>
        </w:tc>
        <w:tc>
          <w:tcPr>
            <w:tcW w:w="1834"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ind w:firstLine="240" w:firstLineChars="100"/>
              <w:jc w:val="both"/>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3210" w:type="dxa"/>
            <w:vAlign w:val="center"/>
          </w:tcPr>
          <w:p>
            <w:pPr>
              <w:snapToGrid w:val="0"/>
              <w:spacing w:line="320" w:lineRule="exact"/>
              <w:jc w:val="left"/>
              <w:rPr>
                <w:rFonts w:ascii="宋体" w:hAnsi="宋体" w:cs="宋体"/>
                <w:color w:val="auto"/>
                <w:sz w:val="24"/>
              </w:rPr>
            </w:pPr>
            <w:r>
              <w:rPr>
                <w:rFonts w:hint="eastAsia" w:ascii="宋体" w:hAnsi="宋体" w:eastAsia="宋体" w:cs="宋体"/>
                <w:color w:val="auto"/>
                <w:sz w:val="24"/>
                <w:highlight w:val="none"/>
                <w:lang w:val="zh-CN"/>
              </w:rPr>
              <w:t>绿化养护</w:t>
            </w:r>
            <w:r>
              <w:rPr>
                <w:rFonts w:hint="eastAsia" w:ascii="宋体" w:hAnsi="宋体" w:eastAsia="宋体" w:cs="宋体"/>
                <w:color w:val="auto"/>
                <w:sz w:val="24"/>
                <w:highlight w:val="none"/>
              </w:rPr>
              <w:t>（包括绿化植物日常养护和管理、绿化植物补种，观叶植物布置，花镜布置，山林日常维护和防火等）</w:t>
            </w:r>
          </w:p>
        </w:tc>
        <w:tc>
          <w:tcPr>
            <w:tcW w:w="1725" w:type="dxa"/>
            <w:vAlign w:val="center"/>
          </w:tcPr>
          <w:p>
            <w:pPr>
              <w:snapToGrid w:val="0"/>
              <w:spacing w:line="360" w:lineRule="auto"/>
              <w:jc w:val="center"/>
              <w:rPr>
                <w:rFonts w:ascii="宋体" w:hAnsi="宋体" w:cs="宋体"/>
                <w:color w:val="auto"/>
                <w:sz w:val="24"/>
              </w:rPr>
            </w:pPr>
          </w:p>
        </w:tc>
        <w:tc>
          <w:tcPr>
            <w:tcW w:w="2355" w:type="dxa"/>
            <w:vAlign w:val="center"/>
          </w:tcPr>
          <w:p>
            <w:pPr>
              <w:snapToGrid w:val="0"/>
              <w:spacing w:line="360" w:lineRule="auto"/>
              <w:jc w:val="center"/>
              <w:rPr>
                <w:rFonts w:ascii="宋体" w:hAnsi="宋体" w:cs="宋体"/>
                <w:color w:val="auto"/>
                <w:sz w:val="24"/>
              </w:rPr>
            </w:pPr>
          </w:p>
        </w:tc>
        <w:tc>
          <w:tcPr>
            <w:tcW w:w="1365"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12个月</w:t>
            </w:r>
          </w:p>
        </w:tc>
        <w:tc>
          <w:tcPr>
            <w:tcW w:w="1995" w:type="dxa"/>
            <w:vAlign w:val="center"/>
          </w:tcPr>
          <w:p>
            <w:pPr>
              <w:spacing w:line="360" w:lineRule="auto"/>
              <w:jc w:val="center"/>
              <w:rPr>
                <w:rFonts w:ascii="宋体" w:hAnsi="宋体" w:cs="宋体"/>
                <w:color w:val="auto"/>
                <w:sz w:val="24"/>
              </w:rPr>
            </w:pPr>
          </w:p>
        </w:tc>
        <w:tc>
          <w:tcPr>
            <w:tcW w:w="1541" w:type="dxa"/>
          </w:tcPr>
          <w:p>
            <w:pPr>
              <w:spacing w:line="360" w:lineRule="auto"/>
              <w:jc w:val="center"/>
              <w:rPr>
                <w:rFonts w:ascii="宋体" w:hAnsi="宋体" w:cs="宋体"/>
                <w:color w:val="auto"/>
                <w:sz w:val="24"/>
              </w:rPr>
            </w:pPr>
          </w:p>
        </w:tc>
        <w:tc>
          <w:tcPr>
            <w:tcW w:w="1834"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3210" w:type="dxa"/>
            <w:vAlign w:val="center"/>
          </w:tcPr>
          <w:p>
            <w:pPr>
              <w:snapToGrid w:val="0"/>
              <w:spacing w:line="320" w:lineRule="exact"/>
              <w:jc w:val="left"/>
              <w:rPr>
                <w:rFonts w:ascii="宋体" w:hAnsi="宋体" w:cs="宋体"/>
                <w:color w:val="auto"/>
                <w:sz w:val="24"/>
              </w:rPr>
            </w:pPr>
            <w:r>
              <w:rPr>
                <w:rFonts w:hint="eastAsia" w:ascii="宋体" w:hAnsi="宋体" w:eastAsia="宋体" w:cs="宋体"/>
                <w:color w:val="auto"/>
                <w:sz w:val="24"/>
                <w:highlight w:val="none"/>
                <w:lang w:val="zh-CN"/>
              </w:rPr>
              <w:t>工程设备维护</w:t>
            </w:r>
            <w:r>
              <w:rPr>
                <w:rFonts w:hint="eastAsia" w:ascii="宋体" w:hAnsi="宋体" w:eastAsia="宋体" w:cs="宋体"/>
                <w:color w:val="auto"/>
                <w:sz w:val="24"/>
                <w:highlight w:val="none"/>
              </w:rPr>
              <w:t>（包括房屋和道路日常维修维护、给排水系统维护保养维修、公共照明与综合维修、空调拆移机及维修保养、高配室值班与设备维护、广电系统维护保养等；电梯维保维修与年检等）</w:t>
            </w:r>
          </w:p>
        </w:tc>
        <w:tc>
          <w:tcPr>
            <w:tcW w:w="1725" w:type="dxa"/>
            <w:vAlign w:val="center"/>
          </w:tcPr>
          <w:p>
            <w:pPr>
              <w:snapToGrid w:val="0"/>
              <w:spacing w:line="360" w:lineRule="auto"/>
              <w:jc w:val="center"/>
              <w:rPr>
                <w:rFonts w:ascii="宋体" w:hAnsi="宋体" w:cs="宋体"/>
                <w:color w:val="auto"/>
                <w:sz w:val="24"/>
              </w:rPr>
            </w:pPr>
          </w:p>
        </w:tc>
        <w:tc>
          <w:tcPr>
            <w:tcW w:w="2355" w:type="dxa"/>
            <w:vAlign w:val="center"/>
          </w:tcPr>
          <w:p>
            <w:pPr>
              <w:snapToGrid w:val="0"/>
              <w:spacing w:line="360" w:lineRule="auto"/>
              <w:jc w:val="center"/>
              <w:rPr>
                <w:rFonts w:ascii="宋体" w:hAnsi="宋体" w:cs="宋体"/>
                <w:color w:val="auto"/>
                <w:sz w:val="24"/>
              </w:rPr>
            </w:pPr>
          </w:p>
        </w:tc>
        <w:tc>
          <w:tcPr>
            <w:tcW w:w="1365"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12个月</w:t>
            </w:r>
          </w:p>
        </w:tc>
        <w:tc>
          <w:tcPr>
            <w:tcW w:w="1995" w:type="dxa"/>
            <w:vAlign w:val="center"/>
          </w:tcPr>
          <w:p>
            <w:pPr>
              <w:spacing w:line="360" w:lineRule="auto"/>
              <w:jc w:val="center"/>
              <w:rPr>
                <w:rFonts w:ascii="宋体" w:hAnsi="宋体" w:cs="宋体"/>
                <w:color w:val="auto"/>
                <w:sz w:val="24"/>
              </w:rPr>
            </w:pPr>
          </w:p>
        </w:tc>
        <w:tc>
          <w:tcPr>
            <w:tcW w:w="1541" w:type="dxa"/>
          </w:tcPr>
          <w:p>
            <w:pPr>
              <w:spacing w:line="360" w:lineRule="auto"/>
              <w:jc w:val="center"/>
              <w:rPr>
                <w:rFonts w:ascii="宋体" w:hAnsi="宋体" w:cs="宋体"/>
                <w:color w:val="auto"/>
                <w:sz w:val="24"/>
              </w:rPr>
            </w:pPr>
          </w:p>
        </w:tc>
        <w:tc>
          <w:tcPr>
            <w:tcW w:w="1834"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3210" w:type="dxa"/>
            <w:vAlign w:val="center"/>
          </w:tcPr>
          <w:p>
            <w:pPr>
              <w:snapToGrid w:val="0"/>
              <w:spacing w:line="320" w:lineRule="exact"/>
              <w:jc w:val="left"/>
              <w:rPr>
                <w:rFonts w:ascii="宋体" w:hAnsi="宋体" w:cs="宋体"/>
                <w:color w:val="auto"/>
                <w:sz w:val="24"/>
              </w:rPr>
            </w:pPr>
            <w:r>
              <w:rPr>
                <w:rFonts w:hint="eastAsia" w:ascii="宋体" w:hAnsi="宋体" w:eastAsia="宋体" w:cs="宋体"/>
                <w:color w:val="auto"/>
                <w:sz w:val="24"/>
                <w:highlight w:val="none"/>
                <w:lang w:val="zh-CN"/>
              </w:rPr>
              <w:t>学生公寓管理（包括</w:t>
            </w:r>
            <w:r>
              <w:rPr>
                <w:rFonts w:hint="eastAsia" w:ascii="宋体" w:hAnsi="宋体" w:eastAsia="宋体" w:cs="宋体"/>
                <w:color w:val="auto"/>
                <w:sz w:val="24"/>
                <w:highlight w:val="none"/>
              </w:rPr>
              <w:t>学生公寓值班服务，卫生管理，学生行为管理引导，公寓文化建设，安全管理，设施管理等</w:t>
            </w:r>
            <w:r>
              <w:rPr>
                <w:rFonts w:hint="eastAsia" w:ascii="宋体" w:hAnsi="宋体" w:eastAsia="宋体" w:cs="宋体"/>
                <w:color w:val="auto"/>
                <w:sz w:val="24"/>
                <w:highlight w:val="none"/>
                <w:lang w:val="zh-CN"/>
              </w:rPr>
              <w:t>）</w:t>
            </w:r>
          </w:p>
        </w:tc>
        <w:tc>
          <w:tcPr>
            <w:tcW w:w="1725" w:type="dxa"/>
            <w:vAlign w:val="center"/>
          </w:tcPr>
          <w:p>
            <w:pPr>
              <w:snapToGrid w:val="0"/>
              <w:spacing w:line="360" w:lineRule="auto"/>
              <w:jc w:val="center"/>
              <w:rPr>
                <w:rFonts w:ascii="宋体" w:hAnsi="宋体" w:cs="宋体"/>
                <w:color w:val="auto"/>
                <w:sz w:val="24"/>
              </w:rPr>
            </w:pPr>
          </w:p>
        </w:tc>
        <w:tc>
          <w:tcPr>
            <w:tcW w:w="2355" w:type="dxa"/>
            <w:vAlign w:val="center"/>
          </w:tcPr>
          <w:p>
            <w:pPr>
              <w:snapToGrid w:val="0"/>
              <w:spacing w:line="360" w:lineRule="auto"/>
              <w:jc w:val="center"/>
              <w:rPr>
                <w:rFonts w:ascii="宋体" w:hAnsi="宋体" w:cs="宋体"/>
                <w:color w:val="auto"/>
                <w:sz w:val="24"/>
              </w:rPr>
            </w:pPr>
          </w:p>
        </w:tc>
        <w:tc>
          <w:tcPr>
            <w:tcW w:w="1365"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12个月</w:t>
            </w:r>
          </w:p>
        </w:tc>
        <w:tc>
          <w:tcPr>
            <w:tcW w:w="1995" w:type="dxa"/>
            <w:vAlign w:val="center"/>
          </w:tcPr>
          <w:p>
            <w:pPr>
              <w:spacing w:line="360" w:lineRule="auto"/>
              <w:jc w:val="center"/>
              <w:rPr>
                <w:rFonts w:ascii="宋体" w:hAnsi="宋体" w:cs="宋体"/>
                <w:color w:val="auto"/>
                <w:sz w:val="24"/>
              </w:rPr>
            </w:pPr>
          </w:p>
        </w:tc>
        <w:tc>
          <w:tcPr>
            <w:tcW w:w="1541" w:type="dxa"/>
          </w:tcPr>
          <w:p>
            <w:pPr>
              <w:spacing w:line="360" w:lineRule="auto"/>
              <w:jc w:val="center"/>
              <w:rPr>
                <w:rFonts w:ascii="宋体" w:hAnsi="宋体" w:cs="宋体"/>
                <w:color w:val="auto"/>
                <w:sz w:val="24"/>
              </w:rPr>
            </w:pPr>
          </w:p>
        </w:tc>
        <w:tc>
          <w:tcPr>
            <w:tcW w:w="1834"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6</w:t>
            </w:r>
          </w:p>
        </w:tc>
        <w:tc>
          <w:tcPr>
            <w:tcW w:w="3210" w:type="dxa"/>
            <w:vAlign w:val="center"/>
          </w:tcPr>
          <w:p>
            <w:pPr>
              <w:snapToGrid w:val="0"/>
              <w:spacing w:line="320" w:lineRule="exact"/>
              <w:jc w:val="left"/>
              <w:rPr>
                <w:rFonts w:ascii="宋体" w:hAnsi="宋体" w:cs="宋体"/>
                <w:color w:val="auto"/>
                <w:sz w:val="24"/>
              </w:rPr>
            </w:pPr>
            <w:r>
              <w:rPr>
                <w:rFonts w:hint="eastAsia" w:ascii="宋体" w:hAnsi="宋体" w:eastAsia="宋体" w:cs="宋体"/>
                <w:color w:val="auto"/>
                <w:sz w:val="24"/>
                <w:highlight w:val="none"/>
                <w:lang w:val="zh-CN"/>
              </w:rPr>
              <w:t>活动服务保障、疫情防控和其他</w:t>
            </w:r>
          </w:p>
        </w:tc>
        <w:tc>
          <w:tcPr>
            <w:tcW w:w="1725" w:type="dxa"/>
            <w:vAlign w:val="center"/>
          </w:tcPr>
          <w:p>
            <w:pPr>
              <w:snapToGrid w:val="0"/>
              <w:spacing w:line="360" w:lineRule="auto"/>
              <w:jc w:val="center"/>
              <w:rPr>
                <w:rFonts w:ascii="宋体" w:hAnsi="宋体" w:cs="宋体"/>
                <w:color w:val="auto"/>
                <w:sz w:val="24"/>
              </w:rPr>
            </w:pPr>
          </w:p>
        </w:tc>
        <w:tc>
          <w:tcPr>
            <w:tcW w:w="2355" w:type="dxa"/>
            <w:vAlign w:val="center"/>
          </w:tcPr>
          <w:p>
            <w:pPr>
              <w:snapToGrid w:val="0"/>
              <w:spacing w:line="360" w:lineRule="auto"/>
              <w:jc w:val="center"/>
              <w:rPr>
                <w:rFonts w:ascii="宋体" w:hAnsi="宋体" w:cs="宋体"/>
                <w:color w:val="auto"/>
                <w:sz w:val="24"/>
              </w:rPr>
            </w:pPr>
          </w:p>
        </w:tc>
        <w:tc>
          <w:tcPr>
            <w:tcW w:w="1365"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12个月</w:t>
            </w:r>
          </w:p>
        </w:tc>
        <w:tc>
          <w:tcPr>
            <w:tcW w:w="1995" w:type="dxa"/>
            <w:vAlign w:val="center"/>
          </w:tcPr>
          <w:p>
            <w:pPr>
              <w:spacing w:line="360" w:lineRule="auto"/>
              <w:jc w:val="center"/>
              <w:rPr>
                <w:rFonts w:ascii="宋体" w:hAnsi="宋体" w:cs="宋体"/>
                <w:color w:val="auto"/>
                <w:sz w:val="24"/>
              </w:rPr>
            </w:pPr>
          </w:p>
        </w:tc>
        <w:tc>
          <w:tcPr>
            <w:tcW w:w="1541" w:type="dxa"/>
          </w:tcPr>
          <w:p>
            <w:pPr>
              <w:spacing w:line="360" w:lineRule="auto"/>
              <w:jc w:val="center"/>
              <w:rPr>
                <w:rFonts w:ascii="宋体" w:hAnsi="宋体" w:cs="宋体"/>
                <w:color w:val="auto"/>
                <w:sz w:val="24"/>
              </w:rPr>
            </w:pPr>
          </w:p>
        </w:tc>
        <w:tc>
          <w:tcPr>
            <w:tcW w:w="1834"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7</w:t>
            </w:r>
          </w:p>
        </w:tc>
        <w:tc>
          <w:tcPr>
            <w:tcW w:w="3210" w:type="dxa"/>
            <w:vAlign w:val="center"/>
          </w:tcPr>
          <w:p>
            <w:pPr>
              <w:snapToGrid w:val="0"/>
              <w:spacing w:line="320" w:lineRule="exact"/>
              <w:jc w:val="left"/>
              <w:rPr>
                <w:rFonts w:ascii="宋体" w:hAnsi="宋体" w:cs="宋体"/>
                <w:color w:val="auto"/>
                <w:sz w:val="24"/>
              </w:rPr>
            </w:pPr>
            <w:r>
              <w:rPr>
                <w:rFonts w:hint="eastAsia" w:ascii="宋体" w:hAnsi="宋体" w:eastAsia="宋体" w:cs="宋体"/>
                <w:color w:val="auto"/>
                <w:sz w:val="24"/>
                <w:highlight w:val="none"/>
                <w:lang w:val="zh-CN"/>
              </w:rPr>
              <w:t>其他</w:t>
            </w:r>
          </w:p>
        </w:tc>
        <w:tc>
          <w:tcPr>
            <w:tcW w:w="1725" w:type="dxa"/>
            <w:vAlign w:val="center"/>
          </w:tcPr>
          <w:p>
            <w:pPr>
              <w:snapToGrid w:val="0"/>
              <w:spacing w:line="360" w:lineRule="auto"/>
              <w:jc w:val="center"/>
              <w:rPr>
                <w:rFonts w:ascii="宋体" w:hAnsi="宋体" w:cs="宋体"/>
                <w:color w:val="auto"/>
                <w:sz w:val="24"/>
              </w:rPr>
            </w:pPr>
          </w:p>
        </w:tc>
        <w:tc>
          <w:tcPr>
            <w:tcW w:w="2355" w:type="dxa"/>
            <w:vAlign w:val="center"/>
          </w:tcPr>
          <w:p>
            <w:pPr>
              <w:snapToGrid w:val="0"/>
              <w:spacing w:line="360" w:lineRule="auto"/>
              <w:jc w:val="center"/>
              <w:rPr>
                <w:rFonts w:ascii="宋体" w:hAnsi="宋体" w:cs="宋体"/>
                <w:color w:val="auto"/>
                <w:sz w:val="24"/>
              </w:rPr>
            </w:pPr>
          </w:p>
        </w:tc>
        <w:tc>
          <w:tcPr>
            <w:tcW w:w="1365"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12个月</w:t>
            </w:r>
          </w:p>
        </w:tc>
        <w:tc>
          <w:tcPr>
            <w:tcW w:w="1995" w:type="dxa"/>
            <w:vAlign w:val="center"/>
          </w:tcPr>
          <w:p>
            <w:pPr>
              <w:spacing w:line="360" w:lineRule="auto"/>
              <w:jc w:val="center"/>
              <w:rPr>
                <w:rFonts w:ascii="宋体" w:hAnsi="宋体" w:cs="宋体"/>
                <w:color w:val="auto"/>
                <w:sz w:val="24"/>
              </w:rPr>
            </w:pPr>
          </w:p>
        </w:tc>
        <w:tc>
          <w:tcPr>
            <w:tcW w:w="1541" w:type="dxa"/>
          </w:tcPr>
          <w:p>
            <w:pPr>
              <w:spacing w:line="360" w:lineRule="auto"/>
              <w:jc w:val="center"/>
              <w:rPr>
                <w:rFonts w:ascii="宋体" w:hAnsi="宋体" w:cs="宋体"/>
                <w:color w:val="auto"/>
                <w:sz w:val="24"/>
              </w:rPr>
            </w:pPr>
          </w:p>
        </w:tc>
        <w:tc>
          <w:tcPr>
            <w:tcW w:w="1834"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0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6735"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0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6735"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tabs>
          <w:tab w:val="left" w:pos="8085"/>
        </w:tabs>
        <w:spacing w:line="360" w:lineRule="auto"/>
        <w:ind w:firstLine="1285" w:firstLineChars="400"/>
        <w:jc w:val="left"/>
        <w:rPr>
          <w:rFonts w:ascii="宋体" w:hAnsi="宋体" w:cs="宋体"/>
          <w:b/>
          <w:color w:val="auto"/>
          <w:sz w:val="32"/>
          <w:szCs w:val="32"/>
        </w:rPr>
      </w:pPr>
      <w:r>
        <w:rPr>
          <w:rFonts w:hint="eastAsia" w:ascii="宋体" w:hAnsi="宋体" w:cs="宋体"/>
          <w:b/>
          <w:color w:val="auto"/>
          <w:sz w:val="32"/>
          <w:szCs w:val="32"/>
        </w:rPr>
        <w:t>政府采购支持中小企业信用融资相关事项通知</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color w:val="auto"/>
          <w:kern w:val="0"/>
          <w:sz w:val="24"/>
          <w:lang w:val="zh-CN"/>
        </w:rPr>
      </w:pPr>
      <w:r>
        <w:rPr>
          <w:rFonts w:hint="eastAsia" w:ascii="宋体" w:hAnsi="宋体" w:cs="宋体"/>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color w:val="auto"/>
          <w:sz w:val="24"/>
        </w:rPr>
      </w:pPr>
      <w:r>
        <w:rPr>
          <w:rFonts w:hint="eastAsia" w:ascii="宋体" w:hAnsi="宋体" w:cs="宋体"/>
          <w:b/>
          <w:color w:val="auto"/>
          <w:sz w:val="24"/>
        </w:rPr>
        <w:t>一、适用对象</w:t>
      </w:r>
    </w:p>
    <w:p>
      <w:pPr>
        <w:spacing w:line="360" w:lineRule="auto"/>
        <w:ind w:firstLine="480" w:firstLineChars="200"/>
        <w:rPr>
          <w:rFonts w:ascii="宋体" w:hAnsi="宋体" w:cs="宋体"/>
          <w:color w:val="auto"/>
          <w:sz w:val="24"/>
        </w:rPr>
      </w:pPr>
      <w:r>
        <w:rPr>
          <w:rFonts w:hint="eastAsia" w:ascii="宋体" w:hAnsi="宋体" w:cs="宋体"/>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color w:val="auto"/>
          <w:sz w:val="24"/>
        </w:rPr>
      </w:pPr>
      <w:r>
        <w:rPr>
          <w:rFonts w:hint="eastAsia" w:ascii="宋体" w:hAnsi="宋体" w:cs="宋体"/>
          <w:b/>
          <w:color w:val="auto"/>
          <w:sz w:val="24"/>
        </w:rPr>
        <w:t>二、相关信息获取方式</w:t>
      </w:r>
    </w:p>
    <w:p>
      <w:pPr>
        <w:spacing w:line="360" w:lineRule="auto"/>
        <w:ind w:firstLine="480" w:firstLineChars="200"/>
        <w:rPr>
          <w:rFonts w:ascii="宋体" w:hAnsi="宋体" w:cs="宋体"/>
          <w:color w:val="auto"/>
          <w:sz w:val="24"/>
        </w:rPr>
      </w:pPr>
      <w:r>
        <w:rPr>
          <w:rFonts w:hint="eastAsia" w:ascii="宋体" w:hAnsi="宋体" w:cs="宋体"/>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color w:val="auto"/>
          <w:sz w:val="24"/>
        </w:rPr>
      </w:pPr>
      <w:r>
        <w:rPr>
          <w:rFonts w:hint="eastAsia" w:ascii="宋体" w:hAnsi="宋体" w:cs="宋体"/>
          <w:b/>
          <w:color w:val="auto"/>
          <w:sz w:val="24"/>
        </w:rPr>
        <w:t>三、　政府采购信用融资操作流程：</w:t>
      </w:r>
    </w:p>
    <w:p>
      <w:pPr>
        <w:spacing w:line="360" w:lineRule="auto"/>
        <w:ind w:firstLine="960" w:firstLineChars="400"/>
        <w:rPr>
          <w:rFonts w:ascii="宋体" w:hAnsi="宋体" w:cs="宋体"/>
          <w:color w:val="auto"/>
          <w:sz w:val="24"/>
        </w:rPr>
      </w:pPr>
      <w:r>
        <w:rPr>
          <w:rFonts w:hint="eastAsia" w:ascii="宋体" w:hAnsi="宋体" w:cs="宋体"/>
          <w:color w:val="auto"/>
          <w:sz w:val="24"/>
        </w:rPr>
        <w:t>（一）线上融资模式：</w:t>
      </w:r>
    </w:p>
    <w:p>
      <w:pPr>
        <w:spacing w:line="360" w:lineRule="auto"/>
        <w:ind w:firstLine="480" w:firstLineChars="200"/>
        <w:rPr>
          <w:rFonts w:ascii="宋体" w:hAnsi="宋体" w:cs="宋体"/>
          <w:color w:val="auto"/>
          <w:sz w:val="24"/>
        </w:rPr>
      </w:pPr>
      <w:r>
        <w:rPr>
          <w:rFonts w:hint="eastAsia" w:ascii="宋体" w:hAnsi="宋体" w:cs="宋体"/>
          <w:color w:val="auto"/>
          <w:sz w:val="24"/>
        </w:rPr>
        <w:t>　　1.供应商根据合作银行提供的方案，自行选择金融产品，并办理开户等手续；</w:t>
      </w:r>
    </w:p>
    <w:p>
      <w:pPr>
        <w:spacing w:line="360" w:lineRule="auto"/>
        <w:ind w:firstLine="480" w:firstLineChars="200"/>
        <w:rPr>
          <w:rFonts w:ascii="宋体" w:hAnsi="宋体" w:cs="宋体"/>
          <w:color w:val="auto"/>
          <w:sz w:val="24"/>
        </w:rPr>
      </w:pPr>
      <w:r>
        <w:rPr>
          <w:rFonts w:hint="eastAsia" w:ascii="宋体" w:hAnsi="宋体" w:cs="宋体"/>
          <w:color w:val="auto"/>
          <w:sz w:val="24"/>
        </w:rPr>
        <w:t>　　2.供应商中标后，可通过杭州市政府采购网或“浙里办”测算授信额度；</w:t>
      </w:r>
    </w:p>
    <w:p>
      <w:pPr>
        <w:spacing w:line="360" w:lineRule="auto"/>
        <w:ind w:firstLine="480" w:firstLineChars="200"/>
        <w:rPr>
          <w:rFonts w:ascii="宋体" w:hAnsi="宋体" w:cs="宋体"/>
          <w:color w:val="auto"/>
          <w:sz w:val="24"/>
        </w:rPr>
      </w:pPr>
      <w:r>
        <w:rPr>
          <w:rFonts w:hint="eastAsia" w:ascii="宋体" w:hAnsi="宋体" w:cs="宋体"/>
          <w:color w:val="auto"/>
          <w:sz w:val="24"/>
        </w:rPr>
        <w:t>　　3.采购合同签订后，供应商在杭州市政府采购网或“浙里办”向合作银行发出融资申请；</w:t>
      </w:r>
    </w:p>
    <w:p>
      <w:pPr>
        <w:spacing w:line="360" w:lineRule="auto"/>
        <w:ind w:firstLine="480" w:firstLineChars="200"/>
        <w:rPr>
          <w:rFonts w:ascii="宋体" w:hAnsi="宋体" w:cs="宋体"/>
          <w:color w:val="auto"/>
          <w:sz w:val="24"/>
        </w:rPr>
      </w:pPr>
      <w:r>
        <w:rPr>
          <w:rFonts w:hint="eastAsia" w:ascii="宋体" w:hAnsi="宋体" w:cs="宋体"/>
          <w:color w:val="auto"/>
          <w:sz w:val="24"/>
        </w:rPr>
        <w:t>　　4.审批通过后，在线办理放贷手续。</w:t>
      </w:r>
    </w:p>
    <w:p>
      <w:pPr>
        <w:spacing w:line="360" w:lineRule="auto"/>
        <w:ind w:firstLine="480" w:firstLineChars="200"/>
        <w:rPr>
          <w:rFonts w:ascii="宋体" w:hAnsi="宋体" w:cs="宋体"/>
          <w:color w:val="auto"/>
          <w:sz w:val="24"/>
        </w:rPr>
      </w:pPr>
      <w:r>
        <w:rPr>
          <w:rFonts w:hint="eastAsia" w:ascii="宋体" w:hAnsi="宋体" w:cs="宋体"/>
          <w:color w:val="auto"/>
          <w:sz w:val="24"/>
        </w:rPr>
        <w:t>　　（二）线下融资模式：</w:t>
      </w:r>
    </w:p>
    <w:p>
      <w:pPr>
        <w:spacing w:line="360" w:lineRule="auto"/>
        <w:ind w:firstLine="480" w:firstLineChars="200"/>
        <w:rPr>
          <w:rFonts w:ascii="宋体" w:hAnsi="宋体" w:cs="宋体"/>
          <w:color w:val="auto"/>
          <w:sz w:val="24"/>
        </w:rPr>
      </w:pPr>
      <w:r>
        <w:rPr>
          <w:rFonts w:hint="eastAsia" w:ascii="宋体" w:hAnsi="宋体" w:cs="宋体"/>
          <w:color w:val="auto"/>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color w:val="auto"/>
          <w:sz w:val="24"/>
        </w:rPr>
      </w:pPr>
      <w:r>
        <w:rPr>
          <w:rFonts w:hint="eastAsia" w:ascii="宋体" w:hAnsi="宋体" w:cs="宋体"/>
          <w:color w:val="auto"/>
          <w:sz w:val="24"/>
        </w:rPr>
        <w:t>　　2.采购合同签订后，供应商在杭州市政府采购网或“浙里办”向合作银行发出融资申请；</w:t>
      </w:r>
    </w:p>
    <w:p>
      <w:pPr>
        <w:spacing w:line="360" w:lineRule="auto"/>
        <w:ind w:firstLine="480" w:firstLineChars="200"/>
        <w:rPr>
          <w:rFonts w:ascii="宋体" w:hAnsi="宋体" w:cs="宋体"/>
          <w:color w:val="auto"/>
          <w:sz w:val="24"/>
        </w:rPr>
      </w:pPr>
      <w:r>
        <w:rPr>
          <w:rFonts w:hint="eastAsia" w:ascii="宋体" w:hAnsi="宋体" w:cs="宋体"/>
          <w:color w:val="auto"/>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color w:val="auto"/>
          <w:sz w:val="24"/>
        </w:rPr>
      </w:pPr>
      <w:r>
        <w:rPr>
          <w:rFonts w:hint="eastAsia" w:ascii="宋体" w:hAnsi="宋体" w:cs="宋体"/>
          <w:color w:val="auto"/>
          <w:sz w:val="24"/>
        </w:rPr>
        <w:t>　　4.审批通过后，合作银行应按照合作备忘录中约定的审批放款期限和优惠利率及时予以放款。</w:t>
      </w:r>
    </w:p>
    <w:p>
      <w:pPr>
        <w:pStyle w:val="2"/>
        <w:numPr>
          <w:ilvl w:val="255"/>
          <w:numId w:val="0"/>
        </w:numPr>
        <w:ind w:firstLine="960" w:firstLineChars="4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（三）杭州e融平台申请融资</w:t>
      </w:r>
    </w:p>
    <w:p>
      <w:pPr>
        <w:pStyle w:val="2"/>
        <w:numPr>
          <w:ilvl w:val="255"/>
          <w:numId w:val="0"/>
        </w:numPr>
        <w:ind w:firstLine="960" w:firstLineChars="4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color w:val="auto"/>
          <w:sz w:val="24"/>
        </w:rPr>
      </w:pPr>
      <w:r>
        <w:rPr>
          <w:rFonts w:hint="eastAsia" w:ascii="宋体" w:hAnsi="宋体" w:cs="宋体"/>
          <w:b/>
          <w:color w:val="auto"/>
          <w:sz w:val="24"/>
        </w:rPr>
        <w:t>四、注意事项</w:t>
      </w:r>
    </w:p>
    <w:p>
      <w:pPr>
        <w:spacing w:line="360" w:lineRule="auto"/>
        <w:ind w:firstLine="480" w:firstLineChars="200"/>
        <w:rPr>
          <w:rFonts w:ascii="宋体" w:hAnsi="宋体" w:cs="宋体"/>
          <w:color w:val="auto"/>
          <w:sz w:val="24"/>
        </w:rPr>
      </w:pPr>
      <w:r>
        <w:rPr>
          <w:rFonts w:hint="eastAsia" w:ascii="宋体" w:hAnsi="宋体" w:cs="宋体"/>
          <w:color w:val="auto"/>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color w:val="auto"/>
          <w:sz w:val="24"/>
        </w:rPr>
      </w:pPr>
      <w:r>
        <w:rPr>
          <w:rFonts w:hint="eastAsia" w:ascii="宋体" w:hAnsi="宋体" w:cs="宋体"/>
          <w:color w:val="auto"/>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color w:val="auto"/>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509" w:name="_Toc465665161"/>
      <w:r>
        <w:rPr>
          <w:rFonts w:hint="eastAsia" w:ascii="宋体" w:hAnsi="宋体" w:cs="宋体"/>
          <w:color w:val="auto"/>
        </w:rPr>
        <w:t>附件</w:t>
      </w:r>
      <w:bookmarkEnd w:id="509"/>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10" w:name="OLE_LINK14"/>
      <w:bookmarkStart w:id="511" w:name="OLE_LINK13"/>
      <w:r>
        <w:rPr>
          <w:rFonts w:hint="eastAsia" w:ascii="宋体" w:hAnsi="宋体" w:cs="宋体"/>
          <w:b/>
          <w:color w:val="auto"/>
          <w:spacing w:val="6"/>
          <w:sz w:val="32"/>
          <w:szCs w:val="32"/>
        </w:rPr>
        <w:t>残疾人福利性单位声明函</w:t>
      </w:r>
    </w:p>
    <w:bookmarkEnd w:id="510"/>
    <w:bookmarkEnd w:id="511"/>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w:t>
      </w:r>
      <w:r>
        <w:rPr>
          <w:rFonts w:hint="eastAsia" w:ascii="宋体" w:hAnsi="宋体" w:cs="宋体"/>
          <w:color w:val="auto"/>
          <w:sz w:val="24"/>
          <w:u w:val="single"/>
          <w:lang w:eastAsia="zh-CN"/>
        </w:rPr>
        <w:t>杭州第一技师学院</w:t>
      </w:r>
      <w:r>
        <w:rPr>
          <w:rFonts w:hint="eastAsia" w:ascii="宋体" w:hAnsi="宋体" w:cs="宋体"/>
          <w:color w:val="auto"/>
          <w:sz w:val="24"/>
          <w:u w:val="single"/>
        </w:rPr>
        <w:t>)</w:t>
      </w:r>
      <w:r>
        <w:rPr>
          <w:rFonts w:hint="eastAsia" w:ascii="宋体" w:hAnsi="宋体" w:cs="宋体"/>
          <w:color w:val="auto"/>
          <w:sz w:val="24"/>
        </w:rPr>
        <w:t>_单位的_</w:t>
      </w:r>
      <w:r>
        <w:rPr>
          <w:rFonts w:hint="eastAsia" w:ascii="宋体" w:hAnsi="宋体" w:cs="宋体"/>
          <w:color w:val="auto"/>
          <w:sz w:val="24"/>
          <w:u w:val="single"/>
          <w:lang w:eastAsia="zh-CN"/>
        </w:rPr>
        <w:t>杭州第一技师学院物业服务采购项目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杭州第一技师学院</w:t>
      </w:r>
      <w:r>
        <w:rPr>
          <w:rFonts w:hint="eastAsia" w:ascii="宋体" w:hAnsi="宋体" w:cs="宋体"/>
          <w:color w:val="auto"/>
          <w:sz w:val="24"/>
          <w:u w:val="single"/>
        </w:rPr>
        <w:t>、杭州市公共资源交易中心（杭州市政府采购中心）：</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杭州第一技师学院物业服务采购项目</w:t>
      </w:r>
      <w:r>
        <w:rPr>
          <w:rFonts w:hint="eastAsia" w:ascii="宋体" w:hAnsi="宋体" w:cs="宋体"/>
          <w:color w:val="auto"/>
          <w:sz w:val="24"/>
        </w:rPr>
        <w:t>【招标编号：</w:t>
      </w:r>
      <w:r>
        <w:rPr>
          <w:rFonts w:hint="eastAsia" w:ascii="宋体" w:hAnsi="宋体" w:cs="宋体"/>
          <w:color w:val="auto"/>
          <w:sz w:val="24"/>
          <w:lang w:eastAsia="zh-CN"/>
        </w:rPr>
        <w:t>HZZFCG-2022-207(2)</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杭州第一技师学院物业服务采购项目</w:t>
      </w:r>
      <w:r>
        <w:rPr>
          <w:rFonts w:hint="eastAsia" w:ascii="宋体" w:hAnsi="宋体" w:cs="宋体"/>
          <w:color w:val="auto"/>
          <w:sz w:val="24"/>
        </w:rPr>
        <w:t>【招标编号：</w:t>
      </w:r>
      <w:r>
        <w:rPr>
          <w:rFonts w:hint="eastAsia" w:ascii="宋体" w:hAnsi="宋体" w:cs="宋体"/>
          <w:color w:val="auto"/>
          <w:sz w:val="24"/>
          <w:lang w:eastAsia="zh-CN"/>
        </w:rPr>
        <w:t>HZZFCG-2022-207(2)</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3"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color w:val="auto"/>
          <w:kern w:val="0"/>
          <w:sz w:val="24"/>
          <w:lang w:val="zh-CN"/>
        </w:rPr>
        <w:t>6</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bookmarkEnd w:id="513"/>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4"/>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杭州第一技师学院物业服务采购项目</w:t>
      </w:r>
      <w:r>
        <w:rPr>
          <w:rFonts w:hint="eastAsia" w:ascii="宋体" w:hAnsi="宋体" w:cs="宋体"/>
          <w:color w:val="auto"/>
          <w:sz w:val="24"/>
        </w:rPr>
        <w:t>【招标编号：</w:t>
      </w:r>
      <w:r>
        <w:rPr>
          <w:rFonts w:hint="eastAsia" w:ascii="宋体" w:hAnsi="宋体" w:cs="宋体"/>
          <w:color w:val="auto"/>
          <w:sz w:val="24"/>
          <w:lang w:eastAsia="zh-CN"/>
        </w:rPr>
        <w:t>HZZFCG-2022-207(2)</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color w:val="auto"/>
          <w:kern w:val="0"/>
          <w:sz w:val="24"/>
          <w:lang w:val="zh-CN"/>
        </w:rPr>
        <w:t>6</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杭州第一技师学院</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杭州第一技师学院物业服务采购项目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w:t>
      </w:r>
      <w:r>
        <w:rPr>
          <w:rFonts w:hint="eastAsia" w:asciiTheme="minorEastAsia" w:hAnsiTheme="minorEastAsia" w:eastAsiaTheme="minorEastAsia"/>
          <w:color w:val="auto"/>
          <w:sz w:val="24"/>
          <w:u w:val="single"/>
          <w:lang w:eastAsia="zh-CN"/>
        </w:rPr>
        <w:t>物业管理服务</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Theme="minorEastAsia" w:hAnsiTheme="minorEastAsia" w:eastAsiaTheme="minorEastAsia"/>
          <w:color w:val="auto"/>
          <w:sz w:val="24"/>
          <w:u w:val="single"/>
          <w:lang w:eastAsia="zh-CN"/>
        </w:rPr>
        <w:t>物业管理</w:t>
      </w:r>
      <w:r>
        <w:rPr>
          <w:rFonts w:hint="eastAsia" w:asciiTheme="minorEastAsia" w:hAnsiTheme="minorEastAsia" w:eastAsiaTheme="minorEastAsia"/>
          <w:color w:val="auto"/>
          <w:sz w:val="24"/>
          <w:u w:val="single"/>
        </w:rPr>
        <w:t>行业</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04C000" w:usb3="00000000"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15" w:name="_Toc164085800"/>
    <w:bookmarkStart w:id="516" w:name="_Toc36110187"/>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615C4"/>
    <w:multiLevelType w:val="multilevel"/>
    <w:tmpl w:val="420615C4"/>
    <w:lvl w:ilvl="0" w:tentative="0">
      <w:start w:val="3"/>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BB6C07"/>
    <w:multiLevelType w:val="multilevel"/>
    <w:tmpl w:val="53BB6C07"/>
    <w:lvl w:ilvl="0" w:tentative="0">
      <w:start w:val="2"/>
      <w:numFmt w:val="decimal"/>
      <w:lvlText w:val="%1"/>
      <w:lvlJc w:val="left"/>
      <w:pPr>
        <w:ind w:left="645" w:hanging="645"/>
      </w:pPr>
      <w:rPr>
        <w:rFonts w:hint="default"/>
      </w:rPr>
    </w:lvl>
    <w:lvl w:ilvl="1" w:tentative="0">
      <w:start w:val="4"/>
      <w:numFmt w:val="decimal"/>
      <w:lvlText w:val="%1.%2"/>
      <w:lvlJc w:val="left"/>
      <w:pPr>
        <w:ind w:left="645" w:hanging="645"/>
      </w:pPr>
      <w:rPr>
        <w:rFonts w:hint="default"/>
      </w:rPr>
    </w:lvl>
    <w:lvl w:ilvl="2" w:tentative="0">
      <w:start w:val="4"/>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59F80A55"/>
    <w:multiLevelType w:val="singleLevel"/>
    <w:tmpl w:val="59F80A55"/>
    <w:lvl w:ilvl="0" w:tentative="0">
      <w:start w:val="1"/>
      <w:numFmt w:val="decimal"/>
      <w:lvlText w:val="%1)"/>
      <w:lvlJc w:val="left"/>
      <w:pPr>
        <w:tabs>
          <w:tab w:val="left" w:pos="425"/>
        </w:tabs>
        <w:ind w:left="425" w:hanging="425"/>
      </w:pPr>
      <w:rPr>
        <w:rFonts w:hint="default"/>
      </w:rPr>
    </w:lvl>
  </w:abstractNum>
  <w:abstractNum w:abstractNumId="3">
    <w:nsid w:val="59F80D87"/>
    <w:multiLevelType w:val="singleLevel"/>
    <w:tmpl w:val="59F80D87"/>
    <w:lvl w:ilvl="0" w:tentative="0">
      <w:start w:val="1"/>
      <w:numFmt w:val="decimal"/>
      <w:lvlText w:val="%1)"/>
      <w:lvlJc w:val="left"/>
      <w:pPr>
        <w:tabs>
          <w:tab w:val="left" w:pos="425"/>
        </w:tabs>
        <w:ind w:left="425" w:hanging="425"/>
      </w:pPr>
      <w:rPr>
        <w:rFonts w:hint="default"/>
      </w:rPr>
    </w:lvl>
  </w:abstractNum>
  <w:abstractNum w:abstractNumId="4">
    <w:nsid w:val="59F80DAB"/>
    <w:multiLevelType w:val="singleLevel"/>
    <w:tmpl w:val="59F80DAB"/>
    <w:lvl w:ilvl="0" w:tentative="0">
      <w:start w:val="1"/>
      <w:numFmt w:val="decimal"/>
      <w:lvlText w:val="%1)"/>
      <w:lvlJc w:val="left"/>
      <w:pPr>
        <w:tabs>
          <w:tab w:val="left" w:pos="425"/>
        </w:tabs>
        <w:ind w:left="425" w:hanging="425"/>
      </w:pPr>
      <w:rPr>
        <w:rFonts w:hint="default"/>
      </w:rPr>
    </w:lvl>
  </w:abstractNum>
  <w:abstractNum w:abstractNumId="5">
    <w:nsid w:val="59F80DC0"/>
    <w:multiLevelType w:val="singleLevel"/>
    <w:tmpl w:val="59F80DC0"/>
    <w:lvl w:ilvl="0" w:tentative="0">
      <w:start w:val="1"/>
      <w:numFmt w:val="decimal"/>
      <w:lvlText w:val="%1)"/>
      <w:lvlJc w:val="left"/>
      <w:pPr>
        <w:tabs>
          <w:tab w:val="left" w:pos="425"/>
        </w:tabs>
        <w:ind w:left="425" w:hanging="425"/>
      </w:pPr>
      <w:rPr>
        <w:rFonts w:hint="default"/>
      </w:rPr>
    </w:lvl>
  </w:abstractNum>
  <w:abstractNum w:abstractNumId="6">
    <w:nsid w:val="59F80DE3"/>
    <w:multiLevelType w:val="singleLevel"/>
    <w:tmpl w:val="59F80DE3"/>
    <w:lvl w:ilvl="0" w:tentative="0">
      <w:start w:val="1"/>
      <w:numFmt w:val="decimal"/>
      <w:lvlText w:val="%1)"/>
      <w:lvlJc w:val="left"/>
      <w:pPr>
        <w:tabs>
          <w:tab w:val="left" w:pos="425"/>
        </w:tabs>
        <w:ind w:left="425" w:hanging="425"/>
      </w:pPr>
      <w:rPr>
        <w:rFonts w:hint="default"/>
      </w:rPr>
    </w:lvl>
  </w:abstractNum>
  <w:abstractNum w:abstractNumId="7">
    <w:nsid w:val="59F80DF9"/>
    <w:multiLevelType w:val="singleLevel"/>
    <w:tmpl w:val="59F80DF9"/>
    <w:lvl w:ilvl="0" w:tentative="0">
      <w:start w:val="1"/>
      <w:numFmt w:val="decimal"/>
      <w:lvlText w:val="%1)"/>
      <w:lvlJc w:val="left"/>
      <w:pPr>
        <w:tabs>
          <w:tab w:val="left" w:pos="425"/>
        </w:tabs>
        <w:ind w:left="425" w:hanging="425"/>
      </w:pPr>
      <w:rPr>
        <w:rFonts w:hint="default"/>
      </w:rPr>
    </w:lvl>
  </w:abstractNum>
  <w:abstractNum w:abstractNumId="8">
    <w:nsid w:val="59F80E55"/>
    <w:multiLevelType w:val="singleLevel"/>
    <w:tmpl w:val="59F80E55"/>
    <w:lvl w:ilvl="0" w:tentative="0">
      <w:start w:val="1"/>
      <w:numFmt w:val="decimal"/>
      <w:lvlText w:val="%1)"/>
      <w:lvlJc w:val="left"/>
      <w:pPr>
        <w:tabs>
          <w:tab w:val="left" w:pos="425"/>
        </w:tabs>
        <w:ind w:left="425" w:hanging="425"/>
      </w:pPr>
      <w:rPr>
        <w:rFonts w:hint="default"/>
      </w:rPr>
    </w:lvl>
  </w:abstractNum>
  <w:abstractNum w:abstractNumId="9">
    <w:nsid w:val="7817EA37"/>
    <w:multiLevelType w:val="singleLevel"/>
    <w:tmpl w:val="7817EA37"/>
    <w:lvl w:ilvl="0" w:tentative="0">
      <w:start w:val="1"/>
      <w:numFmt w:val="decimal"/>
      <w:suff w:val="space"/>
      <w:lvlText w:val="%1."/>
      <w:lvlJc w:val="left"/>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1"/>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GQ5MDUyMWMyN2Y4N2YyY2Y4ZjFiNmVlOTUyZj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71"/>
    <w:rsid w:val="00540EE7"/>
    <w:rsid w:val="00541A22"/>
    <w:rsid w:val="00541EAD"/>
    <w:rsid w:val="005424C2"/>
    <w:rsid w:val="005426B2"/>
    <w:rsid w:val="00543519"/>
    <w:rsid w:val="00543640"/>
    <w:rsid w:val="00544019"/>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2A7"/>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95422"/>
    <w:rsid w:val="01D55165"/>
    <w:rsid w:val="01DF6BF8"/>
    <w:rsid w:val="01EC2C57"/>
    <w:rsid w:val="025F0711"/>
    <w:rsid w:val="026B2E25"/>
    <w:rsid w:val="02824D4D"/>
    <w:rsid w:val="02DC4B10"/>
    <w:rsid w:val="02DD76CE"/>
    <w:rsid w:val="02F36323"/>
    <w:rsid w:val="02F5619C"/>
    <w:rsid w:val="0326446A"/>
    <w:rsid w:val="032D5555"/>
    <w:rsid w:val="036634D2"/>
    <w:rsid w:val="03824AAC"/>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1D4945"/>
    <w:rsid w:val="07245D42"/>
    <w:rsid w:val="07264C62"/>
    <w:rsid w:val="07760EFC"/>
    <w:rsid w:val="0779354C"/>
    <w:rsid w:val="08061376"/>
    <w:rsid w:val="08452D77"/>
    <w:rsid w:val="086401F8"/>
    <w:rsid w:val="08751CAA"/>
    <w:rsid w:val="087E4C40"/>
    <w:rsid w:val="08A871D0"/>
    <w:rsid w:val="08D66AD6"/>
    <w:rsid w:val="08DA33A3"/>
    <w:rsid w:val="08E80F13"/>
    <w:rsid w:val="0901547A"/>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364A5"/>
    <w:rsid w:val="0BF6188C"/>
    <w:rsid w:val="0BF73C91"/>
    <w:rsid w:val="0C170175"/>
    <w:rsid w:val="0C571A41"/>
    <w:rsid w:val="0C5C1171"/>
    <w:rsid w:val="0C5E1CBC"/>
    <w:rsid w:val="0C615B50"/>
    <w:rsid w:val="0C8445DA"/>
    <w:rsid w:val="0C87121B"/>
    <w:rsid w:val="0C916057"/>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42561"/>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8576B"/>
    <w:rsid w:val="110F1D40"/>
    <w:rsid w:val="1122342A"/>
    <w:rsid w:val="11266F33"/>
    <w:rsid w:val="118963A1"/>
    <w:rsid w:val="11C6522A"/>
    <w:rsid w:val="11E104CC"/>
    <w:rsid w:val="11E20309"/>
    <w:rsid w:val="12255233"/>
    <w:rsid w:val="12530213"/>
    <w:rsid w:val="127723A9"/>
    <w:rsid w:val="12862074"/>
    <w:rsid w:val="12883966"/>
    <w:rsid w:val="129E45B4"/>
    <w:rsid w:val="12B124F6"/>
    <w:rsid w:val="12D81596"/>
    <w:rsid w:val="13072A44"/>
    <w:rsid w:val="135F4BE2"/>
    <w:rsid w:val="139B1A0A"/>
    <w:rsid w:val="139D25C7"/>
    <w:rsid w:val="13BF3CE4"/>
    <w:rsid w:val="141008D8"/>
    <w:rsid w:val="14125FE6"/>
    <w:rsid w:val="146D271E"/>
    <w:rsid w:val="14982588"/>
    <w:rsid w:val="149A5AD9"/>
    <w:rsid w:val="14A7619D"/>
    <w:rsid w:val="14ED7BA3"/>
    <w:rsid w:val="150536C3"/>
    <w:rsid w:val="150C1963"/>
    <w:rsid w:val="151447A0"/>
    <w:rsid w:val="154A6454"/>
    <w:rsid w:val="15762120"/>
    <w:rsid w:val="15A97059"/>
    <w:rsid w:val="16A8729C"/>
    <w:rsid w:val="16B33777"/>
    <w:rsid w:val="16BC70A7"/>
    <w:rsid w:val="16C6339E"/>
    <w:rsid w:val="172F2D79"/>
    <w:rsid w:val="17400AAE"/>
    <w:rsid w:val="17557BEF"/>
    <w:rsid w:val="17D349C1"/>
    <w:rsid w:val="1830729E"/>
    <w:rsid w:val="1870062C"/>
    <w:rsid w:val="18817102"/>
    <w:rsid w:val="18830A15"/>
    <w:rsid w:val="18852B28"/>
    <w:rsid w:val="188B5321"/>
    <w:rsid w:val="195B349C"/>
    <w:rsid w:val="19932372"/>
    <w:rsid w:val="19946E8F"/>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F9747E"/>
    <w:rsid w:val="1C0459C2"/>
    <w:rsid w:val="1C1B3B4A"/>
    <w:rsid w:val="1C3D52B3"/>
    <w:rsid w:val="1C88086E"/>
    <w:rsid w:val="1D266CE1"/>
    <w:rsid w:val="1D3963AF"/>
    <w:rsid w:val="1D6A673C"/>
    <w:rsid w:val="1D9247AE"/>
    <w:rsid w:val="1DB567EC"/>
    <w:rsid w:val="1DF51A98"/>
    <w:rsid w:val="1E3D060F"/>
    <w:rsid w:val="1E3F7D2E"/>
    <w:rsid w:val="1E4134E4"/>
    <w:rsid w:val="1E5062B3"/>
    <w:rsid w:val="1E523514"/>
    <w:rsid w:val="1E630401"/>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484B9B"/>
    <w:rsid w:val="22791318"/>
    <w:rsid w:val="22BE6801"/>
    <w:rsid w:val="233500BF"/>
    <w:rsid w:val="23377FF7"/>
    <w:rsid w:val="23537050"/>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86BC6"/>
    <w:rsid w:val="258B00E2"/>
    <w:rsid w:val="25A917A6"/>
    <w:rsid w:val="25BE27CC"/>
    <w:rsid w:val="25F74A5C"/>
    <w:rsid w:val="2628662C"/>
    <w:rsid w:val="262D45DE"/>
    <w:rsid w:val="26871DC8"/>
    <w:rsid w:val="26A53EF9"/>
    <w:rsid w:val="26A94201"/>
    <w:rsid w:val="26AC274F"/>
    <w:rsid w:val="26B66697"/>
    <w:rsid w:val="27044A29"/>
    <w:rsid w:val="271D34C8"/>
    <w:rsid w:val="272F714A"/>
    <w:rsid w:val="276142BF"/>
    <w:rsid w:val="27783712"/>
    <w:rsid w:val="27907362"/>
    <w:rsid w:val="27E77678"/>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66299"/>
    <w:rsid w:val="2A2815FA"/>
    <w:rsid w:val="2A6D6092"/>
    <w:rsid w:val="2A742AF1"/>
    <w:rsid w:val="2A7D76B4"/>
    <w:rsid w:val="2A8F0A1A"/>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324D29"/>
    <w:rsid w:val="2F3960B7"/>
    <w:rsid w:val="2F946CCB"/>
    <w:rsid w:val="2FD25781"/>
    <w:rsid w:val="2FD302BA"/>
    <w:rsid w:val="2FD71FF3"/>
    <w:rsid w:val="2FDC745C"/>
    <w:rsid w:val="2FFD4E80"/>
    <w:rsid w:val="2FFD7934"/>
    <w:rsid w:val="30733ACD"/>
    <w:rsid w:val="308C3862"/>
    <w:rsid w:val="309379D8"/>
    <w:rsid w:val="30A270F7"/>
    <w:rsid w:val="30DF1478"/>
    <w:rsid w:val="30EC586F"/>
    <w:rsid w:val="31020BF4"/>
    <w:rsid w:val="319C6071"/>
    <w:rsid w:val="31AC537E"/>
    <w:rsid w:val="31E3679B"/>
    <w:rsid w:val="31E732FD"/>
    <w:rsid w:val="32517576"/>
    <w:rsid w:val="32BE5C2C"/>
    <w:rsid w:val="32E225C2"/>
    <w:rsid w:val="32FB6478"/>
    <w:rsid w:val="33263B3F"/>
    <w:rsid w:val="333F7F21"/>
    <w:rsid w:val="336963EB"/>
    <w:rsid w:val="33816EEB"/>
    <w:rsid w:val="33BC1065"/>
    <w:rsid w:val="33EB55CD"/>
    <w:rsid w:val="33EC4C02"/>
    <w:rsid w:val="33EF4F96"/>
    <w:rsid w:val="340D2360"/>
    <w:rsid w:val="3410665D"/>
    <w:rsid w:val="34211214"/>
    <w:rsid w:val="342E63AB"/>
    <w:rsid w:val="34950E68"/>
    <w:rsid w:val="34986E94"/>
    <w:rsid w:val="34AF62C9"/>
    <w:rsid w:val="34CB4388"/>
    <w:rsid w:val="34FA6E12"/>
    <w:rsid w:val="354D7158"/>
    <w:rsid w:val="358D5588"/>
    <w:rsid w:val="36162CAE"/>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A70977"/>
    <w:rsid w:val="38BC0149"/>
    <w:rsid w:val="38D87D1C"/>
    <w:rsid w:val="393D6FDA"/>
    <w:rsid w:val="39636459"/>
    <w:rsid w:val="396B7F6C"/>
    <w:rsid w:val="39B417A9"/>
    <w:rsid w:val="39FC5695"/>
    <w:rsid w:val="3A006D8E"/>
    <w:rsid w:val="3A193FF0"/>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A60B04"/>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9236D"/>
    <w:rsid w:val="3EAF4836"/>
    <w:rsid w:val="3EC33DFA"/>
    <w:rsid w:val="3F060E16"/>
    <w:rsid w:val="3F1D1096"/>
    <w:rsid w:val="3F2773A5"/>
    <w:rsid w:val="3F2F0234"/>
    <w:rsid w:val="3F6363FE"/>
    <w:rsid w:val="3F756B8F"/>
    <w:rsid w:val="3F863274"/>
    <w:rsid w:val="3F95482B"/>
    <w:rsid w:val="4019356B"/>
    <w:rsid w:val="40592157"/>
    <w:rsid w:val="406E1CAE"/>
    <w:rsid w:val="40A0133A"/>
    <w:rsid w:val="40C31A53"/>
    <w:rsid w:val="40FF545D"/>
    <w:rsid w:val="410067C8"/>
    <w:rsid w:val="418F0D2A"/>
    <w:rsid w:val="41B4781F"/>
    <w:rsid w:val="41D01505"/>
    <w:rsid w:val="42474939"/>
    <w:rsid w:val="424C3C57"/>
    <w:rsid w:val="42613FF3"/>
    <w:rsid w:val="42660D96"/>
    <w:rsid w:val="426C5343"/>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7A134E"/>
    <w:rsid w:val="49B64211"/>
    <w:rsid w:val="49F6167F"/>
    <w:rsid w:val="4A064FA0"/>
    <w:rsid w:val="4A16615C"/>
    <w:rsid w:val="4A4424D7"/>
    <w:rsid w:val="4AB82D0F"/>
    <w:rsid w:val="4ACA3474"/>
    <w:rsid w:val="4AEB7664"/>
    <w:rsid w:val="4AFD7C19"/>
    <w:rsid w:val="4B0567D1"/>
    <w:rsid w:val="4B236AAE"/>
    <w:rsid w:val="4B4B4D50"/>
    <w:rsid w:val="4B58121B"/>
    <w:rsid w:val="4B707271"/>
    <w:rsid w:val="4B9739F7"/>
    <w:rsid w:val="4B984A35"/>
    <w:rsid w:val="4BB15433"/>
    <w:rsid w:val="4BB24DCF"/>
    <w:rsid w:val="4BC90FA0"/>
    <w:rsid w:val="4BEE2503"/>
    <w:rsid w:val="4BFA5FEF"/>
    <w:rsid w:val="4C06511B"/>
    <w:rsid w:val="4C1A4723"/>
    <w:rsid w:val="4C245A30"/>
    <w:rsid w:val="4CB6685F"/>
    <w:rsid w:val="4CC367FE"/>
    <w:rsid w:val="4D077F3C"/>
    <w:rsid w:val="4D123355"/>
    <w:rsid w:val="4D2A3B31"/>
    <w:rsid w:val="4D312C52"/>
    <w:rsid w:val="4D905305"/>
    <w:rsid w:val="4D964A72"/>
    <w:rsid w:val="4D9C1254"/>
    <w:rsid w:val="4D9E7587"/>
    <w:rsid w:val="4E793892"/>
    <w:rsid w:val="4E800872"/>
    <w:rsid w:val="4EC569ED"/>
    <w:rsid w:val="4ED50EA1"/>
    <w:rsid w:val="4EEC050C"/>
    <w:rsid w:val="4F104EC3"/>
    <w:rsid w:val="4F47354A"/>
    <w:rsid w:val="4F911C54"/>
    <w:rsid w:val="4FE625E0"/>
    <w:rsid w:val="5021480F"/>
    <w:rsid w:val="503C735D"/>
    <w:rsid w:val="50937498"/>
    <w:rsid w:val="50962ECB"/>
    <w:rsid w:val="50A42E38"/>
    <w:rsid w:val="50A4577F"/>
    <w:rsid w:val="50B73D1F"/>
    <w:rsid w:val="50BD5BC9"/>
    <w:rsid w:val="50C11EEE"/>
    <w:rsid w:val="50E97CFC"/>
    <w:rsid w:val="50FA4028"/>
    <w:rsid w:val="510B7A26"/>
    <w:rsid w:val="510D65B7"/>
    <w:rsid w:val="511157AB"/>
    <w:rsid w:val="5142540C"/>
    <w:rsid w:val="518832C8"/>
    <w:rsid w:val="519D3C50"/>
    <w:rsid w:val="51A0432A"/>
    <w:rsid w:val="51A86090"/>
    <w:rsid w:val="51B7396D"/>
    <w:rsid w:val="51E25CE3"/>
    <w:rsid w:val="522E4CC3"/>
    <w:rsid w:val="5244713B"/>
    <w:rsid w:val="52615633"/>
    <w:rsid w:val="526F4DE4"/>
    <w:rsid w:val="52977FD4"/>
    <w:rsid w:val="52A25790"/>
    <w:rsid w:val="52A96B6F"/>
    <w:rsid w:val="52B45975"/>
    <w:rsid w:val="52D94AA4"/>
    <w:rsid w:val="52EA3A62"/>
    <w:rsid w:val="52F50BB8"/>
    <w:rsid w:val="53097272"/>
    <w:rsid w:val="53407165"/>
    <w:rsid w:val="53544462"/>
    <w:rsid w:val="5397158E"/>
    <w:rsid w:val="53CE4770"/>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922AE"/>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F099C"/>
    <w:rsid w:val="583126B8"/>
    <w:rsid w:val="586B5235"/>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B100C"/>
    <w:rsid w:val="5C02690E"/>
    <w:rsid w:val="5C196DA7"/>
    <w:rsid w:val="5C2A048C"/>
    <w:rsid w:val="5C80234E"/>
    <w:rsid w:val="5C8A680C"/>
    <w:rsid w:val="5D0C4701"/>
    <w:rsid w:val="5D0F0395"/>
    <w:rsid w:val="5D221076"/>
    <w:rsid w:val="5D290C69"/>
    <w:rsid w:val="5D397964"/>
    <w:rsid w:val="5D551A5E"/>
    <w:rsid w:val="5D5A391C"/>
    <w:rsid w:val="5D5F10C0"/>
    <w:rsid w:val="5D72616D"/>
    <w:rsid w:val="5D891B7B"/>
    <w:rsid w:val="5DAD38EE"/>
    <w:rsid w:val="5DC236BB"/>
    <w:rsid w:val="5E006862"/>
    <w:rsid w:val="5E0207B9"/>
    <w:rsid w:val="5E1834A1"/>
    <w:rsid w:val="5E1A5E67"/>
    <w:rsid w:val="5E261785"/>
    <w:rsid w:val="5E451AD3"/>
    <w:rsid w:val="5E4A7017"/>
    <w:rsid w:val="5E552BBA"/>
    <w:rsid w:val="5E611C10"/>
    <w:rsid w:val="5E7A0F3F"/>
    <w:rsid w:val="5EFA3326"/>
    <w:rsid w:val="5EFC7377"/>
    <w:rsid w:val="5F06174D"/>
    <w:rsid w:val="5F3A3602"/>
    <w:rsid w:val="5F45733B"/>
    <w:rsid w:val="5F6277C6"/>
    <w:rsid w:val="5F6D0B1D"/>
    <w:rsid w:val="5F772160"/>
    <w:rsid w:val="5F8D0B82"/>
    <w:rsid w:val="5FCC5339"/>
    <w:rsid w:val="5FE34A5B"/>
    <w:rsid w:val="5FFE1E36"/>
    <w:rsid w:val="60232584"/>
    <w:rsid w:val="604A3814"/>
    <w:rsid w:val="607330CE"/>
    <w:rsid w:val="60825176"/>
    <w:rsid w:val="609F2AC4"/>
    <w:rsid w:val="60B27F91"/>
    <w:rsid w:val="60C211B9"/>
    <w:rsid w:val="60FA2EE8"/>
    <w:rsid w:val="61054A27"/>
    <w:rsid w:val="610A52BC"/>
    <w:rsid w:val="611D2366"/>
    <w:rsid w:val="61421856"/>
    <w:rsid w:val="615227C4"/>
    <w:rsid w:val="61654E3F"/>
    <w:rsid w:val="6182292A"/>
    <w:rsid w:val="619F7F92"/>
    <w:rsid w:val="61F94C26"/>
    <w:rsid w:val="62000E56"/>
    <w:rsid w:val="624F3E49"/>
    <w:rsid w:val="62632286"/>
    <w:rsid w:val="62885958"/>
    <w:rsid w:val="62C07E4D"/>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415DB2"/>
    <w:rsid w:val="668B6A45"/>
    <w:rsid w:val="672F3F24"/>
    <w:rsid w:val="673E055F"/>
    <w:rsid w:val="67551CE3"/>
    <w:rsid w:val="67A22552"/>
    <w:rsid w:val="67B22DCC"/>
    <w:rsid w:val="67BE71AA"/>
    <w:rsid w:val="67D90273"/>
    <w:rsid w:val="67DE5875"/>
    <w:rsid w:val="67E55852"/>
    <w:rsid w:val="67EB1AB4"/>
    <w:rsid w:val="67FA1285"/>
    <w:rsid w:val="68310259"/>
    <w:rsid w:val="68551F4F"/>
    <w:rsid w:val="687C10C9"/>
    <w:rsid w:val="68840C16"/>
    <w:rsid w:val="68876EFB"/>
    <w:rsid w:val="68884654"/>
    <w:rsid w:val="689F444F"/>
    <w:rsid w:val="68B96DBB"/>
    <w:rsid w:val="68CA2805"/>
    <w:rsid w:val="68E937A3"/>
    <w:rsid w:val="691804DA"/>
    <w:rsid w:val="69375ED7"/>
    <w:rsid w:val="693E15D3"/>
    <w:rsid w:val="69627681"/>
    <w:rsid w:val="6977531D"/>
    <w:rsid w:val="69CC2BFF"/>
    <w:rsid w:val="69FD55B8"/>
    <w:rsid w:val="6A0B1C62"/>
    <w:rsid w:val="6A2406C8"/>
    <w:rsid w:val="6A642E74"/>
    <w:rsid w:val="6A910461"/>
    <w:rsid w:val="6ADE0BD1"/>
    <w:rsid w:val="6AE96859"/>
    <w:rsid w:val="6AEC1B0C"/>
    <w:rsid w:val="6B147746"/>
    <w:rsid w:val="6B24787C"/>
    <w:rsid w:val="6B573233"/>
    <w:rsid w:val="6B5B6274"/>
    <w:rsid w:val="6B935D53"/>
    <w:rsid w:val="6C196F71"/>
    <w:rsid w:val="6C226FCB"/>
    <w:rsid w:val="6C31226F"/>
    <w:rsid w:val="6C552F0B"/>
    <w:rsid w:val="6C586E75"/>
    <w:rsid w:val="6C63328D"/>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377D75"/>
    <w:rsid w:val="6F8331F1"/>
    <w:rsid w:val="6FAE1A09"/>
    <w:rsid w:val="6FBE7937"/>
    <w:rsid w:val="6FD75BF8"/>
    <w:rsid w:val="7016507D"/>
    <w:rsid w:val="707723D0"/>
    <w:rsid w:val="707F0E75"/>
    <w:rsid w:val="70F5661B"/>
    <w:rsid w:val="71360107"/>
    <w:rsid w:val="713B688E"/>
    <w:rsid w:val="71D43752"/>
    <w:rsid w:val="71F1796A"/>
    <w:rsid w:val="72154626"/>
    <w:rsid w:val="7217226A"/>
    <w:rsid w:val="72262B5D"/>
    <w:rsid w:val="72283FF7"/>
    <w:rsid w:val="722E7212"/>
    <w:rsid w:val="723A0474"/>
    <w:rsid w:val="725923E4"/>
    <w:rsid w:val="72864BF7"/>
    <w:rsid w:val="729023FC"/>
    <w:rsid w:val="72973E33"/>
    <w:rsid w:val="73A40BF2"/>
    <w:rsid w:val="73C0646E"/>
    <w:rsid w:val="73D634A1"/>
    <w:rsid w:val="74086F26"/>
    <w:rsid w:val="742222F5"/>
    <w:rsid w:val="74476126"/>
    <w:rsid w:val="74706664"/>
    <w:rsid w:val="747F3682"/>
    <w:rsid w:val="749C4185"/>
    <w:rsid w:val="75067759"/>
    <w:rsid w:val="75225479"/>
    <w:rsid w:val="752E6DCD"/>
    <w:rsid w:val="7551380D"/>
    <w:rsid w:val="75600BE5"/>
    <w:rsid w:val="7564475C"/>
    <w:rsid w:val="7583797F"/>
    <w:rsid w:val="75D20F1D"/>
    <w:rsid w:val="75DA2C18"/>
    <w:rsid w:val="75F54412"/>
    <w:rsid w:val="761D08E0"/>
    <w:rsid w:val="765D347C"/>
    <w:rsid w:val="76650B0D"/>
    <w:rsid w:val="76826699"/>
    <w:rsid w:val="76C87133"/>
    <w:rsid w:val="76CD08D5"/>
    <w:rsid w:val="76DB4B92"/>
    <w:rsid w:val="77052AA4"/>
    <w:rsid w:val="77136511"/>
    <w:rsid w:val="77340A39"/>
    <w:rsid w:val="77351FD0"/>
    <w:rsid w:val="77472422"/>
    <w:rsid w:val="774D3203"/>
    <w:rsid w:val="777F31F2"/>
    <w:rsid w:val="77D1700D"/>
    <w:rsid w:val="77EC04CC"/>
    <w:rsid w:val="7803238B"/>
    <w:rsid w:val="78390857"/>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04716"/>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5832AA"/>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next w:val="50"/>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80A541-305C-4B2B-9B71-94E0FAB527F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110</Pages>
  <Words>55771</Words>
  <Characters>58689</Characters>
  <Lines>284</Lines>
  <Paragraphs>80</Paragraphs>
  <TotalTime>0</TotalTime>
  <ScaleCrop>false</ScaleCrop>
  <LinksUpToDate>false</LinksUpToDate>
  <CharactersWithSpaces>64196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WPS_1661847895</cp:lastModifiedBy>
  <cp:lastPrinted>2022-11-22T03:08:00Z</cp:lastPrinted>
  <dcterms:modified xsi:type="dcterms:W3CDTF">2023-01-09T06:24:51Z</dcterms:modified>
  <dc:title>杭州市市民卡扩大发卡工程</dc:title>
  <cp:revision>280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