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8"/>
          <w:szCs w:val="48"/>
        </w:rPr>
      </w:pPr>
    </w:p>
    <w:p>
      <w:pPr>
        <w:adjustRightInd/>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杭州市西溪医院</w:t>
      </w:r>
    </w:p>
    <w:p>
      <w:pPr>
        <w:adjustRightInd/>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保洁物业及室内绿化服务项目</w:t>
      </w:r>
    </w:p>
    <w:p>
      <w:pPr>
        <w:adjustRightInd/>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招标文件</w:t>
      </w:r>
    </w:p>
    <w:p>
      <w:pPr>
        <w:adjustRightInd/>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 xml:space="preserve"> （电子招投标）</w:t>
      </w:r>
    </w:p>
    <w:p>
      <w:pPr>
        <w:snapToGrid w:val="0"/>
        <w:spacing w:line="360" w:lineRule="auto"/>
        <w:jc w:val="center"/>
        <w:rPr>
          <w:rFonts w:cs="仿宋_GB2312" w:asciiTheme="minorEastAsia" w:hAnsiTheme="minorEastAsia" w:eastAsiaTheme="minorEastAsia"/>
          <w:b/>
          <w:sz w:val="30"/>
          <w:szCs w:val="30"/>
        </w:rPr>
      </w:pPr>
      <w:r>
        <w:rPr>
          <w:rFonts w:hint="eastAsia" w:cs="仿宋_GB2312" w:asciiTheme="minorEastAsia" w:hAnsiTheme="minorEastAsia" w:eastAsiaTheme="minorEastAsia"/>
          <w:b/>
          <w:sz w:val="30"/>
          <w:szCs w:val="30"/>
        </w:rPr>
        <w:t>招标编号</w:t>
      </w:r>
      <w:r>
        <w:rPr>
          <w:rFonts w:cs="仿宋_GB2312" w:asciiTheme="minorEastAsia" w:hAnsiTheme="minorEastAsia" w:eastAsiaTheme="minorEastAsia"/>
          <w:b/>
          <w:sz w:val="30"/>
          <w:szCs w:val="30"/>
        </w:rPr>
        <w:t>:</w:t>
      </w:r>
      <w:r>
        <w:rPr>
          <w:rFonts w:hint="eastAsia" w:cs="仿宋_GB2312" w:asciiTheme="minorEastAsia" w:hAnsiTheme="minorEastAsia" w:eastAsiaTheme="minorEastAsia"/>
          <w:b/>
          <w:sz w:val="30"/>
          <w:szCs w:val="30"/>
        </w:rPr>
        <w:t>HZZFCG-2022-091（1）</w:t>
      </w:r>
    </w:p>
    <w:p>
      <w:pPr>
        <w:adjustRightInd/>
        <w:spacing w:line="360" w:lineRule="auto"/>
        <w:rPr>
          <w:rFonts w:cs="仿宋_GB2312" w:asciiTheme="minorEastAsia" w:hAnsiTheme="minorEastAsia" w:eastAsiaTheme="minorEastAsia"/>
          <w:b/>
          <w:sz w:val="28"/>
          <w:szCs w:val="20"/>
        </w:rPr>
      </w:pPr>
    </w:p>
    <w:p>
      <w:pPr>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 xml:space="preserve"> </w:t>
      </w: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32"/>
          <w:szCs w:val="32"/>
        </w:rPr>
      </w:pPr>
    </w:p>
    <w:p>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杭州市西溪医院</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杭州市公共资源交易中心（杭州市政府采购中心）</w:t>
      </w:r>
    </w:p>
    <w:p>
      <w:pPr>
        <w:snapToGrid w:val="0"/>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二</w:t>
      </w:r>
      <w:r>
        <w:rPr>
          <w:rFonts w:hint="eastAsia" w:cs="宋体" w:asciiTheme="minorEastAsia" w:hAnsiTheme="minorEastAsia" w:eastAsiaTheme="minorEastAsia"/>
          <w:b/>
          <w:bCs/>
          <w:sz w:val="32"/>
          <w:szCs w:val="32"/>
        </w:rPr>
        <w:t>〇</w:t>
      </w:r>
      <w:r>
        <w:rPr>
          <w:rFonts w:hint="eastAsia" w:cs="仿宋_GB2312" w:asciiTheme="minorEastAsia" w:hAnsiTheme="minorEastAsia" w:eastAsiaTheme="minorEastAsia"/>
          <w:b/>
          <w:bCs/>
          <w:sz w:val="32"/>
          <w:szCs w:val="32"/>
        </w:rPr>
        <w:t>二</w:t>
      </w:r>
      <w:r>
        <w:rPr>
          <w:rFonts w:hint="eastAsia" w:cs="宋体" w:asciiTheme="minorEastAsia" w:hAnsiTheme="minorEastAsia" w:eastAsiaTheme="minorEastAsia"/>
          <w:b/>
          <w:bCs/>
          <w:sz w:val="32"/>
          <w:szCs w:val="32"/>
        </w:rPr>
        <w:t>二</w:t>
      </w:r>
      <w:r>
        <w:rPr>
          <w:rFonts w:hint="eastAsia" w:cs="仿宋_GB2312" w:asciiTheme="minorEastAsia" w:hAnsiTheme="minorEastAsia" w:eastAsiaTheme="minorEastAsia"/>
          <w:b/>
          <w:bCs/>
          <w:sz w:val="32"/>
          <w:szCs w:val="32"/>
        </w:rPr>
        <w:t>年七月八日</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br w:type="page"/>
      </w:r>
      <w:bookmarkStart w:id="0" w:name="_Hlt67893495"/>
      <w:bookmarkEnd w:id="0"/>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w:t>
      </w:r>
      <w:r>
        <w:rPr>
          <w:rFonts w:cs="仿宋_GB2312" w:asciiTheme="minorEastAsia" w:hAnsiTheme="minorEastAsia" w:eastAsiaTheme="minorEastAsia"/>
          <w:b/>
          <w:sz w:val="48"/>
          <w:szCs w:val="48"/>
        </w:rPr>
        <w:t xml:space="preserve">  </w:t>
      </w:r>
      <w:r>
        <w:rPr>
          <w:rFonts w:hint="eastAsia" w:cs="仿宋_GB2312" w:asciiTheme="minorEastAsia" w:hAnsiTheme="minorEastAsia" w:eastAsiaTheme="minorEastAsia"/>
          <w:b/>
          <w:sz w:val="48"/>
          <w:szCs w:val="48"/>
        </w:rPr>
        <w:t>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招标公告</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投标人须知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评标办法</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应提交的有关格式范例</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cs="仿宋_GB2312" w:asciiTheme="minorEastAsia" w:hAnsiTheme="minorEastAsia" w:eastAsiaTheme="minorEastAsia"/>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w:t>
      </w:r>
      <w:r>
        <w:rPr>
          <w:rFonts w:cs="仿宋_GB2312" w:asciiTheme="minorEastAsia" w:hAnsiTheme="minorEastAsia" w:eastAsiaTheme="minorEastAsia"/>
          <w:b/>
          <w:sz w:val="36"/>
          <w:szCs w:val="20"/>
        </w:rPr>
        <w:t xml:space="preserve"> </w:t>
      </w:r>
      <w:r>
        <w:rPr>
          <w:rFonts w:hint="eastAsia" w:cs="仿宋_GB2312" w:asciiTheme="minorEastAsia" w:hAnsiTheme="minorEastAsia" w:eastAsiaTheme="minorEastAsia"/>
          <w:b/>
          <w:sz w:val="36"/>
          <w:szCs w:val="20"/>
        </w:rPr>
        <w:t>招标公告</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杭州市西溪医院保洁物业及室内绿化服务项目</w:t>
      </w:r>
      <w:r>
        <w:rPr>
          <w:rFonts w:hint="eastAsia" w:asciiTheme="minorEastAsia" w:hAnsiTheme="minorEastAsia" w:eastAsiaTheme="minorEastAsia"/>
          <w:sz w:val="24"/>
        </w:rPr>
        <w:t>招标项目的潜在投标人应在政采云平台（</w:t>
      </w:r>
      <w:r>
        <w:rPr>
          <w:rFonts w:asciiTheme="minorEastAsia" w:hAnsiTheme="minorEastAsia" w:eastAsiaTheme="minorEastAsia"/>
          <w:sz w:val="24"/>
        </w:rPr>
        <w:t>https://www.zcygov.cn/）获取（下载）招标文件，并于</w:t>
      </w:r>
      <w:r>
        <w:rPr>
          <w:rFonts w:hint="eastAsia" w:asciiTheme="minorEastAsia" w:hAnsiTheme="minorEastAsia" w:eastAsiaTheme="minorEastAsia"/>
          <w:sz w:val="24"/>
          <w:u w:val="single"/>
        </w:rPr>
        <w:t>2022</w:t>
      </w:r>
      <w:r>
        <w:rPr>
          <w:rFonts w:asciiTheme="minorEastAsia" w:hAnsiTheme="minorEastAsia" w:eastAsiaTheme="minorEastAsia"/>
          <w:sz w:val="24"/>
          <w:u w:val="single"/>
        </w:rPr>
        <w:t>年</w:t>
      </w:r>
      <w:r>
        <w:rPr>
          <w:rFonts w:hint="eastAsia" w:asciiTheme="minorEastAsia" w:hAnsiTheme="minorEastAsia" w:eastAsiaTheme="minorEastAsia"/>
          <w:sz w:val="24"/>
          <w:u w:val="single"/>
        </w:rPr>
        <w:t>7月29日10点00分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r>
        <w:rPr>
          <w:rFonts w:asciiTheme="minorEastAsia" w:hAnsiTheme="minorEastAsia" w:eastAsiaTheme="minorEastAsia"/>
          <w:b/>
          <w:sz w:val="24"/>
        </w:rPr>
        <w:t xml:space="preserve">                                            </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b/>
          <w:sz w:val="24"/>
        </w:rPr>
        <w:t>项目编号：</w:t>
      </w:r>
      <w:r>
        <w:rPr>
          <w:rFonts w:hint="eastAsia" w:asciiTheme="minorEastAsia" w:hAnsiTheme="minorEastAsia" w:eastAsiaTheme="minorEastAsia"/>
          <w:sz w:val="24"/>
        </w:rPr>
        <w:t>HZZFCG-2022-091（1）</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w:t>
      </w:r>
      <w:r>
        <w:rPr>
          <w:rFonts w:asciiTheme="minorEastAsia" w:hAnsiTheme="minorEastAsia" w:eastAsiaTheme="minorEastAsia"/>
          <w:b/>
          <w:sz w:val="24"/>
        </w:rPr>
        <w:t xml:space="preserve"> 项目名称：</w:t>
      </w:r>
      <w:r>
        <w:rPr>
          <w:rFonts w:hint="eastAsia" w:cs="仿宋_GB2312" w:asciiTheme="minorEastAsia" w:hAnsiTheme="minorEastAsia" w:eastAsiaTheme="minorEastAsia"/>
          <w:sz w:val="24"/>
        </w:rPr>
        <w:t>杭州市西溪医院保洁物业及室内绿化服务项目</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w:t>
      </w:r>
      <w:r>
        <w:rPr>
          <w:rFonts w:asciiTheme="minorEastAsia" w:hAnsiTheme="minorEastAsia" w:eastAsiaTheme="minorEastAsia"/>
          <w:b/>
          <w:sz w:val="24"/>
        </w:rPr>
        <w:t xml:space="preserve"> 预算金额（元）：</w:t>
      </w:r>
      <w:r>
        <w:rPr>
          <w:rFonts w:hint="eastAsia" w:asciiTheme="minorEastAsia" w:hAnsiTheme="minorEastAsia" w:eastAsiaTheme="minorEastAsia"/>
          <w:sz w:val="24"/>
        </w:rPr>
        <w:t>7700000</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sz w:val="24"/>
        </w:rPr>
        <w:t>7700000</w:t>
      </w:r>
    </w:p>
    <w:p>
      <w:pPr>
        <w:pStyle w:val="5"/>
        <w:spacing w:line="360" w:lineRule="auto"/>
        <w:ind w:firstLine="480"/>
        <w:rPr>
          <w:rFonts w:asciiTheme="minorEastAsia" w:hAnsiTheme="minorEastAsia" w:eastAsiaTheme="minorEastAsia"/>
          <w:bCs/>
          <w:snapToGrid/>
          <w:color w:val="auto"/>
          <w:kern w:val="2"/>
          <w:sz w:val="24"/>
          <w:szCs w:val="24"/>
        </w:rPr>
      </w:pPr>
      <w:r>
        <w:rPr>
          <w:rFonts w:hint="eastAsia" w:asciiTheme="minorEastAsia" w:hAnsiTheme="minorEastAsia" w:eastAsiaTheme="minorEastAsia"/>
          <w:b/>
          <w:color w:val="auto"/>
          <w:sz w:val="24"/>
        </w:rPr>
        <w:t>采购需求：</w:t>
      </w:r>
      <w:r>
        <w:rPr>
          <w:rFonts w:hint="eastAsia" w:hAnsi="宋体" w:cs="宋体"/>
          <w:sz w:val="24"/>
        </w:rPr>
        <w:t>杭州市西溪医院保洁物业及室内绿化服务采购项目，坐落于杭州市西湖区留下镇横埠街2号，建筑面积：67388.99平方米，具体内容为：要求所有的服务按照三级甲等医院标准提供保洁、运送、PVC地板打蜡保养、室内绿化养护、病区陪护、院区室内外管道的疏通、有偿理发、医院各项应急事件的配合。并针对特殊情况，制定防止交叉感染、消毒隔离制度和工作标准、流程，遵循国家法律法规及采购人的各项清洁消毒隔离等规章制度，同时做好各区域内服务员工的日常培训与管理工作，中标人负责监督并承担相应培训费用。</w:t>
      </w:r>
      <w:r>
        <w:rPr>
          <w:rFonts w:hint="eastAsia" w:asciiTheme="minorEastAsia" w:hAnsiTheme="minorEastAsia" w:eastAsiaTheme="minorEastAsia"/>
          <w:color w:val="auto"/>
          <w:sz w:val="24"/>
        </w:rPr>
        <w:t>具体采购需求详见招标文件。</w:t>
      </w:r>
    </w:p>
    <w:p>
      <w:pPr>
        <w:pStyle w:val="160"/>
        <w:ind w:firstLine="482"/>
        <w:outlineLvl w:val="2"/>
        <w:rPr>
          <w:rFonts w:asciiTheme="minorEastAsia" w:hAnsiTheme="minorEastAsia" w:eastAsiaTheme="minorEastAsia"/>
          <w:color w:val="0000FF"/>
        </w:rPr>
      </w:pPr>
      <w:r>
        <w:rPr>
          <w:rFonts w:hint="eastAsia" w:asciiTheme="minorEastAsia" w:hAnsiTheme="minorEastAsia" w:eastAsiaTheme="minorEastAsia"/>
          <w:b/>
        </w:rPr>
        <w:t>合同履约期限：</w:t>
      </w:r>
      <w:r>
        <w:rPr>
          <w:rFonts w:hint="eastAsia" w:ascii="宋体" w:hAnsi="宋体" w:cs="宋体"/>
        </w:rPr>
        <w:t>2022年8月1日起至2023年7月31日，一年。</w:t>
      </w:r>
    </w:p>
    <w:p>
      <w:pPr>
        <w:pStyle w:val="5"/>
        <w:spacing w:line="360" w:lineRule="auto"/>
        <w:ind w:firstLine="48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cs="Arial" w:asciiTheme="minorEastAsia" w:hAnsiTheme="minorEastAsia" w:eastAsiaTheme="minorEastAsia"/>
            <w:color w:val="auto"/>
            <w:kern w:val="0"/>
            <w:sz w:val="24"/>
          </w:rPr>
          <w:id w:val="203545383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eastAsia="MS Mincho" w:cs="MS Mincho"/>
              <w:color w:val="auto"/>
              <w:kern w:val="0"/>
              <w:sz w:val="24"/>
            </w:rPr>
            <w:t>☐</w:t>
          </w:r>
        </w:sdtContent>
      </w:sdt>
      <w:r>
        <w:rPr>
          <w:rFonts w:hint="eastAsia" w:asciiTheme="minorEastAsia" w:hAnsiTheme="minorEastAsia" w:eastAsiaTheme="minorEastAsia"/>
          <w:b/>
          <w:color w:val="auto"/>
          <w:sz w:val="24"/>
        </w:rPr>
        <w:t>是，</w:t>
      </w:r>
      <w:sdt>
        <w:sdtPr>
          <w:rPr>
            <w:rFonts w:hint="eastAsia" w:cs="Arial" w:asciiTheme="minorEastAsia" w:hAnsiTheme="minorEastAsia" w:eastAsiaTheme="minorEastAsia"/>
            <w:color w:val="auto"/>
            <w:kern w:val="0"/>
            <w:sz w:val="24"/>
          </w:rPr>
          <w:id w:val="28"/>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ascii="Wingdings" w:hAnsi="Wingdings" w:cs="Arial" w:eastAsiaTheme="minorEastAsia"/>
              <w:color w:val="auto"/>
              <w:kern w:val="0"/>
              <w:sz w:val="24"/>
            </w:rPr>
            <w:t></w:t>
          </w:r>
        </w:sdtContent>
      </w:sdt>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pPr>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 xml:space="preserve">    2.</w:t>
      </w:r>
      <w:r>
        <w:rPr>
          <w:rFonts w:hint="eastAsia" w:cs="仿宋_GB2312"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asciiTheme="minorEastAsia" w:hAnsiTheme="minorEastAsia" w:eastAsiaTheme="minorEastAsia"/>
          <w:sz w:val="24"/>
        </w:rPr>
      </w:pPr>
      <w:sdt>
        <w:sdtPr>
          <w:rPr>
            <w:rFonts w:hint="eastAsia" w:cs="Arial"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rPr>
            <w:t>☐</w:t>
          </w:r>
        </w:sdtContent>
      </w:sdt>
      <w:r>
        <w:rPr>
          <w:rFonts w:hint="eastAsia" w:asciiTheme="minorEastAsia" w:hAnsiTheme="minorEastAsia" w:eastAsiaTheme="minorEastAsia"/>
          <w:sz w:val="24"/>
        </w:rPr>
        <w:t>无；</w:t>
      </w:r>
    </w:p>
    <w:p>
      <w:pPr>
        <w:spacing w:line="360" w:lineRule="auto"/>
        <w:ind w:firstLine="480" w:firstLineChars="200"/>
        <w:rPr>
          <w:rFonts w:asciiTheme="minorEastAsia" w:hAnsiTheme="minorEastAsia" w:eastAsiaTheme="minorEastAsia"/>
          <w:sz w:val="24"/>
        </w:rPr>
      </w:pPr>
      <w:sdt>
        <w:sdtPr>
          <w:rPr>
            <w:rFonts w:hint="eastAsia" w:cs="Arial" w:asciiTheme="minorEastAsia" w:hAnsiTheme="minorEastAsia" w:eastAsiaTheme="minorEastAsia"/>
            <w:kern w:val="0"/>
            <w:sz w:val="24"/>
          </w:rPr>
          <w:id w:val="30"/>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ascii="Wingdings" w:hAnsi="Wingdings" w:eastAsia="MS Mincho" w:cs="MS Mincho"/>
              <w:kern w:val="0"/>
              <w:sz w:val="24"/>
            </w:rPr>
            <w:t></w:t>
          </w:r>
        </w:sdtContent>
      </w:sdt>
      <w:r>
        <w:rPr>
          <w:rFonts w:hint="eastAsia" w:cs="Arial" w:asciiTheme="minorEastAsia" w:hAnsiTheme="minorEastAsia" w:eastAsiaTheme="minorEastAsia"/>
          <w:kern w:val="0"/>
          <w:sz w:val="24"/>
        </w:rPr>
        <w:t>专</w:t>
      </w:r>
      <w:r>
        <w:rPr>
          <w:rFonts w:hint="eastAsia" w:asciiTheme="minorEastAsia" w:hAnsiTheme="minorEastAsia" w:eastAsiaTheme="minorEastAsia"/>
          <w:sz w:val="24"/>
        </w:rPr>
        <w:t>门面向中小企业</w:t>
      </w:r>
    </w:p>
    <w:p>
      <w:pPr>
        <w:spacing w:line="360" w:lineRule="auto"/>
        <w:ind w:firstLine="897" w:firstLineChars="374"/>
        <w:rPr>
          <w:rFonts w:asciiTheme="minorEastAsia" w:hAnsiTheme="minorEastAsia" w:eastAsiaTheme="minorEastAsia"/>
          <w:sz w:val="24"/>
          <w:u w:val="single"/>
        </w:rPr>
      </w:pPr>
      <w:sdt>
        <w:sdtPr>
          <w:rPr>
            <w:rFonts w:hint="eastAsia" w:cs="Arial" w:asciiTheme="minorEastAsia" w:hAnsiTheme="minorEastAsia" w:eastAsiaTheme="minorEastAsia"/>
            <w:kern w:val="0"/>
            <w:sz w:val="24"/>
          </w:rPr>
          <w:id w:val="3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sz w:val="24"/>
        </w:rPr>
        <w:t>货物全部由符合政策要求的中小企业制造，提供中小企业声明函；</w:t>
      </w:r>
    </w:p>
    <w:p>
      <w:pPr>
        <w:spacing w:line="360" w:lineRule="auto"/>
        <w:ind w:firstLine="897" w:firstLineChars="374"/>
        <w:rPr>
          <w:rFonts w:asciiTheme="minorEastAsia" w:hAnsiTheme="minorEastAsia" w:eastAsiaTheme="minorEastAsia"/>
          <w:sz w:val="24"/>
        </w:rPr>
      </w:pPr>
      <w:sdt>
        <w:sdtPr>
          <w:rPr>
            <w:rFonts w:hint="eastAsia" w:cs="Arial" w:asciiTheme="minorEastAsia" w:hAnsiTheme="minorEastAsia" w:eastAsiaTheme="minorEastAsia"/>
            <w:kern w:val="0"/>
            <w:sz w:val="24"/>
          </w:rPr>
          <w:id w:val="32"/>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sz w:val="24"/>
        </w:rPr>
        <w:t>货物全部由符合政策要求的小微企业制造，提供中小企业声明函；</w:t>
      </w:r>
    </w:p>
    <w:p>
      <w:pPr>
        <w:spacing w:line="360" w:lineRule="auto"/>
        <w:ind w:firstLine="897" w:firstLineChars="374"/>
        <w:rPr>
          <w:rFonts w:asciiTheme="minorEastAsia" w:hAnsiTheme="minorEastAsia" w:eastAsiaTheme="minorEastAsia"/>
          <w:sz w:val="24"/>
        </w:rPr>
      </w:pPr>
      <w:sdt>
        <w:sdtPr>
          <w:rPr>
            <w:rFonts w:hint="eastAsia" w:cs="Arial" w:asciiTheme="minorEastAsia" w:hAnsiTheme="minorEastAsia" w:eastAsiaTheme="minorEastAsia"/>
            <w:kern w:val="0"/>
            <w:sz w:val="24"/>
          </w:rPr>
          <w:id w:val="33"/>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ascii="Wingdings" w:hAnsi="Wingdings" w:eastAsia="MS Mincho" w:cs="MS Mincho"/>
              <w:kern w:val="0"/>
              <w:sz w:val="24"/>
            </w:rPr>
            <w:t></w:t>
          </w:r>
        </w:sdtContent>
      </w:sdt>
      <w:r>
        <w:rPr>
          <w:rFonts w:hint="eastAsia" w:asciiTheme="minorEastAsia" w:hAnsiTheme="minorEastAsia" w:eastAsiaTheme="minorEastAsia"/>
          <w:sz w:val="24"/>
        </w:rPr>
        <w:t>服务全部由符合政策要求的中小企业承接，提供中小企业声明函；</w:t>
      </w:r>
    </w:p>
    <w:p>
      <w:pPr>
        <w:spacing w:line="360" w:lineRule="auto"/>
        <w:ind w:firstLine="897" w:firstLineChars="374"/>
        <w:rPr>
          <w:rFonts w:asciiTheme="minorEastAsia" w:hAnsiTheme="minorEastAsia" w:eastAsiaTheme="minorEastAsia"/>
          <w:sz w:val="24"/>
        </w:rPr>
      </w:pPr>
      <w:sdt>
        <w:sdtPr>
          <w:rPr>
            <w:rFonts w:hint="eastAsia" w:cs="Arial" w:asciiTheme="minorEastAsia" w:hAnsiTheme="minorEastAsia" w:eastAsiaTheme="minorEastAsia"/>
            <w:kern w:val="0"/>
            <w:sz w:val="24"/>
          </w:rPr>
          <w:id w:val="3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sz w:val="24"/>
        </w:rPr>
        <w:t>服务全部由符合政策要求的小微企业承接，提供中小企业声明函；</w:t>
      </w:r>
    </w:p>
    <w:p>
      <w:pPr>
        <w:spacing w:line="360" w:lineRule="auto"/>
        <w:ind w:firstLine="480" w:firstLineChars="200"/>
        <w:rPr>
          <w:rFonts w:asciiTheme="minorEastAsia" w:hAnsiTheme="minorEastAsia" w:eastAsiaTheme="minorEastAsia"/>
          <w:sz w:val="24"/>
        </w:rPr>
      </w:pPr>
      <w:sdt>
        <w:sdtPr>
          <w:rPr>
            <w:rFonts w:hint="eastAsia" w:cs="Arial" w:asciiTheme="minorEastAsia" w:hAnsiTheme="minorEastAsia" w:eastAsiaTheme="minorEastAsia"/>
            <w:kern w:val="0"/>
            <w:sz w:val="24"/>
          </w:rPr>
          <w:id w:val="3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sz w:val="24"/>
        </w:rPr>
        <w:t>要求以联合体形式参加，提供联合协议和中小企业声明函，联合协议中中小企业合同金额应当达到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%，小</w:t>
      </w:r>
      <w:r>
        <w:rPr>
          <w:rFonts w:hint="eastAsia" w:asciiTheme="minorEastAsia" w:hAnsiTheme="minorEastAsia" w:eastAsiaTheme="minorEastAsia"/>
          <w:sz w:val="24"/>
        </w:rPr>
        <w:t>微企业合同金额应当达到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sdt>
        <w:sdtPr>
          <w:rPr>
            <w:rFonts w:hint="eastAsia" w:cs="Arial"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sz w:val="24"/>
        </w:rPr>
        <w:t>要求合同分包，提供分包意向协议和中小企业声明函，分包意向协议中中小企业合同金额应当达到达到</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，小微企业合同金额应当达到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3.本项目的特定资格要求：无</w:t>
      </w:r>
      <w:r>
        <w:rPr>
          <w:rFonts w:hint="eastAsia" w:asciiTheme="minorEastAsia" w:hAnsiTheme="minorEastAsia" w:eastAsiaTheme="minorEastAsia"/>
          <w:sz w:val="24"/>
        </w:rPr>
        <w:t>；</w:t>
      </w:r>
    </w:p>
    <w:p>
      <w:pPr>
        <w:snapToGrid w:val="0"/>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单位负责人为同一人或者存在直接控股、管理关系的不同供应商，不得参加同一合同项下的政府采购活动；</w:t>
      </w:r>
      <w:r>
        <w:rPr>
          <w:rFonts w:cs="仿宋_GB2312" w:asciiTheme="minorEastAsia" w:hAnsiTheme="minorEastAsia" w:eastAsiaTheme="minorEastAsia"/>
          <w:sz w:val="24"/>
        </w:rPr>
        <w:t>为采购项目提供整体设计、规范编制或者项目管理、监理、检测等服务后</w:t>
      </w:r>
      <w:r>
        <w:rPr>
          <w:rFonts w:hint="eastAsia" w:cs="仿宋_GB2312" w:asciiTheme="minorEastAsia" w:hAnsiTheme="minorEastAsia" w:eastAsiaTheme="minorEastAsia"/>
          <w:sz w:val="24"/>
        </w:rPr>
        <w:t>不得</w:t>
      </w:r>
      <w:r>
        <w:rPr>
          <w:rFonts w:cs="仿宋_GB2312" w:asciiTheme="minorEastAsia" w:hAnsiTheme="minorEastAsia" w:eastAsiaTheme="minorEastAsia"/>
          <w:sz w:val="24"/>
        </w:rPr>
        <w:t>再参加该采购项目的其他采购活动。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三、获取招标文件</w:t>
      </w:r>
      <w:r>
        <w:rPr>
          <w:rFonts w:asciiTheme="minorEastAsia" w:hAnsiTheme="minorEastAsia" w:eastAsiaTheme="minorEastAsia"/>
          <w:b/>
          <w:sz w:val="24"/>
        </w:rPr>
        <w:t xml:space="preserve">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时间：</w:t>
      </w:r>
      <w:r>
        <w:rPr>
          <w:rFonts w:asciiTheme="minorEastAsia" w:hAnsiTheme="minorEastAsia" w:eastAsiaTheme="minorEastAsia"/>
          <w:sz w:val="24"/>
        </w:rPr>
        <w:t>/至</w:t>
      </w:r>
      <w:r>
        <w:rPr>
          <w:rFonts w:hint="eastAsia" w:asciiTheme="minorEastAsia" w:hAnsiTheme="minorEastAsia" w:eastAsiaTheme="minorEastAsia"/>
          <w:sz w:val="24"/>
          <w:u w:val="single"/>
        </w:rPr>
        <w:t>2022</w:t>
      </w:r>
      <w:r>
        <w:rPr>
          <w:rFonts w:asciiTheme="minorEastAsia" w:hAnsiTheme="minorEastAsia" w:eastAsiaTheme="minorEastAsia"/>
          <w:sz w:val="24"/>
          <w:u w:val="single"/>
        </w:rPr>
        <w:t>年</w:t>
      </w:r>
      <w:r>
        <w:rPr>
          <w:rFonts w:hint="eastAsia" w:asciiTheme="minorEastAsia" w:hAnsiTheme="minorEastAsia" w:eastAsiaTheme="minorEastAsia"/>
          <w:sz w:val="24"/>
          <w:u w:val="single"/>
        </w:rPr>
        <w:t>7</w:t>
      </w:r>
      <w:r>
        <w:rPr>
          <w:rFonts w:asciiTheme="minorEastAsia" w:hAnsiTheme="minorEastAsia" w:eastAsiaTheme="minorEastAsia"/>
          <w:sz w:val="24"/>
          <w:u w:val="single"/>
        </w:rPr>
        <w:t>月</w:t>
      </w:r>
      <w:r>
        <w:rPr>
          <w:rFonts w:hint="eastAsia" w:asciiTheme="minorEastAsia" w:hAnsiTheme="minorEastAsia" w:eastAsiaTheme="minorEastAsia"/>
          <w:sz w:val="24"/>
          <w:u w:val="single"/>
        </w:rPr>
        <w:t>29</w:t>
      </w:r>
      <w:r>
        <w:rPr>
          <w:rFonts w:asciiTheme="minorEastAsia" w:hAnsiTheme="minorEastAsia" w:eastAsiaTheme="minorEastAsia"/>
          <w:sz w:val="24"/>
          <w:u w:val="single"/>
        </w:rPr>
        <w:t>日</w:t>
      </w:r>
      <w:r>
        <w:rPr>
          <w:rFonts w:hint="eastAsia" w:asciiTheme="minorEastAsia" w:hAnsiTheme="minorEastAsia" w:eastAsiaTheme="minorEastAsia"/>
          <w:sz w:val="24"/>
        </w:rPr>
        <w:t>，每天上午</w:t>
      </w:r>
      <w:r>
        <w:rPr>
          <w:rFonts w:asciiTheme="minorEastAsia" w:hAnsiTheme="minorEastAsia" w:eastAsiaTheme="minorEastAsia"/>
          <w:sz w:val="24"/>
        </w:rPr>
        <w:t xml:space="preserve">00:00至12:00 </w:t>
      </w:r>
      <w:r>
        <w:rPr>
          <w:rFonts w:hint="eastAsia" w:asciiTheme="minorEastAsia" w:hAnsiTheme="minorEastAsia" w:eastAsiaTheme="minorEastAsia"/>
          <w:sz w:val="24"/>
        </w:rPr>
        <w:t>，下午</w:t>
      </w:r>
      <w:r>
        <w:rPr>
          <w:rFonts w:asciiTheme="minorEastAsia" w:hAnsiTheme="minorEastAsia" w:eastAsiaTheme="minorEastAsia"/>
          <w:sz w:val="24"/>
        </w:rPr>
        <w:t>12:00至23:59（北京时间，线上获取法定节假日均可，线下获取文件法定节假日除外）</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 xml:space="preserve">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 xml:space="preserve">0 </w:t>
      </w:r>
      <w:r>
        <w:rPr>
          <w:rFonts w:asciiTheme="minorEastAsia" w:hAnsiTheme="minorEastAsia" w:eastAsiaTheme="minorEastAsia"/>
          <w:sz w:val="24"/>
        </w:rPr>
        <w:tab/>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提交投标文件截止时间：</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2022</w:t>
      </w:r>
      <w:r>
        <w:rPr>
          <w:rFonts w:asciiTheme="minorEastAsia" w:hAnsiTheme="minorEastAsia" w:eastAsiaTheme="minorEastAsia"/>
          <w:sz w:val="24"/>
          <w:u w:val="single"/>
        </w:rPr>
        <w:t>年</w:t>
      </w:r>
      <w:r>
        <w:rPr>
          <w:rFonts w:hint="eastAsia" w:asciiTheme="minorEastAsia" w:hAnsiTheme="minorEastAsia" w:eastAsiaTheme="minorEastAsia"/>
          <w:sz w:val="24"/>
          <w:u w:val="single"/>
        </w:rPr>
        <w:t>7月29日10点00分</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sz w:val="24"/>
        </w:rPr>
        <w:t>（北京时间）</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投标地点（网址）：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bCs/>
          <w:sz w:val="24"/>
          <w:u w:val="single"/>
        </w:rPr>
      </w:pPr>
      <w:r>
        <w:rPr>
          <w:rFonts w:hint="eastAsia" w:asciiTheme="minorEastAsia" w:hAnsiTheme="minorEastAsia" w:eastAsiaTheme="minorEastAsia"/>
          <w:b/>
          <w:sz w:val="24"/>
        </w:rPr>
        <w:t>开标时间：</w:t>
      </w:r>
      <w:r>
        <w:rPr>
          <w:rFonts w:hint="eastAsia" w:asciiTheme="minorEastAsia" w:hAnsiTheme="minorEastAsia" w:eastAsiaTheme="minorEastAsia"/>
          <w:sz w:val="24"/>
          <w:u w:val="single"/>
        </w:rPr>
        <w:t>2022</w:t>
      </w:r>
      <w:r>
        <w:rPr>
          <w:rFonts w:asciiTheme="minorEastAsia" w:hAnsiTheme="minorEastAsia" w:eastAsiaTheme="minorEastAsia"/>
          <w:sz w:val="24"/>
          <w:u w:val="single"/>
        </w:rPr>
        <w:t>年</w:t>
      </w:r>
      <w:r>
        <w:rPr>
          <w:rFonts w:hint="eastAsia" w:asciiTheme="minorEastAsia" w:hAnsiTheme="minorEastAsia" w:eastAsiaTheme="minorEastAsia"/>
          <w:sz w:val="24"/>
          <w:u w:val="single"/>
        </w:rPr>
        <w:t>7月29日10点00分</w:t>
      </w:r>
      <w:r>
        <w:rPr>
          <w:rFonts w:hint="eastAsia" w:asciiTheme="minorEastAsia" w:hAnsiTheme="minorEastAsia" w:eastAsiaTheme="minorEastAsia"/>
          <w:bCs/>
          <w:sz w:val="24"/>
          <w:u w:val="single"/>
        </w:rPr>
        <w:t xml:space="preserve">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开标地点（网址）：</w:t>
      </w:r>
      <w:r>
        <w:rPr>
          <w:rFonts w:hint="eastAsia" w:asciiTheme="minorEastAsia" w:hAnsiTheme="minorEastAsia" w:eastAsiaTheme="minorEastAsia"/>
          <w:sz w:val="24"/>
        </w:rPr>
        <w:t>杭州市公共资源交易中心第四开标室[杭州市之江路925号（临江金座2号楼）三楼] ，</w:t>
      </w:r>
      <w:r>
        <w:rPr>
          <w:rFonts w:asciiTheme="minorEastAsia" w:hAnsiTheme="minorEastAsia" w:eastAsiaTheme="minorEastAsia"/>
          <w:sz w:val="24"/>
        </w:rPr>
        <w:t>政</w:t>
      </w:r>
      <w:r>
        <w:rPr>
          <w:rFonts w:hint="eastAsia" w:asciiTheme="minorEastAsia" w:hAnsiTheme="minorEastAsia" w:eastAsiaTheme="minorEastAsia"/>
          <w:sz w:val="24"/>
        </w:rPr>
        <w:t>采云平台（</w:t>
      </w:r>
      <w:r>
        <w:rPr>
          <w:rFonts w:asciiTheme="minorEastAsia" w:hAnsiTheme="minorEastAsia" w:eastAsiaTheme="minorEastAsia"/>
          <w:sz w:val="24"/>
        </w:rPr>
        <w:t>https://www.zcygov.cn/）</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r>
        <w:rPr>
          <w:rFonts w:asciiTheme="minorEastAsia" w:hAnsiTheme="minorEastAsia" w:eastAsiaTheme="minorEastAsia"/>
          <w:b/>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sz w:val="24"/>
        </w:rPr>
        <w:t>4.其他事项：（1）需要落实的政府采购政策：包括节约资源、保护环境、支持创新、促进中小企业发展等。详见招标文件的第二部分总则。（2）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采购人、采购机构将依托政</w:t>
      </w:r>
      <w:r>
        <w:rPr>
          <w:rFonts w:hint="eastAsia" w:asciiTheme="minorEastAsia" w:hAnsiTheme="minorEastAsia" w:eastAsiaTheme="minorEastAsia"/>
          <w:sz w:val="24"/>
        </w:rPr>
        <w:t>采云平台完成本项目的电子交易活动，平台不接受未按上述方式获取招标文件的供应商进行投标活动；</w:t>
      </w:r>
      <w:r>
        <w:rPr>
          <w:rFonts w:asciiTheme="minorEastAsia" w:hAnsiTheme="minorEastAsia" w:eastAsiaTheme="minorEastAsia"/>
          <w:sz w:val="24"/>
        </w:rPr>
        <w:t xml:space="preserve"> </w:t>
      </w:r>
      <w:r>
        <w:rPr>
          <w:rFonts w:hint="eastAsia" w:asciiTheme="minorEastAsia" w:hAnsiTheme="minorEastAsia" w:eastAsiaTheme="minorEastAsia"/>
          <w:sz w:val="24"/>
        </w:rPr>
        <w:t>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⑧</w:t>
      </w:r>
      <w:r>
        <w:rPr>
          <w:rFonts w:cs="仿宋_GB2312" w:asciiTheme="minorEastAsia" w:hAnsiTheme="minorEastAsia" w:eastAsiaTheme="minorEastAsia"/>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r>
        <w:rPr>
          <w:rFonts w:hint="eastAsia" w:ascii="宋体" w:hAnsi="宋体" w:cs="宋体"/>
          <w:sz w:val="24"/>
        </w:rPr>
        <w:t>（3）招标文件公告期限与招标公告的公告期限一致。</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1.采购人信息</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名    称：杭州市西溪医院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w:t>
      </w:r>
      <w:r>
        <w:rPr>
          <w:rFonts w:hint="eastAsia" w:ascii="宋体" w:hAnsi="宋体" w:cs="宋体"/>
          <w:sz w:val="24"/>
        </w:rPr>
        <w:t>杭州市西湖区留下镇横埠街2号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w:t>
      </w:r>
      <w:r>
        <w:rPr>
          <w:rFonts w:hint="eastAsia" w:ascii="宋体" w:hAnsi="宋体" w:cs="宋体"/>
          <w:sz w:val="24"/>
        </w:rPr>
        <w:t>华攀</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宋体" w:hAnsi="宋体" w:cs="宋体"/>
          <w:sz w:val="24"/>
        </w:rPr>
        <w:t>0571-86481890</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w:t>
      </w:r>
      <w:r>
        <w:rPr>
          <w:rFonts w:hint="eastAsia" w:ascii="宋体" w:hAnsi="宋体" w:cs="宋体"/>
          <w:sz w:val="24"/>
        </w:rPr>
        <w:t>杭州市西溪医院纪检监察室</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质疑联系方式：</w:t>
      </w:r>
      <w:r>
        <w:rPr>
          <w:rFonts w:hint="eastAsia" w:ascii="宋体" w:hAnsi="宋体" w:cs="宋体"/>
          <w:sz w:val="24"/>
        </w:rPr>
        <w:t>0571-86481668</w:t>
      </w:r>
      <w:r>
        <w:rPr>
          <w:rFonts w:asciiTheme="minorEastAsia" w:hAnsiTheme="minorEastAsia" w:eastAsiaTheme="minorEastAsia"/>
          <w:sz w:val="24"/>
        </w:rPr>
        <w:t xml:space="preserve">    </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 xml:space="preserve">2.采购代理机构信息 </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称：杭州市公共资源交易中心（杭州市政府采购中心）</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址：浙江杭州上城区之江路925号临江金座2号楼</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传    真：/ </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项目联系人（询问）：</w:t>
      </w:r>
      <w:r>
        <w:rPr>
          <w:rFonts w:hint="eastAsia" w:asciiTheme="minorEastAsia" w:hAnsiTheme="minorEastAsia" w:eastAsiaTheme="minorEastAsia"/>
          <w:sz w:val="24"/>
        </w:rPr>
        <w:t xml:space="preserve"> 潘颖颖、吴巍峰</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项目联系方式（询问）：</w:t>
      </w:r>
      <w:r>
        <w:rPr>
          <w:rFonts w:hint="eastAsia" w:asciiTheme="minorEastAsia" w:hAnsiTheme="minorEastAsia" w:eastAsiaTheme="minorEastAsia"/>
          <w:sz w:val="24"/>
        </w:rPr>
        <w:t>0571-85085361、85085572</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质疑联系人：</w:t>
      </w:r>
      <w:r>
        <w:rPr>
          <w:rFonts w:hint="eastAsia" w:asciiTheme="minorEastAsia" w:hAnsiTheme="minorEastAsia" w:eastAsiaTheme="minorEastAsia"/>
          <w:sz w:val="24"/>
        </w:rPr>
        <w:t>滕菲</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质疑联系方式：</w:t>
      </w:r>
      <w:r>
        <w:rPr>
          <w:rFonts w:hint="eastAsia" w:asciiTheme="minorEastAsia" w:hAnsiTheme="minorEastAsia" w:eastAsiaTheme="minorEastAsia"/>
          <w:sz w:val="24"/>
        </w:rPr>
        <w:t>0571-85085388</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3.同级政府采购监督管理部门 </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名    称：杭州市财政局政府采购监管处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址：杭州市中河中路152号617办公室 </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 xml:space="preserve">  传    真：0571-89580456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联系人 ：厉先生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监督投诉电话：0571-89580456</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w:t>
      </w:r>
      <w:r>
        <w:rPr>
          <w:rFonts w:asciiTheme="minorEastAsia" w:hAnsiTheme="minorEastAsia" w:eastAsiaTheme="minorEastAsia"/>
          <w:sz w:val="24"/>
        </w:rPr>
        <w:t>400-881-7190获取热线服务帮助。</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pStyle w:val="32"/>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rPr>
        <w:t xml:space="preserve">                              </w:t>
      </w:r>
    </w:p>
    <w:p>
      <w:pPr>
        <w:adjustRightInd/>
        <w:spacing w:line="360" w:lineRule="auto"/>
        <w:jc w:val="center"/>
        <w:outlineLvl w:val="0"/>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w:br w:type="page"/>
      </w:r>
      <w:r>
        <w:rPr>
          <w:rFonts w:hint="eastAsia" w:cs="仿宋_GB2312" w:asciiTheme="minorEastAsia" w:hAnsiTheme="minorEastAsia" w:eastAsiaTheme="minorEastAsia"/>
          <w:b/>
          <w:sz w:val="36"/>
          <w:szCs w:val="20"/>
        </w:rPr>
        <w:t>第二部分</w:t>
      </w:r>
      <w:bookmarkEnd w:id="8"/>
      <w:r>
        <w:rPr>
          <w:rFonts w:cs="仿宋_GB2312" w:asciiTheme="minorEastAsia" w:hAnsiTheme="minorEastAsia" w:eastAsiaTheme="minorEastAsia"/>
          <w:b/>
          <w:sz w:val="36"/>
          <w:szCs w:val="20"/>
        </w:rPr>
        <w:t xml:space="preserve"> 投标人须知</w:t>
      </w:r>
      <w:bookmarkEnd w:id="9"/>
    </w:p>
    <w:p>
      <w:pPr>
        <w:snapToGrid w:val="0"/>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118727868"/>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cs="Arial" w:asciiTheme="minorEastAsia" w:hAnsiTheme="minorEastAsia" w:eastAsiaTheme="minorEastAsia"/>
                <w:kern w:val="0"/>
                <w:sz w:val="24"/>
              </w:rPr>
              <w:t>A</w:t>
            </w:r>
            <w:r>
              <w:rPr>
                <w:rFonts w:hint="eastAsia" w:asciiTheme="minorEastAsia" w:hAnsiTheme="minorEastAsia" w:eastAsiaTheme="minorEastAsia"/>
                <w:sz w:val="24"/>
              </w:rPr>
              <w:t>货物类，单一产品或</w:t>
            </w:r>
            <w:r>
              <w:rPr>
                <w:rFonts w:hint="eastAsia" w:asciiTheme="minorEastAsia" w:hAnsiTheme="minorEastAsia" w:eastAsiaTheme="minorEastAsia"/>
                <w:kern w:val="0"/>
                <w:sz w:val="24"/>
              </w:rPr>
              <w:t>核心产品为：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47488555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cs="Arial" w:asciiTheme="minorEastAsia" w:hAnsiTheme="minorEastAsia" w:eastAsiaTheme="minorEastAsia"/>
                <w:kern w:val="0"/>
                <w:sz w:val="24"/>
              </w:rPr>
              <w:t>B</w:t>
            </w:r>
            <w:r>
              <w:rPr>
                <w:rFonts w:hint="eastAsia"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w:t>
            </w:r>
            <w:r>
              <w:rPr>
                <w:rFonts w:cs="Arial" w:asciiTheme="minorEastAsia" w:hAnsiTheme="minorEastAsia" w:eastAsiaTheme="minorEastAsia"/>
                <w:kern w:val="0"/>
                <w:sz w:val="24"/>
              </w:rPr>
              <w:t>1</w:t>
            </w:r>
            <w:r>
              <w:rPr>
                <w:rFonts w:hint="eastAsia" w:cs="Arial" w:asciiTheme="minorEastAsia" w:hAnsiTheme="minorEastAsia" w:eastAsiaTheme="minorEastAsia"/>
                <w:kern w:val="0"/>
                <w:sz w:val="24"/>
              </w:rPr>
              <w:t>）标的：</w:t>
            </w:r>
            <w:r>
              <w:rPr>
                <w:rFonts w:hint="eastAsia" w:asciiTheme="minorEastAsia" w:hAnsiTheme="minorEastAsia" w:eastAsiaTheme="minorEastAsia"/>
                <w:sz w:val="24"/>
                <w:u w:val="single"/>
              </w:rPr>
              <w:t>保洁物业及室内绿化服务项目</w:t>
            </w:r>
            <w:r>
              <w:rPr>
                <w:rFonts w:hint="eastAsia" w:cs="Arial" w:asciiTheme="minorEastAsia" w:hAnsiTheme="minorEastAsia" w:eastAsiaTheme="minorEastAsia"/>
                <w:kern w:val="0"/>
                <w:sz w:val="24"/>
              </w:rPr>
              <w:t>，属于：</w:t>
            </w:r>
            <w:r>
              <w:rPr>
                <w:rFonts w:hint="eastAsia" w:asciiTheme="minorEastAsia" w:hAnsiTheme="minorEastAsia" w:eastAsiaTheme="minorEastAsia"/>
                <w:sz w:val="24"/>
                <w:u w:val="single"/>
              </w:rPr>
              <w:t>物业管理行业</w:t>
            </w:r>
            <w:r>
              <w:rPr>
                <w:rFonts w:hint="eastAsia" w:cs="Arial" w:asciiTheme="minorEastAsia" w:hAnsiTheme="minorEastAsia" w:eastAsiaTheme="minorEastAsia"/>
                <w:kern w:val="0"/>
                <w:sz w:val="24"/>
              </w:rPr>
              <w:t>；</w:t>
            </w:r>
          </w:p>
          <w:p>
            <w:pPr>
              <w:pStyle w:val="2"/>
              <w:rPr>
                <w:rFonts w:asciiTheme="minorEastAsia" w:hAnsiTheme="minorEastAsia" w:eastAsiaTheme="minorEastAsia"/>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kern w:val="0"/>
                <w:sz w:val="24"/>
              </w:rPr>
            </w:pPr>
            <w:sdt>
              <w:sdtPr>
                <w:rPr>
                  <w:rFonts w:hint="eastAsia" w:cs="Arial" w:asciiTheme="minorEastAsia" w:hAnsiTheme="minorEastAsia" w:eastAsiaTheme="minorEastAsia"/>
                  <w:kern w:val="0"/>
                  <w:sz w:val="24"/>
                </w:rPr>
                <w:id w:val="3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sym w:font="Wingdings" w:char="F0FE"/>
                </w:r>
              </w:sdtContent>
            </w:sdt>
            <w:r>
              <w:rPr>
                <w:rFonts w:hint="eastAsia" w:cs="Arial" w:asciiTheme="minorEastAsia" w:hAnsiTheme="minorEastAsia" w:eastAsiaTheme="minorEastAsia"/>
                <w:kern w:val="0"/>
                <w:sz w:val="24"/>
              </w:rPr>
              <w:t>本项目不允许采购进口产品。</w:t>
            </w:r>
          </w:p>
          <w:p>
            <w:pPr>
              <w:spacing w:line="360" w:lineRule="auto"/>
              <w:rPr>
                <w:rFonts w:asciiTheme="minorEastAsia" w:hAnsiTheme="minorEastAsia" w:eastAsiaTheme="minorEastAsia"/>
              </w:rPr>
            </w:pPr>
            <w:sdt>
              <w:sdtPr>
                <w:rPr>
                  <w:rFonts w:hint="eastAsia" w:cs="Arial" w:asciiTheme="minorEastAsia" w:hAnsiTheme="minorEastAsia" w:eastAsiaTheme="minorEastAsia"/>
                  <w:kern w:val="0"/>
                  <w:sz w:val="24"/>
                </w:rPr>
                <w:id w:val="4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Arial" w:asciiTheme="minorEastAsia" w:hAnsiTheme="minorEastAsia" w:eastAsiaTheme="minorEastAsia"/>
                <w:kern w:val="0"/>
                <w:sz w:val="24"/>
              </w:rPr>
              <w:t>可以就</w:t>
            </w:r>
            <w:r>
              <w:rPr>
                <w:rFonts w:hint="eastAsia" w:asciiTheme="minorEastAsia" w:hAnsiTheme="minorEastAsia" w:eastAsiaTheme="minorEastAsia"/>
                <w:sz w:val="24"/>
                <w:u w:val="single"/>
              </w:rPr>
              <w:t xml:space="preserve">    </w:t>
            </w:r>
            <w:r>
              <w:rPr>
                <w:rFonts w:hint="eastAsia" w:cs="Arial"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仿宋_GB2312" w:asciiTheme="minorEastAsia" w:hAnsiTheme="minorEastAsia" w:eastAsiaTheme="minorEastAsia"/>
                <w:sz w:val="24"/>
              </w:rPr>
            </w:pPr>
            <w:sdt>
              <w:sdtPr>
                <w:rPr>
                  <w:rFonts w:hint="eastAsia" w:cs="Arial" w:asciiTheme="minorEastAsia" w:hAnsiTheme="minorEastAsia" w:eastAsiaTheme="minorEastAsia"/>
                  <w:kern w:val="0"/>
                  <w:sz w:val="24"/>
                </w:rPr>
                <w:id w:val="4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cs="Arial" w:asciiTheme="minorEastAsia" w:hAnsiTheme="minorEastAsia" w:eastAsiaTheme="minorEastAsia"/>
                <w:kern w:val="0"/>
                <w:sz w:val="24"/>
              </w:rPr>
              <w:t xml:space="preserve"> A</w:t>
            </w:r>
            <w:r>
              <w:rPr>
                <w:rFonts w:hint="eastAsia" w:asciiTheme="minorEastAsia" w:hAnsiTheme="minorEastAsia" w:eastAsiaTheme="minorEastAsia"/>
                <w:sz w:val="24"/>
              </w:rPr>
              <w:t>同意将非主体、非关键性的</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工作分包。</w:t>
            </w:r>
            <w:sdt>
              <w:sdtPr>
                <w:rPr>
                  <w:rFonts w:hint="eastAsia" w:cs="Arial" w:asciiTheme="minorEastAsia" w:hAnsiTheme="minorEastAsia" w:eastAsiaTheme="minorEastAsia"/>
                  <w:kern w:val="0"/>
                  <w:sz w:val="24"/>
                </w:rPr>
                <w:id w:val="4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sym w:font="Wingdings" w:char="F0FE"/>
                </w:r>
              </w:sdtContent>
            </w:sdt>
            <w:r>
              <w:rPr>
                <w:rFonts w:cs="Arial" w:asciiTheme="minorEastAsia" w:hAnsiTheme="minorEastAsia" w:eastAsiaTheme="minorEastAsia"/>
                <w:kern w:val="0"/>
                <w:sz w:val="24"/>
              </w:rPr>
              <w:t xml:space="preserve"> B</w:t>
            </w:r>
            <w:r>
              <w:rPr>
                <w:rFonts w:hint="eastAsia" w:asciiTheme="minorEastAsia" w:hAnsiTheme="minorEastAsia" w:eastAsia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43"/>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ascii="Wingdings" w:hAnsi="Wingdings" w:eastAsia="MS Mincho" w:cs="MS Mincho"/>
                    <w:kern w:val="0"/>
                    <w:sz w:val="24"/>
                  </w:rPr>
                  <w:t></w:t>
                </w:r>
              </w:sdtContent>
            </w:sdt>
            <w:r>
              <w:rPr>
                <w:rFonts w:cs="Arial" w:asciiTheme="minorEastAsia" w:hAnsiTheme="minorEastAsia" w:eastAsiaTheme="minorEastAsia"/>
                <w:kern w:val="0"/>
                <w:sz w:val="24"/>
              </w:rPr>
              <w:t>A</w:t>
            </w:r>
            <w:r>
              <w:rPr>
                <w:rFonts w:hint="eastAsia" w:asciiTheme="minorEastAsia" w:hAnsiTheme="minorEastAsia" w:eastAsiaTheme="minorEastAsia"/>
                <w:sz w:val="24"/>
              </w:rPr>
              <w:t>不组织。</w:t>
            </w:r>
          </w:p>
          <w:p>
            <w:pPr>
              <w:spacing w:line="360" w:lineRule="auto"/>
              <w:rPr>
                <w:rFonts w:asciiTheme="minorEastAsia" w:hAnsiTheme="minorEastAsia" w:eastAsiaTheme="minorEastAsia"/>
                <w:sz w:val="24"/>
                <w:szCs w:val="20"/>
              </w:rPr>
            </w:pPr>
            <w:sdt>
              <w:sdtPr>
                <w:rPr>
                  <w:rFonts w:hint="eastAsia" w:cs="Arial" w:asciiTheme="minorEastAsia" w:hAnsiTheme="minorEastAsia" w:eastAsiaTheme="minorEastAsia"/>
                  <w:kern w:val="0"/>
                  <w:sz w:val="24"/>
                </w:rPr>
                <w:id w:val="4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rPr>
                  <w:t>☐</w:t>
                </w:r>
              </w:sdtContent>
            </w:sdt>
            <w:r>
              <w:rPr>
                <w:rFonts w:asciiTheme="minorEastAsia" w:hAnsiTheme="minorEastAsia" w:eastAsiaTheme="minorEastAsia"/>
                <w:kern w:val="0"/>
                <w:sz w:val="24"/>
              </w:rPr>
              <w:t>B组织，</w:t>
            </w:r>
            <w:r>
              <w:rPr>
                <w:rFonts w:hint="eastAsia" w:asciiTheme="minorEastAsia" w:hAnsiTheme="minorEastAsia" w:eastAsiaTheme="minorEastAsia"/>
                <w:sz w:val="24"/>
              </w:rPr>
              <w:t>时间：</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2022年 月 日上午9时30分开始</w:t>
            </w:r>
            <w:r>
              <w:rPr>
                <w:rFonts w:asciiTheme="minorEastAsia" w:hAnsiTheme="minorEastAsia" w:eastAsiaTheme="minorEastAsia"/>
                <w:sz w:val="24"/>
              </w:rPr>
              <w:t>,地点</w:t>
            </w:r>
            <w:r>
              <w:rPr>
                <w:rFonts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，联系人：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，联系方式：</w:t>
            </w:r>
            <w:r>
              <w:rPr>
                <w:rFonts w:asciiTheme="minorEastAsia" w:hAnsiTheme="minorEastAsia" w:eastAsiaTheme="minorEastAsia"/>
                <w:sz w:val="24"/>
                <w:u w:val="single"/>
              </w:rPr>
              <w:t xml:space="preserve"> </w:t>
            </w:r>
            <w:r>
              <w:rPr>
                <w:rFonts w:hint="eastAsia" w:asciiTheme="minorEastAsia" w:hAnsiTheme="minorEastAsia" w:eastAsiaTheme="minorEastAsia"/>
                <w:sz w:val="24"/>
                <w:szCs w:val="20"/>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szCs w:val="20"/>
              </w:rPr>
              <w:t>。（</w:t>
            </w:r>
            <w:r>
              <w:rPr>
                <w:rFonts w:hint="eastAsia" w:asciiTheme="minorEastAsia" w:hAnsiTheme="minorEastAsia" w:eastAsiaTheme="minorEastAsia"/>
                <w:sz w:val="24"/>
              </w:rPr>
              <w:t>因疫情防控要求，每家潜在供应商限两名工作人员参加，除上述时间外，不再安排潜在供应商进校现场考察。</w:t>
            </w:r>
            <w:r>
              <w:rPr>
                <w:rFonts w:hint="eastAsia"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45"/>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cs="Arial" w:asciiTheme="minorEastAsia" w:hAnsiTheme="minorEastAsia" w:eastAsiaTheme="minorEastAsia"/>
                <w:kern w:val="0"/>
                <w:sz w:val="24"/>
              </w:rPr>
              <w:t>A</w:t>
            </w:r>
            <w:r>
              <w:rPr>
                <w:rFonts w:hint="eastAsia" w:asciiTheme="minorEastAsia" w:hAnsiTheme="minorEastAsia" w:eastAsiaTheme="minorEastAsia"/>
                <w:sz w:val="24"/>
              </w:rPr>
              <w:t>不要求提供。</w:t>
            </w:r>
          </w:p>
          <w:p>
            <w:pPr>
              <w:spacing w:line="360" w:lineRule="auto"/>
              <w:rPr>
                <w:rFonts w:asciiTheme="minorEastAsia" w:hAnsiTheme="minorEastAsia" w:eastAsiaTheme="minorEastAsia"/>
                <w:kern w:val="0"/>
                <w:sz w:val="24"/>
              </w:rPr>
            </w:pPr>
            <w:sdt>
              <w:sdtPr>
                <w:rPr>
                  <w:rFonts w:hint="eastAsia" w:cs="Arial"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asciiTheme="minorEastAsia" w:hAnsiTheme="minorEastAsia" w:eastAsiaTheme="minorEastAsia"/>
                <w:kern w:val="0"/>
                <w:sz w:val="24"/>
              </w:rPr>
              <w:t>B</w:t>
            </w:r>
            <w:r>
              <w:rPr>
                <w:rFonts w:hint="eastAsia" w:asciiTheme="minorEastAsia" w:hAnsiTheme="minorEastAsia" w:eastAsiaTheme="minorEastAsia"/>
                <w:kern w:val="0"/>
                <w:sz w:val="24"/>
              </w:rPr>
              <w:t>要求提供，</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1）</w:t>
            </w:r>
            <w:r>
              <w:rPr>
                <w:rFonts w:hint="eastAsia" w:asciiTheme="minorEastAsia" w:hAnsiTheme="minorEastAsia" w:eastAsiaTheme="minorEastAsia"/>
                <w:snapToGrid w:val="0"/>
                <w:kern w:val="28"/>
                <w:sz w:val="24"/>
              </w:rPr>
              <w:t>样品：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2）</w:t>
            </w:r>
            <w:r>
              <w:rPr>
                <w:rFonts w:hint="eastAsia" w:asciiTheme="minorEastAsia" w:hAnsiTheme="minorEastAsia" w:eastAsiaTheme="minorEastAsia"/>
                <w:snapToGrid w:val="0"/>
                <w:kern w:val="28"/>
                <w:sz w:val="24"/>
              </w:rPr>
              <w:t>样品制作的标准和要求：</w:t>
            </w:r>
            <w:r>
              <w:rPr>
                <w:rFonts w:hint="eastAsia" w:asciiTheme="minorEastAsia" w:hAnsiTheme="minorEastAsia" w:eastAsiaTheme="minorEastAsia"/>
                <w:sz w:val="24"/>
                <w:u w:val="single"/>
              </w:rPr>
              <w:t xml:space="preserve">    </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3）样品的评审方法以及评审标准</w:t>
            </w:r>
            <w:r>
              <w:rPr>
                <w:rFonts w:hint="eastAsia" w:asciiTheme="minorEastAsia" w:hAnsiTheme="minorEastAsia" w:eastAsiaTheme="minorEastAsia"/>
                <w:snapToGrid w:val="0"/>
                <w:kern w:val="28"/>
                <w:sz w:val="24"/>
              </w:rPr>
              <w:t>：详见</w:t>
            </w:r>
            <w:r>
              <w:rPr>
                <w:rFonts w:hint="eastAsia" w:asciiTheme="minorEastAsia" w:hAnsiTheme="minorEastAsia" w:eastAsiaTheme="minorEastAsia"/>
                <w:sz w:val="24"/>
                <w:u w:val="single"/>
              </w:rPr>
              <w:t>评标办法</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4）是否需要随样品提交检测报告</w:t>
            </w:r>
            <w:r>
              <w:rPr>
                <w:rFonts w:hint="eastAsia" w:asciiTheme="minorEastAsia" w:hAnsiTheme="minorEastAsia" w:eastAsiaTheme="minorEastAsia"/>
                <w:kern w:val="0"/>
                <w:sz w:val="24"/>
              </w:rPr>
              <w:t>：</w:t>
            </w:r>
            <w:sdt>
              <w:sdtPr>
                <w:rPr>
                  <w:rFonts w:hint="eastAsia" w:cs="Arial" w:asciiTheme="minorEastAsia" w:hAnsiTheme="minorEastAsia" w:eastAsiaTheme="minorEastAsia"/>
                  <w:kern w:val="0"/>
                  <w:sz w:val="24"/>
                </w:rPr>
                <w:id w:val="130342145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sym w:font="Wingdings" w:char="F0FE"/>
                </w:r>
              </w:sdtContent>
            </w:sdt>
            <w:r>
              <w:rPr>
                <w:rFonts w:asciiTheme="minorEastAsia" w:hAnsiTheme="minorEastAsia" w:eastAsiaTheme="minorEastAsia"/>
                <w:kern w:val="0"/>
                <w:sz w:val="24"/>
              </w:rPr>
              <w:t>否；</w:t>
            </w:r>
            <w:sdt>
              <w:sdtPr>
                <w:rPr>
                  <w:rFonts w:hint="eastAsia" w:cs="Arial"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asciiTheme="minorEastAsia" w:hAnsiTheme="minorEastAsia" w:eastAsiaTheme="minorEastAsia"/>
                <w:kern w:val="0"/>
                <w:sz w:val="24"/>
              </w:rPr>
              <w:t>是，检测机构的要求</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kern w:val="0"/>
                <w:sz w:val="24"/>
              </w:rPr>
              <w:t>；检测内容</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5）提供样品的时间：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kern w:val="0"/>
                <w:sz w:val="24"/>
              </w:rPr>
              <w:t>；地点：</w:t>
            </w:r>
            <w:r>
              <w:rPr>
                <w:rFonts w:hint="eastAsia" w:asciiTheme="minorEastAsia" w:hAnsiTheme="minorEastAsia" w:eastAsiaTheme="minorEastAsia"/>
                <w:sz w:val="24"/>
                <w:u w:val="single"/>
              </w:rPr>
              <w:t xml:space="preserve">    </w:t>
            </w:r>
            <w:r>
              <w:rPr>
                <w:rFonts w:hint="eastAsia" w:asciiTheme="minorEastAsia" w:hAnsiTheme="minorEastAsia" w:eastAsiaTheme="minorEastAsia"/>
                <w:kern w:val="0"/>
                <w:sz w:val="24"/>
              </w:rPr>
              <w:t>；联系人</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r>
              <w:rPr>
                <w:rFonts w:hint="eastAsia" w:asciiTheme="minorEastAsia" w:hAnsiTheme="minorEastAsia" w:eastAsiaTheme="minorEastAsia"/>
                <w:kern w:val="28"/>
                <w:sz w:val="24"/>
              </w:rPr>
              <w:t>联系电话：</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(6)采购活动结束后，对于未中标人提供的样品，</w:t>
            </w:r>
            <w:r>
              <w:rPr>
                <w:rFonts w:hint="eastAsia" w:asciiTheme="minorEastAsia" w:hAnsiTheme="minorEastAsia" w:eastAsiaTheme="minorEastAsia"/>
                <w:sz w:val="24"/>
              </w:rPr>
              <w:t>采购人、采购机构将通知</w:t>
            </w:r>
            <w:r>
              <w:rPr>
                <w:rFonts w:asciiTheme="minorEastAsia" w:hAnsiTheme="minorEastAsia" w:eastAsiaTheme="minorEastAsia"/>
                <w:sz w:val="24"/>
              </w:rPr>
              <w:t>未中标人</w:t>
            </w:r>
            <w:r>
              <w:rPr>
                <w:rFonts w:hint="eastAsia" w:asciiTheme="minorEastAsia" w:hAnsiTheme="minorEastAsia" w:eastAsiaTheme="minorEastAsia"/>
                <w:sz w:val="24"/>
              </w:rPr>
              <w:t>在规定的时间内取回，逾期未取回的，采购人、采购机构不负保管义务</w:t>
            </w:r>
            <w:r>
              <w:rPr>
                <w:rFonts w:asciiTheme="minorEastAsia" w:hAnsiTheme="minorEastAsia" w:eastAsiaTheme="minorEastAsia"/>
                <w:sz w:val="24"/>
              </w:rPr>
              <w:t>；对于中标人提供的样品，</w:t>
            </w:r>
            <w:r>
              <w:rPr>
                <w:rFonts w:hint="eastAsia" w:asciiTheme="minorEastAsia" w:hAnsiTheme="minorEastAsia" w:eastAsiaTheme="minorEastAsia"/>
                <w:sz w:val="24"/>
              </w:rPr>
              <w:t>采购人将进</w:t>
            </w:r>
            <w:r>
              <w:rPr>
                <w:rFonts w:asciiTheme="minorEastAsia" w:hAnsiTheme="minorEastAsia" w:eastAsiaTheme="minorEastAsia"/>
                <w:sz w:val="24"/>
              </w:rPr>
              <w:t>行保管、封存，并作为履约验收的参考。</w:t>
            </w:r>
          </w:p>
          <w:p>
            <w:pPr>
              <w:spacing w:line="360" w:lineRule="auto"/>
              <w:rPr>
                <w:rFonts w:asciiTheme="minorEastAsia" w:hAnsiTheme="minorEastAsia" w:eastAsiaTheme="minorEastAsia"/>
                <w:b/>
                <w:sz w:val="24"/>
              </w:rPr>
            </w:pPr>
            <w:r>
              <w:rPr>
                <w:rFonts w:hint="eastAsia" w:asciiTheme="minorEastAsia" w:hAnsiTheme="minorEastAsia" w:eastAsiaTheme="minorEastAsia"/>
                <w:sz w:val="24"/>
              </w:rPr>
              <w:t>（</w:t>
            </w:r>
            <w:r>
              <w:rPr>
                <w:rFonts w:asciiTheme="minorEastAsia" w:hAnsiTheme="minorEastAsia"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ascii="Wingdings" w:hAnsi="Wingdings" w:cs="Arial" w:eastAsiaTheme="minorEastAsia"/>
                    <w:kern w:val="0"/>
                    <w:sz w:val="24"/>
                  </w:rPr>
                  <w:t></w:t>
                </w:r>
              </w:sdtContent>
            </w:sdt>
            <w:r>
              <w:rPr>
                <w:rFonts w:cs="Arial" w:asciiTheme="minorEastAsia" w:hAnsiTheme="minorEastAsia" w:eastAsiaTheme="minorEastAsia"/>
                <w:kern w:val="0"/>
                <w:sz w:val="24"/>
              </w:rPr>
              <w:t>A</w:t>
            </w:r>
            <w:r>
              <w:rPr>
                <w:rFonts w:hint="eastAsia" w:asciiTheme="minorEastAsia" w:hAnsiTheme="minorEastAsia" w:eastAsiaTheme="minorEastAsia"/>
                <w:sz w:val="24"/>
              </w:rPr>
              <w:t>不组织。</w:t>
            </w:r>
          </w:p>
          <w:p>
            <w:pPr>
              <w:spacing w:line="360" w:lineRule="auto"/>
              <w:rPr>
                <w:rFonts w:asciiTheme="minorEastAsia" w:hAnsiTheme="minorEastAsia" w:eastAsiaTheme="minorEastAsia"/>
                <w:kern w:val="0"/>
                <w:sz w:val="24"/>
              </w:rPr>
            </w:pPr>
            <w:sdt>
              <w:sdtPr>
                <w:rPr>
                  <w:rFonts w:hint="eastAsia" w:cs="Arial"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asciiTheme="minorEastAsia" w:hAnsiTheme="minorEastAsia" w:eastAsiaTheme="minorEastAsia"/>
                <w:kern w:val="0"/>
                <w:sz w:val="24"/>
              </w:rPr>
              <w:t>B组织。</w:t>
            </w:r>
          </w:p>
          <w:p>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2）方案讲解演示可选择</w:t>
            </w:r>
            <w:r>
              <w:rPr>
                <w:rFonts w:hint="eastAsia" w:asciiTheme="minorEastAsia" w:hAnsiTheme="minorEastAsia" w:eastAsiaTheme="minorEastAsia"/>
                <w:kern w:val="0"/>
                <w:sz w:val="24"/>
              </w:rPr>
              <w:t>以下其中一种方式：</w:t>
            </w:r>
          </w:p>
          <w:p>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方式二：交易中心现场讲解演示。现场讲解地点为</w:t>
            </w:r>
            <w:r>
              <w:rPr>
                <w:rFonts w:hint="eastAsia" w:asciiTheme="minorEastAsia" w:hAnsiTheme="minorEastAsia" w:eastAsiaTheme="minorEastAsia"/>
                <w:sz w:val="24"/>
                <w:u w:val="single"/>
              </w:rPr>
              <w:t>杭州市公共资源交易中心4楼讲标室（答疑室）</w:t>
            </w:r>
            <w:r>
              <w:rPr>
                <w:rFonts w:hint="eastAsia" w:asciiTheme="minorEastAsia" w:hAnsiTheme="minorEastAsia" w:eastAsiaTheme="minorEastAsia"/>
                <w:kern w:val="0"/>
                <w:sz w:val="24"/>
              </w:rPr>
              <w:t>，讲解演示所用电脑等设备由投标人自备。现场讲解演示人员进场时提供讲解人员名单（加盖公章或授权代表签字）及身份证明，否则不得讲解演示。</w:t>
            </w:r>
          </w:p>
          <w:p>
            <w:pPr>
              <w:snapToGrid w:val="0"/>
              <w:spacing w:line="360" w:lineRule="auto"/>
              <w:rPr>
                <w:rFonts w:cs="仿宋_GB2312" w:asciiTheme="minorEastAsia" w:hAnsiTheme="minorEastAsia" w:eastAsiaTheme="minorEastAsia"/>
                <w:b/>
                <w:kern w:val="0"/>
                <w:sz w:val="24"/>
                <w:lang w:val="zh-CN"/>
              </w:rPr>
            </w:pPr>
            <w:r>
              <w:rPr>
                <w:rFonts w:hint="eastAsia"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1）资格证明文件：见招标文件第二部分11.1。</w:t>
            </w:r>
          </w:p>
          <w:p>
            <w:pPr>
              <w:spacing w:line="360" w:lineRule="auto"/>
              <w:rPr>
                <w:rFonts w:cs="Arial" w:asciiTheme="minorEastAsia" w:hAnsiTheme="minorEastAsia" w:eastAsiaTheme="minorEastAsia"/>
                <w:snapToGrid w:val="0"/>
                <w:kern w:val="0"/>
                <w:szCs w:val="21"/>
              </w:rPr>
            </w:pPr>
            <w:r>
              <w:rPr>
                <w:rFonts w:hint="eastAsia"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rPr>
            </w:pPr>
            <w:r>
              <w:rPr>
                <w:rFonts w:hint="eastAsia" w:cs="Arial"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仿宋_GB2312" w:asciiTheme="minorEastAsia" w:hAnsiTheme="minorEastAsia" w:eastAsiaTheme="minorEastAsia"/>
                <w:b/>
                <w:kern w:val="0"/>
                <w:sz w:val="24"/>
                <w:lang w:val="zh-CN"/>
              </w:rPr>
            </w:pPr>
            <w:r>
              <w:rPr>
                <w:rFonts w:hint="eastAsia" w:asciiTheme="minorEastAsia" w:hAnsiTheme="minorEastAsia" w:eastAsiaTheme="minorEastAsia"/>
                <w:kern w:val="0"/>
                <w:sz w:val="24"/>
                <w:lang w:val="zh-CN"/>
              </w:rPr>
              <w:t>有关本项目实施所需的所有费用（含税费）均计入报价。</w:t>
            </w:r>
            <w:r>
              <w:rPr>
                <w:rFonts w:hint="eastAsia" w:cs="仿宋_GB2312" w:asciiTheme="minorEastAsia" w:hAnsiTheme="minorEastAsia" w:eastAsiaTheme="minorEastAsia"/>
                <w:sz w:val="24"/>
              </w:rPr>
              <w:t>开标一览表（报价表）</w:t>
            </w:r>
            <w:r>
              <w:rPr>
                <w:rFonts w:hint="eastAsia" w:asciiTheme="minorEastAsia" w:hAnsiTheme="minorEastAsia" w:eastAsiaTheme="minorEastAsia"/>
                <w:sz w:val="24"/>
              </w:rPr>
              <w:t>是报价的唯一载体</w:t>
            </w:r>
            <w:r>
              <w:rPr>
                <w:rFonts w:hint="eastAsia" w:cs="仿宋_GB2312"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仿宋_GB2312" w:asciiTheme="minorEastAsia" w:hAnsiTheme="minorEastAsia" w:eastAsiaTheme="minorEastAsia"/>
                <w:b/>
                <w:kern w:val="0"/>
                <w:sz w:val="24"/>
                <w:lang w:val="zh-CN"/>
              </w:rPr>
              <w:t>提醒：验收时检测费用由采购人承担，不包含在投标总价中。</w:t>
            </w:r>
          </w:p>
          <w:p>
            <w:pPr>
              <w:snapToGrid w:val="0"/>
              <w:spacing w:line="360" w:lineRule="auto"/>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投标报价出现下列情形的，投标无效：</w:t>
            </w:r>
          </w:p>
          <w:p>
            <w:pPr>
              <w:snapToGrid w:val="0"/>
              <w:spacing w:line="360" w:lineRule="auto"/>
              <w:ind w:firstLine="241" w:firstLineChars="100"/>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投标文件出现不是唯一的、有选择性投标报价的；</w:t>
            </w:r>
          </w:p>
          <w:p>
            <w:pPr>
              <w:snapToGrid w:val="0"/>
              <w:spacing w:line="360" w:lineRule="auto"/>
              <w:ind w:firstLine="241" w:firstLineChars="100"/>
              <w:jc w:val="left"/>
              <w:rPr>
                <w:rFonts w:asciiTheme="minorEastAsia" w:hAnsiTheme="minorEastAsia" w:eastAsiaTheme="minorEastAsia"/>
                <w:kern w:val="0"/>
                <w:sz w:val="24"/>
                <w:lang w:val="zh-CN"/>
              </w:rPr>
            </w:pPr>
            <w:r>
              <w:rPr>
                <w:rFonts w:hint="eastAsia" w:cs="仿宋_GB2312" w:asciiTheme="minorEastAsia" w:hAnsiTheme="minorEastAsia" w:eastAsiaTheme="minorEastAsia"/>
                <w:b/>
                <w:kern w:val="0"/>
                <w:sz w:val="24"/>
                <w:lang w:val="zh-CN"/>
              </w:rPr>
              <w:t>投标报价超过招标文件中规定的预算金额或者最高限价的</w:t>
            </w:r>
            <w:r>
              <w:rPr>
                <w:rFonts w:asciiTheme="minorEastAsia" w:hAnsiTheme="minorEastAsia" w:eastAsiaTheme="minorEastAsia"/>
                <w:b/>
                <w:kern w:val="0"/>
                <w:sz w:val="24"/>
                <w:lang w:val="zh-CN"/>
              </w:rPr>
              <w:t>;</w:t>
            </w:r>
          </w:p>
          <w:p>
            <w:pPr>
              <w:spacing w:line="360" w:lineRule="auto"/>
              <w:ind w:firstLine="241" w:firstLineChars="100"/>
              <w:rPr>
                <w:rFonts w:cs="仿宋_GB2312" w:asciiTheme="minorEastAsia" w:hAnsiTheme="minorEastAsia" w:eastAsiaTheme="minorEastAsia"/>
                <w:b/>
                <w:sz w:val="24"/>
              </w:rPr>
            </w:pPr>
            <w:r>
              <w:rPr>
                <w:rFonts w:hint="eastAsia" w:cs="Arial"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cs="仿宋_GB2312" w:asciiTheme="minorEastAsia" w:hAnsiTheme="minorEastAsia" w:eastAsiaTheme="minorEastAsia"/>
                <w:b/>
                <w:sz w:val="24"/>
                <w:szCs w:val="21"/>
              </w:rPr>
              <w:t>;</w:t>
            </w:r>
          </w:p>
          <w:p>
            <w:pPr>
              <w:spacing w:line="360" w:lineRule="auto"/>
              <w:ind w:firstLine="241" w:firstLineChars="100"/>
              <w:rPr>
                <w:rFonts w:asciiTheme="minorEastAsia" w:hAnsiTheme="minorEastAsia" w:eastAsiaTheme="minorEastAsia"/>
                <w:sz w:val="24"/>
              </w:rPr>
            </w:pPr>
            <w:r>
              <w:rPr>
                <w:rFonts w:hint="eastAsia" w:cs="Arial" w:asciiTheme="minorEastAsia" w:hAnsiTheme="minorEastAsia" w:eastAsiaTheme="minorEastAsia"/>
                <w:b/>
                <w:kern w:val="0"/>
                <w:sz w:val="24"/>
              </w:rPr>
              <w:t>投标人对根据修正原则修正后的报价不确认的</w:t>
            </w:r>
            <w:r>
              <w:rPr>
                <w:rFonts w:hint="eastAsia"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Theme="minorEastAsia" w:hAnsiTheme="minorEastAsia" w:eastAsiaTheme="minor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napToGrid w:val="0"/>
                <w:kern w:val="28"/>
                <w:sz w:val="24"/>
              </w:rPr>
            </w:pPr>
            <w:r>
              <w:rPr>
                <w:rFonts w:hint="eastAsia"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备份投标文件送达地点和签收人员</w:t>
            </w:r>
            <w:r>
              <w:rPr>
                <w:rFonts w:cs="仿宋_GB2312" w:asciiTheme="minorEastAsia" w:hAnsiTheme="minorEastAsia" w:eastAsiaTheme="minorEastAsia"/>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Theme="minorEastAsia" w:hAnsiTheme="minorEastAsia" w:eastAsiaTheme="minorEastAsia"/>
                <w:kern w:val="28"/>
                <w:sz w:val="24"/>
              </w:rPr>
            </w:pPr>
            <w:r>
              <w:rPr>
                <w:rFonts w:hint="eastAsia" w:cs="Times New Roman" w:asciiTheme="minorEastAsia" w:hAnsiTheme="minorEastAsia" w:eastAsiaTheme="minorEastAsia"/>
                <w:kern w:val="28"/>
                <w:sz w:val="24"/>
                <w:szCs w:val="24"/>
              </w:rPr>
              <w:t>备份投标文件送达地点：</w:t>
            </w:r>
            <w:r>
              <w:rPr>
                <w:rFonts w:hint="eastAsia" w:asciiTheme="minorEastAsia" w:hAnsiTheme="minorEastAsia" w:eastAsiaTheme="minorEastAsia"/>
                <w:sz w:val="24"/>
                <w:u w:val="single"/>
              </w:rPr>
              <w:t>杭州市之江路</w:t>
            </w:r>
            <w:r>
              <w:rPr>
                <w:rFonts w:asciiTheme="minorEastAsia" w:hAnsiTheme="minorEastAsia" w:eastAsiaTheme="minorEastAsia"/>
                <w:sz w:val="24"/>
                <w:u w:val="single"/>
              </w:rPr>
              <w:t>925号临江金座2号楼1010室（杭州市公共资源交易中心政府采购处</w:t>
            </w:r>
            <w:r>
              <w:rPr>
                <w:rFonts w:hint="eastAsia" w:asciiTheme="minorEastAsia" w:hAnsiTheme="minorEastAsia" w:eastAsiaTheme="minorEastAsia"/>
                <w:sz w:val="24"/>
                <w:u w:val="single"/>
              </w:rPr>
              <w:t>）</w:t>
            </w:r>
            <w:r>
              <w:rPr>
                <w:rFonts w:asciiTheme="minorEastAsia" w:hAnsiTheme="minorEastAsia" w:eastAsiaTheme="minorEastAsia"/>
                <w:sz w:val="24"/>
                <w:u w:val="single"/>
              </w:rPr>
              <w:t xml:space="preserve"> </w:t>
            </w:r>
            <w:r>
              <w:rPr>
                <w:rFonts w:hint="eastAsia" w:cs="Times New Roman" w:asciiTheme="minorEastAsia" w:hAnsiTheme="minorEastAsia" w:eastAsiaTheme="minorEastAsia"/>
                <w:kern w:val="28"/>
                <w:sz w:val="24"/>
                <w:szCs w:val="24"/>
              </w:rPr>
              <w:t>；备份投标文件签收人员联系电话：</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0571-87008103</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napToGrid w:val="0"/>
                <w:kern w:val="28"/>
                <w:sz w:val="24"/>
              </w:rPr>
            </w:pPr>
            <w:r>
              <w:rPr>
                <w:rFonts w:hint="eastAsia" w:ascii="宋体" w:hAnsi="宋体"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bookmarkEnd w:id="10"/>
    </w:tbl>
    <w:p>
      <w:pPr>
        <w:snapToGrid w:val="0"/>
        <w:spacing w:line="360" w:lineRule="auto"/>
        <w:jc w:val="center"/>
        <w:rPr>
          <w:rFonts w:cs="仿宋_GB2312" w:asciiTheme="minorEastAsia" w:hAnsiTheme="minorEastAsia" w:eastAsiaTheme="minorEastAsia"/>
          <w:b/>
          <w:sz w:val="32"/>
          <w:szCs w:val="20"/>
        </w:rPr>
      </w:pPr>
    </w:p>
    <w:p>
      <w:pPr>
        <w:adjustRightInd/>
        <w:spacing w:line="360" w:lineRule="auto"/>
        <w:ind w:firstLine="3845" w:firstLineChars="1197"/>
        <w:outlineLvl w:val="0"/>
        <w:rPr>
          <w:rFonts w:cs="仿宋_GB2312" w:asciiTheme="minorEastAsia" w:hAnsiTheme="minorEastAsia" w:eastAsiaTheme="minorEastAsia"/>
          <w:b/>
          <w:sz w:val="32"/>
          <w:szCs w:val="20"/>
        </w:rPr>
      </w:pPr>
      <w:bookmarkStart w:id="11" w:name="第三部分"/>
      <w:bookmarkStart w:id="12" w:name="_Toc164416483"/>
      <w:r>
        <w:rPr>
          <w:rFonts w:hint="eastAsia" w:cs="仿宋_GB2312" w:asciiTheme="minorEastAsia" w:hAnsiTheme="minorEastAsia" w:eastAsiaTheme="minorEastAsia"/>
          <w:b/>
          <w:sz w:val="32"/>
          <w:szCs w:val="20"/>
        </w:rPr>
        <w:t>一、总则</w:t>
      </w:r>
    </w:p>
    <w:p>
      <w:pPr>
        <w:snapToGrid w:val="0"/>
        <w:spacing w:line="360" w:lineRule="auto"/>
        <w:ind w:firstLine="361" w:firstLineChars="150"/>
        <w:jc w:val="left"/>
        <w:outlineLvl w:val="1"/>
        <w:rPr>
          <w:rFonts w:asciiTheme="minorEastAsia" w:hAnsiTheme="minorEastAsia" w:eastAsiaTheme="minorEastAsia"/>
          <w:b/>
          <w:sz w:val="24"/>
        </w:rPr>
      </w:pPr>
      <w:r>
        <w:rPr>
          <w:rFonts w:asciiTheme="minorEastAsia" w:hAnsiTheme="minorEastAsia" w:eastAsiaTheme="minorEastAsia"/>
          <w:b/>
          <w:sz w:val="24"/>
        </w:rPr>
        <w:t xml:space="preserve">1. </w:t>
      </w:r>
      <w:r>
        <w:rPr>
          <w:rFonts w:hint="eastAsia" w:asciiTheme="minorEastAsia" w:hAnsiTheme="minorEastAsia" w:eastAsiaTheme="minorEastAsia"/>
          <w:b/>
          <w:sz w:val="24"/>
        </w:rPr>
        <w:t>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cs="仿宋_GB2312" w:asciiTheme="minorEastAsia" w:hAnsiTheme="minorEastAsia" w:eastAsiaTheme="minorEastAsia"/>
          <w:b/>
          <w:sz w:val="24"/>
        </w:rPr>
      </w:pPr>
      <w:r>
        <w:rPr>
          <w:rFonts w:cs="仿宋_GB2312" w:asciiTheme="minorEastAsia" w:hAnsiTheme="minorEastAsia" w:eastAsiaTheme="minorEastAsia"/>
          <w:b/>
          <w:sz w:val="24"/>
        </w:rPr>
        <w:t xml:space="preserve">   2.定义</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 </w:t>
      </w:r>
      <w:r>
        <w:rPr>
          <w:rFonts w:hint="eastAsia" w:asciiTheme="minorEastAsia" w:hAnsiTheme="minorEastAsia" w:eastAsiaTheme="minorEastAsia"/>
          <w:sz w:val="24"/>
        </w:rPr>
        <w:t>“采购人”系指招标公告中载明的本项目的采购人。</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2.2 </w:t>
      </w:r>
      <w:r>
        <w:rPr>
          <w:rFonts w:hint="eastAsia" w:asciiTheme="minorEastAsia" w:hAnsiTheme="minorEastAsia" w:eastAsiaTheme="minorEastAsia"/>
          <w:sz w:val="24"/>
        </w:rPr>
        <w:t>“采购机构”系指招标公告中载明的本项目的采购机构。</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 </w:t>
      </w:r>
      <w:r>
        <w:rPr>
          <w:rFonts w:hint="eastAsia" w:asciiTheme="minorEastAsia" w:hAnsiTheme="minorEastAsia" w:eastAsiaTheme="minorEastAsia"/>
          <w:sz w:val="24"/>
        </w:rPr>
        <w:t>“投标人”系指是指响应招标、参加投标竞争的法人、其他组织或者自然人。</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 </w:t>
      </w:r>
      <w:r>
        <w:rPr>
          <w:rFonts w:hint="eastAsia" w:asciiTheme="minorEastAsia" w:hAnsiTheme="minorEastAsia" w:eastAsiaTheme="minorEastAsia"/>
          <w:sz w:val="24"/>
        </w:rPr>
        <w:t>“负责人”系指法人企业的法定负责人，或其他组织为法律、行政法规规定代表单位行使职权的主要负责人，或自然人本人。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2.5“电子签名”系指数据电文中以电子形式所含、所附用于识别签名人身份并表明签名人认可其中内容的数据；</w:t>
      </w:r>
      <w:r>
        <w:rPr>
          <w:rFonts w:hint="eastAsia" w:asciiTheme="minorEastAsia" w:hAnsiTheme="minorEastAsia" w:eastAsiaTheme="minorEastAsia"/>
          <w:sz w:val="24"/>
        </w:rPr>
        <w:t>“公章”系指单位法定名称章。因特殊原因需要使用冠以法定名称的业务专用章的，投标时须提供《业务专用章使用说明函》（附件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2.6“电子交易平台”是指本项目政府采购活动所依托的政府采购云平台（https://www.zcygov.cn/）。</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 </w:t>
      </w:r>
      <w:r>
        <w:rPr>
          <w:rFonts w:hint="eastAsia" w:asciiTheme="minorEastAsia" w:hAnsiTheme="minorEastAsia" w:eastAsiaTheme="minorEastAsia"/>
          <w:sz w:val="24"/>
        </w:rPr>
        <w:t>“▲”</w:t>
      </w:r>
      <w:r>
        <w:rPr>
          <w:rFonts w:asciiTheme="minorEastAsia" w:hAnsiTheme="minorEastAsia" w:eastAsiaTheme="minorEastAsia"/>
          <w:sz w:val="24"/>
        </w:rPr>
        <w:t xml:space="preserve"> </w:t>
      </w:r>
      <w:r>
        <w:rPr>
          <w:rFonts w:hint="eastAsia" w:asciiTheme="minorEastAsia" w:hAnsiTheme="minorEastAsia" w:eastAsiaTheme="minorEastAsia"/>
          <w:sz w:val="24"/>
        </w:rPr>
        <w:t>系指实质性要求条款， “</w:t>
      </w:r>
      <w:sdt>
        <w:sdtPr>
          <w:rPr>
            <w:rFonts w:hint="eastAsia" w:cs="Arial"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Theme="minorEastAsia" w:hAnsiTheme="minorEastAsia" w:eastAsiaTheme="minorEastAsia"/>
          <w:sz w:val="24"/>
        </w:rPr>
        <w:t>”</w:t>
      </w:r>
      <w:r>
        <w:rPr>
          <w:rFonts w:asciiTheme="minorEastAsia" w:hAnsiTheme="minorEastAsia" w:eastAsiaTheme="minorEastAsia"/>
          <w:sz w:val="24"/>
        </w:rPr>
        <w:t xml:space="preserve"> </w:t>
      </w:r>
      <w:r>
        <w:rPr>
          <w:rFonts w:hint="eastAsia" w:asciiTheme="minorEastAsia" w:hAnsiTheme="minorEastAsia" w:eastAsiaTheme="minorEastAsia"/>
          <w:sz w:val="24"/>
        </w:rPr>
        <w:t>系指适用本项目的要求，“</w:t>
      </w:r>
      <w:sdt>
        <w:sdtPr>
          <w:rPr>
            <w:rFonts w:hint="eastAsia" w:cs="Arial"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sz w:val="24"/>
        </w:rPr>
        <w:t>”</w:t>
      </w:r>
      <w:r>
        <w:rPr>
          <w:rFonts w:asciiTheme="minorEastAsia" w:hAnsiTheme="minorEastAsia" w:eastAsiaTheme="minorEastAsia"/>
          <w:sz w:val="24"/>
        </w:rPr>
        <w:t xml:space="preserve"> </w:t>
      </w:r>
      <w:r>
        <w:rPr>
          <w:rFonts w:hint="eastAsia" w:asciiTheme="minorEastAsia" w:hAnsiTheme="minorEastAsia" w:eastAsiaTheme="minorEastAsia"/>
          <w:sz w:val="24"/>
        </w:rPr>
        <w:t>系指不适用本项目的要求。</w:t>
      </w:r>
    </w:p>
    <w:p>
      <w:pPr>
        <w:spacing w:line="360" w:lineRule="auto"/>
        <w:ind w:firstLine="241" w:firstLineChars="100"/>
        <w:rPr>
          <w:rFonts w:asciiTheme="minorEastAsia" w:hAnsiTheme="minorEastAsia" w:eastAsiaTheme="minorEastAsia"/>
          <w:b/>
          <w:sz w:val="24"/>
        </w:rPr>
      </w:pPr>
      <w:r>
        <w:rPr>
          <w:rFonts w:asciiTheme="minorEastAsia" w:hAnsiTheme="minorEastAsia" w:eastAsiaTheme="minorEastAsia"/>
          <w:b/>
          <w:sz w:val="24"/>
        </w:rPr>
        <w:t>3.</w:t>
      </w:r>
      <w:r>
        <w:rPr>
          <w:rFonts w:asciiTheme="minorEastAsia" w:hAnsiTheme="minorEastAsia" w:eastAsiaTheme="minorEastAsia"/>
        </w:rPr>
        <w:t xml:space="preserve"> </w:t>
      </w:r>
      <w:r>
        <w:rPr>
          <w:rFonts w:hint="eastAsia" w:asciiTheme="minorEastAsia" w:hAnsiTheme="minorEastAsia" w:eastAsiaTheme="minorEastAsia"/>
          <w:b/>
          <w:sz w:val="24"/>
        </w:rPr>
        <w:t>采购项目需要落实的政府采购政策</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3.1 </w:t>
      </w: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Arial"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3.2 </w:t>
      </w:r>
      <w:r>
        <w:rPr>
          <w:rFonts w:hint="eastAsia" w:asciiTheme="minorEastAsia" w:hAnsiTheme="minorEastAsia" w:eastAsiaTheme="minorEastAsia"/>
          <w:sz w:val="24"/>
        </w:rPr>
        <w:t>支持绿色发展</w:t>
      </w:r>
    </w:p>
    <w:p>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3.2.2 </w:t>
      </w:r>
      <w:r>
        <w:rPr>
          <w:rFonts w:hint="eastAsia" w:asciiTheme="minorEastAsia" w:hAnsiTheme="minorEastAsia" w:eastAsiaTheme="minorEastAsia"/>
          <w:sz w:val="24"/>
        </w:rPr>
        <w:t>修缮、装修类项目采购建材的，采购人应将绿色建筑和绿色建材性能、指标等作为实质性条件纳入招标文件和合同。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3.2.3</w:t>
      </w:r>
      <w:r>
        <w:rPr>
          <w:rFonts w:hint="eastAsia" w:asciiTheme="minorEastAsia" w:hAnsiTheme="minorEastAsia" w:eastAsiaTheme="minor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优先采购绿色包装产品、绿色物流配送服务以及循环利用产品。</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3.3支持中小企业发展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3.3.3</w:t>
      </w:r>
      <w:r>
        <w:rPr>
          <w:rFonts w:hint="eastAsia" w:asciiTheme="minorEastAsia" w:hAnsiTheme="minorEastAsia" w:eastAsiaTheme="minorEastAsia"/>
          <w:sz w:val="24"/>
        </w:rPr>
        <w:t>对于未预留份额专门面向中小企业的政府采购货物或服务项目，以及预留份额政府采购货物或服务项目中的非预留部分标项，对小型和微型企业的投标报价给予20%</w:t>
      </w:r>
      <w:r>
        <w:rPr>
          <w:rFonts w:asciiTheme="minorEastAsia" w:hAnsiTheme="minorEastAsia" w:eastAsiaTheme="minorEastAsia"/>
          <w:sz w:val="24"/>
        </w:rPr>
        <w:t>的扣除，用扣除后的价格参与评审。接受大中型企业与小微企业组成联合体或者允许大中型企业向一家或者多家小微企业分包的</w:t>
      </w:r>
      <w:r>
        <w:rPr>
          <w:rFonts w:hint="eastAsia" w:asciiTheme="minorEastAsia" w:hAnsiTheme="minorEastAsia" w:eastAsiaTheme="minorEastAsia"/>
          <w:sz w:val="24"/>
        </w:rPr>
        <w:t>政府</w:t>
      </w:r>
      <w:r>
        <w:rPr>
          <w:rFonts w:asciiTheme="minorEastAsia" w:hAnsiTheme="minorEastAsia" w:eastAsiaTheme="minorEastAsia"/>
          <w:sz w:val="24"/>
        </w:rPr>
        <w:t>采购</w:t>
      </w:r>
      <w:r>
        <w:rPr>
          <w:rFonts w:hint="eastAsia" w:asciiTheme="minorEastAsia" w:hAnsiTheme="minorEastAsia" w:eastAsiaTheme="minorEastAsia"/>
          <w:sz w:val="24"/>
        </w:rPr>
        <w:t>货物或服务</w:t>
      </w:r>
      <w:r>
        <w:rPr>
          <w:rFonts w:asciiTheme="minorEastAsia" w:hAnsiTheme="minorEastAsia" w:eastAsiaTheme="minorEastAsia"/>
          <w:sz w:val="24"/>
        </w:rPr>
        <w:t>项目，对于联合协议或者分包意向协议约定小微企业的合同份额占到合同总金额30%以上的，对联合体或者大中型企业的报价给予</w:t>
      </w:r>
      <w:r>
        <w:rPr>
          <w:rFonts w:hint="eastAsia" w:asciiTheme="minorEastAsia" w:hAnsiTheme="minorEastAsia" w:eastAsiaTheme="minorEastAsia"/>
          <w:sz w:val="24"/>
        </w:rPr>
        <w:t>6%</w:t>
      </w:r>
      <w:r>
        <w:rPr>
          <w:rFonts w:asciiTheme="minorEastAsia" w:hAnsiTheme="minorEastAsia" w:eastAsiaTheme="minorEastAsia"/>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3.3.6</w:t>
      </w:r>
      <w:r>
        <w:rPr>
          <w:rFonts w:hint="eastAsia" w:asciiTheme="minorEastAsia" w:hAnsiTheme="minorEastAsia" w:eastAsiaTheme="minor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3.3.7中小企业享受扶持政策获得政府采购合同的，小微企业不得将合同分包给大中型企业，中型企业不得将合同分包给大型企业</w:t>
      </w:r>
      <w:r>
        <w:rPr>
          <w:rFonts w:hint="eastAsia" w:asciiTheme="minorEastAsia" w:hAnsiTheme="minorEastAsia" w:eastAsiaTheme="minorEastAsia"/>
          <w:sz w:val="24"/>
        </w:rPr>
        <w:t>。</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3.4</w:t>
      </w:r>
      <w:r>
        <w:rPr>
          <w:rFonts w:hint="eastAsia" w:asciiTheme="minorEastAsia" w:hAnsiTheme="minorEastAsia" w:eastAsiaTheme="minorEastAsia"/>
          <w:bCs/>
          <w:sz w:val="24"/>
        </w:rPr>
        <w:t>支持创新发展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3.4.1 采购人优先采购被认定</w:t>
      </w:r>
      <w:r>
        <w:rPr>
          <w:rFonts w:hint="eastAsia" w:asciiTheme="minorEastAsia" w:hAnsiTheme="minorEastAsia" w:eastAsiaTheme="minorEastAsia"/>
          <w:sz w:val="24"/>
        </w:rPr>
        <w:t>为首台套产品和“制造精品”的自主创新产品。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3.4.2首台套产品</w:t>
      </w:r>
      <w:r>
        <w:rPr>
          <w:rFonts w:hint="eastAsia" w:asciiTheme="minorEastAsia" w:hAnsiTheme="minorEastAsia" w:eastAsiaTheme="minorEastAsia"/>
          <w:sz w:val="24"/>
        </w:rPr>
        <w:t>被纳入《首台套产品推广应用指导目录》之日起3</w:t>
      </w:r>
      <w:r>
        <w:rPr>
          <w:rFonts w:asciiTheme="minorEastAsia" w:hAnsiTheme="minorEastAsia" w:eastAsiaTheme="minorEastAsia"/>
          <w:sz w:val="24"/>
        </w:rPr>
        <w:t>年内，以及产品核心技术高于国内领先水平，并具有明晰自主知识产权的“制造精品”产品，</w:t>
      </w:r>
      <w:r>
        <w:rPr>
          <w:rFonts w:hint="eastAsia" w:asciiTheme="minorEastAsia" w:hAnsiTheme="minorEastAsia" w:eastAsiaTheme="minorEastAsia"/>
          <w:sz w:val="24"/>
        </w:rPr>
        <w:t>自认定之日起</w:t>
      </w:r>
      <w:r>
        <w:rPr>
          <w:rFonts w:asciiTheme="minorEastAsia" w:hAnsiTheme="minorEastAsia" w:eastAsiaTheme="minorEastAsia"/>
          <w:sz w:val="24"/>
        </w:rPr>
        <w:t>2年内视同已具备相应销售业绩，参加政府采购活动</w:t>
      </w:r>
      <w:r>
        <w:rPr>
          <w:rFonts w:hint="eastAsia" w:asciiTheme="minorEastAsia" w:hAnsiTheme="minorEastAsia" w:eastAsiaTheme="minorEastAsia"/>
          <w:sz w:val="24"/>
        </w:rPr>
        <w:t>时业绩分值为满分。</w:t>
      </w:r>
    </w:p>
    <w:p>
      <w:pPr>
        <w:spacing w:line="360" w:lineRule="auto"/>
        <w:rPr>
          <w:rFonts w:asciiTheme="minorEastAsia" w:hAnsiTheme="minorEastAsia" w:eastAsiaTheme="minorEastAsia"/>
          <w:b/>
          <w:sz w:val="24"/>
        </w:rPr>
      </w:pPr>
      <w:r>
        <w:rPr>
          <w:rFonts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Theme="minorEastAsia" w:hAnsiTheme="minorEastAsia" w:eastAsiaTheme="minorEastAsia"/>
          <w:sz w:val="24"/>
        </w:rPr>
        <w:t>登录</w:t>
      </w:r>
      <w:r>
        <w:rPr>
          <w:rFonts w:asciiTheme="minorEastAsia" w:hAnsiTheme="minorEastAsia" w:eastAsiaTheme="minorEastAsia"/>
          <w:sz w:val="24"/>
        </w:rPr>
        <w:t>杭州市政府采购网“中小企业信用融资”模块，查看信用融资政策文件及各相关银行服务方案。</w:t>
      </w:r>
      <w:r>
        <w:rPr>
          <w:rFonts w:asciiTheme="minorEastAsia" w:hAnsiTheme="minorEastAsia" w:eastAsiaTheme="minorEastAsia"/>
          <w:sz w:val="24"/>
        </w:rPr>
        <w:cr/>
      </w:r>
      <w:r>
        <w:rPr>
          <w:rFonts w:asciiTheme="minorEastAsia" w:hAnsiTheme="minorEastAsia" w:eastAsiaTheme="minorEastAsia"/>
          <w:b/>
          <w:sz w:val="24"/>
        </w:rPr>
        <w:t xml:space="preserve">4. </w:t>
      </w:r>
      <w:r>
        <w:rPr>
          <w:rFonts w:hint="eastAsia" w:asciiTheme="minorEastAsia" w:hAnsiTheme="minorEastAsia" w:eastAsiaTheme="minorEastAsia"/>
          <w:b/>
          <w:sz w:val="24"/>
        </w:rPr>
        <w:t>询问、质疑、投诉</w:t>
      </w:r>
    </w:p>
    <w:p>
      <w:pPr>
        <w:autoSpaceDE w:val="0"/>
        <w:autoSpaceDN w:val="0"/>
        <w:spacing w:line="360" w:lineRule="auto"/>
        <w:ind w:firstLine="240" w:firstLineChars="1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供应商对政府采购活动事项有疑问的，可以提出询问，采购人或者采购代理机构应当在</w:t>
      </w:r>
      <w:r>
        <w:rPr>
          <w:rFonts w:cs="微软雅黑" w:asciiTheme="minorEastAsia" w:hAnsiTheme="minorEastAsia" w:eastAsiaTheme="minorEastAsia"/>
          <w:kern w:val="0"/>
          <w:sz w:val="24"/>
          <w:lang w:val="zh-CN"/>
        </w:rPr>
        <w:t>3个工作日内对供应</w:t>
      </w:r>
      <w:r>
        <w:rPr>
          <w:rFonts w:hint="eastAsia" w:cs="微软雅黑" w:asciiTheme="minorEastAsia" w:hAnsiTheme="minorEastAsia" w:eastAsiaTheme="minor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4.2供应商质疑</w:t>
      </w:r>
    </w:p>
    <w:p>
      <w:pPr>
        <w:pStyle w:val="32"/>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Theme="minorEastAsia" w:hAnsiTheme="minorEastAsia" w:eastAsiaTheme="minorEastAsia"/>
          <w:snapToGrid/>
          <w:color w:val="auto"/>
          <w:kern w:val="2"/>
          <w:sz w:val="24"/>
        </w:rPr>
      </w:pPr>
      <w:r>
        <w:rPr>
          <w:rFonts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4.2.2.3对采购结果提出质疑的，质疑期限自采购结果公告期限届满之日起计算。</w:t>
      </w:r>
    </w:p>
    <w:p>
      <w:pPr>
        <w:pStyle w:val="32"/>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w:t>
      </w:r>
      <w:r>
        <w:rPr>
          <w:rFonts w:hint="eastAsia" w:asciiTheme="minorEastAsia" w:hAnsiTheme="minorEastAsia" w:eastAsiaTheme="minorEastAsia"/>
          <w:sz w:val="24"/>
        </w:rPr>
        <w:t>供应商提出质疑应当提交质疑函和必要的证明材料。质疑函应当包括下列内容：</w:t>
      </w:r>
    </w:p>
    <w:p>
      <w:pPr>
        <w:pStyle w:val="32"/>
        <w:spacing w:line="360" w:lineRule="auto"/>
        <w:ind w:firstLine="480" w:firstLineChars="200"/>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　　</w:t>
      </w:r>
      <w:r>
        <w:rPr>
          <w:rFonts w:cs="微软雅黑" w:asciiTheme="minorEastAsia" w:hAnsiTheme="minorEastAsia" w:eastAsiaTheme="minorEastAsia"/>
          <w:kern w:val="0"/>
          <w:sz w:val="24"/>
          <w:lang w:val="zh-CN"/>
        </w:rPr>
        <w:t>4.2.3.1</w:t>
      </w:r>
      <w:r>
        <w:rPr>
          <w:rFonts w:hint="eastAsia" w:cs="微软雅黑" w:asciiTheme="minorEastAsia" w:hAnsiTheme="minorEastAsia" w:eastAsiaTheme="minorEastAsia"/>
          <w:kern w:val="0"/>
          <w:sz w:val="24"/>
          <w:lang w:val="zh-CN"/>
        </w:rPr>
        <w:t>供应商的姓名或者名称、地址、邮编、联系人及联系电话；</w:t>
      </w:r>
    </w:p>
    <w:p>
      <w:pPr>
        <w:pStyle w:val="32"/>
        <w:spacing w:line="360" w:lineRule="auto"/>
        <w:ind w:firstLine="480" w:firstLineChars="200"/>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　　</w:t>
      </w:r>
      <w:r>
        <w:rPr>
          <w:rFonts w:cs="微软雅黑" w:asciiTheme="minorEastAsia" w:hAnsiTheme="minorEastAsia" w:eastAsiaTheme="minorEastAsia"/>
          <w:kern w:val="0"/>
          <w:sz w:val="24"/>
          <w:lang w:val="zh-CN"/>
        </w:rPr>
        <w:t>4.2.3.2</w:t>
      </w:r>
      <w:r>
        <w:rPr>
          <w:rFonts w:hint="eastAsia" w:cs="微软雅黑" w:asciiTheme="minorEastAsia" w:hAnsiTheme="minorEastAsia" w:eastAsiaTheme="minorEastAsia"/>
          <w:kern w:val="0"/>
          <w:sz w:val="24"/>
          <w:lang w:val="zh-CN"/>
        </w:rPr>
        <w:t>质疑项目的名称、编号；</w:t>
      </w:r>
    </w:p>
    <w:p>
      <w:pPr>
        <w:pStyle w:val="32"/>
        <w:spacing w:line="360" w:lineRule="auto"/>
        <w:ind w:firstLine="480" w:firstLineChars="200"/>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　　</w:t>
      </w:r>
      <w:r>
        <w:rPr>
          <w:rFonts w:cs="微软雅黑" w:asciiTheme="minorEastAsia" w:hAnsiTheme="minorEastAsia" w:eastAsiaTheme="minorEastAsia"/>
          <w:kern w:val="0"/>
          <w:sz w:val="24"/>
          <w:lang w:val="zh-CN"/>
        </w:rPr>
        <w:t>4.2.3.3</w:t>
      </w:r>
      <w:r>
        <w:rPr>
          <w:rFonts w:hint="eastAsia" w:cs="微软雅黑" w:asciiTheme="minorEastAsia" w:hAnsiTheme="minorEastAsia" w:eastAsiaTheme="minorEastAsia"/>
          <w:kern w:val="0"/>
          <w:sz w:val="24"/>
          <w:lang w:val="zh-CN"/>
        </w:rPr>
        <w:t>具体、明确的质疑事项和与质疑事项相关的请求；</w:t>
      </w:r>
    </w:p>
    <w:p>
      <w:pPr>
        <w:pStyle w:val="32"/>
        <w:spacing w:line="360" w:lineRule="auto"/>
        <w:ind w:firstLine="480" w:firstLineChars="200"/>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　　</w:t>
      </w:r>
      <w:r>
        <w:rPr>
          <w:rFonts w:cs="微软雅黑" w:asciiTheme="minorEastAsia" w:hAnsiTheme="minorEastAsia" w:eastAsiaTheme="minorEastAsia"/>
          <w:kern w:val="0"/>
          <w:sz w:val="24"/>
          <w:lang w:val="zh-CN"/>
        </w:rPr>
        <w:t>4.2.3.4</w:t>
      </w:r>
      <w:r>
        <w:rPr>
          <w:rFonts w:hint="eastAsia" w:cs="微软雅黑" w:asciiTheme="minorEastAsia" w:hAnsiTheme="minorEastAsia" w:eastAsiaTheme="minorEastAsia"/>
          <w:kern w:val="0"/>
          <w:sz w:val="24"/>
          <w:lang w:val="zh-CN"/>
        </w:rPr>
        <w:t>事实依据；</w:t>
      </w:r>
    </w:p>
    <w:p>
      <w:pPr>
        <w:pStyle w:val="32"/>
        <w:spacing w:line="360" w:lineRule="auto"/>
        <w:ind w:firstLine="480" w:firstLineChars="200"/>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　　</w:t>
      </w:r>
      <w:r>
        <w:rPr>
          <w:rFonts w:cs="微软雅黑" w:asciiTheme="minorEastAsia" w:hAnsiTheme="minorEastAsia" w:eastAsiaTheme="minorEastAsia"/>
          <w:kern w:val="0"/>
          <w:sz w:val="24"/>
          <w:lang w:val="zh-CN"/>
        </w:rPr>
        <w:t>4.2.3.5</w:t>
      </w:r>
      <w:r>
        <w:rPr>
          <w:rFonts w:hint="eastAsia" w:cs="微软雅黑" w:asciiTheme="minorEastAsia" w:hAnsiTheme="minorEastAsia" w:eastAsiaTheme="minorEastAsia"/>
          <w:kern w:val="0"/>
          <w:sz w:val="24"/>
          <w:lang w:val="zh-CN"/>
        </w:rPr>
        <w:t>必要的法律依据；</w:t>
      </w:r>
    </w:p>
    <w:p>
      <w:pPr>
        <w:pStyle w:val="32"/>
        <w:spacing w:line="360" w:lineRule="auto"/>
        <w:ind w:firstLine="960" w:firstLineChars="4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4.2.3.6</w:t>
      </w:r>
      <w:r>
        <w:rPr>
          <w:rFonts w:hint="eastAsia" w:cs="微软雅黑" w:asciiTheme="minorEastAsia" w:hAnsiTheme="minorEastAsia" w:eastAsiaTheme="minorEastAsia"/>
          <w:kern w:val="0"/>
          <w:sz w:val="24"/>
          <w:lang w:val="zh-CN"/>
        </w:rPr>
        <w:t>提出质疑的日期。</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供应商提交的质疑函需一式三份。供应商为自然人的，应当由本人签字；供应商为法人或者其他组织的，应当由法定代表人、主要负责人，或者其授权代表签字或者盖章，并加盖公章。</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w:t>
      </w:r>
      <w:r>
        <w:rPr>
          <w:rFonts w:asciiTheme="minorEastAsia" w:hAnsiTheme="minorEastAsia" w:eastAsiaTheme="minorEastAsia"/>
        </w:rPr>
        <w:t>2。</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.4</w:t>
      </w:r>
      <w:r>
        <w:rPr>
          <w:rFonts w:hint="eastAsia" w:asciiTheme="minorEastAsia" w:hAnsiTheme="minorEastAsia" w:eastAsiaTheme="minor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rPr>
        <w:t>2021〕17号）,</w:t>
      </w:r>
      <w:r>
        <w:rPr>
          <w:rFonts w:hint="eastAsia" w:asciiTheme="minorEastAsia" w:hAnsiTheme="minorEastAsia" w:eastAsiaTheme="minorEastAsia"/>
        </w:rPr>
        <w:t>采购人或者采购机构在质疑回复后</w:t>
      </w:r>
      <w:r>
        <w:rPr>
          <w:rFonts w:asciiTheme="minorEastAsia" w:hAnsiTheme="minorEastAsia" w:eastAsiaTheme="minorEastAsia"/>
        </w:rPr>
        <w:t>5个工作日内，在浙江政府采购网的“其他公告”栏目公开质疑答复，答复内容应当完整。质疑</w:t>
      </w:r>
      <w:r>
        <w:rPr>
          <w:rFonts w:hint="eastAsia" w:asciiTheme="minorEastAsia" w:hAnsiTheme="minorEastAsia" w:eastAsiaTheme="minorEastAsia"/>
        </w:rPr>
        <w:t>函作为附件上传。</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.5询问或者质疑事项可能影响采购结果的，采购人应当暂停签订合同，已经签订合同的，应当中止履行合同。</w:t>
      </w:r>
    </w:p>
    <w:p>
      <w:pPr>
        <w:pStyle w:val="895"/>
        <w:shd w:val="clear" w:color="auto" w:fill="FFFFFF"/>
        <w:snapToGrid w:val="0"/>
        <w:spacing w:after="240" w:afterAutospacing="0" w:line="360" w:lineRule="auto"/>
        <w:ind w:firstLine="480" w:firstLineChars="200"/>
        <w:contextualSpacing/>
        <w:rPr>
          <w:rFonts w:cs="微软雅黑" w:asciiTheme="minorEastAsia" w:hAnsiTheme="minorEastAsia" w:eastAsiaTheme="minorEastAsia"/>
          <w:lang w:val="zh-CN"/>
        </w:rPr>
      </w:pPr>
      <w:r>
        <w:rPr>
          <w:rFonts w:cs="微软雅黑" w:asciiTheme="minorEastAsia" w:hAnsiTheme="minorEastAsia" w:eastAsiaTheme="minorEastAsia"/>
          <w:lang w:val="zh-CN"/>
        </w:rPr>
        <w:t>4.3供应商投诉</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4.3.1质疑供应商对采购人、采购机构的答复不满意或者采购人、采购机构未在规定的时间内</w:t>
      </w:r>
      <w:r>
        <w:rPr>
          <w:rFonts w:hint="eastAsia" w:asciiTheme="minorEastAsia" w:hAnsiTheme="minorEastAsia" w:eastAsiaTheme="minorEastAsia"/>
        </w:rPr>
        <w:t>作出答复的，可以在答复期满后十五个工作日内向同级政府采购监督管理部门提出投诉。</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w:t>
      </w:r>
      <w:r>
        <w:rPr>
          <w:rFonts w:cs="微软雅黑"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4.3.3供应</w:t>
      </w:r>
      <w:r>
        <w:rPr>
          <w:rFonts w:hint="eastAsia" w:asciiTheme="minorEastAsia" w:hAnsiTheme="minorEastAsia" w:eastAsiaTheme="minorEastAsia"/>
        </w:rPr>
        <w:t>商投诉应当有明确的请求和必要的证明材料。</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 xml:space="preserve">4.3.5 </w:t>
      </w:r>
      <w:r>
        <w:rPr>
          <w:rFonts w:hint="eastAsia" w:asciiTheme="minorEastAsia" w:hAnsiTheme="minorEastAsia" w:eastAsiaTheme="minorEastAsia"/>
        </w:rPr>
        <w:t>以联合体形式参加政府采购活动的，其投诉应当由组成联合体的所有供应商共同提出。</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w:t>
      </w:r>
      <w:r>
        <w:rPr>
          <w:rFonts w:asciiTheme="minorEastAsia" w:hAnsiTheme="minorEastAsia" w:eastAsiaTheme="minorEastAsia"/>
        </w:rPr>
        <w:t>3。</w:t>
      </w:r>
    </w:p>
    <w:p>
      <w:pPr>
        <w:pStyle w:val="895"/>
        <w:shd w:val="clear" w:color="auto" w:fill="FFFFFF"/>
        <w:snapToGrid w:val="0"/>
        <w:spacing w:after="240" w:afterAutospacing="0" w:line="360" w:lineRule="auto"/>
        <w:ind w:firstLine="400"/>
        <w:contextualSpacing/>
      </w:pPr>
      <w:r>
        <w:rPr>
          <w:rFonts w:hint="eastAsia"/>
        </w:rPr>
        <w:t>4.4在线质疑、投诉。</w:t>
      </w:r>
    </w:p>
    <w:p>
      <w:pPr>
        <w:pStyle w:val="895"/>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rPr>
      </w:pPr>
    </w:p>
    <w:p>
      <w:pPr>
        <w:pStyle w:val="160"/>
        <w:snapToGrid w:val="0"/>
        <w:spacing w:before="0"/>
        <w:ind w:firstLine="360"/>
        <w:rPr>
          <w:rFonts w:cs="仿宋_GB2312" w:asciiTheme="minorEastAsia" w:hAnsiTheme="minorEastAsia" w:eastAsiaTheme="minorEastAsia"/>
          <w:sz w:val="18"/>
          <w:szCs w:val="18"/>
        </w:rPr>
      </w:pPr>
    </w:p>
    <w:p>
      <w:pPr>
        <w:adjustRightInd/>
        <w:spacing w:line="360" w:lineRule="auto"/>
        <w:jc w:val="center"/>
        <w:outlineLvl w:val="0"/>
        <w:rPr>
          <w:rFonts w:cs="仿宋_GB2312" w:asciiTheme="minorEastAsia" w:hAnsiTheme="minorEastAsia" w:eastAsiaTheme="minorEastAsia"/>
          <w:b/>
          <w:sz w:val="32"/>
          <w:szCs w:val="20"/>
        </w:rPr>
      </w:pPr>
      <w:r>
        <w:rPr>
          <w:rFonts w:cs="仿宋_GB2312" w:asciiTheme="minorEastAsia" w:hAnsiTheme="minorEastAsia" w:eastAsiaTheme="minorEastAsia"/>
          <w:b/>
          <w:sz w:val="32"/>
          <w:szCs w:val="20"/>
        </w:rPr>
        <w:t xml:space="preserve">      二、招标文件的构成、澄清、修改</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5．招标文件的构成</w:t>
      </w:r>
    </w:p>
    <w:p>
      <w:pPr>
        <w:pStyle w:val="32"/>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5.1 </w:t>
      </w:r>
      <w:r>
        <w:rPr>
          <w:rFonts w:hint="eastAsia" w:cs="仿宋_GB2312" w:asciiTheme="minorEastAsia" w:hAnsiTheme="minorEastAsia" w:eastAsiaTheme="minorEastAsia"/>
          <w:sz w:val="24"/>
          <w:szCs w:val="24"/>
        </w:rPr>
        <w:t>招标文件包括下列文件及附件：</w:t>
      </w:r>
    </w:p>
    <w:p>
      <w:pPr>
        <w:pStyle w:val="32"/>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5.1.1招标公告；</w:t>
      </w:r>
    </w:p>
    <w:p>
      <w:pPr>
        <w:pStyle w:val="32"/>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5.1.2投标人须知；</w:t>
      </w:r>
    </w:p>
    <w:p>
      <w:pPr>
        <w:pStyle w:val="32"/>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5.1.3采购需求；</w:t>
      </w:r>
    </w:p>
    <w:p>
      <w:pPr>
        <w:pStyle w:val="32"/>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5.1.4评标</w:t>
      </w:r>
      <w:r>
        <w:rPr>
          <w:rFonts w:hint="eastAsia" w:cs="仿宋_GB2312" w:asciiTheme="minorEastAsia" w:hAnsiTheme="minorEastAsia" w:eastAsiaTheme="minorEastAsia"/>
          <w:sz w:val="24"/>
          <w:szCs w:val="24"/>
        </w:rPr>
        <w:t>办</w:t>
      </w:r>
      <w:r>
        <w:rPr>
          <w:rFonts w:cs="仿宋_GB2312" w:asciiTheme="minorEastAsia" w:hAnsiTheme="minorEastAsia" w:eastAsiaTheme="minorEastAsia"/>
          <w:sz w:val="24"/>
          <w:szCs w:val="24"/>
        </w:rPr>
        <w:t>法；</w:t>
      </w:r>
    </w:p>
    <w:p>
      <w:pPr>
        <w:pStyle w:val="32"/>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5.1.5</w:t>
      </w:r>
      <w:r>
        <w:rPr>
          <w:rFonts w:hint="eastAsia" w:cs="仿宋_GB2312" w:asciiTheme="minorEastAsia" w:hAnsiTheme="minorEastAsia" w:eastAsiaTheme="minorEastAsia"/>
          <w:sz w:val="24"/>
          <w:szCs w:val="24"/>
        </w:rPr>
        <w:t>拟签订的合同文本；</w:t>
      </w:r>
    </w:p>
    <w:p>
      <w:pPr>
        <w:pStyle w:val="32"/>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rPr>
        <w:t>5.1.6</w:t>
      </w:r>
      <w:r>
        <w:rPr>
          <w:rFonts w:hint="eastAsia" w:cs="仿宋_GB2312" w:asciiTheme="minorEastAsia" w:hAnsiTheme="minorEastAsia" w:eastAsiaTheme="minorEastAsia"/>
          <w:sz w:val="24"/>
          <w:szCs w:val="24"/>
        </w:rPr>
        <w:t>应提交的有关格式范例。</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5.2与本项目有关的</w:t>
      </w:r>
      <w:r>
        <w:rPr>
          <w:rFonts w:hint="eastAsia" w:asciiTheme="minorEastAsia" w:hAnsiTheme="minorEastAsia" w:eastAsiaTheme="minorEastAsia"/>
          <w:bCs/>
          <w:sz w:val="24"/>
        </w:rPr>
        <w:t>澄清或者修改的内容为招标文件的组成部分</w:t>
      </w:r>
      <w:r>
        <w:rPr>
          <w:rFonts w:hint="eastAsia" w:cs="仿宋_GB2312" w:asciiTheme="minorEastAsia" w:hAnsiTheme="minorEastAsia" w:eastAsiaTheme="minorEastAsia"/>
          <w:sz w:val="24"/>
        </w:rPr>
        <w:t>。</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6. </w:t>
      </w:r>
      <w:r>
        <w:rPr>
          <w:rFonts w:hint="eastAsia" w:cs="仿宋_GB2312" w:asciiTheme="minorEastAsia" w:hAnsiTheme="minorEastAsia" w:eastAsiaTheme="minorEastAsia"/>
          <w:b/>
          <w:sz w:val="24"/>
          <w:szCs w:val="24"/>
        </w:rPr>
        <w:t>招标文件的澄清、修改</w:t>
      </w:r>
    </w:p>
    <w:p>
      <w:pPr>
        <w:pStyle w:val="16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6.1已获取招标文件的潜在投标人，若有问题需要澄清，应于投标截止时间前，以书面形式向采购机构提出。</w:t>
      </w:r>
    </w:p>
    <w:p>
      <w:pPr>
        <w:pStyle w:val="160"/>
        <w:snapToGrid w:val="0"/>
        <w:spacing w:before="0"/>
        <w:ind w:firstLine="480"/>
        <w:rPr>
          <w:rFonts w:asciiTheme="minorEastAsia" w:hAnsiTheme="minorEastAsia" w:eastAsiaTheme="minorEastAsia"/>
        </w:rPr>
      </w:pPr>
      <w:r>
        <w:rPr>
          <w:rFonts w:asciiTheme="minorEastAsia" w:hAnsiTheme="minorEastAsia" w:eastAsiaTheme="minorEastAsia"/>
        </w:rPr>
        <w:t xml:space="preserve">6.2 </w:t>
      </w:r>
      <w:r>
        <w:rPr>
          <w:rFonts w:hint="eastAsia" w:asciiTheme="minorEastAsia" w:hAnsiTheme="minorEastAsia" w:eastAsiaTheme="minor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cs="仿宋_GB2312" w:asciiTheme="minorEastAsia" w:hAnsiTheme="minorEastAsia" w:eastAsiaTheme="minorEastAsia"/>
          <w:sz w:val="18"/>
          <w:szCs w:val="18"/>
          <w:lang w:val="en-US"/>
        </w:rPr>
      </w:pPr>
      <w:r>
        <w:rPr>
          <w:rFonts w:cs="仿宋_GB2312" w:asciiTheme="minorEastAsia" w:hAnsiTheme="minorEastAsia" w:eastAsiaTheme="minorEastAsia"/>
          <w:szCs w:val="24"/>
          <w:lang w:val="en-US"/>
        </w:rPr>
        <w:t xml:space="preserve">    </w:t>
      </w:r>
    </w:p>
    <w:p>
      <w:pPr>
        <w:adjustRightInd/>
        <w:spacing w:line="360" w:lineRule="auto"/>
        <w:jc w:val="center"/>
        <w:outlineLvl w:val="0"/>
        <w:rPr>
          <w:rFonts w:cs="仿宋_GB2312" w:asciiTheme="minorEastAsia" w:hAnsiTheme="minorEastAsia" w:eastAsiaTheme="minorEastAsia"/>
          <w:b/>
          <w:sz w:val="30"/>
          <w:szCs w:val="20"/>
        </w:rPr>
      </w:pPr>
      <w:r>
        <w:rPr>
          <w:rFonts w:hint="eastAsia" w:cs="仿宋_GB2312" w:asciiTheme="minorEastAsia" w:hAnsiTheme="minorEastAsia" w:eastAsiaTheme="minorEastAsia"/>
          <w:b/>
          <w:sz w:val="30"/>
          <w:szCs w:val="20"/>
        </w:rPr>
        <w:t>三、投标</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7. </w:t>
      </w:r>
      <w:r>
        <w:rPr>
          <w:rFonts w:hint="eastAsia" w:cs="仿宋_GB2312" w:asciiTheme="minorEastAsia" w:hAnsiTheme="minorEastAsia" w:eastAsiaTheme="minorEastAsia"/>
          <w:b/>
          <w:sz w:val="24"/>
          <w:szCs w:val="24"/>
        </w:rPr>
        <w:t>招标文件的获取</w:t>
      </w:r>
    </w:p>
    <w:p>
      <w:pPr>
        <w:spacing w:line="360" w:lineRule="auto"/>
        <w:ind w:firstLine="480" w:firstLineChars="200"/>
        <w:rPr>
          <w:rFonts w:cs="仿宋_GB2312" w:asciiTheme="minorEastAsia" w:hAnsiTheme="minorEastAsia" w:eastAsiaTheme="minorEastAsia"/>
          <w:snapToGrid w:val="0"/>
          <w:kern w:val="28"/>
          <w:sz w:val="24"/>
        </w:rPr>
      </w:pPr>
      <w:r>
        <w:rPr>
          <w:rFonts w:hint="eastAsia" w:cs="仿宋_GB2312" w:asciiTheme="minorEastAsia" w:hAnsiTheme="minorEastAsia" w:eastAsiaTheme="minorEastAsia"/>
          <w:snapToGrid w:val="0"/>
          <w:kern w:val="28"/>
          <w:sz w:val="24"/>
        </w:rPr>
        <w:t>详见招标公告中获取招标文件的时间期限、地点、方式及招标文件售价。</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8.开标前答疑会或现场考察</w:t>
      </w:r>
    </w:p>
    <w:p>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cs="仿宋_GB2312" w:asciiTheme="minorEastAsia" w:hAnsiTheme="minorEastAsia" w:eastAsiaTheme="minorEastAsia"/>
          <w:b/>
          <w:szCs w:val="24"/>
        </w:rPr>
      </w:pPr>
      <w:r>
        <w:rPr>
          <w:rFonts w:asciiTheme="minorEastAsia" w:hAnsiTheme="minorEastAsia" w:eastAsiaTheme="minorEastAsia"/>
          <w:b/>
          <w:kern w:val="28"/>
          <w:sz w:val="24"/>
          <w:szCs w:val="24"/>
        </w:rPr>
        <w:t>9.投标保证金</w:t>
      </w:r>
    </w:p>
    <w:p>
      <w:pPr>
        <w:pStyle w:val="5"/>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本项目不需缴纳投标保证金。</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10. </w:t>
      </w:r>
      <w:r>
        <w:rPr>
          <w:rFonts w:hint="eastAsia" w:cs="仿宋_GB2312" w:asciiTheme="minorEastAsia" w:hAnsiTheme="minorEastAsia" w:eastAsiaTheme="minorEastAsia"/>
          <w:b/>
          <w:sz w:val="24"/>
          <w:szCs w:val="24"/>
        </w:rPr>
        <w:t>投标文件的语言</w:t>
      </w:r>
    </w:p>
    <w:p>
      <w:pPr>
        <w:autoSpaceDE w:val="0"/>
        <w:autoSpaceDN w:val="0"/>
        <w:spacing w:line="360" w:lineRule="auto"/>
        <w:ind w:firstLine="480" w:firstLineChars="200"/>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rPr>
        <w:t>投标文件及投标人与采购有关的来往通知、函件和文件均应使用中文。</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11. </w:t>
      </w:r>
      <w:r>
        <w:rPr>
          <w:rFonts w:hint="eastAsia" w:cs="仿宋_GB2312" w:asciiTheme="minorEastAsia" w:hAnsiTheme="minorEastAsia" w:eastAsiaTheme="minorEastAsia"/>
          <w:b/>
          <w:sz w:val="24"/>
          <w:szCs w:val="24"/>
        </w:rPr>
        <w:t>投标文件的组成</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b/>
          <w:sz w:val="24"/>
        </w:rPr>
        <w:t>资格文件</w:t>
      </w:r>
      <w:r>
        <w:rPr>
          <w:rFonts w:hint="eastAsia" w:cs="仿宋_GB2312" w:asciiTheme="minorEastAsia" w:hAnsiTheme="minorEastAsia" w:eastAsiaTheme="minorEastAsia"/>
          <w:sz w:val="24"/>
        </w:rPr>
        <w:t>：</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cs="仿宋_GB2312" w:asciiTheme="minorEastAsia" w:hAnsiTheme="minorEastAsia" w:eastAsiaTheme="minorEastAsia"/>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 xml:space="preserve">  </w:t>
      </w:r>
      <w:r>
        <w:rPr>
          <w:rFonts w:hint="eastAsia" w:cs="仿宋_GB2312" w:asciiTheme="minorEastAsia" w:hAnsiTheme="minorEastAsia" w:eastAsiaTheme="minorEastAsia"/>
          <w:b/>
          <w:bCs/>
          <w:sz w:val="24"/>
        </w:rPr>
        <w:t>商务技术</w:t>
      </w:r>
      <w:r>
        <w:rPr>
          <w:rFonts w:hint="eastAsia" w:cs="仿宋_GB2312" w:asciiTheme="minorEastAsia" w:hAnsiTheme="minorEastAsia" w:eastAsiaTheme="minorEastAsia"/>
          <w:b/>
          <w:bCs/>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cs="仿宋_GB2312" w:asciiTheme="minorEastAsia" w:hAnsiTheme="minorEastAsia" w:eastAsiaTheme="minorEastAsia"/>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cs="仿宋_GB2312" w:asciiTheme="minorEastAsia" w:hAnsiTheme="minorEastAsia" w:eastAsiaTheme="minorEastAsia"/>
          <w:sz w:val="24"/>
          <w:u w:val="single"/>
          <w:lang w:val="zh-CN"/>
        </w:rPr>
      </w:pPr>
      <w:r>
        <w:rPr>
          <w:rFonts w:cs="仿宋_GB2312" w:asciiTheme="minorEastAsia" w:hAnsiTheme="minorEastAsia" w:eastAsiaTheme="minorEastAsia"/>
          <w:kern w:val="0"/>
          <w:sz w:val="24"/>
          <w:lang w:val="zh-CN"/>
        </w:rPr>
        <w:t>11.</w:t>
      </w:r>
      <w:r>
        <w:rPr>
          <w:rFonts w:cs="仿宋_GB2312" w:asciiTheme="minorEastAsia" w:hAnsiTheme="minorEastAsia" w:eastAsiaTheme="minorEastAsia"/>
          <w:kern w:val="0"/>
          <w:sz w:val="24"/>
        </w:rPr>
        <w:t>3</w:t>
      </w:r>
      <w:r>
        <w:rPr>
          <w:rFonts w:hint="eastAsia" w:cs="仿宋_GB2312" w:asciiTheme="minorEastAsia" w:hAnsiTheme="minorEastAsia" w:eastAsiaTheme="minorEastAsia"/>
          <w:b/>
          <w:sz w:val="24"/>
        </w:rPr>
        <w:t>报价文件：</w:t>
      </w:r>
      <w:r>
        <w:rPr>
          <w:rFonts w:cs="仿宋_GB2312" w:asciiTheme="minorEastAsia" w:hAnsiTheme="minorEastAsia" w:eastAsiaTheme="minorEastAsia"/>
          <w:sz w:val="24"/>
        </w:rPr>
        <w:t xml:space="preserve"> </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11.3.1开标一览表（报价表）</w:t>
      </w:r>
      <w:r>
        <w:rPr>
          <w:rFonts w:hint="eastAsia" w:cs="仿宋_GB2312" w:asciiTheme="minorEastAsia" w:hAnsiTheme="minorEastAsia" w:eastAsiaTheme="minorEastAsia"/>
          <w:sz w:val="24"/>
        </w:rPr>
        <w:t>。</w:t>
      </w:r>
    </w:p>
    <w:p>
      <w:pPr>
        <w:spacing w:line="360" w:lineRule="auto"/>
        <w:ind w:firstLine="723" w:firstLineChars="300"/>
        <w:rPr>
          <w:rFonts w:asciiTheme="minorEastAsia" w:hAnsiTheme="minorEastAsia" w:eastAsiaTheme="minorEastAsia"/>
          <w:b/>
          <w:sz w:val="24"/>
        </w:rPr>
      </w:pPr>
      <w:r>
        <w:rPr>
          <w:rFonts w:hint="eastAsia" w:asciiTheme="minorEastAsia" w:hAnsiTheme="minorEastAsia" w:eastAsiaTheme="minorEastAsia"/>
          <w:b/>
          <w:sz w:val="24"/>
        </w:rPr>
        <w:t>投标文件含有采购人不能接受的附加条件的，投标无效；</w:t>
      </w:r>
    </w:p>
    <w:p>
      <w:pPr>
        <w:spacing w:line="360" w:lineRule="auto"/>
        <w:ind w:firstLine="723" w:firstLineChars="300"/>
        <w:rPr>
          <w:rFonts w:cs="仿宋_GB2312" w:asciiTheme="minorEastAsia" w:hAnsiTheme="minorEastAsia" w:eastAsiaTheme="minorEastAsia"/>
          <w:b/>
          <w:sz w:val="24"/>
          <w:szCs w:val="21"/>
        </w:rPr>
      </w:pPr>
      <w:r>
        <w:rPr>
          <w:rFonts w:hint="eastAsia" w:asciiTheme="minorEastAsia" w:hAnsiTheme="minorEastAsia" w:eastAsiaTheme="minorEastAsia"/>
          <w:b/>
          <w:sz w:val="24"/>
        </w:rPr>
        <w:t>投标人提供虚假材料投标的，投标无效。</w:t>
      </w:r>
    </w:p>
    <w:p>
      <w:pPr>
        <w:pStyle w:val="160"/>
        <w:snapToGrid w:val="0"/>
        <w:spacing w:before="0"/>
        <w:ind w:firstLine="0" w:firstLineChars="0"/>
        <w:outlineLvl w:val="0"/>
        <w:rPr>
          <w:rFonts w:cs="仿宋_GB2312" w:asciiTheme="minorEastAsia" w:hAnsiTheme="minorEastAsia" w:eastAsiaTheme="minorEastAsia"/>
          <w:b/>
          <w:szCs w:val="24"/>
        </w:rPr>
      </w:pPr>
      <w:r>
        <w:rPr>
          <w:rFonts w:cs="仿宋_GB2312" w:asciiTheme="minorEastAsia" w:hAnsiTheme="minorEastAsia" w:eastAsiaTheme="minorEastAsia"/>
          <w:b/>
          <w:szCs w:val="24"/>
        </w:rPr>
        <w:t>12</w:t>
      </w:r>
      <w:r>
        <w:rPr>
          <w:rFonts w:cs="仿宋_GB2312" w:asciiTheme="minorEastAsia" w:hAnsiTheme="minorEastAsia" w:eastAsiaTheme="minorEastAsia"/>
          <w:b/>
          <w:kern w:val="0"/>
          <w:szCs w:val="24"/>
          <w:lang w:val="zh-CN"/>
        </w:rPr>
        <w:t xml:space="preserve">. </w:t>
      </w:r>
      <w:r>
        <w:rPr>
          <w:rFonts w:hint="eastAsia" w:cs="仿宋_GB2312" w:asciiTheme="minorEastAsia" w:hAnsiTheme="minorEastAsia" w:eastAsiaTheme="minorEastAsia"/>
          <w:b/>
          <w:szCs w:val="24"/>
        </w:rPr>
        <w:t>投标文件的编制</w:t>
      </w:r>
    </w:p>
    <w:p>
      <w:pPr>
        <w:spacing w:line="360" w:lineRule="auto"/>
        <w:ind w:firstLine="480" w:firstLineChars="200"/>
        <w:rPr>
          <w:rFonts w:cs="仿宋_GB2312" w:asciiTheme="minorEastAsia" w:hAnsiTheme="minorEastAsia" w:eastAsiaTheme="minorEastAsia"/>
          <w:b/>
          <w:sz w:val="24"/>
        </w:rPr>
      </w:pPr>
      <w:r>
        <w:rPr>
          <w:rFonts w:cs="仿宋_GB2312" w:asciiTheme="minorEastAsia" w:hAnsiTheme="minorEastAsia" w:eastAsiaTheme="minorEastAsia"/>
          <w:kern w:val="0"/>
          <w:sz w:val="24"/>
          <w:lang w:val="zh-CN"/>
        </w:rPr>
        <w:t>12.1投标文件分为资格文件、商务技术文件、报价文件三部分。各投标人在编制投标文件时请按照招标文件第六部</w:t>
      </w:r>
      <w:r>
        <w:rPr>
          <w:rFonts w:hint="eastAsia" w:cs="仿宋_GB2312" w:asciiTheme="minorEastAsia" w:hAnsiTheme="minorEastAsia" w:eastAsiaTheme="minorEastAsia"/>
          <w:kern w:val="0"/>
          <w:sz w:val="24"/>
          <w:lang w:val="zh-CN"/>
        </w:rPr>
        <w:t>分规定的格式进行，混乱的编排导致投标文件被误读或评标委员会查找不到有效文件是投标人的风险。</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12.2投标人进行电子投标应安装客户端软件—“政</w:t>
      </w:r>
      <w:r>
        <w:rPr>
          <w:rFonts w:hint="eastAsia" w:cs="仿宋_GB2312" w:asciiTheme="minorEastAsia" w:hAnsiTheme="minorEastAsia" w:eastAsiaTheme="minorEastAsia"/>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12.3使用“政</w:t>
      </w:r>
      <w:r>
        <w:rPr>
          <w:rFonts w:hint="eastAsia" w:cs="仿宋_GB2312" w:asciiTheme="minorEastAsia" w:hAnsiTheme="minorEastAsia" w:eastAsiaTheme="minorEastAsia"/>
          <w:kern w:val="0"/>
          <w:sz w:val="24"/>
          <w:lang w:val="zh-CN"/>
        </w:rPr>
        <w:t>采云电子交易客户端”需要提前申领</w:t>
      </w:r>
      <w:r>
        <w:rPr>
          <w:rFonts w:cs="仿宋_GB2312" w:asciiTheme="minorEastAsia" w:hAnsiTheme="minorEastAsia" w:eastAsiaTheme="minorEastAsia"/>
          <w:kern w:val="0"/>
          <w:sz w:val="24"/>
          <w:lang w:val="zh-CN"/>
        </w:rPr>
        <w:t>CA数字证书，申领流程请自行前往“浙江政府采购网-下载专区-电子交易客户端-CA驱动和申领流程”进行查阅。</w:t>
      </w:r>
    </w:p>
    <w:p>
      <w:pPr>
        <w:snapToGrid w:val="0"/>
        <w:spacing w:line="360" w:lineRule="auto"/>
        <w:rPr>
          <w:rFonts w:asciiTheme="minorEastAsia" w:hAnsiTheme="minorEastAsia" w:eastAsiaTheme="minorEastAsia"/>
          <w:b/>
          <w:sz w:val="24"/>
        </w:rPr>
      </w:pPr>
      <w:r>
        <w:rPr>
          <w:rFonts w:asciiTheme="minorEastAsia" w:hAnsiTheme="minorEastAsia" w:eastAsiaTheme="minorEastAsia"/>
          <w:b/>
          <w:sz w:val="24"/>
        </w:rPr>
        <w:t>13.投标文件的签署、盖章</w:t>
      </w:r>
    </w:p>
    <w:p>
      <w:pPr>
        <w:pStyle w:val="160"/>
        <w:snapToGrid w:val="0"/>
        <w:spacing w:before="0"/>
        <w:ind w:firstLine="480"/>
        <w:rPr>
          <w:rFonts w:cs="仿宋_GB2312" w:asciiTheme="minorEastAsia" w:hAnsiTheme="minorEastAsia" w:eastAsiaTheme="minorEastAsia"/>
          <w:b/>
        </w:rPr>
      </w:pPr>
      <w:r>
        <w:rPr>
          <w:rFonts w:cs="仿宋_GB2312" w:asciiTheme="minorEastAsia" w:hAnsiTheme="minorEastAsia" w:eastAsiaTheme="minorEastAsia"/>
          <w:szCs w:val="24"/>
        </w:rPr>
        <w:t>13.1投标文件按照招标文件第六部分格式要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投标人的投标文件未按照招标文件要求签署、盖章的，其投标无效</w:t>
      </w:r>
      <w:r>
        <w:rPr>
          <w:rFonts w:hint="eastAsia" w:cs="仿宋_GB2312" w:asciiTheme="minorEastAsia" w:hAnsiTheme="minorEastAsia" w:eastAsiaTheme="minorEastAsia"/>
          <w:szCs w:val="24"/>
        </w:rPr>
        <w:t>。</w:t>
      </w:r>
    </w:p>
    <w:p>
      <w:pPr>
        <w:pStyle w:val="16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rPr>
        <w:t>13.3招标文件对投标文件签署、盖章的要求适用于电子签名。</w:t>
      </w:r>
    </w:p>
    <w:p>
      <w:pPr>
        <w:pStyle w:val="160"/>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 xml:space="preserve">14. </w:t>
      </w:r>
      <w:r>
        <w:rPr>
          <w:rFonts w:hint="eastAsia" w:cs="仿宋_GB2312" w:asciiTheme="minorEastAsia" w:hAnsiTheme="minorEastAsia" w:eastAsiaTheme="minorEastAsia"/>
          <w:b/>
          <w:szCs w:val="24"/>
        </w:rPr>
        <w:t>投标文件的提交、补充、修改、撤回</w:t>
      </w:r>
    </w:p>
    <w:p>
      <w:pPr>
        <w:pStyle w:val="16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 xml:space="preserve">14.1 </w:t>
      </w:r>
      <w:r>
        <w:rPr>
          <w:rFonts w:hint="eastAsia" w:cs="仿宋_GB2312" w:asciiTheme="minorEastAsia" w:hAnsiTheme="minorEastAsia" w:eastAsiaTheme="minor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15.备份投标文件</w:t>
      </w:r>
    </w:p>
    <w:p>
      <w:pPr>
        <w:pStyle w:val="32"/>
        <w:spacing w:line="360" w:lineRule="auto"/>
        <w:ind w:firstLine="360" w:firstLineChars="15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sz w:val="24"/>
          <w:szCs w:val="24"/>
        </w:rPr>
        <w:t>但采购人、采购机构不强制或变相强制投标人提交备份投标文件。</w:t>
      </w:r>
    </w:p>
    <w:p>
      <w:pPr>
        <w:pStyle w:val="32"/>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15.2备份投标文件须在“政</w:t>
      </w:r>
      <w:r>
        <w:rPr>
          <w:rFonts w:hint="eastAsia" w:cs="仿宋_GB2312" w:asciiTheme="minorEastAsia" w:hAnsiTheme="minorEastAsia" w:eastAsiaTheme="minorEastAsia"/>
          <w:sz w:val="24"/>
          <w:szCs w:val="24"/>
        </w:rPr>
        <w:t>采云投标客户端”制作生成，并储存在</w:t>
      </w:r>
      <w:r>
        <w:rPr>
          <w:rFonts w:asciiTheme="minorEastAsia" w:hAnsiTheme="minorEastAsia" w:eastAsiaTheme="minorEastAsia"/>
          <w:sz w:val="24"/>
        </w:rPr>
        <w:t>DVD光盘</w:t>
      </w:r>
      <w:r>
        <w:rPr>
          <w:rFonts w:hint="eastAsia" w:cs="仿宋_GB2312" w:asciiTheme="minorEastAsia" w:hAnsiTheme="minorEastAsia" w:eastAsiaTheme="minorEastAsia"/>
          <w:sz w:val="24"/>
          <w:szCs w:val="24"/>
        </w:rPr>
        <w:t>中。备份投标文件应当密封包装并在包装上加盖公章并注明投标项目名称，投标人名称</w:t>
      </w:r>
      <w:r>
        <w:rPr>
          <w:rFonts w:cs="仿宋_GB2312" w:asciiTheme="minorEastAsia" w:hAnsiTheme="minorEastAsia" w:eastAsiaTheme="minorEastAsia"/>
          <w:sz w:val="24"/>
          <w:szCs w:val="24"/>
        </w:rPr>
        <w:t>(联合体投标的，包装物封面需注明联合体投标，并注明联合体成员各方的名称和联合协议中约定的牵头人的名称)。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存储、密封规定的备份投标文件将被视为无效或者被拒绝接收。</w:t>
      </w:r>
    </w:p>
    <w:p>
      <w:pPr>
        <w:pStyle w:val="32"/>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15.3直接提交备份投标文件的，投标人应于投标截止时间前在</w:t>
      </w:r>
      <w:r>
        <w:rPr>
          <w:rFonts w:hint="eastAsia" w:hAnsi="宋体" w:cs="宋体"/>
          <w:sz w:val="24"/>
          <w:szCs w:val="24"/>
        </w:rPr>
        <w:t>招标公告中载明的开标地点</w:t>
      </w:r>
      <w:r>
        <w:rPr>
          <w:rFonts w:cs="仿宋_GB2312" w:asciiTheme="minorEastAsia" w:hAnsiTheme="minorEastAsia" w:eastAsiaTheme="minorEastAsia"/>
          <w:sz w:val="24"/>
          <w:szCs w:val="24"/>
        </w:rPr>
        <w:t>将备份投标文件提交给采购机构，采购机构将拒绝接受逾期送达的备份投标文件。</w:t>
      </w:r>
    </w:p>
    <w:p>
      <w:pPr>
        <w:pStyle w:val="32"/>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仿宋_GB2312" w:asciiTheme="minorEastAsia" w:hAnsiTheme="minorEastAsia" w:eastAsiaTheme="minorEastAsia"/>
          <w:snapToGrid/>
          <w:sz w:val="24"/>
          <w:szCs w:val="24"/>
        </w:rPr>
        <w:t>招标文件第二部分投标人须知前附表规定的备份投标文件送达地点；</w:t>
      </w:r>
      <w:r>
        <w:rPr>
          <w:rFonts w:hint="eastAsia" w:cs="仿宋_GB2312"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15.5投标人仅提交备份投标文件，</w:t>
      </w:r>
      <w:r>
        <w:rPr>
          <w:rFonts w:hint="eastAsia" w:cs="仿宋_GB2312" w:asciiTheme="minorEastAsia" w:hAnsiTheme="minorEastAsia" w:eastAsiaTheme="minorEastAsia"/>
          <w:b/>
          <w:sz w:val="24"/>
          <w:szCs w:val="24"/>
        </w:rPr>
        <w:t>未</w:t>
      </w:r>
      <w:r>
        <w:rPr>
          <w:rFonts w:cs="仿宋_GB2312" w:asciiTheme="minorEastAsia" w:hAnsiTheme="minorEastAsia" w:eastAsiaTheme="minorEastAsia"/>
          <w:b/>
          <w:sz w:val="24"/>
          <w:szCs w:val="24"/>
        </w:rPr>
        <w:t>在电子交易平台传输递交投标文件的，投标无效。</w:t>
      </w:r>
    </w:p>
    <w:p>
      <w:pPr>
        <w:pStyle w:val="160"/>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16.投标文件的无效处理</w:t>
      </w:r>
    </w:p>
    <w:p>
      <w:pPr>
        <w:pStyle w:val="24"/>
        <w:spacing w:line="360" w:lineRule="auto"/>
        <w:ind w:firstLine="360" w:firstLineChars="15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有招标文件第四部分</w:t>
      </w:r>
      <w:r>
        <w:rPr>
          <w:rFonts w:hint="eastAsia" w:asciiTheme="minorEastAsia" w:hAnsiTheme="minorEastAsia" w:eastAsiaTheme="minorEastAsia"/>
        </w:rPr>
        <w:t>4.2</w:t>
      </w:r>
      <w:r>
        <w:rPr>
          <w:rFonts w:asciiTheme="minorEastAsia" w:hAnsiTheme="minorEastAsia" w:eastAsiaTheme="minorEastAsia"/>
        </w:rPr>
        <w:t>规定</w:t>
      </w:r>
      <w:r>
        <w:rPr>
          <w:rFonts w:hint="eastAsia" w:cs="仿宋_GB2312" w:asciiTheme="minorEastAsia" w:hAnsiTheme="minorEastAsia" w:eastAsiaTheme="minorEastAsia"/>
          <w:szCs w:val="21"/>
        </w:rPr>
        <w:t>的情形之一的，投标无效：</w:t>
      </w:r>
    </w:p>
    <w:p>
      <w:pPr>
        <w:pStyle w:val="160"/>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17.投标有效期</w:t>
      </w:r>
    </w:p>
    <w:p>
      <w:pPr>
        <w:spacing w:line="360" w:lineRule="auto"/>
        <w:ind w:firstLine="480" w:firstLineChars="200"/>
        <w:rPr>
          <w:rFonts w:cs="仿宋_GB2312" w:asciiTheme="minorEastAsia" w:hAnsiTheme="minorEastAsia" w:eastAsiaTheme="minorEastAsia"/>
          <w:b/>
          <w:sz w:val="24"/>
          <w:szCs w:val="21"/>
        </w:rPr>
      </w:pPr>
      <w:r>
        <w:rPr>
          <w:rFonts w:cs="仿宋_GB2312" w:asciiTheme="minorEastAsia" w:hAnsiTheme="minorEastAsia" w:eastAsiaTheme="minorEastAsia"/>
          <w:sz w:val="24"/>
          <w:szCs w:val="20"/>
        </w:rPr>
        <w:t>17.1投标有效期为从提交投标文件的截止之日起90天。▲</w:t>
      </w:r>
      <w:r>
        <w:rPr>
          <w:rFonts w:hint="eastAsia" w:cs="仿宋_GB2312" w:asciiTheme="minorEastAsia" w:hAnsiTheme="minorEastAsia" w:eastAsiaTheme="minorEastAsia"/>
          <w:b/>
          <w:sz w:val="24"/>
          <w:szCs w:val="20"/>
        </w:rPr>
        <w:t>投标人的投标文件中承</w:t>
      </w:r>
      <w:r>
        <w:rPr>
          <w:rFonts w:hint="eastAsia" w:cs="仿宋_GB2312" w:asciiTheme="minorEastAsia" w:hAnsiTheme="minorEastAsia" w:eastAsiaTheme="minorEastAsia"/>
          <w:b/>
          <w:sz w:val="24"/>
          <w:szCs w:val="21"/>
        </w:rPr>
        <w:t>诺的投标有效期少于招标文件中载明的投标有效期的，投标无效。</w:t>
      </w:r>
    </w:p>
    <w:p>
      <w:pPr>
        <w:pStyle w:val="160"/>
        <w:spacing w:before="0"/>
        <w:ind w:firstLine="480"/>
        <w:rPr>
          <w:rFonts w:cs="仿宋_GB2312" w:asciiTheme="minorEastAsia" w:hAnsiTheme="minorEastAsia" w:eastAsiaTheme="minorEastAsia"/>
        </w:rPr>
      </w:pPr>
      <w:r>
        <w:rPr>
          <w:rFonts w:cs="仿宋_GB2312" w:asciiTheme="minorEastAsia" w:hAnsiTheme="minorEastAsia" w:eastAsiaTheme="minorEastAsia"/>
        </w:rPr>
        <w:t>17.2投标文件合格投递后，自投标截止日期起，在投标有效期内有效。</w:t>
      </w:r>
    </w:p>
    <w:p>
      <w:pPr>
        <w:pStyle w:val="160"/>
        <w:spacing w:before="0"/>
        <w:ind w:firstLine="480"/>
        <w:rPr>
          <w:rFonts w:cs="仿宋_GB2312" w:asciiTheme="minorEastAsia" w:hAnsiTheme="minorEastAsia" w:eastAsiaTheme="minorEastAsia"/>
        </w:rPr>
      </w:pPr>
      <w:r>
        <w:rPr>
          <w:rFonts w:cs="仿宋_GB2312"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160"/>
        <w:spacing w:before="0"/>
        <w:ind w:firstLine="643"/>
        <w:rPr>
          <w:rFonts w:cs="仿宋_GB2312" w:asciiTheme="minorEastAsia" w:hAnsiTheme="minorEastAsia" w:eastAsiaTheme="minorEastAsia"/>
          <w:b/>
          <w:sz w:val="32"/>
        </w:rPr>
      </w:pPr>
    </w:p>
    <w:p>
      <w:pPr>
        <w:pStyle w:val="160"/>
        <w:spacing w:before="0"/>
        <w:ind w:firstLine="1928" w:firstLineChars="600"/>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四、开标、资格审查与信用信息查询</w:t>
      </w:r>
    </w:p>
    <w:p>
      <w:pPr>
        <w:pStyle w:val="558"/>
        <w:spacing w:before="0" w:line="360" w:lineRule="auto"/>
        <w:ind w:left="0" w:firstLine="241" w:firstLineChars="100"/>
        <w:contextualSpacing/>
        <w:rPr>
          <w:rFonts w:asciiTheme="minorEastAsia" w:hAnsiTheme="minorEastAsia" w:eastAsiaTheme="minorEastAsia"/>
          <w:sz w:val="24"/>
        </w:rPr>
      </w:pPr>
      <w:r>
        <w:rPr>
          <w:rFonts w:cs="仿宋_GB2312" w:asciiTheme="minorEastAsia" w:hAnsiTheme="minorEastAsia" w:eastAsiaTheme="minorEastAsia"/>
          <w:b/>
          <w:sz w:val="24"/>
          <w:szCs w:val="24"/>
        </w:rPr>
        <w:t>18.开标</w:t>
      </w:r>
      <w:r>
        <w:rPr>
          <w:rFonts w:asciiTheme="minorEastAsia" w:hAnsiTheme="minorEastAsia" w:eastAsiaTheme="minorEastAsia"/>
          <w:sz w:val="24"/>
        </w:rPr>
        <w:t xml:space="preserve"> </w:t>
      </w:r>
    </w:p>
    <w:p>
      <w:pPr>
        <w:pStyle w:val="558"/>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　</w:t>
      </w:r>
      <w:r>
        <w:rPr>
          <w:rFonts w:cs="仿宋_GB2312" w:asciiTheme="minorEastAsia" w:hAnsiTheme="minorEastAsia" w:eastAsiaTheme="minorEastAsia"/>
          <w:sz w:val="24"/>
        </w:rPr>
        <w:t>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cs="仿宋_GB2312" w:asciiTheme="minorEastAsia" w:hAnsiTheme="minorEastAsia" w:eastAsiaTheme="minorEastAsia"/>
          <w:b/>
          <w:sz w:val="24"/>
        </w:rPr>
      </w:pPr>
      <w:r>
        <w:rPr>
          <w:rFonts w:hint="eastAsia" w:cs="仿宋_GB2312" w:asciiTheme="minorEastAsia" w:hAnsiTheme="minorEastAsia" w:eastAsiaTheme="minorEastAsia"/>
          <w:sz w:val="24"/>
        </w:rPr>
        <w:t>　</w:t>
      </w:r>
      <w:r>
        <w:rPr>
          <w:rFonts w:cs="仿宋_GB2312" w:asciiTheme="minorEastAsia" w:hAnsiTheme="minorEastAsia" w:eastAsiaTheme="minorEastAsia"/>
          <w:sz w:val="24"/>
        </w:rPr>
        <w:t>18.3</w:t>
      </w:r>
      <w:r>
        <w:rPr>
          <w:rFonts w:hint="eastAsia" w:cs="仿宋_GB2312"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cs="仿宋_GB2312" w:asciiTheme="minorEastAsia" w:hAnsiTheme="minorEastAsia" w:eastAsiaTheme="minorEastAsia"/>
          <w:b/>
          <w:sz w:val="24"/>
          <w:szCs w:val="20"/>
        </w:rPr>
      </w:pPr>
      <w:r>
        <w:rPr>
          <w:rFonts w:hint="eastAsia" w:cs="仿宋_GB2312" w:asciiTheme="minorEastAsia" w:hAnsiTheme="minorEastAsia" w:eastAsiaTheme="minorEastAsia"/>
          <w:b/>
          <w:sz w:val="24"/>
          <w:szCs w:val="20"/>
        </w:rPr>
        <w:t>　</w:t>
      </w:r>
      <w:r>
        <w:rPr>
          <w:rFonts w:cs="仿宋_GB2312" w:asciiTheme="minorEastAsia" w:hAnsiTheme="minorEastAsia" w:eastAsiaTheme="minorEastAsia"/>
          <w:b/>
          <w:sz w:val="24"/>
          <w:szCs w:val="20"/>
        </w:rPr>
        <w:t>19、资格审查</w:t>
      </w:r>
    </w:p>
    <w:p>
      <w:pPr>
        <w:pStyle w:val="160"/>
        <w:spacing w:before="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仿宋_GB2312" w:asciiTheme="minorEastAsia" w:hAnsiTheme="minorEastAsia" w:eastAsiaTheme="minorEastAsia"/>
          <w:sz w:val="24"/>
        </w:rPr>
      </w:pPr>
      <w:r>
        <w:rPr>
          <w:rFonts w:cs="Arial" w:asciiTheme="minorEastAsia" w:hAnsiTheme="minorEastAsia" w:eastAsiaTheme="minorEastAsia"/>
          <w:kern w:val="0"/>
          <w:sz w:val="24"/>
        </w:rPr>
        <w:t>19.2</w:t>
      </w:r>
      <w:r>
        <w:rPr>
          <w:rFonts w:hint="eastAsia" w:cs="仿宋_GB2312" w:asciiTheme="minorEastAsia" w:hAnsiTheme="minorEastAsia" w:eastAsiaTheme="minorEastAsia"/>
          <w:sz w:val="24"/>
        </w:rPr>
        <w:t>采购人或采购机构依据法律法规和招标文件的规定，对投标人的资格进行审查。</w:t>
      </w:r>
    </w:p>
    <w:p>
      <w:pPr>
        <w:pStyle w:val="160"/>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19.3投标人未按照招标文件要求提供与</w:t>
      </w:r>
      <w:r>
        <w:rPr>
          <w:rFonts w:hint="eastAsia" w:cs="仿宋_GB2312" w:asciiTheme="minorEastAsia" w:hAnsiTheme="minorEastAsia" w:eastAsiaTheme="minorEastAsia"/>
        </w:rPr>
        <w:t>资格条件相应的</w:t>
      </w:r>
      <w:r>
        <w:rPr>
          <w:rFonts w:hint="eastAsia" w:cs="Arial" w:asciiTheme="minorEastAsia" w:hAnsiTheme="minorEastAsia" w:eastAsiaTheme="minorEastAsia"/>
          <w:kern w:val="0"/>
          <w:szCs w:val="24"/>
        </w:rPr>
        <w:t>有效资格证明材料的，视为</w:t>
      </w:r>
      <w:r>
        <w:rPr>
          <w:rFonts w:hint="eastAsia" w:cs="仿宋_GB2312" w:asciiTheme="minorEastAsia" w:hAnsiTheme="minorEastAsia" w:eastAsiaTheme="minorEastAsia"/>
        </w:rPr>
        <w:t>投标人不具备招标文件中规定的资格要求，其投标无效。</w:t>
      </w:r>
    </w:p>
    <w:p>
      <w:pPr>
        <w:pStyle w:val="160"/>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4对未通过资格审查的投标人，采购人或采购机构告知其未通过的原因。</w:t>
      </w:r>
    </w:p>
    <w:p>
      <w:pPr>
        <w:pStyle w:val="160"/>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5合格投标人不足3家的，不再评标。</w:t>
      </w:r>
    </w:p>
    <w:p>
      <w:pPr>
        <w:pStyle w:val="160"/>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20、信用信息查询</w:t>
      </w:r>
    </w:p>
    <w:p>
      <w:pPr>
        <w:pStyle w:val="160"/>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160"/>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20.2信用信息查询记录和证据留存的具体方式：现场查询的投标人的信用记录、查询结果经确认后将与招标文件一起存档。</w:t>
      </w:r>
    </w:p>
    <w:p>
      <w:pPr>
        <w:pStyle w:val="160"/>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rPr>
        <w:t>。</w:t>
      </w:r>
    </w:p>
    <w:p>
      <w:pPr>
        <w:pStyle w:val="160"/>
        <w:spacing w:before="0"/>
        <w:ind w:firstLine="0" w:firstLineChars="0"/>
        <w:rPr>
          <w:rFonts w:cs="Arial" w:asciiTheme="minorEastAsia" w:hAnsiTheme="minorEastAsia" w:eastAsiaTheme="minorEastAsia"/>
          <w:kern w:val="0"/>
          <w:szCs w:val="24"/>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五、评标</w:t>
      </w:r>
    </w:p>
    <w:p>
      <w:pPr>
        <w:spacing w:line="360" w:lineRule="auto"/>
        <w:rPr>
          <w:rFonts w:cs="仿宋_GB2312" w:asciiTheme="minorEastAsia" w:hAnsiTheme="minorEastAsia" w:eastAsiaTheme="minorEastAsia"/>
          <w:b/>
          <w:sz w:val="24"/>
        </w:rPr>
      </w:pPr>
      <w:bookmarkStart w:id="13" w:name="_Toc91899903"/>
      <w:r>
        <w:rPr>
          <w:rFonts w:cs="仿宋_GB2312" w:asciiTheme="minorEastAsia" w:hAnsiTheme="minorEastAsia" w:eastAsiaTheme="minorEastAsia"/>
          <w:b/>
          <w:sz w:val="24"/>
        </w:rPr>
        <w:t>21.</w:t>
      </w:r>
      <w:r>
        <w:rPr>
          <w:rFonts w:asciiTheme="minorEastAsia" w:hAnsiTheme="minorEastAsia" w:eastAsiaTheme="minorEastAsia"/>
        </w:rPr>
        <w:t xml:space="preserve"> </w:t>
      </w:r>
      <w:r>
        <w:rPr>
          <w:rFonts w:hint="eastAsia" w:cs="仿宋_GB2312"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sz w:val="24"/>
        </w:rPr>
        <w:t>详见招标文件第四部分评标办法。</w:t>
      </w:r>
    </w:p>
    <w:p>
      <w:pPr>
        <w:spacing w:line="360" w:lineRule="auto"/>
        <w:rPr>
          <w:rFonts w:cs="仿宋_GB2312" w:asciiTheme="minorEastAsia" w:hAnsiTheme="minorEastAsia" w:eastAsiaTheme="minorEastAsia"/>
          <w:b/>
          <w:sz w:val="24"/>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六、定</w:t>
      </w:r>
      <w:r>
        <w:rPr>
          <w:rFonts w:cs="仿宋_GB2312" w:asciiTheme="minorEastAsia" w:hAnsiTheme="minorEastAsia" w:eastAsiaTheme="minorEastAsia"/>
          <w:b/>
          <w:sz w:val="36"/>
          <w:szCs w:val="36"/>
        </w:rPr>
        <w:t xml:space="preserve"> </w:t>
      </w:r>
      <w:r>
        <w:rPr>
          <w:rFonts w:hint="eastAsia" w:cs="仿宋_GB2312" w:asciiTheme="minorEastAsia" w:hAnsiTheme="minorEastAsia" w:eastAsiaTheme="minorEastAsia"/>
          <w:b/>
          <w:sz w:val="36"/>
          <w:szCs w:val="36"/>
        </w:rPr>
        <w:t>标</w:t>
      </w:r>
    </w:p>
    <w:p>
      <w:pPr>
        <w:pStyle w:val="24"/>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22. </w:t>
      </w:r>
      <w:r>
        <w:rPr>
          <w:rFonts w:hint="eastAsia" w:cs="仿宋_GB2312" w:asciiTheme="minorEastAsia" w:hAnsiTheme="minorEastAsia" w:eastAsiaTheme="minorEastAsia"/>
          <w:b/>
        </w:rPr>
        <w:t>确定中标供应商</w:t>
      </w:r>
    </w:p>
    <w:p>
      <w:pPr>
        <w:pStyle w:val="160"/>
        <w:snapToGrid w:val="0"/>
        <w:spacing w:before="0"/>
        <w:ind w:firstLine="480"/>
        <w:rPr>
          <w:rFonts w:cs="仿宋_GB2312" w:asciiTheme="minorEastAsia" w:hAnsiTheme="minorEastAsia" w:eastAsiaTheme="minorEastAsia"/>
          <w:b/>
          <w:szCs w:val="24"/>
        </w:rPr>
      </w:pPr>
      <w:r>
        <w:rPr>
          <w:rFonts w:hint="eastAsia" w:cs="仿宋_GB2312" w:asciiTheme="minorEastAsia" w:hAnsiTheme="minorEastAsia" w:eastAsiaTheme="minorEastAsia"/>
          <w:szCs w:val="24"/>
        </w:rPr>
        <w:t>采购人将自收到评审报告之日起</w:t>
      </w:r>
      <w:r>
        <w:rPr>
          <w:rFonts w:cs="仿宋_GB2312" w:asciiTheme="minorEastAsia" w:hAnsiTheme="minorEastAsia" w:eastAsiaTheme="minorEastAsia"/>
          <w:szCs w:val="24"/>
        </w:rPr>
        <w:t>5个工作日内通过电子交易平台在评审报告推荐的中标候选人中按顺序确定中标供应商。</w:t>
      </w:r>
    </w:p>
    <w:p>
      <w:pPr>
        <w:pStyle w:val="160"/>
        <w:snapToGrid w:val="0"/>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 xml:space="preserve">23. </w:t>
      </w:r>
      <w:r>
        <w:rPr>
          <w:rFonts w:hint="eastAsia" w:cs="仿宋_GB2312" w:asciiTheme="minorEastAsia" w:hAnsiTheme="minorEastAsia" w:eastAsiaTheme="minorEastAsia"/>
          <w:b/>
          <w:szCs w:val="24"/>
        </w:rPr>
        <w:t>中标通知与中标结果公告</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23.1自中标人确定之日起2个工作日内，采购机构通过电子交易平台向中标人发出中标通知书，</w:t>
      </w:r>
      <w:r>
        <w:rPr>
          <w:rFonts w:hint="eastAsia" w:cs="仿宋_GB2312" w:asciiTheme="minorEastAsia" w:hAnsiTheme="minorEastAsia" w:eastAsiaTheme="minorEastAsia"/>
          <w:sz w:val="24"/>
        </w:rPr>
        <w:t>同时编制发布采购结果公告。采购机构也可以以纸质形式进行中标通知。</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23.2中标结果公告内容包括采购人及其委托的采购机构的名称、地址、联系方式，项目名称和项目编号，中标人名称、地址和中标金额，主要中标标的</w:t>
      </w:r>
      <w:r>
        <w:rPr>
          <w:rFonts w:hint="eastAsia" w:cs="仿宋_GB2312" w:asciiTheme="minorEastAsia" w:hAnsiTheme="minorEastAsia" w:eastAsiaTheme="minorEastAsia"/>
          <w:sz w:val="24"/>
        </w:rPr>
        <w:t>的名称、服务范围、服务要求、服务时间、服务标准、开标记录、</w:t>
      </w:r>
      <w:bookmarkStart w:id="14" w:name="_Hlk101184471"/>
      <w:r>
        <w:rPr>
          <w:rFonts w:hint="eastAsia" w:ascii="宋体" w:hAnsi="宋体" w:cs="宋体"/>
          <w:sz w:val="24"/>
        </w:rPr>
        <w:t>资格审查情况、评审专家抽取规则、符合性审查情况、</w:t>
      </w:r>
      <w:bookmarkEnd w:id="14"/>
      <w:r>
        <w:rPr>
          <w:rFonts w:hint="eastAsia" w:cs="仿宋_GB2312" w:asciiTheme="minorEastAsia" w:hAnsiTheme="minorEastAsia" w:eastAsiaTheme="minorEastAsia"/>
          <w:sz w:val="24"/>
        </w:rPr>
        <w:t>未中标情况说明、中标公告期限以及评审专家名单、评分汇总及明细等。</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23.3公告期限为1个工作日。</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七、合同授予</w:t>
      </w:r>
    </w:p>
    <w:p>
      <w:pPr>
        <w:pStyle w:val="24"/>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24. </w:t>
      </w:r>
      <w:r>
        <w:rPr>
          <w:rFonts w:hint="eastAsia" w:cs="仿宋_GB2312" w:asciiTheme="minorEastAsia" w:hAnsiTheme="minorEastAsia" w:eastAsiaTheme="minorEastAsia"/>
        </w:rPr>
        <w:t>合同主要条款详见第五部分拟签订的合同文本。</w:t>
      </w:r>
    </w:p>
    <w:p>
      <w:pPr>
        <w:pStyle w:val="24"/>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25. </w:t>
      </w:r>
      <w:r>
        <w:rPr>
          <w:rFonts w:hint="eastAsia" w:cs="仿宋_GB2312" w:asciiTheme="minorEastAsia" w:hAnsiTheme="minorEastAsia" w:eastAsiaTheme="minorEastAsia"/>
          <w:b/>
        </w:rPr>
        <w:t>合同的签订</w:t>
      </w:r>
    </w:p>
    <w:p>
      <w:pPr>
        <w:widowControl/>
        <w:shd w:val="clear" w:color="auto" w:fill="FFFFFF"/>
        <w:spacing w:line="360" w:lineRule="auto"/>
        <w:ind w:firstLine="480"/>
        <w:jc w:val="left"/>
        <w:rPr>
          <w:rFonts w:cs="Arial" w:asciiTheme="minorEastAsia" w:hAnsiTheme="minorEastAsia" w:eastAsiaTheme="minorEastAsia"/>
          <w:kern w:val="0"/>
          <w:sz w:val="24"/>
        </w:rPr>
      </w:pPr>
      <w:r>
        <w:rPr>
          <w:rFonts w:cs="仿宋_GB2312" w:asciiTheme="minorEastAsia" w:hAnsiTheme="minorEastAsia" w:eastAsiaTheme="minorEastAsia"/>
          <w:sz w:val="24"/>
        </w:rPr>
        <w:t>25.1</w:t>
      </w:r>
      <w:r>
        <w:rPr>
          <w:rFonts w:cs="Arial" w:asciiTheme="minorEastAsia" w:hAnsiTheme="minorEastAsia" w:eastAsiaTheme="minorEastAsia"/>
          <w:kern w:val="0"/>
          <w:sz w:val="24"/>
        </w:rPr>
        <w:t xml:space="preserve"> 采购人与中标人应当通过电子交易平台在中标通知书发出之日起</w:t>
      </w:r>
      <w:r>
        <w:rPr>
          <w:rFonts w:hint="eastAsia" w:cs="Arial" w:asciiTheme="minorEastAsia" w:hAnsiTheme="minorEastAsia" w:eastAsiaTheme="minorEastAsia"/>
          <w:kern w:val="0"/>
          <w:sz w:val="24"/>
        </w:rPr>
        <w:t>十个工作日</w:t>
      </w:r>
      <w:r>
        <w:rPr>
          <w:rFonts w:cs="Arial" w:asciiTheme="minorEastAsia" w:hAnsiTheme="minorEastAsia" w:eastAsiaTheme="minorEastAsia"/>
          <w:kern w:val="0"/>
          <w:sz w:val="24"/>
        </w:rPr>
        <w:t>内，按照招标文件确定的事项签订政府采购合同，并在</w:t>
      </w:r>
      <w:r>
        <w:rPr>
          <w:rFonts w:hint="eastAsia" w:cs="Arial" w:asciiTheme="minorEastAsia" w:hAnsiTheme="minorEastAsia" w:eastAsiaTheme="minorEastAsia"/>
          <w:kern w:val="0"/>
          <w:sz w:val="24"/>
        </w:rPr>
        <w:t>合同签订之日起2个工作日</w:t>
      </w:r>
      <w:r>
        <w:rPr>
          <w:rFonts w:cs="Arial" w:asciiTheme="minorEastAsia" w:hAnsiTheme="minorEastAsia" w:eastAsiaTheme="minorEastAsia"/>
          <w:kern w:val="0"/>
          <w:sz w:val="24"/>
        </w:rPr>
        <w:t>内依法发布合同公告。</w:t>
      </w:r>
    </w:p>
    <w:p>
      <w:pPr>
        <w:pStyle w:val="160"/>
        <w:snapToGrid w:val="0"/>
        <w:spacing w:before="0"/>
        <w:ind w:firstLine="480"/>
        <w:rPr>
          <w:rFonts w:asciiTheme="minorEastAsia" w:hAnsiTheme="minorEastAsia" w:eastAsiaTheme="minorEastAsia"/>
          <w:kern w:val="0"/>
        </w:rPr>
      </w:pPr>
      <w:r>
        <w:rPr>
          <w:rFonts w:cs="仿宋_GB2312" w:asciiTheme="minorEastAsia" w:hAnsiTheme="minorEastAsia" w:eastAsiaTheme="minorEastAsia"/>
          <w:kern w:val="0"/>
          <w:lang w:val="zh-CN"/>
        </w:rPr>
        <w:t>25.2</w:t>
      </w:r>
      <w:r>
        <w:rPr>
          <w:rFonts w:hint="eastAsia" w:asciiTheme="minorEastAsia" w:hAnsiTheme="minorEastAsia" w:eastAsiaTheme="minorEastAsia"/>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25.3如签订合同并生效后，供应商无故拒绝或延期，除按照合同条款处理外，列入不良行为记录一次，并给予通报。</w:t>
      </w:r>
    </w:p>
    <w:p>
      <w:pPr>
        <w:pStyle w:val="16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25.4中标供应</w:t>
      </w:r>
      <w:r>
        <w:rPr>
          <w:rFonts w:hint="eastAsia" w:cs="仿宋_GB2312" w:asciiTheme="minorEastAsia" w:hAnsiTheme="minorEastAsia" w:eastAsiaTheme="minorEastAsia"/>
        </w:rPr>
        <w:t>商拒绝与采购人签订合同的，采购人可以按照评审报告推荐的中标或者成交候选人名单排序，确定下一候选人为中标供应商，也可以重新开展政府采购活动。</w:t>
      </w:r>
    </w:p>
    <w:p>
      <w:pPr>
        <w:pStyle w:val="160"/>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25.5采购合同由采购人与中标供应商根据</w:t>
      </w:r>
      <w:r>
        <w:rPr>
          <w:rFonts w:hint="eastAsia" w:cs="仿宋_GB2312" w:asciiTheme="minorEastAsia" w:hAnsiTheme="minorEastAsia" w:eastAsiaTheme="minorEastAsia"/>
        </w:rPr>
        <w:t>招标文件、投标文件等内容通过政府采购电子交易平台在线签订，自动备案。</w:t>
      </w:r>
    </w:p>
    <w:p>
      <w:pPr>
        <w:pStyle w:val="24"/>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26. </w:t>
      </w:r>
      <w:r>
        <w:rPr>
          <w:rFonts w:hint="eastAsia" w:cs="仿宋_GB2312" w:asciiTheme="minorEastAsia" w:hAnsiTheme="minorEastAsia" w:eastAsiaTheme="minorEastAsia"/>
          <w:b/>
        </w:rPr>
        <w:t>履约保证金</w:t>
      </w:r>
    </w:p>
    <w:p>
      <w:pPr>
        <w:tabs>
          <w:tab w:val="left" w:pos="0"/>
        </w:tabs>
        <w:spacing w:line="360" w:lineRule="auto"/>
        <w:ind w:firstLine="482"/>
        <w:rPr>
          <w:rFonts w:asciiTheme="minorEastAsia" w:hAnsiTheme="minorEastAsia" w:eastAsiaTheme="minorEastAsia"/>
          <w:b/>
          <w:sz w:val="24"/>
        </w:rPr>
      </w:pPr>
      <w:r>
        <w:rPr>
          <w:rFonts w:hint="eastAsia" w:cs="Helvetica" w:asciiTheme="minorEastAsia" w:hAnsiTheme="minorEastAsia" w:eastAsiaTheme="minorEastAsia"/>
          <w:kern w:val="0"/>
          <w:sz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sz w:val="24"/>
        </w:rPr>
        <w:t>。履约保证金的数额不得超过政府采购合同金额的1%</w:t>
      </w:r>
      <w:r>
        <w:rPr>
          <w:rFonts w:asciiTheme="minorEastAsia" w:hAnsiTheme="minorEastAsia" w:eastAsiaTheme="minorEastAsia"/>
          <w:sz w:val="24"/>
        </w:rPr>
        <w:t>。</w:t>
      </w:r>
      <w:r>
        <w:rPr>
          <w:rFonts w:hint="eastAsia" w:asciiTheme="minorEastAsia" w:hAnsiTheme="minorEastAsia" w:eastAsiaTheme="minorEastAsia"/>
          <w:sz w:val="24"/>
        </w:rPr>
        <w:t>鼓励和支持供应商以银行、保险公司出具的保函形式提供履约保证金。</w:t>
      </w:r>
      <w:r>
        <w:rPr>
          <w:rFonts w:hint="eastAsia" w:asciiTheme="minorEastAsia" w:hAnsiTheme="minorEastAsia" w:eastAsiaTheme="minorEastAsia"/>
          <w:b/>
          <w:sz w:val="24"/>
        </w:rPr>
        <w:t>采购人不得拒收履约保函。</w:t>
      </w:r>
    </w:p>
    <w:p>
      <w:pPr>
        <w:tabs>
          <w:tab w:val="left" w:pos="0"/>
        </w:tabs>
        <w:spacing w:line="360" w:lineRule="auto"/>
        <w:ind w:firstLine="482"/>
        <w:rPr>
          <w:rFonts w:cs="仿宋_GB2312" w:asciiTheme="minorEastAsia" w:hAnsiTheme="minorEastAsia" w:eastAsiaTheme="minorEastAsia"/>
          <w:sz w:val="24"/>
          <w:szCs w:val="20"/>
        </w:rPr>
      </w:pPr>
      <w:r>
        <w:rPr>
          <w:rFonts w:hint="eastAsia" w:cs="仿宋_GB2312" w:asciiTheme="minorEastAsia" w:hAnsiTheme="minorEastAsia" w:eastAsiaTheme="minorEastAsia"/>
          <w:sz w:val="24"/>
          <w:szCs w:val="20"/>
        </w:rPr>
        <w:t>政府采购货物和服务项目中，采购人可根据杭州市政府采购网公布的供应商履约评价情况减免履约保证金。供应商履约验收评价总分为</w:t>
      </w:r>
      <w:r>
        <w:rPr>
          <w:rFonts w:cs="仿宋_GB2312" w:asciiTheme="minorEastAsia" w:hAnsiTheme="minorEastAsia" w:eastAsiaTheme="minorEastAsia"/>
          <w:sz w:val="24"/>
          <w:szCs w:val="20"/>
        </w:rPr>
        <w:t>100分的，采购</w:t>
      </w:r>
      <w:r>
        <w:rPr>
          <w:rFonts w:hint="eastAsia" w:cs="仿宋_GB2312" w:asciiTheme="minorEastAsia" w:hAnsiTheme="minorEastAsia" w:eastAsiaTheme="minorEastAsia"/>
          <w:sz w:val="24"/>
          <w:szCs w:val="20"/>
        </w:rPr>
        <w:t>人应当免收履约保证金</w:t>
      </w:r>
      <w:r>
        <w:rPr>
          <w:rFonts w:cs="仿宋_GB2312" w:asciiTheme="minorEastAsia" w:hAnsiTheme="minorEastAsia" w:eastAsiaTheme="minorEastAsia"/>
          <w:sz w:val="24"/>
          <w:szCs w:val="20"/>
        </w:rPr>
        <w:t>。</w:t>
      </w:r>
    </w:p>
    <w:p>
      <w:pPr>
        <w:tabs>
          <w:tab w:val="left" w:pos="0"/>
        </w:tabs>
        <w:spacing w:line="360" w:lineRule="auto"/>
        <w:ind w:firstLine="482"/>
        <w:rPr>
          <w:rFonts w:cs="仿宋_GB2312" w:asciiTheme="minorEastAsia" w:hAnsiTheme="minorEastAsia" w:eastAsiaTheme="minorEastAsia"/>
          <w:sz w:val="24"/>
          <w:szCs w:val="20"/>
        </w:rPr>
      </w:pPr>
      <w:r>
        <w:rPr>
          <w:rFonts w:hint="eastAsia" w:cs="仿宋_GB2312" w:asciiTheme="minorEastAsia" w:hAnsiTheme="minorEastAsia" w:eastAsiaTheme="minor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cs="仿宋_GB2312" w:asciiTheme="minorEastAsia" w:hAnsiTheme="minorEastAsia" w:eastAsiaTheme="minorEastAsia"/>
          <w:b/>
          <w:sz w:val="32"/>
        </w:rPr>
      </w:pPr>
    </w:p>
    <w:p>
      <w:pPr>
        <w:snapToGrid w:val="0"/>
        <w:spacing w:line="360" w:lineRule="auto"/>
        <w:ind w:firstLine="3357" w:firstLineChars="1045"/>
        <w:rPr>
          <w:rFonts w:asciiTheme="minorEastAsia" w:hAnsiTheme="minorEastAsia" w:eastAsiaTheme="minorEastAsia"/>
          <w:b/>
          <w:sz w:val="24"/>
        </w:rPr>
      </w:pPr>
      <w:r>
        <w:rPr>
          <w:rFonts w:hint="eastAsia" w:cs="仿宋_GB2312" w:asciiTheme="minorEastAsia" w:hAnsiTheme="minorEastAsia" w:eastAsiaTheme="minorEastAsia"/>
          <w:b/>
          <w:sz w:val="32"/>
        </w:rPr>
        <w:t>八、电子交易活动的中止</w:t>
      </w:r>
    </w:p>
    <w:p>
      <w:pPr>
        <w:pStyle w:val="160"/>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rPr>
        <w:t>2</w:t>
      </w:r>
      <w:r>
        <w:rPr>
          <w:rFonts w:cs="仿宋_GB2312" w:asciiTheme="minorEastAsia" w:hAnsiTheme="minorEastAsia" w:eastAsiaTheme="minorEastAsia"/>
          <w:b/>
          <w:szCs w:val="24"/>
        </w:rPr>
        <w:t xml:space="preserve">7. </w:t>
      </w:r>
      <w:r>
        <w:rPr>
          <w:rFonts w:hint="eastAsia" w:cs="仿宋_GB2312" w:asciiTheme="minorEastAsia" w:hAnsiTheme="minorEastAsia" w:eastAsiaTheme="minorEastAsia"/>
          <w:b/>
          <w:szCs w:val="24"/>
        </w:rPr>
        <w:t>电子交易活动的中止。</w:t>
      </w:r>
      <w:r>
        <w:rPr>
          <w:rFonts w:hint="eastAsia" w:cs="仿宋_GB2312" w:asciiTheme="minorEastAsia" w:hAnsiTheme="minorEastAsia" w:eastAsiaTheme="minorEastAsia"/>
        </w:rPr>
        <w:t>采购过程中出现以下情形，导致电子交易平台无法正常运行，或者无法保证电子交易的公平、公正和安全时，采购机构可中止电子交易活动：</w:t>
      </w:r>
    </w:p>
    <w:p>
      <w:pPr>
        <w:pStyle w:val="16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27.1电子交易平台发生故障而无法登录访问的； </w:t>
      </w:r>
    </w:p>
    <w:p>
      <w:pPr>
        <w:pStyle w:val="16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27.2电子交易平台应用或数据库出现错误，不能进行正常操作的；</w:t>
      </w:r>
    </w:p>
    <w:p>
      <w:pPr>
        <w:pStyle w:val="16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27.3电子交易平台发现严重安全漏洞，有潜在泄密危险的；</w:t>
      </w:r>
    </w:p>
    <w:p>
      <w:pPr>
        <w:pStyle w:val="16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27.4病毒发作导致不能进行正常操作的； </w:t>
      </w:r>
    </w:p>
    <w:p>
      <w:pPr>
        <w:pStyle w:val="160"/>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27.5其他无法保证电子交易的公平、公正和安全的情况。</w:t>
      </w:r>
    </w:p>
    <w:p>
      <w:pPr>
        <w:pStyle w:val="160"/>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Theme="minorEastAsia" w:hAnsiTheme="minorEastAsia" w:eastAsiaTheme="minorEastAsia"/>
          <w:sz w:val="24"/>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九、验收</w:t>
      </w:r>
    </w:p>
    <w:p>
      <w:pPr>
        <w:pStyle w:val="24"/>
        <w:spacing w:line="360" w:lineRule="auto"/>
        <w:ind w:firstLine="0" w:firstLineChars="0"/>
        <w:rPr>
          <w:rFonts w:cs="仿宋_GB2312" w:asciiTheme="minorEastAsia" w:hAnsiTheme="minorEastAsia" w:eastAsiaTheme="minorEastAsia"/>
          <w:b/>
        </w:rPr>
      </w:pPr>
      <w:r>
        <w:rPr>
          <w:rFonts w:cs="仿宋_GB2312" w:asciiTheme="minorEastAsia" w:hAnsiTheme="minorEastAsia" w:eastAsiaTheme="minorEastAsia"/>
          <w:b/>
        </w:rPr>
        <w:t>29.验收</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29.2采购人可以邀请参加本项目的其他投标人或者第三方机构参与验收。参与验收的投标人或者第三方机构的意见作为</w:t>
      </w:r>
      <w:r>
        <w:rPr>
          <w:rFonts w:hint="eastAsia" w:cs="Helvetica" w:asciiTheme="minorEastAsia" w:hAnsiTheme="minorEastAsia" w:eastAsiaTheme="minorEastAsia"/>
          <w:kern w:val="0"/>
          <w:sz w:val="24"/>
        </w:rPr>
        <w:t>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inorEastAsia" w:hAnsiTheme="minorEastAsia" w:eastAsiaTheme="minorEastAsia"/>
          <w:sz w:val="18"/>
          <w:szCs w:val="18"/>
        </w:rPr>
      </w:pPr>
      <w:r>
        <w:rPr>
          <w:rFonts w:cs="Helvetica"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spacing w:line="360" w:lineRule="auto"/>
        <w:ind w:firstLine="480"/>
        <w:rPr>
          <w:rFonts w:cs="Helvetica"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68403820"/>
      <w:bookmarkEnd w:id="16"/>
      <w:bookmarkStart w:id="17" w:name="_Hlt74714665"/>
      <w:bookmarkEnd w:id="17"/>
      <w:bookmarkStart w:id="18" w:name="_Hlt68057669"/>
      <w:bookmarkEnd w:id="18"/>
      <w:bookmarkStart w:id="19" w:name="_Hlt75236101"/>
      <w:bookmarkEnd w:id="19"/>
      <w:bookmarkStart w:id="20" w:name="_Hlt74707468"/>
      <w:bookmarkEnd w:id="20"/>
      <w:bookmarkStart w:id="21" w:name="_Hlt75236011"/>
      <w:bookmarkEnd w:id="21"/>
      <w:bookmarkStart w:id="22" w:name="_Hlt74729768"/>
      <w:bookmarkEnd w:id="22"/>
      <w:bookmarkStart w:id="23" w:name="_Hlt68072990"/>
      <w:bookmarkEnd w:id="23"/>
      <w:bookmarkStart w:id="24" w:name="_Hlt75236290"/>
      <w:bookmarkEnd w:id="24"/>
      <w:bookmarkStart w:id="25" w:name="_Hlt68073093"/>
      <w:bookmarkEnd w:id="25"/>
      <w:bookmarkStart w:id="26" w:name="_Hlt74730295"/>
      <w:bookmarkEnd w:id="26"/>
    </w:p>
    <w:p>
      <w:pPr>
        <w:spacing w:line="360" w:lineRule="auto"/>
        <w:jc w:val="center"/>
        <w:outlineLvl w:val="0"/>
        <w:rPr>
          <w:rFonts w:cs="仿宋_GB2312" w:asciiTheme="minorEastAsia" w:hAnsiTheme="minorEastAsia" w:eastAsiaTheme="minorEastAsia"/>
          <w:b/>
          <w:sz w:val="36"/>
          <w:szCs w:val="36"/>
        </w:rPr>
      </w:pPr>
      <w:bookmarkStart w:id="27" w:name="第四部分"/>
      <w:r>
        <w:rPr>
          <w:rFonts w:hint="eastAsia" w:cs="仿宋_GB2312" w:asciiTheme="minorEastAsia" w:hAnsiTheme="minorEastAsia" w:eastAsiaTheme="minorEastAsia"/>
          <w:b/>
          <w:sz w:val="36"/>
          <w:szCs w:val="36"/>
        </w:rPr>
        <w:t>第三部分</w:t>
      </w:r>
      <w:r>
        <w:rPr>
          <w:rFonts w:cs="仿宋_GB2312" w:asciiTheme="minorEastAsia" w:hAnsiTheme="minorEastAsia" w:eastAsiaTheme="minorEastAsia"/>
          <w:b/>
          <w:sz w:val="36"/>
          <w:szCs w:val="36"/>
        </w:rPr>
        <w:t xml:space="preserve">   </w:t>
      </w:r>
      <w:r>
        <w:rPr>
          <w:rFonts w:hint="eastAsia" w:cs="仿宋_GB2312" w:asciiTheme="minorEastAsia" w:hAnsiTheme="minorEastAsia" w:eastAsiaTheme="minorEastAsia"/>
          <w:b/>
          <w:sz w:val="36"/>
          <w:szCs w:val="36"/>
        </w:rPr>
        <w:t>采购需求</w:t>
      </w:r>
    </w:p>
    <w:p>
      <w:pPr>
        <w:spacing w:line="360" w:lineRule="auto"/>
        <w:ind w:firstLine="482" w:firstLineChars="200"/>
        <w:rPr>
          <w:rFonts w:ascii="宋体" w:hAnsi="宋体" w:cs="宋体"/>
          <w:sz w:val="24"/>
        </w:rPr>
      </w:pPr>
      <w:r>
        <w:rPr>
          <w:rFonts w:hint="eastAsia" w:ascii="宋体" w:hAnsi="宋体" w:cs="宋体"/>
          <w:b/>
          <w:bCs/>
          <w:sz w:val="24"/>
        </w:rPr>
        <w:t>一、项目介绍：</w:t>
      </w:r>
      <w:r>
        <w:rPr>
          <w:rFonts w:hint="eastAsia" w:ascii="宋体" w:hAnsi="宋体" w:cs="宋体"/>
          <w:sz w:val="24"/>
        </w:rPr>
        <w:t>杭州市西溪医院保洁物业及室内绿化服务采购项目，坐落于杭州市西湖区留下镇横埠街2号，建筑面积：67388.99平方米。</w:t>
      </w:r>
    </w:p>
    <w:p>
      <w:pPr>
        <w:spacing w:line="360" w:lineRule="auto"/>
        <w:ind w:firstLine="482" w:firstLineChars="200"/>
        <w:rPr>
          <w:rFonts w:ascii="宋体" w:hAnsi="宋体" w:cs="宋体"/>
          <w:sz w:val="24"/>
        </w:rPr>
      </w:pPr>
      <w:r>
        <w:rPr>
          <w:rFonts w:hint="eastAsia" w:ascii="宋体" w:hAnsi="宋体" w:cs="宋体"/>
          <w:b/>
          <w:bCs/>
          <w:sz w:val="24"/>
          <w:lang w:val="zh-CN"/>
        </w:rPr>
        <w:t>二、服务期：</w:t>
      </w:r>
      <w:r>
        <w:rPr>
          <w:rFonts w:hint="eastAsia" w:ascii="宋体" w:hAnsi="宋体" w:cs="宋体"/>
          <w:sz w:val="24"/>
        </w:rPr>
        <w:t xml:space="preserve">本项目采购预算为770万元，服务期限为12个月。 </w:t>
      </w:r>
    </w:p>
    <w:p>
      <w:pPr>
        <w:pStyle w:val="278"/>
        <w:numPr>
          <w:ilvl w:val="0"/>
          <w:numId w:val="1"/>
        </w:numPr>
        <w:ind w:firstLineChars="0"/>
        <w:rPr>
          <w:rFonts w:ascii="宋体" w:hAnsi="宋体" w:eastAsia="宋体" w:cs="宋体"/>
          <w:b/>
          <w:bCs/>
        </w:rPr>
      </w:pPr>
      <w:r>
        <w:rPr>
          <w:rFonts w:hint="eastAsia" w:ascii="宋体" w:hAnsi="宋体" w:eastAsia="宋体" w:cs="宋体"/>
          <w:b/>
          <w:bCs/>
        </w:rPr>
        <w:t>服务要求：</w:t>
      </w:r>
    </w:p>
    <w:p>
      <w:pPr>
        <w:tabs>
          <w:tab w:val="left" w:pos="0"/>
        </w:tabs>
        <w:spacing w:line="360" w:lineRule="auto"/>
        <w:ind w:firstLine="480" w:firstLineChars="200"/>
        <w:rPr>
          <w:rFonts w:hint="eastAsia" w:ascii="宋体" w:hAnsi="宋体" w:cs="宋体"/>
          <w:sz w:val="24"/>
        </w:rPr>
      </w:pPr>
      <w:r>
        <w:rPr>
          <w:rFonts w:hint="eastAsia" w:ascii="宋体" w:hAnsi="宋体" w:cs="宋体"/>
          <w:sz w:val="24"/>
        </w:rPr>
        <w:t>1.要求所有的服务按照三级甲等医院标准提供保洁、运送、PVC地板打蜡保养、室内绿化养护、病区陪护、院区室内外管道的疏通、有偿理发、医院各项应急事件的配合。并针对特殊情况，制定防止交叉感染、消毒隔离制度和工作标准、流程，遵循国家法律法规及采购人的各项清洁消毒隔离等规章制度，同时做好各区域内服务员工的日常培训与管理工作，中标人负责监督并承担相应培训费用。</w:t>
      </w:r>
    </w:p>
    <w:p>
      <w:pPr>
        <w:tabs>
          <w:tab w:val="left" w:pos="0"/>
        </w:tabs>
        <w:spacing w:line="360" w:lineRule="auto"/>
        <w:ind w:firstLine="480" w:firstLineChars="200"/>
        <w:rPr>
          <w:rFonts w:hint="eastAsia" w:ascii="宋体" w:hAnsi="宋体" w:cs="宋体"/>
          <w:sz w:val="24"/>
        </w:rPr>
      </w:pPr>
      <w:r>
        <w:rPr>
          <w:rFonts w:hint="eastAsia" w:ascii="宋体" w:hAnsi="宋体" w:cs="宋体"/>
          <w:sz w:val="24"/>
        </w:rPr>
        <w:t>2.服务期限：2022年8月1日起至2023年7月31日。特别说明：若存在空挡期，2022年8月1日起至合同签订之日前的空档期物业服务由原供应商承担，费用由中标人按本次中标价单日单人金额乘以实际服务天数实际服务人数，与原供应商结算。</w:t>
      </w:r>
    </w:p>
    <w:p>
      <w:pPr>
        <w:tabs>
          <w:tab w:val="left" w:pos="0"/>
        </w:tabs>
        <w:spacing w:line="360" w:lineRule="auto"/>
        <w:ind w:firstLine="480" w:firstLineChars="200"/>
        <w:rPr>
          <w:rFonts w:ascii="宋体" w:hAnsi="宋体" w:cs="宋体"/>
          <w:sz w:val="24"/>
        </w:rPr>
      </w:pPr>
      <w:r>
        <w:rPr>
          <w:rFonts w:hint="eastAsia" w:ascii="宋体" w:hAnsi="宋体" w:cs="宋体"/>
          <w:sz w:val="24"/>
        </w:rPr>
        <w:t>3.主要事项</w:t>
      </w:r>
    </w:p>
    <w:p>
      <w:pPr>
        <w:snapToGrid w:val="0"/>
        <w:spacing w:line="360" w:lineRule="auto"/>
        <w:ind w:firstLine="482" w:firstLineChars="200"/>
        <w:rPr>
          <w:rFonts w:ascii="宋体" w:hAnsi="宋体" w:cs="宋体"/>
          <w:b/>
          <w:sz w:val="24"/>
        </w:rPr>
      </w:pPr>
      <w:r>
        <w:rPr>
          <w:rFonts w:hint="eastAsia" w:ascii="宋体" w:hAnsi="宋体" w:cs="宋体"/>
          <w:b/>
          <w:sz w:val="24"/>
        </w:rPr>
        <w:t>3.1环境保洁服务</w:t>
      </w:r>
    </w:p>
    <w:p>
      <w:pPr>
        <w:snapToGrid w:val="0"/>
        <w:spacing w:line="360" w:lineRule="auto"/>
        <w:ind w:firstLine="480" w:firstLineChars="200"/>
        <w:rPr>
          <w:rFonts w:ascii="宋体" w:hAnsi="宋体" w:cs="宋体"/>
          <w:sz w:val="24"/>
        </w:rPr>
      </w:pPr>
      <w:r>
        <w:rPr>
          <w:rFonts w:hint="eastAsia" w:ascii="宋体" w:hAnsi="宋体" w:cs="宋体"/>
          <w:sz w:val="24"/>
        </w:rPr>
        <w:t>（1）内容：</w:t>
      </w:r>
    </w:p>
    <w:p>
      <w:pPr>
        <w:snapToGrid w:val="0"/>
        <w:spacing w:line="360" w:lineRule="auto"/>
        <w:ind w:firstLine="480" w:firstLineChars="200"/>
        <w:rPr>
          <w:rFonts w:ascii="宋体" w:hAnsi="宋体" w:cs="宋体"/>
          <w:sz w:val="24"/>
        </w:rPr>
      </w:pPr>
      <w:r>
        <w:rPr>
          <w:rFonts w:hint="eastAsia" w:ascii="宋体" w:hAnsi="宋体" w:cs="宋体"/>
          <w:sz w:val="24"/>
        </w:rPr>
        <w:t>医院范围内所有病房、诊室、值班室、手术室、分娩室等洁净区域、楼梯、大厅、走廊、屋顶天台及采光玻璃顶、吊顶、平台、雨棚、电梯厅、电梯间、卫生间、开水间、花盆、会议室、接待室、办公区域、公共活动场所的台（地）面、明沟、墙面、门、窗、灯具、标识牌、果壳箱、储衣柜、椅、凳等设施及普通机器（如空调表面及过滤网、电梯表面及沟槽电视机等），楼宇外围等所有公共部位设施，规划内的道路、园林、垃圾房等所有公共场地及设施、“门前三包”区域的日常保洁保养以及垃圾、废弃物清理等。</w:t>
      </w:r>
    </w:p>
    <w:p>
      <w:pPr>
        <w:snapToGrid w:val="0"/>
        <w:spacing w:line="360" w:lineRule="auto"/>
        <w:ind w:firstLine="480" w:firstLineChars="200"/>
        <w:rPr>
          <w:rFonts w:ascii="宋体" w:hAnsi="宋体" w:cs="宋体"/>
          <w:sz w:val="24"/>
        </w:rPr>
      </w:pPr>
      <w:r>
        <w:rPr>
          <w:rFonts w:hint="eastAsia" w:ascii="宋体" w:hAnsi="宋体" w:cs="宋体"/>
          <w:sz w:val="24"/>
        </w:rPr>
        <w:t>具体如下：</w:t>
      </w:r>
    </w:p>
    <w:p>
      <w:pPr>
        <w:snapToGrid w:val="0"/>
        <w:spacing w:line="360" w:lineRule="auto"/>
        <w:ind w:firstLine="480" w:firstLineChars="200"/>
        <w:rPr>
          <w:rFonts w:ascii="宋体" w:hAnsi="宋体" w:cs="宋体"/>
          <w:sz w:val="24"/>
        </w:rPr>
      </w:pPr>
      <w:r>
        <w:rPr>
          <w:rFonts w:hint="eastAsia" w:ascii="宋体" w:hAnsi="宋体" w:cs="宋体"/>
          <w:sz w:val="24"/>
        </w:rPr>
        <w:t>1.公共区域日常服务内容：地面、扶手、门窗玻璃、门及门窗框、玻璃幕墙及有关附体，沙发、桌子、各类宣传牌、橱窗及有关附体，天花板、栏杆、消防楼梯区域等，及时清除各种垃圾等杂物，无积灰、印迹、污渍，卫生间达到五星级标准。各类材质地面定期进行刷洗、补蜡、全面保养打蜡。</w:t>
      </w:r>
    </w:p>
    <w:p>
      <w:pPr>
        <w:snapToGrid w:val="0"/>
        <w:spacing w:line="360" w:lineRule="auto"/>
        <w:ind w:firstLine="480" w:firstLineChars="200"/>
        <w:rPr>
          <w:rFonts w:ascii="宋体" w:hAnsi="宋体" w:cs="宋体"/>
          <w:sz w:val="24"/>
        </w:rPr>
      </w:pPr>
      <w:r>
        <w:rPr>
          <w:rFonts w:hint="eastAsia" w:ascii="宋体" w:hAnsi="宋体" w:cs="宋体"/>
          <w:sz w:val="24"/>
        </w:rPr>
        <w:t>2.办公区域、会议室等特定区域保洁服务内容：地面、大厅石材墙面、天花板、门窗玻璃、门及门窗框、墙壁附体，灯具、音响、垃圾桶等公用设施表面，电梯轿厢及卫生间，办公室内储衣柜和桌椅表面等严格按要求做好清洁、清运及日常消杀工作，无积灰、印迹、污渍，桌面简单整理等，随时保持清洁。各类材质地面定期进行刷洗、补蜡、全面保养,有明显垃圾污迹随时清理，确保地面、桌面、玻璃面整洁干净。白色墙面及顶面如有污渍等应及时清除，墙面去污后。</w:t>
      </w:r>
    </w:p>
    <w:p>
      <w:pPr>
        <w:snapToGrid w:val="0"/>
        <w:spacing w:line="360" w:lineRule="auto"/>
        <w:ind w:firstLine="480" w:firstLineChars="200"/>
        <w:rPr>
          <w:rFonts w:ascii="宋体" w:hAnsi="宋体" w:cs="宋体"/>
          <w:sz w:val="24"/>
        </w:rPr>
      </w:pPr>
      <w:r>
        <w:rPr>
          <w:rFonts w:hint="eastAsia" w:ascii="宋体" w:hAnsi="宋体" w:cs="宋体"/>
          <w:sz w:val="24"/>
        </w:rPr>
        <w:t>3.顶棚等边缘区域服务内容：屋顶屋面、沟槽、地面、雨棚及边角区域，各种附体的表面清洁。</w:t>
      </w:r>
    </w:p>
    <w:p>
      <w:pPr>
        <w:snapToGrid w:val="0"/>
        <w:spacing w:line="360" w:lineRule="auto"/>
        <w:ind w:firstLine="480" w:firstLineChars="200"/>
        <w:rPr>
          <w:rFonts w:ascii="宋体" w:hAnsi="宋体" w:cs="宋体"/>
          <w:sz w:val="24"/>
        </w:rPr>
      </w:pPr>
      <w:r>
        <w:rPr>
          <w:rFonts w:hint="eastAsia" w:ascii="宋体" w:hAnsi="宋体" w:cs="宋体"/>
          <w:sz w:val="24"/>
        </w:rPr>
        <w:t>4.水电和设备等设施类服务内容：一般机器表面清洁（有特殊规定的设备除外），消防设施、空调的过滤网际外壳洗尘与保洁。</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5.窗帘服务内容：保持窗帘表面清洁，根据窗帘清洁情况定时拆装由洗衣公司清洗。</w:t>
      </w:r>
    </w:p>
    <w:p>
      <w:pPr>
        <w:snapToGrid w:val="0"/>
        <w:spacing w:line="360" w:lineRule="auto"/>
        <w:ind w:firstLine="480" w:firstLineChars="200"/>
        <w:rPr>
          <w:rFonts w:ascii="宋体" w:hAnsi="宋体" w:cs="宋体"/>
          <w:sz w:val="24"/>
        </w:rPr>
      </w:pPr>
      <w:r>
        <w:rPr>
          <w:rFonts w:hint="eastAsia" w:ascii="宋体" w:hAnsi="宋体" w:cs="宋体"/>
          <w:sz w:val="24"/>
        </w:rPr>
        <w:t>6.电梯服务内容：保持电梯轿厢内外无果壳、纸屑等杂物，无污渍、无灰尘、手印、鞋印，表面光亮可映出人影。每天对轿厢内外用油布擦拭二次，每周用不锈钢油对轿厢内外进行轻抹保养一次。</w:t>
      </w:r>
    </w:p>
    <w:p>
      <w:pPr>
        <w:snapToGrid w:val="0"/>
        <w:spacing w:line="360" w:lineRule="auto"/>
        <w:ind w:firstLine="480" w:firstLineChars="200"/>
        <w:rPr>
          <w:rFonts w:ascii="宋体" w:hAnsi="宋体" w:cs="宋体"/>
          <w:sz w:val="24"/>
        </w:rPr>
      </w:pPr>
      <w:r>
        <w:rPr>
          <w:rFonts w:hint="eastAsia" w:ascii="宋体" w:hAnsi="宋体" w:cs="宋体"/>
          <w:sz w:val="24"/>
        </w:rPr>
        <w:t>7.不锈钢保洁服务内容：包括所有不锈钢制品、设施、设备，除有明确规定的保洁要求外，至少每月用不锈钢油保养一次。哑光不锈钢表面无污渍、无灰尘；镜面不锈钢表面光亮。</w:t>
      </w:r>
    </w:p>
    <w:p>
      <w:pPr>
        <w:snapToGrid w:val="0"/>
        <w:spacing w:line="360" w:lineRule="auto"/>
        <w:ind w:firstLine="480" w:firstLineChars="200"/>
        <w:rPr>
          <w:rFonts w:ascii="宋体" w:hAnsi="宋体" w:cs="宋体"/>
          <w:sz w:val="24"/>
        </w:rPr>
      </w:pPr>
      <w:r>
        <w:rPr>
          <w:rFonts w:hint="eastAsia" w:ascii="宋体" w:hAnsi="宋体" w:cs="宋体"/>
          <w:sz w:val="24"/>
        </w:rPr>
        <w:t>8.医疗/生活垃圾清运服务内容：及时收集垃圾，符合院感要求。转运站工具摆放整齐，垃圾存量不超过三分之二且做到日产日清，每天清洗消毒，无明显积水，无蚊蝇飞舞。垃圾清运工具应保持清洁无破损，清运过程中不得产生二次污染。各类垃圾运到规定的地方，再将垃圾运到垃圾转运站，其中公共区、卫生间无堆积垃圾。按照相关文件制度正确做好垃圾分类，包括医疗垃圾分类及生活垃圾分类。对院内生活垃圾及时分拣，保证生活垃圾的正确分类。</w:t>
      </w:r>
    </w:p>
    <w:p>
      <w:pPr>
        <w:snapToGrid w:val="0"/>
        <w:spacing w:line="360" w:lineRule="auto"/>
        <w:ind w:firstLine="480" w:firstLineChars="200"/>
        <w:rPr>
          <w:rFonts w:ascii="宋体" w:hAnsi="宋体" w:cs="宋体"/>
          <w:sz w:val="24"/>
        </w:rPr>
      </w:pPr>
      <w:r>
        <w:rPr>
          <w:rFonts w:hint="eastAsia" w:ascii="宋体" w:hAnsi="宋体" w:cs="宋体"/>
          <w:sz w:val="24"/>
        </w:rPr>
        <w:t>（2）环境保洁服务要求</w:t>
      </w:r>
    </w:p>
    <w:p>
      <w:pPr>
        <w:snapToGrid w:val="0"/>
        <w:spacing w:line="360" w:lineRule="auto"/>
        <w:ind w:firstLine="480" w:firstLineChars="200"/>
        <w:rPr>
          <w:rFonts w:ascii="宋体" w:hAnsi="宋体" w:cs="宋体"/>
          <w:sz w:val="24"/>
        </w:rPr>
      </w:pPr>
      <w:r>
        <w:rPr>
          <w:rFonts w:hint="eastAsia" w:ascii="宋体" w:hAnsi="宋体" w:cs="宋体"/>
          <w:sz w:val="24"/>
        </w:rPr>
        <w:t xml:space="preserve">1.负责服务范围内环境清洁卫生。 </w:t>
      </w:r>
    </w:p>
    <w:p>
      <w:pPr>
        <w:snapToGrid w:val="0"/>
        <w:spacing w:line="360" w:lineRule="auto"/>
        <w:ind w:firstLine="480" w:firstLineChars="200"/>
        <w:rPr>
          <w:rFonts w:ascii="宋体" w:hAnsi="宋体" w:cs="宋体"/>
          <w:sz w:val="24"/>
        </w:rPr>
      </w:pPr>
      <w:r>
        <w:rPr>
          <w:rFonts w:hint="eastAsia" w:ascii="宋体" w:hAnsi="宋体" w:cs="宋体"/>
          <w:sz w:val="24"/>
        </w:rPr>
        <w:t>2.及时收集生活垃圾和医疗垃圾，并送到院内指定地点。</w:t>
      </w:r>
    </w:p>
    <w:p>
      <w:pPr>
        <w:snapToGrid w:val="0"/>
        <w:spacing w:line="360" w:lineRule="auto"/>
        <w:ind w:firstLine="480" w:firstLineChars="200"/>
        <w:rPr>
          <w:rFonts w:ascii="宋体" w:hAnsi="宋体" w:cs="宋体"/>
          <w:sz w:val="24"/>
        </w:rPr>
      </w:pPr>
      <w:r>
        <w:rPr>
          <w:rFonts w:hint="eastAsia" w:ascii="宋体" w:hAnsi="宋体" w:cs="宋体"/>
          <w:sz w:val="24"/>
        </w:rPr>
        <w:t>3.按时巡视，每层要做到干净、整洁，无蜘蛛丝，无异味。</w:t>
      </w:r>
    </w:p>
    <w:p>
      <w:pPr>
        <w:snapToGrid w:val="0"/>
        <w:spacing w:line="360" w:lineRule="auto"/>
        <w:ind w:firstLine="480" w:firstLineChars="200"/>
        <w:rPr>
          <w:rFonts w:ascii="宋体" w:hAnsi="宋体" w:cs="宋体"/>
          <w:sz w:val="24"/>
        </w:rPr>
      </w:pPr>
      <w:r>
        <w:rPr>
          <w:rFonts w:hint="eastAsia" w:ascii="宋体" w:hAnsi="宋体" w:cs="宋体"/>
          <w:sz w:val="24"/>
        </w:rPr>
        <w:t>4.为避免尘土飞扬，按地面清洁标准、规范方法进行处理。</w:t>
      </w:r>
    </w:p>
    <w:p>
      <w:pPr>
        <w:snapToGrid w:val="0"/>
        <w:spacing w:line="360" w:lineRule="auto"/>
        <w:ind w:firstLine="480" w:firstLineChars="200"/>
        <w:rPr>
          <w:rFonts w:ascii="宋体" w:hAnsi="宋体" w:cs="宋体"/>
          <w:sz w:val="24"/>
        </w:rPr>
      </w:pPr>
      <w:r>
        <w:rPr>
          <w:rFonts w:hint="eastAsia" w:ascii="宋体" w:hAnsi="宋体" w:cs="宋体"/>
          <w:sz w:val="24"/>
        </w:rPr>
        <w:t>5.要求对清洁工具每天进行清洗消毒，避免用手洗，以防止交叉感染。</w:t>
      </w:r>
    </w:p>
    <w:p>
      <w:pPr>
        <w:snapToGrid w:val="0"/>
        <w:spacing w:line="360" w:lineRule="auto"/>
        <w:ind w:firstLine="480" w:firstLineChars="200"/>
        <w:rPr>
          <w:rFonts w:ascii="宋体" w:hAnsi="宋体" w:cs="宋体"/>
          <w:sz w:val="24"/>
        </w:rPr>
      </w:pPr>
      <w:r>
        <w:rPr>
          <w:rFonts w:hint="eastAsia" w:ascii="宋体" w:hAnsi="宋体" w:cs="宋体"/>
          <w:sz w:val="24"/>
        </w:rPr>
        <w:t>6.为防止交叉感染，对不同区域的清洁工具按医院感染科的要求实行严格分类摆放和使用，用颜色、字标等方式进行区分。</w:t>
      </w:r>
    </w:p>
    <w:p>
      <w:pPr>
        <w:snapToGrid w:val="0"/>
        <w:spacing w:line="360" w:lineRule="auto"/>
        <w:ind w:firstLine="480" w:firstLineChars="200"/>
        <w:rPr>
          <w:rFonts w:ascii="宋体" w:hAnsi="宋体" w:cs="宋体"/>
          <w:sz w:val="24"/>
        </w:rPr>
      </w:pPr>
      <w:r>
        <w:rPr>
          <w:rFonts w:hint="eastAsia" w:ascii="宋体" w:hAnsi="宋体" w:cs="宋体"/>
          <w:sz w:val="24"/>
        </w:rPr>
        <w:t>7.做好大楼内PVC地面/橡胶以及其它各种材质地板、墙面的养护。</w:t>
      </w:r>
    </w:p>
    <w:p>
      <w:pPr>
        <w:snapToGrid w:val="0"/>
        <w:spacing w:line="360" w:lineRule="auto"/>
        <w:ind w:firstLine="480" w:firstLineChars="200"/>
        <w:rPr>
          <w:rFonts w:ascii="宋体" w:hAnsi="宋体" w:cs="宋体"/>
          <w:sz w:val="24"/>
        </w:rPr>
      </w:pPr>
      <w:r>
        <w:rPr>
          <w:rFonts w:hint="eastAsia" w:ascii="宋体" w:hAnsi="宋体" w:cs="宋体"/>
          <w:sz w:val="24"/>
        </w:rPr>
        <w:t>8.要求中标人对医院的项目管理配置专用的洗地机、自动洗地吸水机、抛光机、吸水洗尘机、地坪/地毯吹干机、真空吸尘机等。</w:t>
      </w:r>
    </w:p>
    <w:p>
      <w:pPr>
        <w:snapToGrid w:val="0"/>
        <w:spacing w:line="360" w:lineRule="auto"/>
        <w:ind w:firstLine="480" w:firstLineChars="200"/>
        <w:rPr>
          <w:rFonts w:ascii="宋体" w:hAnsi="宋体" w:cs="宋体"/>
          <w:sz w:val="24"/>
        </w:rPr>
      </w:pPr>
      <w:r>
        <w:rPr>
          <w:rFonts w:hint="eastAsia" w:ascii="宋体" w:hAnsi="宋体" w:cs="宋体"/>
          <w:sz w:val="24"/>
        </w:rPr>
        <w:t>9.中标人提供保洁用的清洁剂、洗涤剂、地面保护材料，并符合医院医院感染管理部的要求，并且要求提供优质的产品。</w:t>
      </w:r>
    </w:p>
    <w:p>
      <w:pPr>
        <w:snapToGrid w:val="0"/>
        <w:spacing w:line="360" w:lineRule="auto"/>
        <w:ind w:firstLine="480" w:firstLineChars="200"/>
        <w:rPr>
          <w:rFonts w:ascii="宋体" w:hAnsi="宋体" w:cs="宋体"/>
          <w:sz w:val="24"/>
        </w:rPr>
      </w:pPr>
      <w:r>
        <w:rPr>
          <w:rFonts w:hint="eastAsia" w:ascii="宋体" w:hAnsi="宋体" w:cs="宋体"/>
          <w:sz w:val="24"/>
        </w:rPr>
        <w:t>10.所使用的清洁车辆必须是先进的全方位带上锁功能清洁手推车。</w:t>
      </w:r>
    </w:p>
    <w:p>
      <w:pPr>
        <w:snapToGrid w:val="0"/>
        <w:spacing w:line="360" w:lineRule="auto"/>
        <w:ind w:firstLine="480" w:firstLineChars="200"/>
        <w:rPr>
          <w:rFonts w:ascii="宋体" w:hAnsi="宋体" w:cs="宋体"/>
          <w:sz w:val="24"/>
        </w:rPr>
      </w:pPr>
      <w:r>
        <w:rPr>
          <w:rFonts w:hint="eastAsia" w:ascii="宋体" w:hAnsi="宋体" w:cs="宋体"/>
          <w:sz w:val="24"/>
        </w:rPr>
        <w:t xml:space="preserve">11.报价中应包含PVC以及其它各材质地面的护理，包括起蜡落蜡，刷洗补蜡，喷磨和抛光等处理，保持PVC地面的光亮、整洁。所使用耗材应为知名优质品牌。 </w:t>
      </w:r>
    </w:p>
    <w:p>
      <w:pPr>
        <w:snapToGrid w:val="0"/>
        <w:spacing w:line="360" w:lineRule="auto"/>
        <w:ind w:firstLine="480" w:firstLineChars="200"/>
        <w:rPr>
          <w:rFonts w:ascii="宋体" w:hAnsi="宋体" w:cs="宋体"/>
          <w:sz w:val="24"/>
        </w:rPr>
      </w:pPr>
      <w:r>
        <w:rPr>
          <w:rFonts w:hint="eastAsia" w:ascii="宋体" w:hAnsi="宋体" w:cs="宋体"/>
          <w:sz w:val="24"/>
        </w:rPr>
        <w:t>12.要求对环境保洁进行科学的划分，并且强调计划性。</w:t>
      </w:r>
    </w:p>
    <w:p>
      <w:pPr>
        <w:snapToGrid w:val="0"/>
        <w:spacing w:line="360" w:lineRule="auto"/>
        <w:ind w:firstLine="480" w:firstLineChars="200"/>
        <w:rPr>
          <w:rFonts w:ascii="宋体" w:hAnsi="宋体" w:cs="宋体"/>
          <w:sz w:val="24"/>
        </w:rPr>
      </w:pPr>
      <w:r>
        <w:rPr>
          <w:rFonts w:hint="eastAsia" w:ascii="宋体" w:hAnsi="宋体" w:cs="宋体"/>
          <w:sz w:val="24"/>
        </w:rPr>
        <w:t>13.医院区域内的道路、停车场和门前“三包”及所有公共区域的地面，无积灰、无积水和淤泥、无阻塞等。做到每日清扫两次，巡回保洁。</w:t>
      </w:r>
    </w:p>
    <w:p>
      <w:pPr>
        <w:snapToGrid w:val="0"/>
        <w:spacing w:line="360" w:lineRule="auto"/>
        <w:ind w:firstLine="480" w:firstLineChars="200"/>
        <w:rPr>
          <w:rFonts w:ascii="宋体" w:hAnsi="宋体" w:cs="宋体"/>
          <w:sz w:val="24"/>
        </w:rPr>
      </w:pPr>
      <w:r>
        <w:rPr>
          <w:rFonts w:hint="eastAsia" w:ascii="宋体" w:hAnsi="宋体" w:cs="宋体"/>
          <w:sz w:val="24"/>
        </w:rPr>
        <w:t>14.用于保洁的拖把抹布按医院要求分色分类分区域使用,并按照清洗消毒标准操作，同时保证有足量清洁的用品用于日常保洁工作。</w:t>
      </w:r>
    </w:p>
    <w:p>
      <w:pPr>
        <w:snapToGrid w:val="0"/>
        <w:spacing w:line="360" w:lineRule="auto"/>
        <w:ind w:firstLine="480" w:firstLineChars="200"/>
        <w:rPr>
          <w:rFonts w:ascii="宋体" w:hAnsi="宋体" w:cs="宋体"/>
          <w:sz w:val="24"/>
        </w:rPr>
      </w:pPr>
      <w:r>
        <w:rPr>
          <w:rFonts w:hint="eastAsia" w:ascii="宋体" w:hAnsi="宋体" w:cs="宋体"/>
          <w:sz w:val="24"/>
        </w:rPr>
        <w:t>15.环境保洁具体工作要求：</w:t>
      </w:r>
    </w:p>
    <w:p>
      <w:pPr>
        <w:spacing w:line="360" w:lineRule="auto"/>
        <w:jc w:val="center"/>
        <w:rPr>
          <w:rFonts w:ascii="宋体" w:hAnsi="宋体" w:cs="宋体"/>
          <w:sz w:val="24"/>
        </w:rPr>
      </w:pPr>
      <w:r>
        <w:rPr>
          <w:rFonts w:hint="eastAsia" w:ascii="宋体" w:hAnsi="宋体" w:cs="宋体"/>
          <w:sz w:val="24"/>
        </w:rPr>
        <w:t>表1</w:t>
      </w:r>
    </w:p>
    <w:tbl>
      <w:tblPr>
        <w:tblStyle w:val="6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31"/>
        <w:gridCol w:w="6002"/>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cs="宋体"/>
                <w:szCs w:val="21"/>
              </w:rPr>
            </w:pPr>
            <w:r>
              <w:rPr>
                <w:rFonts w:hint="eastAsia" w:ascii="宋体" w:hAnsi="宋体" w:cs="宋体"/>
                <w:szCs w:val="21"/>
              </w:rPr>
              <w:t>区域</w:t>
            </w:r>
          </w:p>
        </w:tc>
        <w:tc>
          <w:tcPr>
            <w:tcW w:w="831"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6002" w:type="dxa"/>
            <w:vAlign w:val="center"/>
          </w:tcPr>
          <w:p>
            <w:pPr>
              <w:spacing w:line="360" w:lineRule="auto"/>
              <w:jc w:val="center"/>
              <w:rPr>
                <w:rFonts w:ascii="宋体" w:hAnsi="宋体" w:cs="宋体"/>
                <w:szCs w:val="21"/>
              </w:rPr>
            </w:pPr>
            <w:r>
              <w:rPr>
                <w:rFonts w:hint="eastAsia" w:ascii="宋体" w:hAnsi="宋体" w:cs="宋体"/>
                <w:szCs w:val="21"/>
              </w:rPr>
              <w:t>工 作 内 容</w:t>
            </w:r>
          </w:p>
        </w:tc>
        <w:tc>
          <w:tcPr>
            <w:tcW w:w="1967" w:type="dxa"/>
            <w:vAlign w:val="center"/>
          </w:tcPr>
          <w:p>
            <w:pPr>
              <w:spacing w:line="360" w:lineRule="auto"/>
              <w:jc w:val="center"/>
              <w:rPr>
                <w:rFonts w:ascii="宋体" w:hAnsi="宋体" w:cs="宋体"/>
                <w:szCs w:val="21"/>
              </w:rPr>
            </w:pPr>
            <w:r>
              <w:rPr>
                <w:rFonts w:hint="eastAsia" w:ascii="宋体" w:hAnsi="宋体" w:cs="宋体"/>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spacing w:line="360" w:lineRule="auto"/>
              <w:jc w:val="center"/>
              <w:rPr>
                <w:rFonts w:ascii="宋体" w:hAnsi="宋体" w:cs="宋体"/>
                <w:szCs w:val="21"/>
              </w:rPr>
            </w:pPr>
            <w:r>
              <w:rPr>
                <w:rFonts w:hint="eastAsia" w:ascii="宋体" w:hAnsi="宋体" w:cs="宋体"/>
                <w:szCs w:val="21"/>
              </w:rPr>
              <w:t>大厅</w:t>
            </w:r>
          </w:p>
          <w:p>
            <w:pPr>
              <w:spacing w:line="360" w:lineRule="auto"/>
              <w:jc w:val="center"/>
              <w:rPr>
                <w:rFonts w:ascii="宋体" w:hAnsi="宋体" w:cs="宋体"/>
                <w:szCs w:val="21"/>
              </w:rPr>
            </w:pPr>
            <w:r>
              <w:rPr>
                <w:rFonts w:hint="eastAsia" w:ascii="宋体" w:hAnsi="宋体" w:cs="宋体"/>
                <w:szCs w:val="21"/>
              </w:rPr>
              <w:t>/急诊室</w:t>
            </w:r>
          </w:p>
          <w:p>
            <w:pPr>
              <w:spacing w:line="360" w:lineRule="auto"/>
              <w:jc w:val="center"/>
              <w:rPr>
                <w:rFonts w:ascii="宋体" w:hAnsi="宋体" w:cs="宋体"/>
                <w:szCs w:val="21"/>
              </w:rPr>
            </w:pPr>
            <w:r>
              <w:rPr>
                <w:rFonts w:hint="eastAsia" w:ascii="宋体" w:hAnsi="宋体" w:cs="宋体"/>
                <w:szCs w:val="21"/>
              </w:rPr>
              <w:t>/</w:t>
            </w:r>
          </w:p>
          <w:p>
            <w:pPr>
              <w:spacing w:line="360" w:lineRule="auto"/>
              <w:jc w:val="center"/>
              <w:rPr>
                <w:rFonts w:ascii="宋体" w:hAnsi="宋体" w:cs="宋体"/>
                <w:szCs w:val="21"/>
              </w:rPr>
            </w:pPr>
            <w:r>
              <w:rPr>
                <w:rFonts w:hint="eastAsia" w:ascii="宋体" w:hAnsi="宋体" w:cs="宋体"/>
                <w:szCs w:val="21"/>
              </w:rPr>
              <w:t>门诊诊室</w:t>
            </w:r>
          </w:p>
          <w:p>
            <w:pPr>
              <w:spacing w:line="360" w:lineRule="auto"/>
              <w:jc w:val="center"/>
              <w:rPr>
                <w:rFonts w:ascii="宋体" w:hAnsi="宋体" w:cs="宋体"/>
                <w:szCs w:val="21"/>
              </w:rPr>
            </w:pPr>
            <w:r>
              <w:rPr>
                <w:rFonts w:hint="eastAsia" w:ascii="宋体" w:hAnsi="宋体" w:cs="宋体"/>
                <w:szCs w:val="21"/>
              </w:rPr>
              <w:t>/</w:t>
            </w:r>
          </w:p>
          <w:p>
            <w:pPr>
              <w:spacing w:line="360" w:lineRule="auto"/>
              <w:jc w:val="center"/>
              <w:rPr>
                <w:rFonts w:ascii="宋体" w:hAnsi="宋体" w:cs="宋体"/>
                <w:szCs w:val="21"/>
              </w:rPr>
            </w:pPr>
            <w:r>
              <w:rPr>
                <w:rFonts w:hint="eastAsia" w:ascii="宋体" w:hAnsi="宋体" w:cs="宋体"/>
                <w:szCs w:val="21"/>
              </w:rPr>
              <w:t>医技科室/核酸检测基地</w:t>
            </w:r>
          </w:p>
        </w:tc>
        <w:tc>
          <w:tcPr>
            <w:tcW w:w="831" w:type="dxa"/>
            <w:vAlign w:val="center"/>
          </w:tcPr>
          <w:p>
            <w:pPr>
              <w:spacing w:line="360" w:lineRule="auto"/>
              <w:jc w:val="center"/>
              <w:rPr>
                <w:rFonts w:ascii="宋体" w:hAnsi="宋体" w:cs="宋体"/>
                <w:szCs w:val="21"/>
              </w:rPr>
            </w:pPr>
            <w:r>
              <w:rPr>
                <w:rFonts w:hint="eastAsia" w:ascii="宋体" w:hAnsi="宋体" w:cs="宋体"/>
                <w:szCs w:val="21"/>
              </w:rPr>
              <w:t>1</w:t>
            </w:r>
          </w:p>
        </w:tc>
        <w:tc>
          <w:tcPr>
            <w:tcW w:w="6002" w:type="dxa"/>
          </w:tcPr>
          <w:p>
            <w:pPr>
              <w:spacing w:line="360" w:lineRule="auto"/>
              <w:rPr>
                <w:rFonts w:ascii="宋体" w:hAnsi="宋体" w:cs="宋体"/>
                <w:szCs w:val="21"/>
              </w:rPr>
            </w:pPr>
            <w:r>
              <w:rPr>
                <w:rFonts w:hint="eastAsia" w:ascii="宋体" w:hAnsi="宋体" w:cs="宋体"/>
                <w:szCs w:val="21"/>
              </w:rPr>
              <w:t>收集区域内垃圾、更换垃圾袋 ，(达3/4满随时更换)</w:t>
            </w:r>
          </w:p>
        </w:tc>
        <w:tc>
          <w:tcPr>
            <w:tcW w:w="1967" w:type="dxa"/>
            <w:vAlign w:val="center"/>
          </w:tcPr>
          <w:p>
            <w:pPr>
              <w:spacing w:line="360" w:lineRule="auto"/>
              <w:rPr>
                <w:rFonts w:ascii="宋体" w:hAnsi="宋体" w:cs="宋体"/>
                <w:szCs w:val="21"/>
              </w:rPr>
            </w:pPr>
            <w:r>
              <w:rPr>
                <w:rFonts w:hint="eastAsia" w:ascii="宋体" w:hAnsi="宋体" w:cs="宋体"/>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2</w:t>
            </w:r>
          </w:p>
        </w:tc>
        <w:tc>
          <w:tcPr>
            <w:tcW w:w="6002" w:type="dxa"/>
          </w:tcPr>
          <w:p>
            <w:pPr>
              <w:spacing w:line="360" w:lineRule="auto"/>
              <w:rPr>
                <w:rFonts w:ascii="宋体" w:hAnsi="宋体" w:cs="宋体"/>
                <w:szCs w:val="21"/>
              </w:rPr>
            </w:pPr>
            <w:r>
              <w:rPr>
                <w:rFonts w:hint="eastAsia" w:ascii="宋体" w:hAnsi="宋体" w:cs="宋体"/>
                <w:szCs w:val="21"/>
              </w:rPr>
              <w:t>区域内地面扫尘（无扬尘干扫）</w:t>
            </w:r>
          </w:p>
        </w:tc>
        <w:tc>
          <w:tcPr>
            <w:tcW w:w="1967" w:type="dxa"/>
            <w:vAlign w:val="center"/>
          </w:tcPr>
          <w:p>
            <w:pPr>
              <w:spacing w:line="360" w:lineRule="auto"/>
              <w:rPr>
                <w:rFonts w:ascii="宋体" w:hAnsi="宋体" w:cs="宋体"/>
                <w:szCs w:val="21"/>
              </w:rPr>
            </w:pPr>
            <w:r>
              <w:rPr>
                <w:rFonts w:hint="eastAsia" w:ascii="宋体" w:hAnsi="宋体" w:cs="宋体"/>
                <w:szCs w:val="21"/>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3</w:t>
            </w:r>
          </w:p>
        </w:tc>
        <w:tc>
          <w:tcPr>
            <w:tcW w:w="6002" w:type="dxa"/>
          </w:tcPr>
          <w:p>
            <w:pPr>
              <w:spacing w:line="360" w:lineRule="auto"/>
              <w:rPr>
                <w:rFonts w:ascii="宋体" w:hAnsi="宋体" w:cs="宋体"/>
                <w:szCs w:val="21"/>
              </w:rPr>
            </w:pPr>
            <w:r>
              <w:rPr>
                <w:rFonts w:hint="eastAsia" w:ascii="宋体" w:hAnsi="宋体" w:cs="宋体"/>
                <w:szCs w:val="21"/>
              </w:rPr>
              <w:t>区域内地面湿拖（进行地面消毒、清洁）</w:t>
            </w:r>
          </w:p>
        </w:tc>
        <w:tc>
          <w:tcPr>
            <w:tcW w:w="1967" w:type="dxa"/>
            <w:vAlign w:val="center"/>
          </w:tcPr>
          <w:p>
            <w:pPr>
              <w:spacing w:line="360" w:lineRule="auto"/>
              <w:rPr>
                <w:rFonts w:ascii="宋体" w:hAnsi="宋体" w:cs="宋体"/>
                <w:szCs w:val="21"/>
              </w:rPr>
            </w:pPr>
            <w:r>
              <w:rPr>
                <w:rFonts w:hint="eastAsia" w:ascii="宋体" w:hAnsi="宋体" w:cs="宋体"/>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4</w:t>
            </w:r>
          </w:p>
        </w:tc>
        <w:tc>
          <w:tcPr>
            <w:tcW w:w="6002" w:type="dxa"/>
          </w:tcPr>
          <w:p>
            <w:pPr>
              <w:spacing w:line="360" w:lineRule="auto"/>
              <w:rPr>
                <w:rFonts w:ascii="宋体" w:hAnsi="宋体" w:cs="宋体"/>
                <w:szCs w:val="21"/>
              </w:rPr>
            </w:pPr>
            <w:r>
              <w:rPr>
                <w:rFonts w:hint="eastAsia" w:ascii="宋体" w:hAnsi="宋体" w:cs="宋体"/>
                <w:szCs w:val="21"/>
              </w:rPr>
              <w:t>区域内家具（桌椅、橱柜等）、台面擦拭</w:t>
            </w:r>
          </w:p>
        </w:tc>
        <w:tc>
          <w:tcPr>
            <w:tcW w:w="1967"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002" w:type="dxa"/>
          </w:tcPr>
          <w:p>
            <w:pPr>
              <w:spacing w:line="360" w:lineRule="auto"/>
              <w:rPr>
                <w:rFonts w:ascii="宋体" w:hAnsi="宋体" w:cs="宋体"/>
                <w:szCs w:val="21"/>
              </w:rPr>
            </w:pPr>
            <w:r>
              <w:rPr>
                <w:rFonts w:hint="eastAsia" w:ascii="宋体" w:hAnsi="宋体" w:cs="宋体"/>
                <w:szCs w:val="21"/>
              </w:rPr>
              <w:t>区域内电话、低处电器表面清洗或擦拭</w:t>
            </w:r>
          </w:p>
        </w:tc>
        <w:tc>
          <w:tcPr>
            <w:tcW w:w="1967"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6</w:t>
            </w:r>
          </w:p>
        </w:tc>
        <w:tc>
          <w:tcPr>
            <w:tcW w:w="6002" w:type="dxa"/>
          </w:tcPr>
          <w:p>
            <w:pPr>
              <w:spacing w:line="360" w:lineRule="auto"/>
              <w:rPr>
                <w:rFonts w:ascii="宋体" w:hAnsi="宋体" w:cs="宋体"/>
                <w:szCs w:val="21"/>
              </w:rPr>
            </w:pPr>
            <w:r>
              <w:rPr>
                <w:rFonts w:hint="eastAsia" w:ascii="宋体" w:hAnsi="宋体" w:cs="宋体"/>
                <w:szCs w:val="21"/>
              </w:rPr>
              <w:t>区域内洗手池、水池、水龙头、皂盒、清洗、擦拭</w:t>
            </w:r>
          </w:p>
        </w:tc>
        <w:tc>
          <w:tcPr>
            <w:tcW w:w="1967" w:type="dxa"/>
            <w:vAlign w:val="center"/>
          </w:tcPr>
          <w:p>
            <w:pPr>
              <w:spacing w:line="360" w:lineRule="auto"/>
              <w:rPr>
                <w:rFonts w:ascii="宋体" w:hAnsi="宋体" w:cs="宋体"/>
                <w:szCs w:val="21"/>
              </w:rPr>
            </w:pPr>
            <w:r>
              <w:rPr>
                <w:rFonts w:hint="eastAsia" w:ascii="宋体" w:hAnsi="宋体" w:cs="宋体"/>
                <w:szCs w:val="21"/>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7</w:t>
            </w:r>
          </w:p>
        </w:tc>
        <w:tc>
          <w:tcPr>
            <w:tcW w:w="6002" w:type="dxa"/>
          </w:tcPr>
          <w:p>
            <w:pPr>
              <w:spacing w:line="360" w:lineRule="auto"/>
              <w:rPr>
                <w:rFonts w:ascii="宋体" w:hAnsi="宋体" w:cs="宋体"/>
                <w:szCs w:val="21"/>
              </w:rPr>
            </w:pPr>
            <w:r>
              <w:rPr>
                <w:rFonts w:hint="eastAsia" w:ascii="宋体" w:hAnsi="宋体" w:cs="宋体"/>
                <w:szCs w:val="21"/>
              </w:rPr>
              <w:t>卫生间（含水龙头、洗手池、台面、马桶、地面）冲洗、擦拭、消毒</w:t>
            </w:r>
          </w:p>
        </w:tc>
        <w:tc>
          <w:tcPr>
            <w:tcW w:w="1967" w:type="dxa"/>
            <w:vAlign w:val="center"/>
          </w:tcPr>
          <w:p>
            <w:pPr>
              <w:spacing w:line="360" w:lineRule="auto"/>
              <w:rPr>
                <w:rFonts w:ascii="宋体" w:hAnsi="宋体" w:cs="宋体"/>
                <w:szCs w:val="21"/>
              </w:rPr>
            </w:pPr>
            <w:r>
              <w:rPr>
                <w:rFonts w:hint="eastAsia" w:ascii="宋体" w:hAnsi="宋体" w:cs="宋体"/>
                <w:szCs w:val="21"/>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8</w:t>
            </w:r>
          </w:p>
        </w:tc>
        <w:tc>
          <w:tcPr>
            <w:tcW w:w="6002" w:type="dxa"/>
          </w:tcPr>
          <w:p>
            <w:pPr>
              <w:spacing w:line="360" w:lineRule="auto"/>
              <w:rPr>
                <w:rFonts w:ascii="宋体" w:hAnsi="宋体" w:cs="宋体"/>
                <w:szCs w:val="21"/>
              </w:rPr>
            </w:pPr>
            <w:r>
              <w:rPr>
                <w:rFonts w:hint="eastAsia" w:ascii="宋体" w:hAnsi="宋体" w:cs="宋体"/>
                <w:szCs w:val="21"/>
              </w:rPr>
              <w:t>区域内窗台、阳台、把手、栏杆、花盆、开关盒、接线盒、各类低处标牌、垃圾桶擦拭</w:t>
            </w:r>
          </w:p>
        </w:tc>
        <w:tc>
          <w:tcPr>
            <w:tcW w:w="1967"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9</w:t>
            </w:r>
          </w:p>
        </w:tc>
        <w:tc>
          <w:tcPr>
            <w:tcW w:w="6002" w:type="dxa"/>
          </w:tcPr>
          <w:p>
            <w:pPr>
              <w:spacing w:line="360" w:lineRule="auto"/>
              <w:rPr>
                <w:rFonts w:ascii="宋体" w:hAnsi="宋体" w:cs="宋体"/>
                <w:szCs w:val="21"/>
              </w:rPr>
            </w:pPr>
            <w:r>
              <w:rPr>
                <w:rFonts w:hint="eastAsia" w:ascii="宋体" w:hAnsi="宋体" w:cs="宋体"/>
                <w:szCs w:val="21"/>
              </w:rPr>
              <w:t>开水机、冰箱（如有）外表面清洁消毒</w:t>
            </w:r>
          </w:p>
        </w:tc>
        <w:tc>
          <w:tcPr>
            <w:tcW w:w="1967"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002" w:type="dxa"/>
          </w:tcPr>
          <w:p>
            <w:pPr>
              <w:spacing w:line="360" w:lineRule="auto"/>
              <w:rPr>
                <w:rFonts w:ascii="宋体" w:hAnsi="宋体" w:cs="宋体"/>
                <w:szCs w:val="21"/>
              </w:rPr>
            </w:pPr>
            <w:r>
              <w:rPr>
                <w:rFonts w:hint="eastAsia" w:ascii="宋体" w:hAnsi="宋体" w:cs="宋体"/>
                <w:szCs w:val="21"/>
              </w:rPr>
              <w:t>门、门框、低处窗框擦拭</w:t>
            </w:r>
          </w:p>
        </w:tc>
        <w:tc>
          <w:tcPr>
            <w:tcW w:w="1967"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6002" w:type="dxa"/>
          </w:tcPr>
          <w:p>
            <w:pPr>
              <w:spacing w:line="360" w:lineRule="auto"/>
              <w:rPr>
                <w:rFonts w:ascii="宋体" w:hAnsi="宋体" w:cs="宋体"/>
                <w:szCs w:val="21"/>
              </w:rPr>
            </w:pPr>
            <w:r>
              <w:rPr>
                <w:rFonts w:hint="eastAsia" w:ascii="宋体" w:hAnsi="宋体" w:cs="宋体"/>
                <w:szCs w:val="21"/>
              </w:rPr>
              <w:t>高处玻璃及窗框</w:t>
            </w:r>
          </w:p>
        </w:tc>
        <w:tc>
          <w:tcPr>
            <w:tcW w:w="1967" w:type="dxa"/>
            <w:vAlign w:val="center"/>
          </w:tcPr>
          <w:p>
            <w:pPr>
              <w:spacing w:line="360" w:lineRule="auto"/>
              <w:rPr>
                <w:rFonts w:ascii="宋体" w:hAnsi="宋体" w:cs="宋体"/>
                <w:szCs w:val="21"/>
              </w:rPr>
            </w:pPr>
            <w:r>
              <w:rPr>
                <w:rFonts w:hint="eastAsia" w:ascii="宋体" w:hAnsi="宋体" w:cs="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6002" w:type="dxa"/>
          </w:tcPr>
          <w:p>
            <w:pPr>
              <w:spacing w:line="360" w:lineRule="auto"/>
              <w:rPr>
                <w:rFonts w:ascii="宋体" w:hAnsi="宋体" w:cs="宋体"/>
                <w:szCs w:val="21"/>
              </w:rPr>
            </w:pPr>
            <w:r>
              <w:rPr>
                <w:rFonts w:hint="eastAsia" w:ascii="宋体" w:hAnsi="宋体" w:cs="宋体"/>
                <w:szCs w:val="21"/>
              </w:rPr>
              <w:t>低处墙面除尘、落地瓷砖、踢脚板、地角、低处管道擦拭</w:t>
            </w:r>
          </w:p>
        </w:tc>
        <w:tc>
          <w:tcPr>
            <w:tcW w:w="1967"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6002" w:type="dxa"/>
          </w:tcPr>
          <w:p>
            <w:pPr>
              <w:spacing w:line="360" w:lineRule="auto"/>
              <w:rPr>
                <w:rFonts w:ascii="宋体" w:hAnsi="宋体" w:cs="宋体"/>
                <w:szCs w:val="21"/>
              </w:rPr>
            </w:pPr>
            <w:r>
              <w:rPr>
                <w:rFonts w:hint="eastAsia" w:ascii="宋体" w:hAnsi="宋体" w:cs="宋体"/>
                <w:szCs w:val="21"/>
              </w:rPr>
              <w:t>非医疗不锈钢物体表面闪钢保养</w:t>
            </w:r>
          </w:p>
        </w:tc>
        <w:tc>
          <w:tcPr>
            <w:tcW w:w="1967" w:type="dxa"/>
            <w:vAlign w:val="center"/>
          </w:tcPr>
          <w:p>
            <w:pPr>
              <w:spacing w:line="360" w:lineRule="auto"/>
              <w:rPr>
                <w:rFonts w:ascii="宋体" w:hAnsi="宋体" w:cs="宋体"/>
                <w:szCs w:val="21"/>
              </w:rPr>
            </w:pPr>
            <w:r>
              <w:rPr>
                <w:rFonts w:hint="eastAsia" w:ascii="宋体" w:hAnsi="宋体" w:cs="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6002" w:type="dxa"/>
          </w:tcPr>
          <w:p>
            <w:pPr>
              <w:spacing w:line="360" w:lineRule="auto"/>
              <w:rPr>
                <w:rFonts w:ascii="宋体" w:hAnsi="宋体" w:cs="宋体"/>
                <w:szCs w:val="21"/>
              </w:rPr>
            </w:pPr>
            <w:r>
              <w:rPr>
                <w:rFonts w:hint="eastAsia" w:ascii="宋体" w:hAnsi="宋体" w:cs="宋体"/>
                <w:szCs w:val="21"/>
              </w:rPr>
              <w:t>高处标牌、壁挂物擦拭</w:t>
            </w:r>
          </w:p>
        </w:tc>
        <w:tc>
          <w:tcPr>
            <w:tcW w:w="1967" w:type="dxa"/>
            <w:vAlign w:val="center"/>
          </w:tcPr>
          <w:p>
            <w:pPr>
              <w:spacing w:line="360" w:lineRule="auto"/>
              <w:rPr>
                <w:rFonts w:ascii="宋体" w:hAnsi="宋体" w:cs="宋体"/>
                <w:szCs w:val="21"/>
              </w:rPr>
            </w:pPr>
            <w:r>
              <w:rPr>
                <w:rFonts w:hint="eastAsia" w:ascii="宋体" w:hAnsi="宋体" w:cs="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6002" w:type="dxa"/>
          </w:tcPr>
          <w:p>
            <w:pPr>
              <w:spacing w:line="360" w:lineRule="auto"/>
              <w:rPr>
                <w:rFonts w:ascii="宋体" w:hAnsi="宋体" w:cs="宋体"/>
                <w:szCs w:val="21"/>
              </w:rPr>
            </w:pPr>
            <w:r>
              <w:rPr>
                <w:rFonts w:hint="eastAsia" w:ascii="宋体" w:hAnsi="宋体" w:cs="宋体"/>
                <w:szCs w:val="21"/>
              </w:rPr>
              <w:t>高处除尘</w:t>
            </w:r>
          </w:p>
        </w:tc>
        <w:tc>
          <w:tcPr>
            <w:tcW w:w="1967" w:type="dxa"/>
            <w:vAlign w:val="center"/>
          </w:tcPr>
          <w:p>
            <w:pPr>
              <w:spacing w:line="360" w:lineRule="auto"/>
              <w:rPr>
                <w:rFonts w:ascii="宋体" w:hAnsi="宋体" w:cs="宋体"/>
                <w:szCs w:val="21"/>
              </w:rPr>
            </w:pPr>
            <w:r>
              <w:rPr>
                <w:rFonts w:hint="eastAsia" w:ascii="宋体" w:hAnsi="宋体" w:cs="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16</w:t>
            </w:r>
          </w:p>
        </w:tc>
        <w:tc>
          <w:tcPr>
            <w:tcW w:w="6002" w:type="dxa"/>
          </w:tcPr>
          <w:p>
            <w:pPr>
              <w:spacing w:line="360" w:lineRule="auto"/>
              <w:rPr>
                <w:rFonts w:ascii="宋体" w:hAnsi="宋体" w:cs="宋体"/>
                <w:szCs w:val="21"/>
              </w:rPr>
            </w:pPr>
            <w:r>
              <w:rPr>
                <w:rFonts w:hint="eastAsia" w:ascii="宋体" w:hAnsi="宋体" w:cs="宋体"/>
                <w:szCs w:val="21"/>
              </w:rPr>
              <w:t>通风口、管道、空调、风扇、等高处设备擦拭清洁</w:t>
            </w:r>
          </w:p>
        </w:tc>
        <w:tc>
          <w:tcPr>
            <w:tcW w:w="1967" w:type="dxa"/>
            <w:vAlign w:val="center"/>
          </w:tcPr>
          <w:p>
            <w:pPr>
              <w:spacing w:line="360" w:lineRule="auto"/>
              <w:rPr>
                <w:rFonts w:ascii="宋体" w:hAnsi="宋体" w:cs="宋体"/>
                <w:szCs w:val="21"/>
              </w:rPr>
            </w:pPr>
            <w:r>
              <w:rPr>
                <w:rFonts w:hint="eastAsia" w:ascii="宋体" w:hAnsi="宋体" w:cs="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17</w:t>
            </w:r>
          </w:p>
        </w:tc>
        <w:tc>
          <w:tcPr>
            <w:tcW w:w="6002" w:type="dxa"/>
          </w:tcPr>
          <w:p>
            <w:pPr>
              <w:spacing w:line="360" w:lineRule="auto"/>
              <w:rPr>
                <w:rFonts w:ascii="宋体" w:hAnsi="宋体" w:cs="宋体"/>
                <w:szCs w:val="21"/>
              </w:rPr>
            </w:pPr>
            <w:r>
              <w:rPr>
                <w:rFonts w:hint="eastAsia" w:ascii="宋体" w:hAnsi="宋体" w:cs="宋体"/>
                <w:szCs w:val="21"/>
              </w:rPr>
              <w:t>地面机洗</w:t>
            </w:r>
          </w:p>
        </w:tc>
        <w:tc>
          <w:tcPr>
            <w:tcW w:w="1967" w:type="dxa"/>
            <w:vAlign w:val="center"/>
          </w:tcPr>
          <w:p>
            <w:pPr>
              <w:spacing w:line="360" w:lineRule="auto"/>
              <w:rPr>
                <w:rFonts w:ascii="宋体" w:hAnsi="宋体" w:cs="宋体"/>
                <w:szCs w:val="21"/>
              </w:rPr>
            </w:pPr>
            <w:r>
              <w:rPr>
                <w:rFonts w:hint="eastAsia" w:ascii="宋体" w:hAnsi="宋体" w:cs="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18</w:t>
            </w:r>
          </w:p>
        </w:tc>
        <w:tc>
          <w:tcPr>
            <w:tcW w:w="6002" w:type="dxa"/>
          </w:tcPr>
          <w:p>
            <w:pPr>
              <w:spacing w:line="360" w:lineRule="auto"/>
              <w:rPr>
                <w:rFonts w:ascii="宋体" w:hAnsi="宋体" w:cs="宋体"/>
                <w:szCs w:val="21"/>
              </w:rPr>
            </w:pPr>
            <w:r>
              <w:rPr>
                <w:rFonts w:hint="eastAsia" w:ascii="宋体" w:hAnsi="宋体" w:cs="宋体"/>
                <w:szCs w:val="21"/>
              </w:rPr>
              <w:t>PVC地面打蜡</w:t>
            </w:r>
          </w:p>
        </w:tc>
        <w:tc>
          <w:tcPr>
            <w:tcW w:w="1967" w:type="dxa"/>
            <w:vAlign w:val="center"/>
          </w:tcPr>
          <w:p>
            <w:pPr>
              <w:spacing w:line="360" w:lineRule="auto"/>
              <w:rPr>
                <w:rFonts w:ascii="宋体" w:hAnsi="宋体" w:cs="宋体"/>
                <w:szCs w:val="21"/>
              </w:rPr>
            </w:pPr>
            <w:r>
              <w:rPr>
                <w:rFonts w:hint="eastAsia" w:ascii="宋体" w:hAnsi="宋体" w:cs="宋体"/>
                <w:szCs w:val="21"/>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19</w:t>
            </w:r>
          </w:p>
        </w:tc>
        <w:tc>
          <w:tcPr>
            <w:tcW w:w="6002" w:type="dxa"/>
          </w:tcPr>
          <w:p>
            <w:pPr>
              <w:spacing w:line="360" w:lineRule="auto"/>
              <w:rPr>
                <w:rFonts w:ascii="宋体" w:hAnsi="宋体" w:cs="宋体"/>
                <w:szCs w:val="21"/>
              </w:rPr>
            </w:pPr>
            <w:r>
              <w:rPr>
                <w:rFonts w:hint="eastAsia" w:ascii="宋体" w:hAnsi="宋体" w:cs="宋体"/>
                <w:szCs w:val="21"/>
              </w:rPr>
              <w:t>窗帘拆洗换（污染时随时拆换）</w:t>
            </w:r>
          </w:p>
        </w:tc>
        <w:tc>
          <w:tcPr>
            <w:tcW w:w="1967" w:type="dxa"/>
            <w:vAlign w:val="center"/>
          </w:tcPr>
          <w:p>
            <w:pPr>
              <w:spacing w:line="360" w:lineRule="auto"/>
              <w:rPr>
                <w:rFonts w:ascii="宋体" w:hAnsi="宋体" w:cs="宋体"/>
                <w:szCs w:val="21"/>
              </w:rPr>
            </w:pPr>
            <w:r>
              <w:rPr>
                <w:rFonts w:hint="eastAsia" w:ascii="宋体" w:hAnsi="宋体" w:cs="宋体"/>
                <w:szCs w:val="21"/>
              </w:rPr>
              <w:t>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20</w:t>
            </w:r>
          </w:p>
        </w:tc>
        <w:tc>
          <w:tcPr>
            <w:tcW w:w="6002" w:type="dxa"/>
          </w:tcPr>
          <w:p>
            <w:pPr>
              <w:spacing w:line="360" w:lineRule="auto"/>
              <w:rPr>
                <w:rFonts w:ascii="宋体" w:hAnsi="宋体" w:cs="宋体"/>
                <w:szCs w:val="21"/>
              </w:rPr>
            </w:pPr>
            <w:r>
              <w:rPr>
                <w:rFonts w:hint="eastAsia" w:ascii="宋体" w:hAnsi="宋体" w:cs="宋体"/>
                <w:szCs w:val="21"/>
              </w:rPr>
              <w:t>床帘拆洗换（污染时随时拆换）</w:t>
            </w:r>
          </w:p>
        </w:tc>
        <w:tc>
          <w:tcPr>
            <w:tcW w:w="1967" w:type="dxa"/>
            <w:vAlign w:val="center"/>
          </w:tcPr>
          <w:p>
            <w:pPr>
              <w:spacing w:line="360" w:lineRule="auto"/>
              <w:rPr>
                <w:rFonts w:ascii="宋体" w:hAnsi="宋体" w:cs="宋体"/>
                <w:szCs w:val="21"/>
              </w:rPr>
            </w:pPr>
            <w:r>
              <w:rPr>
                <w:rFonts w:hint="eastAsia" w:ascii="宋体" w:hAnsi="宋体" w:cs="宋体"/>
                <w:szCs w:val="21"/>
              </w:rPr>
              <w:t>诊室一月1次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21</w:t>
            </w:r>
          </w:p>
        </w:tc>
        <w:tc>
          <w:tcPr>
            <w:tcW w:w="6002" w:type="dxa"/>
          </w:tcPr>
          <w:p>
            <w:pPr>
              <w:spacing w:line="360" w:lineRule="auto"/>
              <w:rPr>
                <w:rFonts w:ascii="宋体" w:hAnsi="宋体" w:cs="宋体"/>
                <w:szCs w:val="21"/>
              </w:rPr>
            </w:pPr>
            <w:r>
              <w:rPr>
                <w:rFonts w:hint="eastAsia" w:ascii="宋体" w:hAnsi="宋体" w:cs="宋体"/>
                <w:szCs w:val="21"/>
              </w:rPr>
              <w:t>平车上布类整理、更换</w:t>
            </w:r>
          </w:p>
        </w:tc>
        <w:tc>
          <w:tcPr>
            <w:tcW w:w="1967" w:type="dxa"/>
            <w:vAlign w:val="center"/>
          </w:tcPr>
          <w:p>
            <w:pPr>
              <w:spacing w:line="360" w:lineRule="auto"/>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spacing w:line="360" w:lineRule="auto"/>
              <w:jc w:val="center"/>
              <w:rPr>
                <w:rFonts w:ascii="宋体" w:hAnsi="宋体" w:cs="宋体"/>
                <w:szCs w:val="21"/>
              </w:rPr>
            </w:pPr>
          </w:p>
        </w:tc>
        <w:tc>
          <w:tcPr>
            <w:tcW w:w="831" w:type="dxa"/>
            <w:vAlign w:val="center"/>
          </w:tcPr>
          <w:p>
            <w:pPr>
              <w:spacing w:line="360" w:lineRule="auto"/>
              <w:jc w:val="center"/>
              <w:rPr>
                <w:rFonts w:ascii="宋体" w:hAnsi="宋体" w:cs="宋体"/>
                <w:szCs w:val="21"/>
              </w:rPr>
            </w:pPr>
            <w:r>
              <w:rPr>
                <w:rFonts w:hint="eastAsia" w:ascii="宋体" w:hAnsi="宋体" w:cs="宋体"/>
                <w:szCs w:val="21"/>
              </w:rPr>
              <w:t>22</w:t>
            </w:r>
          </w:p>
        </w:tc>
        <w:tc>
          <w:tcPr>
            <w:tcW w:w="6002" w:type="dxa"/>
          </w:tcPr>
          <w:p>
            <w:pPr>
              <w:spacing w:line="360" w:lineRule="auto"/>
              <w:rPr>
                <w:rFonts w:ascii="宋体" w:hAnsi="宋体" w:cs="宋体"/>
                <w:szCs w:val="21"/>
              </w:rPr>
            </w:pPr>
            <w:r>
              <w:rPr>
                <w:rFonts w:hint="eastAsia" w:ascii="宋体" w:hAnsi="宋体" w:cs="宋体"/>
                <w:szCs w:val="21"/>
              </w:rPr>
              <w:t>巡视保洁</w:t>
            </w:r>
          </w:p>
        </w:tc>
        <w:tc>
          <w:tcPr>
            <w:tcW w:w="1967" w:type="dxa"/>
            <w:vAlign w:val="center"/>
          </w:tcPr>
          <w:p>
            <w:pPr>
              <w:spacing w:line="360" w:lineRule="auto"/>
              <w:rPr>
                <w:rFonts w:ascii="宋体" w:hAnsi="宋体" w:cs="宋体"/>
                <w:szCs w:val="21"/>
              </w:rPr>
            </w:pPr>
            <w:r>
              <w:rPr>
                <w:rFonts w:hint="eastAsia" w:ascii="宋体" w:hAnsi="宋体" w:cs="宋体"/>
                <w:szCs w:val="21"/>
              </w:rPr>
              <w:t>随  时</w:t>
            </w:r>
          </w:p>
        </w:tc>
      </w:tr>
    </w:tbl>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表2</w:t>
      </w:r>
    </w:p>
    <w:tbl>
      <w:tblPr>
        <w:tblStyle w:val="6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09"/>
        <w:gridCol w:w="5917"/>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spacing w:line="360" w:lineRule="auto"/>
              <w:jc w:val="center"/>
              <w:rPr>
                <w:rFonts w:ascii="宋体" w:hAnsi="宋体" w:cs="宋体"/>
                <w:szCs w:val="21"/>
              </w:rPr>
            </w:pPr>
            <w:r>
              <w:rPr>
                <w:rFonts w:hint="eastAsia" w:ascii="宋体" w:hAnsi="宋体" w:cs="宋体"/>
                <w:szCs w:val="21"/>
              </w:rPr>
              <w:t>区域</w:t>
            </w:r>
          </w:p>
        </w:tc>
        <w:tc>
          <w:tcPr>
            <w:tcW w:w="909"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5917" w:type="dxa"/>
            <w:vAlign w:val="center"/>
          </w:tcPr>
          <w:p>
            <w:pPr>
              <w:spacing w:line="360" w:lineRule="auto"/>
              <w:jc w:val="center"/>
              <w:rPr>
                <w:rFonts w:ascii="宋体" w:hAnsi="宋体" w:cs="宋体"/>
                <w:szCs w:val="21"/>
              </w:rPr>
            </w:pPr>
            <w:r>
              <w:rPr>
                <w:rFonts w:hint="eastAsia" w:ascii="宋体" w:hAnsi="宋体" w:cs="宋体"/>
                <w:szCs w:val="21"/>
              </w:rPr>
              <w:t>工 作 内 容</w:t>
            </w:r>
          </w:p>
        </w:tc>
        <w:tc>
          <w:tcPr>
            <w:tcW w:w="2006" w:type="dxa"/>
            <w:vAlign w:val="center"/>
          </w:tcPr>
          <w:p>
            <w:pPr>
              <w:spacing w:line="360" w:lineRule="auto"/>
              <w:jc w:val="center"/>
              <w:rPr>
                <w:rFonts w:ascii="宋体" w:hAnsi="宋体" w:cs="宋体"/>
                <w:szCs w:val="21"/>
              </w:rPr>
            </w:pPr>
            <w:r>
              <w:rPr>
                <w:rFonts w:hint="eastAsia" w:ascii="宋体" w:hAnsi="宋体" w:cs="宋体"/>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restart"/>
            <w:vAlign w:val="center"/>
          </w:tcPr>
          <w:p>
            <w:pPr>
              <w:spacing w:line="360" w:lineRule="auto"/>
              <w:jc w:val="center"/>
              <w:rPr>
                <w:rFonts w:ascii="宋体" w:hAnsi="宋体" w:cs="宋体"/>
                <w:szCs w:val="21"/>
              </w:rPr>
            </w:pPr>
            <w:r>
              <w:rPr>
                <w:rFonts w:hint="eastAsia" w:ascii="宋体" w:hAnsi="宋体" w:cs="宋体"/>
                <w:szCs w:val="21"/>
              </w:rPr>
              <w:t>手术室/监护中心/消毒供应中心</w:t>
            </w:r>
          </w:p>
        </w:tc>
        <w:tc>
          <w:tcPr>
            <w:tcW w:w="909" w:type="dxa"/>
            <w:vAlign w:val="center"/>
          </w:tcPr>
          <w:p>
            <w:pPr>
              <w:spacing w:line="360" w:lineRule="auto"/>
              <w:jc w:val="center"/>
              <w:rPr>
                <w:rFonts w:ascii="宋体" w:hAnsi="宋体" w:cs="宋体"/>
                <w:szCs w:val="21"/>
              </w:rPr>
            </w:pPr>
            <w:r>
              <w:rPr>
                <w:rFonts w:hint="eastAsia" w:ascii="宋体" w:hAnsi="宋体" w:cs="宋体"/>
                <w:szCs w:val="21"/>
              </w:rPr>
              <w:t>1</w:t>
            </w:r>
          </w:p>
        </w:tc>
        <w:tc>
          <w:tcPr>
            <w:tcW w:w="5917" w:type="dxa"/>
            <w:vAlign w:val="center"/>
          </w:tcPr>
          <w:p>
            <w:pPr>
              <w:spacing w:line="360" w:lineRule="auto"/>
              <w:rPr>
                <w:rFonts w:ascii="宋体" w:hAnsi="宋体" w:cs="宋体"/>
                <w:szCs w:val="21"/>
              </w:rPr>
            </w:pPr>
            <w:r>
              <w:rPr>
                <w:rFonts w:hint="eastAsia" w:ascii="宋体" w:hAnsi="宋体" w:cs="宋体"/>
                <w:szCs w:val="21"/>
              </w:rPr>
              <w:t>收集区域内垃圾、更换垃圾袋(达3/4满随时更换)</w:t>
            </w:r>
          </w:p>
        </w:tc>
        <w:tc>
          <w:tcPr>
            <w:tcW w:w="2006" w:type="dxa"/>
            <w:vAlign w:val="center"/>
          </w:tcPr>
          <w:p>
            <w:pPr>
              <w:spacing w:line="360" w:lineRule="auto"/>
              <w:rPr>
                <w:rFonts w:ascii="宋体" w:hAnsi="宋体" w:cs="宋体"/>
                <w:szCs w:val="21"/>
              </w:rPr>
            </w:pPr>
            <w:r>
              <w:rPr>
                <w:rFonts w:hint="eastAsia" w:ascii="宋体" w:hAnsi="宋体" w:cs="宋体"/>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vAlign w:val="center"/>
          </w:tcPr>
          <w:p>
            <w:pPr>
              <w:spacing w:line="360" w:lineRule="auto"/>
              <w:jc w:val="center"/>
              <w:rPr>
                <w:rFonts w:ascii="宋体" w:hAnsi="宋体" w:cs="宋体"/>
                <w:szCs w:val="21"/>
              </w:rPr>
            </w:pPr>
          </w:p>
        </w:tc>
        <w:tc>
          <w:tcPr>
            <w:tcW w:w="909" w:type="dxa"/>
            <w:vAlign w:val="center"/>
          </w:tcPr>
          <w:p>
            <w:pPr>
              <w:spacing w:line="360" w:lineRule="auto"/>
              <w:jc w:val="center"/>
              <w:rPr>
                <w:rFonts w:ascii="宋体" w:hAnsi="宋体" w:cs="宋体"/>
                <w:szCs w:val="21"/>
              </w:rPr>
            </w:pPr>
            <w:r>
              <w:rPr>
                <w:rFonts w:hint="eastAsia" w:ascii="宋体" w:hAnsi="宋体" w:cs="宋体"/>
                <w:szCs w:val="21"/>
              </w:rPr>
              <w:t>2</w:t>
            </w:r>
          </w:p>
        </w:tc>
        <w:tc>
          <w:tcPr>
            <w:tcW w:w="5917" w:type="dxa"/>
            <w:vAlign w:val="center"/>
          </w:tcPr>
          <w:p>
            <w:pPr>
              <w:spacing w:line="360" w:lineRule="auto"/>
              <w:rPr>
                <w:rFonts w:ascii="宋体" w:hAnsi="宋体" w:cs="宋体"/>
                <w:szCs w:val="21"/>
              </w:rPr>
            </w:pPr>
            <w:r>
              <w:rPr>
                <w:rFonts w:hint="eastAsia" w:ascii="宋体" w:hAnsi="宋体" w:cs="宋体"/>
                <w:szCs w:val="21"/>
              </w:rPr>
              <w:t>区域内地面湿拖（进行地面消毒、清洁）</w:t>
            </w:r>
          </w:p>
        </w:tc>
        <w:tc>
          <w:tcPr>
            <w:tcW w:w="2006" w:type="dxa"/>
            <w:vAlign w:val="center"/>
          </w:tcPr>
          <w:p>
            <w:pPr>
              <w:spacing w:line="360" w:lineRule="auto"/>
              <w:rPr>
                <w:rFonts w:ascii="宋体" w:hAnsi="宋体" w:cs="宋体"/>
                <w:szCs w:val="21"/>
              </w:rPr>
            </w:pPr>
            <w:r>
              <w:rPr>
                <w:rFonts w:hint="eastAsia" w:ascii="宋体" w:hAnsi="宋体" w:cs="宋体"/>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vAlign w:val="center"/>
          </w:tcPr>
          <w:p>
            <w:pPr>
              <w:spacing w:line="360" w:lineRule="auto"/>
              <w:jc w:val="center"/>
              <w:rPr>
                <w:rFonts w:ascii="宋体" w:hAnsi="宋体" w:cs="宋体"/>
                <w:szCs w:val="21"/>
              </w:rPr>
            </w:pPr>
          </w:p>
        </w:tc>
        <w:tc>
          <w:tcPr>
            <w:tcW w:w="909" w:type="dxa"/>
            <w:vAlign w:val="center"/>
          </w:tcPr>
          <w:p>
            <w:pPr>
              <w:spacing w:line="360" w:lineRule="auto"/>
              <w:jc w:val="center"/>
              <w:rPr>
                <w:rFonts w:ascii="宋体" w:hAnsi="宋体" w:cs="宋体"/>
                <w:szCs w:val="21"/>
              </w:rPr>
            </w:pPr>
            <w:r>
              <w:rPr>
                <w:rFonts w:hint="eastAsia" w:ascii="宋体" w:hAnsi="宋体" w:cs="宋体"/>
                <w:szCs w:val="21"/>
              </w:rPr>
              <w:t>3</w:t>
            </w:r>
          </w:p>
        </w:tc>
        <w:tc>
          <w:tcPr>
            <w:tcW w:w="5917" w:type="dxa"/>
            <w:vAlign w:val="center"/>
          </w:tcPr>
          <w:p>
            <w:pPr>
              <w:spacing w:line="360" w:lineRule="auto"/>
              <w:rPr>
                <w:rFonts w:ascii="宋体" w:hAnsi="宋体" w:cs="宋体"/>
                <w:szCs w:val="21"/>
              </w:rPr>
            </w:pPr>
            <w:r>
              <w:rPr>
                <w:rFonts w:hint="eastAsia" w:ascii="宋体" w:hAnsi="宋体" w:cs="宋体"/>
                <w:szCs w:val="21"/>
              </w:rPr>
              <w:t>区域内家具（桌椅、橱柜等）、办公用品、台面擦拭</w:t>
            </w:r>
          </w:p>
        </w:tc>
        <w:tc>
          <w:tcPr>
            <w:tcW w:w="2006"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vAlign w:val="center"/>
          </w:tcPr>
          <w:p>
            <w:pPr>
              <w:spacing w:line="360" w:lineRule="auto"/>
              <w:jc w:val="center"/>
              <w:rPr>
                <w:rFonts w:ascii="宋体" w:hAnsi="宋体" w:cs="宋体"/>
                <w:szCs w:val="21"/>
              </w:rPr>
            </w:pPr>
          </w:p>
        </w:tc>
        <w:tc>
          <w:tcPr>
            <w:tcW w:w="909" w:type="dxa"/>
            <w:vAlign w:val="center"/>
          </w:tcPr>
          <w:p>
            <w:pPr>
              <w:spacing w:line="360" w:lineRule="auto"/>
              <w:jc w:val="center"/>
              <w:rPr>
                <w:rFonts w:ascii="宋体" w:hAnsi="宋体" w:cs="宋体"/>
                <w:szCs w:val="21"/>
              </w:rPr>
            </w:pPr>
            <w:r>
              <w:rPr>
                <w:rFonts w:hint="eastAsia" w:ascii="宋体" w:hAnsi="宋体" w:cs="宋体"/>
                <w:szCs w:val="21"/>
              </w:rPr>
              <w:t>4</w:t>
            </w:r>
          </w:p>
        </w:tc>
        <w:tc>
          <w:tcPr>
            <w:tcW w:w="5917" w:type="dxa"/>
            <w:vAlign w:val="center"/>
          </w:tcPr>
          <w:p>
            <w:pPr>
              <w:spacing w:line="360" w:lineRule="auto"/>
              <w:rPr>
                <w:rFonts w:ascii="宋体" w:hAnsi="宋体" w:cs="宋体"/>
                <w:szCs w:val="21"/>
              </w:rPr>
            </w:pPr>
            <w:r>
              <w:rPr>
                <w:rFonts w:hint="eastAsia" w:ascii="宋体" w:hAnsi="宋体" w:cs="宋体"/>
                <w:szCs w:val="21"/>
              </w:rPr>
              <w:t>区域内电话、（含部分、医用器材）、低处电器表面清洗、擦拭</w:t>
            </w:r>
          </w:p>
        </w:tc>
        <w:tc>
          <w:tcPr>
            <w:tcW w:w="2006"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5917" w:type="dxa"/>
            <w:vAlign w:val="center"/>
          </w:tcPr>
          <w:p>
            <w:pPr>
              <w:spacing w:line="360" w:lineRule="auto"/>
              <w:rPr>
                <w:rFonts w:ascii="宋体" w:hAnsi="宋体" w:cs="宋体"/>
                <w:szCs w:val="21"/>
              </w:rPr>
            </w:pPr>
            <w:r>
              <w:rPr>
                <w:rFonts w:hint="eastAsia" w:ascii="宋体" w:hAnsi="宋体" w:cs="宋体"/>
                <w:szCs w:val="21"/>
              </w:rPr>
              <w:t>区域内洗手池、水池、水龙头、皂盒、隔拦处清洗、擦拭</w:t>
            </w:r>
          </w:p>
        </w:tc>
        <w:tc>
          <w:tcPr>
            <w:tcW w:w="2006"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vAlign w:val="center"/>
          </w:tcPr>
          <w:p>
            <w:pPr>
              <w:spacing w:line="360" w:lineRule="auto"/>
              <w:jc w:val="center"/>
              <w:rPr>
                <w:rFonts w:ascii="宋体" w:hAnsi="宋体" w:cs="宋体"/>
                <w:szCs w:val="21"/>
              </w:rPr>
            </w:pPr>
            <w:r>
              <w:rPr>
                <w:rFonts w:hint="eastAsia" w:ascii="宋体" w:hAnsi="宋体" w:cs="宋体"/>
                <w:szCs w:val="21"/>
              </w:rPr>
              <w:t>6</w:t>
            </w:r>
          </w:p>
        </w:tc>
        <w:tc>
          <w:tcPr>
            <w:tcW w:w="5917" w:type="dxa"/>
            <w:vAlign w:val="center"/>
          </w:tcPr>
          <w:p>
            <w:pPr>
              <w:spacing w:line="360" w:lineRule="auto"/>
              <w:rPr>
                <w:rFonts w:ascii="宋体" w:hAnsi="宋体" w:cs="宋体"/>
                <w:szCs w:val="21"/>
              </w:rPr>
            </w:pPr>
            <w:r>
              <w:rPr>
                <w:rFonts w:hint="eastAsia" w:ascii="宋体" w:hAnsi="宋体" w:cs="宋体"/>
                <w:szCs w:val="21"/>
              </w:rPr>
              <w:t>卫生间（含镜子、水龙头、脸盆、台面、毛巾架、马桶、沐浴器、地面）冲洗、擦拭、消毒</w:t>
            </w:r>
          </w:p>
        </w:tc>
        <w:tc>
          <w:tcPr>
            <w:tcW w:w="2006" w:type="dxa"/>
            <w:vAlign w:val="center"/>
          </w:tcPr>
          <w:p>
            <w:pPr>
              <w:spacing w:line="360" w:lineRule="auto"/>
              <w:rPr>
                <w:rFonts w:ascii="宋体" w:hAnsi="宋体" w:cs="宋体"/>
                <w:szCs w:val="21"/>
              </w:rPr>
            </w:pPr>
            <w:r>
              <w:rPr>
                <w:rFonts w:hint="eastAsia" w:ascii="宋体" w:hAnsi="宋体" w:cs="宋体"/>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区域内窗台、阳台、把手、扶手、栏杆、开关盒、接线盒、各类低处标牌、垃圾桶擦拭</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拖鞋清洗、</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9</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术后整理、清洁、消毒</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开水机、空气消毒机、空调设备外表面的清洁与消毒</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门、门框、窗框、玻璃、高处标牌、壁挂物擦拭</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低处墙面除尘、落地瓷砖、踢脚板、地角、低处管道擦拭</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非医疗不锈钢物体表面闪钢保养</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14</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高处除尘</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15</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通风口、排气扇、风扇、空调等高处设备擦洗</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16</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PVC地面打蜡</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17</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巡视保洁</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18</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平车上布类整理、更换，手术台上用品拆换</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19</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库房的打扫</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20</w:t>
            </w:r>
          </w:p>
        </w:tc>
        <w:tc>
          <w:tcPr>
            <w:tcW w:w="591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窗帘床帘拆换（污染时随时拆换）</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每季度1次以上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6" w:type="dxa"/>
            <w:vMerge w:val="continue"/>
          </w:tcPr>
          <w:p>
            <w:pPr>
              <w:spacing w:line="360" w:lineRule="auto"/>
              <w:jc w:val="center"/>
              <w:rPr>
                <w:rFonts w:ascii="宋体"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21</w:t>
            </w:r>
          </w:p>
        </w:tc>
        <w:tc>
          <w:tcPr>
            <w:tcW w:w="5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各类平车轮椅车轮上油、去污，保证正常运行</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每周1次以上</w:t>
            </w:r>
          </w:p>
        </w:tc>
      </w:tr>
    </w:tbl>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表3</w:t>
      </w:r>
    </w:p>
    <w:tbl>
      <w:tblPr>
        <w:tblStyle w:val="6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92"/>
        <w:gridCol w:w="5754"/>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pacing w:line="360" w:lineRule="auto"/>
              <w:jc w:val="center"/>
              <w:rPr>
                <w:rFonts w:ascii="宋体" w:hAnsi="宋体" w:cs="宋体"/>
                <w:szCs w:val="21"/>
              </w:rPr>
            </w:pPr>
            <w:r>
              <w:rPr>
                <w:rFonts w:hint="eastAsia" w:ascii="宋体" w:hAnsi="宋体" w:cs="宋体"/>
                <w:szCs w:val="21"/>
              </w:rPr>
              <w:t>区域</w:t>
            </w:r>
          </w:p>
        </w:tc>
        <w:tc>
          <w:tcPr>
            <w:tcW w:w="89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5754" w:type="dxa"/>
          </w:tcPr>
          <w:p>
            <w:pPr>
              <w:spacing w:line="360" w:lineRule="auto"/>
              <w:jc w:val="center"/>
              <w:rPr>
                <w:rFonts w:ascii="宋体" w:hAnsi="宋体" w:cs="宋体"/>
                <w:szCs w:val="21"/>
              </w:rPr>
            </w:pPr>
            <w:r>
              <w:rPr>
                <w:rFonts w:hint="eastAsia" w:ascii="宋体" w:hAnsi="宋体" w:cs="宋体"/>
                <w:szCs w:val="21"/>
              </w:rPr>
              <w:t>工 作 内 容</w:t>
            </w:r>
          </w:p>
        </w:tc>
        <w:tc>
          <w:tcPr>
            <w:tcW w:w="2086" w:type="dxa"/>
          </w:tcPr>
          <w:p>
            <w:pPr>
              <w:spacing w:line="360" w:lineRule="auto"/>
              <w:jc w:val="center"/>
              <w:rPr>
                <w:rFonts w:ascii="宋体" w:hAnsi="宋体" w:cs="宋体"/>
                <w:szCs w:val="21"/>
              </w:rPr>
            </w:pPr>
            <w:r>
              <w:rPr>
                <w:rFonts w:hint="eastAsia" w:ascii="宋体" w:hAnsi="宋体" w:cs="宋体"/>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restart"/>
            <w:vAlign w:val="center"/>
          </w:tcPr>
          <w:p>
            <w:pPr>
              <w:spacing w:line="360" w:lineRule="auto"/>
              <w:ind w:firstLine="210" w:firstLineChars="100"/>
              <w:rPr>
                <w:rFonts w:ascii="宋体" w:hAnsi="宋体" w:cs="宋体"/>
                <w:szCs w:val="21"/>
              </w:rPr>
            </w:pPr>
            <w:r>
              <w:rPr>
                <w:rFonts w:hint="eastAsia" w:ascii="宋体" w:hAnsi="宋体" w:cs="宋体"/>
                <w:szCs w:val="21"/>
              </w:rPr>
              <w:t>住</w:t>
            </w:r>
          </w:p>
          <w:p>
            <w:pPr>
              <w:spacing w:line="360" w:lineRule="auto"/>
              <w:jc w:val="center"/>
              <w:rPr>
                <w:rFonts w:ascii="宋体" w:hAnsi="宋体" w:cs="宋体"/>
                <w:szCs w:val="21"/>
              </w:rPr>
            </w:pPr>
            <w:r>
              <w:rPr>
                <w:rFonts w:hint="eastAsia" w:ascii="宋体" w:hAnsi="宋体" w:cs="宋体"/>
                <w:szCs w:val="21"/>
              </w:rPr>
              <w:t>院</w:t>
            </w:r>
          </w:p>
          <w:p>
            <w:pPr>
              <w:spacing w:line="360" w:lineRule="auto"/>
              <w:jc w:val="center"/>
              <w:rPr>
                <w:rFonts w:ascii="宋体" w:hAnsi="宋体" w:cs="宋体"/>
                <w:szCs w:val="21"/>
              </w:rPr>
            </w:pPr>
            <w:r>
              <w:rPr>
                <w:rFonts w:hint="eastAsia" w:ascii="宋体" w:hAnsi="宋体" w:cs="宋体"/>
                <w:szCs w:val="21"/>
              </w:rPr>
              <w:t>病</w:t>
            </w:r>
          </w:p>
          <w:p>
            <w:pPr>
              <w:spacing w:line="360" w:lineRule="auto"/>
              <w:jc w:val="center"/>
              <w:rPr>
                <w:rFonts w:ascii="宋体" w:hAnsi="宋体" w:cs="宋体"/>
                <w:szCs w:val="21"/>
              </w:rPr>
            </w:pPr>
            <w:r>
              <w:rPr>
                <w:rFonts w:hint="eastAsia" w:ascii="宋体" w:hAnsi="宋体" w:cs="宋体"/>
                <w:szCs w:val="21"/>
              </w:rPr>
              <w:t>区</w:t>
            </w:r>
          </w:p>
        </w:tc>
        <w:tc>
          <w:tcPr>
            <w:tcW w:w="89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5754" w:type="dxa"/>
          </w:tcPr>
          <w:p>
            <w:pPr>
              <w:spacing w:line="360" w:lineRule="auto"/>
              <w:rPr>
                <w:rFonts w:ascii="宋体" w:hAnsi="宋体" w:cs="宋体"/>
                <w:szCs w:val="21"/>
              </w:rPr>
            </w:pPr>
            <w:r>
              <w:rPr>
                <w:rFonts w:hint="eastAsia" w:ascii="宋体" w:hAnsi="宋体" w:cs="宋体"/>
                <w:szCs w:val="21"/>
              </w:rPr>
              <w:t>收集区域内垃圾、更换垃圾袋(达3/4满随时更换)，治疗车小桶套黄色垃圾袋，处置间的垃圾及时更换，贴对应的标签并称重与登记</w:t>
            </w:r>
          </w:p>
        </w:tc>
        <w:tc>
          <w:tcPr>
            <w:tcW w:w="2086" w:type="dxa"/>
            <w:vAlign w:val="center"/>
          </w:tcPr>
          <w:p>
            <w:pPr>
              <w:spacing w:line="360" w:lineRule="auto"/>
              <w:rPr>
                <w:rFonts w:ascii="宋体" w:hAnsi="宋体" w:cs="宋体"/>
                <w:szCs w:val="21"/>
              </w:rPr>
            </w:pPr>
            <w:r>
              <w:rPr>
                <w:rFonts w:hint="eastAsia" w:ascii="宋体" w:hAnsi="宋体" w:cs="宋体"/>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5754" w:type="dxa"/>
          </w:tcPr>
          <w:p>
            <w:pPr>
              <w:spacing w:line="360" w:lineRule="auto"/>
              <w:rPr>
                <w:rFonts w:ascii="宋体" w:hAnsi="宋体" w:cs="宋体"/>
                <w:szCs w:val="21"/>
              </w:rPr>
            </w:pPr>
            <w:r>
              <w:rPr>
                <w:rFonts w:hint="eastAsia" w:ascii="宋体" w:hAnsi="宋体" w:cs="宋体"/>
                <w:szCs w:val="21"/>
              </w:rPr>
              <w:t>区域内地面牵尘（无扬尘干扫）</w:t>
            </w:r>
          </w:p>
        </w:tc>
        <w:tc>
          <w:tcPr>
            <w:tcW w:w="2086"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5754" w:type="dxa"/>
          </w:tcPr>
          <w:p>
            <w:pPr>
              <w:spacing w:line="360" w:lineRule="auto"/>
              <w:rPr>
                <w:rFonts w:ascii="宋体" w:hAnsi="宋体" w:cs="宋体"/>
                <w:szCs w:val="21"/>
              </w:rPr>
            </w:pPr>
            <w:r>
              <w:rPr>
                <w:rFonts w:hint="eastAsia" w:ascii="宋体" w:hAnsi="宋体" w:cs="宋体"/>
                <w:szCs w:val="21"/>
              </w:rPr>
              <w:t>区域内地面湿拖（进行地面消毒、清洁），地面潮湿时有防滑标识</w:t>
            </w:r>
          </w:p>
        </w:tc>
        <w:tc>
          <w:tcPr>
            <w:tcW w:w="2086" w:type="dxa"/>
            <w:vAlign w:val="center"/>
          </w:tcPr>
          <w:p>
            <w:pPr>
              <w:spacing w:line="360" w:lineRule="auto"/>
              <w:rPr>
                <w:rFonts w:ascii="宋体" w:hAnsi="宋体" w:cs="宋体"/>
                <w:szCs w:val="21"/>
              </w:rPr>
            </w:pPr>
            <w:r>
              <w:rPr>
                <w:rFonts w:hint="eastAsia" w:ascii="宋体" w:hAnsi="宋体" w:cs="宋体"/>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5754" w:type="dxa"/>
          </w:tcPr>
          <w:p>
            <w:pPr>
              <w:spacing w:line="360" w:lineRule="auto"/>
              <w:rPr>
                <w:rFonts w:ascii="宋体" w:hAnsi="宋体" w:cs="宋体"/>
                <w:szCs w:val="21"/>
              </w:rPr>
            </w:pPr>
            <w:r>
              <w:rPr>
                <w:rFonts w:hint="eastAsia" w:ascii="宋体" w:hAnsi="宋体" w:cs="宋体"/>
                <w:szCs w:val="21"/>
              </w:rPr>
              <w:t>区域内家具（桌椅、橱柜等）、办公用品（含病历牌）、台面擦拭，示教室、配餐间需每日三次以上</w:t>
            </w:r>
          </w:p>
        </w:tc>
        <w:tc>
          <w:tcPr>
            <w:tcW w:w="2086"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5754" w:type="dxa"/>
          </w:tcPr>
          <w:p>
            <w:pPr>
              <w:spacing w:line="360" w:lineRule="auto"/>
              <w:rPr>
                <w:rFonts w:ascii="宋体" w:hAnsi="宋体" w:cs="宋体"/>
                <w:szCs w:val="21"/>
              </w:rPr>
            </w:pPr>
            <w:r>
              <w:rPr>
                <w:rFonts w:hint="eastAsia" w:ascii="宋体" w:hAnsi="宋体" w:cs="宋体"/>
                <w:szCs w:val="21"/>
              </w:rPr>
              <w:t>区域内电话、（含部分医用器材）、器械（治疗车、病历架等）、床单位（含床布类更换、床栏、床头柜等清洁）、低处电器表面的清洗或擦拭、床头设备带表面清洁</w:t>
            </w:r>
          </w:p>
        </w:tc>
        <w:tc>
          <w:tcPr>
            <w:tcW w:w="2086"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5754" w:type="dxa"/>
          </w:tcPr>
          <w:p>
            <w:pPr>
              <w:spacing w:line="360" w:lineRule="auto"/>
              <w:rPr>
                <w:rFonts w:ascii="宋体" w:hAnsi="宋体" w:cs="宋体"/>
                <w:szCs w:val="21"/>
              </w:rPr>
            </w:pPr>
            <w:r>
              <w:rPr>
                <w:rFonts w:hint="eastAsia" w:ascii="宋体" w:hAnsi="宋体" w:cs="宋体"/>
                <w:szCs w:val="21"/>
              </w:rPr>
              <w:t>区域内洗手池、水池、水龙头、皂盒清洗及擦拭</w:t>
            </w:r>
          </w:p>
          <w:p>
            <w:pPr>
              <w:spacing w:line="360" w:lineRule="auto"/>
              <w:rPr>
                <w:rFonts w:ascii="宋体" w:hAnsi="宋体" w:cs="宋体"/>
                <w:szCs w:val="21"/>
              </w:rPr>
            </w:pPr>
            <w:r>
              <w:rPr>
                <w:rFonts w:hint="eastAsia" w:ascii="宋体" w:hAnsi="宋体" w:cs="宋体"/>
                <w:szCs w:val="21"/>
              </w:rPr>
              <w:t>治疗室、污洗间清洁卫生</w:t>
            </w:r>
          </w:p>
        </w:tc>
        <w:tc>
          <w:tcPr>
            <w:tcW w:w="2086"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7</w:t>
            </w:r>
          </w:p>
        </w:tc>
        <w:tc>
          <w:tcPr>
            <w:tcW w:w="5754" w:type="dxa"/>
          </w:tcPr>
          <w:p>
            <w:pPr>
              <w:spacing w:line="360" w:lineRule="auto"/>
              <w:rPr>
                <w:rFonts w:ascii="宋体" w:hAnsi="宋体" w:cs="宋体"/>
                <w:szCs w:val="21"/>
              </w:rPr>
            </w:pPr>
            <w:r>
              <w:rPr>
                <w:rFonts w:hint="eastAsia" w:ascii="宋体" w:hAnsi="宋体" w:cs="宋体"/>
                <w:szCs w:val="21"/>
              </w:rPr>
              <w:t>卫生间（含镜子、水龙头、脸盆、台面、毛巾架、马桶、沐浴器、地面）、开水间冲洗、擦拭、消毒</w:t>
            </w:r>
          </w:p>
        </w:tc>
        <w:tc>
          <w:tcPr>
            <w:tcW w:w="2086" w:type="dxa"/>
            <w:vAlign w:val="center"/>
          </w:tcPr>
          <w:p>
            <w:pPr>
              <w:spacing w:line="360" w:lineRule="auto"/>
              <w:rPr>
                <w:rFonts w:ascii="宋体" w:hAnsi="宋体" w:cs="宋体"/>
                <w:szCs w:val="21"/>
              </w:rPr>
            </w:pPr>
            <w:r>
              <w:rPr>
                <w:rFonts w:hint="eastAsia" w:ascii="宋体" w:hAnsi="宋体" w:cs="宋体"/>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8</w:t>
            </w:r>
          </w:p>
        </w:tc>
        <w:tc>
          <w:tcPr>
            <w:tcW w:w="5754" w:type="dxa"/>
          </w:tcPr>
          <w:p>
            <w:pPr>
              <w:spacing w:line="360" w:lineRule="auto"/>
              <w:rPr>
                <w:rFonts w:ascii="宋体" w:hAnsi="宋体" w:cs="宋体"/>
                <w:szCs w:val="21"/>
              </w:rPr>
            </w:pPr>
            <w:r>
              <w:rPr>
                <w:rFonts w:hint="eastAsia" w:ascii="宋体" w:hAnsi="宋体" w:cs="宋体"/>
                <w:szCs w:val="21"/>
              </w:rPr>
              <w:t>区域内窗台、阳台、把手、栏杆、花瓶、花盆、开关盒、接线盒、各类低处标牌、垃圾桶擦拭</w:t>
            </w:r>
          </w:p>
        </w:tc>
        <w:tc>
          <w:tcPr>
            <w:tcW w:w="2086"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9</w:t>
            </w:r>
          </w:p>
        </w:tc>
        <w:tc>
          <w:tcPr>
            <w:tcW w:w="5754" w:type="dxa"/>
          </w:tcPr>
          <w:p>
            <w:pPr>
              <w:spacing w:line="360" w:lineRule="auto"/>
              <w:rPr>
                <w:rFonts w:ascii="宋体" w:hAnsi="宋体" w:cs="宋体"/>
                <w:szCs w:val="21"/>
              </w:rPr>
            </w:pPr>
            <w:r>
              <w:rPr>
                <w:rFonts w:hint="eastAsia" w:ascii="宋体" w:hAnsi="宋体" w:cs="宋体"/>
                <w:szCs w:val="21"/>
              </w:rPr>
              <w:t>床单位终末消毒</w:t>
            </w:r>
          </w:p>
        </w:tc>
        <w:tc>
          <w:tcPr>
            <w:tcW w:w="2086" w:type="dxa"/>
            <w:vAlign w:val="center"/>
          </w:tcPr>
          <w:p>
            <w:pPr>
              <w:spacing w:line="360" w:lineRule="auto"/>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5754" w:type="dxa"/>
          </w:tcPr>
          <w:p>
            <w:pPr>
              <w:spacing w:line="360" w:lineRule="auto"/>
              <w:rPr>
                <w:rFonts w:ascii="宋体" w:hAnsi="宋体" w:cs="宋体"/>
                <w:szCs w:val="21"/>
              </w:rPr>
            </w:pPr>
            <w:r>
              <w:rPr>
                <w:rFonts w:hint="eastAsia" w:ascii="宋体" w:hAnsi="宋体" w:cs="宋体"/>
                <w:szCs w:val="21"/>
              </w:rPr>
              <w:t>开水机、冰箱清洁消毒</w:t>
            </w:r>
          </w:p>
        </w:tc>
        <w:tc>
          <w:tcPr>
            <w:tcW w:w="2086"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5754" w:type="dxa"/>
          </w:tcPr>
          <w:p>
            <w:pPr>
              <w:spacing w:line="360" w:lineRule="auto"/>
              <w:rPr>
                <w:rFonts w:ascii="宋体" w:hAnsi="宋体" w:cs="宋体"/>
                <w:szCs w:val="21"/>
              </w:rPr>
            </w:pPr>
            <w:r>
              <w:rPr>
                <w:rFonts w:hint="eastAsia" w:ascii="宋体" w:hAnsi="宋体" w:cs="宋体"/>
                <w:szCs w:val="21"/>
              </w:rPr>
              <w:t>门、门框、窗框、玻璃</w:t>
            </w:r>
          </w:p>
        </w:tc>
        <w:tc>
          <w:tcPr>
            <w:tcW w:w="2086"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5754" w:type="dxa"/>
          </w:tcPr>
          <w:p>
            <w:pPr>
              <w:spacing w:line="360" w:lineRule="auto"/>
              <w:rPr>
                <w:rFonts w:ascii="宋体" w:hAnsi="宋体" w:cs="宋体"/>
                <w:szCs w:val="21"/>
              </w:rPr>
            </w:pPr>
            <w:r>
              <w:rPr>
                <w:rFonts w:hint="eastAsia" w:ascii="宋体" w:hAnsi="宋体" w:cs="宋体"/>
                <w:szCs w:val="21"/>
              </w:rPr>
              <w:t>低处墙面除尘、落地瓷砖、踢脚板、地角、低处管道擦拭</w:t>
            </w:r>
          </w:p>
        </w:tc>
        <w:tc>
          <w:tcPr>
            <w:tcW w:w="2086"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5754" w:type="dxa"/>
          </w:tcPr>
          <w:p>
            <w:pPr>
              <w:spacing w:line="360" w:lineRule="auto"/>
              <w:rPr>
                <w:rFonts w:ascii="宋体" w:hAnsi="宋体" w:cs="宋体"/>
                <w:szCs w:val="21"/>
              </w:rPr>
            </w:pPr>
            <w:r>
              <w:rPr>
                <w:rFonts w:hint="eastAsia" w:ascii="宋体" w:hAnsi="宋体" w:cs="宋体"/>
                <w:szCs w:val="21"/>
              </w:rPr>
              <w:t>非医疗不锈钢物体表面闪钢保养</w:t>
            </w:r>
          </w:p>
        </w:tc>
        <w:tc>
          <w:tcPr>
            <w:tcW w:w="2086" w:type="dxa"/>
            <w:vAlign w:val="center"/>
          </w:tcPr>
          <w:p>
            <w:pPr>
              <w:spacing w:line="360" w:lineRule="auto"/>
              <w:rPr>
                <w:rFonts w:ascii="宋体" w:hAnsi="宋体" w:cs="宋体"/>
                <w:szCs w:val="21"/>
              </w:rPr>
            </w:pPr>
            <w:r>
              <w:rPr>
                <w:rFonts w:hint="eastAsia" w:ascii="宋体" w:hAnsi="宋体" w:cs="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5754" w:type="dxa"/>
          </w:tcPr>
          <w:p>
            <w:pPr>
              <w:spacing w:line="360" w:lineRule="auto"/>
              <w:rPr>
                <w:rFonts w:ascii="宋体" w:hAnsi="宋体" w:cs="宋体"/>
                <w:szCs w:val="21"/>
              </w:rPr>
            </w:pPr>
            <w:r>
              <w:rPr>
                <w:rFonts w:hint="eastAsia" w:ascii="宋体" w:hAnsi="宋体" w:cs="宋体"/>
                <w:szCs w:val="21"/>
              </w:rPr>
              <w:t>高处墙面、标牌、壁挂物擦拭、空气消毒机、冰箱除霜</w:t>
            </w:r>
          </w:p>
        </w:tc>
        <w:tc>
          <w:tcPr>
            <w:tcW w:w="2086" w:type="dxa"/>
            <w:vAlign w:val="center"/>
          </w:tcPr>
          <w:p>
            <w:pPr>
              <w:spacing w:line="360" w:lineRule="auto"/>
              <w:rPr>
                <w:rFonts w:ascii="宋体" w:hAnsi="宋体" w:cs="宋体"/>
                <w:szCs w:val="21"/>
              </w:rPr>
            </w:pPr>
            <w:r>
              <w:rPr>
                <w:rFonts w:hint="eastAsia" w:ascii="宋体" w:hAnsi="宋体" w:cs="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5754" w:type="dxa"/>
            <w:vAlign w:val="center"/>
          </w:tcPr>
          <w:p>
            <w:pPr>
              <w:spacing w:line="360" w:lineRule="auto"/>
              <w:rPr>
                <w:rFonts w:ascii="宋体" w:hAnsi="宋体" w:cs="宋体"/>
                <w:szCs w:val="21"/>
              </w:rPr>
            </w:pPr>
            <w:r>
              <w:rPr>
                <w:rFonts w:hint="eastAsia" w:ascii="宋体" w:hAnsi="宋体" w:cs="宋体"/>
                <w:szCs w:val="21"/>
              </w:rPr>
              <w:t>高处除尘</w:t>
            </w:r>
          </w:p>
        </w:tc>
        <w:tc>
          <w:tcPr>
            <w:tcW w:w="2086" w:type="dxa"/>
            <w:vAlign w:val="center"/>
          </w:tcPr>
          <w:p>
            <w:pPr>
              <w:spacing w:line="360" w:lineRule="auto"/>
              <w:rPr>
                <w:rFonts w:ascii="宋体" w:hAnsi="宋体" w:cs="宋体"/>
                <w:szCs w:val="21"/>
              </w:rPr>
            </w:pPr>
            <w:r>
              <w:rPr>
                <w:rFonts w:hint="eastAsia" w:ascii="宋体" w:hAnsi="宋体" w:cs="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vAlign w:val="center"/>
          </w:tcPr>
          <w:p>
            <w:pPr>
              <w:spacing w:line="360" w:lineRule="auto"/>
              <w:jc w:val="center"/>
              <w:rPr>
                <w:rFonts w:ascii="宋体" w:hAnsi="宋体" w:cs="宋体"/>
                <w:szCs w:val="21"/>
              </w:rPr>
            </w:pPr>
            <w:r>
              <w:rPr>
                <w:rFonts w:hint="eastAsia" w:ascii="宋体" w:hAnsi="宋体" w:cs="宋体"/>
                <w:szCs w:val="21"/>
              </w:rPr>
              <w:t>16</w:t>
            </w:r>
          </w:p>
        </w:tc>
        <w:tc>
          <w:tcPr>
            <w:tcW w:w="57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灯具、通风口、排气扇、风扇、空调等高处设备擦洗</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17</w:t>
            </w:r>
          </w:p>
        </w:tc>
        <w:tc>
          <w:tcPr>
            <w:tcW w:w="57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PVC地面打蜡</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18</w:t>
            </w:r>
          </w:p>
        </w:tc>
        <w:tc>
          <w:tcPr>
            <w:tcW w:w="57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trike/>
                <w:szCs w:val="21"/>
              </w:rPr>
            </w:pPr>
            <w:r>
              <w:rPr>
                <w:rFonts w:hint="eastAsia" w:ascii="宋体" w:hAnsi="宋体" w:cs="宋体"/>
                <w:szCs w:val="21"/>
              </w:rPr>
              <w:t>石材地面的日常维护保养</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6" w:type="dxa"/>
            <w:vMerge w:val="continue"/>
          </w:tcPr>
          <w:p>
            <w:pPr>
              <w:spacing w:line="360" w:lineRule="auto"/>
              <w:jc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19</w:t>
            </w:r>
          </w:p>
        </w:tc>
        <w:tc>
          <w:tcPr>
            <w:tcW w:w="57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巡视保洁、小手巾清洗、晾晒</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6" w:type="dxa"/>
            <w:vMerge w:val="continue"/>
          </w:tcPr>
          <w:p>
            <w:pPr>
              <w:spacing w:line="360" w:lineRule="auto"/>
              <w:jc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20</w:t>
            </w:r>
          </w:p>
        </w:tc>
        <w:tc>
          <w:tcPr>
            <w:tcW w:w="57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 xml:space="preserve">平车上布类整理、更换 </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随 时，至少每周一次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6" w:type="dxa"/>
            <w:vMerge w:val="continue"/>
          </w:tcPr>
          <w:p>
            <w:pPr>
              <w:spacing w:line="360" w:lineRule="auto"/>
              <w:jc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21</w:t>
            </w:r>
          </w:p>
        </w:tc>
        <w:tc>
          <w:tcPr>
            <w:tcW w:w="57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清洗奶瓶及奶头</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6" w:type="dxa"/>
            <w:vMerge w:val="continue"/>
          </w:tcPr>
          <w:p>
            <w:pPr>
              <w:spacing w:line="360" w:lineRule="auto"/>
              <w:jc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w:t>
            </w:r>
          </w:p>
        </w:tc>
        <w:tc>
          <w:tcPr>
            <w:tcW w:w="57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微波炉、开水间(主要包括开水器等)按规定及时开锁与上锁，并保持清洁</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6" w:type="dxa"/>
            <w:vMerge w:val="continue"/>
          </w:tcPr>
          <w:p>
            <w:pPr>
              <w:spacing w:line="360" w:lineRule="auto"/>
              <w:jc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23</w:t>
            </w:r>
          </w:p>
        </w:tc>
        <w:tc>
          <w:tcPr>
            <w:tcW w:w="57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正确清点并保管各类布料，规范记录</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6" w:type="dxa"/>
            <w:vMerge w:val="continue"/>
          </w:tcPr>
          <w:p>
            <w:pPr>
              <w:spacing w:line="360" w:lineRule="auto"/>
              <w:jc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24</w:t>
            </w:r>
          </w:p>
        </w:tc>
        <w:tc>
          <w:tcPr>
            <w:tcW w:w="57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保持污物间的上锁状态，污物间内保持整洁，各桶加盖</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6" w:type="dxa"/>
            <w:vMerge w:val="continue"/>
          </w:tcPr>
          <w:p>
            <w:pPr>
              <w:spacing w:line="360" w:lineRule="auto"/>
              <w:jc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25</w:t>
            </w:r>
          </w:p>
        </w:tc>
        <w:tc>
          <w:tcPr>
            <w:tcW w:w="57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窗帘拆洗换（污染时随时拆换）</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6" w:type="dxa"/>
            <w:vMerge w:val="continue"/>
          </w:tcPr>
          <w:p>
            <w:pPr>
              <w:spacing w:line="360" w:lineRule="auto"/>
              <w:jc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26</w:t>
            </w:r>
          </w:p>
        </w:tc>
        <w:tc>
          <w:tcPr>
            <w:tcW w:w="57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床帘拆换（污染时随时拆换）</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病房一季1次以上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96" w:type="dxa"/>
            <w:vMerge w:val="continue"/>
          </w:tcPr>
          <w:p>
            <w:pPr>
              <w:spacing w:line="360" w:lineRule="auto"/>
              <w:jc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27</w:t>
            </w:r>
          </w:p>
        </w:tc>
        <w:tc>
          <w:tcPr>
            <w:tcW w:w="57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替住院重病人打开水服务送至床旁</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每日2次以上</w:t>
            </w:r>
          </w:p>
        </w:tc>
      </w:tr>
    </w:tbl>
    <w:p>
      <w:pPr>
        <w:spacing w:line="360" w:lineRule="auto"/>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表4</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935"/>
        <w:gridCol w:w="5847"/>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5" w:type="dxa"/>
            <w:vAlign w:val="center"/>
          </w:tcPr>
          <w:p>
            <w:pPr>
              <w:spacing w:line="360" w:lineRule="auto"/>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序 号</w:t>
            </w:r>
          </w:p>
        </w:tc>
        <w:tc>
          <w:tcPr>
            <w:tcW w:w="5847" w:type="dxa"/>
            <w:vAlign w:val="center"/>
          </w:tcPr>
          <w:p>
            <w:pPr>
              <w:spacing w:line="360" w:lineRule="auto"/>
              <w:jc w:val="center"/>
              <w:rPr>
                <w:rFonts w:ascii="宋体" w:hAnsi="宋体" w:cs="宋体"/>
                <w:szCs w:val="21"/>
              </w:rPr>
            </w:pPr>
            <w:r>
              <w:rPr>
                <w:rFonts w:hint="eastAsia" w:ascii="宋体" w:hAnsi="宋体" w:cs="宋体"/>
                <w:szCs w:val="21"/>
              </w:rPr>
              <w:t>工作内容</w:t>
            </w:r>
          </w:p>
        </w:tc>
        <w:tc>
          <w:tcPr>
            <w:tcW w:w="1941" w:type="dxa"/>
            <w:vAlign w:val="center"/>
          </w:tcPr>
          <w:p>
            <w:pPr>
              <w:spacing w:line="360" w:lineRule="auto"/>
              <w:jc w:val="center"/>
              <w:rPr>
                <w:rFonts w:ascii="宋体" w:hAnsi="宋体" w:cs="宋体"/>
                <w:szCs w:val="21"/>
              </w:rPr>
            </w:pPr>
            <w:r>
              <w:rPr>
                <w:rFonts w:hint="eastAsia" w:ascii="宋体" w:hAnsi="宋体" w:cs="宋体"/>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pPr>
              <w:spacing w:line="360" w:lineRule="auto"/>
              <w:jc w:val="center"/>
              <w:rPr>
                <w:rFonts w:ascii="宋体" w:hAnsi="宋体" w:cs="宋体"/>
                <w:szCs w:val="21"/>
              </w:rPr>
            </w:pPr>
            <w:r>
              <w:rPr>
                <w:rFonts w:hint="eastAsia" w:ascii="宋体" w:hAnsi="宋体" w:cs="宋体"/>
                <w:szCs w:val="21"/>
              </w:rPr>
              <w:t>行</w:t>
            </w:r>
          </w:p>
          <w:p>
            <w:pPr>
              <w:spacing w:line="360" w:lineRule="auto"/>
              <w:jc w:val="center"/>
              <w:rPr>
                <w:rFonts w:ascii="宋体" w:hAnsi="宋体" w:cs="宋体"/>
                <w:szCs w:val="21"/>
              </w:rPr>
            </w:pPr>
            <w:r>
              <w:rPr>
                <w:rFonts w:hint="eastAsia" w:ascii="宋体" w:hAnsi="宋体" w:cs="宋体"/>
                <w:szCs w:val="21"/>
              </w:rPr>
              <w:t>政</w:t>
            </w:r>
          </w:p>
          <w:p>
            <w:pPr>
              <w:spacing w:line="360" w:lineRule="auto"/>
              <w:jc w:val="center"/>
              <w:rPr>
                <w:rFonts w:ascii="宋体" w:hAnsi="宋体" w:cs="宋体"/>
                <w:szCs w:val="21"/>
              </w:rPr>
            </w:pPr>
            <w:r>
              <w:rPr>
                <w:rFonts w:hint="eastAsia" w:ascii="宋体" w:hAnsi="宋体" w:cs="宋体"/>
                <w:szCs w:val="21"/>
              </w:rPr>
              <w:t>楼</w:t>
            </w:r>
          </w:p>
        </w:tc>
        <w:tc>
          <w:tcPr>
            <w:tcW w:w="935" w:type="dxa"/>
            <w:vAlign w:val="center"/>
          </w:tcPr>
          <w:p>
            <w:pPr>
              <w:spacing w:line="360" w:lineRule="auto"/>
              <w:jc w:val="center"/>
              <w:rPr>
                <w:rFonts w:ascii="宋体" w:hAnsi="宋体" w:cs="宋体"/>
                <w:szCs w:val="21"/>
              </w:rPr>
            </w:pPr>
            <w:r>
              <w:rPr>
                <w:rFonts w:hint="eastAsia" w:ascii="宋体" w:hAnsi="宋体" w:cs="宋体"/>
                <w:szCs w:val="21"/>
              </w:rPr>
              <w:t>1</w:t>
            </w:r>
          </w:p>
        </w:tc>
        <w:tc>
          <w:tcPr>
            <w:tcW w:w="5847" w:type="dxa"/>
            <w:vAlign w:val="center"/>
          </w:tcPr>
          <w:p>
            <w:pPr>
              <w:spacing w:line="360" w:lineRule="auto"/>
              <w:rPr>
                <w:rFonts w:ascii="宋体" w:hAnsi="宋体" w:cs="宋体"/>
                <w:szCs w:val="21"/>
              </w:rPr>
            </w:pPr>
            <w:r>
              <w:rPr>
                <w:rFonts w:hint="eastAsia" w:ascii="宋体" w:hAnsi="宋体" w:cs="宋体"/>
                <w:szCs w:val="21"/>
              </w:rPr>
              <w:t>收集区域内垃圾、更换垃圾袋(达3/4满随时更换)</w:t>
            </w:r>
          </w:p>
        </w:tc>
        <w:tc>
          <w:tcPr>
            <w:tcW w:w="1941" w:type="dxa"/>
            <w:vAlign w:val="center"/>
          </w:tcPr>
          <w:p>
            <w:pPr>
              <w:spacing w:line="360" w:lineRule="auto"/>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2</w:t>
            </w:r>
          </w:p>
        </w:tc>
        <w:tc>
          <w:tcPr>
            <w:tcW w:w="5847" w:type="dxa"/>
            <w:vAlign w:val="center"/>
          </w:tcPr>
          <w:p>
            <w:pPr>
              <w:spacing w:line="360" w:lineRule="auto"/>
              <w:rPr>
                <w:rFonts w:ascii="宋体" w:hAnsi="宋体" w:cs="宋体"/>
                <w:szCs w:val="21"/>
              </w:rPr>
            </w:pPr>
            <w:r>
              <w:rPr>
                <w:rFonts w:hint="eastAsia" w:ascii="宋体" w:hAnsi="宋体" w:cs="宋体"/>
                <w:szCs w:val="21"/>
              </w:rPr>
              <w:t>区域内地面扫尘（无扬尘干扫）</w:t>
            </w:r>
          </w:p>
        </w:tc>
        <w:tc>
          <w:tcPr>
            <w:tcW w:w="1941"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3</w:t>
            </w:r>
          </w:p>
        </w:tc>
        <w:tc>
          <w:tcPr>
            <w:tcW w:w="5847" w:type="dxa"/>
            <w:vAlign w:val="center"/>
          </w:tcPr>
          <w:p>
            <w:pPr>
              <w:spacing w:line="360" w:lineRule="auto"/>
              <w:rPr>
                <w:rFonts w:ascii="宋体" w:hAnsi="宋体" w:cs="宋体"/>
                <w:szCs w:val="21"/>
              </w:rPr>
            </w:pPr>
            <w:r>
              <w:rPr>
                <w:rFonts w:hint="eastAsia" w:ascii="宋体" w:hAnsi="宋体" w:cs="宋体"/>
                <w:szCs w:val="21"/>
              </w:rPr>
              <w:t>区域内地面湿拖（进行地面消毒、清洁）</w:t>
            </w:r>
          </w:p>
        </w:tc>
        <w:tc>
          <w:tcPr>
            <w:tcW w:w="1941"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4</w:t>
            </w:r>
          </w:p>
        </w:tc>
        <w:tc>
          <w:tcPr>
            <w:tcW w:w="5847" w:type="dxa"/>
            <w:vAlign w:val="center"/>
          </w:tcPr>
          <w:p>
            <w:pPr>
              <w:spacing w:line="360" w:lineRule="auto"/>
              <w:rPr>
                <w:rFonts w:ascii="宋体" w:hAnsi="宋体" w:cs="宋体"/>
                <w:szCs w:val="21"/>
              </w:rPr>
            </w:pPr>
            <w:r>
              <w:rPr>
                <w:rFonts w:hint="eastAsia" w:ascii="宋体" w:hAnsi="宋体" w:cs="宋体"/>
                <w:szCs w:val="21"/>
              </w:rPr>
              <w:t>区域内家具（桌椅、橱柜等）、台面擦拭</w:t>
            </w:r>
          </w:p>
        </w:tc>
        <w:tc>
          <w:tcPr>
            <w:tcW w:w="1941" w:type="dxa"/>
            <w:vAlign w:val="center"/>
          </w:tcPr>
          <w:p>
            <w:pPr>
              <w:spacing w:line="360" w:lineRule="auto"/>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5</w:t>
            </w:r>
          </w:p>
        </w:tc>
        <w:tc>
          <w:tcPr>
            <w:tcW w:w="5847" w:type="dxa"/>
            <w:vAlign w:val="center"/>
          </w:tcPr>
          <w:p>
            <w:pPr>
              <w:spacing w:line="360" w:lineRule="auto"/>
              <w:rPr>
                <w:rFonts w:ascii="宋体" w:hAnsi="宋体" w:cs="宋体"/>
                <w:szCs w:val="21"/>
              </w:rPr>
            </w:pPr>
            <w:r>
              <w:rPr>
                <w:rFonts w:hint="eastAsia" w:ascii="宋体" w:hAnsi="宋体" w:cs="宋体"/>
                <w:szCs w:val="21"/>
              </w:rPr>
              <w:t>区域内、电话、仪器、低处电器表面清洗或擦拭</w:t>
            </w:r>
          </w:p>
        </w:tc>
        <w:tc>
          <w:tcPr>
            <w:tcW w:w="1941"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6</w:t>
            </w:r>
          </w:p>
        </w:tc>
        <w:tc>
          <w:tcPr>
            <w:tcW w:w="5847" w:type="dxa"/>
            <w:vAlign w:val="center"/>
          </w:tcPr>
          <w:p>
            <w:pPr>
              <w:spacing w:line="360" w:lineRule="auto"/>
              <w:rPr>
                <w:rFonts w:ascii="宋体" w:hAnsi="宋体" w:cs="宋体"/>
                <w:szCs w:val="21"/>
              </w:rPr>
            </w:pPr>
            <w:r>
              <w:rPr>
                <w:rFonts w:hint="eastAsia" w:ascii="宋体" w:hAnsi="宋体" w:cs="宋体"/>
                <w:szCs w:val="21"/>
              </w:rPr>
              <w:t>区域内洗手池、水池、水龙头、皂盒清洗、擦拭</w:t>
            </w:r>
          </w:p>
        </w:tc>
        <w:tc>
          <w:tcPr>
            <w:tcW w:w="1941" w:type="dxa"/>
            <w:vAlign w:val="center"/>
          </w:tcPr>
          <w:p>
            <w:pPr>
              <w:spacing w:line="360" w:lineRule="auto"/>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7</w:t>
            </w:r>
          </w:p>
        </w:tc>
        <w:tc>
          <w:tcPr>
            <w:tcW w:w="5847" w:type="dxa"/>
            <w:vAlign w:val="center"/>
          </w:tcPr>
          <w:p>
            <w:pPr>
              <w:spacing w:line="360" w:lineRule="auto"/>
              <w:rPr>
                <w:rFonts w:ascii="宋体" w:hAnsi="宋体" w:cs="宋体"/>
                <w:szCs w:val="21"/>
              </w:rPr>
            </w:pPr>
            <w:r>
              <w:rPr>
                <w:rFonts w:hint="eastAsia" w:ascii="宋体" w:hAnsi="宋体" w:cs="宋体"/>
                <w:szCs w:val="21"/>
              </w:rPr>
              <w:t>卫生间（含镜子、水龙头、脸盆、台面、毛巾架、马桶、沐浴器、地面）、开水间冲洗、擦拭、消毒</w:t>
            </w:r>
          </w:p>
        </w:tc>
        <w:tc>
          <w:tcPr>
            <w:tcW w:w="1941" w:type="dxa"/>
            <w:vAlign w:val="center"/>
          </w:tcPr>
          <w:p>
            <w:pPr>
              <w:spacing w:line="360" w:lineRule="auto"/>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8</w:t>
            </w:r>
          </w:p>
        </w:tc>
        <w:tc>
          <w:tcPr>
            <w:tcW w:w="5847" w:type="dxa"/>
            <w:vAlign w:val="center"/>
          </w:tcPr>
          <w:p>
            <w:pPr>
              <w:spacing w:line="360" w:lineRule="auto"/>
              <w:rPr>
                <w:rFonts w:ascii="宋体" w:hAnsi="宋体" w:cs="宋体"/>
                <w:szCs w:val="21"/>
              </w:rPr>
            </w:pPr>
            <w:r>
              <w:rPr>
                <w:rFonts w:hint="eastAsia" w:ascii="宋体" w:hAnsi="宋体" w:cs="宋体"/>
                <w:szCs w:val="21"/>
              </w:rPr>
              <w:t>区域内窗台、花瓶、花盆、开关盒、接线盒、各类低处标牌、垃圾桶擦拭</w:t>
            </w:r>
          </w:p>
        </w:tc>
        <w:tc>
          <w:tcPr>
            <w:tcW w:w="1941"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9</w:t>
            </w:r>
          </w:p>
        </w:tc>
        <w:tc>
          <w:tcPr>
            <w:tcW w:w="5847" w:type="dxa"/>
            <w:vAlign w:val="center"/>
          </w:tcPr>
          <w:p>
            <w:pPr>
              <w:spacing w:line="360" w:lineRule="auto"/>
              <w:rPr>
                <w:rFonts w:ascii="宋体" w:hAnsi="宋体" w:cs="宋体"/>
                <w:szCs w:val="21"/>
              </w:rPr>
            </w:pPr>
            <w:r>
              <w:rPr>
                <w:rFonts w:hint="eastAsia" w:ascii="宋体" w:hAnsi="宋体" w:cs="宋体"/>
                <w:szCs w:val="21"/>
              </w:rPr>
              <w:t>开水机、冰箱外表面清洁消毒</w:t>
            </w:r>
          </w:p>
        </w:tc>
        <w:tc>
          <w:tcPr>
            <w:tcW w:w="1941"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5847" w:type="dxa"/>
            <w:vAlign w:val="center"/>
          </w:tcPr>
          <w:p>
            <w:pPr>
              <w:spacing w:line="360" w:lineRule="auto"/>
              <w:rPr>
                <w:rFonts w:ascii="宋体" w:hAnsi="宋体" w:cs="宋体"/>
                <w:szCs w:val="21"/>
              </w:rPr>
            </w:pPr>
            <w:r>
              <w:rPr>
                <w:rFonts w:hint="eastAsia" w:ascii="宋体" w:hAnsi="宋体" w:cs="宋体"/>
                <w:szCs w:val="21"/>
              </w:rPr>
              <w:t>门、门框、窗框、玻璃</w:t>
            </w:r>
          </w:p>
        </w:tc>
        <w:tc>
          <w:tcPr>
            <w:tcW w:w="1941"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5847" w:type="dxa"/>
            <w:vAlign w:val="center"/>
          </w:tcPr>
          <w:p>
            <w:pPr>
              <w:spacing w:line="360" w:lineRule="auto"/>
              <w:rPr>
                <w:rFonts w:ascii="宋体" w:hAnsi="宋体" w:cs="宋体"/>
                <w:szCs w:val="21"/>
              </w:rPr>
            </w:pPr>
            <w:r>
              <w:rPr>
                <w:rFonts w:hint="eastAsia" w:ascii="宋体" w:hAnsi="宋体" w:cs="宋体"/>
                <w:szCs w:val="21"/>
              </w:rPr>
              <w:t>低处墙面除尘、落地瓷砖、踢脚板、地角、低处管道擦拭</w:t>
            </w:r>
          </w:p>
        </w:tc>
        <w:tc>
          <w:tcPr>
            <w:tcW w:w="1941"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5847" w:type="dxa"/>
            <w:vAlign w:val="center"/>
          </w:tcPr>
          <w:p>
            <w:pPr>
              <w:spacing w:line="360" w:lineRule="auto"/>
              <w:rPr>
                <w:rFonts w:ascii="宋体" w:hAnsi="宋体" w:cs="宋体"/>
                <w:szCs w:val="21"/>
              </w:rPr>
            </w:pPr>
            <w:r>
              <w:rPr>
                <w:rFonts w:hint="eastAsia" w:ascii="宋体" w:hAnsi="宋体" w:cs="宋体"/>
                <w:szCs w:val="21"/>
              </w:rPr>
              <w:t>非医疗不锈钢物体表面闪钢保养</w:t>
            </w:r>
          </w:p>
        </w:tc>
        <w:tc>
          <w:tcPr>
            <w:tcW w:w="1941" w:type="dxa"/>
            <w:vAlign w:val="center"/>
          </w:tcPr>
          <w:p>
            <w:pPr>
              <w:spacing w:line="360" w:lineRule="auto"/>
              <w:rPr>
                <w:rFonts w:ascii="宋体" w:hAnsi="宋体" w:cs="宋体"/>
                <w:szCs w:val="21"/>
              </w:rPr>
            </w:pPr>
            <w:r>
              <w:rPr>
                <w:rFonts w:hint="eastAsia" w:ascii="宋体" w:hAnsi="宋体" w:cs="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5847" w:type="dxa"/>
            <w:vAlign w:val="center"/>
          </w:tcPr>
          <w:p>
            <w:pPr>
              <w:spacing w:line="360" w:lineRule="auto"/>
              <w:rPr>
                <w:rFonts w:ascii="宋体" w:hAnsi="宋体" w:cs="宋体"/>
                <w:szCs w:val="21"/>
              </w:rPr>
            </w:pPr>
            <w:r>
              <w:rPr>
                <w:rFonts w:hint="eastAsia" w:ascii="宋体" w:hAnsi="宋体" w:cs="宋体"/>
                <w:szCs w:val="21"/>
              </w:rPr>
              <w:t>高处标牌、壁挂物擦拭</w:t>
            </w:r>
          </w:p>
        </w:tc>
        <w:tc>
          <w:tcPr>
            <w:tcW w:w="1941" w:type="dxa"/>
            <w:vAlign w:val="center"/>
          </w:tcPr>
          <w:p>
            <w:pPr>
              <w:spacing w:line="360" w:lineRule="auto"/>
              <w:rPr>
                <w:rFonts w:ascii="宋体" w:hAnsi="宋体" w:cs="宋体"/>
                <w:szCs w:val="21"/>
              </w:rPr>
            </w:pPr>
            <w:r>
              <w:rPr>
                <w:rFonts w:hint="eastAsia" w:ascii="宋体" w:hAnsi="宋体" w:cs="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5847" w:type="dxa"/>
            <w:vAlign w:val="center"/>
          </w:tcPr>
          <w:p>
            <w:pPr>
              <w:spacing w:line="360" w:lineRule="auto"/>
              <w:rPr>
                <w:rFonts w:ascii="宋体" w:hAnsi="宋体" w:cs="宋体"/>
                <w:szCs w:val="21"/>
              </w:rPr>
            </w:pPr>
            <w:r>
              <w:rPr>
                <w:rFonts w:hint="eastAsia" w:ascii="宋体" w:hAnsi="宋体" w:cs="宋体"/>
                <w:szCs w:val="21"/>
              </w:rPr>
              <w:t>高处除尘</w:t>
            </w:r>
          </w:p>
        </w:tc>
        <w:tc>
          <w:tcPr>
            <w:tcW w:w="1941" w:type="dxa"/>
            <w:vAlign w:val="center"/>
          </w:tcPr>
          <w:p>
            <w:pPr>
              <w:spacing w:line="360" w:lineRule="auto"/>
              <w:rPr>
                <w:rFonts w:ascii="宋体" w:hAnsi="宋体" w:cs="宋体"/>
                <w:szCs w:val="21"/>
              </w:rPr>
            </w:pPr>
            <w:r>
              <w:rPr>
                <w:rFonts w:hint="eastAsia" w:ascii="宋体" w:hAnsi="宋体" w:cs="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5847" w:type="dxa"/>
            <w:vAlign w:val="center"/>
          </w:tcPr>
          <w:p>
            <w:pPr>
              <w:spacing w:line="360" w:lineRule="auto"/>
              <w:rPr>
                <w:rFonts w:ascii="宋体" w:hAnsi="宋体" w:cs="宋体"/>
                <w:szCs w:val="21"/>
              </w:rPr>
            </w:pPr>
            <w:r>
              <w:rPr>
                <w:rFonts w:hint="eastAsia" w:ascii="宋体" w:hAnsi="宋体" w:cs="宋体"/>
                <w:szCs w:val="21"/>
              </w:rPr>
              <w:t>通风口、排气扇、风扇、空调等高处设备擦洗</w:t>
            </w:r>
          </w:p>
        </w:tc>
        <w:tc>
          <w:tcPr>
            <w:tcW w:w="1941" w:type="dxa"/>
            <w:vAlign w:val="center"/>
          </w:tcPr>
          <w:p>
            <w:pPr>
              <w:spacing w:line="360" w:lineRule="auto"/>
              <w:rPr>
                <w:rFonts w:ascii="宋体" w:hAnsi="宋体" w:cs="宋体"/>
                <w:szCs w:val="21"/>
              </w:rPr>
            </w:pPr>
            <w:r>
              <w:rPr>
                <w:rFonts w:hint="eastAsia" w:ascii="宋体" w:hAnsi="宋体" w:cs="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16</w:t>
            </w:r>
          </w:p>
        </w:tc>
        <w:tc>
          <w:tcPr>
            <w:tcW w:w="5847" w:type="dxa"/>
            <w:vAlign w:val="center"/>
          </w:tcPr>
          <w:p>
            <w:pPr>
              <w:spacing w:line="360" w:lineRule="auto"/>
              <w:rPr>
                <w:rFonts w:ascii="宋体" w:hAnsi="宋体" w:cs="宋体"/>
                <w:szCs w:val="21"/>
              </w:rPr>
            </w:pPr>
            <w:r>
              <w:rPr>
                <w:rFonts w:hint="eastAsia" w:ascii="宋体" w:hAnsi="宋体" w:cs="宋体"/>
                <w:szCs w:val="21"/>
              </w:rPr>
              <w:t>PVC地面打蜡</w:t>
            </w:r>
          </w:p>
        </w:tc>
        <w:tc>
          <w:tcPr>
            <w:tcW w:w="1941" w:type="dxa"/>
            <w:vAlign w:val="center"/>
          </w:tcPr>
          <w:p>
            <w:pPr>
              <w:spacing w:line="360" w:lineRule="auto"/>
              <w:rPr>
                <w:rFonts w:ascii="宋体" w:hAnsi="宋体" w:cs="宋体"/>
                <w:szCs w:val="21"/>
              </w:rPr>
            </w:pPr>
            <w:r>
              <w:rPr>
                <w:rFonts w:hint="eastAsia" w:ascii="宋体" w:hAnsi="宋体" w:cs="宋体"/>
                <w:szCs w:val="21"/>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17</w:t>
            </w:r>
          </w:p>
        </w:tc>
        <w:tc>
          <w:tcPr>
            <w:tcW w:w="5847" w:type="dxa"/>
          </w:tcPr>
          <w:p>
            <w:pPr>
              <w:spacing w:line="360" w:lineRule="auto"/>
              <w:rPr>
                <w:rFonts w:ascii="宋体" w:hAnsi="宋体" w:cs="宋体"/>
                <w:szCs w:val="21"/>
              </w:rPr>
            </w:pPr>
            <w:r>
              <w:rPr>
                <w:rFonts w:hint="eastAsia" w:ascii="宋体" w:hAnsi="宋体" w:cs="宋体"/>
                <w:szCs w:val="21"/>
              </w:rPr>
              <w:t>窗帘床帘拆换（污染时随时拆换）</w:t>
            </w:r>
          </w:p>
        </w:tc>
        <w:tc>
          <w:tcPr>
            <w:tcW w:w="1941" w:type="dxa"/>
            <w:vAlign w:val="center"/>
          </w:tcPr>
          <w:p>
            <w:pPr>
              <w:spacing w:line="360" w:lineRule="auto"/>
              <w:rPr>
                <w:rFonts w:ascii="宋体" w:hAnsi="宋体" w:cs="宋体"/>
                <w:szCs w:val="21"/>
              </w:rPr>
            </w:pPr>
            <w:r>
              <w:rPr>
                <w:rFonts w:hint="eastAsia" w:ascii="宋体" w:hAnsi="宋体" w:cs="宋体"/>
                <w:szCs w:val="21"/>
              </w:rPr>
              <w:t>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5" w:type="dxa"/>
            <w:vMerge w:val="continue"/>
            <w:vAlign w:val="center"/>
          </w:tcPr>
          <w:p>
            <w:pPr>
              <w:spacing w:line="360" w:lineRule="auto"/>
              <w:jc w:val="center"/>
              <w:rPr>
                <w:rFonts w:ascii="宋体" w:hAnsi="宋体" w:cs="宋体"/>
                <w:szCs w:val="21"/>
              </w:rPr>
            </w:pPr>
          </w:p>
        </w:tc>
        <w:tc>
          <w:tcPr>
            <w:tcW w:w="935" w:type="dxa"/>
            <w:vAlign w:val="center"/>
          </w:tcPr>
          <w:p>
            <w:pPr>
              <w:spacing w:line="360" w:lineRule="auto"/>
              <w:jc w:val="center"/>
              <w:rPr>
                <w:rFonts w:ascii="宋体" w:hAnsi="宋体" w:cs="宋体"/>
                <w:szCs w:val="21"/>
              </w:rPr>
            </w:pPr>
            <w:r>
              <w:rPr>
                <w:rFonts w:hint="eastAsia" w:ascii="宋体" w:hAnsi="宋体" w:cs="宋体"/>
                <w:szCs w:val="21"/>
              </w:rPr>
              <w:t>18</w:t>
            </w:r>
          </w:p>
        </w:tc>
        <w:tc>
          <w:tcPr>
            <w:tcW w:w="5847" w:type="dxa"/>
            <w:vAlign w:val="center"/>
          </w:tcPr>
          <w:p>
            <w:pPr>
              <w:spacing w:line="360" w:lineRule="auto"/>
              <w:rPr>
                <w:rFonts w:ascii="宋体" w:hAnsi="宋体" w:cs="宋体"/>
                <w:szCs w:val="21"/>
              </w:rPr>
            </w:pPr>
            <w:r>
              <w:rPr>
                <w:rFonts w:hint="eastAsia" w:ascii="宋体" w:hAnsi="宋体" w:cs="宋体"/>
                <w:szCs w:val="21"/>
              </w:rPr>
              <w:t>地毯吸尘</w:t>
            </w:r>
          </w:p>
        </w:tc>
        <w:tc>
          <w:tcPr>
            <w:tcW w:w="1941"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5" w:type="dxa"/>
            <w:vMerge w:val="continue"/>
            <w:vAlign w:val="center"/>
          </w:tcPr>
          <w:p>
            <w:pPr>
              <w:spacing w:line="360" w:lineRule="auto"/>
              <w:jc w:val="center"/>
              <w:rPr>
                <w:rFonts w:ascii="宋体" w:hAnsi="宋体" w:cs="宋体"/>
                <w:szCs w:val="21"/>
              </w:rPr>
            </w:pPr>
          </w:p>
        </w:tc>
        <w:tc>
          <w:tcPr>
            <w:tcW w:w="935" w:type="dxa"/>
            <w:tcBorders>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19</w:t>
            </w:r>
          </w:p>
        </w:tc>
        <w:tc>
          <w:tcPr>
            <w:tcW w:w="5847" w:type="dxa"/>
            <w:vAlign w:val="center"/>
          </w:tcPr>
          <w:p>
            <w:pPr>
              <w:spacing w:line="360" w:lineRule="auto"/>
              <w:rPr>
                <w:rFonts w:ascii="宋体" w:hAnsi="宋体" w:cs="宋体"/>
                <w:szCs w:val="21"/>
              </w:rPr>
            </w:pPr>
            <w:r>
              <w:rPr>
                <w:rFonts w:hint="eastAsia" w:ascii="宋体" w:hAnsi="宋体" w:cs="宋体"/>
                <w:szCs w:val="21"/>
              </w:rPr>
              <w:t>地毯、踏垫保持干净、松软、无污渍斑点，洗后无色差</w:t>
            </w:r>
          </w:p>
        </w:tc>
        <w:tc>
          <w:tcPr>
            <w:tcW w:w="1941" w:type="dxa"/>
            <w:vAlign w:val="center"/>
          </w:tcPr>
          <w:p>
            <w:pPr>
              <w:spacing w:line="360" w:lineRule="auto"/>
              <w:rPr>
                <w:rFonts w:ascii="宋体" w:hAnsi="宋体" w:cs="宋体"/>
                <w:szCs w:val="21"/>
              </w:rPr>
            </w:pPr>
            <w:r>
              <w:rPr>
                <w:rFonts w:hint="eastAsia" w:ascii="宋体" w:hAnsi="宋体" w:cs="宋体"/>
                <w:szCs w:val="21"/>
              </w:rPr>
              <w:t>每日清扫，每周吸尘清洁，每周局部使用清洁剂清洁，每月一次用清洁剂清洗</w:t>
            </w:r>
          </w:p>
        </w:tc>
      </w:tr>
    </w:tbl>
    <w:p>
      <w:pPr>
        <w:spacing w:line="360" w:lineRule="auto"/>
        <w:jc w:val="center"/>
        <w:rPr>
          <w:rFonts w:ascii="宋体" w:hAnsi="宋体" w:cs="宋体"/>
          <w:sz w:val="24"/>
        </w:rPr>
      </w:pPr>
      <w:r>
        <w:rPr>
          <w:rFonts w:hint="eastAsia" w:ascii="宋体" w:hAnsi="宋体" w:cs="宋体"/>
          <w:sz w:val="24"/>
        </w:rPr>
        <w:t>表5</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929"/>
        <w:gridCol w:w="588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rFonts w:ascii="宋体" w:hAnsi="宋体" w:cs="宋体"/>
                <w:szCs w:val="21"/>
              </w:rPr>
            </w:pPr>
            <w:r>
              <w:rPr>
                <w:rFonts w:hint="eastAsia" w:ascii="宋体" w:hAnsi="宋体" w:cs="宋体"/>
                <w:szCs w:val="21"/>
              </w:rPr>
              <w:t>区域</w:t>
            </w:r>
          </w:p>
        </w:tc>
        <w:tc>
          <w:tcPr>
            <w:tcW w:w="929" w:type="dxa"/>
            <w:vAlign w:val="center"/>
          </w:tcPr>
          <w:p>
            <w:pPr>
              <w:spacing w:line="360" w:lineRule="auto"/>
              <w:jc w:val="center"/>
              <w:rPr>
                <w:rFonts w:ascii="宋体" w:hAnsi="宋体" w:cs="宋体"/>
                <w:szCs w:val="21"/>
              </w:rPr>
            </w:pPr>
            <w:r>
              <w:rPr>
                <w:rFonts w:hint="eastAsia" w:ascii="宋体" w:hAnsi="宋体" w:cs="宋体"/>
                <w:szCs w:val="21"/>
              </w:rPr>
              <w:t>序 号</w:t>
            </w:r>
          </w:p>
        </w:tc>
        <w:tc>
          <w:tcPr>
            <w:tcW w:w="5886" w:type="dxa"/>
            <w:vAlign w:val="center"/>
          </w:tcPr>
          <w:p>
            <w:pPr>
              <w:spacing w:line="360" w:lineRule="auto"/>
              <w:jc w:val="center"/>
              <w:rPr>
                <w:rFonts w:ascii="宋体" w:hAnsi="宋体" w:cs="宋体"/>
                <w:szCs w:val="21"/>
              </w:rPr>
            </w:pPr>
            <w:r>
              <w:rPr>
                <w:rFonts w:hint="eastAsia" w:ascii="宋体" w:hAnsi="宋体" w:cs="宋体"/>
                <w:szCs w:val="21"/>
              </w:rPr>
              <w:t>工作内容</w:t>
            </w:r>
          </w:p>
        </w:tc>
        <w:tc>
          <w:tcPr>
            <w:tcW w:w="1952" w:type="dxa"/>
            <w:vAlign w:val="center"/>
          </w:tcPr>
          <w:p>
            <w:pPr>
              <w:spacing w:line="360" w:lineRule="auto"/>
              <w:jc w:val="center"/>
              <w:rPr>
                <w:rFonts w:ascii="宋体" w:hAnsi="宋体" w:cs="宋体"/>
                <w:szCs w:val="21"/>
              </w:rPr>
            </w:pPr>
            <w:r>
              <w:rPr>
                <w:rFonts w:hint="eastAsia" w:ascii="宋体" w:hAnsi="宋体" w:cs="宋体"/>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restart"/>
            <w:vAlign w:val="center"/>
          </w:tcPr>
          <w:p>
            <w:pPr>
              <w:spacing w:line="360" w:lineRule="auto"/>
              <w:jc w:val="center"/>
              <w:rPr>
                <w:rFonts w:ascii="宋体" w:hAnsi="宋体" w:cs="宋体"/>
                <w:szCs w:val="21"/>
              </w:rPr>
            </w:pPr>
            <w:r>
              <w:rPr>
                <w:rFonts w:hint="eastAsia" w:ascii="宋体" w:hAnsi="宋体" w:cs="宋体"/>
                <w:szCs w:val="21"/>
              </w:rPr>
              <w:t>室</w:t>
            </w:r>
          </w:p>
          <w:p>
            <w:pPr>
              <w:spacing w:line="360" w:lineRule="auto"/>
              <w:jc w:val="center"/>
              <w:rPr>
                <w:rFonts w:ascii="宋体" w:hAnsi="宋体" w:cs="宋体"/>
                <w:szCs w:val="21"/>
              </w:rPr>
            </w:pPr>
            <w:r>
              <w:rPr>
                <w:rFonts w:hint="eastAsia" w:ascii="宋体" w:hAnsi="宋体" w:cs="宋体"/>
                <w:szCs w:val="21"/>
              </w:rPr>
              <w:t>内</w:t>
            </w:r>
          </w:p>
          <w:p>
            <w:pPr>
              <w:spacing w:line="360" w:lineRule="auto"/>
              <w:jc w:val="center"/>
              <w:rPr>
                <w:rFonts w:ascii="宋体" w:hAnsi="宋体" w:cs="宋体"/>
                <w:szCs w:val="21"/>
              </w:rPr>
            </w:pPr>
            <w:r>
              <w:rPr>
                <w:rFonts w:hint="eastAsia" w:ascii="宋体" w:hAnsi="宋体" w:cs="宋体"/>
                <w:szCs w:val="21"/>
              </w:rPr>
              <w:t>公</w:t>
            </w:r>
          </w:p>
          <w:p>
            <w:pPr>
              <w:spacing w:line="360" w:lineRule="auto"/>
              <w:jc w:val="center"/>
              <w:rPr>
                <w:rFonts w:ascii="宋体" w:hAnsi="宋体" w:cs="宋体"/>
                <w:szCs w:val="21"/>
              </w:rPr>
            </w:pPr>
            <w:r>
              <w:rPr>
                <w:rFonts w:hint="eastAsia" w:ascii="宋体" w:hAnsi="宋体" w:cs="宋体"/>
                <w:szCs w:val="21"/>
              </w:rPr>
              <w:t>共</w:t>
            </w:r>
          </w:p>
          <w:p>
            <w:pPr>
              <w:spacing w:line="360" w:lineRule="auto"/>
              <w:jc w:val="center"/>
              <w:rPr>
                <w:rFonts w:ascii="宋体" w:hAnsi="宋体" w:cs="宋体"/>
                <w:szCs w:val="21"/>
              </w:rPr>
            </w:pPr>
            <w:r>
              <w:rPr>
                <w:rFonts w:hint="eastAsia" w:ascii="宋体" w:hAnsi="宋体" w:cs="宋体"/>
                <w:szCs w:val="21"/>
              </w:rPr>
              <w:t>区</w:t>
            </w:r>
          </w:p>
          <w:p>
            <w:pPr>
              <w:spacing w:line="360" w:lineRule="auto"/>
              <w:jc w:val="center"/>
              <w:rPr>
                <w:rFonts w:ascii="宋体" w:hAnsi="宋体" w:cs="宋体"/>
                <w:szCs w:val="21"/>
              </w:rPr>
            </w:pPr>
            <w:r>
              <w:rPr>
                <w:rFonts w:hint="eastAsia" w:ascii="宋体" w:hAnsi="宋体" w:cs="宋体"/>
                <w:szCs w:val="21"/>
              </w:rPr>
              <w:t>域</w:t>
            </w:r>
          </w:p>
        </w:tc>
        <w:tc>
          <w:tcPr>
            <w:tcW w:w="929" w:type="dxa"/>
            <w:vAlign w:val="center"/>
          </w:tcPr>
          <w:p>
            <w:pPr>
              <w:spacing w:line="360" w:lineRule="auto"/>
              <w:jc w:val="center"/>
              <w:rPr>
                <w:rFonts w:ascii="宋体" w:hAnsi="宋体" w:cs="宋体"/>
                <w:szCs w:val="21"/>
              </w:rPr>
            </w:pPr>
            <w:r>
              <w:rPr>
                <w:rFonts w:hint="eastAsia" w:ascii="宋体" w:hAnsi="宋体" w:cs="宋体"/>
                <w:szCs w:val="21"/>
              </w:rPr>
              <w:t>1</w:t>
            </w:r>
          </w:p>
        </w:tc>
        <w:tc>
          <w:tcPr>
            <w:tcW w:w="5886" w:type="dxa"/>
            <w:vAlign w:val="center"/>
          </w:tcPr>
          <w:p>
            <w:pPr>
              <w:spacing w:line="360" w:lineRule="auto"/>
              <w:rPr>
                <w:rFonts w:ascii="宋体" w:hAnsi="宋体" w:cs="宋体"/>
                <w:szCs w:val="21"/>
              </w:rPr>
            </w:pPr>
            <w:r>
              <w:rPr>
                <w:rFonts w:hint="eastAsia" w:ascii="宋体" w:hAnsi="宋体" w:cs="宋体"/>
                <w:szCs w:val="21"/>
              </w:rPr>
              <w:t>收集区域内垃圾、更换垃圾袋(达3/4满随时更换)</w:t>
            </w:r>
          </w:p>
        </w:tc>
        <w:tc>
          <w:tcPr>
            <w:tcW w:w="1952" w:type="dxa"/>
            <w:vAlign w:val="center"/>
          </w:tcPr>
          <w:p>
            <w:pPr>
              <w:spacing w:line="360" w:lineRule="auto"/>
              <w:rPr>
                <w:rFonts w:ascii="宋体" w:hAnsi="宋体" w:cs="宋体"/>
                <w:szCs w:val="21"/>
              </w:rPr>
            </w:pPr>
            <w:r>
              <w:rPr>
                <w:rFonts w:hint="eastAsia" w:ascii="宋体" w:hAnsi="宋体" w:cs="宋体"/>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2</w:t>
            </w:r>
          </w:p>
        </w:tc>
        <w:tc>
          <w:tcPr>
            <w:tcW w:w="5886" w:type="dxa"/>
            <w:vAlign w:val="center"/>
          </w:tcPr>
          <w:p>
            <w:pPr>
              <w:spacing w:line="360" w:lineRule="auto"/>
              <w:rPr>
                <w:rFonts w:ascii="宋体" w:hAnsi="宋体" w:cs="宋体"/>
                <w:szCs w:val="21"/>
              </w:rPr>
            </w:pPr>
            <w:r>
              <w:rPr>
                <w:rFonts w:hint="eastAsia" w:ascii="宋体" w:hAnsi="宋体" w:cs="宋体"/>
                <w:szCs w:val="21"/>
              </w:rPr>
              <w:t xml:space="preserve">区域内地面扫尘并地面湿拖（进行地面消毒、清洁）, </w:t>
            </w:r>
          </w:p>
        </w:tc>
        <w:tc>
          <w:tcPr>
            <w:tcW w:w="1952" w:type="dxa"/>
            <w:vAlign w:val="center"/>
          </w:tcPr>
          <w:p>
            <w:pPr>
              <w:spacing w:line="360" w:lineRule="auto"/>
              <w:rPr>
                <w:rFonts w:ascii="宋体" w:hAnsi="宋体" w:cs="宋体"/>
                <w:szCs w:val="21"/>
              </w:rPr>
            </w:pPr>
            <w:r>
              <w:rPr>
                <w:rFonts w:hint="eastAsia" w:ascii="宋体" w:hAnsi="宋体" w:cs="宋体"/>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3</w:t>
            </w:r>
          </w:p>
        </w:tc>
        <w:tc>
          <w:tcPr>
            <w:tcW w:w="5886" w:type="dxa"/>
            <w:vAlign w:val="center"/>
          </w:tcPr>
          <w:p>
            <w:pPr>
              <w:spacing w:line="360" w:lineRule="auto"/>
              <w:rPr>
                <w:rFonts w:ascii="宋体" w:hAnsi="宋体" w:cs="宋体"/>
                <w:szCs w:val="21"/>
              </w:rPr>
            </w:pPr>
            <w:r>
              <w:rPr>
                <w:rFonts w:hint="eastAsia" w:ascii="宋体" w:hAnsi="宋体" w:cs="宋体"/>
                <w:szCs w:val="21"/>
              </w:rPr>
              <w:t>区域内洗手池、水池、水龙头清洗、擦拭</w:t>
            </w:r>
          </w:p>
        </w:tc>
        <w:tc>
          <w:tcPr>
            <w:tcW w:w="1952" w:type="dxa"/>
            <w:vAlign w:val="center"/>
          </w:tcPr>
          <w:p>
            <w:pPr>
              <w:spacing w:line="360" w:lineRule="auto"/>
              <w:rPr>
                <w:rFonts w:ascii="宋体" w:hAnsi="宋体" w:cs="宋体"/>
                <w:szCs w:val="21"/>
              </w:rPr>
            </w:pPr>
            <w:r>
              <w:rPr>
                <w:rFonts w:hint="eastAsia" w:ascii="宋体" w:hAnsi="宋体" w:cs="宋体"/>
                <w:szCs w:val="21"/>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4</w:t>
            </w:r>
          </w:p>
        </w:tc>
        <w:tc>
          <w:tcPr>
            <w:tcW w:w="5886" w:type="dxa"/>
            <w:vAlign w:val="center"/>
          </w:tcPr>
          <w:p>
            <w:pPr>
              <w:spacing w:line="360" w:lineRule="auto"/>
              <w:rPr>
                <w:rFonts w:ascii="宋体" w:hAnsi="宋体" w:cs="宋体"/>
                <w:szCs w:val="21"/>
              </w:rPr>
            </w:pPr>
            <w:r>
              <w:rPr>
                <w:rFonts w:hint="eastAsia" w:ascii="宋体" w:hAnsi="宋体" w:cs="宋体"/>
                <w:szCs w:val="21"/>
              </w:rPr>
              <w:t>卫生间（含镜子、水龙头、脸盆、台面、马桶、地面）、开水间冲洗、擦拭、消毒</w:t>
            </w:r>
          </w:p>
        </w:tc>
        <w:tc>
          <w:tcPr>
            <w:tcW w:w="1952" w:type="dxa"/>
            <w:vAlign w:val="center"/>
          </w:tcPr>
          <w:p>
            <w:pPr>
              <w:spacing w:line="360" w:lineRule="auto"/>
              <w:rPr>
                <w:rFonts w:ascii="宋体" w:hAnsi="宋体" w:cs="宋体"/>
                <w:szCs w:val="21"/>
              </w:rPr>
            </w:pPr>
            <w:r>
              <w:rPr>
                <w:rFonts w:hint="eastAsia" w:ascii="宋体" w:hAnsi="宋体" w:cs="宋体"/>
                <w:szCs w:val="21"/>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5886" w:type="dxa"/>
            <w:vAlign w:val="center"/>
          </w:tcPr>
          <w:p>
            <w:pPr>
              <w:spacing w:line="360" w:lineRule="auto"/>
              <w:rPr>
                <w:rFonts w:ascii="宋体" w:hAnsi="宋体" w:cs="宋体"/>
                <w:szCs w:val="21"/>
              </w:rPr>
            </w:pPr>
            <w:r>
              <w:rPr>
                <w:rFonts w:hint="eastAsia" w:ascii="宋体" w:hAnsi="宋体" w:cs="宋体"/>
                <w:szCs w:val="21"/>
              </w:rPr>
              <w:t>区域内低处墙面、把手、栏杆、花瓶、花盆、开关盒、接线盒、各类低处标牌、垃圾桶擦拭</w:t>
            </w:r>
          </w:p>
        </w:tc>
        <w:tc>
          <w:tcPr>
            <w:tcW w:w="1952"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6</w:t>
            </w:r>
          </w:p>
        </w:tc>
        <w:tc>
          <w:tcPr>
            <w:tcW w:w="5886" w:type="dxa"/>
            <w:vAlign w:val="center"/>
          </w:tcPr>
          <w:p>
            <w:pPr>
              <w:spacing w:line="360" w:lineRule="auto"/>
              <w:rPr>
                <w:rFonts w:ascii="宋体" w:hAnsi="宋体" w:cs="宋体"/>
                <w:szCs w:val="21"/>
              </w:rPr>
            </w:pPr>
            <w:r>
              <w:rPr>
                <w:rFonts w:hint="eastAsia" w:ascii="宋体" w:hAnsi="宋体" w:cs="宋体"/>
                <w:szCs w:val="21"/>
              </w:rPr>
              <w:t>公共座椅的清洁擦拭</w:t>
            </w:r>
          </w:p>
        </w:tc>
        <w:tc>
          <w:tcPr>
            <w:tcW w:w="1952" w:type="dxa"/>
            <w:vAlign w:val="center"/>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7</w:t>
            </w:r>
          </w:p>
        </w:tc>
        <w:tc>
          <w:tcPr>
            <w:tcW w:w="5886" w:type="dxa"/>
            <w:vAlign w:val="center"/>
          </w:tcPr>
          <w:p>
            <w:pPr>
              <w:spacing w:line="360" w:lineRule="auto"/>
              <w:rPr>
                <w:rFonts w:ascii="宋体" w:hAnsi="宋体" w:cs="宋体"/>
                <w:szCs w:val="21"/>
              </w:rPr>
            </w:pPr>
            <w:r>
              <w:rPr>
                <w:rFonts w:hint="eastAsia" w:ascii="宋体" w:hAnsi="宋体" w:cs="宋体"/>
                <w:szCs w:val="21"/>
              </w:rPr>
              <w:t>玻璃清洁</w:t>
            </w:r>
          </w:p>
        </w:tc>
        <w:tc>
          <w:tcPr>
            <w:tcW w:w="1952" w:type="dxa"/>
            <w:vAlign w:val="center"/>
          </w:tcPr>
          <w:p>
            <w:pPr>
              <w:spacing w:line="360" w:lineRule="auto"/>
              <w:rPr>
                <w:rFonts w:ascii="宋体" w:hAnsi="宋体" w:cs="宋体"/>
                <w:szCs w:val="21"/>
              </w:rPr>
            </w:pPr>
            <w:r>
              <w:rPr>
                <w:rFonts w:hint="eastAsia" w:ascii="宋体" w:hAnsi="宋体" w:cs="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8</w:t>
            </w:r>
          </w:p>
        </w:tc>
        <w:tc>
          <w:tcPr>
            <w:tcW w:w="5886" w:type="dxa"/>
            <w:vAlign w:val="center"/>
          </w:tcPr>
          <w:p>
            <w:pPr>
              <w:spacing w:line="360" w:lineRule="auto"/>
              <w:rPr>
                <w:rFonts w:ascii="宋体" w:hAnsi="宋体" w:cs="宋体"/>
                <w:szCs w:val="21"/>
              </w:rPr>
            </w:pPr>
            <w:r>
              <w:rPr>
                <w:rFonts w:hint="eastAsia" w:ascii="宋体" w:hAnsi="宋体" w:cs="宋体"/>
                <w:szCs w:val="21"/>
              </w:rPr>
              <w:t>非医疗不锈钢物体表面闪钢保养</w:t>
            </w:r>
          </w:p>
        </w:tc>
        <w:tc>
          <w:tcPr>
            <w:tcW w:w="1952" w:type="dxa"/>
            <w:vAlign w:val="center"/>
          </w:tcPr>
          <w:p>
            <w:pPr>
              <w:spacing w:line="360" w:lineRule="auto"/>
              <w:rPr>
                <w:rFonts w:ascii="宋体" w:hAnsi="宋体" w:cs="宋体"/>
                <w:szCs w:val="21"/>
              </w:rPr>
            </w:pPr>
            <w:r>
              <w:rPr>
                <w:rFonts w:hint="eastAsia" w:ascii="宋体" w:hAnsi="宋体" w:cs="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9</w:t>
            </w:r>
          </w:p>
        </w:tc>
        <w:tc>
          <w:tcPr>
            <w:tcW w:w="5886" w:type="dxa"/>
            <w:vAlign w:val="center"/>
          </w:tcPr>
          <w:p>
            <w:pPr>
              <w:spacing w:line="360" w:lineRule="auto"/>
              <w:rPr>
                <w:rFonts w:ascii="宋体" w:hAnsi="宋体" w:cs="宋体"/>
                <w:szCs w:val="21"/>
              </w:rPr>
            </w:pPr>
            <w:r>
              <w:rPr>
                <w:rFonts w:hint="eastAsia" w:ascii="宋体" w:hAnsi="宋体" w:cs="宋体"/>
                <w:szCs w:val="21"/>
              </w:rPr>
              <w:t>高处墙面、标牌、壁挂物擦拭</w:t>
            </w:r>
          </w:p>
        </w:tc>
        <w:tc>
          <w:tcPr>
            <w:tcW w:w="1952" w:type="dxa"/>
            <w:vAlign w:val="center"/>
          </w:tcPr>
          <w:p>
            <w:pPr>
              <w:spacing w:line="360" w:lineRule="auto"/>
              <w:rPr>
                <w:rFonts w:ascii="宋体" w:hAnsi="宋体" w:cs="宋体"/>
                <w:szCs w:val="21"/>
              </w:rPr>
            </w:pPr>
            <w:r>
              <w:rPr>
                <w:rFonts w:hint="eastAsia" w:ascii="宋体" w:hAnsi="宋体" w:cs="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5886" w:type="dxa"/>
            <w:vAlign w:val="center"/>
          </w:tcPr>
          <w:p>
            <w:pPr>
              <w:spacing w:line="360" w:lineRule="auto"/>
              <w:rPr>
                <w:rFonts w:ascii="宋体" w:hAnsi="宋体" w:cs="宋体"/>
                <w:szCs w:val="21"/>
              </w:rPr>
            </w:pPr>
            <w:r>
              <w:rPr>
                <w:rFonts w:hint="eastAsia" w:ascii="宋体" w:hAnsi="宋体" w:cs="宋体"/>
                <w:szCs w:val="21"/>
              </w:rPr>
              <w:t>高处除尘</w:t>
            </w:r>
          </w:p>
        </w:tc>
        <w:tc>
          <w:tcPr>
            <w:tcW w:w="1952" w:type="dxa"/>
            <w:vAlign w:val="center"/>
          </w:tcPr>
          <w:p>
            <w:pPr>
              <w:spacing w:line="360" w:lineRule="auto"/>
              <w:rPr>
                <w:rFonts w:ascii="宋体" w:hAnsi="宋体" w:cs="宋体"/>
                <w:szCs w:val="21"/>
              </w:rPr>
            </w:pPr>
            <w:r>
              <w:rPr>
                <w:rFonts w:hint="eastAsia" w:ascii="宋体" w:hAnsi="宋体" w:cs="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5886" w:type="dxa"/>
            <w:vAlign w:val="center"/>
          </w:tcPr>
          <w:p>
            <w:pPr>
              <w:spacing w:line="360" w:lineRule="auto"/>
              <w:rPr>
                <w:rFonts w:ascii="宋体" w:hAnsi="宋体" w:cs="宋体"/>
                <w:szCs w:val="21"/>
              </w:rPr>
            </w:pPr>
            <w:r>
              <w:rPr>
                <w:rFonts w:hint="eastAsia" w:ascii="宋体" w:hAnsi="宋体" w:cs="宋体"/>
                <w:szCs w:val="21"/>
              </w:rPr>
              <w:t>灯具、等高处设备擦洗</w:t>
            </w:r>
          </w:p>
        </w:tc>
        <w:tc>
          <w:tcPr>
            <w:tcW w:w="1952" w:type="dxa"/>
            <w:tcBorders>
              <w:bottom w:val="single" w:color="auto" w:sz="4" w:space="0"/>
            </w:tcBorders>
            <w:vAlign w:val="center"/>
          </w:tcPr>
          <w:p>
            <w:pPr>
              <w:spacing w:line="360" w:lineRule="auto"/>
              <w:rPr>
                <w:rFonts w:ascii="宋体" w:hAnsi="宋体" w:cs="宋体"/>
                <w:szCs w:val="21"/>
              </w:rPr>
            </w:pPr>
            <w:r>
              <w:rPr>
                <w:rFonts w:hint="eastAsia" w:ascii="宋体" w:hAnsi="宋体" w:cs="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5886" w:type="dxa"/>
            <w:vAlign w:val="center"/>
          </w:tcPr>
          <w:p>
            <w:pPr>
              <w:spacing w:line="360" w:lineRule="auto"/>
              <w:rPr>
                <w:rFonts w:ascii="宋体" w:hAnsi="宋体" w:cs="宋体"/>
                <w:szCs w:val="21"/>
              </w:rPr>
            </w:pPr>
            <w:r>
              <w:rPr>
                <w:rFonts w:hint="eastAsia" w:ascii="宋体" w:hAnsi="宋体" w:cs="宋体"/>
                <w:szCs w:val="21"/>
              </w:rPr>
              <w:t>PVC地面打蜡</w:t>
            </w:r>
          </w:p>
        </w:tc>
        <w:tc>
          <w:tcPr>
            <w:tcW w:w="1952" w:type="dxa"/>
            <w:vAlign w:val="center"/>
          </w:tcPr>
          <w:p>
            <w:pPr>
              <w:spacing w:line="360" w:lineRule="auto"/>
              <w:rPr>
                <w:rFonts w:ascii="宋体" w:hAnsi="宋体" w:cs="宋体"/>
                <w:szCs w:val="21"/>
              </w:rPr>
            </w:pPr>
            <w:r>
              <w:rPr>
                <w:rFonts w:hint="eastAsia" w:ascii="宋体" w:hAnsi="宋体" w:cs="宋体"/>
                <w:szCs w:val="21"/>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5886" w:type="dxa"/>
            <w:vAlign w:val="center"/>
          </w:tcPr>
          <w:p>
            <w:pPr>
              <w:spacing w:line="360" w:lineRule="auto"/>
              <w:rPr>
                <w:rFonts w:ascii="宋体" w:hAnsi="宋体" w:cs="宋体"/>
                <w:szCs w:val="21"/>
              </w:rPr>
            </w:pPr>
            <w:r>
              <w:rPr>
                <w:rFonts w:hint="eastAsia" w:ascii="宋体" w:hAnsi="宋体" w:cs="宋体"/>
                <w:szCs w:val="21"/>
              </w:rPr>
              <w:t>地毯、踏垫保持地毯干净、松软、无污渍斑点，洗后无色差</w:t>
            </w:r>
          </w:p>
        </w:tc>
        <w:tc>
          <w:tcPr>
            <w:tcW w:w="1952" w:type="dxa"/>
            <w:vAlign w:val="center"/>
          </w:tcPr>
          <w:p>
            <w:pPr>
              <w:spacing w:line="360" w:lineRule="auto"/>
              <w:rPr>
                <w:rFonts w:ascii="宋体" w:hAnsi="宋体" w:cs="宋体"/>
                <w:szCs w:val="21"/>
              </w:rPr>
            </w:pPr>
            <w:r>
              <w:rPr>
                <w:rFonts w:hint="eastAsia" w:ascii="宋体" w:hAnsi="宋体" w:cs="宋体"/>
                <w:szCs w:val="21"/>
              </w:rPr>
              <w:t>每日清扫，每周吸尘清洁，每周局部使用清洁剂清洁，每月一次用清洁剂清洗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5886" w:type="dxa"/>
            <w:vAlign w:val="center"/>
          </w:tcPr>
          <w:p>
            <w:pPr>
              <w:spacing w:line="360" w:lineRule="auto"/>
              <w:rPr>
                <w:rFonts w:ascii="宋体" w:hAnsi="宋体" w:cs="宋体"/>
                <w:szCs w:val="21"/>
              </w:rPr>
            </w:pPr>
            <w:r>
              <w:rPr>
                <w:rFonts w:hint="eastAsia" w:ascii="宋体" w:hAnsi="宋体" w:cs="宋体"/>
                <w:szCs w:val="21"/>
              </w:rPr>
              <w:t>大厅内玻璃除尘、清洗，无尘，光亮</w:t>
            </w:r>
          </w:p>
        </w:tc>
        <w:tc>
          <w:tcPr>
            <w:tcW w:w="1952" w:type="dxa"/>
            <w:vAlign w:val="center"/>
          </w:tcPr>
          <w:p>
            <w:pPr>
              <w:spacing w:line="360" w:lineRule="auto"/>
              <w:rPr>
                <w:rFonts w:ascii="宋体" w:hAnsi="宋体" w:cs="宋体"/>
                <w:szCs w:val="21"/>
              </w:rPr>
            </w:pPr>
            <w:r>
              <w:rPr>
                <w:rFonts w:hint="eastAsia" w:ascii="宋体" w:hAnsi="宋体" w:cs="宋体"/>
                <w:szCs w:val="21"/>
              </w:rPr>
              <w:t>每月全面清尘一次以上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1" w:type="dxa"/>
            <w:vMerge w:val="continue"/>
            <w:vAlign w:val="center"/>
          </w:tcPr>
          <w:p>
            <w:pPr>
              <w:spacing w:line="360" w:lineRule="auto"/>
              <w:rPr>
                <w:rFonts w:ascii="宋体" w:hAnsi="宋体" w:cs="宋体"/>
                <w:szCs w:val="21"/>
              </w:rPr>
            </w:pPr>
          </w:p>
        </w:tc>
        <w:tc>
          <w:tcPr>
            <w:tcW w:w="929"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5886" w:type="dxa"/>
            <w:vAlign w:val="center"/>
          </w:tcPr>
          <w:p>
            <w:pPr>
              <w:spacing w:line="360" w:lineRule="auto"/>
              <w:rPr>
                <w:rFonts w:ascii="宋体" w:hAnsi="宋体" w:cs="宋体"/>
                <w:szCs w:val="21"/>
              </w:rPr>
            </w:pPr>
            <w:r>
              <w:rPr>
                <w:rFonts w:hint="eastAsia" w:ascii="宋体" w:hAnsi="宋体" w:cs="宋体"/>
                <w:szCs w:val="21"/>
              </w:rPr>
              <w:t>巡逻保洁</w:t>
            </w:r>
          </w:p>
        </w:tc>
        <w:tc>
          <w:tcPr>
            <w:tcW w:w="1952" w:type="dxa"/>
            <w:vAlign w:val="center"/>
          </w:tcPr>
          <w:p>
            <w:pPr>
              <w:spacing w:line="360" w:lineRule="auto"/>
              <w:rPr>
                <w:rFonts w:ascii="宋体" w:hAnsi="宋体" w:cs="宋体"/>
                <w:szCs w:val="21"/>
              </w:rPr>
            </w:pPr>
            <w:r>
              <w:rPr>
                <w:rFonts w:hint="eastAsia" w:ascii="宋体" w:hAnsi="宋体" w:cs="宋体"/>
                <w:szCs w:val="21"/>
              </w:rPr>
              <w:t>随  时</w:t>
            </w:r>
          </w:p>
        </w:tc>
      </w:tr>
    </w:tbl>
    <w:p>
      <w:pPr>
        <w:spacing w:line="360" w:lineRule="auto"/>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表6</w:t>
      </w:r>
    </w:p>
    <w:tbl>
      <w:tblPr>
        <w:tblStyle w:val="6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9"/>
        <w:gridCol w:w="4425"/>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360" w:lineRule="auto"/>
              <w:jc w:val="center"/>
              <w:rPr>
                <w:rFonts w:ascii="宋体" w:hAnsi="宋体" w:cs="宋体"/>
                <w:szCs w:val="21"/>
              </w:rPr>
            </w:pPr>
            <w:r>
              <w:rPr>
                <w:rFonts w:hint="eastAsia" w:ascii="宋体" w:hAnsi="宋体" w:cs="宋体"/>
                <w:szCs w:val="21"/>
              </w:rPr>
              <w:t>区域</w:t>
            </w:r>
          </w:p>
        </w:tc>
        <w:tc>
          <w:tcPr>
            <w:tcW w:w="839"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4425" w:type="dxa"/>
            <w:vAlign w:val="center"/>
          </w:tcPr>
          <w:p>
            <w:pPr>
              <w:spacing w:line="360" w:lineRule="auto"/>
              <w:jc w:val="center"/>
              <w:rPr>
                <w:rFonts w:ascii="宋体" w:hAnsi="宋体" w:cs="宋体"/>
                <w:szCs w:val="21"/>
              </w:rPr>
            </w:pPr>
            <w:r>
              <w:rPr>
                <w:rFonts w:hint="eastAsia" w:ascii="宋体" w:hAnsi="宋体" w:cs="宋体"/>
                <w:szCs w:val="21"/>
              </w:rPr>
              <w:t>工作内容</w:t>
            </w:r>
          </w:p>
        </w:tc>
        <w:tc>
          <w:tcPr>
            <w:tcW w:w="3526" w:type="dxa"/>
            <w:vAlign w:val="center"/>
          </w:tcPr>
          <w:p>
            <w:pPr>
              <w:spacing w:line="360" w:lineRule="auto"/>
              <w:jc w:val="center"/>
              <w:rPr>
                <w:rFonts w:ascii="宋体" w:hAnsi="宋体" w:cs="宋体"/>
                <w:szCs w:val="21"/>
              </w:rPr>
            </w:pPr>
            <w:r>
              <w:rPr>
                <w:rFonts w:hint="eastAsia" w:ascii="宋体" w:hAnsi="宋体" w:cs="宋体"/>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restart"/>
            <w:vAlign w:val="center"/>
          </w:tcPr>
          <w:p>
            <w:pPr>
              <w:spacing w:line="360" w:lineRule="auto"/>
              <w:jc w:val="center"/>
              <w:rPr>
                <w:rFonts w:ascii="宋体" w:hAnsi="宋体" w:cs="宋体"/>
                <w:szCs w:val="21"/>
              </w:rPr>
            </w:pPr>
            <w:r>
              <w:rPr>
                <w:rFonts w:hint="eastAsia" w:ascii="宋体" w:hAnsi="宋体" w:cs="宋体"/>
                <w:szCs w:val="21"/>
              </w:rPr>
              <w:t>室</w:t>
            </w:r>
          </w:p>
          <w:p>
            <w:pPr>
              <w:spacing w:line="360" w:lineRule="auto"/>
              <w:jc w:val="center"/>
              <w:rPr>
                <w:rFonts w:ascii="宋体" w:hAnsi="宋体" w:cs="宋体"/>
                <w:szCs w:val="21"/>
              </w:rPr>
            </w:pPr>
            <w:r>
              <w:rPr>
                <w:rFonts w:hint="eastAsia" w:ascii="宋体" w:hAnsi="宋体" w:cs="宋体"/>
                <w:szCs w:val="21"/>
              </w:rPr>
              <w:t>外</w:t>
            </w:r>
          </w:p>
          <w:p>
            <w:pPr>
              <w:spacing w:line="360" w:lineRule="auto"/>
              <w:jc w:val="center"/>
              <w:rPr>
                <w:rFonts w:ascii="宋体" w:hAnsi="宋体" w:cs="宋体"/>
                <w:szCs w:val="21"/>
              </w:rPr>
            </w:pPr>
            <w:r>
              <w:rPr>
                <w:rFonts w:hint="eastAsia" w:ascii="宋体" w:hAnsi="宋体" w:cs="宋体"/>
                <w:szCs w:val="21"/>
              </w:rPr>
              <w:t>公</w:t>
            </w:r>
          </w:p>
          <w:p>
            <w:pPr>
              <w:spacing w:line="360" w:lineRule="auto"/>
              <w:jc w:val="center"/>
              <w:rPr>
                <w:rFonts w:ascii="宋体" w:hAnsi="宋体" w:cs="宋体"/>
                <w:szCs w:val="21"/>
              </w:rPr>
            </w:pPr>
            <w:r>
              <w:rPr>
                <w:rFonts w:hint="eastAsia" w:ascii="宋体" w:hAnsi="宋体" w:cs="宋体"/>
                <w:szCs w:val="21"/>
              </w:rPr>
              <w:t>共</w:t>
            </w:r>
          </w:p>
          <w:p>
            <w:pPr>
              <w:spacing w:line="360" w:lineRule="auto"/>
              <w:jc w:val="center"/>
              <w:rPr>
                <w:rFonts w:ascii="宋体" w:hAnsi="宋体" w:cs="宋体"/>
                <w:szCs w:val="21"/>
              </w:rPr>
            </w:pPr>
            <w:r>
              <w:rPr>
                <w:rFonts w:hint="eastAsia" w:ascii="宋体" w:hAnsi="宋体" w:cs="宋体"/>
                <w:szCs w:val="21"/>
              </w:rPr>
              <w:t>区</w:t>
            </w:r>
          </w:p>
          <w:p>
            <w:pPr>
              <w:spacing w:line="360" w:lineRule="auto"/>
              <w:jc w:val="center"/>
              <w:rPr>
                <w:rFonts w:ascii="宋体" w:hAnsi="宋体" w:cs="宋体"/>
                <w:szCs w:val="21"/>
              </w:rPr>
            </w:pPr>
            <w:r>
              <w:rPr>
                <w:rFonts w:hint="eastAsia" w:ascii="宋体" w:hAnsi="宋体" w:cs="宋体"/>
                <w:szCs w:val="21"/>
              </w:rPr>
              <w:t>域</w:t>
            </w:r>
          </w:p>
        </w:tc>
        <w:tc>
          <w:tcPr>
            <w:tcW w:w="839" w:type="dxa"/>
          </w:tcPr>
          <w:p>
            <w:pPr>
              <w:spacing w:line="360" w:lineRule="auto"/>
              <w:jc w:val="center"/>
              <w:rPr>
                <w:rFonts w:ascii="宋体" w:hAnsi="宋体" w:cs="宋体"/>
                <w:szCs w:val="21"/>
              </w:rPr>
            </w:pPr>
            <w:r>
              <w:rPr>
                <w:rFonts w:hint="eastAsia" w:ascii="宋体" w:hAnsi="宋体" w:cs="宋体"/>
                <w:szCs w:val="21"/>
              </w:rPr>
              <w:t>1</w:t>
            </w:r>
          </w:p>
        </w:tc>
        <w:tc>
          <w:tcPr>
            <w:tcW w:w="4425" w:type="dxa"/>
          </w:tcPr>
          <w:p>
            <w:pPr>
              <w:spacing w:line="360" w:lineRule="auto"/>
              <w:rPr>
                <w:rFonts w:ascii="宋体" w:hAnsi="宋体" w:cs="宋体"/>
                <w:szCs w:val="21"/>
              </w:rPr>
            </w:pPr>
            <w:r>
              <w:rPr>
                <w:rFonts w:hint="eastAsia" w:ascii="宋体" w:hAnsi="宋体" w:cs="宋体"/>
                <w:szCs w:val="21"/>
              </w:rPr>
              <w:t>收集区域内垃圾、更换垃圾袋(达3/4满随时更换)</w:t>
            </w:r>
          </w:p>
        </w:tc>
        <w:tc>
          <w:tcPr>
            <w:tcW w:w="3526" w:type="dxa"/>
          </w:tcPr>
          <w:p>
            <w:pPr>
              <w:spacing w:line="360" w:lineRule="auto"/>
              <w:rPr>
                <w:rFonts w:ascii="宋体" w:hAnsi="宋体" w:cs="宋体"/>
                <w:szCs w:val="21"/>
              </w:rPr>
            </w:pPr>
            <w:r>
              <w:rPr>
                <w:rFonts w:hint="eastAsia" w:ascii="宋体" w:hAnsi="宋体" w:cs="宋体"/>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2</w:t>
            </w:r>
          </w:p>
        </w:tc>
        <w:tc>
          <w:tcPr>
            <w:tcW w:w="4425" w:type="dxa"/>
          </w:tcPr>
          <w:p>
            <w:pPr>
              <w:spacing w:line="360" w:lineRule="auto"/>
              <w:rPr>
                <w:rFonts w:ascii="宋体" w:hAnsi="宋体" w:cs="宋体"/>
                <w:szCs w:val="21"/>
              </w:rPr>
            </w:pPr>
            <w:r>
              <w:rPr>
                <w:rFonts w:hint="eastAsia" w:ascii="宋体" w:hAnsi="宋体" w:cs="宋体"/>
                <w:szCs w:val="21"/>
              </w:rPr>
              <w:t>区域内垃圾桶刷洗</w:t>
            </w:r>
          </w:p>
        </w:tc>
        <w:tc>
          <w:tcPr>
            <w:tcW w:w="3526" w:type="dxa"/>
          </w:tcPr>
          <w:p>
            <w:pPr>
              <w:spacing w:line="360" w:lineRule="auto"/>
              <w:rPr>
                <w:rFonts w:ascii="宋体" w:hAnsi="宋体" w:cs="宋体"/>
                <w:szCs w:val="21"/>
              </w:rPr>
            </w:pPr>
            <w:r>
              <w:rPr>
                <w:rFonts w:hint="eastAsia" w:ascii="宋体" w:hAnsi="宋体" w:cs="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3</w:t>
            </w:r>
          </w:p>
        </w:tc>
        <w:tc>
          <w:tcPr>
            <w:tcW w:w="4425" w:type="dxa"/>
          </w:tcPr>
          <w:p>
            <w:pPr>
              <w:spacing w:line="360" w:lineRule="auto"/>
              <w:rPr>
                <w:rFonts w:ascii="宋体" w:hAnsi="宋体" w:cs="宋体"/>
                <w:szCs w:val="21"/>
              </w:rPr>
            </w:pPr>
            <w:r>
              <w:rPr>
                <w:rFonts w:hint="eastAsia" w:ascii="宋体" w:hAnsi="宋体" w:cs="宋体"/>
                <w:szCs w:val="21"/>
              </w:rPr>
              <w:t>明沟、暗沟月彻底清理，如有堵塞情况，及时疏通</w:t>
            </w:r>
          </w:p>
        </w:tc>
        <w:tc>
          <w:tcPr>
            <w:tcW w:w="3526" w:type="dxa"/>
          </w:tcPr>
          <w:p>
            <w:pPr>
              <w:spacing w:line="360" w:lineRule="auto"/>
              <w:rPr>
                <w:rFonts w:ascii="宋体" w:hAnsi="宋体" w:cs="宋体"/>
                <w:szCs w:val="21"/>
              </w:rPr>
            </w:pPr>
            <w:r>
              <w:rPr>
                <w:rFonts w:hint="eastAsia" w:ascii="宋体" w:hAnsi="宋体" w:cs="宋体"/>
                <w:szCs w:val="21"/>
              </w:rPr>
              <w:t>每周1次以上、雨季每周2次以上（天气预报为中、大雨量及以上时，提前4小时清理1次）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4</w:t>
            </w:r>
          </w:p>
        </w:tc>
        <w:tc>
          <w:tcPr>
            <w:tcW w:w="4425" w:type="dxa"/>
          </w:tcPr>
          <w:p>
            <w:pPr>
              <w:spacing w:line="360" w:lineRule="auto"/>
              <w:rPr>
                <w:rFonts w:ascii="宋体" w:hAnsi="宋体" w:cs="宋体"/>
                <w:szCs w:val="21"/>
              </w:rPr>
            </w:pPr>
            <w:r>
              <w:rPr>
                <w:rFonts w:hint="eastAsia" w:ascii="宋体" w:hAnsi="宋体" w:cs="宋体"/>
                <w:szCs w:val="21"/>
              </w:rPr>
              <w:t>路灯除尘</w:t>
            </w:r>
          </w:p>
        </w:tc>
        <w:tc>
          <w:tcPr>
            <w:tcW w:w="3526" w:type="dxa"/>
          </w:tcPr>
          <w:p>
            <w:pPr>
              <w:spacing w:line="360" w:lineRule="auto"/>
              <w:rPr>
                <w:rFonts w:ascii="宋体" w:hAnsi="宋体" w:cs="宋体"/>
                <w:szCs w:val="21"/>
              </w:rPr>
            </w:pPr>
            <w:r>
              <w:rPr>
                <w:rFonts w:hint="eastAsia" w:ascii="宋体" w:hAnsi="宋体" w:cs="宋体"/>
                <w:szCs w:val="21"/>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5</w:t>
            </w:r>
          </w:p>
        </w:tc>
        <w:tc>
          <w:tcPr>
            <w:tcW w:w="4425" w:type="dxa"/>
          </w:tcPr>
          <w:p>
            <w:pPr>
              <w:spacing w:line="360" w:lineRule="auto"/>
              <w:rPr>
                <w:rFonts w:ascii="宋体" w:hAnsi="宋体" w:cs="宋体"/>
                <w:szCs w:val="21"/>
              </w:rPr>
            </w:pPr>
            <w:r>
              <w:rPr>
                <w:rFonts w:hint="eastAsia" w:ascii="宋体" w:hAnsi="宋体" w:cs="宋体"/>
                <w:szCs w:val="21"/>
              </w:rPr>
              <w:t>各出入口地面清扫、收集垃圾、水力冲洗，走廊</w:t>
            </w:r>
          </w:p>
        </w:tc>
        <w:tc>
          <w:tcPr>
            <w:tcW w:w="3526" w:type="dxa"/>
          </w:tcPr>
          <w:p>
            <w:pPr>
              <w:spacing w:line="360" w:lineRule="auto"/>
              <w:rPr>
                <w:rFonts w:ascii="宋体" w:hAnsi="宋体" w:cs="宋体"/>
                <w:szCs w:val="21"/>
              </w:rPr>
            </w:pPr>
            <w:r>
              <w:rPr>
                <w:rFonts w:hint="eastAsia" w:ascii="宋体" w:hAnsi="宋体" w:cs="宋体"/>
                <w:szCs w:val="21"/>
              </w:rPr>
              <w:t>循环清扫，每周冲洗1次以上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6</w:t>
            </w:r>
          </w:p>
        </w:tc>
        <w:tc>
          <w:tcPr>
            <w:tcW w:w="4425" w:type="dxa"/>
          </w:tcPr>
          <w:p>
            <w:pPr>
              <w:spacing w:line="360" w:lineRule="auto"/>
              <w:rPr>
                <w:rFonts w:ascii="宋体" w:hAnsi="宋体" w:cs="宋体"/>
                <w:szCs w:val="21"/>
              </w:rPr>
            </w:pPr>
            <w:r>
              <w:rPr>
                <w:rFonts w:hint="eastAsia" w:ascii="宋体" w:hAnsi="宋体" w:cs="宋体"/>
                <w:szCs w:val="21"/>
              </w:rPr>
              <w:t>广场及道路清扫、收集垃圾、水力冲洗</w:t>
            </w:r>
          </w:p>
        </w:tc>
        <w:tc>
          <w:tcPr>
            <w:tcW w:w="3526" w:type="dxa"/>
          </w:tcPr>
          <w:p>
            <w:pPr>
              <w:spacing w:line="360" w:lineRule="auto"/>
              <w:rPr>
                <w:rFonts w:ascii="宋体" w:hAnsi="宋体" w:cs="宋体"/>
                <w:szCs w:val="21"/>
              </w:rPr>
            </w:pPr>
            <w:r>
              <w:rPr>
                <w:rFonts w:hint="eastAsia" w:ascii="宋体" w:hAnsi="宋体" w:cs="宋体"/>
                <w:szCs w:val="21"/>
              </w:rPr>
              <w:t>循环清扫，每周冲洗1次以上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7</w:t>
            </w:r>
          </w:p>
        </w:tc>
        <w:tc>
          <w:tcPr>
            <w:tcW w:w="4425" w:type="dxa"/>
          </w:tcPr>
          <w:p>
            <w:pPr>
              <w:spacing w:line="360" w:lineRule="auto"/>
              <w:rPr>
                <w:rFonts w:ascii="宋体" w:hAnsi="宋体" w:cs="宋体"/>
                <w:szCs w:val="21"/>
              </w:rPr>
            </w:pPr>
            <w:r>
              <w:rPr>
                <w:rFonts w:hint="eastAsia" w:ascii="宋体" w:hAnsi="宋体" w:cs="宋体"/>
                <w:szCs w:val="21"/>
              </w:rPr>
              <w:t>外墙及外露管道（二米以下）除尘，无积灰、污渍</w:t>
            </w:r>
          </w:p>
        </w:tc>
        <w:tc>
          <w:tcPr>
            <w:tcW w:w="3526" w:type="dxa"/>
          </w:tcPr>
          <w:p>
            <w:pPr>
              <w:spacing w:line="360" w:lineRule="auto"/>
              <w:rPr>
                <w:rFonts w:ascii="宋体" w:hAnsi="宋体" w:cs="宋体"/>
                <w:szCs w:val="21"/>
              </w:rPr>
            </w:pPr>
            <w:r>
              <w:rPr>
                <w:rFonts w:hint="eastAsia" w:ascii="宋体" w:hAnsi="宋体" w:cs="宋体"/>
                <w:szCs w:val="21"/>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8</w:t>
            </w:r>
          </w:p>
        </w:tc>
        <w:tc>
          <w:tcPr>
            <w:tcW w:w="4425" w:type="dxa"/>
          </w:tcPr>
          <w:p>
            <w:pPr>
              <w:spacing w:line="360" w:lineRule="auto"/>
              <w:rPr>
                <w:rFonts w:ascii="宋体" w:hAnsi="宋体" w:cs="宋体"/>
                <w:szCs w:val="21"/>
              </w:rPr>
            </w:pPr>
            <w:r>
              <w:rPr>
                <w:rFonts w:hint="eastAsia" w:ascii="宋体" w:hAnsi="宋体" w:cs="宋体"/>
                <w:szCs w:val="21"/>
              </w:rPr>
              <w:t>屋顶及周边清扫、收集垃圾、刷洗、清洁堵塞物</w:t>
            </w:r>
          </w:p>
        </w:tc>
        <w:tc>
          <w:tcPr>
            <w:tcW w:w="3526" w:type="dxa"/>
          </w:tcPr>
          <w:p>
            <w:pPr>
              <w:spacing w:line="360" w:lineRule="auto"/>
              <w:rPr>
                <w:rFonts w:ascii="宋体" w:hAnsi="宋体" w:cs="宋体"/>
                <w:szCs w:val="21"/>
              </w:rPr>
            </w:pPr>
            <w:r>
              <w:rPr>
                <w:rFonts w:hint="eastAsia" w:ascii="宋体" w:hAnsi="宋体" w:cs="宋体"/>
                <w:szCs w:val="21"/>
              </w:rPr>
              <w:t>每日清扫，雨雪天气、台风季节重点清扫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9</w:t>
            </w:r>
          </w:p>
        </w:tc>
        <w:tc>
          <w:tcPr>
            <w:tcW w:w="4425" w:type="dxa"/>
          </w:tcPr>
          <w:p>
            <w:pPr>
              <w:spacing w:line="360" w:lineRule="auto"/>
              <w:rPr>
                <w:rFonts w:ascii="宋体" w:hAnsi="宋体" w:cs="宋体"/>
                <w:szCs w:val="21"/>
              </w:rPr>
            </w:pPr>
            <w:r>
              <w:rPr>
                <w:rFonts w:hint="eastAsia" w:ascii="宋体" w:hAnsi="宋体" w:cs="宋体"/>
                <w:szCs w:val="21"/>
              </w:rPr>
              <w:t>公共座椅保洁</w:t>
            </w:r>
          </w:p>
        </w:tc>
        <w:tc>
          <w:tcPr>
            <w:tcW w:w="3526" w:type="dxa"/>
          </w:tcPr>
          <w:p>
            <w:pPr>
              <w:spacing w:line="360" w:lineRule="auto"/>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10</w:t>
            </w:r>
          </w:p>
        </w:tc>
        <w:tc>
          <w:tcPr>
            <w:tcW w:w="4425" w:type="dxa"/>
          </w:tcPr>
          <w:p>
            <w:pPr>
              <w:spacing w:line="360" w:lineRule="auto"/>
              <w:rPr>
                <w:rFonts w:ascii="宋体" w:hAnsi="宋体" w:cs="宋体"/>
                <w:szCs w:val="21"/>
              </w:rPr>
            </w:pPr>
            <w:r>
              <w:rPr>
                <w:rFonts w:hint="eastAsia" w:ascii="宋体" w:hAnsi="宋体" w:cs="宋体"/>
                <w:szCs w:val="21"/>
              </w:rPr>
              <w:t>玻璃清洁</w:t>
            </w:r>
          </w:p>
        </w:tc>
        <w:tc>
          <w:tcPr>
            <w:tcW w:w="3526" w:type="dxa"/>
          </w:tcPr>
          <w:p>
            <w:pPr>
              <w:spacing w:line="360" w:lineRule="auto"/>
              <w:rPr>
                <w:rFonts w:ascii="宋体" w:hAnsi="宋体" w:cs="宋体"/>
                <w:szCs w:val="21"/>
              </w:rPr>
            </w:pPr>
            <w:r>
              <w:rPr>
                <w:rFonts w:hint="eastAsia" w:ascii="宋体" w:hAnsi="宋体" w:cs="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11</w:t>
            </w:r>
          </w:p>
        </w:tc>
        <w:tc>
          <w:tcPr>
            <w:tcW w:w="4425" w:type="dxa"/>
          </w:tcPr>
          <w:p>
            <w:pPr>
              <w:spacing w:line="360" w:lineRule="auto"/>
              <w:rPr>
                <w:rFonts w:ascii="宋体" w:hAnsi="宋体" w:cs="宋体"/>
                <w:szCs w:val="21"/>
              </w:rPr>
            </w:pPr>
            <w:r>
              <w:rPr>
                <w:rFonts w:hint="eastAsia" w:ascii="宋体" w:hAnsi="宋体" w:cs="宋体"/>
                <w:szCs w:val="21"/>
              </w:rPr>
              <w:t>外墙金属嵌条、标志牌除尘无积灰、污渍</w:t>
            </w:r>
          </w:p>
        </w:tc>
        <w:tc>
          <w:tcPr>
            <w:tcW w:w="3526" w:type="dxa"/>
          </w:tcPr>
          <w:p>
            <w:pPr>
              <w:spacing w:line="360" w:lineRule="auto"/>
              <w:rPr>
                <w:rFonts w:ascii="宋体" w:hAnsi="宋体" w:cs="宋体"/>
                <w:szCs w:val="21"/>
              </w:rPr>
            </w:pPr>
            <w:r>
              <w:rPr>
                <w:rFonts w:hint="eastAsia" w:ascii="宋体" w:hAnsi="宋体" w:cs="宋体"/>
                <w:szCs w:val="21"/>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12</w:t>
            </w:r>
          </w:p>
        </w:tc>
        <w:tc>
          <w:tcPr>
            <w:tcW w:w="44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雨棚，屋顶采光棚</w:t>
            </w:r>
          </w:p>
        </w:tc>
        <w:tc>
          <w:tcPr>
            <w:tcW w:w="35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每周清洗1次以上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13</w:t>
            </w:r>
          </w:p>
        </w:tc>
        <w:tc>
          <w:tcPr>
            <w:tcW w:w="44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监控探头除尘</w:t>
            </w:r>
          </w:p>
        </w:tc>
        <w:tc>
          <w:tcPr>
            <w:tcW w:w="35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每半年清洗1次以上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14</w:t>
            </w:r>
          </w:p>
        </w:tc>
        <w:tc>
          <w:tcPr>
            <w:tcW w:w="44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室外绿地清扫，无垃圾、无杂物</w:t>
            </w:r>
          </w:p>
        </w:tc>
        <w:tc>
          <w:tcPr>
            <w:tcW w:w="35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每天清洁1次以上，随时清扫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838" w:type="dxa"/>
            <w:vMerge w:val="continue"/>
          </w:tcPr>
          <w:p>
            <w:pPr>
              <w:spacing w:line="360" w:lineRule="auto"/>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15</w:t>
            </w:r>
          </w:p>
        </w:tc>
        <w:tc>
          <w:tcPr>
            <w:tcW w:w="44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巡逻保洁</w:t>
            </w:r>
          </w:p>
        </w:tc>
        <w:tc>
          <w:tcPr>
            <w:tcW w:w="35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随  时</w:t>
            </w:r>
          </w:p>
        </w:tc>
      </w:tr>
    </w:tbl>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表7</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9"/>
        <w:gridCol w:w="4425"/>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360" w:lineRule="auto"/>
              <w:jc w:val="center"/>
              <w:rPr>
                <w:rFonts w:ascii="宋体" w:hAnsi="宋体" w:cs="宋体"/>
                <w:szCs w:val="21"/>
              </w:rPr>
            </w:pPr>
            <w:r>
              <w:rPr>
                <w:rFonts w:hint="eastAsia" w:ascii="宋体" w:hAnsi="宋体" w:cs="宋体"/>
                <w:szCs w:val="21"/>
              </w:rPr>
              <w:t>区域</w:t>
            </w:r>
          </w:p>
        </w:tc>
        <w:tc>
          <w:tcPr>
            <w:tcW w:w="839"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4425" w:type="dxa"/>
            <w:vAlign w:val="center"/>
          </w:tcPr>
          <w:p>
            <w:pPr>
              <w:spacing w:line="360" w:lineRule="auto"/>
              <w:jc w:val="center"/>
              <w:rPr>
                <w:rFonts w:ascii="宋体" w:hAnsi="宋体" w:cs="宋体"/>
                <w:szCs w:val="21"/>
              </w:rPr>
            </w:pPr>
            <w:r>
              <w:rPr>
                <w:rFonts w:hint="eastAsia" w:ascii="宋体" w:hAnsi="宋体" w:cs="宋体"/>
                <w:szCs w:val="21"/>
              </w:rPr>
              <w:t>工作内容</w:t>
            </w:r>
          </w:p>
        </w:tc>
        <w:tc>
          <w:tcPr>
            <w:tcW w:w="3526" w:type="dxa"/>
            <w:vAlign w:val="center"/>
          </w:tcPr>
          <w:p>
            <w:pPr>
              <w:spacing w:line="360" w:lineRule="auto"/>
              <w:jc w:val="center"/>
              <w:rPr>
                <w:rFonts w:ascii="宋体" w:hAnsi="宋体" w:cs="宋体"/>
                <w:szCs w:val="21"/>
              </w:rPr>
            </w:pPr>
            <w:r>
              <w:rPr>
                <w:rFonts w:hint="eastAsia" w:ascii="宋体" w:hAnsi="宋体" w:cs="宋体"/>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restart"/>
          </w:tcPr>
          <w:p>
            <w:pPr>
              <w:spacing w:line="360" w:lineRule="auto"/>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电</w:t>
            </w: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梯</w:t>
            </w:r>
          </w:p>
          <w:p>
            <w:pPr>
              <w:spacing w:line="360" w:lineRule="auto"/>
              <w:rPr>
                <w:rFonts w:ascii="宋体" w:hAnsi="宋体" w:cs="宋体"/>
                <w:szCs w:val="21"/>
              </w:rPr>
            </w:pPr>
          </w:p>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1</w:t>
            </w:r>
          </w:p>
        </w:tc>
        <w:tc>
          <w:tcPr>
            <w:tcW w:w="4425" w:type="dxa"/>
            <w:vAlign w:val="center"/>
          </w:tcPr>
          <w:p>
            <w:pPr>
              <w:spacing w:line="360" w:lineRule="auto"/>
              <w:rPr>
                <w:rFonts w:ascii="宋体" w:hAnsi="宋体" w:cs="宋体"/>
                <w:szCs w:val="21"/>
              </w:rPr>
            </w:pPr>
            <w:r>
              <w:rPr>
                <w:rFonts w:hint="eastAsia" w:ascii="宋体" w:hAnsi="宋体" w:cs="宋体"/>
                <w:szCs w:val="21"/>
              </w:rPr>
              <w:t>区域内地面扫尘并地面湿拖（进行地面消毒、清洁）</w:t>
            </w:r>
          </w:p>
        </w:tc>
        <w:tc>
          <w:tcPr>
            <w:tcW w:w="3526" w:type="dxa"/>
            <w:vAlign w:val="center"/>
          </w:tcPr>
          <w:p>
            <w:pPr>
              <w:spacing w:line="360" w:lineRule="auto"/>
              <w:rPr>
                <w:rFonts w:ascii="宋体" w:hAnsi="宋体" w:cs="宋体"/>
                <w:szCs w:val="21"/>
              </w:rPr>
            </w:pPr>
            <w:r>
              <w:rPr>
                <w:rFonts w:hint="eastAsia" w:ascii="宋体" w:hAnsi="宋体" w:cs="宋体"/>
                <w:szCs w:val="21"/>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2</w:t>
            </w:r>
          </w:p>
        </w:tc>
        <w:tc>
          <w:tcPr>
            <w:tcW w:w="4425" w:type="dxa"/>
            <w:vAlign w:val="center"/>
          </w:tcPr>
          <w:p>
            <w:pPr>
              <w:spacing w:line="360" w:lineRule="auto"/>
              <w:rPr>
                <w:rFonts w:ascii="宋体" w:hAnsi="宋体" w:cs="宋体"/>
                <w:szCs w:val="21"/>
              </w:rPr>
            </w:pPr>
            <w:r>
              <w:rPr>
                <w:rFonts w:hint="eastAsia" w:ascii="宋体" w:hAnsi="宋体" w:cs="宋体"/>
                <w:szCs w:val="21"/>
              </w:rPr>
              <w:t>墙面，木质（除尘）铝合金（上保护剂）、镜面清洁，无灰尘及手印，光亮</w:t>
            </w:r>
          </w:p>
        </w:tc>
        <w:tc>
          <w:tcPr>
            <w:tcW w:w="3526" w:type="dxa"/>
          </w:tcPr>
          <w:p>
            <w:pPr>
              <w:spacing w:line="360" w:lineRule="auto"/>
              <w:rPr>
                <w:rFonts w:ascii="宋体" w:hAnsi="宋体" w:cs="宋体"/>
                <w:szCs w:val="21"/>
              </w:rPr>
            </w:pPr>
            <w:r>
              <w:rPr>
                <w:rFonts w:hint="eastAsia" w:ascii="宋体" w:hAnsi="宋体" w:cs="宋体"/>
                <w:szCs w:val="21"/>
              </w:rPr>
              <w:t>每日保洁，每周清洁、上光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3</w:t>
            </w:r>
          </w:p>
        </w:tc>
        <w:tc>
          <w:tcPr>
            <w:tcW w:w="4425" w:type="dxa"/>
            <w:vAlign w:val="center"/>
          </w:tcPr>
          <w:p>
            <w:pPr>
              <w:spacing w:line="360" w:lineRule="auto"/>
              <w:rPr>
                <w:rFonts w:ascii="宋体" w:hAnsi="宋体" w:cs="宋体"/>
                <w:szCs w:val="21"/>
              </w:rPr>
            </w:pPr>
            <w:r>
              <w:rPr>
                <w:rFonts w:hint="eastAsia" w:ascii="宋体" w:hAnsi="宋体" w:cs="宋体"/>
                <w:szCs w:val="21"/>
              </w:rPr>
              <w:t>门（内外）抹净（上保护剂），无灰尘及手印，光亮</w:t>
            </w:r>
          </w:p>
        </w:tc>
        <w:tc>
          <w:tcPr>
            <w:tcW w:w="3526" w:type="dxa"/>
          </w:tcPr>
          <w:p>
            <w:pPr>
              <w:spacing w:line="360" w:lineRule="auto"/>
              <w:rPr>
                <w:rFonts w:ascii="宋体" w:hAnsi="宋体" w:cs="宋体"/>
                <w:szCs w:val="21"/>
              </w:rPr>
            </w:pPr>
            <w:r>
              <w:rPr>
                <w:rFonts w:hint="eastAsia" w:ascii="宋体" w:hAnsi="宋体" w:cs="宋体"/>
                <w:szCs w:val="21"/>
              </w:rPr>
              <w:t>循环保洁，每周清洁、上光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4</w:t>
            </w:r>
          </w:p>
        </w:tc>
        <w:tc>
          <w:tcPr>
            <w:tcW w:w="4425" w:type="dxa"/>
            <w:vAlign w:val="center"/>
          </w:tcPr>
          <w:p>
            <w:pPr>
              <w:spacing w:line="360" w:lineRule="auto"/>
              <w:rPr>
                <w:rFonts w:ascii="宋体" w:hAnsi="宋体" w:cs="宋体"/>
                <w:szCs w:val="21"/>
              </w:rPr>
            </w:pPr>
            <w:r>
              <w:rPr>
                <w:rFonts w:hint="eastAsia" w:ascii="宋体" w:hAnsi="宋体" w:cs="宋体"/>
                <w:szCs w:val="21"/>
              </w:rPr>
              <w:t>门槽清除垃圾、杂物，无灰尘及垃圾，光亮</w:t>
            </w:r>
          </w:p>
        </w:tc>
        <w:tc>
          <w:tcPr>
            <w:tcW w:w="3526" w:type="dxa"/>
          </w:tcPr>
          <w:p>
            <w:pPr>
              <w:spacing w:line="360" w:lineRule="auto"/>
              <w:rPr>
                <w:rFonts w:ascii="宋体" w:hAnsi="宋体" w:cs="宋体"/>
                <w:szCs w:val="21"/>
              </w:rPr>
            </w:pPr>
            <w:r>
              <w:rPr>
                <w:rFonts w:hint="eastAsia" w:ascii="宋体" w:hAnsi="宋体" w:cs="宋体"/>
                <w:szCs w:val="21"/>
              </w:rPr>
              <w:t>每日及时清除，每周清洁、上光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5</w:t>
            </w:r>
          </w:p>
        </w:tc>
        <w:tc>
          <w:tcPr>
            <w:tcW w:w="4425" w:type="dxa"/>
            <w:vAlign w:val="center"/>
          </w:tcPr>
          <w:p>
            <w:pPr>
              <w:spacing w:line="360" w:lineRule="auto"/>
              <w:rPr>
                <w:rFonts w:ascii="宋体" w:hAnsi="宋体" w:cs="宋体"/>
                <w:szCs w:val="21"/>
              </w:rPr>
            </w:pPr>
            <w:r>
              <w:rPr>
                <w:rFonts w:hint="eastAsia" w:ascii="宋体" w:hAnsi="宋体" w:cs="宋体"/>
                <w:szCs w:val="21"/>
              </w:rPr>
              <w:t>指示牌和按钮除尘，无灰尘、无手印</w:t>
            </w:r>
          </w:p>
        </w:tc>
        <w:tc>
          <w:tcPr>
            <w:tcW w:w="3526" w:type="dxa"/>
          </w:tcPr>
          <w:p>
            <w:pPr>
              <w:spacing w:line="360" w:lineRule="auto"/>
              <w:rPr>
                <w:rFonts w:ascii="宋体" w:hAnsi="宋体" w:cs="宋体"/>
                <w:szCs w:val="21"/>
              </w:rPr>
            </w:pPr>
            <w:r>
              <w:rPr>
                <w:rFonts w:hint="eastAsia" w:ascii="宋体" w:hAnsi="宋体" w:cs="宋体"/>
                <w:szCs w:val="21"/>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6</w:t>
            </w:r>
          </w:p>
        </w:tc>
        <w:tc>
          <w:tcPr>
            <w:tcW w:w="4425" w:type="dxa"/>
            <w:vAlign w:val="center"/>
          </w:tcPr>
          <w:p>
            <w:pPr>
              <w:spacing w:line="360" w:lineRule="auto"/>
              <w:rPr>
                <w:rFonts w:ascii="宋体" w:hAnsi="宋体" w:cs="宋体"/>
                <w:szCs w:val="21"/>
              </w:rPr>
            </w:pPr>
            <w:r>
              <w:rPr>
                <w:rFonts w:hint="eastAsia" w:ascii="宋体" w:hAnsi="宋体" w:cs="宋体"/>
                <w:szCs w:val="21"/>
              </w:rPr>
              <w:t>灯片和风口除尘无灰尘</w:t>
            </w:r>
          </w:p>
        </w:tc>
        <w:tc>
          <w:tcPr>
            <w:tcW w:w="3526" w:type="dxa"/>
          </w:tcPr>
          <w:p>
            <w:pPr>
              <w:spacing w:line="360" w:lineRule="auto"/>
              <w:rPr>
                <w:rFonts w:ascii="宋体" w:hAnsi="宋体" w:cs="宋体"/>
                <w:szCs w:val="21"/>
              </w:rPr>
            </w:pPr>
            <w:r>
              <w:rPr>
                <w:rFonts w:hint="eastAsia" w:ascii="宋体" w:hAnsi="宋体" w:cs="宋体"/>
                <w:szCs w:val="21"/>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7</w:t>
            </w:r>
          </w:p>
        </w:tc>
        <w:tc>
          <w:tcPr>
            <w:tcW w:w="4425" w:type="dxa"/>
            <w:vAlign w:val="center"/>
          </w:tcPr>
          <w:p>
            <w:pPr>
              <w:spacing w:line="360" w:lineRule="auto"/>
              <w:rPr>
                <w:rFonts w:ascii="宋体" w:hAnsi="宋体" w:cs="宋体"/>
                <w:szCs w:val="21"/>
              </w:rPr>
            </w:pPr>
            <w:r>
              <w:rPr>
                <w:rFonts w:hint="eastAsia" w:ascii="宋体" w:hAnsi="宋体" w:cs="宋体"/>
                <w:szCs w:val="21"/>
              </w:rPr>
              <w:t>电梯轿厢及电梯前大厅石材地面晶面处理养护</w:t>
            </w:r>
          </w:p>
        </w:tc>
        <w:tc>
          <w:tcPr>
            <w:tcW w:w="3526" w:type="dxa"/>
          </w:tcPr>
          <w:p>
            <w:pPr>
              <w:spacing w:line="360" w:lineRule="auto"/>
              <w:rPr>
                <w:rFonts w:ascii="宋体" w:hAnsi="宋体" w:cs="宋体"/>
                <w:szCs w:val="21"/>
              </w:rPr>
            </w:pPr>
            <w:r>
              <w:rPr>
                <w:rFonts w:hint="eastAsia" w:ascii="宋体" w:hAnsi="宋体" w:cs="宋体"/>
                <w:szCs w:val="21"/>
              </w:rPr>
              <w:t>每月1次以上</w:t>
            </w:r>
          </w:p>
        </w:tc>
      </w:tr>
    </w:tbl>
    <w:p>
      <w:pPr>
        <w:autoSpaceDE w:val="0"/>
        <w:autoSpaceDN w:val="0"/>
        <w:spacing w:line="360" w:lineRule="auto"/>
        <w:ind w:firstLine="360"/>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表8</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9"/>
        <w:gridCol w:w="4425"/>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spacing w:line="360" w:lineRule="auto"/>
              <w:jc w:val="center"/>
              <w:rPr>
                <w:rFonts w:ascii="宋体" w:hAnsi="宋体" w:cs="宋体"/>
                <w:szCs w:val="21"/>
              </w:rPr>
            </w:pPr>
            <w:r>
              <w:rPr>
                <w:rFonts w:hint="eastAsia" w:ascii="宋体" w:hAnsi="宋体" w:cs="宋体"/>
                <w:szCs w:val="21"/>
              </w:rPr>
              <w:t>区域</w:t>
            </w:r>
          </w:p>
        </w:tc>
        <w:tc>
          <w:tcPr>
            <w:tcW w:w="839" w:type="dxa"/>
          </w:tcPr>
          <w:p>
            <w:pPr>
              <w:spacing w:line="360" w:lineRule="auto"/>
              <w:jc w:val="center"/>
              <w:rPr>
                <w:rFonts w:ascii="宋体" w:hAnsi="宋体" w:cs="宋体"/>
                <w:szCs w:val="21"/>
              </w:rPr>
            </w:pPr>
            <w:r>
              <w:rPr>
                <w:rFonts w:hint="eastAsia" w:ascii="宋体" w:hAnsi="宋体" w:cs="宋体"/>
                <w:szCs w:val="21"/>
              </w:rPr>
              <w:t>序号</w:t>
            </w:r>
          </w:p>
        </w:tc>
        <w:tc>
          <w:tcPr>
            <w:tcW w:w="4425" w:type="dxa"/>
          </w:tcPr>
          <w:p>
            <w:pPr>
              <w:spacing w:line="360" w:lineRule="auto"/>
              <w:jc w:val="center"/>
              <w:rPr>
                <w:rFonts w:ascii="宋体" w:hAnsi="宋体" w:cs="宋体"/>
                <w:szCs w:val="21"/>
              </w:rPr>
            </w:pPr>
            <w:r>
              <w:rPr>
                <w:rFonts w:hint="eastAsia" w:ascii="宋体" w:hAnsi="宋体" w:cs="宋体"/>
                <w:szCs w:val="21"/>
              </w:rPr>
              <w:t>工作内容</w:t>
            </w:r>
          </w:p>
        </w:tc>
        <w:tc>
          <w:tcPr>
            <w:tcW w:w="3526" w:type="dxa"/>
          </w:tcPr>
          <w:p>
            <w:pPr>
              <w:spacing w:line="360" w:lineRule="auto"/>
              <w:jc w:val="center"/>
              <w:rPr>
                <w:rFonts w:ascii="宋体" w:hAnsi="宋体" w:cs="宋体"/>
                <w:szCs w:val="21"/>
              </w:rPr>
            </w:pPr>
            <w:r>
              <w:rPr>
                <w:rFonts w:hint="eastAsia" w:ascii="宋体" w:hAnsi="宋体" w:cs="宋体"/>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 w:type="dxa"/>
            <w:vMerge w:val="restart"/>
            <w:vAlign w:val="center"/>
          </w:tcPr>
          <w:p>
            <w:pPr>
              <w:spacing w:line="360" w:lineRule="auto"/>
              <w:jc w:val="center"/>
              <w:rPr>
                <w:rFonts w:ascii="宋体" w:hAnsi="宋体" w:cs="宋体"/>
                <w:szCs w:val="21"/>
              </w:rPr>
            </w:pPr>
            <w:r>
              <w:rPr>
                <w:rFonts w:hint="eastAsia" w:ascii="宋体" w:hAnsi="宋体" w:cs="宋体"/>
                <w:szCs w:val="21"/>
              </w:rPr>
              <w:t>其</w:t>
            </w:r>
          </w:p>
          <w:p>
            <w:pPr>
              <w:spacing w:line="360" w:lineRule="auto"/>
              <w:jc w:val="center"/>
              <w:rPr>
                <w:rFonts w:ascii="宋体" w:hAnsi="宋体" w:cs="宋体"/>
                <w:szCs w:val="21"/>
              </w:rPr>
            </w:pPr>
            <w:r>
              <w:rPr>
                <w:rFonts w:hint="eastAsia" w:ascii="宋体" w:hAnsi="宋体" w:cs="宋体"/>
                <w:szCs w:val="21"/>
              </w:rPr>
              <w:t>他</w:t>
            </w:r>
          </w:p>
        </w:tc>
        <w:tc>
          <w:tcPr>
            <w:tcW w:w="839" w:type="dxa"/>
          </w:tcPr>
          <w:p>
            <w:pPr>
              <w:spacing w:line="360" w:lineRule="auto"/>
              <w:jc w:val="center"/>
              <w:rPr>
                <w:rFonts w:ascii="宋体" w:hAnsi="宋体" w:cs="宋体"/>
                <w:szCs w:val="21"/>
              </w:rPr>
            </w:pPr>
            <w:r>
              <w:rPr>
                <w:rFonts w:hint="eastAsia" w:ascii="宋体" w:hAnsi="宋体" w:cs="宋体"/>
                <w:szCs w:val="21"/>
              </w:rPr>
              <w:t>1</w:t>
            </w:r>
          </w:p>
        </w:tc>
        <w:tc>
          <w:tcPr>
            <w:tcW w:w="4425" w:type="dxa"/>
          </w:tcPr>
          <w:p>
            <w:pPr>
              <w:spacing w:line="360" w:lineRule="auto"/>
              <w:jc w:val="center"/>
              <w:rPr>
                <w:rFonts w:ascii="宋体" w:hAnsi="宋体" w:cs="宋体"/>
                <w:szCs w:val="21"/>
              </w:rPr>
            </w:pPr>
            <w:r>
              <w:rPr>
                <w:rFonts w:hint="eastAsia" w:ascii="宋体" w:hAnsi="宋体" w:cs="宋体"/>
                <w:szCs w:val="21"/>
              </w:rPr>
              <w:t>图书馆书架、书橱除尘、抹净，</w:t>
            </w:r>
          </w:p>
        </w:tc>
        <w:tc>
          <w:tcPr>
            <w:tcW w:w="3526" w:type="dxa"/>
            <w:vAlign w:val="center"/>
          </w:tcPr>
          <w:p>
            <w:pPr>
              <w:autoSpaceDE w:val="0"/>
              <w:autoSpaceDN w:val="0"/>
              <w:spacing w:line="360" w:lineRule="auto"/>
              <w:rPr>
                <w:rFonts w:ascii="宋体" w:hAnsi="宋体" w:cs="宋体"/>
                <w:szCs w:val="21"/>
              </w:rPr>
            </w:pPr>
            <w:r>
              <w:rPr>
                <w:rFonts w:hint="eastAsia" w:ascii="宋体" w:hAnsi="宋体" w:cs="宋体"/>
                <w:szCs w:val="21"/>
              </w:rPr>
              <w:t>循环保洁，随时清抹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2</w:t>
            </w:r>
          </w:p>
        </w:tc>
        <w:tc>
          <w:tcPr>
            <w:tcW w:w="4425" w:type="dxa"/>
          </w:tcPr>
          <w:p>
            <w:pPr>
              <w:spacing w:line="360" w:lineRule="auto"/>
              <w:jc w:val="center"/>
              <w:rPr>
                <w:rFonts w:ascii="宋体" w:hAnsi="宋体" w:cs="宋体"/>
                <w:szCs w:val="21"/>
              </w:rPr>
            </w:pPr>
            <w:r>
              <w:rPr>
                <w:rFonts w:hint="eastAsia" w:ascii="宋体" w:hAnsi="宋体" w:cs="宋体"/>
                <w:szCs w:val="21"/>
              </w:rPr>
              <w:t>垃圾收集及暂存点保洁</w:t>
            </w:r>
          </w:p>
        </w:tc>
        <w:tc>
          <w:tcPr>
            <w:tcW w:w="3526" w:type="dxa"/>
            <w:vAlign w:val="center"/>
          </w:tcPr>
          <w:p>
            <w:pPr>
              <w:autoSpaceDE w:val="0"/>
              <w:autoSpaceDN w:val="0"/>
              <w:spacing w:line="360" w:lineRule="auto"/>
              <w:rPr>
                <w:rFonts w:ascii="宋体" w:hAnsi="宋体" w:cs="宋体"/>
                <w:szCs w:val="21"/>
              </w:rPr>
            </w:pPr>
            <w:r>
              <w:rPr>
                <w:rFonts w:hint="eastAsia" w:ascii="宋体" w:hAnsi="宋体" w:cs="宋体"/>
                <w:szCs w:val="21"/>
              </w:rPr>
              <w:t>医院内部垃圾存放区域每天清洗、消毒1次，每周全面清洗消毒1次；每天对垃圾的收集情况进行及时登记，以备检索。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38" w:type="dxa"/>
            <w:vMerge w:val="continue"/>
          </w:tcPr>
          <w:p>
            <w:pPr>
              <w:spacing w:line="360" w:lineRule="auto"/>
              <w:rPr>
                <w:rFonts w:ascii="宋体" w:hAnsi="宋体" w:cs="宋体"/>
                <w:szCs w:val="21"/>
              </w:rPr>
            </w:pPr>
          </w:p>
        </w:tc>
        <w:tc>
          <w:tcPr>
            <w:tcW w:w="839" w:type="dxa"/>
          </w:tcPr>
          <w:p>
            <w:pPr>
              <w:spacing w:line="360" w:lineRule="auto"/>
              <w:jc w:val="center"/>
              <w:rPr>
                <w:rFonts w:ascii="宋体" w:hAnsi="宋体" w:cs="宋体"/>
                <w:szCs w:val="21"/>
              </w:rPr>
            </w:pPr>
            <w:r>
              <w:rPr>
                <w:rFonts w:hint="eastAsia" w:ascii="宋体" w:hAnsi="宋体" w:cs="宋体"/>
                <w:szCs w:val="21"/>
              </w:rPr>
              <w:t>3</w:t>
            </w:r>
          </w:p>
        </w:tc>
        <w:tc>
          <w:tcPr>
            <w:tcW w:w="4425" w:type="dxa"/>
          </w:tcPr>
          <w:p>
            <w:pPr>
              <w:spacing w:line="360" w:lineRule="auto"/>
              <w:jc w:val="center"/>
              <w:rPr>
                <w:rFonts w:ascii="宋体" w:hAnsi="宋体" w:cs="宋体"/>
                <w:szCs w:val="21"/>
              </w:rPr>
            </w:pPr>
            <w:r>
              <w:rPr>
                <w:rFonts w:hint="eastAsia" w:ascii="宋体" w:hAnsi="宋体" w:cs="宋体"/>
                <w:szCs w:val="21"/>
              </w:rPr>
              <w:t>临时指派的各类保洁任务</w:t>
            </w:r>
          </w:p>
        </w:tc>
        <w:tc>
          <w:tcPr>
            <w:tcW w:w="3526" w:type="dxa"/>
            <w:vAlign w:val="center"/>
          </w:tcPr>
          <w:p>
            <w:pPr>
              <w:autoSpaceDE w:val="0"/>
              <w:autoSpaceDN w:val="0"/>
              <w:spacing w:line="360" w:lineRule="auto"/>
              <w:rPr>
                <w:rFonts w:ascii="宋体" w:hAnsi="宋体" w:cs="宋体"/>
                <w:szCs w:val="21"/>
              </w:rPr>
            </w:pPr>
            <w:r>
              <w:rPr>
                <w:rFonts w:hint="eastAsia" w:ascii="宋体" w:hAnsi="宋体" w:cs="宋体"/>
                <w:szCs w:val="21"/>
              </w:rPr>
              <w:t>随时</w:t>
            </w:r>
          </w:p>
        </w:tc>
      </w:tr>
    </w:tbl>
    <w:p>
      <w:pPr>
        <w:spacing w:line="360" w:lineRule="auto"/>
        <w:ind w:firstLine="600" w:firstLineChars="250"/>
        <w:rPr>
          <w:rFonts w:ascii="宋体" w:hAnsi="宋体" w:cs="宋体"/>
          <w:sz w:val="24"/>
        </w:rPr>
      </w:pPr>
    </w:p>
    <w:p>
      <w:pPr>
        <w:spacing w:line="360" w:lineRule="auto"/>
        <w:ind w:firstLine="600" w:firstLineChars="250"/>
        <w:rPr>
          <w:rFonts w:ascii="宋体" w:hAnsi="宋体" w:cs="宋体"/>
          <w:sz w:val="24"/>
        </w:rPr>
      </w:pPr>
      <w:r>
        <w:rPr>
          <w:rFonts w:hint="eastAsia" w:ascii="宋体" w:hAnsi="宋体" w:cs="宋体"/>
          <w:sz w:val="24"/>
        </w:rPr>
        <w:br w:type="page"/>
      </w:r>
      <w:r>
        <w:rPr>
          <w:rFonts w:hint="eastAsia" w:ascii="宋体" w:hAnsi="宋体" w:cs="宋体"/>
          <w:sz w:val="24"/>
        </w:rPr>
        <w:t>16.保洁质量标准</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66"/>
        <w:gridCol w:w="28"/>
        <w:gridCol w:w="1956"/>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保洁项目</w:t>
            </w:r>
          </w:p>
        </w:tc>
        <w:tc>
          <w:tcPr>
            <w:tcW w:w="50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保洁标准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大</w:t>
            </w:r>
          </w:p>
          <w:p>
            <w:pPr>
              <w:spacing w:line="360" w:lineRule="auto"/>
              <w:jc w:val="center"/>
              <w:rPr>
                <w:rFonts w:ascii="宋体" w:hAnsi="宋体" w:cs="宋体"/>
                <w:szCs w:val="21"/>
              </w:rPr>
            </w:pPr>
            <w:r>
              <w:rPr>
                <w:rFonts w:hint="eastAsia" w:ascii="宋体" w:hAnsi="宋体" w:cs="宋体"/>
                <w:szCs w:val="21"/>
              </w:rPr>
              <w:t>厅</w:t>
            </w:r>
          </w:p>
          <w:p>
            <w:pPr>
              <w:spacing w:line="360" w:lineRule="auto"/>
              <w:jc w:val="center"/>
              <w:rPr>
                <w:rFonts w:ascii="宋体" w:hAnsi="宋体" w:cs="宋体"/>
                <w:szCs w:val="21"/>
              </w:rPr>
            </w:pPr>
            <w:r>
              <w:rPr>
                <w:rFonts w:hint="eastAsia" w:ascii="宋体" w:hAnsi="宋体" w:cs="宋体"/>
                <w:szCs w:val="21"/>
              </w:rPr>
              <w:t>部</w:t>
            </w:r>
          </w:p>
          <w:p>
            <w:pPr>
              <w:spacing w:line="360" w:lineRule="auto"/>
              <w:jc w:val="center"/>
              <w:rPr>
                <w:rFonts w:ascii="宋体" w:hAnsi="宋体" w:cs="宋体"/>
                <w:szCs w:val="21"/>
              </w:rPr>
            </w:pPr>
            <w:r>
              <w:rPr>
                <w:rFonts w:hint="eastAsia" w:ascii="宋体" w:hAnsi="宋体" w:cs="宋体"/>
                <w:szCs w:val="21"/>
              </w:rPr>
              <w:t>分</w:t>
            </w: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石材地面</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随时保持干净、无污渍、尘渍痰渍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墙面、柱</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保持无尘、无污渍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玻璃</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无手印、无尘、无污渍、明洁清澈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风口</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保持无尘、无蜘蛛网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天花吊顶</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保持无尘、无蜘蛛网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废纸筒</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无痰渍、无灰渍、保持干净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桌、椅、广告箱、牌</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无尘、无污渍、无杂物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电梯</w:t>
            </w:r>
          </w:p>
          <w:p>
            <w:pPr>
              <w:spacing w:line="360" w:lineRule="auto"/>
              <w:rPr>
                <w:rFonts w:ascii="宋体" w:hAnsi="宋体" w:cs="宋体"/>
                <w:szCs w:val="21"/>
              </w:rPr>
            </w:pPr>
            <w:r>
              <w:rPr>
                <w:rFonts w:hint="eastAsia" w:ascii="宋体" w:hAnsi="宋体" w:cs="宋体"/>
                <w:szCs w:val="21"/>
              </w:rPr>
              <w:t>部分</w:t>
            </w: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不锈钢壁面及按钮部分</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无手印、无污渍，保持不锈钢表面亮丽的金属光泽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地面</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天花及风口</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无尘、无蜘蛛网、无污渍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消</w:t>
            </w:r>
          </w:p>
          <w:p>
            <w:pPr>
              <w:spacing w:line="360" w:lineRule="auto"/>
              <w:jc w:val="center"/>
              <w:rPr>
                <w:rFonts w:ascii="宋体" w:hAnsi="宋体" w:cs="宋体"/>
                <w:szCs w:val="21"/>
              </w:rPr>
            </w:pPr>
            <w:r>
              <w:rPr>
                <w:rFonts w:hint="eastAsia" w:ascii="宋体" w:hAnsi="宋体" w:cs="宋体"/>
                <w:szCs w:val="21"/>
              </w:rPr>
              <w:t>防</w:t>
            </w:r>
          </w:p>
          <w:p>
            <w:pPr>
              <w:spacing w:line="360" w:lineRule="auto"/>
              <w:jc w:val="center"/>
              <w:rPr>
                <w:rFonts w:ascii="宋体" w:hAnsi="宋体" w:cs="宋体"/>
                <w:szCs w:val="21"/>
              </w:rPr>
            </w:pPr>
            <w:r>
              <w:rPr>
                <w:rFonts w:hint="eastAsia" w:ascii="宋体" w:hAnsi="宋体" w:cs="宋体"/>
                <w:szCs w:val="21"/>
              </w:rPr>
              <w:t>通</w:t>
            </w:r>
          </w:p>
          <w:p>
            <w:pPr>
              <w:spacing w:line="360" w:lineRule="auto"/>
              <w:jc w:val="center"/>
              <w:rPr>
                <w:rFonts w:ascii="宋体" w:hAnsi="宋体" w:cs="宋体"/>
                <w:szCs w:val="21"/>
              </w:rPr>
            </w:pPr>
            <w:r>
              <w:rPr>
                <w:rFonts w:hint="eastAsia" w:ascii="宋体" w:hAnsi="宋体" w:cs="宋体"/>
                <w:szCs w:val="21"/>
              </w:rPr>
              <w:t>道</w:t>
            </w: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地面及梯级</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无杂物、污渍、干净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墙面</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天花灯饰</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无尘、无蜘蛛网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扶手、铁栏</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风口栅栏</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4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公</w:t>
            </w:r>
          </w:p>
          <w:p>
            <w:pPr>
              <w:spacing w:line="360" w:lineRule="auto"/>
              <w:jc w:val="center"/>
              <w:rPr>
                <w:rFonts w:ascii="宋体" w:hAnsi="宋体" w:cs="宋体"/>
                <w:szCs w:val="21"/>
              </w:rPr>
            </w:pPr>
            <w:r>
              <w:rPr>
                <w:rFonts w:hint="eastAsia" w:ascii="宋体" w:hAnsi="宋体" w:cs="宋体"/>
                <w:szCs w:val="21"/>
              </w:rPr>
              <w:t>共</w:t>
            </w:r>
          </w:p>
          <w:p>
            <w:pPr>
              <w:spacing w:line="360" w:lineRule="auto"/>
              <w:jc w:val="center"/>
              <w:rPr>
                <w:rFonts w:ascii="宋体" w:hAnsi="宋体" w:cs="宋体"/>
                <w:szCs w:val="21"/>
              </w:rPr>
            </w:pPr>
            <w:r>
              <w:rPr>
                <w:rFonts w:hint="eastAsia" w:ascii="宋体" w:hAnsi="宋体" w:cs="宋体"/>
                <w:szCs w:val="21"/>
              </w:rPr>
              <w:t>通</w:t>
            </w:r>
          </w:p>
          <w:p>
            <w:pPr>
              <w:spacing w:line="360" w:lineRule="auto"/>
              <w:jc w:val="center"/>
              <w:rPr>
                <w:rFonts w:ascii="宋体" w:hAnsi="宋体" w:cs="宋体"/>
                <w:szCs w:val="21"/>
              </w:rPr>
            </w:pPr>
            <w:r>
              <w:rPr>
                <w:rFonts w:hint="eastAsia" w:ascii="宋体" w:hAnsi="宋体" w:cs="宋体"/>
                <w:szCs w:val="21"/>
              </w:rPr>
              <w:t>道</w:t>
            </w:r>
          </w:p>
        </w:tc>
        <w:tc>
          <w:tcPr>
            <w:tcW w:w="3650"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地面</w:t>
            </w:r>
          </w:p>
        </w:tc>
        <w:tc>
          <w:tcPr>
            <w:tcW w:w="5010"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干净、无污渍、尘渍、痰渍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墙面、窗台</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干净、无尘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玻璃窗、门、扶手</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明亮、干净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消防门</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天花吊顶、灯饰、风口</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无尘、无蜘蛛网、无污渍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垃圾筒</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无污渍、无杂物，随时清除痰等杂物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消防栓、报警器开关</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指示牌、悬挂牌</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办</w:t>
            </w:r>
          </w:p>
          <w:p>
            <w:pPr>
              <w:spacing w:line="360" w:lineRule="auto"/>
              <w:jc w:val="center"/>
              <w:rPr>
                <w:rFonts w:ascii="宋体" w:hAnsi="宋体" w:cs="宋体"/>
                <w:szCs w:val="21"/>
              </w:rPr>
            </w:pPr>
            <w:r>
              <w:rPr>
                <w:rFonts w:hint="eastAsia" w:ascii="宋体" w:hAnsi="宋体" w:cs="宋体"/>
                <w:szCs w:val="21"/>
              </w:rPr>
              <w:t>公</w:t>
            </w:r>
          </w:p>
          <w:p>
            <w:pPr>
              <w:spacing w:line="360" w:lineRule="auto"/>
              <w:jc w:val="center"/>
              <w:rPr>
                <w:rFonts w:ascii="宋体" w:hAnsi="宋体" w:cs="宋体"/>
                <w:szCs w:val="21"/>
              </w:rPr>
            </w:pPr>
            <w:r>
              <w:rPr>
                <w:rFonts w:hint="eastAsia" w:ascii="宋体" w:hAnsi="宋体" w:cs="宋体"/>
                <w:szCs w:val="21"/>
              </w:rPr>
              <w:t>室</w:t>
            </w:r>
          </w:p>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地面</w:t>
            </w:r>
          </w:p>
        </w:tc>
        <w:tc>
          <w:tcPr>
            <w:tcW w:w="5010"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Cs w:val="21"/>
              </w:rPr>
            </w:pPr>
            <w:r>
              <w:rPr>
                <w:rFonts w:hint="eastAsia" w:ascii="宋体" w:hAnsi="宋体" w:cs="宋体"/>
                <w:szCs w:val="21"/>
              </w:rPr>
              <w:t>无尘渍、无纸屑、无污渍、无痰渍，保持光洁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墙身</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无尘渍、无污渍、无痰渍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166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门</w:t>
            </w:r>
          </w:p>
        </w:tc>
        <w:tc>
          <w:tcPr>
            <w:tcW w:w="198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玻璃</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无手印、无尘、无污渍、光洁明亮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98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木</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无尘渍、无污渍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98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铝合金</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无手印、无污渍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电话</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办公台、会议台、文件柜隔板等</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坐椅、沙发、茶几</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干净、无尘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166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窗</w:t>
            </w:r>
          </w:p>
        </w:tc>
        <w:tc>
          <w:tcPr>
            <w:tcW w:w="198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玻璃</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无手印、无尘、无污渍、光洁明亮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rPr>
                <w:rFonts w:ascii="宋体" w:hAnsi="宋体" w:cs="宋体"/>
                <w:szCs w:val="21"/>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98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窗台</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无污渍、无尘渍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地脚线</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无污渍、无尘渍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废纸篓、烟灰缸</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灯饰、风口、天花</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无蜘蛛网、无尘渍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指示牌、悬挂牌</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40" w:type="dxa"/>
            <w:vMerge w:val="continue"/>
            <w:tcBorders>
              <w:left w:val="single" w:color="auto" w:sz="4" w:space="0"/>
              <w:right w:val="single" w:color="auto" w:sz="4" w:space="0"/>
            </w:tcBorders>
            <w:vAlign w:val="center"/>
          </w:tcPr>
          <w:p>
            <w:pPr>
              <w:spacing w:line="360" w:lineRule="auto"/>
              <w:rPr>
                <w:rFonts w:ascii="宋体" w:hAnsi="宋体" w:cs="宋体"/>
                <w:szCs w:val="21"/>
              </w:rPr>
            </w:pPr>
          </w:p>
        </w:tc>
        <w:tc>
          <w:tcPr>
            <w:tcW w:w="166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茶</w:t>
            </w:r>
          </w:p>
          <w:p>
            <w:pPr>
              <w:spacing w:line="360" w:lineRule="auto"/>
              <w:jc w:val="center"/>
              <w:rPr>
                <w:rFonts w:ascii="宋体" w:hAnsi="宋体" w:cs="宋体"/>
                <w:szCs w:val="21"/>
              </w:rPr>
            </w:pPr>
            <w:r>
              <w:rPr>
                <w:rFonts w:hint="eastAsia" w:ascii="宋体" w:hAnsi="宋体" w:cs="宋体"/>
                <w:szCs w:val="21"/>
              </w:rPr>
              <w:t>水</w:t>
            </w:r>
          </w:p>
          <w:p>
            <w:pPr>
              <w:spacing w:line="360" w:lineRule="auto"/>
              <w:jc w:val="center"/>
              <w:rPr>
                <w:rFonts w:ascii="宋体" w:hAnsi="宋体" w:cs="宋体"/>
                <w:szCs w:val="21"/>
              </w:rPr>
            </w:pPr>
            <w:r>
              <w:rPr>
                <w:rFonts w:hint="eastAsia" w:ascii="宋体" w:hAnsi="宋体" w:cs="宋体"/>
                <w:szCs w:val="21"/>
              </w:rPr>
              <w:t>间</w:t>
            </w:r>
          </w:p>
        </w:tc>
        <w:tc>
          <w:tcPr>
            <w:tcW w:w="198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地面</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无污渍、无尘渍、无水渍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0" w:type="dxa"/>
            <w:vMerge w:val="continue"/>
            <w:tcBorders>
              <w:left w:val="single" w:color="auto" w:sz="4" w:space="0"/>
              <w:right w:val="single" w:color="auto" w:sz="4" w:space="0"/>
            </w:tcBorders>
            <w:vAlign w:val="center"/>
          </w:tcPr>
          <w:p>
            <w:pPr>
              <w:spacing w:line="360" w:lineRule="auto"/>
              <w:rPr>
                <w:rFonts w:ascii="宋体" w:hAnsi="宋体" w:cs="宋体"/>
                <w:szCs w:val="21"/>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98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水池</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40" w:type="dxa"/>
            <w:vMerge w:val="continue"/>
            <w:tcBorders>
              <w:left w:val="single" w:color="auto" w:sz="4" w:space="0"/>
              <w:right w:val="single" w:color="auto" w:sz="4" w:space="0"/>
            </w:tcBorders>
            <w:vAlign w:val="center"/>
          </w:tcPr>
          <w:p>
            <w:pPr>
              <w:spacing w:line="360" w:lineRule="auto"/>
              <w:rPr>
                <w:rFonts w:ascii="宋体" w:hAnsi="宋体" w:cs="宋体"/>
                <w:szCs w:val="21"/>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98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热水器</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40"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窗帘</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病</w:t>
            </w: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房</w:t>
            </w:r>
          </w:p>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地面</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无尘渍、无污渍、无痰渍、保持光洁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墙身</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166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门</w:t>
            </w:r>
          </w:p>
        </w:tc>
        <w:tc>
          <w:tcPr>
            <w:tcW w:w="198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铝合金</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无手印、无尘、无污渍、光洁明亮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98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木</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无尘渍、无污渍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办公台、椅、柜</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169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窗</w:t>
            </w:r>
          </w:p>
        </w:tc>
        <w:tc>
          <w:tcPr>
            <w:tcW w:w="1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玻璃</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无手印、无污渍、光洁、明亮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169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窗台</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无尘渍、无污渍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病床、床头柜、架</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无尘渍、无污渍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废纸篓</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right w:val="single" w:color="auto" w:sz="4" w:space="0"/>
            </w:tcBorders>
            <w:vAlign w:val="center"/>
          </w:tcPr>
          <w:p>
            <w:pPr>
              <w:spacing w:line="360" w:lineRule="auto"/>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垃圾筒</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电视机</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洗</w:t>
            </w: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手</w:t>
            </w: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间</w:t>
            </w:r>
          </w:p>
          <w:p>
            <w:pPr>
              <w:spacing w:line="360" w:lineRule="auto"/>
              <w:jc w:val="center"/>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瓷砖墙身</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无尘、无污渍、瓷砖明洁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瓷砖地面</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洗手间门</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玻璃镜面</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无尘、无污渍、无水渍、无手印，保持镜面明净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小便器、大便器</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保持干净无污渍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洗手盆及台</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保持干净无污渍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36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灯饰、天花、风口</w:t>
            </w:r>
          </w:p>
        </w:tc>
        <w:tc>
          <w:tcPr>
            <w:tcW w:w="50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无污渍、无蜘蛛网、无尘</w:t>
            </w:r>
          </w:p>
        </w:tc>
      </w:tr>
    </w:tbl>
    <w:p>
      <w:pPr>
        <w:snapToGrid w:val="0"/>
        <w:spacing w:line="360" w:lineRule="auto"/>
        <w:ind w:firstLine="480" w:firstLineChars="200"/>
        <w:rPr>
          <w:rFonts w:ascii="宋体" w:hAnsi="宋体" w:cs="宋体"/>
          <w:sz w:val="24"/>
          <w:lang w:val="zh-CN"/>
        </w:rPr>
      </w:pPr>
      <w:r>
        <w:rPr>
          <w:rFonts w:hint="eastAsia" w:ascii="宋体" w:hAnsi="宋体" w:cs="宋体"/>
          <w:sz w:val="24"/>
        </w:rPr>
        <w:t>未列入的且为正常保洁工作以及突发性事件造成的保洁工作的项目、部位均包括在本次采购范围内，中标人不得因此拒绝提供保洁服务（保洁用品等所需费用全部包括在服务费中）。</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3.2运送工作（含电梯）</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（1）内容：</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1）收送化验标本、会诊单、检查预约单。</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2）收取检查结果、化验单。</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3）送病人院内做检查。</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4）送资料、复印、感染报告、送物品申领单。</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5）送手术通知单。</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6）领办公用品、医疗用品、医疗消耗品。</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7）临时去供应室取送消毒物品。</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8）领大输液药品。</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9）取血。</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10）取药/借药（临时）设备借用、设备送报修。</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11）棉织品被服更换、工作衣的更换，窗帘和床帘更换清洗,并与各科室及洗衣公司交接点数。</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12）加床运送等。</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13）遗体院内转运。</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14）院内医疗垃圾、生活垃圾，收集、运送。</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15）其他未提及的运送工作。</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（2）要求：</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1）按医务人员的需要随时进行</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2）设立24小时的中央调度中心，免费提供智慧运送系统及相应设备（如电脑、手机等）。</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3）医院负责提供运送用工具，中标人应合理调配并负责管理与保养。</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4）要求对运送的数据进行汇总和统计，能随时提供相应的数据，给院方的决策进行支持。</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5）运送准确率不低于99%。</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6）安全正确地引导各人员乘坐电梯。</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7）电梯故障的及时报修。</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8）医疗垃圾、生活垃圾收集，运送时严格遵守院内垃圾处理制度，遵守疫情防控相关政策。</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（3）质量标准</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1）物品配送、病人护送须及时进行。</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2）做到配送医疗事故差错率为零。</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3）配送工作中不损坏、不丢失院方财物。</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4）护送过程中，病人出现异常情况须及时报告。</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5）保持病人身上管道不松脱。</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6）安全运送病人，做到不跌、不碰。</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7）工作出现差错及时如实报告，不隐瞒。</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8）正确、正当使用运输工具，不人为损坏。</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9）运输工具每天按规范进行消毒。</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10）运送走规定路线，污染手（戴手套）不能按电梯。</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（4）中央运送工具</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1）采购人应提供所有中央运送工具（轮椅、平车、氧气瓶及流量表）。</w:t>
      </w:r>
    </w:p>
    <w:p>
      <w:pPr>
        <w:snapToGrid w:val="0"/>
        <w:spacing w:line="360" w:lineRule="auto"/>
        <w:ind w:left="105" w:leftChars="50" w:firstLine="352" w:firstLineChars="147"/>
        <w:rPr>
          <w:rFonts w:ascii="宋体" w:hAnsi="宋体" w:cs="宋体"/>
          <w:sz w:val="24"/>
        </w:rPr>
      </w:pPr>
      <w:r>
        <w:rPr>
          <w:rFonts w:hint="eastAsia" w:ascii="宋体" w:hAnsi="宋体" w:cs="宋体"/>
          <w:sz w:val="24"/>
        </w:rPr>
        <w:t>2）供应商负责日常维护保养，并承担相应维护维修费用。</w:t>
      </w:r>
    </w:p>
    <w:p>
      <w:pPr>
        <w:snapToGrid w:val="0"/>
        <w:spacing w:line="360" w:lineRule="auto"/>
        <w:ind w:firstLine="480" w:firstLineChars="200"/>
        <w:rPr>
          <w:rFonts w:ascii="宋体" w:hAnsi="宋体" w:cs="宋体"/>
          <w:sz w:val="24"/>
        </w:rPr>
      </w:pPr>
      <w:r>
        <w:rPr>
          <w:rFonts w:hint="eastAsia" w:ascii="宋体" w:hAnsi="宋体" w:cs="宋体"/>
          <w:sz w:val="24"/>
        </w:rPr>
        <w:t>3) 双方每月共同确认清点数量和质量，供应商确保使用时工具安全正常，对不合格的工具向采购人提出更新。</w:t>
      </w:r>
    </w:p>
    <w:p>
      <w:pPr>
        <w:snapToGrid w:val="0"/>
        <w:spacing w:line="360" w:lineRule="auto"/>
        <w:ind w:left="414" w:leftChars="197"/>
        <w:rPr>
          <w:rFonts w:ascii="宋体" w:hAnsi="宋体" w:cs="宋体"/>
          <w:sz w:val="24"/>
        </w:rPr>
      </w:pPr>
      <w:r>
        <w:rPr>
          <w:rFonts w:hint="eastAsia" w:ascii="宋体" w:hAnsi="宋体" w:cs="宋体"/>
          <w:sz w:val="24"/>
        </w:rPr>
        <w:t>3.3 PVC地板打蜡保养、石材地面养护内容及要求。</w:t>
      </w:r>
    </w:p>
    <w:p>
      <w:pPr>
        <w:snapToGrid w:val="0"/>
        <w:spacing w:line="360" w:lineRule="auto"/>
        <w:ind w:firstLine="480" w:firstLineChars="200"/>
        <w:rPr>
          <w:rFonts w:ascii="宋体" w:hAnsi="宋体" w:cs="宋体"/>
          <w:sz w:val="24"/>
        </w:rPr>
      </w:pPr>
      <w:r>
        <w:rPr>
          <w:rFonts w:hint="eastAsia" w:ascii="宋体" w:hAnsi="宋体" w:cs="宋体"/>
          <w:sz w:val="24"/>
        </w:rPr>
        <w:t>1、按医院要求对不同区域地面进行周期晶面处理养护及打蜡等。</w:t>
      </w:r>
    </w:p>
    <w:p>
      <w:pPr>
        <w:snapToGrid w:val="0"/>
        <w:spacing w:line="360" w:lineRule="auto"/>
        <w:ind w:firstLine="480" w:firstLineChars="200"/>
        <w:rPr>
          <w:rFonts w:ascii="宋体" w:hAnsi="宋体" w:cs="宋体"/>
          <w:sz w:val="24"/>
        </w:rPr>
      </w:pPr>
      <w:r>
        <w:rPr>
          <w:rFonts w:hint="eastAsia" w:ascii="宋体" w:hAnsi="宋体" w:cs="宋体"/>
          <w:sz w:val="24"/>
        </w:rPr>
        <w:t>2、及时完成采购人对PVC地板及石材地面的临时保养需求。</w:t>
      </w:r>
    </w:p>
    <w:p>
      <w:pPr>
        <w:snapToGrid w:val="0"/>
        <w:spacing w:line="360" w:lineRule="auto"/>
        <w:ind w:firstLine="480" w:firstLineChars="200"/>
        <w:rPr>
          <w:rFonts w:ascii="宋体" w:hAnsi="宋体" w:cs="宋体"/>
          <w:sz w:val="24"/>
        </w:rPr>
      </w:pPr>
      <w:r>
        <w:rPr>
          <w:rFonts w:hint="eastAsia" w:ascii="宋体" w:hAnsi="宋体" w:cs="宋体"/>
          <w:sz w:val="24"/>
        </w:rPr>
        <w:t>3、打蜡时要注意均匀涂抹，不应过厚或过薄，用蜡拖把液蜡均匀拖打在地板上，使地面光亮、整洁，长期保持良好的使用状态。</w:t>
      </w:r>
    </w:p>
    <w:p>
      <w:pPr>
        <w:snapToGrid w:val="0"/>
        <w:spacing w:line="360" w:lineRule="auto"/>
        <w:ind w:firstLine="480" w:firstLineChars="200"/>
        <w:rPr>
          <w:rFonts w:ascii="宋体" w:hAnsi="宋体" w:cs="宋体"/>
          <w:sz w:val="24"/>
        </w:rPr>
      </w:pPr>
      <w:r>
        <w:rPr>
          <w:rFonts w:hint="eastAsia" w:ascii="宋体" w:hAnsi="宋体" w:cs="宋体"/>
          <w:sz w:val="24"/>
        </w:rPr>
        <w:t>3.4绿化工作内容及要求</w:t>
      </w:r>
    </w:p>
    <w:p>
      <w:pPr>
        <w:snapToGrid w:val="0"/>
        <w:spacing w:line="360" w:lineRule="auto"/>
        <w:ind w:firstLine="480" w:firstLineChars="200"/>
        <w:rPr>
          <w:rFonts w:ascii="宋体" w:hAnsi="宋体" w:cs="宋体"/>
          <w:sz w:val="24"/>
        </w:rPr>
      </w:pPr>
      <w:r>
        <w:rPr>
          <w:rFonts w:hint="eastAsia" w:ascii="宋体" w:hAnsi="宋体" w:cs="宋体"/>
          <w:sz w:val="24"/>
        </w:rPr>
        <w:t>（1）养护范围：对全院室内树木、花草、绿篱、鲜花喷杀虫药，做好保养修剪及院内逢年过节的鲜花摆放的工作 (鲜花由采购人另行购买)。</w:t>
      </w:r>
    </w:p>
    <w:p>
      <w:pPr>
        <w:snapToGrid w:val="0"/>
        <w:spacing w:line="360" w:lineRule="auto"/>
        <w:ind w:firstLine="480" w:firstLineChars="200"/>
        <w:rPr>
          <w:rFonts w:ascii="宋体" w:hAnsi="宋体" w:cs="宋体"/>
          <w:sz w:val="24"/>
        </w:rPr>
      </w:pPr>
      <w:r>
        <w:rPr>
          <w:rFonts w:hint="eastAsia" w:ascii="宋体" w:hAnsi="宋体" w:cs="宋体"/>
          <w:sz w:val="24"/>
        </w:rPr>
        <w:t>（2）中标人应将绿化养护工作分为基本工作和定期工作两部分。基本工作是指整体规划和一般性地正常维护，即浇水、清理垃圾（修剪绿化时所产生的垃圾）、零星病虫害防治、除杂草和修剪等。定期工作是指全面修剪整形。</w:t>
      </w:r>
    </w:p>
    <w:p>
      <w:pPr>
        <w:snapToGrid w:val="0"/>
        <w:spacing w:line="360" w:lineRule="auto"/>
        <w:ind w:firstLine="480" w:firstLineChars="200"/>
        <w:rPr>
          <w:rFonts w:ascii="宋体" w:hAnsi="宋体" w:cs="宋体"/>
          <w:sz w:val="24"/>
        </w:rPr>
      </w:pPr>
      <w:r>
        <w:rPr>
          <w:rFonts w:hint="eastAsia" w:ascii="宋体" w:hAnsi="宋体" w:cs="宋体"/>
          <w:sz w:val="24"/>
        </w:rPr>
        <w:t>（3）院方相关责任人不定期对绿化保养工作进行例行巡检和抽查。</w:t>
      </w:r>
    </w:p>
    <w:p>
      <w:pPr>
        <w:snapToGrid w:val="0"/>
        <w:spacing w:line="360" w:lineRule="auto"/>
        <w:ind w:firstLine="480" w:firstLineChars="200"/>
        <w:rPr>
          <w:rFonts w:ascii="宋体" w:hAnsi="宋体" w:cs="宋体"/>
          <w:sz w:val="24"/>
        </w:rPr>
      </w:pPr>
      <w:r>
        <w:rPr>
          <w:rFonts w:hint="eastAsia" w:ascii="宋体" w:hAnsi="宋体" w:cs="宋体"/>
          <w:sz w:val="24"/>
        </w:rPr>
        <w:t>（4）室内绿化摆放及养护管理方案。其中：室内绿化摆放大、中、小型植物总数不少于700盆，其中大100盆、中400盆、小200盆，每季度提供各型植物、草花的种类，式样供选择，阐述植物更换的详细要求，要求每季度80％以上的室内绿化必须更换种类，更换时必须双方清点更换数量。</w:t>
      </w:r>
    </w:p>
    <w:p>
      <w:pPr>
        <w:snapToGrid w:val="0"/>
        <w:spacing w:line="360" w:lineRule="auto"/>
        <w:ind w:firstLine="480" w:firstLineChars="200"/>
        <w:rPr>
          <w:rFonts w:ascii="宋体" w:hAnsi="宋体" w:cs="宋体"/>
          <w:sz w:val="24"/>
        </w:rPr>
      </w:pPr>
      <w:r>
        <w:rPr>
          <w:rFonts w:hint="eastAsia" w:ascii="宋体" w:hAnsi="宋体" w:cs="宋体"/>
          <w:sz w:val="24"/>
        </w:rPr>
        <w:t>3.5医院室内外管道疏通管理</w:t>
      </w:r>
    </w:p>
    <w:p>
      <w:pPr>
        <w:snapToGrid w:val="0"/>
        <w:spacing w:line="360" w:lineRule="auto"/>
        <w:ind w:firstLine="480" w:firstLineChars="200"/>
        <w:rPr>
          <w:rFonts w:ascii="宋体" w:hAnsi="宋体" w:cs="宋体"/>
          <w:sz w:val="24"/>
        </w:rPr>
      </w:pPr>
      <w:r>
        <w:rPr>
          <w:rFonts w:hint="eastAsia" w:ascii="宋体" w:hAnsi="宋体" w:cs="宋体"/>
          <w:sz w:val="24"/>
        </w:rPr>
        <w:t>其中管道疏通服务需要随叫随到，及时处理。</w:t>
      </w:r>
    </w:p>
    <w:p>
      <w:pPr>
        <w:snapToGrid w:val="0"/>
        <w:spacing w:line="360" w:lineRule="auto"/>
        <w:ind w:firstLine="480" w:firstLineChars="200"/>
        <w:rPr>
          <w:rFonts w:ascii="宋体" w:hAnsi="宋体" w:cs="宋体"/>
          <w:sz w:val="24"/>
        </w:rPr>
      </w:pPr>
      <w:r>
        <w:rPr>
          <w:rFonts w:hint="eastAsia" w:ascii="宋体" w:hAnsi="宋体" w:cs="宋体"/>
          <w:sz w:val="24"/>
        </w:rPr>
        <w:t>3.6病区陪护</w:t>
      </w:r>
    </w:p>
    <w:p>
      <w:pPr>
        <w:snapToGrid w:val="0"/>
        <w:spacing w:line="360" w:lineRule="auto"/>
        <w:ind w:firstLine="480" w:firstLineChars="200"/>
        <w:rPr>
          <w:rFonts w:ascii="宋体" w:hAnsi="宋体" w:cs="宋体"/>
          <w:sz w:val="24"/>
        </w:rPr>
      </w:pPr>
      <w:r>
        <w:rPr>
          <w:rFonts w:hint="eastAsia" w:ascii="宋体" w:hAnsi="宋体" w:cs="宋体"/>
          <w:sz w:val="24"/>
        </w:rPr>
        <w:t>病区陪护服务需要随叫随到，及时处理。</w:t>
      </w:r>
    </w:p>
    <w:p>
      <w:pPr>
        <w:snapToGrid w:val="0"/>
        <w:spacing w:line="360" w:lineRule="auto"/>
        <w:ind w:firstLine="480" w:firstLineChars="200"/>
        <w:rPr>
          <w:rFonts w:ascii="宋体" w:hAnsi="宋体" w:cs="宋体"/>
          <w:sz w:val="24"/>
        </w:rPr>
      </w:pPr>
      <w:r>
        <w:rPr>
          <w:rFonts w:hint="eastAsia" w:ascii="宋体" w:hAnsi="宋体" w:cs="宋体"/>
          <w:sz w:val="24"/>
        </w:rPr>
        <w:t>3.7有偿理发</w:t>
      </w:r>
    </w:p>
    <w:p>
      <w:pPr>
        <w:snapToGrid w:val="0"/>
        <w:spacing w:line="360" w:lineRule="auto"/>
        <w:ind w:firstLine="480" w:firstLineChars="200"/>
        <w:rPr>
          <w:rFonts w:ascii="宋体" w:hAnsi="宋体" w:cs="宋体"/>
          <w:sz w:val="24"/>
        </w:rPr>
      </w:pPr>
      <w:r>
        <w:rPr>
          <w:rFonts w:hint="eastAsia" w:ascii="宋体" w:hAnsi="宋体" w:cs="宋体"/>
          <w:sz w:val="24"/>
        </w:rPr>
        <w:t>有偿理发服务需要随叫随到，及时处理。</w:t>
      </w:r>
    </w:p>
    <w:p>
      <w:pPr>
        <w:snapToGrid w:val="0"/>
        <w:spacing w:line="360" w:lineRule="auto"/>
        <w:ind w:firstLine="480" w:firstLineChars="200"/>
        <w:rPr>
          <w:rFonts w:ascii="宋体" w:hAnsi="宋体" w:cs="宋体"/>
          <w:sz w:val="24"/>
        </w:rPr>
      </w:pPr>
      <w:r>
        <w:rPr>
          <w:rFonts w:hint="eastAsia" w:ascii="宋体" w:hAnsi="宋体" w:cs="宋体"/>
          <w:sz w:val="24"/>
        </w:rPr>
        <w:t>3.8应急事件</w:t>
      </w:r>
    </w:p>
    <w:p>
      <w:pPr>
        <w:snapToGrid w:val="0"/>
        <w:spacing w:line="360" w:lineRule="auto"/>
        <w:ind w:firstLine="420"/>
        <w:rPr>
          <w:rFonts w:ascii="宋体" w:hAnsi="宋体" w:cs="宋体"/>
          <w:sz w:val="24"/>
        </w:rPr>
      </w:pPr>
      <w:r>
        <w:rPr>
          <w:rFonts w:hint="eastAsia" w:ascii="宋体" w:hAnsi="宋体" w:cs="宋体"/>
          <w:sz w:val="24"/>
        </w:rPr>
        <w:t>1、配合院方完成应急事件的处理，如消防突发事件的应急、冬季雨雪冰冻天气的应急、院内其他突发事件的应急等。</w:t>
      </w:r>
    </w:p>
    <w:p>
      <w:pPr>
        <w:spacing w:line="360" w:lineRule="auto"/>
        <w:ind w:firstLine="420"/>
        <w:rPr>
          <w:rFonts w:ascii="宋体" w:hAnsi="宋体" w:cs="宋体"/>
          <w:sz w:val="24"/>
        </w:rPr>
      </w:pPr>
      <w:r>
        <w:rPr>
          <w:rFonts w:hint="eastAsia" w:ascii="宋体" w:hAnsi="宋体" w:cs="宋体"/>
          <w:sz w:val="24"/>
        </w:rPr>
        <w:t>2、疫情期间配合勤务中心主任完成日常</w:t>
      </w:r>
      <w:r>
        <w:rPr>
          <w:rFonts w:hint="eastAsia" w:ascii="宋体" w:hAnsi="宋体" w:cs="宋体"/>
          <w:sz w:val="24"/>
          <w:shd w:val="clear" w:color="auto" w:fill="FFFFFF"/>
        </w:rPr>
        <w:t>工作，做好生活环境的清洁与消毒，及时了解工作人员身体状况及动态，组织全体人员开展新冠病毒感染防控知识的培训。</w:t>
      </w:r>
    </w:p>
    <w:p>
      <w:pPr>
        <w:snapToGrid w:val="0"/>
        <w:spacing w:line="360" w:lineRule="auto"/>
        <w:ind w:left="414" w:leftChars="197"/>
        <w:rPr>
          <w:rFonts w:ascii="宋体" w:hAnsi="宋体" w:cs="宋体"/>
          <w:sz w:val="24"/>
        </w:rPr>
      </w:pPr>
      <w:r>
        <w:rPr>
          <w:rFonts w:hint="eastAsia" w:ascii="宋体" w:hAnsi="宋体" w:cs="宋体"/>
          <w:sz w:val="24"/>
        </w:rPr>
        <w:t>3.9物业档案管理、物业财务管理</w:t>
      </w:r>
    </w:p>
    <w:p>
      <w:pPr>
        <w:spacing w:line="360" w:lineRule="auto"/>
        <w:ind w:firstLine="480" w:firstLineChars="200"/>
        <w:rPr>
          <w:rFonts w:ascii="宋体" w:hAnsi="宋体" w:cs="宋体"/>
          <w:sz w:val="24"/>
        </w:rPr>
      </w:pPr>
      <w:r>
        <w:rPr>
          <w:rFonts w:hint="eastAsia" w:ascii="宋体" w:hAnsi="宋体" w:cs="宋体"/>
          <w:sz w:val="24"/>
        </w:rPr>
        <w:t>物业管理建立阶段性物业服务执行情况反馈制度，每月以书面形式向对口管理部门报送当月物业服务安排、检查及执行完成情况。医院可以根据实际工作需要适当调整保洁、运送及会务等各项工作的范围、内容及频次，所有工人需严格遵守医院的各项规章制度，并挂牌上岗（工号），工作衣裤及工作鞋应该有备用的，定时给予清洗更换。对员工应随机考核，抽查、巡查服务质量（语言、工作、态度、技能）等。</w:t>
      </w:r>
    </w:p>
    <w:p>
      <w:pPr>
        <w:spacing w:line="360" w:lineRule="auto"/>
        <w:ind w:firstLine="480" w:firstLineChars="200"/>
        <w:rPr>
          <w:rFonts w:ascii="宋体" w:hAnsi="宋体" w:cs="宋体"/>
          <w:sz w:val="24"/>
        </w:rPr>
      </w:pPr>
      <w:r>
        <w:rPr>
          <w:rFonts w:hint="eastAsia" w:ascii="宋体" w:hAnsi="宋体" w:cs="宋体"/>
          <w:sz w:val="24"/>
        </w:rPr>
        <w:t>3.10 信息化管理系统：</w:t>
      </w:r>
    </w:p>
    <w:p>
      <w:pPr>
        <w:spacing w:line="360" w:lineRule="auto"/>
        <w:ind w:firstLine="480" w:firstLineChars="200"/>
        <w:rPr>
          <w:rFonts w:ascii="宋体" w:hAnsi="宋体" w:cs="宋体"/>
        </w:rPr>
      </w:pPr>
      <w:r>
        <w:rPr>
          <w:rFonts w:hint="eastAsia" w:ascii="宋体" w:hAnsi="宋体" w:cs="宋体"/>
          <w:sz w:val="24"/>
        </w:rPr>
        <w:t>投标人提供相关信息化运送软件管理系统具有抢单系统、按单计价及数据分析统计功能，手术室管理具有信息化管理系统，投标人信息化运送软件的具有使用证明，提供现服务医院使用运送软件证明（与医院HIS系统相连，并带有科室下单功能）。</w:t>
      </w:r>
    </w:p>
    <w:p>
      <w:pPr>
        <w:adjustRightInd/>
        <w:snapToGrid w:val="0"/>
        <w:spacing w:line="360" w:lineRule="auto"/>
        <w:ind w:firstLine="482" w:firstLineChars="200"/>
        <w:rPr>
          <w:rFonts w:ascii="宋体" w:hAnsi="宋体" w:cs="宋体"/>
          <w:b/>
          <w:sz w:val="24"/>
        </w:rPr>
      </w:pPr>
      <w:r>
        <w:rPr>
          <w:rFonts w:hint="eastAsia" w:ascii="宋体" w:hAnsi="宋体" w:cs="宋体"/>
          <w:b/>
          <w:sz w:val="24"/>
        </w:rPr>
        <w:t>4.岗位需求</w:t>
      </w:r>
    </w:p>
    <w:p>
      <w:pPr>
        <w:snapToGrid w:val="0"/>
        <w:spacing w:line="360" w:lineRule="auto"/>
        <w:ind w:firstLine="480" w:firstLineChars="200"/>
        <w:rPr>
          <w:rFonts w:ascii="宋体" w:hAnsi="宋体" w:cs="宋体"/>
          <w:sz w:val="24"/>
        </w:rPr>
      </w:pPr>
      <w:r>
        <w:rPr>
          <w:rFonts w:hint="eastAsia" w:ascii="宋体" w:hAnsi="宋体" w:cs="宋体"/>
          <w:sz w:val="24"/>
        </w:rPr>
        <w:t>医院保洁运送服务需求将随医院发展同步调整，本次采购各投标人统一按下表总岗位需求投标，其中物业人员数量在项目运行中根据采购人费用核算。</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1601"/>
        <w:gridCol w:w="4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16" w:type="dxa"/>
            <w:vAlign w:val="center"/>
          </w:tcPr>
          <w:p>
            <w:pPr>
              <w:autoSpaceDE w:val="0"/>
              <w:autoSpaceDN w:val="0"/>
              <w:spacing w:line="370" w:lineRule="exact"/>
              <w:jc w:val="center"/>
              <w:rPr>
                <w:rFonts w:ascii="宋体" w:hAnsi="宋体" w:cs="宋体"/>
                <w:b/>
                <w:bCs/>
                <w:szCs w:val="21"/>
              </w:rPr>
            </w:pPr>
            <w:r>
              <w:rPr>
                <w:rFonts w:hint="eastAsia" w:ascii="宋体" w:hAnsi="宋体" w:cs="宋体"/>
                <w:b/>
                <w:bCs/>
                <w:szCs w:val="21"/>
              </w:rPr>
              <w:t>岗位</w:t>
            </w:r>
          </w:p>
        </w:tc>
        <w:tc>
          <w:tcPr>
            <w:tcW w:w="1601" w:type="dxa"/>
            <w:vAlign w:val="center"/>
          </w:tcPr>
          <w:p>
            <w:pPr>
              <w:autoSpaceDE w:val="0"/>
              <w:autoSpaceDN w:val="0"/>
              <w:spacing w:line="370" w:lineRule="exact"/>
              <w:jc w:val="center"/>
              <w:rPr>
                <w:rFonts w:ascii="宋体" w:hAnsi="宋体" w:cs="宋体"/>
                <w:b/>
                <w:bCs/>
                <w:szCs w:val="21"/>
              </w:rPr>
            </w:pPr>
            <w:r>
              <w:rPr>
                <w:rFonts w:hint="eastAsia" w:ascii="宋体" w:hAnsi="宋体" w:cs="宋体"/>
                <w:b/>
                <w:bCs/>
                <w:szCs w:val="21"/>
              </w:rPr>
              <w:t>需求量（人）</w:t>
            </w:r>
          </w:p>
        </w:tc>
        <w:tc>
          <w:tcPr>
            <w:tcW w:w="4169" w:type="dxa"/>
            <w:vAlign w:val="center"/>
          </w:tcPr>
          <w:p>
            <w:pPr>
              <w:autoSpaceDE w:val="0"/>
              <w:autoSpaceDN w:val="0"/>
              <w:spacing w:line="370" w:lineRule="exact"/>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516"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项目经理（含副经理）</w:t>
            </w:r>
          </w:p>
        </w:tc>
        <w:tc>
          <w:tcPr>
            <w:tcW w:w="1601"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1</w:t>
            </w:r>
          </w:p>
        </w:tc>
        <w:tc>
          <w:tcPr>
            <w:tcW w:w="4169" w:type="dxa"/>
          </w:tcPr>
          <w:p>
            <w:pPr>
              <w:autoSpaceDE w:val="0"/>
              <w:autoSpaceDN w:val="0"/>
              <w:spacing w:line="370" w:lineRule="exact"/>
              <w:rPr>
                <w:rFonts w:ascii="宋体" w:hAnsi="宋体" w:cs="宋体"/>
                <w:sz w:val="24"/>
              </w:rPr>
            </w:pPr>
            <w:r>
              <w:rPr>
                <w:rFonts w:hint="eastAsia" w:ascii="宋体" w:hAnsi="宋体" w:cs="宋体"/>
                <w:sz w:val="24"/>
              </w:rPr>
              <w:t>管理岗位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516"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主管</w:t>
            </w:r>
          </w:p>
        </w:tc>
        <w:tc>
          <w:tcPr>
            <w:tcW w:w="1601"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4</w:t>
            </w:r>
          </w:p>
        </w:tc>
        <w:tc>
          <w:tcPr>
            <w:tcW w:w="4169" w:type="dxa"/>
          </w:tcPr>
          <w:p>
            <w:pPr>
              <w:autoSpaceDE w:val="0"/>
              <w:autoSpaceDN w:val="0"/>
              <w:spacing w:line="370" w:lineRule="exact"/>
              <w:rPr>
                <w:rFonts w:ascii="宋体" w:hAnsi="宋体" w:cs="宋体"/>
                <w:sz w:val="24"/>
              </w:rPr>
            </w:pPr>
            <w:r>
              <w:rPr>
                <w:rFonts w:hint="eastAsia" w:ascii="宋体" w:hAnsi="宋体" w:cs="宋体"/>
                <w:sz w:val="24"/>
              </w:rPr>
              <w:t>管理岗位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516"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保洁、运送</w:t>
            </w:r>
          </w:p>
        </w:tc>
        <w:tc>
          <w:tcPr>
            <w:tcW w:w="1601" w:type="dxa"/>
            <w:vAlign w:val="center"/>
          </w:tcPr>
          <w:p>
            <w:pPr>
              <w:autoSpaceDE w:val="0"/>
              <w:autoSpaceDN w:val="0"/>
              <w:spacing w:line="370" w:lineRule="exact"/>
              <w:jc w:val="center"/>
              <w:rPr>
                <w:rFonts w:ascii="宋体" w:hAnsi="宋体" w:cs="宋体"/>
                <w:color w:val="FF0000"/>
                <w:sz w:val="24"/>
              </w:rPr>
            </w:pPr>
            <w:r>
              <w:rPr>
                <w:rFonts w:hint="eastAsia" w:ascii="宋体" w:hAnsi="宋体" w:cs="宋体"/>
                <w:sz w:val="24"/>
              </w:rPr>
              <w:t>118</w:t>
            </w:r>
          </w:p>
        </w:tc>
        <w:tc>
          <w:tcPr>
            <w:tcW w:w="4169" w:type="dxa"/>
          </w:tcPr>
          <w:p>
            <w:pPr>
              <w:autoSpaceDE w:val="0"/>
              <w:autoSpaceDN w:val="0"/>
              <w:spacing w:line="370" w:lineRule="exact"/>
              <w:rPr>
                <w:rFonts w:ascii="宋体" w:hAnsi="宋体" w:cs="宋体"/>
                <w:sz w:val="24"/>
              </w:rPr>
            </w:pPr>
            <w:r>
              <w:rPr>
                <w:rFonts w:hint="eastAsia" w:ascii="宋体" w:hAnsi="宋体" w:cs="宋体"/>
                <w:sz w:val="24"/>
              </w:rPr>
              <w:t>根据开放600张床位测算，将根据实际工作量略作调整。其中：I类岗位16人、Ⅱ类岗位37人、Ⅲ类岗位38人、Ⅳ类岗位27人。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516"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净化维护</w:t>
            </w:r>
          </w:p>
        </w:tc>
        <w:tc>
          <w:tcPr>
            <w:tcW w:w="1601"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1</w:t>
            </w:r>
          </w:p>
        </w:tc>
        <w:tc>
          <w:tcPr>
            <w:tcW w:w="4169" w:type="dxa"/>
            <w:vAlign w:val="center"/>
          </w:tcPr>
          <w:p>
            <w:pPr>
              <w:autoSpaceDE w:val="0"/>
              <w:autoSpaceDN w:val="0"/>
              <w:spacing w:line="370" w:lineRule="exact"/>
              <w:rPr>
                <w:rFonts w:ascii="宋体" w:hAnsi="宋体" w:cs="宋体"/>
                <w:sz w:val="24"/>
              </w:rPr>
            </w:pPr>
            <w:r>
              <w:rPr>
                <w:rFonts w:hint="eastAsia" w:ascii="宋体" w:hAnsi="宋体" w:cs="宋体"/>
                <w:sz w:val="24"/>
              </w:rPr>
              <w:t>综合岗位，需有净化维护的相关工作经验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516"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空调工</w:t>
            </w:r>
          </w:p>
        </w:tc>
        <w:tc>
          <w:tcPr>
            <w:tcW w:w="1601"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3</w:t>
            </w:r>
          </w:p>
        </w:tc>
        <w:tc>
          <w:tcPr>
            <w:tcW w:w="4169" w:type="dxa"/>
          </w:tcPr>
          <w:p>
            <w:pPr>
              <w:autoSpaceDE w:val="0"/>
              <w:autoSpaceDN w:val="0"/>
              <w:spacing w:line="370" w:lineRule="exact"/>
              <w:rPr>
                <w:rFonts w:ascii="宋体" w:hAnsi="宋体" w:cs="宋体"/>
                <w:sz w:val="24"/>
              </w:rPr>
            </w:pPr>
            <w:r>
              <w:rPr>
                <w:rFonts w:hint="eastAsia" w:ascii="宋体" w:hAnsi="宋体" w:cs="宋体"/>
                <w:sz w:val="24"/>
              </w:rPr>
              <w:t>综合岗位，需有相关工作经验，</w:t>
            </w:r>
          </w:p>
          <w:p>
            <w:pPr>
              <w:autoSpaceDE w:val="0"/>
              <w:autoSpaceDN w:val="0"/>
              <w:spacing w:line="370" w:lineRule="exact"/>
              <w:rPr>
                <w:rFonts w:ascii="宋体" w:hAnsi="宋体" w:cs="宋体"/>
                <w:sz w:val="24"/>
              </w:rPr>
            </w:pPr>
            <w:r>
              <w:rPr>
                <w:rFonts w:hint="eastAsia" w:ascii="仿宋" w:hAnsi="仿宋" w:eastAsia="仿宋" w:cs="仿宋"/>
                <w:sz w:val="24"/>
              </w:rPr>
              <w:t>▲</w:t>
            </w:r>
            <w:r>
              <w:rPr>
                <w:rFonts w:hint="eastAsia" w:ascii="宋体" w:hAnsi="宋体" w:cs="宋体"/>
                <w:sz w:val="24"/>
              </w:rPr>
              <w:t>制冷设备维修上岗证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16"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高配电工</w:t>
            </w:r>
          </w:p>
        </w:tc>
        <w:tc>
          <w:tcPr>
            <w:tcW w:w="1601"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6</w:t>
            </w:r>
          </w:p>
        </w:tc>
        <w:tc>
          <w:tcPr>
            <w:tcW w:w="4169" w:type="dxa"/>
          </w:tcPr>
          <w:p>
            <w:pPr>
              <w:autoSpaceDE w:val="0"/>
              <w:autoSpaceDN w:val="0"/>
              <w:spacing w:line="370" w:lineRule="exact"/>
              <w:rPr>
                <w:rFonts w:ascii="宋体" w:hAnsi="宋体" w:cs="宋体"/>
                <w:sz w:val="24"/>
              </w:rPr>
            </w:pPr>
            <w:r>
              <w:rPr>
                <w:rFonts w:hint="eastAsia" w:ascii="宋体" w:hAnsi="宋体" w:cs="宋体"/>
                <w:sz w:val="24"/>
              </w:rPr>
              <w:t>综合岗位，需有相关工作经验，特种设备压力容器作业R1证（若无，应在合同签订后，三个月内取得）</w:t>
            </w:r>
          </w:p>
          <w:p>
            <w:pPr>
              <w:autoSpaceDE w:val="0"/>
              <w:autoSpaceDN w:val="0"/>
              <w:spacing w:line="370" w:lineRule="exact"/>
              <w:rPr>
                <w:rFonts w:ascii="宋体" w:hAnsi="宋体" w:cs="宋体"/>
                <w:sz w:val="24"/>
              </w:rPr>
            </w:pPr>
            <w:r>
              <w:rPr>
                <w:rFonts w:hint="eastAsia" w:ascii="仿宋" w:hAnsi="仿宋" w:eastAsia="仿宋" w:cs="仿宋"/>
                <w:sz w:val="24"/>
              </w:rPr>
              <w:t>▲</w:t>
            </w:r>
            <w:r>
              <w:rPr>
                <w:rFonts w:hint="eastAsia" w:ascii="宋体" w:hAnsi="宋体" w:cs="宋体"/>
                <w:sz w:val="24"/>
              </w:rPr>
              <w:t>高配上岗证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16" w:type="dxa"/>
          </w:tcPr>
          <w:p>
            <w:pPr>
              <w:autoSpaceDE w:val="0"/>
              <w:autoSpaceDN w:val="0"/>
              <w:spacing w:line="370" w:lineRule="exact"/>
              <w:jc w:val="center"/>
              <w:rPr>
                <w:rFonts w:ascii="宋体" w:hAnsi="宋体" w:cs="宋体"/>
                <w:sz w:val="24"/>
              </w:rPr>
            </w:pPr>
            <w:r>
              <w:rPr>
                <w:rFonts w:hint="eastAsia" w:ascii="宋体" w:hAnsi="宋体" w:cs="宋体"/>
                <w:sz w:val="24"/>
              </w:rPr>
              <w:t>合计</w:t>
            </w:r>
          </w:p>
        </w:tc>
        <w:tc>
          <w:tcPr>
            <w:tcW w:w="1601" w:type="dxa"/>
          </w:tcPr>
          <w:p>
            <w:pPr>
              <w:autoSpaceDE w:val="0"/>
              <w:autoSpaceDN w:val="0"/>
              <w:spacing w:line="370" w:lineRule="exact"/>
              <w:jc w:val="center"/>
              <w:rPr>
                <w:rFonts w:ascii="宋体" w:hAnsi="宋体" w:cs="宋体"/>
                <w:sz w:val="24"/>
              </w:rPr>
            </w:pPr>
            <w:r>
              <w:rPr>
                <w:rFonts w:hint="eastAsia" w:ascii="仿宋" w:hAnsi="仿宋" w:eastAsia="仿宋" w:cs="仿宋"/>
                <w:sz w:val="24"/>
              </w:rPr>
              <w:t>▲</w:t>
            </w:r>
            <w:r>
              <w:rPr>
                <w:rFonts w:hint="eastAsia" w:ascii="宋体" w:hAnsi="宋体" w:cs="宋体"/>
                <w:sz w:val="24"/>
              </w:rPr>
              <w:t>133</w:t>
            </w:r>
          </w:p>
        </w:tc>
        <w:tc>
          <w:tcPr>
            <w:tcW w:w="4169" w:type="dxa"/>
          </w:tcPr>
          <w:p>
            <w:pPr>
              <w:autoSpaceDE w:val="0"/>
              <w:autoSpaceDN w:val="0"/>
              <w:spacing w:line="370" w:lineRule="exact"/>
              <w:ind w:firstLine="360"/>
              <w:rPr>
                <w:rFonts w:ascii="宋体" w:hAnsi="宋体" w:cs="宋体"/>
                <w:sz w:val="24"/>
                <w:highlight w:val="yellow"/>
              </w:rPr>
            </w:pP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16"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病区陪护</w:t>
            </w:r>
          </w:p>
        </w:tc>
        <w:tc>
          <w:tcPr>
            <w:tcW w:w="1601"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50</w:t>
            </w:r>
          </w:p>
        </w:tc>
        <w:tc>
          <w:tcPr>
            <w:tcW w:w="4169" w:type="dxa"/>
            <w:vAlign w:val="center"/>
          </w:tcPr>
          <w:p>
            <w:pPr>
              <w:autoSpaceDE w:val="0"/>
              <w:autoSpaceDN w:val="0"/>
              <w:spacing w:line="370" w:lineRule="exact"/>
              <w:jc w:val="left"/>
              <w:rPr>
                <w:rFonts w:ascii="宋体" w:hAnsi="宋体" w:cs="宋体"/>
                <w:sz w:val="24"/>
              </w:rPr>
            </w:pPr>
            <w:r>
              <w:rPr>
                <w:rFonts w:hint="eastAsia" w:ascii="宋体" w:hAnsi="宋体" w:cs="宋体"/>
                <w:sz w:val="24"/>
              </w:rPr>
              <w:t>投标人按病区陪护的相关物价收费，采购人不承担有关病区陪护的任何费用，陪护人员的费用不包含在该项目报价中，仅承担相应人员的招聘工作。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16"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陪护管理人员</w:t>
            </w:r>
          </w:p>
        </w:tc>
        <w:tc>
          <w:tcPr>
            <w:tcW w:w="1601" w:type="dxa"/>
            <w:vAlign w:val="center"/>
          </w:tcPr>
          <w:p>
            <w:pPr>
              <w:autoSpaceDE w:val="0"/>
              <w:autoSpaceDN w:val="0"/>
              <w:spacing w:line="370" w:lineRule="exact"/>
              <w:jc w:val="center"/>
              <w:rPr>
                <w:rFonts w:ascii="宋体" w:hAnsi="宋体" w:cs="宋体"/>
                <w:sz w:val="24"/>
              </w:rPr>
            </w:pPr>
            <w:r>
              <w:rPr>
                <w:rFonts w:hint="eastAsia" w:ascii="宋体" w:hAnsi="宋体" w:cs="宋体"/>
                <w:sz w:val="24"/>
              </w:rPr>
              <w:t>1</w:t>
            </w:r>
          </w:p>
        </w:tc>
        <w:tc>
          <w:tcPr>
            <w:tcW w:w="4169" w:type="dxa"/>
            <w:vAlign w:val="center"/>
          </w:tcPr>
          <w:p>
            <w:pPr>
              <w:autoSpaceDE w:val="0"/>
              <w:autoSpaceDN w:val="0"/>
              <w:spacing w:line="370" w:lineRule="exact"/>
              <w:jc w:val="left"/>
              <w:rPr>
                <w:rFonts w:ascii="宋体" w:hAnsi="宋体" w:cs="宋体"/>
                <w:sz w:val="24"/>
              </w:rPr>
            </w:pPr>
            <w:r>
              <w:rPr>
                <w:rFonts w:hint="eastAsia" w:ascii="宋体" w:hAnsi="宋体" w:cs="宋体"/>
                <w:sz w:val="24"/>
              </w:rPr>
              <w:t>需有陪护管理的相关经验，投标人自行承担陪护管理人员的费用，采购人人不承担陪护管理人员的任何费用，陪护人员的费用不包含在该项目报价中，仅承担相应人员的招聘工作。</w:t>
            </w:r>
          </w:p>
        </w:tc>
      </w:tr>
    </w:tbl>
    <w:p>
      <w:pPr>
        <w:tabs>
          <w:tab w:val="left" w:pos="567"/>
        </w:tabs>
        <w:snapToGrid w:val="0"/>
        <w:spacing w:line="360" w:lineRule="auto"/>
        <w:ind w:firstLine="480" w:firstLineChars="200"/>
        <w:rPr>
          <w:rFonts w:ascii="宋体" w:hAnsi="宋体" w:cs="宋体"/>
          <w:bCs/>
          <w:sz w:val="24"/>
        </w:rPr>
      </w:pPr>
    </w:p>
    <w:p>
      <w:pPr>
        <w:tabs>
          <w:tab w:val="left" w:pos="567"/>
        </w:tabs>
        <w:snapToGrid w:val="0"/>
        <w:spacing w:line="360" w:lineRule="auto"/>
        <w:ind w:firstLine="480" w:firstLineChars="200"/>
        <w:rPr>
          <w:rFonts w:ascii="宋体" w:hAnsi="宋体" w:cs="宋体"/>
          <w:bCs/>
          <w:sz w:val="24"/>
        </w:rPr>
      </w:pPr>
      <w:r>
        <w:rPr>
          <w:rFonts w:hint="eastAsia" w:ascii="宋体" w:hAnsi="宋体" w:cs="宋体"/>
          <w:bCs/>
          <w:sz w:val="24"/>
        </w:rPr>
        <w:t>1.工作日保证质量要求情况下，保洁与运送人数不得少于110人（包括中夜班）。法定假日不少于65人上班（包括中夜班）。1.2.4号楼未开科室所需人数在总人数中扣除。</w:t>
      </w:r>
    </w:p>
    <w:p>
      <w:pPr>
        <w:tabs>
          <w:tab w:val="left" w:pos="567"/>
        </w:tabs>
        <w:snapToGrid w:val="0"/>
        <w:spacing w:line="360" w:lineRule="auto"/>
        <w:ind w:firstLine="480" w:firstLineChars="200"/>
        <w:rPr>
          <w:rFonts w:ascii="宋体" w:hAnsi="宋体" w:cs="宋体"/>
          <w:bCs/>
          <w:sz w:val="24"/>
        </w:rPr>
      </w:pPr>
      <w:r>
        <w:rPr>
          <w:rFonts w:hint="eastAsia" w:ascii="宋体" w:hAnsi="宋体" w:cs="宋体"/>
          <w:bCs/>
          <w:sz w:val="24"/>
        </w:rPr>
        <w:t>2.岗位分为：管理岗位、综合岗位、I类岗位、Ⅱ类岗位、Ⅲ类岗位、Ⅳ类岗位。</w:t>
      </w:r>
    </w:p>
    <w:p>
      <w:pPr>
        <w:spacing w:line="360" w:lineRule="auto"/>
        <w:ind w:firstLine="480" w:firstLineChars="200"/>
        <w:rPr>
          <w:rFonts w:ascii="宋体" w:hAnsi="宋体" w:cs="宋体"/>
          <w:sz w:val="24"/>
        </w:rPr>
      </w:pPr>
      <w:r>
        <w:rPr>
          <w:rFonts w:hint="eastAsia" w:ascii="宋体" w:hAnsi="宋体" w:cs="宋体"/>
          <w:bCs/>
          <w:sz w:val="24"/>
        </w:rPr>
        <w:t>3</w:t>
      </w:r>
      <w:r>
        <w:rPr>
          <w:rFonts w:ascii="宋体" w:hAnsi="宋体" w:cs="宋体"/>
          <w:bCs/>
          <w:sz w:val="24"/>
        </w:rPr>
        <w:t>.</w:t>
      </w:r>
      <w:r>
        <w:rPr>
          <w:rFonts w:hint="eastAsia" w:ascii="宋体" w:hAnsi="宋体" w:cs="宋体"/>
          <w:bCs/>
          <w:sz w:val="24"/>
        </w:rPr>
        <w:t>管理岗位要求：</w:t>
      </w:r>
      <w:r>
        <w:rPr>
          <w:rFonts w:hint="eastAsia" w:ascii="宋体" w:hAnsi="宋体" w:cs="宋体"/>
          <w:sz w:val="24"/>
        </w:rPr>
        <w:t>（1）项目经理和副经理的要求：年龄≤55周岁，大学专科及以上学历，身体健康，有2年以上类似项目管理业绩，综合协调能力强，专职服务采购方等；（2）主管人员：年龄≤</w:t>
      </w:r>
      <w:r>
        <w:rPr>
          <w:rFonts w:ascii="宋体" w:hAnsi="宋体" w:cs="宋体"/>
          <w:sz w:val="24"/>
        </w:rPr>
        <w:t>60</w:t>
      </w:r>
      <w:r>
        <w:rPr>
          <w:rFonts w:hint="eastAsia" w:ascii="宋体" w:hAnsi="宋体" w:cs="宋体"/>
          <w:sz w:val="24"/>
        </w:rPr>
        <w:t>周岁，高中及以上文化程度，身体健康，担任相关管理主管2年以上综合管理、协调能力强，认真负责等。</w:t>
      </w:r>
    </w:p>
    <w:p>
      <w:pPr>
        <w:tabs>
          <w:tab w:val="left" w:pos="567"/>
        </w:tabs>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.综合岗位（高配电工、空调工、净化维护）人员工资扣除五险一金等所有费用，员工实际收到月工资不低于3500元；年龄≤60周岁，初中及以上文化，身体健康。</w:t>
      </w:r>
    </w:p>
    <w:p>
      <w:pPr>
        <w:tabs>
          <w:tab w:val="left" w:pos="567"/>
        </w:tabs>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.I类岗位人员工资扣除五险一金等所有费用，员工实际收到月工资不低于3450元。</w:t>
      </w:r>
    </w:p>
    <w:p>
      <w:pPr>
        <w:tabs>
          <w:tab w:val="left" w:pos="567"/>
        </w:tabs>
        <w:snapToGrid w:val="0"/>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.Ⅱ类岗位人员工资扣除五险一金等所有费用，员工实际收到月工资不低于3400元。</w:t>
      </w:r>
    </w:p>
    <w:p>
      <w:pPr>
        <w:tabs>
          <w:tab w:val="left" w:pos="567"/>
        </w:tabs>
        <w:snapToGrid w:val="0"/>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.Ⅲ类岗位人员工资扣除五险一金等所有费用，员工实际收到月工资不低于3250元。</w:t>
      </w:r>
    </w:p>
    <w:p>
      <w:pPr>
        <w:tabs>
          <w:tab w:val="left" w:pos="567"/>
        </w:tabs>
        <w:snapToGrid w:val="0"/>
        <w:spacing w:line="360" w:lineRule="auto"/>
        <w:ind w:firstLine="480" w:firstLineChars="200"/>
        <w:rPr>
          <w:rFonts w:ascii="宋体" w:hAnsi="宋体" w:cs="宋体"/>
          <w:sz w:val="24"/>
        </w:rPr>
      </w:pPr>
      <w:r>
        <w:rPr>
          <w:rFonts w:ascii="宋体" w:hAnsi="宋体" w:cs="宋体"/>
          <w:sz w:val="24"/>
        </w:rPr>
        <w:t>8</w:t>
      </w:r>
      <w:r>
        <w:rPr>
          <w:rFonts w:hint="eastAsia" w:ascii="宋体" w:hAnsi="宋体" w:cs="宋体"/>
          <w:sz w:val="24"/>
        </w:rPr>
        <w:t>.Ⅳ类岗位人员工资扣除五险一金等所有费用，员工实际收到月工资不低于3200元。</w:t>
      </w:r>
    </w:p>
    <w:p>
      <w:pPr>
        <w:tabs>
          <w:tab w:val="left" w:pos="567"/>
        </w:tabs>
        <w:snapToGrid w:val="0"/>
        <w:spacing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保洁、运送人员、陪护人员：原则上年龄≤65周岁，小学及以上学历，身体健康，普通话交流无障碍。</w:t>
      </w:r>
    </w:p>
    <w:p>
      <w:pPr>
        <w:tabs>
          <w:tab w:val="left" w:pos="567"/>
        </w:tabs>
        <w:snapToGrid w:val="0"/>
        <w:spacing w:line="360" w:lineRule="auto"/>
        <w:ind w:firstLine="480" w:firstLineChars="200"/>
        <w:rPr>
          <w:rFonts w:ascii="宋体" w:hAnsi="宋体" w:cs="宋体"/>
          <w:sz w:val="24"/>
        </w:rPr>
      </w:pPr>
      <w:r>
        <w:rPr>
          <w:rFonts w:ascii="宋体" w:hAnsi="宋体" w:cs="宋体"/>
          <w:sz w:val="24"/>
        </w:rPr>
        <w:t>10</w:t>
      </w:r>
      <w:r>
        <w:rPr>
          <w:rFonts w:hint="eastAsia" w:ascii="宋体" w:hAnsi="宋体" w:cs="宋体"/>
          <w:sz w:val="24"/>
        </w:rPr>
        <w:t>.每月考核时，将对当月员工数量进行考核，缺岗人数按照投标报价口径相应扣除。</w:t>
      </w:r>
    </w:p>
    <w:p>
      <w:pPr>
        <w:snapToGrid w:val="0"/>
        <w:spacing w:line="360" w:lineRule="auto"/>
        <w:ind w:firstLine="482" w:firstLineChars="200"/>
        <w:rPr>
          <w:rFonts w:ascii="宋体" w:hAnsi="宋体" w:cs="宋体"/>
          <w:b/>
          <w:sz w:val="24"/>
        </w:rPr>
      </w:pPr>
      <w:r>
        <w:rPr>
          <w:rFonts w:hint="eastAsia" w:ascii="宋体" w:hAnsi="宋体" w:cs="宋体"/>
          <w:b/>
          <w:sz w:val="24"/>
        </w:rPr>
        <w:t>5.后勤管理方案的内容要求</w:t>
      </w:r>
    </w:p>
    <w:p>
      <w:pPr>
        <w:spacing w:line="360" w:lineRule="auto"/>
        <w:ind w:firstLine="420" w:firstLineChars="175"/>
        <w:rPr>
          <w:rFonts w:ascii="宋体" w:hAnsi="宋体" w:cs="宋体"/>
          <w:sz w:val="24"/>
        </w:rPr>
      </w:pPr>
      <w:r>
        <w:rPr>
          <w:rFonts w:hint="eastAsia" w:ascii="宋体" w:hAnsi="宋体" w:cs="宋体"/>
          <w:sz w:val="24"/>
        </w:rPr>
        <w:t>5.1拟采取的管理及服务方式。包括：组织架构、机构设置、信息反馈渠道等</w:t>
      </w:r>
    </w:p>
    <w:p>
      <w:pPr>
        <w:spacing w:line="360" w:lineRule="auto"/>
        <w:ind w:firstLine="420" w:firstLineChars="175"/>
        <w:rPr>
          <w:rFonts w:ascii="宋体" w:hAnsi="宋体" w:cs="宋体"/>
          <w:sz w:val="24"/>
        </w:rPr>
      </w:pPr>
      <w:r>
        <w:rPr>
          <w:rFonts w:hint="eastAsia" w:ascii="宋体" w:hAnsi="宋体" w:cs="宋体"/>
          <w:sz w:val="24"/>
        </w:rPr>
        <w:t>5.2各项后勤支持管理服务具体方案设计。应包含主动预防计划（如维修服务）及突发性检查时配合迎检方案。保洁服务方案中应提供详细的PVC、实木地板、石材、地毯及其他地面的保养方式、程序、各程序使用养护剂品牌。</w:t>
      </w:r>
    </w:p>
    <w:p>
      <w:pPr>
        <w:spacing w:line="360" w:lineRule="auto"/>
        <w:ind w:firstLine="420" w:firstLineChars="175"/>
        <w:rPr>
          <w:rFonts w:ascii="宋体" w:hAnsi="宋体" w:cs="宋体"/>
          <w:sz w:val="24"/>
        </w:rPr>
      </w:pPr>
      <w:r>
        <w:rPr>
          <w:rFonts w:hint="eastAsia" w:ascii="宋体" w:hAnsi="宋体" w:cs="宋体"/>
          <w:sz w:val="24"/>
        </w:rPr>
        <w:t>5.3管理人员的配置、管理人员的培训和发展计划（包括培训计划、方式、目标等）</w:t>
      </w:r>
    </w:p>
    <w:p>
      <w:pPr>
        <w:spacing w:line="360" w:lineRule="auto"/>
        <w:ind w:firstLine="420" w:firstLineChars="175"/>
        <w:rPr>
          <w:rFonts w:ascii="宋体" w:hAnsi="宋体" w:cs="宋体"/>
          <w:sz w:val="24"/>
        </w:rPr>
      </w:pPr>
      <w:r>
        <w:rPr>
          <w:rFonts w:hint="eastAsia" w:ascii="宋体" w:hAnsi="宋体" w:cs="宋体"/>
          <w:sz w:val="24"/>
        </w:rPr>
        <w:t>5.4管理质量和考核计划</w:t>
      </w:r>
    </w:p>
    <w:p>
      <w:pPr>
        <w:spacing w:line="360" w:lineRule="auto"/>
        <w:ind w:firstLine="420" w:firstLineChars="175"/>
        <w:rPr>
          <w:rFonts w:ascii="宋体" w:hAnsi="宋体" w:cs="宋体"/>
          <w:sz w:val="24"/>
        </w:rPr>
      </w:pPr>
      <w:r>
        <w:rPr>
          <w:rFonts w:hint="eastAsia" w:ascii="宋体" w:hAnsi="宋体" w:cs="宋体"/>
          <w:sz w:val="24"/>
        </w:rPr>
        <w:t>5.5医院保洁服务档案的建立与保存</w:t>
      </w:r>
    </w:p>
    <w:p>
      <w:pPr>
        <w:spacing w:line="360" w:lineRule="auto"/>
        <w:ind w:firstLine="420" w:firstLineChars="175"/>
        <w:rPr>
          <w:rFonts w:ascii="宋体" w:hAnsi="宋体" w:cs="宋体"/>
          <w:sz w:val="24"/>
        </w:rPr>
      </w:pPr>
      <w:r>
        <w:rPr>
          <w:rFonts w:hint="eastAsia" w:ascii="宋体" w:hAnsi="宋体" w:cs="宋体"/>
          <w:sz w:val="24"/>
        </w:rPr>
        <w:t>5.6合同期内可提供给院方的文件资料清单</w:t>
      </w:r>
    </w:p>
    <w:p>
      <w:pPr>
        <w:spacing w:line="360" w:lineRule="auto"/>
        <w:ind w:firstLine="420" w:firstLineChars="175"/>
        <w:rPr>
          <w:rFonts w:ascii="宋体" w:hAnsi="宋体" w:cs="宋体"/>
          <w:sz w:val="24"/>
        </w:rPr>
      </w:pPr>
      <w:r>
        <w:rPr>
          <w:rFonts w:hint="eastAsia" w:ascii="宋体" w:hAnsi="宋体" w:cs="宋体"/>
          <w:sz w:val="24"/>
        </w:rPr>
        <w:t>5.7合同终止时，保留给院方的资料清单</w:t>
      </w:r>
    </w:p>
    <w:p>
      <w:pPr>
        <w:spacing w:line="360" w:lineRule="auto"/>
        <w:ind w:firstLine="420" w:firstLineChars="175"/>
        <w:rPr>
          <w:rFonts w:ascii="宋体" w:hAnsi="宋体" w:cs="宋体"/>
          <w:sz w:val="24"/>
        </w:rPr>
      </w:pPr>
      <w:r>
        <w:rPr>
          <w:rFonts w:hint="eastAsia" w:ascii="宋体" w:hAnsi="宋体" w:cs="宋体"/>
          <w:sz w:val="24"/>
        </w:rPr>
        <w:t>5.8合同终止时，各项服务的财产分割方式</w:t>
      </w:r>
    </w:p>
    <w:p>
      <w:pPr>
        <w:spacing w:line="360" w:lineRule="auto"/>
        <w:ind w:firstLine="420" w:firstLineChars="175"/>
        <w:rPr>
          <w:rFonts w:ascii="宋体" w:hAnsi="宋体" w:cs="宋体"/>
          <w:bCs/>
          <w:sz w:val="24"/>
        </w:rPr>
      </w:pPr>
      <w:r>
        <w:rPr>
          <w:rFonts w:hint="eastAsia" w:ascii="宋体" w:hAnsi="宋体" w:cs="宋体"/>
          <w:sz w:val="24"/>
        </w:rPr>
        <w:t>5.9</w:t>
      </w:r>
      <w:r>
        <w:rPr>
          <w:rFonts w:hint="eastAsia" w:ascii="宋体" w:hAnsi="宋体" w:cs="宋体"/>
          <w:bCs/>
          <w:sz w:val="24"/>
        </w:rPr>
        <w:t>服务公司拟在本保洁服务项目中配备的各类设备（包括：各类服务设备、办公设备等）的品牌、型号、产地、数量以及拟在医院使用的清洁剂、地面保养剂、洗涤剂、消毒剂等各类耗材的品牌（如庄臣、3M、威霸、奥林匹斯）清单、管道疏通、理发的相关设备。</w:t>
      </w:r>
    </w:p>
    <w:p>
      <w:pPr>
        <w:spacing w:line="360" w:lineRule="auto"/>
        <w:ind w:firstLine="420" w:firstLineChars="175"/>
        <w:rPr>
          <w:rFonts w:ascii="宋体" w:hAnsi="宋体" w:cs="宋体"/>
          <w:bCs/>
          <w:sz w:val="24"/>
        </w:rPr>
      </w:pPr>
      <w:r>
        <w:rPr>
          <w:rFonts w:hint="eastAsia" w:ascii="宋体" w:hAnsi="宋体" w:cs="宋体"/>
          <w:sz w:val="24"/>
        </w:rPr>
        <w:t>5.10</w:t>
      </w:r>
      <w:r>
        <w:rPr>
          <w:rFonts w:hint="eastAsia" w:ascii="宋体" w:hAnsi="宋体" w:cs="宋体"/>
          <w:bCs/>
          <w:sz w:val="24"/>
        </w:rPr>
        <w:t>卫生质量和经费的管理。</w:t>
      </w:r>
    </w:p>
    <w:p>
      <w:pPr>
        <w:spacing w:line="360" w:lineRule="auto"/>
        <w:ind w:firstLine="420" w:firstLineChars="175"/>
        <w:rPr>
          <w:rFonts w:ascii="宋体" w:hAnsi="宋体" w:cs="宋体"/>
          <w:sz w:val="24"/>
        </w:rPr>
      </w:pPr>
      <w:r>
        <w:rPr>
          <w:rFonts w:hint="eastAsia" w:ascii="宋体" w:hAnsi="宋体" w:cs="宋体"/>
          <w:sz w:val="24"/>
        </w:rPr>
        <w:t>5.11管理建议。</w:t>
      </w:r>
    </w:p>
    <w:p>
      <w:pPr>
        <w:spacing w:line="360" w:lineRule="auto"/>
        <w:ind w:firstLine="422" w:firstLineChars="175"/>
        <w:rPr>
          <w:rFonts w:ascii="宋体" w:hAnsi="宋体" w:cs="宋体"/>
          <w:b/>
          <w:sz w:val="24"/>
        </w:rPr>
      </w:pPr>
      <w:r>
        <w:rPr>
          <w:rFonts w:hint="eastAsia" w:ascii="宋体" w:hAnsi="宋体" w:cs="宋体"/>
          <w:b/>
          <w:sz w:val="24"/>
        </w:rPr>
        <w:t>6.投标人的现行营运状况要求</w:t>
      </w:r>
    </w:p>
    <w:p>
      <w:pPr>
        <w:spacing w:line="360" w:lineRule="auto"/>
        <w:ind w:firstLine="420" w:firstLineChars="175"/>
        <w:rPr>
          <w:rFonts w:ascii="宋体" w:hAnsi="宋体" w:cs="宋体"/>
          <w:sz w:val="24"/>
        </w:rPr>
      </w:pPr>
      <w:r>
        <w:rPr>
          <w:rFonts w:hint="eastAsia" w:ascii="宋体" w:hAnsi="宋体" w:cs="宋体"/>
          <w:sz w:val="24"/>
        </w:rPr>
        <w:t>6.1具有科学合理的组织构架，严格的管理细则和岗位责任制度。</w:t>
      </w:r>
    </w:p>
    <w:p>
      <w:pPr>
        <w:spacing w:line="360" w:lineRule="auto"/>
        <w:ind w:firstLine="420" w:firstLineChars="175"/>
        <w:rPr>
          <w:rFonts w:ascii="宋体" w:hAnsi="宋体" w:cs="宋体"/>
          <w:sz w:val="24"/>
        </w:rPr>
      </w:pPr>
      <w:r>
        <w:rPr>
          <w:rFonts w:hint="eastAsia" w:ascii="宋体" w:hAnsi="宋体" w:cs="宋体"/>
          <w:sz w:val="24"/>
        </w:rPr>
        <w:t>6.2具有提供完善的后勤管理和保障服务的能力，并具有一定的企业规模。</w:t>
      </w:r>
    </w:p>
    <w:p>
      <w:pPr>
        <w:spacing w:line="360" w:lineRule="auto"/>
        <w:ind w:firstLine="422" w:firstLineChars="175"/>
        <w:rPr>
          <w:rFonts w:ascii="宋体" w:hAnsi="宋体" w:cs="宋体"/>
          <w:sz w:val="24"/>
        </w:rPr>
      </w:pPr>
      <w:r>
        <w:rPr>
          <w:rFonts w:hint="eastAsia" w:ascii="宋体" w:hAnsi="宋体" w:cs="宋体"/>
          <w:b/>
          <w:sz w:val="24"/>
        </w:rPr>
        <w:t>7.对中标人的其他说明</w:t>
      </w:r>
    </w:p>
    <w:p>
      <w:pPr>
        <w:spacing w:line="360" w:lineRule="auto"/>
        <w:ind w:firstLine="420" w:firstLineChars="175"/>
        <w:rPr>
          <w:rFonts w:ascii="宋体" w:hAnsi="宋体" w:cs="宋体"/>
          <w:sz w:val="24"/>
        </w:rPr>
      </w:pPr>
      <w:r>
        <w:rPr>
          <w:rFonts w:hint="eastAsia" w:ascii="宋体" w:hAnsi="宋体" w:cs="宋体"/>
          <w:sz w:val="24"/>
        </w:rPr>
        <w:t>7.1医院将提供中标人管理办公用房。</w:t>
      </w:r>
    </w:p>
    <w:p>
      <w:pPr>
        <w:spacing w:line="360" w:lineRule="auto"/>
        <w:ind w:firstLine="420" w:firstLineChars="175"/>
        <w:rPr>
          <w:rFonts w:ascii="宋体" w:hAnsi="宋体" w:cs="宋体"/>
          <w:sz w:val="24"/>
        </w:rPr>
      </w:pPr>
      <w:r>
        <w:rPr>
          <w:rFonts w:hint="eastAsia" w:ascii="宋体" w:hAnsi="宋体" w:cs="宋体"/>
          <w:sz w:val="24"/>
        </w:rPr>
        <w:t>7.2中标人配置项目相关人员的装备（包括智慧运送PAD、手机、对讲机以及对讲机公共频道占用费及维修费用等）。</w:t>
      </w:r>
    </w:p>
    <w:p>
      <w:pPr>
        <w:spacing w:line="360" w:lineRule="auto"/>
        <w:ind w:firstLine="420" w:firstLineChars="175"/>
        <w:rPr>
          <w:rFonts w:ascii="宋体" w:hAnsi="宋体" w:cs="宋体"/>
          <w:sz w:val="24"/>
        </w:rPr>
      </w:pPr>
      <w:r>
        <w:rPr>
          <w:rFonts w:hint="eastAsia" w:ascii="宋体" w:hAnsi="宋体" w:cs="宋体"/>
          <w:sz w:val="24"/>
        </w:rPr>
        <w:t>7.3中标人自备电脑、考勤设备和打印机等办公设备和耗材；中标人自行负责桌椅等办公家私和员工更衣柜。</w:t>
      </w:r>
    </w:p>
    <w:p>
      <w:pPr>
        <w:spacing w:line="360" w:lineRule="auto"/>
        <w:ind w:firstLine="420" w:firstLineChars="175"/>
        <w:rPr>
          <w:rFonts w:ascii="宋体" w:hAnsi="宋体" w:cs="宋体"/>
          <w:sz w:val="24"/>
        </w:rPr>
      </w:pPr>
      <w:r>
        <w:rPr>
          <w:rFonts w:hint="eastAsia" w:ascii="宋体" w:hAnsi="宋体" w:cs="宋体"/>
          <w:sz w:val="24"/>
        </w:rPr>
        <w:t>7.4中标人的各岗位员工要统一服装，并由中标人负责其员工工服配备和洗涤。</w:t>
      </w:r>
    </w:p>
    <w:p>
      <w:pPr>
        <w:spacing w:line="360" w:lineRule="auto"/>
        <w:ind w:firstLine="420" w:firstLineChars="175"/>
        <w:rPr>
          <w:rFonts w:ascii="宋体" w:hAnsi="宋体" w:cs="宋体"/>
          <w:sz w:val="24"/>
        </w:rPr>
      </w:pPr>
      <w:r>
        <w:rPr>
          <w:rFonts w:hint="eastAsia" w:ascii="宋体" w:hAnsi="宋体" w:cs="宋体"/>
          <w:sz w:val="24"/>
        </w:rPr>
        <w:t>7.5中标人有岗前培训机构，服务人员100%经过岗前培训合格才上岗。</w:t>
      </w:r>
    </w:p>
    <w:p>
      <w:pPr>
        <w:spacing w:line="360" w:lineRule="auto"/>
        <w:ind w:firstLine="420" w:firstLineChars="175"/>
        <w:rPr>
          <w:rFonts w:ascii="宋体" w:hAnsi="宋体" w:cs="宋体"/>
          <w:sz w:val="24"/>
        </w:rPr>
      </w:pPr>
      <w:r>
        <w:rPr>
          <w:rFonts w:hint="eastAsia" w:ascii="宋体" w:hAnsi="宋体" w:cs="宋体"/>
          <w:sz w:val="24"/>
        </w:rPr>
        <w:t>7.6未经采购人同意，中标人不得在合同期限内将本项目的管理权转包或发包。</w:t>
      </w:r>
    </w:p>
    <w:p>
      <w:pPr>
        <w:spacing w:line="360" w:lineRule="auto"/>
        <w:ind w:firstLine="420" w:firstLineChars="175"/>
        <w:rPr>
          <w:rFonts w:ascii="宋体" w:hAnsi="宋体" w:cs="宋体"/>
          <w:sz w:val="24"/>
        </w:rPr>
      </w:pPr>
      <w:r>
        <w:rPr>
          <w:rFonts w:hint="eastAsia" w:ascii="宋体" w:hAnsi="宋体" w:cs="宋体"/>
          <w:sz w:val="24"/>
        </w:rPr>
        <w:t>7.7中标人须严格按照标准化的操作程序、完善的培训体系和质量控制体系完成本项目服务，以保证整个服务系统安全、高效、有序和有计划地运转。</w:t>
      </w:r>
    </w:p>
    <w:p>
      <w:pPr>
        <w:spacing w:line="360" w:lineRule="auto"/>
        <w:ind w:firstLine="420" w:firstLineChars="175"/>
        <w:rPr>
          <w:rFonts w:ascii="宋体" w:hAnsi="宋体" w:cs="宋体"/>
          <w:sz w:val="24"/>
        </w:rPr>
      </w:pPr>
      <w:r>
        <w:rPr>
          <w:rFonts w:hint="eastAsia" w:ascii="宋体" w:hAnsi="宋体" w:cs="宋体"/>
          <w:sz w:val="24"/>
        </w:rPr>
        <w:t>7.8中标人有责任配合医院接受上级领导部门的监督、检查，提供必须的资料。</w:t>
      </w:r>
    </w:p>
    <w:p>
      <w:pPr>
        <w:spacing w:line="360" w:lineRule="auto"/>
        <w:ind w:firstLine="420" w:firstLineChars="175"/>
        <w:rPr>
          <w:rFonts w:ascii="宋体" w:hAnsi="宋体" w:cs="宋体"/>
          <w:sz w:val="24"/>
        </w:rPr>
      </w:pPr>
      <w:r>
        <w:rPr>
          <w:rFonts w:hint="eastAsia" w:ascii="宋体" w:hAnsi="宋体" w:cs="宋体"/>
          <w:sz w:val="24"/>
        </w:rPr>
        <w:t>7.9中标人须严格按照国家和杭州市政府规定给所有的员工缴纳各种社会保险（包括养老、医疗、工伤、生育险、失业保险、第三者责任保险等）。（所需费用要求已含在总报价中）。</w:t>
      </w:r>
    </w:p>
    <w:p>
      <w:pPr>
        <w:spacing w:line="360" w:lineRule="auto"/>
        <w:ind w:firstLine="420" w:firstLineChars="175"/>
        <w:rPr>
          <w:rFonts w:ascii="宋体" w:hAnsi="宋体" w:cs="宋体"/>
          <w:sz w:val="24"/>
        </w:rPr>
      </w:pPr>
      <w:r>
        <w:rPr>
          <w:rFonts w:hint="eastAsia" w:ascii="宋体" w:hAnsi="宋体" w:cs="宋体"/>
          <w:sz w:val="24"/>
        </w:rPr>
        <w:t>7.10中标人自行负责其招聘员工的一切工资、福利；如发生工伤、疾病乃至死亡的一切责任及费用由中标人全部负责；中标人应严格遵守国家有关的法律、法规及行业标准。如因中标人原因造成第三方损失的，一切责任及费用由中标人全部负责。</w:t>
      </w:r>
    </w:p>
    <w:p>
      <w:pPr>
        <w:spacing w:line="360" w:lineRule="auto"/>
        <w:ind w:firstLine="420" w:firstLineChars="175"/>
        <w:rPr>
          <w:rFonts w:ascii="宋体" w:hAnsi="宋体" w:cs="宋体"/>
          <w:sz w:val="24"/>
        </w:rPr>
      </w:pPr>
      <w:r>
        <w:rPr>
          <w:rFonts w:hint="eastAsia" w:ascii="宋体" w:hAnsi="宋体" w:cs="宋体"/>
          <w:sz w:val="24"/>
        </w:rPr>
        <w:t>7.11全部服务人员的工作时间应严格按国家有关法律、法规要求的标准执行，因工作原因产生的加班（含双休日、节假日加班）应严格按国家有关法律、法规要求的标准给付员工加班薪资（费用要求已含在总报价中，不得再向院方索取额外加班薪资）。</w:t>
      </w:r>
    </w:p>
    <w:p>
      <w:pPr>
        <w:spacing w:line="360" w:lineRule="auto"/>
        <w:ind w:firstLine="420" w:firstLineChars="175"/>
        <w:rPr>
          <w:rFonts w:ascii="宋体" w:hAnsi="宋体" w:cs="宋体"/>
          <w:sz w:val="24"/>
        </w:rPr>
      </w:pPr>
      <w:r>
        <w:rPr>
          <w:rFonts w:hint="eastAsia" w:ascii="宋体" w:hAnsi="宋体" w:cs="宋体"/>
          <w:sz w:val="24"/>
        </w:rPr>
        <w:t>7.12所有员工入院服务时都必须体检，并且合格的才能上岗（费用由中标方负责）。</w:t>
      </w:r>
    </w:p>
    <w:p>
      <w:pPr>
        <w:spacing w:line="360" w:lineRule="auto"/>
        <w:ind w:firstLine="420" w:firstLineChars="175"/>
        <w:rPr>
          <w:rFonts w:ascii="宋体" w:hAnsi="宋体" w:cs="宋体"/>
        </w:rPr>
      </w:pPr>
      <w:r>
        <w:rPr>
          <w:rFonts w:hint="eastAsia" w:ascii="宋体" w:hAnsi="宋体" w:cs="宋体"/>
          <w:sz w:val="24"/>
        </w:rPr>
        <w:t>7.13医院为特殊公共事业服务单位，实行全年24小时不间断服务制度，请中标人根据采购人的具体工作时间要求，自行采用安排轮岗、轮休或加班等形式满足采购人的需求，所产生的相关费用应包含在报价中，中标后任何调整中标价的要求将被拒绝。</w:t>
      </w:r>
    </w:p>
    <w:p>
      <w:pPr>
        <w:spacing w:line="360" w:lineRule="auto"/>
        <w:ind w:firstLine="420" w:firstLineChars="175"/>
        <w:rPr>
          <w:rFonts w:ascii="宋体" w:hAnsi="宋体" w:cs="宋体"/>
          <w:sz w:val="24"/>
        </w:rPr>
      </w:pPr>
      <w:r>
        <w:rPr>
          <w:rFonts w:hint="eastAsia" w:ascii="宋体" w:hAnsi="宋体" w:cs="宋体"/>
          <w:sz w:val="24"/>
        </w:rPr>
        <w:t>7.14院方不接受投标方任何因遗漏报价而发生的费用追加，因投标方违反《劳动法》等法律法规而造成院方的连带责任和损失全部由中标方承担。</w:t>
      </w:r>
    </w:p>
    <w:p>
      <w:pPr>
        <w:spacing w:line="360" w:lineRule="auto"/>
        <w:ind w:firstLine="420" w:firstLineChars="175"/>
        <w:rPr>
          <w:rFonts w:ascii="宋体" w:hAnsi="宋体" w:cs="宋体"/>
          <w:b/>
          <w:bCs/>
          <w:sz w:val="24"/>
        </w:rPr>
      </w:pPr>
      <w:r>
        <w:rPr>
          <w:rFonts w:hint="eastAsia" w:ascii="宋体" w:hAnsi="宋体" w:cs="宋体"/>
          <w:sz w:val="24"/>
        </w:rPr>
        <w:t>7.15医院负责提供各类垃圾桶、医疗垃圾袋，负责生活垃圾、医疗垃圾的外运费和垃圾处理费用；</w:t>
      </w:r>
      <w:r>
        <w:rPr>
          <w:rFonts w:hint="eastAsia" w:ascii="宋体" w:hAnsi="宋体" w:cs="宋体"/>
          <w:b/>
          <w:bCs/>
          <w:sz w:val="24"/>
        </w:rPr>
        <w:t>中标人负责提供生活垃圾袋、餐厨垃圾袋、大地维康不提供的医疗垃圾袋</w:t>
      </w:r>
      <w:r>
        <w:rPr>
          <w:rFonts w:hint="eastAsia" w:ascii="宋体" w:hAnsi="宋体" w:cs="宋体"/>
          <w:sz w:val="24"/>
        </w:rPr>
        <w:t>，</w:t>
      </w:r>
      <w:r>
        <w:rPr>
          <w:rFonts w:hint="eastAsia" w:ascii="宋体" w:hAnsi="宋体" w:cs="宋体"/>
          <w:b/>
          <w:bCs/>
          <w:sz w:val="24"/>
        </w:rPr>
        <w:t>维修/绿化工具，理发工具。</w:t>
      </w:r>
    </w:p>
    <w:p>
      <w:pPr>
        <w:spacing w:line="360" w:lineRule="auto"/>
        <w:ind w:firstLine="420" w:firstLineChars="175"/>
        <w:rPr>
          <w:rFonts w:ascii="宋体" w:hAnsi="宋体" w:cs="宋体"/>
          <w:sz w:val="24"/>
        </w:rPr>
      </w:pPr>
      <w:r>
        <w:rPr>
          <w:rFonts w:hint="eastAsia" w:ascii="宋体" w:hAnsi="宋体" w:cs="宋体"/>
          <w:sz w:val="24"/>
        </w:rPr>
        <w:t>7.16中标人须认真履行职责，严格按服务协议中的质量保证体系做好院内的承包服务工作。确保在岗在位，各尽其职，保证符合各项服务基本频次要求和各项质量标准。</w:t>
      </w:r>
    </w:p>
    <w:p>
      <w:pPr>
        <w:spacing w:line="360" w:lineRule="auto"/>
        <w:ind w:firstLine="420" w:firstLineChars="175"/>
        <w:rPr>
          <w:rFonts w:ascii="宋体" w:hAnsi="宋体" w:cs="宋体"/>
          <w:sz w:val="24"/>
        </w:rPr>
      </w:pPr>
      <w:r>
        <w:rPr>
          <w:rFonts w:hint="eastAsia" w:ascii="宋体" w:hAnsi="宋体" w:cs="宋体"/>
          <w:sz w:val="24"/>
        </w:rPr>
        <w:t>7.17中标人应保证在承包期内其员工最低月工资不低于杭州市最低工资标准。</w:t>
      </w:r>
    </w:p>
    <w:p>
      <w:pPr>
        <w:spacing w:line="360" w:lineRule="auto"/>
        <w:ind w:firstLine="420" w:firstLineChars="175"/>
        <w:rPr>
          <w:rFonts w:ascii="宋体" w:hAnsi="宋体" w:cs="宋体"/>
          <w:sz w:val="24"/>
        </w:rPr>
      </w:pPr>
      <w:r>
        <w:rPr>
          <w:rFonts w:hint="eastAsia" w:ascii="宋体" w:hAnsi="宋体" w:cs="宋体"/>
          <w:sz w:val="24"/>
        </w:rPr>
        <w:t>7.18根据采购人的要求，投标人应为本项目承包区域内各项服务工作配备足够人员。</w:t>
      </w:r>
    </w:p>
    <w:p>
      <w:pPr>
        <w:spacing w:line="360" w:lineRule="auto"/>
        <w:ind w:firstLine="420" w:firstLineChars="175"/>
        <w:rPr>
          <w:rFonts w:ascii="宋体" w:hAnsi="宋体" w:cs="宋体"/>
          <w:sz w:val="24"/>
        </w:rPr>
      </w:pPr>
      <w:r>
        <w:rPr>
          <w:rFonts w:hint="eastAsia" w:ascii="宋体" w:hAnsi="宋体" w:cs="宋体"/>
          <w:sz w:val="24"/>
        </w:rPr>
        <w:t>7.19有关病区陪护及陪护管理人员的任何费用均不在此次招标报价中，中标人自行解决。</w:t>
      </w:r>
    </w:p>
    <w:p>
      <w:pPr>
        <w:spacing w:line="360" w:lineRule="auto"/>
        <w:ind w:firstLine="420" w:firstLineChars="175"/>
        <w:rPr>
          <w:rFonts w:ascii="宋体" w:hAnsi="宋体" w:cs="宋体"/>
          <w:sz w:val="24"/>
        </w:rPr>
      </w:pPr>
      <w:r>
        <w:rPr>
          <w:rFonts w:hint="eastAsia" w:ascii="宋体" w:hAnsi="宋体" w:cs="宋体"/>
          <w:sz w:val="24"/>
        </w:rPr>
        <w:t>7.20投标人按病区陪护的相关物价收费，收费价格必须经院方认可，有偿理发收费在50-80元/每人。</w:t>
      </w:r>
    </w:p>
    <w:p>
      <w:pPr>
        <w:spacing w:line="360" w:lineRule="auto"/>
        <w:ind w:firstLine="480" w:firstLineChars="200"/>
        <w:rPr>
          <w:rFonts w:ascii="宋体" w:hAnsi="宋体" w:cs="宋体"/>
          <w:sz w:val="24"/>
        </w:rPr>
      </w:pPr>
      <w:r>
        <w:rPr>
          <w:rFonts w:hint="eastAsia" w:ascii="宋体" w:hAnsi="宋体" w:cs="宋体"/>
          <w:sz w:val="24"/>
        </w:rPr>
        <w:t>7.21按要求和事项发生量及时配备足够和胜任的相关管理和服务人员，并保持人员的稳定。遇调动或辞职时，项目经理、主管和综合维修人员提前一个月、保洁运送人员提前7天告知业主并得到同意后才能更换，按要求及时补充相应人员，提前做好交接班。对业主认为无能力、工作失职或不合适人员，应立即更换。岗位不足时，按相应岗位成本扣除服务费用。</w:t>
      </w:r>
    </w:p>
    <w:p>
      <w:pPr>
        <w:autoSpaceDE w:val="0"/>
        <w:autoSpaceDN w:val="0"/>
        <w:spacing w:line="360" w:lineRule="auto"/>
        <w:ind w:firstLine="470" w:firstLineChars="196"/>
        <w:rPr>
          <w:rFonts w:ascii="宋体" w:hAnsi="宋体" w:cs="宋体"/>
          <w:sz w:val="24"/>
        </w:rPr>
      </w:pPr>
      <w:r>
        <w:rPr>
          <w:rFonts w:hint="eastAsia" w:ascii="宋体" w:hAnsi="宋体" w:cs="宋体"/>
          <w:sz w:val="24"/>
        </w:rPr>
        <w:t>7.22采购人不提供任何住宿，所有工作人员的住宿问题由中标单位自行解决。</w:t>
      </w:r>
    </w:p>
    <w:p>
      <w:pPr>
        <w:spacing w:line="360" w:lineRule="auto"/>
        <w:ind w:firstLine="480" w:firstLineChars="200"/>
        <w:rPr>
          <w:rFonts w:ascii="宋体" w:hAnsi="宋体" w:cs="宋体"/>
          <w:sz w:val="24"/>
        </w:rPr>
      </w:pPr>
      <w:r>
        <w:rPr>
          <w:rFonts w:hint="eastAsia" w:ascii="宋体" w:hAnsi="宋体" w:cs="宋体"/>
          <w:sz w:val="24"/>
        </w:rPr>
        <w:t>7.23采购人工作人员及其他物业使用人对中标人的满意率达到90%，采购人可随时要求供应商在采购人的监督下进行满意率调查。</w:t>
      </w:r>
    </w:p>
    <w:p>
      <w:pPr>
        <w:spacing w:line="360" w:lineRule="auto"/>
        <w:ind w:firstLine="480" w:firstLineChars="200"/>
        <w:rPr>
          <w:rFonts w:ascii="宋体" w:hAnsi="宋体" w:cs="宋体"/>
          <w:sz w:val="24"/>
        </w:rPr>
      </w:pPr>
      <w:r>
        <w:rPr>
          <w:rFonts w:hint="eastAsia" w:ascii="宋体" w:hAnsi="宋体" w:cs="宋体"/>
          <w:sz w:val="24"/>
        </w:rPr>
        <w:t>7.24各投标人须按《杭州市物业管理条例》及其他国家有关标准和规范完成招标文件要求的物业管理工作。</w:t>
      </w:r>
    </w:p>
    <w:p>
      <w:pPr>
        <w:spacing w:line="360" w:lineRule="auto"/>
        <w:ind w:firstLine="480" w:firstLineChars="200"/>
        <w:rPr>
          <w:rFonts w:ascii="宋体" w:hAnsi="宋体" w:cs="宋体"/>
          <w:b/>
          <w:bCs/>
          <w:sz w:val="24"/>
        </w:rPr>
      </w:pPr>
      <w:r>
        <w:rPr>
          <w:rFonts w:hint="eastAsia" w:ascii="宋体" w:hAnsi="宋体" w:cs="宋体"/>
          <w:sz w:val="24"/>
        </w:rPr>
        <w:t>7.25</w:t>
      </w:r>
      <w:r>
        <w:rPr>
          <w:rFonts w:hint="eastAsia" w:ascii="宋体" w:hAnsi="宋体" w:cs="宋体"/>
          <w:b/>
          <w:bCs/>
          <w:sz w:val="24"/>
        </w:rPr>
        <w:t>投标人如果中标，在中标后须提供给采购人由</w:t>
      </w:r>
      <w:r>
        <w:rPr>
          <w:rFonts w:hint="eastAsia" w:ascii="宋体" w:hAnsi="宋体" w:cs="宋体"/>
          <w:b/>
          <w:bCs/>
          <w:sz w:val="24"/>
          <w:lang w:val="zh-CN"/>
        </w:rPr>
        <w:t>检察机关出具的投标人的行贿犯罪证明资料查询结果证明。</w:t>
      </w:r>
    </w:p>
    <w:p>
      <w:pPr>
        <w:widowControl/>
        <w:autoSpaceDE w:val="0"/>
        <w:autoSpaceDN w:val="0"/>
        <w:spacing w:line="360" w:lineRule="auto"/>
        <w:ind w:firstLine="482" w:firstLineChars="200"/>
        <w:rPr>
          <w:rFonts w:ascii="宋体" w:hAnsi="宋体" w:cs="宋体"/>
          <w:b/>
          <w:bCs/>
          <w:sz w:val="24"/>
        </w:rPr>
      </w:pPr>
      <w:r>
        <w:rPr>
          <w:rFonts w:hint="eastAsia" w:ascii="宋体" w:hAnsi="宋体" w:cs="宋体"/>
          <w:b/>
          <w:bCs/>
          <w:sz w:val="24"/>
        </w:rPr>
        <w:t>三、管理服务应达到的各项指标</w:t>
      </w:r>
    </w:p>
    <w:p>
      <w:pPr>
        <w:spacing w:line="360" w:lineRule="auto"/>
        <w:ind w:firstLine="480" w:firstLineChars="200"/>
        <w:rPr>
          <w:rFonts w:ascii="宋体" w:hAnsi="宋体" w:cs="宋体"/>
          <w:sz w:val="24"/>
        </w:rPr>
      </w:pPr>
      <w:r>
        <w:rPr>
          <w:rFonts w:hint="eastAsia" w:ascii="宋体" w:hAnsi="宋体" w:cs="宋体"/>
          <w:sz w:val="24"/>
        </w:rPr>
        <w:t>1.杜绝火灾责任事故和刑事案件。</w:t>
      </w:r>
    </w:p>
    <w:p>
      <w:pPr>
        <w:spacing w:line="360" w:lineRule="auto"/>
        <w:ind w:firstLine="480" w:firstLineChars="200"/>
        <w:rPr>
          <w:rFonts w:ascii="宋体" w:hAnsi="宋体" w:cs="宋体"/>
          <w:sz w:val="24"/>
        </w:rPr>
      </w:pPr>
      <w:r>
        <w:rPr>
          <w:rFonts w:hint="eastAsia" w:ascii="宋体" w:hAnsi="宋体" w:cs="宋体"/>
          <w:sz w:val="24"/>
        </w:rPr>
        <w:t>2.环境卫生、清洁率达90%。</w:t>
      </w:r>
    </w:p>
    <w:p>
      <w:pPr>
        <w:spacing w:line="360" w:lineRule="auto"/>
        <w:ind w:firstLine="480" w:firstLineChars="200"/>
        <w:rPr>
          <w:rFonts w:ascii="宋体" w:hAnsi="宋体" w:cs="宋体"/>
          <w:sz w:val="24"/>
        </w:rPr>
      </w:pPr>
      <w:r>
        <w:rPr>
          <w:rFonts w:hint="eastAsia" w:ascii="宋体" w:hAnsi="宋体" w:cs="宋体"/>
          <w:sz w:val="24"/>
        </w:rPr>
        <w:t>3.维修及时率100%，主动维修率≥40%。</w:t>
      </w:r>
    </w:p>
    <w:p>
      <w:pPr>
        <w:spacing w:line="360" w:lineRule="auto"/>
        <w:ind w:firstLine="480" w:firstLineChars="200"/>
        <w:rPr>
          <w:rFonts w:ascii="宋体" w:hAnsi="宋体" w:cs="宋体"/>
          <w:sz w:val="24"/>
        </w:rPr>
      </w:pPr>
      <w:r>
        <w:rPr>
          <w:rFonts w:hint="eastAsia" w:ascii="宋体" w:hAnsi="宋体" w:cs="宋体"/>
          <w:sz w:val="24"/>
        </w:rPr>
        <w:t>4.病人及医务人员对物业服务满意率90%以上。</w:t>
      </w:r>
    </w:p>
    <w:p>
      <w:pPr>
        <w:spacing w:line="360" w:lineRule="auto"/>
        <w:ind w:firstLine="480" w:firstLineChars="200"/>
        <w:rPr>
          <w:rFonts w:ascii="宋体" w:hAnsi="宋体" w:cs="宋体"/>
          <w:sz w:val="24"/>
        </w:rPr>
      </w:pPr>
      <w:r>
        <w:rPr>
          <w:rFonts w:hint="eastAsia" w:ascii="宋体" w:hAnsi="宋体" w:cs="宋体"/>
          <w:sz w:val="24"/>
        </w:rPr>
        <w:t>5.保洁车危化品管理上锁率100%。</w:t>
      </w:r>
    </w:p>
    <w:p>
      <w:pPr>
        <w:spacing w:line="360" w:lineRule="auto"/>
        <w:ind w:firstLine="480" w:firstLineChars="200"/>
        <w:rPr>
          <w:rFonts w:ascii="宋体" w:hAnsi="宋体" w:cs="宋体"/>
          <w:sz w:val="24"/>
        </w:rPr>
      </w:pPr>
      <w:r>
        <w:rPr>
          <w:rFonts w:hint="eastAsia" w:ascii="宋体" w:hAnsi="宋体" w:cs="宋体"/>
          <w:sz w:val="24"/>
        </w:rPr>
        <w:t>6.生活垃圾分类正确率≥90%。</w:t>
      </w:r>
    </w:p>
    <w:p>
      <w:pPr>
        <w:spacing w:line="360" w:lineRule="auto"/>
        <w:ind w:firstLine="482" w:firstLineChars="200"/>
        <w:rPr>
          <w:rFonts w:ascii="宋体" w:hAnsi="宋体" w:cs="宋体"/>
          <w:b/>
          <w:bCs/>
          <w:sz w:val="24"/>
        </w:rPr>
      </w:pPr>
      <w:r>
        <w:rPr>
          <w:rFonts w:hint="eastAsia" w:ascii="宋体" w:hAnsi="宋体" w:cs="宋体"/>
          <w:b/>
          <w:bCs/>
          <w:sz w:val="24"/>
        </w:rPr>
        <w:t>四、检查与考核</w:t>
      </w:r>
    </w:p>
    <w:p>
      <w:pPr>
        <w:spacing w:line="360" w:lineRule="auto"/>
        <w:ind w:firstLine="480" w:firstLineChars="200"/>
        <w:rPr>
          <w:rFonts w:ascii="宋体" w:hAnsi="宋体" w:cs="宋体"/>
          <w:sz w:val="24"/>
        </w:rPr>
      </w:pPr>
      <w:r>
        <w:rPr>
          <w:rFonts w:hint="eastAsia" w:ascii="宋体" w:hAnsi="宋体" w:cs="宋体"/>
          <w:sz w:val="24"/>
        </w:rPr>
        <w:t>1.供应商应制订具体的质量保证措施及质量保证和相关服务承诺。供应商所有的工作除应按供应商的内部流程实施外，还应接受采购人或第三方的随时检查。如因质量未达到目标，采购人有权要求其整改，同时供应商应承担责任和经济赔偿（扣款或终止合同等方式）。</w:t>
      </w:r>
    </w:p>
    <w:p>
      <w:pPr>
        <w:spacing w:line="360" w:lineRule="auto"/>
        <w:ind w:firstLine="480" w:firstLineChars="200"/>
        <w:outlineLvl w:val="0"/>
        <w:rPr>
          <w:rFonts w:ascii="宋体" w:hAnsi="宋体" w:cs="宋体"/>
          <w:sz w:val="24"/>
        </w:rPr>
      </w:pPr>
      <w:r>
        <w:rPr>
          <w:rFonts w:hint="eastAsia" w:ascii="宋体" w:hAnsi="宋体" w:cs="宋体"/>
          <w:sz w:val="24"/>
        </w:rPr>
        <w:t>2.采购人定期和不定期地对供应商管理服务进行检查和抽查，检查记录和整改时限反馈供应商。</w:t>
      </w:r>
    </w:p>
    <w:p>
      <w:pPr>
        <w:spacing w:line="360" w:lineRule="auto"/>
        <w:ind w:firstLine="480" w:firstLineChars="200"/>
        <w:outlineLvl w:val="0"/>
        <w:rPr>
          <w:rFonts w:ascii="宋体" w:hAnsi="宋体" w:cs="宋体"/>
          <w:sz w:val="24"/>
        </w:rPr>
      </w:pPr>
      <w:r>
        <w:rPr>
          <w:rFonts w:hint="eastAsia" w:ascii="宋体" w:hAnsi="宋体" w:cs="宋体"/>
          <w:sz w:val="24"/>
        </w:rPr>
        <w:t>3. 杭州市西溪医院物业服务质量和患者安全考评细则参照附件一。</w:t>
      </w:r>
    </w:p>
    <w:p>
      <w:pPr>
        <w:spacing w:line="360" w:lineRule="auto"/>
        <w:ind w:firstLine="480" w:firstLineChars="200"/>
        <w:rPr>
          <w:rFonts w:ascii="宋体" w:hAnsi="宋体" w:cs="宋体"/>
          <w:sz w:val="24"/>
        </w:rPr>
      </w:pPr>
    </w:p>
    <w:p>
      <w:pPr>
        <w:rPr>
          <w:rFonts w:ascii="宋体" w:hAnsi="宋体" w:cs="宋体"/>
        </w:rPr>
      </w:pPr>
    </w:p>
    <w:p>
      <w:pPr>
        <w:rPr>
          <w:rFonts w:ascii="宋体" w:hAnsi="宋体" w:cs="宋体"/>
        </w:rPr>
      </w:pPr>
    </w:p>
    <w:p>
      <w:pPr>
        <w:spacing w:line="360" w:lineRule="auto"/>
        <w:ind w:firstLine="480" w:firstLineChars="200"/>
        <w:rPr>
          <w:rFonts w:ascii="宋体" w:hAnsi="宋体" w:cs="宋体"/>
          <w:sz w:val="24"/>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spacing w:line="360" w:lineRule="auto"/>
        <w:jc w:val="left"/>
        <w:rPr>
          <w:rFonts w:ascii="宋体" w:hAnsi="宋体" w:cs="宋体"/>
          <w:spacing w:val="4"/>
        </w:rPr>
      </w:pPr>
      <w:r>
        <w:rPr>
          <w:rFonts w:hint="eastAsia" w:ascii="宋体" w:hAnsi="宋体" w:cs="宋体"/>
          <w:spacing w:val="4"/>
        </w:rPr>
        <w:t>附件一</w:t>
      </w:r>
    </w:p>
    <w:p>
      <w:pPr>
        <w:spacing w:line="360" w:lineRule="auto"/>
        <w:jc w:val="center"/>
        <w:rPr>
          <w:rFonts w:ascii="宋体" w:hAnsi="宋体" w:cs="宋体"/>
          <w:b/>
          <w:sz w:val="36"/>
          <w:szCs w:val="36"/>
        </w:rPr>
      </w:pPr>
      <w:r>
        <w:rPr>
          <w:rFonts w:hint="eastAsia" w:ascii="宋体" w:hAnsi="宋体" w:cs="宋体"/>
          <w:b/>
          <w:sz w:val="36"/>
          <w:szCs w:val="36"/>
        </w:rPr>
        <w:t>杭州市西溪医院物业服务</w:t>
      </w:r>
    </w:p>
    <w:p>
      <w:pPr>
        <w:spacing w:line="360" w:lineRule="auto"/>
        <w:jc w:val="center"/>
        <w:rPr>
          <w:rFonts w:ascii="宋体" w:hAnsi="宋体" w:cs="宋体"/>
          <w:b/>
          <w:sz w:val="36"/>
          <w:szCs w:val="36"/>
        </w:rPr>
      </w:pPr>
      <w:r>
        <w:rPr>
          <w:rFonts w:hint="eastAsia" w:ascii="宋体" w:hAnsi="宋体" w:cs="宋体"/>
          <w:b/>
          <w:sz w:val="36"/>
          <w:szCs w:val="36"/>
        </w:rPr>
        <w:t>质量和患者安全考评细则</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为了提高物业服务质量，更好地为临床提供后勤保障，在履行物业合同的同时，制订相关考核细则。</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一、成立杭州市西溪医院物业管理考核小组</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由分管院长负责，成员由院领导及相关职能科室负责人组成。</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二、具体考核办法：</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每月将物业管理人员和服务人员工资总额中的30000元作为考核奖金。每月考核得分由：杭州市西溪医院物业管理考核小组（占考核总分的20%)、临床科室（占考核总分的40%)、勤务中心（占考核总分的40%)三者组成。实际考核发放金额由：考核得分折算金额、考核奖励金额、考核处罚金额三者组成。</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对给医院形象和利益造成不良影响或侵害的，违反医院规章制度如违规用电等影响医院安全将从严扣奖，除对当事人处罚外，对物业管理人员也进行相应处罚，对物业人员因工作认真及时发现隐患、拾金不昧或受到科室护士长、主任、媒体表扬等情况，医院将酌情给予加分。总分原则上不超过100分。</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每月进行考核，月末考核本月工作。《病区对物业工人工作考核表》由后勤保障部负责，在每月月底护士长会议以电子版进行下发、回收；《勤务中心对物业工人工作考核表》由勤务中心负责下发、回收；《医院物业管理考核小组考核评分表》由人力资源部负责下发、回收。考核分值的统计由人力资源部负责。</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考核采用无记名方式，去掉最高、最低分值，取平均值。</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三、考核奖励：</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1.物业员工有拾金不昧行为（如在医院内捡到财物主动交还失主或上交医院相关部门），经医院核实每次奖励50元。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2.收到表扬物业员工的表扬信，每次奖励50元。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3.物业员工工作认真负责，任劳任怨，技术熟练，从不违反医院及物业公司的各项规章制度，经常加班工作，从不计较个人得失，得到医院职工一致好评，每次奖励50元。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4.节假日上班人员，表现优秀的提供适当奖励，每人奖励50元。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5.遇突发事件，积极响应，出色完成任务的物业员工，每次奖励50元。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6.以上各项每次在月考核分中加分1 分。</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四、考核处罚：</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1.物业员工未经院方同意擅自脱岗的，每查到缺少1 人每次扣100元。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2.物业员工在工作期间私自回收废旧物品，并在病区仓库内、管道井内、新风机房内、污物间内等地方堆放废旧物品的，每发现一次扣50元。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3.物业工人将输液袋、输液管等医疗废弃物占为已有的，或发生其它偷盗行为的，每发现一次扣500元。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4.物业工人在工作期间，未经批准，私自开展陪护病人服务的，每发现一次扣100元。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5.工作期间，管理人员及物业员工不穿工作服，随地吐痰，非吸烟区吸烟，喝酒，迟到、早退、离岗、串岗、上班睡觉等，每次扣50元。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6.物业工人不得在病区居住，更不能在医疗办公区域内（如库房、配膳间等）私拉电线，使用电器做饭、烧水等，每发现一次扣100元，造成火情隐患的每次扣1000元以上。</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7.物业工人因自身过错，无故与病人及家属、医护人员发生争吵的，每发现一次按情节轻重扣100—500元/次。</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8.拒不执行医院工作安排的，每发生一次扣100元。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9.如遇上级检查时，卫生状况存在较大问题，影响医院声誉的，每次扣1000—2000元。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10.卫生状况差，科室反映强烈，多次提醒整改不得力，给予处罚每次1000—2000元。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11.工作人员岗前不培训，发现一次扣100元。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12.物业工人工作失误等原因，造成医疗投诉或纠纷，由物业公司承担赔偿责任。</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13.对于打蜡问题，每年定时定次（4月、10月），超出时间或减少次数，按次扣费。发现一次扣1000元。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14.保洁工人要做好生活垃圾的末端分拣。生活垃圾分类不符合要求，每次发现扣100元。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15.发现有物业工人有其它违反行为准则的，酌情扣款。</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16.对工作表现差、科室提出需要更换工人，物业不能及时更换，扣除该岗位工资，并与物业主管考核挂钩。</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17.医院每月对勤务中心满意度测评结果与物业主管考核挂钩，扣款金额与勤务中心扣款金额同等。</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18.物业工人发生违规、投诉、与医务人员吵架等严重影响我院工作秩序的情况，我院有权对该工人进行以下处罚：第一次发生该情况的物业工人罚款100元，调离原岗位，并进行批评教育。经教育罚款后，工作态度未能改善的工人，第二次发生该情况，医院除名，停发工资。</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19.以上违规现象同时每次扣考核分1分，其它日常工作质量不合格的每项扣考核分1分。</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20.发现有物业工人不遵守医院相关疫情防控政策，如核酸检测时间超过规定时间的，每发现扣100元/人，其他情况酌情扣款。</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五、考核说明：</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以上考核由甲方和乙方工作人员组织参加，采取不定期抽查方式进行，每月至少一次；平时甲方抽查、接到投诉及反映有以上表扬或违规现象的，经核实，按上述规定奖励或处罚。</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以上考核中，奖励和扣款对象均为乙方，如有奖励或扣款，在支付月服务款时体现。</w:t>
      </w:r>
    </w:p>
    <w:p>
      <w:pPr>
        <w:snapToGrid w:val="0"/>
        <w:spacing w:line="360" w:lineRule="auto"/>
        <w:ind w:firstLine="420" w:firstLineChars="200"/>
        <w:rPr>
          <w:rFonts w:ascii="宋体" w:hAnsi="宋体" w:cs="宋体"/>
        </w:rPr>
      </w:pPr>
      <w:r>
        <w:rPr>
          <w:rFonts w:hint="eastAsia" w:ascii="宋体" w:hAnsi="宋体" w:cs="宋体"/>
          <w:snapToGrid w:val="0"/>
          <w:kern w:val="0"/>
          <w:szCs w:val="21"/>
        </w:rPr>
        <w:t>以上考核得分，若分数低于80分，为考核不合格。</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为保证患者、家属、员工及来访人员的安全，甲乙双方共同进行一项质量指标持续改进。本服务期内选择的指标为：生活垃圾分类正确率≧90%</w:t>
      </w:r>
      <w:r>
        <w:rPr>
          <w:rFonts w:hint="eastAsia" w:ascii="宋体" w:hAnsi="宋体" w:cs="宋体"/>
          <w:snapToGrid w:val="0"/>
          <w:kern w:val="0"/>
          <w:sz w:val="24"/>
        </w:rPr>
        <w:t>，</w:t>
      </w:r>
      <w:r>
        <w:rPr>
          <w:rFonts w:hint="eastAsia" w:ascii="宋体" w:hAnsi="宋体" w:cs="宋体"/>
          <w:snapToGrid w:val="0"/>
          <w:kern w:val="0"/>
          <w:szCs w:val="21"/>
        </w:rPr>
        <w:t>每月监测统计分析指标，连续3次及以上未达标，扣罚每月1000元。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六、考核评分表</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1、医院物业管理考核小组考核评分表</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2、病区对物业工人工作考核表</w:t>
      </w:r>
    </w:p>
    <w:p>
      <w:pPr>
        <w:ind w:firstLine="420" w:firstLineChars="200"/>
        <w:rPr>
          <w:rFonts w:ascii="宋体" w:hAnsi="宋体" w:cs="宋体"/>
        </w:rPr>
      </w:pPr>
      <w:r>
        <w:rPr>
          <w:rFonts w:hint="eastAsia" w:ascii="宋体" w:hAnsi="宋体" w:cs="宋体"/>
          <w:snapToGrid w:val="0"/>
          <w:kern w:val="0"/>
          <w:szCs w:val="21"/>
        </w:rPr>
        <w:t>3、勤务中心对物业工人工作考核表</w:t>
      </w:r>
    </w:p>
    <w:p>
      <w:pPr>
        <w:widowControl/>
        <w:jc w:val="center"/>
        <w:rPr>
          <w:rFonts w:ascii="宋体" w:hAnsi="宋体" w:cs="宋体"/>
          <w:snapToGrid w:val="0"/>
          <w:kern w:val="0"/>
          <w:sz w:val="28"/>
          <w:szCs w:val="28"/>
        </w:rPr>
      </w:pPr>
      <w:r>
        <w:rPr>
          <w:rFonts w:hint="eastAsia" w:ascii="宋体" w:hAnsi="宋体" w:cs="宋体"/>
          <w:snapToGrid w:val="0"/>
          <w:kern w:val="0"/>
          <w:szCs w:val="21"/>
        </w:rPr>
        <w:br w:type="page"/>
      </w:r>
      <w:r>
        <w:rPr>
          <w:rFonts w:hint="eastAsia" w:ascii="宋体" w:hAnsi="宋体" w:cs="宋体"/>
          <w:snapToGrid w:val="0"/>
          <w:kern w:val="0"/>
          <w:sz w:val="28"/>
          <w:szCs w:val="28"/>
        </w:rPr>
        <w:t>医院物业管理考核小组考核评分表</w:t>
      </w:r>
    </w:p>
    <w:p>
      <w:pPr>
        <w:wordWrap w:val="0"/>
        <w:snapToGrid w:val="0"/>
        <w:spacing w:line="360" w:lineRule="auto"/>
        <w:ind w:firstLine="720" w:firstLineChars="200"/>
        <w:jc w:val="right"/>
        <w:rPr>
          <w:rFonts w:ascii="宋体" w:hAnsi="宋体" w:cs="宋体"/>
          <w:snapToGrid w:val="0"/>
          <w:kern w:val="0"/>
          <w:sz w:val="28"/>
          <w:szCs w:val="28"/>
        </w:rPr>
      </w:pPr>
      <w:r>
        <w:rPr>
          <w:rFonts w:hint="eastAsia" w:ascii="宋体" w:hAnsi="宋体" w:cs="宋体"/>
          <w:spacing w:val="40"/>
          <w:sz w:val="28"/>
          <w:szCs w:val="28"/>
        </w:rPr>
        <w:t xml:space="preserve">日期：   </w:t>
      </w:r>
    </w:p>
    <w:tbl>
      <w:tblPr>
        <w:tblStyle w:val="63"/>
        <w:tblW w:w="5000" w:type="pct"/>
        <w:tblInd w:w="0" w:type="dxa"/>
        <w:tblLayout w:type="autofit"/>
        <w:tblCellMar>
          <w:top w:w="0" w:type="dxa"/>
          <w:left w:w="0" w:type="dxa"/>
          <w:bottom w:w="0" w:type="dxa"/>
          <w:right w:w="0" w:type="dxa"/>
        </w:tblCellMar>
      </w:tblPr>
      <w:tblGrid>
        <w:gridCol w:w="628"/>
        <w:gridCol w:w="5455"/>
        <w:gridCol w:w="1093"/>
        <w:gridCol w:w="1113"/>
      </w:tblGrid>
      <w:tr>
        <w:tblPrEx>
          <w:tblCellMar>
            <w:top w:w="0" w:type="dxa"/>
            <w:left w:w="0" w:type="dxa"/>
            <w:bottom w:w="0" w:type="dxa"/>
            <w:right w:w="0" w:type="dxa"/>
          </w:tblCellMar>
        </w:tblPrEx>
        <w:trPr>
          <w:trHeight w:val="504"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br w:type="page"/>
            </w:r>
            <w:r>
              <w:rPr>
                <w:rFonts w:hint="eastAsia" w:ascii="宋体" w:hAnsi="宋体" w:cs="宋体"/>
              </w:rPr>
              <w:t>序号</w:t>
            </w:r>
          </w:p>
        </w:tc>
        <w:tc>
          <w:tcPr>
            <w:tcW w:w="3290"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考核内容</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评分标准</w:t>
            </w:r>
          </w:p>
        </w:tc>
        <w:tc>
          <w:tcPr>
            <w:tcW w:w="671" w:type="pct"/>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得分</w:t>
            </w: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人员仪表、文明用语、工作态度</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2</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遵守规章制度情况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3</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用工规范与及时备案情况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25"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4</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地面、墙面、玻璃门窗投标保洁方案等工作要求的完成情况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5</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楼内公共区域卫生质量情况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6</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医院环境卫生质量情况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7</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病区绿化要求每季度80%以上的室内绿化必须更换，数量、 种类与约定数相同，不出现植物数量不符、枯萎等情况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25"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8</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接到病人对物业工人服务态度有效投诉情况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9</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医院对物业的月考核与综合目标指标考核挂钩，上级单位突 击检查如在环境卫生方面有扣分，医院予以相应扣分</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物业工人服务意识强，主动配合医院各项工作</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4" w:hRule="atLeast"/>
        </w:trPr>
        <w:tc>
          <w:tcPr>
            <w:tcW w:w="3669" w:type="pct"/>
            <w:gridSpan w:val="2"/>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r>
              <w:rPr>
                <w:rFonts w:hint="eastAsia" w:ascii="宋体" w:hAnsi="宋体" w:cs="宋体"/>
              </w:rPr>
              <w:t>合计：</w:t>
            </w:r>
          </w:p>
        </w:tc>
        <w:tc>
          <w:tcPr>
            <w:tcW w:w="659" w:type="pct"/>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r>
              <w:rPr>
                <w:rFonts w:hint="eastAsia" w:ascii="宋体" w:hAnsi="宋体" w:cs="宋体"/>
              </w:rPr>
              <w:t>100</w:t>
            </w: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rPr>
            </w:pPr>
          </w:p>
        </w:tc>
      </w:tr>
    </w:tbl>
    <w:p>
      <w:pPr>
        <w:snapToGrid w:val="0"/>
        <w:spacing w:line="360" w:lineRule="auto"/>
        <w:jc w:val="center"/>
        <w:rPr>
          <w:rFonts w:ascii="宋体" w:hAnsi="宋体" w:cs="宋体"/>
          <w:snapToGrid w:val="0"/>
          <w:kern w:val="0"/>
          <w:sz w:val="28"/>
          <w:szCs w:val="28"/>
        </w:rPr>
      </w:pPr>
    </w:p>
    <w:p>
      <w:pPr>
        <w:widowControl/>
        <w:jc w:val="center"/>
        <w:rPr>
          <w:rFonts w:ascii="宋体" w:hAnsi="宋体" w:cs="宋体"/>
          <w:snapToGrid w:val="0"/>
          <w:kern w:val="0"/>
          <w:sz w:val="28"/>
          <w:szCs w:val="28"/>
        </w:rPr>
      </w:pPr>
      <w:r>
        <w:rPr>
          <w:rFonts w:hint="eastAsia" w:ascii="宋体" w:hAnsi="宋体" w:cs="宋体"/>
          <w:snapToGrid w:val="0"/>
          <w:kern w:val="0"/>
          <w:sz w:val="28"/>
          <w:szCs w:val="28"/>
        </w:rPr>
        <w:br w:type="page"/>
      </w:r>
      <w:r>
        <w:rPr>
          <w:rFonts w:hint="eastAsia" w:ascii="宋体" w:hAnsi="宋体" w:cs="宋体"/>
          <w:snapToGrid w:val="0"/>
          <w:kern w:val="0"/>
          <w:sz w:val="28"/>
          <w:szCs w:val="28"/>
        </w:rPr>
        <w:t>病区对物业工人工作考核表</w:t>
      </w:r>
    </w:p>
    <w:p>
      <w:pPr>
        <w:snapToGrid w:val="0"/>
        <w:spacing w:line="360" w:lineRule="auto"/>
        <w:jc w:val="left"/>
        <w:rPr>
          <w:rFonts w:ascii="宋体" w:hAnsi="宋体" w:cs="宋体"/>
          <w:spacing w:val="40"/>
          <w:sz w:val="24"/>
          <w:szCs w:val="28"/>
        </w:rPr>
      </w:pPr>
      <w:r>
        <w:rPr>
          <w:rFonts w:hint="eastAsia" w:ascii="宋体" w:hAnsi="宋体" w:cs="宋体"/>
          <w:spacing w:val="40"/>
          <w:sz w:val="24"/>
          <w:szCs w:val="28"/>
        </w:rPr>
        <w:t>病区：</w:t>
      </w:r>
      <w:r>
        <w:rPr>
          <w:rFonts w:hint="eastAsia" w:ascii="宋体" w:hAnsi="宋体" w:cs="宋体"/>
          <w:spacing w:val="40"/>
          <w:sz w:val="24"/>
          <w:szCs w:val="28"/>
          <w:u w:val="single"/>
        </w:rPr>
        <w:tab/>
      </w:r>
      <w:r>
        <w:rPr>
          <w:rFonts w:hint="eastAsia" w:ascii="宋体" w:hAnsi="宋体" w:cs="宋体"/>
          <w:spacing w:val="40"/>
          <w:sz w:val="24"/>
          <w:szCs w:val="28"/>
          <w:u w:val="single"/>
        </w:rPr>
        <w:t xml:space="preserve">     </w:t>
      </w:r>
      <w:r>
        <w:rPr>
          <w:rFonts w:hint="eastAsia" w:ascii="宋体" w:hAnsi="宋体" w:cs="宋体"/>
          <w:spacing w:val="40"/>
          <w:sz w:val="24"/>
          <w:szCs w:val="28"/>
        </w:rPr>
        <w:t xml:space="preserve">                         日期:</w:t>
      </w:r>
    </w:p>
    <w:tbl>
      <w:tblPr>
        <w:tblStyle w:val="63"/>
        <w:tblW w:w="5000" w:type="pct"/>
        <w:tblInd w:w="0" w:type="dxa"/>
        <w:tblLayout w:type="autofit"/>
        <w:tblCellMar>
          <w:top w:w="0" w:type="dxa"/>
          <w:left w:w="0" w:type="dxa"/>
          <w:bottom w:w="0" w:type="dxa"/>
          <w:right w:w="0" w:type="dxa"/>
        </w:tblCellMar>
      </w:tblPr>
      <w:tblGrid>
        <w:gridCol w:w="618"/>
        <w:gridCol w:w="1960"/>
        <w:gridCol w:w="4005"/>
        <w:gridCol w:w="809"/>
        <w:gridCol w:w="897"/>
      </w:tblGrid>
      <w:tr>
        <w:tblPrEx>
          <w:tblCellMar>
            <w:top w:w="0" w:type="dxa"/>
            <w:left w:w="0" w:type="dxa"/>
            <w:bottom w:w="0" w:type="dxa"/>
            <w:right w:w="0" w:type="dxa"/>
          </w:tblCellMar>
        </w:tblPrEx>
        <w:trPr>
          <w:trHeight w:val="470"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序</w:t>
            </w:r>
          </w:p>
          <w:p>
            <w:pPr>
              <w:spacing w:line="276" w:lineRule="auto"/>
              <w:jc w:val="center"/>
              <w:rPr>
                <w:rFonts w:ascii="宋体" w:hAnsi="宋体" w:cs="宋体"/>
                <w:szCs w:val="21"/>
              </w:rPr>
            </w:pPr>
            <w:r>
              <w:rPr>
                <w:rFonts w:hint="eastAsia" w:ascii="宋体" w:hAnsi="宋体" w:cs="宋体"/>
                <w:szCs w:val="21"/>
              </w:rPr>
              <w:t>号</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考核内容</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评分</w:t>
            </w:r>
          </w:p>
          <w:p>
            <w:pPr>
              <w:spacing w:line="276" w:lineRule="auto"/>
              <w:jc w:val="center"/>
              <w:rPr>
                <w:rFonts w:ascii="宋体" w:hAnsi="宋体" w:cs="宋体"/>
                <w:szCs w:val="21"/>
              </w:rPr>
            </w:pPr>
            <w:r>
              <w:rPr>
                <w:rFonts w:hint="eastAsia" w:ascii="宋体" w:hAnsi="宋体" w:cs="宋体"/>
                <w:szCs w:val="21"/>
              </w:rPr>
              <w:t>标准</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得分</w:t>
            </w:r>
          </w:p>
        </w:tc>
      </w:tr>
      <w:tr>
        <w:tblPrEx>
          <w:tblCellMar>
            <w:top w:w="0" w:type="dxa"/>
            <w:left w:w="0" w:type="dxa"/>
            <w:bottom w:w="0" w:type="dxa"/>
            <w:right w:w="0" w:type="dxa"/>
          </w:tblCellMar>
        </w:tblPrEx>
        <w:trPr>
          <w:trHeight w:val="293"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1</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人员仪表、文明用语、工作态度、遵守规章制度情况。</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576" w:hRule="atLeast"/>
        </w:trPr>
        <w:tc>
          <w:tcPr>
            <w:tcW w:w="373" w:type="pct"/>
            <w:vMerge w:val="restar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2</w:t>
            </w:r>
          </w:p>
        </w:tc>
        <w:tc>
          <w:tcPr>
            <w:tcW w:w="1182" w:type="pct"/>
            <w:vMerge w:val="restar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病区卫生质量情况</w:t>
            </w: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病房床头柜、床栏、设备带清洁，输液架无 污痕，电视机外壳无积灰。</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8</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619" w:hRule="atLeast"/>
        </w:trPr>
        <w:tc>
          <w:tcPr>
            <w:tcW w:w="373" w:type="pct"/>
            <w:vMerge w:val="continue"/>
            <w:tcBorders>
              <w:top w:val="nil"/>
              <w:left w:val="single" w:color="auto" w:sz="4" w:space="0"/>
              <w:bottom w:val="nil"/>
              <w:right w:val="nil"/>
            </w:tcBorders>
            <w:shd w:val="clear" w:color="auto" w:fill="FFFFFF"/>
            <w:vAlign w:val="center"/>
          </w:tcPr>
          <w:p>
            <w:pPr>
              <w:spacing w:line="276" w:lineRule="auto"/>
              <w:jc w:val="center"/>
              <w:rPr>
                <w:rFonts w:ascii="宋体" w:hAnsi="宋体" w:cs="宋体"/>
                <w:szCs w:val="21"/>
              </w:rPr>
            </w:pPr>
          </w:p>
        </w:tc>
        <w:tc>
          <w:tcPr>
            <w:tcW w:w="1182" w:type="pct"/>
            <w:vMerge w:val="continue"/>
            <w:tcBorders>
              <w:top w:val="nil"/>
              <w:left w:val="single" w:color="auto" w:sz="4" w:space="0"/>
              <w:bottom w:val="nil"/>
              <w:right w:val="nil"/>
            </w:tcBorders>
            <w:shd w:val="clear" w:color="auto" w:fill="FFFFFF"/>
            <w:vAlign w:val="center"/>
          </w:tcPr>
          <w:p>
            <w:pPr>
              <w:spacing w:line="276" w:lineRule="auto"/>
              <w:rPr>
                <w:rFonts w:ascii="宋体" w:hAnsi="宋体" w:cs="宋体"/>
                <w:szCs w:val="21"/>
              </w:rPr>
            </w:pP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病区卫生间淋浴房玻璃、镜子、台盆、台面 整洁，地面无积水。</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8</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288" w:hRule="atLeast"/>
        </w:trPr>
        <w:tc>
          <w:tcPr>
            <w:tcW w:w="373" w:type="pct"/>
            <w:vMerge w:val="continue"/>
            <w:tcBorders>
              <w:top w:val="nil"/>
              <w:left w:val="single" w:color="auto" w:sz="4" w:space="0"/>
              <w:bottom w:val="nil"/>
              <w:right w:val="nil"/>
            </w:tcBorders>
            <w:shd w:val="clear" w:color="auto" w:fill="FFFFFF"/>
            <w:vAlign w:val="center"/>
          </w:tcPr>
          <w:p>
            <w:pPr>
              <w:spacing w:line="276" w:lineRule="auto"/>
              <w:jc w:val="center"/>
              <w:rPr>
                <w:rFonts w:ascii="宋体" w:hAnsi="宋体" w:cs="宋体"/>
                <w:szCs w:val="21"/>
              </w:rPr>
            </w:pPr>
          </w:p>
        </w:tc>
        <w:tc>
          <w:tcPr>
            <w:tcW w:w="1182" w:type="pct"/>
            <w:vMerge w:val="continue"/>
            <w:tcBorders>
              <w:top w:val="nil"/>
              <w:left w:val="single" w:color="auto" w:sz="4" w:space="0"/>
              <w:bottom w:val="nil"/>
              <w:right w:val="nil"/>
            </w:tcBorders>
            <w:shd w:val="clear" w:color="auto" w:fill="FFFFFF"/>
            <w:vAlign w:val="center"/>
          </w:tcPr>
          <w:p>
            <w:pPr>
              <w:spacing w:line="276" w:lineRule="auto"/>
              <w:rPr>
                <w:rFonts w:ascii="宋体" w:hAnsi="宋体" w:cs="宋体"/>
                <w:szCs w:val="21"/>
              </w:rPr>
            </w:pP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病区地面清洁。</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8</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581" w:hRule="atLeast"/>
        </w:trPr>
        <w:tc>
          <w:tcPr>
            <w:tcW w:w="373" w:type="pct"/>
            <w:vMerge w:val="continue"/>
            <w:tcBorders>
              <w:top w:val="nil"/>
              <w:left w:val="single" w:color="auto" w:sz="4" w:space="0"/>
              <w:bottom w:val="nil"/>
              <w:right w:val="nil"/>
            </w:tcBorders>
            <w:shd w:val="clear" w:color="auto" w:fill="FFFFFF"/>
            <w:vAlign w:val="center"/>
          </w:tcPr>
          <w:p>
            <w:pPr>
              <w:spacing w:line="276" w:lineRule="auto"/>
              <w:jc w:val="center"/>
              <w:rPr>
                <w:rFonts w:ascii="宋体" w:hAnsi="宋体" w:cs="宋体"/>
                <w:szCs w:val="21"/>
              </w:rPr>
            </w:pPr>
          </w:p>
        </w:tc>
        <w:tc>
          <w:tcPr>
            <w:tcW w:w="1182" w:type="pct"/>
            <w:vMerge w:val="continue"/>
            <w:tcBorders>
              <w:top w:val="nil"/>
              <w:left w:val="single" w:color="auto" w:sz="4" w:space="0"/>
              <w:bottom w:val="nil"/>
              <w:right w:val="nil"/>
            </w:tcBorders>
            <w:shd w:val="clear" w:color="auto" w:fill="FFFFFF"/>
            <w:vAlign w:val="center"/>
          </w:tcPr>
          <w:p>
            <w:pPr>
              <w:spacing w:line="276" w:lineRule="auto"/>
              <w:rPr>
                <w:rFonts w:ascii="宋体" w:hAnsi="宋体" w:cs="宋体"/>
                <w:szCs w:val="21"/>
              </w:rPr>
            </w:pP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病区不锈钢(楼道、走廊扶手、车辆、清洗 台、电梯等)保持清洁、有每周上油保养。</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8</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288" w:hRule="atLeast"/>
        </w:trPr>
        <w:tc>
          <w:tcPr>
            <w:tcW w:w="373" w:type="pct"/>
            <w:vMerge w:val="continue"/>
            <w:tcBorders>
              <w:top w:val="nil"/>
              <w:left w:val="single" w:color="auto" w:sz="4" w:space="0"/>
              <w:bottom w:val="nil"/>
              <w:right w:val="nil"/>
            </w:tcBorders>
            <w:shd w:val="clear" w:color="auto" w:fill="FFFFFF"/>
            <w:vAlign w:val="center"/>
          </w:tcPr>
          <w:p>
            <w:pPr>
              <w:spacing w:line="276" w:lineRule="auto"/>
              <w:jc w:val="center"/>
              <w:rPr>
                <w:rFonts w:ascii="宋体" w:hAnsi="宋体" w:cs="宋体"/>
                <w:szCs w:val="21"/>
              </w:rPr>
            </w:pPr>
          </w:p>
        </w:tc>
        <w:tc>
          <w:tcPr>
            <w:tcW w:w="1182" w:type="pct"/>
            <w:vMerge w:val="continue"/>
            <w:tcBorders>
              <w:top w:val="nil"/>
              <w:left w:val="single" w:color="auto" w:sz="4" w:space="0"/>
              <w:bottom w:val="nil"/>
              <w:right w:val="nil"/>
            </w:tcBorders>
            <w:shd w:val="clear" w:color="auto" w:fill="FFFFFF"/>
            <w:vAlign w:val="center"/>
          </w:tcPr>
          <w:p>
            <w:pPr>
              <w:spacing w:line="276" w:lineRule="auto"/>
              <w:rPr>
                <w:rFonts w:ascii="宋体" w:hAnsi="宋体" w:cs="宋体"/>
                <w:szCs w:val="21"/>
              </w:rPr>
            </w:pP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及时清理病区各室内垃圾。</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8</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298" w:hRule="atLeast"/>
        </w:trPr>
        <w:tc>
          <w:tcPr>
            <w:tcW w:w="373" w:type="pct"/>
            <w:vMerge w:val="continue"/>
            <w:tcBorders>
              <w:top w:val="nil"/>
              <w:left w:val="single" w:color="auto" w:sz="4" w:space="0"/>
              <w:bottom w:val="nil"/>
              <w:right w:val="nil"/>
            </w:tcBorders>
            <w:shd w:val="clear" w:color="auto" w:fill="FFFFFF"/>
            <w:vAlign w:val="center"/>
          </w:tcPr>
          <w:p>
            <w:pPr>
              <w:spacing w:line="276" w:lineRule="auto"/>
              <w:jc w:val="center"/>
              <w:rPr>
                <w:rFonts w:ascii="宋体" w:hAnsi="宋体" w:cs="宋体"/>
                <w:szCs w:val="21"/>
              </w:rPr>
            </w:pPr>
          </w:p>
        </w:tc>
        <w:tc>
          <w:tcPr>
            <w:tcW w:w="1182" w:type="pct"/>
            <w:vMerge w:val="continue"/>
            <w:tcBorders>
              <w:top w:val="nil"/>
              <w:left w:val="single" w:color="auto" w:sz="4" w:space="0"/>
              <w:bottom w:val="nil"/>
              <w:right w:val="nil"/>
            </w:tcBorders>
            <w:shd w:val="clear" w:color="auto" w:fill="FFFFFF"/>
            <w:vAlign w:val="center"/>
          </w:tcPr>
          <w:p>
            <w:pPr>
              <w:spacing w:line="276" w:lineRule="auto"/>
              <w:rPr>
                <w:rFonts w:ascii="宋体" w:hAnsi="宋体" w:cs="宋体"/>
                <w:szCs w:val="21"/>
              </w:rPr>
            </w:pP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外走廊栏杆、楼梯、电梯厅无烟蒂、垃圾。</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7</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293" w:hRule="atLeast"/>
        </w:trPr>
        <w:tc>
          <w:tcPr>
            <w:tcW w:w="373" w:type="pct"/>
            <w:vMerge w:val="continue"/>
            <w:tcBorders>
              <w:top w:val="nil"/>
              <w:left w:val="single" w:color="auto" w:sz="4" w:space="0"/>
              <w:bottom w:val="nil"/>
              <w:right w:val="nil"/>
            </w:tcBorders>
            <w:shd w:val="clear" w:color="auto" w:fill="FFFFFF"/>
            <w:vAlign w:val="center"/>
          </w:tcPr>
          <w:p>
            <w:pPr>
              <w:spacing w:line="276" w:lineRule="auto"/>
              <w:jc w:val="center"/>
              <w:rPr>
                <w:rFonts w:ascii="宋体" w:hAnsi="宋体" w:cs="宋体"/>
                <w:szCs w:val="21"/>
              </w:rPr>
            </w:pPr>
          </w:p>
        </w:tc>
        <w:tc>
          <w:tcPr>
            <w:tcW w:w="1182" w:type="pct"/>
            <w:vMerge w:val="continue"/>
            <w:tcBorders>
              <w:top w:val="nil"/>
              <w:left w:val="single" w:color="auto" w:sz="4" w:space="0"/>
              <w:bottom w:val="nil"/>
              <w:right w:val="nil"/>
            </w:tcBorders>
            <w:shd w:val="clear" w:color="auto" w:fill="FFFFFF"/>
            <w:vAlign w:val="center"/>
          </w:tcPr>
          <w:p>
            <w:pPr>
              <w:spacing w:line="276" w:lineRule="auto"/>
              <w:rPr>
                <w:rFonts w:ascii="宋体" w:hAnsi="宋体" w:cs="宋体"/>
                <w:szCs w:val="21"/>
              </w:rPr>
            </w:pP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开水房地面清洁、无积水；开水箱无污迹。</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6</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288"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3</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严格执行消毒制度，按要求做到擦抹、清洗、消毒等工作。</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1037"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4</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物业工人出勤人数必需和医院指定人数相符，工人请假时间不能 超过一周，如超过一周无新员工顶替医院每天扣1分，超过半月 扣除本月该岗位人头工资。</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7</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576"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3598" w:type="pct"/>
            <w:gridSpan w:val="2"/>
            <w:tcBorders>
              <w:top w:val="single" w:color="auto" w:sz="4" w:space="0"/>
              <w:left w:val="single" w:color="auto" w:sz="4" w:space="0"/>
              <w:bottom w:val="nil"/>
              <w:right w:val="nil"/>
            </w:tcBorders>
            <w:shd w:val="clear" w:color="auto" w:fill="FFFFFF"/>
          </w:tcPr>
          <w:p>
            <w:pPr>
              <w:spacing w:line="276" w:lineRule="auto"/>
              <w:rPr>
                <w:rFonts w:ascii="宋体" w:hAnsi="宋体" w:cs="宋体"/>
                <w:szCs w:val="21"/>
              </w:rPr>
            </w:pPr>
            <w:r>
              <w:rPr>
                <w:rFonts w:hint="eastAsia" w:ascii="宋体" w:hAnsi="宋体" w:cs="宋体"/>
                <w:szCs w:val="21"/>
              </w:rPr>
              <w:t>物业有管理人员分片管理，管理人员每天巡视督促所管区域不少 于2次。</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1032"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6</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工作忒慢、服务态度差、卫生检查2次以上不过关等原因要求调 换的工人，物业公司应一周内予调换。一周内予不处理的医院每 天扣1分，超过半月不调换的扣除本月该人头工资。</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7</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691"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7</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病区绿化要求每季度80%以上的室内绿化必须更换，数量、种类 与约定数相同，不出现植物数量不符、枯萎等情况。</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3</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288"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8</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物业工人服务意识强，主动配合病区保洁工作。</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581"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9</w:t>
            </w:r>
          </w:p>
        </w:tc>
        <w:tc>
          <w:tcPr>
            <w:tcW w:w="3598" w:type="pct"/>
            <w:gridSpan w:val="2"/>
            <w:tcBorders>
              <w:top w:val="single" w:color="auto" w:sz="4" w:space="0"/>
              <w:left w:val="single" w:color="auto" w:sz="4" w:space="0"/>
              <w:bottom w:val="nil"/>
              <w:right w:val="nil"/>
            </w:tcBorders>
            <w:shd w:val="clear" w:color="auto" w:fill="FFFFFF"/>
            <w:vAlign w:val="bottom"/>
          </w:tcPr>
          <w:p>
            <w:pPr>
              <w:spacing w:line="276" w:lineRule="auto"/>
              <w:rPr>
                <w:rFonts w:ascii="宋体" w:hAnsi="宋体" w:cs="宋体"/>
                <w:szCs w:val="21"/>
              </w:rPr>
            </w:pPr>
            <w:r>
              <w:rPr>
                <w:rFonts w:hint="eastAsia" w:ascii="宋体" w:hAnsi="宋体" w:cs="宋体"/>
                <w:szCs w:val="21"/>
              </w:rPr>
              <w:t>接到病人对物业工人服务态度有效投诉一例扣1分，二次投诉扣2 分，直至要求辞退。</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533"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10</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保证病区所有管道排污排水等通畅，并保证及时受理、解决^</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360" w:hRule="atLeast"/>
        </w:trPr>
        <w:tc>
          <w:tcPr>
            <w:tcW w:w="3970" w:type="pct"/>
            <w:gridSpan w:val="3"/>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合计：</w:t>
            </w:r>
          </w:p>
        </w:tc>
        <w:tc>
          <w:tcPr>
            <w:tcW w:w="488" w:type="pct"/>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100</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宋体" w:hAnsi="宋体" w:cs="宋体"/>
                <w:szCs w:val="21"/>
              </w:rPr>
            </w:pPr>
          </w:p>
        </w:tc>
      </w:tr>
    </w:tbl>
    <w:p>
      <w:pPr>
        <w:snapToGrid w:val="0"/>
        <w:spacing w:line="360" w:lineRule="auto"/>
        <w:ind w:firstLine="560" w:firstLineChars="200"/>
        <w:jc w:val="left"/>
        <w:rPr>
          <w:rFonts w:ascii="宋体" w:hAnsi="宋体" w:cs="宋体"/>
          <w:snapToGrid w:val="0"/>
          <w:kern w:val="0"/>
          <w:sz w:val="28"/>
          <w:szCs w:val="28"/>
        </w:rPr>
      </w:pPr>
    </w:p>
    <w:p>
      <w:pPr>
        <w:snapToGrid w:val="0"/>
        <w:spacing w:line="360" w:lineRule="auto"/>
        <w:ind w:firstLine="420" w:firstLineChars="200"/>
        <w:rPr>
          <w:rFonts w:ascii="宋体" w:hAnsi="宋体" w:cs="宋体"/>
          <w:snapToGrid w:val="0"/>
          <w:kern w:val="0"/>
          <w:szCs w:val="21"/>
        </w:rPr>
      </w:pPr>
    </w:p>
    <w:p>
      <w:pPr>
        <w:snapToGrid w:val="0"/>
        <w:spacing w:line="360" w:lineRule="auto"/>
        <w:ind w:firstLine="420" w:firstLineChars="200"/>
        <w:rPr>
          <w:rFonts w:ascii="宋体" w:hAnsi="宋体" w:cs="宋体"/>
          <w:snapToGrid w:val="0"/>
          <w:kern w:val="0"/>
          <w:szCs w:val="21"/>
        </w:rPr>
      </w:pPr>
    </w:p>
    <w:p>
      <w:pPr>
        <w:widowControl/>
        <w:adjustRightInd/>
        <w:jc w:val="center"/>
        <w:rPr>
          <w:rFonts w:ascii="宋体" w:hAnsi="宋体" w:cs="宋体"/>
          <w:color w:val="FF0000"/>
          <w:sz w:val="24"/>
        </w:rPr>
      </w:pPr>
      <w:r>
        <w:rPr>
          <w:rFonts w:hint="eastAsia" w:ascii="宋体" w:hAnsi="宋体" w:cs="宋体"/>
          <w:sz w:val="24"/>
        </w:rPr>
        <w:br w:type="page"/>
      </w:r>
      <w:r>
        <w:rPr>
          <w:rFonts w:hint="eastAsia" w:ascii="宋体" w:hAnsi="宋体" w:cs="宋体"/>
          <w:sz w:val="24"/>
        </w:rPr>
        <w:t>勤务中心  年  月对物业工人工作考核表（一）</w:t>
      </w:r>
    </w:p>
    <w:p>
      <w:pPr>
        <w:ind w:firstLine="4800" w:firstLineChars="2000"/>
        <w:jc w:val="right"/>
        <w:rPr>
          <w:rFonts w:ascii="宋体" w:hAnsi="宋体" w:cs="宋体"/>
          <w:sz w:val="24"/>
        </w:rPr>
      </w:pPr>
      <w:r>
        <w:rPr>
          <w:rFonts w:hint="eastAsia" w:ascii="宋体" w:hAnsi="宋体" w:cs="宋体"/>
          <w:sz w:val="24"/>
        </w:rPr>
        <w:t>总得分 （ + ）/2=  分</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1"/>
        <w:gridCol w:w="3571"/>
        <w:gridCol w:w="749"/>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451" w:type="dxa"/>
            <w:vAlign w:val="center"/>
          </w:tcPr>
          <w:p>
            <w:pPr>
              <w:spacing w:line="360" w:lineRule="auto"/>
              <w:jc w:val="center"/>
              <w:rPr>
                <w:rFonts w:ascii="宋体" w:hAnsi="宋体" w:cs="宋体"/>
                <w:sz w:val="24"/>
              </w:rPr>
            </w:pPr>
            <w:r>
              <w:rPr>
                <w:rFonts w:hint="eastAsia" w:ascii="宋体" w:hAnsi="宋体" w:cs="宋体"/>
                <w:sz w:val="24"/>
              </w:rPr>
              <w:t>检查内容</w:t>
            </w:r>
          </w:p>
        </w:tc>
        <w:tc>
          <w:tcPr>
            <w:tcW w:w="3571" w:type="dxa"/>
            <w:vAlign w:val="center"/>
          </w:tcPr>
          <w:p>
            <w:pPr>
              <w:spacing w:line="360" w:lineRule="auto"/>
              <w:ind w:left="-283" w:leftChars="-135"/>
              <w:jc w:val="center"/>
              <w:rPr>
                <w:rFonts w:ascii="宋体" w:hAnsi="宋体" w:cs="宋体"/>
                <w:sz w:val="24"/>
              </w:rPr>
            </w:pPr>
            <w:r>
              <w:rPr>
                <w:rFonts w:hint="eastAsia" w:ascii="宋体" w:hAnsi="宋体" w:cs="宋体"/>
                <w:sz w:val="24"/>
              </w:rPr>
              <w:t>扣分理由</w:t>
            </w:r>
          </w:p>
        </w:tc>
        <w:tc>
          <w:tcPr>
            <w:tcW w:w="749"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分值</w:t>
            </w:r>
          </w:p>
        </w:tc>
        <w:tc>
          <w:tcPr>
            <w:tcW w:w="739" w:type="dxa"/>
            <w:vAlign w:val="center"/>
          </w:tcPr>
          <w:p>
            <w:pPr>
              <w:spacing w:line="360" w:lineRule="auto"/>
              <w:jc w:val="center"/>
              <w:rPr>
                <w:rFonts w:ascii="宋体" w:hAnsi="宋体" w:cs="宋体"/>
                <w:sz w:val="24"/>
              </w:rPr>
            </w:pPr>
            <w:r>
              <w:rPr>
                <w:rFonts w:hint="eastAsia" w:ascii="宋体" w:hAnsi="宋体" w:cs="宋体"/>
                <w:sz w:val="24"/>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物业工人出勤人数必需和医院指定人数相符，工人请假时间不能超过一周，如超过一周无新员工顶替医院每天扣1分，超过半月扣除本月该岗位人头工资。特殊时期按天计算人数。</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管理人员分片管理，管理人员每天巡视督促所管区域不少于2次。不到位者每次扣1分。</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对监管部门领导、各护士长反映因工作忒慢、服务态度差、卫生检查多次（2次以上）不过关等原因要求调换的工人，物业公司应一周内予调换。一周内予不处理的医院每天扣1分，超过半月不调换的扣除本月该人头工资。</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病区绿化要求每季80％以上的室内绿化必须更换，数量、种类与约定数相同，不出现植物数量不符、枯萎等情况。</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院方管理人员检查发现物业工作不达标，经提醒不整改，第一次扣1分，第二次扣2分，以此类推直至整改到位。</w:t>
            </w:r>
          </w:p>
        </w:tc>
        <w:tc>
          <w:tcPr>
            <w:tcW w:w="3571" w:type="dxa"/>
            <w:vAlign w:val="center"/>
          </w:tcPr>
          <w:p>
            <w:pPr>
              <w:spacing w:line="360" w:lineRule="auto"/>
              <w:jc w:val="center"/>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接到病人对物业工人服务态度有效投诉一例扣1分，二次投诉扣 2分，直至要求辞退。</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保洁、运送人员原则上65岁以下，小学及以上学历，具备相关健康证。如不符上述条件医院不发该人头工资。</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新员工上岗必需经过岗前培训，经考核合格后方可上岗；入院服务时都必须体检，不符规定医院不发该人头工资。</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保证病区所有管道排污排水等通畅，保证及时受理、解决。</w:t>
            </w:r>
          </w:p>
        </w:tc>
        <w:tc>
          <w:tcPr>
            <w:tcW w:w="3571" w:type="dxa"/>
            <w:vAlign w:val="center"/>
          </w:tcPr>
          <w:p>
            <w:pPr>
              <w:spacing w:line="360" w:lineRule="auto"/>
              <w:jc w:val="center"/>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严格执行消毒制度，按要求做到擦抹、清洗、消毒等工作</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按规定给病人冲开水二次/日，做好出院病人终末消毒</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规范放置卫生洁具，不乱放、晒物品</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各楼层卫生质量情况</w:t>
            </w:r>
          </w:p>
        </w:tc>
        <w:tc>
          <w:tcPr>
            <w:tcW w:w="3571" w:type="dxa"/>
            <w:vAlign w:val="center"/>
          </w:tcPr>
          <w:p>
            <w:pPr>
              <w:widowControl/>
              <w:jc w:val="left"/>
              <w:rPr>
                <w:rFonts w:ascii="宋体" w:hAnsi="宋体" w:cs="宋体"/>
                <w:sz w:val="18"/>
                <w:szCs w:val="18"/>
              </w:rPr>
            </w:pPr>
            <w:r>
              <w:rPr>
                <w:rFonts w:hint="eastAsia" w:ascii="宋体" w:hAnsi="宋体" w:cs="宋体"/>
                <w:sz w:val="18"/>
                <w:szCs w:val="18"/>
              </w:rPr>
              <w:t xml:space="preserve"> </w:t>
            </w:r>
          </w:p>
          <w:p>
            <w:pPr>
              <w:widowControl/>
              <w:jc w:val="left"/>
              <w:rPr>
                <w:rFonts w:ascii="宋体" w:hAnsi="宋体" w:cs="宋体"/>
                <w:sz w:val="18"/>
                <w:szCs w:val="18"/>
              </w:rPr>
            </w:pPr>
          </w:p>
          <w:p>
            <w:pPr>
              <w:widowControl/>
              <w:jc w:val="left"/>
              <w:rPr>
                <w:rFonts w:ascii="宋体" w:hAnsi="宋体" w:cs="宋体"/>
                <w:sz w:val="18"/>
                <w:szCs w:val="18"/>
              </w:rPr>
            </w:pPr>
          </w:p>
          <w:p>
            <w:pPr>
              <w:widowControl/>
              <w:jc w:val="left"/>
              <w:rPr>
                <w:rFonts w:ascii="宋体" w:hAnsi="宋体" w:cs="宋体"/>
                <w:sz w:val="18"/>
                <w:szCs w:val="18"/>
              </w:rPr>
            </w:pPr>
          </w:p>
          <w:p>
            <w:pPr>
              <w:widowControl/>
              <w:jc w:val="left"/>
              <w:rPr>
                <w:rFonts w:ascii="宋体" w:hAnsi="宋体" w:cs="宋体"/>
                <w:sz w:val="18"/>
                <w:szCs w:val="18"/>
              </w:rPr>
            </w:pPr>
          </w:p>
          <w:p>
            <w:pPr>
              <w:widowControl/>
              <w:jc w:val="left"/>
              <w:rPr>
                <w:rFonts w:ascii="宋体" w:hAnsi="宋体" w:cs="宋体"/>
                <w:sz w:val="18"/>
                <w:szCs w:val="18"/>
              </w:rPr>
            </w:pPr>
          </w:p>
          <w:p>
            <w:pPr>
              <w:widowControl/>
              <w:jc w:val="left"/>
              <w:rPr>
                <w:rFonts w:ascii="宋体" w:hAnsi="宋体" w:cs="宋体"/>
                <w:sz w:val="18"/>
                <w:szCs w:val="18"/>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w:t>
            </w:r>
          </w:p>
        </w:tc>
        <w:tc>
          <w:tcPr>
            <w:tcW w:w="739" w:type="dxa"/>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墙壁无蜘蛛网、灰尘、污渍</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公共区域镜面洁净、光亮、无污渍</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各楼层不锈钢(楼道、走廊扶手、车辆、清洗台、电梯等)每日擦抹、每周上油保养</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大厅玻璃门窗清洗四次/周，保持透明、洁净、无污渍</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各楼层开空调关窗、关门情况</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玻璃雨棚（顶）清洗一次/月，行政楼地板房地面上蜡一次/季  地面保养、一次/月</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医院露台一/日打扫，保持清洁</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各楼层果皮箱外表干净，无虫蚁，无特别异味</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生活垃圾筒每日冲洗，保持干净、无臭味</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通风口、照明擦抹一次/月</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床头柜，设备带每日定时擦抹消毒</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输液架、氧气架无污痕，表面干净，有光泽</w:t>
            </w:r>
          </w:p>
        </w:tc>
        <w:tc>
          <w:tcPr>
            <w:tcW w:w="3571" w:type="dxa"/>
            <w:vAlign w:val="center"/>
          </w:tcPr>
          <w:p>
            <w:pPr>
              <w:spacing w:line="360" w:lineRule="auto"/>
              <w:jc w:val="center"/>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浴房玻璃、病房窗玻璃一次/周清洗、无污渍</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szCs w:val="21"/>
              </w:rPr>
              <w:t>4</w:t>
            </w:r>
          </w:p>
        </w:tc>
        <w:tc>
          <w:tcPr>
            <w:tcW w:w="739" w:type="dxa"/>
            <w:vAlign w:val="center"/>
          </w:tcPr>
          <w:p>
            <w:pPr>
              <w:tabs>
                <w:tab w:val="center" w:pos="321"/>
                <w:tab w:val="left" w:pos="461"/>
              </w:tabs>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自动扶梯一次/周擦抹、清洁、保持光亮</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公共厕所、水池、台面、地面洁净，便池清洁无臭味，间隔墙、门无污渍，巡视一次/半小时</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rPr>
              <w:t>6</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外围环境卫生保持干净，指示牌清洁</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p>
        </w:tc>
        <w:tc>
          <w:tcPr>
            <w:tcW w:w="739" w:type="dxa"/>
            <w:vAlign w:val="center"/>
          </w:tcPr>
          <w:p>
            <w:pPr>
              <w:spacing w:line="360" w:lineRule="auto"/>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各楼楼顶清扫巡视每一次/月</w:t>
            </w:r>
          </w:p>
        </w:tc>
        <w:tc>
          <w:tcPr>
            <w:tcW w:w="3571" w:type="dxa"/>
            <w:vAlign w:val="center"/>
          </w:tcPr>
          <w:p>
            <w:pPr>
              <w:spacing w:line="360" w:lineRule="auto"/>
              <w:rPr>
                <w:rFonts w:ascii="宋体" w:hAnsi="宋体" w:cs="宋体"/>
                <w:szCs w:val="21"/>
              </w:rPr>
            </w:pPr>
          </w:p>
        </w:tc>
        <w:tc>
          <w:tcPr>
            <w:tcW w:w="749" w:type="dxa"/>
            <w:tcBorders>
              <w:left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2</w:t>
            </w:r>
          </w:p>
        </w:tc>
        <w:tc>
          <w:tcPr>
            <w:tcW w:w="739" w:type="dxa"/>
            <w:tcBorders>
              <w:left w:val="single" w:color="auto" w:sz="4" w:space="0"/>
            </w:tcBorders>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5451" w:type="dxa"/>
            <w:vAlign w:val="center"/>
          </w:tcPr>
          <w:p>
            <w:pPr>
              <w:spacing w:line="360" w:lineRule="auto"/>
              <w:jc w:val="center"/>
              <w:rPr>
                <w:rFonts w:ascii="宋体" w:hAnsi="宋体" w:cs="宋体"/>
                <w:szCs w:val="21"/>
              </w:rPr>
            </w:pPr>
            <w:r>
              <w:rPr>
                <w:rFonts w:hint="eastAsia" w:ascii="宋体" w:hAnsi="宋体" w:cs="宋体"/>
                <w:szCs w:val="21"/>
              </w:rPr>
              <w:t>合计：</w:t>
            </w:r>
          </w:p>
        </w:tc>
        <w:tc>
          <w:tcPr>
            <w:tcW w:w="3571" w:type="dxa"/>
            <w:vAlign w:val="center"/>
          </w:tcPr>
          <w:p>
            <w:pPr>
              <w:spacing w:line="360" w:lineRule="auto"/>
              <w:jc w:val="center"/>
              <w:rPr>
                <w:rFonts w:ascii="宋体" w:hAnsi="宋体" w:cs="宋体"/>
                <w:szCs w:val="21"/>
              </w:rPr>
            </w:pPr>
          </w:p>
        </w:tc>
        <w:tc>
          <w:tcPr>
            <w:tcW w:w="1488" w:type="dxa"/>
            <w:gridSpan w:val="2"/>
            <w:tcBorders>
              <w:left w:val="single" w:color="auto" w:sz="4" w:space="0"/>
            </w:tcBorders>
            <w:vAlign w:val="center"/>
          </w:tcPr>
          <w:p>
            <w:pPr>
              <w:spacing w:line="360" w:lineRule="auto"/>
              <w:jc w:val="center"/>
              <w:rPr>
                <w:rFonts w:ascii="宋体" w:hAnsi="宋体" w:cs="宋体"/>
                <w:szCs w:val="21"/>
              </w:rPr>
            </w:pP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widowControl/>
        <w:adjustRightInd/>
        <w:jc w:val="center"/>
        <w:rPr>
          <w:rFonts w:ascii="宋体" w:hAnsi="宋体" w:cs="宋体"/>
          <w:sz w:val="24"/>
        </w:rPr>
      </w:pPr>
      <w:r>
        <w:rPr>
          <w:rFonts w:hint="eastAsia" w:ascii="宋体" w:hAnsi="宋体" w:cs="宋体"/>
          <w:sz w:val="24"/>
        </w:rPr>
        <w:br w:type="page"/>
      </w:r>
      <w:r>
        <w:rPr>
          <w:rFonts w:hint="eastAsia" w:ascii="宋体" w:hAnsi="宋体" w:cs="宋体"/>
          <w:sz w:val="24"/>
        </w:rPr>
        <w:t xml:space="preserve">勤务中心  年 月对物业工人工作考核表（二）     </w:t>
      </w:r>
    </w:p>
    <w:tbl>
      <w:tblPr>
        <w:tblStyle w:val="63"/>
        <w:tblW w:w="96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1"/>
        <w:gridCol w:w="3402"/>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4931" w:type="dxa"/>
            <w:vAlign w:val="center"/>
          </w:tcPr>
          <w:p>
            <w:pPr>
              <w:spacing w:line="360" w:lineRule="auto"/>
              <w:ind w:left="-283" w:leftChars="-135"/>
              <w:jc w:val="center"/>
              <w:rPr>
                <w:rFonts w:ascii="宋体" w:hAnsi="宋体" w:cs="宋体"/>
                <w:sz w:val="24"/>
              </w:rPr>
            </w:pPr>
            <w:r>
              <w:rPr>
                <w:rFonts w:hint="eastAsia" w:ascii="宋体" w:hAnsi="宋体" w:cs="宋体"/>
                <w:sz w:val="24"/>
              </w:rPr>
              <w:t>检 查 内 容</w:t>
            </w:r>
          </w:p>
        </w:tc>
        <w:tc>
          <w:tcPr>
            <w:tcW w:w="3402" w:type="dxa"/>
            <w:vAlign w:val="center"/>
          </w:tcPr>
          <w:p>
            <w:pPr>
              <w:spacing w:line="360" w:lineRule="auto"/>
              <w:jc w:val="center"/>
              <w:rPr>
                <w:rFonts w:ascii="宋体" w:hAnsi="宋体" w:cs="宋体"/>
                <w:sz w:val="24"/>
              </w:rPr>
            </w:pPr>
            <w:r>
              <w:rPr>
                <w:rFonts w:hint="eastAsia" w:ascii="宋体" w:hAnsi="宋体" w:cs="宋体"/>
                <w:sz w:val="24"/>
              </w:rPr>
              <w:t>存 在 问 题</w:t>
            </w:r>
          </w:p>
        </w:tc>
        <w:tc>
          <w:tcPr>
            <w:tcW w:w="709" w:type="dxa"/>
            <w:vAlign w:val="center"/>
          </w:tcPr>
          <w:p>
            <w:pPr>
              <w:spacing w:line="360" w:lineRule="auto"/>
              <w:jc w:val="center"/>
              <w:rPr>
                <w:rFonts w:ascii="宋体" w:hAnsi="宋体" w:cs="宋体"/>
                <w:sz w:val="24"/>
              </w:rPr>
            </w:pPr>
            <w:r>
              <w:rPr>
                <w:rFonts w:hint="eastAsia" w:ascii="宋体" w:hAnsi="宋体" w:cs="宋体"/>
                <w:sz w:val="24"/>
              </w:rPr>
              <w:t>分值</w:t>
            </w:r>
          </w:p>
        </w:tc>
        <w:tc>
          <w:tcPr>
            <w:tcW w:w="620" w:type="dxa"/>
            <w:vAlign w:val="center"/>
          </w:tcPr>
          <w:p>
            <w:pPr>
              <w:spacing w:line="360" w:lineRule="auto"/>
              <w:jc w:val="center"/>
              <w:rPr>
                <w:rFonts w:ascii="宋体" w:hAnsi="宋体" w:cs="宋体"/>
                <w:sz w:val="24"/>
              </w:rPr>
            </w:pPr>
            <w:r>
              <w:rPr>
                <w:rFonts w:hint="eastAsia" w:ascii="宋体" w:hAnsi="宋体" w:cs="宋体"/>
                <w:sz w:val="24"/>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着装整洁、仪表端庄、挂牌上岗、认真执行医院各项规章制度，遵守劳动纪律</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服务热情、耐心、有礼貌、不与病人或陪客争吵</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运送病人及时，护送时注意保暖，搬运病人时动作规范、轻稳，符合治疗要求，无投诉</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护送病人时做到轻推、慢拉，确保安全，不得因护送不当跌伤病人，运送病人时各种导管保持通畅，位置合理，防止脱落，无投诉</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收送各种标本时做到及时、无误、不得丢失、损坏</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遵守消毒隔离制度，运送各种标本、单子均走污物通道，污手不能按电梯，无投诉</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领送大输液时做到准确、及时、无误，不能与工作人员争吵</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外送标本及时准确，取血制品时经核对后动作轻柔</w:t>
            </w:r>
          </w:p>
        </w:tc>
        <w:tc>
          <w:tcPr>
            <w:tcW w:w="3402"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运送病人工具做到清洁，每天消毒</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收集垃圾时应要求着装(戴口罩、手套帽子)</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按时定点收集各科垃圾，收集时应采取密封措施，防止污水外溢</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对生活垃圾和医用垃圾要严格分装，做好数量登记，严禁个人出售医用废弃物，防止交叉感染</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20" w:type="dxa"/>
            <w:vAlign w:val="center"/>
          </w:tcPr>
          <w:p>
            <w:pPr>
              <w:spacing w:line="360" w:lineRule="auto"/>
              <w:ind w:firstLine="210" w:firstLineChars="10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保持垃圾房周围环境及垃圾收集箱整洁，防止蚊、蝇滋生，做好垃圾房的消毒工作</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准确无误运送各科被服类、工作服类，并核对，如有报损跟科室护士长联系</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突击性任务(加分)</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center"/>
              <w:rPr>
                <w:rFonts w:ascii="宋体" w:hAnsi="宋体" w:cs="宋体"/>
                <w:szCs w:val="21"/>
              </w:rPr>
            </w:pPr>
            <w:r>
              <w:rPr>
                <w:rFonts w:hint="eastAsia" w:ascii="宋体" w:hAnsi="宋体" w:cs="宋体"/>
                <w:szCs w:val="21"/>
              </w:rPr>
              <w:t>合计：</w:t>
            </w:r>
          </w:p>
        </w:tc>
        <w:tc>
          <w:tcPr>
            <w:tcW w:w="3402" w:type="dxa"/>
            <w:vAlign w:val="center"/>
          </w:tcPr>
          <w:p>
            <w:pPr>
              <w:spacing w:line="360" w:lineRule="auto"/>
              <w:jc w:val="center"/>
              <w:rPr>
                <w:rFonts w:ascii="宋体" w:hAnsi="宋体" w:cs="宋体"/>
                <w:szCs w:val="21"/>
              </w:rPr>
            </w:pPr>
          </w:p>
        </w:tc>
        <w:tc>
          <w:tcPr>
            <w:tcW w:w="1329" w:type="dxa"/>
            <w:gridSpan w:val="2"/>
            <w:vAlign w:val="center"/>
          </w:tcPr>
          <w:p>
            <w:pPr>
              <w:spacing w:line="360" w:lineRule="auto"/>
              <w:jc w:val="center"/>
              <w:rPr>
                <w:rFonts w:ascii="宋体" w:hAnsi="宋体" w:cs="宋体"/>
                <w:szCs w:val="21"/>
              </w:rPr>
            </w:pPr>
          </w:p>
        </w:tc>
      </w:tr>
    </w:tbl>
    <w:p>
      <w:pPr>
        <w:pStyle w:val="42"/>
        <w:spacing w:line="360" w:lineRule="auto"/>
        <w:ind w:firstLine="420" w:firstLineChars="200"/>
        <w:rPr>
          <w:rFonts w:asciiTheme="minorEastAsia" w:hAnsiTheme="minorEastAsia" w:eastAsiaTheme="minorEastAsia"/>
          <w:color w:val="0000FF"/>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color w:val="0000FF"/>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w:t>
      </w:r>
      <w:r>
        <w:rPr>
          <w:rFonts w:cs="仿宋_GB2312" w:asciiTheme="minorEastAsia" w:hAnsiTheme="minorEastAsia" w:eastAsiaTheme="minorEastAsia"/>
          <w:b/>
          <w:sz w:val="36"/>
          <w:szCs w:val="36"/>
        </w:rPr>
        <w:t xml:space="preserve">   </w:t>
      </w:r>
      <w:bookmarkStart w:id="28" w:name="_Toc184308052"/>
      <w:bookmarkEnd w:id="28"/>
      <w:bookmarkStart w:id="29" w:name="_Toc184308062"/>
      <w:bookmarkEnd w:id="29"/>
      <w:bookmarkStart w:id="30" w:name="_Toc184310277"/>
      <w:bookmarkEnd w:id="30"/>
      <w:bookmarkStart w:id="31" w:name="_Toc184310300"/>
      <w:bookmarkEnd w:id="31"/>
      <w:bookmarkStart w:id="32" w:name="_Toc184308096"/>
      <w:bookmarkEnd w:id="32"/>
      <w:bookmarkStart w:id="33" w:name="_Toc184314426"/>
      <w:bookmarkEnd w:id="33"/>
      <w:bookmarkStart w:id="34" w:name="_Toc184314439"/>
      <w:bookmarkEnd w:id="34"/>
      <w:bookmarkStart w:id="35" w:name="_Toc184310306"/>
      <w:bookmarkEnd w:id="35"/>
      <w:bookmarkStart w:id="36" w:name="_Toc184313273"/>
      <w:bookmarkEnd w:id="36"/>
      <w:bookmarkStart w:id="37" w:name="_Toc184308071"/>
      <w:bookmarkEnd w:id="37"/>
      <w:bookmarkStart w:id="38" w:name="_Toc184313271"/>
      <w:bookmarkEnd w:id="38"/>
      <w:bookmarkStart w:id="39" w:name="_Toc184312089"/>
      <w:bookmarkEnd w:id="39"/>
      <w:bookmarkStart w:id="40" w:name="_Toc184313268"/>
      <w:bookmarkEnd w:id="40"/>
      <w:bookmarkStart w:id="41" w:name="_Toc184310336"/>
      <w:bookmarkEnd w:id="41"/>
      <w:bookmarkStart w:id="42" w:name="_Toc184310311"/>
      <w:bookmarkEnd w:id="42"/>
      <w:bookmarkStart w:id="43" w:name="_Toc184312101"/>
      <w:bookmarkEnd w:id="43"/>
      <w:bookmarkStart w:id="44" w:name="_Toc184314436"/>
      <w:bookmarkEnd w:id="44"/>
      <w:bookmarkStart w:id="45" w:name="_Toc184312078"/>
      <w:bookmarkEnd w:id="45"/>
      <w:bookmarkStart w:id="46" w:name="_Toc184310310"/>
      <w:bookmarkEnd w:id="46"/>
      <w:bookmarkStart w:id="47" w:name="_Toc184314454"/>
      <w:bookmarkEnd w:id="47"/>
      <w:bookmarkStart w:id="48" w:name="_Toc184308082"/>
      <w:bookmarkEnd w:id="48"/>
      <w:bookmarkStart w:id="49" w:name="_Toc184313264"/>
      <w:bookmarkEnd w:id="49"/>
      <w:bookmarkStart w:id="50" w:name="_Toc184308081"/>
      <w:bookmarkEnd w:id="50"/>
      <w:bookmarkStart w:id="51" w:name="_Toc184313276"/>
      <w:bookmarkEnd w:id="51"/>
      <w:bookmarkStart w:id="52" w:name="_Toc184314477"/>
      <w:bookmarkEnd w:id="52"/>
      <w:bookmarkStart w:id="53" w:name="_Toc184308065"/>
      <w:bookmarkEnd w:id="53"/>
      <w:bookmarkStart w:id="54" w:name="_Toc184310303"/>
      <w:bookmarkEnd w:id="54"/>
      <w:bookmarkStart w:id="55" w:name="_Toc184313239"/>
      <w:bookmarkEnd w:id="55"/>
      <w:bookmarkStart w:id="56" w:name="_Toc184313291"/>
      <w:bookmarkEnd w:id="56"/>
      <w:bookmarkStart w:id="57" w:name="_Toc184310302"/>
      <w:bookmarkEnd w:id="57"/>
      <w:bookmarkStart w:id="58" w:name="_Toc184314443"/>
      <w:bookmarkEnd w:id="58"/>
      <w:bookmarkStart w:id="59" w:name="_Toc184313272"/>
      <w:bookmarkEnd w:id="59"/>
      <w:bookmarkStart w:id="60" w:name="_Toc184310287"/>
      <w:bookmarkEnd w:id="60"/>
      <w:bookmarkStart w:id="61" w:name="_Toc184310332"/>
      <w:bookmarkEnd w:id="61"/>
      <w:bookmarkStart w:id="62" w:name="_Toc184308045"/>
      <w:bookmarkEnd w:id="62"/>
      <w:bookmarkStart w:id="63" w:name="_Toc184310343"/>
      <w:bookmarkEnd w:id="63"/>
      <w:bookmarkStart w:id="64" w:name="_Toc184308070"/>
      <w:bookmarkEnd w:id="64"/>
      <w:bookmarkStart w:id="65" w:name="_Toc184308072"/>
      <w:bookmarkEnd w:id="65"/>
      <w:bookmarkStart w:id="66" w:name="_Toc184308048"/>
      <w:bookmarkEnd w:id="66"/>
      <w:bookmarkStart w:id="67" w:name="_Toc184313306"/>
      <w:bookmarkEnd w:id="67"/>
      <w:bookmarkStart w:id="68" w:name="_Toc184314456"/>
      <w:bookmarkEnd w:id="68"/>
      <w:bookmarkStart w:id="69" w:name="_Toc184310282"/>
      <w:bookmarkEnd w:id="69"/>
      <w:bookmarkStart w:id="70" w:name="_Toc184313255"/>
      <w:bookmarkEnd w:id="70"/>
      <w:bookmarkStart w:id="71" w:name="_Toc184308050"/>
      <w:bookmarkEnd w:id="71"/>
      <w:bookmarkStart w:id="72" w:name="_Toc184312110"/>
      <w:bookmarkEnd w:id="72"/>
      <w:bookmarkStart w:id="73" w:name="_Toc184314431"/>
      <w:bookmarkEnd w:id="73"/>
      <w:bookmarkStart w:id="74" w:name="_Toc184314473"/>
      <w:bookmarkEnd w:id="74"/>
      <w:bookmarkStart w:id="75" w:name="_Toc184314420"/>
      <w:bookmarkEnd w:id="75"/>
      <w:bookmarkStart w:id="76" w:name="_Toc184310305"/>
      <w:bookmarkEnd w:id="76"/>
      <w:bookmarkStart w:id="77" w:name="_Toc184308108"/>
      <w:bookmarkEnd w:id="77"/>
      <w:bookmarkStart w:id="78" w:name="_Toc184314424"/>
      <w:bookmarkEnd w:id="78"/>
      <w:bookmarkStart w:id="79" w:name="_Toc184313249"/>
      <w:bookmarkEnd w:id="79"/>
      <w:bookmarkStart w:id="80" w:name="_Toc184313280"/>
      <w:bookmarkEnd w:id="80"/>
      <w:bookmarkStart w:id="81" w:name="_Toc184313238"/>
      <w:bookmarkEnd w:id="81"/>
      <w:bookmarkStart w:id="82" w:name="_Toc184313277"/>
      <w:bookmarkEnd w:id="82"/>
      <w:bookmarkStart w:id="83" w:name="_Toc184312102"/>
      <w:bookmarkEnd w:id="83"/>
      <w:bookmarkStart w:id="84" w:name="_Toc184314475"/>
      <w:bookmarkEnd w:id="84"/>
      <w:bookmarkStart w:id="85" w:name="_Toc184308053"/>
      <w:bookmarkEnd w:id="85"/>
      <w:bookmarkStart w:id="86" w:name="_Toc184310301"/>
      <w:bookmarkEnd w:id="86"/>
      <w:bookmarkStart w:id="87" w:name="_Toc184313247"/>
      <w:bookmarkEnd w:id="87"/>
      <w:bookmarkStart w:id="88" w:name="_Toc184314449"/>
      <w:bookmarkEnd w:id="88"/>
      <w:bookmarkStart w:id="89" w:name="_Toc184310337"/>
      <w:bookmarkEnd w:id="89"/>
      <w:bookmarkStart w:id="90" w:name="_Toc184314445"/>
      <w:bookmarkEnd w:id="90"/>
      <w:bookmarkStart w:id="91" w:name="_Toc184312096"/>
      <w:bookmarkEnd w:id="91"/>
      <w:bookmarkStart w:id="92" w:name="_Toc184312067"/>
      <w:bookmarkEnd w:id="92"/>
      <w:bookmarkStart w:id="93" w:name="_Toc184312131"/>
      <w:bookmarkEnd w:id="93"/>
      <w:bookmarkStart w:id="94" w:name="_Toc184313274"/>
      <w:bookmarkEnd w:id="94"/>
      <w:bookmarkStart w:id="95" w:name="_Toc184314482"/>
      <w:bookmarkEnd w:id="95"/>
      <w:bookmarkStart w:id="96" w:name="_Toc184312083"/>
      <w:bookmarkEnd w:id="96"/>
      <w:bookmarkStart w:id="97" w:name="_Toc184312113"/>
      <w:bookmarkEnd w:id="97"/>
      <w:bookmarkStart w:id="98" w:name="_Toc184308079"/>
      <w:bookmarkEnd w:id="98"/>
      <w:bookmarkStart w:id="99" w:name="_Toc184310284"/>
      <w:bookmarkEnd w:id="99"/>
      <w:bookmarkStart w:id="100" w:name="_Toc184313293"/>
      <w:bookmarkEnd w:id="100"/>
      <w:bookmarkStart w:id="101" w:name="_Toc184310283"/>
      <w:bookmarkEnd w:id="101"/>
      <w:bookmarkStart w:id="102" w:name="_Toc184313253"/>
      <w:bookmarkEnd w:id="102"/>
      <w:bookmarkStart w:id="103" w:name="_Toc184313295"/>
      <w:bookmarkEnd w:id="103"/>
      <w:bookmarkStart w:id="104" w:name="_Toc184312069"/>
      <w:bookmarkEnd w:id="104"/>
      <w:bookmarkStart w:id="105" w:name="_Toc184312099"/>
      <w:bookmarkEnd w:id="105"/>
      <w:bookmarkStart w:id="106" w:name="_Toc184312136"/>
      <w:bookmarkEnd w:id="106"/>
      <w:bookmarkStart w:id="107" w:name="_Toc184308086"/>
      <w:bookmarkEnd w:id="107"/>
      <w:bookmarkStart w:id="108" w:name="_Toc184314441"/>
      <w:bookmarkEnd w:id="108"/>
      <w:bookmarkStart w:id="109" w:name="_Toc184312079"/>
      <w:bookmarkEnd w:id="109"/>
      <w:bookmarkStart w:id="110" w:name="_Toc184310295"/>
      <w:bookmarkEnd w:id="110"/>
      <w:bookmarkStart w:id="111" w:name="_Toc184308083"/>
      <w:bookmarkEnd w:id="111"/>
      <w:bookmarkStart w:id="112" w:name="_Toc184314440"/>
      <w:bookmarkEnd w:id="112"/>
      <w:bookmarkStart w:id="113" w:name="_Toc184314442"/>
      <w:bookmarkEnd w:id="113"/>
      <w:bookmarkStart w:id="114" w:name="_Toc184313307"/>
      <w:bookmarkEnd w:id="114"/>
      <w:bookmarkStart w:id="115" w:name="_Toc184313303"/>
      <w:bookmarkEnd w:id="115"/>
      <w:bookmarkStart w:id="116" w:name="_Toc184314460"/>
      <w:bookmarkEnd w:id="116"/>
      <w:bookmarkStart w:id="117" w:name="_Toc184312118"/>
      <w:bookmarkEnd w:id="117"/>
      <w:bookmarkStart w:id="118" w:name="_Toc184312104"/>
      <w:bookmarkEnd w:id="118"/>
      <w:bookmarkStart w:id="119" w:name="_Toc184312085"/>
      <w:bookmarkEnd w:id="119"/>
      <w:bookmarkStart w:id="120" w:name="_Toc184312139"/>
      <w:bookmarkEnd w:id="120"/>
      <w:bookmarkStart w:id="121" w:name="_Toc184310323"/>
      <w:bookmarkEnd w:id="121"/>
      <w:bookmarkStart w:id="122" w:name="_Toc184314453"/>
      <w:bookmarkEnd w:id="122"/>
      <w:bookmarkStart w:id="123" w:name="_Toc184313240"/>
      <w:bookmarkEnd w:id="123"/>
      <w:bookmarkStart w:id="124" w:name="_Toc184308069"/>
      <w:bookmarkEnd w:id="124"/>
      <w:bookmarkStart w:id="125" w:name="_Toc184308047"/>
      <w:bookmarkEnd w:id="125"/>
      <w:bookmarkStart w:id="126" w:name="_Toc184312115"/>
      <w:bookmarkEnd w:id="126"/>
      <w:bookmarkStart w:id="127" w:name="_Toc184310309"/>
      <w:bookmarkEnd w:id="127"/>
      <w:bookmarkStart w:id="128" w:name="_Toc184314410"/>
      <w:bookmarkEnd w:id="128"/>
      <w:bookmarkStart w:id="129" w:name="_Toc184314444"/>
      <w:bookmarkEnd w:id="129"/>
      <w:bookmarkStart w:id="130" w:name="_Toc184313267"/>
      <w:bookmarkEnd w:id="130"/>
      <w:bookmarkStart w:id="131" w:name="_Toc184310328"/>
      <w:bookmarkEnd w:id="131"/>
      <w:bookmarkStart w:id="132" w:name="_Toc184314434"/>
      <w:bookmarkEnd w:id="132"/>
      <w:bookmarkStart w:id="133" w:name="_Toc184308078"/>
      <w:bookmarkEnd w:id="133"/>
      <w:bookmarkStart w:id="134" w:name="_Toc184313279"/>
      <w:bookmarkEnd w:id="134"/>
      <w:bookmarkStart w:id="135" w:name="_Toc184312081"/>
      <w:bookmarkEnd w:id="135"/>
      <w:bookmarkStart w:id="136" w:name="_Toc184310281"/>
      <w:bookmarkEnd w:id="136"/>
      <w:bookmarkStart w:id="137" w:name="_Toc184310293"/>
      <w:bookmarkEnd w:id="137"/>
      <w:bookmarkStart w:id="138" w:name="_Toc184313281"/>
      <w:bookmarkEnd w:id="138"/>
      <w:bookmarkStart w:id="139" w:name="_Toc184313269"/>
      <w:bookmarkEnd w:id="139"/>
      <w:bookmarkStart w:id="140" w:name="_Toc184310299"/>
      <w:bookmarkEnd w:id="140"/>
      <w:bookmarkStart w:id="141" w:name="_Toc184308107"/>
      <w:bookmarkEnd w:id="141"/>
      <w:bookmarkStart w:id="142" w:name="_Toc184310341"/>
      <w:bookmarkEnd w:id="142"/>
      <w:bookmarkStart w:id="143" w:name="_Toc184308084"/>
      <w:bookmarkEnd w:id="143"/>
      <w:bookmarkStart w:id="144" w:name="_Toc184312103"/>
      <w:bookmarkEnd w:id="144"/>
      <w:bookmarkStart w:id="145" w:name="_Toc184312070"/>
      <w:bookmarkEnd w:id="145"/>
      <w:bookmarkStart w:id="146" w:name="_Toc184312088"/>
      <w:bookmarkEnd w:id="146"/>
      <w:bookmarkStart w:id="147" w:name="_Toc184312094"/>
      <w:bookmarkEnd w:id="147"/>
      <w:bookmarkStart w:id="148" w:name="_Toc184313257"/>
      <w:bookmarkEnd w:id="148"/>
      <w:bookmarkStart w:id="149" w:name="_Toc184308080"/>
      <w:bookmarkEnd w:id="149"/>
      <w:bookmarkStart w:id="150" w:name="_Toc184313308"/>
      <w:bookmarkEnd w:id="150"/>
      <w:bookmarkStart w:id="151" w:name="_Toc184312086"/>
      <w:bookmarkEnd w:id="151"/>
      <w:bookmarkStart w:id="152" w:name="_Toc184310292"/>
      <w:bookmarkEnd w:id="152"/>
      <w:bookmarkStart w:id="153" w:name="_Toc184313270"/>
      <w:bookmarkEnd w:id="153"/>
      <w:bookmarkStart w:id="154" w:name="_Toc184310296"/>
      <w:bookmarkEnd w:id="154"/>
      <w:bookmarkStart w:id="155" w:name="_Toc184314459"/>
      <w:bookmarkEnd w:id="155"/>
      <w:bookmarkStart w:id="156" w:name="_Toc184308051"/>
      <w:bookmarkEnd w:id="156"/>
      <w:bookmarkStart w:id="157" w:name="_Toc184308039"/>
      <w:bookmarkEnd w:id="157"/>
      <w:bookmarkStart w:id="158" w:name="_Toc184308100"/>
      <w:bookmarkEnd w:id="158"/>
      <w:bookmarkStart w:id="159" w:name="_Toc184312117"/>
      <w:bookmarkEnd w:id="159"/>
      <w:bookmarkStart w:id="160" w:name="_Toc184312126"/>
      <w:bookmarkEnd w:id="160"/>
      <w:bookmarkStart w:id="161" w:name="_Toc184310308"/>
      <w:bookmarkEnd w:id="161"/>
      <w:bookmarkStart w:id="162" w:name="_Toc184314419"/>
      <w:bookmarkEnd w:id="162"/>
      <w:bookmarkStart w:id="163" w:name="_Toc184313258"/>
      <w:bookmarkEnd w:id="163"/>
      <w:bookmarkStart w:id="164" w:name="_Toc184313284"/>
      <w:bookmarkEnd w:id="164"/>
      <w:bookmarkStart w:id="165" w:name="_Toc184310285"/>
      <w:bookmarkEnd w:id="165"/>
      <w:bookmarkStart w:id="166" w:name="_Toc184310291"/>
      <w:bookmarkEnd w:id="166"/>
      <w:bookmarkStart w:id="167" w:name="_Toc184310294"/>
      <w:bookmarkEnd w:id="167"/>
      <w:bookmarkStart w:id="168" w:name="_Toc184312100"/>
      <w:bookmarkEnd w:id="168"/>
      <w:bookmarkStart w:id="169" w:name="_Toc184313278"/>
      <w:bookmarkEnd w:id="169"/>
      <w:bookmarkStart w:id="170" w:name="_Toc184308073"/>
      <w:bookmarkEnd w:id="170"/>
      <w:bookmarkStart w:id="171" w:name="_Toc184313243"/>
      <w:bookmarkEnd w:id="171"/>
      <w:bookmarkStart w:id="172" w:name="_Toc184310320"/>
      <w:bookmarkEnd w:id="172"/>
      <w:bookmarkStart w:id="173" w:name="_Toc184312125"/>
      <w:bookmarkEnd w:id="173"/>
      <w:bookmarkStart w:id="174" w:name="_Toc184313265"/>
      <w:bookmarkEnd w:id="174"/>
      <w:bookmarkStart w:id="175" w:name="_Toc184308098"/>
      <w:bookmarkEnd w:id="175"/>
      <w:bookmarkStart w:id="176" w:name="_Toc184313301"/>
      <w:bookmarkEnd w:id="176"/>
      <w:bookmarkStart w:id="177" w:name="_Toc184314471"/>
      <w:bookmarkEnd w:id="177"/>
      <w:bookmarkStart w:id="178" w:name="_Toc184312095"/>
      <w:bookmarkEnd w:id="178"/>
      <w:bookmarkStart w:id="179" w:name="_Toc184308061"/>
      <w:bookmarkEnd w:id="179"/>
      <w:bookmarkStart w:id="180" w:name="_Toc184314447"/>
      <w:bookmarkEnd w:id="180"/>
      <w:bookmarkStart w:id="181" w:name="_Toc184314446"/>
      <w:bookmarkEnd w:id="181"/>
      <w:bookmarkStart w:id="182" w:name="_Toc184313304"/>
      <w:bookmarkEnd w:id="182"/>
      <w:bookmarkStart w:id="183" w:name="_Toc184308064"/>
      <w:bookmarkEnd w:id="183"/>
      <w:bookmarkStart w:id="184" w:name="_Toc184313250"/>
      <w:bookmarkEnd w:id="184"/>
      <w:bookmarkStart w:id="185" w:name="_Toc184314479"/>
      <w:bookmarkEnd w:id="185"/>
      <w:bookmarkStart w:id="186" w:name="_Toc184308057"/>
      <w:bookmarkEnd w:id="186"/>
      <w:bookmarkStart w:id="187" w:name="_Toc184313283"/>
      <w:bookmarkEnd w:id="187"/>
      <w:bookmarkStart w:id="188" w:name="_Toc184312106"/>
      <w:bookmarkEnd w:id="188"/>
      <w:bookmarkStart w:id="189" w:name="_Toc184310327"/>
      <w:bookmarkEnd w:id="189"/>
      <w:bookmarkStart w:id="190" w:name="_Toc184313266"/>
      <w:bookmarkEnd w:id="190"/>
      <w:bookmarkStart w:id="191" w:name="_Toc184314464"/>
      <w:bookmarkEnd w:id="191"/>
      <w:bookmarkStart w:id="192" w:name="_Toc184312068"/>
      <w:bookmarkEnd w:id="192"/>
      <w:bookmarkStart w:id="193" w:name="_Toc184313259"/>
      <w:bookmarkEnd w:id="193"/>
      <w:bookmarkStart w:id="194" w:name="_Toc184313254"/>
      <w:bookmarkEnd w:id="194"/>
      <w:bookmarkStart w:id="195" w:name="_Toc184310315"/>
      <w:bookmarkEnd w:id="195"/>
      <w:bookmarkStart w:id="196" w:name="_Toc184310313"/>
      <w:bookmarkEnd w:id="196"/>
      <w:bookmarkStart w:id="197" w:name="_Toc184310273"/>
      <w:bookmarkEnd w:id="197"/>
      <w:bookmarkStart w:id="198" w:name="_Toc184308055"/>
      <w:bookmarkEnd w:id="198"/>
      <w:bookmarkStart w:id="199" w:name="_Toc184308074"/>
      <w:bookmarkEnd w:id="199"/>
      <w:bookmarkStart w:id="200" w:name="_Toc184312084"/>
      <w:bookmarkEnd w:id="200"/>
      <w:bookmarkStart w:id="201" w:name="_Toc184313305"/>
      <w:bookmarkEnd w:id="201"/>
      <w:bookmarkStart w:id="202" w:name="_Toc184312087"/>
      <w:bookmarkEnd w:id="202"/>
      <w:bookmarkStart w:id="203" w:name="_Toc184314455"/>
      <w:bookmarkEnd w:id="203"/>
      <w:bookmarkStart w:id="204" w:name="_Toc184314432"/>
      <w:bookmarkEnd w:id="204"/>
      <w:bookmarkStart w:id="205" w:name="_Toc184314438"/>
      <w:bookmarkEnd w:id="205"/>
      <w:bookmarkStart w:id="206" w:name="_Toc184313256"/>
      <w:bookmarkEnd w:id="206"/>
      <w:bookmarkStart w:id="207" w:name="_Toc184308066"/>
      <w:bookmarkEnd w:id="207"/>
      <w:bookmarkStart w:id="208" w:name="_Toc184312098"/>
      <w:bookmarkEnd w:id="208"/>
      <w:bookmarkStart w:id="209" w:name="_Toc184308058"/>
      <w:bookmarkEnd w:id="209"/>
      <w:bookmarkStart w:id="210" w:name="_Toc184312135"/>
      <w:bookmarkEnd w:id="210"/>
      <w:bookmarkStart w:id="211" w:name="_Toc184313251"/>
      <w:bookmarkEnd w:id="211"/>
      <w:bookmarkStart w:id="212" w:name="_Toc184312097"/>
      <w:bookmarkEnd w:id="212"/>
      <w:bookmarkStart w:id="213" w:name="_Toc184308067"/>
      <w:bookmarkEnd w:id="213"/>
      <w:bookmarkStart w:id="214" w:name="_Toc184310314"/>
      <w:bookmarkEnd w:id="214"/>
      <w:bookmarkStart w:id="215" w:name="_Toc184313300"/>
      <w:bookmarkEnd w:id="215"/>
      <w:bookmarkStart w:id="216" w:name="_Toc184312129"/>
      <w:bookmarkEnd w:id="216"/>
      <w:bookmarkStart w:id="217" w:name="_Toc184308101"/>
      <w:bookmarkEnd w:id="217"/>
      <w:bookmarkStart w:id="218" w:name="_Toc184314430"/>
      <w:bookmarkEnd w:id="218"/>
      <w:bookmarkStart w:id="219" w:name="_Toc184312138"/>
      <w:bookmarkEnd w:id="219"/>
      <w:bookmarkStart w:id="220" w:name="_Toc184308097"/>
      <w:bookmarkEnd w:id="220"/>
      <w:bookmarkStart w:id="221" w:name="_Toc184310298"/>
      <w:bookmarkEnd w:id="221"/>
      <w:bookmarkStart w:id="222" w:name="_Toc184313275"/>
      <w:bookmarkEnd w:id="222"/>
      <w:bookmarkStart w:id="223" w:name="_Toc184310317"/>
      <w:bookmarkEnd w:id="223"/>
      <w:bookmarkStart w:id="224" w:name="_Toc184308040"/>
      <w:bookmarkEnd w:id="224"/>
      <w:bookmarkStart w:id="225" w:name="_Toc184310275"/>
      <w:bookmarkEnd w:id="225"/>
      <w:bookmarkStart w:id="226" w:name="_Toc184312112"/>
      <w:bookmarkEnd w:id="226"/>
      <w:bookmarkStart w:id="227" w:name="_Toc184314429"/>
      <w:bookmarkEnd w:id="227"/>
      <w:bookmarkStart w:id="228" w:name="_Toc184310322"/>
      <w:bookmarkEnd w:id="228"/>
      <w:bookmarkStart w:id="229" w:name="_Toc184310307"/>
      <w:bookmarkEnd w:id="229"/>
      <w:bookmarkStart w:id="230" w:name="_Toc184312090"/>
      <w:bookmarkEnd w:id="230"/>
      <w:bookmarkStart w:id="231" w:name="_Toc184308049"/>
      <w:bookmarkEnd w:id="231"/>
      <w:bookmarkStart w:id="232" w:name="_Toc184314458"/>
      <w:bookmarkEnd w:id="232"/>
      <w:bookmarkStart w:id="233" w:name="_Toc184313287"/>
      <w:bookmarkEnd w:id="233"/>
      <w:bookmarkStart w:id="234" w:name="_Toc184313292"/>
      <w:bookmarkEnd w:id="234"/>
      <w:bookmarkStart w:id="235" w:name="_Toc184308054"/>
      <w:bookmarkEnd w:id="235"/>
      <w:bookmarkStart w:id="236" w:name="_Toc184314413"/>
      <w:bookmarkEnd w:id="236"/>
      <w:bookmarkStart w:id="237" w:name="_Toc184314412"/>
      <w:bookmarkEnd w:id="237"/>
      <w:bookmarkStart w:id="238" w:name="_Toc184314421"/>
      <w:bookmarkEnd w:id="238"/>
      <w:bookmarkStart w:id="239" w:name="_Toc184312116"/>
      <w:bookmarkEnd w:id="239"/>
      <w:bookmarkStart w:id="240" w:name="_Toc184308056"/>
      <w:bookmarkEnd w:id="240"/>
      <w:bookmarkStart w:id="241" w:name="_Toc184313263"/>
      <w:bookmarkEnd w:id="241"/>
      <w:bookmarkStart w:id="242" w:name="_Toc184313248"/>
      <w:bookmarkEnd w:id="242"/>
      <w:bookmarkStart w:id="243" w:name="_Toc184308085"/>
      <w:bookmarkEnd w:id="243"/>
      <w:bookmarkStart w:id="244" w:name="_Toc184308093"/>
      <w:bookmarkEnd w:id="244"/>
      <w:bookmarkStart w:id="245" w:name="_Toc184313298"/>
      <w:bookmarkEnd w:id="245"/>
      <w:bookmarkStart w:id="246" w:name="_Toc184312137"/>
      <w:bookmarkEnd w:id="246"/>
      <w:bookmarkStart w:id="247" w:name="_Toc184308088"/>
      <w:bookmarkEnd w:id="247"/>
      <w:bookmarkStart w:id="248" w:name="_Toc184313241"/>
      <w:bookmarkEnd w:id="248"/>
      <w:bookmarkStart w:id="249" w:name="_Toc184310325"/>
      <w:bookmarkEnd w:id="249"/>
      <w:bookmarkStart w:id="250" w:name="_Toc184312114"/>
      <w:bookmarkEnd w:id="250"/>
      <w:bookmarkStart w:id="251" w:name="_Toc184314422"/>
      <w:bookmarkEnd w:id="251"/>
      <w:bookmarkStart w:id="252" w:name="_Toc184308077"/>
      <w:bookmarkEnd w:id="252"/>
      <w:bookmarkStart w:id="253" w:name="_Toc184312093"/>
      <w:bookmarkEnd w:id="253"/>
      <w:bookmarkStart w:id="254" w:name="_Toc184312124"/>
      <w:bookmarkEnd w:id="254"/>
      <w:bookmarkStart w:id="255" w:name="_Toc184314480"/>
      <w:bookmarkEnd w:id="255"/>
      <w:bookmarkStart w:id="256" w:name="_Toc184312105"/>
      <w:bookmarkEnd w:id="256"/>
      <w:bookmarkStart w:id="257" w:name="_Toc184310286"/>
      <w:bookmarkEnd w:id="257"/>
      <w:bookmarkStart w:id="258" w:name="_Toc184308068"/>
      <w:bookmarkEnd w:id="258"/>
      <w:bookmarkStart w:id="259" w:name="_Toc184314468"/>
      <w:bookmarkEnd w:id="259"/>
      <w:bookmarkStart w:id="260" w:name="_Toc184308087"/>
      <w:bookmarkEnd w:id="260"/>
      <w:bookmarkStart w:id="261" w:name="_Toc184314462"/>
      <w:bookmarkEnd w:id="261"/>
      <w:bookmarkStart w:id="262" w:name="_Toc184312132"/>
      <w:bookmarkEnd w:id="262"/>
      <w:bookmarkStart w:id="263" w:name="_Toc184314423"/>
      <w:bookmarkEnd w:id="263"/>
      <w:bookmarkStart w:id="264" w:name="_Toc184313299"/>
      <w:bookmarkEnd w:id="264"/>
      <w:bookmarkStart w:id="265" w:name="_Toc184314461"/>
      <w:bookmarkEnd w:id="265"/>
      <w:bookmarkStart w:id="266" w:name="_Toc184308063"/>
      <w:bookmarkEnd w:id="266"/>
      <w:bookmarkStart w:id="267" w:name="_Toc184310324"/>
      <w:bookmarkEnd w:id="267"/>
      <w:bookmarkStart w:id="268" w:name="_Toc184312107"/>
      <w:bookmarkEnd w:id="268"/>
      <w:bookmarkStart w:id="269" w:name="_Toc184314476"/>
      <w:bookmarkEnd w:id="269"/>
      <w:bookmarkStart w:id="270" w:name="_Toc184314466"/>
      <w:bookmarkEnd w:id="270"/>
      <w:bookmarkStart w:id="271" w:name="_Toc184310333"/>
      <w:bookmarkEnd w:id="271"/>
      <w:bookmarkStart w:id="272" w:name="_Toc184312121"/>
      <w:bookmarkEnd w:id="272"/>
      <w:bookmarkStart w:id="273" w:name="_Toc184314469"/>
      <w:bookmarkEnd w:id="273"/>
      <w:bookmarkStart w:id="274" w:name="_Toc184314467"/>
      <w:bookmarkEnd w:id="274"/>
      <w:bookmarkStart w:id="275" w:name="_Toc184308091"/>
      <w:bookmarkEnd w:id="275"/>
      <w:bookmarkStart w:id="276" w:name="_Toc184312123"/>
      <w:bookmarkEnd w:id="276"/>
      <w:bookmarkStart w:id="277" w:name="_Toc184314457"/>
      <w:bookmarkEnd w:id="277"/>
      <w:bookmarkStart w:id="278" w:name="_Toc184314463"/>
      <w:bookmarkEnd w:id="278"/>
      <w:bookmarkStart w:id="279" w:name="_Toc184312127"/>
      <w:bookmarkEnd w:id="279"/>
      <w:bookmarkStart w:id="280" w:name="_Toc184310326"/>
      <w:bookmarkEnd w:id="280"/>
      <w:bookmarkStart w:id="281" w:name="_Toc184308094"/>
      <w:bookmarkEnd w:id="281"/>
      <w:bookmarkStart w:id="282" w:name="_Toc184313294"/>
      <w:bookmarkEnd w:id="282"/>
      <w:bookmarkStart w:id="283" w:name="_Toc184313252"/>
      <w:bookmarkEnd w:id="283"/>
      <w:bookmarkStart w:id="284" w:name="_Toc184310331"/>
      <w:bookmarkEnd w:id="284"/>
      <w:bookmarkStart w:id="285" w:name="_Toc184314470"/>
      <w:bookmarkEnd w:id="285"/>
      <w:bookmarkStart w:id="286" w:name="_Toc184308046"/>
      <w:bookmarkEnd w:id="286"/>
      <w:bookmarkStart w:id="287" w:name="_Toc184312071"/>
      <w:bookmarkEnd w:id="287"/>
      <w:bookmarkStart w:id="288" w:name="_Toc184314451"/>
      <w:bookmarkEnd w:id="288"/>
      <w:bookmarkStart w:id="289" w:name="_Toc184312091"/>
      <w:bookmarkEnd w:id="289"/>
      <w:bookmarkStart w:id="290" w:name="_Toc184313242"/>
      <w:bookmarkEnd w:id="290"/>
      <w:bookmarkStart w:id="291" w:name="_Toc184308090"/>
      <w:bookmarkEnd w:id="291"/>
      <w:bookmarkStart w:id="292" w:name="_Toc184308076"/>
      <w:bookmarkEnd w:id="292"/>
      <w:bookmarkStart w:id="293" w:name="_Toc184313285"/>
      <w:bookmarkEnd w:id="293"/>
      <w:bookmarkStart w:id="294" w:name="_Toc184310340"/>
      <w:bookmarkEnd w:id="294"/>
      <w:bookmarkStart w:id="295" w:name="_Toc184312108"/>
      <w:bookmarkEnd w:id="295"/>
      <w:bookmarkStart w:id="296" w:name="_Toc184314481"/>
      <w:bookmarkEnd w:id="296"/>
      <w:bookmarkStart w:id="297" w:name="_Toc184314465"/>
      <w:bookmarkEnd w:id="297"/>
      <w:bookmarkStart w:id="298" w:name="_Toc184312130"/>
      <w:bookmarkEnd w:id="298"/>
      <w:bookmarkStart w:id="299" w:name="_Toc184312119"/>
      <w:bookmarkEnd w:id="299"/>
      <w:bookmarkStart w:id="300" w:name="_Toc184312109"/>
      <w:bookmarkEnd w:id="300"/>
      <w:bookmarkStart w:id="301" w:name="_Toc184313302"/>
      <w:bookmarkEnd w:id="301"/>
      <w:bookmarkStart w:id="302" w:name="_Toc184310330"/>
      <w:bookmarkEnd w:id="302"/>
      <w:bookmarkStart w:id="303" w:name="_Toc184312120"/>
      <w:bookmarkEnd w:id="303"/>
      <w:bookmarkStart w:id="304" w:name="_Toc184312080"/>
      <w:bookmarkEnd w:id="304"/>
      <w:bookmarkStart w:id="305" w:name="_Toc184308037"/>
      <w:bookmarkEnd w:id="305"/>
      <w:bookmarkStart w:id="306" w:name="_Toc184308102"/>
      <w:bookmarkEnd w:id="306"/>
      <w:bookmarkStart w:id="307" w:name="_Toc184312128"/>
      <w:bookmarkEnd w:id="307"/>
      <w:bookmarkStart w:id="308" w:name="_Toc184310329"/>
      <w:bookmarkEnd w:id="308"/>
      <w:bookmarkStart w:id="309" w:name="_Toc184313288"/>
      <w:bookmarkEnd w:id="309"/>
      <w:bookmarkStart w:id="310" w:name="_Toc184313286"/>
      <w:bookmarkEnd w:id="310"/>
      <w:bookmarkStart w:id="311" w:name="_Toc184313289"/>
      <w:bookmarkEnd w:id="311"/>
      <w:bookmarkStart w:id="312" w:name="_Toc184314452"/>
      <w:bookmarkEnd w:id="312"/>
      <w:bookmarkStart w:id="313" w:name="_Toc184312122"/>
      <w:bookmarkEnd w:id="313"/>
      <w:bookmarkStart w:id="314" w:name="_Toc184308095"/>
      <w:bookmarkEnd w:id="314"/>
      <w:bookmarkStart w:id="315" w:name="_Toc184313297"/>
      <w:bookmarkEnd w:id="315"/>
      <w:bookmarkStart w:id="316" w:name="_Toc184308099"/>
      <w:bookmarkEnd w:id="316"/>
      <w:bookmarkStart w:id="317" w:name="_Toc184308092"/>
      <w:bookmarkEnd w:id="317"/>
      <w:bookmarkStart w:id="318" w:name="_Toc184312133"/>
      <w:bookmarkEnd w:id="318"/>
      <w:bookmarkStart w:id="319" w:name="_Toc184308089"/>
      <w:bookmarkEnd w:id="319"/>
      <w:bookmarkStart w:id="320" w:name="_Toc184310338"/>
      <w:bookmarkEnd w:id="320"/>
      <w:bookmarkStart w:id="321" w:name="_Toc184310334"/>
      <w:bookmarkEnd w:id="321"/>
      <w:bookmarkStart w:id="322" w:name="_Toc184312111"/>
      <w:bookmarkEnd w:id="322"/>
      <w:bookmarkStart w:id="323" w:name="_Toc184312075"/>
      <w:bookmarkEnd w:id="323"/>
      <w:bookmarkStart w:id="324" w:name="_Toc184312073"/>
      <w:bookmarkEnd w:id="324"/>
      <w:bookmarkStart w:id="325" w:name="_Toc184313244"/>
      <w:bookmarkEnd w:id="325"/>
      <w:bookmarkStart w:id="326" w:name="_Toc184314472"/>
      <w:bookmarkEnd w:id="326"/>
      <w:bookmarkStart w:id="327" w:name="_Toc184310279"/>
      <w:bookmarkEnd w:id="327"/>
      <w:bookmarkStart w:id="328" w:name="_Toc184308038"/>
      <w:bookmarkEnd w:id="328"/>
      <w:bookmarkStart w:id="329" w:name="_Toc184312077"/>
      <w:bookmarkEnd w:id="329"/>
      <w:bookmarkStart w:id="330" w:name="_Toc184308060"/>
      <w:bookmarkEnd w:id="330"/>
      <w:bookmarkStart w:id="331" w:name="_Toc184313260"/>
      <w:bookmarkEnd w:id="331"/>
      <w:bookmarkStart w:id="332" w:name="_Toc184310304"/>
      <w:bookmarkEnd w:id="332"/>
      <w:bookmarkStart w:id="333" w:name="_Toc184310319"/>
      <w:bookmarkEnd w:id="333"/>
      <w:bookmarkStart w:id="334" w:name="_Toc184314416"/>
      <w:bookmarkEnd w:id="334"/>
      <w:bookmarkStart w:id="335" w:name="_Toc184313296"/>
      <w:bookmarkEnd w:id="335"/>
      <w:bookmarkStart w:id="336" w:name="_Toc184310342"/>
      <w:bookmarkEnd w:id="336"/>
      <w:bookmarkStart w:id="337" w:name="_Toc184310321"/>
      <w:bookmarkEnd w:id="337"/>
      <w:bookmarkStart w:id="338" w:name="_Toc184310290"/>
      <w:bookmarkEnd w:id="338"/>
      <w:bookmarkStart w:id="339" w:name="_Toc184310297"/>
      <w:bookmarkEnd w:id="339"/>
      <w:bookmarkStart w:id="340" w:name="_Toc184310312"/>
      <w:bookmarkEnd w:id="340"/>
      <w:bookmarkStart w:id="341" w:name="_Toc184308106"/>
      <w:bookmarkEnd w:id="341"/>
      <w:bookmarkStart w:id="342" w:name="_Toc184313245"/>
      <w:bookmarkEnd w:id="342"/>
      <w:bookmarkStart w:id="343" w:name="_Toc184314415"/>
      <w:bookmarkEnd w:id="343"/>
      <w:bookmarkStart w:id="344" w:name="_Toc184312074"/>
      <w:bookmarkEnd w:id="344"/>
      <w:bookmarkStart w:id="345" w:name="_Toc184314418"/>
      <w:bookmarkEnd w:id="345"/>
      <w:bookmarkStart w:id="346" w:name="_Toc184314428"/>
      <w:bookmarkEnd w:id="346"/>
      <w:bookmarkStart w:id="347" w:name="_Toc184314425"/>
      <w:bookmarkEnd w:id="347"/>
      <w:bookmarkStart w:id="348" w:name="_Toc184314450"/>
      <w:bookmarkEnd w:id="348"/>
      <w:bookmarkStart w:id="349" w:name="_Toc184314411"/>
      <w:bookmarkEnd w:id="349"/>
      <w:bookmarkStart w:id="350" w:name="_Toc184308042"/>
      <w:bookmarkEnd w:id="350"/>
      <w:bookmarkStart w:id="351" w:name="_Toc184310344"/>
      <w:bookmarkEnd w:id="351"/>
      <w:bookmarkStart w:id="352" w:name="_Toc184312082"/>
      <w:bookmarkEnd w:id="352"/>
      <w:bookmarkStart w:id="353" w:name="_Toc184308105"/>
      <w:bookmarkEnd w:id="353"/>
      <w:bookmarkStart w:id="354" w:name="_Toc184308075"/>
      <w:bookmarkEnd w:id="354"/>
      <w:bookmarkStart w:id="355" w:name="_Toc184310335"/>
      <w:bookmarkEnd w:id="355"/>
      <w:bookmarkStart w:id="356" w:name="_Toc184314448"/>
      <w:bookmarkEnd w:id="356"/>
      <w:bookmarkStart w:id="357" w:name="_Toc184312072"/>
      <w:bookmarkEnd w:id="357"/>
      <w:bookmarkStart w:id="358" w:name="_Toc184314427"/>
      <w:bookmarkEnd w:id="358"/>
      <w:bookmarkStart w:id="359" w:name="_Toc184310288"/>
      <w:bookmarkEnd w:id="359"/>
      <w:bookmarkStart w:id="360" w:name="_Toc184310289"/>
      <w:bookmarkEnd w:id="360"/>
      <w:bookmarkStart w:id="361" w:name="_Toc184312134"/>
      <w:bookmarkEnd w:id="361"/>
      <w:bookmarkStart w:id="362" w:name="_Toc184314414"/>
      <w:bookmarkEnd w:id="362"/>
      <w:bookmarkStart w:id="363" w:name="_Toc184314433"/>
      <w:bookmarkEnd w:id="363"/>
      <w:bookmarkStart w:id="364" w:name="_Toc184314417"/>
      <w:bookmarkEnd w:id="364"/>
      <w:bookmarkStart w:id="365" w:name="_Toc184310274"/>
      <w:bookmarkEnd w:id="365"/>
      <w:bookmarkStart w:id="366" w:name="_Toc184308041"/>
      <w:bookmarkEnd w:id="366"/>
      <w:bookmarkStart w:id="367" w:name="_Toc184313282"/>
      <w:bookmarkEnd w:id="367"/>
      <w:bookmarkStart w:id="368" w:name="_Toc184314437"/>
      <w:bookmarkEnd w:id="368"/>
      <w:bookmarkStart w:id="369" w:name="_Toc184310318"/>
      <w:bookmarkEnd w:id="369"/>
      <w:bookmarkStart w:id="370" w:name="_Toc184310276"/>
      <w:bookmarkEnd w:id="370"/>
      <w:bookmarkStart w:id="371" w:name="_Toc184313309"/>
      <w:bookmarkEnd w:id="371"/>
      <w:bookmarkStart w:id="372" w:name="_Toc184308104"/>
      <w:bookmarkEnd w:id="372"/>
      <w:bookmarkStart w:id="373" w:name="_Toc184308059"/>
      <w:bookmarkEnd w:id="373"/>
      <w:bookmarkStart w:id="374" w:name="_Toc184313310"/>
      <w:bookmarkEnd w:id="374"/>
      <w:bookmarkStart w:id="375" w:name="_Toc184310316"/>
      <w:bookmarkEnd w:id="375"/>
      <w:bookmarkStart w:id="376" w:name="_Toc184313261"/>
      <w:bookmarkEnd w:id="376"/>
      <w:bookmarkStart w:id="377" w:name="_Toc184310272"/>
      <w:bookmarkEnd w:id="377"/>
      <w:bookmarkStart w:id="378" w:name="_Toc184314474"/>
      <w:bookmarkEnd w:id="378"/>
      <w:bookmarkStart w:id="379" w:name="_Toc184312092"/>
      <w:bookmarkEnd w:id="379"/>
      <w:bookmarkStart w:id="380" w:name="_Toc184313290"/>
      <w:bookmarkEnd w:id="380"/>
      <w:bookmarkStart w:id="381" w:name="_Toc184310339"/>
      <w:bookmarkEnd w:id="381"/>
      <w:bookmarkStart w:id="382" w:name="_Toc184308103"/>
      <w:bookmarkEnd w:id="382"/>
      <w:bookmarkStart w:id="383" w:name="_Toc184313246"/>
      <w:bookmarkEnd w:id="383"/>
      <w:bookmarkStart w:id="384" w:name="_Toc184310278"/>
      <w:bookmarkEnd w:id="384"/>
      <w:bookmarkStart w:id="385" w:name="_Toc184314478"/>
      <w:bookmarkEnd w:id="385"/>
      <w:bookmarkStart w:id="386" w:name="_Toc184314435"/>
      <w:bookmarkEnd w:id="386"/>
      <w:bookmarkStart w:id="387" w:name="_Toc184312076"/>
      <w:bookmarkEnd w:id="387"/>
      <w:bookmarkStart w:id="388" w:name="_Toc184313262"/>
      <w:bookmarkEnd w:id="388"/>
      <w:bookmarkStart w:id="389" w:name="_Toc184310280"/>
      <w:bookmarkEnd w:id="389"/>
      <w:bookmarkStart w:id="390" w:name="_Toc184308044"/>
      <w:bookmarkEnd w:id="390"/>
      <w:bookmarkStart w:id="391" w:name="_Toc184308043"/>
      <w:bookmarkEnd w:id="391"/>
      <w:bookmarkStart w:id="392" w:name="_Toc184308036"/>
      <w:bookmarkEnd w:id="392"/>
      <w:r>
        <w:rPr>
          <w:rFonts w:hint="eastAsia" w:cs="仿宋_GB2312" w:asciiTheme="minorEastAsia" w:hAnsiTheme="minorEastAsia" w:eastAsiaTheme="minorEastAsia"/>
          <w:b/>
          <w:sz w:val="36"/>
          <w:szCs w:val="36"/>
        </w:rPr>
        <w:t>评标办法</w:t>
      </w:r>
    </w:p>
    <w:p>
      <w:pPr>
        <w:snapToGrid w:val="0"/>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评标办法前附表</w:t>
      </w:r>
    </w:p>
    <w:tbl>
      <w:tblPr>
        <w:tblStyle w:val="63"/>
        <w:tblpPr w:leftFromText="180" w:rightFromText="180" w:vertAnchor="text" w:horzAnchor="page" w:tblpX="1690" w:tblpY="46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266"/>
        <w:gridCol w:w="735"/>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394" w:type="pct"/>
            <w:vAlign w:val="center"/>
          </w:tcPr>
          <w:p>
            <w:pPr>
              <w:spacing w:line="360" w:lineRule="auto"/>
              <w:jc w:val="center"/>
              <w:outlineLvl w:val="0"/>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3073" w:type="pct"/>
            <w:vAlign w:val="center"/>
          </w:tcPr>
          <w:p>
            <w:pPr>
              <w:spacing w:line="360" w:lineRule="auto"/>
              <w:ind w:firstLine="1560" w:firstLineChars="650"/>
              <w:outlineLvl w:val="0"/>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评标标准</w:t>
            </w:r>
          </w:p>
        </w:tc>
        <w:tc>
          <w:tcPr>
            <w:tcW w:w="429" w:type="pct"/>
            <w:vAlign w:val="center"/>
          </w:tcPr>
          <w:p>
            <w:pPr>
              <w:spacing w:line="360" w:lineRule="auto"/>
              <w:outlineLvl w:val="0"/>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权重</w:t>
            </w:r>
          </w:p>
        </w:tc>
        <w:tc>
          <w:tcPr>
            <w:tcW w:w="1103" w:type="pct"/>
          </w:tcPr>
          <w:p>
            <w:pPr>
              <w:spacing w:line="360" w:lineRule="auto"/>
              <w:outlineLvl w:val="0"/>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投标文件中评标标准相应的商务技术资料目录</w:t>
            </w:r>
            <w:r>
              <w:rPr>
                <w:rFonts w:cs="宋体" w:asciiTheme="minorEastAsia" w:hAnsiTheme="minorEastAsia" w:eastAsiaTheme="minorEastAsia"/>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394"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3073" w:type="pct"/>
            <w:vAlign w:val="center"/>
          </w:tcPr>
          <w:p>
            <w:pPr>
              <w:snapToGrid w:val="0"/>
              <w:spacing w:line="360" w:lineRule="auto"/>
              <w:ind w:firstLine="480" w:firstLineChars="200"/>
              <w:rPr>
                <w:rFonts w:ascii="宋体" w:hAnsi="宋体" w:cs="宋体"/>
                <w:sz w:val="24"/>
              </w:rPr>
            </w:pPr>
            <w:r>
              <w:rPr>
                <w:rFonts w:hint="eastAsia" w:ascii="宋体" w:hAnsi="宋体" w:cs="宋体"/>
                <w:sz w:val="24"/>
              </w:rPr>
              <w:t>根据本项目物业使用特点投标人①提出合理的物业管理服务理念，提出服务定位、目标，②投标人的方案提供的管理模式能够切合实际，且安全可行，保密性、安全性、文明服务的计划及其承诺情况；满足一项得1分，不满足不得分（2分）；</w:t>
            </w:r>
          </w:p>
          <w:p>
            <w:pPr>
              <w:snapToGrid w:val="0"/>
              <w:spacing w:line="360" w:lineRule="auto"/>
              <w:ind w:firstLine="480" w:firstLineChars="200"/>
              <w:rPr>
                <w:rFonts w:ascii="宋体" w:hAnsi="宋体" w:cs="宋体"/>
                <w:sz w:val="24"/>
              </w:rPr>
            </w:pPr>
            <w:r>
              <w:rPr>
                <w:rFonts w:hint="eastAsia" w:ascii="宋体" w:hAnsi="宋体" w:cs="宋体"/>
                <w:sz w:val="24"/>
              </w:rPr>
              <w:t>有比较完善的组织架构，清晰简练地列出主要管理流程，包括对①运作流程图②激励机制③监督机制④自我约束机制⑤信息反馈渠道及处理机制⑥管理指标承诺达到物业管理标准；满足一项得1分，不满足不得分，总计6分（6分）</w:t>
            </w:r>
          </w:p>
          <w:p>
            <w:pPr>
              <w:snapToGrid w:val="0"/>
              <w:spacing w:line="360" w:lineRule="auto"/>
              <w:ind w:firstLine="480" w:firstLineChars="200"/>
            </w:pPr>
            <w:r>
              <w:rPr>
                <w:rFonts w:hint="eastAsia" w:ascii="宋体" w:hAnsi="宋体" w:cs="宋体"/>
                <w:sz w:val="24"/>
              </w:rPr>
              <w:t xml:space="preserve">投标人方案中①有完善的物业管理制度②有完善的档案管理制度③有完善的培训体系④有完善的质量控制体系⑤作业流程及物业管理工作计划及实施时间，满足一项得1分，不满足不得分，总计5分（5分）。 </w:t>
            </w:r>
          </w:p>
        </w:tc>
        <w:tc>
          <w:tcPr>
            <w:tcW w:w="429" w:type="pct"/>
            <w:vAlign w:val="center"/>
          </w:tcPr>
          <w:p>
            <w:pPr>
              <w:spacing w:line="360" w:lineRule="auto"/>
              <w:jc w:val="center"/>
              <w:outlineLvl w:val="0"/>
              <w:rPr>
                <w:rFonts w:asciiTheme="minorEastAsia" w:hAnsiTheme="minorEastAsia" w:eastAsiaTheme="minorEastAsia"/>
              </w:rPr>
            </w:pPr>
            <w:r>
              <w:rPr>
                <w:rFonts w:hint="eastAsia" w:asciiTheme="minorEastAsia" w:hAnsiTheme="minorEastAsia" w:eastAsiaTheme="minorEastAsia"/>
              </w:rPr>
              <w:t>13</w:t>
            </w:r>
          </w:p>
        </w:tc>
        <w:tc>
          <w:tcPr>
            <w:tcW w:w="1103"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（一）物业管理服务理念、组织架构及管理制度情况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3073" w:type="pct"/>
            <w:vAlign w:val="center"/>
          </w:tcPr>
          <w:p>
            <w:pPr>
              <w:snapToGrid w:val="0"/>
              <w:spacing w:line="360" w:lineRule="auto"/>
              <w:ind w:firstLine="480" w:firstLineChars="200"/>
              <w:rPr>
                <w:rFonts w:cs="仿宋_GB2312" w:asciiTheme="minorEastAsia" w:hAnsiTheme="minorEastAsia" w:eastAsiaTheme="minorEastAsia"/>
                <w:sz w:val="24"/>
              </w:rPr>
            </w:pPr>
            <w:r>
              <w:rPr>
                <w:rFonts w:hint="eastAsia" w:ascii="宋体" w:hAnsi="宋体" w:cs="宋体"/>
                <w:sz w:val="24"/>
              </w:rPr>
              <w:t>包括采购人大楼内的病房、诊室、值班室、手术室、分娩室等洁净区域、楼梯、大厅、走廊、屋顶天台及采光玻璃顶、吊顶、平台、雨棚、电梯厅、电梯间、卫生间、开水间、花盆、会议室、接待室、办公区域、公共活动场所的台（地）面、明沟、墙面、门、窗、灯具、标识牌、果壳箱、储衣柜、椅、凳等设施及普通机器（如空调表面、电梯表面及沟槽电视机等，下同），楼宇外围等所有公共部位设施，规划内的道路、园林、垃圾房等所有公共场地及设施、“门前三包”区域的日常保洁保养以及垃圾、废弃物清理等杭州市西溪医院规划范围内的所有环境卫生保洁。不满足保洁管理方案内容和要求的一项扣1分，总计1</w:t>
            </w:r>
            <w:r>
              <w:rPr>
                <w:rFonts w:ascii="宋体" w:hAnsi="宋体" w:cs="宋体"/>
                <w:sz w:val="24"/>
              </w:rPr>
              <w:t>8</w:t>
            </w:r>
            <w:r>
              <w:rPr>
                <w:rFonts w:hint="eastAsia" w:ascii="宋体" w:hAnsi="宋体" w:cs="宋体"/>
                <w:sz w:val="24"/>
              </w:rPr>
              <w:t>分，扣完为止。</w:t>
            </w:r>
          </w:p>
        </w:tc>
        <w:tc>
          <w:tcPr>
            <w:tcW w:w="429" w:type="pct"/>
            <w:vAlign w:val="center"/>
          </w:tcPr>
          <w:p>
            <w:pPr>
              <w:spacing w:line="360" w:lineRule="auto"/>
              <w:jc w:val="center"/>
              <w:outlineLv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8</w:t>
            </w:r>
          </w:p>
        </w:tc>
        <w:tc>
          <w:tcPr>
            <w:tcW w:w="1103"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（二）</w:t>
            </w:r>
            <w:r>
              <w:rPr>
                <w:rFonts w:hint="eastAsia" w:ascii="宋体" w:hAnsi="宋体" w:cs="宋体"/>
                <w:sz w:val="24"/>
              </w:rPr>
              <w:t>物业管理区域内环境保洁管理方案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394"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3073" w:type="pct"/>
            <w:vAlign w:val="center"/>
          </w:tcPr>
          <w:p>
            <w:pPr>
              <w:snapToGrid w:val="0"/>
              <w:spacing w:line="360" w:lineRule="auto"/>
              <w:ind w:firstLine="480" w:firstLineChars="200"/>
              <w:rPr>
                <w:rFonts w:cs="仿宋_GB2312" w:asciiTheme="minorEastAsia" w:hAnsiTheme="minorEastAsia" w:eastAsiaTheme="minorEastAsia"/>
                <w:sz w:val="24"/>
              </w:rPr>
            </w:pPr>
            <w:r>
              <w:rPr>
                <w:rFonts w:hint="eastAsia" w:ascii="宋体" w:hAnsi="宋体" w:cs="宋体"/>
                <w:sz w:val="24"/>
              </w:rPr>
              <w:t>包括病人、标本、单据、病历资料、检验单、家具、物品、垃圾、尸体等所有院内转运，不满足运送管理方案内容和要求的一项扣1分，总计1</w:t>
            </w:r>
            <w:r>
              <w:rPr>
                <w:rFonts w:ascii="宋体" w:hAnsi="宋体" w:cs="宋体"/>
                <w:sz w:val="24"/>
              </w:rPr>
              <w:t>2</w:t>
            </w:r>
            <w:r>
              <w:rPr>
                <w:rFonts w:hint="eastAsia" w:ascii="宋体" w:hAnsi="宋体" w:cs="宋体"/>
                <w:sz w:val="24"/>
              </w:rPr>
              <w:t>分，扣完为止。</w:t>
            </w:r>
          </w:p>
        </w:tc>
        <w:tc>
          <w:tcPr>
            <w:tcW w:w="429" w:type="pct"/>
            <w:vAlign w:val="center"/>
          </w:tcPr>
          <w:p>
            <w:pPr>
              <w:spacing w:line="360" w:lineRule="auto"/>
              <w:jc w:val="center"/>
              <w:outlineLv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w:t>
            </w:r>
          </w:p>
        </w:tc>
        <w:tc>
          <w:tcPr>
            <w:tcW w:w="1103"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（三）</w:t>
            </w:r>
            <w:r>
              <w:rPr>
                <w:rFonts w:hint="eastAsia" w:ascii="宋体" w:hAnsi="宋体" w:cs="宋体"/>
                <w:sz w:val="24"/>
              </w:rPr>
              <w:t>物业管理区域内运送管理方案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394"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3073" w:type="pct"/>
            <w:vAlign w:val="center"/>
          </w:tcPr>
          <w:p>
            <w:pPr>
              <w:snapToGrid w:val="0"/>
              <w:spacing w:line="360" w:lineRule="auto"/>
              <w:ind w:firstLine="480" w:firstLineChars="200"/>
            </w:pPr>
            <w:r>
              <w:rPr>
                <w:rFonts w:hint="eastAsia" w:ascii="宋体" w:hAnsi="宋体" w:cs="宋体"/>
                <w:sz w:val="24"/>
              </w:rPr>
              <w:t>提供明确的防止医院交叉感染、消毒隔离的措施，具可操作性、符合国家相关法律法规的要求。全部满足得4分，部分满足得2分，不满足不得分，总计4分。</w:t>
            </w:r>
          </w:p>
        </w:tc>
        <w:tc>
          <w:tcPr>
            <w:tcW w:w="429"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103"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（四）</w:t>
            </w:r>
            <w:r>
              <w:rPr>
                <w:rFonts w:hint="eastAsia" w:ascii="宋体" w:hAnsi="宋体" w:cs="宋体"/>
                <w:sz w:val="24"/>
              </w:rPr>
              <w:t>防止交叉感染措施方案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394"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3073" w:type="pct"/>
            <w:vAlign w:val="center"/>
          </w:tcPr>
          <w:p>
            <w:pPr>
              <w:snapToGrid w:val="0"/>
              <w:spacing w:line="360" w:lineRule="auto"/>
              <w:ind w:firstLine="480" w:firstLineChars="200"/>
              <w:rPr>
                <w:rFonts w:cs="仿宋_GB2312" w:asciiTheme="minorEastAsia" w:hAnsiTheme="minorEastAsia" w:eastAsiaTheme="minorEastAsia"/>
                <w:sz w:val="24"/>
              </w:rPr>
            </w:pPr>
            <w:r>
              <w:rPr>
                <w:rFonts w:hint="eastAsia" w:ascii="宋体" w:hAnsi="宋体" w:cs="宋体"/>
                <w:sz w:val="24"/>
              </w:rPr>
              <w:t>病房、诊室、走廊通道、楼梯、洁净区域、大厅、电梯厅、卫生间等室外地面，打蜡保养、石材地面养护满足采购人要求，全部满足得4分，部分满足得2分，不满足不得分（4分）。</w:t>
            </w:r>
          </w:p>
        </w:tc>
        <w:tc>
          <w:tcPr>
            <w:tcW w:w="429" w:type="pct"/>
          </w:tcPr>
          <w:p>
            <w:pPr>
              <w:spacing w:line="360" w:lineRule="auto"/>
              <w:ind w:firstLine="240" w:firstLineChars="100"/>
              <w:outlineLvl w:val="0"/>
              <w:rPr>
                <w:rFonts w:cs="仿宋_GB2312" w:asciiTheme="minorEastAsia" w:hAnsiTheme="minorEastAsia" w:eastAsiaTheme="minorEastAsia"/>
                <w:sz w:val="24"/>
              </w:rPr>
            </w:pPr>
          </w:p>
          <w:p>
            <w:pPr>
              <w:pStyle w:val="2"/>
              <w:jc w:val="center"/>
              <w:rPr>
                <w:rFonts w:asciiTheme="minorEastAsia" w:hAnsiTheme="minorEastAsia" w:eastAsiaTheme="minorEastAsia"/>
                <w:sz w:val="21"/>
                <w:szCs w:val="21"/>
                <w:lang w:val="en-US"/>
              </w:rPr>
            </w:pPr>
            <w:r>
              <w:rPr>
                <w:rFonts w:hint="eastAsia" w:asciiTheme="minorEastAsia" w:hAnsiTheme="minorEastAsia" w:eastAsiaTheme="minorEastAsia"/>
                <w:b w:val="0"/>
                <w:bCs w:val="0"/>
                <w:sz w:val="21"/>
                <w:szCs w:val="21"/>
                <w:lang w:val="en-US"/>
              </w:rPr>
              <w:t>4</w:t>
            </w:r>
          </w:p>
        </w:tc>
        <w:tc>
          <w:tcPr>
            <w:tcW w:w="1103"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（五）</w:t>
            </w:r>
            <w:r>
              <w:rPr>
                <w:rFonts w:hint="eastAsia" w:ascii="宋体" w:hAnsi="宋体" w:cs="宋体"/>
                <w:sz w:val="24"/>
              </w:rPr>
              <w:t>物业管理区域内PVC地板打蜡保养、石材地面修补翻新养护服务方案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94"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3073" w:type="pct"/>
            <w:vAlign w:val="center"/>
          </w:tcPr>
          <w:p>
            <w:pPr>
              <w:snapToGrid w:val="0"/>
              <w:spacing w:line="360" w:lineRule="auto"/>
              <w:ind w:firstLine="480" w:firstLineChars="200"/>
              <w:rPr>
                <w:rFonts w:cs="仿宋_GB2312" w:asciiTheme="minorEastAsia" w:hAnsiTheme="minorEastAsia" w:eastAsiaTheme="minorEastAsia"/>
                <w:sz w:val="24"/>
              </w:rPr>
            </w:pPr>
            <w:r>
              <w:rPr>
                <w:rFonts w:hint="eastAsia" w:ascii="宋体" w:hAnsi="宋体" w:cs="宋体"/>
                <w:sz w:val="24"/>
              </w:rPr>
              <w:t>①对全院室内树木、花草、绿篱、鲜花喷杀虫药，做好保养修剪及院内逢年过节的鲜花摆放的工作 (鲜花由采购人另行购买)，②一般性地正常维护，即浇水、清理垃圾（修剪绿化时所产生的垃圾）、零星病虫害防治、除杂草和修剪等；定期全面修剪整形，③提出室内绿化摆放及养护管理方案，一项全部满足得2分，部分满足得1分，不满足不得分，总计6分（6分）。</w:t>
            </w:r>
          </w:p>
        </w:tc>
        <w:tc>
          <w:tcPr>
            <w:tcW w:w="429" w:type="pct"/>
          </w:tcPr>
          <w:p>
            <w:pPr>
              <w:pStyle w:val="2"/>
              <w:jc w:val="center"/>
              <w:rPr>
                <w:lang w:val="en-US"/>
              </w:rPr>
            </w:pPr>
          </w:p>
          <w:p>
            <w:pPr>
              <w:jc w:val="center"/>
            </w:pPr>
            <w:r>
              <w:rPr>
                <w:rFonts w:hint="eastAsia" w:asciiTheme="minorEastAsia" w:hAnsiTheme="minorEastAsia" w:eastAsiaTheme="minorEastAsia"/>
                <w:sz w:val="24"/>
              </w:rPr>
              <w:t>6</w:t>
            </w:r>
          </w:p>
        </w:tc>
        <w:tc>
          <w:tcPr>
            <w:tcW w:w="1103"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（六）</w:t>
            </w:r>
            <w:r>
              <w:rPr>
                <w:rFonts w:hint="eastAsia" w:ascii="宋体" w:hAnsi="宋体" w:cs="宋体"/>
                <w:sz w:val="24"/>
              </w:rPr>
              <w:t>绿化工作内容及要求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394"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3073" w:type="pct"/>
            <w:vAlign w:val="center"/>
          </w:tcPr>
          <w:p>
            <w:pPr>
              <w:snapToGrid w:val="0"/>
              <w:spacing w:line="360" w:lineRule="auto"/>
              <w:ind w:firstLine="480" w:firstLineChars="200"/>
              <w:rPr>
                <w:rFonts w:cs="仿宋_GB2312" w:asciiTheme="minorEastAsia" w:hAnsiTheme="minorEastAsia" w:eastAsiaTheme="minorEastAsia"/>
                <w:sz w:val="24"/>
              </w:rPr>
            </w:pPr>
            <w:r>
              <w:rPr>
                <w:rFonts w:hint="eastAsia" w:ascii="宋体" w:hAnsi="宋体" w:cs="宋体"/>
                <w:sz w:val="24"/>
              </w:rPr>
              <w:t>物业管理①建立阶段性物业服务执行情况反馈制度，每月以书面形式向对口管理部门报送当月物业服务安排、检查及执行完成情况。②医院可以根据实际工作需要适当调整保洁、运送及会务等各项工作的范围、内容及频次，所有工人需严格遵守医院的各项规章制度，并挂牌上岗（工号），工作衣裤及工作鞋应该有备用的，定时给予清洗更换。对员工应随机考核，抽查、巡查服务质量（语言、工作、态度、技能）等，一项全部满足得2分，部分满足得1分，不满足不得分，总计4分（4分）。</w:t>
            </w:r>
          </w:p>
        </w:tc>
        <w:tc>
          <w:tcPr>
            <w:tcW w:w="429" w:type="pct"/>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1103"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（七）</w:t>
            </w:r>
            <w:r>
              <w:rPr>
                <w:rFonts w:hint="eastAsia" w:ascii="宋体" w:hAnsi="宋体" w:cs="宋体"/>
                <w:sz w:val="24"/>
              </w:rPr>
              <w:t>物业管理区域内物业档案管理、物业财务管理服务方案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4"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3073" w:type="pct"/>
            <w:vAlign w:val="center"/>
          </w:tcPr>
          <w:p>
            <w:pPr>
              <w:snapToGrid w:val="0"/>
              <w:spacing w:line="360" w:lineRule="auto"/>
              <w:ind w:firstLine="480" w:firstLineChars="200"/>
              <w:rPr>
                <w:rFonts w:cs="仿宋_GB2312" w:asciiTheme="minorEastAsia" w:hAnsiTheme="minorEastAsia" w:eastAsiaTheme="minorEastAsia"/>
                <w:sz w:val="24"/>
              </w:rPr>
            </w:pPr>
            <w:r>
              <w:rPr>
                <w:rFonts w:hint="eastAsia" w:ascii="宋体" w:hAnsi="宋体" w:cs="宋体"/>
                <w:sz w:val="24"/>
              </w:rPr>
              <w:t>①配合院方完成应急事件的处理，包括防突发事件的应急、冬季雨雪冰冻天气的应急、院内其他突发事件的应急等，②疫情期间配合勤务中心主任完成日常</w:t>
            </w:r>
            <w:r>
              <w:rPr>
                <w:rFonts w:hint="eastAsia" w:ascii="宋体" w:hAnsi="宋体" w:cs="宋体"/>
                <w:sz w:val="24"/>
                <w:shd w:val="clear" w:color="auto" w:fill="FFFFFF"/>
              </w:rPr>
              <w:t>工作，做好生活环境的清洁与消毒，及时了解工作人员身体状况及动态，组织全体人员开展新冠病毒感染防控知识的培训，</w:t>
            </w:r>
            <w:r>
              <w:rPr>
                <w:rFonts w:hint="eastAsia" w:ascii="宋体" w:hAnsi="宋体" w:cs="宋体"/>
                <w:sz w:val="24"/>
              </w:rPr>
              <w:t>一项全部满足得2分，部分满足得1分，不满足不得分，总计4分（4分）。</w:t>
            </w:r>
          </w:p>
        </w:tc>
        <w:tc>
          <w:tcPr>
            <w:tcW w:w="429" w:type="pct"/>
            <w:vAlign w:val="center"/>
          </w:tcPr>
          <w:p>
            <w:pPr>
              <w:spacing w:line="360" w:lineRule="auto"/>
              <w:jc w:val="center"/>
              <w:outlineLvl w:val="0"/>
              <w:rPr>
                <w:rFonts w:asciiTheme="minorEastAsia" w:hAnsiTheme="minorEastAsia" w:eastAsiaTheme="minorEastAsia"/>
              </w:rPr>
            </w:pPr>
            <w:r>
              <w:rPr>
                <w:rFonts w:hint="eastAsia" w:asciiTheme="minorEastAsia" w:hAnsiTheme="minorEastAsia" w:eastAsiaTheme="minorEastAsia"/>
              </w:rPr>
              <w:t>4</w:t>
            </w:r>
          </w:p>
        </w:tc>
        <w:tc>
          <w:tcPr>
            <w:tcW w:w="1103"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（八）</w:t>
            </w:r>
            <w:r>
              <w:rPr>
                <w:rFonts w:hint="eastAsia" w:ascii="宋体" w:hAnsi="宋体" w:cs="宋体"/>
                <w:sz w:val="24"/>
              </w:rPr>
              <w:t>物业管理区域内各项应急事件的配合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4"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3073" w:type="pct"/>
            <w:vAlign w:val="center"/>
          </w:tcPr>
          <w:p>
            <w:pPr>
              <w:snapToGrid w:val="0"/>
              <w:spacing w:line="360" w:lineRule="auto"/>
              <w:ind w:firstLine="480" w:firstLineChars="200"/>
              <w:rPr>
                <w:rFonts w:ascii="宋体" w:hAnsi="宋体" w:cs="宋体"/>
                <w:sz w:val="24"/>
              </w:rPr>
            </w:pPr>
            <w:r>
              <w:rPr>
                <w:rFonts w:hint="eastAsia" w:ascii="宋体" w:hAnsi="宋体" w:cs="宋体"/>
                <w:sz w:val="24"/>
              </w:rPr>
              <w:t>投标人提供相关后勤智慧运送系统具有①抢单系统②按单计价③数据分析统计功能，每提供一个相关软件使用权得1分，没有不得分，总计3分。</w:t>
            </w:r>
          </w:p>
          <w:p>
            <w:pPr>
              <w:tabs>
                <w:tab w:val="left" w:pos="0"/>
              </w:tabs>
              <w:spacing w:line="360" w:lineRule="auto"/>
              <w:ind w:firstLine="480" w:firstLineChars="200"/>
              <w:rPr>
                <w:rFonts w:cs="仿宋_GB2312" w:asciiTheme="minorEastAsia" w:hAnsiTheme="minorEastAsia" w:eastAsiaTheme="minorEastAsia"/>
                <w:sz w:val="24"/>
              </w:rPr>
            </w:pPr>
            <w:r>
              <w:rPr>
                <w:rFonts w:hint="eastAsia" w:ascii="宋体" w:hAnsi="宋体" w:cs="宋体"/>
                <w:sz w:val="24"/>
              </w:rPr>
              <w:t>投标人提供后勤智慧运送系统软件的使用证明，提供现服务医院使用后勤智慧运送系统软件证明（与医院HIS系统相连，并带有科室下单功能），提供服务医院的业主证明，每提供一个医院证明得1分，最高得5分（5分）。</w:t>
            </w:r>
          </w:p>
        </w:tc>
        <w:tc>
          <w:tcPr>
            <w:tcW w:w="429" w:type="pct"/>
            <w:vAlign w:val="center"/>
          </w:tcPr>
          <w:p>
            <w:pPr>
              <w:spacing w:line="360" w:lineRule="auto"/>
              <w:jc w:val="center"/>
              <w:outlineLvl w:val="0"/>
              <w:rPr>
                <w:rFonts w:asciiTheme="minorEastAsia" w:hAnsiTheme="minorEastAsia" w:eastAsiaTheme="minorEastAsia"/>
              </w:rPr>
            </w:pPr>
            <w:r>
              <w:rPr>
                <w:rFonts w:hint="eastAsia" w:asciiTheme="minorEastAsia" w:hAnsiTheme="minorEastAsia" w:eastAsiaTheme="minorEastAsia"/>
              </w:rPr>
              <w:t>8</w:t>
            </w:r>
          </w:p>
        </w:tc>
        <w:tc>
          <w:tcPr>
            <w:tcW w:w="1103"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（九）</w:t>
            </w:r>
            <w:r>
              <w:rPr>
                <w:rFonts w:hint="eastAsia" w:ascii="宋体" w:hAnsi="宋体" w:cs="宋体"/>
                <w:sz w:val="24"/>
              </w:rPr>
              <w:t>信息化管理系统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394"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3073" w:type="pct"/>
            <w:vAlign w:val="center"/>
          </w:tcPr>
          <w:p>
            <w:pPr>
              <w:snapToGrid w:val="0"/>
              <w:spacing w:line="360" w:lineRule="auto"/>
              <w:ind w:firstLine="480" w:firstLineChars="200"/>
              <w:rPr>
                <w:rFonts w:ascii="宋体" w:hAnsi="宋体" w:cs="宋体"/>
                <w:bCs/>
                <w:sz w:val="24"/>
              </w:rPr>
            </w:pPr>
            <w:r>
              <w:rPr>
                <w:rFonts w:hint="eastAsia" w:ascii="宋体" w:hAnsi="宋体" w:cs="宋体"/>
                <w:bCs/>
                <w:sz w:val="24"/>
              </w:rPr>
              <w:t>总体人员满足情况（1</w:t>
            </w:r>
            <w:r>
              <w:rPr>
                <w:rFonts w:ascii="宋体" w:hAnsi="宋体" w:cs="宋体"/>
                <w:bCs/>
                <w:sz w:val="24"/>
              </w:rPr>
              <w:t>0</w:t>
            </w:r>
            <w:r>
              <w:rPr>
                <w:rFonts w:hint="eastAsia" w:ascii="宋体" w:hAnsi="宋体" w:cs="宋体"/>
                <w:bCs/>
                <w:sz w:val="24"/>
              </w:rPr>
              <w:t>分）：</w:t>
            </w:r>
          </w:p>
          <w:p>
            <w:pPr>
              <w:snapToGrid w:val="0"/>
              <w:spacing w:line="360" w:lineRule="auto"/>
              <w:rPr>
                <w:rFonts w:ascii="宋体" w:hAnsi="宋体" w:cs="宋体"/>
                <w:bCs/>
                <w:sz w:val="24"/>
              </w:rPr>
            </w:pPr>
            <w:r>
              <w:rPr>
                <w:rFonts w:hint="eastAsia" w:ascii="宋体" w:hAnsi="宋体" w:cs="宋体"/>
                <w:bCs/>
                <w:sz w:val="24"/>
              </w:rPr>
              <w:t>①招标文件所述人员配置要求，投标人在投标时需提供人员配备方案，满足得2分，不满足不得分；</w:t>
            </w:r>
          </w:p>
          <w:p>
            <w:pPr>
              <w:snapToGrid w:val="0"/>
              <w:spacing w:line="360" w:lineRule="auto"/>
              <w:rPr>
                <w:rFonts w:ascii="宋体" w:hAnsi="宋体" w:cs="宋体"/>
                <w:bCs/>
                <w:sz w:val="24"/>
              </w:rPr>
            </w:pPr>
            <w:r>
              <w:rPr>
                <w:rFonts w:hint="eastAsia" w:ascii="宋体" w:hAnsi="宋体" w:cs="宋体"/>
                <w:bCs/>
                <w:sz w:val="24"/>
              </w:rPr>
              <w:t>②承诺物业管理工作的管理人员严格遵守采购人作息时间，按照要求时间上下班，满足得2分，不满足不得分；</w:t>
            </w:r>
          </w:p>
          <w:p>
            <w:pPr>
              <w:snapToGrid w:val="0"/>
              <w:spacing w:line="360" w:lineRule="auto"/>
              <w:rPr>
                <w:rFonts w:ascii="宋体" w:hAnsi="宋体" w:cs="宋体"/>
                <w:bCs/>
                <w:sz w:val="24"/>
              </w:rPr>
            </w:pPr>
            <w:r>
              <w:rPr>
                <w:rFonts w:hint="eastAsia" w:ascii="宋体" w:hAnsi="宋体" w:cs="宋体"/>
                <w:bCs/>
                <w:sz w:val="24"/>
              </w:rPr>
              <w:t>③对员工有周密的培训计划，满足得2分，不满足不得分；</w:t>
            </w:r>
          </w:p>
          <w:p>
            <w:pPr>
              <w:snapToGrid w:val="0"/>
              <w:spacing w:line="360" w:lineRule="auto"/>
              <w:rPr>
                <w:rFonts w:ascii="宋体" w:hAnsi="宋体" w:cs="宋体"/>
                <w:sz w:val="24"/>
              </w:rPr>
            </w:pPr>
            <w:r>
              <w:rPr>
                <w:rFonts w:hint="eastAsia" w:ascii="宋体" w:hAnsi="宋体" w:cs="宋体"/>
                <w:bCs/>
                <w:sz w:val="24"/>
              </w:rPr>
              <w:t>④拟担任本项目负责人和主管人员具有类似项目实施经验（提供证明材料），承诺项目负责人具有调动投标人各项资源能力，其中：</w:t>
            </w:r>
            <w:r>
              <w:rPr>
                <w:rFonts w:hint="eastAsia" w:ascii="宋体" w:hAnsi="宋体" w:cs="宋体"/>
                <w:sz w:val="24"/>
              </w:rPr>
              <w:t>（1）项目经理和副经理的要求：年龄≤55周岁，大学专科及以上学历，有2年以上类似项目管理业绩，综合协调能力强，专职服务采购人；（2）主管人员：年龄≤</w:t>
            </w:r>
            <w:r>
              <w:rPr>
                <w:rFonts w:ascii="宋体" w:hAnsi="宋体" w:cs="宋体"/>
                <w:sz w:val="24"/>
              </w:rPr>
              <w:t>60</w:t>
            </w:r>
            <w:r>
              <w:rPr>
                <w:rFonts w:hint="eastAsia" w:ascii="宋体" w:hAnsi="宋体" w:cs="宋体"/>
                <w:sz w:val="24"/>
              </w:rPr>
              <w:t>周岁，高中及以上文化程度，身体健康，曾担任相关管理主管2年以上综合管理、协调能力强，认真负责，每一项</w:t>
            </w:r>
            <w:r>
              <w:rPr>
                <w:rFonts w:hint="eastAsia" w:ascii="宋体" w:hAnsi="宋体" w:cs="宋体"/>
                <w:bCs/>
                <w:sz w:val="24"/>
              </w:rPr>
              <w:t>满足得1分，不满足不得分，共2分</w:t>
            </w:r>
            <w:r>
              <w:rPr>
                <w:rFonts w:hint="eastAsia" w:ascii="宋体" w:hAnsi="宋体" w:cs="宋体"/>
                <w:sz w:val="24"/>
              </w:rPr>
              <w:t>。</w:t>
            </w:r>
          </w:p>
          <w:p>
            <w:pPr>
              <w:snapToGrid w:val="0"/>
              <w:spacing w:line="360" w:lineRule="auto"/>
            </w:pPr>
            <w:r>
              <w:rPr>
                <w:rFonts w:hint="eastAsia" w:ascii="宋体" w:hAnsi="宋体" w:cs="宋体"/>
                <w:bCs/>
                <w:sz w:val="24"/>
              </w:rPr>
              <w:t>⑤安排参与项目的其他专业人员素质、技术能力、专业分布、经验等情况，其中：高配电工</w:t>
            </w:r>
            <w:r>
              <w:rPr>
                <w:rFonts w:hint="eastAsia" w:ascii="宋体" w:hAnsi="宋体" w:cs="宋体"/>
                <w:sz w:val="24"/>
              </w:rPr>
              <w:t>：年龄≤60周岁，初中及以上文化</w:t>
            </w:r>
            <w:r>
              <w:rPr>
                <w:rFonts w:hint="eastAsia" w:ascii="宋体" w:hAnsi="宋体" w:cs="宋体"/>
                <w:bCs/>
                <w:sz w:val="24"/>
              </w:rPr>
              <w:t>；</w:t>
            </w:r>
            <w:r>
              <w:rPr>
                <w:rFonts w:hint="eastAsia" w:ascii="宋体" w:hAnsi="宋体" w:cs="宋体"/>
                <w:sz w:val="24"/>
              </w:rPr>
              <w:t>（2）空调工：年龄≤60周岁，初中及以上文化；每一项</w:t>
            </w:r>
            <w:r>
              <w:rPr>
                <w:rFonts w:hint="eastAsia" w:ascii="宋体" w:hAnsi="宋体" w:cs="宋体"/>
                <w:bCs/>
                <w:sz w:val="24"/>
              </w:rPr>
              <w:t>满足得1分，不满足不得分，共2分</w:t>
            </w:r>
            <w:r>
              <w:rPr>
                <w:rFonts w:hint="eastAsia" w:ascii="宋体" w:hAnsi="宋体" w:cs="宋体"/>
                <w:sz w:val="24"/>
              </w:rPr>
              <w:t>。</w:t>
            </w:r>
          </w:p>
        </w:tc>
        <w:tc>
          <w:tcPr>
            <w:tcW w:w="429" w:type="pct"/>
            <w:vAlign w:val="center"/>
          </w:tcPr>
          <w:p>
            <w:pPr>
              <w:spacing w:line="360" w:lineRule="auto"/>
              <w:jc w:val="center"/>
              <w:outlineLv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w:t>
            </w:r>
          </w:p>
        </w:tc>
        <w:tc>
          <w:tcPr>
            <w:tcW w:w="1103"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（十）</w:t>
            </w:r>
            <w:r>
              <w:rPr>
                <w:rFonts w:hint="eastAsia" w:ascii="宋体" w:hAnsi="宋体" w:cs="宋体"/>
                <w:sz w:val="24"/>
              </w:rPr>
              <w:t>项目实施的人员安排总体情况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4"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3073" w:type="pct"/>
            <w:vAlign w:val="center"/>
          </w:tcPr>
          <w:p>
            <w:pPr>
              <w:widowControl/>
              <w:spacing w:line="360" w:lineRule="auto"/>
              <w:rPr>
                <w:rFonts w:cs="仿宋_GB2312" w:asciiTheme="minorEastAsia" w:hAnsiTheme="minorEastAsia" w:eastAsiaTheme="minorEastAsia"/>
                <w:sz w:val="24"/>
              </w:rPr>
            </w:pPr>
            <w:r>
              <w:rPr>
                <w:rFonts w:hint="eastAsia" w:ascii="宋体" w:hAnsi="宋体"/>
                <w:sz w:val="24"/>
              </w:rPr>
              <w:t>投标人具有ISO9001</w:t>
            </w:r>
            <w:r>
              <w:rPr>
                <w:rFonts w:hint="eastAsia" w:ascii="宋体" w:hAnsi="宋体"/>
                <w:sz w:val="24"/>
                <w:u w:val="single"/>
              </w:rPr>
              <w:t>质量</w:t>
            </w:r>
            <w:r>
              <w:rPr>
                <w:rFonts w:hint="eastAsia" w:ascii="宋体" w:hAnsi="宋体"/>
                <w:sz w:val="24"/>
              </w:rPr>
              <w:t>管理体系认证证书（在有效期内）的，得2分；具有ISO14001</w:t>
            </w:r>
            <w:r>
              <w:rPr>
                <w:rFonts w:hint="eastAsia" w:ascii="宋体" w:hAnsi="宋体"/>
                <w:sz w:val="24"/>
                <w:u w:val="single"/>
              </w:rPr>
              <w:t>环境</w:t>
            </w:r>
            <w:r>
              <w:rPr>
                <w:rFonts w:hint="eastAsia" w:ascii="宋体" w:hAnsi="宋体"/>
                <w:sz w:val="24"/>
              </w:rPr>
              <w:t>管理体系认证证书（在有效期内）的，得2分；具有ISO45001</w:t>
            </w:r>
            <w:r>
              <w:rPr>
                <w:rFonts w:hint="eastAsia" w:ascii="宋体" w:hAnsi="宋体"/>
                <w:sz w:val="24"/>
                <w:u w:val="single"/>
              </w:rPr>
              <w:t>职业健康安全</w:t>
            </w:r>
            <w:r>
              <w:rPr>
                <w:rFonts w:hint="eastAsia" w:ascii="宋体" w:hAnsi="宋体"/>
                <w:sz w:val="24"/>
              </w:rPr>
              <w:t>管理体系认证证书（在有效期内）的，得2分。</w:t>
            </w:r>
            <w:r>
              <w:rPr>
                <w:rFonts w:hint="eastAsia" w:cs="仿宋_GB2312" w:asciiTheme="minorEastAsia" w:hAnsiTheme="minorEastAsia" w:eastAsiaTheme="minorEastAsia"/>
                <w:sz w:val="24"/>
              </w:rPr>
              <w:t>（提供证书原件扫描件，全国认证认可信息公共服务平台http://cx.cnca.cn/CertECloud/result/skipResultList可查。）（6分）</w:t>
            </w:r>
          </w:p>
        </w:tc>
        <w:tc>
          <w:tcPr>
            <w:tcW w:w="429"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1103"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（十一）</w:t>
            </w:r>
            <w:r>
              <w:rPr>
                <w:rFonts w:hint="eastAsia" w:ascii="宋体" w:hAnsi="宋体" w:cs="宋体"/>
                <w:bCs/>
                <w:sz w:val="24"/>
              </w:rPr>
              <w:t>投标人的资信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94" w:type="pct"/>
            <w:vAlign w:val="center"/>
          </w:tcPr>
          <w:p>
            <w:pPr>
              <w:spacing w:line="360" w:lineRule="auto"/>
              <w:jc w:val="left"/>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3073" w:type="pct"/>
            <w:vAlign w:val="center"/>
          </w:tcPr>
          <w:p>
            <w:pPr>
              <w:snapToGrid w:val="0"/>
              <w:spacing w:line="360" w:lineRule="auto"/>
              <w:ind w:firstLine="480" w:firstLineChars="200"/>
              <w:rPr>
                <w:rFonts w:cs="仿宋_GB2312" w:asciiTheme="minorEastAsia" w:hAnsiTheme="minorEastAsia" w:eastAsiaTheme="minorEastAsia"/>
                <w:sz w:val="24"/>
              </w:rPr>
            </w:pPr>
            <w:r>
              <w:rPr>
                <w:rFonts w:hint="eastAsia" w:ascii="宋体" w:hAnsi="宋体" w:cs="宋体"/>
                <w:sz w:val="24"/>
              </w:rPr>
              <w:t>投标截止时间前三年内成功承担过的类似物业服务项目情况，根据合同和用户验收报告（或用户其他反馈材料）项目实例证明。类似物业服务项目已实施的项目案例，每一个案例得0.5分，最高1分；未按要求提供完整材料的，不得分；一个单位分年度多次签订的案例，计入1个案例；同一个项目，分两期或以上建设完成的，计入1个案例。【</w:t>
            </w:r>
            <w:r>
              <w:rPr>
                <w:rFonts w:hint="eastAsia" w:ascii="宋体" w:hAnsi="宋体" w:cs="宋体"/>
                <w:b/>
                <w:sz w:val="24"/>
              </w:rPr>
              <w:t>采购机构在项目评审直至合同签订、履约期间，有权要求投标人出具投标文件中的合同和用户验收报告，予以确认其的真实性和有效性，如出现与事实不符等情况，将根据有关规定以“涉嫌提供虚假材料谋取中标（成交）”予以处理</w:t>
            </w:r>
            <w:r>
              <w:rPr>
                <w:rFonts w:hint="eastAsia" w:ascii="宋体" w:hAnsi="宋体" w:cs="宋体"/>
                <w:sz w:val="24"/>
              </w:rPr>
              <w:t>】，是否有良好的工作业绩和履约记录</w:t>
            </w:r>
            <w:r>
              <w:rPr>
                <w:rFonts w:hint="eastAsia" w:ascii="宋体" w:hAnsi="宋体" w:cs="宋体"/>
                <w:sz w:val="24"/>
                <w:lang w:val="zh-CN"/>
              </w:rPr>
              <w:t>等情况</w:t>
            </w:r>
            <w:r>
              <w:rPr>
                <w:rFonts w:hint="eastAsia" w:ascii="宋体" w:hAnsi="宋体" w:cs="宋体"/>
                <w:sz w:val="24"/>
              </w:rPr>
              <w:t>；</w:t>
            </w:r>
            <w:r>
              <w:rPr>
                <w:rFonts w:hint="eastAsia" w:ascii="宋体" w:hAnsi="宋体" w:cs="宋体"/>
                <w:b/>
                <w:kern w:val="0"/>
                <w:sz w:val="24"/>
              </w:rPr>
              <w:t>以分包方式履行政府采购合同的，还需提供该项目采购方同意分包的证明材料;</w:t>
            </w:r>
            <w:r>
              <w:rPr>
                <w:rFonts w:hint="eastAsia" w:ascii="宋体" w:hAnsi="宋体" w:cs="宋体"/>
                <w:b/>
                <w:sz w:val="24"/>
              </w:rPr>
              <w:t>如投标人提供的合同复印件等实施项目证明材料与投标主体无关或违规转包分包的，评标委员会将进行扣分直至认定投标无效</w:t>
            </w:r>
            <w:r>
              <w:rPr>
                <w:rFonts w:hint="eastAsia" w:ascii="宋体" w:hAnsi="宋体" w:cs="宋体"/>
                <w:b/>
                <w:snapToGrid w:val="0"/>
                <w:kern w:val="0"/>
                <w:sz w:val="24"/>
                <w:szCs w:val="21"/>
              </w:rPr>
              <w:t>。</w:t>
            </w:r>
          </w:p>
        </w:tc>
        <w:tc>
          <w:tcPr>
            <w:tcW w:w="429"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103"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（十二）</w:t>
            </w:r>
          </w:p>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394" w:type="pct"/>
            <w:vAlign w:val="center"/>
          </w:tcPr>
          <w:p>
            <w:pPr>
              <w:spacing w:line="360" w:lineRule="auto"/>
              <w:outlineLvl w:val="0"/>
              <w:rPr>
                <w:rFonts w:cs="仿宋_GB2312" w:asciiTheme="minorEastAsia" w:hAnsiTheme="minorEastAsia" w:eastAsiaTheme="minorEastAsia"/>
                <w:sz w:val="24"/>
              </w:rPr>
            </w:pPr>
            <w:r>
              <w:rPr>
                <w:rFonts w:cs="仿宋_GB2312" w:asciiTheme="minorEastAsia" w:hAnsiTheme="minorEastAsia" w:eastAsiaTheme="minorEastAsia"/>
                <w:sz w:val="24"/>
              </w:rPr>
              <w:t>13</w:t>
            </w:r>
          </w:p>
        </w:tc>
        <w:tc>
          <w:tcPr>
            <w:tcW w:w="3073" w:type="pct"/>
          </w:tcPr>
          <w:p>
            <w:pPr>
              <w:adjustRightInd/>
              <w:spacing w:line="360" w:lineRule="auto"/>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w:t>
            </w:r>
            <w:r>
              <w:rPr>
                <w:rFonts w:cs="仿宋_GB2312" w:asciiTheme="minorEastAsia" w:hAnsiTheme="minorEastAsia" w:eastAsiaTheme="minorEastAsia"/>
                <w:sz w:val="24"/>
              </w:rPr>
              <w:t>=（评标基准价/投标报价）*</w:t>
            </w:r>
            <w:r>
              <w:rPr>
                <w:rFonts w:hint="eastAsia" w:cs="仿宋_GB2312" w:asciiTheme="minorEastAsia" w:hAnsiTheme="minorEastAsia" w:eastAsiaTheme="minorEastAsia"/>
                <w:sz w:val="24"/>
              </w:rPr>
              <w:t>10</w:t>
            </w:r>
            <w:r>
              <w:rPr>
                <w:rFonts w:cs="仿宋_GB2312" w:asciiTheme="minorEastAsia" w:hAnsiTheme="minorEastAsia" w:eastAsiaTheme="minorEastAsia"/>
                <w:sz w:val="24"/>
              </w:rPr>
              <w:t>］的计算公式计算。</w:t>
            </w:r>
          </w:p>
          <w:p>
            <w:pPr>
              <w:widowControl/>
              <w:shd w:val="clear" w:color="auto" w:fill="FFFFFF"/>
              <w:adjustRightInd/>
              <w:spacing w:line="360" w:lineRule="auto"/>
              <w:ind w:firstLine="480" w:firstLineChars="200"/>
              <w:jc w:val="left"/>
              <w:rPr>
                <w:rFonts w:cs="仿宋_GB2312" w:asciiTheme="minorEastAsia" w:hAnsiTheme="minorEastAsia" w:eastAsiaTheme="minorEastAsia"/>
                <w:sz w:val="24"/>
              </w:rPr>
            </w:pPr>
            <w:r>
              <w:rPr>
                <w:rFonts w:cs="仿宋_GB2312" w:asciiTheme="minorEastAsia" w:hAnsiTheme="minorEastAsia" w:eastAsiaTheme="minorEastAsia"/>
                <w:sz w:val="24"/>
              </w:rPr>
              <w:t>评标过程中，不得去掉报价中的最高报价和最低报价。</w:t>
            </w:r>
          </w:p>
          <w:p>
            <w:pPr>
              <w:widowControl/>
              <w:shd w:val="clear" w:color="auto" w:fill="FFFFFF"/>
              <w:adjustRightInd/>
              <w:spacing w:line="360" w:lineRule="auto"/>
              <w:ind w:firstLine="480" w:firstLineChars="200"/>
              <w:jc w:val="left"/>
              <w:rPr>
                <w:rFonts w:asciiTheme="minorEastAsia" w:hAnsiTheme="minorEastAsia" w:eastAsiaTheme="minorEastAsia"/>
                <w:sz w:val="24"/>
              </w:rPr>
            </w:pPr>
            <w:r>
              <w:rPr>
                <w:rFonts w:cs="仿宋_GB2312" w:asciiTheme="minorEastAsia" w:hAnsiTheme="minorEastAsia" w:eastAsiaTheme="minorEastAsia"/>
                <w:sz w:val="24"/>
              </w:rPr>
              <w:t>因落实政府采购政策</w:t>
            </w:r>
            <w:r>
              <w:rPr>
                <w:rFonts w:hint="eastAsia" w:cs="仿宋_GB2312" w:asciiTheme="minorEastAsia" w:hAnsiTheme="minorEastAsia" w:eastAsiaTheme="minorEastAsia"/>
                <w:sz w:val="24"/>
              </w:rPr>
              <w:t>需要</w:t>
            </w:r>
            <w:r>
              <w:rPr>
                <w:rFonts w:cs="仿宋_GB2312" w:asciiTheme="minorEastAsia" w:hAnsiTheme="minorEastAsia" w:eastAsiaTheme="minorEastAsia"/>
                <w:sz w:val="24"/>
              </w:rPr>
              <w:t>进行价格调整的，以调整后的价格计算评标基准价和投标报价。</w:t>
            </w:r>
          </w:p>
        </w:tc>
        <w:tc>
          <w:tcPr>
            <w:tcW w:w="429" w:type="pct"/>
            <w:vAlign w:val="center"/>
          </w:tcPr>
          <w:p>
            <w:pPr>
              <w:spacing w:line="360" w:lineRule="auto"/>
              <w:ind w:firstLine="120" w:firstLineChars="50"/>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1103" w:type="pct"/>
            <w:vAlign w:val="center"/>
          </w:tcPr>
          <w:p>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p>
      <w:pPr>
        <w:snapToGrid w:val="0"/>
        <w:spacing w:line="360" w:lineRule="auto"/>
        <w:rPr>
          <w:rFonts w:cs="仿宋_GB2312" w:asciiTheme="minorEastAsia" w:hAnsiTheme="minorEastAsia" w:eastAsiaTheme="minorEastAsia"/>
          <w:b/>
          <w:sz w:val="24"/>
        </w:rPr>
      </w:pPr>
      <w:r>
        <w:rPr>
          <w:rFonts w:hint="eastAsia" w:cs="Arial" w:asciiTheme="minorEastAsia" w:hAnsiTheme="minorEastAsia" w:eastAsiaTheme="minorEastAsia"/>
          <w:sz w:val="20"/>
          <w:szCs w:val="20"/>
          <w:shd w:val="clear" w:color="auto" w:fill="FFFFFF"/>
        </w:rPr>
        <w:t>“</w:t>
      </w:r>
      <w:r>
        <w:rPr>
          <w:rFonts w:cs="Arial" w:asciiTheme="minorEastAsia" w:hAnsiTheme="minorEastAsia" w:eastAsiaTheme="minorEastAsia"/>
          <w:sz w:val="20"/>
          <w:szCs w:val="20"/>
          <w:shd w:val="clear" w:color="auto" w:fill="FFFFFF"/>
        </w:rPr>
        <w:t>*</w:t>
      </w:r>
      <w:r>
        <w:rPr>
          <w:rFonts w:hint="eastAsia" w:cs="Arial" w:asciiTheme="minorEastAsia" w:hAnsiTheme="minorEastAsia" w:eastAsiaTheme="minorEastAsia"/>
          <w:sz w:val="20"/>
          <w:szCs w:val="20"/>
          <w:shd w:val="clear" w:color="auto" w:fill="FFFFFF"/>
        </w:rPr>
        <w:t>”</w:t>
      </w:r>
      <w:r>
        <w:rPr>
          <w:rFonts w:hint="eastAsia" w:cs="仿宋_GB2312" w:asciiTheme="minorEastAsia" w:hAnsiTheme="minorEastAsia" w:eastAsiaTheme="minorEastAsia"/>
          <w:b/>
          <w:sz w:val="24"/>
        </w:rPr>
        <w:t>备注：</w:t>
      </w:r>
      <w:r>
        <w:rPr>
          <w:rFonts w:hint="eastAsia" w:cs="仿宋_GB2312" w:asciiTheme="minorEastAsia" w:hAnsiTheme="minorEastAsia" w:eastAsiaTheme="minorEastAsia"/>
          <w:sz w:val="24"/>
        </w:rPr>
        <w:t>投标人编制投标文件（商务技术文件部分）时，建议按此目录（序号和内容）提供评标标准相应的商务技术资料。</w:t>
      </w:r>
      <w:r>
        <w:rPr>
          <w:rFonts w:hint="eastAsia" w:cs="宋体" w:asciiTheme="minorEastAsia" w:hAnsiTheme="minorEastAsia" w:eastAsiaTheme="minorEastAsia"/>
          <w:sz w:val="24"/>
        </w:rPr>
        <w:t> </w:t>
      </w:r>
    </w:p>
    <w:p>
      <w:pPr>
        <w:snapToGrid w:val="0"/>
        <w:spacing w:line="360" w:lineRule="auto"/>
        <w:rPr>
          <w:rFonts w:asciiTheme="minorEastAsia" w:hAnsiTheme="minorEastAsia" w:eastAsiaTheme="minorEastAsia"/>
          <w:b/>
          <w:sz w:val="30"/>
          <w:szCs w:val="30"/>
        </w:rPr>
      </w:pPr>
      <w:r>
        <w:rPr>
          <w:rFonts w:hint="eastAsia" w:cs="仿宋_GB2312" w:asciiTheme="minorEastAsia" w:hAnsiTheme="minorEastAsia" w:eastAsiaTheme="minorEastAsia"/>
          <w:b/>
          <w:sz w:val="30"/>
          <w:szCs w:val="30"/>
        </w:rPr>
        <w:t>一、评标方法</w:t>
      </w:r>
    </w:p>
    <w:p>
      <w:pPr>
        <w:adjustRightInd/>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1.</w:t>
      </w:r>
      <w:r>
        <w:rPr>
          <w:rFonts w:hint="eastAsia" w:cs="Arial" w:asciiTheme="minorEastAsia" w:hAnsiTheme="minorEastAsia" w:eastAsiaTheme="minorEastAsia"/>
          <w:b/>
          <w:kern w:val="0"/>
          <w:sz w:val="24"/>
        </w:rPr>
        <w:t>本项目采用综合评分法。</w:t>
      </w:r>
      <w:r>
        <w:rPr>
          <w:rFonts w:hint="eastAsia" w:cs="Arial"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cs="仿宋_GB2312" w:asciiTheme="minorEastAsia" w:hAnsiTheme="minorEastAsia" w:eastAsiaTheme="minorEastAsia"/>
          <w:b/>
          <w:sz w:val="30"/>
          <w:szCs w:val="30"/>
        </w:rPr>
      </w:pPr>
      <w:r>
        <w:rPr>
          <w:rFonts w:hint="eastAsia" w:cs="仿宋_GB2312" w:asciiTheme="minorEastAsia" w:hAnsiTheme="minorEastAsia" w:eastAsiaTheme="minorEastAsia"/>
          <w:b/>
          <w:sz w:val="30"/>
          <w:szCs w:val="30"/>
        </w:rPr>
        <w:t>二、评标标准</w:t>
      </w:r>
    </w:p>
    <w:p>
      <w:pPr>
        <w:spacing w:line="360" w:lineRule="auto"/>
        <w:ind w:firstLine="472" w:firstLineChars="196"/>
        <w:rPr>
          <w:rFonts w:cs="仿宋_GB2312" w:asciiTheme="minorEastAsia" w:hAnsiTheme="minorEastAsia" w:eastAsiaTheme="minorEastAsia"/>
          <w:b/>
          <w:sz w:val="24"/>
        </w:rPr>
      </w:pPr>
      <w:r>
        <w:rPr>
          <w:rFonts w:cs="仿宋_GB2312" w:asciiTheme="minorEastAsia" w:hAnsiTheme="minorEastAsia" w:eastAsiaTheme="minorEastAsia"/>
          <w:b/>
          <w:sz w:val="24"/>
        </w:rPr>
        <w:t>2.</w:t>
      </w:r>
      <w:r>
        <w:rPr>
          <w:rFonts w:asciiTheme="minorEastAsia" w:hAnsiTheme="minorEastAsia" w:eastAsiaTheme="minorEastAsia"/>
        </w:rPr>
        <w:t xml:space="preserve"> </w:t>
      </w:r>
      <w:r>
        <w:rPr>
          <w:rFonts w:hint="eastAsia" w:cs="仿宋_GB2312" w:asciiTheme="minorEastAsia" w:hAnsiTheme="minorEastAsia" w:eastAsiaTheme="minorEastAsia"/>
          <w:b/>
          <w:sz w:val="24"/>
        </w:rPr>
        <w:t>评标标准：</w:t>
      </w:r>
      <w:r>
        <w:rPr>
          <w:rFonts w:hint="eastAsia" w:cs="Arial" w:asciiTheme="minorEastAsia" w:hAnsiTheme="minorEastAsia" w:eastAsiaTheme="minorEastAsia"/>
          <w:kern w:val="0"/>
          <w:sz w:val="24"/>
        </w:rPr>
        <w:t>见评标办法前附表。</w:t>
      </w:r>
    </w:p>
    <w:p>
      <w:pPr>
        <w:snapToGrid w:val="0"/>
        <w:spacing w:line="360" w:lineRule="auto"/>
        <w:rPr>
          <w:rFonts w:cs="仿宋_GB2312" w:asciiTheme="minorEastAsia" w:hAnsiTheme="minorEastAsia" w:eastAsiaTheme="minorEastAsia"/>
          <w:b/>
          <w:sz w:val="30"/>
          <w:szCs w:val="30"/>
        </w:rPr>
      </w:pPr>
      <w:r>
        <w:rPr>
          <w:rFonts w:hint="eastAsia" w:cs="仿宋_GB2312" w:asciiTheme="minorEastAsia" w:hAnsiTheme="minorEastAsia" w:eastAsiaTheme="minorEastAsia"/>
          <w:b/>
          <w:sz w:val="30"/>
          <w:szCs w:val="30"/>
        </w:rPr>
        <w:t>三、评标程序</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3.1符合性审查。</w:t>
      </w:r>
      <w:r>
        <w:rPr>
          <w:rFonts w:cs="Arial" w:asciiTheme="minorEastAsia" w:hAnsiTheme="minorEastAsia" w:eastAsiaTheme="minorEastAsia"/>
          <w:kern w:val="0"/>
          <w:sz w:val="24"/>
        </w:rPr>
        <w:t>评标委员会应当对符合资格的投标人的投标文件进行符合性审查，以确定其是否满足招标文件的实质性要求。</w:t>
      </w:r>
      <w:r>
        <w:rPr>
          <w:rFonts w:hint="eastAsia" w:cs="Arial" w:asciiTheme="minorEastAsia" w:hAnsiTheme="minorEastAsia" w:eastAsiaTheme="minorEastAsia"/>
          <w:kern w:val="0"/>
          <w:sz w:val="24"/>
        </w:rPr>
        <w:t>不</w:t>
      </w:r>
      <w:r>
        <w:rPr>
          <w:rFonts w:cs="Arial" w:asciiTheme="minorEastAsia" w:hAnsiTheme="minorEastAsia" w:eastAsiaTheme="minorEastAsia"/>
          <w:kern w:val="0"/>
          <w:sz w:val="24"/>
        </w:rPr>
        <w:t>满足招标文件的实质性要求</w:t>
      </w:r>
      <w:r>
        <w:rPr>
          <w:rFonts w:hint="eastAsia" w:cs="Arial" w:asciiTheme="minorEastAsia" w:hAnsiTheme="minorEastAsia" w:eastAsiaTheme="minorEastAsia"/>
          <w:kern w:val="0"/>
          <w:sz w:val="24"/>
        </w:rPr>
        <w:t>的，投标无效。</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 xml:space="preserve">3.2 </w:t>
      </w:r>
      <w:r>
        <w:rPr>
          <w:rFonts w:hint="eastAsia" w:cs="Arial" w:asciiTheme="minorEastAsia" w:hAnsiTheme="minorEastAsia" w:eastAsiaTheme="minorEastAsia"/>
          <w:b/>
          <w:kern w:val="0"/>
          <w:sz w:val="24"/>
        </w:rPr>
        <w:t>比较与评价。</w:t>
      </w:r>
      <w:r>
        <w:rPr>
          <w:rFonts w:cs="Arial"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3.3汇总商务技术得分。</w:t>
      </w:r>
      <w:r>
        <w:rPr>
          <w:rFonts w:hint="eastAsia" w:cs="Arial"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Arial" w:asciiTheme="minorEastAsia" w:hAnsiTheme="minorEastAsia" w:eastAsiaTheme="minorEastAsia"/>
          <w:b/>
          <w:kern w:val="0"/>
          <w:sz w:val="24"/>
        </w:rPr>
      </w:pPr>
      <w:r>
        <w:rPr>
          <w:rFonts w:cs="Arial" w:asciiTheme="minorEastAsia" w:hAnsiTheme="minorEastAsia" w:eastAsiaTheme="minorEastAsia"/>
          <w:b/>
          <w:kern w:val="0"/>
          <w:sz w:val="24"/>
        </w:rPr>
        <w:t>3.4报价评审。</w:t>
      </w:r>
    </w:p>
    <w:p>
      <w:pPr>
        <w:pStyle w:val="160"/>
        <w:spacing w:before="0"/>
        <w:ind w:firstLine="508" w:firstLineChars="212"/>
        <w:rPr>
          <w:rFonts w:cs="Arial" w:asciiTheme="minorEastAsia" w:hAnsiTheme="minorEastAsia" w:eastAsiaTheme="minorEastAsia"/>
          <w:kern w:val="0"/>
        </w:rPr>
      </w:pPr>
      <w:r>
        <w:rPr>
          <w:rFonts w:cs="Arial" w:asciiTheme="minorEastAsia" w:hAnsiTheme="minorEastAsia" w:eastAsiaTheme="minorEastAsia"/>
          <w:kern w:val="0"/>
        </w:rPr>
        <w:t>3.4.1投标文件报价出现前后不一致的，按照下列规定修正：</w:t>
      </w:r>
    </w:p>
    <w:p>
      <w:pPr>
        <w:pStyle w:val="16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3.4.1.1投标文件中开标一览表(报价表)内容与投标文件中相应内容不一致的，以开标一览表(报价表)为准;</w:t>
      </w:r>
    </w:p>
    <w:p>
      <w:pPr>
        <w:pStyle w:val="16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3.4.1.2大写金额和小写金额不一致的，以大写金额为准;</w:t>
      </w:r>
    </w:p>
    <w:p>
      <w:pPr>
        <w:pStyle w:val="16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3.4.1.3单价金额小数点或者百分比有明显错位的，以开标一览表的总价为准，并修改单价;</w:t>
      </w:r>
    </w:p>
    <w:p>
      <w:pPr>
        <w:pStyle w:val="16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3.4.1.4总价金额与按单价汇总金额不一致的，以单价金额计算结果为准。</w:t>
      </w:r>
    </w:p>
    <w:p>
      <w:pPr>
        <w:pStyle w:val="16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3.4.1.5同时出现两种以上不一致的，按照3.4.1</w:t>
      </w:r>
      <w:r>
        <w:rPr>
          <w:rFonts w:hint="eastAsia" w:cs="仿宋" w:asciiTheme="minorEastAsia" w:hAnsiTheme="minorEastAsia" w:eastAsiaTheme="minorEastAsia"/>
          <w:kern w:val="0"/>
          <w:szCs w:val="24"/>
        </w:rPr>
        <w:t>规定的顺序修正。修正后的报价按照财政部第</w:t>
      </w:r>
      <w:r>
        <w:rPr>
          <w:rFonts w:cs="仿宋" w:asciiTheme="minorEastAsia" w:hAnsiTheme="minorEastAsia" w:eastAsiaTheme="minorEastAsia"/>
          <w:kern w:val="0"/>
          <w:szCs w:val="24"/>
        </w:rPr>
        <w:t xml:space="preserve">87号令 </w:t>
      </w:r>
      <w:r>
        <w:rPr>
          <w:rFonts w:hint="eastAsia" w:cs="仿宋" w:asciiTheme="minorEastAsia" w:hAnsiTheme="minorEastAsia" w:eastAsiaTheme="minorEastAsia"/>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3.4.2</w:t>
      </w:r>
      <w:r>
        <w:rPr>
          <w:rFonts w:hint="eastAsia" w:cs="仿宋" w:asciiTheme="minorEastAsia" w:hAnsiTheme="minorEastAsia" w:eastAsiaTheme="minorEastAsia"/>
          <w:kern w:val="0"/>
          <w:sz w:val="24"/>
        </w:rPr>
        <w:t>投标文件出现不是唯一的、有选择性投标报价的，投标无效。</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3.4.3</w:t>
      </w:r>
      <w:r>
        <w:rPr>
          <w:rFonts w:hint="eastAsia" w:cs="仿宋" w:asciiTheme="minorEastAsia" w:hAnsiTheme="minorEastAsia" w:eastAsiaTheme="minorEastAsia"/>
          <w:kern w:val="0"/>
          <w:sz w:val="24"/>
        </w:rPr>
        <w:t>投标报价超过招标文件中规定的预算金额或者最高限价的，投标无效。</w:t>
      </w:r>
    </w:p>
    <w:p>
      <w:pPr>
        <w:pStyle w:val="16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3.4.4</w:t>
      </w:r>
      <w:r>
        <w:rPr>
          <w:rFonts w:hint="eastAsia" w:cs="仿宋" w:asciiTheme="minorEastAsia" w:hAnsiTheme="minorEastAsia" w:eastAsiaTheme="minor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inorEastAsia" w:hAnsiTheme="minorEastAsia" w:eastAsiaTheme="minorEastAsia"/>
          <w:kern w:val="0"/>
          <w:szCs w:val="24"/>
        </w:rPr>
        <w:t>;投标人不能证明其报价合理性的，评标委员会应当将其作为无效投标处理。</w:t>
      </w:r>
    </w:p>
    <w:p>
      <w:pPr>
        <w:pStyle w:val="160"/>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3.4.5</w:t>
      </w:r>
      <w:r>
        <w:rPr>
          <w:rFonts w:hint="eastAsia" w:cs="仿宋" w:asciiTheme="minorEastAsia" w:hAnsiTheme="minorEastAsia" w:eastAsiaTheme="minorEastAsia"/>
          <w:kern w:val="0"/>
          <w:szCs w:val="24"/>
        </w:rPr>
        <w:t>对于未预留份额专门面向中小企业的政府采购服务项目，以及预留份额政府采购服务项目中的非预留部分标项，对小型和微型企业的投标报价给予20%</w:t>
      </w:r>
      <w:r>
        <w:rPr>
          <w:rFonts w:cs="仿宋" w:asciiTheme="minorEastAsia" w:hAnsiTheme="minorEastAsia" w:eastAsiaTheme="minorEastAsia"/>
          <w:kern w:val="0"/>
          <w:szCs w:val="24"/>
        </w:rPr>
        <w:t>的扣除，用扣除后的价格参与评审。接受大中型企业与小</w:t>
      </w:r>
      <w:r>
        <w:rPr>
          <w:rFonts w:hint="eastAsia" w:cs="仿宋" w:asciiTheme="minorEastAsia" w:hAnsiTheme="minorEastAsia" w:eastAsiaTheme="minorEastAsia"/>
          <w:kern w:val="0"/>
          <w:szCs w:val="24"/>
        </w:rPr>
        <w:t>微企业组成联合体或者允许大中型企业向一家或者多家小微企业分包的政府采购服务项目，对于联合协议或者分包意向协议约定小微企业的合同份额占到合同总金额</w:t>
      </w:r>
      <w:r>
        <w:rPr>
          <w:rFonts w:cs="仿宋" w:asciiTheme="minorEastAsia" w:hAnsiTheme="minorEastAsia" w:eastAsiaTheme="minorEastAsia"/>
          <w:kern w:val="0"/>
          <w:szCs w:val="24"/>
        </w:rPr>
        <w:t>30%以上的，对联合体或者大中型企业的报价给予</w:t>
      </w:r>
      <w:r>
        <w:rPr>
          <w:rFonts w:hint="eastAsia" w:cs="仿宋" w:asciiTheme="minorEastAsia" w:hAnsiTheme="minorEastAsia" w:eastAsiaTheme="minorEastAsia"/>
          <w:kern w:val="0"/>
          <w:szCs w:val="24"/>
        </w:rPr>
        <w:t>6%</w:t>
      </w:r>
      <w:r>
        <w:rPr>
          <w:rFonts w:cs="仿宋" w:asciiTheme="minorEastAsia" w:hAnsiTheme="minorEastAsia" w:eastAsiaTheme="minorEastAsia"/>
          <w:kern w:val="0"/>
          <w:szCs w:val="24"/>
        </w:rPr>
        <w:t>的扣除，用扣除后的价格参加评审。组成联合体或者接受分包的小</w:t>
      </w:r>
      <w:r>
        <w:rPr>
          <w:rFonts w:hint="eastAsia" w:cs="仿宋" w:asciiTheme="minorEastAsia" w:hAnsiTheme="minorEastAsia" w:eastAsiaTheme="minorEastAsia"/>
          <w:kern w:val="0"/>
          <w:szCs w:val="24"/>
        </w:rPr>
        <w:t>微企业与联合体内其他企业、分包企业之间存在直接控股、管理关系的，不享受价格扣除优惠政策。</w:t>
      </w:r>
    </w:p>
    <w:p>
      <w:pPr>
        <w:spacing w:line="360" w:lineRule="auto"/>
        <w:ind w:firstLine="482" w:firstLineChars="200"/>
        <w:rPr>
          <w:rFonts w:cs="Arial" w:asciiTheme="minorEastAsia" w:hAnsiTheme="minorEastAsia" w:eastAsiaTheme="minorEastAsia"/>
          <w:kern w:val="0"/>
          <w:sz w:val="24"/>
        </w:rPr>
      </w:pPr>
      <w:r>
        <w:rPr>
          <w:rFonts w:cs="Arial" w:asciiTheme="minorEastAsia" w:hAnsiTheme="minorEastAsia" w:eastAsiaTheme="minorEastAsia"/>
          <w:b/>
          <w:kern w:val="0"/>
          <w:sz w:val="24"/>
        </w:rPr>
        <w:t>3.5</w:t>
      </w:r>
      <w:r>
        <w:rPr>
          <w:rFonts w:hint="eastAsia" w:cs="Arial" w:asciiTheme="minorEastAsia" w:hAnsiTheme="minorEastAsia" w:eastAsiaTheme="minorEastAsia"/>
          <w:b/>
          <w:kern w:val="0"/>
          <w:sz w:val="24"/>
        </w:rPr>
        <w:t>排序与推荐。</w:t>
      </w:r>
      <w:r>
        <w:rPr>
          <w:rFonts w:cs="Arial"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Arial" w:asciiTheme="minorEastAsia" w:hAnsiTheme="minorEastAsia" w:eastAsiaTheme="minorEastAsia"/>
          <w:kern w:val="0"/>
          <w:sz w:val="24"/>
        </w:rPr>
        <w:t>。</w:t>
      </w:r>
    </w:p>
    <w:p>
      <w:pPr>
        <w:spacing w:line="360" w:lineRule="auto"/>
        <w:rPr>
          <w:rFonts w:cs="Arial" w:asciiTheme="minorEastAsia" w:hAnsiTheme="minorEastAsia" w:eastAsiaTheme="minorEastAsia"/>
          <w:b/>
          <w:kern w:val="0"/>
          <w:sz w:val="24"/>
        </w:rPr>
      </w:pPr>
      <w:r>
        <w:rPr>
          <w:rFonts w:hint="eastAsia" w:cs="Arial"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3.6编写评标报告。</w:t>
      </w:r>
      <w:r>
        <w:rPr>
          <w:rFonts w:cs="Arial" w:asciiTheme="minorEastAsia" w:hAnsiTheme="minorEastAsia" w:eastAsiaTheme="minorEastAsia"/>
          <w:kern w:val="0"/>
          <w:sz w:val="24"/>
        </w:rPr>
        <w:t>评标委员会根据全体评标成员签字的原始评标记录和评标结果编写评标报告。</w:t>
      </w:r>
      <w:r>
        <w:rPr>
          <w:rFonts w:hint="eastAsia" w:cs="Arial" w:asciiTheme="minorEastAsia" w:hAnsiTheme="minorEastAsia" w:eastAsiaTheme="minor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160"/>
        <w:spacing w:before="0"/>
        <w:ind w:firstLine="0" w:firstLineChars="0"/>
        <w:rPr>
          <w:rFonts w:cs="Arial" w:asciiTheme="minorEastAsia" w:hAnsiTheme="minorEastAsia" w:eastAsiaTheme="minorEastAsia"/>
          <w:b/>
          <w:kern w:val="0"/>
          <w:sz w:val="30"/>
          <w:szCs w:val="30"/>
        </w:rPr>
      </w:pPr>
      <w:r>
        <w:rPr>
          <w:rFonts w:hint="eastAsia" w:cs="Arial" w:asciiTheme="minorEastAsia" w:hAnsiTheme="minorEastAsia" w:eastAsiaTheme="minorEastAsia"/>
          <w:b/>
          <w:kern w:val="0"/>
          <w:sz w:val="30"/>
          <w:szCs w:val="30"/>
        </w:rPr>
        <w:t>四、评标中的其他事项</w:t>
      </w:r>
    </w:p>
    <w:p>
      <w:pPr>
        <w:pStyle w:val="160"/>
        <w:spacing w:before="0"/>
        <w:ind w:firstLine="472" w:firstLineChars="196"/>
        <w:rPr>
          <w:rFonts w:cs="Arial" w:asciiTheme="minorEastAsia" w:hAnsiTheme="minorEastAsia" w:eastAsiaTheme="minorEastAsia"/>
          <w:kern w:val="0"/>
          <w:szCs w:val="24"/>
        </w:rPr>
      </w:pPr>
      <w:r>
        <w:rPr>
          <w:rFonts w:cs="Arial" w:asciiTheme="minorEastAsia" w:hAnsiTheme="minorEastAsia" w:eastAsiaTheme="minorEastAsia"/>
          <w:b/>
          <w:kern w:val="0"/>
          <w:szCs w:val="24"/>
        </w:rPr>
        <w:t>4.1</w:t>
      </w:r>
      <w:r>
        <w:rPr>
          <w:rFonts w:hint="eastAsia" w:cs="Arial" w:asciiTheme="minorEastAsia" w:hAnsiTheme="minorEastAsia" w:eastAsiaTheme="minorEastAsia"/>
          <w:b/>
          <w:kern w:val="0"/>
          <w:szCs w:val="24"/>
        </w:rPr>
        <w:t>投标人澄清、说明或者补正。</w:t>
      </w:r>
      <w:r>
        <w:rPr>
          <w:rFonts w:hint="eastAsia" w:cs="Arial"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仿宋_GB2312" w:asciiTheme="minorEastAsia" w:hAnsiTheme="minorEastAsia" w:eastAsiaTheme="minorEastAsia"/>
          <w:szCs w:val="21"/>
        </w:rPr>
      </w:pPr>
      <w:r>
        <w:rPr>
          <w:rFonts w:cs="Arial" w:asciiTheme="minorEastAsia" w:hAnsiTheme="minorEastAsia" w:eastAsiaTheme="minorEastAsia"/>
          <w:b/>
          <w:kern w:val="0"/>
        </w:rPr>
        <w:t>4.2投标无效。</w:t>
      </w:r>
      <w:r>
        <w:rPr>
          <w:rFonts w:hint="eastAsia" w:cs="仿宋_GB2312" w:asciiTheme="minorEastAsia" w:hAnsiTheme="minorEastAsia" w:eastAsiaTheme="minorEastAsia"/>
          <w:szCs w:val="21"/>
        </w:rPr>
        <w:t>有下列情形之一的，投标无效：</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4.2.2投标文件未按照招标文件要求签署、盖章的；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eastAsiaTheme="minorEastAsia"/>
          <w:kern w:val="0"/>
          <w:sz w:val="24"/>
        </w:rPr>
        <w:t>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4.2.4投标文件含有采购人不能接受的附加条件的；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cs="Arial" w:asciiTheme="minorEastAsia" w:hAnsiTheme="minorEastAsia" w:eastAsiaTheme="minorEastAsia"/>
          <w:kern w:val="0"/>
          <w:sz w:val="24"/>
        </w:rPr>
      </w:pPr>
      <w:r>
        <w:rPr>
          <w:rFonts w:cs="Arial" w:asciiTheme="minorEastAsia" w:hAnsiTheme="minorEastAsia" w:eastAsiaTheme="minorEastAsia"/>
          <w:kern w:val="0"/>
          <w:sz w:val="24"/>
        </w:rPr>
        <w:t xml:space="preserve">  </w:t>
      </w:r>
      <w:r>
        <w:rPr>
          <w:rFonts w:hint="eastAsia" w:cs="Arial" w:asciiTheme="minorEastAsia" w:hAnsiTheme="minorEastAsia" w:eastAsiaTheme="minorEastAsia"/>
          <w:kern w:val="0"/>
          <w:sz w:val="24"/>
        </w:rPr>
        <w:t xml:space="preserve"> </w:t>
      </w:r>
      <w:r>
        <w:rPr>
          <w:rFonts w:cs="Arial" w:asciiTheme="minorEastAsia" w:hAnsiTheme="minorEastAsia" w:eastAsiaTheme="minorEastAsia"/>
          <w:kern w:val="0"/>
          <w:sz w:val="24"/>
        </w:rPr>
        <w:t>4.2.6投标文件出现不是唯一的、有选择性投标报价的;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4.2.9投标人对根据修正原则修正后的报价不确认的；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4.2.10投标人提供虚假材料投标的；</w:t>
      </w:r>
    </w:p>
    <w:p>
      <w:pPr>
        <w:spacing w:line="360" w:lineRule="auto"/>
        <w:ind w:firstLine="240" w:firstLineChars="100"/>
        <w:rPr>
          <w:rFonts w:cs="Arial" w:asciiTheme="minorEastAsia" w:hAnsiTheme="minorEastAsia" w:eastAsiaTheme="minorEastAsia"/>
          <w:kern w:val="0"/>
          <w:sz w:val="24"/>
        </w:rPr>
      </w:pPr>
      <w:r>
        <w:rPr>
          <w:rFonts w:cs="Arial" w:asciiTheme="minorEastAsia" w:hAnsiTheme="minorEastAsia"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4.2.12投标人仅提交备份投标文件，</w:t>
      </w:r>
      <w:r>
        <w:rPr>
          <w:rFonts w:hint="eastAsia" w:cs="Arial" w:asciiTheme="minorEastAsia" w:hAnsiTheme="minorEastAsia" w:eastAsiaTheme="minorEastAsia"/>
          <w:kern w:val="0"/>
          <w:sz w:val="24"/>
        </w:rPr>
        <w:t>未</w:t>
      </w:r>
      <w:r>
        <w:rPr>
          <w:rFonts w:cs="Arial" w:asciiTheme="minorEastAsia" w:hAnsiTheme="minorEastAsia" w:eastAsiaTheme="minorEastAsia"/>
          <w:kern w:val="0"/>
          <w:sz w:val="24"/>
        </w:rPr>
        <w:t>在电子交易平台传输递交投标文件的，投标无效；</w:t>
      </w:r>
    </w:p>
    <w:p>
      <w:pPr>
        <w:pStyle w:val="2"/>
        <w:ind w:left="862" w:leftChars="205"/>
        <w:rPr>
          <w:rFonts w:cs="Arial" w:asciiTheme="minorEastAsia" w:hAnsiTheme="minorEastAsia" w:eastAsiaTheme="minorEastAsia"/>
          <w:b w:val="0"/>
          <w:bCs w:val="0"/>
          <w:kern w:val="0"/>
          <w:sz w:val="24"/>
          <w:szCs w:val="24"/>
          <w:lang w:val="en-US"/>
        </w:rPr>
      </w:pPr>
      <w:r>
        <w:rPr>
          <w:rFonts w:cs="Arial" w:asciiTheme="minorEastAsia" w:hAnsiTheme="minorEastAsia" w:eastAsiaTheme="minorEastAsia"/>
          <w:b w:val="0"/>
          <w:bCs w:val="0"/>
          <w:kern w:val="0"/>
          <w:sz w:val="24"/>
          <w:szCs w:val="24"/>
          <w:lang w:val="en-US"/>
        </w:rPr>
        <w:t xml:space="preserve">4.2.13 </w:t>
      </w:r>
      <w:r>
        <w:rPr>
          <w:rFonts w:hint="eastAsia" w:cs="Arial" w:asciiTheme="minorEastAsia" w:hAnsiTheme="minorEastAsia" w:eastAsiaTheme="minorEastAsia"/>
          <w:b w:val="0"/>
          <w:bCs w:val="0"/>
          <w:kern w:val="0"/>
          <w:sz w:val="24"/>
          <w:szCs w:val="24"/>
          <w:lang w:val="en-US"/>
        </w:rPr>
        <w:t>投标文件不满足招标文件的其它实质性要求的；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4.2.14法律、法规、规章（适用本市的）及省级以上规范性文件（适用本市的）规定的其他无效情形。</w:t>
      </w:r>
    </w:p>
    <w:p>
      <w:pPr>
        <w:pStyle w:val="24"/>
        <w:snapToGrid w:val="0"/>
        <w:spacing w:line="360" w:lineRule="auto"/>
        <w:ind w:firstLine="472" w:firstLineChars="196"/>
        <w:rPr>
          <w:rFonts w:cs="仿宋_GB2312" w:asciiTheme="minorEastAsia" w:hAnsiTheme="minorEastAsia" w:eastAsiaTheme="minorEastAsia"/>
        </w:rPr>
      </w:pPr>
      <w:r>
        <w:rPr>
          <w:rFonts w:cs="仿宋_GB2312" w:asciiTheme="minorEastAsia" w:hAnsiTheme="minorEastAsia" w:eastAsiaTheme="minorEastAsia"/>
          <w:b/>
        </w:rPr>
        <w:t>5.废标。</w:t>
      </w:r>
      <w:r>
        <w:rPr>
          <w:rFonts w:hint="eastAsia" w:cs="仿宋_GB2312" w:asciiTheme="minorEastAsia" w:hAnsiTheme="minorEastAsia" w:eastAsiaTheme="minorEastAsia"/>
        </w:rPr>
        <w:t>根据《中华人民共和国政府采购法》第三十六条之规定，在采购中，出现下列情形之一的，应予废标：</w:t>
      </w:r>
    </w:p>
    <w:p>
      <w:pPr>
        <w:pStyle w:val="24"/>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5.1符合专业条件的供应商或者对招标文件作实质响应的供应商不足3家的；</w:t>
      </w:r>
    </w:p>
    <w:p>
      <w:pPr>
        <w:pStyle w:val="24"/>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5.2出现影响采购公正的违法、违规行为的；</w:t>
      </w:r>
    </w:p>
    <w:p>
      <w:pPr>
        <w:pStyle w:val="24"/>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5.3投标人的报价均超过了采购预算，采购人不能支付的；</w:t>
      </w:r>
    </w:p>
    <w:p>
      <w:pPr>
        <w:pStyle w:val="24"/>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5.4因重大变故，采购任务取消的。</w:t>
      </w:r>
    </w:p>
    <w:p>
      <w:pPr>
        <w:pStyle w:val="24"/>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废标后，采购机构应当将废标理由通知所有投标人。</w:t>
      </w:r>
    </w:p>
    <w:p>
      <w:pPr>
        <w:pStyle w:val="24"/>
        <w:snapToGrid w:val="0"/>
        <w:spacing w:line="360" w:lineRule="auto"/>
        <w:ind w:firstLine="590" w:firstLineChars="245"/>
        <w:rPr>
          <w:rFonts w:cs="仿宋_GB2312" w:asciiTheme="minorEastAsia" w:hAnsiTheme="minorEastAsia" w:eastAsiaTheme="minorEastAsia"/>
        </w:rPr>
      </w:pPr>
      <w:r>
        <w:rPr>
          <w:rFonts w:cs="仿宋_GB2312" w:asciiTheme="minorEastAsia" w:hAnsiTheme="minorEastAsia" w:eastAsiaTheme="minorEastAsia"/>
          <w:b/>
        </w:rPr>
        <w:t>6.修改招标文件，重新组织采购活动。</w:t>
      </w:r>
      <w:r>
        <w:rPr>
          <w:rFonts w:hint="eastAsia" w:cs="仿宋_GB2312"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7.重新开展采购。有政府采购法第七十一条、第七十二条规定的违法行为之一，影响或者可能影响中标结果的，依照下列规定处理：</w:t>
      </w:r>
    </w:p>
    <w:p>
      <w:pPr>
        <w:pStyle w:val="24"/>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7.1未确定中标供应商的，终止本次政府采购活动，重新开展政府采购活动。</w:t>
      </w:r>
    </w:p>
    <w:p>
      <w:pPr>
        <w:pStyle w:val="24"/>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7.4政府采购合同已经履行，给采购人、供应商造成损失的，由责任人承担赔偿责任。</w:t>
      </w:r>
    </w:p>
    <w:p>
      <w:pPr>
        <w:pStyle w:val="24"/>
        <w:snapToGrid w:val="0"/>
        <w:spacing w:line="360" w:lineRule="auto"/>
        <w:rPr>
          <w:rFonts w:cs="仿宋_GB2312" w:asciiTheme="minorEastAsia" w:hAnsiTheme="minorEastAsia" w:eastAsiaTheme="minorEastAsia"/>
          <w:b/>
          <w:sz w:val="36"/>
          <w:szCs w:val="36"/>
        </w:rPr>
      </w:pPr>
      <w:r>
        <w:rPr>
          <w:rFonts w:hint="eastAsia" w:cs="仿宋_GB2312" w:asciiTheme="minorEastAsia" w:hAnsiTheme="minorEastAsia" w:eastAsiaTheme="minorEastAsia"/>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pPr>
        <w:widowControl/>
        <w:adjustRightInd/>
        <w:jc w:val="center"/>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r>
        <w:rPr>
          <w:rFonts w:hint="eastAsia" w:cs="仿宋_GB2312" w:asciiTheme="minorEastAsia" w:hAnsiTheme="minorEastAsia" w:eastAsiaTheme="minorEastAsia"/>
          <w:b/>
          <w:sz w:val="36"/>
          <w:szCs w:val="36"/>
        </w:rPr>
        <w:t>第五部分</w:t>
      </w:r>
      <w:r>
        <w:rPr>
          <w:rFonts w:cs="仿宋_GB2312" w:asciiTheme="minorEastAsia" w:hAnsiTheme="minorEastAsia" w:eastAsiaTheme="minorEastAsia"/>
          <w:b/>
          <w:sz w:val="36"/>
          <w:szCs w:val="36"/>
        </w:rPr>
        <w:t xml:space="preserve"> </w:t>
      </w:r>
      <w:r>
        <w:rPr>
          <w:rFonts w:hint="eastAsia" w:cs="仿宋_GB2312" w:asciiTheme="minorEastAsia" w:hAnsiTheme="minorEastAsia" w:eastAsiaTheme="minorEastAsia"/>
          <w:b/>
          <w:sz w:val="36"/>
          <w:szCs w:val="36"/>
        </w:rPr>
        <w:t>拟签订的合同文本</w:t>
      </w:r>
    </w:p>
    <w:p>
      <w:pPr>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asciiTheme="minorEastAsia" w:hAnsiTheme="minorEastAsia" w:eastAsiaTheme="minorEastAsia"/>
          <w:sz w:val="24"/>
          <w:u w:val="single"/>
        </w:rPr>
        <w:t xml:space="preserve">           </w:t>
      </w:r>
    </w:p>
    <w:p>
      <w:pPr>
        <w:spacing w:line="480" w:lineRule="auto"/>
        <w:jc w:val="center"/>
        <w:rPr>
          <w:rFonts w:asciiTheme="minorEastAsia" w:hAnsiTheme="minorEastAsia" w:eastAsiaTheme="minorEastAsia"/>
          <w:b/>
          <w:sz w:val="28"/>
          <w:szCs w:val="28"/>
        </w:rPr>
      </w:pPr>
    </w:p>
    <w:p>
      <w:pPr>
        <w:spacing w:line="480" w:lineRule="auto"/>
        <w:jc w:val="center"/>
        <w:rPr>
          <w:rFonts w:asciiTheme="minorEastAsia" w:hAnsiTheme="minorEastAsia" w:eastAsiaTheme="minorEastAsia"/>
          <w:b/>
          <w:sz w:val="24"/>
        </w:rPr>
      </w:pPr>
    </w:p>
    <w:p>
      <w:pPr>
        <w:spacing w:line="480" w:lineRule="auto"/>
        <w:jc w:val="center"/>
        <w:rPr>
          <w:rFonts w:asciiTheme="minorEastAsia" w:hAnsiTheme="minorEastAsia" w:eastAsiaTheme="minorEastAsia"/>
          <w:b/>
          <w:sz w:val="24"/>
        </w:rPr>
      </w:pPr>
    </w:p>
    <w:p>
      <w:pPr>
        <w:spacing w:line="48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政府采购合同参考范本</w:t>
      </w:r>
    </w:p>
    <w:p>
      <w:pPr>
        <w:spacing w:line="48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（服务类）</w:t>
      </w:r>
    </w:p>
    <w:p>
      <w:pPr>
        <w:pStyle w:val="705"/>
        <w:rPr>
          <w:rFonts w:asciiTheme="minorEastAsia" w:hAnsiTheme="minorEastAsia" w:eastAsiaTheme="minorEastAsia"/>
          <w:szCs w:val="24"/>
        </w:rPr>
      </w:pPr>
    </w:p>
    <w:p>
      <w:pPr>
        <w:pStyle w:val="705"/>
        <w:rPr>
          <w:rFonts w:asciiTheme="minorEastAsia" w:hAnsiTheme="minorEastAsia" w:eastAsiaTheme="minorEastAsia"/>
          <w:szCs w:val="24"/>
        </w:rPr>
      </w:pPr>
    </w:p>
    <w:p>
      <w:pPr>
        <w:pStyle w:val="705"/>
        <w:jc w:val="center"/>
        <w:rPr>
          <w:rFonts w:asciiTheme="minorEastAsia" w:hAnsiTheme="minorEastAsia" w:eastAsiaTheme="minorEastAsia"/>
          <w:szCs w:val="24"/>
        </w:rPr>
      </w:pPr>
    </w:p>
    <w:p>
      <w:pPr>
        <w:pStyle w:val="705"/>
        <w:ind w:firstLine="2843" w:firstLineChars="1180"/>
        <w:rPr>
          <w:rFonts w:asciiTheme="minorEastAsia" w:hAnsiTheme="minorEastAsia" w:eastAsiaTheme="minorEastAsia"/>
          <w:b/>
          <w:szCs w:val="24"/>
        </w:rPr>
      </w:pPr>
      <w:r>
        <w:rPr>
          <w:rFonts w:hint="eastAsia" w:asciiTheme="minorEastAsia" w:hAnsiTheme="minorEastAsia" w:eastAsiaTheme="minorEastAsia"/>
          <w:b/>
          <w:szCs w:val="24"/>
        </w:rPr>
        <w:t>第一部分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合同书</w:t>
      </w:r>
    </w:p>
    <w:p>
      <w:pPr>
        <w:pStyle w:val="705"/>
        <w:rPr>
          <w:rFonts w:asciiTheme="minorEastAsia" w:hAnsiTheme="minorEastAsia" w:eastAsiaTheme="minorEastAsia"/>
          <w:szCs w:val="24"/>
        </w:rPr>
      </w:pPr>
    </w:p>
    <w:p>
      <w:pPr>
        <w:pStyle w:val="705"/>
        <w:rPr>
          <w:rFonts w:asciiTheme="minorEastAsia" w:hAnsiTheme="minorEastAsia" w:eastAsiaTheme="minorEastAsia"/>
          <w:szCs w:val="24"/>
        </w:rPr>
      </w:pPr>
    </w:p>
    <w:p>
      <w:pPr>
        <w:spacing w:before="120" w:line="22" w:lineRule="atLeast"/>
        <w:rPr>
          <w:rFonts w:asciiTheme="minorEastAsia" w:hAnsiTheme="minorEastAsia" w:eastAsiaTheme="minorEastAsia"/>
          <w:sz w:val="24"/>
        </w:rPr>
      </w:pPr>
    </w:p>
    <w:p>
      <w:pPr>
        <w:spacing w:before="120" w:line="22" w:lineRule="atLeast"/>
        <w:ind w:left="960"/>
        <w:rPr>
          <w:rFonts w:asciiTheme="minorEastAsia" w:hAnsiTheme="minorEastAsia" w:eastAsiaTheme="minorEastAsia"/>
          <w:sz w:val="24"/>
        </w:rPr>
      </w:pPr>
      <w:r>
        <w:rPr>
          <w:rFonts w:hint="eastAsia" w:asciiTheme="minorEastAsia" w:hAnsiTheme="minorEastAsia" w:eastAsiaTheme="minorEastAsia"/>
          <w:sz w:val="24"/>
        </w:rPr>
        <w:t>项目名称：</w:t>
      </w:r>
      <w:r>
        <w:rPr>
          <w:rFonts w:asciiTheme="minorEastAsia" w:hAnsiTheme="minorEastAsia" w:eastAsiaTheme="minorEastAsia"/>
          <w:sz w:val="24"/>
          <w:u w:val="single"/>
        </w:rPr>
        <w:t xml:space="preserve">                                   </w:t>
      </w:r>
    </w:p>
    <w:p>
      <w:pPr>
        <w:pStyle w:val="600"/>
        <w:spacing w:before="120" w:line="22" w:lineRule="atLeast"/>
        <w:rPr>
          <w:rFonts w:asciiTheme="minorEastAsia" w:hAnsiTheme="minorEastAsia" w:eastAsiaTheme="minorEastAsia"/>
          <w:szCs w:val="24"/>
        </w:rPr>
      </w:pPr>
    </w:p>
    <w:p>
      <w:pPr>
        <w:pStyle w:val="600"/>
        <w:spacing w:before="120" w:line="22" w:lineRule="atLeast"/>
        <w:rPr>
          <w:rFonts w:asciiTheme="minorEastAsia" w:hAnsiTheme="minorEastAsia" w:eastAsiaTheme="minorEastAsia"/>
          <w:szCs w:val="24"/>
        </w:rPr>
      </w:pPr>
    </w:p>
    <w:p>
      <w:pPr>
        <w:rPr>
          <w:rFonts w:asciiTheme="minorEastAsia" w:hAnsiTheme="minorEastAsia" w:eastAsiaTheme="minorEastAsia"/>
          <w:sz w:val="24"/>
        </w:rPr>
      </w:pPr>
    </w:p>
    <w:p>
      <w:pPr>
        <w:spacing w:before="120" w:line="22" w:lineRule="atLeast"/>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asciiTheme="minorEastAsia" w:hAnsiTheme="minorEastAsia" w:eastAsiaTheme="minorEastAsia"/>
          <w:sz w:val="24"/>
          <w:u w:val="single"/>
        </w:rPr>
        <w:t xml:space="preserve">                                       </w:t>
      </w:r>
    </w:p>
    <w:p>
      <w:pPr>
        <w:spacing w:before="120" w:line="22" w:lineRule="atLeast"/>
        <w:rPr>
          <w:rFonts w:asciiTheme="minorEastAsia" w:hAnsiTheme="minorEastAsia" w:eastAsiaTheme="minorEastAsia"/>
          <w:sz w:val="24"/>
        </w:rPr>
      </w:pPr>
    </w:p>
    <w:p>
      <w:pPr>
        <w:spacing w:before="120" w:line="22" w:lineRule="atLeast"/>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asciiTheme="minorEastAsia" w:hAnsiTheme="minorEastAsia" w:eastAsiaTheme="minorEastAsia"/>
          <w:sz w:val="24"/>
          <w:u w:val="single"/>
        </w:rPr>
        <w:t xml:space="preserve">                                       </w:t>
      </w:r>
    </w:p>
    <w:p>
      <w:pPr>
        <w:spacing w:before="120" w:line="22" w:lineRule="atLeast"/>
        <w:rPr>
          <w:rFonts w:asciiTheme="minorEastAsia" w:hAnsiTheme="minorEastAsia" w:eastAsiaTheme="minorEastAsia"/>
          <w:sz w:val="24"/>
        </w:rPr>
      </w:pPr>
    </w:p>
    <w:p>
      <w:pPr>
        <w:spacing w:before="120" w:line="22" w:lineRule="atLeast"/>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asciiTheme="minorEastAsia" w:hAnsiTheme="minorEastAsia" w:eastAsiaTheme="minorEastAsia"/>
          <w:sz w:val="24"/>
          <w:u w:val="single"/>
        </w:rPr>
        <w:t xml:space="preserve">                                     </w:t>
      </w:r>
    </w:p>
    <w:p>
      <w:pPr>
        <w:spacing w:before="120" w:line="22" w:lineRule="atLeast"/>
        <w:rPr>
          <w:rFonts w:asciiTheme="minorEastAsia" w:hAnsiTheme="minorEastAsia" w:eastAsiaTheme="minorEastAsia"/>
          <w:sz w:val="24"/>
        </w:rPr>
      </w:pPr>
    </w:p>
    <w:p>
      <w:pPr>
        <w:spacing w:before="120" w:line="22" w:lineRule="atLeast"/>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widowControl/>
        <w:jc w:val="left"/>
        <w:rPr>
          <w:rFonts w:asciiTheme="minorEastAsia" w:hAnsiTheme="minorEastAsia" w:eastAsiaTheme="minorEastAsia"/>
          <w:kern w:val="0"/>
          <w:sz w:val="24"/>
        </w:rPr>
        <w:sectPr>
          <w:pgSz w:w="11907" w:h="16840"/>
          <w:pgMar w:top="1474" w:right="1814" w:bottom="1474" w:left="1814" w:header="851" w:footer="851" w:gutter="0"/>
          <w:cols w:space="720" w:num="1"/>
        </w:sectPr>
      </w:pPr>
    </w:p>
    <w:p>
      <w:pPr>
        <w:spacing w:line="360" w:lineRule="auto"/>
        <w:jc w:val="left"/>
        <w:rPr>
          <w:rFonts w:ascii="宋体" w:hAnsi="宋体" w:cs="宋体"/>
          <w:sz w:val="24"/>
        </w:rPr>
      </w:pPr>
      <w:r>
        <w:rPr>
          <w:rFonts w:hint="eastAsia" w:ascii="宋体" w:hAnsi="宋体" w:cs="宋体"/>
          <w:sz w:val="24"/>
        </w:rPr>
        <w:t xml:space="preserve">   根据《中华人民共和国政府采购法》和《中华人民共和国民法典》、地方有关物业管理法律、法规和政策，在平等、自愿、协商一致的基础上，就甲方委托乙方实行专业化、一体化的物业管理订立本合同。</w:t>
      </w:r>
    </w:p>
    <w:p>
      <w:pPr>
        <w:spacing w:line="360" w:lineRule="auto"/>
        <w:jc w:val="left"/>
        <w:rPr>
          <w:rFonts w:ascii="宋体" w:hAnsi="宋体" w:cs="宋体"/>
          <w:sz w:val="24"/>
        </w:rPr>
      </w:pPr>
      <w:r>
        <w:rPr>
          <w:rFonts w:hint="eastAsia" w:ascii="宋体" w:hAnsi="宋体" w:cs="宋体"/>
          <w:sz w:val="24"/>
        </w:rPr>
        <w:t>第一条 定义</w:t>
      </w:r>
    </w:p>
    <w:p>
      <w:pPr>
        <w:spacing w:line="360" w:lineRule="auto"/>
        <w:ind w:firstLine="480" w:firstLineChars="200"/>
        <w:jc w:val="left"/>
        <w:rPr>
          <w:rFonts w:ascii="宋体" w:hAnsi="宋体" w:cs="宋体"/>
          <w:sz w:val="24"/>
        </w:rPr>
      </w:pPr>
      <w:r>
        <w:rPr>
          <w:rFonts w:hint="eastAsia" w:ascii="宋体" w:hAnsi="宋体" w:cs="宋体"/>
          <w:sz w:val="24"/>
        </w:rPr>
        <w:t>1.“合同”即由采购人、中标人共同签订的合同格式中的文件，包括所有的附件、附录和组成合同部分的所有其他文件。</w:t>
      </w:r>
    </w:p>
    <w:p>
      <w:pPr>
        <w:spacing w:line="360" w:lineRule="auto"/>
        <w:ind w:firstLine="480" w:firstLineChars="200"/>
        <w:jc w:val="left"/>
        <w:rPr>
          <w:rFonts w:ascii="宋体" w:hAnsi="宋体" w:cs="宋体"/>
          <w:sz w:val="24"/>
        </w:rPr>
      </w:pPr>
      <w:r>
        <w:rPr>
          <w:rFonts w:hint="eastAsia" w:ascii="宋体" w:hAnsi="宋体" w:cs="宋体"/>
          <w:sz w:val="24"/>
        </w:rPr>
        <w:t>合同将由杭州市西溪医院（以下简称甲方）与</w:t>
      </w:r>
      <w:r>
        <w:rPr>
          <w:rFonts w:hint="eastAsia" w:ascii="宋体" w:hAnsi="宋体" w:cs="宋体"/>
          <w:sz w:val="24"/>
          <w:u w:val="single"/>
        </w:rPr>
        <w:t xml:space="preserve">        </w:t>
      </w:r>
      <w:r>
        <w:rPr>
          <w:rFonts w:hint="eastAsia" w:ascii="宋体" w:hAnsi="宋体" w:cs="宋体"/>
          <w:sz w:val="24"/>
        </w:rPr>
        <w:t>（以下简称乙方）结合本项目具体情况协商后签订。以下为甲方提出涉及乙方的主要条款，乙方在投标文件中应对其进行确认或拒绝。如乙方在其投标文件中未做拒绝或提出修改要求的，将视作乙方认同。</w:t>
      </w:r>
    </w:p>
    <w:p>
      <w:pPr>
        <w:spacing w:line="360" w:lineRule="auto"/>
        <w:ind w:firstLine="480" w:firstLineChars="200"/>
        <w:rPr>
          <w:rFonts w:ascii="宋体" w:hAnsi="宋体" w:cs="宋体"/>
          <w:sz w:val="24"/>
        </w:rPr>
      </w:pPr>
      <w:r>
        <w:rPr>
          <w:rFonts w:hint="eastAsia" w:ascii="宋体" w:hAnsi="宋体" w:cs="宋体"/>
          <w:sz w:val="24"/>
        </w:rPr>
        <w:t>2. “合同价格”系指根据合同规定，在乙方全面正确地履行合同义务时，甲方应支付给乙方的款项。</w:t>
      </w:r>
    </w:p>
    <w:p>
      <w:pPr>
        <w:snapToGrid w:val="0"/>
        <w:spacing w:line="360" w:lineRule="auto"/>
        <w:ind w:firstLine="480" w:firstLineChars="200"/>
        <w:rPr>
          <w:rFonts w:ascii="宋体" w:hAnsi="宋体" w:cs="宋体"/>
          <w:sz w:val="24"/>
        </w:rPr>
      </w:pPr>
      <w:r>
        <w:rPr>
          <w:rFonts w:hint="eastAsia" w:ascii="宋体" w:hAnsi="宋体" w:cs="宋体"/>
          <w:sz w:val="24"/>
        </w:rPr>
        <w:t>3. “管理服务” 系指乙方按投标文件规定，结合本项目的设施配置及本物业使用性质特点，提出物业管理服务定位、目标，为甲方提供优质的物业服务。。</w:t>
      </w:r>
    </w:p>
    <w:p>
      <w:pPr>
        <w:spacing w:line="360" w:lineRule="auto"/>
        <w:ind w:firstLine="480" w:firstLineChars="200"/>
        <w:rPr>
          <w:rFonts w:ascii="宋体" w:hAnsi="宋体" w:cs="宋体"/>
          <w:sz w:val="24"/>
        </w:rPr>
      </w:pPr>
      <w:r>
        <w:rPr>
          <w:rFonts w:hint="eastAsia" w:ascii="宋体" w:hAnsi="宋体" w:cs="宋体"/>
          <w:sz w:val="24"/>
        </w:rPr>
        <w:t>4. “现场”系指将要提供物业管理与服务的地点</w:t>
      </w:r>
      <w:r>
        <w:rPr>
          <w:rFonts w:hint="eastAsia" w:ascii="宋体" w:hAnsi="宋体" w:cs="宋体"/>
          <w:szCs w:val="21"/>
        </w:rPr>
        <w:t>。</w:t>
      </w:r>
    </w:p>
    <w:p>
      <w:pPr>
        <w:spacing w:line="360" w:lineRule="auto"/>
        <w:ind w:firstLine="480" w:firstLineChars="200"/>
        <w:rPr>
          <w:rFonts w:ascii="宋体" w:hAnsi="宋体" w:cs="宋体"/>
          <w:sz w:val="24"/>
        </w:rPr>
      </w:pPr>
      <w:r>
        <w:rPr>
          <w:rFonts w:hint="eastAsia" w:ascii="宋体" w:hAnsi="宋体" w:cs="宋体"/>
          <w:sz w:val="24"/>
        </w:rPr>
        <w:t>5. “验收”系指甲方依据国家有关规定接受合同所依据的程序和条件。</w:t>
      </w:r>
    </w:p>
    <w:p>
      <w:pPr>
        <w:spacing w:line="360" w:lineRule="auto"/>
        <w:rPr>
          <w:rFonts w:ascii="宋体" w:hAnsi="宋体" w:cs="宋体"/>
          <w:sz w:val="24"/>
        </w:rPr>
      </w:pPr>
      <w:r>
        <w:rPr>
          <w:rFonts w:hint="eastAsia" w:ascii="宋体" w:hAnsi="宋体" w:cs="宋体"/>
          <w:sz w:val="24"/>
        </w:rPr>
        <w:t>第二条 适用范围</w:t>
      </w:r>
    </w:p>
    <w:p>
      <w:pPr>
        <w:spacing w:line="360" w:lineRule="auto"/>
        <w:ind w:firstLine="480" w:firstLineChars="200"/>
        <w:rPr>
          <w:rFonts w:ascii="宋体" w:hAnsi="宋体" w:cs="宋体"/>
          <w:sz w:val="24"/>
        </w:rPr>
      </w:pPr>
      <w:r>
        <w:rPr>
          <w:rFonts w:hint="eastAsia" w:ascii="宋体" w:hAnsi="宋体" w:cs="宋体"/>
          <w:sz w:val="24"/>
        </w:rPr>
        <w:t>本合同条款适用于本次采购活动。项目实施范围详见附件——投标文件和投标文件及补充文件、承诺书等。</w:t>
      </w:r>
    </w:p>
    <w:p>
      <w:pPr>
        <w:spacing w:line="360" w:lineRule="auto"/>
        <w:rPr>
          <w:rFonts w:ascii="宋体" w:hAnsi="宋体" w:cs="宋体"/>
          <w:sz w:val="24"/>
        </w:rPr>
      </w:pPr>
      <w:r>
        <w:rPr>
          <w:rFonts w:hint="eastAsia" w:ascii="宋体" w:hAnsi="宋体" w:cs="宋体"/>
          <w:sz w:val="24"/>
        </w:rPr>
        <w:t>第三条 物业基本情况</w:t>
      </w:r>
    </w:p>
    <w:p>
      <w:pPr>
        <w:snapToGrid w:val="0"/>
        <w:spacing w:line="360" w:lineRule="auto"/>
        <w:ind w:firstLine="480" w:firstLineChars="200"/>
        <w:rPr>
          <w:rFonts w:ascii="宋体" w:hAnsi="宋体" w:cs="宋体"/>
          <w:sz w:val="24"/>
        </w:rPr>
      </w:pPr>
      <w:r>
        <w:rPr>
          <w:rFonts w:hint="eastAsia" w:ascii="宋体" w:hAnsi="宋体" w:cs="宋体"/>
          <w:sz w:val="24"/>
        </w:rPr>
        <w:t>物业名称：</w:t>
      </w:r>
      <w:r>
        <w:rPr>
          <w:rFonts w:hint="eastAsia" w:ascii="宋体" w:hAnsi="宋体" w:cs="宋体"/>
          <w:sz w:val="24"/>
        </w:rPr>
        <w:softHyphen/>
      </w:r>
      <w:r>
        <w:rPr>
          <w:rFonts w:hint="eastAsia" w:ascii="宋体" w:hAnsi="宋体" w:cs="宋体"/>
          <w:sz w:val="24"/>
        </w:rPr>
        <w:softHyphen/>
      </w:r>
      <w:r>
        <w:rPr>
          <w:rFonts w:hint="eastAsia" w:ascii="宋体" w:hAnsi="宋体" w:cs="宋体"/>
          <w:sz w:val="24"/>
        </w:rPr>
        <w:t xml:space="preserve"> 杭州市西溪医院</w:t>
      </w:r>
    </w:p>
    <w:p>
      <w:pPr>
        <w:snapToGrid w:val="0"/>
        <w:spacing w:line="360" w:lineRule="auto"/>
        <w:ind w:firstLine="480" w:firstLineChars="200"/>
        <w:rPr>
          <w:rFonts w:ascii="宋体" w:hAnsi="宋体" w:cs="宋体"/>
          <w:sz w:val="24"/>
        </w:rPr>
      </w:pPr>
      <w:r>
        <w:rPr>
          <w:rFonts w:hint="eastAsia" w:ascii="宋体" w:hAnsi="宋体" w:cs="宋体"/>
          <w:sz w:val="24"/>
        </w:rPr>
        <w:t>物业类型：</w:t>
      </w:r>
      <w:r>
        <w:rPr>
          <w:rFonts w:hint="eastAsia" w:ascii="宋体" w:hAnsi="宋体" w:cs="宋体"/>
          <w:sz w:val="24"/>
        </w:rPr>
        <w:softHyphen/>
      </w:r>
      <w:r>
        <w:rPr>
          <w:rFonts w:hint="eastAsia" w:ascii="宋体" w:hAnsi="宋体" w:cs="宋体"/>
          <w:sz w:val="24"/>
        </w:rPr>
        <w:softHyphen/>
      </w:r>
      <w:r>
        <w:rPr>
          <w:rFonts w:hint="eastAsia" w:ascii="宋体" w:hAnsi="宋体" w:cs="宋体"/>
          <w:sz w:val="24"/>
        </w:rPr>
        <w:t xml:space="preserve"> 公共物业</w:t>
      </w:r>
    </w:p>
    <w:p>
      <w:pPr>
        <w:snapToGrid w:val="0"/>
        <w:spacing w:line="360" w:lineRule="auto"/>
        <w:ind w:firstLine="480" w:firstLineChars="200"/>
        <w:rPr>
          <w:rFonts w:ascii="宋体" w:hAnsi="宋体" w:cs="宋体"/>
          <w:sz w:val="24"/>
        </w:rPr>
      </w:pPr>
      <w:r>
        <w:rPr>
          <w:rFonts w:hint="eastAsia" w:ascii="宋体" w:hAnsi="宋体" w:cs="宋体"/>
          <w:sz w:val="24"/>
        </w:rPr>
        <w:t>坐落位置：</w:t>
      </w:r>
      <w:r>
        <w:rPr>
          <w:rFonts w:hint="eastAsia" w:ascii="宋体" w:hAnsi="宋体" w:cs="宋体"/>
          <w:sz w:val="24"/>
        </w:rPr>
        <w:softHyphen/>
      </w:r>
      <w:r>
        <w:rPr>
          <w:rFonts w:hint="eastAsia" w:ascii="宋体" w:hAnsi="宋体" w:cs="宋体"/>
          <w:sz w:val="24"/>
        </w:rPr>
        <w:softHyphen/>
      </w:r>
      <w:r>
        <w:rPr>
          <w:rFonts w:hint="eastAsia" w:ascii="宋体" w:hAnsi="宋体" w:cs="宋体"/>
          <w:sz w:val="24"/>
        </w:rPr>
        <w:t xml:space="preserve"> 杭州市西湖区留下街道横埠街2号</w:t>
      </w:r>
    </w:p>
    <w:p>
      <w:pPr>
        <w:spacing w:line="360" w:lineRule="auto"/>
        <w:rPr>
          <w:rFonts w:ascii="宋体" w:hAnsi="宋体" w:cs="宋体"/>
          <w:sz w:val="24"/>
        </w:rPr>
      </w:pPr>
      <w:r>
        <w:rPr>
          <w:rFonts w:hint="eastAsia" w:ascii="宋体" w:hAnsi="宋体" w:cs="宋体"/>
          <w:sz w:val="24"/>
        </w:rPr>
        <w:t>第四条委托管理事项</w:t>
      </w:r>
    </w:p>
    <w:p>
      <w:pPr>
        <w:snapToGrid w:val="0"/>
        <w:spacing w:line="360" w:lineRule="auto"/>
        <w:ind w:firstLine="480" w:firstLineChars="200"/>
        <w:rPr>
          <w:rFonts w:ascii="宋体" w:hAnsi="宋体" w:cs="宋体"/>
          <w:sz w:val="24"/>
        </w:rPr>
      </w:pPr>
      <w:r>
        <w:rPr>
          <w:rFonts w:hint="eastAsia" w:ascii="宋体" w:hAnsi="宋体" w:cs="宋体"/>
          <w:sz w:val="24"/>
        </w:rPr>
        <w:t>列入本次综合物业管理的范围为：保洁、运送、会议与活动服务、PVC地板打蜡保养、医院各项应急事件的配合；（具体内容详见招标文件）。</w:t>
      </w:r>
    </w:p>
    <w:p>
      <w:pPr>
        <w:spacing w:line="360" w:lineRule="auto"/>
        <w:rPr>
          <w:rFonts w:ascii="宋体" w:hAnsi="宋体" w:cs="宋体"/>
          <w:sz w:val="24"/>
        </w:rPr>
      </w:pPr>
      <w:r>
        <w:rPr>
          <w:rFonts w:hint="eastAsia" w:ascii="宋体" w:hAnsi="宋体" w:cs="宋体"/>
          <w:sz w:val="24"/>
        </w:rPr>
        <w:t>第五条合同期限</w:t>
      </w:r>
    </w:p>
    <w:p>
      <w:pPr>
        <w:snapToGrid w:val="0"/>
        <w:spacing w:line="360" w:lineRule="auto"/>
        <w:ind w:firstLine="480" w:firstLineChars="200"/>
        <w:rPr>
          <w:rFonts w:ascii="宋体" w:hAnsi="宋体" w:cs="宋体"/>
          <w:sz w:val="24"/>
        </w:rPr>
      </w:pPr>
      <w:r>
        <w:rPr>
          <w:rFonts w:hint="eastAsia" w:ascii="宋体" w:hAnsi="宋体" w:cs="宋体"/>
          <w:sz w:val="24"/>
        </w:rPr>
        <w:t>自   年   月   日至    年    月   日，1年。特别说明：若存在空挡期，202</w:t>
      </w:r>
      <w:r>
        <w:rPr>
          <w:rFonts w:ascii="宋体" w:hAnsi="宋体" w:cs="宋体"/>
          <w:sz w:val="24"/>
        </w:rPr>
        <w:t>2</w:t>
      </w:r>
      <w:r>
        <w:rPr>
          <w:rFonts w:hint="eastAsia" w:ascii="宋体" w:hAnsi="宋体" w:cs="宋体"/>
          <w:sz w:val="24"/>
        </w:rPr>
        <w:t>年</w:t>
      </w:r>
      <w:r>
        <w:rPr>
          <w:rFonts w:ascii="宋体" w:hAnsi="宋体" w:cs="宋体"/>
          <w:sz w:val="24"/>
        </w:rPr>
        <w:t>8</w:t>
      </w:r>
      <w:r>
        <w:rPr>
          <w:rFonts w:hint="eastAsia" w:ascii="宋体" w:hAnsi="宋体" w:cs="宋体"/>
          <w:sz w:val="24"/>
        </w:rPr>
        <w:t>月1日起至合同签订之日前的空档期物业服务由原供应商承担，费用由中标人按本次中标价单日单人金额乘以实际服务天数实际服务人数，与原供应商结算。</w:t>
      </w:r>
    </w:p>
    <w:p>
      <w:pPr>
        <w:spacing w:line="360" w:lineRule="auto"/>
        <w:rPr>
          <w:rFonts w:ascii="宋体" w:hAnsi="宋体" w:cs="宋体"/>
          <w:sz w:val="24"/>
        </w:rPr>
      </w:pPr>
      <w:r>
        <w:rPr>
          <w:rFonts w:hint="eastAsia" w:ascii="宋体" w:hAnsi="宋体" w:cs="宋体"/>
          <w:sz w:val="24"/>
        </w:rPr>
        <w:t>第六条物业装备、耗材的使用</w:t>
      </w:r>
    </w:p>
    <w:p>
      <w:pPr>
        <w:snapToGrid w:val="0"/>
        <w:spacing w:line="360" w:lineRule="auto"/>
        <w:ind w:firstLine="480" w:firstLineChars="200"/>
        <w:rPr>
          <w:rFonts w:ascii="宋体" w:hAnsi="宋体" w:cs="宋体"/>
          <w:sz w:val="24"/>
        </w:rPr>
      </w:pPr>
      <w:r>
        <w:rPr>
          <w:rFonts w:hint="eastAsia" w:ascii="宋体" w:hAnsi="宋体" w:cs="宋体"/>
          <w:sz w:val="24"/>
        </w:rPr>
        <w:t>甲方免费提供物业管理的办公场地，但办公用品（指办公桌、电脑、打印机、对讲机、文件柜等自身使用的等办公用品）由乙方自行解决。</w:t>
      </w:r>
    </w:p>
    <w:p>
      <w:pPr>
        <w:spacing w:line="360" w:lineRule="auto"/>
        <w:rPr>
          <w:rFonts w:ascii="宋体" w:hAnsi="宋体" w:cs="宋体"/>
          <w:sz w:val="24"/>
        </w:rPr>
      </w:pPr>
      <w:r>
        <w:rPr>
          <w:rFonts w:hint="eastAsia" w:ascii="宋体" w:hAnsi="宋体" w:cs="宋体"/>
          <w:sz w:val="24"/>
        </w:rPr>
        <w:t>第七条履约担保</w:t>
      </w:r>
    </w:p>
    <w:p>
      <w:pPr>
        <w:snapToGrid w:val="0"/>
        <w:spacing w:line="360" w:lineRule="auto"/>
        <w:ind w:firstLine="480" w:firstLineChars="200"/>
        <w:rPr>
          <w:rFonts w:ascii="宋体" w:hAnsi="宋体" w:cs="宋体"/>
        </w:rPr>
      </w:pPr>
      <w:r>
        <w:rPr>
          <w:rFonts w:hint="eastAsia" w:ascii="宋体" w:hAnsi="宋体" w:cs="宋体"/>
          <w:sz w:val="24"/>
        </w:rPr>
        <w:t>在合同签订之日起7天内，乙方须向甲方提供中标价1%的履约保证金或履约保函，履约保证金在项目服务期满后，无违约责任发生的30天内无息退回；履约保函有效时间应在服务期结束之后。</w:t>
      </w:r>
    </w:p>
    <w:p>
      <w:pPr>
        <w:spacing w:line="360" w:lineRule="auto"/>
        <w:rPr>
          <w:rFonts w:ascii="宋体" w:hAnsi="宋体" w:cs="宋体"/>
          <w:sz w:val="24"/>
        </w:rPr>
      </w:pPr>
      <w:r>
        <w:rPr>
          <w:rFonts w:hint="eastAsia" w:ascii="宋体" w:hAnsi="宋体" w:cs="宋体"/>
          <w:sz w:val="24"/>
        </w:rPr>
        <w:t>第八条物业管理收费</w:t>
      </w:r>
    </w:p>
    <w:p>
      <w:pPr>
        <w:snapToGrid w:val="0"/>
        <w:spacing w:line="360" w:lineRule="auto"/>
        <w:ind w:firstLine="480" w:firstLineChars="200"/>
        <w:rPr>
          <w:rFonts w:ascii="宋体" w:hAnsi="宋体" w:cs="宋体"/>
          <w:sz w:val="24"/>
        </w:rPr>
      </w:pPr>
      <w:r>
        <w:rPr>
          <w:rFonts w:hint="eastAsia" w:ascii="宋体" w:hAnsi="宋体" w:cs="宋体"/>
          <w:sz w:val="24"/>
        </w:rPr>
        <w:t>1.本合同期内物业管理服务费中标价格为人民币（大写）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元），按需求人数（133人）分摊后收费标准为：</w:t>
      </w:r>
      <w:r>
        <w:rPr>
          <w:rFonts w:hint="eastAsia" w:ascii="宋体" w:hAnsi="宋体" w:cs="宋体"/>
          <w:sz w:val="24"/>
          <w:u w:val="single"/>
        </w:rPr>
        <w:t xml:space="preserve">        </w:t>
      </w:r>
      <w:r>
        <w:rPr>
          <w:rFonts w:hint="eastAsia" w:ascii="宋体" w:hAnsi="宋体" w:cs="宋体"/>
          <w:sz w:val="24"/>
        </w:rPr>
        <w:t>元/人/月，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元/人/日，包含202</w:t>
      </w:r>
      <w:r>
        <w:rPr>
          <w:rFonts w:ascii="宋体" w:hAnsi="宋体" w:cs="宋体"/>
          <w:sz w:val="24"/>
        </w:rPr>
        <w:t>2</w:t>
      </w:r>
      <w:r>
        <w:rPr>
          <w:rFonts w:hint="eastAsia" w:ascii="宋体" w:hAnsi="宋体" w:cs="宋体"/>
          <w:sz w:val="24"/>
        </w:rPr>
        <w:t>年</w:t>
      </w:r>
      <w:r>
        <w:rPr>
          <w:rFonts w:ascii="宋体" w:hAnsi="宋体" w:cs="宋体"/>
          <w:sz w:val="24"/>
        </w:rPr>
        <w:t>8</w:t>
      </w:r>
      <w:r>
        <w:rPr>
          <w:rFonts w:hint="eastAsia" w:ascii="宋体" w:hAnsi="宋体" w:cs="宋体"/>
          <w:sz w:val="24"/>
        </w:rPr>
        <w:t>月1日至合同签订之日前的空档期物业服务费用</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若存在空档期）。甲方每月按实际用工人数及分摊后人员单价核算，其中将每月物业管理人员和服务人员工资总额中的30000元作为考核奖金。每月考核得分由：杭州市西溪医院物业管理考核小组（占考核总分的20%)、临床科室（占考核总分的40%)、勤务中心（占考核总分的40%)三者组成。实际考核发放金额由：考核得分折算金额、考核奖励金额、考核处罚金额三者组成。</w:t>
      </w:r>
    </w:p>
    <w:p>
      <w:pPr>
        <w:snapToGrid w:val="0"/>
        <w:spacing w:line="360" w:lineRule="auto"/>
        <w:ind w:firstLine="480" w:firstLineChars="200"/>
        <w:rPr>
          <w:rFonts w:ascii="宋体" w:hAnsi="宋体" w:cs="宋体"/>
          <w:sz w:val="24"/>
        </w:rPr>
      </w:pPr>
      <w:r>
        <w:rPr>
          <w:rFonts w:hint="eastAsia" w:ascii="宋体" w:hAnsi="宋体" w:cs="宋体"/>
          <w:sz w:val="24"/>
        </w:rPr>
        <w:t>除本合同明确约定可以另行收取的费用外，所有物业管理及服务费用均包括在内，乙方不得另行向甲方或使用人收取任何费用。乙方需及时完成各岗位的所有工作并符合质量标准，因不能及时完成工作而延长工作时间所产生的费用均由乙方自行承担，甲方不支付任何加班费用（突发性任务和事例产生的加班费除外）。如甲方所在地最低工资或相应国家政策性费用标准提高，甲方将按乙方委派的人员数量并根据国家政策性费用标准提高增加本合同服务费用，乙方承诺增加工资部分全额调整给员工。</w:t>
      </w:r>
    </w:p>
    <w:p>
      <w:pPr>
        <w:snapToGrid w:val="0"/>
        <w:spacing w:line="360" w:lineRule="auto"/>
        <w:ind w:firstLine="480" w:firstLineChars="200"/>
        <w:rPr>
          <w:rFonts w:ascii="宋体" w:hAnsi="宋体" w:cs="宋体"/>
          <w:sz w:val="24"/>
        </w:rPr>
      </w:pPr>
      <w:r>
        <w:rPr>
          <w:rFonts w:hint="eastAsia" w:ascii="宋体" w:hAnsi="宋体" w:cs="宋体"/>
          <w:sz w:val="24"/>
        </w:rPr>
        <w:t>2.本条第1款的服务费用是根据签订本合同时已定的服务内容、服务范围和服务工作量等确定的，如果甲方因业务发展需要要求乙方增减工人数量，则服务费用作相应增减，增减费用按乙方相应岗位工时结算，由乙方按日上报增减工时及费用，经甲方逐级审核后与服务费用同时结算。</w:t>
      </w:r>
    </w:p>
    <w:p>
      <w:pPr>
        <w:spacing w:line="360" w:lineRule="auto"/>
        <w:rPr>
          <w:rFonts w:ascii="宋体" w:hAnsi="宋体" w:cs="宋体"/>
          <w:sz w:val="24"/>
        </w:rPr>
      </w:pPr>
      <w:r>
        <w:rPr>
          <w:rFonts w:hint="eastAsia" w:ascii="宋体" w:hAnsi="宋体" w:cs="宋体"/>
          <w:sz w:val="24"/>
        </w:rPr>
        <w:t>物业管理服务费成本监审：</w:t>
      </w:r>
    </w:p>
    <w:p>
      <w:pPr>
        <w:snapToGrid w:val="0"/>
        <w:spacing w:line="360" w:lineRule="auto"/>
        <w:ind w:firstLine="480" w:firstLineChars="200"/>
        <w:rPr>
          <w:rFonts w:ascii="宋体" w:hAnsi="宋体" w:cs="宋体"/>
          <w:sz w:val="24"/>
        </w:rPr>
      </w:pPr>
      <w:r>
        <w:rPr>
          <w:rFonts w:hint="eastAsia" w:ascii="宋体" w:hAnsi="宋体" w:cs="宋体"/>
          <w:sz w:val="24"/>
        </w:rPr>
        <w:t>乙方承诺，接受甲方主管部门实施的物业管理服务费成本监审，并遵守以下原则：</w:t>
      </w:r>
    </w:p>
    <w:p>
      <w:pPr>
        <w:snapToGrid w:val="0"/>
        <w:spacing w:line="360" w:lineRule="auto"/>
        <w:ind w:firstLine="480" w:firstLineChars="200"/>
        <w:rPr>
          <w:rFonts w:ascii="宋体" w:hAnsi="宋体" w:cs="宋体"/>
          <w:sz w:val="24"/>
        </w:rPr>
      </w:pPr>
      <w:r>
        <w:rPr>
          <w:rFonts w:hint="eastAsia" w:ascii="宋体" w:hAnsi="宋体" w:cs="宋体"/>
          <w:sz w:val="24"/>
        </w:rPr>
        <w:t>1．合法性原则。计入定价成本的费用符合有关法律、行政法律和国家统一会计制度的规定；</w:t>
      </w:r>
    </w:p>
    <w:p>
      <w:pPr>
        <w:snapToGrid w:val="0"/>
        <w:spacing w:line="360" w:lineRule="auto"/>
        <w:ind w:firstLine="480" w:firstLineChars="200"/>
        <w:rPr>
          <w:rFonts w:ascii="宋体" w:hAnsi="宋体" w:cs="宋体"/>
          <w:sz w:val="24"/>
        </w:rPr>
      </w:pPr>
      <w:r>
        <w:rPr>
          <w:rFonts w:hint="eastAsia" w:ascii="宋体" w:hAnsi="宋体" w:cs="宋体"/>
          <w:sz w:val="24"/>
        </w:rPr>
        <w:t>2．相关性原则。计入定价成本的费用为与物业服务直接相关或间接相关的费用；</w:t>
      </w:r>
    </w:p>
    <w:p>
      <w:pPr>
        <w:snapToGrid w:val="0"/>
        <w:spacing w:line="360" w:lineRule="auto"/>
        <w:ind w:firstLine="480" w:firstLineChars="200"/>
        <w:rPr>
          <w:rFonts w:ascii="宋体" w:hAnsi="宋体" w:cs="宋体"/>
          <w:sz w:val="24"/>
        </w:rPr>
      </w:pPr>
      <w:r>
        <w:rPr>
          <w:rFonts w:hint="eastAsia" w:ascii="宋体" w:hAnsi="宋体" w:cs="宋体"/>
          <w:sz w:val="24"/>
        </w:rPr>
        <w:t>3．对应性原则。计入定价成本的费用与物业服务内容及服务标准相对应；</w:t>
      </w:r>
    </w:p>
    <w:p>
      <w:pPr>
        <w:snapToGrid w:val="0"/>
        <w:spacing w:line="360" w:lineRule="auto"/>
        <w:ind w:firstLine="480" w:firstLineChars="200"/>
        <w:rPr>
          <w:rFonts w:ascii="宋体" w:hAnsi="宋体" w:cs="宋体"/>
          <w:sz w:val="24"/>
        </w:rPr>
      </w:pPr>
      <w:r>
        <w:rPr>
          <w:rFonts w:hint="eastAsia" w:ascii="宋体" w:hAnsi="宋体" w:cs="宋体"/>
          <w:sz w:val="24"/>
        </w:rPr>
        <w:t>4．合理性原则。与物业服务定价成本各项费用的主要技术、经济指标均符合行业标准或者社会公允水平。</w:t>
      </w:r>
    </w:p>
    <w:p>
      <w:pPr>
        <w:spacing w:line="360" w:lineRule="auto"/>
        <w:rPr>
          <w:rFonts w:ascii="宋体" w:hAnsi="宋体" w:cs="宋体"/>
          <w:sz w:val="24"/>
        </w:rPr>
      </w:pPr>
      <w:r>
        <w:rPr>
          <w:rFonts w:hint="eastAsia" w:ascii="宋体" w:hAnsi="宋体" w:cs="宋体"/>
          <w:sz w:val="24"/>
        </w:rPr>
        <w:t>第九条费用结算方式</w:t>
      </w:r>
    </w:p>
    <w:p>
      <w:pPr>
        <w:snapToGrid w:val="0"/>
        <w:spacing w:line="360" w:lineRule="auto"/>
        <w:ind w:firstLine="480" w:firstLineChars="200"/>
        <w:rPr>
          <w:rFonts w:ascii="宋体" w:hAnsi="宋体" w:cs="宋体"/>
          <w:sz w:val="24"/>
        </w:rPr>
      </w:pPr>
      <w:r>
        <w:rPr>
          <w:rFonts w:hint="eastAsia" w:ascii="宋体" w:hAnsi="宋体" w:cs="宋体"/>
          <w:sz w:val="24"/>
        </w:rPr>
        <w:t>若存在空档期，乙方进场后，甲方需在十五天内向乙方支付202</w:t>
      </w:r>
      <w:r>
        <w:rPr>
          <w:rFonts w:ascii="宋体" w:hAnsi="宋体" w:cs="宋体"/>
          <w:sz w:val="24"/>
        </w:rPr>
        <w:t>2</w:t>
      </w:r>
      <w:r>
        <w:rPr>
          <w:rFonts w:hint="eastAsia" w:ascii="宋体" w:hAnsi="宋体" w:cs="宋体"/>
          <w:sz w:val="24"/>
        </w:rPr>
        <w:t>年</w:t>
      </w:r>
      <w:r>
        <w:rPr>
          <w:rFonts w:ascii="宋体" w:hAnsi="宋体" w:cs="宋体"/>
          <w:sz w:val="24"/>
        </w:rPr>
        <w:t>8</w:t>
      </w:r>
      <w:r>
        <w:rPr>
          <w:rFonts w:hint="eastAsia" w:ascii="宋体" w:hAnsi="宋体" w:cs="宋体"/>
          <w:sz w:val="24"/>
        </w:rPr>
        <w:t>月1日至合同签订之日前的空档期物业服务费用</w:t>
      </w:r>
      <w:r>
        <w:rPr>
          <w:rFonts w:ascii="宋体" w:hAnsi="宋体" w:cs="宋体"/>
          <w:sz w:val="24"/>
          <w:u w:val="single"/>
        </w:rPr>
        <w:t xml:space="preserve">       </w:t>
      </w:r>
      <w:r>
        <w:rPr>
          <w:rFonts w:hint="eastAsia" w:ascii="宋体" w:hAnsi="宋体" w:cs="宋体"/>
          <w:sz w:val="24"/>
        </w:rPr>
        <w:t>元。乙方服务并通过甲方考核后，甲方凭乙方开具的正规发票和甲方认可的各项记录复印件，每月支付一次, 在次月的25日前支付给乙方上月物业管理费。甲方无故逾期支付服务费用的，按照每逾期一日支付本期应支付服务费额度的5‰承担违约责任。</w:t>
      </w:r>
    </w:p>
    <w:p>
      <w:pPr>
        <w:spacing w:line="360" w:lineRule="auto"/>
        <w:rPr>
          <w:rFonts w:ascii="宋体" w:hAnsi="宋体" w:cs="宋体"/>
          <w:sz w:val="24"/>
        </w:rPr>
      </w:pPr>
      <w:r>
        <w:rPr>
          <w:rFonts w:hint="eastAsia" w:ascii="宋体" w:hAnsi="宋体" w:cs="宋体"/>
          <w:sz w:val="24"/>
        </w:rPr>
        <w:t>第十条履约保证金</w:t>
      </w:r>
    </w:p>
    <w:p>
      <w:pPr>
        <w:snapToGrid w:val="0"/>
        <w:spacing w:line="360" w:lineRule="auto"/>
        <w:ind w:firstLine="480" w:firstLineChars="200"/>
        <w:rPr>
          <w:rFonts w:ascii="宋体" w:hAnsi="宋体" w:cs="宋体"/>
          <w:sz w:val="24"/>
        </w:rPr>
      </w:pPr>
      <w:r>
        <w:rPr>
          <w:rFonts w:hint="eastAsia" w:ascii="宋体" w:hAnsi="宋体" w:cs="宋体"/>
          <w:sz w:val="24"/>
        </w:rPr>
        <w:t>1. 签订合同后3个工作日内，乙方须向甲方交纳相当于合同总额1%的履约保证金。以保证乙方遵守本合同的一切条款、条件和承诺，该保证金在甲方的规定存续期间不计息。</w:t>
      </w:r>
    </w:p>
    <w:p>
      <w:pPr>
        <w:snapToGrid w:val="0"/>
        <w:spacing w:line="360" w:lineRule="auto"/>
        <w:ind w:firstLine="480" w:firstLineChars="200"/>
        <w:rPr>
          <w:rFonts w:ascii="宋体" w:hAnsi="宋体" w:cs="宋体"/>
          <w:sz w:val="24"/>
        </w:rPr>
      </w:pPr>
      <w:r>
        <w:rPr>
          <w:rFonts w:hint="eastAsia" w:ascii="宋体" w:hAnsi="宋体" w:cs="宋体"/>
          <w:sz w:val="24"/>
        </w:rPr>
        <w:t>2. 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napToGrid w:val="0"/>
        <w:spacing w:line="360" w:lineRule="auto"/>
        <w:ind w:firstLine="480" w:firstLineChars="200"/>
        <w:rPr>
          <w:rFonts w:ascii="宋体" w:hAnsi="宋体" w:cs="宋体"/>
          <w:sz w:val="24"/>
        </w:rPr>
      </w:pPr>
      <w:r>
        <w:rPr>
          <w:rFonts w:hint="eastAsia" w:ascii="宋体" w:hAnsi="宋体" w:cs="宋体"/>
          <w:sz w:val="24"/>
        </w:rPr>
        <w:t>3. 甲方认为乙方在服务期内没有涉及甲方的应付而未付金额或违约行为，甲方在服务期满后或提前终止承包后一个月内全额退还履约保证金，否则，甲方将在扣除乙方应付金额或违约金后退还保证金余额。</w:t>
      </w:r>
    </w:p>
    <w:p>
      <w:pPr>
        <w:snapToGrid w:val="0"/>
        <w:spacing w:line="360" w:lineRule="auto"/>
        <w:ind w:firstLine="480" w:firstLineChars="200"/>
        <w:rPr>
          <w:rFonts w:ascii="宋体" w:hAnsi="宋体" w:cs="宋体"/>
          <w:sz w:val="24"/>
        </w:rPr>
      </w:pPr>
      <w:r>
        <w:rPr>
          <w:rFonts w:hint="eastAsia" w:ascii="宋体" w:hAnsi="宋体" w:cs="宋体"/>
          <w:sz w:val="24"/>
        </w:rPr>
        <w:t>4．物业服务期满，通过验收，甲方于收到乙方退还履约保证金申请之日起5个工作日内退还乙方履约保证金。甲方无故逾期退还的，按照每逾期一日支付履约保证金5‰的额度承担违约责任。</w:t>
      </w:r>
    </w:p>
    <w:p>
      <w:pPr>
        <w:spacing w:line="360" w:lineRule="auto"/>
        <w:rPr>
          <w:rFonts w:ascii="宋体" w:hAnsi="宋体" w:cs="宋体"/>
          <w:sz w:val="24"/>
        </w:rPr>
      </w:pPr>
      <w:r>
        <w:rPr>
          <w:rFonts w:hint="eastAsia" w:ascii="宋体" w:hAnsi="宋体" w:cs="宋体"/>
          <w:sz w:val="24"/>
        </w:rPr>
        <w:t>第十一条物业管理服务质量要求</w:t>
      </w:r>
    </w:p>
    <w:p>
      <w:pPr>
        <w:snapToGrid w:val="0"/>
        <w:spacing w:line="360" w:lineRule="auto"/>
        <w:ind w:firstLine="480" w:firstLineChars="200"/>
        <w:rPr>
          <w:rFonts w:ascii="宋体" w:hAnsi="宋体" w:cs="宋体"/>
          <w:sz w:val="24"/>
        </w:rPr>
      </w:pPr>
      <w:r>
        <w:rPr>
          <w:rFonts w:hint="eastAsia" w:ascii="宋体" w:hAnsi="宋体" w:cs="宋体"/>
          <w:sz w:val="24"/>
        </w:rPr>
        <w:t>乙方须按下列约定，实现目标管理，如双方认为需要进一步细化的，可以通过附件形式进行进一步明确。</w:t>
      </w:r>
    </w:p>
    <w:p>
      <w:pPr>
        <w:snapToGrid w:val="0"/>
        <w:spacing w:line="360" w:lineRule="auto"/>
        <w:ind w:firstLine="480" w:firstLineChars="200"/>
        <w:rPr>
          <w:rFonts w:ascii="宋体" w:hAnsi="宋体" w:cs="宋体"/>
          <w:sz w:val="24"/>
        </w:rPr>
      </w:pPr>
      <w:r>
        <w:rPr>
          <w:rFonts w:hint="eastAsia" w:ascii="宋体" w:hAnsi="宋体" w:cs="宋体"/>
          <w:sz w:val="24"/>
        </w:rPr>
        <w:t>1．乙方根据楼层分布和甲方需求岗位安排一定数量的物业人员进行相应的服务，保证乙方人员工作规范，作风优良；</w:t>
      </w:r>
    </w:p>
    <w:p>
      <w:pPr>
        <w:snapToGrid w:val="0"/>
        <w:spacing w:line="360" w:lineRule="auto"/>
        <w:ind w:firstLine="480" w:firstLineChars="200"/>
        <w:rPr>
          <w:rFonts w:ascii="宋体" w:hAnsi="宋体" w:cs="宋体"/>
          <w:sz w:val="24"/>
        </w:rPr>
      </w:pPr>
      <w:r>
        <w:rPr>
          <w:rFonts w:hint="eastAsia" w:ascii="宋体" w:hAnsi="宋体" w:cs="宋体"/>
          <w:sz w:val="24"/>
        </w:rPr>
        <w:t>2．甲方工作人员及其他物业使用人可随时组织进行对乙方物业服务的综合考评；</w:t>
      </w:r>
    </w:p>
    <w:p>
      <w:pPr>
        <w:snapToGrid w:val="0"/>
        <w:spacing w:line="360" w:lineRule="auto"/>
        <w:ind w:firstLine="480" w:firstLineChars="200"/>
        <w:rPr>
          <w:rFonts w:ascii="宋体" w:hAnsi="宋体" w:cs="宋体"/>
          <w:sz w:val="24"/>
        </w:rPr>
      </w:pPr>
      <w:r>
        <w:rPr>
          <w:rFonts w:hint="eastAsia" w:ascii="宋体" w:hAnsi="宋体" w:cs="宋体"/>
          <w:sz w:val="24"/>
        </w:rPr>
        <w:t>3. 投标文件规定的其他内容。</w:t>
      </w:r>
    </w:p>
    <w:p>
      <w:pPr>
        <w:spacing w:line="360" w:lineRule="auto"/>
        <w:rPr>
          <w:rFonts w:ascii="宋体" w:hAnsi="宋体" w:cs="宋体"/>
          <w:sz w:val="24"/>
        </w:rPr>
      </w:pPr>
      <w:r>
        <w:rPr>
          <w:rFonts w:hint="eastAsia" w:ascii="宋体" w:hAnsi="宋体" w:cs="宋体"/>
          <w:sz w:val="24"/>
        </w:rPr>
        <w:t>第十二条经营制约</w:t>
      </w:r>
    </w:p>
    <w:p>
      <w:pPr>
        <w:spacing w:line="360" w:lineRule="auto"/>
        <w:ind w:firstLine="480" w:firstLineChars="200"/>
        <w:rPr>
          <w:rFonts w:ascii="宋体" w:hAnsi="宋体" w:cs="宋体"/>
          <w:sz w:val="24"/>
        </w:rPr>
      </w:pPr>
      <w:r>
        <w:rPr>
          <w:rFonts w:hint="eastAsia" w:ascii="宋体" w:hAnsi="宋体" w:cs="宋体"/>
          <w:sz w:val="24"/>
        </w:rPr>
        <w:t>1. 未经甲方同意，乙方在承包区域中从事任何广告活动或类似宣传的，甲方有权责令乙方限期改正，并接受处罚；</w:t>
      </w:r>
    </w:p>
    <w:p>
      <w:pPr>
        <w:spacing w:line="360" w:lineRule="auto"/>
        <w:ind w:firstLine="480" w:firstLineChars="200"/>
        <w:rPr>
          <w:rFonts w:ascii="宋体" w:hAnsi="宋体" w:cs="宋体"/>
          <w:sz w:val="24"/>
        </w:rPr>
      </w:pPr>
      <w:r>
        <w:rPr>
          <w:rFonts w:hint="eastAsia" w:ascii="宋体" w:hAnsi="宋体" w:cs="宋体"/>
          <w:sz w:val="24"/>
        </w:rPr>
        <w:t>2. 乙方不得以甲方的名义从事任何经济活动，一旦发生的，甲方有权责令乙方限期改正，并接受处罚；且由此发生的一切债权、债务与甲方无关。</w:t>
      </w:r>
    </w:p>
    <w:p>
      <w:pPr>
        <w:spacing w:line="360" w:lineRule="auto"/>
        <w:rPr>
          <w:rFonts w:ascii="宋体" w:hAnsi="宋体" w:cs="宋体"/>
          <w:sz w:val="24"/>
        </w:rPr>
      </w:pPr>
      <w:r>
        <w:rPr>
          <w:rFonts w:hint="eastAsia" w:ascii="宋体" w:hAnsi="宋体" w:cs="宋体"/>
          <w:sz w:val="24"/>
        </w:rPr>
        <w:t>第十三条乙方对甲方作出如下承诺：</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 乙方应允许甲方或其授权的人员对承包区域内各项服务质量控制进行检查，有关费用由乙方承担。</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 在承包区域的各项服务，其工作时间必须满足甲方的工作要求，包括星期天及公众假期。如遇特殊情况，甲方可要求乙方调整工作时间直至全天二十四小时工作。</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 乙方必须聘请(或指定)一位经理(项目总负责人)，全权代表乙方与甲方保持密切联系并保证承包区域服务工作。根据综合考评或工作情况，甲方有权要求乙方在一个星期内更换经理（项目总负责人）、相关骨干人员。</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5.乙方如需更换经理(项目总负责人)，应至少提前1个月以书面形式通知甲方，并征得甲方同意。后任继续行使合同文件约定的前任的职权，履行前任的义务。</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6. 为服务区域的工作配备甲方需求的岗位数量，甲方不定期抽查乙方岗位情况，如果抽查时发现岗位无人员，甲方可以按缺岗1000元/次累计扣除当月服务款。乙方聘用的工作人员必须符合劳动部门有关用工规定，并经乙方相关专业考核合格后持证上岗，甲方有权进行审核，该类费用开支由乙方负担。</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7.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8. 乙方工作人员上岗穿着由甲方确认的制服及甲方许可的装饰物品，费用和制作均由乙方负担。</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9. 乙方必须出具或办妥法律及甲方规定的与承包区域经营业务有关的执照和许可证，方可从事经营并在经营中遵守一切有关条例和规定，自行缴纳有关税费。</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10. 乙方必须确保为甲方提供优质、高效的专业服务，并根据甲方要求改变不满意的服务状况，接受有关部门监督与检查。同时，乙方自觉参加甲方认为有助提高甲方形象的宣传活动。</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11.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12. 乙方在承包区域因作业所需增加机械、电力设备及设施应征得甲方同意，并聘请有资格的承造商进行安装、保养并将施工安装保养记录手册和图，交由甲方备案。</w:t>
      </w:r>
    </w:p>
    <w:p>
      <w:pPr>
        <w:snapToGrid w:val="0"/>
        <w:spacing w:line="360" w:lineRule="auto"/>
        <w:ind w:firstLine="480" w:firstLineChars="200"/>
        <w:rPr>
          <w:rFonts w:ascii="宋体" w:hAnsi="宋体" w:cs="宋体"/>
          <w:sz w:val="24"/>
        </w:rPr>
      </w:pPr>
      <w:r>
        <w:rPr>
          <w:rFonts w:hint="eastAsia" w:ascii="宋体" w:hAnsi="宋体" w:cs="宋体"/>
          <w:sz w:val="24"/>
        </w:rPr>
        <w:t>13.用于保洁的拖把抹布按医院要求分色分类分区域使用，并按照清洗消毒标准操作，同时乙方保证有足量清洁的用品用于日常保洁工作。乙方提供足量的生活垃圾袋以满足甲方各区域的使用需求（包括黑色、蓝色、绿色、红色等分类垃圾袋）。</w:t>
      </w:r>
    </w:p>
    <w:p>
      <w:pPr>
        <w:spacing w:line="360" w:lineRule="auto"/>
        <w:ind w:firstLine="480" w:firstLineChars="200"/>
        <w:rPr>
          <w:rFonts w:ascii="宋体" w:hAnsi="宋体" w:cs="宋体"/>
          <w:sz w:val="24"/>
        </w:rPr>
      </w:pPr>
      <w:r>
        <w:rPr>
          <w:rFonts w:hint="eastAsia" w:ascii="宋体" w:hAnsi="宋体" w:cs="宋体"/>
          <w:sz w:val="24"/>
        </w:rPr>
        <w:t>14. 禁止事项</w:t>
      </w:r>
    </w:p>
    <w:p>
      <w:pPr>
        <w:spacing w:line="360" w:lineRule="auto"/>
        <w:ind w:firstLine="480" w:firstLineChars="200"/>
        <w:rPr>
          <w:rFonts w:ascii="宋体" w:hAnsi="宋体" w:cs="宋体"/>
          <w:sz w:val="24"/>
        </w:rPr>
      </w:pPr>
      <w:r>
        <w:rPr>
          <w:rFonts w:hint="eastAsia" w:ascii="宋体" w:hAnsi="宋体" w:cs="宋体"/>
          <w:sz w:val="24"/>
        </w:rPr>
        <w:t>14.1乙方不得以任何理由向甲方工作人员支付小费或赠送实物，违者将终止合同。乙方人员也不得以任何形式向行政大楼内相关人员索取小费或钱物等。</w:t>
      </w:r>
    </w:p>
    <w:p>
      <w:pPr>
        <w:spacing w:line="360" w:lineRule="auto"/>
        <w:ind w:firstLine="480" w:firstLineChars="200"/>
        <w:rPr>
          <w:rFonts w:ascii="宋体" w:hAnsi="宋体" w:cs="宋体"/>
          <w:sz w:val="24"/>
        </w:rPr>
      </w:pPr>
      <w:r>
        <w:rPr>
          <w:rFonts w:hint="eastAsia" w:ascii="宋体" w:hAnsi="宋体" w:cs="宋体"/>
          <w:sz w:val="24"/>
        </w:rPr>
        <w:t>14.2不得在承包区域住宿或从事非法活动，也不得从事有损甲方利益的活动，同时不允许在承包区域对甲方经营活动进行滋扰性的行为。</w:t>
      </w:r>
    </w:p>
    <w:p>
      <w:pPr>
        <w:spacing w:line="360" w:lineRule="auto"/>
        <w:ind w:firstLine="480" w:firstLineChars="200"/>
        <w:rPr>
          <w:rFonts w:ascii="宋体" w:hAnsi="宋体" w:cs="宋体"/>
          <w:sz w:val="24"/>
        </w:rPr>
      </w:pPr>
      <w:r>
        <w:rPr>
          <w:rFonts w:hint="eastAsia" w:ascii="宋体" w:hAnsi="宋体" w:cs="宋体"/>
          <w:sz w:val="24"/>
        </w:rPr>
        <w:t>14.3除经甲方批准进行必要的维修工程外，乙方不得损毁承包区域原有的设施和装潢，不得更改已铺设的电缆、电线等电力装置。同时，也不得安装任何可能造成电缆负载过大的电器设备，以免无线电受干扰。</w:t>
      </w:r>
    </w:p>
    <w:p>
      <w:pPr>
        <w:spacing w:line="360" w:lineRule="auto"/>
        <w:ind w:firstLine="480" w:firstLineChars="200"/>
        <w:rPr>
          <w:rFonts w:ascii="宋体" w:hAnsi="宋体" w:cs="宋体"/>
          <w:sz w:val="24"/>
        </w:rPr>
      </w:pPr>
      <w:r>
        <w:rPr>
          <w:rFonts w:hint="eastAsia" w:ascii="宋体" w:hAnsi="宋体" w:cs="宋体"/>
          <w:sz w:val="24"/>
        </w:rPr>
        <w:t>14.4未获甲方书面同意，乙方任何时候都不能在承包区域存放易燃物品、挥发性大或气味浓烈的液体等。</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15. </w:t>
      </w:r>
      <w:r>
        <w:rPr>
          <w:rFonts w:hint="eastAsia" w:ascii="宋体" w:hAnsi="宋体" w:cs="宋体"/>
          <w:b/>
          <w:snapToGrid w:val="0"/>
          <w:kern w:val="0"/>
          <w:sz w:val="24"/>
        </w:rPr>
        <w:t>保险</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15.1第三者责任保险</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乙方应对乙方人员以及第三方全权负责(如乙方应投保第三责任险)，在乙方的责任区内由于乙方原因导致自己员工或第三方的事故由乙方负责，甲方不承担任何责任。</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15.2员工人身意外</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在承包期内，乙方所有人员的事故由乙方自行全权负责(如乙方应对其员工投保人身意外险)，以保证甲方在乙方工作人员索赔时不受任何责任的约束。</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15.3其他保险及费用</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乙方须按《劳动合同法》和政府有关各部门规定为全体服务人员交纳所有相关的社会保险及其他相关费用。乙方对此全权负责。</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16. 乙方及其员工遵守行政大楼内的一切行政管理、消防安全等规定和制度，保证承包区域的消防设施能正常使用，消防通道畅通，同时承担违规责任。</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17. 遇突发事件或安全检查时，乙方必须配合有关部门执行任务，并指定专职人员协助工作，直至完成。</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18. 乙方保证在承包期满当天下午五时前撤离现场。</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19. 乙方须积极配合甲方对其进行的物业服务综合考评。</w:t>
      </w:r>
    </w:p>
    <w:p>
      <w:pPr>
        <w:spacing w:line="360" w:lineRule="auto"/>
        <w:rPr>
          <w:rFonts w:ascii="宋体" w:hAnsi="宋体" w:cs="宋体"/>
          <w:sz w:val="24"/>
        </w:rPr>
      </w:pPr>
      <w:r>
        <w:rPr>
          <w:rFonts w:hint="eastAsia" w:ascii="宋体" w:hAnsi="宋体" w:cs="宋体"/>
          <w:sz w:val="24"/>
        </w:rPr>
        <w:t>第十四条甲方对乙方作出如下承诺：</w:t>
      </w:r>
    </w:p>
    <w:p>
      <w:pPr>
        <w:spacing w:line="360" w:lineRule="auto"/>
        <w:ind w:firstLine="480" w:firstLineChars="200"/>
        <w:rPr>
          <w:rFonts w:ascii="宋体" w:hAnsi="宋体" w:cs="宋体"/>
          <w:sz w:val="24"/>
        </w:rPr>
      </w:pPr>
      <w:r>
        <w:rPr>
          <w:rFonts w:hint="eastAsia" w:ascii="宋体" w:hAnsi="宋体" w:cs="宋体"/>
          <w:sz w:val="24"/>
        </w:rPr>
        <w:t>1、甲方在职权范围内保证乙方的正常经营不受干扰。</w:t>
      </w:r>
    </w:p>
    <w:p>
      <w:pPr>
        <w:spacing w:line="360" w:lineRule="auto"/>
        <w:ind w:firstLine="480" w:firstLineChars="200"/>
        <w:rPr>
          <w:rFonts w:ascii="宋体" w:hAnsi="宋体" w:cs="宋体"/>
          <w:sz w:val="24"/>
        </w:rPr>
      </w:pPr>
      <w:r>
        <w:rPr>
          <w:rFonts w:hint="eastAsia" w:ascii="宋体" w:hAnsi="宋体" w:cs="宋体"/>
          <w:sz w:val="24"/>
        </w:rPr>
        <w:t>2、保证乙方的员工按规定正常进入承包区域开展服务工作。</w:t>
      </w:r>
    </w:p>
    <w:p>
      <w:pPr>
        <w:spacing w:line="360" w:lineRule="auto"/>
        <w:rPr>
          <w:rFonts w:ascii="宋体" w:hAnsi="宋体" w:cs="宋体"/>
          <w:sz w:val="24"/>
        </w:rPr>
      </w:pPr>
      <w:r>
        <w:rPr>
          <w:rFonts w:hint="eastAsia" w:ascii="宋体" w:hAnsi="宋体" w:cs="宋体"/>
          <w:sz w:val="24"/>
        </w:rPr>
        <w:t>第十五条 合同生效和终止：</w:t>
      </w:r>
    </w:p>
    <w:p>
      <w:pPr>
        <w:spacing w:line="360" w:lineRule="auto"/>
        <w:ind w:firstLine="480" w:firstLineChars="200"/>
        <w:rPr>
          <w:rFonts w:ascii="宋体" w:hAnsi="宋体" w:cs="宋体"/>
          <w:sz w:val="24"/>
        </w:rPr>
      </w:pPr>
      <w:r>
        <w:rPr>
          <w:rFonts w:hint="eastAsia" w:ascii="宋体" w:hAnsi="宋体" w:cs="宋体"/>
          <w:sz w:val="24"/>
        </w:rPr>
        <w:t>1. 本合同经甲乙双方法定代表人或其委托人签字盖章，由乙方向甲方缴纳合同总价的1%履约保证金后生效。</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2. </w:t>
      </w:r>
      <w:r>
        <w:rPr>
          <w:rFonts w:hint="eastAsia" w:ascii="宋体" w:hAnsi="宋体" w:cs="宋体"/>
          <w:b/>
          <w:snapToGrid w:val="0"/>
          <w:kern w:val="0"/>
          <w:sz w:val="24"/>
        </w:rPr>
        <w:t>终止</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2.1</w:t>
      </w:r>
      <w:r>
        <w:rPr>
          <w:rFonts w:hint="eastAsia" w:ascii="宋体" w:hAnsi="宋体" w:cs="宋体"/>
          <w:b/>
          <w:snapToGrid w:val="0"/>
          <w:kern w:val="0"/>
          <w:sz w:val="24"/>
        </w:rPr>
        <w:t>提前终止</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2.1.1如果甲方在服务期内无理由终止合同，甲方须提前一个月向乙方发出书面通知终止承包，甲方支付给乙方月度承包服务款二倍金额的赔偿金。</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2.1.2因乙方在服务期内超过两次物业服务综合考评未达标，甲方可以单方面终止承包，且乙方须支付给甲方月度承包服务款二倍金额的赔偿金。</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2.1.3如甲方发现乙方出现转租、转让、抵押承包等情况，甲方可以单方面终止承包，且乙方须支付给甲方月度承包服务款二倍金额的赔偿金。</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2.1.4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三倍金额的赔偿金。</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2.1.5如果乙方在服务期内由于乙方原因造成重大责任事故或安全事故，甲方可以单方面终止承包，且乙方须赔偿给甲方造成的经济损失，并须支付给甲方月度承包服务款五倍金额的赔偿金。</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2.1.6提前终止承包期早于月底最后一天，应视为月底最后一天期满，此条适用于上述2.1.1、2.1.2、2.1.3、2.1.4、2.1.5五条。</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2.1.7乙方未能履行合同和遵守有关规定，在甲方发出书面警告后一周内乙方仍无采取补救措施，甲方可立即终止承包。</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2.1.8乙方破产清处、重组及兼并等事实发生，或被债权人接管经营，甲方不必通知乙方即可终止承包。</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2.2 </w:t>
      </w:r>
      <w:r>
        <w:rPr>
          <w:rFonts w:hint="eastAsia" w:ascii="宋体" w:hAnsi="宋体" w:cs="宋体"/>
          <w:b/>
          <w:snapToGrid w:val="0"/>
          <w:kern w:val="0"/>
          <w:sz w:val="24"/>
        </w:rPr>
        <w:t>协议终止</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经双方协商同意，可在任何时候终止承包。</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2.3 </w:t>
      </w:r>
      <w:r>
        <w:rPr>
          <w:rFonts w:hint="eastAsia" w:ascii="宋体" w:hAnsi="宋体" w:cs="宋体"/>
          <w:b/>
          <w:snapToGrid w:val="0"/>
          <w:kern w:val="0"/>
          <w:sz w:val="24"/>
        </w:rPr>
        <w:t>自然终止</w:t>
      </w:r>
    </w:p>
    <w:p>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合同规定的承包服务期满，承包自然终止</w:t>
      </w:r>
      <w:r>
        <w:rPr>
          <w:rFonts w:hint="eastAsia" w:ascii="宋体" w:hAnsi="宋体" w:cs="宋体"/>
          <w:snapToGrid w:val="0"/>
          <w:kern w:val="0"/>
          <w:sz w:val="24"/>
          <w:highlight w:val="none"/>
        </w:rPr>
        <w:t>。</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3. </w:t>
      </w:r>
      <w:r>
        <w:rPr>
          <w:rFonts w:hint="eastAsia" w:ascii="宋体" w:hAnsi="宋体" w:cs="宋体"/>
          <w:b/>
          <w:snapToGrid w:val="0"/>
          <w:kern w:val="0"/>
          <w:sz w:val="24"/>
        </w:rPr>
        <w:t>承包终止后果</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3.1终止承包，不影响根据合同规定进行的赔偿、补偿，也不影响履约保证金的效力。</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3.2上述2.1.6、2.1.7二条的终止，乙方的履约保证金作为违约金支</w:t>
      </w:r>
      <w:bookmarkStart w:id="406" w:name="_GoBack"/>
      <w:bookmarkEnd w:id="406"/>
      <w:r>
        <w:rPr>
          <w:rFonts w:hint="eastAsia" w:ascii="宋体" w:hAnsi="宋体" w:cs="宋体"/>
          <w:snapToGrid w:val="0"/>
          <w:kern w:val="0"/>
          <w:sz w:val="24"/>
        </w:rPr>
        <w:t>付给甲方。</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3.3承包终止时，双方应进行结算，甲方同时进行乙方承包区域设施、设备状况检查并要求乙方三天内将乙方物品撤离承包区域，否则甲方将代理处理，乙方支付甲方代理费及10%的手续费。</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4. </w:t>
      </w:r>
      <w:r>
        <w:rPr>
          <w:rFonts w:hint="eastAsia" w:ascii="宋体" w:hAnsi="宋体" w:cs="宋体"/>
          <w:b/>
          <w:snapToGrid w:val="0"/>
          <w:kern w:val="0"/>
          <w:sz w:val="24"/>
        </w:rPr>
        <w:t>不放弃权利</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甲方接受乙方的服务，但不放弃对乙方违约行为进行追究的权利；同时，若甲方对乙方某一违约行为放弃进行追究的权利，但不放弃对乙方其他违约行为进行追究的权利。</w:t>
      </w:r>
    </w:p>
    <w:p>
      <w:pPr>
        <w:snapToGrid w:val="0"/>
        <w:spacing w:line="360" w:lineRule="auto"/>
        <w:rPr>
          <w:rFonts w:ascii="宋体" w:hAnsi="宋体" w:cs="宋体"/>
          <w:snapToGrid w:val="0"/>
          <w:kern w:val="0"/>
          <w:sz w:val="24"/>
        </w:rPr>
      </w:pPr>
      <w:r>
        <w:rPr>
          <w:rFonts w:hint="eastAsia" w:ascii="宋体" w:hAnsi="宋体" w:cs="宋体"/>
          <w:sz w:val="24"/>
        </w:rPr>
        <w:t xml:space="preserve">第十六条 </w:t>
      </w:r>
      <w:r>
        <w:rPr>
          <w:rFonts w:hint="eastAsia" w:ascii="宋体" w:hAnsi="宋体" w:cs="宋体"/>
          <w:snapToGrid w:val="0"/>
          <w:kern w:val="0"/>
          <w:sz w:val="24"/>
        </w:rPr>
        <w:t>双方权利义务</w:t>
      </w:r>
    </w:p>
    <w:p>
      <w:pPr>
        <w:snapToGrid w:val="0"/>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1.甲方权利义务</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（1）代表和维护产权人、使用人的合法权益；</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（2）审定乙方拟定的物业管理制度；</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（3）检查监督乙方管理工作的实施及制度的执行情况；</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（4）审定乙方提出的物业管理服务年度计划、财务预算及决算；</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（5）负责收集、整理物业管理所需全部图纸、档案、资料，根据管理需要向乙方提供房屋相关资料和设备、设施的安装、使用和维护保养技术资料；</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（6）按期支付物业管理费用；</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（7）在不可预见的情况下，如发生煤气泄漏、漏电、火灾、救助人命、协助公安机关执行任务等突发事件的，甲方应积极配合乙方采取必要的紧急避险措施。</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（8）提供乙方所需的办公用房。</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（9）甲方监督乙方依照本合同规定内容所进行的管理和服务活动，组织对乙方工作综合考评，如出现乙方管理不善造成甲方重大经济损失的情况，甲方有权终止合同并要求乙方给予赔偿。</w:t>
      </w:r>
    </w:p>
    <w:p>
      <w:pPr>
        <w:snapToGrid w:val="0"/>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2.乙方权利义务</w:t>
      </w:r>
    </w:p>
    <w:p>
      <w:pPr>
        <w:snapToGrid w:val="0"/>
        <w:spacing w:line="360" w:lineRule="auto"/>
        <w:ind w:firstLine="480" w:firstLineChars="200"/>
        <w:rPr>
          <w:rFonts w:ascii="宋体" w:hAnsi="宋体" w:cs="宋体"/>
          <w:snapToGrid w:val="0"/>
          <w:kern w:val="0"/>
          <w:sz w:val="24"/>
        </w:rPr>
      </w:pPr>
      <w:r>
        <w:rPr>
          <w:rFonts w:hint="eastAsia" w:ascii="宋体" w:hAnsi="宋体" w:cs="宋体"/>
          <w:sz w:val="24"/>
        </w:rPr>
        <w:t>（1）乙方</w:t>
      </w:r>
      <w:r>
        <w:rPr>
          <w:rFonts w:hint="eastAsia" w:ascii="宋体" w:hAnsi="宋体" w:cs="宋体"/>
          <w:kern w:val="0"/>
          <w:sz w:val="24"/>
          <w:lang w:val="zh-CN"/>
        </w:rPr>
        <w:t>应为杭州市政府采购注册供应商</w:t>
      </w:r>
      <w:r>
        <w:rPr>
          <w:rFonts w:hint="eastAsia" w:ascii="宋体" w:hAnsi="宋体" w:cs="宋体"/>
          <w:kern w:val="0"/>
          <w:sz w:val="24"/>
        </w:rPr>
        <w:t>，</w:t>
      </w:r>
      <w:r>
        <w:rPr>
          <w:rFonts w:hint="eastAsia" w:ascii="宋体" w:hAnsi="宋体" w:cs="宋体"/>
          <w:kern w:val="0"/>
          <w:sz w:val="24"/>
          <w:lang w:val="zh-CN"/>
        </w:rPr>
        <w:t>如尚未注册</w:t>
      </w:r>
      <w:r>
        <w:rPr>
          <w:rFonts w:hint="eastAsia" w:ascii="宋体" w:hAnsi="宋体" w:cs="宋体"/>
          <w:kern w:val="0"/>
          <w:sz w:val="24"/>
        </w:rPr>
        <w:t>，</w:t>
      </w:r>
      <w:r>
        <w:rPr>
          <w:rFonts w:hint="eastAsia" w:ascii="宋体" w:hAnsi="宋体" w:cs="宋体"/>
          <w:kern w:val="0"/>
          <w:sz w:val="24"/>
          <w:lang w:val="zh-CN"/>
        </w:rPr>
        <w:t>应在签订合同前</w:t>
      </w:r>
      <w:r>
        <w:rPr>
          <w:rFonts w:hint="eastAsia" w:ascii="宋体" w:hAnsi="宋体" w:cs="宋体"/>
          <w:kern w:val="0"/>
          <w:sz w:val="24"/>
        </w:rPr>
        <w:t>，</w:t>
      </w:r>
      <w:r>
        <w:rPr>
          <w:rFonts w:hint="eastAsia" w:ascii="宋体" w:hAnsi="宋体" w:cs="宋体"/>
          <w:kern w:val="0"/>
          <w:sz w:val="24"/>
          <w:lang w:val="zh-CN"/>
        </w:rPr>
        <w:t>登陆杭州市政府采购网</w:t>
      </w:r>
      <w:r>
        <w:rPr>
          <w:rFonts w:hint="eastAsia" w:ascii="宋体" w:hAnsi="宋体" w:cs="宋体"/>
          <w:sz w:val="24"/>
        </w:rPr>
        <w:t>（</w:t>
      </w:r>
      <w:r>
        <w:fldChar w:fldCharType="begin"/>
      </w:r>
      <w:r>
        <w:instrText xml:space="preserve"> HYPERLINK "http://cg.hzft.gov.cn" </w:instrText>
      </w:r>
      <w:r>
        <w:fldChar w:fldCharType="separate"/>
      </w:r>
      <w:r>
        <w:rPr>
          <w:rStyle w:val="77"/>
          <w:rFonts w:hint="eastAsia" w:ascii="宋体" w:hAnsi="宋体" w:eastAsia="宋体" w:cs="宋体"/>
          <w:color w:val="auto"/>
          <w:sz w:val="24"/>
          <w:szCs w:val="24"/>
        </w:rPr>
        <w:t>http://cg.hzft.gov.cn</w:t>
      </w:r>
      <w:r>
        <w:rPr>
          <w:rStyle w:val="77"/>
          <w:rFonts w:hint="eastAsia" w:ascii="宋体" w:hAnsi="宋体" w:eastAsia="宋体" w:cs="宋体"/>
          <w:color w:val="auto"/>
          <w:sz w:val="24"/>
          <w:szCs w:val="24"/>
        </w:rPr>
        <w:fldChar w:fldCharType="end"/>
      </w:r>
      <w:r>
        <w:rPr>
          <w:rFonts w:hint="eastAsia" w:ascii="宋体" w:hAnsi="宋体" w:cs="宋体"/>
          <w:sz w:val="24"/>
        </w:rPr>
        <w:t>）</w:t>
      </w:r>
      <w:r>
        <w:rPr>
          <w:rFonts w:hint="eastAsia" w:ascii="宋体" w:hAnsi="宋体" w:cs="宋体"/>
          <w:kern w:val="0"/>
          <w:sz w:val="24"/>
          <w:lang w:val="zh-CN"/>
        </w:rPr>
        <w:t>进行注册并将书面资料提交采购机构复核备案。</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（2）根据有关法律法规、投标文件及本合同的约定，制订物业管理制度、方案，根据甲方核定的物业管理制度、方案自主开展物业日常管理服务活动；</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（3）按甲方要求及时如实向甲方报告物业管理服务实施情况；</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（4）征得甲方同意可选聘专营公司承担本物业的专项管理业务，但不得将本物业的管理责任转让给第三方；</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（5）负责编制年度计划、方案，经双方议定后由乙方组织实施；</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（6）向甲方工作人员和其他使用人告知物业使用的有关规定，并负责监督；</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（7）建立、妥善保管和正确使用本物业相关的管理档案，并负责及时记载有关变更情况；</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（8）对本物业的公用设施不得擅自占用和改变使用功能；</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（9）因乙方在管理中的过错或违反本合同的约定进行管理造成甲方或第三人损失的，乙方应依法承担赔偿责任；</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（10）乙方自行承担办公桌、电脑、打印机、文件柜等自身使用的办公用品，自行承担所有人员服装费用，但服装样式需经过甲方认可，办公、生活用水、电、通讯费用由乙方自行承担。</w:t>
      </w:r>
    </w:p>
    <w:p>
      <w:pPr>
        <w:spacing w:line="360" w:lineRule="auto"/>
        <w:ind w:firstLine="480" w:firstLineChars="200"/>
        <w:rPr>
          <w:rFonts w:ascii="宋体" w:hAnsi="宋体" w:cs="宋体"/>
          <w:sz w:val="24"/>
        </w:rPr>
      </w:pPr>
      <w:r>
        <w:rPr>
          <w:rFonts w:hint="eastAsia" w:ascii="宋体" w:hAnsi="宋体" w:cs="宋体"/>
          <w:snapToGrid w:val="0"/>
          <w:kern w:val="0"/>
          <w:sz w:val="24"/>
        </w:rPr>
        <w:t>（11）本合同终止时，乙方必须向甲方移交全部管理用房及物业管理的全部档案资料，确保移交的资料和设备、设施完好无缺。</w:t>
      </w:r>
    </w:p>
    <w:p>
      <w:pPr>
        <w:snapToGrid w:val="0"/>
        <w:spacing w:line="360" w:lineRule="auto"/>
        <w:ind w:firstLine="480" w:firstLineChars="200"/>
        <w:rPr>
          <w:rFonts w:ascii="宋体" w:hAnsi="宋体" w:cs="宋体"/>
          <w:sz w:val="24"/>
        </w:rPr>
      </w:pPr>
      <w:r>
        <w:rPr>
          <w:rFonts w:hint="eastAsia" w:ascii="宋体" w:hAnsi="宋体" w:cs="宋体"/>
          <w:sz w:val="24"/>
        </w:rPr>
        <w:t>第十七条 乙方的人员配置</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1. </w:t>
      </w:r>
      <w:r>
        <w:rPr>
          <w:rFonts w:hint="eastAsia" w:ascii="宋体" w:hAnsi="宋体" w:cs="宋体"/>
          <w:b/>
          <w:snapToGrid w:val="0"/>
          <w:kern w:val="0"/>
          <w:sz w:val="24"/>
        </w:rPr>
        <w:t>乙方的岗位配置</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1.1乙方的项目总负责人             ，身份证号码：                     </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1.2乙方必须采取措施，确保乙方人员稳定，人员变动须及时向甲方备案。</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1.3乙方项目总负责人及部门负责人须及时与甲方沟通，第一时间报告重大、紧急事件；每月须向甲方汇报上月工作情况，并提供相关报告。</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w:t>
      </w:r>
      <w:r>
        <w:rPr>
          <w:rFonts w:hint="eastAsia" w:ascii="宋体" w:hAnsi="宋体" w:cs="宋体"/>
          <w:b/>
          <w:snapToGrid w:val="0"/>
          <w:kern w:val="0"/>
          <w:sz w:val="24"/>
        </w:rPr>
        <w:t xml:space="preserve"> 物业人员要求</w:t>
      </w:r>
      <w:r>
        <w:rPr>
          <w:rFonts w:hint="eastAsia" w:ascii="宋体" w:hAnsi="宋体" w:cs="宋体"/>
          <w:snapToGrid w:val="0"/>
          <w:kern w:val="0"/>
          <w:sz w:val="24"/>
        </w:rPr>
        <w:t>：</w:t>
      </w:r>
    </w:p>
    <w:p>
      <w:pPr>
        <w:spacing w:line="360" w:lineRule="auto"/>
        <w:ind w:firstLine="480" w:firstLineChars="200"/>
        <w:rPr>
          <w:rFonts w:ascii="宋体" w:hAnsi="宋体" w:cs="宋体"/>
          <w:sz w:val="24"/>
        </w:rPr>
      </w:pPr>
      <w:r>
        <w:rPr>
          <w:rFonts w:hint="eastAsia" w:ascii="宋体" w:hAnsi="宋体" w:cs="宋体"/>
          <w:sz w:val="24"/>
        </w:rPr>
        <w:t>（1）项目经理和副经理的要求：年龄≤55周岁，大学专科及以上学历，身体健康，有2年以上类似项目管理业绩，综合协调能力强，专职服务甲方。</w:t>
      </w:r>
    </w:p>
    <w:p>
      <w:pPr>
        <w:spacing w:line="360" w:lineRule="auto"/>
        <w:ind w:firstLine="480" w:firstLineChars="200"/>
        <w:rPr>
          <w:rFonts w:ascii="宋体" w:hAnsi="宋体" w:cs="宋体"/>
          <w:sz w:val="24"/>
        </w:rPr>
      </w:pPr>
      <w:r>
        <w:rPr>
          <w:rFonts w:hint="eastAsia" w:ascii="宋体" w:hAnsi="宋体" w:cs="宋体"/>
          <w:sz w:val="24"/>
        </w:rPr>
        <w:t>（2）主管人员：年龄≤</w:t>
      </w:r>
      <w:r>
        <w:rPr>
          <w:rFonts w:ascii="宋体" w:hAnsi="宋体" w:cs="宋体"/>
          <w:sz w:val="24"/>
        </w:rPr>
        <w:t>60</w:t>
      </w:r>
      <w:r>
        <w:rPr>
          <w:rFonts w:hint="eastAsia" w:ascii="宋体" w:hAnsi="宋体" w:cs="宋体"/>
          <w:sz w:val="24"/>
        </w:rPr>
        <w:t>周岁，高中及以上文化程度，身体健康，担任相关管理主管2年以上综合管理、协调能力强，认真负责。</w:t>
      </w:r>
    </w:p>
    <w:p>
      <w:pPr>
        <w:spacing w:line="360" w:lineRule="auto"/>
        <w:ind w:firstLine="480" w:firstLineChars="200"/>
        <w:rPr>
          <w:rFonts w:ascii="宋体" w:hAnsi="宋体" w:cs="宋体"/>
          <w:sz w:val="24"/>
        </w:rPr>
      </w:pPr>
      <w:r>
        <w:rPr>
          <w:rFonts w:hint="eastAsia" w:ascii="宋体" w:hAnsi="宋体" w:cs="宋体"/>
          <w:sz w:val="24"/>
        </w:rPr>
        <w:t>（3）保洁、运送人员、陪护人员：原则上年龄≤65周岁，小学及以上学历，身体健康，普通话交流无障碍。</w:t>
      </w:r>
    </w:p>
    <w:p>
      <w:pPr>
        <w:spacing w:line="360" w:lineRule="auto"/>
        <w:ind w:firstLine="480" w:firstLineChars="200"/>
        <w:rPr>
          <w:rFonts w:ascii="宋体" w:hAnsi="宋体" w:cs="宋体"/>
          <w:sz w:val="24"/>
        </w:rPr>
      </w:pPr>
      <w:r>
        <w:rPr>
          <w:rFonts w:hint="eastAsia" w:ascii="宋体" w:hAnsi="宋体" w:cs="宋体"/>
          <w:sz w:val="24"/>
        </w:rPr>
        <w:t>（4）综合服务人员：年龄≤60周岁，初中及以上文化，身体健康，具有高配上岗证、特种设备压力容器作业R1证（若无，应在合同签订后，三个月内取得）及其他相应上岗证。</w:t>
      </w:r>
    </w:p>
    <w:p>
      <w:pPr>
        <w:spacing w:line="360" w:lineRule="auto"/>
        <w:ind w:firstLine="480" w:firstLineChars="200"/>
        <w:rPr>
          <w:rFonts w:ascii="宋体" w:hAnsi="宋体" w:cs="宋体"/>
          <w:sz w:val="24"/>
        </w:rPr>
      </w:pPr>
      <w:r>
        <w:rPr>
          <w:rFonts w:hint="eastAsia" w:ascii="宋体" w:hAnsi="宋体" w:cs="宋体"/>
          <w:sz w:val="24"/>
        </w:rPr>
        <w:t>（5）以上人员要求政治上可靠，遵纪守法，敬业爱岗，无不良行为记录，严格遵守医院各项规定，配合医院完成新冠疫情防控工作。身体素质好，岗前向甲方提供健康体检合格证明。知晓本岗位的服务礼仪，100%经过岗前培训合格才上岗，且根据不同岗位统一着装。</w:t>
      </w:r>
    </w:p>
    <w:p>
      <w:pPr>
        <w:spacing w:line="360" w:lineRule="auto"/>
        <w:ind w:firstLine="480" w:firstLineChars="200"/>
        <w:rPr>
          <w:rFonts w:ascii="宋体" w:hAnsi="宋体" w:cs="宋体"/>
          <w:sz w:val="24"/>
        </w:rPr>
      </w:pPr>
      <w:r>
        <w:rPr>
          <w:rFonts w:hint="eastAsia" w:ascii="宋体" w:hAnsi="宋体" w:cs="宋体"/>
          <w:sz w:val="24"/>
        </w:rPr>
        <w:t>（6）为提高物业管理水平，所有物业人员还需进行基础礼仪培训。除乙方对服务人员的培训外，需接受甲方对服务人员的集中进行培训，培训费用由乙方承担。</w:t>
      </w:r>
    </w:p>
    <w:p>
      <w:pPr>
        <w:spacing w:line="360" w:lineRule="auto"/>
        <w:ind w:firstLine="480" w:firstLineChars="200"/>
        <w:rPr>
          <w:rFonts w:ascii="宋体" w:hAnsi="宋体" w:cs="宋体"/>
          <w:sz w:val="24"/>
        </w:rPr>
      </w:pPr>
      <w:r>
        <w:rPr>
          <w:rFonts w:hint="eastAsia" w:ascii="宋体" w:hAnsi="宋体" w:cs="宋体"/>
          <w:sz w:val="24"/>
        </w:rPr>
        <w:t>（7）全部服务人员的工作时间应严格按国家有关法律、法规要求的标准执行，因工作原因产生的加班（含双休日、节假日加班）应严格按国家有关法律、法规要求的标准给付员工加班薪资（费用要求已含在总报价中，不得再向院方索取额外加班薪资，突发性任务和事例产生的加班费除外）。</w:t>
      </w:r>
    </w:p>
    <w:p>
      <w:pPr>
        <w:spacing w:line="360" w:lineRule="auto"/>
        <w:ind w:firstLine="480" w:firstLineChars="200"/>
        <w:rPr>
          <w:rFonts w:ascii="宋体" w:hAnsi="宋体" w:cs="宋体"/>
          <w:sz w:val="24"/>
        </w:rPr>
      </w:pPr>
      <w:r>
        <w:rPr>
          <w:rFonts w:hint="eastAsia" w:ascii="宋体" w:hAnsi="宋体" w:cs="宋体"/>
          <w:sz w:val="24"/>
        </w:rPr>
        <w:t>（8）按要求和事项发生量及时配备足够和胜任的相关管理和服务人员，并保持人员的稳定。遇调动或辞职时，项目经理、主管和综合服务人员提前一个月、普通保洁运送人员提前7天告知甲方并得到同意后才能更换，按要求及时补充相应人员，提前做好交接班。对甲方认为无能力、工作失职或不合适人员，应立即更换。对于不能及时配备所需求的岗位人员时，按相应岗位费用扣除服务费，如因乙方原因导致缺岗时间超过15天双倍扣除服务费用。</w:t>
      </w:r>
    </w:p>
    <w:p>
      <w:pPr>
        <w:spacing w:line="360" w:lineRule="auto"/>
        <w:rPr>
          <w:rFonts w:ascii="宋体" w:hAnsi="宋体" w:cs="宋体"/>
          <w:sz w:val="24"/>
        </w:rPr>
      </w:pPr>
      <w:r>
        <w:rPr>
          <w:rFonts w:hint="eastAsia" w:ascii="宋体" w:hAnsi="宋体" w:cs="宋体"/>
          <w:sz w:val="24"/>
        </w:rPr>
        <w:t>第十八条 争议处理</w:t>
      </w:r>
    </w:p>
    <w:p>
      <w:pPr>
        <w:spacing w:line="360" w:lineRule="auto"/>
        <w:ind w:firstLine="480" w:firstLineChars="200"/>
        <w:rPr>
          <w:rFonts w:ascii="宋体" w:hAnsi="宋体" w:cs="宋体"/>
          <w:sz w:val="24"/>
        </w:rPr>
      </w:pPr>
      <w:r>
        <w:rPr>
          <w:rFonts w:hint="eastAsia" w:ascii="宋体" w:hAnsi="宋体" w:cs="宋体"/>
          <w:sz w:val="24"/>
        </w:rPr>
        <w:t>1．合同在履行过程中发生争议时，甲方与乙方及时协商解决。协商不成时，争议由合同履行地人民法院管辖。</w:t>
      </w:r>
    </w:p>
    <w:p>
      <w:pPr>
        <w:spacing w:line="360" w:lineRule="auto"/>
        <w:ind w:firstLine="480" w:firstLineChars="200"/>
        <w:rPr>
          <w:rFonts w:ascii="宋体" w:hAnsi="宋体" w:cs="宋体"/>
          <w:sz w:val="24"/>
        </w:rPr>
      </w:pPr>
      <w:r>
        <w:rPr>
          <w:rFonts w:hint="eastAsia" w:ascii="宋体" w:hAnsi="宋体" w:cs="宋体"/>
          <w:sz w:val="24"/>
        </w:rPr>
        <w:t>2．对于因违反或终止合同而引起的损失、损害的赔偿，由甲方与乙方友好协商解决，经协商仍未能达成一致的，向合同履行地人民法院起诉。</w:t>
      </w:r>
    </w:p>
    <w:p>
      <w:pPr>
        <w:spacing w:line="360" w:lineRule="auto"/>
        <w:rPr>
          <w:rFonts w:ascii="宋体" w:hAnsi="宋体" w:cs="宋体"/>
          <w:sz w:val="24"/>
        </w:rPr>
      </w:pPr>
      <w:r>
        <w:rPr>
          <w:rFonts w:hint="eastAsia" w:ascii="宋体" w:hAnsi="宋体" w:cs="宋体"/>
          <w:sz w:val="24"/>
        </w:rPr>
        <w:t>第十九条 其他</w:t>
      </w:r>
    </w:p>
    <w:p>
      <w:pPr>
        <w:spacing w:line="360" w:lineRule="auto"/>
        <w:ind w:firstLine="480" w:firstLineChars="200"/>
        <w:rPr>
          <w:rFonts w:ascii="宋体" w:hAnsi="宋体" w:cs="宋体"/>
          <w:sz w:val="24"/>
        </w:rPr>
      </w:pPr>
      <w:r>
        <w:rPr>
          <w:rFonts w:hint="eastAsia" w:ascii="宋体" w:hAnsi="宋体" w:cs="宋体"/>
          <w:sz w:val="24"/>
        </w:rPr>
        <w:t>1．本合同（□是  □否）为可融资合同，关于中小企业信用融资事项可登陆杭州市政府采购网（http://cg.hzft.gov.cn）“中小企业信用融资”专栏进行查询。</w:t>
      </w:r>
    </w:p>
    <w:p>
      <w:pPr>
        <w:spacing w:line="360" w:lineRule="auto"/>
        <w:ind w:firstLine="480"/>
        <w:outlineLvl w:val="0"/>
        <w:rPr>
          <w:rFonts w:ascii="宋体" w:hAnsi="宋体" w:cs="宋体"/>
          <w:kern w:val="0"/>
          <w:sz w:val="24"/>
          <w:lang w:val="zh-CN"/>
        </w:rPr>
      </w:pPr>
      <w:r>
        <w:rPr>
          <w:rFonts w:hint="eastAsia" w:ascii="宋体" w:hAnsi="宋体" w:cs="宋体"/>
          <w:kern w:val="0"/>
          <w:sz w:val="24"/>
          <w:lang w:val="zh-CN"/>
        </w:rPr>
        <w:t>2.本合同（□是  □否）为中小企业预留合同。</w:t>
      </w:r>
    </w:p>
    <w:p>
      <w:pPr>
        <w:spacing w:line="360" w:lineRule="auto"/>
        <w:ind w:firstLine="480" w:firstLineChars="200"/>
        <w:rPr>
          <w:rFonts w:ascii="宋体" w:hAnsi="宋体" w:cs="宋体"/>
          <w:sz w:val="24"/>
        </w:rPr>
      </w:pPr>
      <w:r>
        <w:rPr>
          <w:rFonts w:hint="eastAsia" w:ascii="宋体" w:hAnsi="宋体" w:cs="宋体"/>
          <w:sz w:val="24"/>
        </w:rPr>
        <w:t>3．未经过甲方的书面同意，乙方不得转让其应履行的合同项下的义务，不得将合同项下的义务分包给其他单位完成。</w:t>
      </w:r>
    </w:p>
    <w:p>
      <w:pPr>
        <w:spacing w:line="360" w:lineRule="auto"/>
        <w:ind w:firstLine="480" w:firstLineChars="200"/>
        <w:rPr>
          <w:rFonts w:ascii="宋体" w:hAnsi="宋体" w:cs="宋体"/>
          <w:sz w:val="24"/>
        </w:rPr>
      </w:pPr>
      <w:r>
        <w:rPr>
          <w:rFonts w:hint="eastAsia" w:ascii="宋体" w:hAnsi="宋体" w:cs="宋体"/>
          <w:sz w:val="24"/>
        </w:rPr>
        <w:t>4．乙方不得参与可能与与甲方的利益相冲突的任何活动。</w:t>
      </w:r>
    </w:p>
    <w:p>
      <w:pPr>
        <w:spacing w:line="360" w:lineRule="auto"/>
        <w:ind w:firstLine="480" w:firstLineChars="200"/>
        <w:rPr>
          <w:rFonts w:ascii="宋体" w:hAnsi="宋体" w:cs="宋体"/>
          <w:sz w:val="24"/>
        </w:rPr>
      </w:pPr>
      <w:r>
        <w:rPr>
          <w:rFonts w:hint="eastAsia" w:ascii="宋体" w:hAnsi="宋体" w:cs="宋体"/>
          <w:sz w:val="24"/>
        </w:rPr>
        <w:t>5．乙方人员在甲方场地工作时，应遵守甲方相关规章、制度。</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6．本合同任何一方给另一方的通知，都应以书面或电传/传真/电报的形式发送，而另一方应以书面形式确认并发送到对方明确的地址。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7．合同履行期内甲乙双方均不得随意变更或解除合同。合同若有未尽事宜，需经双方共同协商，订立补充协议，补充协议与本合同有同等法律效力。</w:t>
      </w:r>
    </w:p>
    <w:p>
      <w:pPr>
        <w:spacing w:line="360" w:lineRule="auto"/>
        <w:ind w:firstLine="480" w:firstLineChars="200"/>
        <w:jc w:val="left"/>
        <w:rPr>
          <w:rFonts w:ascii="宋体" w:hAnsi="宋体" w:cs="宋体"/>
          <w:sz w:val="24"/>
        </w:rPr>
      </w:pPr>
      <w:r>
        <w:rPr>
          <w:rFonts w:hint="eastAsia" w:ascii="宋体" w:hAnsi="宋体" w:cs="宋体"/>
          <w:sz w:val="24"/>
        </w:rPr>
        <w:t>8．合同附件、招标文件、投标文件及评标过程中形成的文字资料、询标纪要均作为本合同的组成部分，具有同等效力.本合同包含附件有：附件一《杭州市西溪医院物业服务质量和患者安全考评细则》、附件二《杭州市西溪医院物业人员岗位及费用明细》。</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9．本合同一式</w:t>
      </w:r>
      <w:r>
        <w:rPr>
          <w:rFonts w:hint="eastAsia" w:ascii="宋体" w:hAnsi="宋体" w:cs="宋体"/>
          <w:sz w:val="24"/>
          <w:u w:val="single"/>
        </w:rPr>
        <w:t xml:space="preserve">肆 </w:t>
      </w:r>
      <w:r>
        <w:rPr>
          <w:rFonts w:hint="eastAsia" w:ascii="宋体" w:hAnsi="宋体" w:cs="宋体"/>
          <w:sz w:val="24"/>
        </w:rPr>
        <w:t>份，甲方执</w:t>
      </w:r>
      <w:r>
        <w:rPr>
          <w:rFonts w:hint="eastAsia" w:ascii="宋体" w:hAnsi="宋体" w:cs="宋体"/>
          <w:sz w:val="24"/>
          <w:u w:val="single"/>
        </w:rPr>
        <w:t xml:space="preserve">贰 </w:t>
      </w:r>
      <w:r>
        <w:rPr>
          <w:rFonts w:hint="eastAsia" w:ascii="宋体" w:hAnsi="宋体" w:cs="宋体"/>
          <w:sz w:val="24"/>
        </w:rPr>
        <w:t>份、乙方执</w:t>
      </w:r>
      <w:r>
        <w:rPr>
          <w:rFonts w:hint="eastAsia" w:ascii="宋体" w:hAnsi="宋体" w:cs="宋体"/>
          <w:sz w:val="24"/>
          <w:u w:val="single"/>
        </w:rPr>
        <w:t xml:space="preserve">贰 </w:t>
      </w:r>
      <w:r>
        <w:rPr>
          <w:rFonts w:hint="eastAsia" w:ascii="宋体" w:hAnsi="宋体" w:cs="宋体"/>
          <w:sz w:val="24"/>
        </w:rPr>
        <w:t>份。</w:t>
      </w:r>
    </w:p>
    <w:p>
      <w:pPr>
        <w:snapToGrid w:val="0"/>
        <w:spacing w:line="360" w:lineRule="auto"/>
        <w:ind w:firstLine="480" w:firstLineChars="200"/>
        <w:rPr>
          <w:rFonts w:ascii="宋体" w:hAnsi="宋体" w:cs="宋体"/>
          <w:sz w:val="24"/>
        </w:rPr>
      </w:pPr>
      <w:r>
        <w:rPr>
          <w:rFonts w:hint="eastAsia" w:ascii="宋体" w:hAnsi="宋体" w:cs="宋体"/>
          <w:sz w:val="24"/>
        </w:rPr>
        <w:t>10．适用法律：本合同应按照中华人民共和国的法律进行解释。</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 xml:space="preserve">甲方（盖章）：                            乙方（盖章）：        </w:t>
      </w:r>
    </w:p>
    <w:p>
      <w:pPr>
        <w:snapToGrid w:val="0"/>
        <w:spacing w:line="360" w:lineRule="auto"/>
        <w:ind w:firstLine="480" w:firstLineChars="200"/>
        <w:rPr>
          <w:rFonts w:ascii="宋体" w:hAnsi="宋体" w:cs="宋体"/>
          <w:sz w:val="24"/>
        </w:rPr>
      </w:pPr>
      <w:r>
        <w:rPr>
          <w:rFonts w:hint="eastAsia" w:ascii="宋体" w:hAnsi="宋体" w:cs="宋体"/>
          <w:sz w:val="24"/>
        </w:rPr>
        <w:t xml:space="preserve">法定代表人或受委托人（签字）：            法定代表人或受委托人（签字）：                                                 </w:t>
      </w:r>
    </w:p>
    <w:p>
      <w:pPr>
        <w:snapToGrid w:val="0"/>
        <w:spacing w:line="360" w:lineRule="auto"/>
        <w:ind w:firstLine="480" w:firstLineChars="200"/>
        <w:rPr>
          <w:rFonts w:ascii="宋体" w:hAnsi="宋体" w:cs="宋体"/>
          <w:sz w:val="24"/>
        </w:rPr>
      </w:pPr>
      <w:r>
        <w:rPr>
          <w:rFonts w:hint="eastAsia" w:ascii="宋体" w:hAnsi="宋体" w:cs="宋体"/>
          <w:sz w:val="24"/>
        </w:rPr>
        <w:t xml:space="preserve">地址：杭州市西湖区横埠街2号             地址： </w:t>
      </w:r>
    </w:p>
    <w:p>
      <w:pPr>
        <w:snapToGrid w:val="0"/>
        <w:spacing w:line="360" w:lineRule="auto"/>
        <w:ind w:firstLine="480" w:firstLineChars="200"/>
        <w:rPr>
          <w:rFonts w:ascii="宋体" w:hAnsi="宋体" w:cs="宋体"/>
          <w:sz w:val="24"/>
        </w:rPr>
      </w:pPr>
      <w:r>
        <w:rPr>
          <w:rFonts w:hint="eastAsia" w:ascii="宋体" w:hAnsi="宋体" w:cs="宋体"/>
          <w:sz w:val="24"/>
        </w:rPr>
        <w:t>电话和传真：                             电话传真：</w:t>
      </w:r>
    </w:p>
    <w:p>
      <w:pPr>
        <w:snapToGrid w:val="0"/>
        <w:spacing w:line="360" w:lineRule="auto"/>
        <w:ind w:firstLine="480" w:firstLineChars="200"/>
        <w:rPr>
          <w:rFonts w:ascii="宋体" w:hAnsi="宋体" w:cs="宋体"/>
          <w:sz w:val="24"/>
        </w:rPr>
      </w:pPr>
      <w:r>
        <w:rPr>
          <w:rFonts w:hint="eastAsia" w:ascii="宋体" w:hAnsi="宋体" w:cs="宋体"/>
          <w:sz w:val="24"/>
        </w:rPr>
        <w:t xml:space="preserve">开户银行：杭州银行江城支行               开户银行： </w:t>
      </w:r>
    </w:p>
    <w:p>
      <w:pPr>
        <w:snapToGrid w:val="0"/>
        <w:spacing w:line="360" w:lineRule="auto"/>
        <w:ind w:firstLine="480" w:firstLineChars="200"/>
        <w:rPr>
          <w:rFonts w:ascii="宋体" w:hAnsi="宋体" w:cs="宋体"/>
          <w:sz w:val="24"/>
        </w:rPr>
      </w:pPr>
      <w:r>
        <w:rPr>
          <w:rFonts w:hint="eastAsia" w:ascii="宋体" w:hAnsi="宋体" w:cs="宋体"/>
          <w:sz w:val="24"/>
        </w:rPr>
        <w:t xml:space="preserve">帐号：76708100314452                      帐号：                                           </w:t>
      </w:r>
    </w:p>
    <w:p>
      <w:pPr>
        <w:snapToGrid w:val="0"/>
        <w:spacing w:line="360" w:lineRule="auto"/>
        <w:ind w:firstLine="480" w:firstLineChars="200"/>
        <w:rPr>
          <w:rFonts w:ascii="宋体" w:hAnsi="宋体" w:cs="宋体"/>
          <w:sz w:val="24"/>
        </w:rPr>
      </w:pPr>
    </w:p>
    <w:p>
      <w:pPr>
        <w:snapToGrid w:val="0"/>
        <w:spacing w:line="360" w:lineRule="auto"/>
        <w:ind w:right="-2" w:firstLine="480" w:firstLineChars="200"/>
        <w:jc w:val="right"/>
        <w:rPr>
          <w:rFonts w:ascii="宋体" w:hAnsi="宋体" w:cs="宋体"/>
          <w:sz w:val="24"/>
        </w:rPr>
      </w:pPr>
      <w:r>
        <w:rPr>
          <w:rFonts w:hint="eastAsia" w:ascii="宋体" w:hAnsi="宋体" w:cs="宋体"/>
          <w:sz w:val="24"/>
        </w:rPr>
        <w:t xml:space="preserve">       </w:t>
      </w:r>
    </w:p>
    <w:p>
      <w:pPr>
        <w:snapToGrid w:val="0"/>
        <w:spacing w:line="360" w:lineRule="auto"/>
        <w:ind w:right="958" w:firstLine="480" w:firstLineChars="200"/>
        <w:jc w:val="center"/>
        <w:rPr>
          <w:rFonts w:ascii="宋体" w:hAnsi="宋体" w:cs="宋体"/>
          <w:sz w:val="24"/>
        </w:rPr>
      </w:pPr>
      <w:r>
        <w:rPr>
          <w:rFonts w:hint="eastAsia" w:ascii="宋体" w:hAnsi="宋体" w:cs="宋体"/>
          <w:sz w:val="24"/>
        </w:rPr>
        <w:t xml:space="preserve">                                    签约地点：                                        </w:t>
      </w:r>
    </w:p>
    <w:p>
      <w:pPr>
        <w:snapToGrid w:val="0"/>
        <w:spacing w:line="360" w:lineRule="auto"/>
        <w:ind w:right="-2" w:firstLine="480" w:firstLineChars="200"/>
        <w:jc w:val="right"/>
        <w:rPr>
          <w:rFonts w:ascii="宋体" w:hAnsi="宋体" w:cs="宋体"/>
          <w:sz w:val="24"/>
        </w:rPr>
        <w:sectPr>
          <w:headerReference r:id="rId16" w:type="first"/>
          <w:footerReference r:id="rId19" w:type="first"/>
          <w:headerReference r:id="rId14" w:type="default"/>
          <w:footerReference r:id="rId17" w:type="default"/>
          <w:headerReference r:id="rId15" w:type="even"/>
          <w:footerReference r:id="rId18" w:type="even"/>
          <w:pgSz w:w="11906" w:h="16838"/>
          <w:pgMar w:top="1247" w:right="1418" w:bottom="1276" w:left="1418" w:header="851" w:footer="992" w:gutter="0"/>
          <w:cols w:space="720" w:num="1"/>
          <w:titlePg/>
          <w:docGrid w:linePitch="312" w:charSpace="0"/>
        </w:sectPr>
      </w:pPr>
      <w:r>
        <w:rPr>
          <w:rFonts w:hint="eastAsia" w:ascii="宋体" w:hAnsi="宋体" w:cs="宋体"/>
          <w:sz w:val="24"/>
        </w:rPr>
        <w:t>签约日期：2022年   月    日</w:t>
      </w:r>
    </w:p>
    <w:p>
      <w:pPr>
        <w:spacing w:line="360" w:lineRule="auto"/>
        <w:jc w:val="left"/>
        <w:rPr>
          <w:rFonts w:ascii="宋体" w:hAnsi="宋体" w:cs="宋体"/>
          <w:spacing w:val="4"/>
        </w:rPr>
      </w:pPr>
      <w:r>
        <w:rPr>
          <w:rFonts w:hint="eastAsia" w:ascii="宋体" w:hAnsi="宋体" w:cs="宋体"/>
          <w:spacing w:val="4"/>
        </w:rPr>
        <w:t>附件一</w:t>
      </w:r>
    </w:p>
    <w:p>
      <w:pPr>
        <w:spacing w:line="360" w:lineRule="auto"/>
        <w:jc w:val="center"/>
        <w:rPr>
          <w:rFonts w:ascii="宋体" w:hAnsi="宋体" w:cs="宋体"/>
          <w:b/>
          <w:sz w:val="36"/>
          <w:szCs w:val="36"/>
        </w:rPr>
      </w:pPr>
      <w:r>
        <w:rPr>
          <w:rFonts w:hint="eastAsia" w:ascii="宋体" w:hAnsi="宋体" w:cs="宋体"/>
          <w:b/>
          <w:sz w:val="36"/>
          <w:szCs w:val="36"/>
        </w:rPr>
        <w:t>杭州市西溪医院物业服务</w:t>
      </w:r>
    </w:p>
    <w:p>
      <w:pPr>
        <w:spacing w:line="360" w:lineRule="auto"/>
        <w:jc w:val="center"/>
        <w:rPr>
          <w:rFonts w:ascii="宋体" w:hAnsi="宋体" w:cs="宋体"/>
          <w:b/>
          <w:sz w:val="36"/>
          <w:szCs w:val="36"/>
        </w:rPr>
      </w:pPr>
      <w:r>
        <w:rPr>
          <w:rFonts w:hint="eastAsia" w:ascii="宋体" w:hAnsi="宋体" w:cs="宋体"/>
          <w:b/>
          <w:sz w:val="36"/>
          <w:szCs w:val="36"/>
        </w:rPr>
        <w:t>质量和患者安全考评细则</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为了提高物业服务质量，更好地为临床提供后勤保障，在履行物业合同的同时，制订相关考核细则。</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一、成立杭州市西溪医院物业管理考核小组</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由分管院长负责，成员由院领导及相关职能科室负责人组成。</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二、具体考核办法：</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每月将物业管理人员和服务人员工资总额中的30000元作为考核奖金。每月考核得分由：杭州市西溪医院物业管理考核小组（占考核总分的20%)、临床科室（占考核总分的40%)、勤务中心（占考核总分的40%)三者组成。实际考核发放金额由：考核得分折算金额、考核奖励金额、考核处罚金额三者组成。</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对给医院形象和利益造成不良影响或侵害的，违反医院规章制度如违规用电等影响医院安全将从严扣奖，除对当事人处罚外，对物业管理人员也进行相应处罚，对物业人员因工作认真及时发现隐患、拾金不昧或受到媒体表扬等情况，医院将酌情给予加分。总分原则上不超过100分。</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每月进行考核，月末考核本月工作。《病区对物业工人工作考核表》由后勤保障部负责，在每月月底护士长会议上进行下发、回收；《勤务中心对物业工人工作考核表》由勤务中心负责下发、回收；《医院物业管理考核小组考核评分表》由人力资源部负责下发、回收。考核分值的统计由人力资源部负责。</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考核采用无记名方式，去掉最高、最低分值，取平均值。</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三、考核奖励：</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1.物业员工有拾金不昧行为（如在医院内捡到财物主动交还失主或上交医院相关部门），经医院核实每次奖励50元。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2.收到表扬物业员工的表扬信，每次奖励50元。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3.物业员工工作认真负责，任劳任怨，技术熟练，从不违反医院及物业公司的各项规章制度，经常加班工作，从不计较个人得失，得到医院职工一致好评，每次奖励50元。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4.节假日上班人员，表现优秀的提供适当奖励，每人奖励50元。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5.遇突发事件，积极响应，出色完成任务的物业员工，每次奖励50元。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6.以上各项每次在月考核分中加分1 分。</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四、考核处罚：</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1.物业员工未经院方同意擅自脱岗的，每查到缺少1 人每次扣100元。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2.物业员工在工作期间私自回收废旧物品，并在病区仓库内、管道井内、新风机房内、污物间内等地方堆放废旧物品的，每发现一次扣50元。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3.物业工人将输液袋、输液管等医疗废弃物占为已有的，或发生其它偷盗行为的，每发现一次扣500元。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4.物业工人在工作期间，未经批准，私自开展陪护病人服务的，每发现一次扣100元。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5.工作期间，管理人员及物业员工不穿工作服，随地吐痰，非吸烟区吸烟，喝酒，迟到、早退、离岗、串岗、上班睡觉等，每次扣50元。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6.物业工人不得在病区居住，更不能在医疗办公区域内（如库房、配膳间等）私拉电线，使用电器做饭、烧水等，每发现一次扣100元，造成火情隐患的每次扣1000元以上。</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7.物业工人因自身过错，无故与病人及家属、医护人员发生争吵的，每发现一次按情节轻重扣100—500元/次。</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8.拒不执行医院工作安排的，每发生一次扣100元。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9.如遇上级检查时，卫生状况存在较大问题，影响医院声誉的，每次扣1000—2000元。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10.卫生状况差，科室反映强烈，多次提醒整改不得力，给予处罚每次1000—2000元。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11.工作人员岗前不培训，发现一次扣100元。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12.物业工人工作失误等原因，造成医疗投诉或纠纷，由物业公司承担赔偿责任。</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13. 对于打蜡问题，每年定时定次（4月、10月），超出时间或减少次数，按次扣费。发现一次扣1000元。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14.保洁工人要做好生活垃圾的末端分拣。生活垃圾分类不符合要求，每次发现扣100元。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15.发现有物业工人有其它违反行为准则的，酌情扣款。</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16. 对工作表现差、科室提出需要更换工人，物业不能及时更换，扣除该岗位工资，并与物业主管考核挂钩。</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17. 医院每月对勤务中心满意度测评结果与物业主管考核挂钩，扣款金额与勤务中心扣款金额同等。</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18. 物业工人发生违规、投诉、与医务人员吵架等严重影响我院工作秩序的情况，我院有权对该工人进行以下处罚：第一次发生该情况的物业工人罚款100元，调离原岗位，并进行批评教育。经教育罚款后，工作态度未能改善的工人，第二次发生该情况，医院除名，停发工资。</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19.以上违规现象同时每次扣考核分1分，其它日常工作质量不合格的每项扣考核分1分。</w:t>
      </w:r>
    </w:p>
    <w:p>
      <w:pPr>
        <w:snapToGrid w:val="0"/>
        <w:spacing w:line="360" w:lineRule="auto"/>
        <w:ind w:firstLine="420" w:firstLineChars="200"/>
        <w:rPr>
          <w:rFonts w:ascii="宋体" w:hAnsi="宋体" w:cs="宋体"/>
        </w:rPr>
      </w:pPr>
      <w:r>
        <w:rPr>
          <w:rFonts w:hint="eastAsia" w:ascii="宋体" w:hAnsi="宋体" w:cs="宋体"/>
          <w:snapToGrid w:val="0"/>
          <w:kern w:val="0"/>
          <w:szCs w:val="21"/>
        </w:rPr>
        <w:t>20.发现有物业工人不遵守医院相关疫情防控政策，如核酸检测时间超过规定时间的，每发现扣100元/人，其他情况酌情扣款。</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五、考核说明：</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以上考核由甲方和乙方工作人员组织参加，采取不定期抽查方式进行，每月至少一次；平时甲方抽查、接到投诉及反映有以上表扬或违规现象的，经核实，按上述规定奖励或处罚。</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以上考核中，奖励和扣款对象均为乙方，如有奖励或扣款，在支付月服务款时体现。</w:t>
      </w:r>
    </w:p>
    <w:p>
      <w:pPr>
        <w:snapToGrid w:val="0"/>
        <w:spacing w:line="360" w:lineRule="auto"/>
        <w:ind w:firstLine="420" w:firstLineChars="200"/>
        <w:rPr>
          <w:rFonts w:ascii="宋体" w:hAnsi="宋体" w:cs="宋体"/>
        </w:rPr>
      </w:pPr>
      <w:r>
        <w:rPr>
          <w:rFonts w:hint="eastAsia" w:ascii="宋体" w:hAnsi="宋体" w:cs="宋体"/>
          <w:snapToGrid w:val="0"/>
          <w:kern w:val="0"/>
          <w:szCs w:val="21"/>
        </w:rPr>
        <w:t>以上考核得分，若分数低于80分，为考核不合格。</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为保证患者、家属、员工及来访人员的安全，甲乙双方共同进行一项质量指标持续改进。本服务期内选择的指标为：生活垃圾分类正确率≧90%</w:t>
      </w:r>
      <w:r>
        <w:rPr>
          <w:rFonts w:hint="eastAsia" w:ascii="宋体" w:hAnsi="宋体" w:cs="宋体"/>
          <w:snapToGrid w:val="0"/>
          <w:kern w:val="0"/>
          <w:sz w:val="24"/>
        </w:rPr>
        <w:t>，</w:t>
      </w:r>
      <w:r>
        <w:rPr>
          <w:rFonts w:hint="eastAsia" w:ascii="宋体" w:hAnsi="宋体" w:cs="宋体"/>
          <w:snapToGrid w:val="0"/>
          <w:kern w:val="0"/>
          <w:szCs w:val="21"/>
        </w:rPr>
        <w:t>每月监测统计分析指标，连续3次及以上未达标，扣罚每月1000元。</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六、考核评分表</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1、医院物业管理考核小组考核评分表</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2、病区对物业工人工作考核表</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3、勤务中心对物业工人工作考核表</w:t>
      </w:r>
    </w:p>
    <w:p>
      <w:pPr>
        <w:widowControl/>
        <w:jc w:val="center"/>
        <w:rPr>
          <w:rFonts w:ascii="宋体" w:hAnsi="宋体" w:cs="宋体"/>
          <w:snapToGrid w:val="0"/>
          <w:kern w:val="0"/>
          <w:sz w:val="28"/>
          <w:szCs w:val="28"/>
        </w:rPr>
      </w:pPr>
      <w:r>
        <w:rPr>
          <w:rFonts w:hint="eastAsia" w:ascii="宋体" w:hAnsi="宋体" w:cs="宋体"/>
          <w:snapToGrid w:val="0"/>
          <w:kern w:val="0"/>
          <w:szCs w:val="21"/>
        </w:rPr>
        <w:br w:type="page"/>
      </w:r>
      <w:r>
        <w:rPr>
          <w:rFonts w:hint="eastAsia" w:ascii="宋体" w:hAnsi="宋体" w:cs="宋体"/>
          <w:snapToGrid w:val="0"/>
          <w:kern w:val="0"/>
          <w:sz w:val="28"/>
          <w:szCs w:val="28"/>
        </w:rPr>
        <w:t>医院物业管理考核小组考核评分表</w:t>
      </w:r>
    </w:p>
    <w:p>
      <w:pPr>
        <w:wordWrap w:val="0"/>
        <w:snapToGrid w:val="0"/>
        <w:spacing w:line="360" w:lineRule="auto"/>
        <w:ind w:firstLine="720" w:firstLineChars="200"/>
        <w:jc w:val="right"/>
        <w:rPr>
          <w:rFonts w:ascii="宋体" w:hAnsi="宋体" w:cs="宋体"/>
          <w:snapToGrid w:val="0"/>
          <w:kern w:val="0"/>
          <w:sz w:val="28"/>
          <w:szCs w:val="28"/>
        </w:rPr>
      </w:pPr>
      <w:r>
        <w:rPr>
          <w:rFonts w:hint="eastAsia" w:ascii="宋体" w:hAnsi="宋体" w:cs="宋体"/>
          <w:spacing w:val="40"/>
          <w:sz w:val="28"/>
          <w:szCs w:val="28"/>
        </w:rPr>
        <w:t xml:space="preserve">日期：   </w:t>
      </w:r>
    </w:p>
    <w:tbl>
      <w:tblPr>
        <w:tblStyle w:val="63"/>
        <w:tblW w:w="5000" w:type="pct"/>
        <w:tblInd w:w="0" w:type="dxa"/>
        <w:tblLayout w:type="autofit"/>
        <w:tblCellMar>
          <w:top w:w="0" w:type="dxa"/>
          <w:left w:w="0" w:type="dxa"/>
          <w:bottom w:w="0" w:type="dxa"/>
          <w:right w:w="0" w:type="dxa"/>
        </w:tblCellMar>
      </w:tblPr>
      <w:tblGrid>
        <w:gridCol w:w="688"/>
        <w:gridCol w:w="5976"/>
        <w:gridCol w:w="1197"/>
        <w:gridCol w:w="1219"/>
      </w:tblGrid>
      <w:tr>
        <w:tblPrEx>
          <w:tblCellMar>
            <w:top w:w="0" w:type="dxa"/>
            <w:left w:w="0" w:type="dxa"/>
            <w:bottom w:w="0" w:type="dxa"/>
            <w:right w:w="0" w:type="dxa"/>
          </w:tblCellMar>
        </w:tblPrEx>
        <w:trPr>
          <w:trHeight w:val="504"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br w:type="page"/>
            </w:r>
            <w:r>
              <w:rPr>
                <w:rFonts w:hint="eastAsia" w:ascii="宋体" w:hAnsi="宋体" w:cs="宋体"/>
              </w:rPr>
              <w:t>序号</w:t>
            </w:r>
          </w:p>
        </w:tc>
        <w:tc>
          <w:tcPr>
            <w:tcW w:w="3290"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考核内容</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评分标准</w:t>
            </w:r>
          </w:p>
        </w:tc>
        <w:tc>
          <w:tcPr>
            <w:tcW w:w="671" w:type="pct"/>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得分</w:t>
            </w: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人员仪表、文明用语、工作态度</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2</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遵守规章制度情况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3</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用工规范与及时备案情况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25"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4</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地面、墙面、玻璃门窗投标保洁方案等工作要求的完成情况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5</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楼内公共区域卫生质量情况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6</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医院环境卫生质量情况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7</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病区绿化要求每季度80%以上的室内绿化必须更换，数量、 种类与约定数相同，不出现植物数量不符、枯萎等情况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25"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8</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接到病人对物业工人服务态度有效投诉情况</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9</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医院对物业的月考核与综合目标指标考核挂钩，上级单位突 击检查如在环境卫生方面有扣分，医院予以相应扣分</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0" w:hRule="atLeast"/>
        </w:trPr>
        <w:tc>
          <w:tcPr>
            <w:tcW w:w="37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3290" w:type="pct"/>
            <w:tcBorders>
              <w:top w:val="single" w:color="auto" w:sz="4" w:space="0"/>
              <w:left w:val="single" w:color="auto" w:sz="4" w:space="0"/>
              <w:bottom w:val="nil"/>
              <w:right w:val="nil"/>
            </w:tcBorders>
            <w:shd w:val="clear" w:color="auto" w:fill="FFFFFF"/>
            <w:vAlign w:val="center"/>
          </w:tcPr>
          <w:p>
            <w:pPr>
              <w:rPr>
                <w:rFonts w:ascii="宋体" w:hAnsi="宋体" w:cs="宋体"/>
              </w:rPr>
            </w:pPr>
            <w:r>
              <w:rPr>
                <w:rFonts w:hint="eastAsia" w:ascii="宋体" w:hAnsi="宋体" w:cs="宋体"/>
              </w:rPr>
              <w:t>物业工人服务意识强，主动配合医院各项工作</w:t>
            </w:r>
          </w:p>
        </w:tc>
        <w:tc>
          <w:tcPr>
            <w:tcW w:w="659" w:type="pct"/>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10</w:t>
            </w:r>
          </w:p>
        </w:tc>
        <w:tc>
          <w:tcPr>
            <w:tcW w:w="671" w:type="pct"/>
            <w:tcBorders>
              <w:top w:val="single" w:color="auto" w:sz="4" w:space="0"/>
              <w:left w:val="single" w:color="auto" w:sz="4" w:space="0"/>
              <w:bottom w:val="nil"/>
              <w:right w:val="single" w:color="auto" w:sz="4" w:space="0"/>
            </w:tcBorders>
            <w:shd w:val="clear" w:color="auto" w:fill="FFFFFF"/>
            <w:vAlign w:val="center"/>
          </w:tcPr>
          <w:p>
            <w:pPr>
              <w:rPr>
                <w:rFonts w:ascii="宋体" w:hAnsi="宋体" w:cs="宋体"/>
              </w:rPr>
            </w:pPr>
          </w:p>
        </w:tc>
      </w:tr>
      <w:tr>
        <w:tblPrEx>
          <w:tblCellMar>
            <w:top w:w="0" w:type="dxa"/>
            <w:left w:w="0" w:type="dxa"/>
            <w:bottom w:w="0" w:type="dxa"/>
            <w:right w:w="0" w:type="dxa"/>
          </w:tblCellMar>
        </w:tblPrEx>
        <w:trPr>
          <w:trHeight w:val="734" w:hRule="atLeast"/>
        </w:trPr>
        <w:tc>
          <w:tcPr>
            <w:tcW w:w="3669" w:type="pct"/>
            <w:gridSpan w:val="2"/>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r>
              <w:rPr>
                <w:rFonts w:hint="eastAsia" w:ascii="宋体" w:hAnsi="宋体" w:cs="宋体"/>
              </w:rPr>
              <w:t>合计：</w:t>
            </w:r>
          </w:p>
        </w:tc>
        <w:tc>
          <w:tcPr>
            <w:tcW w:w="659" w:type="pct"/>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r>
              <w:rPr>
                <w:rFonts w:hint="eastAsia" w:ascii="宋体" w:hAnsi="宋体" w:cs="宋体"/>
              </w:rPr>
              <w:t>100</w:t>
            </w: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rPr>
            </w:pPr>
          </w:p>
        </w:tc>
      </w:tr>
    </w:tbl>
    <w:p>
      <w:pPr>
        <w:snapToGrid w:val="0"/>
        <w:spacing w:line="360" w:lineRule="auto"/>
        <w:jc w:val="center"/>
        <w:rPr>
          <w:rFonts w:ascii="宋体" w:hAnsi="宋体" w:cs="宋体"/>
          <w:snapToGrid w:val="0"/>
          <w:kern w:val="0"/>
          <w:sz w:val="28"/>
          <w:szCs w:val="28"/>
        </w:rPr>
      </w:pPr>
    </w:p>
    <w:p>
      <w:pPr>
        <w:widowControl/>
        <w:jc w:val="center"/>
        <w:rPr>
          <w:rFonts w:ascii="宋体" w:hAnsi="宋体" w:cs="宋体"/>
          <w:snapToGrid w:val="0"/>
          <w:kern w:val="0"/>
          <w:sz w:val="28"/>
          <w:szCs w:val="28"/>
        </w:rPr>
      </w:pPr>
      <w:r>
        <w:rPr>
          <w:rFonts w:hint="eastAsia" w:ascii="宋体" w:hAnsi="宋体" w:cs="宋体"/>
          <w:snapToGrid w:val="0"/>
          <w:kern w:val="0"/>
          <w:sz w:val="28"/>
          <w:szCs w:val="28"/>
        </w:rPr>
        <w:br w:type="page"/>
      </w:r>
      <w:r>
        <w:rPr>
          <w:rFonts w:hint="eastAsia" w:ascii="宋体" w:hAnsi="宋体" w:cs="宋体"/>
          <w:snapToGrid w:val="0"/>
          <w:kern w:val="0"/>
          <w:sz w:val="28"/>
          <w:szCs w:val="28"/>
        </w:rPr>
        <w:t>病区对物业工人工作考核表</w:t>
      </w:r>
    </w:p>
    <w:p>
      <w:pPr>
        <w:snapToGrid w:val="0"/>
        <w:spacing w:line="360" w:lineRule="auto"/>
        <w:jc w:val="left"/>
        <w:rPr>
          <w:rFonts w:ascii="宋体" w:hAnsi="宋体" w:cs="宋体"/>
          <w:spacing w:val="40"/>
          <w:sz w:val="24"/>
          <w:szCs w:val="28"/>
        </w:rPr>
      </w:pPr>
      <w:r>
        <w:rPr>
          <w:rFonts w:hint="eastAsia" w:ascii="宋体" w:hAnsi="宋体" w:cs="宋体"/>
          <w:spacing w:val="40"/>
          <w:sz w:val="24"/>
          <w:szCs w:val="28"/>
        </w:rPr>
        <w:t>病区：</w:t>
      </w:r>
      <w:r>
        <w:rPr>
          <w:rFonts w:hint="eastAsia" w:ascii="宋体" w:hAnsi="宋体" w:cs="宋体"/>
          <w:spacing w:val="40"/>
          <w:sz w:val="24"/>
          <w:szCs w:val="28"/>
          <w:u w:val="single"/>
        </w:rPr>
        <w:tab/>
      </w:r>
      <w:r>
        <w:rPr>
          <w:rFonts w:hint="eastAsia" w:ascii="宋体" w:hAnsi="宋体" w:cs="宋体"/>
          <w:spacing w:val="40"/>
          <w:sz w:val="24"/>
          <w:szCs w:val="28"/>
          <w:u w:val="single"/>
        </w:rPr>
        <w:t xml:space="preserve">     </w:t>
      </w:r>
      <w:r>
        <w:rPr>
          <w:rFonts w:hint="eastAsia" w:ascii="宋体" w:hAnsi="宋体" w:cs="宋体"/>
          <w:spacing w:val="40"/>
          <w:sz w:val="24"/>
          <w:szCs w:val="28"/>
        </w:rPr>
        <w:t xml:space="preserve">                         日期:</w:t>
      </w:r>
    </w:p>
    <w:tbl>
      <w:tblPr>
        <w:tblStyle w:val="63"/>
        <w:tblW w:w="5000" w:type="pct"/>
        <w:tblInd w:w="0" w:type="dxa"/>
        <w:tblLayout w:type="autofit"/>
        <w:tblCellMar>
          <w:top w:w="0" w:type="dxa"/>
          <w:left w:w="0" w:type="dxa"/>
          <w:bottom w:w="0" w:type="dxa"/>
          <w:right w:w="0" w:type="dxa"/>
        </w:tblCellMar>
      </w:tblPr>
      <w:tblGrid>
        <w:gridCol w:w="677"/>
        <w:gridCol w:w="2147"/>
        <w:gridCol w:w="4387"/>
        <w:gridCol w:w="886"/>
        <w:gridCol w:w="983"/>
      </w:tblGrid>
      <w:tr>
        <w:tblPrEx>
          <w:tblCellMar>
            <w:top w:w="0" w:type="dxa"/>
            <w:left w:w="0" w:type="dxa"/>
            <w:bottom w:w="0" w:type="dxa"/>
            <w:right w:w="0" w:type="dxa"/>
          </w:tblCellMar>
        </w:tblPrEx>
        <w:trPr>
          <w:trHeight w:val="470"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序</w:t>
            </w:r>
          </w:p>
          <w:p>
            <w:pPr>
              <w:spacing w:line="276" w:lineRule="auto"/>
              <w:jc w:val="center"/>
              <w:rPr>
                <w:rFonts w:ascii="宋体" w:hAnsi="宋体" w:cs="宋体"/>
                <w:szCs w:val="21"/>
              </w:rPr>
            </w:pPr>
            <w:r>
              <w:rPr>
                <w:rFonts w:hint="eastAsia" w:ascii="宋体" w:hAnsi="宋体" w:cs="宋体"/>
                <w:szCs w:val="21"/>
              </w:rPr>
              <w:t>号</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考核内容</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评分</w:t>
            </w:r>
          </w:p>
          <w:p>
            <w:pPr>
              <w:spacing w:line="276" w:lineRule="auto"/>
              <w:jc w:val="center"/>
              <w:rPr>
                <w:rFonts w:ascii="宋体" w:hAnsi="宋体" w:cs="宋体"/>
                <w:szCs w:val="21"/>
              </w:rPr>
            </w:pPr>
            <w:r>
              <w:rPr>
                <w:rFonts w:hint="eastAsia" w:ascii="宋体" w:hAnsi="宋体" w:cs="宋体"/>
                <w:szCs w:val="21"/>
              </w:rPr>
              <w:t>标准</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得分</w:t>
            </w:r>
          </w:p>
        </w:tc>
      </w:tr>
      <w:tr>
        <w:tblPrEx>
          <w:tblCellMar>
            <w:top w:w="0" w:type="dxa"/>
            <w:left w:w="0" w:type="dxa"/>
            <w:bottom w:w="0" w:type="dxa"/>
            <w:right w:w="0" w:type="dxa"/>
          </w:tblCellMar>
        </w:tblPrEx>
        <w:trPr>
          <w:trHeight w:val="293"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1</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人员仪表、文明用语、工作态度、遵守规章制度情况。</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576" w:hRule="atLeast"/>
        </w:trPr>
        <w:tc>
          <w:tcPr>
            <w:tcW w:w="373" w:type="pct"/>
            <w:vMerge w:val="restar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2</w:t>
            </w:r>
          </w:p>
        </w:tc>
        <w:tc>
          <w:tcPr>
            <w:tcW w:w="1182" w:type="pct"/>
            <w:vMerge w:val="restar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病区卫生质量情况</w:t>
            </w: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病房床头柜、床栏、设备带清洁，输液架无 污痕，电视机外壳无积灰。</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8</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619" w:hRule="atLeast"/>
        </w:trPr>
        <w:tc>
          <w:tcPr>
            <w:tcW w:w="373" w:type="pct"/>
            <w:vMerge w:val="continue"/>
            <w:tcBorders>
              <w:top w:val="nil"/>
              <w:left w:val="single" w:color="auto" w:sz="4" w:space="0"/>
              <w:bottom w:val="nil"/>
              <w:right w:val="nil"/>
            </w:tcBorders>
            <w:shd w:val="clear" w:color="auto" w:fill="FFFFFF"/>
            <w:vAlign w:val="center"/>
          </w:tcPr>
          <w:p>
            <w:pPr>
              <w:spacing w:line="276" w:lineRule="auto"/>
              <w:jc w:val="center"/>
              <w:rPr>
                <w:rFonts w:ascii="宋体" w:hAnsi="宋体" w:cs="宋体"/>
                <w:szCs w:val="21"/>
              </w:rPr>
            </w:pPr>
          </w:p>
        </w:tc>
        <w:tc>
          <w:tcPr>
            <w:tcW w:w="1182" w:type="pct"/>
            <w:vMerge w:val="continue"/>
            <w:tcBorders>
              <w:top w:val="nil"/>
              <w:left w:val="single" w:color="auto" w:sz="4" w:space="0"/>
              <w:bottom w:val="nil"/>
              <w:right w:val="nil"/>
            </w:tcBorders>
            <w:shd w:val="clear" w:color="auto" w:fill="FFFFFF"/>
            <w:vAlign w:val="center"/>
          </w:tcPr>
          <w:p>
            <w:pPr>
              <w:spacing w:line="276" w:lineRule="auto"/>
              <w:rPr>
                <w:rFonts w:ascii="宋体" w:hAnsi="宋体" w:cs="宋体"/>
                <w:szCs w:val="21"/>
              </w:rPr>
            </w:pP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病区卫生间淋浴房玻璃、镜子、台盆、台面 整洁，地面无积水。</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8</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288" w:hRule="atLeast"/>
        </w:trPr>
        <w:tc>
          <w:tcPr>
            <w:tcW w:w="373" w:type="pct"/>
            <w:vMerge w:val="continue"/>
            <w:tcBorders>
              <w:top w:val="nil"/>
              <w:left w:val="single" w:color="auto" w:sz="4" w:space="0"/>
              <w:bottom w:val="nil"/>
              <w:right w:val="nil"/>
            </w:tcBorders>
            <w:shd w:val="clear" w:color="auto" w:fill="FFFFFF"/>
            <w:vAlign w:val="center"/>
          </w:tcPr>
          <w:p>
            <w:pPr>
              <w:spacing w:line="276" w:lineRule="auto"/>
              <w:jc w:val="center"/>
              <w:rPr>
                <w:rFonts w:ascii="宋体" w:hAnsi="宋体" w:cs="宋体"/>
                <w:szCs w:val="21"/>
              </w:rPr>
            </w:pPr>
          </w:p>
        </w:tc>
        <w:tc>
          <w:tcPr>
            <w:tcW w:w="1182" w:type="pct"/>
            <w:vMerge w:val="continue"/>
            <w:tcBorders>
              <w:top w:val="nil"/>
              <w:left w:val="single" w:color="auto" w:sz="4" w:space="0"/>
              <w:bottom w:val="nil"/>
              <w:right w:val="nil"/>
            </w:tcBorders>
            <w:shd w:val="clear" w:color="auto" w:fill="FFFFFF"/>
            <w:vAlign w:val="center"/>
          </w:tcPr>
          <w:p>
            <w:pPr>
              <w:spacing w:line="276" w:lineRule="auto"/>
              <w:rPr>
                <w:rFonts w:ascii="宋体" w:hAnsi="宋体" w:cs="宋体"/>
                <w:szCs w:val="21"/>
              </w:rPr>
            </w:pP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病区地面清洁。</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8</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581" w:hRule="atLeast"/>
        </w:trPr>
        <w:tc>
          <w:tcPr>
            <w:tcW w:w="373" w:type="pct"/>
            <w:vMerge w:val="continue"/>
            <w:tcBorders>
              <w:top w:val="nil"/>
              <w:left w:val="single" w:color="auto" w:sz="4" w:space="0"/>
              <w:bottom w:val="nil"/>
              <w:right w:val="nil"/>
            </w:tcBorders>
            <w:shd w:val="clear" w:color="auto" w:fill="FFFFFF"/>
            <w:vAlign w:val="center"/>
          </w:tcPr>
          <w:p>
            <w:pPr>
              <w:spacing w:line="276" w:lineRule="auto"/>
              <w:jc w:val="center"/>
              <w:rPr>
                <w:rFonts w:ascii="宋体" w:hAnsi="宋体" w:cs="宋体"/>
                <w:szCs w:val="21"/>
              </w:rPr>
            </w:pPr>
          </w:p>
        </w:tc>
        <w:tc>
          <w:tcPr>
            <w:tcW w:w="1182" w:type="pct"/>
            <w:vMerge w:val="continue"/>
            <w:tcBorders>
              <w:top w:val="nil"/>
              <w:left w:val="single" w:color="auto" w:sz="4" w:space="0"/>
              <w:bottom w:val="nil"/>
              <w:right w:val="nil"/>
            </w:tcBorders>
            <w:shd w:val="clear" w:color="auto" w:fill="FFFFFF"/>
            <w:vAlign w:val="center"/>
          </w:tcPr>
          <w:p>
            <w:pPr>
              <w:spacing w:line="276" w:lineRule="auto"/>
              <w:rPr>
                <w:rFonts w:ascii="宋体" w:hAnsi="宋体" w:cs="宋体"/>
                <w:szCs w:val="21"/>
              </w:rPr>
            </w:pP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病区不锈钢(楼道、走廊扶手、车辆、清洗 台、电梯等)保持清洁、有每周上油保养。</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8</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288" w:hRule="atLeast"/>
        </w:trPr>
        <w:tc>
          <w:tcPr>
            <w:tcW w:w="373" w:type="pct"/>
            <w:vMerge w:val="continue"/>
            <w:tcBorders>
              <w:top w:val="nil"/>
              <w:left w:val="single" w:color="auto" w:sz="4" w:space="0"/>
              <w:bottom w:val="nil"/>
              <w:right w:val="nil"/>
            </w:tcBorders>
            <w:shd w:val="clear" w:color="auto" w:fill="FFFFFF"/>
            <w:vAlign w:val="center"/>
          </w:tcPr>
          <w:p>
            <w:pPr>
              <w:spacing w:line="276" w:lineRule="auto"/>
              <w:jc w:val="center"/>
              <w:rPr>
                <w:rFonts w:ascii="宋体" w:hAnsi="宋体" w:cs="宋体"/>
                <w:szCs w:val="21"/>
              </w:rPr>
            </w:pPr>
          </w:p>
        </w:tc>
        <w:tc>
          <w:tcPr>
            <w:tcW w:w="1182" w:type="pct"/>
            <w:vMerge w:val="continue"/>
            <w:tcBorders>
              <w:top w:val="nil"/>
              <w:left w:val="single" w:color="auto" w:sz="4" w:space="0"/>
              <w:bottom w:val="nil"/>
              <w:right w:val="nil"/>
            </w:tcBorders>
            <w:shd w:val="clear" w:color="auto" w:fill="FFFFFF"/>
            <w:vAlign w:val="center"/>
          </w:tcPr>
          <w:p>
            <w:pPr>
              <w:spacing w:line="276" w:lineRule="auto"/>
              <w:rPr>
                <w:rFonts w:ascii="宋体" w:hAnsi="宋体" w:cs="宋体"/>
                <w:szCs w:val="21"/>
              </w:rPr>
            </w:pP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及时清理病区各室内垃圾。</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8</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298" w:hRule="atLeast"/>
        </w:trPr>
        <w:tc>
          <w:tcPr>
            <w:tcW w:w="373" w:type="pct"/>
            <w:vMerge w:val="continue"/>
            <w:tcBorders>
              <w:top w:val="nil"/>
              <w:left w:val="single" w:color="auto" w:sz="4" w:space="0"/>
              <w:bottom w:val="nil"/>
              <w:right w:val="nil"/>
            </w:tcBorders>
            <w:shd w:val="clear" w:color="auto" w:fill="FFFFFF"/>
            <w:vAlign w:val="center"/>
          </w:tcPr>
          <w:p>
            <w:pPr>
              <w:spacing w:line="276" w:lineRule="auto"/>
              <w:jc w:val="center"/>
              <w:rPr>
                <w:rFonts w:ascii="宋体" w:hAnsi="宋体" w:cs="宋体"/>
                <w:szCs w:val="21"/>
              </w:rPr>
            </w:pPr>
          </w:p>
        </w:tc>
        <w:tc>
          <w:tcPr>
            <w:tcW w:w="1182" w:type="pct"/>
            <w:vMerge w:val="continue"/>
            <w:tcBorders>
              <w:top w:val="nil"/>
              <w:left w:val="single" w:color="auto" w:sz="4" w:space="0"/>
              <w:bottom w:val="nil"/>
              <w:right w:val="nil"/>
            </w:tcBorders>
            <w:shd w:val="clear" w:color="auto" w:fill="FFFFFF"/>
            <w:vAlign w:val="center"/>
          </w:tcPr>
          <w:p>
            <w:pPr>
              <w:spacing w:line="276" w:lineRule="auto"/>
              <w:rPr>
                <w:rFonts w:ascii="宋体" w:hAnsi="宋体" w:cs="宋体"/>
                <w:szCs w:val="21"/>
              </w:rPr>
            </w:pP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外走廊栏杆、楼梯、电梯厅无烟蒂、垃圾。</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7</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293" w:hRule="atLeast"/>
        </w:trPr>
        <w:tc>
          <w:tcPr>
            <w:tcW w:w="373" w:type="pct"/>
            <w:vMerge w:val="continue"/>
            <w:tcBorders>
              <w:top w:val="nil"/>
              <w:left w:val="single" w:color="auto" w:sz="4" w:space="0"/>
              <w:bottom w:val="nil"/>
              <w:right w:val="nil"/>
            </w:tcBorders>
            <w:shd w:val="clear" w:color="auto" w:fill="FFFFFF"/>
            <w:vAlign w:val="center"/>
          </w:tcPr>
          <w:p>
            <w:pPr>
              <w:spacing w:line="276" w:lineRule="auto"/>
              <w:jc w:val="center"/>
              <w:rPr>
                <w:rFonts w:ascii="宋体" w:hAnsi="宋体" w:cs="宋体"/>
                <w:szCs w:val="21"/>
              </w:rPr>
            </w:pPr>
          </w:p>
        </w:tc>
        <w:tc>
          <w:tcPr>
            <w:tcW w:w="1182" w:type="pct"/>
            <w:vMerge w:val="continue"/>
            <w:tcBorders>
              <w:top w:val="nil"/>
              <w:left w:val="single" w:color="auto" w:sz="4" w:space="0"/>
              <w:bottom w:val="nil"/>
              <w:right w:val="nil"/>
            </w:tcBorders>
            <w:shd w:val="clear" w:color="auto" w:fill="FFFFFF"/>
            <w:vAlign w:val="center"/>
          </w:tcPr>
          <w:p>
            <w:pPr>
              <w:spacing w:line="276" w:lineRule="auto"/>
              <w:rPr>
                <w:rFonts w:ascii="宋体" w:hAnsi="宋体" w:cs="宋体"/>
                <w:szCs w:val="21"/>
              </w:rPr>
            </w:pPr>
          </w:p>
        </w:tc>
        <w:tc>
          <w:tcPr>
            <w:tcW w:w="2415" w:type="pct"/>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开水房地面清洁、无积水；开水箱无污迹。</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6</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288"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3</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严格执行消毒制度，按要求做到擦抹、清洗、消毒等工作。</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1037"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4</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物业工人出勤人数必需和医院指定人数相符，工人请假时间不能 超过一周，如超过一周无新员工顶替医院每天扣1分，超过半月 扣除本月该岗位人头工资。</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7</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576"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3598" w:type="pct"/>
            <w:gridSpan w:val="2"/>
            <w:tcBorders>
              <w:top w:val="single" w:color="auto" w:sz="4" w:space="0"/>
              <w:left w:val="single" w:color="auto" w:sz="4" w:space="0"/>
              <w:bottom w:val="nil"/>
              <w:right w:val="nil"/>
            </w:tcBorders>
            <w:shd w:val="clear" w:color="auto" w:fill="FFFFFF"/>
          </w:tcPr>
          <w:p>
            <w:pPr>
              <w:spacing w:line="276" w:lineRule="auto"/>
              <w:rPr>
                <w:rFonts w:ascii="宋体" w:hAnsi="宋体" w:cs="宋体"/>
                <w:szCs w:val="21"/>
              </w:rPr>
            </w:pPr>
            <w:r>
              <w:rPr>
                <w:rFonts w:hint="eastAsia" w:ascii="宋体" w:hAnsi="宋体" w:cs="宋体"/>
                <w:szCs w:val="21"/>
              </w:rPr>
              <w:t>物业有管理人员分片管理，管理人员每天巡视督促所管区域不少 于2次。</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1032"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6</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工作忒慢、服务态度差、卫生检查2次以上不过关等原因要求调 换的工人，物业公司应一周内予调换。一周内予不处理的医院每 天扣1分，超过半月不调换的扣除本月该人头工资。</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7</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691"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7</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病区绿化要求每季度80%以上的室内绿化必须更换，数量、种类 与约定数相同，不出现植物数量不符、枯萎等情况。</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3</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288"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8</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物业工人服务意识强，主动配合病区保洁工作。</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581"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9</w:t>
            </w:r>
          </w:p>
        </w:tc>
        <w:tc>
          <w:tcPr>
            <w:tcW w:w="3598" w:type="pct"/>
            <w:gridSpan w:val="2"/>
            <w:tcBorders>
              <w:top w:val="single" w:color="auto" w:sz="4" w:space="0"/>
              <w:left w:val="single" w:color="auto" w:sz="4" w:space="0"/>
              <w:bottom w:val="nil"/>
              <w:right w:val="nil"/>
            </w:tcBorders>
            <w:shd w:val="clear" w:color="auto" w:fill="FFFFFF"/>
            <w:vAlign w:val="bottom"/>
          </w:tcPr>
          <w:p>
            <w:pPr>
              <w:spacing w:line="276" w:lineRule="auto"/>
              <w:rPr>
                <w:rFonts w:ascii="宋体" w:hAnsi="宋体" w:cs="宋体"/>
                <w:szCs w:val="21"/>
              </w:rPr>
            </w:pPr>
            <w:r>
              <w:rPr>
                <w:rFonts w:hint="eastAsia" w:ascii="宋体" w:hAnsi="宋体" w:cs="宋体"/>
                <w:szCs w:val="21"/>
              </w:rPr>
              <w:t>接到病人对物业工人服务态度有效投诉一例扣1分，二次投诉扣2 分，直至要求辞退。</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533" w:hRule="atLeast"/>
        </w:trPr>
        <w:tc>
          <w:tcPr>
            <w:tcW w:w="373"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10</w:t>
            </w:r>
          </w:p>
        </w:tc>
        <w:tc>
          <w:tcPr>
            <w:tcW w:w="3598" w:type="pct"/>
            <w:gridSpan w:val="2"/>
            <w:tcBorders>
              <w:top w:val="single" w:color="auto" w:sz="4" w:space="0"/>
              <w:left w:val="single" w:color="auto" w:sz="4" w:space="0"/>
              <w:bottom w:val="nil"/>
              <w:right w:val="nil"/>
            </w:tcBorders>
            <w:shd w:val="clear" w:color="auto" w:fill="FFFFFF"/>
            <w:vAlign w:val="center"/>
          </w:tcPr>
          <w:p>
            <w:pPr>
              <w:spacing w:line="276" w:lineRule="auto"/>
              <w:rPr>
                <w:rFonts w:ascii="宋体" w:hAnsi="宋体" w:cs="宋体"/>
                <w:szCs w:val="21"/>
              </w:rPr>
            </w:pPr>
            <w:r>
              <w:rPr>
                <w:rFonts w:hint="eastAsia" w:ascii="宋体" w:hAnsi="宋体" w:cs="宋体"/>
                <w:szCs w:val="21"/>
              </w:rPr>
              <w:t>保证病区所有管道排污排水等通畅，并保证及时受理、解决^</w:t>
            </w:r>
          </w:p>
        </w:tc>
        <w:tc>
          <w:tcPr>
            <w:tcW w:w="488" w:type="pct"/>
            <w:tcBorders>
              <w:top w:val="single" w:color="auto" w:sz="4" w:space="0"/>
              <w:left w:val="single" w:color="auto" w:sz="4" w:space="0"/>
              <w:bottom w:val="nil"/>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5</w:t>
            </w:r>
          </w:p>
        </w:tc>
        <w:tc>
          <w:tcPr>
            <w:tcW w:w="542" w:type="pct"/>
            <w:tcBorders>
              <w:top w:val="single" w:color="auto" w:sz="4" w:space="0"/>
              <w:left w:val="single" w:color="auto" w:sz="4" w:space="0"/>
              <w:bottom w:val="nil"/>
              <w:right w:val="single" w:color="auto" w:sz="4" w:space="0"/>
            </w:tcBorders>
            <w:shd w:val="clear" w:color="auto" w:fill="FFFFFF"/>
            <w:vAlign w:val="center"/>
          </w:tcPr>
          <w:p>
            <w:pPr>
              <w:spacing w:line="276" w:lineRule="auto"/>
              <w:jc w:val="center"/>
              <w:rPr>
                <w:rFonts w:ascii="宋体" w:hAnsi="宋体" w:cs="宋体"/>
                <w:szCs w:val="21"/>
              </w:rPr>
            </w:pPr>
          </w:p>
        </w:tc>
      </w:tr>
      <w:tr>
        <w:tblPrEx>
          <w:tblCellMar>
            <w:top w:w="0" w:type="dxa"/>
            <w:left w:w="0" w:type="dxa"/>
            <w:bottom w:w="0" w:type="dxa"/>
            <w:right w:w="0" w:type="dxa"/>
          </w:tblCellMar>
        </w:tblPrEx>
        <w:trPr>
          <w:trHeight w:val="360" w:hRule="atLeast"/>
        </w:trPr>
        <w:tc>
          <w:tcPr>
            <w:tcW w:w="3970" w:type="pct"/>
            <w:gridSpan w:val="3"/>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合计：</w:t>
            </w:r>
          </w:p>
        </w:tc>
        <w:tc>
          <w:tcPr>
            <w:tcW w:w="488" w:type="pct"/>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ascii="宋体" w:hAnsi="宋体" w:cs="宋体"/>
                <w:szCs w:val="21"/>
              </w:rPr>
            </w:pPr>
            <w:r>
              <w:rPr>
                <w:rFonts w:hint="eastAsia" w:ascii="宋体" w:hAnsi="宋体" w:cs="宋体"/>
                <w:szCs w:val="21"/>
              </w:rPr>
              <w:t>100</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宋体" w:hAnsi="宋体" w:cs="宋体"/>
                <w:szCs w:val="21"/>
              </w:rPr>
            </w:pPr>
          </w:p>
        </w:tc>
      </w:tr>
    </w:tbl>
    <w:p>
      <w:pPr>
        <w:snapToGrid w:val="0"/>
        <w:spacing w:line="360" w:lineRule="auto"/>
        <w:ind w:firstLine="560" w:firstLineChars="200"/>
        <w:jc w:val="left"/>
        <w:rPr>
          <w:rFonts w:ascii="宋体" w:hAnsi="宋体" w:cs="宋体"/>
          <w:snapToGrid w:val="0"/>
          <w:kern w:val="0"/>
          <w:sz w:val="28"/>
          <w:szCs w:val="28"/>
        </w:rPr>
      </w:pPr>
    </w:p>
    <w:p>
      <w:pPr>
        <w:snapToGrid w:val="0"/>
        <w:spacing w:line="360" w:lineRule="auto"/>
        <w:ind w:firstLine="420" w:firstLineChars="200"/>
        <w:rPr>
          <w:rFonts w:ascii="宋体" w:hAnsi="宋体" w:cs="宋体"/>
          <w:snapToGrid w:val="0"/>
          <w:kern w:val="0"/>
          <w:szCs w:val="21"/>
        </w:rPr>
      </w:pPr>
    </w:p>
    <w:p>
      <w:pPr>
        <w:snapToGrid w:val="0"/>
        <w:spacing w:line="360" w:lineRule="auto"/>
        <w:ind w:firstLine="420" w:firstLineChars="200"/>
        <w:rPr>
          <w:rFonts w:ascii="宋体" w:hAnsi="宋体" w:cs="宋体"/>
          <w:snapToGrid w:val="0"/>
          <w:kern w:val="0"/>
          <w:szCs w:val="21"/>
        </w:rPr>
      </w:pPr>
    </w:p>
    <w:p>
      <w:pPr>
        <w:widowControl/>
        <w:adjustRightInd/>
        <w:jc w:val="center"/>
        <w:rPr>
          <w:rFonts w:ascii="宋体" w:hAnsi="宋体" w:cs="宋体"/>
          <w:sz w:val="24"/>
        </w:rPr>
      </w:pPr>
      <w:r>
        <w:rPr>
          <w:rFonts w:hint="eastAsia" w:ascii="宋体" w:hAnsi="宋体" w:cs="宋体"/>
          <w:color w:val="FF0000"/>
          <w:sz w:val="24"/>
        </w:rPr>
        <w:br w:type="page"/>
      </w:r>
      <w:r>
        <w:rPr>
          <w:rFonts w:hint="eastAsia" w:ascii="宋体" w:hAnsi="宋体" w:cs="宋体"/>
          <w:sz w:val="24"/>
        </w:rPr>
        <w:t>勤务中心  年  月对物业工人工作考核表（一）</w:t>
      </w:r>
    </w:p>
    <w:p>
      <w:pPr>
        <w:ind w:firstLine="2040" w:firstLineChars="850"/>
        <w:rPr>
          <w:rFonts w:ascii="宋体" w:hAnsi="宋体" w:cs="宋体"/>
          <w:sz w:val="24"/>
        </w:rPr>
      </w:pPr>
    </w:p>
    <w:p>
      <w:pPr>
        <w:ind w:firstLine="4800" w:firstLineChars="2000"/>
        <w:rPr>
          <w:rFonts w:ascii="宋体" w:hAnsi="宋体" w:cs="宋体"/>
          <w:sz w:val="24"/>
        </w:rPr>
      </w:pPr>
      <w:r>
        <w:rPr>
          <w:rFonts w:hint="eastAsia" w:ascii="宋体" w:hAnsi="宋体" w:cs="宋体"/>
          <w:sz w:val="24"/>
        </w:rPr>
        <w:t>总得分 （ +  ）/2=  分</w:t>
      </w:r>
    </w:p>
    <w:tbl>
      <w:tblPr>
        <w:tblStyle w:val="63"/>
        <w:tblW w:w="10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1"/>
        <w:gridCol w:w="3571"/>
        <w:gridCol w:w="749"/>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451" w:type="dxa"/>
            <w:vAlign w:val="center"/>
          </w:tcPr>
          <w:p>
            <w:pPr>
              <w:spacing w:line="360" w:lineRule="auto"/>
              <w:jc w:val="center"/>
              <w:rPr>
                <w:rFonts w:ascii="宋体" w:hAnsi="宋体" w:cs="宋体"/>
                <w:sz w:val="24"/>
              </w:rPr>
            </w:pPr>
            <w:r>
              <w:rPr>
                <w:rFonts w:hint="eastAsia" w:ascii="宋体" w:hAnsi="宋体" w:cs="宋体"/>
                <w:sz w:val="24"/>
              </w:rPr>
              <w:t>检查内容</w:t>
            </w:r>
          </w:p>
        </w:tc>
        <w:tc>
          <w:tcPr>
            <w:tcW w:w="3571" w:type="dxa"/>
            <w:vAlign w:val="center"/>
          </w:tcPr>
          <w:p>
            <w:pPr>
              <w:spacing w:line="360" w:lineRule="auto"/>
              <w:ind w:left="-283" w:leftChars="-135"/>
              <w:jc w:val="center"/>
              <w:rPr>
                <w:rFonts w:ascii="宋体" w:hAnsi="宋体" w:cs="宋体"/>
                <w:sz w:val="24"/>
              </w:rPr>
            </w:pPr>
            <w:r>
              <w:rPr>
                <w:rFonts w:hint="eastAsia" w:ascii="宋体" w:hAnsi="宋体" w:cs="宋体"/>
                <w:sz w:val="24"/>
              </w:rPr>
              <w:t>扣分理由</w:t>
            </w:r>
          </w:p>
        </w:tc>
        <w:tc>
          <w:tcPr>
            <w:tcW w:w="749"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分值</w:t>
            </w:r>
          </w:p>
        </w:tc>
        <w:tc>
          <w:tcPr>
            <w:tcW w:w="739" w:type="dxa"/>
            <w:vAlign w:val="center"/>
          </w:tcPr>
          <w:p>
            <w:pPr>
              <w:spacing w:line="360" w:lineRule="auto"/>
              <w:jc w:val="center"/>
              <w:rPr>
                <w:rFonts w:ascii="宋体" w:hAnsi="宋体" w:cs="宋体"/>
                <w:sz w:val="24"/>
              </w:rPr>
            </w:pPr>
            <w:r>
              <w:rPr>
                <w:rFonts w:hint="eastAsia" w:ascii="宋体" w:hAnsi="宋体" w:cs="宋体"/>
                <w:sz w:val="24"/>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物业工人出勤人数必需和医院指定人数相符，工人请假时间不能超过一周，如超过一周无新员工顶替医院每天扣1分，超过半月扣除本月该岗位人头工资。特殊时期按天计算人数。</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管理人员分片管理，管理人员每天巡视督促所管区域不少于2次。不到位者每次扣1分。</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对监管部门领导、各护士长反映因工作忒慢、服务态度差、卫生检查多次（2次以上）不过关等原因要求调换的工人，物业公司应一周内予调换。一周内予不处理的医院每天扣1分，超过半月不调换的扣除本月该人头工资。</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病区绿化要求每季80％以上的室内绿化必须更换，数量、种类与约定数相同，不出现植物数量不符、枯萎等情况。</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院方管理人员检查发现物业工作不达标，经提醒不整改，第一次扣1分，第二次扣2分，以此类推直至整改到位。</w:t>
            </w:r>
          </w:p>
        </w:tc>
        <w:tc>
          <w:tcPr>
            <w:tcW w:w="3571" w:type="dxa"/>
            <w:vAlign w:val="center"/>
          </w:tcPr>
          <w:p>
            <w:pPr>
              <w:spacing w:line="360" w:lineRule="auto"/>
              <w:jc w:val="center"/>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接到病人对物业工人服务态度有效投诉一例扣1分，二次投诉扣 2分，直至要求辞退。</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保洁、运送人员原则上65岁以下，小学及以上学历，具备相关健康证。如不符上述条件医院不发该人头工资。</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新员工上岗必需经过岗前培训，经考核合格后方可上岗；入院服务时都必须体检，不符规定医院不发该人头工资。</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保证病区所有管道排污排水等通畅，保证及时受理、解决。</w:t>
            </w:r>
          </w:p>
        </w:tc>
        <w:tc>
          <w:tcPr>
            <w:tcW w:w="3571" w:type="dxa"/>
            <w:vAlign w:val="center"/>
          </w:tcPr>
          <w:p>
            <w:pPr>
              <w:spacing w:line="360" w:lineRule="auto"/>
              <w:jc w:val="center"/>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严格执行消毒制度，按要求做到擦抹、清洗、消毒等工作</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按规定给病人冲开水二次/日，做好出院病人终末消毒</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规范放置卫生洁具，不乱放、晒物品</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各楼层卫生质量情况</w:t>
            </w:r>
          </w:p>
        </w:tc>
        <w:tc>
          <w:tcPr>
            <w:tcW w:w="3571" w:type="dxa"/>
            <w:vAlign w:val="center"/>
          </w:tcPr>
          <w:p>
            <w:pPr>
              <w:widowControl/>
              <w:jc w:val="left"/>
              <w:rPr>
                <w:rFonts w:ascii="宋体" w:hAnsi="宋体" w:cs="宋体"/>
                <w:sz w:val="18"/>
                <w:szCs w:val="18"/>
              </w:rPr>
            </w:pPr>
            <w:r>
              <w:rPr>
                <w:rFonts w:hint="eastAsia" w:ascii="宋体" w:hAnsi="宋体" w:cs="宋体"/>
                <w:sz w:val="18"/>
                <w:szCs w:val="18"/>
              </w:rPr>
              <w:t xml:space="preserve"> </w:t>
            </w:r>
          </w:p>
          <w:p>
            <w:pPr>
              <w:widowControl/>
              <w:jc w:val="left"/>
              <w:rPr>
                <w:rFonts w:ascii="宋体" w:hAnsi="宋体" w:cs="宋体"/>
                <w:sz w:val="18"/>
                <w:szCs w:val="18"/>
              </w:rPr>
            </w:pPr>
          </w:p>
          <w:p>
            <w:pPr>
              <w:widowControl/>
              <w:jc w:val="left"/>
              <w:rPr>
                <w:rFonts w:ascii="宋体" w:hAnsi="宋体" w:cs="宋体"/>
                <w:sz w:val="18"/>
                <w:szCs w:val="18"/>
              </w:rPr>
            </w:pPr>
          </w:p>
          <w:p>
            <w:pPr>
              <w:widowControl/>
              <w:jc w:val="left"/>
              <w:rPr>
                <w:rFonts w:ascii="宋体" w:hAnsi="宋体" w:cs="宋体"/>
                <w:sz w:val="18"/>
                <w:szCs w:val="18"/>
              </w:rPr>
            </w:pPr>
          </w:p>
          <w:p>
            <w:pPr>
              <w:widowControl/>
              <w:jc w:val="left"/>
              <w:rPr>
                <w:rFonts w:ascii="宋体" w:hAnsi="宋体" w:cs="宋体"/>
                <w:sz w:val="18"/>
                <w:szCs w:val="18"/>
              </w:rPr>
            </w:pPr>
          </w:p>
          <w:p>
            <w:pPr>
              <w:widowControl/>
              <w:jc w:val="left"/>
              <w:rPr>
                <w:rFonts w:ascii="宋体" w:hAnsi="宋体" w:cs="宋体"/>
                <w:sz w:val="18"/>
                <w:szCs w:val="18"/>
              </w:rPr>
            </w:pPr>
          </w:p>
          <w:p>
            <w:pPr>
              <w:widowControl/>
              <w:jc w:val="left"/>
              <w:rPr>
                <w:rFonts w:ascii="宋体" w:hAnsi="宋体" w:cs="宋体"/>
                <w:sz w:val="18"/>
                <w:szCs w:val="18"/>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w:t>
            </w:r>
          </w:p>
        </w:tc>
        <w:tc>
          <w:tcPr>
            <w:tcW w:w="739" w:type="dxa"/>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墙壁无蜘蛛网、灰尘、污渍</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公共区域镜面洁净、光亮、无污渍</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各楼层不锈钢(楼道、走廊扶手、车辆、清洗台、电梯等)每日擦抹、每周上油保养</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大厅玻璃门窗清洗四次/周，保持透明、洁净、无污渍</w:t>
            </w:r>
          </w:p>
        </w:tc>
        <w:tc>
          <w:tcPr>
            <w:tcW w:w="3571" w:type="dxa"/>
            <w:vAlign w:val="center"/>
          </w:tcPr>
          <w:p>
            <w:pPr>
              <w:spacing w:line="360" w:lineRule="auto"/>
              <w:rPr>
                <w:rFonts w:ascii="宋体" w:hAnsi="宋体" w:cs="宋体"/>
                <w:szCs w:val="21"/>
              </w:rPr>
            </w:pPr>
          </w:p>
        </w:tc>
        <w:tc>
          <w:tcPr>
            <w:tcW w:w="749"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各楼层开空调关窗、关门情况</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玻璃雨棚（顶）清洗一次/月，行政楼地板房地面上蜡一次/季  地面保养、一次/月</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医院露台一/日打扫，保持清洁</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各楼层果皮箱外表干净，无虫蚁，无特别异味</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生活垃圾筒每日冲洗，保持干净、无臭味</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通风口、照明擦抹一次/月</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床头柜，设备带每日定时擦抹消毒</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输液架、氧气架无污痕，表面干净，有光泽</w:t>
            </w:r>
          </w:p>
        </w:tc>
        <w:tc>
          <w:tcPr>
            <w:tcW w:w="3571" w:type="dxa"/>
            <w:vAlign w:val="center"/>
          </w:tcPr>
          <w:p>
            <w:pPr>
              <w:spacing w:line="360" w:lineRule="auto"/>
              <w:jc w:val="center"/>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浴房玻璃、病房窗玻璃一次/周清洗、无污渍</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szCs w:val="21"/>
              </w:rPr>
              <w:t>4</w:t>
            </w:r>
          </w:p>
        </w:tc>
        <w:tc>
          <w:tcPr>
            <w:tcW w:w="739" w:type="dxa"/>
            <w:vAlign w:val="center"/>
          </w:tcPr>
          <w:p>
            <w:pPr>
              <w:tabs>
                <w:tab w:val="center" w:pos="321"/>
                <w:tab w:val="left" w:pos="461"/>
              </w:tabs>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自动扶梯一次/周擦抹、清洁、保持光亮</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szCs w:val="21"/>
              </w:rPr>
              <w:t>2</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公共厕所、水池、台面、地面洁净，便池清洁无臭味，间隔墙、门无污渍，巡视一次/半小时</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r>
              <w:rPr>
                <w:rFonts w:hint="eastAsia" w:ascii="宋体" w:hAnsi="宋体" w:cs="宋体"/>
              </w:rPr>
              <w:t>6</w:t>
            </w:r>
          </w:p>
        </w:tc>
        <w:tc>
          <w:tcPr>
            <w:tcW w:w="73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外围环境卫生保持干净，指示牌清洁</w:t>
            </w:r>
          </w:p>
        </w:tc>
        <w:tc>
          <w:tcPr>
            <w:tcW w:w="3571" w:type="dxa"/>
            <w:vAlign w:val="center"/>
          </w:tcPr>
          <w:p>
            <w:pPr>
              <w:spacing w:line="360" w:lineRule="auto"/>
              <w:rPr>
                <w:rFonts w:ascii="宋体" w:hAnsi="宋体" w:cs="宋体"/>
                <w:szCs w:val="21"/>
              </w:rPr>
            </w:pPr>
          </w:p>
        </w:tc>
        <w:tc>
          <w:tcPr>
            <w:tcW w:w="749" w:type="dxa"/>
            <w:vAlign w:val="center"/>
          </w:tcPr>
          <w:p>
            <w:pPr>
              <w:spacing w:line="360" w:lineRule="auto"/>
              <w:jc w:val="center"/>
              <w:rPr>
                <w:rFonts w:ascii="宋体" w:hAnsi="宋体" w:cs="宋体"/>
              </w:rPr>
            </w:pPr>
          </w:p>
        </w:tc>
        <w:tc>
          <w:tcPr>
            <w:tcW w:w="739" w:type="dxa"/>
            <w:vAlign w:val="center"/>
          </w:tcPr>
          <w:p>
            <w:pPr>
              <w:spacing w:line="360" w:lineRule="auto"/>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5451" w:type="dxa"/>
            <w:vAlign w:val="center"/>
          </w:tcPr>
          <w:p>
            <w:pPr>
              <w:spacing w:line="360" w:lineRule="auto"/>
              <w:jc w:val="left"/>
              <w:rPr>
                <w:rFonts w:ascii="宋体" w:hAnsi="宋体" w:cs="宋体"/>
                <w:szCs w:val="21"/>
              </w:rPr>
            </w:pPr>
            <w:r>
              <w:rPr>
                <w:rFonts w:hint="eastAsia" w:ascii="宋体" w:hAnsi="宋体" w:cs="宋体"/>
                <w:szCs w:val="21"/>
              </w:rPr>
              <w:t>各楼楼顶清扫巡视每一次/月</w:t>
            </w:r>
          </w:p>
        </w:tc>
        <w:tc>
          <w:tcPr>
            <w:tcW w:w="3571" w:type="dxa"/>
            <w:vAlign w:val="center"/>
          </w:tcPr>
          <w:p>
            <w:pPr>
              <w:spacing w:line="360" w:lineRule="auto"/>
              <w:rPr>
                <w:rFonts w:ascii="宋体" w:hAnsi="宋体" w:cs="宋体"/>
                <w:szCs w:val="21"/>
              </w:rPr>
            </w:pPr>
          </w:p>
        </w:tc>
        <w:tc>
          <w:tcPr>
            <w:tcW w:w="749" w:type="dxa"/>
            <w:tcBorders>
              <w:left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2</w:t>
            </w:r>
          </w:p>
        </w:tc>
        <w:tc>
          <w:tcPr>
            <w:tcW w:w="739" w:type="dxa"/>
            <w:tcBorders>
              <w:left w:val="single" w:color="auto" w:sz="4" w:space="0"/>
            </w:tcBorders>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5451" w:type="dxa"/>
            <w:vAlign w:val="center"/>
          </w:tcPr>
          <w:p>
            <w:pPr>
              <w:spacing w:line="360" w:lineRule="auto"/>
              <w:jc w:val="center"/>
              <w:rPr>
                <w:rFonts w:ascii="宋体" w:hAnsi="宋体" w:cs="宋体"/>
                <w:szCs w:val="21"/>
              </w:rPr>
            </w:pPr>
            <w:r>
              <w:rPr>
                <w:rFonts w:hint="eastAsia" w:ascii="宋体" w:hAnsi="宋体" w:cs="宋体"/>
                <w:szCs w:val="21"/>
              </w:rPr>
              <w:t>合计：</w:t>
            </w:r>
          </w:p>
        </w:tc>
        <w:tc>
          <w:tcPr>
            <w:tcW w:w="3571" w:type="dxa"/>
            <w:vAlign w:val="center"/>
          </w:tcPr>
          <w:p>
            <w:pPr>
              <w:spacing w:line="360" w:lineRule="auto"/>
              <w:jc w:val="center"/>
              <w:rPr>
                <w:rFonts w:ascii="宋体" w:hAnsi="宋体" w:cs="宋体"/>
                <w:szCs w:val="21"/>
              </w:rPr>
            </w:pPr>
          </w:p>
        </w:tc>
        <w:tc>
          <w:tcPr>
            <w:tcW w:w="1488" w:type="dxa"/>
            <w:gridSpan w:val="2"/>
            <w:tcBorders>
              <w:left w:val="single" w:color="auto" w:sz="4" w:space="0"/>
            </w:tcBorders>
            <w:vAlign w:val="center"/>
          </w:tcPr>
          <w:p>
            <w:pPr>
              <w:spacing w:line="360" w:lineRule="auto"/>
              <w:jc w:val="center"/>
              <w:rPr>
                <w:rFonts w:ascii="宋体" w:hAnsi="宋体" w:cs="宋体"/>
                <w:szCs w:val="21"/>
              </w:rPr>
            </w:pP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color w:val="FF0000"/>
          <w:sz w:val="24"/>
        </w:rPr>
      </w:pPr>
      <w:r>
        <w:rPr>
          <w:rFonts w:hint="eastAsia" w:ascii="宋体" w:hAnsi="宋体" w:cs="宋体"/>
        </w:rPr>
        <w:br w:type="page"/>
      </w:r>
    </w:p>
    <w:p>
      <w:pPr>
        <w:spacing w:line="300" w:lineRule="auto"/>
        <w:jc w:val="center"/>
        <w:rPr>
          <w:rFonts w:ascii="宋体" w:hAnsi="宋体" w:cs="宋体"/>
          <w:sz w:val="24"/>
        </w:rPr>
      </w:pPr>
      <w:r>
        <w:rPr>
          <w:rFonts w:hint="eastAsia" w:ascii="宋体" w:hAnsi="宋体" w:cs="宋体"/>
          <w:sz w:val="24"/>
        </w:rPr>
        <w:t>勤务中心  年 月对物业工人工作考核表（二）</w:t>
      </w:r>
    </w:p>
    <w:tbl>
      <w:tblPr>
        <w:tblStyle w:val="63"/>
        <w:tblW w:w="96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1"/>
        <w:gridCol w:w="3402"/>
        <w:gridCol w:w="709"/>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4931" w:type="dxa"/>
            <w:vAlign w:val="center"/>
          </w:tcPr>
          <w:p>
            <w:pPr>
              <w:spacing w:line="360" w:lineRule="auto"/>
              <w:ind w:left="-283" w:leftChars="-135"/>
              <w:jc w:val="center"/>
              <w:rPr>
                <w:rFonts w:ascii="宋体" w:hAnsi="宋体" w:cs="宋体"/>
                <w:sz w:val="24"/>
              </w:rPr>
            </w:pPr>
            <w:r>
              <w:rPr>
                <w:rFonts w:hint="eastAsia" w:ascii="宋体" w:hAnsi="宋体" w:cs="宋体"/>
                <w:sz w:val="24"/>
              </w:rPr>
              <w:t>检 查 内 容</w:t>
            </w:r>
          </w:p>
        </w:tc>
        <w:tc>
          <w:tcPr>
            <w:tcW w:w="3402" w:type="dxa"/>
            <w:vAlign w:val="center"/>
          </w:tcPr>
          <w:p>
            <w:pPr>
              <w:spacing w:line="360" w:lineRule="auto"/>
              <w:jc w:val="center"/>
              <w:rPr>
                <w:rFonts w:ascii="宋体" w:hAnsi="宋体" w:cs="宋体"/>
                <w:sz w:val="24"/>
              </w:rPr>
            </w:pPr>
            <w:r>
              <w:rPr>
                <w:rFonts w:hint="eastAsia" w:ascii="宋体" w:hAnsi="宋体" w:cs="宋体"/>
                <w:sz w:val="24"/>
              </w:rPr>
              <w:t>存 在 问 题</w:t>
            </w:r>
          </w:p>
        </w:tc>
        <w:tc>
          <w:tcPr>
            <w:tcW w:w="709" w:type="dxa"/>
            <w:vAlign w:val="center"/>
          </w:tcPr>
          <w:p>
            <w:pPr>
              <w:spacing w:line="360" w:lineRule="auto"/>
              <w:jc w:val="center"/>
              <w:rPr>
                <w:rFonts w:ascii="宋体" w:hAnsi="宋体" w:cs="宋体"/>
                <w:sz w:val="24"/>
              </w:rPr>
            </w:pPr>
            <w:r>
              <w:rPr>
                <w:rFonts w:hint="eastAsia" w:ascii="宋体" w:hAnsi="宋体" w:cs="宋体"/>
                <w:sz w:val="24"/>
              </w:rPr>
              <w:t>分值</w:t>
            </w:r>
          </w:p>
        </w:tc>
        <w:tc>
          <w:tcPr>
            <w:tcW w:w="620" w:type="dxa"/>
            <w:vAlign w:val="center"/>
          </w:tcPr>
          <w:p>
            <w:pPr>
              <w:spacing w:line="360" w:lineRule="auto"/>
              <w:jc w:val="center"/>
              <w:rPr>
                <w:rFonts w:ascii="宋体" w:hAnsi="宋体" w:cs="宋体"/>
                <w:sz w:val="24"/>
              </w:rPr>
            </w:pPr>
            <w:r>
              <w:rPr>
                <w:rFonts w:hint="eastAsia" w:ascii="宋体" w:hAnsi="宋体" w:cs="宋体"/>
                <w:sz w:val="24"/>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着装整洁、仪表端庄、挂牌上岗、认真执行医院各项规章制度，遵守劳动纪律</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服务热情、耐心、有礼貌、不与病人或陪客争吵</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运送病人及时，护送时注意保暖，搬运病人时动作规范、轻稳，符合治疗要求，无投诉</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护送病人时做到轻推、慢拉，确保安全，不得因护送不当跌伤病人，运送病人时各种导管保持通畅，位置合理，防止脱落，无投诉</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收送各种标本时做到及时、无误、不得丢失、损坏</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遵守消毒隔离制度，运送各种标本、单子均走污物通道，污手不能按电梯，无投诉</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领送大输液时做到准确、及时、无误，不能与工作人员争吵</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外送标本及时准确，取血制品时经核对后动作轻柔</w:t>
            </w:r>
          </w:p>
        </w:tc>
        <w:tc>
          <w:tcPr>
            <w:tcW w:w="3402"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运送病人工具做到清洁，每天消毒</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收集垃圾时应要求着装(戴口罩、手套帽子)</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按时定点收集各科垃圾，收集时应采取密封措施，防止污水外溢</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对生活垃圾和医用垃圾要严格分装，做好数量登记，严禁个人出售医用废弃物，防止交叉感染</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20" w:type="dxa"/>
            <w:vAlign w:val="center"/>
          </w:tcPr>
          <w:p>
            <w:pPr>
              <w:spacing w:line="360" w:lineRule="auto"/>
              <w:ind w:firstLine="210" w:firstLineChars="10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保持垃圾房周围环境及垃圾收集箱整洁，防止蚊、蝇滋生，做好垃圾房的消毒工作</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准确无误运送各科被服类、工作服类，并核对，如有报损跟科室护士长联系</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4931" w:type="dxa"/>
            <w:vAlign w:val="center"/>
          </w:tcPr>
          <w:p>
            <w:pPr>
              <w:spacing w:line="360" w:lineRule="auto"/>
              <w:jc w:val="left"/>
              <w:rPr>
                <w:rFonts w:ascii="宋体" w:hAnsi="宋体" w:cs="宋体"/>
                <w:szCs w:val="21"/>
              </w:rPr>
            </w:pPr>
            <w:r>
              <w:rPr>
                <w:rFonts w:hint="eastAsia" w:ascii="宋体" w:hAnsi="宋体" w:cs="宋体"/>
                <w:szCs w:val="21"/>
              </w:rPr>
              <w:t>突击性任务(加分)</w:t>
            </w:r>
          </w:p>
        </w:tc>
        <w:tc>
          <w:tcPr>
            <w:tcW w:w="3402" w:type="dxa"/>
            <w:vAlign w:val="center"/>
          </w:tcPr>
          <w:p>
            <w:pPr>
              <w:spacing w:line="360" w:lineRule="auto"/>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620"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1" w:type="dxa"/>
            <w:vAlign w:val="center"/>
          </w:tcPr>
          <w:p>
            <w:pPr>
              <w:spacing w:line="360" w:lineRule="auto"/>
              <w:jc w:val="center"/>
              <w:rPr>
                <w:rFonts w:ascii="宋体" w:hAnsi="宋体" w:cs="宋体"/>
                <w:szCs w:val="21"/>
              </w:rPr>
            </w:pPr>
            <w:r>
              <w:rPr>
                <w:rFonts w:hint="eastAsia" w:ascii="宋体" w:hAnsi="宋体" w:cs="宋体"/>
                <w:szCs w:val="21"/>
              </w:rPr>
              <w:t>合计：</w:t>
            </w:r>
          </w:p>
        </w:tc>
        <w:tc>
          <w:tcPr>
            <w:tcW w:w="3402" w:type="dxa"/>
            <w:vAlign w:val="center"/>
          </w:tcPr>
          <w:p>
            <w:pPr>
              <w:spacing w:line="360" w:lineRule="auto"/>
              <w:jc w:val="center"/>
              <w:rPr>
                <w:rFonts w:ascii="宋体" w:hAnsi="宋体" w:cs="宋体"/>
                <w:szCs w:val="21"/>
              </w:rPr>
            </w:pPr>
          </w:p>
        </w:tc>
        <w:tc>
          <w:tcPr>
            <w:tcW w:w="1329" w:type="dxa"/>
            <w:gridSpan w:val="2"/>
            <w:vAlign w:val="center"/>
          </w:tcPr>
          <w:p>
            <w:pPr>
              <w:spacing w:line="360" w:lineRule="auto"/>
              <w:jc w:val="center"/>
              <w:rPr>
                <w:rFonts w:ascii="宋体" w:hAnsi="宋体" w:cs="宋体"/>
                <w:szCs w:val="21"/>
              </w:rPr>
            </w:pPr>
          </w:p>
        </w:tc>
      </w:tr>
    </w:tbl>
    <w:p>
      <w:pPr>
        <w:rPr>
          <w:rFonts w:ascii="宋体" w:hAnsi="宋体" w:cs="宋体"/>
        </w:rPr>
      </w:pPr>
    </w:p>
    <w:p>
      <w:pPr>
        <w:rPr>
          <w:rFonts w:ascii="宋体" w:hAnsi="宋体" w:cs="宋体"/>
        </w:rPr>
      </w:pPr>
    </w:p>
    <w:p>
      <w:pPr>
        <w:snapToGrid w:val="0"/>
        <w:spacing w:line="360" w:lineRule="auto"/>
        <w:ind w:firstLine="420" w:firstLineChars="200"/>
        <w:jc w:val="right"/>
        <w:rPr>
          <w:rFonts w:ascii="宋体" w:hAnsi="宋体" w:cs="宋体"/>
          <w:snapToGrid w:val="0"/>
          <w:kern w:val="0"/>
          <w:szCs w:val="21"/>
        </w:rPr>
        <w:sectPr>
          <w:pgSz w:w="11906" w:h="16838"/>
          <w:pgMar w:top="1247" w:right="1418" w:bottom="1276" w:left="1418" w:header="851" w:footer="992" w:gutter="0"/>
          <w:cols w:space="720" w:num="1"/>
          <w:titlePg/>
          <w:docGrid w:linePitch="312" w:charSpace="0"/>
        </w:sectPr>
      </w:pPr>
    </w:p>
    <w:p>
      <w:pPr>
        <w:spacing w:line="360" w:lineRule="auto"/>
        <w:jc w:val="left"/>
        <w:rPr>
          <w:rFonts w:ascii="宋体" w:hAnsi="宋体" w:cs="宋体"/>
          <w:spacing w:val="4"/>
        </w:rPr>
      </w:pPr>
      <w:r>
        <w:rPr>
          <w:rFonts w:hint="eastAsia" w:ascii="宋体" w:hAnsi="宋体" w:cs="宋体"/>
          <w:spacing w:val="4"/>
        </w:rPr>
        <w:t>附件二</w:t>
      </w:r>
    </w:p>
    <w:p>
      <w:pPr>
        <w:snapToGrid w:val="0"/>
        <w:spacing w:line="360" w:lineRule="auto"/>
        <w:jc w:val="center"/>
        <w:rPr>
          <w:rFonts w:ascii="宋体" w:hAnsi="宋体" w:cs="宋体"/>
        </w:rPr>
      </w:pPr>
      <w:r>
        <w:rPr>
          <w:rFonts w:hint="eastAsia" w:ascii="宋体" w:hAnsi="宋体" w:cs="宋体"/>
          <w:b/>
          <w:snapToGrid w:val="0"/>
          <w:kern w:val="0"/>
          <w:sz w:val="44"/>
          <w:szCs w:val="44"/>
        </w:rPr>
        <w:t>岗位需求</w:t>
      </w:r>
    </w:p>
    <w:tbl>
      <w:tblPr>
        <w:tblStyle w:val="63"/>
        <w:tblW w:w="9552" w:type="dxa"/>
        <w:tblInd w:w="-34" w:type="dxa"/>
        <w:tblLayout w:type="autofit"/>
        <w:tblCellMar>
          <w:top w:w="0" w:type="dxa"/>
          <w:left w:w="108" w:type="dxa"/>
          <w:bottom w:w="0" w:type="dxa"/>
          <w:right w:w="108" w:type="dxa"/>
        </w:tblCellMar>
      </w:tblPr>
      <w:tblGrid>
        <w:gridCol w:w="709"/>
        <w:gridCol w:w="2977"/>
        <w:gridCol w:w="2977"/>
        <w:gridCol w:w="1417"/>
        <w:gridCol w:w="1472"/>
      </w:tblGrid>
      <w:tr>
        <w:tblPrEx>
          <w:tblCellMar>
            <w:top w:w="0" w:type="dxa"/>
            <w:left w:w="108" w:type="dxa"/>
            <w:bottom w:w="0" w:type="dxa"/>
            <w:right w:w="108" w:type="dxa"/>
          </w:tblCellMar>
        </w:tblPrEx>
        <w:trPr>
          <w:trHeight w:val="330" w:hRule="atLeast"/>
        </w:trPr>
        <w:tc>
          <w:tcPr>
            <w:tcW w:w="709" w:type="dxa"/>
            <w:tcBorders>
              <w:top w:val="single" w:color="auto" w:sz="8" w:space="0"/>
              <w:left w:val="single" w:color="auto" w:sz="8" w:space="0"/>
              <w:bottom w:val="single" w:color="auto" w:sz="8" w:space="0"/>
              <w:right w:val="single" w:color="auto" w:sz="8" w:space="0"/>
            </w:tcBorders>
            <w:vAlign w:val="center"/>
          </w:tcPr>
          <w:p>
            <w:pPr>
              <w:widowControl/>
              <w:adjustRightInd/>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977" w:type="dxa"/>
            <w:tcBorders>
              <w:top w:val="single" w:color="auto" w:sz="8" w:space="0"/>
              <w:left w:val="nil"/>
              <w:bottom w:val="single" w:color="auto" w:sz="8" w:space="0"/>
              <w:right w:val="single" w:color="auto" w:sz="8" w:space="0"/>
            </w:tcBorders>
            <w:vAlign w:val="center"/>
          </w:tcPr>
          <w:p>
            <w:pPr>
              <w:widowControl/>
              <w:adjustRightInd/>
              <w:jc w:val="center"/>
              <w:rPr>
                <w:rFonts w:ascii="宋体" w:hAnsi="宋体" w:cs="宋体"/>
                <w:b/>
                <w:bCs/>
                <w:color w:val="000000"/>
                <w:kern w:val="0"/>
                <w:szCs w:val="21"/>
              </w:rPr>
            </w:pPr>
            <w:r>
              <w:rPr>
                <w:rFonts w:hint="eastAsia" w:ascii="宋体" w:hAnsi="宋体" w:cs="宋体"/>
                <w:b/>
                <w:bCs/>
                <w:color w:val="000000"/>
                <w:kern w:val="0"/>
                <w:szCs w:val="21"/>
              </w:rPr>
              <w:t>岗位</w:t>
            </w:r>
          </w:p>
        </w:tc>
        <w:tc>
          <w:tcPr>
            <w:tcW w:w="2977" w:type="dxa"/>
            <w:tcBorders>
              <w:top w:val="single" w:color="auto" w:sz="8" w:space="0"/>
              <w:left w:val="nil"/>
              <w:bottom w:val="single" w:color="auto" w:sz="8" w:space="0"/>
              <w:right w:val="single" w:color="auto" w:sz="8" w:space="0"/>
            </w:tcBorders>
            <w:vAlign w:val="center"/>
          </w:tcPr>
          <w:p>
            <w:pPr>
              <w:widowControl/>
              <w:adjustRightInd/>
              <w:jc w:val="center"/>
              <w:rPr>
                <w:rFonts w:ascii="宋体" w:hAnsi="宋体" w:cs="宋体"/>
                <w:b/>
                <w:bCs/>
                <w:color w:val="000000"/>
                <w:kern w:val="0"/>
                <w:szCs w:val="21"/>
              </w:rPr>
            </w:pPr>
            <w:r>
              <w:rPr>
                <w:rFonts w:hint="eastAsia" w:ascii="宋体" w:hAnsi="宋体" w:cs="宋体"/>
                <w:b/>
                <w:bCs/>
                <w:color w:val="000000"/>
                <w:kern w:val="0"/>
                <w:szCs w:val="21"/>
              </w:rPr>
              <w:t>上班时间</w:t>
            </w:r>
          </w:p>
        </w:tc>
        <w:tc>
          <w:tcPr>
            <w:tcW w:w="1417" w:type="dxa"/>
            <w:tcBorders>
              <w:top w:val="single" w:color="auto" w:sz="8" w:space="0"/>
              <w:left w:val="nil"/>
              <w:bottom w:val="single" w:color="auto" w:sz="8" w:space="0"/>
              <w:right w:val="single" w:color="auto" w:sz="8" w:space="0"/>
            </w:tcBorders>
            <w:vAlign w:val="center"/>
          </w:tcPr>
          <w:p>
            <w:pPr>
              <w:widowControl/>
              <w:adjustRightInd/>
              <w:jc w:val="center"/>
              <w:rPr>
                <w:rFonts w:ascii="宋体" w:hAnsi="宋体" w:cs="宋体"/>
                <w:b/>
                <w:bCs/>
                <w:color w:val="000000"/>
                <w:kern w:val="0"/>
                <w:szCs w:val="21"/>
              </w:rPr>
            </w:pPr>
            <w:r>
              <w:rPr>
                <w:rFonts w:hint="eastAsia" w:ascii="宋体" w:hAnsi="宋体" w:cs="宋体"/>
                <w:b/>
                <w:bCs/>
                <w:color w:val="000000"/>
                <w:kern w:val="0"/>
                <w:szCs w:val="21"/>
              </w:rPr>
              <w:t>人数需求</w:t>
            </w:r>
          </w:p>
        </w:tc>
        <w:tc>
          <w:tcPr>
            <w:tcW w:w="1472" w:type="dxa"/>
            <w:tcBorders>
              <w:top w:val="single" w:color="auto" w:sz="8" w:space="0"/>
              <w:left w:val="nil"/>
              <w:bottom w:val="nil"/>
              <w:right w:val="single" w:color="auto" w:sz="8" w:space="0"/>
            </w:tcBorders>
            <w:vAlign w:val="center"/>
          </w:tcPr>
          <w:p>
            <w:pPr>
              <w:widowControl/>
              <w:adjustRightInd/>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33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1</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经理</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single" w:color="auto" w:sz="8" w:space="0"/>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管理岗位</w:t>
            </w:r>
          </w:p>
        </w:tc>
      </w:tr>
      <w:tr>
        <w:tblPrEx>
          <w:tblCellMar>
            <w:top w:w="0" w:type="dxa"/>
            <w:left w:w="108" w:type="dxa"/>
            <w:bottom w:w="0" w:type="dxa"/>
            <w:right w:w="108" w:type="dxa"/>
          </w:tblCellMar>
        </w:tblPrEx>
        <w:trPr>
          <w:trHeight w:val="33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2</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主管</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4</w:t>
            </w:r>
          </w:p>
        </w:tc>
        <w:tc>
          <w:tcPr>
            <w:tcW w:w="1472"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管理岗位</w:t>
            </w:r>
          </w:p>
        </w:tc>
      </w:tr>
      <w:tr>
        <w:tblPrEx>
          <w:tblCellMar>
            <w:top w:w="0" w:type="dxa"/>
            <w:left w:w="108" w:type="dxa"/>
            <w:bottom w:w="0" w:type="dxa"/>
            <w:right w:w="108" w:type="dxa"/>
          </w:tblCellMar>
        </w:tblPrEx>
        <w:trPr>
          <w:trHeight w:val="33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3</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净化维护</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24小时值班</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综合岗位</w:t>
            </w:r>
          </w:p>
        </w:tc>
      </w:tr>
      <w:tr>
        <w:tblPrEx>
          <w:tblCellMar>
            <w:top w:w="0" w:type="dxa"/>
            <w:left w:w="108" w:type="dxa"/>
            <w:bottom w:w="0" w:type="dxa"/>
            <w:right w:w="108" w:type="dxa"/>
          </w:tblCellMar>
        </w:tblPrEx>
        <w:trPr>
          <w:trHeight w:val="33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4</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空调值班</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值班时间依据院方需求</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3</w:t>
            </w:r>
          </w:p>
        </w:tc>
        <w:tc>
          <w:tcPr>
            <w:tcW w:w="1472"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综合岗位</w:t>
            </w:r>
          </w:p>
        </w:tc>
      </w:tr>
      <w:tr>
        <w:tblPrEx>
          <w:tblCellMar>
            <w:top w:w="0" w:type="dxa"/>
            <w:left w:w="108" w:type="dxa"/>
            <w:bottom w:w="0" w:type="dxa"/>
            <w:right w:w="108" w:type="dxa"/>
          </w:tblCellMar>
        </w:tblPrEx>
        <w:trPr>
          <w:trHeight w:val="33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5</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高配</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24小时值班</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6</w:t>
            </w:r>
          </w:p>
        </w:tc>
        <w:tc>
          <w:tcPr>
            <w:tcW w:w="1472"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综合岗位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6</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急诊24小时保洁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I类岗位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7</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手术室保洁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24小时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5</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I类岗位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8</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kern w:val="0"/>
                <w:szCs w:val="21"/>
              </w:rPr>
            </w:pPr>
            <w:r>
              <w:rPr>
                <w:rFonts w:hint="eastAsia" w:ascii="宋体" w:hAnsi="宋体" w:cs="宋体"/>
                <w:kern w:val="0"/>
                <w:szCs w:val="21"/>
              </w:rPr>
              <w:t>ICU保洁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kern w:val="0"/>
                <w:szCs w:val="21"/>
              </w:rPr>
            </w:pPr>
            <w:r>
              <w:rPr>
                <w:rFonts w:hint="eastAsia" w:ascii="宋体" w:hAnsi="宋体" w:cs="宋体"/>
                <w:kern w:val="0"/>
                <w:szCs w:val="21"/>
              </w:rPr>
              <w:t>24小时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kern w:val="0"/>
                <w:szCs w:val="21"/>
              </w:rPr>
            </w:pPr>
            <w:r>
              <w:rPr>
                <w:rFonts w:hint="eastAsia" w:ascii="宋体" w:hAnsi="宋体" w:cs="宋体"/>
                <w:kern w:val="0"/>
                <w:szCs w:val="21"/>
              </w:rPr>
              <w:t>4</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kern w:val="0"/>
                <w:sz w:val="24"/>
              </w:rPr>
            </w:pPr>
            <w:r>
              <w:rPr>
                <w:rFonts w:hint="eastAsia" w:ascii="宋体" w:hAnsi="宋体" w:cs="宋体"/>
                <w:kern w:val="0"/>
                <w:sz w:val="24"/>
              </w:rPr>
              <w:t>I类岗位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9</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kern w:val="0"/>
                <w:szCs w:val="21"/>
              </w:rPr>
            </w:pPr>
            <w:r>
              <w:rPr>
                <w:rFonts w:hint="eastAsia" w:ascii="宋体" w:hAnsi="宋体" w:cs="宋体"/>
                <w:kern w:val="0"/>
                <w:szCs w:val="21"/>
              </w:rPr>
              <w:t>急诊病人运送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kern w:val="0"/>
                <w:szCs w:val="21"/>
              </w:rPr>
            </w:pPr>
            <w:r>
              <w:rPr>
                <w:rFonts w:hint="eastAsia" w:ascii="宋体" w:hAnsi="宋体" w:cs="宋体"/>
                <w:kern w:val="0"/>
                <w:szCs w:val="21"/>
              </w:rPr>
              <w:t>24小时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kern w:val="0"/>
                <w:szCs w:val="21"/>
              </w:rPr>
            </w:pPr>
            <w:r>
              <w:rPr>
                <w:rFonts w:hint="eastAsia" w:ascii="宋体" w:hAnsi="宋体" w:cs="宋体"/>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kern w:val="0"/>
                <w:sz w:val="24"/>
              </w:rPr>
            </w:pPr>
            <w:r>
              <w:rPr>
                <w:rFonts w:hint="eastAsia" w:ascii="宋体" w:hAnsi="宋体" w:cs="宋体"/>
                <w:kern w:val="0"/>
                <w:sz w:val="24"/>
              </w:rPr>
              <w:t>I类岗位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10</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kern w:val="0"/>
                <w:szCs w:val="21"/>
              </w:rPr>
            </w:pPr>
            <w:r>
              <w:rPr>
                <w:rFonts w:hint="eastAsia" w:ascii="宋体" w:hAnsi="宋体" w:cs="宋体"/>
                <w:kern w:val="0"/>
                <w:szCs w:val="21"/>
              </w:rPr>
              <w:t>收集医疗垃圾</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kern w:val="0"/>
                <w:szCs w:val="21"/>
              </w:rPr>
            </w:pPr>
            <w:r>
              <w:rPr>
                <w:rFonts w:hint="eastAsia" w:ascii="宋体" w:hAnsi="宋体" w:cs="宋体"/>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kern w:val="0"/>
                <w:szCs w:val="21"/>
              </w:rPr>
            </w:pPr>
            <w:r>
              <w:rPr>
                <w:rFonts w:hint="eastAsia" w:ascii="宋体" w:hAnsi="宋体" w:cs="宋体"/>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kern w:val="0"/>
                <w:sz w:val="24"/>
              </w:rPr>
            </w:pPr>
            <w:r>
              <w:rPr>
                <w:rFonts w:hint="eastAsia" w:ascii="宋体" w:hAnsi="宋体" w:cs="宋体"/>
                <w:kern w:val="0"/>
                <w:sz w:val="24"/>
              </w:rPr>
              <w:t>I类岗位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11</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kern w:val="0"/>
                <w:szCs w:val="21"/>
              </w:rPr>
            </w:pPr>
            <w:r>
              <w:rPr>
                <w:rFonts w:hint="eastAsia" w:ascii="宋体" w:hAnsi="宋体" w:cs="宋体"/>
                <w:kern w:val="0"/>
                <w:szCs w:val="21"/>
              </w:rPr>
              <w:t>收集生活垃圾</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kern w:val="0"/>
                <w:szCs w:val="21"/>
              </w:rPr>
            </w:pPr>
            <w:r>
              <w:rPr>
                <w:rFonts w:hint="eastAsia" w:ascii="宋体" w:hAnsi="宋体" w:cs="宋体"/>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kern w:val="0"/>
                <w:szCs w:val="21"/>
              </w:rPr>
            </w:pPr>
            <w:r>
              <w:rPr>
                <w:rFonts w:hint="eastAsia" w:ascii="宋体" w:hAnsi="宋体" w:cs="宋体"/>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kern w:val="0"/>
                <w:sz w:val="24"/>
              </w:rPr>
            </w:pPr>
            <w:r>
              <w:rPr>
                <w:rFonts w:hint="eastAsia" w:ascii="宋体" w:hAnsi="宋体" w:cs="宋体"/>
                <w:kern w:val="0"/>
                <w:sz w:val="24"/>
              </w:rPr>
              <w:t>I类岗位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12</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1号楼12楼保洁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13</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1号楼11楼保洁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14</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1号楼10楼保洁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15</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1号楼9楼保洁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16</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1号楼8楼保洁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17</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1号楼7楼保洁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18</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1号楼6楼保洁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19</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1号楼5楼保洁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20</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4号楼6楼保洁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21</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 xml:space="preserve"> 4号楼5楼保洁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22</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 xml:space="preserve"> 4号楼4楼保洁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23</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 xml:space="preserve"> 4号楼3楼保洁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24</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 xml:space="preserve"> 4号楼1楼保洁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25</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 xml:space="preserve"> 2号楼8楼保洁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26</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 xml:space="preserve"> 2号楼7楼保洁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27</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 xml:space="preserve"> 2号楼6楼保洁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28</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 xml:space="preserve"> 2号楼5楼保洁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29</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 xml:space="preserve"> 2号楼4楼保洁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30</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2号楼3楼保洁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Ⅱ类岗位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31</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外围保洁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4</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32</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运送调度</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33</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病人运送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24小时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9</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34</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手术室病人运送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24小时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3</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35</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标本运送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24小时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4</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36</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病区药房送药</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24小时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4</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37</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外送标本</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38</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血站取血</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39</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洗衣房被服收、送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4</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40</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电梯清洁保养</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41</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玻璃清洁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42</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下水道疏通</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43</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备用运送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44</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地面清洗</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45</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顶棚清洗</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single" w:color="auto" w:sz="8" w:space="0"/>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nil"/>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Ⅲ类岗位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46</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1号楼门诊大厅保洁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47</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国医馆保洁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48</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住院大厅保洁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49</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门诊2楼保洁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5</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50</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门诊3楼保洁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4</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51</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门诊4楼保洁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52</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1号楼D层保洁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53</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血透保洁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54</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行政楼5、6楼保洁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55</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行政楼3、4楼保洁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56</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行政楼1、2楼保洁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57</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感二科门诊保洁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58</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门诊2楼连廊、2号楼设备层保洁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rPr>
              <w:t>59</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color w:val="000000"/>
                <w:kern w:val="0"/>
                <w:szCs w:val="21"/>
              </w:rPr>
            </w:pPr>
            <w:r>
              <w:rPr>
                <w:rFonts w:hint="eastAsia" w:ascii="宋体" w:hAnsi="宋体" w:cs="宋体"/>
                <w:color w:val="000000"/>
                <w:kern w:val="0"/>
                <w:szCs w:val="21"/>
              </w:rPr>
              <w:t>肠道门诊保洁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color w:val="000000"/>
                <w:kern w:val="0"/>
                <w:szCs w:val="21"/>
              </w:rPr>
            </w:pPr>
            <w:r>
              <w:rPr>
                <w:rFonts w:hint="eastAsia" w:ascii="宋体" w:hAnsi="宋体" w:cs="宋体"/>
                <w:color w:val="000000"/>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kern w:val="0"/>
                <w:szCs w:val="21"/>
              </w:rPr>
            </w:pPr>
            <w:r>
              <w:rPr>
                <w:rFonts w:hint="eastAsia" w:ascii="宋体" w:hAnsi="宋体" w:cs="宋体"/>
                <w:kern w:val="0"/>
                <w:szCs w:val="21"/>
              </w:rPr>
              <w:t>60</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kern w:val="0"/>
                <w:szCs w:val="21"/>
              </w:rPr>
            </w:pPr>
            <w:r>
              <w:rPr>
                <w:rFonts w:hint="eastAsia" w:ascii="宋体" w:hAnsi="宋体" w:cs="宋体"/>
                <w:kern w:val="0"/>
                <w:szCs w:val="21"/>
              </w:rPr>
              <w:t>发热门诊保洁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kern w:val="0"/>
                <w:szCs w:val="21"/>
              </w:rPr>
            </w:pPr>
            <w:r>
              <w:rPr>
                <w:rFonts w:hint="eastAsia" w:ascii="宋体" w:hAnsi="宋体" w:cs="宋体"/>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kern w:val="0"/>
                <w:szCs w:val="21"/>
              </w:rPr>
            </w:pPr>
            <w:r>
              <w:rPr>
                <w:rFonts w:hint="eastAsia" w:ascii="宋体" w:hAnsi="宋体" w:cs="宋体"/>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kern w:val="0"/>
                <w:sz w:val="24"/>
              </w:rPr>
            </w:pPr>
            <w:r>
              <w:rPr>
                <w:rFonts w:hint="eastAsia" w:ascii="宋体" w:hAnsi="宋体" w:cs="宋体"/>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kern w:val="0"/>
                <w:szCs w:val="21"/>
              </w:rPr>
            </w:pPr>
            <w:r>
              <w:rPr>
                <w:rFonts w:hint="eastAsia" w:ascii="宋体" w:hAnsi="宋体" w:cs="宋体"/>
                <w:kern w:val="0"/>
                <w:szCs w:val="21"/>
              </w:rPr>
              <w:t>61</w:t>
            </w:r>
          </w:p>
        </w:tc>
        <w:tc>
          <w:tcPr>
            <w:tcW w:w="2977" w:type="dxa"/>
            <w:tcBorders>
              <w:top w:val="nil"/>
              <w:left w:val="nil"/>
              <w:bottom w:val="single" w:color="auto" w:sz="8" w:space="0"/>
              <w:right w:val="single" w:color="auto" w:sz="8" w:space="0"/>
            </w:tcBorders>
            <w:shd w:val="clear" w:color="auto" w:fill="auto"/>
            <w:vAlign w:val="center"/>
          </w:tcPr>
          <w:p>
            <w:pPr>
              <w:widowControl/>
              <w:adjustRightInd/>
              <w:jc w:val="right"/>
              <w:rPr>
                <w:rFonts w:ascii="宋体" w:hAnsi="宋体" w:cs="宋体"/>
                <w:kern w:val="0"/>
                <w:szCs w:val="21"/>
              </w:rPr>
            </w:pPr>
            <w:r>
              <w:rPr>
                <w:rFonts w:hint="eastAsia" w:ascii="宋体" w:hAnsi="宋体" w:cs="宋体"/>
                <w:kern w:val="0"/>
                <w:szCs w:val="21"/>
              </w:rPr>
              <w:t>供应室保洁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kern w:val="0"/>
                <w:szCs w:val="21"/>
              </w:rPr>
            </w:pPr>
            <w:r>
              <w:rPr>
                <w:rFonts w:hint="eastAsia" w:ascii="宋体" w:hAnsi="宋体" w:cs="宋体"/>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kern w:val="0"/>
                <w:szCs w:val="21"/>
              </w:rPr>
            </w:pPr>
            <w:r>
              <w:rPr>
                <w:rFonts w:hint="eastAsia" w:ascii="宋体" w:hAnsi="宋体" w:cs="宋体"/>
                <w:kern w:val="0"/>
                <w:szCs w:val="21"/>
              </w:rPr>
              <w:t>1</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kern w:val="0"/>
                <w:sz w:val="24"/>
              </w:rPr>
            </w:pPr>
            <w:r>
              <w:rPr>
                <w:rFonts w:hint="eastAsia" w:ascii="宋体" w:hAnsi="宋体" w:cs="宋体"/>
                <w:kern w:val="0"/>
                <w:sz w:val="24"/>
              </w:rPr>
              <w:t>Ⅳ类岗位</w:t>
            </w:r>
          </w:p>
        </w:tc>
      </w:tr>
      <w:tr>
        <w:tblPrEx>
          <w:tblCellMar>
            <w:top w:w="0" w:type="dxa"/>
            <w:left w:w="108" w:type="dxa"/>
            <w:bottom w:w="0" w:type="dxa"/>
            <w:right w:w="108" w:type="dxa"/>
          </w:tblCellMar>
        </w:tblPrEx>
        <w:trPr>
          <w:trHeight w:val="360" w:hRule="atLeast"/>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adjustRightInd/>
              <w:jc w:val="center"/>
              <w:rPr>
                <w:rFonts w:ascii="宋体" w:hAnsi="宋体" w:cs="宋体"/>
                <w:kern w:val="0"/>
                <w:szCs w:val="21"/>
              </w:rPr>
            </w:pPr>
            <w:r>
              <w:rPr>
                <w:rFonts w:hint="eastAsia" w:ascii="宋体" w:hAnsi="宋体" w:cs="宋体"/>
                <w:kern w:val="0"/>
                <w:szCs w:val="21"/>
              </w:rPr>
              <w:t>62</w:t>
            </w:r>
          </w:p>
        </w:tc>
        <w:tc>
          <w:tcPr>
            <w:tcW w:w="2977" w:type="dxa"/>
            <w:tcBorders>
              <w:top w:val="nil"/>
              <w:left w:val="nil"/>
              <w:bottom w:val="single" w:color="auto" w:sz="8" w:space="0"/>
              <w:right w:val="single" w:color="auto" w:sz="8" w:space="0"/>
            </w:tcBorders>
            <w:shd w:val="clear" w:color="auto" w:fill="auto"/>
            <w:vAlign w:val="center"/>
          </w:tcPr>
          <w:p>
            <w:pPr>
              <w:widowControl/>
              <w:adjustRightInd/>
              <w:jc w:val="right"/>
              <w:rPr>
                <w:rFonts w:ascii="宋体" w:hAnsi="宋体" w:cs="宋体"/>
                <w:kern w:val="0"/>
                <w:szCs w:val="21"/>
              </w:rPr>
            </w:pPr>
            <w:r>
              <w:rPr>
                <w:rFonts w:hint="eastAsia" w:ascii="宋体" w:hAnsi="宋体" w:cs="宋体"/>
                <w:kern w:val="0"/>
                <w:szCs w:val="21"/>
              </w:rPr>
              <w:t>核酸检测基地保洁</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kern w:val="0"/>
                <w:szCs w:val="21"/>
              </w:rPr>
            </w:pPr>
            <w:r>
              <w:rPr>
                <w:rFonts w:hint="eastAsia" w:ascii="宋体" w:hAnsi="宋体" w:cs="宋体"/>
                <w:kern w:val="0"/>
                <w:szCs w:val="21"/>
              </w:rPr>
              <w:t>8小时</w:t>
            </w:r>
          </w:p>
        </w:tc>
        <w:tc>
          <w:tcPr>
            <w:tcW w:w="1417" w:type="dxa"/>
            <w:tcBorders>
              <w:top w:val="nil"/>
              <w:left w:val="nil"/>
              <w:bottom w:val="single" w:color="auto" w:sz="8" w:space="0"/>
              <w:right w:val="nil"/>
            </w:tcBorders>
            <w:vAlign w:val="center"/>
          </w:tcPr>
          <w:p>
            <w:pPr>
              <w:widowControl/>
              <w:adjustRightInd/>
              <w:ind w:firstLine="420" w:firstLineChars="200"/>
              <w:jc w:val="center"/>
              <w:rPr>
                <w:rFonts w:ascii="宋体" w:hAnsi="宋体" w:cs="宋体"/>
                <w:kern w:val="0"/>
                <w:szCs w:val="21"/>
              </w:rPr>
            </w:pPr>
            <w:r>
              <w:rPr>
                <w:rFonts w:hint="eastAsia" w:ascii="宋体" w:hAnsi="宋体" w:cs="宋体"/>
                <w:kern w:val="0"/>
                <w:szCs w:val="21"/>
              </w:rPr>
              <w:t>2</w:t>
            </w:r>
          </w:p>
        </w:tc>
        <w:tc>
          <w:tcPr>
            <w:tcW w:w="1472" w:type="dxa"/>
            <w:tcBorders>
              <w:top w:val="nil"/>
              <w:left w:val="single" w:color="auto" w:sz="8" w:space="0"/>
              <w:bottom w:val="single" w:color="auto" w:sz="8" w:space="0"/>
              <w:right w:val="single" w:color="auto" w:sz="8" w:space="0"/>
            </w:tcBorders>
            <w:noWrap/>
            <w:vAlign w:val="center"/>
          </w:tcPr>
          <w:p>
            <w:pPr>
              <w:widowControl/>
              <w:adjustRightInd/>
              <w:jc w:val="center"/>
              <w:rPr>
                <w:rFonts w:ascii="宋体" w:hAnsi="宋体" w:cs="宋体"/>
                <w:kern w:val="0"/>
                <w:sz w:val="24"/>
              </w:rPr>
            </w:pPr>
            <w:r>
              <w:rPr>
                <w:rFonts w:hint="eastAsia" w:ascii="宋体" w:hAnsi="宋体" w:cs="宋体"/>
                <w:kern w:val="0"/>
                <w:sz w:val="24"/>
              </w:rPr>
              <w:t>Ⅳ类岗位</w:t>
            </w:r>
          </w:p>
        </w:tc>
      </w:tr>
      <w:tr>
        <w:tblPrEx>
          <w:tblCellMar>
            <w:top w:w="0" w:type="dxa"/>
            <w:left w:w="108" w:type="dxa"/>
            <w:bottom w:w="0" w:type="dxa"/>
            <w:right w:w="108" w:type="dxa"/>
          </w:tblCellMar>
        </w:tblPrEx>
        <w:trPr>
          <w:trHeight w:val="33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kern w:val="0"/>
                <w:szCs w:val="21"/>
              </w:rPr>
            </w:pPr>
            <w:r>
              <w:rPr>
                <w:rFonts w:hint="eastAsia" w:ascii="宋体" w:hAnsi="宋体" w:cs="宋体"/>
                <w:kern w:val="0"/>
                <w:szCs w:val="21"/>
              </w:rPr>
              <w:t>63</w:t>
            </w:r>
          </w:p>
        </w:tc>
        <w:tc>
          <w:tcPr>
            <w:tcW w:w="2977" w:type="dxa"/>
            <w:tcBorders>
              <w:top w:val="nil"/>
              <w:left w:val="nil"/>
              <w:bottom w:val="single" w:color="auto" w:sz="8" w:space="0"/>
              <w:right w:val="single" w:color="auto" w:sz="8" w:space="0"/>
            </w:tcBorders>
            <w:shd w:val="clear" w:color="auto" w:fill="auto"/>
            <w:vAlign w:val="center"/>
          </w:tcPr>
          <w:p>
            <w:pPr>
              <w:widowControl/>
              <w:adjustRightInd/>
              <w:jc w:val="right"/>
              <w:rPr>
                <w:rFonts w:ascii="宋体" w:hAnsi="宋体" w:cs="宋体"/>
                <w:kern w:val="0"/>
                <w:szCs w:val="21"/>
              </w:rPr>
            </w:pPr>
            <w:r>
              <w:rPr>
                <w:rFonts w:hint="eastAsia" w:ascii="宋体" w:hAnsi="宋体" w:cs="宋体"/>
                <w:kern w:val="0"/>
                <w:szCs w:val="21"/>
              </w:rPr>
              <w:t>室内绿化摆放</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kern w:val="0"/>
                <w:szCs w:val="21"/>
              </w:rPr>
            </w:pPr>
            <w:r>
              <w:rPr>
                <w:rFonts w:hint="eastAsia" w:ascii="宋体" w:hAnsi="宋体" w:cs="宋体"/>
                <w:kern w:val="0"/>
                <w:szCs w:val="21"/>
              </w:rPr>
              <w:t>自行调配</w:t>
            </w:r>
          </w:p>
        </w:tc>
        <w:tc>
          <w:tcPr>
            <w:tcW w:w="2889" w:type="dxa"/>
            <w:gridSpan w:val="2"/>
            <w:tcBorders>
              <w:top w:val="single" w:color="auto" w:sz="8" w:space="0"/>
              <w:left w:val="nil"/>
              <w:bottom w:val="single" w:color="auto" w:sz="8" w:space="0"/>
              <w:right w:val="single" w:color="000000" w:sz="8" w:space="0"/>
            </w:tcBorders>
            <w:vAlign w:val="center"/>
          </w:tcPr>
          <w:p>
            <w:pPr>
              <w:widowControl/>
              <w:adjustRightInd/>
              <w:jc w:val="center"/>
              <w:rPr>
                <w:rFonts w:ascii="宋体" w:hAnsi="宋体" w:cs="宋体"/>
                <w:kern w:val="0"/>
                <w:szCs w:val="21"/>
              </w:rPr>
            </w:pPr>
            <w:r>
              <w:rPr>
                <w:rFonts w:hint="eastAsia" w:ascii="宋体" w:hAnsi="宋体" w:cs="宋体"/>
                <w:kern w:val="0"/>
                <w:szCs w:val="21"/>
              </w:rPr>
              <w:t>按院方要求</w:t>
            </w:r>
          </w:p>
        </w:tc>
      </w:tr>
      <w:tr>
        <w:tblPrEx>
          <w:tblCellMar>
            <w:top w:w="0" w:type="dxa"/>
            <w:left w:w="108" w:type="dxa"/>
            <w:bottom w:w="0" w:type="dxa"/>
            <w:right w:w="108" w:type="dxa"/>
          </w:tblCellMar>
        </w:tblPrEx>
        <w:trPr>
          <w:trHeight w:val="330" w:hRule="atLeast"/>
        </w:trPr>
        <w:tc>
          <w:tcPr>
            <w:tcW w:w="709" w:type="dxa"/>
            <w:tcBorders>
              <w:top w:val="nil"/>
              <w:left w:val="single" w:color="auto" w:sz="8" w:space="0"/>
              <w:bottom w:val="single" w:color="auto" w:sz="8" w:space="0"/>
              <w:right w:val="single" w:color="auto" w:sz="8" w:space="0"/>
            </w:tcBorders>
            <w:vAlign w:val="center"/>
          </w:tcPr>
          <w:p>
            <w:pPr>
              <w:widowControl/>
              <w:adjustRightInd/>
              <w:jc w:val="center"/>
              <w:rPr>
                <w:rFonts w:ascii="宋体" w:hAnsi="宋体" w:cs="宋体"/>
                <w:kern w:val="0"/>
                <w:szCs w:val="21"/>
              </w:rPr>
            </w:pPr>
            <w:r>
              <w:rPr>
                <w:rFonts w:hint="eastAsia" w:ascii="宋体" w:hAnsi="宋体" w:cs="宋体"/>
                <w:kern w:val="0"/>
                <w:szCs w:val="21"/>
              </w:rPr>
              <w:t>64</w:t>
            </w:r>
          </w:p>
        </w:tc>
        <w:tc>
          <w:tcPr>
            <w:tcW w:w="2977" w:type="dxa"/>
            <w:tcBorders>
              <w:top w:val="nil"/>
              <w:left w:val="nil"/>
              <w:bottom w:val="single" w:color="auto" w:sz="8" w:space="0"/>
              <w:right w:val="single" w:color="auto" w:sz="8" w:space="0"/>
            </w:tcBorders>
            <w:vAlign w:val="center"/>
          </w:tcPr>
          <w:p>
            <w:pPr>
              <w:widowControl/>
              <w:adjustRightInd/>
              <w:jc w:val="right"/>
              <w:rPr>
                <w:rFonts w:ascii="宋体" w:hAnsi="宋体" w:cs="宋体"/>
                <w:kern w:val="0"/>
                <w:szCs w:val="21"/>
              </w:rPr>
            </w:pPr>
            <w:r>
              <w:rPr>
                <w:rFonts w:hint="eastAsia" w:ascii="宋体" w:hAnsi="宋体" w:cs="宋体"/>
                <w:kern w:val="0"/>
                <w:szCs w:val="21"/>
              </w:rPr>
              <w:t>地面打蜡</w:t>
            </w:r>
          </w:p>
        </w:tc>
        <w:tc>
          <w:tcPr>
            <w:tcW w:w="2977" w:type="dxa"/>
            <w:tcBorders>
              <w:top w:val="nil"/>
              <w:left w:val="nil"/>
              <w:bottom w:val="single" w:color="auto" w:sz="8" w:space="0"/>
              <w:right w:val="single" w:color="auto" w:sz="8" w:space="0"/>
            </w:tcBorders>
            <w:vAlign w:val="center"/>
          </w:tcPr>
          <w:p>
            <w:pPr>
              <w:widowControl/>
              <w:adjustRightInd/>
              <w:ind w:firstLine="420" w:firstLineChars="200"/>
              <w:jc w:val="right"/>
              <w:rPr>
                <w:rFonts w:ascii="宋体" w:hAnsi="宋体" w:cs="宋体"/>
                <w:kern w:val="0"/>
                <w:szCs w:val="21"/>
              </w:rPr>
            </w:pPr>
            <w:r>
              <w:rPr>
                <w:rFonts w:hint="eastAsia" w:ascii="宋体" w:hAnsi="宋体" w:cs="宋体"/>
                <w:kern w:val="0"/>
                <w:szCs w:val="21"/>
              </w:rPr>
              <w:t>自行调配</w:t>
            </w:r>
          </w:p>
        </w:tc>
        <w:tc>
          <w:tcPr>
            <w:tcW w:w="2889" w:type="dxa"/>
            <w:gridSpan w:val="2"/>
            <w:tcBorders>
              <w:top w:val="single" w:color="auto" w:sz="8" w:space="0"/>
              <w:left w:val="nil"/>
              <w:bottom w:val="single" w:color="auto" w:sz="8" w:space="0"/>
              <w:right w:val="single" w:color="000000" w:sz="8" w:space="0"/>
            </w:tcBorders>
            <w:vAlign w:val="center"/>
          </w:tcPr>
          <w:p>
            <w:pPr>
              <w:widowControl/>
              <w:adjustRightInd/>
              <w:ind w:firstLine="420" w:firstLineChars="200"/>
              <w:jc w:val="right"/>
              <w:rPr>
                <w:rFonts w:ascii="宋体" w:hAnsi="宋体" w:cs="宋体"/>
                <w:kern w:val="0"/>
                <w:szCs w:val="21"/>
              </w:rPr>
            </w:pPr>
            <w:r>
              <w:rPr>
                <w:rFonts w:hint="eastAsia" w:ascii="宋体" w:hAnsi="宋体" w:cs="宋体"/>
                <w:kern w:val="0"/>
                <w:szCs w:val="21"/>
              </w:rPr>
              <w:t>按院方要求每年二次</w:t>
            </w:r>
          </w:p>
        </w:tc>
      </w:tr>
      <w:tr>
        <w:tblPrEx>
          <w:tblCellMar>
            <w:top w:w="0" w:type="dxa"/>
            <w:left w:w="108" w:type="dxa"/>
            <w:bottom w:w="0" w:type="dxa"/>
            <w:right w:w="108" w:type="dxa"/>
          </w:tblCellMar>
        </w:tblPrEx>
        <w:trPr>
          <w:trHeight w:val="330" w:hRule="atLeast"/>
        </w:trPr>
        <w:tc>
          <w:tcPr>
            <w:tcW w:w="6663" w:type="dxa"/>
            <w:gridSpan w:val="3"/>
            <w:tcBorders>
              <w:top w:val="single" w:color="auto" w:sz="8" w:space="0"/>
              <w:left w:val="single" w:color="auto" w:sz="8" w:space="0"/>
              <w:bottom w:val="single" w:color="auto" w:sz="8" w:space="0"/>
              <w:right w:val="single" w:color="000000" w:sz="8" w:space="0"/>
            </w:tcBorders>
            <w:vAlign w:val="center"/>
          </w:tcPr>
          <w:p>
            <w:pPr>
              <w:widowControl/>
              <w:adjustRightInd/>
              <w:jc w:val="center"/>
              <w:rPr>
                <w:rFonts w:ascii="宋体" w:hAnsi="宋体" w:cs="宋体"/>
                <w:kern w:val="0"/>
                <w:szCs w:val="21"/>
              </w:rPr>
            </w:pPr>
            <w:r>
              <w:rPr>
                <w:rFonts w:hint="eastAsia" w:ascii="宋体" w:hAnsi="宋体" w:cs="宋体"/>
                <w:kern w:val="0"/>
                <w:szCs w:val="21"/>
              </w:rPr>
              <w:t>合计</w:t>
            </w:r>
          </w:p>
        </w:tc>
        <w:tc>
          <w:tcPr>
            <w:tcW w:w="2889" w:type="dxa"/>
            <w:gridSpan w:val="2"/>
            <w:tcBorders>
              <w:top w:val="single" w:color="auto" w:sz="8" w:space="0"/>
              <w:left w:val="nil"/>
              <w:bottom w:val="single" w:color="auto" w:sz="8" w:space="0"/>
              <w:right w:val="single" w:color="000000" w:sz="8" w:space="0"/>
            </w:tcBorders>
            <w:vAlign w:val="center"/>
          </w:tcPr>
          <w:p>
            <w:pPr>
              <w:widowControl/>
              <w:adjustRightInd/>
              <w:ind w:firstLine="420" w:firstLineChars="200"/>
              <w:jc w:val="right"/>
              <w:rPr>
                <w:rFonts w:ascii="宋体" w:hAnsi="宋体" w:cs="宋体"/>
                <w:kern w:val="0"/>
                <w:szCs w:val="21"/>
              </w:rPr>
            </w:pPr>
            <w:r>
              <w:rPr>
                <w:rFonts w:hint="eastAsia" w:ascii="宋体" w:hAnsi="宋体" w:cs="宋体"/>
                <w:kern w:val="0"/>
                <w:szCs w:val="21"/>
              </w:rPr>
              <w:t>133人</w:t>
            </w:r>
          </w:p>
        </w:tc>
      </w:tr>
    </w:tbl>
    <w:p>
      <w:pPr>
        <w:spacing w:line="360" w:lineRule="auto"/>
        <w:ind w:left="-420" w:leftChars="-200" w:right="-420" w:rightChars="-200" w:firstLine="480" w:firstLineChars="200"/>
        <w:rPr>
          <w:rFonts w:asciiTheme="minorEastAsia" w:hAnsiTheme="minorEastAsia" w:eastAsiaTheme="minorEastAsia"/>
          <w:sz w:val="24"/>
        </w:rPr>
      </w:pPr>
    </w:p>
    <w:p>
      <w:pPr>
        <w:spacing w:line="360" w:lineRule="auto"/>
        <w:ind w:left="-420" w:leftChars="-200" w:right="-420" w:rightChars="-200"/>
        <w:rPr>
          <w:rFonts w:asciiTheme="minorEastAsia" w:hAnsiTheme="minorEastAsia" w:eastAsiaTheme="minorEastAsia"/>
          <w:sz w:val="24"/>
        </w:rPr>
      </w:pPr>
    </w:p>
    <w:p>
      <w:pPr>
        <w:widowControl/>
        <w:adjustRightInd/>
        <w:jc w:val="left"/>
        <w:rPr>
          <w:rFonts w:cs="仿宋_GB2312" w:asciiTheme="minorEastAsia" w:hAnsiTheme="minorEastAsia" w:eastAsiaTheme="minorEastAsia"/>
          <w:b/>
          <w:sz w:val="36"/>
          <w:szCs w:val="20"/>
        </w:rPr>
      </w:pPr>
    </w:p>
    <w:p>
      <w:pPr>
        <w:spacing w:line="360" w:lineRule="auto"/>
        <w:ind w:left="720" w:firstLine="723" w:firstLineChars="200"/>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第六部分</w:t>
      </w:r>
      <w:bookmarkEnd w:id="393"/>
      <w:r>
        <w:rPr>
          <w:rFonts w:cs="仿宋_GB2312" w:asciiTheme="minorEastAsia" w:hAnsiTheme="minorEastAsia" w:eastAsiaTheme="minorEastAsia"/>
          <w:b/>
          <w:sz w:val="36"/>
          <w:szCs w:val="20"/>
        </w:rPr>
        <w:t xml:space="preserve"> </w:t>
      </w:r>
      <w:bookmarkEnd w:id="394"/>
      <w:r>
        <w:rPr>
          <w:rFonts w:hint="eastAsia" w:cs="仿宋_GB2312" w:asciiTheme="minorEastAsia" w:hAnsiTheme="minorEastAsia" w:eastAsiaTheme="minorEastAsia"/>
          <w:b/>
          <w:sz w:val="36"/>
          <w:szCs w:val="20"/>
        </w:rPr>
        <w:t>应提交的有关格式范例</w:t>
      </w:r>
    </w:p>
    <w:p>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资格文件部分</w:t>
      </w:r>
    </w:p>
    <w:p>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1）符合参加政府采购活动应当具备的一般条件的承诺函……</w:t>
      </w:r>
      <w:r>
        <w:rPr>
          <w:rFonts w:hint="eastAsia" w:cs="仿宋_GB2312" w:asciiTheme="minorEastAsia" w:hAnsiTheme="minorEastAsia" w:eastAsiaTheme="minorEastAsia"/>
          <w:sz w:val="24"/>
        </w:rPr>
        <w:t>………（页码）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cs="仿宋_GB2312" w:asciiTheme="minorEastAsia" w:hAnsiTheme="minorEastAsia" w:eastAsiaTheme="minorEastAsia"/>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pacing w:line="360" w:lineRule="auto"/>
        <w:ind w:firstLine="480" w:firstLineChars="200"/>
        <w:rPr>
          <w:rFonts w:cs="仿宋_GB2312" w:asciiTheme="minorEastAsia" w:hAnsiTheme="minorEastAsia" w:eastAsiaTheme="minorEastAsia"/>
          <w:sz w:val="24"/>
        </w:rPr>
      </w:pPr>
    </w:p>
    <w:p>
      <w:pPr>
        <w:snapToGrid w:val="0"/>
        <w:spacing w:line="360" w:lineRule="auto"/>
        <w:ind w:right="480"/>
        <w:jc w:val="center"/>
        <w:rPr>
          <w:rFonts w:cs="仿宋_GB2312" w:asciiTheme="minorEastAsia" w:hAnsiTheme="minorEastAsia" w:eastAsiaTheme="minorEastAsia"/>
          <w:b/>
          <w:kern w:val="0"/>
          <w:sz w:val="32"/>
          <w:szCs w:val="32"/>
        </w:rPr>
      </w:pPr>
      <w:r>
        <w:rPr>
          <w:rFonts w:cs="仿宋_GB2312" w:asciiTheme="minorEastAsia" w:hAnsiTheme="minorEastAsia" w:eastAsiaTheme="minorEastAsia"/>
          <w:kern w:val="0"/>
          <w:sz w:val="24"/>
        </w:rPr>
        <w:br w:type="page"/>
      </w:r>
      <w:r>
        <w:rPr>
          <w:rFonts w:cs="仿宋_GB2312" w:asciiTheme="minorEastAsia" w:hAnsiTheme="minorEastAsia" w:eastAsiaTheme="minorEastAsia"/>
          <w:b/>
          <w:kern w:val="0"/>
          <w:sz w:val="32"/>
          <w:szCs w:val="32"/>
        </w:rPr>
        <w:t xml:space="preserve">  一、 符合参加政府采购活动应当具备的一般条件的承诺函</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杭州市西溪医院、杭州市公共资源交易中心（杭州市政府采购中心）：</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我方参与杭州市西溪医院保洁物业及室内绿化服务项目【招标编号：</w:t>
      </w:r>
      <w:r>
        <w:rPr>
          <w:rFonts w:hint="eastAsia" w:asciiTheme="minorEastAsia" w:hAnsiTheme="minorEastAsia" w:eastAsiaTheme="minorEastAsia"/>
          <w:sz w:val="24"/>
        </w:rPr>
        <w:t>HZZFCG-2022-091（1）</w:t>
      </w:r>
      <w:r>
        <w:rPr>
          <w:rFonts w:hint="eastAsia" w:cs="仿宋_GB2312" w:asciiTheme="minorEastAsia" w:hAnsiTheme="minorEastAsia" w:eastAsiaTheme="minorEastAsia"/>
          <w:sz w:val="24"/>
        </w:rPr>
        <w:t>】政府采购活动，郑重承诺：</w:t>
      </w:r>
    </w:p>
    <w:p>
      <w:pPr>
        <w:snapToGrid w:val="0"/>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具有独立承担民事责任的能力；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xml:space="preserve">具有良好的商业信誉和健全的财务会计制度； </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具有履行合同所必需的设备和专业技术能力；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有依法缴纳税收和社会保障资金的良好记录；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参加政府采购活动前三年内，在经营活动中没有重大违法记录；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具有法律、行政法规规定的其他条件。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（二）未被信用中国（</w:t>
      </w:r>
      <w:r>
        <w:rPr>
          <w:rFonts w:asciiTheme="minorEastAsia" w:hAnsiTheme="minorEastAsia" w:eastAsiaTheme="minorEastAsia"/>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（三）不存在以下情况：</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单位负责人为同一人或者存在直接控股、管理关系的不同供应商参加同一合同项下的政府采购活动的；</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为采购项目提供整体设计、规范编制或者项目管理、监理、检测等服务后再参加该采购项目的其他采购活动的。</w:t>
      </w:r>
    </w:p>
    <w:p>
      <w:pPr>
        <w:snapToGrid w:val="0"/>
        <w:spacing w:line="360" w:lineRule="auto"/>
        <w:ind w:firstLine="5520" w:firstLineChars="23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lang w:val="zh-CN"/>
        </w:rPr>
        <w:t xml:space="preserve">                        </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rPr>
          <w:rFonts w:ascii="宋体" w:hAnsi="宋体" w:cs="宋体"/>
          <w:b/>
          <w:sz w:val="24"/>
        </w:rPr>
      </w:pPr>
      <w:r>
        <w:rPr>
          <w:rFonts w:hint="eastAsia" w:ascii="宋体" w:hAnsi="宋体" w:cs="宋体"/>
          <w:b/>
          <w:sz w:val="24"/>
        </w:rPr>
        <w:br w:type="page"/>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cs="仿宋_GB2312" w:asciiTheme="minorEastAsia" w:hAnsiTheme="minorEastAsia" w:eastAsiaTheme="minorEastAsia"/>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ind w:right="420" w:firstLine="3614" w:firstLineChars="100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商务技术文件部分</w:t>
      </w:r>
    </w:p>
    <w:p>
      <w:pPr>
        <w:spacing w:line="360" w:lineRule="auto"/>
        <w:jc w:val="center"/>
        <w:outlineLvl w:val="0"/>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ind w:firstLine="480" w:firstLineChars="200"/>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snapToGrid w:val="0"/>
        <w:spacing w:line="360" w:lineRule="auto"/>
        <w:jc w:val="center"/>
        <w:outlineLvl w:val="0"/>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rPr>
        <w:t>一、投标</w:t>
      </w:r>
      <w:r>
        <w:rPr>
          <w:rFonts w:hint="eastAsia" w:cs="仿宋_GB2312" w:asciiTheme="minorEastAsia" w:hAnsiTheme="minorEastAsia" w:eastAsiaTheme="minorEastAsia"/>
          <w:b/>
          <w:sz w:val="32"/>
          <w:szCs w:val="32"/>
        </w:rPr>
        <w:t>函</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杭州市西溪医院、杭州市公共资源交易中心（杭州市政府采购中心）：</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我方参加你方组织的杭州市西溪医院保洁物业及室内绿化服务项目【招标编号：</w:t>
      </w:r>
      <w:r>
        <w:rPr>
          <w:rFonts w:hint="eastAsia" w:asciiTheme="minorEastAsia" w:hAnsiTheme="minorEastAsia" w:eastAsiaTheme="minorEastAsia"/>
          <w:sz w:val="24"/>
        </w:rPr>
        <w:t>HZZFCG-2022-091（1）</w:t>
      </w:r>
      <w:r>
        <w:rPr>
          <w:rFonts w:hint="eastAsia" w:cs="仿宋_GB2312" w:asciiTheme="minorEastAsia" w:hAnsiTheme="minorEastAsia" w:eastAsiaTheme="minorEastAsia"/>
          <w:sz w:val="24"/>
        </w:rPr>
        <w:t>】招标的有关活动，并对此项目进行投标。为此：</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1、我方承诺投标有效期从提交投标文件的截止之日起</w:t>
      </w:r>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天（不少于</w:t>
      </w:r>
      <w:r>
        <w:rPr>
          <w:rFonts w:cs="仿宋_GB2312" w:asciiTheme="minorEastAsia" w:hAnsiTheme="minorEastAsia" w:eastAsiaTheme="minorEastAsia"/>
          <w:sz w:val="24"/>
        </w:rPr>
        <w:t>90天）</w:t>
      </w:r>
      <w:r>
        <w:rPr>
          <w:rFonts w:hint="eastAsia" w:asciiTheme="minorEastAsia" w:hAnsiTheme="minorEastAsia" w:eastAsiaTheme="minorEastAsia"/>
        </w:rPr>
        <w:t>，</w:t>
      </w:r>
      <w:r>
        <w:rPr>
          <w:rFonts w:hint="eastAsia" w:cs="仿宋_GB2312" w:asciiTheme="minorEastAsia" w:hAnsiTheme="minorEastAsia" w:eastAsiaTheme="minorEastAsia"/>
          <w:sz w:val="24"/>
        </w:rPr>
        <w:t>本投标文件在投标有效期满之前均具有约束力。</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2.1资格文件：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2.1.1</w:t>
      </w:r>
      <w:r>
        <w:rPr>
          <w:rFonts w:hint="eastAsia" w:cs="仿宋_GB2312" w:asciiTheme="minorEastAsia" w:hAnsiTheme="minorEastAsia" w:eastAsiaTheme="minorEastAsia"/>
          <w:sz w:val="24"/>
        </w:rPr>
        <w:t>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5" w:name="_Hlk101257010"/>
      <w:r>
        <w:rPr>
          <w:rFonts w:hint="eastAsia" w:ascii="宋体" w:hAnsi="宋体" w:cs="宋体"/>
          <w:snapToGrid w:val="0"/>
          <w:kern w:val="28"/>
          <w:sz w:val="24"/>
          <w:szCs w:val="20"/>
        </w:rPr>
        <w:t>（如果有)</w:t>
      </w:r>
      <w:bookmarkEnd w:id="395"/>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 xml:space="preserve"> </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3报价文件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2.3.1开标一览表（报价表）</w:t>
      </w:r>
      <w:r>
        <w:rPr>
          <w:rFonts w:hint="eastAsia" w:cs="仿宋_GB2312" w:asciiTheme="minorEastAsia" w:hAnsiTheme="minorEastAsia" w:eastAsiaTheme="minorEastAsia"/>
          <w:sz w:val="24"/>
        </w:rPr>
        <w:t>。</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4、如我方中标，我方承诺：</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5、其他补充说明:</w:t>
      </w:r>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w:t>
      </w: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投标人名称（电子签名）：</w:t>
      </w:r>
      <w:r>
        <w:rPr>
          <w:rFonts w:cs="仿宋_GB2312" w:asciiTheme="minorEastAsia" w:hAnsiTheme="minorEastAsia" w:eastAsiaTheme="minorEastAsia"/>
          <w:sz w:val="24"/>
        </w:rPr>
        <w:t xml:space="preserve">                          </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日期：  年   月   日</w:t>
      </w:r>
    </w:p>
    <w:p>
      <w:pPr>
        <w:snapToGrid w:val="0"/>
        <w:spacing w:line="360" w:lineRule="auto"/>
        <w:ind w:left="420" w:leftChars="200" w:firstLine="4200" w:firstLineChars="1750"/>
        <w:rPr>
          <w:rFonts w:cs="仿宋_GB2312" w:asciiTheme="minorEastAsia" w:hAnsiTheme="minorEastAsia" w:eastAsiaTheme="minorEastAsia"/>
          <w:kern w:val="0"/>
          <w:sz w:val="24"/>
          <w:u w:val="single"/>
        </w:rPr>
      </w:pPr>
    </w:p>
    <w:p>
      <w:pPr>
        <w:spacing w:line="360" w:lineRule="auto"/>
        <w:ind w:right="420"/>
        <w:rPr>
          <w:rFonts w:cs="仿宋_GB2312" w:asciiTheme="minorEastAsia" w:hAnsiTheme="minorEastAsia" w:eastAsiaTheme="minorEastAsia"/>
          <w:sz w:val="24"/>
        </w:rPr>
      </w:pPr>
      <w:r>
        <w:rPr>
          <w:rFonts w:cs="仿宋_GB2312" w:asciiTheme="minorEastAsia" w:hAnsiTheme="minorEastAsia" w:eastAsiaTheme="minorEastAsia"/>
          <w:sz w:val="24"/>
        </w:rPr>
        <w:t>注：</w:t>
      </w:r>
      <w:r>
        <w:rPr>
          <w:rFonts w:hint="eastAsia" w:cs="仿宋_GB2312" w:asciiTheme="minorEastAsia" w:hAnsiTheme="minorEastAsia" w:eastAsiaTheme="minorEastAsia"/>
          <w:sz w:val="24"/>
        </w:rPr>
        <w:t>按本格式和要求提供。</w:t>
      </w:r>
    </w:p>
    <w:p>
      <w:pPr>
        <w:snapToGrid w:val="0"/>
        <w:spacing w:line="360" w:lineRule="auto"/>
        <w:jc w:val="center"/>
        <w:rPr>
          <w:rFonts w:cs="仿宋_GB2312" w:asciiTheme="minorEastAsia" w:hAnsiTheme="minorEastAsia" w:eastAsiaTheme="minorEastAsia"/>
          <w:b/>
          <w:kern w:val="0"/>
          <w:sz w:val="32"/>
          <w:szCs w:val="32"/>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w:t xml:space="preserve">                                </w:t>
      </w:r>
    </w:p>
    <w:p>
      <w:pPr>
        <w:snapToGrid w:val="0"/>
        <w:spacing w:line="360" w:lineRule="auto"/>
        <w:ind w:firstLine="2872" w:firstLineChars="894"/>
        <w:rPr>
          <w:rFonts w:asciiTheme="minorEastAsia" w:hAnsiTheme="minorEastAsia" w:eastAsiaTheme="minorEastAsia"/>
        </w:rPr>
      </w:pPr>
      <w:r>
        <w:rPr>
          <w:rFonts w:hint="eastAsia" w:cs="仿宋_GB2312" w:asciiTheme="minorEastAsia" w:hAnsiTheme="minorEastAsia" w:eastAsiaTheme="minorEastAsia"/>
          <w:b/>
          <w:kern w:val="0"/>
          <w:sz w:val="32"/>
          <w:szCs w:val="32"/>
          <w:lang w:val="zh-CN"/>
        </w:rPr>
        <w:t>授权委托书（适用于非联合体投标）</w:t>
      </w:r>
      <w:r>
        <w:rPr>
          <w:rFonts w:asciiTheme="minorEastAsia" w:hAnsiTheme="minorEastAsia" w:eastAsiaTheme="minorEastAsia"/>
        </w:rPr>
        <w:t xml:space="preserve">                               </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杭州市西溪医院、杭州市公共资源交易中心（杭州市政府采购中心）</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w:t>
      </w:r>
      <w:r>
        <w:rPr>
          <w:rFonts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（姓名）为我方代理人（身份证号码：</w:t>
      </w:r>
      <w:r>
        <w:rPr>
          <w:rFonts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杭州市西溪医院保洁物业及室内绿化服务项目【招标编号：</w:t>
      </w:r>
      <w:r>
        <w:rPr>
          <w:rFonts w:hint="eastAsia" w:asciiTheme="minorEastAsia" w:hAnsiTheme="minorEastAsia" w:eastAsiaTheme="minorEastAsia"/>
          <w:sz w:val="24"/>
        </w:rPr>
        <w:t>HZZFCG-2022-091（1）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年</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日起至</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年</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日止。</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特此告知。</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lang w:val="zh-CN"/>
        </w:rPr>
        <w:t xml:space="preserve">      </w:t>
      </w:r>
      <w:r>
        <w:rPr>
          <w:rFonts w:cs="仿宋_GB2312" w:asciiTheme="minorEastAsia" w:hAnsiTheme="minorEastAsia" w:eastAsiaTheme="minorEastAsia"/>
          <w:b/>
          <w:kern w:val="0"/>
          <w:sz w:val="32"/>
          <w:szCs w:val="32"/>
        </w:rPr>
        <w:t xml:space="preserve"> </w:t>
      </w:r>
      <w:r>
        <w:rPr>
          <w:rFonts w:hint="eastAsia" w:cs="仿宋_GB2312" w:asciiTheme="minorEastAsia" w:hAnsiTheme="minorEastAsia" w:eastAsiaTheme="minorEastAsia"/>
          <w:b/>
          <w:kern w:val="0"/>
          <w:sz w:val="32"/>
          <w:szCs w:val="32"/>
          <w:lang w:val="zh-CN"/>
        </w:rPr>
        <w:t>授权委托书（适用于联合体投标）</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杭州市西溪医院、杭州市公共资源交易中心（杭州市政府采购中心）</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w:t>
      </w:r>
      <w:r>
        <w:rPr>
          <w:rFonts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（姓名）为我方代理人（身份证号码：</w:t>
      </w:r>
      <w:r>
        <w:rPr>
          <w:rFonts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杭州市西溪医院保洁物业及室内绿化服务项目【招标编号：</w:t>
      </w:r>
      <w:r>
        <w:rPr>
          <w:rFonts w:hint="eastAsia" w:asciiTheme="minorEastAsia" w:hAnsiTheme="minorEastAsia" w:eastAsiaTheme="minorEastAsia"/>
          <w:sz w:val="24"/>
        </w:rPr>
        <w:t>HZZFCG-2022-091（1）</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年</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日起至</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年</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日止。</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特此告知。</w:t>
      </w:r>
    </w:p>
    <w:p>
      <w:pPr>
        <w:jc w:val="center"/>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autoSpaceDE w:val="0"/>
        <w:autoSpaceDN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kern w:val="0"/>
          <w:sz w:val="32"/>
          <w:szCs w:val="32"/>
          <w:lang w:val="zh-CN"/>
        </w:rPr>
        <w:t>法定代表人、单位负责人或自然人本人</w:t>
      </w:r>
      <w:r>
        <w:rPr>
          <w:rFonts w:hint="eastAsia" w:cs="仿宋_GB2312" w:asciiTheme="minorEastAsia" w:hAnsiTheme="minorEastAsia" w:eastAsiaTheme="minorEastAsia"/>
          <w:b/>
          <w:sz w:val="30"/>
          <w:szCs w:val="30"/>
        </w:rPr>
        <w:t>的身份证明（适用于法定代表人、单位负责人或者自然人本人代表投标人参加投标）</w:t>
      </w:r>
    </w:p>
    <w:p>
      <w:pPr>
        <w:pStyle w:val="176"/>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w:t>
            </w:r>
            <w:r>
              <w:rPr>
                <w:rFonts w:asciiTheme="minorEastAsia" w:hAnsiTheme="minorEastAsia" w:eastAsiaTheme="minorEastAsia"/>
                <w:bCs/>
                <w:sz w:val="24"/>
              </w:rPr>
              <w:t xml:space="preserve">                                 </w:t>
            </w:r>
            <w:r>
              <w:rPr>
                <w:rFonts w:hint="eastAsia" w:asciiTheme="minorEastAsia" w:hAnsiTheme="minorEastAsia" w:eastAsiaTheme="minorEastAsia"/>
                <w:bCs/>
                <w:sz w:val="24"/>
              </w:rPr>
              <w:t>反面：</w:t>
            </w:r>
          </w:p>
          <w:p>
            <w:pPr>
              <w:pStyle w:val="176"/>
              <w:adjustRightInd w:val="0"/>
              <w:spacing w:line="360" w:lineRule="auto"/>
              <w:rPr>
                <w:rFonts w:asciiTheme="minorEastAsia" w:hAnsiTheme="minorEastAsia" w:eastAsiaTheme="minorEastAsia"/>
                <w:bCs/>
                <w:sz w:val="24"/>
              </w:rPr>
            </w:pPr>
          </w:p>
        </w:tc>
      </w:tr>
    </w:tbl>
    <w:p>
      <w:pPr>
        <w:snapToGrid w:val="0"/>
        <w:spacing w:line="360" w:lineRule="auto"/>
        <w:ind w:firstLine="576"/>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w:t>
      </w:r>
    </w:p>
    <w:p>
      <w:pPr>
        <w:snapToGrid w:val="0"/>
        <w:spacing w:line="360" w:lineRule="auto"/>
        <w:ind w:firstLine="576"/>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                              </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2"/>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3683"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招标文件章节及具体内容</w:t>
            </w:r>
          </w:p>
        </w:tc>
        <w:tc>
          <w:tcPr>
            <w:tcW w:w="354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投标文件章节及具体内容</w:t>
            </w:r>
          </w:p>
        </w:tc>
        <w:tc>
          <w:tcPr>
            <w:tcW w:w="127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2</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bl>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投标人保证：除商务技术偏离表列出的偏离外，投标人响应招标文件的全部要求</w:t>
      </w:r>
    </w:p>
    <w:p>
      <w:pPr>
        <w:jc w:val="center"/>
        <w:rPr>
          <w:rFonts w:cs="仿宋_GB2312" w:asciiTheme="minorEastAsia" w:hAnsiTheme="minorEastAsia" w:eastAsiaTheme="minorEastAsia"/>
          <w:b/>
          <w:kern w:val="0"/>
          <w:sz w:val="32"/>
          <w:szCs w:val="32"/>
        </w:rPr>
      </w:pPr>
    </w:p>
    <w:p>
      <w:pPr>
        <w:spacing w:line="360" w:lineRule="auto"/>
        <w:ind w:right="420"/>
        <w:rPr>
          <w:rFonts w:cs="仿宋_GB2312" w:asciiTheme="minorEastAsia" w:hAnsiTheme="minorEastAsia" w:eastAsiaTheme="minorEastAsia"/>
          <w:sz w:val="24"/>
        </w:rPr>
      </w:pPr>
      <w:r>
        <w:rPr>
          <w:rFonts w:cs="仿宋_GB2312" w:asciiTheme="minorEastAsia" w:hAnsiTheme="minorEastAsia" w:eastAsiaTheme="minorEastAsia"/>
          <w:sz w:val="24"/>
        </w:rPr>
        <w:t>注：</w:t>
      </w:r>
      <w:r>
        <w:rPr>
          <w:rFonts w:hint="eastAsia" w:cs="仿宋_GB2312" w:asciiTheme="minorEastAsia" w:hAnsiTheme="minorEastAsia" w:eastAsiaTheme="minorEastAsia"/>
          <w:sz w:val="24"/>
        </w:rPr>
        <w:t>按本格式和要求提供。</w:t>
      </w:r>
    </w:p>
    <w:p>
      <w:pPr>
        <w:jc w:val="center"/>
        <w:rPr>
          <w:rFonts w:cs="仿宋_GB2312" w:asciiTheme="minorEastAsia" w:hAnsiTheme="minorEastAsia" w:eastAsiaTheme="minorEastAsia"/>
          <w:b/>
          <w:kern w:val="0"/>
          <w:sz w:val="32"/>
          <w:szCs w:val="32"/>
        </w:rPr>
      </w:pPr>
    </w:p>
    <w:p>
      <w:pPr>
        <w:widowControl/>
        <w:adjustRightInd/>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ind w:firstLine="1911" w:firstLineChars="595"/>
        <w:rPr>
          <w:rFonts w:cs="仿宋_GB2312" w:asciiTheme="minorEastAsia" w:hAnsiTheme="minorEastAsia" w:eastAsiaTheme="minorEastAsia"/>
          <w:b/>
          <w:kern w:val="0"/>
          <w:sz w:val="32"/>
          <w:szCs w:val="32"/>
        </w:rPr>
      </w:pPr>
      <w:r>
        <w:rPr>
          <w:rFonts w:hint="eastAsia" w:asciiTheme="minorEastAsia" w:hAnsiTheme="minorEastAsia" w:eastAsiaTheme="minorEastAsia"/>
          <w:b/>
          <w:bCs/>
          <w:sz w:val="32"/>
          <w:szCs w:val="32"/>
        </w:rPr>
        <w:t>八</w:t>
      </w:r>
      <w:r>
        <w:rPr>
          <w:rFonts w:hint="eastAsia" w:cs="仿宋_GB2312" w:asciiTheme="minorEastAsia" w:hAnsiTheme="minorEastAsia" w:eastAsiaTheme="minorEastAsia"/>
          <w:b/>
          <w:kern w:val="0"/>
          <w:sz w:val="32"/>
          <w:szCs w:val="32"/>
        </w:rPr>
        <w:t>、</w:t>
      </w:r>
      <w:r>
        <w:rPr>
          <w:rFonts w:hint="eastAsia" w:cs="仿宋_GB2312" w:asciiTheme="minorEastAsia" w:hAnsiTheme="minorEastAsia" w:eastAsiaTheme="minorEastAsia"/>
          <w:b/>
          <w:kern w:val="0"/>
          <w:sz w:val="32"/>
          <w:szCs w:val="32"/>
          <w:lang w:val="zh-CN"/>
        </w:rPr>
        <w:t>政府采购供应商廉洁自律承诺书</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杭州市西溪医院、杭州市公共资源交易中心（杭州市政府采购中心）</w:t>
      </w:r>
      <w:r>
        <w:rPr>
          <w:rFonts w:hint="eastAsia" w:cs="仿宋_GB2312"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一、不向项目有关人员及部门赠送礼金礼物、有价证券、回扣以及中介费、介绍费、咨询费等好处费；</w:t>
      </w:r>
      <w:r>
        <w:rPr>
          <w:rFonts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二、不为项目有关人员及部门报销应由你方单位或个人支付的费用；</w:t>
      </w:r>
      <w:r>
        <w:rPr>
          <w:rFonts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三、不向项目有关人员及部门提供有可能影响公正的宴请和健身娱乐等活动；</w:t>
      </w:r>
      <w:r>
        <w:rPr>
          <w:rFonts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六、严格遵守《</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政府采购法》《</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招标投标</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法》</w:t>
      </w:r>
      <w:r>
        <w:rPr>
          <w:rFonts w:hint="eastAsia" w:asciiTheme="minorEastAsia" w:hAnsiTheme="minorEastAsia" w:eastAsiaTheme="minorEastAsia"/>
          <w:sz w:val="24"/>
          <w:lang w:val="zh-CN"/>
        </w:rPr>
        <w:t>《中华人民共和国民法典》</w:t>
      </w:r>
      <w:r>
        <w:rPr>
          <w:rFonts w:hint="eastAsia" w:cs="仿宋_GB2312" w:asciiTheme="minorEastAsia" w:hAnsiTheme="minorEastAsia" w:eastAsiaTheme="minorEastAsia"/>
          <w:kern w:val="0"/>
          <w:sz w:val="24"/>
          <w:lang w:val="zh-CN"/>
        </w:rPr>
        <w:t>等法律法规，诚实守信，合法经营，坚决抵制各种违法违纪行为。</w:t>
      </w:r>
      <w:r>
        <w:rPr>
          <w:rFonts w:cs="仿宋_GB2312" w:asciiTheme="minorEastAsia" w:hAnsiTheme="minorEastAsia" w:eastAsiaTheme="minorEastAsia"/>
          <w:kern w:val="0"/>
          <w:sz w:val="24"/>
          <w:lang w:val="zh-CN"/>
        </w:rPr>
        <w:t xml:space="preserve">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r>
        <w:rPr>
          <w:rFonts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bCs/>
          <w:sz w:val="24"/>
        </w:rPr>
      </w:pPr>
    </w:p>
    <w:p>
      <w:pPr>
        <w:spacing w:line="360" w:lineRule="auto"/>
        <w:ind w:right="420"/>
        <w:rPr>
          <w:rFonts w:cs="仿宋_GB2312" w:asciiTheme="minorEastAsia" w:hAnsiTheme="minorEastAsia" w:eastAsiaTheme="minorEastAsia"/>
          <w:sz w:val="24"/>
        </w:rPr>
      </w:pPr>
      <w:r>
        <w:rPr>
          <w:rFonts w:cs="仿宋_GB2312" w:asciiTheme="minorEastAsia" w:hAnsiTheme="minorEastAsia" w:eastAsiaTheme="minorEastAsia"/>
          <w:sz w:val="24"/>
        </w:rPr>
        <w:t>注：</w:t>
      </w:r>
      <w:r>
        <w:rPr>
          <w:rFonts w:hint="eastAsia" w:cs="仿宋_GB2312" w:asciiTheme="minorEastAsia" w:hAnsiTheme="minorEastAsia" w:eastAsiaTheme="minorEastAsia"/>
          <w:sz w:val="24"/>
        </w:rPr>
        <w:t>按本格式和要求提供。</w:t>
      </w:r>
    </w:p>
    <w:p>
      <w:pPr>
        <w:spacing w:line="360" w:lineRule="auto"/>
        <w:jc w:val="center"/>
        <w:rPr>
          <w:rFonts w:cs="仿宋_GB2312" w:asciiTheme="minorEastAsia" w:hAnsiTheme="minorEastAsia" w:eastAsiaTheme="minorEastAsia"/>
          <w:b/>
          <w:bCs/>
          <w:sz w:val="24"/>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报价文件部分</w:t>
      </w:r>
    </w:p>
    <w:p>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1）开标一览表（报价表）……</w:t>
      </w:r>
      <w:r>
        <w:rPr>
          <w:rFonts w:hint="eastAsia" w:cs="仿宋_GB2312" w:asciiTheme="minorEastAsia" w:hAnsiTheme="minorEastAsia" w:eastAsiaTheme="minorEastAsia"/>
          <w:sz w:val="24"/>
        </w:rPr>
        <w:t>…………………………………………………（页码）</w:t>
      </w: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696"/>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一、开标一览表（报价表）</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杭州市西溪医院、杭州市公共资源交易中心（杭州市政府采购中心）</w:t>
      </w:r>
      <w:r>
        <w:rPr>
          <w:rFonts w:hint="eastAsia" w:cs="仿宋_GB2312" w:asciiTheme="minorEastAsia" w:hAnsiTheme="minorEastAsia" w:eastAsiaTheme="minorEastAsia"/>
          <w:kern w:val="0"/>
          <w:sz w:val="24"/>
          <w:lang w:val="zh-CN"/>
        </w:rPr>
        <w:t>：</w:t>
      </w:r>
    </w:p>
    <w:p>
      <w:pPr>
        <w:snapToGrid w:val="0"/>
        <w:spacing w:line="360" w:lineRule="auto"/>
        <w:ind w:firstLine="482"/>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仿宋_GB2312" w:asciiTheme="minorEastAsia" w:hAnsiTheme="minorEastAsia" w:eastAsiaTheme="minorEastAsia"/>
          <w:sz w:val="24"/>
        </w:rPr>
        <w:t>杭州市西溪医院保洁物业及室内绿化服务项目</w:t>
      </w:r>
      <w:r>
        <w:rPr>
          <w:rFonts w:hint="eastAsia" w:cs="仿宋_GB2312" w:asciiTheme="minorEastAsia" w:hAnsiTheme="minorEastAsia" w:eastAsiaTheme="minorEastAsia"/>
          <w:kern w:val="0"/>
          <w:sz w:val="24"/>
          <w:lang w:val="zh-CN"/>
        </w:rPr>
        <w:t>【招标编号：</w:t>
      </w:r>
      <w:r>
        <w:rPr>
          <w:rFonts w:hint="eastAsia" w:asciiTheme="minorEastAsia" w:hAnsiTheme="minorEastAsia" w:eastAsiaTheme="minorEastAsia"/>
          <w:sz w:val="24"/>
        </w:rPr>
        <w:t>HZZFCG-2022-091（1）</w:t>
      </w:r>
      <w:r>
        <w:rPr>
          <w:rFonts w:hint="eastAsia" w:cs="仿宋_GB2312" w:asciiTheme="minorEastAsia" w:hAnsiTheme="minorEastAsia" w:eastAsiaTheme="minorEastAsia"/>
          <w:sz w:val="24"/>
        </w:rPr>
        <w:t>】的实施</w:t>
      </w: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开标一览表（报价表）</w:t>
      </w:r>
      <w:r>
        <w:rPr>
          <w:rFonts w:cs="仿宋_GB2312" w:asciiTheme="minorEastAsia" w:hAnsiTheme="minorEastAsia" w:eastAsiaTheme="minorEastAsia"/>
          <w:b/>
          <w:kern w:val="0"/>
          <w:sz w:val="24"/>
          <w:lang w:val="zh-CN"/>
        </w:rPr>
        <w:t>(单位均为人民币元)</w:t>
      </w:r>
    </w:p>
    <w:tbl>
      <w:tblPr>
        <w:tblStyle w:val="63"/>
        <w:tblW w:w="14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8"/>
        <w:gridCol w:w="2355"/>
        <w:gridCol w:w="3435"/>
        <w:gridCol w:w="1590"/>
        <w:gridCol w:w="346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238"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355"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3435"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1590"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3465"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740"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1238" w:type="dxa"/>
            <w:vAlign w:val="center"/>
          </w:tcPr>
          <w:p>
            <w:pPr>
              <w:spacing w:line="360" w:lineRule="auto"/>
              <w:jc w:val="center"/>
              <w:rPr>
                <w:rFonts w:ascii="宋体" w:hAnsi="宋体" w:cs="宋体"/>
                <w:sz w:val="24"/>
              </w:rPr>
            </w:pPr>
            <w:r>
              <w:rPr>
                <w:rFonts w:hint="eastAsia" w:ascii="宋体" w:hAnsi="宋体" w:cs="宋体"/>
                <w:sz w:val="24"/>
              </w:rPr>
              <w:t>人工费</w:t>
            </w:r>
          </w:p>
        </w:tc>
        <w:tc>
          <w:tcPr>
            <w:tcW w:w="2355" w:type="dxa"/>
            <w:vAlign w:val="center"/>
          </w:tcPr>
          <w:p>
            <w:pPr>
              <w:snapToGrid w:val="0"/>
              <w:spacing w:line="360" w:lineRule="auto"/>
              <w:jc w:val="center"/>
              <w:rPr>
                <w:rFonts w:ascii="宋体" w:hAnsi="宋体" w:cs="宋体"/>
                <w:sz w:val="24"/>
              </w:rPr>
            </w:pPr>
          </w:p>
        </w:tc>
        <w:tc>
          <w:tcPr>
            <w:tcW w:w="3435" w:type="dxa"/>
            <w:vAlign w:val="center"/>
          </w:tcPr>
          <w:p>
            <w:pPr>
              <w:snapToGrid w:val="0"/>
              <w:spacing w:line="360" w:lineRule="auto"/>
              <w:jc w:val="center"/>
              <w:rPr>
                <w:rFonts w:ascii="宋体" w:hAnsi="宋体" w:cs="宋体"/>
                <w:sz w:val="24"/>
              </w:rPr>
            </w:pPr>
          </w:p>
        </w:tc>
        <w:tc>
          <w:tcPr>
            <w:tcW w:w="1590" w:type="dxa"/>
            <w:vAlign w:val="center"/>
          </w:tcPr>
          <w:p>
            <w:pPr>
              <w:snapToGrid w:val="0"/>
              <w:spacing w:line="360" w:lineRule="auto"/>
              <w:jc w:val="center"/>
              <w:rPr>
                <w:rFonts w:ascii="宋体" w:hAnsi="宋体" w:cs="宋体"/>
                <w:sz w:val="24"/>
              </w:rPr>
            </w:pPr>
          </w:p>
        </w:tc>
        <w:tc>
          <w:tcPr>
            <w:tcW w:w="3465" w:type="dxa"/>
            <w:vAlign w:val="center"/>
          </w:tcPr>
          <w:p>
            <w:pPr>
              <w:spacing w:line="360" w:lineRule="auto"/>
              <w:jc w:val="center"/>
              <w:rPr>
                <w:rFonts w:ascii="宋体" w:hAnsi="宋体" w:cs="宋体"/>
                <w:sz w:val="24"/>
              </w:rPr>
            </w:pPr>
          </w:p>
        </w:tc>
        <w:tc>
          <w:tcPr>
            <w:tcW w:w="174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1238" w:type="dxa"/>
            <w:vAlign w:val="center"/>
          </w:tcPr>
          <w:p>
            <w:pPr>
              <w:spacing w:line="360" w:lineRule="auto"/>
              <w:jc w:val="center"/>
              <w:rPr>
                <w:rFonts w:ascii="宋体" w:hAnsi="宋体" w:cs="宋体"/>
                <w:sz w:val="24"/>
              </w:rPr>
            </w:pPr>
            <w:r>
              <w:rPr>
                <w:rFonts w:hint="eastAsia" w:ascii="宋体" w:hAnsi="宋体" w:cs="宋体"/>
                <w:sz w:val="24"/>
              </w:rPr>
              <w:t>设备器材费用</w:t>
            </w:r>
          </w:p>
        </w:tc>
        <w:tc>
          <w:tcPr>
            <w:tcW w:w="2355" w:type="dxa"/>
            <w:vAlign w:val="center"/>
          </w:tcPr>
          <w:p>
            <w:pPr>
              <w:snapToGrid w:val="0"/>
              <w:spacing w:line="360" w:lineRule="auto"/>
              <w:jc w:val="center"/>
              <w:rPr>
                <w:rFonts w:ascii="宋体" w:hAnsi="宋体" w:cs="宋体"/>
                <w:sz w:val="24"/>
              </w:rPr>
            </w:pPr>
          </w:p>
        </w:tc>
        <w:tc>
          <w:tcPr>
            <w:tcW w:w="3435" w:type="dxa"/>
            <w:vAlign w:val="center"/>
          </w:tcPr>
          <w:p>
            <w:pPr>
              <w:snapToGrid w:val="0"/>
              <w:spacing w:line="360" w:lineRule="auto"/>
              <w:jc w:val="center"/>
              <w:rPr>
                <w:rFonts w:ascii="宋体" w:hAnsi="宋体" w:cs="宋体"/>
                <w:sz w:val="24"/>
              </w:rPr>
            </w:pPr>
          </w:p>
        </w:tc>
        <w:tc>
          <w:tcPr>
            <w:tcW w:w="1590" w:type="dxa"/>
            <w:vAlign w:val="center"/>
          </w:tcPr>
          <w:p>
            <w:pPr>
              <w:snapToGrid w:val="0"/>
              <w:spacing w:line="360" w:lineRule="auto"/>
              <w:jc w:val="center"/>
              <w:rPr>
                <w:rFonts w:ascii="宋体" w:hAnsi="宋体" w:cs="宋体"/>
                <w:sz w:val="24"/>
              </w:rPr>
            </w:pPr>
          </w:p>
        </w:tc>
        <w:tc>
          <w:tcPr>
            <w:tcW w:w="3465" w:type="dxa"/>
            <w:vAlign w:val="center"/>
          </w:tcPr>
          <w:p>
            <w:pPr>
              <w:spacing w:line="360" w:lineRule="auto"/>
              <w:jc w:val="center"/>
              <w:rPr>
                <w:rFonts w:ascii="宋体" w:hAnsi="宋体" w:cs="宋体"/>
                <w:sz w:val="24"/>
              </w:rPr>
            </w:pPr>
          </w:p>
        </w:tc>
        <w:tc>
          <w:tcPr>
            <w:tcW w:w="174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3</w:t>
            </w:r>
          </w:p>
        </w:tc>
        <w:tc>
          <w:tcPr>
            <w:tcW w:w="1238" w:type="dxa"/>
            <w:vAlign w:val="center"/>
          </w:tcPr>
          <w:p>
            <w:pPr>
              <w:spacing w:line="360" w:lineRule="auto"/>
              <w:jc w:val="center"/>
              <w:rPr>
                <w:rFonts w:ascii="宋体" w:hAnsi="宋体" w:cs="宋体"/>
                <w:sz w:val="24"/>
              </w:rPr>
            </w:pPr>
            <w:r>
              <w:rPr>
                <w:rFonts w:hint="eastAsia" w:ascii="宋体" w:hAnsi="宋体" w:cs="宋体"/>
                <w:sz w:val="24"/>
              </w:rPr>
              <w:t>消耗材料</w:t>
            </w:r>
          </w:p>
        </w:tc>
        <w:tc>
          <w:tcPr>
            <w:tcW w:w="2355" w:type="dxa"/>
            <w:vAlign w:val="center"/>
          </w:tcPr>
          <w:p>
            <w:pPr>
              <w:snapToGrid w:val="0"/>
              <w:spacing w:line="360" w:lineRule="auto"/>
              <w:jc w:val="center"/>
              <w:rPr>
                <w:rFonts w:ascii="宋体" w:hAnsi="宋体" w:cs="宋体"/>
                <w:sz w:val="24"/>
              </w:rPr>
            </w:pPr>
          </w:p>
        </w:tc>
        <w:tc>
          <w:tcPr>
            <w:tcW w:w="3435" w:type="dxa"/>
            <w:vAlign w:val="center"/>
          </w:tcPr>
          <w:p>
            <w:pPr>
              <w:snapToGrid w:val="0"/>
              <w:spacing w:line="360" w:lineRule="auto"/>
              <w:jc w:val="center"/>
              <w:rPr>
                <w:rFonts w:ascii="宋体" w:hAnsi="宋体" w:cs="宋体"/>
                <w:sz w:val="24"/>
              </w:rPr>
            </w:pPr>
          </w:p>
        </w:tc>
        <w:tc>
          <w:tcPr>
            <w:tcW w:w="1590" w:type="dxa"/>
            <w:vAlign w:val="center"/>
          </w:tcPr>
          <w:p>
            <w:pPr>
              <w:snapToGrid w:val="0"/>
              <w:spacing w:line="360" w:lineRule="auto"/>
              <w:jc w:val="center"/>
              <w:rPr>
                <w:rFonts w:ascii="宋体" w:hAnsi="宋体" w:cs="宋体"/>
                <w:sz w:val="24"/>
              </w:rPr>
            </w:pPr>
          </w:p>
        </w:tc>
        <w:tc>
          <w:tcPr>
            <w:tcW w:w="3465" w:type="dxa"/>
            <w:vAlign w:val="center"/>
          </w:tcPr>
          <w:p>
            <w:pPr>
              <w:spacing w:line="360" w:lineRule="auto"/>
              <w:jc w:val="center"/>
              <w:rPr>
                <w:rFonts w:ascii="宋体" w:hAnsi="宋体" w:cs="宋体"/>
                <w:sz w:val="24"/>
              </w:rPr>
            </w:pPr>
          </w:p>
        </w:tc>
        <w:tc>
          <w:tcPr>
            <w:tcW w:w="174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4</w:t>
            </w:r>
          </w:p>
        </w:tc>
        <w:tc>
          <w:tcPr>
            <w:tcW w:w="1238" w:type="dxa"/>
            <w:vAlign w:val="center"/>
          </w:tcPr>
          <w:p>
            <w:pPr>
              <w:spacing w:line="360" w:lineRule="auto"/>
              <w:jc w:val="center"/>
              <w:rPr>
                <w:rFonts w:ascii="宋体" w:hAnsi="宋体" w:cs="宋体"/>
                <w:sz w:val="24"/>
              </w:rPr>
            </w:pPr>
            <w:r>
              <w:rPr>
                <w:rFonts w:hint="eastAsia" w:ascii="宋体" w:hAnsi="宋体" w:cs="宋体"/>
                <w:sz w:val="24"/>
              </w:rPr>
              <w:t>服装费用</w:t>
            </w:r>
          </w:p>
        </w:tc>
        <w:tc>
          <w:tcPr>
            <w:tcW w:w="2355" w:type="dxa"/>
            <w:vAlign w:val="center"/>
          </w:tcPr>
          <w:p>
            <w:pPr>
              <w:snapToGrid w:val="0"/>
              <w:spacing w:line="360" w:lineRule="auto"/>
              <w:jc w:val="center"/>
              <w:rPr>
                <w:rFonts w:ascii="宋体" w:hAnsi="宋体" w:cs="宋体"/>
                <w:sz w:val="24"/>
              </w:rPr>
            </w:pPr>
          </w:p>
        </w:tc>
        <w:tc>
          <w:tcPr>
            <w:tcW w:w="3435" w:type="dxa"/>
            <w:vAlign w:val="center"/>
          </w:tcPr>
          <w:p>
            <w:pPr>
              <w:snapToGrid w:val="0"/>
              <w:spacing w:line="360" w:lineRule="auto"/>
              <w:jc w:val="center"/>
              <w:rPr>
                <w:rFonts w:ascii="宋体" w:hAnsi="宋体" w:cs="宋体"/>
                <w:sz w:val="24"/>
              </w:rPr>
            </w:pPr>
          </w:p>
        </w:tc>
        <w:tc>
          <w:tcPr>
            <w:tcW w:w="1590" w:type="dxa"/>
            <w:vAlign w:val="center"/>
          </w:tcPr>
          <w:p>
            <w:pPr>
              <w:snapToGrid w:val="0"/>
              <w:spacing w:line="360" w:lineRule="auto"/>
              <w:jc w:val="center"/>
              <w:rPr>
                <w:rFonts w:ascii="宋体" w:hAnsi="宋体" w:cs="宋体"/>
                <w:sz w:val="24"/>
              </w:rPr>
            </w:pPr>
          </w:p>
        </w:tc>
        <w:tc>
          <w:tcPr>
            <w:tcW w:w="3465" w:type="dxa"/>
            <w:vAlign w:val="center"/>
          </w:tcPr>
          <w:p>
            <w:pPr>
              <w:spacing w:line="360" w:lineRule="auto"/>
              <w:jc w:val="center"/>
              <w:rPr>
                <w:rFonts w:ascii="宋体" w:hAnsi="宋体" w:cs="宋体"/>
                <w:sz w:val="24"/>
              </w:rPr>
            </w:pPr>
          </w:p>
        </w:tc>
        <w:tc>
          <w:tcPr>
            <w:tcW w:w="174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5</w:t>
            </w:r>
          </w:p>
        </w:tc>
        <w:tc>
          <w:tcPr>
            <w:tcW w:w="1238" w:type="dxa"/>
            <w:vAlign w:val="center"/>
          </w:tcPr>
          <w:p>
            <w:pPr>
              <w:spacing w:line="360" w:lineRule="auto"/>
              <w:jc w:val="center"/>
              <w:rPr>
                <w:rFonts w:ascii="宋体" w:hAnsi="宋体" w:cs="宋体"/>
                <w:sz w:val="24"/>
              </w:rPr>
            </w:pPr>
            <w:r>
              <w:rPr>
                <w:rFonts w:hint="eastAsia" w:ascii="宋体" w:hAnsi="宋体" w:cs="宋体"/>
                <w:sz w:val="24"/>
              </w:rPr>
              <w:t>活动服务保障费用</w:t>
            </w:r>
          </w:p>
        </w:tc>
        <w:tc>
          <w:tcPr>
            <w:tcW w:w="2355" w:type="dxa"/>
            <w:vAlign w:val="center"/>
          </w:tcPr>
          <w:p>
            <w:pPr>
              <w:snapToGrid w:val="0"/>
              <w:spacing w:line="360" w:lineRule="auto"/>
              <w:jc w:val="center"/>
              <w:rPr>
                <w:rFonts w:ascii="宋体" w:hAnsi="宋体" w:cs="宋体"/>
                <w:sz w:val="24"/>
              </w:rPr>
            </w:pPr>
          </w:p>
        </w:tc>
        <w:tc>
          <w:tcPr>
            <w:tcW w:w="3435" w:type="dxa"/>
            <w:vAlign w:val="center"/>
          </w:tcPr>
          <w:p>
            <w:pPr>
              <w:snapToGrid w:val="0"/>
              <w:spacing w:line="360" w:lineRule="auto"/>
              <w:jc w:val="center"/>
              <w:rPr>
                <w:rFonts w:ascii="宋体" w:hAnsi="宋体" w:cs="宋体"/>
                <w:sz w:val="24"/>
              </w:rPr>
            </w:pPr>
          </w:p>
        </w:tc>
        <w:tc>
          <w:tcPr>
            <w:tcW w:w="1590" w:type="dxa"/>
            <w:vAlign w:val="center"/>
          </w:tcPr>
          <w:p>
            <w:pPr>
              <w:snapToGrid w:val="0"/>
              <w:spacing w:line="360" w:lineRule="auto"/>
              <w:jc w:val="center"/>
              <w:rPr>
                <w:rFonts w:ascii="宋体" w:hAnsi="宋体" w:cs="宋体"/>
                <w:sz w:val="24"/>
              </w:rPr>
            </w:pPr>
          </w:p>
        </w:tc>
        <w:tc>
          <w:tcPr>
            <w:tcW w:w="3465" w:type="dxa"/>
            <w:vAlign w:val="center"/>
          </w:tcPr>
          <w:p>
            <w:pPr>
              <w:spacing w:line="360" w:lineRule="auto"/>
              <w:jc w:val="center"/>
              <w:rPr>
                <w:rFonts w:ascii="宋体" w:hAnsi="宋体" w:cs="宋体"/>
                <w:sz w:val="24"/>
              </w:rPr>
            </w:pPr>
          </w:p>
        </w:tc>
        <w:tc>
          <w:tcPr>
            <w:tcW w:w="174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6</w:t>
            </w:r>
          </w:p>
        </w:tc>
        <w:tc>
          <w:tcPr>
            <w:tcW w:w="1238" w:type="dxa"/>
            <w:vAlign w:val="center"/>
          </w:tcPr>
          <w:p>
            <w:pPr>
              <w:spacing w:line="360" w:lineRule="auto"/>
              <w:jc w:val="center"/>
              <w:rPr>
                <w:rFonts w:ascii="宋体" w:hAnsi="宋体" w:cs="宋体"/>
                <w:sz w:val="24"/>
              </w:rPr>
            </w:pPr>
            <w:r>
              <w:rPr>
                <w:rFonts w:hint="eastAsia" w:ascii="宋体" w:hAnsi="宋体" w:cs="宋体"/>
                <w:sz w:val="24"/>
              </w:rPr>
              <w:t>垃圾清运</w:t>
            </w:r>
          </w:p>
        </w:tc>
        <w:tc>
          <w:tcPr>
            <w:tcW w:w="2355" w:type="dxa"/>
            <w:vAlign w:val="center"/>
          </w:tcPr>
          <w:p>
            <w:pPr>
              <w:snapToGrid w:val="0"/>
              <w:spacing w:line="360" w:lineRule="auto"/>
              <w:jc w:val="center"/>
              <w:rPr>
                <w:rFonts w:ascii="宋体" w:hAnsi="宋体" w:cs="宋体"/>
                <w:sz w:val="24"/>
              </w:rPr>
            </w:pPr>
          </w:p>
        </w:tc>
        <w:tc>
          <w:tcPr>
            <w:tcW w:w="3435" w:type="dxa"/>
            <w:vAlign w:val="center"/>
          </w:tcPr>
          <w:p>
            <w:pPr>
              <w:snapToGrid w:val="0"/>
              <w:spacing w:line="360" w:lineRule="auto"/>
              <w:jc w:val="center"/>
              <w:rPr>
                <w:rFonts w:ascii="宋体" w:hAnsi="宋体" w:cs="宋体"/>
                <w:sz w:val="24"/>
              </w:rPr>
            </w:pPr>
          </w:p>
        </w:tc>
        <w:tc>
          <w:tcPr>
            <w:tcW w:w="1590" w:type="dxa"/>
            <w:vAlign w:val="center"/>
          </w:tcPr>
          <w:p>
            <w:pPr>
              <w:snapToGrid w:val="0"/>
              <w:spacing w:line="360" w:lineRule="auto"/>
              <w:jc w:val="center"/>
              <w:rPr>
                <w:rFonts w:ascii="宋体" w:hAnsi="宋体" w:cs="宋体"/>
                <w:sz w:val="24"/>
              </w:rPr>
            </w:pPr>
          </w:p>
        </w:tc>
        <w:tc>
          <w:tcPr>
            <w:tcW w:w="3465" w:type="dxa"/>
            <w:vAlign w:val="center"/>
          </w:tcPr>
          <w:p>
            <w:pPr>
              <w:spacing w:line="360" w:lineRule="auto"/>
              <w:jc w:val="center"/>
              <w:rPr>
                <w:rFonts w:ascii="宋体" w:hAnsi="宋体" w:cs="宋体"/>
                <w:sz w:val="24"/>
              </w:rPr>
            </w:pPr>
          </w:p>
        </w:tc>
        <w:tc>
          <w:tcPr>
            <w:tcW w:w="174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7</w:t>
            </w:r>
          </w:p>
        </w:tc>
        <w:tc>
          <w:tcPr>
            <w:tcW w:w="1238" w:type="dxa"/>
            <w:vAlign w:val="center"/>
          </w:tcPr>
          <w:p>
            <w:pPr>
              <w:spacing w:line="360" w:lineRule="auto"/>
              <w:jc w:val="center"/>
              <w:rPr>
                <w:rFonts w:ascii="宋体" w:hAnsi="宋体" w:cs="宋体"/>
                <w:sz w:val="24"/>
              </w:rPr>
            </w:pPr>
            <w:r>
              <w:rPr>
                <w:rFonts w:hint="eastAsia" w:ascii="宋体" w:hAnsi="宋体" w:cs="宋体"/>
                <w:sz w:val="24"/>
              </w:rPr>
              <w:t>教育培训费用</w:t>
            </w:r>
          </w:p>
        </w:tc>
        <w:tc>
          <w:tcPr>
            <w:tcW w:w="2355" w:type="dxa"/>
            <w:vAlign w:val="center"/>
          </w:tcPr>
          <w:p>
            <w:pPr>
              <w:snapToGrid w:val="0"/>
              <w:spacing w:line="360" w:lineRule="auto"/>
              <w:jc w:val="center"/>
              <w:rPr>
                <w:rFonts w:ascii="宋体" w:hAnsi="宋体" w:cs="宋体"/>
                <w:sz w:val="24"/>
              </w:rPr>
            </w:pPr>
          </w:p>
        </w:tc>
        <w:tc>
          <w:tcPr>
            <w:tcW w:w="3435" w:type="dxa"/>
            <w:vAlign w:val="center"/>
          </w:tcPr>
          <w:p>
            <w:pPr>
              <w:snapToGrid w:val="0"/>
              <w:spacing w:line="360" w:lineRule="auto"/>
              <w:jc w:val="center"/>
              <w:rPr>
                <w:rFonts w:ascii="宋体" w:hAnsi="宋体" w:cs="宋体"/>
                <w:sz w:val="24"/>
              </w:rPr>
            </w:pPr>
          </w:p>
        </w:tc>
        <w:tc>
          <w:tcPr>
            <w:tcW w:w="1590" w:type="dxa"/>
            <w:vAlign w:val="center"/>
          </w:tcPr>
          <w:p>
            <w:pPr>
              <w:snapToGrid w:val="0"/>
              <w:spacing w:line="360" w:lineRule="auto"/>
              <w:jc w:val="center"/>
              <w:rPr>
                <w:rFonts w:ascii="宋体" w:hAnsi="宋体" w:cs="宋体"/>
                <w:sz w:val="24"/>
              </w:rPr>
            </w:pPr>
          </w:p>
        </w:tc>
        <w:tc>
          <w:tcPr>
            <w:tcW w:w="3465" w:type="dxa"/>
            <w:vAlign w:val="center"/>
          </w:tcPr>
          <w:p>
            <w:pPr>
              <w:spacing w:line="360" w:lineRule="auto"/>
              <w:jc w:val="center"/>
              <w:rPr>
                <w:rFonts w:ascii="宋体" w:hAnsi="宋体" w:cs="宋体"/>
                <w:sz w:val="24"/>
              </w:rPr>
            </w:pPr>
          </w:p>
        </w:tc>
        <w:tc>
          <w:tcPr>
            <w:tcW w:w="174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8</w:t>
            </w:r>
          </w:p>
        </w:tc>
        <w:tc>
          <w:tcPr>
            <w:tcW w:w="1238" w:type="dxa"/>
            <w:vAlign w:val="center"/>
          </w:tcPr>
          <w:p>
            <w:pPr>
              <w:spacing w:line="360" w:lineRule="auto"/>
              <w:jc w:val="center"/>
              <w:rPr>
                <w:rFonts w:ascii="宋体" w:hAnsi="宋体" w:cs="宋体"/>
                <w:sz w:val="24"/>
              </w:rPr>
            </w:pPr>
            <w:r>
              <w:rPr>
                <w:rFonts w:hint="eastAsia" w:ascii="宋体" w:hAnsi="宋体" w:cs="宋体"/>
                <w:sz w:val="24"/>
              </w:rPr>
              <w:t>其他</w:t>
            </w:r>
          </w:p>
        </w:tc>
        <w:tc>
          <w:tcPr>
            <w:tcW w:w="2355" w:type="dxa"/>
            <w:vAlign w:val="center"/>
          </w:tcPr>
          <w:p>
            <w:pPr>
              <w:snapToGrid w:val="0"/>
              <w:spacing w:line="360" w:lineRule="auto"/>
              <w:jc w:val="center"/>
              <w:rPr>
                <w:rFonts w:ascii="宋体" w:hAnsi="宋体" w:cs="宋体"/>
                <w:sz w:val="24"/>
              </w:rPr>
            </w:pPr>
          </w:p>
        </w:tc>
        <w:tc>
          <w:tcPr>
            <w:tcW w:w="3435" w:type="dxa"/>
            <w:vAlign w:val="center"/>
          </w:tcPr>
          <w:p>
            <w:pPr>
              <w:snapToGrid w:val="0"/>
              <w:spacing w:line="360" w:lineRule="auto"/>
              <w:jc w:val="center"/>
              <w:rPr>
                <w:rFonts w:ascii="宋体" w:hAnsi="宋体" w:cs="宋体"/>
                <w:sz w:val="24"/>
              </w:rPr>
            </w:pPr>
          </w:p>
        </w:tc>
        <w:tc>
          <w:tcPr>
            <w:tcW w:w="1590" w:type="dxa"/>
            <w:vAlign w:val="center"/>
          </w:tcPr>
          <w:p>
            <w:pPr>
              <w:snapToGrid w:val="0"/>
              <w:spacing w:line="360" w:lineRule="auto"/>
              <w:jc w:val="center"/>
              <w:rPr>
                <w:rFonts w:ascii="宋体" w:hAnsi="宋体" w:cs="宋体"/>
                <w:sz w:val="24"/>
              </w:rPr>
            </w:pPr>
          </w:p>
        </w:tc>
        <w:tc>
          <w:tcPr>
            <w:tcW w:w="3465" w:type="dxa"/>
            <w:vAlign w:val="center"/>
          </w:tcPr>
          <w:p>
            <w:pPr>
              <w:spacing w:line="360" w:lineRule="auto"/>
              <w:jc w:val="center"/>
              <w:rPr>
                <w:rFonts w:ascii="宋体" w:hAnsi="宋体" w:cs="宋体"/>
                <w:sz w:val="24"/>
              </w:rPr>
            </w:pPr>
          </w:p>
        </w:tc>
        <w:tc>
          <w:tcPr>
            <w:tcW w:w="174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845"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6795" w:type="dxa"/>
            <w:gridSpan w:val="3"/>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45"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6795" w:type="dxa"/>
            <w:gridSpan w:val="3"/>
          </w:tcPr>
          <w:p>
            <w:pPr>
              <w:spacing w:line="360" w:lineRule="auto"/>
              <w:jc w:val="center"/>
              <w:rPr>
                <w:rFonts w:ascii="宋体" w:hAnsi="宋体" w:cs="宋体"/>
                <w:sz w:val="24"/>
              </w:rPr>
            </w:pPr>
          </w:p>
        </w:tc>
      </w:tr>
    </w:tbl>
    <w:p>
      <w:pPr>
        <w:snapToGrid w:val="0"/>
        <w:spacing w:line="360" w:lineRule="auto"/>
        <w:ind w:left="480"/>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tabs>
          <w:tab w:val="left" w:pos="0"/>
        </w:tabs>
        <w:spacing w:line="360" w:lineRule="auto"/>
        <w:ind w:firstLine="480" w:firstLineChars="200"/>
        <w:rPr>
          <w:rFonts w:ascii="宋体" w:hAnsi="宋体" w:cs="宋体"/>
          <w:kern w:val="0"/>
          <w:sz w:val="24"/>
          <w:lang w:val="zh-CN"/>
        </w:rPr>
      </w:pPr>
    </w:p>
    <w:p>
      <w:pPr>
        <w:spacing w:line="360" w:lineRule="auto"/>
        <w:ind w:firstLine="482" w:firstLineChars="200"/>
        <w:rPr>
          <w:rFonts w:asciiTheme="minorEastAsia" w:hAnsiTheme="minorEastAsia" w:eastAsiaTheme="minorEastAsia"/>
          <w:b/>
          <w:kern w:val="0"/>
          <w:sz w:val="24"/>
        </w:rPr>
      </w:pPr>
    </w:p>
    <w:p>
      <w:pPr>
        <w:pStyle w:val="696"/>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p>
    <w:p>
      <w:pPr>
        <w:pStyle w:val="696"/>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tabs>
          <w:tab w:val="left" w:pos="8085"/>
        </w:tabs>
        <w:spacing w:line="360" w:lineRule="auto"/>
        <w:ind w:firstLine="1285" w:firstLineChars="40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政府采购支持中小企业信用融资相关事项通知</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一、适用对象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二、相关信息获取方式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　政府采购信用融资操作流程：</w:t>
      </w:r>
    </w:p>
    <w:p>
      <w:pPr>
        <w:spacing w:line="360" w:lineRule="auto"/>
        <w:ind w:firstLine="960" w:firstLineChars="400"/>
        <w:rPr>
          <w:rFonts w:asciiTheme="minorEastAsia" w:hAnsiTheme="minorEastAsia" w:eastAsiaTheme="minorEastAsia"/>
          <w:sz w:val="24"/>
        </w:rPr>
      </w:pPr>
      <w:r>
        <w:rPr>
          <w:rFonts w:hint="eastAsia" w:asciiTheme="minorEastAsia" w:hAnsiTheme="minorEastAsia" w:eastAsiaTheme="minorEastAsia"/>
          <w:sz w:val="24"/>
        </w:rPr>
        <w:t>（一）线上融资模式：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1.供应商根据合作银行提供的方案，自行选择金融产品，并办理开户等手续；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2.供应商中标后，可通过杭州市政府采购网或“浙里办”测算授信额度；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3.采购合同签订后，供应商在杭州市政府采购网或“浙里办”向合作银行发出融资申请；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4.审批通过后，在线办理放贷手续。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（二）线下融资模式：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1.供应商根据合作银行提供的方案，自行选择金融产品，向合作银行提出信用资格预审，并办理开户等手续；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2.采购合同签订后，供应商在杭州市政府采购网或“浙里办”向合作银行发出融资申请；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4.审批通过后，合作银行应按照合作备忘录中约定的审批放款期限和优惠利率及时予以放款。</w:t>
      </w:r>
    </w:p>
    <w:p>
      <w:pPr>
        <w:pStyle w:val="2"/>
        <w:numPr>
          <w:ilvl w:val="255"/>
          <w:numId w:val="0"/>
        </w:numPr>
        <w:ind w:firstLine="960" w:firstLineChars="400"/>
        <w:rPr>
          <w:rFonts w:asciiTheme="minorEastAsia" w:hAnsiTheme="minorEastAsia" w:eastAsiaTheme="minorEastAsia"/>
          <w:b w:val="0"/>
          <w:bCs w:val="0"/>
          <w:sz w:val="24"/>
          <w:szCs w:val="24"/>
          <w:lang w:val="en-US"/>
        </w:rPr>
      </w:pPr>
      <w:r>
        <w:rPr>
          <w:rFonts w:hint="eastAsia" w:asciiTheme="minorEastAsia" w:hAnsiTheme="minorEastAsia" w:eastAsiaTheme="minorEastAsia"/>
          <w:b w:val="0"/>
          <w:bCs w:val="0"/>
          <w:sz w:val="24"/>
          <w:szCs w:val="24"/>
          <w:lang w:val="en-US"/>
        </w:rPr>
        <w:t>（三）杭州e融平台申请融资</w:t>
      </w:r>
    </w:p>
    <w:p>
      <w:pPr>
        <w:pStyle w:val="2"/>
        <w:numPr>
          <w:ilvl w:val="255"/>
          <w:numId w:val="0"/>
        </w:numPr>
        <w:ind w:firstLine="960" w:firstLineChars="400"/>
        <w:rPr>
          <w:rFonts w:asciiTheme="minorEastAsia" w:hAnsiTheme="minorEastAsia" w:eastAsiaTheme="minorEastAsia"/>
          <w:b w:val="0"/>
          <w:bCs w:val="0"/>
          <w:sz w:val="24"/>
          <w:szCs w:val="24"/>
          <w:lang w:val="en-US"/>
        </w:rPr>
      </w:pPr>
      <w:r>
        <w:rPr>
          <w:rFonts w:hint="eastAsia" w:asciiTheme="minorEastAsia" w:hAnsiTheme="minorEastAsia" w:eastAsiaTheme="minorEastAsia"/>
          <w:b w:val="0"/>
          <w:bCs w:val="0"/>
          <w:sz w:val="24"/>
          <w:szCs w:val="24"/>
          <w:lang w:val="en-US"/>
        </w:rPr>
        <w:t>供应商通过杭州e融平台政采贷专区，自行选择金融产品，按规定手续办理贷款流程。</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四、注意事项</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cs="仿宋_GB2312" w:asciiTheme="minorEastAsia" w:hAnsiTheme="minorEastAsia" w:eastAsiaTheme="minorEastAsia"/>
          <w:sz w:val="24"/>
        </w:rPr>
        <w:t>。</w:t>
      </w:r>
    </w:p>
    <w:p>
      <w:pPr>
        <w:spacing w:line="360" w:lineRule="auto"/>
        <w:ind w:left="5060" w:hanging="5060" w:hangingChars="2100"/>
        <w:rPr>
          <w:rFonts w:cs="仿宋_GB2312" w:asciiTheme="minorEastAsia" w:hAnsiTheme="minorEastAsia" w:eastAsiaTheme="minorEastAsia"/>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rPr>
      </w:pPr>
      <w:bookmarkStart w:id="396" w:name="_Toc465665161"/>
      <w:r>
        <w:rPr>
          <w:rFonts w:hint="eastAsia" w:asciiTheme="minorEastAsia" w:hAnsiTheme="minorEastAsia" w:eastAsiaTheme="minorEastAsia"/>
        </w:rPr>
        <w:t>附件</w:t>
      </w:r>
      <w:bookmarkEnd w:id="396"/>
    </w:p>
    <w:p>
      <w:pPr>
        <w:spacing w:line="360" w:lineRule="auto"/>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1：</w:t>
      </w:r>
    </w:p>
    <w:p>
      <w:pPr>
        <w:spacing w:line="360" w:lineRule="auto"/>
        <w:jc w:val="center"/>
        <w:rPr>
          <w:rFonts w:asciiTheme="minorEastAsia" w:hAnsiTheme="minorEastAsia" w:eastAsiaTheme="minorEastAsia"/>
          <w:b/>
          <w:spacing w:val="6"/>
          <w:sz w:val="32"/>
          <w:szCs w:val="32"/>
        </w:rPr>
      </w:pPr>
      <w:bookmarkStart w:id="397" w:name="OLE_LINK13"/>
      <w:bookmarkStart w:id="398" w:name="OLE_LINK14"/>
      <w:r>
        <w:rPr>
          <w:rFonts w:hint="eastAsia" w:asciiTheme="minorEastAsia" w:hAnsiTheme="minorEastAsia" w:eastAsiaTheme="minorEastAsia"/>
          <w:b/>
          <w:spacing w:val="6"/>
          <w:sz w:val="32"/>
          <w:szCs w:val="32"/>
        </w:rPr>
        <w:t>残疾人福利性单位声明函</w:t>
      </w:r>
      <w:bookmarkEnd w:id="397"/>
      <w:bookmarkEnd w:id="398"/>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w:t>
      </w:r>
      <w:r>
        <w:rPr>
          <w:rFonts w:cs="仿宋_GB2312" w:asciiTheme="minorEastAsia" w:hAnsiTheme="minorEastAsia" w:eastAsiaTheme="minorEastAsia"/>
          <w:sz w:val="24"/>
        </w:rPr>
        <w:t xml:space="preserve"> </w:t>
      </w:r>
      <w:r>
        <w:rPr>
          <w:rFonts w:hint="eastAsia" w:cs="仿宋_GB2312" w:asciiTheme="minorEastAsia" w:hAnsiTheme="minorEastAsia" w:eastAsiaTheme="minorEastAsia"/>
          <w:sz w:val="24"/>
        </w:rPr>
        <w:t>民政部</w:t>
      </w:r>
      <w:r>
        <w:rPr>
          <w:rFonts w:cs="仿宋_GB2312" w:asciiTheme="minorEastAsia" w:hAnsiTheme="minorEastAsia" w:eastAsiaTheme="minorEastAsia"/>
          <w:sz w:val="24"/>
        </w:rPr>
        <w:t xml:space="preserve"> </w:t>
      </w:r>
      <w:r>
        <w:rPr>
          <w:rFonts w:hint="eastAsia" w:cs="仿宋_GB2312" w:asciiTheme="minorEastAsia" w:hAnsiTheme="minorEastAsia" w:eastAsiaTheme="minorEastAsia"/>
          <w:sz w:val="24"/>
        </w:rPr>
        <w:t>中国残疾人联合会关于促进残疾人就业政府采购政策的通知》（财库〔</w:t>
      </w:r>
      <w:r>
        <w:rPr>
          <w:rFonts w:cs="仿宋_GB2312" w:asciiTheme="minorEastAsia" w:hAnsiTheme="minorEastAsia" w:eastAsiaTheme="minorEastAsia"/>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投标人名称（电子签名）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2：质疑函范本及制作说明</w:t>
      </w: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质疑函范本</w:t>
      </w:r>
    </w:p>
    <w:p>
      <w:pPr>
        <w:snapToGrid w:val="0"/>
        <w:spacing w:before="240" w:beforeLines="100"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一、质疑供应商基本信息</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质疑供应商：</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w:t>
      </w:r>
      <w:r>
        <w:rPr>
          <w:rFonts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邮编：</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联系人：</w:t>
      </w:r>
      <w:r>
        <w:rPr>
          <w:rFonts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联系电话：</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授权代表：</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联系电话：</w:t>
      </w:r>
      <w:r>
        <w:rPr>
          <w:rFonts w:cs="仿宋" w:asciiTheme="minorEastAsia" w:hAnsiTheme="minorEastAsia" w:eastAsiaTheme="minorEastAsia"/>
          <w:sz w:val="24"/>
          <w:u w:val="dotted"/>
        </w:rPr>
        <w:t xml:space="preserve">                                           </w:t>
      </w:r>
      <w:r>
        <w:rPr>
          <w:rFonts w:cs="仿宋" w:asciiTheme="minorEastAsia" w:hAnsiTheme="minorEastAsia" w:eastAsiaTheme="minorEastAsia"/>
          <w:sz w:val="24"/>
        </w:rPr>
        <w:t xml:space="preserve"> </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w:t>
      </w:r>
      <w:r>
        <w:rPr>
          <w:rFonts w:cs="仿宋" w:asciiTheme="minorEastAsia" w:hAnsiTheme="minorEastAsia" w:eastAsiaTheme="minorEastAsia"/>
          <w:sz w:val="24"/>
        </w:rPr>
        <w:t xml:space="preserve"> </w:t>
      </w:r>
      <w:r>
        <w:rPr>
          <w:rFonts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邮编：</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二、质疑项目基本情况</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质疑项目的名称：</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质疑项目的编号：</w:t>
      </w:r>
      <w:r>
        <w:rPr>
          <w:rFonts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包号：</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采购人名称：</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采购文件获取日期：</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三、质疑事项具体内容</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1：</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事实依据：</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rPr>
      </w:pP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法律依据：</w:t>
      </w: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u w:val="dotted"/>
        </w:rPr>
      </w:pPr>
      <w:r>
        <w:rPr>
          <w:rFonts w:cs="仿宋" w:asciiTheme="minorEastAsia" w:hAnsiTheme="minorEastAsia" w:eastAsiaTheme="minorEastAsia"/>
          <w:sz w:val="24"/>
          <w:u w:val="dotted"/>
        </w:rPr>
        <w:t xml:space="preserve">                                                     </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2</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四、与质疑事项相关的质疑请求</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请求：</w:t>
      </w:r>
      <w:r>
        <w:rPr>
          <w:rFonts w:cs="仿宋"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r>
        <w:rPr>
          <w:rFonts w:asciiTheme="minorEastAsia" w:hAnsiTheme="minorEastAsia" w:eastAsiaTheme="minorEastAsia"/>
          <w:sz w:val="24"/>
        </w:rPr>
        <w:t xml:space="preserve">    </w:t>
      </w:r>
    </w:p>
    <w:p>
      <w:pPr>
        <w:spacing w:line="360" w:lineRule="auto"/>
        <w:jc w:val="center"/>
        <w:rPr>
          <w:rFonts w:cs="仿宋" w:asciiTheme="minorEastAsia" w:hAnsiTheme="minorEastAsia" w:eastAsiaTheme="minorEastAsia"/>
          <w:b/>
          <w:bCs/>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质疑函制作说明：</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2.质疑供应商若委托代理人进行质疑的，</w:t>
      </w:r>
      <w:r>
        <w:rPr>
          <w:rFonts w:hint="eastAsia" w:asciiTheme="minorEastAsia" w:hAnsiTheme="minorEastAsia" w:eastAsiaTheme="minorEastAsia"/>
          <w:sz w:val="24"/>
        </w:rPr>
        <w:t>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5.质疑函的质疑请求应与质疑事项相关。</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6.质疑供应商为自然人的，</w:t>
      </w:r>
      <w:r>
        <w:rPr>
          <w:rFonts w:hint="eastAsia" w:asciiTheme="minorEastAsia" w:hAnsiTheme="minorEastAsia" w:eastAsiaTheme="minorEastAsia"/>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eastAsiaTheme="minorEastAsia"/>
          <w:sz w:val="30"/>
          <w:szCs w:val="30"/>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3：投诉书范本及制作说明</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投诉书范本</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一、投诉相关主体基本情况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投诉人：</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邮编：</w:t>
      </w:r>
      <w:r>
        <w:rPr>
          <w:rFonts w:asciiTheme="minorEastAsia" w:hAnsiTheme="minorEastAsia" w:eastAsiaTheme="minorEastAsia"/>
          <w:sz w:val="24"/>
          <w:u w:val="dotted"/>
        </w:rPr>
        <w:t xml:space="preserve">         </w:t>
      </w:r>
      <w:r>
        <w:rPr>
          <w:rFonts w:asciiTheme="minorEastAsia" w:hAnsiTheme="minorEastAsia" w:eastAsiaTheme="minorEastAsia"/>
          <w:sz w:val="24"/>
          <w:u w:val="single"/>
        </w:rPr>
        <w:t xml:space="preserve">   </w:t>
      </w:r>
    </w:p>
    <w:p>
      <w:pPr>
        <w:tabs>
          <w:tab w:val="left" w:pos="651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sz w:val="24"/>
        </w:rPr>
        <w:t>/主要负责人：</w:t>
      </w:r>
      <w:r>
        <w:rPr>
          <w:rFonts w:asciiTheme="minorEastAsia" w:hAnsiTheme="minorEastAsia" w:eastAsiaTheme="minorEastAsia"/>
          <w:sz w:val="24"/>
          <w:u w:val="dotted"/>
        </w:rPr>
        <w:t xml:space="preserve">                                   </w:t>
      </w:r>
      <w:r>
        <w:rPr>
          <w:rFonts w:asciiTheme="minorEastAsia" w:hAnsiTheme="minorEastAsia" w:eastAsiaTheme="minorEastAsia"/>
          <w:sz w:val="24"/>
        </w:rPr>
        <w:t xml:space="preserve">  </w:t>
      </w:r>
    </w:p>
    <w:p>
      <w:pPr>
        <w:tabs>
          <w:tab w:val="left" w:pos="6510"/>
        </w:tabs>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联系电话：</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授权代表：</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联系电话</w:t>
      </w:r>
      <w:r>
        <w:rPr>
          <w:rFonts w:hint="eastAsia" w:asciiTheme="minorEastAsia" w:hAnsiTheme="minorEastAsia" w:eastAsiaTheme="minorEastAsia"/>
          <w:sz w:val="24"/>
          <w:u w:val="dotted"/>
        </w:rPr>
        <w:t>：</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邮编：</w:t>
      </w:r>
      <w:r>
        <w:rPr>
          <w:rFonts w:asciiTheme="minorEastAsia" w:hAnsiTheme="minorEastAsia" w:eastAsiaTheme="minorEastAsia"/>
          <w:sz w:val="24"/>
          <w:u w:val="dotted"/>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被投诉人</w:t>
      </w:r>
      <w:r>
        <w:rPr>
          <w:rFonts w:asciiTheme="minorEastAsia" w:hAnsiTheme="minorEastAsia" w:eastAsiaTheme="minorEastAsia"/>
          <w:sz w:val="24"/>
        </w:rPr>
        <w:t>1：</w:t>
      </w:r>
      <w:r>
        <w:rPr>
          <w:rFonts w:asciiTheme="minorEastAsia" w:hAnsiTheme="minorEastAsia" w:eastAsiaTheme="minorEastAsia"/>
          <w:sz w:val="24"/>
          <w:u w:val="dotted"/>
        </w:rPr>
        <w:t xml:space="preserve">                                           </w:t>
      </w:r>
      <w:r>
        <w:rPr>
          <w:rFonts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邮编：</w:t>
      </w:r>
      <w:r>
        <w:rPr>
          <w:rFonts w:asciiTheme="minorEastAsia" w:hAnsiTheme="minorEastAsia" w:eastAsiaTheme="minorEastAsia"/>
          <w:sz w:val="24"/>
          <w:u w:val="dotted"/>
        </w:rPr>
        <w:t xml:space="preserve">          </w:t>
      </w:r>
      <w:r>
        <w:rPr>
          <w:rFonts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联系电话：</w:t>
      </w:r>
      <w:r>
        <w:rPr>
          <w:rFonts w:asciiTheme="minorEastAsia" w:hAnsiTheme="minorEastAsia" w:eastAsiaTheme="minorEastAsia"/>
          <w:sz w:val="24"/>
          <w:u w:val="dotted"/>
        </w:rPr>
        <w:t xml:space="preserve">                      </w:t>
      </w:r>
      <w:r>
        <w:rPr>
          <w:rFonts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被投诉人</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相关供应商：</w:t>
      </w:r>
      <w:r>
        <w:rPr>
          <w:rFonts w:asciiTheme="minorEastAsia" w:hAnsiTheme="minorEastAsia" w:eastAsiaTheme="minorEastAsia"/>
          <w:sz w:val="24"/>
          <w:u w:val="dotted"/>
        </w:rPr>
        <w:t xml:space="preserve">                                           </w:t>
      </w:r>
      <w:r>
        <w:rPr>
          <w:rFonts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邮编：</w:t>
      </w:r>
      <w:r>
        <w:rPr>
          <w:rFonts w:asciiTheme="minorEastAsia" w:hAnsiTheme="minorEastAsia" w:eastAsiaTheme="minorEastAsia"/>
          <w:sz w:val="24"/>
          <w:u w:val="dotted"/>
        </w:rPr>
        <w:t xml:space="preserve">          </w:t>
      </w:r>
      <w:r>
        <w:rPr>
          <w:rFonts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联系电话：</w:t>
      </w:r>
      <w:r>
        <w:rPr>
          <w:rFonts w:asciiTheme="minorEastAsia" w:hAnsiTheme="minorEastAsia" w:eastAsiaTheme="minorEastAsia"/>
          <w:sz w:val="24"/>
          <w:u w:val="dotted"/>
        </w:rPr>
        <w:t xml:space="preserve">                      </w:t>
      </w:r>
      <w:r>
        <w:rPr>
          <w:rFonts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二、投诉项目基本情况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采购项目名称：</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采购项目编号：</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包号：</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采购人名称：</w:t>
      </w:r>
      <w:r>
        <w:rPr>
          <w:rFonts w:asciiTheme="minorEastAsia" w:hAnsiTheme="minorEastAsia" w:eastAsiaTheme="minorEastAsia"/>
          <w:sz w:val="24"/>
          <w:u w:val="dotted"/>
        </w:rPr>
        <w:t xml:space="preserve">                                           </w:t>
      </w:r>
      <w:r>
        <w:rPr>
          <w:rFonts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代理机构名称：</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采购文件公告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采购结果公告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三、质疑基本情况</w:t>
      </w:r>
    </w:p>
    <w:p>
      <w:pPr>
        <w:spacing w:line="360" w:lineRule="auto"/>
        <w:ind w:firstLine="480" w:firstLineChars="200"/>
        <w:rPr>
          <w:rFonts w:asciiTheme="minorEastAsia" w:hAnsiTheme="minorEastAsia" w:eastAsiaTheme="minorEastAsia"/>
          <w:sz w:val="24"/>
          <w:u w:val="dotted"/>
        </w:rPr>
      </w:pPr>
      <w:r>
        <w:rPr>
          <w:rFonts w:hint="eastAsia" w:asciiTheme="minorEastAsia" w:hAnsiTheme="minorEastAsia" w:eastAsiaTheme="minorEastAsia"/>
          <w:sz w:val="24"/>
        </w:rPr>
        <w:t>投诉人于</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年</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月</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日</w:t>
      </w:r>
      <w:r>
        <w:rPr>
          <w:rFonts w:asciiTheme="minorEastAsia" w:hAnsiTheme="minorEastAsia" w:eastAsiaTheme="minorEastAsia"/>
          <w:sz w:val="24"/>
        </w:rPr>
        <w:t>,向</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提出质疑，质疑事项为：</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dotted"/>
        </w:rPr>
      </w:pPr>
      <w:r>
        <w:rPr>
          <w:rFonts w:asciiTheme="minorEastAsia" w:hAnsiTheme="minorEastAsia" w:eastAsiaTheme="minorEastAsia"/>
          <w:sz w:val="24"/>
          <w:u w:val="dotted"/>
        </w:rPr>
        <w:t xml:space="preserve">                                                     </w:t>
      </w:r>
      <w:r>
        <w:rPr>
          <w:rFonts w:asciiTheme="minorEastAsia" w:hAnsiTheme="minorEastAsia" w:eastAsiaTheme="minorEastAsia"/>
          <w:sz w:val="24"/>
        </w:rPr>
        <w:t xml:space="preserve">  </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u w:val="dotted"/>
        </w:rPr>
        <w:t>采购人</w:t>
      </w:r>
      <w:r>
        <w:rPr>
          <w:rFonts w:asciiTheme="minorEastAsia" w:hAnsiTheme="minorEastAsia" w:eastAsiaTheme="minorEastAsia"/>
          <w:sz w:val="24"/>
          <w:u w:val="dotted"/>
        </w:rPr>
        <w:t>/代理机构</w:t>
      </w:r>
      <w:r>
        <w:rPr>
          <w:rFonts w:hint="eastAsia" w:asciiTheme="minorEastAsia" w:hAnsiTheme="minorEastAsia" w:eastAsiaTheme="minorEastAsia"/>
          <w:sz w:val="24"/>
        </w:rPr>
        <w:t>于</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年</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月</w:t>
      </w:r>
      <w:r>
        <w:rPr>
          <w:rFonts w:asciiTheme="minorEastAsia" w:hAnsiTheme="minorEastAsia" w:eastAsiaTheme="minorEastAsia"/>
          <w:sz w:val="24"/>
          <w:u w:val="dotted"/>
        </w:rPr>
        <w:t xml:space="preserve">   </w:t>
      </w:r>
      <w:r>
        <w:rPr>
          <w:rFonts w:hint="eastAsia" w:asciiTheme="minorEastAsia" w:hAnsiTheme="minorEastAsia" w:eastAsiaTheme="minorEastAsia"/>
          <w:sz w:val="24"/>
        </w:rPr>
        <w:t>日</w:t>
      </w:r>
      <w:r>
        <w:rPr>
          <w:rFonts w:asciiTheme="minorEastAsia" w:hAnsiTheme="minorEastAsia" w:eastAsiaTheme="minorEastAsia"/>
          <w:sz w:val="24"/>
        </w:rPr>
        <w:t>,就质疑事项</w:t>
      </w:r>
      <w:r>
        <w:rPr>
          <w:rFonts w:hint="eastAsia" w:asciiTheme="minorEastAsia" w:hAnsiTheme="minorEastAsia" w:eastAsiaTheme="minorEastAsia"/>
          <w:sz w:val="24"/>
        </w:rPr>
        <w:t>作出了答复</w:t>
      </w:r>
      <w:r>
        <w:rPr>
          <w:rFonts w:asciiTheme="minorEastAsia" w:hAnsiTheme="minorEastAsia" w:eastAsiaTheme="minorEastAsia"/>
          <w:sz w:val="24"/>
        </w:rPr>
        <w:t>/没有在法定期限内</w:t>
      </w:r>
      <w:r>
        <w:rPr>
          <w:rFonts w:hint="eastAsia" w:asciiTheme="minorEastAsia" w:hAnsiTheme="minorEastAsia" w:eastAsiaTheme="minorEastAsia"/>
          <w:sz w:val="24"/>
        </w:rPr>
        <w:t>作出答复。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四、投诉事项具体内容</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投诉事项</w:t>
      </w:r>
      <w:r>
        <w:rPr>
          <w:rFonts w:asciiTheme="minorEastAsia" w:hAnsiTheme="minorEastAsia" w:eastAsiaTheme="minorEastAsia"/>
          <w:sz w:val="24"/>
        </w:rPr>
        <w:t xml:space="preserve"> 1：</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事实依据：</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dotted"/>
        </w:rPr>
      </w:pP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法律依据：</w:t>
      </w: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u w:val="dotted"/>
        </w:rPr>
      </w:pPr>
      <w:r>
        <w:rPr>
          <w:rFonts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投诉事项</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五、与投诉事项相关的投诉请求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请求：</w:t>
      </w:r>
      <w:r>
        <w:rPr>
          <w:rFonts w:asciiTheme="minorEastAsia" w:hAnsiTheme="minorEastAsia" w:eastAsiaTheme="minorEastAsia"/>
          <w:sz w:val="24"/>
          <w:u w:val="dotted"/>
        </w:rPr>
        <w:t xml:space="preserve">                                              </w:t>
      </w: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u w:val="single"/>
        </w:rPr>
      </w:pP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r>
        <w:rPr>
          <w:rFonts w:asciiTheme="minorEastAsia" w:hAnsiTheme="minorEastAsia" w:eastAsiaTheme="minorEastAsia"/>
          <w:sz w:val="24"/>
        </w:rPr>
        <w:t xml:space="preserve">    </w:t>
      </w: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4：</w:t>
      </w: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spacing w:line="360" w:lineRule="auto"/>
        <w:rPr>
          <w:rFonts w:cs="仿宋_GB2312" w:asciiTheme="minorEastAsia" w:hAnsiTheme="minorEastAsia" w:eastAsiaTheme="minorEastAsia"/>
          <w:sz w:val="24"/>
          <w:u w:val="single"/>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杭州市西溪医院、杭州市公共资源交易中心（杭州市政府采购中心）：</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cs="仿宋_GB2312" w:asciiTheme="minorEastAsia" w:hAnsiTheme="minorEastAsia" w:eastAsiaTheme="minorEastAsia"/>
          <w:kern w:val="0"/>
          <w:sz w:val="24"/>
          <w:u w:val="single"/>
          <w:lang w:val="zh-CN"/>
        </w:rPr>
        <w:t xml:space="preserve">                         </w:t>
      </w:r>
      <w:r>
        <w:rPr>
          <w:rFonts w:cs="仿宋_GB2312" w:asciiTheme="minorEastAsia" w:hAnsiTheme="minorEastAsia" w:eastAsiaTheme="minorEastAsia"/>
          <w:sz w:val="24"/>
        </w:rPr>
        <w:t>(投标人全称)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你方组织的</w:t>
      </w:r>
      <w:r>
        <w:rPr>
          <w:rFonts w:hint="eastAsia" w:cs="仿宋_GB2312" w:asciiTheme="minorEastAsia" w:hAnsiTheme="minorEastAsia" w:eastAsiaTheme="minorEastAsia"/>
          <w:sz w:val="24"/>
          <w:u w:val="single"/>
        </w:rPr>
        <w:t>杭州市西溪医院保洁物业及室内绿化服务项目项目</w:t>
      </w:r>
      <w:r>
        <w:rPr>
          <w:rFonts w:hint="eastAsia" w:cs="仿宋_GB2312" w:asciiTheme="minorEastAsia" w:hAnsiTheme="minorEastAsia" w:eastAsiaTheme="minorEastAsia"/>
          <w:sz w:val="24"/>
        </w:rPr>
        <w:t>【招标编号：HZZFCG-2022-091（1）</w:t>
      </w:r>
      <w:r>
        <w:rPr>
          <w:rFonts w:cs="仿宋_GB2312" w:asciiTheme="minorEastAsia" w:hAnsiTheme="minorEastAsia" w:eastAsiaTheme="minorEastAsia"/>
          <w:sz w:val="24"/>
        </w:rPr>
        <w:t>】</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我方所使用的“</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专用章”的行为予以完全承认，并愿意承担相应责任。</w:t>
      </w:r>
      <w:r>
        <w:rPr>
          <w:rFonts w:cs="宋体" w:asciiTheme="minorEastAsia" w:hAnsiTheme="minorEastAsia" w:eastAsiaTheme="minorEastAsia"/>
          <w:sz w:val="24"/>
        </w:rPr>
        <w:t xml:space="preserve">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投标单位“</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0"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宋体" w:hAnsi="宋体" w:cs="宋体"/>
          <w:b/>
          <w:sz w:val="24"/>
        </w:rPr>
        <w:t>拟享受以上价格扣除政策的，填写有关内容。</w:t>
      </w:r>
      <w:bookmarkEnd w:id="400"/>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cs="仿宋_GB2312" w:asciiTheme="minorEastAsia" w:hAnsiTheme="minorEastAsia" w:eastAsiaTheme="minorEastAsia"/>
          <w:sz w:val="24"/>
        </w:rPr>
        <w:t>杭州市西溪医院保洁物业及室内绿化服务项目项目【招标编号：HZZFCG-2022-091（1）</w:t>
      </w:r>
      <w:r>
        <w:rPr>
          <w:rFonts w:cs="仿宋_GB2312" w:asciiTheme="minorEastAsia" w:hAnsiTheme="minorEastAsia" w:eastAsiaTheme="minorEastAsia"/>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ind w:left="664" w:leftChars="316" w:firstLine="199" w:firstLineChars="95"/>
        <w:rPr>
          <w:rFonts w:ascii="宋体" w:hAnsi="宋体" w:cs="宋体"/>
        </w:rPr>
      </w:pPr>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杭州市西溪医院 </w:t>
      </w:r>
      <w:r>
        <w:rPr>
          <w:rFonts w:hint="eastAsia" w:ascii="宋体" w:hAnsi="宋体" w:cs="宋体"/>
          <w:sz w:val="24"/>
        </w:rPr>
        <w:t>的</w:t>
      </w:r>
      <w:r>
        <w:rPr>
          <w:rFonts w:hint="eastAsia" w:ascii="宋体" w:hAnsi="宋体" w:cs="宋体"/>
          <w:sz w:val="24"/>
          <w:u w:val="single"/>
        </w:rPr>
        <w:t xml:space="preserve"> </w:t>
      </w:r>
      <w:r>
        <w:rPr>
          <w:rFonts w:hint="eastAsia" w:cs="仿宋_GB2312" w:asciiTheme="minorEastAsia" w:hAnsiTheme="minorEastAsia" w:eastAsiaTheme="minorEastAsia"/>
          <w:sz w:val="24"/>
          <w:u w:val="single"/>
        </w:rPr>
        <w:t>杭州市西溪医院保洁物业及室内绿化服务项目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w:t>
      </w:r>
      <w:r>
        <w:rPr>
          <w:rFonts w:hint="eastAsia" w:cs="仿宋_GB2312" w:asciiTheme="minorEastAsia" w:hAnsiTheme="minorEastAsia" w:eastAsiaTheme="minorEastAsia"/>
          <w:sz w:val="24"/>
          <w:u w:val="single"/>
        </w:rPr>
        <w:t>保洁物业及室内绿化服务项目</w:t>
      </w:r>
      <w:r>
        <w:rPr>
          <w:rFonts w:hint="eastAsia" w:ascii="宋体" w:hAnsi="宋体" w:cs="宋体"/>
          <w:sz w:val="24"/>
          <w:u w:val="single"/>
        </w:rPr>
        <w:t>）</w:t>
      </w:r>
      <w:r>
        <w:rPr>
          <w:rFonts w:hint="eastAsia" w:ascii="宋体" w:hAnsi="宋体" w:cs="宋体"/>
          <w:sz w:val="24"/>
        </w:rPr>
        <w:t xml:space="preserve">，属于 </w:t>
      </w:r>
      <w:r>
        <w:rPr>
          <w:rFonts w:hint="eastAsia" w:asciiTheme="minorEastAsia" w:hAnsiTheme="minorEastAsia" w:eastAsiaTheme="minorEastAsia"/>
          <w:sz w:val="24"/>
          <w:u w:val="single"/>
        </w:rPr>
        <w:t>物业管理行业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firstLine="720" w:firstLineChars="300"/>
        <w:rPr>
          <w:rFonts w:cs="仿宋_GB2312" w:asciiTheme="minorEastAsia" w:hAnsiTheme="minorEastAsia" w:eastAsiaTheme="minorEastAsia"/>
          <w:sz w:val="24"/>
        </w:rPr>
      </w:pPr>
    </w:p>
    <w:p>
      <w:pPr>
        <w:pStyle w:val="2"/>
        <w:rPr>
          <w:rFonts w:asciiTheme="minorEastAsia" w:hAnsiTheme="minorEastAsia" w:eastAsiaTheme="minorEastAsia"/>
          <w:lang w:val="en-US"/>
        </w:rPr>
      </w:pPr>
    </w:p>
    <w:p>
      <w:pPr>
        <w:spacing w:line="360" w:lineRule="auto"/>
        <w:ind w:right="420"/>
        <w:rPr>
          <w:rFonts w:asciiTheme="minorEastAsia" w:hAnsiTheme="minorEastAsia" w:eastAsiaTheme="minorEastAsia"/>
        </w:rPr>
      </w:pPr>
    </w:p>
    <w:p>
      <w:pPr>
        <w:spacing w:line="360" w:lineRule="auto"/>
        <w:rPr>
          <w:rFonts w:asciiTheme="minorEastAsia" w:hAnsiTheme="minorEastAsia" w:eastAsiaTheme="minorEastAsia"/>
          <w:bCs/>
          <w:sz w:val="24"/>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Arial Unicode MS"/>
    <w:panose1 w:val="00000000000000000000"/>
    <w:charset w:val="00"/>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2000019F" w:csb1="4F01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112</w:t>
    </w:r>
    <w:r>
      <w:rPr>
        <w:rFonts w:hint="eastAsia" w:ascii="仿宋_GB2312" w:eastAsia="仿宋_GB2312"/>
        <w:kern w:val="0"/>
        <w:szCs w:val="21"/>
      </w:rPr>
      <w:fldChar w:fldCharType="end"/>
    </w:r>
    <w:bookmarkStart w:id="402" w:name="_Toc91899912"/>
    <w:bookmarkStart w:id="403" w:name="_Toc131845147"/>
    <w:bookmarkStart w:id="404" w:name="_Toc36110187"/>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43EF4"/>
    <w:multiLevelType w:val="multilevel"/>
    <w:tmpl w:val="16B43EF4"/>
    <w:lvl w:ilvl="0" w:tentative="0">
      <w:start w:val="3"/>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wZGQ5MDUyMWMyN2Y4N2YyY2Y4ZjFiNmVlOTUyZj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8CB"/>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2E"/>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409"/>
    <w:rsid w:val="00046AC2"/>
    <w:rsid w:val="00047354"/>
    <w:rsid w:val="00050656"/>
    <w:rsid w:val="00050A19"/>
    <w:rsid w:val="000511B6"/>
    <w:rsid w:val="00051B00"/>
    <w:rsid w:val="00051C72"/>
    <w:rsid w:val="00052192"/>
    <w:rsid w:val="0005238F"/>
    <w:rsid w:val="00052787"/>
    <w:rsid w:val="00052BB8"/>
    <w:rsid w:val="00053049"/>
    <w:rsid w:val="0005417A"/>
    <w:rsid w:val="0005443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FC5"/>
    <w:rsid w:val="00061A3C"/>
    <w:rsid w:val="00061C48"/>
    <w:rsid w:val="00064278"/>
    <w:rsid w:val="000646CA"/>
    <w:rsid w:val="00064D87"/>
    <w:rsid w:val="00065496"/>
    <w:rsid w:val="000665C4"/>
    <w:rsid w:val="00067821"/>
    <w:rsid w:val="0006785E"/>
    <w:rsid w:val="00067F92"/>
    <w:rsid w:val="00067FA7"/>
    <w:rsid w:val="0007038E"/>
    <w:rsid w:val="0007077C"/>
    <w:rsid w:val="00070825"/>
    <w:rsid w:val="00070A62"/>
    <w:rsid w:val="00071CD8"/>
    <w:rsid w:val="00071DB2"/>
    <w:rsid w:val="00072AED"/>
    <w:rsid w:val="00072B56"/>
    <w:rsid w:val="00072D2B"/>
    <w:rsid w:val="00072D51"/>
    <w:rsid w:val="000730B1"/>
    <w:rsid w:val="00073860"/>
    <w:rsid w:val="000738EA"/>
    <w:rsid w:val="00074078"/>
    <w:rsid w:val="00074C11"/>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A99"/>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0EFB"/>
    <w:rsid w:val="000B268D"/>
    <w:rsid w:val="000B291B"/>
    <w:rsid w:val="000B456C"/>
    <w:rsid w:val="000B45B9"/>
    <w:rsid w:val="000B47CE"/>
    <w:rsid w:val="000B4B56"/>
    <w:rsid w:val="000B4C62"/>
    <w:rsid w:val="000B50B8"/>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047"/>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4F"/>
    <w:rsid w:val="0012419E"/>
    <w:rsid w:val="001248EF"/>
    <w:rsid w:val="00124AC0"/>
    <w:rsid w:val="00124FC4"/>
    <w:rsid w:val="001253AB"/>
    <w:rsid w:val="0012574C"/>
    <w:rsid w:val="001259B8"/>
    <w:rsid w:val="001264B9"/>
    <w:rsid w:val="0012693E"/>
    <w:rsid w:val="00126A3A"/>
    <w:rsid w:val="00127060"/>
    <w:rsid w:val="00127B83"/>
    <w:rsid w:val="0013095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C5"/>
    <w:rsid w:val="00153859"/>
    <w:rsid w:val="00153915"/>
    <w:rsid w:val="001539F0"/>
    <w:rsid w:val="00154BBA"/>
    <w:rsid w:val="00154E73"/>
    <w:rsid w:val="00155B95"/>
    <w:rsid w:val="00156853"/>
    <w:rsid w:val="00157432"/>
    <w:rsid w:val="0015765E"/>
    <w:rsid w:val="001577EF"/>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C72"/>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6FD"/>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35A"/>
    <w:rsid w:val="002A74CE"/>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203C"/>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D41"/>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1F3"/>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4A2"/>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1B7"/>
    <w:rsid w:val="00366779"/>
    <w:rsid w:val="003668E5"/>
    <w:rsid w:val="003669C8"/>
    <w:rsid w:val="00366A50"/>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589"/>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2FB"/>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CA3"/>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8FD"/>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1A88"/>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4ED"/>
    <w:rsid w:val="00463576"/>
    <w:rsid w:val="004636D6"/>
    <w:rsid w:val="0046399D"/>
    <w:rsid w:val="00463EA4"/>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DAD"/>
    <w:rsid w:val="004A2EF8"/>
    <w:rsid w:val="004A3A21"/>
    <w:rsid w:val="004A3E16"/>
    <w:rsid w:val="004A407A"/>
    <w:rsid w:val="004A4E3B"/>
    <w:rsid w:val="004A6110"/>
    <w:rsid w:val="004A61B8"/>
    <w:rsid w:val="004A6415"/>
    <w:rsid w:val="004A64F9"/>
    <w:rsid w:val="004A65F4"/>
    <w:rsid w:val="004A6D2C"/>
    <w:rsid w:val="004A7941"/>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FB"/>
    <w:rsid w:val="0050106A"/>
    <w:rsid w:val="005010BC"/>
    <w:rsid w:val="00501848"/>
    <w:rsid w:val="00502B31"/>
    <w:rsid w:val="0050434C"/>
    <w:rsid w:val="0050537D"/>
    <w:rsid w:val="0050591C"/>
    <w:rsid w:val="005059BD"/>
    <w:rsid w:val="005060AE"/>
    <w:rsid w:val="0050790B"/>
    <w:rsid w:val="005079E7"/>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14"/>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9F"/>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7B"/>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054"/>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5C4"/>
    <w:rsid w:val="0063487C"/>
    <w:rsid w:val="00635B73"/>
    <w:rsid w:val="00635BB7"/>
    <w:rsid w:val="00636CC7"/>
    <w:rsid w:val="00637F27"/>
    <w:rsid w:val="006405EC"/>
    <w:rsid w:val="00640778"/>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294"/>
    <w:rsid w:val="00683068"/>
    <w:rsid w:val="00683DAD"/>
    <w:rsid w:val="00684592"/>
    <w:rsid w:val="00684963"/>
    <w:rsid w:val="00685033"/>
    <w:rsid w:val="0068517F"/>
    <w:rsid w:val="00685D65"/>
    <w:rsid w:val="00685FC8"/>
    <w:rsid w:val="00686835"/>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B2"/>
    <w:rsid w:val="006D258B"/>
    <w:rsid w:val="006D2E3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148"/>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95B"/>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2A0"/>
    <w:rsid w:val="007E347E"/>
    <w:rsid w:val="007E41A4"/>
    <w:rsid w:val="007E43E3"/>
    <w:rsid w:val="007E4CA5"/>
    <w:rsid w:val="007E54B8"/>
    <w:rsid w:val="007E5D12"/>
    <w:rsid w:val="007E6420"/>
    <w:rsid w:val="007E677F"/>
    <w:rsid w:val="007E6B25"/>
    <w:rsid w:val="007E6C46"/>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1E5A"/>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8B8"/>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1FA0"/>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E75"/>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4AF"/>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A6C"/>
    <w:rsid w:val="00901F0E"/>
    <w:rsid w:val="00902A26"/>
    <w:rsid w:val="00902A57"/>
    <w:rsid w:val="00902B29"/>
    <w:rsid w:val="00902FEF"/>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980"/>
    <w:rsid w:val="009307CA"/>
    <w:rsid w:val="009312F9"/>
    <w:rsid w:val="00931445"/>
    <w:rsid w:val="00931AB8"/>
    <w:rsid w:val="00931B95"/>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9AF"/>
    <w:rsid w:val="00950B24"/>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73"/>
    <w:rsid w:val="009B2DCF"/>
    <w:rsid w:val="009B39D8"/>
    <w:rsid w:val="009B3D38"/>
    <w:rsid w:val="009B41D5"/>
    <w:rsid w:val="009B4368"/>
    <w:rsid w:val="009B4D4C"/>
    <w:rsid w:val="009B66F5"/>
    <w:rsid w:val="009B7505"/>
    <w:rsid w:val="009C0020"/>
    <w:rsid w:val="009C03F7"/>
    <w:rsid w:val="009C10DA"/>
    <w:rsid w:val="009C19FC"/>
    <w:rsid w:val="009C1A1E"/>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05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A8"/>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E9"/>
    <w:rsid w:val="00A0700C"/>
    <w:rsid w:val="00A102F8"/>
    <w:rsid w:val="00A10A20"/>
    <w:rsid w:val="00A117D5"/>
    <w:rsid w:val="00A11C11"/>
    <w:rsid w:val="00A1240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ACC"/>
    <w:rsid w:val="00A47CDE"/>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437"/>
    <w:rsid w:val="00A77828"/>
    <w:rsid w:val="00A77BAA"/>
    <w:rsid w:val="00A800F9"/>
    <w:rsid w:val="00A803A6"/>
    <w:rsid w:val="00A8073D"/>
    <w:rsid w:val="00A80D02"/>
    <w:rsid w:val="00A815FB"/>
    <w:rsid w:val="00A81AEB"/>
    <w:rsid w:val="00A82D32"/>
    <w:rsid w:val="00A82EAE"/>
    <w:rsid w:val="00A82FC7"/>
    <w:rsid w:val="00A83AD0"/>
    <w:rsid w:val="00A847F9"/>
    <w:rsid w:val="00A84F27"/>
    <w:rsid w:val="00A8519C"/>
    <w:rsid w:val="00A855EE"/>
    <w:rsid w:val="00A8597A"/>
    <w:rsid w:val="00A85B87"/>
    <w:rsid w:val="00A85F83"/>
    <w:rsid w:val="00A86019"/>
    <w:rsid w:val="00A86793"/>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89E"/>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937"/>
    <w:rsid w:val="00AF4CEE"/>
    <w:rsid w:val="00AF4F4A"/>
    <w:rsid w:val="00AF584C"/>
    <w:rsid w:val="00AF58E4"/>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CA3"/>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D2"/>
    <w:rsid w:val="00B51520"/>
    <w:rsid w:val="00B515C3"/>
    <w:rsid w:val="00B51790"/>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075"/>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4D74"/>
    <w:rsid w:val="00BE7F4D"/>
    <w:rsid w:val="00BF03C0"/>
    <w:rsid w:val="00BF0EBF"/>
    <w:rsid w:val="00BF1534"/>
    <w:rsid w:val="00BF2021"/>
    <w:rsid w:val="00BF21D4"/>
    <w:rsid w:val="00BF2DDC"/>
    <w:rsid w:val="00BF32DE"/>
    <w:rsid w:val="00BF33DF"/>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270E"/>
    <w:rsid w:val="00C0378E"/>
    <w:rsid w:val="00C04314"/>
    <w:rsid w:val="00C04BD0"/>
    <w:rsid w:val="00C05730"/>
    <w:rsid w:val="00C05AF4"/>
    <w:rsid w:val="00C05AFD"/>
    <w:rsid w:val="00C0641A"/>
    <w:rsid w:val="00C0661C"/>
    <w:rsid w:val="00C0675F"/>
    <w:rsid w:val="00C0702A"/>
    <w:rsid w:val="00C0724C"/>
    <w:rsid w:val="00C07C11"/>
    <w:rsid w:val="00C07E10"/>
    <w:rsid w:val="00C10015"/>
    <w:rsid w:val="00C1110A"/>
    <w:rsid w:val="00C11689"/>
    <w:rsid w:val="00C11A94"/>
    <w:rsid w:val="00C12414"/>
    <w:rsid w:val="00C12ECB"/>
    <w:rsid w:val="00C148B2"/>
    <w:rsid w:val="00C14ABD"/>
    <w:rsid w:val="00C151E0"/>
    <w:rsid w:val="00C155A8"/>
    <w:rsid w:val="00C159FD"/>
    <w:rsid w:val="00C15B31"/>
    <w:rsid w:val="00C15F66"/>
    <w:rsid w:val="00C1604F"/>
    <w:rsid w:val="00C166D4"/>
    <w:rsid w:val="00C168E5"/>
    <w:rsid w:val="00C1696D"/>
    <w:rsid w:val="00C16BC8"/>
    <w:rsid w:val="00C16C90"/>
    <w:rsid w:val="00C17AB5"/>
    <w:rsid w:val="00C20051"/>
    <w:rsid w:val="00C20B6C"/>
    <w:rsid w:val="00C20B86"/>
    <w:rsid w:val="00C21145"/>
    <w:rsid w:val="00C215ED"/>
    <w:rsid w:val="00C22350"/>
    <w:rsid w:val="00C2302B"/>
    <w:rsid w:val="00C23615"/>
    <w:rsid w:val="00C2397E"/>
    <w:rsid w:val="00C23A83"/>
    <w:rsid w:val="00C24349"/>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594"/>
    <w:rsid w:val="00C332D4"/>
    <w:rsid w:val="00C33A66"/>
    <w:rsid w:val="00C33E51"/>
    <w:rsid w:val="00C34C45"/>
    <w:rsid w:val="00C34C47"/>
    <w:rsid w:val="00C34FCE"/>
    <w:rsid w:val="00C35411"/>
    <w:rsid w:val="00C35AD8"/>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34B"/>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68E"/>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6C93"/>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8F1"/>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11"/>
    <w:rsid w:val="00CC56B4"/>
    <w:rsid w:val="00CC5F95"/>
    <w:rsid w:val="00CC642A"/>
    <w:rsid w:val="00CC6AC7"/>
    <w:rsid w:val="00CC733D"/>
    <w:rsid w:val="00CC7617"/>
    <w:rsid w:val="00CC7E0D"/>
    <w:rsid w:val="00CC7E97"/>
    <w:rsid w:val="00CD00EB"/>
    <w:rsid w:val="00CD0D7F"/>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56F"/>
    <w:rsid w:val="00CE0697"/>
    <w:rsid w:val="00CE14CB"/>
    <w:rsid w:val="00CE2E2E"/>
    <w:rsid w:val="00CE3A51"/>
    <w:rsid w:val="00CE41F9"/>
    <w:rsid w:val="00CE4BB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5D"/>
    <w:rsid w:val="00D12DA1"/>
    <w:rsid w:val="00D130C0"/>
    <w:rsid w:val="00D1343A"/>
    <w:rsid w:val="00D13D50"/>
    <w:rsid w:val="00D14101"/>
    <w:rsid w:val="00D144D8"/>
    <w:rsid w:val="00D14919"/>
    <w:rsid w:val="00D14B29"/>
    <w:rsid w:val="00D14E25"/>
    <w:rsid w:val="00D15406"/>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0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BC3"/>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7E2"/>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784"/>
    <w:rsid w:val="00E36B32"/>
    <w:rsid w:val="00E37A6F"/>
    <w:rsid w:val="00E37A9C"/>
    <w:rsid w:val="00E40222"/>
    <w:rsid w:val="00E40406"/>
    <w:rsid w:val="00E4082B"/>
    <w:rsid w:val="00E40835"/>
    <w:rsid w:val="00E408EC"/>
    <w:rsid w:val="00E409B5"/>
    <w:rsid w:val="00E40BCB"/>
    <w:rsid w:val="00E41F03"/>
    <w:rsid w:val="00E4208F"/>
    <w:rsid w:val="00E42E94"/>
    <w:rsid w:val="00E43006"/>
    <w:rsid w:val="00E4312A"/>
    <w:rsid w:val="00E4331B"/>
    <w:rsid w:val="00E43551"/>
    <w:rsid w:val="00E437FA"/>
    <w:rsid w:val="00E452C5"/>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26D"/>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3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4E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0B2"/>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2A"/>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113"/>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A1A22"/>
    <w:rsid w:val="01527EDF"/>
    <w:rsid w:val="015B6D94"/>
    <w:rsid w:val="015D0233"/>
    <w:rsid w:val="018509BB"/>
    <w:rsid w:val="019F7441"/>
    <w:rsid w:val="01B37585"/>
    <w:rsid w:val="01D55165"/>
    <w:rsid w:val="01DF6BF8"/>
    <w:rsid w:val="01EC2C57"/>
    <w:rsid w:val="01FD1AC6"/>
    <w:rsid w:val="01FF0067"/>
    <w:rsid w:val="02104022"/>
    <w:rsid w:val="02522DF9"/>
    <w:rsid w:val="026B2E25"/>
    <w:rsid w:val="02824D4D"/>
    <w:rsid w:val="028D0871"/>
    <w:rsid w:val="02A62291"/>
    <w:rsid w:val="02CB1CF7"/>
    <w:rsid w:val="02DC4B10"/>
    <w:rsid w:val="02DD76CE"/>
    <w:rsid w:val="02F0273C"/>
    <w:rsid w:val="02F36323"/>
    <w:rsid w:val="02F5619C"/>
    <w:rsid w:val="030A0A72"/>
    <w:rsid w:val="0326446A"/>
    <w:rsid w:val="032D5555"/>
    <w:rsid w:val="03373831"/>
    <w:rsid w:val="033F7C3E"/>
    <w:rsid w:val="03407E73"/>
    <w:rsid w:val="0348159A"/>
    <w:rsid w:val="034877EC"/>
    <w:rsid w:val="03575C81"/>
    <w:rsid w:val="036068E4"/>
    <w:rsid w:val="03607C76"/>
    <w:rsid w:val="036634D2"/>
    <w:rsid w:val="03675FA0"/>
    <w:rsid w:val="039B5B6E"/>
    <w:rsid w:val="03B67DFC"/>
    <w:rsid w:val="03C84489"/>
    <w:rsid w:val="03DD35E4"/>
    <w:rsid w:val="03FD05D6"/>
    <w:rsid w:val="04076900"/>
    <w:rsid w:val="040A684F"/>
    <w:rsid w:val="041A5A3B"/>
    <w:rsid w:val="042311BA"/>
    <w:rsid w:val="042B157A"/>
    <w:rsid w:val="042E69E2"/>
    <w:rsid w:val="04351B1E"/>
    <w:rsid w:val="04470456"/>
    <w:rsid w:val="046643CE"/>
    <w:rsid w:val="047863B0"/>
    <w:rsid w:val="04891E6A"/>
    <w:rsid w:val="048F763B"/>
    <w:rsid w:val="04974587"/>
    <w:rsid w:val="049F330E"/>
    <w:rsid w:val="04AA775C"/>
    <w:rsid w:val="04AF1889"/>
    <w:rsid w:val="04F155F7"/>
    <w:rsid w:val="04F66F48"/>
    <w:rsid w:val="051F5F6E"/>
    <w:rsid w:val="05251E14"/>
    <w:rsid w:val="054D10EA"/>
    <w:rsid w:val="0551675E"/>
    <w:rsid w:val="05810D93"/>
    <w:rsid w:val="058F3F74"/>
    <w:rsid w:val="05926AFC"/>
    <w:rsid w:val="05A16594"/>
    <w:rsid w:val="05A30D0A"/>
    <w:rsid w:val="05A7762D"/>
    <w:rsid w:val="05B72A07"/>
    <w:rsid w:val="05C173E2"/>
    <w:rsid w:val="05C2565F"/>
    <w:rsid w:val="05E732EC"/>
    <w:rsid w:val="060E5941"/>
    <w:rsid w:val="06110FAF"/>
    <w:rsid w:val="06117B14"/>
    <w:rsid w:val="062E0F1B"/>
    <w:rsid w:val="06493CA7"/>
    <w:rsid w:val="06570D1B"/>
    <w:rsid w:val="065A6178"/>
    <w:rsid w:val="065F7A0C"/>
    <w:rsid w:val="066F1CF3"/>
    <w:rsid w:val="068C5C42"/>
    <w:rsid w:val="06930BB8"/>
    <w:rsid w:val="06935222"/>
    <w:rsid w:val="06B036DE"/>
    <w:rsid w:val="06C47189"/>
    <w:rsid w:val="06C7375F"/>
    <w:rsid w:val="06E415DA"/>
    <w:rsid w:val="07245D42"/>
    <w:rsid w:val="07264C62"/>
    <w:rsid w:val="07735628"/>
    <w:rsid w:val="0779354C"/>
    <w:rsid w:val="077B0190"/>
    <w:rsid w:val="079254DA"/>
    <w:rsid w:val="0794129F"/>
    <w:rsid w:val="07DB7A18"/>
    <w:rsid w:val="08061376"/>
    <w:rsid w:val="08144B81"/>
    <w:rsid w:val="081542F5"/>
    <w:rsid w:val="08177805"/>
    <w:rsid w:val="082731AE"/>
    <w:rsid w:val="0828199A"/>
    <w:rsid w:val="082B0C46"/>
    <w:rsid w:val="08452D77"/>
    <w:rsid w:val="086401F8"/>
    <w:rsid w:val="087370B9"/>
    <w:rsid w:val="08751CAA"/>
    <w:rsid w:val="08760957"/>
    <w:rsid w:val="087E4C40"/>
    <w:rsid w:val="08CA35E8"/>
    <w:rsid w:val="08D66AD6"/>
    <w:rsid w:val="08DA33A3"/>
    <w:rsid w:val="08E80F13"/>
    <w:rsid w:val="091837BC"/>
    <w:rsid w:val="09335624"/>
    <w:rsid w:val="0944690F"/>
    <w:rsid w:val="09535675"/>
    <w:rsid w:val="095C18FB"/>
    <w:rsid w:val="095F057D"/>
    <w:rsid w:val="09642282"/>
    <w:rsid w:val="09664528"/>
    <w:rsid w:val="09733572"/>
    <w:rsid w:val="09772C16"/>
    <w:rsid w:val="098353B5"/>
    <w:rsid w:val="09A92330"/>
    <w:rsid w:val="09AC0E84"/>
    <w:rsid w:val="09B06B87"/>
    <w:rsid w:val="09BE6112"/>
    <w:rsid w:val="09C13146"/>
    <w:rsid w:val="09CA7E4F"/>
    <w:rsid w:val="09DE17AE"/>
    <w:rsid w:val="09E04166"/>
    <w:rsid w:val="0A0F4BBF"/>
    <w:rsid w:val="0A1C0718"/>
    <w:rsid w:val="0A3E7710"/>
    <w:rsid w:val="0A570314"/>
    <w:rsid w:val="0A5B7E63"/>
    <w:rsid w:val="0A8C5B98"/>
    <w:rsid w:val="0A9C2DF2"/>
    <w:rsid w:val="0AA374A5"/>
    <w:rsid w:val="0AAB7649"/>
    <w:rsid w:val="0ABC5606"/>
    <w:rsid w:val="0AE0655C"/>
    <w:rsid w:val="0AEB3E5D"/>
    <w:rsid w:val="0AEB73DB"/>
    <w:rsid w:val="0B30404E"/>
    <w:rsid w:val="0B467B2B"/>
    <w:rsid w:val="0B4C6C14"/>
    <w:rsid w:val="0B5A4560"/>
    <w:rsid w:val="0B5C5BE2"/>
    <w:rsid w:val="0B5F56D3"/>
    <w:rsid w:val="0B612A17"/>
    <w:rsid w:val="0B631A88"/>
    <w:rsid w:val="0B683D45"/>
    <w:rsid w:val="0B6B40B0"/>
    <w:rsid w:val="0B7F3F11"/>
    <w:rsid w:val="0B884417"/>
    <w:rsid w:val="0BC17639"/>
    <w:rsid w:val="0BCB2E1F"/>
    <w:rsid w:val="0BD240F7"/>
    <w:rsid w:val="0BD73A5B"/>
    <w:rsid w:val="0BD7795F"/>
    <w:rsid w:val="0BF6188C"/>
    <w:rsid w:val="0BF70001"/>
    <w:rsid w:val="0BF73C91"/>
    <w:rsid w:val="0C104C1F"/>
    <w:rsid w:val="0C170175"/>
    <w:rsid w:val="0C1D44F5"/>
    <w:rsid w:val="0C1F4E62"/>
    <w:rsid w:val="0C28640C"/>
    <w:rsid w:val="0C39706C"/>
    <w:rsid w:val="0C571A41"/>
    <w:rsid w:val="0C5C1171"/>
    <w:rsid w:val="0C5E1CBC"/>
    <w:rsid w:val="0C615B50"/>
    <w:rsid w:val="0C6A07D3"/>
    <w:rsid w:val="0C8445DA"/>
    <w:rsid w:val="0C87121B"/>
    <w:rsid w:val="0C8F1FE8"/>
    <w:rsid w:val="0C9E5B83"/>
    <w:rsid w:val="0CC007F7"/>
    <w:rsid w:val="0CE877EB"/>
    <w:rsid w:val="0CFE707A"/>
    <w:rsid w:val="0D00272D"/>
    <w:rsid w:val="0D063BDA"/>
    <w:rsid w:val="0D08375F"/>
    <w:rsid w:val="0D184CFB"/>
    <w:rsid w:val="0D2A1D10"/>
    <w:rsid w:val="0D4A7419"/>
    <w:rsid w:val="0D523741"/>
    <w:rsid w:val="0D827401"/>
    <w:rsid w:val="0D84094E"/>
    <w:rsid w:val="0D8A00E9"/>
    <w:rsid w:val="0D8D589E"/>
    <w:rsid w:val="0D942D77"/>
    <w:rsid w:val="0DA01C73"/>
    <w:rsid w:val="0DD63300"/>
    <w:rsid w:val="0DF50604"/>
    <w:rsid w:val="0DF702FE"/>
    <w:rsid w:val="0E060E51"/>
    <w:rsid w:val="0E142562"/>
    <w:rsid w:val="0E295CF4"/>
    <w:rsid w:val="0E4B0190"/>
    <w:rsid w:val="0E5604B2"/>
    <w:rsid w:val="0E6D5D79"/>
    <w:rsid w:val="0E702DA4"/>
    <w:rsid w:val="0E9D0089"/>
    <w:rsid w:val="0EA0672E"/>
    <w:rsid w:val="0EB803EE"/>
    <w:rsid w:val="0ED63EFE"/>
    <w:rsid w:val="0EE06B2A"/>
    <w:rsid w:val="0EF94D4B"/>
    <w:rsid w:val="0EFE3455"/>
    <w:rsid w:val="0F186938"/>
    <w:rsid w:val="0F444748"/>
    <w:rsid w:val="0F4958DC"/>
    <w:rsid w:val="0F4D6EB9"/>
    <w:rsid w:val="0F515DF7"/>
    <w:rsid w:val="0F596BA8"/>
    <w:rsid w:val="0F6248D2"/>
    <w:rsid w:val="0F693536"/>
    <w:rsid w:val="0F7761AA"/>
    <w:rsid w:val="0F7A0D2D"/>
    <w:rsid w:val="0F7B0511"/>
    <w:rsid w:val="0F7B76D9"/>
    <w:rsid w:val="0F816ACD"/>
    <w:rsid w:val="0F9832DB"/>
    <w:rsid w:val="0F9F0794"/>
    <w:rsid w:val="0FA22032"/>
    <w:rsid w:val="0FB83603"/>
    <w:rsid w:val="0FBF3FD2"/>
    <w:rsid w:val="0FBF7FF3"/>
    <w:rsid w:val="0FC17B0F"/>
    <w:rsid w:val="0FD14C8E"/>
    <w:rsid w:val="0FEE5277"/>
    <w:rsid w:val="0FFF4AF6"/>
    <w:rsid w:val="10183048"/>
    <w:rsid w:val="103435D2"/>
    <w:rsid w:val="10597D75"/>
    <w:rsid w:val="10646583"/>
    <w:rsid w:val="107B248F"/>
    <w:rsid w:val="107D4B15"/>
    <w:rsid w:val="108A3C80"/>
    <w:rsid w:val="108B4148"/>
    <w:rsid w:val="10964EAA"/>
    <w:rsid w:val="10A818CA"/>
    <w:rsid w:val="10C26171"/>
    <w:rsid w:val="10F33360"/>
    <w:rsid w:val="10FC16EA"/>
    <w:rsid w:val="1107300B"/>
    <w:rsid w:val="110D797F"/>
    <w:rsid w:val="110F1D40"/>
    <w:rsid w:val="11266F33"/>
    <w:rsid w:val="11494E5B"/>
    <w:rsid w:val="114C2CF5"/>
    <w:rsid w:val="118963A1"/>
    <w:rsid w:val="11916802"/>
    <w:rsid w:val="11934328"/>
    <w:rsid w:val="11A46535"/>
    <w:rsid w:val="11C6522A"/>
    <w:rsid w:val="11CE35B2"/>
    <w:rsid w:val="11CF59B3"/>
    <w:rsid w:val="11D100DA"/>
    <w:rsid w:val="11D267D2"/>
    <w:rsid w:val="11E104CC"/>
    <w:rsid w:val="11E20309"/>
    <w:rsid w:val="12255233"/>
    <w:rsid w:val="122A315C"/>
    <w:rsid w:val="1235718D"/>
    <w:rsid w:val="123A47A4"/>
    <w:rsid w:val="12530213"/>
    <w:rsid w:val="127723A9"/>
    <w:rsid w:val="12862074"/>
    <w:rsid w:val="12883966"/>
    <w:rsid w:val="128D6FC9"/>
    <w:rsid w:val="129E45B4"/>
    <w:rsid w:val="12A62947"/>
    <w:rsid w:val="12D81596"/>
    <w:rsid w:val="13026B1F"/>
    <w:rsid w:val="13072A44"/>
    <w:rsid w:val="130E4461"/>
    <w:rsid w:val="13171988"/>
    <w:rsid w:val="13223BB5"/>
    <w:rsid w:val="132D4308"/>
    <w:rsid w:val="135D31DC"/>
    <w:rsid w:val="135F4BE2"/>
    <w:rsid w:val="1371441B"/>
    <w:rsid w:val="139B1A0A"/>
    <w:rsid w:val="139D25C7"/>
    <w:rsid w:val="13A9398F"/>
    <w:rsid w:val="13B54A2A"/>
    <w:rsid w:val="13BF3CE4"/>
    <w:rsid w:val="14092680"/>
    <w:rsid w:val="141008D8"/>
    <w:rsid w:val="14125FE6"/>
    <w:rsid w:val="146D271E"/>
    <w:rsid w:val="14982588"/>
    <w:rsid w:val="149A5AD9"/>
    <w:rsid w:val="14A01236"/>
    <w:rsid w:val="14A7619D"/>
    <w:rsid w:val="14D951BD"/>
    <w:rsid w:val="14E153AA"/>
    <w:rsid w:val="14E530ED"/>
    <w:rsid w:val="150536C3"/>
    <w:rsid w:val="150C1963"/>
    <w:rsid w:val="15113EE2"/>
    <w:rsid w:val="151447A0"/>
    <w:rsid w:val="151670C0"/>
    <w:rsid w:val="15205ED3"/>
    <w:rsid w:val="152B29A8"/>
    <w:rsid w:val="152D6842"/>
    <w:rsid w:val="154A6454"/>
    <w:rsid w:val="15762120"/>
    <w:rsid w:val="1587456B"/>
    <w:rsid w:val="159D5775"/>
    <w:rsid w:val="15C34AB0"/>
    <w:rsid w:val="15D867AD"/>
    <w:rsid w:val="16007AB2"/>
    <w:rsid w:val="16134AC4"/>
    <w:rsid w:val="16385A75"/>
    <w:rsid w:val="1653052A"/>
    <w:rsid w:val="167069E6"/>
    <w:rsid w:val="16A8729C"/>
    <w:rsid w:val="16B33777"/>
    <w:rsid w:val="16B72867"/>
    <w:rsid w:val="16BC70A7"/>
    <w:rsid w:val="16C6339E"/>
    <w:rsid w:val="16DC407B"/>
    <w:rsid w:val="16E92044"/>
    <w:rsid w:val="16FE0496"/>
    <w:rsid w:val="170535D2"/>
    <w:rsid w:val="1707535A"/>
    <w:rsid w:val="170B516B"/>
    <w:rsid w:val="172F2D79"/>
    <w:rsid w:val="17414926"/>
    <w:rsid w:val="17457E73"/>
    <w:rsid w:val="17514A69"/>
    <w:rsid w:val="17557BEF"/>
    <w:rsid w:val="17575FDC"/>
    <w:rsid w:val="1763654B"/>
    <w:rsid w:val="17D023BA"/>
    <w:rsid w:val="17D349C1"/>
    <w:rsid w:val="180E6D77"/>
    <w:rsid w:val="1830729E"/>
    <w:rsid w:val="18585984"/>
    <w:rsid w:val="1870062C"/>
    <w:rsid w:val="18817102"/>
    <w:rsid w:val="18830A15"/>
    <w:rsid w:val="18852B28"/>
    <w:rsid w:val="188B5321"/>
    <w:rsid w:val="188B7B07"/>
    <w:rsid w:val="189310B2"/>
    <w:rsid w:val="18D3114A"/>
    <w:rsid w:val="18F57AA9"/>
    <w:rsid w:val="18FE652B"/>
    <w:rsid w:val="190D0AFC"/>
    <w:rsid w:val="19267830"/>
    <w:rsid w:val="1927733E"/>
    <w:rsid w:val="193A32DB"/>
    <w:rsid w:val="19560BCD"/>
    <w:rsid w:val="19655221"/>
    <w:rsid w:val="19932372"/>
    <w:rsid w:val="199724DC"/>
    <w:rsid w:val="19A20DD5"/>
    <w:rsid w:val="19AE03F1"/>
    <w:rsid w:val="19AF3CC9"/>
    <w:rsid w:val="19B117EF"/>
    <w:rsid w:val="19EF7A8D"/>
    <w:rsid w:val="1A071A03"/>
    <w:rsid w:val="1A1F16AE"/>
    <w:rsid w:val="1A24109C"/>
    <w:rsid w:val="1A246465"/>
    <w:rsid w:val="1A3B5C77"/>
    <w:rsid w:val="1A5B175B"/>
    <w:rsid w:val="1A670100"/>
    <w:rsid w:val="1A6A7BF0"/>
    <w:rsid w:val="1A984BAD"/>
    <w:rsid w:val="1AB31597"/>
    <w:rsid w:val="1AB8220E"/>
    <w:rsid w:val="1ACD2B38"/>
    <w:rsid w:val="1AE4166C"/>
    <w:rsid w:val="1AF06CFB"/>
    <w:rsid w:val="1AF11B8D"/>
    <w:rsid w:val="1AFD0A64"/>
    <w:rsid w:val="1B11359C"/>
    <w:rsid w:val="1B2129A5"/>
    <w:rsid w:val="1B2A271F"/>
    <w:rsid w:val="1B302BE8"/>
    <w:rsid w:val="1B495A57"/>
    <w:rsid w:val="1B530544"/>
    <w:rsid w:val="1B684130"/>
    <w:rsid w:val="1B713184"/>
    <w:rsid w:val="1B923647"/>
    <w:rsid w:val="1BA209CF"/>
    <w:rsid w:val="1BB4777D"/>
    <w:rsid w:val="1BCD1019"/>
    <w:rsid w:val="1BD75AB8"/>
    <w:rsid w:val="1BEA2D97"/>
    <w:rsid w:val="1BF0413F"/>
    <w:rsid w:val="1BF73112"/>
    <w:rsid w:val="1C0459C2"/>
    <w:rsid w:val="1C183DA8"/>
    <w:rsid w:val="1C1B3B4A"/>
    <w:rsid w:val="1C422BD3"/>
    <w:rsid w:val="1C4E5A1B"/>
    <w:rsid w:val="1C533032"/>
    <w:rsid w:val="1C757023"/>
    <w:rsid w:val="1C7D00AF"/>
    <w:rsid w:val="1C88086E"/>
    <w:rsid w:val="1D102CD1"/>
    <w:rsid w:val="1D132287"/>
    <w:rsid w:val="1D1902C6"/>
    <w:rsid w:val="1D266CE1"/>
    <w:rsid w:val="1D3963AF"/>
    <w:rsid w:val="1D4110DC"/>
    <w:rsid w:val="1D491D3F"/>
    <w:rsid w:val="1D4A260E"/>
    <w:rsid w:val="1D554B87"/>
    <w:rsid w:val="1D6848BB"/>
    <w:rsid w:val="1D6A673C"/>
    <w:rsid w:val="1D815151"/>
    <w:rsid w:val="1D8F52DA"/>
    <w:rsid w:val="1D9247AE"/>
    <w:rsid w:val="1DB567EC"/>
    <w:rsid w:val="1DB7699C"/>
    <w:rsid w:val="1DBF39A4"/>
    <w:rsid w:val="1DCD2970"/>
    <w:rsid w:val="1DF51A98"/>
    <w:rsid w:val="1DFF6F12"/>
    <w:rsid w:val="1E0068A1"/>
    <w:rsid w:val="1E3D060F"/>
    <w:rsid w:val="1E3F7D2E"/>
    <w:rsid w:val="1E4134E4"/>
    <w:rsid w:val="1E5062B3"/>
    <w:rsid w:val="1E523514"/>
    <w:rsid w:val="1E537319"/>
    <w:rsid w:val="1E544E3F"/>
    <w:rsid w:val="1E6618D0"/>
    <w:rsid w:val="1E714A66"/>
    <w:rsid w:val="1E802593"/>
    <w:rsid w:val="1E8F7C25"/>
    <w:rsid w:val="1EA703CC"/>
    <w:rsid w:val="1EAC4C7B"/>
    <w:rsid w:val="1EB7330C"/>
    <w:rsid w:val="1EB853CE"/>
    <w:rsid w:val="1ED63068"/>
    <w:rsid w:val="1EDB10BC"/>
    <w:rsid w:val="1F0A0FF3"/>
    <w:rsid w:val="1F4629DA"/>
    <w:rsid w:val="1F5771FF"/>
    <w:rsid w:val="1F890B18"/>
    <w:rsid w:val="1F8F25D3"/>
    <w:rsid w:val="1FE868A9"/>
    <w:rsid w:val="20034907"/>
    <w:rsid w:val="200A6076"/>
    <w:rsid w:val="20173E4B"/>
    <w:rsid w:val="20180614"/>
    <w:rsid w:val="202D1F21"/>
    <w:rsid w:val="204608F2"/>
    <w:rsid w:val="204E48BC"/>
    <w:rsid w:val="20803CC9"/>
    <w:rsid w:val="208921B3"/>
    <w:rsid w:val="20973DEB"/>
    <w:rsid w:val="209A2298"/>
    <w:rsid w:val="20B26522"/>
    <w:rsid w:val="20B44310"/>
    <w:rsid w:val="20B6593D"/>
    <w:rsid w:val="20BE2F91"/>
    <w:rsid w:val="20C04A0E"/>
    <w:rsid w:val="20F1187F"/>
    <w:rsid w:val="210D1C98"/>
    <w:rsid w:val="211116EB"/>
    <w:rsid w:val="214B2529"/>
    <w:rsid w:val="216133FC"/>
    <w:rsid w:val="21871088"/>
    <w:rsid w:val="21905EB2"/>
    <w:rsid w:val="21D56769"/>
    <w:rsid w:val="21E52EF3"/>
    <w:rsid w:val="21FB5D7B"/>
    <w:rsid w:val="220B1C3D"/>
    <w:rsid w:val="220D3C57"/>
    <w:rsid w:val="220F3B83"/>
    <w:rsid w:val="221D1D20"/>
    <w:rsid w:val="22334A87"/>
    <w:rsid w:val="225C1934"/>
    <w:rsid w:val="22833F45"/>
    <w:rsid w:val="228E4DC3"/>
    <w:rsid w:val="22995516"/>
    <w:rsid w:val="22BE6801"/>
    <w:rsid w:val="22C205C9"/>
    <w:rsid w:val="22DF6424"/>
    <w:rsid w:val="22F97D63"/>
    <w:rsid w:val="22FF7A6F"/>
    <w:rsid w:val="231A0D0F"/>
    <w:rsid w:val="233500BF"/>
    <w:rsid w:val="23377FF7"/>
    <w:rsid w:val="23384D2F"/>
    <w:rsid w:val="233A4603"/>
    <w:rsid w:val="2342170A"/>
    <w:rsid w:val="234E0C74"/>
    <w:rsid w:val="236B425F"/>
    <w:rsid w:val="23757C61"/>
    <w:rsid w:val="23836192"/>
    <w:rsid w:val="23901F29"/>
    <w:rsid w:val="239C0061"/>
    <w:rsid w:val="23A3664D"/>
    <w:rsid w:val="23B908A4"/>
    <w:rsid w:val="23E95BEF"/>
    <w:rsid w:val="23FD0064"/>
    <w:rsid w:val="240E4321"/>
    <w:rsid w:val="24253506"/>
    <w:rsid w:val="24305A06"/>
    <w:rsid w:val="24472ACE"/>
    <w:rsid w:val="245375B0"/>
    <w:rsid w:val="24642C0A"/>
    <w:rsid w:val="2483647E"/>
    <w:rsid w:val="24881E0B"/>
    <w:rsid w:val="24945F95"/>
    <w:rsid w:val="249C309C"/>
    <w:rsid w:val="24B22173"/>
    <w:rsid w:val="24B9145C"/>
    <w:rsid w:val="24B959FC"/>
    <w:rsid w:val="24B95AD9"/>
    <w:rsid w:val="24BE24DA"/>
    <w:rsid w:val="24CF5825"/>
    <w:rsid w:val="24D663E6"/>
    <w:rsid w:val="24D77F2B"/>
    <w:rsid w:val="2524556B"/>
    <w:rsid w:val="255B4D05"/>
    <w:rsid w:val="25697422"/>
    <w:rsid w:val="258B00E2"/>
    <w:rsid w:val="25A917A6"/>
    <w:rsid w:val="25AE6362"/>
    <w:rsid w:val="25B13C26"/>
    <w:rsid w:val="25BE27CC"/>
    <w:rsid w:val="25D02C7B"/>
    <w:rsid w:val="25EB42DB"/>
    <w:rsid w:val="25F74A5C"/>
    <w:rsid w:val="2628662C"/>
    <w:rsid w:val="262D45DE"/>
    <w:rsid w:val="2641274C"/>
    <w:rsid w:val="26623E11"/>
    <w:rsid w:val="266D60A6"/>
    <w:rsid w:val="2694227D"/>
    <w:rsid w:val="26A53EF9"/>
    <w:rsid w:val="26A83F7A"/>
    <w:rsid w:val="26A94201"/>
    <w:rsid w:val="26AC274F"/>
    <w:rsid w:val="26C923B5"/>
    <w:rsid w:val="26DDEEDD"/>
    <w:rsid w:val="26E8081A"/>
    <w:rsid w:val="27044A29"/>
    <w:rsid w:val="271D34C8"/>
    <w:rsid w:val="276142BF"/>
    <w:rsid w:val="27783712"/>
    <w:rsid w:val="277D5407"/>
    <w:rsid w:val="27907362"/>
    <w:rsid w:val="279378CA"/>
    <w:rsid w:val="27B01338"/>
    <w:rsid w:val="27C66AA7"/>
    <w:rsid w:val="28221B0A"/>
    <w:rsid w:val="28245D1B"/>
    <w:rsid w:val="28333E1D"/>
    <w:rsid w:val="28357A8F"/>
    <w:rsid w:val="28454BD6"/>
    <w:rsid w:val="28455253"/>
    <w:rsid w:val="284D4FC9"/>
    <w:rsid w:val="28551971"/>
    <w:rsid w:val="285B1C53"/>
    <w:rsid w:val="286914E7"/>
    <w:rsid w:val="2899001E"/>
    <w:rsid w:val="289C655B"/>
    <w:rsid w:val="289F7086"/>
    <w:rsid w:val="28B92FE9"/>
    <w:rsid w:val="28C32028"/>
    <w:rsid w:val="28CC490F"/>
    <w:rsid w:val="28DE40AA"/>
    <w:rsid w:val="28F90ABD"/>
    <w:rsid w:val="29183639"/>
    <w:rsid w:val="29345E77"/>
    <w:rsid w:val="294C65AD"/>
    <w:rsid w:val="295A740F"/>
    <w:rsid w:val="297939AC"/>
    <w:rsid w:val="297B73D6"/>
    <w:rsid w:val="297C4173"/>
    <w:rsid w:val="29806583"/>
    <w:rsid w:val="2984482A"/>
    <w:rsid w:val="298B3C4C"/>
    <w:rsid w:val="29A50C45"/>
    <w:rsid w:val="29F26D24"/>
    <w:rsid w:val="2A15033F"/>
    <w:rsid w:val="2A15428B"/>
    <w:rsid w:val="2A1662C1"/>
    <w:rsid w:val="2A1C7367"/>
    <w:rsid w:val="2A2815FA"/>
    <w:rsid w:val="2A377AEF"/>
    <w:rsid w:val="2A6D6092"/>
    <w:rsid w:val="2A7778D7"/>
    <w:rsid w:val="2A7D76B4"/>
    <w:rsid w:val="2A975543"/>
    <w:rsid w:val="2ACB495E"/>
    <w:rsid w:val="2AF83716"/>
    <w:rsid w:val="2B1C2A88"/>
    <w:rsid w:val="2B437463"/>
    <w:rsid w:val="2B5E554F"/>
    <w:rsid w:val="2B683CD8"/>
    <w:rsid w:val="2B6E5792"/>
    <w:rsid w:val="2B7807EE"/>
    <w:rsid w:val="2BBF00EC"/>
    <w:rsid w:val="2BC37CFD"/>
    <w:rsid w:val="2BC453B2"/>
    <w:rsid w:val="2BCD62F0"/>
    <w:rsid w:val="2BD5237F"/>
    <w:rsid w:val="2BD66E93"/>
    <w:rsid w:val="2BE536CE"/>
    <w:rsid w:val="2BE758D9"/>
    <w:rsid w:val="2C027C88"/>
    <w:rsid w:val="2C052EDC"/>
    <w:rsid w:val="2C09049E"/>
    <w:rsid w:val="2C0A653C"/>
    <w:rsid w:val="2C191F85"/>
    <w:rsid w:val="2C1A10A1"/>
    <w:rsid w:val="2C2C2F57"/>
    <w:rsid w:val="2C567FD4"/>
    <w:rsid w:val="2C7141BE"/>
    <w:rsid w:val="2C7768C8"/>
    <w:rsid w:val="2C7C32C9"/>
    <w:rsid w:val="2C950AFD"/>
    <w:rsid w:val="2CA3146B"/>
    <w:rsid w:val="2CB216AE"/>
    <w:rsid w:val="2CE82D6F"/>
    <w:rsid w:val="2CEA709A"/>
    <w:rsid w:val="2CF00E2F"/>
    <w:rsid w:val="2CF717B7"/>
    <w:rsid w:val="2D1E0AF2"/>
    <w:rsid w:val="2D2848A8"/>
    <w:rsid w:val="2D343236"/>
    <w:rsid w:val="2D3C366E"/>
    <w:rsid w:val="2D4E3625"/>
    <w:rsid w:val="2D5E5392"/>
    <w:rsid w:val="2D96384A"/>
    <w:rsid w:val="2D9B3FFF"/>
    <w:rsid w:val="2DC26804"/>
    <w:rsid w:val="2DD15014"/>
    <w:rsid w:val="2DE164A1"/>
    <w:rsid w:val="2DF72DE4"/>
    <w:rsid w:val="2E0220AF"/>
    <w:rsid w:val="2E1E0778"/>
    <w:rsid w:val="2E2A34C6"/>
    <w:rsid w:val="2E4B082A"/>
    <w:rsid w:val="2E503828"/>
    <w:rsid w:val="2E5D4E86"/>
    <w:rsid w:val="2E5D790B"/>
    <w:rsid w:val="2E8B0409"/>
    <w:rsid w:val="2E9A3C18"/>
    <w:rsid w:val="2EAD65D1"/>
    <w:rsid w:val="2EBB0FEE"/>
    <w:rsid w:val="2EC63002"/>
    <w:rsid w:val="2F0A6B38"/>
    <w:rsid w:val="2F230642"/>
    <w:rsid w:val="2F2E7BEA"/>
    <w:rsid w:val="2F415705"/>
    <w:rsid w:val="2F4B0DF0"/>
    <w:rsid w:val="2F4B5DEA"/>
    <w:rsid w:val="2F5E2970"/>
    <w:rsid w:val="2F68699C"/>
    <w:rsid w:val="2F8B0725"/>
    <w:rsid w:val="2F8D60CD"/>
    <w:rsid w:val="2F946CCB"/>
    <w:rsid w:val="2F951C1D"/>
    <w:rsid w:val="2FC17E5A"/>
    <w:rsid w:val="2FD25781"/>
    <w:rsid w:val="2FFD7934"/>
    <w:rsid w:val="30077F63"/>
    <w:rsid w:val="302A1EA4"/>
    <w:rsid w:val="30365A5C"/>
    <w:rsid w:val="305B3E0B"/>
    <w:rsid w:val="30603378"/>
    <w:rsid w:val="30733ACD"/>
    <w:rsid w:val="307F4383"/>
    <w:rsid w:val="30863742"/>
    <w:rsid w:val="308C3862"/>
    <w:rsid w:val="309379D8"/>
    <w:rsid w:val="30A270F7"/>
    <w:rsid w:val="30A36FF1"/>
    <w:rsid w:val="30B7079D"/>
    <w:rsid w:val="30DF1478"/>
    <w:rsid w:val="30EB518F"/>
    <w:rsid w:val="30EC586F"/>
    <w:rsid w:val="30F17110"/>
    <w:rsid w:val="314B6E77"/>
    <w:rsid w:val="31603DCF"/>
    <w:rsid w:val="31633F23"/>
    <w:rsid w:val="31723B02"/>
    <w:rsid w:val="317F1A54"/>
    <w:rsid w:val="319C6071"/>
    <w:rsid w:val="31AC537E"/>
    <w:rsid w:val="31B269F5"/>
    <w:rsid w:val="31BB2DB3"/>
    <w:rsid w:val="31E3679B"/>
    <w:rsid w:val="31E732FD"/>
    <w:rsid w:val="31EF5153"/>
    <w:rsid w:val="32144565"/>
    <w:rsid w:val="32517576"/>
    <w:rsid w:val="326269A8"/>
    <w:rsid w:val="32843AED"/>
    <w:rsid w:val="3290339D"/>
    <w:rsid w:val="32A73338"/>
    <w:rsid w:val="32BE5C2C"/>
    <w:rsid w:val="32EC3440"/>
    <w:rsid w:val="32F71203"/>
    <w:rsid w:val="32FB6478"/>
    <w:rsid w:val="33263B3F"/>
    <w:rsid w:val="33484B1B"/>
    <w:rsid w:val="3349228A"/>
    <w:rsid w:val="33531688"/>
    <w:rsid w:val="336515BA"/>
    <w:rsid w:val="336963EB"/>
    <w:rsid w:val="33816EEB"/>
    <w:rsid w:val="33BC47EB"/>
    <w:rsid w:val="33C0725C"/>
    <w:rsid w:val="33E77F5F"/>
    <w:rsid w:val="33EB55CD"/>
    <w:rsid w:val="33EC4C02"/>
    <w:rsid w:val="33FC76B3"/>
    <w:rsid w:val="33FE342B"/>
    <w:rsid w:val="340D2360"/>
    <w:rsid w:val="3410665D"/>
    <w:rsid w:val="3417273F"/>
    <w:rsid w:val="34211214"/>
    <w:rsid w:val="342E63AB"/>
    <w:rsid w:val="34314840"/>
    <w:rsid w:val="344A1057"/>
    <w:rsid w:val="344C4197"/>
    <w:rsid w:val="345C0152"/>
    <w:rsid w:val="34950E68"/>
    <w:rsid w:val="34986E94"/>
    <w:rsid w:val="34AF62C9"/>
    <w:rsid w:val="34CB4388"/>
    <w:rsid w:val="34CD349E"/>
    <w:rsid w:val="34D32B0A"/>
    <w:rsid w:val="34DA3E98"/>
    <w:rsid w:val="34DF325D"/>
    <w:rsid w:val="34E36FF6"/>
    <w:rsid w:val="34FA6E12"/>
    <w:rsid w:val="35150A2C"/>
    <w:rsid w:val="35303C39"/>
    <w:rsid w:val="355508A7"/>
    <w:rsid w:val="358D5588"/>
    <w:rsid w:val="35A1264A"/>
    <w:rsid w:val="35A5210E"/>
    <w:rsid w:val="35A87AF3"/>
    <w:rsid w:val="35C7064E"/>
    <w:rsid w:val="35C91817"/>
    <w:rsid w:val="35CB1A33"/>
    <w:rsid w:val="35CD1307"/>
    <w:rsid w:val="35D73F34"/>
    <w:rsid w:val="35DF0B77"/>
    <w:rsid w:val="35E328D9"/>
    <w:rsid w:val="36220369"/>
    <w:rsid w:val="36294A2A"/>
    <w:rsid w:val="363A3B40"/>
    <w:rsid w:val="36462E68"/>
    <w:rsid w:val="365302AE"/>
    <w:rsid w:val="36607A0A"/>
    <w:rsid w:val="366E227C"/>
    <w:rsid w:val="366F2E0D"/>
    <w:rsid w:val="367125DA"/>
    <w:rsid w:val="367A784B"/>
    <w:rsid w:val="367B6A5C"/>
    <w:rsid w:val="368045CB"/>
    <w:rsid w:val="368F2215"/>
    <w:rsid w:val="369260AD"/>
    <w:rsid w:val="36A4475E"/>
    <w:rsid w:val="36A74ADA"/>
    <w:rsid w:val="36AD60D5"/>
    <w:rsid w:val="36B224F9"/>
    <w:rsid w:val="36E909E9"/>
    <w:rsid w:val="36EC0CC9"/>
    <w:rsid w:val="37092813"/>
    <w:rsid w:val="373F410B"/>
    <w:rsid w:val="378E2D18"/>
    <w:rsid w:val="37DE13F0"/>
    <w:rsid w:val="37DE5A4E"/>
    <w:rsid w:val="37EE7094"/>
    <w:rsid w:val="38206066"/>
    <w:rsid w:val="38296C89"/>
    <w:rsid w:val="383002EB"/>
    <w:rsid w:val="3834566E"/>
    <w:rsid w:val="38586797"/>
    <w:rsid w:val="38600D4F"/>
    <w:rsid w:val="38800011"/>
    <w:rsid w:val="3891486E"/>
    <w:rsid w:val="38A547BD"/>
    <w:rsid w:val="38AF1198"/>
    <w:rsid w:val="38BC0149"/>
    <w:rsid w:val="38D87D1C"/>
    <w:rsid w:val="38DE55D9"/>
    <w:rsid w:val="39007C46"/>
    <w:rsid w:val="391A0D07"/>
    <w:rsid w:val="393022D9"/>
    <w:rsid w:val="39355ABC"/>
    <w:rsid w:val="3962620A"/>
    <w:rsid w:val="39636459"/>
    <w:rsid w:val="39681BDA"/>
    <w:rsid w:val="396B7F6C"/>
    <w:rsid w:val="397A3554"/>
    <w:rsid w:val="398919E9"/>
    <w:rsid w:val="39B417A9"/>
    <w:rsid w:val="39C96289"/>
    <w:rsid w:val="39E8242A"/>
    <w:rsid w:val="39FC5695"/>
    <w:rsid w:val="3A006D8E"/>
    <w:rsid w:val="3A2974D3"/>
    <w:rsid w:val="3A3651E5"/>
    <w:rsid w:val="3A744481"/>
    <w:rsid w:val="3A792CD5"/>
    <w:rsid w:val="3A8C7BEF"/>
    <w:rsid w:val="3A906246"/>
    <w:rsid w:val="3A9C399E"/>
    <w:rsid w:val="3AB53A1F"/>
    <w:rsid w:val="3AC2225A"/>
    <w:rsid w:val="3AE1503D"/>
    <w:rsid w:val="3AF15A98"/>
    <w:rsid w:val="3AF26C1F"/>
    <w:rsid w:val="3AFA0DF0"/>
    <w:rsid w:val="3B2349B7"/>
    <w:rsid w:val="3B245E6D"/>
    <w:rsid w:val="3B616CFF"/>
    <w:rsid w:val="3B6259F6"/>
    <w:rsid w:val="3B6B45BD"/>
    <w:rsid w:val="3B8526FD"/>
    <w:rsid w:val="3B8C57C0"/>
    <w:rsid w:val="3B976654"/>
    <w:rsid w:val="3BC01EFC"/>
    <w:rsid w:val="3BCA786A"/>
    <w:rsid w:val="3BD06C36"/>
    <w:rsid w:val="3BD31E2F"/>
    <w:rsid w:val="3BD66A3C"/>
    <w:rsid w:val="3BF15831"/>
    <w:rsid w:val="3C105946"/>
    <w:rsid w:val="3C131A3E"/>
    <w:rsid w:val="3C291261"/>
    <w:rsid w:val="3C29300F"/>
    <w:rsid w:val="3C37233F"/>
    <w:rsid w:val="3C432323"/>
    <w:rsid w:val="3C471448"/>
    <w:rsid w:val="3C5F759A"/>
    <w:rsid w:val="3C6C525A"/>
    <w:rsid w:val="3C854D26"/>
    <w:rsid w:val="3CCD215A"/>
    <w:rsid w:val="3CCE23CB"/>
    <w:rsid w:val="3CD17D17"/>
    <w:rsid w:val="3CDC4526"/>
    <w:rsid w:val="3CE64E55"/>
    <w:rsid w:val="3D006D35"/>
    <w:rsid w:val="3D0D2931"/>
    <w:rsid w:val="3D1912D6"/>
    <w:rsid w:val="3D3C7F39"/>
    <w:rsid w:val="3D440F09"/>
    <w:rsid w:val="3D4504A0"/>
    <w:rsid w:val="3D4C16AB"/>
    <w:rsid w:val="3D8734BB"/>
    <w:rsid w:val="3D954E00"/>
    <w:rsid w:val="3D9A11D4"/>
    <w:rsid w:val="3D9D0C33"/>
    <w:rsid w:val="3DA16D89"/>
    <w:rsid w:val="3DA364BE"/>
    <w:rsid w:val="3DE041CB"/>
    <w:rsid w:val="3DED69EA"/>
    <w:rsid w:val="3E0D48F6"/>
    <w:rsid w:val="3E0E6043"/>
    <w:rsid w:val="3E1868B4"/>
    <w:rsid w:val="3E2A20F9"/>
    <w:rsid w:val="3E377251"/>
    <w:rsid w:val="3E42664B"/>
    <w:rsid w:val="3E5A7334"/>
    <w:rsid w:val="3E614CE2"/>
    <w:rsid w:val="3E6D6330"/>
    <w:rsid w:val="3E6E464D"/>
    <w:rsid w:val="3E7B5D6B"/>
    <w:rsid w:val="3E843E66"/>
    <w:rsid w:val="3E8F51FE"/>
    <w:rsid w:val="3E926F87"/>
    <w:rsid w:val="3E9926CE"/>
    <w:rsid w:val="3E9A5724"/>
    <w:rsid w:val="3E9A59DE"/>
    <w:rsid w:val="3EAB2402"/>
    <w:rsid w:val="3EAF4836"/>
    <w:rsid w:val="3EBE3EE3"/>
    <w:rsid w:val="3EC33DFA"/>
    <w:rsid w:val="3ECA2888"/>
    <w:rsid w:val="3EDE13AD"/>
    <w:rsid w:val="3F060E16"/>
    <w:rsid w:val="3F1D1096"/>
    <w:rsid w:val="3F2F0234"/>
    <w:rsid w:val="3F487C50"/>
    <w:rsid w:val="3F5B3E28"/>
    <w:rsid w:val="3F6363FE"/>
    <w:rsid w:val="3F756B8F"/>
    <w:rsid w:val="3F7B6278"/>
    <w:rsid w:val="3F8C2233"/>
    <w:rsid w:val="3F95482B"/>
    <w:rsid w:val="3FA05CDE"/>
    <w:rsid w:val="3FA70239"/>
    <w:rsid w:val="3FB53538"/>
    <w:rsid w:val="3FC31FE3"/>
    <w:rsid w:val="3FC92B3F"/>
    <w:rsid w:val="3FD85983"/>
    <w:rsid w:val="40044CA3"/>
    <w:rsid w:val="400B3158"/>
    <w:rsid w:val="4019356B"/>
    <w:rsid w:val="40447056"/>
    <w:rsid w:val="4055351F"/>
    <w:rsid w:val="40592157"/>
    <w:rsid w:val="405C1C05"/>
    <w:rsid w:val="405D0862"/>
    <w:rsid w:val="405E4E4F"/>
    <w:rsid w:val="406E1CAE"/>
    <w:rsid w:val="40A0133A"/>
    <w:rsid w:val="40B4626F"/>
    <w:rsid w:val="40C31A53"/>
    <w:rsid w:val="40FF07E3"/>
    <w:rsid w:val="40FF545D"/>
    <w:rsid w:val="410067C8"/>
    <w:rsid w:val="4102361B"/>
    <w:rsid w:val="410D73A4"/>
    <w:rsid w:val="410F0A26"/>
    <w:rsid w:val="412A5860"/>
    <w:rsid w:val="412B15D8"/>
    <w:rsid w:val="412C72C6"/>
    <w:rsid w:val="418A4550"/>
    <w:rsid w:val="418F0D2A"/>
    <w:rsid w:val="419716AC"/>
    <w:rsid w:val="41AE6491"/>
    <w:rsid w:val="41C21F3C"/>
    <w:rsid w:val="41CA7043"/>
    <w:rsid w:val="41D01505"/>
    <w:rsid w:val="41E40104"/>
    <w:rsid w:val="42391B4A"/>
    <w:rsid w:val="42474939"/>
    <w:rsid w:val="424C3C57"/>
    <w:rsid w:val="42613FF3"/>
    <w:rsid w:val="42660D96"/>
    <w:rsid w:val="428667D2"/>
    <w:rsid w:val="42954B77"/>
    <w:rsid w:val="42CD1CE0"/>
    <w:rsid w:val="42D34AE0"/>
    <w:rsid w:val="42E1381E"/>
    <w:rsid w:val="42ED6459"/>
    <w:rsid w:val="42FE58DD"/>
    <w:rsid w:val="43174B3D"/>
    <w:rsid w:val="43397FDC"/>
    <w:rsid w:val="434B790E"/>
    <w:rsid w:val="4360274F"/>
    <w:rsid w:val="43655275"/>
    <w:rsid w:val="436F39FE"/>
    <w:rsid w:val="438020AF"/>
    <w:rsid w:val="43977AB6"/>
    <w:rsid w:val="43A3342B"/>
    <w:rsid w:val="43B063C7"/>
    <w:rsid w:val="43C755E8"/>
    <w:rsid w:val="43C77C27"/>
    <w:rsid w:val="43CF0940"/>
    <w:rsid w:val="43DE09EE"/>
    <w:rsid w:val="43ED0DC6"/>
    <w:rsid w:val="43F3462F"/>
    <w:rsid w:val="44002FAD"/>
    <w:rsid w:val="4439400C"/>
    <w:rsid w:val="443C388E"/>
    <w:rsid w:val="444E1066"/>
    <w:rsid w:val="446F7A2D"/>
    <w:rsid w:val="449101DD"/>
    <w:rsid w:val="44B23BED"/>
    <w:rsid w:val="44DE1391"/>
    <w:rsid w:val="44EE4DF6"/>
    <w:rsid w:val="45196317"/>
    <w:rsid w:val="451B225C"/>
    <w:rsid w:val="452410C9"/>
    <w:rsid w:val="452847AC"/>
    <w:rsid w:val="45317DFB"/>
    <w:rsid w:val="456D3CE4"/>
    <w:rsid w:val="4579042C"/>
    <w:rsid w:val="457F0571"/>
    <w:rsid w:val="457F248F"/>
    <w:rsid w:val="45851176"/>
    <w:rsid w:val="45BE2A1A"/>
    <w:rsid w:val="45C63B94"/>
    <w:rsid w:val="45CC15DB"/>
    <w:rsid w:val="45D558E1"/>
    <w:rsid w:val="45E24328"/>
    <w:rsid w:val="45EA7CB3"/>
    <w:rsid w:val="460348D1"/>
    <w:rsid w:val="460E7DA5"/>
    <w:rsid w:val="460F754A"/>
    <w:rsid w:val="46107180"/>
    <w:rsid w:val="461B161F"/>
    <w:rsid w:val="461E1C9E"/>
    <w:rsid w:val="46422483"/>
    <w:rsid w:val="4659254A"/>
    <w:rsid w:val="465B0637"/>
    <w:rsid w:val="465E3F0D"/>
    <w:rsid w:val="466A16E6"/>
    <w:rsid w:val="467873FB"/>
    <w:rsid w:val="46893F2B"/>
    <w:rsid w:val="46B43C28"/>
    <w:rsid w:val="46C4686E"/>
    <w:rsid w:val="46CF6A32"/>
    <w:rsid w:val="471B2C38"/>
    <w:rsid w:val="472745EF"/>
    <w:rsid w:val="47442BB7"/>
    <w:rsid w:val="477B778F"/>
    <w:rsid w:val="478203EC"/>
    <w:rsid w:val="47A85730"/>
    <w:rsid w:val="47B025FA"/>
    <w:rsid w:val="47D6229D"/>
    <w:rsid w:val="47E04ECA"/>
    <w:rsid w:val="48030BB8"/>
    <w:rsid w:val="4809698F"/>
    <w:rsid w:val="4811697D"/>
    <w:rsid w:val="48141018"/>
    <w:rsid w:val="482F70A9"/>
    <w:rsid w:val="485B09F4"/>
    <w:rsid w:val="486C0E54"/>
    <w:rsid w:val="487A3E25"/>
    <w:rsid w:val="488B5503"/>
    <w:rsid w:val="48937E21"/>
    <w:rsid w:val="48940BCB"/>
    <w:rsid w:val="489A0361"/>
    <w:rsid w:val="48B00D40"/>
    <w:rsid w:val="48B70CA5"/>
    <w:rsid w:val="48B94FF3"/>
    <w:rsid w:val="48E0229A"/>
    <w:rsid w:val="48E37AAB"/>
    <w:rsid w:val="48FA02BA"/>
    <w:rsid w:val="48FD4B4C"/>
    <w:rsid w:val="490A68E0"/>
    <w:rsid w:val="491055FE"/>
    <w:rsid w:val="495F5B3E"/>
    <w:rsid w:val="496F77D7"/>
    <w:rsid w:val="497654FD"/>
    <w:rsid w:val="49885819"/>
    <w:rsid w:val="498A155B"/>
    <w:rsid w:val="49AC27C4"/>
    <w:rsid w:val="49B26D3A"/>
    <w:rsid w:val="49B64211"/>
    <w:rsid w:val="49B82653"/>
    <w:rsid w:val="49CD76D0"/>
    <w:rsid w:val="49CF5522"/>
    <w:rsid w:val="49F6167F"/>
    <w:rsid w:val="4A01742E"/>
    <w:rsid w:val="4A064FA0"/>
    <w:rsid w:val="4A0D5D1E"/>
    <w:rsid w:val="4A16615C"/>
    <w:rsid w:val="4A4424D7"/>
    <w:rsid w:val="4A547C6D"/>
    <w:rsid w:val="4A722025"/>
    <w:rsid w:val="4A794933"/>
    <w:rsid w:val="4AB82D0F"/>
    <w:rsid w:val="4AC4545E"/>
    <w:rsid w:val="4AD827D0"/>
    <w:rsid w:val="4AEB7664"/>
    <w:rsid w:val="4AF00489"/>
    <w:rsid w:val="4AFA2747"/>
    <w:rsid w:val="4AFD7C19"/>
    <w:rsid w:val="4B0567D1"/>
    <w:rsid w:val="4B236AAE"/>
    <w:rsid w:val="4B652C40"/>
    <w:rsid w:val="4B707271"/>
    <w:rsid w:val="4B7F0E9E"/>
    <w:rsid w:val="4B9739F7"/>
    <w:rsid w:val="4BAB3A41"/>
    <w:rsid w:val="4BB52B12"/>
    <w:rsid w:val="4BEE2503"/>
    <w:rsid w:val="4BF058F8"/>
    <w:rsid w:val="4C245A30"/>
    <w:rsid w:val="4C5B7215"/>
    <w:rsid w:val="4C636A62"/>
    <w:rsid w:val="4C8C6F39"/>
    <w:rsid w:val="4CA37D04"/>
    <w:rsid w:val="4CB42DC9"/>
    <w:rsid w:val="4CB6685F"/>
    <w:rsid w:val="4CBD3A2C"/>
    <w:rsid w:val="4CC367FE"/>
    <w:rsid w:val="4CD13961"/>
    <w:rsid w:val="4CD80DDD"/>
    <w:rsid w:val="4D077F3C"/>
    <w:rsid w:val="4D123355"/>
    <w:rsid w:val="4D2A3B31"/>
    <w:rsid w:val="4D312C52"/>
    <w:rsid w:val="4D6322BB"/>
    <w:rsid w:val="4D6C7200"/>
    <w:rsid w:val="4D73058E"/>
    <w:rsid w:val="4D905305"/>
    <w:rsid w:val="4D964A72"/>
    <w:rsid w:val="4D9C1254"/>
    <w:rsid w:val="4D9D560B"/>
    <w:rsid w:val="4DA370C6"/>
    <w:rsid w:val="4DB841F3"/>
    <w:rsid w:val="4DCA28A4"/>
    <w:rsid w:val="4DD51249"/>
    <w:rsid w:val="4DF54439"/>
    <w:rsid w:val="4E3E4286"/>
    <w:rsid w:val="4E793892"/>
    <w:rsid w:val="4E79662D"/>
    <w:rsid w:val="4E800872"/>
    <w:rsid w:val="4E9A3978"/>
    <w:rsid w:val="4EA2112B"/>
    <w:rsid w:val="4EC569ED"/>
    <w:rsid w:val="4EC56BC8"/>
    <w:rsid w:val="4ED50EA1"/>
    <w:rsid w:val="4EEC050C"/>
    <w:rsid w:val="4F0E67C1"/>
    <w:rsid w:val="4F104EC3"/>
    <w:rsid w:val="4F47354A"/>
    <w:rsid w:val="4F6C34E7"/>
    <w:rsid w:val="4F911C54"/>
    <w:rsid w:val="4FA61A93"/>
    <w:rsid w:val="4FAC52CF"/>
    <w:rsid w:val="4FD73056"/>
    <w:rsid w:val="4FE625E0"/>
    <w:rsid w:val="4FE871CB"/>
    <w:rsid w:val="4FEB9ECB"/>
    <w:rsid w:val="4FF76692"/>
    <w:rsid w:val="4FFA4A55"/>
    <w:rsid w:val="5013760A"/>
    <w:rsid w:val="5021480F"/>
    <w:rsid w:val="503E1E04"/>
    <w:rsid w:val="5055041F"/>
    <w:rsid w:val="505A6F42"/>
    <w:rsid w:val="50632B3C"/>
    <w:rsid w:val="506568B4"/>
    <w:rsid w:val="50947199"/>
    <w:rsid w:val="50962ECB"/>
    <w:rsid w:val="5097138C"/>
    <w:rsid w:val="50A42E38"/>
    <w:rsid w:val="50A4577F"/>
    <w:rsid w:val="50B73D1F"/>
    <w:rsid w:val="50BD5BC9"/>
    <w:rsid w:val="50C11EEE"/>
    <w:rsid w:val="50E97CFC"/>
    <w:rsid w:val="50FA4028"/>
    <w:rsid w:val="510D65B7"/>
    <w:rsid w:val="511157AB"/>
    <w:rsid w:val="511E62BE"/>
    <w:rsid w:val="51202500"/>
    <w:rsid w:val="512F1226"/>
    <w:rsid w:val="513E2C61"/>
    <w:rsid w:val="5142540C"/>
    <w:rsid w:val="514D37D6"/>
    <w:rsid w:val="51516E38"/>
    <w:rsid w:val="51632431"/>
    <w:rsid w:val="51764AF1"/>
    <w:rsid w:val="51777020"/>
    <w:rsid w:val="518832C8"/>
    <w:rsid w:val="51A0432A"/>
    <w:rsid w:val="51A86090"/>
    <w:rsid w:val="51B04FDC"/>
    <w:rsid w:val="51B7396D"/>
    <w:rsid w:val="51D3784E"/>
    <w:rsid w:val="521F7B8A"/>
    <w:rsid w:val="522069EE"/>
    <w:rsid w:val="522E4CC3"/>
    <w:rsid w:val="5244713B"/>
    <w:rsid w:val="52615633"/>
    <w:rsid w:val="527A5F1B"/>
    <w:rsid w:val="527B23BF"/>
    <w:rsid w:val="528D34A1"/>
    <w:rsid w:val="5294522F"/>
    <w:rsid w:val="52977FD4"/>
    <w:rsid w:val="52A25790"/>
    <w:rsid w:val="52A9253F"/>
    <w:rsid w:val="52A96B6F"/>
    <w:rsid w:val="52B45975"/>
    <w:rsid w:val="52D94AA4"/>
    <w:rsid w:val="52EA3A62"/>
    <w:rsid w:val="52F50BB8"/>
    <w:rsid w:val="52FE08FA"/>
    <w:rsid w:val="53097272"/>
    <w:rsid w:val="53211833"/>
    <w:rsid w:val="53303AC0"/>
    <w:rsid w:val="53544462"/>
    <w:rsid w:val="536845DB"/>
    <w:rsid w:val="5371731E"/>
    <w:rsid w:val="53775341"/>
    <w:rsid w:val="537E1A3B"/>
    <w:rsid w:val="5382777D"/>
    <w:rsid w:val="539128D9"/>
    <w:rsid w:val="5397158E"/>
    <w:rsid w:val="53CD4117"/>
    <w:rsid w:val="53E4619C"/>
    <w:rsid w:val="53E47AF0"/>
    <w:rsid w:val="53FE7A50"/>
    <w:rsid w:val="54013861"/>
    <w:rsid w:val="54091C4C"/>
    <w:rsid w:val="54487265"/>
    <w:rsid w:val="544D6070"/>
    <w:rsid w:val="54605E1E"/>
    <w:rsid w:val="54617393"/>
    <w:rsid w:val="54657CBD"/>
    <w:rsid w:val="546724CF"/>
    <w:rsid w:val="54787FAB"/>
    <w:rsid w:val="54A35BFD"/>
    <w:rsid w:val="54B3506A"/>
    <w:rsid w:val="54C660DE"/>
    <w:rsid w:val="54CA0D16"/>
    <w:rsid w:val="54DD4057"/>
    <w:rsid w:val="54E3249D"/>
    <w:rsid w:val="54E7490F"/>
    <w:rsid w:val="550764A4"/>
    <w:rsid w:val="55083CB2"/>
    <w:rsid w:val="550B2BF6"/>
    <w:rsid w:val="55214EB5"/>
    <w:rsid w:val="5536081F"/>
    <w:rsid w:val="55364EFD"/>
    <w:rsid w:val="554360F6"/>
    <w:rsid w:val="555D3FFE"/>
    <w:rsid w:val="555D4828"/>
    <w:rsid w:val="555E38D2"/>
    <w:rsid w:val="557A4C8B"/>
    <w:rsid w:val="558931E1"/>
    <w:rsid w:val="55923347"/>
    <w:rsid w:val="55925180"/>
    <w:rsid w:val="55983B1B"/>
    <w:rsid w:val="55A8376B"/>
    <w:rsid w:val="55DC29B6"/>
    <w:rsid w:val="55DD4241"/>
    <w:rsid w:val="566326E5"/>
    <w:rsid w:val="566B6D1E"/>
    <w:rsid w:val="568D446F"/>
    <w:rsid w:val="56AE603F"/>
    <w:rsid w:val="56DE4CCA"/>
    <w:rsid w:val="56E85A03"/>
    <w:rsid w:val="57032A2C"/>
    <w:rsid w:val="570F5219"/>
    <w:rsid w:val="57112C64"/>
    <w:rsid w:val="571D114B"/>
    <w:rsid w:val="5728063B"/>
    <w:rsid w:val="575D12B5"/>
    <w:rsid w:val="57610A87"/>
    <w:rsid w:val="576A0C54"/>
    <w:rsid w:val="57783D15"/>
    <w:rsid w:val="577B1140"/>
    <w:rsid w:val="577B7F21"/>
    <w:rsid w:val="577F181B"/>
    <w:rsid w:val="57804F1A"/>
    <w:rsid w:val="57921984"/>
    <w:rsid w:val="579737F0"/>
    <w:rsid w:val="579E26AC"/>
    <w:rsid w:val="57AB7B30"/>
    <w:rsid w:val="57AF5251"/>
    <w:rsid w:val="57B26373"/>
    <w:rsid w:val="57B63F04"/>
    <w:rsid w:val="57CD20C2"/>
    <w:rsid w:val="57CF29AF"/>
    <w:rsid w:val="57D675AB"/>
    <w:rsid w:val="57D95FDD"/>
    <w:rsid w:val="57E85BFB"/>
    <w:rsid w:val="580E5A83"/>
    <w:rsid w:val="581E277E"/>
    <w:rsid w:val="58253CB6"/>
    <w:rsid w:val="58373032"/>
    <w:rsid w:val="583D3C73"/>
    <w:rsid w:val="584B2834"/>
    <w:rsid w:val="584D2F12"/>
    <w:rsid w:val="58696678"/>
    <w:rsid w:val="58783407"/>
    <w:rsid w:val="58873140"/>
    <w:rsid w:val="588D4BFA"/>
    <w:rsid w:val="58917D2F"/>
    <w:rsid w:val="5894085C"/>
    <w:rsid w:val="589715D5"/>
    <w:rsid w:val="58AE2DC2"/>
    <w:rsid w:val="58AE4F0C"/>
    <w:rsid w:val="58B32C6A"/>
    <w:rsid w:val="58B85899"/>
    <w:rsid w:val="58C6026F"/>
    <w:rsid w:val="58CD4FF7"/>
    <w:rsid w:val="58E363A9"/>
    <w:rsid w:val="58EB7B73"/>
    <w:rsid w:val="5915531A"/>
    <w:rsid w:val="59162E41"/>
    <w:rsid w:val="5925153C"/>
    <w:rsid w:val="595E1678"/>
    <w:rsid w:val="596D5BD4"/>
    <w:rsid w:val="597E3DD8"/>
    <w:rsid w:val="59861FA0"/>
    <w:rsid w:val="5988716F"/>
    <w:rsid w:val="59E1705C"/>
    <w:rsid w:val="59E22D24"/>
    <w:rsid w:val="59EC0167"/>
    <w:rsid w:val="59F80043"/>
    <w:rsid w:val="5A025174"/>
    <w:rsid w:val="5A09252F"/>
    <w:rsid w:val="5A0B2778"/>
    <w:rsid w:val="5A102026"/>
    <w:rsid w:val="5A1E0981"/>
    <w:rsid w:val="5A2A7C7B"/>
    <w:rsid w:val="5A3E2560"/>
    <w:rsid w:val="5A405C9C"/>
    <w:rsid w:val="5A54596E"/>
    <w:rsid w:val="5A5D3B6E"/>
    <w:rsid w:val="5A6208F6"/>
    <w:rsid w:val="5A637A76"/>
    <w:rsid w:val="5A67147B"/>
    <w:rsid w:val="5A6D33BA"/>
    <w:rsid w:val="5A736498"/>
    <w:rsid w:val="5A792B1F"/>
    <w:rsid w:val="5A7F7AFB"/>
    <w:rsid w:val="5A874767"/>
    <w:rsid w:val="5A9658BC"/>
    <w:rsid w:val="5AAD6F28"/>
    <w:rsid w:val="5ABD72ED"/>
    <w:rsid w:val="5AC73942"/>
    <w:rsid w:val="5AD63A24"/>
    <w:rsid w:val="5AEA2B03"/>
    <w:rsid w:val="5B0D4BD2"/>
    <w:rsid w:val="5B2E1A1D"/>
    <w:rsid w:val="5B340D27"/>
    <w:rsid w:val="5B5437AD"/>
    <w:rsid w:val="5B843A1C"/>
    <w:rsid w:val="5B873E3F"/>
    <w:rsid w:val="5B9411C9"/>
    <w:rsid w:val="5BBE331C"/>
    <w:rsid w:val="5BD668B8"/>
    <w:rsid w:val="5BDD1924"/>
    <w:rsid w:val="5BFE6E99"/>
    <w:rsid w:val="5C02690E"/>
    <w:rsid w:val="5C196DA7"/>
    <w:rsid w:val="5C2A048C"/>
    <w:rsid w:val="5C5133F7"/>
    <w:rsid w:val="5C5D0D87"/>
    <w:rsid w:val="5C62014C"/>
    <w:rsid w:val="5C631707"/>
    <w:rsid w:val="5C741FC5"/>
    <w:rsid w:val="5C80234E"/>
    <w:rsid w:val="5C8A680C"/>
    <w:rsid w:val="5C8B32EC"/>
    <w:rsid w:val="5CF1327E"/>
    <w:rsid w:val="5D0C4701"/>
    <w:rsid w:val="5D0F0395"/>
    <w:rsid w:val="5D221076"/>
    <w:rsid w:val="5D397964"/>
    <w:rsid w:val="5D3C099D"/>
    <w:rsid w:val="5D5A391C"/>
    <w:rsid w:val="5D5F10C0"/>
    <w:rsid w:val="5D873B8C"/>
    <w:rsid w:val="5D891B7B"/>
    <w:rsid w:val="5DA36C6E"/>
    <w:rsid w:val="5DAD38EE"/>
    <w:rsid w:val="5DAF116F"/>
    <w:rsid w:val="5DB46785"/>
    <w:rsid w:val="5DF70D68"/>
    <w:rsid w:val="5E006862"/>
    <w:rsid w:val="5E0207B9"/>
    <w:rsid w:val="5E135BA1"/>
    <w:rsid w:val="5E145476"/>
    <w:rsid w:val="5E1834A1"/>
    <w:rsid w:val="5E1E00A2"/>
    <w:rsid w:val="5E261785"/>
    <w:rsid w:val="5E4A7017"/>
    <w:rsid w:val="5E4B55FE"/>
    <w:rsid w:val="5E4B7607"/>
    <w:rsid w:val="5E552BBA"/>
    <w:rsid w:val="5E611C10"/>
    <w:rsid w:val="5EA26F25"/>
    <w:rsid w:val="5EA31BDB"/>
    <w:rsid w:val="5EAF519E"/>
    <w:rsid w:val="5EB17168"/>
    <w:rsid w:val="5EB427B5"/>
    <w:rsid w:val="5EC1196B"/>
    <w:rsid w:val="5EFC7377"/>
    <w:rsid w:val="5F06174D"/>
    <w:rsid w:val="5F13397F"/>
    <w:rsid w:val="5F16521D"/>
    <w:rsid w:val="5F3A3602"/>
    <w:rsid w:val="5F48187B"/>
    <w:rsid w:val="5F6146EB"/>
    <w:rsid w:val="5F6277C6"/>
    <w:rsid w:val="5F6D0B1D"/>
    <w:rsid w:val="5F8D0B82"/>
    <w:rsid w:val="5FA10F8B"/>
    <w:rsid w:val="5FCC5339"/>
    <w:rsid w:val="5FD62AFD"/>
    <w:rsid w:val="5FD90725"/>
    <w:rsid w:val="5FDF3861"/>
    <w:rsid w:val="5FE34A5B"/>
    <w:rsid w:val="5FEC48FC"/>
    <w:rsid w:val="5FFE1E36"/>
    <w:rsid w:val="5FFE1F39"/>
    <w:rsid w:val="60232584"/>
    <w:rsid w:val="60255718"/>
    <w:rsid w:val="60365B77"/>
    <w:rsid w:val="6049691C"/>
    <w:rsid w:val="60566219"/>
    <w:rsid w:val="60627247"/>
    <w:rsid w:val="607330CE"/>
    <w:rsid w:val="60825176"/>
    <w:rsid w:val="60964868"/>
    <w:rsid w:val="609F2AC4"/>
    <w:rsid w:val="60C21DAE"/>
    <w:rsid w:val="60F63558"/>
    <w:rsid w:val="60FA2EE8"/>
    <w:rsid w:val="61054A27"/>
    <w:rsid w:val="610A52BC"/>
    <w:rsid w:val="610C68D8"/>
    <w:rsid w:val="611D2366"/>
    <w:rsid w:val="6125720C"/>
    <w:rsid w:val="61344790"/>
    <w:rsid w:val="61421856"/>
    <w:rsid w:val="615227C4"/>
    <w:rsid w:val="6162299C"/>
    <w:rsid w:val="61630BEE"/>
    <w:rsid w:val="61646FA9"/>
    <w:rsid w:val="61654E3F"/>
    <w:rsid w:val="616B3FB0"/>
    <w:rsid w:val="617C4D3D"/>
    <w:rsid w:val="6181336C"/>
    <w:rsid w:val="6182292A"/>
    <w:rsid w:val="619F7F92"/>
    <w:rsid w:val="61DC274E"/>
    <w:rsid w:val="61E42882"/>
    <w:rsid w:val="61F45CEA"/>
    <w:rsid w:val="61F94C26"/>
    <w:rsid w:val="62000E56"/>
    <w:rsid w:val="62145A44"/>
    <w:rsid w:val="621A17A6"/>
    <w:rsid w:val="62284ADD"/>
    <w:rsid w:val="624F3E49"/>
    <w:rsid w:val="62632286"/>
    <w:rsid w:val="6267283E"/>
    <w:rsid w:val="62787B7F"/>
    <w:rsid w:val="62885958"/>
    <w:rsid w:val="62CC27C3"/>
    <w:rsid w:val="62D8112E"/>
    <w:rsid w:val="62F40B65"/>
    <w:rsid w:val="62F92E8C"/>
    <w:rsid w:val="62FC2CFE"/>
    <w:rsid w:val="63024505"/>
    <w:rsid w:val="632C3261"/>
    <w:rsid w:val="635B1DB5"/>
    <w:rsid w:val="63711FED"/>
    <w:rsid w:val="63880DDC"/>
    <w:rsid w:val="638D750D"/>
    <w:rsid w:val="639C2195"/>
    <w:rsid w:val="63A42D7E"/>
    <w:rsid w:val="63AB687C"/>
    <w:rsid w:val="63AC6CC0"/>
    <w:rsid w:val="64041AE8"/>
    <w:rsid w:val="64055776"/>
    <w:rsid w:val="6408782B"/>
    <w:rsid w:val="64155AA4"/>
    <w:rsid w:val="64240056"/>
    <w:rsid w:val="64267CB1"/>
    <w:rsid w:val="642A77A1"/>
    <w:rsid w:val="642E0F90"/>
    <w:rsid w:val="643E143A"/>
    <w:rsid w:val="64610CE9"/>
    <w:rsid w:val="648B6EEF"/>
    <w:rsid w:val="64C158BF"/>
    <w:rsid w:val="64CE2EAA"/>
    <w:rsid w:val="64D31DFF"/>
    <w:rsid w:val="64DC3505"/>
    <w:rsid w:val="65055706"/>
    <w:rsid w:val="65294FC1"/>
    <w:rsid w:val="653C3090"/>
    <w:rsid w:val="655F347A"/>
    <w:rsid w:val="657A02B4"/>
    <w:rsid w:val="657E1D4C"/>
    <w:rsid w:val="65854376"/>
    <w:rsid w:val="658767BE"/>
    <w:rsid w:val="65892531"/>
    <w:rsid w:val="659D52C7"/>
    <w:rsid w:val="65A76BCF"/>
    <w:rsid w:val="65BD63F3"/>
    <w:rsid w:val="65D10E95"/>
    <w:rsid w:val="65F471B2"/>
    <w:rsid w:val="661204ED"/>
    <w:rsid w:val="66195831"/>
    <w:rsid w:val="662C07B9"/>
    <w:rsid w:val="662D5327"/>
    <w:rsid w:val="662E75B1"/>
    <w:rsid w:val="66342C2E"/>
    <w:rsid w:val="663E784C"/>
    <w:rsid w:val="66434B4A"/>
    <w:rsid w:val="66495ED8"/>
    <w:rsid w:val="6661108B"/>
    <w:rsid w:val="6677281C"/>
    <w:rsid w:val="668B6A45"/>
    <w:rsid w:val="66AD290B"/>
    <w:rsid w:val="6703252B"/>
    <w:rsid w:val="672F3F24"/>
    <w:rsid w:val="673E055F"/>
    <w:rsid w:val="674072DB"/>
    <w:rsid w:val="67551CE3"/>
    <w:rsid w:val="676D7A10"/>
    <w:rsid w:val="677060B9"/>
    <w:rsid w:val="67717495"/>
    <w:rsid w:val="67A22552"/>
    <w:rsid w:val="67B22DCC"/>
    <w:rsid w:val="67BE71AA"/>
    <w:rsid w:val="67D90273"/>
    <w:rsid w:val="67D976EB"/>
    <w:rsid w:val="67DE5875"/>
    <w:rsid w:val="67E55852"/>
    <w:rsid w:val="67EB1AB4"/>
    <w:rsid w:val="67FA1285"/>
    <w:rsid w:val="67FD341E"/>
    <w:rsid w:val="683F57E5"/>
    <w:rsid w:val="68551F4F"/>
    <w:rsid w:val="687A681D"/>
    <w:rsid w:val="687C10C9"/>
    <w:rsid w:val="68840C16"/>
    <w:rsid w:val="68876EFB"/>
    <w:rsid w:val="68884654"/>
    <w:rsid w:val="68957B5C"/>
    <w:rsid w:val="689F444F"/>
    <w:rsid w:val="68B82B11"/>
    <w:rsid w:val="68B96DBB"/>
    <w:rsid w:val="68BB130F"/>
    <w:rsid w:val="68C63810"/>
    <w:rsid w:val="68CA2805"/>
    <w:rsid w:val="68DC3034"/>
    <w:rsid w:val="68E06D3E"/>
    <w:rsid w:val="68E937A3"/>
    <w:rsid w:val="692F2D98"/>
    <w:rsid w:val="693E15D3"/>
    <w:rsid w:val="694F1A58"/>
    <w:rsid w:val="69561038"/>
    <w:rsid w:val="695A27D3"/>
    <w:rsid w:val="69627681"/>
    <w:rsid w:val="6977531D"/>
    <w:rsid w:val="69790883"/>
    <w:rsid w:val="69831701"/>
    <w:rsid w:val="69CC2BFF"/>
    <w:rsid w:val="69DD18BB"/>
    <w:rsid w:val="69FA7C16"/>
    <w:rsid w:val="69FD55B8"/>
    <w:rsid w:val="6A024D1C"/>
    <w:rsid w:val="6A06480C"/>
    <w:rsid w:val="6A0B1C62"/>
    <w:rsid w:val="6A2406C8"/>
    <w:rsid w:val="6A3A36EC"/>
    <w:rsid w:val="6A3B19C7"/>
    <w:rsid w:val="6A624A2F"/>
    <w:rsid w:val="6A681023"/>
    <w:rsid w:val="6A7259FE"/>
    <w:rsid w:val="6A7F45BF"/>
    <w:rsid w:val="6A8B2F63"/>
    <w:rsid w:val="6AC65D4A"/>
    <w:rsid w:val="6AD7DD8C"/>
    <w:rsid w:val="6ADE0BD1"/>
    <w:rsid w:val="6AE14931"/>
    <w:rsid w:val="6AE215AE"/>
    <w:rsid w:val="6AE96859"/>
    <w:rsid w:val="6AF64881"/>
    <w:rsid w:val="6B147746"/>
    <w:rsid w:val="6B24787C"/>
    <w:rsid w:val="6B497849"/>
    <w:rsid w:val="6B573233"/>
    <w:rsid w:val="6B5B6274"/>
    <w:rsid w:val="6B712CDD"/>
    <w:rsid w:val="6B87372B"/>
    <w:rsid w:val="6B9302D2"/>
    <w:rsid w:val="6B935D53"/>
    <w:rsid w:val="6BAD2A66"/>
    <w:rsid w:val="6BC32289"/>
    <w:rsid w:val="6BD33D73"/>
    <w:rsid w:val="6BF6265F"/>
    <w:rsid w:val="6C196F71"/>
    <w:rsid w:val="6C226FCB"/>
    <w:rsid w:val="6C2E004A"/>
    <w:rsid w:val="6C2E3BA6"/>
    <w:rsid w:val="6C31226F"/>
    <w:rsid w:val="6C552F0B"/>
    <w:rsid w:val="6C787517"/>
    <w:rsid w:val="6C8C67B7"/>
    <w:rsid w:val="6C9D744C"/>
    <w:rsid w:val="6CB93AD4"/>
    <w:rsid w:val="6CC91B21"/>
    <w:rsid w:val="6CF853F8"/>
    <w:rsid w:val="6D167928"/>
    <w:rsid w:val="6D26299B"/>
    <w:rsid w:val="6D286848"/>
    <w:rsid w:val="6D422F29"/>
    <w:rsid w:val="6D4772EC"/>
    <w:rsid w:val="6D7B76CA"/>
    <w:rsid w:val="6D9078AF"/>
    <w:rsid w:val="6DAA3FEF"/>
    <w:rsid w:val="6DC0172B"/>
    <w:rsid w:val="6DC522E8"/>
    <w:rsid w:val="6DCB690C"/>
    <w:rsid w:val="6DD4077E"/>
    <w:rsid w:val="6DD41A5B"/>
    <w:rsid w:val="6DE65713"/>
    <w:rsid w:val="6DF10D7F"/>
    <w:rsid w:val="6DF42BCE"/>
    <w:rsid w:val="6DF43C2E"/>
    <w:rsid w:val="6DF51CA3"/>
    <w:rsid w:val="6E08173D"/>
    <w:rsid w:val="6E1374F8"/>
    <w:rsid w:val="6E184B0E"/>
    <w:rsid w:val="6E1D2124"/>
    <w:rsid w:val="6E8335BD"/>
    <w:rsid w:val="6E8E12EF"/>
    <w:rsid w:val="6E9543B1"/>
    <w:rsid w:val="6E972936"/>
    <w:rsid w:val="6EA148D7"/>
    <w:rsid w:val="6EB505AF"/>
    <w:rsid w:val="6EBC037B"/>
    <w:rsid w:val="6EC111D9"/>
    <w:rsid w:val="6ECD58F9"/>
    <w:rsid w:val="6ED446C5"/>
    <w:rsid w:val="6F1563E9"/>
    <w:rsid w:val="6F2A7D94"/>
    <w:rsid w:val="6F350378"/>
    <w:rsid w:val="6F435BBB"/>
    <w:rsid w:val="6F6873CF"/>
    <w:rsid w:val="6F694185"/>
    <w:rsid w:val="6F743FC6"/>
    <w:rsid w:val="6F8331F1"/>
    <w:rsid w:val="6F8C7562"/>
    <w:rsid w:val="6FAE1A09"/>
    <w:rsid w:val="6FBB39A3"/>
    <w:rsid w:val="6FC1659A"/>
    <w:rsid w:val="6FC860C0"/>
    <w:rsid w:val="6FD75BF8"/>
    <w:rsid w:val="6FEE5281"/>
    <w:rsid w:val="6FF375E1"/>
    <w:rsid w:val="706F478E"/>
    <w:rsid w:val="707723D0"/>
    <w:rsid w:val="70AA5A56"/>
    <w:rsid w:val="70AE175A"/>
    <w:rsid w:val="70D4233A"/>
    <w:rsid w:val="70F5661B"/>
    <w:rsid w:val="71221260"/>
    <w:rsid w:val="71360107"/>
    <w:rsid w:val="713B688E"/>
    <w:rsid w:val="71B132B0"/>
    <w:rsid w:val="71C17A1E"/>
    <w:rsid w:val="71D43752"/>
    <w:rsid w:val="71EA3A6E"/>
    <w:rsid w:val="71F1796A"/>
    <w:rsid w:val="71FE2F9F"/>
    <w:rsid w:val="72062ED0"/>
    <w:rsid w:val="72154626"/>
    <w:rsid w:val="72262B5D"/>
    <w:rsid w:val="72283FF7"/>
    <w:rsid w:val="722E7212"/>
    <w:rsid w:val="723A0474"/>
    <w:rsid w:val="72402885"/>
    <w:rsid w:val="725923E4"/>
    <w:rsid w:val="72792D8F"/>
    <w:rsid w:val="72864BF7"/>
    <w:rsid w:val="729023FC"/>
    <w:rsid w:val="729C2A02"/>
    <w:rsid w:val="72AE3C93"/>
    <w:rsid w:val="72D2048F"/>
    <w:rsid w:val="72FE3AB4"/>
    <w:rsid w:val="73027B3B"/>
    <w:rsid w:val="730B2E93"/>
    <w:rsid w:val="73612AB3"/>
    <w:rsid w:val="73740A39"/>
    <w:rsid w:val="739569E8"/>
    <w:rsid w:val="73AB1F81"/>
    <w:rsid w:val="73C0646E"/>
    <w:rsid w:val="73DF788A"/>
    <w:rsid w:val="73EC4A73"/>
    <w:rsid w:val="742222F5"/>
    <w:rsid w:val="744228E5"/>
    <w:rsid w:val="74476126"/>
    <w:rsid w:val="74546174"/>
    <w:rsid w:val="74706664"/>
    <w:rsid w:val="747F3682"/>
    <w:rsid w:val="748D1686"/>
    <w:rsid w:val="748E78D8"/>
    <w:rsid w:val="749C4185"/>
    <w:rsid w:val="74DB0643"/>
    <w:rsid w:val="74E6194D"/>
    <w:rsid w:val="74EE5647"/>
    <w:rsid w:val="75067759"/>
    <w:rsid w:val="7516167C"/>
    <w:rsid w:val="752E6DCD"/>
    <w:rsid w:val="75337477"/>
    <w:rsid w:val="7551380D"/>
    <w:rsid w:val="75600BE5"/>
    <w:rsid w:val="7564475C"/>
    <w:rsid w:val="7583797F"/>
    <w:rsid w:val="759E3B4B"/>
    <w:rsid w:val="75A03D67"/>
    <w:rsid w:val="75A938F1"/>
    <w:rsid w:val="75AF5D58"/>
    <w:rsid w:val="75BC0475"/>
    <w:rsid w:val="75D20F1D"/>
    <w:rsid w:val="75D94B83"/>
    <w:rsid w:val="75DA2C18"/>
    <w:rsid w:val="75F54412"/>
    <w:rsid w:val="760C0F67"/>
    <w:rsid w:val="76174260"/>
    <w:rsid w:val="761D08E0"/>
    <w:rsid w:val="761E748A"/>
    <w:rsid w:val="762D259F"/>
    <w:rsid w:val="765D347C"/>
    <w:rsid w:val="7671125F"/>
    <w:rsid w:val="76766876"/>
    <w:rsid w:val="76826699"/>
    <w:rsid w:val="769B62DC"/>
    <w:rsid w:val="76A14AFB"/>
    <w:rsid w:val="76AC04E9"/>
    <w:rsid w:val="76C87133"/>
    <w:rsid w:val="76CD08D5"/>
    <w:rsid w:val="76DB4B92"/>
    <w:rsid w:val="76DC7906"/>
    <w:rsid w:val="76F37EC6"/>
    <w:rsid w:val="77007A10"/>
    <w:rsid w:val="77052AA4"/>
    <w:rsid w:val="77136511"/>
    <w:rsid w:val="77340A39"/>
    <w:rsid w:val="77351FD0"/>
    <w:rsid w:val="773725DA"/>
    <w:rsid w:val="773A360A"/>
    <w:rsid w:val="773F4C21"/>
    <w:rsid w:val="77472422"/>
    <w:rsid w:val="774D4AD7"/>
    <w:rsid w:val="775C3CBE"/>
    <w:rsid w:val="775D3592"/>
    <w:rsid w:val="77693B91"/>
    <w:rsid w:val="777F31F2"/>
    <w:rsid w:val="77927D27"/>
    <w:rsid w:val="77D1700D"/>
    <w:rsid w:val="77EC04CC"/>
    <w:rsid w:val="77ED2B68"/>
    <w:rsid w:val="77F959B0"/>
    <w:rsid w:val="77FE2FC7"/>
    <w:rsid w:val="782E082C"/>
    <w:rsid w:val="78772705"/>
    <w:rsid w:val="78775729"/>
    <w:rsid w:val="78A42DB0"/>
    <w:rsid w:val="78A656AB"/>
    <w:rsid w:val="78AA2807"/>
    <w:rsid w:val="78B2245C"/>
    <w:rsid w:val="78E172CC"/>
    <w:rsid w:val="78EA1D1F"/>
    <w:rsid w:val="78FD6DDA"/>
    <w:rsid w:val="7904172F"/>
    <w:rsid w:val="79075EAB"/>
    <w:rsid w:val="790F7E27"/>
    <w:rsid w:val="79161A91"/>
    <w:rsid w:val="792A231A"/>
    <w:rsid w:val="79312F28"/>
    <w:rsid w:val="79316829"/>
    <w:rsid w:val="794E6B15"/>
    <w:rsid w:val="79532E9E"/>
    <w:rsid w:val="797C23F5"/>
    <w:rsid w:val="797E66A9"/>
    <w:rsid w:val="79910D9C"/>
    <w:rsid w:val="79A97383"/>
    <w:rsid w:val="79E27E8B"/>
    <w:rsid w:val="79F850CE"/>
    <w:rsid w:val="79FA5A10"/>
    <w:rsid w:val="79FD443C"/>
    <w:rsid w:val="79FD4ED1"/>
    <w:rsid w:val="7A0341FD"/>
    <w:rsid w:val="7A1D1975"/>
    <w:rsid w:val="7A3E5150"/>
    <w:rsid w:val="7A4670D6"/>
    <w:rsid w:val="7A534B63"/>
    <w:rsid w:val="7A57076C"/>
    <w:rsid w:val="7A615382"/>
    <w:rsid w:val="7A67303B"/>
    <w:rsid w:val="7A6D61E2"/>
    <w:rsid w:val="7AAB1D04"/>
    <w:rsid w:val="7ABA4368"/>
    <w:rsid w:val="7AD05746"/>
    <w:rsid w:val="7ADC7C48"/>
    <w:rsid w:val="7ADD3FAD"/>
    <w:rsid w:val="7B017582"/>
    <w:rsid w:val="7B256ABC"/>
    <w:rsid w:val="7B257FFD"/>
    <w:rsid w:val="7B2C1BF9"/>
    <w:rsid w:val="7B343476"/>
    <w:rsid w:val="7B51165F"/>
    <w:rsid w:val="7B5A2978"/>
    <w:rsid w:val="7B5A7E4C"/>
    <w:rsid w:val="7B667AF9"/>
    <w:rsid w:val="7B713AB0"/>
    <w:rsid w:val="7B7468F8"/>
    <w:rsid w:val="7BDF2F5C"/>
    <w:rsid w:val="7BE10C35"/>
    <w:rsid w:val="7BEB14FE"/>
    <w:rsid w:val="7BEE0103"/>
    <w:rsid w:val="7C0A0FE4"/>
    <w:rsid w:val="7C254906"/>
    <w:rsid w:val="7C2E374F"/>
    <w:rsid w:val="7C417926"/>
    <w:rsid w:val="7C417CE1"/>
    <w:rsid w:val="7C590818"/>
    <w:rsid w:val="7C613B24"/>
    <w:rsid w:val="7C7C10F6"/>
    <w:rsid w:val="7C853BEA"/>
    <w:rsid w:val="7C87349D"/>
    <w:rsid w:val="7C881368"/>
    <w:rsid w:val="7CAD4FBB"/>
    <w:rsid w:val="7CBA4FE2"/>
    <w:rsid w:val="7CE27788"/>
    <w:rsid w:val="7D0C32F1"/>
    <w:rsid w:val="7D0F408D"/>
    <w:rsid w:val="7D181B09"/>
    <w:rsid w:val="7D1943FF"/>
    <w:rsid w:val="7D2012E9"/>
    <w:rsid w:val="7D2E2BF1"/>
    <w:rsid w:val="7D491C6C"/>
    <w:rsid w:val="7D4E40A8"/>
    <w:rsid w:val="7D5429C0"/>
    <w:rsid w:val="7D6E6D43"/>
    <w:rsid w:val="7D7704CB"/>
    <w:rsid w:val="7D9F2B56"/>
    <w:rsid w:val="7DA243F4"/>
    <w:rsid w:val="7DAB0781"/>
    <w:rsid w:val="7DAC7CB2"/>
    <w:rsid w:val="7DB52ABB"/>
    <w:rsid w:val="7DB57A34"/>
    <w:rsid w:val="7DC723CC"/>
    <w:rsid w:val="7DC75C09"/>
    <w:rsid w:val="7DCA6F57"/>
    <w:rsid w:val="7DE60973"/>
    <w:rsid w:val="7DEC38C1"/>
    <w:rsid w:val="7DEF0916"/>
    <w:rsid w:val="7E1322EF"/>
    <w:rsid w:val="7E167D96"/>
    <w:rsid w:val="7E1E5218"/>
    <w:rsid w:val="7E2E79A1"/>
    <w:rsid w:val="7E33329E"/>
    <w:rsid w:val="7E74217C"/>
    <w:rsid w:val="7E784825"/>
    <w:rsid w:val="7E8B7AE5"/>
    <w:rsid w:val="7E972D44"/>
    <w:rsid w:val="7E9A4E1F"/>
    <w:rsid w:val="7EA7723A"/>
    <w:rsid w:val="7EC14D4E"/>
    <w:rsid w:val="7ECA3C03"/>
    <w:rsid w:val="7EF26CB5"/>
    <w:rsid w:val="7EF56FBB"/>
    <w:rsid w:val="7F0768EB"/>
    <w:rsid w:val="7F08472B"/>
    <w:rsid w:val="7F1430D0"/>
    <w:rsid w:val="7F143BEC"/>
    <w:rsid w:val="7F323556"/>
    <w:rsid w:val="7F6556D9"/>
    <w:rsid w:val="7F715AF2"/>
    <w:rsid w:val="7F73429A"/>
    <w:rsid w:val="7F7B4EFD"/>
    <w:rsid w:val="7F840255"/>
    <w:rsid w:val="7F886E69"/>
    <w:rsid w:val="7F8F5CC2"/>
    <w:rsid w:val="7F8F6BFA"/>
    <w:rsid w:val="7FAFBF36"/>
    <w:rsid w:val="7FC81B4C"/>
    <w:rsid w:val="7FF501B8"/>
    <w:rsid w:val="7FFD5912"/>
    <w:rsid w:val="7FFE14CA"/>
    <w:rsid w:val="7FFEA79A"/>
    <w:rsid w:val="9DFFD44B"/>
    <w:rsid w:val="BB7FA927"/>
    <w:rsid w:val="CBE4AE72"/>
    <w:rsid w:val="F3FED4C5"/>
    <w:rsid w:val="F5FFD31F"/>
    <w:rsid w:val="FEF9D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8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0"/>
    <w:qFormat/>
    <w:uiPriority w:val="0"/>
    <w:pPr>
      <w:shd w:val="clear" w:color="auto" w:fill="000080"/>
    </w:pPr>
  </w:style>
  <w:style w:type="paragraph" w:styleId="19">
    <w:name w:val="annotation text"/>
    <w:basedOn w:val="1"/>
    <w:link w:val="91"/>
    <w:qFormat/>
    <w:uiPriority w:val="99"/>
    <w:pPr>
      <w:jc w:val="left"/>
    </w:pPr>
  </w:style>
  <w:style w:type="paragraph" w:styleId="20">
    <w:name w:val="Salutation"/>
    <w:basedOn w:val="1"/>
    <w:next w:val="1"/>
    <w:link w:val="92"/>
    <w:qFormat/>
    <w:uiPriority w:val="0"/>
    <w:rPr>
      <w:rFonts w:ascii="仿宋_GB2312" w:eastAsia="仿宋_GB2312"/>
      <w:sz w:val="28"/>
      <w:szCs w:val="20"/>
    </w:rPr>
  </w:style>
  <w:style w:type="paragraph" w:styleId="21">
    <w:name w:val="Body Text 3"/>
    <w:basedOn w:val="1"/>
    <w:link w:val="9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8"/>
    <w:qFormat/>
    <w:uiPriority w:val="0"/>
    <w:pPr>
      <w:ind w:left="100" w:leftChars="2500"/>
    </w:pPr>
    <w:rPr>
      <w:rFonts w:ascii="宋体"/>
      <w:sz w:val="24"/>
      <w:szCs w:val="21"/>
      <w:lang w:val="zh-CN"/>
    </w:rPr>
  </w:style>
  <w:style w:type="paragraph" w:styleId="36">
    <w:name w:val="Body Text Indent 2"/>
    <w:basedOn w:val="1"/>
    <w:link w:val="99"/>
    <w:qFormat/>
    <w:uiPriority w:val="0"/>
    <w:pPr>
      <w:spacing w:line="360" w:lineRule="auto"/>
      <w:ind w:firstLine="601"/>
      <w:textAlignment w:val="baseline"/>
    </w:pPr>
    <w:rPr>
      <w:rFonts w:ascii="宋体"/>
      <w:kern w:val="0"/>
      <w:sz w:val="28"/>
      <w:szCs w:val="20"/>
    </w:rPr>
  </w:style>
  <w:style w:type="paragraph" w:styleId="37">
    <w:name w:val="endnote text"/>
    <w:basedOn w:val="1"/>
    <w:link w:val="100"/>
    <w:qFormat/>
    <w:uiPriority w:val="0"/>
    <w:rPr>
      <w:lang w:val="zh-CN"/>
    </w:rPr>
  </w:style>
  <w:style w:type="paragraph" w:styleId="38">
    <w:name w:val="Balloon Text"/>
    <w:basedOn w:val="1"/>
    <w:link w:val="101"/>
    <w:qFormat/>
    <w:uiPriority w:val="0"/>
    <w:rPr>
      <w:sz w:val="18"/>
      <w:szCs w:val="18"/>
    </w:rPr>
  </w:style>
  <w:style w:type="paragraph" w:styleId="39">
    <w:name w:val="footer"/>
    <w:basedOn w:val="1"/>
    <w:link w:val="102"/>
    <w:qFormat/>
    <w:uiPriority w:val="0"/>
    <w:pPr>
      <w:tabs>
        <w:tab w:val="center" w:pos="4153"/>
        <w:tab w:val="right" w:pos="8306"/>
      </w:tabs>
      <w:snapToGrid w:val="0"/>
      <w:jc w:val="left"/>
    </w:pPr>
    <w:rPr>
      <w:sz w:val="18"/>
      <w:szCs w:val="18"/>
    </w:rPr>
  </w:style>
  <w:style w:type="paragraph" w:styleId="40">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6"/>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8"/>
    <w:qFormat/>
    <w:uiPriority w:val="0"/>
    <w:pPr>
      <w:spacing w:after="120" w:line="480" w:lineRule="auto"/>
    </w:pPr>
  </w:style>
  <w:style w:type="paragraph" w:styleId="56">
    <w:name w:val="List 4"/>
    <w:basedOn w:val="1"/>
    <w:unhideWhenUsed/>
    <w:qFormat/>
    <w:uiPriority w:val="0"/>
    <w:pPr>
      <w:adjustRightInd/>
      <w:ind w:left="100" w:leftChars="600" w:hanging="200" w:hangingChars="200"/>
    </w:pPr>
    <w:rPr>
      <w:sz w:val="28"/>
    </w:r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1"/>
    <w:qFormat/>
    <w:uiPriority w:val="0"/>
    <w:rPr>
      <w:b/>
      <w:bCs/>
    </w:rPr>
  </w:style>
  <w:style w:type="paragraph" w:styleId="61">
    <w:name w:val="Body Text First Indent"/>
    <w:basedOn w:val="23"/>
    <w:link w:val="112"/>
    <w:qFormat/>
    <w:uiPriority w:val="0"/>
    <w:pPr>
      <w:ind w:firstLine="420"/>
    </w:pPr>
    <w:rPr>
      <w:rFonts w:hAnsi="Calibri" w:cs="Times New Roman"/>
      <w:snapToGrid/>
      <w:szCs w:val="20"/>
    </w:rPr>
  </w:style>
  <w:style w:type="paragraph" w:styleId="62">
    <w:name w:val="Body Text First Indent 2"/>
    <w:basedOn w:val="24"/>
    <w:link w:val="11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0"/>
    <w:rPr>
      <w:rFonts w:ascii="Arial" w:hAnsi="Arial" w:eastAsia="黑体" w:cs="Arial"/>
      <w:snapToGrid w:val="0"/>
      <w:color w:val="000000"/>
      <w:kern w:val="0"/>
      <w:sz w:val="18"/>
      <w:szCs w:val="18"/>
      <w:u w:val="none"/>
    </w:rPr>
  </w:style>
  <w:style w:type="character" w:styleId="75">
    <w:name w:val="Emphasis"/>
    <w:qFormat/>
    <w:uiPriority w:val="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0"/>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标题 1 字符1"/>
    <w:link w:val="3"/>
    <w:qFormat/>
    <w:uiPriority w:val="0"/>
    <w:rPr>
      <w:b/>
      <w:bCs/>
      <w:kern w:val="44"/>
      <w:sz w:val="44"/>
      <w:szCs w:val="44"/>
    </w:rPr>
  </w:style>
  <w:style w:type="character" w:customStyle="1" w:styleId="81">
    <w:name w:val="正文缩进 字符2"/>
    <w:link w:val="5"/>
    <w:qFormat/>
    <w:uiPriority w:val="0"/>
    <w:rPr>
      <w:rFonts w:ascii="宋体" w:eastAsia="宋体"/>
      <w:snapToGrid w:val="0"/>
      <w:color w:val="000000"/>
      <w:kern w:val="28"/>
      <w:sz w:val="28"/>
      <w:lang w:val="en-US" w:eastAsia="zh-CN" w:bidi="ar-SA"/>
    </w:rPr>
  </w:style>
  <w:style w:type="character" w:customStyle="1" w:styleId="82">
    <w:name w:val="标题 3 字符1"/>
    <w:link w:val="4"/>
    <w:qFormat/>
    <w:uiPriority w:val="0"/>
    <w:rPr>
      <w:b/>
      <w:bCs/>
      <w:kern w:val="2"/>
      <w:sz w:val="32"/>
      <w:szCs w:val="32"/>
    </w:rPr>
  </w:style>
  <w:style w:type="character" w:customStyle="1" w:styleId="83">
    <w:name w:val="标题 4 字符1"/>
    <w:link w:val="6"/>
    <w:qFormat/>
    <w:uiPriority w:val="9"/>
    <w:rPr>
      <w:rFonts w:ascii="Arial" w:hAnsi="Arial" w:eastAsia="黑体"/>
      <w:b/>
      <w:bCs/>
      <w:kern w:val="2"/>
      <w:sz w:val="28"/>
      <w:szCs w:val="28"/>
      <w:lang w:val="zh-CN"/>
    </w:rPr>
  </w:style>
  <w:style w:type="character" w:customStyle="1" w:styleId="84">
    <w:name w:val="标题 5 字符"/>
    <w:link w:val="7"/>
    <w:qFormat/>
    <w:uiPriority w:val="0"/>
    <w:rPr>
      <w:b/>
      <w:bCs/>
      <w:kern w:val="2"/>
      <w:sz w:val="28"/>
      <w:szCs w:val="28"/>
    </w:rPr>
  </w:style>
  <w:style w:type="character" w:customStyle="1" w:styleId="85">
    <w:name w:val="标题 6 字符"/>
    <w:link w:val="8"/>
    <w:qFormat/>
    <w:uiPriority w:val="0"/>
    <w:rPr>
      <w:rFonts w:ascii="Arial" w:hAnsi="Arial" w:eastAsia="黑体"/>
      <w:b/>
      <w:bCs/>
      <w:kern w:val="2"/>
      <w:sz w:val="24"/>
      <w:szCs w:val="24"/>
    </w:rPr>
  </w:style>
  <w:style w:type="character" w:customStyle="1" w:styleId="86">
    <w:name w:val="标题 7 字符"/>
    <w:link w:val="9"/>
    <w:qFormat/>
    <w:uiPriority w:val="0"/>
    <w:rPr>
      <w:b/>
      <w:bCs/>
      <w:kern w:val="2"/>
      <w:sz w:val="24"/>
      <w:szCs w:val="24"/>
    </w:rPr>
  </w:style>
  <w:style w:type="character" w:customStyle="1" w:styleId="87">
    <w:name w:val="标题 8 字符"/>
    <w:link w:val="10"/>
    <w:qFormat/>
    <w:uiPriority w:val="0"/>
    <w:rPr>
      <w:rFonts w:ascii="Arial" w:hAnsi="Arial" w:eastAsia="黑体"/>
      <w:kern w:val="2"/>
      <w:sz w:val="24"/>
      <w:szCs w:val="24"/>
    </w:rPr>
  </w:style>
  <w:style w:type="character" w:customStyle="1" w:styleId="88">
    <w:name w:val="标题 9 字符"/>
    <w:link w:val="11"/>
    <w:qFormat/>
    <w:uiPriority w:val="0"/>
    <w:rPr>
      <w:rFonts w:ascii="Arial" w:hAnsi="Arial" w:eastAsia="黑体"/>
      <w:kern w:val="2"/>
      <w:sz w:val="21"/>
      <w:szCs w:val="21"/>
    </w:rPr>
  </w:style>
  <w:style w:type="character" w:customStyle="1" w:styleId="89">
    <w:name w:val="题注 字符"/>
    <w:link w:val="16"/>
    <w:qFormat/>
    <w:uiPriority w:val="0"/>
    <w:rPr>
      <w:b/>
      <w:kern w:val="2"/>
      <w:sz w:val="28"/>
    </w:rPr>
  </w:style>
  <w:style w:type="character" w:customStyle="1" w:styleId="90">
    <w:name w:val="文档结构图 字符"/>
    <w:link w:val="18"/>
    <w:qFormat/>
    <w:uiPriority w:val="0"/>
    <w:rPr>
      <w:kern w:val="2"/>
      <w:sz w:val="21"/>
      <w:szCs w:val="24"/>
      <w:shd w:val="clear" w:color="auto" w:fill="000080"/>
    </w:rPr>
  </w:style>
  <w:style w:type="character" w:customStyle="1" w:styleId="91">
    <w:name w:val="批注文字 字符1"/>
    <w:link w:val="19"/>
    <w:qFormat/>
    <w:uiPriority w:val="99"/>
    <w:rPr>
      <w:kern w:val="2"/>
      <w:sz w:val="21"/>
      <w:szCs w:val="24"/>
    </w:rPr>
  </w:style>
  <w:style w:type="character" w:customStyle="1" w:styleId="92">
    <w:name w:val="称呼 字符"/>
    <w:link w:val="20"/>
    <w:qFormat/>
    <w:uiPriority w:val="0"/>
    <w:rPr>
      <w:rFonts w:ascii="仿宋_GB2312" w:eastAsia="仿宋_GB2312"/>
      <w:kern w:val="2"/>
      <w:sz w:val="28"/>
    </w:rPr>
  </w:style>
  <w:style w:type="character" w:customStyle="1" w:styleId="93">
    <w:name w:val="正文文本 3 字符"/>
    <w:link w:val="21"/>
    <w:qFormat/>
    <w:uiPriority w:val="0"/>
    <w:rPr>
      <w:kern w:val="2"/>
      <w:sz w:val="21"/>
    </w:rPr>
  </w:style>
  <w:style w:type="character" w:customStyle="1" w:styleId="9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5">
    <w:name w:val="正文文本缩进 字符1"/>
    <w:link w:val="24"/>
    <w:qFormat/>
    <w:uiPriority w:val="99"/>
    <w:rPr>
      <w:rFonts w:ascii="宋体" w:hAnsi="宋体"/>
      <w:kern w:val="2"/>
      <w:sz w:val="24"/>
      <w:szCs w:val="24"/>
    </w:rPr>
  </w:style>
  <w:style w:type="character" w:customStyle="1" w:styleId="96">
    <w:name w:val="HTML 地址 字符"/>
    <w:link w:val="29"/>
    <w:qFormat/>
    <w:uiPriority w:val="0"/>
    <w:rPr>
      <w:rFonts w:ascii="宋体" w:hAnsi="宋体"/>
      <w:i/>
      <w:iCs/>
      <w:sz w:val="24"/>
      <w:szCs w:val="24"/>
    </w:rPr>
  </w:style>
  <w:style w:type="character" w:customStyle="1" w:styleId="9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98">
    <w:name w:val="日期 字符"/>
    <w:link w:val="35"/>
    <w:qFormat/>
    <w:uiPriority w:val="0"/>
    <w:rPr>
      <w:rFonts w:ascii="宋体"/>
      <w:kern w:val="2"/>
      <w:sz w:val="24"/>
      <w:szCs w:val="21"/>
      <w:lang w:val="zh-CN"/>
    </w:rPr>
  </w:style>
  <w:style w:type="character" w:customStyle="1" w:styleId="99">
    <w:name w:val="正文文本缩进 2 字符"/>
    <w:link w:val="36"/>
    <w:qFormat/>
    <w:uiPriority w:val="0"/>
    <w:rPr>
      <w:rFonts w:ascii="宋体"/>
      <w:sz w:val="28"/>
    </w:rPr>
  </w:style>
  <w:style w:type="character" w:customStyle="1" w:styleId="100">
    <w:name w:val="尾注文本 字符"/>
    <w:link w:val="37"/>
    <w:qFormat/>
    <w:uiPriority w:val="0"/>
    <w:rPr>
      <w:kern w:val="2"/>
      <w:sz w:val="21"/>
      <w:szCs w:val="24"/>
      <w:lang w:val="zh-CN"/>
    </w:rPr>
  </w:style>
  <w:style w:type="character" w:customStyle="1" w:styleId="101">
    <w:name w:val="批注框文本 字符1"/>
    <w:link w:val="38"/>
    <w:qFormat/>
    <w:uiPriority w:val="0"/>
    <w:rPr>
      <w:kern w:val="2"/>
      <w:sz w:val="18"/>
      <w:szCs w:val="18"/>
    </w:rPr>
  </w:style>
  <w:style w:type="character" w:customStyle="1" w:styleId="102">
    <w:name w:val="页脚 字符2"/>
    <w:link w:val="39"/>
    <w:qFormat/>
    <w:locked/>
    <w:uiPriority w:val="0"/>
    <w:rPr>
      <w:kern w:val="2"/>
      <w:sz w:val="18"/>
      <w:szCs w:val="18"/>
    </w:rPr>
  </w:style>
  <w:style w:type="character" w:customStyle="1" w:styleId="103">
    <w:name w:val="页眉 字符2"/>
    <w:link w:val="40"/>
    <w:qFormat/>
    <w:uiPriority w:val="0"/>
    <w:rPr>
      <w:kern w:val="2"/>
      <w:sz w:val="18"/>
      <w:szCs w:val="18"/>
    </w:rPr>
  </w:style>
  <w:style w:type="character" w:customStyle="1" w:styleId="104">
    <w:name w:val="签名 字符"/>
    <w:link w:val="41"/>
    <w:qFormat/>
    <w:uiPriority w:val="0"/>
    <w:rPr>
      <w:rFonts w:eastAsia="仿宋_GB2312"/>
      <w:sz w:val="24"/>
    </w:rPr>
  </w:style>
  <w:style w:type="character" w:customStyle="1" w:styleId="105">
    <w:name w:val="副标题 字符"/>
    <w:link w:val="46"/>
    <w:qFormat/>
    <w:uiPriority w:val="0"/>
    <w:rPr>
      <w:rFonts w:ascii="Arial" w:hAnsi="Arial" w:eastAsia="隶书"/>
      <w:b/>
      <w:bCs/>
      <w:kern w:val="28"/>
      <w:sz w:val="44"/>
      <w:szCs w:val="32"/>
      <w:lang w:val="en-US" w:eastAsia="zh-CN" w:bidi="ar-SA"/>
    </w:rPr>
  </w:style>
  <w:style w:type="character" w:customStyle="1" w:styleId="106">
    <w:name w:val="脚注文本 字符"/>
    <w:link w:val="49"/>
    <w:qFormat/>
    <w:uiPriority w:val="0"/>
    <w:rPr>
      <w:color w:val="0000FF"/>
      <w:sz w:val="21"/>
    </w:rPr>
  </w:style>
  <w:style w:type="character" w:customStyle="1" w:styleId="107">
    <w:name w:val="正文文本缩进 3 字符"/>
    <w:link w:val="52"/>
    <w:qFormat/>
    <w:uiPriority w:val="0"/>
    <w:rPr>
      <w:kern w:val="2"/>
      <w:sz w:val="24"/>
    </w:rPr>
  </w:style>
  <w:style w:type="character" w:customStyle="1" w:styleId="108">
    <w:name w:val="正文文本 2 字符1"/>
    <w:link w:val="55"/>
    <w:qFormat/>
    <w:uiPriority w:val="0"/>
    <w:rPr>
      <w:kern w:val="2"/>
      <w:sz w:val="21"/>
      <w:szCs w:val="24"/>
    </w:rPr>
  </w:style>
  <w:style w:type="character" w:customStyle="1" w:styleId="109">
    <w:name w:val="HTML 预设格式 字符"/>
    <w:link w:val="57"/>
    <w:qFormat/>
    <w:uiPriority w:val="0"/>
    <w:rPr>
      <w:rFonts w:ascii="黑体" w:hAnsi="Courier New" w:eastAsia="黑体"/>
    </w:rPr>
  </w:style>
  <w:style w:type="character" w:customStyle="1" w:styleId="110">
    <w:name w:val="标题 字符"/>
    <w:link w:val="59"/>
    <w:qFormat/>
    <w:uiPriority w:val="10"/>
    <w:rPr>
      <w:b/>
      <w:sz w:val="24"/>
      <w:lang w:val="en-GB"/>
    </w:rPr>
  </w:style>
  <w:style w:type="character" w:customStyle="1" w:styleId="111">
    <w:name w:val="批注主题 字符"/>
    <w:link w:val="60"/>
    <w:qFormat/>
    <w:uiPriority w:val="0"/>
    <w:rPr>
      <w:b/>
      <w:bCs/>
      <w:kern w:val="2"/>
      <w:sz w:val="21"/>
      <w:szCs w:val="24"/>
    </w:rPr>
  </w:style>
  <w:style w:type="character" w:customStyle="1" w:styleId="112">
    <w:name w:val="正文首行缩进 字符"/>
    <w:link w:val="61"/>
    <w:qFormat/>
    <w:uiPriority w:val="0"/>
    <w:rPr>
      <w:rFonts w:ascii="宋体"/>
      <w:kern w:val="2"/>
      <w:sz w:val="24"/>
      <w:lang w:val="zh-CN"/>
    </w:rPr>
  </w:style>
  <w:style w:type="character" w:customStyle="1" w:styleId="113">
    <w:name w:val="正文首行缩进 2 字符"/>
    <w:link w:val="62"/>
    <w:qFormat/>
    <w:uiPriority w:val="0"/>
    <w:rPr>
      <w:rFonts w:ascii="宋体" w:hAnsi="宋体"/>
      <w:kern w:val="2"/>
      <w:sz w:val="21"/>
      <w:szCs w:val="24"/>
    </w:rPr>
  </w:style>
  <w:style w:type="character" w:customStyle="1" w:styleId="114">
    <w:name w:val="表格非标题文字 Char"/>
    <w:link w:val="115"/>
    <w:qFormat/>
    <w:uiPriority w:val="0"/>
    <w:rPr>
      <w:rFonts w:ascii="Futura Bk" w:hAnsi="Futura Bk"/>
      <w:kern w:val="2"/>
      <w:sz w:val="18"/>
      <w:szCs w:val="21"/>
      <w:lang w:val="en-US" w:eastAsia="zh-CN" w:bidi="ar-SA"/>
    </w:rPr>
  </w:style>
  <w:style w:type="paragraph" w:customStyle="1" w:styleId="115">
    <w:name w:val="表格非标题文字"/>
    <w:link w:val="11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6">
    <w:name w:val="*正文 Char"/>
    <w:link w:val="117"/>
    <w:qFormat/>
    <w:locked/>
    <w:uiPriority w:val="0"/>
    <w:rPr>
      <w:rFonts w:ascii="宋体" w:hAnsi="宋体"/>
      <w:sz w:val="24"/>
    </w:rPr>
  </w:style>
  <w:style w:type="paragraph" w:customStyle="1" w:styleId="117">
    <w:name w:val="*正文"/>
    <w:basedOn w:val="1"/>
    <w:link w:val="116"/>
    <w:qFormat/>
    <w:uiPriority w:val="0"/>
    <w:pPr>
      <w:snapToGrid w:val="0"/>
      <w:spacing w:line="360" w:lineRule="auto"/>
      <w:ind w:firstLine="482"/>
      <w:jc w:val="left"/>
    </w:pPr>
    <w:rPr>
      <w:rFonts w:ascii="宋体" w:hAnsi="宋体"/>
      <w:kern w:val="0"/>
      <w:sz w:val="24"/>
      <w:szCs w:val="20"/>
    </w:rPr>
  </w:style>
  <w:style w:type="character" w:customStyle="1" w:styleId="118">
    <w:name w:val="Char Char71"/>
    <w:semiHidden/>
    <w:qFormat/>
    <w:uiPriority w:val="0"/>
    <w:rPr>
      <w:rFonts w:eastAsia="宋体"/>
      <w:kern w:val="2"/>
      <w:sz w:val="21"/>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正文缩进 Char"/>
    <w:qFormat/>
    <w:uiPriority w:val="0"/>
    <w:rPr>
      <w:rFonts w:eastAsia="宋体"/>
      <w:kern w:val="2"/>
      <w:sz w:val="21"/>
      <w:lang w:val="en-US" w:eastAsia="zh-CN"/>
    </w:rPr>
  </w:style>
  <w:style w:type="character" w:customStyle="1" w:styleId="121">
    <w:name w:val="正文首行缩进 Char1"/>
    <w:qFormat/>
    <w:uiPriority w:val="99"/>
    <w:rPr>
      <w:rFonts w:ascii="宋体" w:hAnsi="Times New Roman" w:eastAsia="宋体" w:cs="Times New Roman"/>
      <w:snapToGrid w:val="0"/>
      <w:kern w:val="2"/>
      <w:sz w:val="24"/>
      <w:szCs w:val="21"/>
      <w:lang w:val="zh-CN"/>
    </w:rPr>
  </w:style>
  <w:style w:type="character" w:customStyle="1" w:styleId="122">
    <w:name w:val="Char Char28"/>
    <w:qFormat/>
    <w:uiPriority w:val="6"/>
    <w:rPr>
      <w:rFonts w:ascii="仿宋_GB2312" w:hAnsi="仿宋_GB2312" w:eastAsia="仿宋_GB2312"/>
      <w:kern w:val="1"/>
      <w:sz w:val="28"/>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6"/>
    <w:rPr>
      <w:rFonts w:ascii="Times New Roman" w:hAnsi="Times New Roman" w:eastAsia="黑体" w:cs="Times New Roman"/>
      <w:b/>
      <w:kern w:val="0"/>
      <w:sz w:val="24"/>
      <w:szCs w:val="24"/>
    </w:rPr>
  </w:style>
  <w:style w:type="character" w:customStyle="1" w:styleId="125">
    <w:name w:val="U_正文 Char"/>
    <w:link w:val="126"/>
    <w:qFormat/>
    <w:uiPriority w:val="0"/>
    <w:rPr>
      <w:sz w:val="24"/>
      <w:szCs w:val="24"/>
    </w:rPr>
  </w:style>
  <w:style w:type="paragraph" w:customStyle="1" w:styleId="126">
    <w:name w:val="U_正文"/>
    <w:basedOn w:val="1"/>
    <w:link w:val="125"/>
    <w:qFormat/>
    <w:uiPriority w:val="0"/>
    <w:pPr>
      <w:adjustRightInd/>
      <w:spacing w:beforeLines="20" w:afterLines="20" w:line="300" w:lineRule="auto"/>
      <w:ind w:firstLine="200" w:firstLineChars="200"/>
    </w:pPr>
    <w:rPr>
      <w:kern w:val="0"/>
      <w:sz w:val="24"/>
    </w:rPr>
  </w:style>
  <w:style w:type="character" w:customStyle="1" w:styleId="127">
    <w:name w:val="HTML 地址 Char1"/>
    <w:qFormat/>
    <w:uiPriority w:val="99"/>
    <w:rPr>
      <w:rFonts w:ascii="Times New Roman" w:hAnsi="Times New Roman" w:eastAsia="宋体" w:cs="Times New Roman"/>
      <w:i/>
      <w:iCs/>
      <w:szCs w:val="24"/>
    </w:rPr>
  </w:style>
  <w:style w:type="character" w:customStyle="1" w:styleId="128">
    <w:name w:val="Char Char51"/>
    <w:qFormat/>
    <w:uiPriority w:val="0"/>
    <w:rPr>
      <w:rFonts w:ascii="宋体" w:hAnsi="Courier New" w:eastAsia="宋体"/>
      <w:kern w:val="2"/>
      <w:sz w:val="21"/>
      <w:lang w:val="en-US" w:eastAsia="zh-CN"/>
    </w:rPr>
  </w:style>
  <w:style w:type="character" w:customStyle="1" w:styleId="129">
    <w:name w:val="表正文 Char"/>
    <w:qFormat/>
    <w:uiPriority w:val="0"/>
    <w:rPr>
      <w:rFonts w:ascii="宋体" w:eastAsia="宋体"/>
      <w:snapToGrid w:val="0"/>
      <w:color w:val="000000"/>
      <w:kern w:val="28"/>
      <w:sz w:val="28"/>
      <w:lang w:val="en-US" w:eastAsia="zh-CN" w:bidi="ar-SA"/>
    </w:rPr>
  </w:style>
  <w:style w:type="character" w:customStyle="1" w:styleId="130">
    <w:name w:val="Char Char34"/>
    <w:qFormat/>
    <w:uiPriority w:val="6"/>
    <w:rPr>
      <w:b/>
      <w:kern w:val="1"/>
      <w:sz w:val="28"/>
      <w:szCs w:val="28"/>
    </w:rPr>
  </w:style>
  <w:style w:type="character" w:customStyle="1" w:styleId="13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0"/>
    <w:rPr>
      <w:rFonts w:ascii="宋体" w:hAnsi="宋体" w:eastAsia="宋体"/>
      <w:kern w:val="2"/>
      <w:sz w:val="24"/>
      <w:lang w:bidi="ar-SA"/>
    </w:rPr>
  </w:style>
  <w:style w:type="paragraph" w:customStyle="1" w:styleId="133">
    <w:name w:val="哈哈正文"/>
    <w:basedOn w:val="1"/>
    <w:link w:val="132"/>
    <w:qFormat/>
    <w:uiPriority w:val="0"/>
    <w:pPr>
      <w:adjustRightInd/>
      <w:spacing w:line="360" w:lineRule="auto"/>
      <w:ind w:firstLine="200" w:firstLineChars="200"/>
    </w:pPr>
    <w:rPr>
      <w:rFonts w:ascii="宋体" w:hAnsi="宋体"/>
      <w:sz w:val="24"/>
      <w:szCs w:val="20"/>
    </w:rPr>
  </w:style>
  <w:style w:type="character" w:customStyle="1" w:styleId="134">
    <w:name w:val="未处理的提及1"/>
    <w:qFormat/>
    <w:uiPriority w:val="0"/>
    <w:rPr>
      <w:color w:val="808080"/>
      <w:shd w:val="clear" w:color="auto" w:fill="E6E6E6"/>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Char Char32"/>
    <w:qFormat/>
    <w:uiPriority w:val="6"/>
    <w:rPr>
      <w:b/>
      <w:kern w:val="1"/>
      <w:sz w:val="24"/>
      <w:szCs w:val="24"/>
    </w:rPr>
  </w:style>
  <w:style w:type="character" w:customStyle="1" w:styleId="138">
    <w:name w:val="PI Char1"/>
    <w:qFormat/>
    <w:uiPriority w:val="0"/>
    <w:rPr>
      <w:rFonts w:ascii="宋体" w:hAnsi="宋体"/>
      <w:kern w:val="2"/>
      <w:sz w:val="24"/>
      <w:szCs w:val="24"/>
    </w:rPr>
  </w:style>
  <w:style w:type="character" w:customStyle="1" w:styleId="139">
    <w:name w:val="tw4winTerm"/>
    <w:qFormat/>
    <w:uiPriority w:val="0"/>
    <w:rPr>
      <w:color w:val="0000FF"/>
    </w:rPr>
  </w:style>
  <w:style w:type="character" w:customStyle="1" w:styleId="140">
    <w:name w:val="Footer Char"/>
    <w:qFormat/>
    <w:locked/>
    <w:uiPriority w:val="0"/>
    <w:rPr>
      <w:rFonts w:eastAsia="宋体"/>
      <w:kern w:val="2"/>
      <w:sz w:val="18"/>
      <w:lang w:val="en-US" w:eastAsia="zh-CN" w:bidi="ar-SA"/>
    </w:rPr>
  </w:style>
  <w:style w:type="character" w:customStyle="1" w:styleId="141">
    <w:name w:val="普通文字 Char Char1"/>
    <w:qFormat/>
    <w:uiPriority w:val="0"/>
    <w:rPr>
      <w:rFonts w:ascii="宋体" w:hAnsi="Courier New"/>
      <w:kern w:val="2"/>
      <w:sz w:val="21"/>
    </w:rPr>
  </w:style>
  <w:style w:type="character" w:customStyle="1" w:styleId="142">
    <w:name w:val="Char Char101"/>
    <w:qFormat/>
    <w:uiPriority w:val="6"/>
    <w:rPr>
      <w:rFonts w:ascii="宋体" w:hAnsi="宋体"/>
      <w:kern w:val="2"/>
      <w:sz w:val="21"/>
      <w:szCs w:val="24"/>
      <w:lang w:val="en-US" w:eastAsia="zh-CN"/>
    </w:rPr>
  </w:style>
  <w:style w:type="character" w:customStyle="1" w:styleId="143">
    <w:name w:val="标题 4 Char"/>
    <w:qFormat/>
    <w:uiPriority w:val="0"/>
    <w:rPr>
      <w:rFonts w:ascii="Arial" w:hAnsi="Arial" w:eastAsia="黑体"/>
      <w:b/>
      <w:kern w:val="2"/>
      <w:sz w:val="28"/>
    </w:rPr>
  </w:style>
  <w:style w:type="character" w:customStyle="1" w:styleId="144">
    <w:name w:val="链接"/>
    <w:qFormat/>
    <w:uiPriority w:val="0"/>
    <w:rPr>
      <w:color w:val="0000FF"/>
      <w:sz w:val="21"/>
      <w:szCs w:val="21"/>
      <w:u w:val="single"/>
    </w:rPr>
  </w:style>
  <w:style w:type="character" w:customStyle="1" w:styleId="145">
    <w:name w:val="h4 Char"/>
    <w:qFormat/>
    <w:uiPriority w:val="0"/>
    <w:rPr>
      <w:rFonts w:ascii="Arial" w:hAnsi="Arial" w:eastAsia="黑体"/>
      <w:b/>
      <w:bCs/>
      <w:kern w:val="2"/>
      <w:sz w:val="28"/>
      <w:szCs w:val="28"/>
      <w:lang w:val="zh-CN" w:eastAsia="zh-CN" w:bidi="ar-SA"/>
    </w:rPr>
  </w:style>
  <w:style w:type="character" w:customStyle="1" w:styleId="146">
    <w:name w:val="5正文 Char"/>
    <w:link w:val="147"/>
    <w:qFormat/>
    <w:uiPriority w:val="0"/>
    <w:rPr>
      <w:rFonts w:ascii="仿宋_GB2312" w:hAnsi="微软雅黑" w:eastAsia="仿宋_GB2312"/>
      <w:sz w:val="28"/>
      <w:szCs w:val="21"/>
    </w:rPr>
  </w:style>
  <w:style w:type="paragraph" w:customStyle="1" w:styleId="147">
    <w:name w:val="5正文"/>
    <w:basedOn w:val="1"/>
    <w:link w:val="14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8">
    <w:name w:val="标题 3 字符"/>
    <w:qFormat/>
    <w:uiPriority w:val="9"/>
    <w:rPr>
      <w:b/>
      <w:bCs/>
      <w:kern w:val="2"/>
      <w:sz w:val="32"/>
      <w:szCs w:val="32"/>
    </w:rPr>
  </w:style>
  <w:style w:type="character" w:customStyle="1" w:styleId="149">
    <w:name w:val="样式6 Char"/>
    <w:qFormat/>
    <w:uiPriority w:val="0"/>
    <w:rPr>
      <w:rFonts w:ascii="仿宋_GB2312" w:hAnsi="宋体" w:eastAsia="仿宋_GB2312"/>
      <w:b/>
      <w:bCs/>
      <w:kern w:val="2"/>
      <w:sz w:val="24"/>
      <w:szCs w:val="24"/>
      <w:lang w:val="en-US" w:eastAsia="zh-CN" w:bidi="ar-SA"/>
    </w:rPr>
  </w:style>
  <w:style w:type="character" w:customStyle="1" w:styleId="150">
    <w:name w:val="Char Char14"/>
    <w:qFormat/>
    <w:uiPriority w:val="6"/>
    <w:rPr>
      <w:rFonts w:ascii="黑体" w:hAnsi="黑体" w:eastAsia="黑体"/>
    </w:rPr>
  </w:style>
  <w:style w:type="character" w:customStyle="1" w:styleId="151">
    <w:name w:val="Heading 2 Hidden Char"/>
    <w:qFormat/>
    <w:uiPriority w:val="0"/>
    <w:rPr>
      <w:rFonts w:ascii="仿宋_GB2312" w:eastAsia="仿宋_GB2312"/>
      <w:b/>
      <w:bCs/>
      <w:kern w:val="2"/>
      <w:sz w:val="24"/>
      <w:szCs w:val="24"/>
      <w:lang w:val="zh-CN" w:eastAsia="zh-CN" w:bidi="ar-SA"/>
    </w:rPr>
  </w:style>
  <w:style w:type="character" w:customStyle="1" w:styleId="152">
    <w:name w:val="font11"/>
    <w:qFormat/>
    <w:uiPriority w:val="0"/>
    <w:rPr>
      <w:rFonts w:hint="default" w:ascii="Times New Roman" w:hAnsi="Times New Roman" w:cs="Times New Roman"/>
      <w:color w:val="000000"/>
      <w:sz w:val="22"/>
      <w:szCs w:val="22"/>
      <w:u w:val="none"/>
    </w:rPr>
  </w:style>
  <w:style w:type="character" w:customStyle="1" w:styleId="153">
    <w:name w:val="表正文 Char1"/>
    <w:qFormat/>
    <w:uiPriority w:val="0"/>
    <w:rPr>
      <w:rFonts w:ascii="宋体" w:eastAsia="宋体"/>
      <w:snapToGrid w:val="0"/>
      <w:color w:val="000000"/>
      <w:kern w:val="28"/>
      <w:sz w:val="28"/>
    </w:rPr>
  </w:style>
  <w:style w:type="character" w:customStyle="1" w:styleId="154">
    <w:name w:val="blue1"/>
    <w:basedOn w:val="70"/>
    <w:qFormat/>
    <w:uiPriority w:val="0"/>
    <w:rPr>
      <w:rFonts w:ascii="Arial" w:hAnsi="Arial" w:eastAsia="黑体" w:cs="Arial"/>
      <w:snapToGrid w:val="0"/>
      <w:kern w:val="0"/>
      <w:szCs w:val="21"/>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样式5 Char"/>
    <w:qFormat/>
    <w:uiPriority w:val="0"/>
    <w:rPr>
      <w:rFonts w:ascii="仿宋_GB2312" w:hAnsi="仿宋" w:eastAsia="仿宋_GB2312"/>
      <w:kern w:val="2"/>
      <w:sz w:val="24"/>
      <w:szCs w:val="24"/>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插图说明 Char"/>
    <w:qFormat/>
    <w:uiPriority w:val="0"/>
    <w:rPr>
      <w:rFonts w:eastAsia="黑体"/>
      <w:sz w:val="24"/>
      <w:lang w:val="en-US" w:eastAsia="zh-CN"/>
    </w:rPr>
  </w:style>
  <w:style w:type="character" w:customStyle="1" w:styleId="159">
    <w:name w:val="正文2 Char Char"/>
    <w:link w:val="160"/>
    <w:qFormat/>
    <w:uiPriority w:val="0"/>
    <w:rPr>
      <w:rFonts w:eastAsia="宋体"/>
      <w:kern w:val="2"/>
      <w:sz w:val="24"/>
      <w:lang w:val="en-US" w:eastAsia="zh-CN" w:bidi="ar-SA"/>
    </w:rPr>
  </w:style>
  <w:style w:type="paragraph" w:customStyle="1" w:styleId="160">
    <w:name w:val="正文2"/>
    <w:basedOn w:val="1"/>
    <w:link w:val="159"/>
    <w:qFormat/>
    <w:uiPriority w:val="0"/>
    <w:pPr>
      <w:spacing w:before="156" w:line="360" w:lineRule="auto"/>
      <w:ind w:firstLine="510" w:firstLineChars="200"/>
    </w:pPr>
    <w:rPr>
      <w:sz w:val="24"/>
      <w:szCs w:val="20"/>
    </w:rPr>
  </w:style>
  <w:style w:type="character" w:customStyle="1" w:styleId="161">
    <w:name w:val="Char Char24"/>
    <w:qFormat/>
    <w:uiPriority w:val="6"/>
    <w:rPr>
      <w:kern w:val="1"/>
      <w:sz w:val="21"/>
    </w:rPr>
  </w:style>
  <w:style w:type="character" w:customStyle="1" w:styleId="162">
    <w:name w:val="普通文字 Char1 Char"/>
    <w:qFormat/>
    <w:uiPriority w:val="0"/>
    <w:rPr>
      <w:rFonts w:ascii="宋体" w:hAnsi="Courier New" w:eastAsia="宋体"/>
      <w:kern w:val="2"/>
      <w:sz w:val="21"/>
      <w:szCs w:val="24"/>
      <w:lang w:val="en-US" w:eastAsia="zh-CN" w:bidi="ar-SA"/>
    </w:rPr>
  </w:style>
  <w:style w:type="character" w:customStyle="1" w:styleId="163">
    <w:name w:val="h3 Char1"/>
    <w:qFormat/>
    <w:uiPriority w:val="0"/>
    <w:rPr>
      <w:rFonts w:eastAsia="宋体"/>
      <w:b/>
      <w:bCs/>
      <w:kern w:val="2"/>
      <w:sz w:val="32"/>
      <w:szCs w:val="32"/>
      <w:lang w:bidi="ar-SA"/>
    </w:rPr>
  </w:style>
  <w:style w:type="character" w:customStyle="1" w:styleId="164">
    <w:name w:val="标题 Char1"/>
    <w:qFormat/>
    <w:uiPriority w:val="0"/>
    <w:rPr>
      <w:rFonts w:ascii="Cambria" w:hAnsi="Cambria" w:eastAsia="宋体" w:cs="Times New Roman"/>
      <w:b/>
      <w:bCs/>
      <w:sz w:val="32"/>
      <w:szCs w:val="32"/>
      <w:lang w:bidi="ar-SA"/>
    </w:rPr>
  </w:style>
  <w:style w:type="character" w:customStyle="1" w:styleId="165">
    <w:name w:val="gf正文1 Char"/>
    <w:qFormat/>
    <w:uiPriority w:val="0"/>
    <w:rPr>
      <w:rFonts w:ascii="宋体" w:hAnsi="宋体" w:eastAsia="宋体" w:cs="宋体"/>
      <w:kern w:val="2"/>
      <w:sz w:val="24"/>
      <w:szCs w:val="24"/>
      <w:lang w:val="en-US" w:eastAsia="zh-CN" w:bidi="ar-SA"/>
    </w:rPr>
  </w:style>
  <w:style w:type="character" w:customStyle="1" w:styleId="166">
    <w:name w:val="正文文本缩进 Char1"/>
    <w:qFormat/>
    <w:uiPriority w:val="0"/>
    <w:rPr>
      <w:rFonts w:ascii="Calibri" w:hAnsi="Calibri"/>
      <w:sz w:val="28"/>
    </w:rPr>
  </w:style>
  <w:style w:type="character" w:customStyle="1" w:styleId="167">
    <w:name w:val="No Spacing Char"/>
    <w:link w:val="168"/>
    <w:qFormat/>
    <w:uiPriority w:val="1"/>
    <w:rPr>
      <w:sz w:val="22"/>
      <w:szCs w:val="22"/>
      <w:lang w:val="en-US" w:eastAsia="zh-CN" w:bidi="ar-SA"/>
    </w:rPr>
  </w:style>
  <w:style w:type="paragraph" w:customStyle="1" w:styleId="168">
    <w:name w:val="无间隔1"/>
    <w:link w:val="167"/>
    <w:qFormat/>
    <w:uiPriority w:val="1"/>
    <w:rPr>
      <w:rFonts w:ascii="Times New Roman" w:hAnsi="Times New Roman" w:eastAsia="宋体" w:cs="Times New Roman"/>
      <w:sz w:val="22"/>
      <w:szCs w:val="22"/>
      <w:lang w:val="en-US" w:eastAsia="zh-CN"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font12gray1"/>
    <w:qFormat/>
    <w:uiPriority w:val="0"/>
    <w:rPr>
      <w:rFonts w:ascii="仿宋_GB2312" w:eastAsia="微软雅黑"/>
      <w:b/>
      <w:spacing w:val="300"/>
      <w:kern w:val="2"/>
      <w:sz w:val="18"/>
      <w:szCs w:val="18"/>
      <w:lang w:val="en-US" w:eastAsia="zh-CN" w:bidi="ar-SA"/>
    </w:rPr>
  </w:style>
  <w:style w:type="character" w:customStyle="1" w:styleId="171">
    <w:name w:val="Char Char7"/>
    <w:semiHidden/>
    <w:qFormat/>
    <w:uiPriority w:val="0"/>
    <w:rPr>
      <w:rFonts w:eastAsia="宋体"/>
      <w:kern w:val="2"/>
      <w:sz w:val="21"/>
      <w:szCs w:val="24"/>
      <w:lang w:val="en-US" w:eastAsia="zh-CN" w:bidi="ar-SA"/>
    </w:rPr>
  </w:style>
  <w:style w:type="character" w:customStyle="1" w:styleId="172">
    <w:name w:val="表名 Char"/>
    <w:qFormat/>
    <w:uiPriority w:val="0"/>
    <w:rPr>
      <w:rFonts w:eastAsia="宋体"/>
      <w:b/>
      <w:bCs/>
      <w:kern w:val="2"/>
      <w:sz w:val="24"/>
      <w:szCs w:val="24"/>
      <w:lang w:val="en-US" w:eastAsia="zh-CN" w:bidi="ar-SA"/>
    </w:rPr>
  </w:style>
  <w:style w:type="character" w:customStyle="1" w:styleId="173">
    <w:name w:val="Document Map Char"/>
    <w:qFormat/>
    <w:locked/>
    <w:uiPriority w:val="0"/>
    <w:rPr>
      <w:rFonts w:eastAsia="宋体"/>
      <w:kern w:val="2"/>
      <w:sz w:val="21"/>
      <w:szCs w:val="24"/>
      <w:lang w:val="en-US" w:eastAsia="zh-CN" w:bidi="ar-SA"/>
    </w:rPr>
  </w:style>
  <w:style w:type="character" w:customStyle="1" w:styleId="174">
    <w:name w:val="font41"/>
    <w:qFormat/>
    <w:uiPriority w:val="0"/>
    <w:rPr>
      <w:rFonts w:hint="eastAsia" w:ascii="仿宋_GB2312" w:eastAsia="仿宋_GB2312" w:cs="仿宋_GB2312"/>
      <w:color w:val="000000"/>
      <w:sz w:val="22"/>
      <w:szCs w:val="22"/>
      <w:u w:val="none"/>
    </w:rPr>
  </w:style>
  <w:style w:type="character" w:customStyle="1" w:styleId="175">
    <w:name w:val="纯文本 Char_0"/>
    <w:link w:val="176"/>
    <w:qFormat/>
    <w:uiPriority w:val="0"/>
    <w:rPr>
      <w:rFonts w:ascii="宋体" w:hAnsi="Courier New"/>
      <w:kern w:val="2"/>
      <w:sz w:val="21"/>
      <w:szCs w:val="21"/>
      <w:lang w:val="en-US" w:eastAsia="zh-CN"/>
    </w:rPr>
  </w:style>
  <w:style w:type="paragraph" w:customStyle="1" w:styleId="176">
    <w:name w:val="纯文本_0_0"/>
    <w:basedOn w:val="177"/>
    <w:link w:val="175"/>
    <w:qFormat/>
    <w:uiPriority w:val="0"/>
    <w:rPr>
      <w:rFonts w:ascii="宋体" w:hAnsi="Courier New"/>
      <w:szCs w:val="21"/>
    </w:rPr>
  </w:style>
  <w:style w:type="paragraph" w:customStyle="1" w:styleId="1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qFormat/>
    <w:locked/>
    <w:uiPriority w:val="0"/>
    <w:rPr>
      <w:rFonts w:eastAsia="宋体"/>
      <w:kern w:val="2"/>
      <w:sz w:val="18"/>
      <w:szCs w:val="18"/>
      <w:lang w:val="en-US" w:eastAsia="zh-CN" w:bidi="ar-SA"/>
    </w:rPr>
  </w:style>
  <w:style w:type="character" w:customStyle="1" w:styleId="179">
    <w:name w:val="正文 项目2 Char"/>
    <w:basedOn w:val="180"/>
    <w:qFormat/>
    <w:uiPriority w:val="0"/>
    <w:rPr>
      <w:rFonts w:ascii="仿宋_GB2312" w:hAnsi="仿宋_GB2312" w:eastAsia="仿宋_GB2312"/>
      <w:kern w:val="2"/>
      <w:sz w:val="24"/>
      <w:lang w:bidi="ar-SA"/>
    </w:rPr>
  </w:style>
  <w:style w:type="character" w:customStyle="1" w:styleId="180">
    <w:name w:val="正文 项目 Char"/>
    <w:qFormat/>
    <w:uiPriority w:val="0"/>
    <w:rPr>
      <w:rFonts w:ascii="仿宋_GB2312" w:hAnsi="仿宋_GB2312" w:eastAsia="仿宋_GB2312"/>
      <w:kern w:val="2"/>
      <w:sz w:val="24"/>
      <w:lang w:bidi="ar-SA"/>
    </w:rPr>
  </w:style>
  <w:style w:type="character" w:customStyle="1" w:styleId="181">
    <w:name w:val="h Char Char1"/>
    <w:qFormat/>
    <w:uiPriority w:val="0"/>
    <w:rPr>
      <w:rFonts w:eastAsia="宋体"/>
      <w:kern w:val="2"/>
      <w:sz w:val="18"/>
      <w:szCs w:val="18"/>
      <w:lang w:val="en-US" w:eastAsia="zh-CN" w:bidi="ar-SA"/>
    </w:rPr>
  </w:style>
  <w:style w:type="character" w:customStyle="1" w:styleId="182">
    <w:name w:val="Char Char27"/>
    <w:qFormat/>
    <w:uiPriority w:val="6"/>
    <w:rPr>
      <w:rFonts w:ascii="宋体" w:hAnsi="宋体" w:eastAsia="宋体"/>
      <w:color w:val="000000"/>
      <w:kern w:val="1"/>
      <w:sz w:val="28"/>
      <w:lang w:val="en-US" w:eastAsia="zh-CN" w:bidi="ar-SA"/>
    </w:rPr>
  </w:style>
  <w:style w:type="character" w:customStyle="1" w:styleId="183">
    <w:name w:val="px14"/>
    <w:qFormat/>
    <w:uiPriority w:val="0"/>
    <w:rPr>
      <w:rFonts w:ascii="仿宋_GB2312" w:eastAsia="微软雅黑" w:cs="Times New Roman"/>
      <w:b/>
      <w:kern w:val="2"/>
      <w:sz w:val="32"/>
      <w:szCs w:val="32"/>
      <w:lang w:val="en-US" w:eastAsia="zh-CN" w:bidi="ar-SA"/>
    </w:rPr>
  </w:style>
  <w:style w:type="character" w:customStyle="1" w:styleId="184">
    <w:name w:val="HTML 预设格式 Char1"/>
    <w:qFormat/>
    <w:uiPriority w:val="99"/>
    <w:rPr>
      <w:rFonts w:ascii="Courier New" w:hAnsi="Courier New" w:eastAsia="宋体" w:cs="Courier New"/>
      <w:sz w:val="20"/>
      <w:szCs w:val="20"/>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hei16b1"/>
    <w:qFormat/>
    <w:uiPriority w:val="0"/>
    <w:rPr>
      <w:rFonts w:hint="default" w:ascii="Arial" w:hAnsi="Arial" w:cs="Arial"/>
      <w:b/>
      <w:bCs/>
      <w:color w:val="000000"/>
      <w:sz w:val="24"/>
      <w:szCs w:val="24"/>
    </w:rPr>
  </w:style>
  <w:style w:type="character" w:customStyle="1" w:styleId="187">
    <w:name w:val="正文（绿盟科技） Char"/>
    <w:link w:val="188"/>
    <w:qFormat/>
    <w:uiPriority w:val="0"/>
    <w:rPr>
      <w:rFonts w:ascii="Arial" w:hAnsi="Arial"/>
      <w:sz w:val="21"/>
      <w:szCs w:val="21"/>
    </w:rPr>
  </w:style>
  <w:style w:type="paragraph" w:customStyle="1" w:styleId="188">
    <w:name w:val="正文（绿盟科技）"/>
    <w:link w:val="187"/>
    <w:qFormat/>
    <w:uiPriority w:val="0"/>
    <w:pPr>
      <w:spacing w:line="300" w:lineRule="auto"/>
    </w:pPr>
    <w:rPr>
      <w:rFonts w:ascii="Arial" w:hAnsi="Arial" w:eastAsia="宋体" w:cs="Times New Roman"/>
      <w:sz w:val="21"/>
      <w:szCs w:val="21"/>
      <w:lang w:val="en-US" w:eastAsia="zh-CN" w:bidi="ar-SA"/>
    </w:rPr>
  </w:style>
  <w:style w:type="character" w:customStyle="1" w:styleId="189">
    <w:name w:val="Char Char19"/>
    <w:qFormat/>
    <w:uiPriority w:val="0"/>
    <w:rPr>
      <w:rFonts w:ascii="宋体" w:hAnsi="宋体"/>
      <w:i/>
      <w:sz w:val="24"/>
      <w:szCs w:val="24"/>
    </w:rPr>
  </w:style>
  <w:style w:type="character" w:customStyle="1" w:styleId="190">
    <w:name w:val="页脚 Char"/>
    <w:qFormat/>
    <w:uiPriority w:val="0"/>
    <w:rPr>
      <w:rFonts w:eastAsia="仿宋_GB2312"/>
      <w:kern w:val="2"/>
      <w:sz w:val="18"/>
      <w:lang w:val="en-US" w:eastAsia="zh-CN"/>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Comment Text Char"/>
    <w:qFormat/>
    <w:locked/>
    <w:uiPriority w:val="0"/>
    <w:rPr>
      <w:rFonts w:ascii="宋体" w:hAnsi="宋体" w:eastAsia="宋体"/>
      <w:kern w:val="2"/>
      <w:sz w:val="24"/>
      <w:lang w:val="en-US" w:eastAsia="zh-CN" w:bidi="ar-SA"/>
    </w:rPr>
  </w:style>
  <w:style w:type="character" w:customStyle="1" w:styleId="193">
    <w:name w:val="标题 2 字符"/>
    <w:qFormat/>
    <w:uiPriority w:val="9"/>
    <w:rPr>
      <w:rFonts w:ascii="仿宋_GB2312" w:hAnsi="Times New Roman" w:eastAsia="仿宋_GB2312" w:cs="Times New Roman"/>
      <w:b/>
      <w:kern w:val="2"/>
      <w:sz w:val="24"/>
      <w:lang w:val="zh-CN"/>
    </w:rPr>
  </w:style>
  <w:style w:type="character" w:customStyle="1" w:styleId="194">
    <w:name w:val="Char Char72"/>
    <w:qFormat/>
    <w:uiPriority w:val="0"/>
    <w:rPr>
      <w:rFonts w:eastAsia="宋体"/>
      <w:kern w:val="2"/>
      <w:sz w:val="21"/>
      <w:szCs w:val="24"/>
      <w:lang w:val="en-US" w:eastAsia="zh-CN" w:bidi="ar-SA"/>
    </w:rPr>
  </w:style>
  <w:style w:type="character" w:customStyle="1" w:styleId="195">
    <w:name w:val="正文文本缩进 Char2"/>
    <w:qFormat/>
    <w:uiPriority w:val="0"/>
    <w:rPr>
      <w:rFonts w:ascii="Times New Roman" w:hAnsi="Times New Roman" w:eastAsia="宋体" w:cs="Times New Roman"/>
      <w:snapToGrid w:val="0"/>
      <w:kern w:val="0"/>
      <w:szCs w:val="24"/>
    </w:rPr>
  </w:style>
  <w:style w:type="character" w:customStyle="1" w:styleId="196">
    <w:name w:val="样式2 Char"/>
    <w:qFormat/>
    <w:uiPriority w:val="0"/>
    <w:rPr>
      <w:rFonts w:ascii="仿宋_GB2312" w:hAnsi="仿宋" w:eastAsia="仿宋_GB2312" w:cs="仿宋_GB2312"/>
      <w:b/>
      <w:bCs/>
      <w:sz w:val="32"/>
      <w:szCs w:val="30"/>
      <w:lang w:val="zh-CN"/>
    </w:rPr>
  </w:style>
  <w:style w:type="character" w:customStyle="1" w:styleId="197">
    <w:name w:val="表格名称[858D7CFB-ED40-4347-BF05-701D383B685F]"/>
    <w:link w:val="198"/>
    <w:qFormat/>
    <w:uiPriority w:val="0"/>
    <w:rPr>
      <w:sz w:val="32"/>
    </w:rPr>
  </w:style>
  <w:style w:type="paragraph" w:customStyle="1" w:styleId="198">
    <w:name w:val="表格名称"/>
    <w:basedOn w:val="2"/>
    <w:link w:val="19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9">
    <w:name w:val="Char Char4"/>
    <w:qFormat/>
    <w:uiPriority w:val="0"/>
    <w:rPr>
      <w:rFonts w:eastAsia="宋体"/>
      <w:b/>
      <w:sz w:val="24"/>
      <w:lang w:val="en-GB" w:eastAsia="zh-CN" w:bidi="ar-SA"/>
    </w:rPr>
  </w:style>
  <w:style w:type="character" w:customStyle="1" w:styleId="200">
    <w:name w:val="c7 style3"/>
    <w:qFormat/>
    <w:uiPriority w:val="0"/>
  </w:style>
  <w:style w:type="character" w:customStyle="1" w:styleId="201">
    <w:name w:val="正文文本 3 Char1"/>
    <w:semiHidden/>
    <w:qFormat/>
    <w:uiPriority w:val="99"/>
    <w:rPr>
      <w:rFonts w:ascii="Times New Roman" w:hAnsi="Times New Roman" w:eastAsia="宋体" w:cs="Times New Roman"/>
      <w:sz w:val="16"/>
      <w:szCs w:val="16"/>
    </w:rPr>
  </w:style>
  <w:style w:type="character" w:customStyle="1" w:styleId="202">
    <w:name w:val="tw4winInternal"/>
    <w:qFormat/>
    <w:uiPriority w:val="0"/>
    <w:rPr>
      <w:rFonts w:ascii="Courier New" w:hAnsi="Courier New" w:cs="Courier New"/>
      <w:color w:val="FF0000"/>
      <w:lang w:val="en-US" w:eastAsia="zh-CN"/>
    </w:rPr>
  </w:style>
  <w:style w:type="character" w:customStyle="1" w:styleId="203">
    <w:name w:val="Char Char10"/>
    <w:semiHidden/>
    <w:qFormat/>
    <w:uiPriority w:val="0"/>
    <w:rPr>
      <w:rFonts w:ascii="宋体" w:hAnsi="宋体"/>
      <w:kern w:val="2"/>
      <w:sz w:val="21"/>
      <w:szCs w:val="24"/>
      <w:lang w:val="en-US" w:eastAsia="zh-CN"/>
    </w:rPr>
  </w:style>
  <w:style w:type="character" w:customStyle="1" w:styleId="204">
    <w:name w:val="shadow11"/>
    <w:qFormat/>
    <w:uiPriority w:val="0"/>
    <w:rPr>
      <w:color w:val="000000"/>
      <w:sz w:val="21"/>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Char Char"/>
    <w:qFormat/>
    <w:uiPriority w:val="0"/>
    <w:rPr>
      <w:rFonts w:ascii="宋体" w:hAnsi="Courier New" w:eastAsia="宋体"/>
      <w:kern w:val="2"/>
      <w:sz w:val="21"/>
      <w:lang w:val="en-US" w:eastAsia="zh-CN" w:bidi="ar-SA"/>
    </w:rPr>
  </w:style>
  <w:style w:type="character" w:customStyle="1" w:styleId="207">
    <w:name w:val="签名 Char1"/>
    <w:qFormat/>
    <w:uiPriority w:val="99"/>
    <w:rPr>
      <w:rFonts w:ascii="Times New Roman" w:hAnsi="Times New Roman" w:eastAsia="宋体" w:cs="Times New Roman"/>
      <w:szCs w:val="24"/>
    </w:rPr>
  </w:style>
  <w:style w:type="character" w:customStyle="1" w:styleId="208">
    <w:name w:val="Char Char18"/>
    <w:qFormat/>
    <w:uiPriority w:val="0"/>
    <w:rPr>
      <w:rFonts w:ascii="宋体" w:hAnsi="宋体"/>
      <w:sz w:val="28"/>
    </w:rPr>
  </w:style>
  <w:style w:type="character" w:customStyle="1" w:styleId="209">
    <w:name w:val="批注文字 Char"/>
    <w:qFormat/>
    <w:uiPriority w:val="99"/>
    <w:rPr>
      <w:kern w:val="2"/>
      <w:sz w:val="21"/>
      <w:szCs w:val="24"/>
    </w:rPr>
  </w:style>
  <w:style w:type="character" w:customStyle="1" w:styleId="210">
    <w:name w:val="Char Char22"/>
    <w:qFormat/>
    <w:uiPriority w:val="6"/>
    <w:rPr>
      <w:rFonts w:ascii="宋体" w:hAnsi="宋体"/>
      <w:kern w:val="1"/>
      <w:sz w:val="24"/>
      <w:szCs w:val="24"/>
    </w:rPr>
  </w:style>
  <w:style w:type="character" w:customStyle="1" w:styleId="211">
    <w:name w:val="pt141"/>
    <w:qFormat/>
    <w:uiPriority w:val="0"/>
    <w:rPr>
      <w:color w:val="330066"/>
      <w:sz w:val="22"/>
      <w:szCs w:val="22"/>
    </w:r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kern w:val="0"/>
      <w:sz w:val="24"/>
    </w:rPr>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0"/>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纯文本 字符"/>
    <w:qFormat/>
    <w:uiPriority w:val="0"/>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0"/>
    <w:rPr>
      <w:rFonts w:ascii="宋体" w:hAnsi="宋体"/>
      <w:b/>
      <w:bCs/>
      <w:snapToGrid/>
      <w:sz w:val="28"/>
    </w:rPr>
  </w:style>
  <w:style w:type="paragraph" w:customStyle="1" w:styleId="222">
    <w:name w:val="3级"/>
    <w:basedOn w:val="223"/>
    <w:link w:val="221"/>
    <w:qFormat/>
    <w:uiPriority w:val="0"/>
    <w:pPr>
      <w:ind w:left="0" w:right="466" w:firstLine="288"/>
    </w:pPr>
    <w:rPr>
      <w:rFonts w:hAnsi="宋体"/>
      <w:snapToGrid/>
    </w:rPr>
  </w:style>
  <w:style w:type="paragraph" w:customStyle="1" w:styleId="22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11"/>
    <w:rPr>
      <w:rFonts w:ascii="Cambria" w:hAnsi="Cambria" w:eastAsia="宋体" w:cs="Times New Roman"/>
      <w:b/>
      <w:bCs/>
      <w:snapToGrid w:val="0"/>
      <w:kern w:val="28"/>
      <w:sz w:val="32"/>
      <w:szCs w:val="32"/>
    </w:rPr>
  </w:style>
  <w:style w:type="character" w:customStyle="1" w:styleId="228">
    <w:name w:val="font6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标题 2 Char"/>
    <w:qFormat/>
    <w:uiPriority w:val="0"/>
    <w:rPr>
      <w:rFonts w:ascii="Arial" w:hAnsi="Arial" w:eastAsia="黑体"/>
      <w:b/>
      <w:kern w:val="2"/>
      <w:sz w:val="32"/>
      <w:lang w:val="en-US" w:eastAsia="zh-CN"/>
    </w:rPr>
  </w:style>
  <w:style w:type="character" w:customStyle="1" w:styleId="232">
    <w:name w:val="maywed421"/>
    <w:qFormat/>
    <w:uiPriority w:val="0"/>
    <w:rPr>
      <w:color w:val="366FB6"/>
      <w:u w:val="none"/>
    </w:rPr>
  </w:style>
  <w:style w:type="character" w:customStyle="1" w:styleId="233">
    <w:name w:val="正文文本缩进 Char"/>
    <w:qFormat/>
    <w:uiPriority w:val="0"/>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basedOn w:val="70"/>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basedOn w:val="196"/>
    <w:qFormat/>
    <w:uiPriority w:val="0"/>
    <w:rPr>
      <w:rFonts w:ascii="仿宋_GB2312" w:hAnsi="仿宋" w:eastAsia="仿宋_GB2312" w:cs="仿宋_GB2312"/>
      <w:sz w:val="32"/>
      <w:szCs w:val="30"/>
      <w:lang w:val="zh-CN"/>
    </w:rPr>
  </w:style>
  <w:style w:type="character" w:customStyle="1" w:styleId="241">
    <w:name w:val="正文首行缩进 2 Char1"/>
    <w:qFormat/>
    <w:uiPriority w:val="99"/>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kern w:val="2"/>
      <w:sz w:val="21"/>
      <w:szCs w:val="21"/>
    </w:rPr>
  </w:style>
  <w:style w:type="paragraph" w:customStyle="1" w:styleId="244">
    <w:name w:val="标题4-dyf"/>
    <w:basedOn w:val="6"/>
    <w:link w:val="2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Default Char"/>
    <w:link w:val="255"/>
    <w:qFormat/>
    <w:uiPriority w:val="0"/>
    <w:rPr>
      <w:rFonts w:ascii="仿宋_GB2312" w:eastAsia="仿宋_GB2312" w:cs="仿宋_GB2312"/>
      <w:color w:val="000000"/>
      <w:sz w:val="24"/>
      <w:szCs w:val="24"/>
      <w:lang w:val="en-US" w:eastAsia="zh-CN" w:bidi="ar-SA"/>
    </w:rPr>
  </w:style>
  <w:style w:type="paragraph" w:customStyle="1" w:styleId="255">
    <w:name w:val="Default"/>
    <w:link w:val="2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kern w:val="2"/>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0"/>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8">
    <w:name w:val="列出段落1"/>
    <w:basedOn w:val="1"/>
    <w:qFormat/>
    <w:uiPriority w:val="99"/>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qFormat/>
    <w:uiPriority w:val="34"/>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0"/>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99"/>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6"/>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99"/>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99"/>
    <w:rPr>
      <w:rFonts w:ascii="Times New Roman" w:hAnsi="Times New Roman" w:eastAsia="宋体" w:cs="Times New Roman"/>
      <w:sz w:val="18"/>
      <w:szCs w:val="18"/>
    </w:rPr>
  </w:style>
  <w:style w:type="character" w:customStyle="1" w:styleId="330">
    <w:name w:val="纯文本 Char1"/>
    <w:link w:val="331"/>
    <w:qFormat/>
    <w:uiPriority w:val="99"/>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99"/>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0"/>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99"/>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484"/>
    <w:qFormat/>
    <w:uiPriority w:val="0"/>
    <w:rPr>
      <w:szCs w:val="22"/>
    </w:rPr>
  </w:style>
  <w:style w:type="character" w:customStyle="1" w:styleId="484">
    <w:name w:val="无间隔 Char"/>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6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34"/>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5"/>
    <w:next w:val="25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5"/>
    <w:next w:val="25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0"/>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34"/>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link w:val="6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2">
    <w:name w:val="段 Char"/>
    <w:link w:val="641"/>
    <w:qFormat/>
    <w:locked/>
    <w:uiPriority w:val="0"/>
    <w:rPr>
      <w:rFonts w:ascii="宋体"/>
      <w:sz w:val="21"/>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1"/>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1"/>
    <w:qFormat/>
    <w:uiPriority w:val="0"/>
    <w:pPr>
      <w:tabs>
        <w:tab w:val="left" w:pos="1260"/>
        <w:tab w:val="left" w:pos="1680"/>
        <w:tab w:val="left" w:pos="2100"/>
      </w:tabs>
      <w:ind w:left="0"/>
      <w:outlineLvl w:val="3"/>
    </w:pPr>
  </w:style>
  <w:style w:type="paragraph" w:customStyle="1" w:styleId="659">
    <w:name w:val="一级条标题"/>
    <w:basedOn w:val="660"/>
    <w:next w:val="641"/>
    <w:qFormat/>
    <w:uiPriority w:val="0"/>
    <w:pPr>
      <w:tabs>
        <w:tab w:val="left" w:pos="1260"/>
        <w:tab w:val="left" w:pos="1680"/>
      </w:tabs>
      <w:spacing w:before="0" w:beforeLines="0" w:after="0" w:afterLines="0"/>
      <w:ind w:left="1680"/>
      <w:outlineLvl w:val="2"/>
    </w:pPr>
  </w:style>
  <w:style w:type="paragraph" w:customStyle="1" w:styleId="660">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link w:val="683"/>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character" w:customStyle="1" w:styleId="683">
    <w:name w:val="普通正文 Char Char"/>
    <w:link w:val="682"/>
    <w:qFormat/>
    <w:locked/>
    <w:uiPriority w:val="0"/>
    <w:rPr>
      <w:rFonts w:ascii="Arial" w:hAnsi="Arial"/>
      <w:sz w:val="24"/>
      <w:szCs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link w:val="717"/>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717">
    <w:name w:val="__正文 Char"/>
    <w:link w:val="716"/>
    <w:qFormat/>
    <w:uiPriority w:val="0"/>
    <w:rPr>
      <w:rFonts w:eastAsia="等线"/>
      <w:kern w:val="2"/>
      <w:sz w:val="24"/>
      <w:szCs w:val="21"/>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link w:val="729"/>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29">
    <w:name w:val="样式1 Char"/>
    <w:link w:val="728"/>
    <w:qFormat/>
    <w:locked/>
    <w:uiPriority w:val="0"/>
    <w:rPr>
      <w:rFonts w:ascii="宋体" w:hAnsi="宋体"/>
      <w:sz w:val="24"/>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1"/>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57"/>
    <w:next w:val="641"/>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5"/>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1"/>
    <w:link w:val="846"/>
    <w:qFormat/>
    <w:uiPriority w:val="0"/>
    <w:pPr>
      <w:ind w:left="0" w:leftChars="0" w:firstLine="480" w:firstLineChars="200"/>
    </w:pPr>
    <w:rPr>
      <w:rFonts w:ascii="仿宋_GB2312" w:hAnsi="Courier New" w:eastAsia="仿宋_GB2312"/>
      <w:kern w:val="28"/>
      <w:sz w:val="24"/>
    </w:rPr>
  </w:style>
  <w:style w:type="character" w:customStyle="1" w:styleId="846">
    <w:name w:val="正文1 Char Char"/>
    <w:link w:val="845"/>
    <w:qFormat/>
    <w:locked/>
    <w:uiPriority w:val="0"/>
    <w:rPr>
      <w:rFonts w:ascii="仿宋_GB2312" w:hAnsi="Courier New" w:eastAsia="仿宋_GB2312"/>
      <w:kern w:val="28"/>
      <w:sz w:val="24"/>
      <w:szCs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18"/>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4"/>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39"/>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4"/>
    <w:qFormat/>
    <w:uiPriority w:val="0"/>
    <w:rPr>
      <w:b w:val="0"/>
      <w:sz w:val="20"/>
    </w:rPr>
  </w:style>
  <w:style w:type="paragraph" w:customStyle="1" w:styleId="900">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link w:val="902"/>
    <w:qFormat/>
    <w:uiPriority w:val="0"/>
    <w:pPr>
      <w:tabs>
        <w:tab w:val="left" w:pos="780"/>
      </w:tabs>
      <w:adjustRightInd/>
      <w:spacing w:line="360" w:lineRule="auto"/>
      <w:ind w:left="200" w:leftChars="200" w:firstLine="200" w:firstLineChars="200"/>
    </w:pPr>
    <w:rPr>
      <w:sz w:val="24"/>
    </w:rPr>
  </w:style>
  <w:style w:type="character" w:customStyle="1" w:styleId="902">
    <w:name w:val="标准正文 Char"/>
    <w:link w:val="901"/>
    <w:qFormat/>
    <w:uiPriority w:val="0"/>
    <w:rPr>
      <w:kern w:val="2"/>
      <w:sz w:val="24"/>
      <w:szCs w:val="24"/>
    </w:rPr>
  </w:style>
  <w:style w:type="paragraph" w:customStyle="1" w:styleId="903">
    <w:name w:val="数字标题5"/>
    <w:basedOn w:val="7"/>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3"/>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3"/>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8"/>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Char Char811"/>
    <w:qFormat/>
    <w:uiPriority w:val="0"/>
    <w:rPr>
      <w:rFonts w:eastAsia="宋体"/>
      <w:b/>
      <w:sz w:val="24"/>
      <w:lang w:val="en-GB" w:eastAsia="zh-CN"/>
    </w:rPr>
  </w:style>
  <w:style w:type="character" w:customStyle="1" w:styleId="970">
    <w:name w:val="Char Char511"/>
    <w:qFormat/>
    <w:uiPriority w:val="0"/>
    <w:rPr>
      <w:rFonts w:ascii="宋体" w:hAnsi="Courier New" w:eastAsia="宋体"/>
      <w:kern w:val="2"/>
      <w:sz w:val="21"/>
      <w:lang w:val="en-US" w:eastAsia="zh-CN"/>
    </w:rPr>
  </w:style>
  <w:style w:type="character" w:customStyle="1" w:styleId="971">
    <w:name w:val="Char Char3111"/>
    <w:qFormat/>
    <w:uiPriority w:val="0"/>
    <w:rPr>
      <w:rFonts w:ascii="Times New Roman" w:hAnsi="Times New Roman" w:eastAsia="宋体" w:cs="Times New Roman"/>
      <w:b/>
      <w:kern w:val="2"/>
      <w:sz w:val="32"/>
      <w:szCs w:val="24"/>
      <w:lang w:val="en-US" w:eastAsia="zh-CN" w:bidi="ar-SA"/>
    </w:rPr>
  </w:style>
  <w:style w:type="character" w:customStyle="1" w:styleId="972">
    <w:name w:val="Char Char911"/>
    <w:qFormat/>
    <w:uiPriority w:val="0"/>
    <w:rPr>
      <w:rFonts w:eastAsia="宋体"/>
      <w:kern w:val="2"/>
      <w:sz w:val="18"/>
      <w:szCs w:val="18"/>
      <w:lang w:val="en-US" w:eastAsia="zh-CN" w:bidi="ar-SA"/>
    </w:rPr>
  </w:style>
  <w:style w:type="paragraph" w:customStyle="1" w:styleId="973">
    <w:name w:val="Char Char11 Char Char Char Char Char Char Char Char Char Char Char Char Char111"/>
    <w:basedOn w:val="1"/>
    <w:qFormat/>
    <w:uiPriority w:val="0"/>
    <w:pPr>
      <w:adjustRightInd/>
      <w:spacing w:line="360" w:lineRule="auto"/>
    </w:pPr>
    <w:rPr>
      <w:rFonts w:ascii="Arial" w:hAnsi="Arial" w:eastAsia="黑体" w:cs="Arial"/>
      <w:snapToGrid w:val="0"/>
      <w:kern w:val="0"/>
      <w:szCs w:val="21"/>
    </w:rPr>
  </w:style>
  <w:style w:type="paragraph" w:customStyle="1" w:styleId="974">
    <w:name w:val="Char Char1 Char Char Char Char Char Char11"/>
    <w:basedOn w:val="1"/>
    <w:qFormat/>
    <w:uiPriority w:val="0"/>
    <w:rPr>
      <w:rFonts w:ascii="仿宋_GB2312" w:eastAsia="仿宋_GB2312"/>
      <w:b/>
      <w:sz w:val="32"/>
      <w:szCs w:val="20"/>
    </w:rPr>
  </w:style>
  <w:style w:type="paragraph" w:customStyle="1" w:styleId="975">
    <w:name w:val="Char1111"/>
    <w:basedOn w:val="1"/>
    <w:qFormat/>
    <w:uiPriority w:val="0"/>
    <w:rPr>
      <w:rFonts w:ascii="仿宋_GB2312" w:eastAsia="仿宋_GB2312"/>
      <w:b/>
      <w:sz w:val="32"/>
      <w:szCs w:val="32"/>
    </w:rPr>
  </w:style>
  <w:style w:type="paragraph" w:customStyle="1" w:styleId="976">
    <w:name w:val="Char Char1111"/>
    <w:basedOn w:val="1"/>
    <w:qFormat/>
    <w:uiPriority w:val="0"/>
    <w:pPr>
      <w:spacing w:line="360" w:lineRule="auto"/>
    </w:pPr>
    <w:rPr>
      <w:szCs w:val="20"/>
    </w:rPr>
  </w:style>
  <w:style w:type="paragraph" w:customStyle="1" w:styleId="977">
    <w:name w:val="Char Char Char Char Char Char Char11"/>
    <w:basedOn w:val="1"/>
    <w:qFormat/>
    <w:uiPriority w:val="0"/>
    <w:rPr>
      <w:rFonts w:ascii="仿宋_GB2312" w:eastAsia="仿宋_GB2312"/>
      <w:b/>
      <w:sz w:val="32"/>
      <w:szCs w:val="32"/>
    </w:rPr>
  </w:style>
  <w:style w:type="paragraph" w:customStyle="1" w:styleId="978">
    <w:name w:val="Char2 Char Char Char11"/>
    <w:basedOn w:val="1"/>
    <w:qFormat/>
    <w:uiPriority w:val="0"/>
    <w:rPr>
      <w:rFonts w:ascii="仿宋_GB2312" w:eastAsia="仿宋_GB2312"/>
      <w:b/>
      <w:sz w:val="32"/>
      <w:szCs w:val="32"/>
    </w:rPr>
  </w:style>
  <w:style w:type="paragraph" w:customStyle="1" w:styleId="979">
    <w:name w:val="Char3 Char Char1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80">
    <w:name w:val="Char Char1 Char11"/>
    <w:basedOn w:val="1"/>
    <w:qFormat/>
    <w:uiPriority w:val="0"/>
    <w:rPr>
      <w:rFonts w:ascii="仿宋_GB2312" w:eastAsia="仿宋_GB2312"/>
      <w:b/>
      <w:sz w:val="32"/>
      <w:szCs w:val="32"/>
    </w:rPr>
  </w:style>
  <w:style w:type="paragraph" w:customStyle="1" w:styleId="981">
    <w:name w:val="Char Char Char Char Char Char1 Char11"/>
    <w:basedOn w:val="1"/>
    <w:qFormat/>
    <w:uiPriority w:val="0"/>
    <w:pPr>
      <w:widowControl/>
      <w:spacing w:after="160" w:line="240" w:lineRule="exact"/>
      <w:jc w:val="left"/>
    </w:pPr>
    <w:rPr>
      <w:rFonts w:ascii="Verdana" w:hAnsi="Verdana"/>
      <w:kern w:val="0"/>
      <w:szCs w:val="20"/>
      <w:lang w:eastAsia="en-US"/>
    </w:rPr>
  </w:style>
  <w:style w:type="paragraph" w:customStyle="1" w:styleId="982">
    <w:name w:val="Char2 Char Char11"/>
    <w:basedOn w:val="1"/>
    <w:qFormat/>
    <w:uiPriority w:val="0"/>
    <w:pPr>
      <w:adjustRightInd/>
    </w:pPr>
    <w:rPr>
      <w:rFonts w:ascii="Tahoma" w:hAnsi="Tahoma"/>
      <w:sz w:val="24"/>
      <w:szCs w:val="20"/>
    </w:rPr>
  </w:style>
  <w:style w:type="paragraph" w:customStyle="1" w:styleId="983">
    <w:name w:val="Char Char Char Char Char Char Char Char Char Char Char Char1 Char11"/>
    <w:basedOn w:val="1"/>
    <w:qFormat/>
    <w:uiPriority w:val="0"/>
    <w:rPr>
      <w:rFonts w:ascii="Tahoma" w:hAnsi="Tahoma" w:cs="仿宋_GB2312"/>
      <w:sz w:val="24"/>
      <w:szCs w:val="20"/>
    </w:rPr>
  </w:style>
  <w:style w:type="paragraph" w:customStyle="1" w:styleId="984">
    <w:name w:val="Char Char Char1 Char11"/>
    <w:basedOn w:val="1"/>
    <w:qFormat/>
    <w:uiPriority w:val="0"/>
    <w:rPr>
      <w:szCs w:val="20"/>
    </w:rPr>
  </w:style>
  <w:style w:type="paragraph" w:customStyle="1" w:styleId="985">
    <w:name w:val="TOC 标题2"/>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986">
    <w:name w:val="Char Char11 Char Char Char11"/>
    <w:basedOn w:val="1"/>
    <w:qFormat/>
    <w:uiPriority w:val="0"/>
    <w:pPr>
      <w:spacing w:line="360" w:lineRule="auto"/>
    </w:pPr>
    <w:rPr>
      <w:szCs w:val="20"/>
    </w:rPr>
  </w:style>
  <w:style w:type="paragraph" w:customStyle="1" w:styleId="987">
    <w:name w:val="Char231"/>
    <w:basedOn w:val="1"/>
    <w:qFormat/>
    <w:uiPriority w:val="0"/>
    <w:rPr>
      <w:rFonts w:ascii="仿宋_GB2312" w:eastAsia="仿宋_GB2312"/>
      <w:b/>
      <w:sz w:val="32"/>
      <w:szCs w:val="32"/>
    </w:rPr>
  </w:style>
  <w:style w:type="paragraph" w:customStyle="1" w:styleId="988">
    <w:name w:val="Char Char Char Char Char Char Char Char11"/>
    <w:basedOn w:val="1"/>
    <w:qFormat/>
    <w:uiPriority w:val="0"/>
    <w:pPr>
      <w:tabs>
        <w:tab w:val="left" w:pos="360"/>
      </w:tabs>
    </w:pPr>
    <w:rPr>
      <w:sz w:val="24"/>
      <w:szCs w:val="20"/>
    </w:rPr>
  </w:style>
  <w:style w:type="paragraph" w:customStyle="1" w:styleId="989">
    <w:name w:val="Char41"/>
    <w:basedOn w:val="1"/>
    <w:qFormat/>
    <w:uiPriority w:val="0"/>
    <w:rPr>
      <w:rFonts w:ascii="仿宋_GB2312" w:eastAsia="仿宋_GB2312"/>
      <w:b/>
      <w:sz w:val="32"/>
      <w:szCs w:val="32"/>
    </w:rPr>
  </w:style>
  <w:style w:type="paragraph" w:customStyle="1" w:styleId="990">
    <w:name w:val="Char1 Char Char Char Char Char Char Char Char Char Char Char1 Char Char Char Char Char Char Char Char Char Char Char Char Char Char1 Char Char Char Char11"/>
    <w:basedOn w:val="1"/>
    <w:qFormat/>
    <w:uiPriority w:val="0"/>
    <w:pPr>
      <w:spacing w:line="360" w:lineRule="auto"/>
    </w:pPr>
    <w:rPr>
      <w:kern w:val="0"/>
      <w:sz w:val="24"/>
      <w:szCs w:val="20"/>
    </w:rPr>
  </w:style>
  <w:style w:type="paragraph" w:customStyle="1" w:styleId="991">
    <w:name w:val="Char Char Char Char Char Char Char Char Char Char11"/>
    <w:basedOn w:val="1"/>
    <w:qFormat/>
    <w:uiPriority w:val="0"/>
    <w:rPr>
      <w:rFonts w:ascii="仿宋_GB2312" w:eastAsia="仿宋_GB2312"/>
      <w:b/>
      <w:sz w:val="32"/>
      <w:szCs w:val="32"/>
    </w:rPr>
  </w:style>
  <w:style w:type="paragraph" w:customStyle="1" w:styleId="992">
    <w:name w:val="Char Char1 Char Char Char11"/>
    <w:basedOn w:val="1"/>
    <w:qFormat/>
    <w:uiPriority w:val="0"/>
    <w:rPr>
      <w:rFonts w:ascii="仿宋_GB2312" w:eastAsia="仿宋_GB2312"/>
      <w:b/>
      <w:sz w:val="32"/>
      <w:szCs w:val="32"/>
    </w:rPr>
  </w:style>
  <w:style w:type="paragraph" w:customStyle="1" w:styleId="993">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94">
    <w:name w:val="修订4"/>
    <w:qFormat/>
    <w:uiPriority w:val="0"/>
    <w:rPr>
      <w:rFonts w:ascii="Times New Roman" w:hAnsi="Times New Roman" w:eastAsia="宋体" w:cs="Times New Roman"/>
      <w:kern w:val="2"/>
      <w:sz w:val="21"/>
      <w:lang w:val="en-US" w:eastAsia="zh-CN" w:bidi="ar-SA"/>
    </w:rPr>
  </w:style>
  <w:style w:type="paragraph" w:customStyle="1" w:styleId="995">
    <w:name w:val="Char1 Char Char Char51"/>
    <w:basedOn w:val="1"/>
    <w:qFormat/>
    <w:uiPriority w:val="0"/>
    <w:pPr>
      <w:widowControl/>
      <w:snapToGrid w:val="0"/>
      <w:spacing w:before="120" w:after="160" w:line="360" w:lineRule="auto"/>
      <w:ind w:right="-360"/>
      <w:jc w:val="left"/>
    </w:pPr>
    <w:rPr>
      <w:rFonts w:ascii="Arial" w:hAnsi="Arial"/>
      <w:kern w:val="0"/>
      <w:sz w:val="24"/>
      <w:lang w:eastAsia="en-US"/>
    </w:rPr>
  </w:style>
  <w:style w:type="character" w:customStyle="1" w:styleId="996">
    <w:name w:val="Char Char141"/>
    <w:qFormat/>
    <w:uiPriority w:val="0"/>
    <w:rPr>
      <w:rFonts w:ascii="黑体" w:hAnsi="黑体" w:eastAsia="黑体"/>
    </w:rPr>
  </w:style>
  <w:style w:type="character" w:customStyle="1" w:styleId="997">
    <w:name w:val="Char Char131"/>
    <w:qFormat/>
    <w:uiPriority w:val="0"/>
    <w:rPr>
      <w:rFonts w:ascii="宋体" w:hAnsi="宋体"/>
      <w:kern w:val="1"/>
      <w:sz w:val="21"/>
      <w:szCs w:val="24"/>
    </w:rPr>
  </w:style>
  <w:style w:type="character" w:customStyle="1" w:styleId="998">
    <w:name w:val="Char Char711"/>
    <w:qFormat/>
    <w:uiPriority w:val="0"/>
    <w:rPr>
      <w:rFonts w:eastAsia="宋体"/>
      <w:kern w:val="2"/>
      <w:sz w:val="21"/>
      <w:szCs w:val="24"/>
      <w:lang w:val="en-US" w:eastAsia="zh-CN" w:bidi="ar-SA"/>
    </w:rPr>
  </w:style>
  <w:style w:type="paragraph" w:customStyle="1" w:styleId="999">
    <w:name w:val="l正文"/>
    <w:basedOn w:val="1"/>
    <w:qFormat/>
    <w:uiPriority w:val="0"/>
    <w:pPr>
      <w:spacing w:line="360" w:lineRule="auto"/>
      <w:ind w:firstLine="200" w:firstLineChars="200"/>
    </w:pPr>
    <w:rPr>
      <w:rFonts w:ascii="宋体" w:hAnsi="宋体"/>
      <w:sz w:val="24"/>
    </w:rPr>
  </w:style>
  <w:style w:type="paragraph" w:customStyle="1" w:styleId="1000">
    <w:name w:val="_标题3"/>
    <w:basedOn w:val="716"/>
    <w:next w:val="716"/>
    <w:qFormat/>
    <w:uiPriority w:val="0"/>
    <w:pPr>
      <w:widowControl w:val="0"/>
      <w:spacing w:before="50" w:beforeLines="50" w:after="50" w:afterLines="50"/>
      <w:ind w:firstLine="0" w:firstLineChars="0"/>
      <w:outlineLvl w:val="2"/>
    </w:pPr>
    <w:rPr>
      <w:rFonts w:ascii="Calibri" w:hAnsi="Calibri" w:eastAsia="宋体"/>
      <w:b/>
      <w:sz w:val="32"/>
    </w:rPr>
  </w:style>
  <w:style w:type="paragraph" w:customStyle="1" w:styleId="1001">
    <w:name w:val="_标题1"/>
    <w:basedOn w:val="716"/>
    <w:next w:val="716"/>
    <w:qFormat/>
    <w:uiPriority w:val="0"/>
    <w:pPr>
      <w:widowControl w:val="0"/>
      <w:spacing w:before="156" w:beforeLines="50" w:after="156" w:afterLines="50"/>
      <w:ind w:firstLine="0" w:firstLineChars="0"/>
      <w:outlineLvl w:val="0"/>
    </w:pPr>
    <w:rPr>
      <w:rFonts w:ascii="Calibri" w:hAnsi="Calibri" w:eastAsia="黑体"/>
      <w:b/>
      <w:sz w:val="32"/>
    </w:rPr>
  </w:style>
  <w:style w:type="paragraph" w:customStyle="1" w:styleId="1002">
    <w:name w:val="_标题5"/>
    <w:basedOn w:val="716"/>
    <w:next w:val="716"/>
    <w:qFormat/>
    <w:uiPriority w:val="0"/>
    <w:pPr>
      <w:spacing w:before="120" w:after="120"/>
      <w:ind w:left="4679" w:firstLine="0" w:firstLineChars="0"/>
      <w:outlineLvl w:val="4"/>
    </w:pPr>
    <w:rPr>
      <w:rFonts w:ascii="仿宋" w:hAnsi="仿宋" w:eastAsia="仿宋"/>
      <w:b/>
      <w:sz w:val="28"/>
    </w:rPr>
  </w:style>
  <w:style w:type="paragraph" w:customStyle="1" w:styleId="1003">
    <w:name w:val="样式_杭州市局"/>
    <w:basedOn w:val="1"/>
    <w:qFormat/>
    <w:uiPriority w:val="0"/>
    <w:pPr>
      <w:ind w:firstLine="200" w:firstLineChars="200"/>
    </w:pPr>
    <w:rPr>
      <w:rFonts w:ascii="仿宋" w:hAnsi="仿宋" w:eastAsia="仿宋" w:cs="黑体"/>
      <w:sz w:val="28"/>
      <w:szCs w:val="28"/>
    </w:rPr>
  </w:style>
  <w:style w:type="paragraph" w:customStyle="1" w:styleId="1004">
    <w:name w:val="！正文（四号字）"/>
    <w:link w:val="1005"/>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1005">
    <w:name w:val="！正文（四号字） Char"/>
    <w:link w:val="1004"/>
    <w:qFormat/>
    <w:uiPriority w:val="0"/>
    <w:rPr>
      <w:rFonts w:ascii="等线" w:hAnsi="等线" w:eastAsia="仿宋_GB2312" w:cs="黑体"/>
      <w:kern w:val="2"/>
      <w:sz w:val="24"/>
      <w:szCs w:val="28"/>
    </w:rPr>
  </w:style>
  <w:style w:type="paragraph" w:customStyle="1" w:styleId="1006">
    <w:name w:val="Char Char Char Char Char Char2 Char Char Char Char"/>
    <w:basedOn w:val="1"/>
    <w:qFormat/>
    <w:uiPriority w:val="0"/>
    <w:pPr>
      <w:adjustRightInd/>
    </w:pPr>
  </w:style>
  <w:style w:type="character" w:customStyle="1" w:styleId="1007">
    <w:name w:val="正文(首行缩进) Char"/>
    <w:link w:val="1008"/>
    <w:qFormat/>
    <w:locked/>
    <w:uiPriority w:val="0"/>
    <w:rPr>
      <w:rFonts w:ascii="Arial" w:hAnsi="Arial" w:cs="Arial"/>
      <w:szCs w:val="24"/>
    </w:rPr>
  </w:style>
  <w:style w:type="paragraph" w:customStyle="1" w:styleId="1008">
    <w:name w:val="正文(首行缩进)"/>
    <w:basedOn w:val="1"/>
    <w:next w:val="1"/>
    <w:link w:val="1007"/>
    <w:qFormat/>
    <w:uiPriority w:val="0"/>
    <w:pPr>
      <w:adjustRightInd/>
      <w:snapToGrid w:val="0"/>
      <w:spacing w:before="10" w:line="360" w:lineRule="auto"/>
      <w:ind w:firstLine="482"/>
    </w:pPr>
    <w:rPr>
      <w:rFonts w:ascii="Arial" w:hAnsi="Arial" w:cs="Arial"/>
      <w:kern w:val="0"/>
      <w:sz w:val="20"/>
    </w:rPr>
  </w:style>
  <w:style w:type="paragraph" w:customStyle="1" w:styleId="1009">
    <w:name w:val="条目2"/>
    <w:basedOn w:val="32"/>
    <w:qFormat/>
    <w:uiPriority w:val="0"/>
    <w:pPr>
      <w:tabs>
        <w:tab w:val="left" w:pos="420"/>
      </w:tabs>
      <w:adjustRightInd/>
      <w:spacing w:line="360" w:lineRule="auto"/>
      <w:ind w:left="420" w:hanging="420"/>
    </w:pPr>
    <w:rPr>
      <w:rFonts w:cs="Courier New"/>
      <w:snapToGrid/>
      <w:color w:val="000000"/>
      <w:sz w:val="24"/>
    </w:rPr>
  </w:style>
  <w:style w:type="paragraph" w:customStyle="1" w:styleId="1010">
    <w:name w:val="HD正文1"/>
    <w:basedOn w:val="1"/>
    <w:next w:val="24"/>
    <w:qFormat/>
    <w:uiPriority w:val="0"/>
    <w:pPr>
      <w:adjustRightInd/>
      <w:spacing w:line="360" w:lineRule="auto"/>
      <w:ind w:firstLine="480" w:firstLineChars="200"/>
    </w:pPr>
    <w:rPr>
      <w:rFonts w:ascii="宋体" w:hAnsi="宋体"/>
      <w:sz w:val="24"/>
      <w:szCs w:val="21"/>
    </w:rPr>
  </w:style>
  <w:style w:type="paragraph" w:customStyle="1" w:styleId="1011">
    <w:name w:val="正文00"/>
    <w:basedOn w:val="1"/>
    <w:qFormat/>
    <w:uiPriority w:val="0"/>
    <w:pPr>
      <w:tabs>
        <w:tab w:val="left" w:pos="0"/>
      </w:tabs>
      <w:adjustRightInd/>
      <w:spacing w:line="360" w:lineRule="auto"/>
      <w:ind w:firstLine="480" w:firstLineChars="200"/>
    </w:pPr>
    <w:rPr>
      <w:rFonts w:ascii="宋体" w:hAnsi="宋体"/>
      <w:kern w:val="28"/>
      <w:sz w:val="24"/>
    </w:rPr>
  </w:style>
  <w:style w:type="paragraph" w:customStyle="1" w:styleId="1012">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101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Unicode MS" w:hAnsi="Arial Unicode MS" w:eastAsia="Arial Unicode MS" w:cs="Arial Unicode MS"/>
      <w:kern w:val="0"/>
      <w:sz w:val="24"/>
    </w:rPr>
  </w:style>
  <w:style w:type="paragraph" w:customStyle="1" w:styleId="1014">
    <w:name w:val="Char Char Char Char Char Char Char Char Char Char Char"/>
    <w:basedOn w:val="1"/>
    <w:qFormat/>
    <w:uiPriority w:val="0"/>
    <w:pPr>
      <w:adjustRightInd/>
    </w:pPr>
    <w:rPr>
      <w:rFonts w:ascii="Tahoma" w:hAnsi="Tahoma"/>
      <w:sz w:val="24"/>
      <w:szCs w:val="20"/>
    </w:rPr>
  </w:style>
  <w:style w:type="paragraph" w:customStyle="1" w:styleId="1015">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1016">
    <w:name w:val="条目3"/>
    <w:basedOn w:val="32"/>
    <w:qFormat/>
    <w:uiPriority w:val="0"/>
    <w:pPr>
      <w:adjustRightInd/>
      <w:spacing w:line="360" w:lineRule="auto"/>
    </w:pPr>
    <w:rPr>
      <w:rFonts w:cs="Courier New"/>
      <w:snapToGrid/>
      <w:color w:val="000000"/>
      <w:sz w:val="24"/>
    </w:rPr>
  </w:style>
  <w:style w:type="paragraph" w:customStyle="1" w:styleId="1017">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1018">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1019">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20">
    <w:name w:val="DN-正文 Char"/>
    <w:link w:val="1021"/>
    <w:qFormat/>
    <w:locked/>
    <w:uiPriority w:val="0"/>
    <w:rPr>
      <w:rFonts w:ascii="Arial" w:hAnsi="Arial" w:cs="Arial"/>
      <w:szCs w:val="24"/>
    </w:rPr>
  </w:style>
  <w:style w:type="paragraph" w:customStyle="1" w:styleId="1021">
    <w:name w:val="DN-正文"/>
    <w:basedOn w:val="5"/>
    <w:link w:val="1020"/>
    <w:qFormat/>
    <w:uiPriority w:val="0"/>
    <w:pPr>
      <w:widowControl w:val="0"/>
      <w:adjustRightInd/>
      <w:spacing w:line="400" w:lineRule="exact"/>
      <w:ind w:firstLine="200" w:firstLineChars="200"/>
    </w:pPr>
    <w:rPr>
      <w:rFonts w:ascii="Arial" w:hAnsi="Arial" w:cs="Arial"/>
      <w:snapToGrid/>
      <w:color w:val="auto"/>
      <w:kern w:val="0"/>
      <w:sz w:val="20"/>
      <w:szCs w:val="24"/>
    </w:rPr>
  </w:style>
  <w:style w:type="paragraph" w:customStyle="1" w:styleId="1022">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23">
    <w:name w:val="文字列表"/>
    <w:basedOn w:val="61"/>
    <w:qFormat/>
    <w:uiPriority w:val="0"/>
    <w:pPr>
      <w:tabs>
        <w:tab w:val="left" w:pos="840"/>
      </w:tabs>
      <w:autoSpaceDE/>
      <w:autoSpaceDN/>
      <w:adjustRightInd/>
      <w:ind w:left="900" w:leftChars="200" w:hanging="432"/>
    </w:pPr>
    <w:rPr>
      <w:rFonts w:hAnsi="宋体" w:cs="Arial"/>
      <w:szCs w:val="24"/>
      <w:lang w:val="en-US"/>
    </w:rPr>
  </w:style>
  <w:style w:type="paragraph" w:customStyle="1" w:styleId="1024">
    <w:name w:val="批注主题 Char Char"/>
    <w:basedOn w:val="19"/>
    <w:next w:val="19"/>
    <w:qFormat/>
    <w:uiPriority w:val="0"/>
    <w:pPr>
      <w:adjustRightInd/>
    </w:pPr>
    <w:rPr>
      <w:rFonts w:ascii="仿宋_GB2312"/>
      <w:b/>
      <w:bCs/>
      <w:sz w:val="32"/>
      <w:szCs w:val="32"/>
    </w:rPr>
  </w:style>
  <w:style w:type="paragraph" w:customStyle="1" w:styleId="1025">
    <w:name w:val="无间隔3"/>
    <w:qFormat/>
    <w:uiPriority w:val="0"/>
    <w:rPr>
      <w:rFonts w:ascii="Calibri" w:hAnsi="Calibri" w:eastAsia="宋体" w:cs="Times New Roman"/>
      <w:sz w:val="22"/>
      <w:szCs w:val="22"/>
      <w:lang w:val="en-US" w:eastAsia="en-US" w:bidi="ar-SA"/>
    </w:rPr>
  </w:style>
  <w:style w:type="character" w:customStyle="1" w:styleId="1026">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1027">
    <w:name w:val="c1"/>
    <w:qFormat/>
    <w:uiPriority w:val="0"/>
    <w:rPr>
      <w:rFonts w:hint="eastAsia" w:ascii="仿宋_GB2312" w:hAnsi="Arial" w:eastAsia="宋体" w:cs="Arial"/>
      <w:b/>
      <w:snapToGrid w:val="0"/>
      <w:kern w:val="2"/>
      <w:sz w:val="21"/>
      <w:szCs w:val="21"/>
      <w:lang w:val="en-US" w:eastAsia="zh-CN" w:bidi="ar-SA"/>
    </w:rPr>
  </w:style>
  <w:style w:type="character" w:customStyle="1" w:styleId="1028">
    <w:name w:val="H6 Char1"/>
    <w:qFormat/>
    <w:uiPriority w:val="0"/>
    <w:rPr>
      <w:rFonts w:hint="default" w:ascii="Arial" w:hAnsi="Arial" w:eastAsia="黑体" w:cs="Arial"/>
      <w:b/>
      <w:bCs/>
      <w:snapToGrid w:val="0"/>
      <w:kern w:val="2"/>
      <w:sz w:val="24"/>
      <w:szCs w:val="24"/>
      <w:lang w:val="en-US" w:eastAsia="zh-CN" w:bidi="ar-SA"/>
    </w:rPr>
  </w:style>
  <w:style w:type="character" w:customStyle="1" w:styleId="1029">
    <w:name w:val="l151"/>
    <w:qFormat/>
    <w:uiPriority w:val="0"/>
    <w:rPr>
      <w:rFonts w:hint="eastAsia" w:ascii="仿宋_GB2312" w:hAnsi="Arial" w:eastAsia="宋体" w:cs="Arial"/>
      <w:b/>
      <w:snapToGrid w:val="0"/>
      <w:kern w:val="2"/>
      <w:sz w:val="24"/>
      <w:szCs w:val="24"/>
      <w:lang w:val="en-US" w:eastAsia="zh-CN" w:bidi="ar-SA"/>
    </w:rPr>
  </w:style>
  <w:style w:type="character" w:customStyle="1" w:styleId="1030">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1031">
    <w:name w:val="标题 8 Char1"/>
    <w:qFormat/>
    <w:uiPriority w:val="0"/>
    <w:rPr>
      <w:rFonts w:hint="default" w:ascii="Cambria" w:hAnsi="Cambria" w:eastAsia="宋体" w:cs="Times New Roman"/>
      <w:snapToGrid w:val="0"/>
      <w:kern w:val="2"/>
      <w:sz w:val="24"/>
      <w:szCs w:val="24"/>
    </w:rPr>
  </w:style>
  <w:style w:type="character" w:customStyle="1" w:styleId="1032">
    <w:name w:val="标题 7 Char1"/>
    <w:qFormat/>
    <w:uiPriority w:val="0"/>
    <w:rPr>
      <w:rFonts w:hint="default" w:ascii="Times New Roman" w:hAnsi="Times New Roman" w:eastAsia="黑体" w:cs="Arial"/>
      <w:b/>
      <w:bCs/>
      <w:snapToGrid w:val="0"/>
      <w:kern w:val="2"/>
      <w:sz w:val="24"/>
      <w:szCs w:val="24"/>
    </w:rPr>
  </w:style>
  <w:style w:type="character" w:customStyle="1" w:styleId="1033">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1034">
    <w:name w:val="标题 9 Char1"/>
    <w:qFormat/>
    <w:uiPriority w:val="0"/>
    <w:rPr>
      <w:rFonts w:hint="default" w:ascii="Cambria" w:hAnsi="Cambria" w:eastAsia="宋体" w:cs="Times New Roman"/>
      <w:snapToGrid w:val="0"/>
      <w:kern w:val="2"/>
      <w:sz w:val="21"/>
      <w:szCs w:val="21"/>
    </w:rPr>
  </w:style>
  <w:style w:type="character" w:customStyle="1" w:styleId="1035">
    <w:name w:val="未用 Char Char"/>
    <w:qFormat/>
    <w:uiPriority w:val="0"/>
    <w:rPr>
      <w:rFonts w:hint="default" w:ascii="Arial" w:hAnsi="Arial" w:eastAsia="黑体" w:cs="Arial"/>
      <w:snapToGrid w:val="0"/>
      <w:kern w:val="2"/>
      <w:sz w:val="21"/>
      <w:szCs w:val="21"/>
      <w:lang w:val="en-US" w:eastAsia="zh-CN" w:bidi="ar-SA"/>
    </w:rPr>
  </w:style>
  <w:style w:type="character" w:customStyle="1" w:styleId="1036">
    <w:name w:val="图名 Char Char"/>
    <w:qFormat/>
    <w:uiPriority w:val="0"/>
    <w:rPr>
      <w:rFonts w:hint="default" w:ascii="Arial" w:hAnsi="Arial" w:eastAsia="黑体" w:cs="Arial"/>
      <w:snapToGrid w:val="0"/>
      <w:kern w:val="2"/>
      <w:sz w:val="24"/>
      <w:szCs w:val="24"/>
      <w:lang w:val="en-US" w:eastAsia="zh-CN" w:bidi="ar-SA"/>
    </w:rPr>
  </w:style>
  <w:style w:type="character" w:customStyle="1" w:styleId="1037">
    <w:name w:val="标题 5 Char1"/>
    <w:qFormat/>
    <w:uiPriority w:val="0"/>
    <w:rPr>
      <w:rFonts w:hint="default" w:ascii="Times New Roman" w:hAnsi="Times New Roman" w:eastAsia="黑体" w:cs="Arial"/>
      <w:b/>
      <w:bCs/>
      <w:snapToGrid w:val="0"/>
      <w:kern w:val="2"/>
      <w:sz w:val="28"/>
      <w:szCs w:val="28"/>
    </w:rPr>
  </w:style>
  <w:style w:type="character" w:customStyle="1" w:styleId="1038">
    <w:name w:val="未用 Char3"/>
    <w:qFormat/>
    <w:uiPriority w:val="0"/>
    <w:rPr>
      <w:rFonts w:hint="default" w:ascii="Arial" w:hAnsi="Arial" w:eastAsia="黑体" w:cs="Arial"/>
      <w:kern w:val="2"/>
      <w:sz w:val="21"/>
      <w:szCs w:val="21"/>
      <w:lang w:bidi="ar-SA"/>
    </w:rPr>
  </w:style>
  <w:style w:type="character" w:customStyle="1" w:styleId="1039">
    <w:name w:val="PI Char3"/>
    <w:qFormat/>
    <w:uiPriority w:val="0"/>
    <w:rPr>
      <w:rFonts w:hint="eastAsia" w:ascii="宋体" w:hAnsi="宋体" w:eastAsia="宋体"/>
      <w:kern w:val="2"/>
      <w:sz w:val="24"/>
      <w:szCs w:val="24"/>
    </w:rPr>
  </w:style>
  <w:style w:type="character" w:customStyle="1" w:styleId="1040">
    <w:name w:val="图名 Char3"/>
    <w:qFormat/>
    <w:uiPriority w:val="0"/>
    <w:rPr>
      <w:rFonts w:hint="default" w:ascii="Arial" w:hAnsi="Arial" w:eastAsia="黑体" w:cs="Arial"/>
      <w:kern w:val="2"/>
      <w:sz w:val="24"/>
      <w:szCs w:val="24"/>
      <w:lang w:bidi="ar-SA"/>
    </w:rPr>
  </w:style>
  <w:style w:type="character" w:customStyle="1" w:styleId="1041">
    <w:name w:val="表名 Char3"/>
    <w:qFormat/>
    <w:uiPriority w:val="0"/>
    <w:rPr>
      <w:rFonts w:hint="eastAsia" w:ascii="宋体" w:hAnsi="宋体" w:eastAsia="宋体"/>
      <w:b/>
      <w:bCs/>
      <w:kern w:val="2"/>
      <w:sz w:val="24"/>
      <w:szCs w:val="24"/>
      <w:lang w:bidi="ar-SA"/>
    </w:rPr>
  </w:style>
  <w:style w:type="character" w:customStyle="1" w:styleId="1042">
    <w:name w:val="Heading sql Char3"/>
    <w:qFormat/>
    <w:uiPriority w:val="0"/>
    <w:rPr>
      <w:rFonts w:hint="default" w:ascii="Arial" w:hAnsi="Arial" w:eastAsia="黑体" w:cs="Arial"/>
      <w:b/>
      <w:bCs/>
      <w:kern w:val="2"/>
      <w:sz w:val="28"/>
      <w:szCs w:val="28"/>
      <w:lang w:val="zh-CN" w:bidi="ar-SA"/>
    </w:rPr>
  </w:style>
  <w:style w:type="character" w:customStyle="1" w:styleId="1043">
    <w:name w:val="H6 Char3"/>
    <w:qFormat/>
    <w:uiPriority w:val="0"/>
    <w:rPr>
      <w:rFonts w:hint="default" w:ascii="Arial" w:hAnsi="Arial" w:eastAsia="黑体" w:cs="Arial"/>
      <w:b/>
      <w:bCs/>
      <w:kern w:val="2"/>
      <w:sz w:val="24"/>
      <w:szCs w:val="24"/>
      <w:lang w:bidi="ar-SA"/>
    </w:rPr>
  </w:style>
  <w:style w:type="character" w:customStyle="1" w:styleId="1044">
    <w:name w:val="正文首行缩进 Char Char"/>
    <w:qFormat/>
    <w:uiPriority w:val="0"/>
    <w:rPr>
      <w:rFonts w:hint="eastAsia" w:ascii="宋体" w:hAnsi="宋体" w:eastAsia="宋体"/>
      <w:kern w:val="2"/>
      <w:sz w:val="21"/>
      <w:szCs w:val="24"/>
      <w:lang w:val="en-US" w:eastAsia="zh-CN" w:bidi="ar-SA"/>
    </w:rPr>
  </w:style>
  <w:style w:type="character" w:customStyle="1" w:styleId="1045">
    <w:name w:val="签名 Char Char"/>
    <w:qFormat/>
    <w:uiPriority w:val="0"/>
    <w:rPr>
      <w:rFonts w:hint="default" w:ascii="Arial" w:hAnsi="Arial" w:eastAsia="宋体" w:cs="Arial"/>
      <w:snapToGrid w:val="0"/>
      <w:kern w:val="0"/>
      <w:szCs w:val="24"/>
      <w:lang w:bidi="ar-SA"/>
    </w:rPr>
  </w:style>
  <w:style w:type="character" w:customStyle="1" w:styleId="1046">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1047">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1048">
    <w:name w:val="称呼 Char Char"/>
    <w:qFormat/>
    <w:uiPriority w:val="0"/>
    <w:rPr>
      <w:rFonts w:hint="default" w:ascii="Arial" w:hAnsi="Arial" w:eastAsia="宋体" w:cs="Arial"/>
      <w:b/>
      <w:bCs/>
      <w:snapToGrid w:val="0"/>
      <w:kern w:val="0"/>
      <w:szCs w:val="24"/>
      <w:lang w:bidi="ar-SA"/>
    </w:rPr>
  </w:style>
  <w:style w:type="character" w:customStyle="1" w:styleId="1049">
    <w:name w:val="列表段落 字符1"/>
    <w:qFormat/>
    <w:locked/>
    <w:uiPriority w:val="99"/>
    <w:rPr>
      <w:rFonts w:ascii="Calibri" w:hAnsi="Calibri" w:eastAsia="宋体" w:cs="Times New Roman"/>
      <w:kern w:val="0"/>
      <w:sz w:val="22"/>
      <w:lang w:eastAsia="en-US" w:bidi="en-US"/>
    </w:rPr>
  </w:style>
  <w:style w:type="paragraph" w:customStyle="1" w:styleId="1050">
    <w:name w:val="_Style 2"/>
    <w:basedOn w:val="1"/>
    <w:qFormat/>
    <w:uiPriority w:val="0"/>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110</Pages>
  <Words>57136</Words>
  <Characters>59689</Characters>
  <Lines>490</Lines>
  <Paragraphs>138</Paragraphs>
  <TotalTime>70</TotalTime>
  <ScaleCrop>false</ScaleCrop>
  <LinksUpToDate>false</LinksUpToDate>
  <CharactersWithSpaces>64709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2022-06-01T06:16:00Z</dcterms:created>
  <dc:creator>玥</dc:creator>
  <cp:lastModifiedBy>admin</cp:lastModifiedBy>
  <cp:lastPrinted>2021-12-27T19:06:00Z</cp:lastPrinted>
  <dcterms:modified xsi:type="dcterms:W3CDTF">2022-07-08T01:48:39Z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