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杭州市第一人民医院</w:t>
      </w: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3-9号楼及部分楼宇保洁、运送服务项目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HZZFCG-2022-218(1)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杭州市第一人民医院</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杭州市公共资源交易中心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杭州市第一人民医院3-9号楼及部分楼宇保洁、运送服务采购项目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HZZFCG-2022-218(1)</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-9号楼</w:t>
      </w:r>
      <w:r>
        <w:rPr>
          <w:rFonts w:hint="eastAsia" w:ascii="宋体" w:hAnsi="宋体" w:cs="宋体"/>
          <w:color w:val="auto"/>
          <w:sz w:val="24"/>
          <w:highlight w:val="none"/>
          <w:lang w:val="en-US" w:eastAsia="zh-CN"/>
        </w:rPr>
        <w:t>及部分楼宇</w:t>
      </w:r>
      <w:r>
        <w:rPr>
          <w:rFonts w:hint="eastAsia" w:ascii="宋体" w:hAnsi="宋体" w:cs="宋体"/>
          <w:color w:val="auto"/>
          <w:sz w:val="24"/>
          <w:highlight w:val="none"/>
          <w:lang w:eastAsia="zh-CN"/>
        </w:rPr>
        <w:t>保洁、运送服务采购项目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color w:val="auto"/>
          <w:sz w:val="24"/>
          <w:highlight w:val="none"/>
        </w:rPr>
        <w:t xml:space="preserve"> 1</w:t>
      </w:r>
      <w:r>
        <w:rPr>
          <w:rFonts w:hint="eastAsia" w:ascii="宋体" w:hAnsi="宋体" w:cs="宋体"/>
          <w:color w:val="auto"/>
          <w:sz w:val="24"/>
          <w:highlight w:val="none"/>
          <w:lang w:val="en-US" w:eastAsia="zh-CN"/>
        </w:rPr>
        <w:t>260</w:t>
      </w:r>
      <w:r>
        <w:rPr>
          <w:rFonts w:hint="eastAsia" w:ascii="宋体" w:hAnsi="宋体" w:eastAsia="宋体" w:cs="宋体"/>
          <w:color w:val="auto"/>
          <w:sz w:val="24"/>
          <w:highlight w:val="none"/>
        </w:rPr>
        <w:t>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宋体"/>
          <w:color w:val="auto"/>
          <w:sz w:val="24"/>
          <w:highlight w:val="none"/>
        </w:rPr>
        <w:t xml:space="preserve"> 1</w:t>
      </w:r>
      <w:r>
        <w:rPr>
          <w:rFonts w:hint="eastAsia" w:ascii="宋体" w:hAnsi="宋体" w:cs="宋体"/>
          <w:color w:val="auto"/>
          <w:sz w:val="24"/>
          <w:highlight w:val="none"/>
          <w:lang w:val="en-US" w:eastAsia="zh-CN"/>
        </w:rPr>
        <w:t>260</w:t>
      </w:r>
      <w:r>
        <w:rPr>
          <w:rFonts w:hint="eastAsia" w:ascii="宋体" w:hAnsi="宋体" w:eastAsia="宋体" w:cs="宋体"/>
          <w:color w:val="auto"/>
          <w:sz w:val="24"/>
          <w:highlight w:val="none"/>
        </w:rPr>
        <w:t>0000</w:t>
      </w:r>
      <w:r>
        <w:rPr>
          <w:rFonts w:hint="eastAsia" w:ascii="宋体" w:hAnsi="宋体" w:cs="宋体"/>
          <w:color w:val="auto"/>
          <w:sz w:val="24"/>
          <w:highlight w:val="none"/>
        </w:rPr>
        <w:t xml:space="preserve">  </w:t>
      </w:r>
    </w:p>
    <w:p>
      <w:pPr>
        <w:spacing w:line="360" w:lineRule="auto"/>
        <w:ind w:firstLine="354" w:firstLineChars="147"/>
        <w:rPr>
          <w:rFonts w:hint="eastAsia" w:ascii="宋体" w:hAnsi="宋体" w:eastAsia="宋体" w:cs="宋体"/>
          <w:color w:val="auto"/>
          <w:sz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杭州市第一人民医院</w:t>
      </w:r>
      <w:r>
        <w:rPr>
          <w:rFonts w:hint="eastAsia" w:hAnsi="宋体" w:cs="宋体"/>
          <w:bCs/>
          <w:snapToGrid/>
          <w:color w:val="auto"/>
          <w:kern w:val="2"/>
          <w:sz w:val="24"/>
          <w:szCs w:val="24"/>
          <w:highlight w:val="none"/>
          <w:lang w:val="en-US" w:eastAsia="zh-CN"/>
        </w:rPr>
        <w:t>3</w:t>
      </w:r>
      <w:r>
        <w:rPr>
          <w:rFonts w:hint="eastAsia" w:hAnsi="宋体" w:cs="宋体"/>
          <w:bCs/>
          <w:snapToGrid/>
          <w:color w:val="auto"/>
          <w:kern w:val="2"/>
          <w:sz w:val="24"/>
          <w:szCs w:val="24"/>
          <w:highlight w:val="none"/>
          <w:lang w:eastAsia="zh-CN"/>
        </w:rPr>
        <w:t>-9号楼</w:t>
      </w:r>
      <w:r>
        <w:rPr>
          <w:rFonts w:hint="eastAsia" w:ascii="宋体" w:hAnsi="宋体" w:cs="宋体"/>
          <w:color w:val="auto"/>
          <w:sz w:val="24"/>
          <w:highlight w:val="none"/>
          <w:lang w:val="en-US" w:eastAsia="zh-CN"/>
        </w:rPr>
        <w:t>及部分楼宇</w:t>
      </w:r>
      <w:r>
        <w:rPr>
          <w:rFonts w:hint="eastAsia" w:hAnsi="宋体" w:cs="宋体"/>
          <w:bCs/>
          <w:snapToGrid/>
          <w:color w:val="auto"/>
          <w:kern w:val="2"/>
          <w:sz w:val="24"/>
          <w:szCs w:val="24"/>
          <w:highlight w:val="none"/>
          <w:lang w:eastAsia="zh-CN"/>
        </w:rPr>
        <w:t>保洁、运送服务采购项目</w:t>
      </w:r>
      <w:r>
        <w:rPr>
          <w:rFonts w:hint="eastAsia" w:hAnsi="宋体" w:cs="宋体"/>
          <w:bCs/>
          <w:snapToGrid/>
          <w:color w:val="auto"/>
          <w:kern w:val="2"/>
          <w:sz w:val="24"/>
          <w:szCs w:val="24"/>
          <w:highlight w:val="none"/>
        </w:rPr>
        <w:t>主要内容：</w:t>
      </w:r>
      <w:r>
        <w:rPr>
          <w:rFonts w:hint="eastAsia" w:ascii="宋体" w:hAnsi="宋体" w:eastAsia="宋体" w:cs="宋体"/>
          <w:color w:val="auto"/>
          <w:sz w:val="24"/>
          <w:highlight w:val="none"/>
        </w:rPr>
        <w:t>3、4、5、6、7、8、9号楼、改革月报、孝女路1号、5号、7号、学士坊4号（建筑面积约3.9万平方米）的保洁、电梯，会务保障及医院食堂的后勤服务。需配人数</w:t>
      </w:r>
      <w:r>
        <w:rPr>
          <w:rFonts w:hint="eastAsia" w:ascii="宋体" w:hAnsi="宋体" w:cs="宋体"/>
          <w:color w:val="auto"/>
          <w:sz w:val="24"/>
          <w:highlight w:val="none"/>
          <w:lang w:val="en-US" w:eastAsia="zh-CN"/>
        </w:rPr>
        <w:t>213</w:t>
      </w:r>
      <w:r>
        <w:rPr>
          <w:rFonts w:hint="eastAsia" w:ascii="宋体" w:hAnsi="宋体" w:eastAsia="宋体" w:cs="宋体"/>
          <w:color w:val="auto"/>
          <w:sz w:val="24"/>
          <w:highlight w:val="none"/>
        </w:rPr>
        <w:t xml:space="preserve">人（含机动人员10人，机动人员费用不列入本次报价范围，实际使用时按相应岗位工标准支付）。详见招标文件采购需求。 </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color w:val="auto"/>
          <w:sz w:val="24"/>
          <w:highlight w:val="none"/>
        </w:rPr>
        <w:t>自签订合同之日起1年。</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bookmarkStart w:id="517" w:name="_GoBack"/>
      <w:bookmarkEnd w:id="517"/>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inorEastAsia" w:hAnsiTheme="minorEastAsia" w:eastAsiaTheme="minorEastAsia"/>
          <w:color w:val="auto"/>
          <w:sz w:val="24"/>
          <w:highlight w:val="none"/>
          <w:lang w:eastAsia="zh-CN"/>
        </w:rPr>
        <w:t>、《浙江省财政厅关于进一步加大政府采购支持中小企业力度助力扎实稳住经济的通知》（浙财采监（</w:t>
      </w:r>
      <w:r>
        <w:rPr>
          <w:rFonts w:hint="eastAsia" w:asciiTheme="minorEastAsia" w:hAnsiTheme="minorEastAsia" w:eastAsiaTheme="minorEastAsia"/>
          <w:color w:val="auto"/>
          <w:sz w:val="24"/>
          <w:highlight w:val="none"/>
          <w:lang w:val="en-US" w:eastAsia="zh-CN"/>
        </w:rPr>
        <w:t>2022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8号</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已分别于2022年1月29日</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2022年2月1日</w:t>
      </w:r>
      <w:r>
        <w:rPr>
          <w:rFonts w:hint="eastAsia" w:asciiTheme="minorEastAsia" w:hAnsiTheme="minorEastAsia" w:eastAsiaTheme="minorEastAsia"/>
          <w:color w:val="auto"/>
          <w:sz w:val="24"/>
          <w:highlight w:val="none"/>
          <w:lang w:eastAsia="zh-CN"/>
        </w:rPr>
        <w:t>和</w:t>
      </w:r>
      <w:r>
        <w:rPr>
          <w:rFonts w:hint="eastAsia" w:asciiTheme="minorEastAsia" w:hAnsiTheme="minorEastAsia" w:eastAsiaTheme="minorEastAsia"/>
          <w:color w:val="auto"/>
          <w:sz w:val="24"/>
          <w:highlight w:val="none"/>
          <w:lang w:val="en-US" w:eastAsia="zh-CN"/>
        </w:rPr>
        <w:t>2022年7月1日</w:t>
      </w:r>
      <w:r>
        <w:rPr>
          <w:rFonts w:asciiTheme="minorEastAsia" w:hAnsiTheme="minorEastAsia" w:eastAsiaTheme="minorEastAsia"/>
          <w:color w:val="auto"/>
          <w:sz w:val="24"/>
          <w:highlight w:val="none"/>
        </w:rPr>
        <w:t>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名    称：杭州市第一人民医院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址：杭州市浣纱路261号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0571-56005600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钮</w:t>
      </w:r>
      <w:r>
        <w:rPr>
          <w:rFonts w:hint="eastAsia" w:ascii="宋体" w:hAnsi="宋体" w:eastAsia="宋体" w:cs="宋体"/>
          <w:color w:val="auto"/>
          <w:sz w:val="24"/>
          <w:highlight w:val="none"/>
        </w:rPr>
        <w:t>主任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项目联系方式（询问）：0571-56007337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质疑联系人：周老师</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质疑联系方式：0571-56007409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址：杭州市之江路925号（临江金座2号楼)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潘颖颖</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w:t>
      </w:r>
      <w:r>
        <w:rPr>
          <w:rFonts w:hint="eastAsia" w:ascii="宋体" w:hAnsi="宋体" w:cs="宋体"/>
          <w:color w:val="auto"/>
          <w:sz w:val="24"/>
          <w:highlight w:val="none"/>
          <w:lang w:val="en-US" w:eastAsia="zh-CN"/>
        </w:rPr>
        <w:t>361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质疑联系人：滕菲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质疑联系方式：0571-85085388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址：杭州市中河中路152号617办公室 </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：厉先生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w:t>
      </w:r>
      <w:r>
        <w:rPr>
          <w:rFonts w:ascii="宋体" w:hAnsi="宋体" w:cs="宋体"/>
          <w:color w:val="auto"/>
          <w:sz w:val="24"/>
          <w:highlight w:val="none"/>
        </w:rPr>
        <w:t>89580456</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int="eastAsia" w:hAnsi="宋体" w:cs="宋体"/>
          <w:color w:val="auto"/>
          <w:sz w:val="24"/>
          <w:highlight w:val="none"/>
        </w:rPr>
      </w:pPr>
      <w:r>
        <w:rPr>
          <w:rFonts w:hint="eastAsia" w:hAnsi="宋体" w:cs="宋体"/>
          <w:color w:val="auto"/>
          <w:sz w:val="24"/>
          <w:highlight w:val="none"/>
        </w:rPr>
        <w:t xml:space="preserve">                        </w:t>
      </w:r>
    </w:p>
    <w:p>
      <w:pPr>
        <w:rPr>
          <w:rFonts w:hint="eastAsia" w:hAnsi="宋体" w:cs="宋体"/>
          <w:color w:val="auto"/>
          <w:sz w:val="24"/>
          <w:highlight w:val="none"/>
        </w:rPr>
      </w:pPr>
      <w:r>
        <w:rPr>
          <w:rFonts w:hint="eastAsia" w:hAnsi="宋体" w:cs="宋体"/>
          <w:color w:val="auto"/>
          <w:sz w:val="24"/>
          <w:highlight w:val="none"/>
        </w:rPr>
        <w:br w:type="page"/>
      </w:r>
    </w:p>
    <w:p>
      <w:pPr>
        <w:pStyle w:val="32"/>
        <w:spacing w:line="360" w:lineRule="auto"/>
        <w:ind w:firstLine="2530" w:firstLineChars="700"/>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保洁、运送服务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“集中清洗间”的清洗设备、清洗剂供给服务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asciiTheme="minorEastAsia" w:hAnsiTheme="minorEastAsia" w:eastAsiaTheme="minorEastAsia"/>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仿宋_GB2312" w:asciiTheme="minorEastAsia" w:hAnsiTheme="minorEastAsia" w:eastAsiaTheme="minorEastAsia"/>
                <w:color w:val="auto"/>
                <w:kern w:val="0"/>
                <w:sz w:val="24"/>
                <w:highlight w:val="none"/>
                <w:lang w:val="zh-CN"/>
              </w:rPr>
              <w:t>投标文件中价格全部采用人民币报价。招标文件未列明，而投标人认为必需的费用也需列入报价。</w:t>
            </w:r>
            <w:r>
              <w:rPr>
                <w:rFonts w:hint="eastAsia" w:cs="仿宋_GB2312" w:asciiTheme="minorEastAsia" w:hAnsiTheme="minorEastAsia" w:eastAsiaTheme="minorEastAsia"/>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cs="仿宋_GB2312"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4.4在线质疑、投诉。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w:t>
      </w:r>
      <w:r>
        <w:rPr>
          <w:rFonts w:cs="仿宋_GB2312" w:asciiTheme="minorEastAsia" w:hAnsiTheme="minorEastAsia" w:eastAsiaTheme="minorEastAsia"/>
          <w:color w:val="auto"/>
          <w:sz w:val="24"/>
          <w:highlight w:val="none"/>
        </w:rPr>
        <w:t>主要中标标的</w:t>
      </w:r>
      <w:r>
        <w:rPr>
          <w:rFonts w:hint="eastAsia" w:cs="仿宋_GB2312" w:asciiTheme="minorEastAsia" w:hAnsiTheme="minorEastAsia" w:eastAsiaTheme="minorEastAsia"/>
          <w:color w:val="auto"/>
          <w:sz w:val="24"/>
          <w:highlight w:val="none"/>
        </w:rPr>
        <w:t>的名称、具体服务、数量、单价、服务要求，开标记录、</w:t>
      </w:r>
      <w:r>
        <w:rPr>
          <w:rFonts w:ascii="宋体" w:hAnsi="宋体" w:cs="宋体"/>
          <w:color w:val="auto"/>
          <w:sz w:val="24"/>
          <w:highlight w:val="none"/>
        </w:rPr>
        <w:t>资格审查情况、</w:t>
      </w:r>
      <w:r>
        <w:rPr>
          <w:rFonts w:hint="eastAsia" w:ascii="宋体" w:hAnsi="宋体" w:cs="宋体"/>
          <w:color w:val="auto"/>
          <w:sz w:val="24"/>
          <w:highlight w:val="none"/>
        </w:rPr>
        <w:t>评审专家抽取规则、符合性审查情况、</w:t>
      </w:r>
      <w:r>
        <w:rPr>
          <w:rFonts w:hint="eastAsia" w:cs="仿宋_GB2312" w:asciiTheme="minorEastAsia" w:hAnsiTheme="minorEastAsia" w:eastAsia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cs="仿宋_GB2312" w:asciiTheme="minorEastAsia" w:hAnsiTheme="minorEastAsia" w:eastAsiaTheme="minorEastAsia"/>
          <w:color w:val="auto"/>
          <w:sz w:val="24"/>
          <w:highlight w:val="none"/>
        </w:rPr>
        <w:t>25.1</w:t>
      </w:r>
      <w:r>
        <w:rPr>
          <w:rFonts w:hint="eastAsia" w:ascii="宋体" w:hAnsi="宋体" w:cs="宋体"/>
          <w:color w:val="auto"/>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cs="仿宋_GB2312" w:asciiTheme="minorEastAsia" w:hAnsiTheme="minorEastAsia" w:eastAsiaTheme="minorEastAsia"/>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4729768"/>
      <w:bookmarkEnd w:id="15"/>
      <w:bookmarkStart w:id="16" w:name="_Hlt68057669"/>
      <w:bookmarkEnd w:id="16"/>
      <w:bookmarkStart w:id="17" w:name="_Hlt68403820"/>
      <w:bookmarkEnd w:id="17"/>
      <w:bookmarkStart w:id="18" w:name="_Hlt75236011"/>
      <w:bookmarkEnd w:id="18"/>
      <w:bookmarkStart w:id="19" w:name="_Hlt68073093"/>
      <w:bookmarkEnd w:id="19"/>
      <w:bookmarkStart w:id="20" w:name="_Hlt68072990"/>
      <w:bookmarkEnd w:id="20"/>
      <w:bookmarkStart w:id="21" w:name="_Hlt74730295"/>
      <w:bookmarkEnd w:id="21"/>
      <w:bookmarkStart w:id="22" w:name="_Hlt74714665"/>
      <w:bookmarkEnd w:id="22"/>
      <w:bookmarkStart w:id="23" w:name="_Hlt75236290"/>
      <w:bookmarkEnd w:id="23"/>
      <w:bookmarkStart w:id="24" w:name="_Hlt74707468"/>
      <w:bookmarkEnd w:id="24"/>
      <w:bookmarkStart w:id="25" w:name="_Hlt75236101"/>
      <w:bookmarkEnd w:id="25"/>
    </w:p>
    <w:bookmarkEnd w:id="11"/>
    <w:bookmarkEnd w:id="12"/>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pStyle w:val="797"/>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采购项目中单一产品或核心产品：保洁服务。</w:t>
      </w:r>
    </w:p>
    <w:p>
      <w:pPr>
        <w:numPr>
          <w:ilvl w:val="0"/>
          <w:numId w:val="1"/>
        </w:numPr>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引言</w:t>
      </w:r>
    </w:p>
    <w:p>
      <w:pPr>
        <w:pStyle w:val="456"/>
        <w:spacing w:before="240"/>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为贯彻落实《深化政府采购制度改革方案》，根据全国政府采购改革工作会议精神，依据《中华人民共和国政府采购法》、中华人民共和国财政部令第87号《政府采购货物和服务招标投标管理办法》、财库〔2019〕38号《财政部关于促进政府采购公平竞争优化营商环境的通知》、财政部2021年4月印发的《政府采购需求管理办法》等相关法律法规，从物业需求采购项目的特点及实际需要，编制此需求。</w:t>
      </w:r>
    </w:p>
    <w:p>
      <w:pPr>
        <w:numPr>
          <w:ilvl w:val="0"/>
          <w:numId w:val="1"/>
        </w:numPr>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适用范围</w:t>
      </w:r>
    </w:p>
    <w:p>
      <w:pPr>
        <w:snapToGrid w:val="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医院</w:t>
      </w:r>
    </w:p>
    <w:p>
      <w:pPr>
        <w:numPr>
          <w:ilvl w:val="0"/>
          <w:numId w:val="1"/>
        </w:numPr>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引用文件</w:t>
      </w:r>
    </w:p>
    <w:p>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《中华人民共和国民法典》、《</w:t>
      </w:r>
      <w:r>
        <w:rPr>
          <w:rFonts w:hint="eastAsia" w:ascii="宋体" w:hAnsi="宋体" w:eastAsia="宋体" w:cs="宋体"/>
          <w:color w:val="auto"/>
          <w:sz w:val="24"/>
          <w:highlight w:val="none"/>
          <w:shd w:val="clear" w:color="auto" w:fill="FFFFFF"/>
        </w:rPr>
        <w:t>中华人民共和国政府采购法</w:t>
      </w:r>
      <w:r>
        <w:rPr>
          <w:rFonts w:hint="eastAsia" w:ascii="宋体" w:hAnsi="宋体" w:eastAsia="宋体" w:cs="宋体"/>
          <w:color w:val="auto"/>
          <w:sz w:val="24"/>
          <w:highlight w:val="none"/>
        </w:rPr>
        <w:t>》、《中华人民共和国招标投标法》、《中华人民共和国财政部 第87号令 》、《物业管理条例》、《浙江省物业管理条例》、《医疗机构消毒技术规范》（WS/T367-2012)、《医务人员手卫生规范》（WS/T313-2019)、《医院洁净手术部建筑技术规范》GB 50333-2013 )、《医疗机构环境表面清洁与消毒管理规范》（WS/T512-2016)、《医院感染管理质量控制制度》(2019年版)。</w:t>
      </w:r>
    </w:p>
    <w:p>
      <w:pPr>
        <w:numPr>
          <w:ilvl w:val="0"/>
          <w:numId w:val="1"/>
        </w:numPr>
        <w:adjustRightInd/>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需求内容</w:t>
      </w:r>
    </w:p>
    <w:p>
      <w:pPr>
        <w:snapToGrid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1、项目概况</w:t>
      </w:r>
    </w:p>
    <w:p>
      <w:pPr>
        <w:snapToGrid w:val="0"/>
        <w:spacing w:line="360" w:lineRule="auto"/>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1、本次招标的服务内容是</w:t>
      </w:r>
      <w:r>
        <w:rPr>
          <w:rFonts w:hint="eastAsia" w:ascii="宋体" w:hAnsi="宋体" w:eastAsia="宋体" w:cs="宋体"/>
          <w:b/>
          <w:bCs/>
          <w:color w:val="auto"/>
          <w:sz w:val="24"/>
          <w:highlight w:val="none"/>
        </w:rPr>
        <w:t>：3、4、5、6、7、8、9号楼、改革月报、孝女路1号、5号、7号、学士坊4号（建筑面积约3.9万平方米）的保洁、电梯，会务保障及医院食堂的后勤服务。</w:t>
      </w:r>
    </w:p>
    <w:p>
      <w:pPr>
        <w:snapToGrid w:val="0"/>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2、服务期：1年，具体起止时间在签订合同时由采购人确定。</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3、服务地点：杭州市浣纱路261号，杭州市第一人民医院采购人指定区域。</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4、要求投标人具有丰富的同类医院保洁等服务工作经验，有科学合理的组织架构、严格的管理细则和岗位责任制度，能为采购人提供完善的日常保洁运送及各类应急任务等保障服务。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需考虑医院具体情况：如：建构筑物分布、面积、走向、空间位置；医院各科室、诊室、候诊室、手术室、病房、医疗辅助用房、设备用房、公共区域（公共走廊、电梯厅、电梯、楼梯、门厅、过道、卫生间、连廊、地下停车场等等）的分布及人员流量、日常保洁、运送需求及工程类服务需求等。在此基础上，结合采购人的基本需求，凭借各投标人管理服务的体系和类似服务的经验，以三甲医院的标准构建科学合理、组织结构精简高效、管理手段先进、节约采购人的管理成本、适合采购人具体情况，并能良好运作的保洁运送及工程类服务体系。因疫情防控要求，特殊部门按医院相关制度执行。</w:t>
      </w:r>
    </w:p>
    <w:p>
      <w:pPr>
        <w:spacing w:before="120" w:beforeLines="50" w:after="120" w:afterLines="50"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要求投标人做到工作交接记录完整、可查，具有追溯性，各种日报表、月或季报表随时可调用、年报表汇总情况分列内容齐全完整，并在服务期满时向采购人移交全部数据的电子文档和书面存档资料。</w:t>
      </w:r>
    </w:p>
    <w:p>
      <w:pPr>
        <w:spacing w:before="120" w:beforeLines="50" w:after="120" w:afterLines="50"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6、要求投标人在物业服务行业内具有一定的认可度及相关的行业服务经验。</w:t>
      </w:r>
    </w:p>
    <w:p>
      <w:pPr>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rPr>
        <w:t>二、保洁运送人员岗位表</w:t>
      </w:r>
    </w:p>
    <w:tbl>
      <w:tblPr>
        <w:tblStyle w:val="62"/>
        <w:tblW w:w="5000" w:type="pct"/>
        <w:tblInd w:w="0" w:type="dxa"/>
        <w:tblLayout w:type="fixed"/>
        <w:tblCellMar>
          <w:top w:w="0" w:type="dxa"/>
          <w:left w:w="108" w:type="dxa"/>
          <w:bottom w:w="0" w:type="dxa"/>
          <w:right w:w="108" w:type="dxa"/>
        </w:tblCellMar>
      </w:tblPr>
      <w:tblGrid>
        <w:gridCol w:w="688"/>
        <w:gridCol w:w="1074"/>
        <w:gridCol w:w="678"/>
        <w:gridCol w:w="4003"/>
        <w:gridCol w:w="1199"/>
        <w:gridCol w:w="853"/>
      </w:tblGrid>
      <w:tr>
        <w:tblPrEx>
          <w:tblCellMar>
            <w:top w:w="0" w:type="dxa"/>
            <w:left w:w="108" w:type="dxa"/>
            <w:bottom w:w="0" w:type="dxa"/>
            <w:right w:w="108" w:type="dxa"/>
          </w:tblCellMar>
        </w:tblPrEx>
        <w:trPr>
          <w:trHeight w:val="438"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color w:val="auto"/>
                <w:kern w:val="0"/>
                <w:sz w:val="24"/>
                <w:highlight w:val="none"/>
              </w:rPr>
            </w:pPr>
            <w:r>
              <w:rPr>
                <w:rFonts w:hint="eastAsia" w:ascii="宋体" w:hAnsi="宋体" w:eastAsia="宋体" w:cs="宋体"/>
                <w:b/>
                <w:color w:val="auto"/>
                <w:kern w:val="0"/>
                <w:sz w:val="24"/>
                <w:highlight w:val="none"/>
              </w:rPr>
              <w:t>标项</w:t>
            </w:r>
          </w:p>
        </w:tc>
      </w:tr>
      <w:tr>
        <w:tblPrEx>
          <w:tblCellMar>
            <w:top w:w="0" w:type="dxa"/>
            <w:left w:w="108" w:type="dxa"/>
            <w:bottom w:w="0" w:type="dxa"/>
            <w:right w:w="108" w:type="dxa"/>
          </w:tblCellMar>
        </w:tblPrEx>
        <w:trPr>
          <w:trHeight w:val="60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科  室</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需配人数</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保洁范围</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岗位级别及工资（元）</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CellMar>
            <w:top w:w="0" w:type="dxa"/>
            <w:left w:w="108" w:type="dxa"/>
            <w:bottom w:w="0" w:type="dxa"/>
            <w:right w:w="108" w:type="dxa"/>
          </w:tblCellMar>
        </w:tblPrEx>
        <w:trPr>
          <w:trHeight w:val="510" w:hRule="atLeast"/>
        </w:trPr>
        <w:tc>
          <w:tcPr>
            <w:tcW w:w="404"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3#1F</w:t>
            </w:r>
          </w:p>
        </w:tc>
        <w:tc>
          <w:tcPr>
            <w:tcW w:w="63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西药房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西药房发放所有的药，并室内外保洁</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3#1F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中药房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负责全院中药配送工</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3#1F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中药房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负责全院中药配送工（早上拉中药入库）</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0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3#1F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3#1F</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3#外围、全科门诊、西药房大厅等</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3#2F</w:t>
            </w:r>
          </w:p>
        </w:tc>
        <w:tc>
          <w:tcPr>
            <w:tcW w:w="63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门诊二楼</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3#3F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门诊三楼</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3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3#4F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门诊四楼</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3#5F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门诊口腔科</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所在楼层及口腔科室内外保洁及清洗器诫</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0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3#6F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门诊六楼</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3#7F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门诊七楼</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3#8F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门诊八楼</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4#1F、12F </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外围</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外围、中药房大厅、12F及屋顶保洁等</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4#1F、2F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体检中心</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所在科室室内外保洁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4#3F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综合保健门诊</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4#4F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人流室、妇产科门诊</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所在楼层室内外保洁，清洗器诫，消毒，人流帮忙等</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4#5F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耳鼻喉科门诊</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所在楼层室内保洁，清洗器诫，消毒等</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4#5F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耳鼻喉科门诊</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协助所在楼层清洗器诫，消毒及3号楼5楼通道候诊厅保洁等</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4#6F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美容科病房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所在楼层室内外保洁、手术室保洁、被服更换、发饭、打开水等</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4#7F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眼科病房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9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4#8F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心理科病房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2人所在楼层室内外保洁、被服更换、发饭、打开水等，1人负责送病人检查</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病房每人每月院补贴500元（税由公司承担）</w:t>
            </w: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4#9F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皮肤肿瘤病房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4#10F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肿瘤病房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5#4F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康复科病房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所在楼层包括康复治疗室内外保洁、被服更换、发饭、打开水等</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病房7F、8F、9F</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9F病房1人</w:t>
            </w:r>
          </w:p>
        </w:tc>
      </w:tr>
      <w:tr>
        <w:tblPrEx>
          <w:tblCellMar>
            <w:top w:w="0" w:type="dxa"/>
            <w:left w:w="108" w:type="dxa"/>
            <w:bottom w:w="0" w:type="dxa"/>
            <w:right w:w="108" w:type="dxa"/>
          </w:tblCellMar>
        </w:tblPrEx>
        <w:trPr>
          <w:trHeight w:val="57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5#公共区域外围</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负责外围、消楼梯、屋顶及公共区域保洁</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5#5F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儿科病房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5#6F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儿科病房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所在楼层室内外保洁、被服更换、发饭、打开水等</w:t>
            </w:r>
          </w:p>
        </w:tc>
        <w:tc>
          <w:tcPr>
            <w:tcW w:w="70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#1F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采购中心</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p>
        </w:tc>
        <w:tc>
          <w:tcPr>
            <w:tcW w:w="23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设备仓库送货</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5#-7#</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清洁工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single" w:color="auto" w:sz="4" w:space="0"/>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5#-7#号楼三楼通道、6#3F卫生间及外围、屋顶保洁、输血科保洁等</w:t>
            </w:r>
          </w:p>
        </w:tc>
        <w:tc>
          <w:tcPr>
            <w:tcW w:w="705" w:type="pct"/>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5#-7#</w:t>
            </w:r>
            <w:r>
              <w:rPr>
                <w:rFonts w:hint="eastAsia" w:ascii="宋体" w:hAnsi="宋体" w:eastAsia="宋体" w:cs="宋体"/>
                <w:color w:val="auto"/>
                <w:kern w:val="0"/>
                <w:sz w:val="24"/>
                <w:highlight w:val="none"/>
                <w:lang w:val="en-US" w:eastAsia="zh-CN"/>
              </w:rPr>
              <w:t>3F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清洁工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2356"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auto"/>
                <w:kern w:val="0"/>
                <w:sz w:val="24"/>
                <w:highlight w:val="none"/>
              </w:rPr>
            </w:pP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#-7#</w:t>
            </w:r>
            <w:r>
              <w:rPr>
                <w:rFonts w:hint="eastAsia" w:ascii="宋体" w:hAnsi="宋体" w:eastAsia="宋体" w:cs="宋体"/>
                <w:color w:val="auto"/>
                <w:kern w:val="0"/>
                <w:sz w:val="24"/>
                <w:highlight w:val="none"/>
                <w:lang w:val="en-US" w:eastAsia="zh-CN"/>
              </w:rPr>
              <w:t>8F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清洁工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2356"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auto"/>
                <w:kern w:val="0"/>
                <w:sz w:val="24"/>
                <w:highlight w:val="none"/>
              </w:rPr>
            </w:pP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清洁工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行政楼室内外卫生保洁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清洁工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负责所在楼宇室内外保洁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个体化研究所120急救中心</w:t>
            </w:r>
          </w:p>
        </w:tc>
        <w:tc>
          <w:tcPr>
            <w:tcW w:w="63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清洁工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所在楼宇室内外保洁</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55" w:hRule="atLeast"/>
        </w:trPr>
        <w:tc>
          <w:tcPr>
            <w:tcW w:w="40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营养食堂</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流质送餐员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负责各病区每日6餐的流质和2餐半流质点心的送餐，负责（有其余配餐员协助）所有治疗菜的装碗和分发。</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订餐员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每人负责8个左右病区的订餐和下午3点前的加餐</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90" w:hRule="atLeast"/>
        </w:trPr>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配餐员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负责各类蔬菜洗切、蒸菜蒸饭、早中晚三餐送餐至病区并与病区工人交接，二楼协助售卖、食堂除厨房以外的卫生</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90" w:hRule="atLeast"/>
        </w:trPr>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夜间送餐员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全院夜宵送餐员</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陪客餐厅工作人员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二楼陪客餐厅保洁及相关工作等</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职工食堂</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收费员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负责职工食堂窗口收费兼保洁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洗碗</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负责职工食堂所有碗筷保洁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蒸饭、蒸菜</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负责蒸饭蒸菜等</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送餐员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负责手术室、ICU急诊，二楼小餐厅服务及保洁等</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hint="default" w:ascii="宋体" w:hAnsi="宋体" w:eastAsia="宋体" w:cs="宋体"/>
                <w:color w:val="auto"/>
                <w:kern w:val="0"/>
                <w:sz w:val="24"/>
                <w:highlight w:val="none"/>
              </w:rPr>
            </w:pP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杂工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负责洗菜盆、洗菜、及餐厅保洁兼机动等</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制剂室</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勤杂工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所在科室正常工作及保洁</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院每人每月补贴535元（含税）</w:t>
            </w:r>
          </w:p>
        </w:tc>
      </w:tr>
      <w:tr>
        <w:tblPrEx>
          <w:tblCellMar>
            <w:top w:w="0" w:type="dxa"/>
            <w:left w:w="108" w:type="dxa"/>
            <w:bottom w:w="0" w:type="dxa"/>
            <w:right w:w="108" w:type="dxa"/>
          </w:tblCellMar>
        </w:tblPrEx>
        <w:trPr>
          <w:trHeight w:val="58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后勤保障部</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洗衣房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负责全院衣服收、发、清点、缝补等</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后勤保障部</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洗衣房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负责被服清点发放整理等工作</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后勤保障部</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洗衣房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负责被服清点发放整理及协助洗衣房管理（ICU被服收发）工作</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后勤保障部</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集中清洗房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负责全院保洁用品清洗发放</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外差</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24小时待命，拿血、院办、人事科及医院相关外差工作等</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电梯工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负责所在区域医梯运行及电梯保洁工作等</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管理员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标项区域管理包括夜间管理（17:00-8:00）</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星级卫生间</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按星级卫生间标准保洁</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3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垃圾工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全院生活垃圾、医疗垃圾清运、全院盐水瓶清运</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机动工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负责应急工作包括夜间保洁地面洗涤、地面保养等</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擦玻璃</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负责标项区域玻璃擦洗</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院办</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医院会务保障</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6#7F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临床药物试验病房</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病房所有工作</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医院</w:t>
            </w:r>
          </w:p>
        </w:tc>
        <w:tc>
          <w:tcPr>
            <w:tcW w:w="632"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送饭兼全院空盐水瓶及输液袋收集打包</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负责眼科手术室，胃肠镜室工作日中午送餐、</w:t>
            </w:r>
          </w:p>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儿科门诊周未中午送餐及全院盐水瓶、输液袋收集打包等</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7#1F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传达室</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负责传达室保洁及医院报刊发放</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孝女路1号</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保洁员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负责孝女路1号办公楼保洁</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地下停车库管理员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负责地下停车库的管理及保洁等相关工作</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卫健委</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保洁员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卫计委收发室相关工作</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6#1F</w:t>
            </w:r>
          </w:p>
        </w:tc>
        <w:tc>
          <w:tcPr>
            <w:tcW w:w="632"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大输液</w:t>
            </w:r>
          </w:p>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（病区输液送盐水）</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发盐水及室内外保洁等</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6#2F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配制中心</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负责全院药品运送及科室保洁等</w:t>
            </w:r>
          </w:p>
        </w:tc>
        <w:tc>
          <w:tcPr>
            <w:tcW w:w="705" w:type="pct"/>
            <w:tcBorders>
              <w:top w:val="nil"/>
              <w:left w:val="single" w:color="auto" w:sz="4" w:space="0"/>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6#5F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检验科</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科室清洗物品、领取物品、收标本</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6#6F</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中心实验室</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科室保洁、领取物品等</w:t>
            </w:r>
          </w:p>
        </w:tc>
        <w:tc>
          <w:tcPr>
            <w:tcW w:w="705"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后勤保障部</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全院下水道工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负责全院下水道疏通</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临床技能中心</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所在区域保洁</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改革月报</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公共区域保洁</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孝女路7号</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公共区域保洁</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孝女路5号</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公共区域保洁</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学士坊4号</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356" w:type="pct"/>
            <w:tcBorders>
              <w:top w:val="nil"/>
              <w:left w:val="nil"/>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公共区域保洁</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2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标项</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机动人员</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2356" w:type="pct"/>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医院临时增加机动人员</w:t>
            </w:r>
          </w:p>
        </w:tc>
        <w:tc>
          <w:tcPr>
            <w:tcW w:w="705" w:type="pct"/>
            <w:tcBorders>
              <w:top w:val="nil"/>
              <w:left w:val="single" w:color="auto" w:sz="4" w:space="0"/>
              <w:bottom w:val="single" w:color="auto" w:sz="4" w:space="0"/>
              <w:right w:val="nil"/>
            </w:tcBorders>
            <w:shd w:val="clear" w:color="auto" w:fill="auto"/>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b/>
                <w:color w:val="auto"/>
                <w:kern w:val="0"/>
                <w:sz w:val="24"/>
                <w:highlight w:val="none"/>
              </w:rPr>
              <w:t>不列入开标一览表（报价表）报价范围，</w:t>
            </w:r>
            <w:r>
              <w:rPr>
                <w:rFonts w:hint="eastAsia" w:ascii="宋体" w:hAnsi="宋体" w:eastAsia="宋体" w:cs="宋体"/>
                <w:color w:val="auto"/>
                <w:kern w:val="0"/>
                <w:sz w:val="24"/>
                <w:highlight w:val="none"/>
              </w:rPr>
              <w:t>实际使用时按相应岗位工标准支付</w:t>
            </w:r>
          </w:p>
        </w:tc>
      </w:tr>
      <w:tr>
        <w:tblPrEx>
          <w:tblCellMar>
            <w:top w:w="0" w:type="dxa"/>
            <w:left w:w="108" w:type="dxa"/>
            <w:bottom w:w="0" w:type="dxa"/>
            <w:right w:w="108" w:type="dxa"/>
          </w:tblCellMar>
        </w:tblPrEx>
        <w:trPr>
          <w:trHeight w:val="960" w:hRule="atLeast"/>
        </w:trPr>
        <w:tc>
          <w:tcPr>
            <w:tcW w:w="40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合计</w:t>
            </w:r>
          </w:p>
        </w:tc>
        <w:tc>
          <w:tcPr>
            <w:tcW w:w="63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98"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21</w:t>
            </w:r>
            <w:r>
              <w:rPr>
                <w:rFonts w:hint="eastAsia" w:ascii="宋体" w:hAnsi="宋体" w:eastAsia="宋体" w:cs="宋体"/>
                <w:color w:val="auto"/>
                <w:kern w:val="0"/>
                <w:sz w:val="24"/>
                <w:highlight w:val="none"/>
                <w:lang w:val="en-US" w:eastAsia="zh-CN"/>
              </w:rPr>
              <w:t>3</w:t>
            </w:r>
          </w:p>
        </w:tc>
        <w:tc>
          <w:tcPr>
            <w:tcW w:w="235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70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50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801"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所有区域保洁范围按所在区域工作流程执行。</w:t>
            </w:r>
          </w:p>
          <w:p>
            <w:pPr>
              <w:widowControl/>
              <w:jc w:val="left"/>
              <w:rPr>
                <w:rFonts w:hint="default"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每月按实际岗位人员结算。</w:t>
            </w:r>
          </w:p>
          <w:p>
            <w:pPr>
              <w:widowControl/>
              <w:jc w:val="left"/>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3、病区门岗夜班（12人数）：疫情期间负责病区门岗夜间管理，根据疫情情况按实际需要的人员由采购人另行支付。投标人在投标文件中填报费用，最高费用不得超过4500元/人/月。</w:t>
            </w:r>
            <w:r>
              <w:rPr>
                <w:rFonts w:hint="eastAsia" w:ascii="宋体" w:hAnsi="宋体" w:eastAsia="宋体" w:cs="宋体"/>
                <w:b/>
                <w:bCs/>
                <w:color w:val="auto"/>
                <w:kern w:val="0"/>
                <w:sz w:val="24"/>
                <w:highlight w:val="none"/>
              </w:rPr>
              <w:t>不计入投标报价，</w:t>
            </w:r>
            <w:r>
              <w:rPr>
                <w:rFonts w:hint="eastAsia" w:ascii="宋体" w:hAnsi="宋体" w:eastAsia="宋体" w:cs="宋体"/>
                <w:color w:val="auto"/>
                <w:kern w:val="0"/>
                <w:sz w:val="24"/>
                <w:highlight w:val="none"/>
              </w:rPr>
              <w:t>实际使用时按相应工资标准支付</w:t>
            </w:r>
          </w:p>
        </w:tc>
      </w:tr>
    </w:tbl>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snapToGrid w:val="0"/>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三、服务总体要求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要求所有的建筑按照三级甲等医院的标准24小时提供保洁、运送(含电梯)、给病人提供日常生活照料、维修服务项目，并针对特殊情况，制定防止交叉感染、消毒隔离制度和工作标准、流程，同时做好病区内服务员工的日常培训与管理工作。操作特种设备的员工应持证上岗，中标人负责监督并承担相应培训费用。配合医院做好迎接各类检查和突发性公共卫生事件等的应急卫生保洁、运送工作。</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物业管理区域内保洁服务内容：包括大楼内的楼梯、大厅、走廊、屋顶天台、吊顶、平台、雨棚、电梯厅、卫生间、茶水间、花盆、会议室、接待室、办公区域、公共活动场所的台（地）面、明沟、墙面、门、窗、灯具、果壳箱等设施和器皿，楼宇外墙等所有公共部位设施，规划内的道路、园林、停车场(库)、垃圾房等所有公共场地及设施和门前三包"区域的日常保洁保养以及垃圾、废弃物清理”等院区规划范围内的所有环境卫生保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3、物业管理区域内日常生活照料服务内容：包括所有服务区域按照三级甲等医院的卫生标准协助做好病患日常生活照料。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4、物业管理区域内运送（含电梯）服务内容：包括电梯操作、物品运送、人员运送、医疗标本、单据运送等各类运送工作。</w:t>
      </w:r>
    </w:p>
    <w:p>
      <w:pPr>
        <w:snapToGrid w:val="0"/>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四、具体服务要求及范围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1、环境保洁服务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大楼内的楼梯、大厅、走廊、屋顶天台、吊顶、平台、雨棚、电梯厅、电梯间、卫生间、茶水间、花盆、会议室、接待室、办公区域、公共活动场所的台（地）面、明沟、墙面、门、窗、灯具、果壳箱等设施和器皿等所有公共部位设施，规划内的道路、园林、停车场(库)、垃圾房等所有公共场地及设施和门前三包"区域的日常保洁保养以及垃圾、废弃物清理等环境卫生保洁。具体如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公共区域日常服务内容：地面、扶手、门窗玻璃、门及门窗框、玻璃幕墙及有关附体，沙发、桌子、各类宣传牌、橱窗及有关附体，天花板、栏杆、消防楼梯区域等，及时清除各种垃圾等杂物，无积灰、印迹、污渍。各类材质地面定期进行抛光、喷磨、刷洗、补蜡、全面保养打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办公区域、会议室等特定区域保洁服务内容：地面、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每季度进行一次清洁；白色墙面及顶面如有污渍等应及时清除，墙面去污。室内地面养护：定期抛光、喷磨、刷洗、补蜡、全面保养打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（3）负责服务范围病区内的清洁卫生（包括内墙、玻璃、高处灯具、通风口、空调表面（吊顶内的除外）、地面、室内家具、楼梯、走廊、通道、窗户、门、桌、椅、床、柜、宣传栏、洗手间、公共通道等）。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（4）顶篷等边缘区域服务内容：屋顶屋面、沟槽、地面、雨篷及边角区域，各种附体的表面清洁。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（5）水电和设备等设施类服务内容：</w:t>
      </w:r>
      <w:r>
        <w:rPr>
          <w:rFonts w:hint="eastAsia" w:ascii="宋体" w:hAnsi="宋体" w:eastAsia="宋体" w:cs="宋体"/>
          <w:color w:val="auto"/>
          <w:sz w:val="24"/>
          <w:highlight w:val="none"/>
          <w:lang w:val="zh-CN"/>
        </w:rPr>
        <w:t>一般机器表面清洁（除医疗设备及医院特殊规定的设备除外），空调风口及室内机外壳洗尘与保洁。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（6）窗帘、床帘服务内容：保持窗帘、床帘表面清洁，普通窗帘、床帘根据窗帘、床帘清洁情况定时拆装送洗，</w:t>
      </w:r>
      <w:r>
        <w:rPr>
          <w:rFonts w:hint="eastAsia" w:ascii="宋体" w:hAnsi="宋体" w:eastAsia="宋体" w:cs="宋体"/>
          <w:color w:val="auto"/>
          <w:sz w:val="24"/>
          <w:highlight w:val="none"/>
          <w:lang w:val="zh-CN"/>
        </w:rPr>
        <w:t>办公区域和普通病房</w:t>
      </w:r>
      <w:r>
        <w:rPr>
          <w:rFonts w:hint="eastAsia" w:ascii="宋体" w:hAnsi="宋体" w:eastAsia="宋体" w:cs="宋体"/>
          <w:color w:val="auto"/>
          <w:sz w:val="24"/>
          <w:highlight w:val="none"/>
        </w:rPr>
        <w:t>三月一次、ICU</w:t>
      </w:r>
      <w:r>
        <w:rPr>
          <w:rFonts w:hint="eastAsia" w:ascii="宋体" w:hAnsi="宋体" w:eastAsia="宋体" w:cs="宋体"/>
          <w:color w:val="auto"/>
          <w:sz w:val="24"/>
          <w:highlight w:val="none"/>
          <w:lang w:val="zh-CN"/>
        </w:rPr>
        <w:t>和超声科</w:t>
      </w:r>
      <w:r>
        <w:rPr>
          <w:rFonts w:hint="eastAsia" w:ascii="宋体" w:hAnsi="宋体" w:eastAsia="宋体" w:cs="宋体"/>
          <w:color w:val="auto"/>
          <w:sz w:val="24"/>
          <w:highlight w:val="none"/>
        </w:rPr>
        <w:t>等一月一次，</w:t>
      </w:r>
      <w:r>
        <w:rPr>
          <w:rFonts w:hint="eastAsia" w:ascii="宋体" w:hAnsi="宋体" w:eastAsia="宋体" w:cs="宋体"/>
          <w:color w:val="auto"/>
          <w:sz w:val="24"/>
          <w:highlight w:val="none"/>
          <w:lang w:val="zh-CN"/>
        </w:rPr>
        <w:t>隔离病人终末消毒时、或随脏随洗</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（7）电梯服务内容：保持电梯轿厢内外无果壳、纸屑等杂物，无污渍、无灰尘、手印、鞋印，表面光亮可映出人影。每天对轿厢内外用油布擦拭二次，每周用不锈钢油对轿厢内外进行轻抹保养一次。</w:t>
      </w:r>
      <w:r>
        <w:rPr>
          <w:rFonts w:hint="eastAsia" w:ascii="宋体" w:hAnsi="宋体" w:eastAsia="宋体" w:cs="宋体"/>
          <w:color w:val="auto"/>
          <w:sz w:val="24"/>
          <w:highlight w:val="none"/>
          <w:lang w:val="zh-CN"/>
        </w:rPr>
        <w:t>责对所有电梯定期消毒，并进行登记。</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（8）不锈钢保洁服务内容：包括所有不锈钢制品、设施、设备，除有明确规定的保洁要求外，至少每周用不锈钢油保养一次。哑光不锈钢表面无污渍、无灰尘；镜面不锈钢表面光亮，三米内能清晰映出人影。</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（9）医疗/生活垃圾清运服务内容：</w:t>
      </w:r>
      <w:r>
        <w:rPr>
          <w:rFonts w:hint="eastAsia" w:ascii="宋体" w:hAnsi="宋体" w:eastAsia="宋体" w:cs="宋体"/>
          <w:color w:val="auto"/>
          <w:sz w:val="24"/>
          <w:highlight w:val="none"/>
          <w:lang w:val="zh-CN"/>
        </w:rPr>
        <w:t>①专职员工2次/天及时收集垃圾，符合院感要求。医疗废物用黄色专用标识垃圾袋、专用箱收放，用专用车使用污物电梯运送，做好医疗垃圾登记、交接工作。②转运站工具摆放整齐，垃圾存量不超过三分之二且做到日产日清，定期清洗，每天消毒一次，无明显积水，无蚊蝇飞舞。垃圾清运工具应保持清洁无破损，清运过程中不得产生二次污染。各类垃圾存放至各区域指定的地方，再将垃圾运到垃圾暂存处，其中公共区域、卫生间无堆积垃圾。③为响应创建“无废城市”，可回收医疗垃圾收集流程要求等同于固体医疗废弃物收集。④化粪池、下水道等及时清理杂物,确保排放畅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（10）投标人对院内大理石地面及地胶板进行打蜡及晶面处理，一年不少于2次。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（11）负责采购人星级卫生间的清新剂等净化空气产品的更换（费用包含在投标报价中）。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（12）投标人服务期内负责区域范围内的外墙清洗服务，所涉及设备、清洗用品及耗材等均包含在投标报价中。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（13）终末消毒。</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zh-CN"/>
        </w:rPr>
        <w:t>内镜室、供应室等科室内镜、器械清洗消毒工作方案，提供有服务三甲医院项目集中清洗的证明材料。</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“集中清洗间”清洗消毒流程必须严格遵照院感科要求，硬件设施如场地由采购人提供，清洗设备、清洗剂等所需的所有费用应包含在报价中。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2、环境保洁服务要求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（1）负责服务范围内环境清洁卫生。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（2）及时收集生活垃圾和医疗垃圾，并送到院内指定地点。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（3）按时巡视，每层要做到干净、整洁，无蜘蛛丝，无异味。</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（4）为避免尘土飞扬，按地面清洁标准、规范方法进行处理。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（5）要求对清洁工具每天进行清洗消毒，避免用手洗，以防止交叉感染。</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（6）为防止交叉感染，对不同区域的清洁工具按医院感染科的要求实行严格分类摆放和使用，用颜色、字标等方式进行区分。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（7）做好大楼内PVC地面/橡胶以及其它各种材质地板、墙面的养护。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（8）要求中标人对医院的项目管理配置满足功能要求的专用洗地机、自动洗地吸水机、抛光机、吸水洗尘机、地坪/地毯吹干机、真空吸尘机、垃圾车等。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（9）中标人负责提供保洁用的清洁剂和地面保护材料等，并应是优质产品，同时应符合医院院感科的要求。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（10）所使用的清洁车辆必须是先进的全方位清洁手推车。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（11）报价中应包含大理石地面翻新，PVC以及其它各材质地面的护理，包括起蜡落蜡，刷洗补蜡，喷磨和抛光等处理，保持地面的光亮、整洁。所使用耗材应为知名优质品牌。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（12）要求对环境保洁进行科学的划分，并且强调计划性。</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（13）范围内的道路、停车场和门前“三包”及所有公共区域的地面，无有形垃圾和建筑垃圾、无堆积杂物、无积灰、无积水和淤泥、无阻塞等。至少做到每日清扫两次，巡回保洁。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（14）投标人需按相关部门要求进行垃圾分类，并提供可降解的垃圾袋（所涉及费用均包含再投标报价中）。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（15）环境保洁具体工作要求：</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区域：大厅、急诊室、供应室</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630"/>
        <w:gridCol w:w="20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1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207"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区域内地面扫尘（无扬尘干扫）</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区域内家具（桌椅、橱柜等）、台面擦拭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区域内电脑、电话、仪器（含各种医用器材）、低处电器表面清洗或擦拭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区域内洗手池、水池、水龙头、皂盒、清洗、擦拭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卫生间（含水龙头、洗手池、台面、马桶、地面）冲洗、擦拭、消毒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区域内窗台、阳台、把手、栏杆、花盆、开关盒、接线盒、各类低处标牌、垃圾桶擦拭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开水器、冰箱（如有）外表面清洁消毒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门、门框、低处窗框擦拭、通风口</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灯具、烟感、监视器、风口、管道、空调（吊顶内的除外）、风扇等高处设备擦拭清洁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打蜡、晶面处理或保养</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窗帘拆换（污染时随时拆换）</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平车上布类整理、更换，床上用品拆换</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区域：手术室</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630"/>
        <w:gridCol w:w="20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1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207"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区域内家具（桌椅、橱柜等）、办公用品、台面擦拭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区域内电脑、电话、仪器（含各种医用器材、无影灯）、低处电器表面清洗、擦拭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区域内洗手池、水池、水龙头、皂盒、隔拦处清洗、擦拭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卫生间（含镜子、水龙头、脸盆、台面、毛巾架、马桶、沐浴器、地面）冲洗、擦拭、消毒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 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区域内窗台、阳台、把手、扶手、栏杆、开关盒、接线盒、各类低处标牌、垃圾桶擦拭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拖鞋清洗、</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术后整理、清洁、消毒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开水机、空气消毒机、空调设备外表面的清洁与消毒</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门、门框、窗框、玻璃、高处标牌、壁挂物擦拭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灯具、音响、烟感、监视器、风口、排气扇、风扇、空调（吊顶内的除外）等高处设备擦洗</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地面机洗、打蜡、晶面处理或保养</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每3月1次以上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平车上布类整理、更换，手术台上用品拆换</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库房的打扫</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窗帘拆换</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314"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各类平车轮椅车轮上油、去污，保证正常运行</w:t>
            </w:r>
          </w:p>
        </w:tc>
        <w:tc>
          <w:tcPr>
            <w:tcW w:w="1207"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区域：住院病区</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654"/>
        <w:gridCol w:w="2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328"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193"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区域内地面牵尘（无扬尘干扫）</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区域内家具（桌椅、橱柜等）、办公用品（含病历牌）、台面擦拭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区域内电脑、电话、仪器（含各种医用器材）、器械（治疗车、病历夹、病历架等）、床单位、低处电器表面的清洗或擦拭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区域内洗手池、水池、水龙头、皂盒清洗、擦拭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卫生间（含镜子、水龙头、脸盆、台面、毛巾架、马桶、沐浴器、地面）、开水间冲洗、擦拭、消毒</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 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区域内窗台、阳台、把手、栏杆、花瓶、花盆、开关盒、接线盒、设备带、各类低处标牌、垃圾桶擦拭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床单位终末消毒</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开水器、冰箱外表面清洁消毒</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门、门框、窗框、玻璃（含内外窗玻璃）清洁</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灯具、音响、烟感、监视器、风口、排气扇、风扇、空调（吊顶内的除外）等高处设备擦洗</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打蜡、晶面处理或保养，PVC地面刷洗补蜡</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石材地面的日常维护保养</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巡视保洁、小手巾清洗、晾晒</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窗帘，挂帘的拆换</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332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给所有病人打开水</w:t>
            </w:r>
          </w:p>
        </w:tc>
        <w:tc>
          <w:tcPr>
            <w:tcW w:w="119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每天3次以上</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区域：室内公共区域</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583"/>
        <w:gridCol w:w="20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28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235"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区域内地面扫尘并地面湿拖（进行地面消毒、清洁）</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区域内洗手池、水池、水龙头清洗、擦拭</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卫生间（含镜子、水龙头、脸盆、台面、马桶、地面）、开水间冲洗、擦拭、消毒</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区域内把手、栏杆、花瓶、花盆、开关盒、接线盒、各类低处标牌、垃圾桶擦拭</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公共座椅的清洁擦拭</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灯具、音响、烟感、监视器、风口、空调（吊顶内的除外）等高处设备擦洗</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各材质地面的保养</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地毯、踏垫保持地毯干净、松软、无污渍斑点，洗后无色差</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每日清扫，每周吸尘清洁，每周局部使用清洁剂清洁，每月一次用清洁剂清洗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大厅内玻璃除尘、清洗，无尘，光亮</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每季度全面清尘一次以上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28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巡逻保洁</w:t>
            </w:r>
          </w:p>
        </w:tc>
        <w:tc>
          <w:tcPr>
            <w:tcW w:w="123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区域：室外公共区域</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5569"/>
        <w:gridCol w:w="2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278"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1243"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区域内垃圾桶刷洗</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明沟、暗沟月彻底清理，如有堵塞情况，及时上报</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路灯除尘</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每月4次以上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各出入口地面清扫、收集垃圾、水力冲洗</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小花园及道路清扫、收集垃圾、水力冲洗</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外墙及外露管道（二米以下）除尘，无积灰、污渍</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屋顶及周边清扫、收集垃圾、刷洗、清洁堵塞物</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每日清扫，雨雪天气、台风季节重点清扫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公共座椅保洁</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外墙金属嵌条、广告牌、宣传栏、灯箱、标志牌除尘无积灰、污渍</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外立面幕墙玻璃</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每半年清洗1次以上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监控探头除尘</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每半年清洗1次以上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室外绿地清扫，无垃圾、无杂物</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每天清洁1次以上，随时清扫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278"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巡逻保洁</w:t>
            </w:r>
          </w:p>
        </w:tc>
        <w:tc>
          <w:tcPr>
            <w:tcW w:w="1243"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区域：电梯</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4275"/>
        <w:gridCol w:w="3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1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05"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16" w:type="pct"/>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地面除尘、清洗，无灰尘、垃圾及污渍</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每日吸尘2次以上</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墙面，木质（除尘）铝合金（上保护剂）、镜面清洁，无灰尘及手印，光亮</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每日保洁</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门（内外）抹净（上保护剂），无灰尘及手印，光亮</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门槽清除垃圾、杂物，无灰尘及垃圾，光亮</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每日及时清除</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指示牌和按钮除尘，无灰尘、无手印</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灯片和风口除尘无灰尘</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区域：其他</w:t>
      </w:r>
    </w:p>
    <w:tbl>
      <w:tblPr>
        <w:tblStyle w:val="6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4275"/>
        <w:gridCol w:w="3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79"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1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05"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地下车库地面清扫、冲洗，无垃圾、无杂物</w:t>
            </w:r>
          </w:p>
        </w:tc>
        <w:tc>
          <w:tcPr>
            <w:tcW w:w="2005"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循环保洁，每天清洁1次以上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图书馆书架、书橱除尘、抹净，</w:t>
            </w:r>
          </w:p>
        </w:tc>
        <w:tc>
          <w:tcPr>
            <w:tcW w:w="2005" w:type="pct"/>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循环保洁，随时清抹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8" w:hRule="atLeast"/>
        </w:trPr>
        <w:tc>
          <w:tcPr>
            <w:tcW w:w="479"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16" w:type="pc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垃圾收集及暂存点保洁</w:t>
            </w:r>
          </w:p>
        </w:tc>
        <w:tc>
          <w:tcPr>
            <w:tcW w:w="2005" w:type="pct"/>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医院内部垃圾存放区域每天清洗、消毒1次，每周全面清洗消毒1次；每天对垃圾的收集情况进行及时登记，以备检索。</w:t>
            </w:r>
          </w:p>
        </w:tc>
      </w:tr>
    </w:tbl>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未列入的且为正常保洁管理工作以及突发性事件造成的保洁管理工作的项目、部位均包括在本次采购范围内，中标人不得因此拒绝提供保洁管理服务（保洁用品等所需费用全部包括在投标报价中）。</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2、运送工作（含电梯）。</w:t>
      </w:r>
      <w:r>
        <w:rPr>
          <w:rFonts w:hint="eastAsia" w:ascii="宋体" w:hAnsi="宋体" w:eastAsia="宋体" w:cs="宋体"/>
          <w:color w:val="auto"/>
          <w:sz w:val="24"/>
          <w:highlight w:val="none"/>
          <w:lang w:val="zh-CN"/>
        </w:rPr>
        <w:t>运送工作（含电梯）方案包括:①急诊、住院病人轮椅、平车服务；②无抽搐电休克治疗室病人运送 服务；③住院病人运送服务；④办公用品、医疗设备、文件资料、各类物品、检验检测标本、各类报告、药品等物品类运送服务；⑤物理治疗中心治疗病人运送服务 ；⑥供应室和库房各类物品送取、清点、登记服务；⑦协助手术室做好手术衣发放和术后患者的运送工作；⑧应急专用电梯值守服务等。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（1）收送各种药品、化验标本及检查、会诊、预约等单据。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（2）送病人院内做检查。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（3）送资料、复印、感染报告等。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（4）临时去供应室取送消毒物品、临时领用应急物资，做好设备借用及设备送保修。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（5）领大输液药品。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（6）棉织品被服更换、工作衣的更换，窗帘和床帘更换,并负责与洗衣公司交接清点。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（7）加床运送等。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（8）其他未提及的运送工作。</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（9）设立24小时的中央调度中心，相关人员配置对讲机和耳机等无线通讯设备。</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（10）医院负责提供运送用工具，中标人应合理调配并负责管理与保养、维护、维修（含维修费用）。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（11）要求对运送的数据进行汇总和统计，能随时提供相应的数据，给采购人的决策进行支持。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（12）运送准确率不低于99%。</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（13）电梯操作人员按国家相关规定持证上岗。</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（14）按规范操作电梯行驶。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（15）全正确地引导各人员乘坐电梯。</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（16）电梯及时报修。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（17）当日运送任务完成必须及时收回轮椅、平车等运送工具，避免滞留于现场。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（18）建立中央运送信息化（调度平台与运送员工手持智能终端互联互通）系统。</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五、保洁运送人员基本要求</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1、人员要求：拟派本项目所有服务人员须相对固定，由各投标人仔细了解并现场察看医院的具体情况后，在投标文件中做出详细的定人定岗计划表，中标后不得自行更换。</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2、服务人员需统一着装上岗，并佩戴胸牌（胸牌样式需根据医院要求统一制作）。</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3、服务人员具有与承担的服务工作相符的文化程度或工作能力，身体健康，提供体检证明或健康证。</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4、服务人员100%经过岗前培训合格才上岗，且有岗前培训记录。</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5、医院物业服务人员年龄要求：所有服务员工年龄不超过60周岁。原有员工年龄超过60周岁的在1个月内逐步更换达到上述要求。未按要求更换的按照1000元/人在当月物业服务费中扣除。</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6、保洁运送人员素质要求：小学及以上学历，遵纪守法，敬业爱岗，身体健康，无传染病，无不良行为记录，知晓本岗位的服务礼仪。</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7、保洁运送项目负责人要求：</w:t>
      </w:r>
      <w:r>
        <w:rPr>
          <w:rFonts w:hint="eastAsia" w:ascii="宋体" w:hAnsi="宋体" w:eastAsia="宋体" w:cs="宋体"/>
          <w:color w:val="auto"/>
          <w:kern w:val="0"/>
          <w:highlight w:val="none"/>
        </w:rPr>
        <w:t>派遣到我院的项目经理需在三级甲等医院从事项目管理工作五年以上，本科及以上学历</w:t>
      </w:r>
      <w:r>
        <w:rPr>
          <w:rFonts w:hint="eastAsia" w:ascii="宋体" w:hAnsi="宋体" w:eastAsia="宋体" w:cs="宋体"/>
          <w:color w:val="auto"/>
          <w:szCs w:val="24"/>
          <w:highlight w:val="none"/>
        </w:rPr>
        <w:t>；</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8、</w:t>
      </w:r>
      <w:r>
        <w:rPr>
          <w:rFonts w:hint="eastAsia" w:ascii="宋体" w:hAnsi="宋体" w:eastAsia="宋体" w:cs="宋体"/>
          <w:color w:val="auto"/>
          <w:kern w:val="0"/>
          <w:highlight w:val="none"/>
        </w:rPr>
        <w:t>其它管理人员需在三级甲等医院从事项目管理工作二年以上，大专及以上学历应具有医院保洁勤务管理经验。</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9、以上主要管理人员在项目实施过程中不得随意更换，确需更换的，必须以书面形式向采购人申请，项目经理、主管需提前一个月告知业主并得到同意后才能更换，未经采购人同意私自更换的，按照5000元/人在当月物业服务费扣除。更换的人员应符合同等资质要求。</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10、投标时应明确以上各管理人员的岗位职责。服务人员岗位设置情况应根据采购人要求随时进行调整。</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11、工作岗位人数不足时，按相应岗位成本扣除服务费，缺岗时间超过15天的按当月缺岗处罚（具体扣罚方法参照医院物业考核方案执行）。</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12、部分特殊岗位保洁运送员工要求具有初中及以上文化水平，如供应室、各类药房、运送调度、运送人员、司梯、医疗废物收集人员等。</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如果采购人基于适当的理由确认投标人的任何人员为采购人所不能接受，采购人可以书面形式要求撤换该人员。投标人必须无条件予以相应，且在投标人要求的时间内向提供其可接受的替换人员，更换的人员资历和经验不得低于原投标承诺的各项资质，经采购人认可后方可上岗。</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14、中标人应保证在承包期内其员工最低月工资不低于杭州市最低工资标准，否则其投标被否决的风险由投标人自行承担。投标人也不得以优惠报价为理由降低</w:t>
      </w:r>
      <w:r>
        <w:rPr>
          <w:rFonts w:hint="eastAsia" w:ascii="宋体" w:hAnsi="宋体" w:eastAsia="宋体" w:cs="宋体"/>
          <w:color w:val="auto"/>
          <w:highlight w:val="none"/>
        </w:rPr>
        <w:t>人员的工资待遇。</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15、拟派作业人员的涉及国家规定须持证上岗的，其作业人员必须有相应的上岗证且证书在有效期内。</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16、投标人服务人员在工作时间不得向院区内病人提供陪护服务，经发现后按采购人要求进行罚款。</w:t>
      </w:r>
    </w:p>
    <w:p>
      <w:pPr>
        <w:pStyle w:val="128"/>
        <w:spacing w:before="0"/>
        <w:ind w:firstLine="482"/>
        <w:rPr>
          <w:rFonts w:hint="eastAsia" w:ascii="宋体" w:hAnsi="宋体" w:eastAsia="宋体" w:cs="宋体"/>
          <w:b/>
          <w:color w:val="auto"/>
          <w:highlight w:val="none"/>
        </w:rPr>
      </w:pPr>
      <w:r>
        <w:rPr>
          <w:rFonts w:hint="eastAsia" w:ascii="宋体" w:hAnsi="宋体" w:eastAsia="宋体" w:cs="宋体"/>
          <w:b/>
          <w:color w:val="auto"/>
          <w:szCs w:val="24"/>
          <w:highlight w:val="none"/>
        </w:rPr>
        <w:t>六、其他要求</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1、医院将提供中标人管理办公用房、员工更衣用房、仓库用房，在服务期限内提供给中标人使用。（采购人不提供住宿，由投标人自行考虑。）</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2、中标人配置项目相关人员的装备（包括对讲机以及对讲机公共频道占用费及维修费用等）。</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3、中标人自备电脑、考勤设备和打印机等办公设备和耗材；中标人自行负责桌椅等办公家私和员工更衣柜。</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4、中标人的各岗位员工要统一服装，并由中标人负责其员工工服配备和洗涤，费用自理。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5、中标人有岗前培训机构，服务人员100%经过岗前培训合格才上岗。上岗工作前要求进行院感专业培训；上岗后要求每季度培训一次，必须掌握最基础的规范化服务要求及院感基础知识。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投标人针对本项目每位服务人员在上岗工作前要求进行本专科所需知识的专业培训；上岗后要求每月培训一次，必须掌握最基础的规范化服务要求及本专科基础知识。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6、未经医院同意，中标人不得在合同期限内将本项目的管理权转包或发包。</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7、中标人须严格按照标准化的操作程序、完善的培训体系和质量控制体系完成本项目服务，以保证整个服务系统安全、高效、有序和有计划地运转。</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8、中标人有责任配合医院接受上级领导部门的监督、检查，提供必须的资料。</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9、中标人须严格按照国家和杭州市政府规定给所有的员工缴纳各种社会保险（包括养老、医疗、工伤、生育险、失业保险）（所需费用要求已含在总报价中）。</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10、中标人自行负责其招聘员工的一切工资、福利；如发生工伤、疾病乃至死亡的一切责任及费用由中标人全部负责；中标人应严格遵守国家有关的法律、法规及行业标准。如因中标人原因造成第三方损失的，一切责任及费用由中标人全部负责。</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11、全部服务人员的工作时间应严格按国家有关法律、法规要求的标准执行，因工作原因产生的加班（含节假日加班）应严格按国家有关法律、法规要求的标准给付员工加班薪资（费用要求已含在总报价中，不得再向采购人索取额外加班薪资）。</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12、所有员工入院服务时都必须体检，并且合格的才能上岗（费用由中标方负责）。</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13、采购人不接受供应商任何因遗漏报价而发生的费用追加，因供应商违反《劳动法》等法律法规而造成采购人的连带责任和损失全部由中标方承担。</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14、详细说明投入的管理设备、工具、药剂、耗材的环保性和优越性，提供相关设备、工具、材料的品牌、型号、产地、数量等清单，品种、数量配置合理。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15、根据采购人需要提供会议、庆典、节日、学术等活动的日常服务，主要完成相关会议室的会议室卫生及物品管理等，相关费用包含在报价中。针对医院各类检查、参观、评审等事件提供相应服务，且提出可操作性方案，相关费用包含在报价中。</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16、提出台风、暴雨、雷击、漏水、停电、火警等应急预案。</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17、提出疫情防控方案，方案可行、可靠。</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18、投标人承诺购买第三方责任险（即雇主责任险，提供证明材料）。</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19、拟投入本项目的管理与作业人员总数和专业工种劳动力投入、软硬件的综合水平情况符合采购。</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20、医院负责提供各类垃圾桶、医疗垃圾袋，负责生活垃圾、医疗垃圾的外运费和垃圾处理费用；中标人负责提供生活垃圾袋。</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21、投标人在投标文件中提供岗位工资明细一览表，要求注明员工基本工资、绩效、奖金、五险一金及福利等情况，并且明确实际发放的薪资金额（扣除由个人缴纳部分及房租等金额）。</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22、中标人须每月向采购人提供职工社会保险缴纳情况清单。</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23、中标人须认真履行职责，严格按服务协议中的质量保证体系做好院内的承包服务工作。确保在岗在位，各尽其职，保证符合各项服务基本频次要求和各项质量标准。</w:t>
      </w:r>
    </w:p>
    <w:p>
      <w:pP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24、采购人对中标人实行一岗一人实名制考核。</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25、提供报价明细（单人工资标准）表。中标人应保证在承包期内其员工最低月工资不得低于现行公布的杭州市最低工资标准。按要求，注明单人工资标准，否则，视为投标文件含有采购人不能接受的附加条件，投标无效。</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26、投标人获得的有效期内的ISO9001质量管理体系认证证书、ISO14001环境管理体系认证证书、GB28001职业健康安全管理体系认证证书、ISO50001能源管理体系认证证书。</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27、投标截止时间前三年内成功承担过类似物业服务（物业项目必须包含以下2项内容：保洁服务、运送服务）。</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28、根据本项目物业使用特点提出合理的医院物业管理服务理念，提出服务定位、目标，投标人的管理模式能够切合实际，且安全可行，保密性、安全性、文明服务的计划及承诺情况。</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29、有比较完善的组织架构，清晰简练地列出主要管理流程，包括运作流程图、激励机制、监督机制、自我约束机制、信息反馈渠道及处理机制，管理指标承诺达到物业管理医院物业管理标准。</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30、有完善的医院物业管理制度、作业流程及医院物业管理工作计划及实施时间，并建立和完善档案管理制度、规章制度、医院物业管理制度等，体现标准化服务，管理服务水平符合国家和行业标准。</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31、投标方案充分考虑用户的日常用途和需求，对本次医院物管服务内容的目标有较深入的理解。</w:t>
      </w:r>
    </w:p>
    <w:p>
      <w:pPr>
        <w:pStyle w:val="690"/>
        <w:keepNext w:val="0"/>
        <w:pageBreakBefore w:val="0"/>
        <w:tabs>
          <w:tab w:val="clear" w:pos="720"/>
        </w:tabs>
        <w:snapToGrid w:val="0"/>
        <w:spacing w:before="120" w:after="120"/>
        <w:ind w:firstLine="352" w:firstLineChars="147"/>
        <w:jc w:val="both"/>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32、投标人管理目标和管理方式陈述内容及日常管理服务项目、标准、承诺指标和采取的管理细则（包括岗位责任制、考核办法、服务流程说明等），目标明确，管理方式可行，具有先进性；管理细则清晰、全面，具有操作性。</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建立医疗支持信息化系统（主要功能需包括保洁主管日常网络信息化检查）。提供信息化系统功能介绍及截图，满足医院所需的保洁、运送等管理等功能，并出具现服务医院使用信息化管理系统证明。信息化管理系统系自主研发并提供软件著作权证书且系统含有保洁及运送管理功能。</w:t>
      </w: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7" w:name="_Toc184313294"/>
      <w:bookmarkEnd w:id="27"/>
      <w:bookmarkStart w:id="28" w:name="_Toc184312078"/>
      <w:bookmarkEnd w:id="28"/>
      <w:bookmarkStart w:id="29" w:name="_Toc184312129"/>
      <w:bookmarkEnd w:id="29"/>
      <w:bookmarkStart w:id="30" w:name="_Toc184308079"/>
      <w:bookmarkEnd w:id="30"/>
      <w:bookmarkStart w:id="31" w:name="_Toc184313301"/>
      <w:bookmarkEnd w:id="31"/>
      <w:bookmarkStart w:id="32" w:name="_Toc184313259"/>
      <w:bookmarkEnd w:id="32"/>
      <w:bookmarkStart w:id="33" w:name="_Toc184312136"/>
      <w:bookmarkEnd w:id="33"/>
      <w:bookmarkStart w:id="34" w:name="_Toc184310311"/>
      <w:bookmarkEnd w:id="34"/>
      <w:bookmarkStart w:id="35" w:name="_Toc184312073"/>
      <w:bookmarkEnd w:id="35"/>
      <w:bookmarkStart w:id="36" w:name="_Toc184310340"/>
      <w:bookmarkEnd w:id="36"/>
      <w:bookmarkStart w:id="37" w:name="_Toc184310324"/>
      <w:bookmarkEnd w:id="37"/>
      <w:bookmarkStart w:id="38" w:name="_Toc184313260"/>
      <w:bookmarkEnd w:id="38"/>
      <w:bookmarkStart w:id="39" w:name="_Toc184312075"/>
      <w:bookmarkEnd w:id="39"/>
      <w:bookmarkStart w:id="40" w:name="_Toc184313272"/>
      <w:bookmarkEnd w:id="40"/>
      <w:bookmarkStart w:id="41" w:name="_Toc184312100"/>
      <w:bookmarkEnd w:id="41"/>
      <w:bookmarkStart w:id="42" w:name="_Toc184308100"/>
      <w:bookmarkEnd w:id="42"/>
      <w:bookmarkStart w:id="43" w:name="_Toc184308066"/>
      <w:bookmarkEnd w:id="43"/>
      <w:bookmarkStart w:id="44" w:name="_Toc184314420"/>
      <w:bookmarkEnd w:id="44"/>
      <w:bookmarkStart w:id="45" w:name="_Toc184310314"/>
      <w:bookmarkEnd w:id="45"/>
      <w:bookmarkStart w:id="46" w:name="_Toc184312089"/>
      <w:bookmarkEnd w:id="46"/>
      <w:bookmarkStart w:id="47" w:name="_Toc184313265"/>
      <w:bookmarkEnd w:id="47"/>
      <w:bookmarkStart w:id="48" w:name="_Toc184310316"/>
      <w:bookmarkEnd w:id="48"/>
      <w:bookmarkStart w:id="49" w:name="_Toc184310329"/>
      <w:bookmarkEnd w:id="49"/>
      <w:bookmarkStart w:id="50" w:name="_Toc184310318"/>
      <w:bookmarkEnd w:id="50"/>
      <w:bookmarkStart w:id="51" w:name="_Toc184312086"/>
      <w:bookmarkEnd w:id="51"/>
      <w:bookmarkStart w:id="52" w:name="_Toc184312091"/>
      <w:bookmarkEnd w:id="52"/>
      <w:bookmarkStart w:id="53" w:name="_Toc184314411"/>
      <w:bookmarkEnd w:id="53"/>
      <w:bookmarkStart w:id="54" w:name="_Toc184314431"/>
      <w:bookmarkEnd w:id="54"/>
      <w:bookmarkStart w:id="55" w:name="_Toc184312092"/>
      <w:bookmarkEnd w:id="55"/>
      <w:bookmarkStart w:id="56" w:name="_Toc184312116"/>
      <w:bookmarkEnd w:id="56"/>
      <w:bookmarkStart w:id="57" w:name="_Toc184313308"/>
      <w:bookmarkEnd w:id="57"/>
      <w:bookmarkStart w:id="58" w:name="_Toc184308068"/>
      <w:bookmarkEnd w:id="58"/>
      <w:bookmarkStart w:id="59" w:name="_Toc184312072"/>
      <w:bookmarkEnd w:id="59"/>
      <w:bookmarkStart w:id="60" w:name="_Toc184313248"/>
      <w:bookmarkEnd w:id="60"/>
      <w:bookmarkStart w:id="61" w:name="_Toc184312109"/>
      <w:bookmarkEnd w:id="61"/>
      <w:bookmarkStart w:id="62" w:name="_Toc184312134"/>
      <w:bookmarkEnd w:id="62"/>
      <w:bookmarkStart w:id="63" w:name="_Toc184312132"/>
      <w:bookmarkEnd w:id="63"/>
      <w:bookmarkStart w:id="64" w:name="_Toc184314443"/>
      <w:bookmarkEnd w:id="64"/>
      <w:bookmarkStart w:id="65" w:name="_Toc184313266"/>
      <w:bookmarkEnd w:id="65"/>
      <w:bookmarkStart w:id="66" w:name="_Toc184308038"/>
      <w:bookmarkEnd w:id="66"/>
      <w:bookmarkStart w:id="67" w:name="_Toc184308062"/>
      <w:bookmarkEnd w:id="67"/>
      <w:bookmarkStart w:id="68" w:name="_Toc184310326"/>
      <w:bookmarkEnd w:id="68"/>
      <w:bookmarkStart w:id="69" w:name="_Toc184314467"/>
      <w:bookmarkEnd w:id="69"/>
      <w:bookmarkStart w:id="70" w:name="_Toc184310335"/>
      <w:bookmarkEnd w:id="70"/>
      <w:bookmarkStart w:id="71" w:name="_Toc184308091"/>
      <w:bookmarkEnd w:id="71"/>
      <w:bookmarkStart w:id="72" w:name="_Toc184313254"/>
      <w:bookmarkEnd w:id="72"/>
      <w:bookmarkStart w:id="73" w:name="_Toc184314476"/>
      <w:bookmarkEnd w:id="73"/>
      <w:bookmarkStart w:id="74" w:name="_Toc184310342"/>
      <w:bookmarkEnd w:id="74"/>
      <w:bookmarkStart w:id="75" w:name="_Toc184312106"/>
      <w:bookmarkEnd w:id="75"/>
      <w:bookmarkStart w:id="76" w:name="_Toc184312111"/>
      <w:bookmarkEnd w:id="76"/>
      <w:bookmarkStart w:id="77" w:name="_Toc184314445"/>
      <w:bookmarkEnd w:id="77"/>
      <w:bookmarkStart w:id="78" w:name="_Toc184314478"/>
      <w:bookmarkEnd w:id="78"/>
      <w:bookmarkStart w:id="79" w:name="_Toc184310287"/>
      <w:bookmarkEnd w:id="79"/>
      <w:bookmarkStart w:id="80" w:name="_Toc184314479"/>
      <w:bookmarkEnd w:id="80"/>
      <w:bookmarkStart w:id="81" w:name="_Toc184313256"/>
      <w:bookmarkEnd w:id="81"/>
      <w:bookmarkStart w:id="82" w:name="_Toc184314480"/>
      <w:bookmarkEnd w:id="82"/>
      <w:bookmarkStart w:id="83" w:name="_Toc184314415"/>
      <w:bookmarkEnd w:id="83"/>
      <w:bookmarkStart w:id="84" w:name="_Toc184313287"/>
      <w:bookmarkEnd w:id="84"/>
      <w:bookmarkStart w:id="85" w:name="_Toc184314436"/>
      <w:bookmarkEnd w:id="85"/>
      <w:bookmarkStart w:id="86" w:name="_Toc184310322"/>
      <w:bookmarkEnd w:id="86"/>
      <w:bookmarkStart w:id="87" w:name="_Toc184308042"/>
      <w:bookmarkEnd w:id="87"/>
      <w:bookmarkStart w:id="88" w:name="_Toc184312120"/>
      <w:bookmarkEnd w:id="88"/>
      <w:bookmarkStart w:id="89" w:name="_Toc184313285"/>
      <w:bookmarkEnd w:id="89"/>
      <w:bookmarkStart w:id="90" w:name="_Toc184308086"/>
      <w:bookmarkEnd w:id="90"/>
      <w:bookmarkStart w:id="91" w:name="_Toc184308041"/>
      <w:bookmarkEnd w:id="91"/>
      <w:bookmarkStart w:id="92" w:name="_Toc184314423"/>
      <w:bookmarkEnd w:id="92"/>
      <w:bookmarkStart w:id="93" w:name="_Toc184313264"/>
      <w:bookmarkEnd w:id="93"/>
      <w:bookmarkStart w:id="94" w:name="_Toc184312135"/>
      <w:bookmarkEnd w:id="94"/>
      <w:bookmarkStart w:id="95" w:name="_Toc184314466"/>
      <w:bookmarkEnd w:id="95"/>
      <w:bookmarkStart w:id="96" w:name="_Toc184312077"/>
      <w:bookmarkEnd w:id="96"/>
      <w:bookmarkStart w:id="97" w:name="_Toc184313241"/>
      <w:bookmarkEnd w:id="97"/>
      <w:bookmarkStart w:id="98" w:name="_Toc184308056"/>
      <w:bookmarkEnd w:id="98"/>
      <w:bookmarkStart w:id="99" w:name="_Toc184312127"/>
      <w:bookmarkEnd w:id="99"/>
      <w:bookmarkStart w:id="100" w:name="_Toc184313243"/>
      <w:bookmarkEnd w:id="100"/>
      <w:bookmarkStart w:id="101" w:name="_Toc184312095"/>
      <w:bookmarkEnd w:id="101"/>
      <w:bookmarkStart w:id="102" w:name="_Toc184314442"/>
      <w:bookmarkEnd w:id="102"/>
      <w:bookmarkStart w:id="103" w:name="_Toc184310304"/>
      <w:bookmarkEnd w:id="103"/>
      <w:bookmarkStart w:id="104" w:name="_Toc184308088"/>
      <w:bookmarkEnd w:id="104"/>
      <w:bookmarkStart w:id="105" w:name="_Toc184313288"/>
      <w:bookmarkEnd w:id="105"/>
      <w:bookmarkStart w:id="106" w:name="_Toc184313298"/>
      <w:bookmarkEnd w:id="106"/>
      <w:bookmarkStart w:id="107" w:name="_Toc184313251"/>
      <w:bookmarkEnd w:id="107"/>
      <w:bookmarkStart w:id="108" w:name="_Toc184308102"/>
      <w:bookmarkEnd w:id="108"/>
      <w:bookmarkStart w:id="109" w:name="_Toc184308049"/>
      <w:bookmarkEnd w:id="109"/>
      <w:bookmarkStart w:id="110" w:name="_Toc184310334"/>
      <w:bookmarkEnd w:id="110"/>
      <w:bookmarkStart w:id="111" w:name="_Toc184310325"/>
      <w:bookmarkEnd w:id="111"/>
      <w:bookmarkStart w:id="112" w:name="_Toc184308061"/>
      <w:bookmarkEnd w:id="112"/>
      <w:bookmarkStart w:id="113" w:name="_Toc184310278"/>
      <w:bookmarkEnd w:id="113"/>
      <w:bookmarkStart w:id="114" w:name="_Toc184313304"/>
      <w:bookmarkEnd w:id="114"/>
      <w:bookmarkStart w:id="115" w:name="_Toc184313300"/>
      <w:bookmarkEnd w:id="115"/>
      <w:bookmarkStart w:id="116" w:name="_Toc184314465"/>
      <w:bookmarkEnd w:id="116"/>
      <w:bookmarkStart w:id="117" w:name="_Toc184312096"/>
      <w:bookmarkEnd w:id="117"/>
      <w:bookmarkStart w:id="118" w:name="_Toc184314470"/>
      <w:bookmarkEnd w:id="118"/>
      <w:bookmarkStart w:id="119" w:name="_Toc184310275"/>
      <w:bookmarkEnd w:id="119"/>
      <w:bookmarkStart w:id="120" w:name="_Toc184314475"/>
      <w:bookmarkEnd w:id="120"/>
      <w:bookmarkStart w:id="121" w:name="_Toc184312117"/>
      <w:bookmarkEnd w:id="121"/>
      <w:bookmarkStart w:id="122" w:name="_Toc184308081"/>
      <w:bookmarkEnd w:id="122"/>
      <w:bookmarkStart w:id="123" w:name="_Toc184308046"/>
      <w:bookmarkEnd w:id="123"/>
      <w:bookmarkStart w:id="124" w:name="_Toc184308103"/>
      <w:bookmarkEnd w:id="124"/>
      <w:bookmarkStart w:id="125" w:name="_Toc184308065"/>
      <w:bookmarkEnd w:id="125"/>
      <w:bookmarkStart w:id="126" w:name="_Toc184310317"/>
      <w:bookmarkEnd w:id="126"/>
      <w:bookmarkStart w:id="127" w:name="_Toc184312082"/>
      <w:bookmarkEnd w:id="127"/>
      <w:bookmarkStart w:id="128" w:name="_Toc184308043"/>
      <w:bookmarkEnd w:id="128"/>
      <w:bookmarkStart w:id="129" w:name="_Toc184308037"/>
      <w:bookmarkEnd w:id="129"/>
      <w:bookmarkStart w:id="130" w:name="_Toc184310341"/>
      <w:bookmarkEnd w:id="130"/>
      <w:bookmarkStart w:id="131" w:name="_Toc184310286"/>
      <w:bookmarkEnd w:id="131"/>
      <w:bookmarkStart w:id="132" w:name="_Toc184312094"/>
      <w:bookmarkEnd w:id="132"/>
      <w:bookmarkStart w:id="133" w:name="_Toc184312087"/>
      <w:bookmarkEnd w:id="133"/>
      <w:bookmarkStart w:id="134" w:name="_Toc184313310"/>
      <w:bookmarkEnd w:id="134"/>
      <w:bookmarkStart w:id="135" w:name="_Toc184308084"/>
      <w:bookmarkEnd w:id="135"/>
      <w:bookmarkStart w:id="136" w:name="_Toc184308040"/>
      <w:bookmarkEnd w:id="136"/>
      <w:bookmarkStart w:id="137" w:name="_Toc184312084"/>
      <w:bookmarkEnd w:id="137"/>
      <w:bookmarkStart w:id="138" w:name="_Toc184314418"/>
      <w:bookmarkEnd w:id="138"/>
      <w:bookmarkStart w:id="139" w:name="_Toc184314424"/>
      <w:bookmarkEnd w:id="139"/>
      <w:bookmarkStart w:id="140" w:name="_Toc184314457"/>
      <w:bookmarkEnd w:id="140"/>
      <w:bookmarkStart w:id="141" w:name="_Toc184310285"/>
      <w:bookmarkEnd w:id="141"/>
      <w:bookmarkStart w:id="142" w:name="_Toc184313239"/>
      <w:bookmarkEnd w:id="142"/>
      <w:bookmarkStart w:id="143" w:name="_Toc184310277"/>
      <w:bookmarkEnd w:id="143"/>
      <w:bookmarkStart w:id="144" w:name="_Toc184310276"/>
      <w:bookmarkEnd w:id="144"/>
      <w:bookmarkStart w:id="145" w:name="_Toc184314473"/>
      <w:bookmarkEnd w:id="145"/>
      <w:bookmarkStart w:id="146" w:name="_Toc184313303"/>
      <w:bookmarkEnd w:id="146"/>
      <w:bookmarkStart w:id="147" w:name="_Toc184314412"/>
      <w:bookmarkEnd w:id="147"/>
      <w:bookmarkStart w:id="148" w:name="_Toc184308094"/>
      <w:bookmarkEnd w:id="148"/>
      <w:bookmarkStart w:id="149" w:name="_Toc184308054"/>
      <w:bookmarkEnd w:id="149"/>
      <w:bookmarkStart w:id="150" w:name="_Toc184312097"/>
      <w:bookmarkEnd w:id="150"/>
      <w:bookmarkStart w:id="151" w:name="_Toc184310344"/>
      <w:bookmarkEnd w:id="151"/>
      <w:bookmarkStart w:id="152" w:name="_Toc184310339"/>
      <w:bookmarkEnd w:id="152"/>
      <w:bookmarkStart w:id="153" w:name="_Toc184310319"/>
      <w:bookmarkEnd w:id="153"/>
      <w:bookmarkStart w:id="154" w:name="_Toc184314454"/>
      <w:bookmarkEnd w:id="154"/>
      <w:bookmarkStart w:id="155" w:name="_Toc184312088"/>
      <w:bookmarkEnd w:id="155"/>
      <w:bookmarkStart w:id="156" w:name="_Toc184313261"/>
      <w:bookmarkEnd w:id="156"/>
      <w:bookmarkStart w:id="157" w:name="_Toc184313281"/>
      <w:bookmarkEnd w:id="157"/>
      <w:bookmarkStart w:id="158" w:name="_Toc184310305"/>
      <w:bookmarkEnd w:id="158"/>
      <w:bookmarkStart w:id="159" w:name="_Toc184312119"/>
      <w:bookmarkEnd w:id="159"/>
      <w:bookmarkStart w:id="160" w:name="_Toc184308104"/>
      <w:bookmarkEnd w:id="160"/>
      <w:bookmarkStart w:id="161" w:name="_Toc184314452"/>
      <w:bookmarkEnd w:id="161"/>
      <w:bookmarkStart w:id="162" w:name="_Toc184308098"/>
      <w:bookmarkEnd w:id="162"/>
      <w:bookmarkStart w:id="163" w:name="_Toc184308108"/>
      <w:bookmarkEnd w:id="163"/>
      <w:bookmarkStart w:id="164" w:name="_Toc184312081"/>
      <w:bookmarkEnd w:id="164"/>
      <w:bookmarkStart w:id="165" w:name="_Toc184314462"/>
      <w:bookmarkEnd w:id="165"/>
      <w:bookmarkStart w:id="166" w:name="_Toc184314432"/>
      <w:bookmarkEnd w:id="166"/>
      <w:bookmarkStart w:id="167" w:name="_Toc184310272"/>
      <w:bookmarkEnd w:id="167"/>
      <w:bookmarkStart w:id="168" w:name="_Toc184313246"/>
      <w:bookmarkEnd w:id="168"/>
      <w:bookmarkStart w:id="169" w:name="_Toc184314460"/>
      <w:bookmarkEnd w:id="169"/>
      <w:bookmarkStart w:id="170" w:name="_Toc184308044"/>
      <w:bookmarkEnd w:id="170"/>
      <w:bookmarkStart w:id="171" w:name="_Toc184310288"/>
      <w:bookmarkEnd w:id="171"/>
      <w:bookmarkStart w:id="172" w:name="_Toc184310291"/>
      <w:bookmarkEnd w:id="172"/>
      <w:bookmarkStart w:id="173" w:name="_Toc184308051"/>
      <w:bookmarkEnd w:id="173"/>
      <w:bookmarkStart w:id="174" w:name="_Toc184313258"/>
      <w:bookmarkEnd w:id="174"/>
      <w:bookmarkStart w:id="175" w:name="_Toc184312069"/>
      <w:bookmarkEnd w:id="175"/>
      <w:bookmarkStart w:id="176" w:name="_Toc184313263"/>
      <w:bookmarkEnd w:id="176"/>
      <w:bookmarkStart w:id="177" w:name="_Toc184308085"/>
      <w:bookmarkEnd w:id="177"/>
      <w:bookmarkStart w:id="178" w:name="_Toc184312126"/>
      <w:bookmarkEnd w:id="178"/>
      <w:bookmarkStart w:id="179" w:name="_Toc184312130"/>
      <w:bookmarkEnd w:id="179"/>
      <w:bookmarkStart w:id="180" w:name="_Toc184308099"/>
      <w:bookmarkEnd w:id="180"/>
      <w:bookmarkStart w:id="181" w:name="_Toc184314413"/>
      <w:bookmarkEnd w:id="181"/>
      <w:bookmarkStart w:id="182" w:name="_Toc184313245"/>
      <w:bookmarkEnd w:id="182"/>
      <w:bookmarkStart w:id="183" w:name="_Toc184310274"/>
      <w:bookmarkEnd w:id="183"/>
      <w:bookmarkStart w:id="184" w:name="_Toc184308055"/>
      <w:bookmarkEnd w:id="184"/>
      <w:bookmarkStart w:id="185" w:name="_Toc184308071"/>
      <w:bookmarkEnd w:id="185"/>
      <w:bookmarkStart w:id="186" w:name="_Toc184312083"/>
      <w:bookmarkEnd w:id="186"/>
      <w:bookmarkStart w:id="187" w:name="_Toc184310273"/>
      <w:bookmarkEnd w:id="187"/>
      <w:bookmarkStart w:id="188" w:name="_Toc184314425"/>
      <w:bookmarkEnd w:id="188"/>
      <w:bookmarkStart w:id="189" w:name="_Toc184312098"/>
      <w:bookmarkEnd w:id="189"/>
      <w:bookmarkStart w:id="190" w:name="_Toc184310327"/>
      <w:bookmarkEnd w:id="190"/>
      <w:bookmarkStart w:id="191" w:name="_Toc184308053"/>
      <w:bookmarkEnd w:id="191"/>
      <w:bookmarkStart w:id="192" w:name="_Toc184308097"/>
      <w:bookmarkEnd w:id="192"/>
      <w:bookmarkStart w:id="193" w:name="_Toc184308036"/>
      <w:bookmarkEnd w:id="193"/>
      <w:bookmarkStart w:id="194" w:name="_Toc184310290"/>
      <w:bookmarkEnd w:id="194"/>
      <w:bookmarkStart w:id="195" w:name="_Toc184313267"/>
      <w:bookmarkEnd w:id="195"/>
      <w:bookmarkStart w:id="196" w:name="_Toc184308105"/>
      <w:bookmarkEnd w:id="196"/>
      <w:bookmarkStart w:id="197" w:name="_Toc184314477"/>
      <w:bookmarkEnd w:id="197"/>
      <w:bookmarkStart w:id="198" w:name="_Toc184308083"/>
      <w:bookmarkEnd w:id="198"/>
      <w:bookmarkStart w:id="199" w:name="_Toc184313299"/>
      <w:bookmarkEnd w:id="199"/>
      <w:bookmarkStart w:id="200" w:name="_Toc184310333"/>
      <w:bookmarkEnd w:id="200"/>
      <w:bookmarkStart w:id="201" w:name="_Toc184314438"/>
      <w:bookmarkEnd w:id="201"/>
      <w:bookmarkStart w:id="202" w:name="_Toc184312071"/>
      <w:bookmarkEnd w:id="202"/>
      <w:bookmarkStart w:id="203" w:name="_Toc184308057"/>
      <w:bookmarkEnd w:id="203"/>
      <w:bookmarkStart w:id="204" w:name="_Toc184310308"/>
      <w:bookmarkEnd w:id="204"/>
      <w:bookmarkStart w:id="205" w:name="_Toc184310337"/>
      <w:bookmarkEnd w:id="205"/>
      <w:bookmarkStart w:id="206" w:name="_Toc184314468"/>
      <w:bookmarkEnd w:id="206"/>
      <w:bookmarkStart w:id="207" w:name="_Toc184312114"/>
      <w:bookmarkEnd w:id="207"/>
      <w:bookmarkStart w:id="208" w:name="_Toc184314453"/>
      <w:bookmarkEnd w:id="208"/>
      <w:bookmarkStart w:id="209" w:name="_Toc184313242"/>
      <w:bookmarkEnd w:id="209"/>
      <w:bookmarkStart w:id="210" w:name="_Toc184313273"/>
      <w:bookmarkEnd w:id="210"/>
      <w:bookmarkStart w:id="211" w:name="_Toc184312125"/>
      <w:bookmarkEnd w:id="211"/>
      <w:bookmarkStart w:id="212" w:name="_Toc184312113"/>
      <w:bookmarkEnd w:id="212"/>
      <w:bookmarkStart w:id="213" w:name="_Toc184308048"/>
      <w:bookmarkEnd w:id="213"/>
      <w:bookmarkStart w:id="214" w:name="_Toc184310301"/>
      <w:bookmarkEnd w:id="214"/>
      <w:bookmarkStart w:id="215" w:name="_Toc184314459"/>
      <w:bookmarkEnd w:id="215"/>
      <w:bookmarkStart w:id="216" w:name="_Toc184314463"/>
      <w:bookmarkEnd w:id="216"/>
      <w:bookmarkStart w:id="217" w:name="_Toc184313270"/>
      <w:bookmarkEnd w:id="217"/>
      <w:bookmarkStart w:id="218" w:name="_Toc184308106"/>
      <w:bookmarkEnd w:id="218"/>
      <w:bookmarkStart w:id="219" w:name="_Toc184314417"/>
      <w:bookmarkEnd w:id="219"/>
      <w:bookmarkStart w:id="220" w:name="_Toc184308087"/>
      <w:bookmarkEnd w:id="220"/>
      <w:bookmarkStart w:id="221" w:name="_Toc184310331"/>
      <w:bookmarkEnd w:id="221"/>
      <w:bookmarkStart w:id="222" w:name="_Toc184312076"/>
      <w:bookmarkEnd w:id="222"/>
      <w:bookmarkStart w:id="223" w:name="_Toc184312068"/>
      <w:bookmarkEnd w:id="223"/>
      <w:bookmarkStart w:id="224" w:name="_Toc184312108"/>
      <w:bookmarkEnd w:id="224"/>
      <w:bookmarkStart w:id="225" w:name="_Toc184308075"/>
      <w:bookmarkEnd w:id="225"/>
      <w:bookmarkStart w:id="226" w:name="_Toc184314439"/>
      <w:bookmarkEnd w:id="226"/>
      <w:bookmarkStart w:id="227" w:name="_Toc184314474"/>
      <w:bookmarkEnd w:id="227"/>
      <w:bookmarkStart w:id="228" w:name="_Toc184314458"/>
      <w:bookmarkEnd w:id="228"/>
      <w:bookmarkStart w:id="229" w:name="_Toc184312121"/>
      <w:bookmarkEnd w:id="229"/>
      <w:bookmarkStart w:id="230" w:name="_Toc184314419"/>
      <w:bookmarkEnd w:id="230"/>
      <w:bookmarkStart w:id="231" w:name="_Toc184314440"/>
      <w:bookmarkEnd w:id="231"/>
      <w:bookmarkStart w:id="232" w:name="_Toc184308089"/>
      <w:bookmarkEnd w:id="232"/>
      <w:bookmarkStart w:id="233" w:name="_Toc184312137"/>
      <w:bookmarkEnd w:id="233"/>
      <w:bookmarkStart w:id="234" w:name="_Toc184308064"/>
      <w:bookmarkEnd w:id="234"/>
      <w:bookmarkStart w:id="235" w:name="_Toc184312123"/>
      <w:bookmarkEnd w:id="235"/>
      <w:bookmarkStart w:id="236" w:name="_Toc184313257"/>
      <w:bookmarkEnd w:id="236"/>
      <w:bookmarkStart w:id="237" w:name="_Toc184310303"/>
      <w:bookmarkEnd w:id="237"/>
      <w:bookmarkStart w:id="238" w:name="_Toc184312112"/>
      <w:bookmarkEnd w:id="238"/>
      <w:bookmarkStart w:id="239" w:name="_Toc184314434"/>
      <w:bookmarkEnd w:id="239"/>
      <w:bookmarkStart w:id="240" w:name="_Toc184308090"/>
      <w:bookmarkEnd w:id="240"/>
      <w:bookmarkStart w:id="241" w:name="_Toc184313247"/>
      <w:bookmarkEnd w:id="241"/>
      <w:bookmarkStart w:id="242" w:name="_Toc184314446"/>
      <w:bookmarkEnd w:id="242"/>
      <w:bookmarkStart w:id="243" w:name="_Toc184313253"/>
      <w:bookmarkEnd w:id="243"/>
      <w:bookmarkStart w:id="244" w:name="_Toc184308072"/>
      <w:bookmarkEnd w:id="244"/>
      <w:bookmarkStart w:id="245" w:name="_Toc184312131"/>
      <w:bookmarkEnd w:id="245"/>
      <w:bookmarkStart w:id="246" w:name="_Toc184314481"/>
      <w:bookmarkEnd w:id="246"/>
      <w:bookmarkStart w:id="247" w:name="_Toc184308047"/>
      <w:bookmarkEnd w:id="247"/>
      <w:bookmarkStart w:id="248" w:name="_Toc184314435"/>
      <w:bookmarkEnd w:id="248"/>
      <w:bookmarkStart w:id="249" w:name="_Toc184308073"/>
      <w:bookmarkEnd w:id="249"/>
      <w:bookmarkStart w:id="250" w:name="_Toc184310294"/>
      <w:bookmarkEnd w:id="250"/>
      <w:bookmarkStart w:id="251" w:name="_Toc184313278"/>
      <w:bookmarkEnd w:id="251"/>
      <w:bookmarkStart w:id="252" w:name="_Toc184310321"/>
      <w:bookmarkEnd w:id="252"/>
      <w:bookmarkStart w:id="253" w:name="_Toc184312133"/>
      <w:bookmarkEnd w:id="253"/>
      <w:bookmarkStart w:id="254" w:name="_Toc184310280"/>
      <w:bookmarkEnd w:id="254"/>
      <w:bookmarkStart w:id="255" w:name="_Toc184314441"/>
      <w:bookmarkEnd w:id="255"/>
      <w:bookmarkStart w:id="256" w:name="_Toc184313293"/>
      <w:bookmarkEnd w:id="256"/>
      <w:bookmarkStart w:id="257" w:name="_Toc184308107"/>
      <w:bookmarkEnd w:id="257"/>
      <w:bookmarkStart w:id="258" w:name="_Toc184308074"/>
      <w:bookmarkEnd w:id="258"/>
      <w:bookmarkStart w:id="259" w:name="_Toc184308077"/>
      <w:bookmarkEnd w:id="259"/>
      <w:bookmarkStart w:id="260" w:name="_Toc184310330"/>
      <w:bookmarkEnd w:id="260"/>
      <w:bookmarkStart w:id="261" w:name="_Toc184312093"/>
      <w:bookmarkEnd w:id="261"/>
      <w:bookmarkStart w:id="262" w:name="_Toc184310315"/>
      <w:bookmarkEnd w:id="262"/>
      <w:bookmarkStart w:id="263" w:name="_Toc184314461"/>
      <w:bookmarkEnd w:id="263"/>
      <w:bookmarkStart w:id="264" w:name="_Toc184312122"/>
      <w:bookmarkEnd w:id="264"/>
      <w:bookmarkStart w:id="265" w:name="_Toc184313280"/>
      <w:bookmarkEnd w:id="265"/>
      <w:bookmarkStart w:id="266" w:name="_Toc184314456"/>
      <w:bookmarkEnd w:id="266"/>
      <w:bookmarkStart w:id="267" w:name="_Toc184312128"/>
      <w:bookmarkEnd w:id="267"/>
      <w:bookmarkStart w:id="268" w:name="_Toc184308059"/>
      <w:bookmarkEnd w:id="268"/>
      <w:bookmarkStart w:id="269" w:name="_Toc184313307"/>
      <w:bookmarkEnd w:id="269"/>
      <w:bookmarkStart w:id="270" w:name="_Toc184314433"/>
      <w:bookmarkEnd w:id="270"/>
      <w:bookmarkStart w:id="271" w:name="_Toc184308093"/>
      <w:bookmarkEnd w:id="271"/>
      <w:bookmarkStart w:id="272" w:name="_Toc184308080"/>
      <w:bookmarkEnd w:id="272"/>
      <w:bookmarkStart w:id="273" w:name="_Toc184314437"/>
      <w:bookmarkEnd w:id="273"/>
      <w:bookmarkStart w:id="274" w:name="_Toc184310307"/>
      <w:bookmarkEnd w:id="274"/>
      <w:bookmarkStart w:id="275" w:name="_Toc184308058"/>
      <w:bookmarkEnd w:id="275"/>
      <w:bookmarkStart w:id="276" w:name="_Toc184313240"/>
      <w:bookmarkEnd w:id="276"/>
      <w:bookmarkStart w:id="277" w:name="_Toc184310300"/>
      <w:bookmarkEnd w:id="277"/>
      <w:bookmarkStart w:id="278" w:name="_Toc184308078"/>
      <w:bookmarkEnd w:id="278"/>
      <w:bookmarkStart w:id="279" w:name="_Toc184308101"/>
      <w:bookmarkEnd w:id="279"/>
      <w:bookmarkStart w:id="280" w:name="_Toc184310309"/>
      <w:bookmarkEnd w:id="280"/>
      <w:bookmarkStart w:id="281" w:name="_Toc184308060"/>
      <w:bookmarkEnd w:id="281"/>
      <w:bookmarkStart w:id="282" w:name="_Toc184313297"/>
      <w:bookmarkEnd w:id="282"/>
      <w:bookmarkStart w:id="283" w:name="_Toc184313296"/>
      <w:bookmarkEnd w:id="283"/>
      <w:bookmarkStart w:id="284" w:name="_Toc184308092"/>
      <w:bookmarkEnd w:id="284"/>
      <w:bookmarkStart w:id="285" w:name="_Toc184313279"/>
      <w:bookmarkEnd w:id="285"/>
      <w:bookmarkStart w:id="286" w:name="_Toc184313291"/>
      <w:bookmarkEnd w:id="286"/>
      <w:bookmarkStart w:id="287" w:name="_Toc184314410"/>
      <w:bookmarkEnd w:id="287"/>
      <w:bookmarkStart w:id="288" w:name="_Toc184313289"/>
      <w:bookmarkEnd w:id="288"/>
      <w:bookmarkStart w:id="289" w:name="_Toc184308076"/>
      <w:bookmarkEnd w:id="289"/>
      <w:bookmarkStart w:id="290" w:name="_Toc184312090"/>
      <w:bookmarkEnd w:id="290"/>
      <w:bookmarkStart w:id="291" w:name="_Toc184308070"/>
      <w:bookmarkEnd w:id="291"/>
      <w:bookmarkStart w:id="292" w:name="_Toc184310336"/>
      <w:bookmarkEnd w:id="292"/>
      <w:bookmarkStart w:id="293" w:name="_Toc184310338"/>
      <w:bookmarkEnd w:id="293"/>
      <w:bookmarkStart w:id="294" w:name="_Toc184313290"/>
      <w:bookmarkEnd w:id="294"/>
      <w:bookmarkStart w:id="295" w:name="_Toc184310320"/>
      <w:bookmarkEnd w:id="295"/>
      <w:bookmarkStart w:id="296" w:name="_Toc184313286"/>
      <w:bookmarkEnd w:id="296"/>
      <w:bookmarkStart w:id="297" w:name="_Toc184312105"/>
      <w:bookmarkEnd w:id="297"/>
      <w:bookmarkStart w:id="298" w:name="_Toc184308095"/>
      <w:bookmarkEnd w:id="298"/>
      <w:bookmarkStart w:id="299" w:name="_Toc184313249"/>
      <w:bookmarkEnd w:id="299"/>
      <w:bookmarkStart w:id="300" w:name="_Toc184313252"/>
      <w:bookmarkEnd w:id="300"/>
      <w:bookmarkStart w:id="301" w:name="_Toc184308069"/>
      <w:bookmarkEnd w:id="301"/>
      <w:bookmarkStart w:id="302" w:name="_Toc184312110"/>
      <w:bookmarkEnd w:id="302"/>
      <w:bookmarkStart w:id="303" w:name="_Toc184310310"/>
      <w:bookmarkEnd w:id="303"/>
      <w:bookmarkStart w:id="304" w:name="_Toc184310313"/>
      <w:bookmarkEnd w:id="304"/>
      <w:bookmarkStart w:id="305" w:name="_Toc184310298"/>
      <w:bookmarkEnd w:id="305"/>
      <w:bookmarkStart w:id="306" w:name="_Toc184314464"/>
      <w:bookmarkEnd w:id="306"/>
      <w:bookmarkStart w:id="307" w:name="_Toc184312118"/>
      <w:bookmarkEnd w:id="307"/>
      <w:bookmarkStart w:id="308" w:name="_Toc184313250"/>
      <w:bookmarkEnd w:id="308"/>
      <w:bookmarkStart w:id="309" w:name="_Toc184314427"/>
      <w:bookmarkEnd w:id="309"/>
      <w:bookmarkStart w:id="310" w:name="_Toc184314469"/>
      <w:bookmarkEnd w:id="310"/>
      <w:bookmarkStart w:id="311" w:name="_Toc184314429"/>
      <w:bookmarkEnd w:id="311"/>
      <w:bookmarkStart w:id="312" w:name="_Toc184313276"/>
      <w:bookmarkEnd w:id="312"/>
      <w:bookmarkStart w:id="313" w:name="_Toc184313284"/>
      <w:bookmarkEnd w:id="313"/>
      <w:bookmarkStart w:id="314" w:name="_Toc184312124"/>
      <w:bookmarkEnd w:id="314"/>
      <w:bookmarkStart w:id="315" w:name="_Toc184314450"/>
      <w:bookmarkEnd w:id="315"/>
      <w:bookmarkStart w:id="316" w:name="_Toc184313302"/>
      <w:bookmarkEnd w:id="316"/>
      <w:bookmarkStart w:id="317" w:name="_Toc184314421"/>
      <w:bookmarkEnd w:id="317"/>
      <w:bookmarkStart w:id="318" w:name="_Toc184310289"/>
      <w:bookmarkEnd w:id="318"/>
      <w:bookmarkStart w:id="319" w:name="_Toc184313262"/>
      <w:bookmarkEnd w:id="319"/>
      <w:bookmarkStart w:id="320" w:name="_Toc184313306"/>
      <w:bookmarkEnd w:id="320"/>
      <w:bookmarkStart w:id="321" w:name="_Toc184308052"/>
      <w:bookmarkEnd w:id="321"/>
      <w:bookmarkStart w:id="322" w:name="_Toc184314449"/>
      <w:bookmarkEnd w:id="322"/>
      <w:bookmarkStart w:id="323" w:name="_Toc184313255"/>
      <w:bookmarkEnd w:id="323"/>
      <w:bookmarkStart w:id="324" w:name="_Toc184312079"/>
      <w:bookmarkEnd w:id="324"/>
      <w:bookmarkStart w:id="325" w:name="_Toc184314414"/>
      <w:bookmarkEnd w:id="325"/>
      <w:bookmarkStart w:id="326" w:name="_Toc184314426"/>
      <w:bookmarkEnd w:id="326"/>
      <w:bookmarkStart w:id="327" w:name="_Toc184314430"/>
      <w:bookmarkEnd w:id="327"/>
      <w:bookmarkStart w:id="328" w:name="_Toc184308063"/>
      <w:bookmarkEnd w:id="328"/>
      <w:bookmarkStart w:id="329" w:name="_Toc184314428"/>
      <w:bookmarkEnd w:id="329"/>
      <w:bookmarkStart w:id="330" w:name="_Toc184313274"/>
      <w:bookmarkEnd w:id="330"/>
      <w:bookmarkStart w:id="331" w:name="_Toc184312067"/>
      <w:bookmarkEnd w:id="331"/>
      <w:bookmarkStart w:id="332" w:name="_Toc184312115"/>
      <w:bookmarkEnd w:id="332"/>
      <w:bookmarkStart w:id="333" w:name="_Toc184313269"/>
      <w:bookmarkEnd w:id="333"/>
      <w:bookmarkStart w:id="334" w:name="_Toc184313283"/>
      <w:bookmarkEnd w:id="334"/>
      <w:bookmarkStart w:id="335" w:name="_Toc184314422"/>
      <w:bookmarkEnd w:id="335"/>
      <w:bookmarkStart w:id="336" w:name="_Toc184310295"/>
      <w:bookmarkEnd w:id="336"/>
      <w:bookmarkStart w:id="337" w:name="_Toc184314455"/>
      <w:bookmarkEnd w:id="337"/>
      <w:bookmarkStart w:id="338" w:name="_Toc184308050"/>
      <w:bookmarkEnd w:id="338"/>
      <w:bookmarkStart w:id="339" w:name="_Toc184312103"/>
      <w:bookmarkEnd w:id="339"/>
      <w:bookmarkStart w:id="340" w:name="_Toc184314451"/>
      <w:bookmarkEnd w:id="340"/>
      <w:bookmarkStart w:id="341" w:name="_Toc184312080"/>
      <w:bookmarkEnd w:id="341"/>
      <w:bookmarkStart w:id="342" w:name="_Toc184313244"/>
      <w:bookmarkEnd w:id="342"/>
      <w:bookmarkStart w:id="343" w:name="_Toc184314444"/>
      <w:bookmarkEnd w:id="343"/>
      <w:bookmarkStart w:id="344" w:name="_Toc184310299"/>
      <w:bookmarkEnd w:id="344"/>
      <w:bookmarkStart w:id="345" w:name="_Toc184310279"/>
      <w:bookmarkEnd w:id="345"/>
      <w:bookmarkStart w:id="346" w:name="_Toc184313277"/>
      <w:bookmarkEnd w:id="346"/>
      <w:bookmarkStart w:id="347" w:name="_Toc184310328"/>
      <w:bookmarkEnd w:id="347"/>
      <w:bookmarkStart w:id="348" w:name="_Toc184310323"/>
      <w:bookmarkEnd w:id="348"/>
      <w:bookmarkStart w:id="349" w:name="_Toc184310312"/>
      <w:bookmarkEnd w:id="349"/>
      <w:bookmarkStart w:id="350" w:name="_Toc184308039"/>
      <w:bookmarkEnd w:id="350"/>
      <w:bookmarkStart w:id="351" w:name="_Toc184312104"/>
      <w:bookmarkEnd w:id="351"/>
      <w:bookmarkStart w:id="352" w:name="_Toc184313295"/>
      <w:bookmarkEnd w:id="352"/>
      <w:bookmarkStart w:id="353" w:name="_Toc184314472"/>
      <w:bookmarkEnd w:id="353"/>
      <w:bookmarkStart w:id="354" w:name="_Toc184308082"/>
      <w:bookmarkEnd w:id="354"/>
      <w:bookmarkStart w:id="355" w:name="_Toc184312070"/>
      <w:bookmarkEnd w:id="355"/>
      <w:bookmarkStart w:id="356" w:name="_Toc184313268"/>
      <w:bookmarkEnd w:id="356"/>
      <w:bookmarkStart w:id="357" w:name="_Toc184310284"/>
      <w:bookmarkEnd w:id="357"/>
      <w:bookmarkStart w:id="358" w:name="_Toc184310296"/>
      <w:bookmarkEnd w:id="358"/>
      <w:bookmarkStart w:id="359" w:name="_Toc184312139"/>
      <w:bookmarkEnd w:id="359"/>
      <w:bookmarkStart w:id="360" w:name="_Toc184313282"/>
      <w:bookmarkEnd w:id="360"/>
      <w:bookmarkStart w:id="361" w:name="_Toc184314482"/>
      <w:bookmarkEnd w:id="361"/>
      <w:bookmarkStart w:id="362" w:name="_Toc184308067"/>
      <w:bookmarkEnd w:id="362"/>
      <w:bookmarkStart w:id="363" w:name="_Toc184308045"/>
      <w:bookmarkEnd w:id="363"/>
      <w:bookmarkStart w:id="364" w:name="_Toc184310297"/>
      <w:bookmarkEnd w:id="364"/>
      <w:bookmarkStart w:id="365" w:name="_Toc184310292"/>
      <w:bookmarkEnd w:id="365"/>
      <w:bookmarkStart w:id="366" w:name="_Toc184312099"/>
      <w:bookmarkEnd w:id="366"/>
      <w:bookmarkStart w:id="367" w:name="_Toc184312074"/>
      <w:bookmarkEnd w:id="367"/>
      <w:bookmarkStart w:id="368" w:name="_Toc184312138"/>
      <w:bookmarkEnd w:id="368"/>
      <w:bookmarkStart w:id="369" w:name="_Toc184308096"/>
      <w:bookmarkEnd w:id="369"/>
      <w:bookmarkStart w:id="370" w:name="_Toc184314416"/>
      <w:bookmarkEnd w:id="370"/>
      <w:bookmarkStart w:id="371" w:name="_Toc184314447"/>
      <w:bookmarkEnd w:id="371"/>
      <w:bookmarkStart w:id="372" w:name="_Toc184313309"/>
      <w:bookmarkEnd w:id="372"/>
      <w:bookmarkStart w:id="373" w:name="_Toc184313238"/>
      <w:bookmarkEnd w:id="373"/>
      <w:bookmarkStart w:id="374" w:name="_Toc184310282"/>
      <w:bookmarkEnd w:id="374"/>
      <w:bookmarkStart w:id="375" w:name="_Toc184310293"/>
      <w:bookmarkEnd w:id="375"/>
      <w:bookmarkStart w:id="376" w:name="_Toc184313275"/>
      <w:bookmarkEnd w:id="376"/>
      <w:bookmarkStart w:id="377" w:name="_Toc184312085"/>
      <w:bookmarkEnd w:id="377"/>
      <w:bookmarkStart w:id="378" w:name="_Toc184310281"/>
      <w:bookmarkEnd w:id="378"/>
      <w:bookmarkStart w:id="379" w:name="_Toc184313271"/>
      <w:bookmarkEnd w:id="379"/>
      <w:bookmarkStart w:id="380" w:name="_Toc184314471"/>
      <w:bookmarkEnd w:id="380"/>
      <w:bookmarkStart w:id="381" w:name="_Toc184310283"/>
      <w:bookmarkEnd w:id="381"/>
      <w:bookmarkStart w:id="382" w:name="_Toc184310332"/>
      <w:bookmarkEnd w:id="382"/>
      <w:bookmarkStart w:id="383" w:name="_Toc184312101"/>
      <w:bookmarkEnd w:id="383"/>
      <w:bookmarkStart w:id="384" w:name="_Toc184312102"/>
      <w:bookmarkEnd w:id="384"/>
      <w:bookmarkStart w:id="385" w:name="_Toc184313292"/>
      <w:bookmarkEnd w:id="385"/>
      <w:bookmarkStart w:id="386" w:name="_Toc184310343"/>
      <w:bookmarkEnd w:id="386"/>
      <w:bookmarkStart w:id="387" w:name="_Toc184312107"/>
      <w:bookmarkEnd w:id="387"/>
      <w:bookmarkStart w:id="388" w:name="_Toc184314448"/>
      <w:bookmarkEnd w:id="388"/>
      <w:bookmarkStart w:id="389" w:name="_Toc184310302"/>
      <w:bookmarkEnd w:id="389"/>
      <w:bookmarkStart w:id="390" w:name="_Toc184310306"/>
      <w:bookmarkEnd w:id="390"/>
      <w:bookmarkStart w:id="391" w:name="_Toc184313305"/>
      <w:bookmarkEnd w:id="391"/>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160" w:tblpY="469"/>
        <w:tblW w:w="52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5382"/>
        <w:gridCol w:w="540"/>
        <w:gridCol w:w="79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76" w:type="pct"/>
            <w:vAlign w:val="center"/>
          </w:tcPr>
          <w:p>
            <w:pPr>
              <w:spacing w:line="360" w:lineRule="auto"/>
              <w:jc w:val="both"/>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3011" w:type="pct"/>
            <w:vAlign w:val="center"/>
          </w:tcPr>
          <w:p>
            <w:pPr>
              <w:spacing w:line="360" w:lineRule="auto"/>
              <w:ind w:firstLine="1560" w:firstLineChars="65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302" w:type="pct"/>
            <w:vAlign w:val="center"/>
          </w:tcPr>
          <w:p>
            <w:pP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444" w:type="pct"/>
          </w:tcPr>
          <w:p>
            <w:pPr>
              <w:spacing w:line="360" w:lineRule="auto"/>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主客观属性</w:t>
            </w:r>
          </w:p>
        </w:tc>
        <w:tc>
          <w:tcPr>
            <w:tcW w:w="965" w:type="pct"/>
          </w:tcPr>
          <w:p>
            <w:pP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11"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本项目物业使用特点提出合理的医院物业管理服务理念，提出服务定位、目标，投标人的管理模式能够切合实际，且安全可行，保密性、安全性、文明服务的计划及承诺情况。符合得2分，不符合不得分。（2分）</w:t>
            </w:r>
          </w:p>
        </w:tc>
        <w:tc>
          <w:tcPr>
            <w:tcW w:w="302" w:type="pct"/>
          </w:tcPr>
          <w:p>
            <w:pPr>
              <w:spacing w:line="360" w:lineRule="auto"/>
              <w:ind w:firstLine="120" w:firstLineChars="50"/>
              <w:jc w:val="left"/>
              <w:outlineLvl w:val="0"/>
              <w:rPr>
                <w:rFonts w:hint="eastAsia" w:ascii="宋体" w:hAnsi="宋体" w:eastAsia="宋体" w:cs="宋体"/>
                <w:color w:val="auto"/>
                <w:sz w:val="24"/>
                <w:highlight w:val="none"/>
                <w:lang w:val="zh-CN"/>
              </w:rPr>
            </w:pPr>
          </w:p>
          <w:p>
            <w:pPr>
              <w:pStyle w:val="2"/>
              <w:rPr>
                <w:rFonts w:hint="eastAsia" w:ascii="宋体" w:hAnsi="宋体" w:eastAsia="宋体" w:cs="宋体"/>
                <w:color w:val="auto"/>
                <w:highlight w:val="none"/>
              </w:rPr>
            </w:pPr>
          </w:p>
          <w:p>
            <w:pPr>
              <w:spacing w:line="360" w:lineRule="auto"/>
              <w:ind w:firstLine="120" w:firstLineChars="50"/>
              <w:jc w:val="left"/>
              <w:outlineLvl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（一）服务理念、定位、目标、管理模式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11" w:type="pct"/>
            <w:vAlign w:val="center"/>
          </w:tcPr>
          <w:p>
            <w:pPr>
              <w:tabs>
                <w:tab w:val="left" w:pos="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有比较完善的组织架构，清晰简练地列出主要管理流程，包括运作流程图、激励机制、监督机制、自我约束机制、信息反馈渠道及处理机制，管理指标承诺达到物业管理医院物业管理标准。符合得2分，不符合不得分。（2分）</w:t>
            </w:r>
          </w:p>
        </w:tc>
        <w:tc>
          <w:tcPr>
            <w:tcW w:w="302" w:type="pct"/>
          </w:tcPr>
          <w:p>
            <w:pPr>
              <w:spacing w:line="360" w:lineRule="auto"/>
              <w:ind w:firstLine="120" w:firstLineChars="50"/>
              <w:jc w:val="left"/>
              <w:outlineLvl w:val="0"/>
              <w:rPr>
                <w:rFonts w:hint="eastAsia" w:ascii="宋体" w:hAnsi="宋体" w:eastAsia="宋体" w:cs="宋体"/>
                <w:color w:val="auto"/>
                <w:sz w:val="24"/>
                <w:highlight w:val="none"/>
                <w:lang w:val="zh-CN"/>
              </w:rPr>
            </w:pPr>
          </w:p>
          <w:p>
            <w:pPr>
              <w:spacing w:line="360" w:lineRule="auto"/>
              <w:ind w:firstLine="120" w:firstLineChars="50"/>
              <w:jc w:val="left"/>
              <w:outlineLvl w:val="0"/>
              <w:rPr>
                <w:rFonts w:hint="eastAsia" w:ascii="宋体" w:hAnsi="宋体" w:eastAsia="宋体" w:cs="宋体"/>
                <w:color w:val="auto"/>
                <w:sz w:val="24"/>
                <w:highlight w:val="none"/>
                <w:lang w:val="zh-CN"/>
              </w:rPr>
            </w:pPr>
          </w:p>
          <w:p>
            <w:pPr>
              <w:spacing w:line="360" w:lineRule="auto"/>
              <w:ind w:firstLine="120" w:firstLineChars="50"/>
              <w:jc w:val="left"/>
              <w:outlineLvl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组织架构、管理流程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有完善的医院物业管理制度、作业流程及医院物业管理工作计划及实施时间，并建立和完善档案管理制度、</w:t>
            </w:r>
            <w:r>
              <w:rPr>
                <w:rFonts w:hint="eastAsia" w:ascii="宋体" w:hAnsi="宋体" w:eastAsia="宋体" w:cs="宋体"/>
                <w:bCs/>
                <w:color w:val="auto"/>
                <w:kern w:val="0"/>
                <w:sz w:val="24"/>
                <w:highlight w:val="none"/>
              </w:rPr>
              <w:t>规章制度</w:t>
            </w:r>
            <w:r>
              <w:rPr>
                <w:rFonts w:hint="eastAsia" w:ascii="宋体" w:hAnsi="宋体" w:eastAsia="宋体" w:cs="宋体"/>
                <w:color w:val="auto"/>
                <w:sz w:val="24"/>
                <w:highlight w:val="none"/>
                <w:lang w:val="zh-CN"/>
              </w:rPr>
              <w:t>、医院物业管理制度等，体现标准化服务，管理服务水平符合国家和行业标准。符合得2分，不符合不得分。（2分）</w:t>
            </w:r>
          </w:p>
        </w:tc>
        <w:tc>
          <w:tcPr>
            <w:tcW w:w="302" w:type="pct"/>
          </w:tcPr>
          <w:p>
            <w:pPr>
              <w:spacing w:line="360" w:lineRule="auto"/>
              <w:ind w:firstLine="120" w:firstLineChars="50"/>
              <w:jc w:val="left"/>
              <w:outlineLvl w:val="0"/>
              <w:rPr>
                <w:rFonts w:hint="eastAsia" w:ascii="宋体" w:hAnsi="宋体" w:eastAsia="宋体" w:cs="宋体"/>
                <w:color w:val="auto"/>
                <w:sz w:val="24"/>
                <w:highlight w:val="none"/>
                <w:lang w:val="zh-CN"/>
              </w:rPr>
            </w:pPr>
          </w:p>
          <w:p>
            <w:pPr>
              <w:spacing w:line="360" w:lineRule="auto"/>
              <w:ind w:firstLine="120" w:firstLineChars="50"/>
              <w:jc w:val="left"/>
              <w:outlineLvl w:val="0"/>
              <w:rPr>
                <w:rFonts w:hint="eastAsia" w:ascii="宋体" w:hAnsi="宋体" w:eastAsia="宋体" w:cs="宋体"/>
                <w:color w:val="auto"/>
                <w:sz w:val="24"/>
                <w:highlight w:val="none"/>
                <w:lang w:val="zh-CN"/>
              </w:rPr>
            </w:pPr>
          </w:p>
          <w:p>
            <w:pPr>
              <w:spacing w:line="360" w:lineRule="auto"/>
              <w:ind w:firstLine="120" w:firstLineChars="50"/>
              <w:jc w:val="left"/>
              <w:outlineLvl w:val="0"/>
              <w:rPr>
                <w:rFonts w:hint="eastAsia" w:ascii="宋体" w:hAnsi="宋体" w:eastAsia="宋体" w:cs="宋体"/>
                <w:color w:val="auto"/>
                <w:highlight w:val="none"/>
              </w:rPr>
            </w:pPr>
            <w:r>
              <w:rPr>
                <w:rFonts w:hint="eastAsia" w:ascii="宋体" w:hAnsi="宋体" w:eastAsia="宋体" w:cs="宋体"/>
                <w:color w:val="auto"/>
                <w:sz w:val="24"/>
                <w:highlight w:val="none"/>
                <w:lang w:val="zh-CN"/>
              </w:rPr>
              <w:t>2</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zh-CN"/>
              </w:rPr>
              <w:t>管理制度、作业流程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投标方案是否充分考虑用户的日常用途和需求，对本次医院物管服务内容的目标是否有较深入的理解。符合得2分，不符合不得分。（2分）</w:t>
            </w:r>
          </w:p>
        </w:tc>
        <w:tc>
          <w:tcPr>
            <w:tcW w:w="302" w:type="pct"/>
          </w:tcPr>
          <w:p>
            <w:pPr>
              <w:pStyle w:val="2"/>
              <w:rPr>
                <w:rFonts w:hint="eastAsia" w:ascii="宋体" w:hAnsi="宋体" w:eastAsia="宋体" w:cs="宋体"/>
                <w:b w:val="0"/>
                <w:bCs w:val="0"/>
                <w:color w:val="auto"/>
                <w:sz w:val="24"/>
                <w:szCs w:val="24"/>
                <w:highlight w:val="none"/>
              </w:rPr>
            </w:pPr>
          </w:p>
          <w:p>
            <w:pPr>
              <w:pStyle w:val="2"/>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rPr>
              <w:t>2</w:t>
            </w:r>
          </w:p>
        </w:tc>
        <w:tc>
          <w:tcPr>
            <w:tcW w:w="444" w:type="pct"/>
            <w:vAlign w:val="center"/>
          </w:tcPr>
          <w:p>
            <w:pPr>
              <w:pStyle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zh-CN"/>
              </w:rPr>
              <w:t>目标的理解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ind w:firstLine="360" w:firstLineChars="150"/>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管理目标和管理方式陈述内容及日常管理服务项目、标准、承诺指标和采取的管理细则（包括岗位责任制、考核办法、服务流程说明等），①目标是否明确，管理方式是否可行，具有先进性，②管理细则是否清晰、全面，具有操作性。每符合1项得2分，不符合不得分。本项共4分（4分）</w:t>
            </w:r>
          </w:p>
        </w:tc>
        <w:tc>
          <w:tcPr>
            <w:tcW w:w="302" w:type="pct"/>
          </w:tcPr>
          <w:p>
            <w:pPr>
              <w:rPr>
                <w:rFonts w:hint="eastAsia" w:ascii="宋体" w:hAnsi="宋体" w:eastAsia="宋体" w:cs="宋体"/>
                <w:color w:val="auto"/>
                <w:highlight w:val="none"/>
              </w:rPr>
            </w:pPr>
          </w:p>
          <w:p>
            <w:pPr>
              <w:pStyle w:val="2"/>
              <w:rPr>
                <w:rFonts w:hint="eastAsia" w:ascii="宋体" w:hAnsi="宋体" w:eastAsia="宋体" w:cs="宋体"/>
                <w:color w:val="auto"/>
                <w:highlight w:val="none"/>
                <w:lang w:val="en-US"/>
              </w:rPr>
            </w:pPr>
          </w:p>
          <w:p>
            <w:pPr>
              <w:rPr>
                <w:rFonts w:hint="eastAsia" w:ascii="宋体" w:hAnsi="宋体" w:eastAsia="宋体" w:cs="宋体"/>
                <w:color w:val="auto"/>
                <w:highlight w:val="none"/>
              </w:rPr>
            </w:pPr>
            <w:r>
              <w:rPr>
                <w:rFonts w:hint="eastAsia" w:ascii="宋体" w:hAnsi="宋体" w:eastAsia="宋体" w:cs="宋体"/>
                <w:color w:val="auto"/>
                <w:sz w:val="24"/>
                <w:highlight w:val="none"/>
                <w:lang w:val="zh-CN"/>
              </w:rPr>
              <w:t>4</w:t>
            </w:r>
          </w:p>
        </w:tc>
        <w:tc>
          <w:tcPr>
            <w:tcW w:w="444" w:type="pct"/>
            <w:vAlign w:val="center"/>
          </w:tcPr>
          <w:p>
            <w:pPr>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sz w:val="24"/>
                <w:highlight w:val="none"/>
                <w:lang w:val="zh-CN"/>
              </w:rPr>
              <w:t>管理目标、管理细则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011" w:type="pct"/>
            <w:vAlign w:val="center"/>
          </w:tcPr>
          <w:p>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公共区域日常服务方案：包括地面、扶手、门窗玻璃、门及门窗框、玻璃幕墙及有关附体，沙发、桌子、各类宣传牌、橱窗及有关附体，天花板、栏杆、消防楼梯区域等，及时清除各种垃圾等杂物，无积灰、印迹、污渍。PVC地面定期进行抛光、喷磨、刷洗、补蜡、全面保养打蜡,石材地面定期晶面处理及保养。</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tcPr>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20" w:firstLineChars="50"/>
              <w:jc w:val="left"/>
              <w:outlineLvl w:val="0"/>
              <w:rPr>
                <w:rFonts w:hint="eastAsia" w:ascii="宋体" w:hAnsi="宋体" w:eastAsia="宋体" w:cs="宋体"/>
                <w:color w:val="auto"/>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val="zh-CN"/>
              </w:rPr>
              <w:t>公共区域日常服务方案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办公区域、会议室等特定区域保洁服务方案：包括地面、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定期清洁；医疗综合楼及行政楼已使用区域暂时空置的房间定期进行卫生保洁，确保地面、桌面、玻璃面整洁干净。白色墙面及顶面如有污渍等应及时清除。PVC地面定期进行抛光、喷磨、刷洗、补蜡、全面保养打蜡,石材地面定期晶面处理及保养。</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tcPr>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05" w:firstLineChars="50"/>
              <w:jc w:val="left"/>
              <w:outlineLvl w:val="0"/>
              <w:rPr>
                <w:rFonts w:hint="eastAsia" w:ascii="宋体" w:hAnsi="宋体" w:eastAsia="宋体" w:cs="宋体"/>
                <w:color w:val="auto"/>
                <w:highlight w:val="none"/>
              </w:rPr>
            </w:pPr>
          </w:p>
          <w:p>
            <w:pPr>
              <w:spacing w:line="360" w:lineRule="auto"/>
              <w:ind w:firstLine="120" w:firstLineChars="50"/>
              <w:jc w:val="left"/>
              <w:outlineLvl w:val="0"/>
              <w:rPr>
                <w:rFonts w:hint="eastAsia" w:ascii="宋体" w:hAnsi="宋体" w:eastAsia="宋体" w:cs="宋体"/>
                <w:color w:val="auto"/>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jc w:val="left"/>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ascii="宋体" w:hAnsi="宋体" w:eastAsia="宋体" w:cs="宋体"/>
                <w:color w:val="auto"/>
                <w:sz w:val="24"/>
                <w:highlight w:val="none"/>
                <w:lang w:val="zh-CN"/>
              </w:rPr>
              <w:t>办公区域、会议室等特定区域保洁服务方案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病区内的清洁卫生方案：包括内墙、玻璃、高处灯具、通风口、地面、室内家具、楼梯、走廊、通道、窗户、门、桌、椅、床、柜、宣传栏、洗手间、公共通道等。</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tcPr>
          <w:p>
            <w:pPr>
              <w:spacing w:line="360" w:lineRule="auto"/>
              <w:ind w:firstLine="240" w:firstLineChars="100"/>
              <w:outlineLvl w:val="0"/>
              <w:rPr>
                <w:rFonts w:hint="eastAsia" w:ascii="宋体" w:hAnsi="宋体" w:eastAsia="宋体" w:cs="宋体"/>
                <w:color w:val="auto"/>
                <w:sz w:val="24"/>
                <w:highlight w:val="none"/>
                <w:lang w:val="zh-CN"/>
              </w:rPr>
            </w:pPr>
          </w:p>
          <w:p>
            <w:pPr>
              <w:spacing w:line="360" w:lineRule="auto"/>
              <w:ind w:firstLine="240" w:firstLineChars="100"/>
              <w:outlineLvl w:val="0"/>
              <w:rPr>
                <w:rFonts w:hint="eastAsia" w:ascii="宋体" w:hAnsi="宋体" w:eastAsia="宋体" w:cs="宋体"/>
                <w:color w:val="auto"/>
                <w:sz w:val="24"/>
                <w:highlight w:val="none"/>
                <w:lang w:val="zh-CN"/>
              </w:rPr>
            </w:pPr>
          </w:p>
          <w:p>
            <w:pPr>
              <w:spacing w:line="360" w:lineRule="auto"/>
              <w:ind w:firstLine="240" w:firstLineChars="10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s="宋体"/>
                <w:color w:val="auto"/>
                <w:sz w:val="24"/>
                <w:highlight w:val="none"/>
                <w:lang w:val="zh-CN"/>
              </w:rPr>
              <w:t>病区内的清洁卫生方案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顶篷等边缘区域服务方案：包括屋顶屋面、沟槽、地面、雨篷及边角区域，各种附体的表面清洁，不积水、不留杂物，排水通畅。</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tcPr>
          <w:p>
            <w:pPr>
              <w:spacing w:line="360" w:lineRule="auto"/>
              <w:ind w:firstLine="240" w:firstLineChars="100"/>
              <w:outlineLvl w:val="0"/>
              <w:rPr>
                <w:rFonts w:hint="eastAsia" w:ascii="宋体" w:hAnsi="宋体" w:eastAsia="宋体" w:cs="宋体"/>
                <w:color w:val="auto"/>
                <w:sz w:val="24"/>
                <w:highlight w:val="none"/>
                <w:lang w:val="zh-CN"/>
              </w:rPr>
            </w:pPr>
          </w:p>
          <w:p>
            <w:pPr>
              <w:spacing w:line="360" w:lineRule="auto"/>
              <w:ind w:firstLine="240" w:firstLineChars="10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val="zh-CN"/>
              </w:rPr>
              <w:t>顶篷等边缘区域服务方案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011" w:type="pct"/>
            <w:vAlign w:val="center"/>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水电和设备等设施类服务方案：一般机器表面清洁（除医疗设备及医院特殊规定的设备除外），空调风口及室内机外壳洗尘与保洁。符合采购需求得2分，不符合不得分。（2分）</w:t>
            </w:r>
          </w:p>
        </w:tc>
        <w:tc>
          <w:tcPr>
            <w:tcW w:w="302" w:type="pct"/>
          </w:tcPr>
          <w:p>
            <w:pPr>
              <w:rPr>
                <w:rFonts w:hint="eastAsia" w:ascii="宋体" w:hAnsi="宋体" w:eastAsia="宋体" w:cs="宋体"/>
                <w:color w:val="auto"/>
                <w:highlight w:val="none"/>
              </w:rPr>
            </w:pPr>
          </w:p>
          <w:p>
            <w:pPr>
              <w:pStyle w:val="2"/>
              <w:rPr>
                <w:rFonts w:hint="eastAsia" w:ascii="宋体" w:hAnsi="宋体" w:eastAsia="宋体" w:cs="宋体"/>
                <w:color w:val="auto"/>
                <w:highlight w:val="none"/>
                <w:lang w:val="en-US"/>
              </w:rPr>
            </w:pPr>
          </w:p>
          <w:p>
            <w:pPr>
              <w:spacing w:line="360" w:lineRule="auto"/>
              <w:ind w:firstLine="240" w:firstLineChars="100"/>
              <w:outlineLvl w:val="0"/>
              <w:rPr>
                <w:rFonts w:hint="eastAsia" w:ascii="宋体" w:hAnsi="宋体" w:eastAsia="宋体" w:cs="宋体"/>
                <w:color w:val="auto"/>
                <w:highlight w:val="none"/>
              </w:rPr>
            </w:pPr>
            <w:r>
              <w:rPr>
                <w:rFonts w:hint="eastAsia" w:ascii="宋体" w:hAnsi="宋体" w:eastAsia="宋体" w:cs="宋体"/>
                <w:color w:val="auto"/>
                <w:sz w:val="24"/>
                <w:highlight w:val="none"/>
                <w:lang w:val="zh-CN"/>
              </w:rPr>
              <w:t>2</w:t>
            </w:r>
          </w:p>
        </w:tc>
        <w:tc>
          <w:tcPr>
            <w:tcW w:w="444" w:type="pct"/>
            <w:vAlign w:val="center"/>
          </w:tcPr>
          <w:p>
            <w:pPr>
              <w:spacing w:line="360" w:lineRule="auto"/>
              <w:outlineLvl w:val="0"/>
              <w:rPr>
                <w:rFonts w:hint="eastAsia" w:ascii="宋体" w:hAnsi="宋体" w:eastAsia="宋体" w:cs="宋体"/>
                <w:color w:val="auto"/>
                <w:sz w:val="24"/>
                <w:highlight w:val="none"/>
                <w:lang w:val="zh-CN"/>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zh-CN"/>
              </w:rPr>
              <w:t>水电和设备等设施类服务方案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窗帘、床帘服务方案：保持窗帘、床帘表面清洁，普通窗帘、床帘根据窗帘、床帘清洁情况定时拆装送洗，办公区域和普通病房、ICU和超声科等定期清洗，隔离病人终末消毒时、或随脏随洗。</w:t>
            </w:r>
            <w:r>
              <w:rPr>
                <w:rFonts w:hint="eastAsia" w:ascii="宋体" w:hAnsi="宋体" w:cs="宋体"/>
                <w:color w:val="auto"/>
                <w:sz w:val="24"/>
                <w:highlight w:val="none"/>
                <w:lang w:val="zh-CN"/>
              </w:rPr>
              <w:t>全部</w:t>
            </w:r>
            <w:r>
              <w:rPr>
                <w:rFonts w:hint="eastAsia" w:ascii="宋体" w:hAnsi="宋体" w:eastAsia="宋体" w:cs="宋体"/>
                <w:color w:val="auto"/>
                <w:sz w:val="24"/>
                <w:highlight w:val="none"/>
                <w:lang w:val="zh-CN"/>
              </w:rPr>
              <w:t>符合得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部分符合得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val="zh-CN"/>
              </w:rPr>
              <w:t>不符合不得分。（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（十一）窗帘、床帘服务方案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梯服务方案：保持电梯轿厢内外无果壳、纸屑等杂物，无污渍、无灰尘、手印、鞋印，表面光亮可映出人影。对轿厢内外用油布定时擦拭二次，用不锈钢油对轿厢内外定期进行轻抹保养。负责对所有电梯定期消毒，并进行登记。符合采购需求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w:t>
            </w:r>
            <w:r>
              <w:rPr>
                <w:rFonts w:hint="eastAsia" w:ascii="宋体" w:hAnsi="宋体" w:eastAsia="宋体" w:cs="宋体"/>
                <w:color w:val="auto"/>
                <w:sz w:val="24"/>
                <w:highlight w:val="none"/>
                <w:lang w:val="zh-CN"/>
              </w:rPr>
              <w:t>电梯服务方案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医疗/生活垃圾清运服务方案：①专职员工2次/天及时收集垃圾，符合院感要求。医疗废物用黄色专用标识垃圾袋、专用箱收放，用专用车使用污物电梯运送，做好医疗垃圾登记、交接工作。②转运站工具摆放整齐，垃圾存量不超过三分之二且做到日产日清，定期清洗，每天消毒一次，无明显积水，无蚊蝇飞舞。垃圾清运工具应保持清洁无破损，清运过程中不得产生二次污染。各类垃圾存放至各区域指定的地方，再将垃圾运到垃圾暂存处，其中公共区域、卫生间无堆积垃圾。③为响应创建“无废城市”，可回收医疗垃圾收集流程要求等同于固体医疗废弃物收集。④化粪池、下水道等及时清理杂物,确保排放畅通。每符合1项得1分，不符合不得分。（4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p>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w:t>
            </w:r>
            <w:r>
              <w:rPr>
                <w:rFonts w:hint="eastAsia" w:ascii="宋体" w:hAnsi="宋体" w:eastAsia="宋体" w:cs="宋体"/>
                <w:color w:val="auto"/>
                <w:sz w:val="24"/>
                <w:highlight w:val="none"/>
                <w:lang w:val="zh-CN"/>
              </w:rPr>
              <w:t>医疗/生活垃圾清运服务方案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内镜室、供应室等科室内镜、器械清洗消毒工作方案，提供有服务三甲医院项目集中清洗的证明材料。符合得2分，不符合不得分。（2分）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w:t>
            </w:r>
            <w:r>
              <w:rPr>
                <w:rFonts w:hint="eastAsia" w:ascii="宋体" w:hAnsi="宋体" w:eastAsia="宋体" w:cs="宋体"/>
                <w:color w:val="auto"/>
                <w:sz w:val="24"/>
                <w:highlight w:val="none"/>
                <w:lang w:val="zh-CN"/>
              </w:rPr>
              <w:t>内镜室、供应室等科室内镜、器械清洗消毒工作方案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运送工作（含电梯）方案包括:①急诊、住院病人轮椅、平车服务；②无抽搐电休克治疗室病人运送 服务；③住院病人运送服务；④办公用品、医疗设备、文件资料、各类物品、检验检测标本、各类报告、药品等物品类运送服务；⑤物理治疗中心治疗病人运送服务 ；⑥供应室和库房各类物品送取、清点、登记服务；⑦协助手术室做好手术衣发放和术后患者的运送工作；⑧应急专用电梯值守服务等。每符合一项得2分，不符合不得分。本项共16分（16分）</w:t>
            </w:r>
          </w:p>
        </w:tc>
        <w:tc>
          <w:tcPr>
            <w:tcW w:w="302"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（十五）</w:t>
            </w:r>
            <w:r>
              <w:rPr>
                <w:rFonts w:hint="eastAsia" w:ascii="宋体" w:hAnsi="宋体" w:eastAsia="宋体" w:cs="宋体"/>
                <w:color w:val="auto"/>
                <w:sz w:val="24"/>
                <w:highlight w:val="none"/>
                <w:lang w:val="zh-CN"/>
              </w:rPr>
              <w:t>运送工作（含电梯）方案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在投标文件中提供岗位工资明细一览表，要求注明员工基本工资、绩效、奖金、五险一金及福利等情况，并且明确实际发放的薪资金额（扣除由个人缴纳部分及房租等金额）。评标委员会将对该项目进行评分。每缺少一项扣1分，扣完为止。（4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（十六）</w:t>
            </w:r>
            <w:r>
              <w:rPr>
                <w:rFonts w:hint="eastAsia" w:ascii="宋体" w:hAnsi="宋体" w:eastAsia="宋体" w:cs="宋体"/>
                <w:color w:val="auto"/>
                <w:sz w:val="24"/>
                <w:highlight w:val="none"/>
                <w:lang w:val="zh-CN"/>
              </w:rPr>
              <w:t>岗位工资明细一览表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详细说明投入的管理设备、工具、药剂、耗材的环保性和优越性，提供相关设备、工具、材料的品牌、型号、产地、数量等清单，品种、数量配置是否合理。符合得2分，不符合不得分。（2分）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（十七）</w:t>
            </w:r>
            <w:r>
              <w:rPr>
                <w:rFonts w:hint="eastAsia" w:ascii="宋体" w:hAnsi="宋体" w:eastAsia="宋体" w:cs="宋体"/>
                <w:color w:val="auto"/>
                <w:sz w:val="24"/>
                <w:highlight w:val="none"/>
                <w:lang w:val="zh-CN"/>
              </w:rPr>
              <w:t>投入的管理设备、工具、药剂、耗材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采购人需要提供会议、庆典、节日、学术等活动的日常服务，主要完成相关会议室的会议室卫生及物品管理等，相关费用包含在报价中。针对医院各类检查、参观、评审等事件提供相应服务，且提出可操作性方案，相关费用包含在报价中。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（十八）</w:t>
            </w:r>
            <w:r>
              <w:rPr>
                <w:rFonts w:hint="eastAsia" w:ascii="宋体" w:hAnsi="宋体" w:eastAsia="宋体" w:cs="宋体"/>
                <w:color w:val="auto"/>
                <w:sz w:val="24"/>
                <w:highlight w:val="none"/>
                <w:lang w:val="zh-CN"/>
              </w:rPr>
              <w:t>提供会议、庆典、节日、学术、检查、参观、评审等活动的日常服务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有台风、暴雨、雷击、漏水、停电、火警应急预案。每一类符合得1分，不符合不得分，共6分。（6分）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（十九）</w:t>
            </w:r>
            <w:r>
              <w:rPr>
                <w:rFonts w:hint="eastAsia" w:ascii="宋体" w:hAnsi="宋体" w:eastAsia="宋体" w:cs="宋体"/>
                <w:color w:val="auto"/>
                <w:sz w:val="24"/>
                <w:highlight w:val="none"/>
                <w:lang w:val="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疫情防控方案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方案是否可行、可靠。符合得2分，不符合不得分。（2分）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eastAsia="宋体" w:cs="宋体"/>
                <w:color w:val="auto"/>
                <w:sz w:val="24"/>
                <w:highlight w:val="none"/>
                <w:lang w:val="zh-CN"/>
              </w:rPr>
              <w:t>疫情防控方案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3011" w:type="pct"/>
          </w:tcPr>
          <w:p>
            <w:pPr>
              <w:tabs>
                <w:tab w:val="left" w:pos="0"/>
              </w:tabs>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投标人承诺购买第三方责任险（即雇主责任险，提供证明材料）。符合得2分，不符合不得分。（2分）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（二十一）</w:t>
            </w:r>
            <w:r>
              <w:rPr>
                <w:rFonts w:hint="eastAsia" w:ascii="宋体" w:hAnsi="宋体" w:eastAsia="宋体" w:cs="宋体"/>
                <w:color w:val="auto"/>
                <w:sz w:val="24"/>
                <w:highlight w:val="none"/>
                <w:lang w:val="zh-CN"/>
              </w:rPr>
              <w:t>购买第三方责任险情况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拟投入本项目的①管理与作业人员总数和专业工种劳动力投入、②软硬件的综合水平情况。符合采购需求得2分，不符合不得分。（2分）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（二十二）</w:t>
            </w:r>
            <w:r>
              <w:rPr>
                <w:rFonts w:hint="eastAsia" w:ascii="宋体" w:hAnsi="宋体" w:eastAsia="宋体" w:cs="宋体"/>
                <w:color w:val="auto"/>
                <w:kern w:val="0"/>
                <w:sz w:val="24"/>
                <w:highlight w:val="none"/>
              </w:rPr>
              <w:t>拟投入的人员、软硬件情况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派遣到我院的项目经理需在三级甲等医院从事项目管理工作五年以上，本科及以上学历。符合得2分，不符合不得分。（2分）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（二十三）</w:t>
            </w:r>
            <w:r>
              <w:rPr>
                <w:rFonts w:hint="eastAsia" w:ascii="宋体" w:hAnsi="宋体" w:eastAsia="宋体" w:cs="宋体"/>
                <w:color w:val="auto"/>
                <w:kern w:val="0"/>
                <w:sz w:val="24"/>
                <w:highlight w:val="none"/>
              </w:rPr>
              <w:t>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其它管理人员需在三级甲等医院从事项目管理工作二年以上，大专及以上学历应具有医院保洁勤务管理经验。符合得2分，不符合不得分。（2分）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（二十四）</w:t>
            </w:r>
            <w:r>
              <w:rPr>
                <w:rFonts w:hint="eastAsia" w:ascii="宋体" w:hAnsi="宋体" w:eastAsia="宋体" w:cs="宋体"/>
                <w:color w:val="auto"/>
                <w:kern w:val="0"/>
                <w:sz w:val="24"/>
                <w:highlight w:val="none"/>
              </w:rPr>
              <w:t>其它管理人员情况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投标人针对本项目每位服务人员在上岗工作前要求进行院感专业培训；上岗后要求每季度培训一次，必须掌握最基础的规范化服务要求及院感基础知识（符合得2 分，不符合不得分）。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（二十五）</w:t>
            </w:r>
            <w:r>
              <w:rPr>
                <w:rFonts w:hint="eastAsia" w:ascii="宋体" w:hAnsi="宋体" w:eastAsia="宋体" w:cs="宋体"/>
                <w:color w:val="auto"/>
                <w:kern w:val="0"/>
                <w:sz w:val="24"/>
                <w:highlight w:val="none"/>
              </w:rPr>
              <w:t>院感专业培训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3011" w:type="pct"/>
          </w:tcPr>
          <w:p>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投标人针对本项目每位服务人员在上岗工作前要求进行本专科所需知识的专业培训；上岗后要求每月培训一次，必须掌握最基础的规范化服务要求及本专科基础知识（符合得2分，不符合不得分）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主观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（二十六）</w:t>
            </w:r>
            <w:r>
              <w:rPr>
                <w:rFonts w:hint="eastAsia" w:ascii="宋体" w:hAnsi="宋体" w:eastAsia="宋体" w:cs="宋体"/>
                <w:color w:val="auto"/>
                <w:kern w:val="0"/>
                <w:sz w:val="24"/>
                <w:highlight w:val="none"/>
              </w:rPr>
              <w:t>本专科所需知识的专业培训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3011" w:type="pct"/>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信息化管理系统:提供信息化系统功能介绍及截图，满足医院所需的保洁、运送等管理等功能，并出具现服务医院使用信息化管理系统证明（证明内容含：保洁、运送功能）符合得2分，不符合不得分。（2分） </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（二十七）</w:t>
            </w:r>
            <w:r>
              <w:rPr>
                <w:rFonts w:hint="eastAsia" w:ascii="宋体" w:hAnsi="宋体" w:eastAsia="宋体" w:cs="宋体"/>
                <w:color w:val="auto"/>
                <w:kern w:val="0"/>
                <w:sz w:val="24"/>
                <w:highlight w:val="none"/>
              </w:rPr>
              <w:t>信息化管理系统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3011" w:type="pct"/>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信息化管理系统：信息化管理系统系自主研发并提供软件著作权证书且系统含有保洁及运送管理功能。符合得2分，不符合不得分。（2分） </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（二十八）</w:t>
            </w:r>
            <w:r>
              <w:rPr>
                <w:rFonts w:hint="eastAsia" w:ascii="宋体" w:hAnsi="宋体" w:eastAsia="宋体" w:cs="宋体"/>
                <w:color w:val="auto"/>
                <w:kern w:val="0"/>
                <w:sz w:val="24"/>
                <w:highlight w:val="none"/>
              </w:rPr>
              <w:t>信息化管理系统系自主研发情况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p>
        </w:tc>
        <w:tc>
          <w:tcPr>
            <w:tcW w:w="3011" w:type="pct"/>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获得的有效期内的：①ISO9001质量管理体系认证证书（符合得1分，不符合不得分）②ISO14001环境管理体系认证证书（符合得1分，不符合不得分）、③GB28001职业健康安全管理体系认证证书（符合得1分，不符合不得分），④ISO50001能源管理体系认证证书（符合得1分，不符合不得分）。（提供证书原件扫描件，全国认证认可信息公共服务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"http://cx.cnca.cn/CertECloud/result/skipResultList"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sz w:val="24"/>
                <w:szCs w:val="18"/>
                <w:highlight w:val="none"/>
              </w:rPr>
              <w:t>http://cx.cnca.cn/CertECloud/result/skipResultList</w:t>
            </w:r>
            <w:r>
              <w:rPr>
                <w:rFonts w:hint="eastAsia" w:ascii="宋体" w:hAnsi="宋体" w:eastAsia="宋体" w:cs="宋体"/>
                <w:snapToGrid w:val="0"/>
                <w:color w:val="auto"/>
                <w:kern w:val="0"/>
                <w:sz w:val="24"/>
                <w:szCs w:val="18"/>
                <w:highlight w:val="none"/>
              </w:rPr>
              <w:fldChar w:fldCharType="end"/>
            </w:r>
            <w:r>
              <w:rPr>
                <w:rFonts w:hint="eastAsia" w:ascii="宋体" w:hAnsi="宋体" w:eastAsia="宋体" w:cs="宋体"/>
                <w:color w:val="auto"/>
                <w:sz w:val="24"/>
                <w:highlight w:val="none"/>
              </w:rPr>
              <w:t>可查。）（4分）</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（二十九）SO9001质量管理体系认证证书、SO14001环境管理体系认证证书、GB28001职业健康安全管理体系认证证书、ISO50001能源管理体系认证证书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c>
          <w:tcPr>
            <w:tcW w:w="3011" w:type="pct"/>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投标人类似项目建设的案例（</w:t>
            </w:r>
            <w:r>
              <w:rPr>
                <w:rFonts w:hint="eastAsia" w:ascii="宋体" w:hAnsi="宋体" w:cs="宋体"/>
                <w:b/>
                <w:color w:val="auto"/>
                <w:sz w:val="24"/>
                <w:highlight w:val="none"/>
                <w:u w:val="single"/>
                <w:lang w:val="en-US" w:eastAsia="zh-CN"/>
              </w:rPr>
              <w:t>1</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投标截止时间前三年内成功承担过的类似物业服务（物业项目必须包含以下2项内容：保洁服务、运送服务）项目情况，根据合同和用户验收报告（或用户其他反馈材料）项目实例证明。类似物业服务项目已实施的项目案例，每一个案例得1分，最高</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分；未按要求提供完整材料的，不得分；一个单位分年度多次签订的案例，计入1个案例；同一个项目，分两期或以上建设完成的，计入1个案例。</w:t>
            </w:r>
          </w:p>
        </w:tc>
        <w:tc>
          <w:tcPr>
            <w:tcW w:w="302" w:type="pct"/>
            <w:vAlign w:val="center"/>
          </w:tcPr>
          <w:p>
            <w:pPr>
              <w:spacing w:line="360" w:lineRule="auto"/>
              <w:ind w:firstLine="120" w:firstLineChars="5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444" w:type="pct"/>
            <w:vAlign w:val="center"/>
          </w:tcPr>
          <w:p>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w:t>
            </w: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（三十）投标人类似项目建设的案例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76"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3011" w:type="pct"/>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有效投标报价的最低价作为评标基准价，其最低报价为满分；按［投标报价得分=（评标基准价/投标报价）*10］的计算公式计算。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p>
            <w:pPr>
              <w:pStyle w:val="2"/>
              <w:rPr>
                <w:rFonts w:hint="eastAsia" w:ascii="宋体" w:hAnsi="宋体" w:eastAsia="宋体" w:cs="宋体"/>
                <w:color w:val="auto"/>
                <w:sz w:val="24"/>
                <w:szCs w:val="24"/>
                <w:highlight w:val="none"/>
                <w:lang w:val="en-US"/>
              </w:rPr>
            </w:pPr>
          </w:p>
        </w:tc>
        <w:tc>
          <w:tcPr>
            <w:tcW w:w="302" w:type="pct"/>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444" w:type="pct"/>
            <w:vAlign w:val="center"/>
          </w:tcPr>
          <w:p>
            <w:pPr>
              <w:spacing w:line="360" w:lineRule="auto"/>
              <w:ind w:firstLine="120" w:firstLineChars="50"/>
              <w:outlineLvl w:val="0"/>
              <w:rPr>
                <w:rFonts w:hint="eastAsia" w:ascii="宋体" w:hAnsi="宋体" w:eastAsia="宋体" w:cs="宋体"/>
                <w:color w:val="auto"/>
                <w:sz w:val="24"/>
                <w:highlight w:val="none"/>
              </w:rPr>
            </w:pPr>
          </w:p>
        </w:tc>
        <w:tc>
          <w:tcPr>
            <w:tcW w:w="965" w:type="pct"/>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pStyle w:val="2"/>
        <w:rPr>
          <w:rFonts w:hint="eastAsia"/>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6"/>
    <w:p>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（采购人名称）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（同前</w:t>
      </w:r>
      <w:r>
        <w:rPr>
          <w:rFonts w:hint="eastAsia" w:asciiTheme="minorEastAsia" w:hAnsiTheme="minorEastAsia" w:eastAsiaTheme="minorEastAsia"/>
          <w:color w:val="auto"/>
          <w:sz w:val="24"/>
          <w:highlight w:val="none"/>
          <w:u w:val="single"/>
        </w:rPr>
        <w:t>页项目名称）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（采购人名称）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pPr>
        <w:spacing w:line="560" w:lineRule="exact"/>
        <w:ind w:firstLine="482" w:firstLineChars="200"/>
        <w:outlineLvl w:val="0"/>
        <w:rPr>
          <w:rFonts w:asciiTheme="minorEastAsia" w:hAnsiTheme="minorEastAsia" w:eastAsiaTheme="minorEastAsia"/>
          <w:color w:val="auto"/>
          <w:sz w:val="24"/>
          <w:highlight w:val="none"/>
        </w:rPr>
      </w:pPr>
      <w:bookmarkStart w:id="394" w:name="_Toc20421"/>
      <w:bookmarkStart w:id="395" w:name="_Toc22967"/>
      <w:bookmarkStart w:id="396" w:name="_Toc28855"/>
      <w:bookmarkStart w:id="397" w:name="_Toc15367"/>
      <w:bookmarkStart w:id="398" w:name="_Toc19273"/>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4"/>
      <w:bookmarkEnd w:id="395"/>
      <w:bookmarkEnd w:id="396"/>
      <w:bookmarkEnd w:id="397"/>
      <w:bookmarkEnd w:id="398"/>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pPr>
        <w:spacing w:line="560" w:lineRule="exact"/>
        <w:ind w:firstLine="482" w:firstLineChars="200"/>
        <w:outlineLvl w:val="0"/>
        <w:rPr>
          <w:rFonts w:asciiTheme="minorEastAsia" w:hAnsiTheme="minorEastAsia" w:eastAsiaTheme="minorEastAsia"/>
          <w:b/>
          <w:color w:val="auto"/>
          <w:sz w:val="24"/>
          <w:highlight w:val="none"/>
        </w:rPr>
      </w:pPr>
      <w:bookmarkStart w:id="399" w:name="_Toc6773"/>
      <w:bookmarkStart w:id="400" w:name="_Toc18585"/>
      <w:bookmarkStart w:id="401" w:name="_Toc2918"/>
      <w:bookmarkStart w:id="402" w:name="_Toc22185"/>
      <w:bookmarkStart w:id="403" w:name="_Toc6311"/>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399"/>
      <w:bookmarkEnd w:id="400"/>
      <w:bookmarkEnd w:id="401"/>
      <w:bookmarkEnd w:id="402"/>
      <w:bookmarkEnd w:id="403"/>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04" w:name="_Toc21124"/>
      <w:bookmarkStart w:id="405" w:name="_Toc13918"/>
      <w:bookmarkStart w:id="406" w:name="_Toc5635"/>
      <w:bookmarkStart w:id="407" w:name="_Toc1386"/>
      <w:bookmarkStart w:id="408" w:name="_Toc4929"/>
      <w:r>
        <w:rPr>
          <w:rFonts w:asciiTheme="minorEastAsia" w:hAnsiTheme="minorEastAsia" w:eastAsiaTheme="minorEastAsia"/>
          <w:b/>
          <w:color w:val="auto"/>
          <w:sz w:val="24"/>
          <w:highlight w:val="none"/>
        </w:rPr>
        <w:t>1.3 价款</w:t>
      </w:r>
      <w:bookmarkEnd w:id="404"/>
      <w:bookmarkEnd w:id="405"/>
      <w:bookmarkEnd w:id="406"/>
      <w:bookmarkEnd w:id="407"/>
      <w:bookmarkEnd w:id="40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bl>
    <w:p>
      <w:pPr>
        <w:spacing w:line="560" w:lineRule="exact"/>
        <w:ind w:firstLine="482" w:firstLineChars="200"/>
        <w:outlineLvl w:val="0"/>
        <w:rPr>
          <w:rFonts w:asciiTheme="minorEastAsia" w:hAnsiTheme="minorEastAsia" w:eastAsiaTheme="minorEastAsia"/>
          <w:b/>
          <w:color w:val="auto"/>
          <w:sz w:val="24"/>
          <w:highlight w:val="none"/>
        </w:rPr>
      </w:pPr>
      <w:bookmarkStart w:id="409" w:name="_Toc30158"/>
      <w:bookmarkStart w:id="410" w:name="_Toc26916"/>
      <w:bookmarkStart w:id="411" w:name="_Toc30506"/>
      <w:bookmarkStart w:id="412" w:name="_Toc3654"/>
      <w:bookmarkStart w:id="413" w:name="_Toc14993"/>
      <w:r>
        <w:rPr>
          <w:rFonts w:asciiTheme="minorEastAsia" w:hAnsiTheme="minorEastAsia" w:eastAsiaTheme="minorEastAsia"/>
          <w:b/>
          <w:color w:val="auto"/>
          <w:sz w:val="24"/>
          <w:highlight w:val="none"/>
        </w:rPr>
        <w:t>1.4 付款方式和发票开具方式</w:t>
      </w:r>
      <w:bookmarkEnd w:id="409"/>
      <w:bookmarkEnd w:id="410"/>
      <w:bookmarkEnd w:id="411"/>
      <w:bookmarkEnd w:id="412"/>
      <w:bookmarkEnd w:id="413"/>
    </w:p>
    <w:p>
      <w:pPr>
        <w:pStyle w:val="957"/>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1.4.2</w:t>
      </w:r>
      <w:r>
        <w:rPr>
          <w:rFonts w:hint="eastAsia" w:ascii="宋体" w:hAnsi="宋体" w:cs="宋体"/>
          <w:color w:val="auto"/>
          <w:sz w:val="24"/>
          <w:highlight w:val="none"/>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Theme="minorEastAsia" w:hAnsiTheme="minorEastAsia" w:eastAsiaTheme="minorEastAsia"/>
          <w:color w:val="auto"/>
          <w:sz w:val="24"/>
          <w:highlight w:val="none"/>
        </w:rPr>
        <w:t>乙乙方可登录政采云前台大厅选择金融服务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pPr>
        <w:spacing w:line="560" w:lineRule="exact"/>
        <w:ind w:firstLine="482" w:firstLineChars="200"/>
        <w:outlineLvl w:val="0"/>
        <w:rPr>
          <w:rFonts w:asciiTheme="minorEastAsia" w:hAnsiTheme="minorEastAsia" w:eastAsiaTheme="minorEastAsia"/>
          <w:b/>
          <w:color w:val="auto"/>
          <w:sz w:val="24"/>
          <w:highlight w:val="none"/>
        </w:rPr>
      </w:pPr>
      <w:bookmarkStart w:id="414" w:name="_Toc8772"/>
      <w:bookmarkStart w:id="415" w:name="_Toc11108"/>
      <w:bookmarkStart w:id="416" w:name="_Toc4760"/>
      <w:bookmarkStart w:id="417" w:name="_Toc3625"/>
      <w:bookmarkStart w:id="418" w:name="_Toc31421"/>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4"/>
      <w:bookmarkEnd w:id="415"/>
      <w:bookmarkEnd w:id="416"/>
      <w:bookmarkEnd w:id="417"/>
      <w:bookmarkEnd w:id="418"/>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color w:val="auto"/>
          <w:sz w:val="24"/>
          <w:highlight w:val="none"/>
          <w:u w:val="single"/>
        </w:rPr>
      </w:pPr>
      <w:bookmarkStart w:id="419" w:name="_Toc2375"/>
      <w:bookmarkStart w:id="420" w:name="_Toc5698"/>
      <w:bookmarkStart w:id="421" w:name="_Toc24662"/>
      <w:bookmarkStart w:id="422" w:name="_Toc3079"/>
      <w:bookmarkStart w:id="423" w:name="_Toc8586"/>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19"/>
      <w:bookmarkEnd w:id="420"/>
      <w:bookmarkEnd w:id="421"/>
      <w:bookmarkEnd w:id="422"/>
      <w:bookmarkEnd w:id="423"/>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pPr>
        <w:spacing w:line="560" w:lineRule="exact"/>
        <w:ind w:firstLine="482" w:firstLineChars="200"/>
        <w:outlineLvl w:val="0"/>
        <w:rPr>
          <w:rFonts w:asciiTheme="minorEastAsia" w:hAnsiTheme="minorEastAsia" w:eastAsiaTheme="minorEastAsia"/>
          <w:b/>
          <w:color w:val="auto"/>
          <w:sz w:val="24"/>
          <w:highlight w:val="none"/>
        </w:rPr>
      </w:pPr>
      <w:bookmarkStart w:id="424" w:name="_Toc32454"/>
      <w:bookmarkStart w:id="425" w:name="_Toc18683"/>
      <w:bookmarkStart w:id="426" w:name="_Toc30329"/>
      <w:bookmarkStart w:id="427" w:name="_Toc26807"/>
      <w:bookmarkStart w:id="428" w:name="_Toc9497"/>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4"/>
      <w:bookmarkEnd w:id="425"/>
      <w:bookmarkEnd w:id="426"/>
      <w:bookmarkEnd w:id="427"/>
      <w:bookmarkEnd w:id="428"/>
    </w:p>
    <w:p>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pPr>
        <w:spacing w:line="560" w:lineRule="exact"/>
        <w:ind w:firstLine="241" w:firstLineChars="100"/>
        <w:outlineLvl w:val="0"/>
        <w:rPr>
          <w:rFonts w:asciiTheme="minorEastAsia" w:hAnsiTheme="minorEastAsia" w:eastAsiaTheme="minorEastAsia"/>
          <w:b/>
          <w:color w:val="auto"/>
          <w:sz w:val="24"/>
          <w:highlight w:val="none"/>
        </w:rPr>
      </w:pPr>
      <w:bookmarkStart w:id="429" w:name="_Toc26227"/>
      <w:bookmarkStart w:id="430" w:name="_Toc16417"/>
      <w:bookmarkStart w:id="431" w:name="_Toc15827"/>
      <w:bookmarkStart w:id="432" w:name="_Toc23784"/>
      <w:bookmarkStart w:id="433" w:name="_Toc12273"/>
      <w:r>
        <w:rPr>
          <w:rFonts w:asciiTheme="minorEastAsia" w:hAnsiTheme="minorEastAsia" w:eastAsiaTheme="minorEastAsia"/>
          <w:b/>
          <w:color w:val="auto"/>
          <w:sz w:val="24"/>
          <w:highlight w:val="none"/>
        </w:rPr>
        <w:t>1.8 合同生效</w:t>
      </w:r>
      <w:bookmarkEnd w:id="429"/>
      <w:bookmarkEnd w:id="430"/>
      <w:bookmarkEnd w:id="431"/>
      <w:bookmarkEnd w:id="432"/>
      <w:bookmarkEnd w:id="433"/>
    </w:p>
    <w:p>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pPr>
        <w:widowControl/>
        <w:spacing w:line="560" w:lineRule="exact"/>
        <w:jc w:val="left"/>
        <w:rPr>
          <w:rFonts w:asciiTheme="minorEastAsia" w:hAnsiTheme="minorEastAsia" w:eastAsiaTheme="minorEastAsia"/>
          <w:b/>
          <w:color w:val="auto"/>
          <w:sz w:val="24"/>
          <w:highlight w:val="none"/>
        </w:rPr>
      </w:pPr>
    </w:p>
    <w:p>
      <w:pPr>
        <w:pStyle w:val="699"/>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pPr>
        <w:spacing w:line="560" w:lineRule="exact"/>
        <w:ind w:firstLine="482" w:firstLineChars="200"/>
        <w:outlineLvl w:val="0"/>
        <w:rPr>
          <w:rFonts w:asciiTheme="minorEastAsia" w:hAnsiTheme="minorEastAsia" w:eastAsiaTheme="minorEastAsia"/>
          <w:b/>
          <w:color w:val="auto"/>
          <w:sz w:val="24"/>
          <w:highlight w:val="none"/>
        </w:rPr>
      </w:pPr>
      <w:bookmarkStart w:id="434" w:name="_Toc5228"/>
      <w:bookmarkStart w:id="435" w:name="_Toc25079"/>
      <w:bookmarkStart w:id="436" w:name="_Toc19680"/>
      <w:bookmarkStart w:id="437" w:name="_Toc31297"/>
      <w:bookmarkStart w:id="438" w:name="_Toc14021"/>
      <w:r>
        <w:rPr>
          <w:rFonts w:asciiTheme="minorEastAsia" w:hAnsiTheme="minorEastAsia" w:eastAsiaTheme="minorEastAsia"/>
          <w:b/>
          <w:color w:val="auto"/>
          <w:sz w:val="24"/>
          <w:highlight w:val="none"/>
        </w:rPr>
        <w:t>2.1 定义</w:t>
      </w:r>
      <w:bookmarkEnd w:id="434"/>
      <w:bookmarkEnd w:id="435"/>
      <w:bookmarkEnd w:id="436"/>
      <w:bookmarkEnd w:id="437"/>
      <w:bookmarkEnd w:id="43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pPr>
        <w:spacing w:line="560" w:lineRule="exact"/>
        <w:ind w:firstLine="482" w:firstLineChars="200"/>
        <w:outlineLvl w:val="0"/>
        <w:rPr>
          <w:rFonts w:asciiTheme="minorEastAsia" w:hAnsiTheme="minorEastAsia" w:eastAsiaTheme="minorEastAsia"/>
          <w:b/>
          <w:color w:val="auto"/>
          <w:sz w:val="24"/>
          <w:highlight w:val="none"/>
        </w:rPr>
      </w:pPr>
      <w:bookmarkStart w:id="439" w:name="_Toc31402"/>
      <w:bookmarkStart w:id="440" w:name="_Toc16752"/>
      <w:bookmarkStart w:id="441" w:name="_Toc23289"/>
      <w:bookmarkStart w:id="442" w:name="_Toc3769"/>
      <w:bookmarkStart w:id="443" w:name="_Toc19539"/>
      <w:r>
        <w:rPr>
          <w:rFonts w:asciiTheme="minorEastAsia" w:hAnsiTheme="minorEastAsia" w:eastAsiaTheme="minorEastAsia"/>
          <w:b/>
          <w:color w:val="auto"/>
          <w:sz w:val="24"/>
          <w:highlight w:val="none"/>
        </w:rPr>
        <w:t>2.2 技术规范</w:t>
      </w:r>
      <w:bookmarkEnd w:id="439"/>
      <w:bookmarkEnd w:id="440"/>
      <w:bookmarkEnd w:id="441"/>
      <w:bookmarkEnd w:id="442"/>
      <w:bookmarkEnd w:id="443"/>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pPr>
        <w:spacing w:line="560" w:lineRule="exact"/>
        <w:ind w:firstLine="482" w:firstLineChars="200"/>
        <w:outlineLvl w:val="0"/>
        <w:rPr>
          <w:rFonts w:asciiTheme="minorEastAsia" w:hAnsiTheme="minorEastAsia" w:eastAsiaTheme="minorEastAsia"/>
          <w:b/>
          <w:color w:val="auto"/>
          <w:sz w:val="24"/>
          <w:highlight w:val="none"/>
        </w:rPr>
      </w:pPr>
      <w:bookmarkStart w:id="444" w:name="_Toc27945"/>
      <w:bookmarkStart w:id="445" w:name="_Toc13673"/>
      <w:bookmarkStart w:id="446" w:name="_Toc12412"/>
      <w:bookmarkStart w:id="447" w:name="_Toc9161"/>
      <w:bookmarkStart w:id="448" w:name="_Toc4133"/>
      <w:r>
        <w:rPr>
          <w:rFonts w:asciiTheme="minorEastAsia" w:hAnsiTheme="minorEastAsia" w:eastAsiaTheme="minorEastAsia"/>
          <w:b/>
          <w:color w:val="auto"/>
          <w:sz w:val="24"/>
          <w:highlight w:val="none"/>
        </w:rPr>
        <w:t>2.3 知识产权</w:t>
      </w:r>
      <w:bookmarkEnd w:id="444"/>
      <w:bookmarkEnd w:id="445"/>
      <w:bookmarkEnd w:id="446"/>
      <w:bookmarkEnd w:id="447"/>
      <w:bookmarkEnd w:id="44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color w:val="auto"/>
          <w:sz w:val="24"/>
          <w:highlight w:val="none"/>
        </w:rPr>
      </w:pPr>
      <w:bookmarkStart w:id="449" w:name="_Toc26555"/>
      <w:bookmarkStart w:id="450" w:name="_Toc32670"/>
      <w:bookmarkStart w:id="451" w:name="_Toc31233"/>
      <w:bookmarkStart w:id="452" w:name="_Toc22011"/>
      <w:bookmarkStart w:id="453" w:name="_Toc15447"/>
      <w:r>
        <w:rPr>
          <w:rFonts w:asciiTheme="minorEastAsia" w:hAnsiTheme="minorEastAsia" w:eastAsiaTheme="minorEastAsia"/>
          <w:b/>
          <w:color w:val="auto"/>
          <w:sz w:val="24"/>
          <w:highlight w:val="none"/>
        </w:rPr>
        <w:t>2.5 结算方式和付款条件</w:t>
      </w:r>
      <w:bookmarkEnd w:id="449"/>
      <w:bookmarkEnd w:id="450"/>
      <w:bookmarkEnd w:id="451"/>
      <w:bookmarkEnd w:id="452"/>
      <w:bookmarkEnd w:id="453"/>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54" w:name="_Toc16163"/>
      <w:bookmarkStart w:id="455" w:name="_Toc13467"/>
      <w:bookmarkStart w:id="456" w:name="_Toc13154"/>
      <w:bookmarkStart w:id="457" w:name="_Toc30507"/>
      <w:bookmarkStart w:id="458" w:name="_Toc18990"/>
      <w:r>
        <w:rPr>
          <w:rFonts w:asciiTheme="minorEastAsia" w:hAnsiTheme="minorEastAsia" w:eastAsiaTheme="minorEastAsia"/>
          <w:b/>
          <w:color w:val="auto"/>
          <w:sz w:val="24"/>
          <w:highlight w:val="none"/>
        </w:rPr>
        <w:t>2.6 技术资料和保密义务</w:t>
      </w:r>
      <w:bookmarkEnd w:id="454"/>
      <w:bookmarkEnd w:id="455"/>
      <w:bookmarkEnd w:id="456"/>
      <w:bookmarkEnd w:id="457"/>
      <w:bookmarkEnd w:id="45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color w:val="auto"/>
          <w:sz w:val="24"/>
          <w:highlight w:val="none"/>
        </w:rPr>
      </w:pPr>
      <w:bookmarkStart w:id="459"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59"/>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color w:val="auto"/>
          <w:sz w:val="24"/>
          <w:highlight w:val="none"/>
        </w:rPr>
      </w:pPr>
      <w:bookmarkStart w:id="460"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pPr>
        <w:spacing w:line="560" w:lineRule="exact"/>
        <w:ind w:firstLine="482" w:firstLineChars="200"/>
        <w:outlineLvl w:val="0"/>
        <w:rPr>
          <w:rFonts w:asciiTheme="minorEastAsia" w:hAnsiTheme="minorEastAsia" w:eastAsiaTheme="minorEastAsia"/>
          <w:b/>
          <w:color w:val="auto"/>
          <w:sz w:val="24"/>
          <w:highlight w:val="none"/>
        </w:rPr>
      </w:pPr>
      <w:bookmarkStart w:id="461"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1"/>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2" w:name="_Toc26689"/>
      <w:bookmarkStart w:id="463" w:name="_Toc42"/>
      <w:bookmarkStart w:id="464" w:name="_Toc21830"/>
      <w:bookmarkStart w:id="465" w:name="_Toc10663"/>
      <w:bookmarkStart w:id="466" w:name="_Toc23368"/>
      <w:r>
        <w:rPr>
          <w:rFonts w:asciiTheme="minorEastAsia" w:hAnsiTheme="minorEastAsia" w:eastAsiaTheme="minorEastAsia"/>
          <w:b/>
          <w:color w:val="auto"/>
          <w:sz w:val="24"/>
          <w:highlight w:val="none"/>
        </w:rPr>
        <w:t>2.10 合同转让和分包</w:t>
      </w:r>
      <w:bookmarkEnd w:id="462"/>
      <w:bookmarkEnd w:id="463"/>
      <w:bookmarkEnd w:id="464"/>
      <w:bookmarkEnd w:id="465"/>
      <w:bookmarkEnd w:id="466"/>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7" w:name="_Toc4720"/>
      <w:bookmarkStart w:id="468" w:name="_Toc26633"/>
      <w:bookmarkStart w:id="469" w:name="_Toc14371"/>
      <w:bookmarkStart w:id="470" w:name="_Toc25571"/>
      <w:bookmarkStart w:id="471" w:name="_Toc32494"/>
      <w:r>
        <w:rPr>
          <w:rFonts w:asciiTheme="minorEastAsia" w:hAnsiTheme="minorEastAsia" w:eastAsiaTheme="minorEastAsia"/>
          <w:b/>
          <w:color w:val="auto"/>
          <w:sz w:val="24"/>
          <w:highlight w:val="none"/>
        </w:rPr>
        <w:t>2.11 不可抗力</w:t>
      </w:r>
      <w:bookmarkEnd w:id="467"/>
      <w:bookmarkEnd w:id="468"/>
      <w:bookmarkEnd w:id="469"/>
      <w:bookmarkEnd w:id="470"/>
      <w:bookmarkEnd w:id="47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72" w:name="_Toc14115"/>
      <w:bookmarkStart w:id="473" w:name="_Toc3638"/>
      <w:bookmarkStart w:id="474" w:name="_Toc25783"/>
      <w:bookmarkStart w:id="475" w:name="_Toc24465"/>
      <w:bookmarkStart w:id="476" w:name="_Toc23854"/>
      <w:r>
        <w:rPr>
          <w:rFonts w:asciiTheme="minorEastAsia" w:hAnsiTheme="minorEastAsia" w:eastAsiaTheme="minorEastAsia"/>
          <w:b/>
          <w:color w:val="auto"/>
          <w:sz w:val="24"/>
          <w:highlight w:val="none"/>
        </w:rPr>
        <w:t>2.12 税费</w:t>
      </w:r>
      <w:bookmarkEnd w:id="472"/>
      <w:bookmarkEnd w:id="473"/>
      <w:bookmarkEnd w:id="474"/>
      <w:bookmarkEnd w:id="475"/>
      <w:bookmarkEnd w:id="476"/>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pPr>
        <w:spacing w:line="560" w:lineRule="exact"/>
        <w:ind w:firstLine="482" w:firstLineChars="200"/>
        <w:outlineLvl w:val="0"/>
        <w:rPr>
          <w:rFonts w:asciiTheme="minorEastAsia" w:hAnsiTheme="minorEastAsia" w:eastAsiaTheme="minorEastAsia"/>
          <w:b/>
          <w:color w:val="auto"/>
          <w:sz w:val="24"/>
          <w:highlight w:val="none"/>
        </w:rPr>
      </w:pPr>
      <w:bookmarkStart w:id="477" w:name="_Toc14814"/>
      <w:bookmarkStart w:id="478" w:name="_Toc25525"/>
      <w:bookmarkStart w:id="479" w:name="_Toc30105"/>
      <w:bookmarkStart w:id="480" w:name="_Toc7315"/>
      <w:bookmarkStart w:id="481" w:name="_Toc26883"/>
      <w:r>
        <w:rPr>
          <w:rFonts w:asciiTheme="minorEastAsia" w:hAnsiTheme="minorEastAsia" w:eastAsiaTheme="minorEastAsia"/>
          <w:b/>
          <w:color w:val="auto"/>
          <w:sz w:val="24"/>
          <w:highlight w:val="none"/>
        </w:rPr>
        <w:t>2.13 乙方破产</w:t>
      </w:r>
      <w:bookmarkEnd w:id="477"/>
      <w:bookmarkEnd w:id="478"/>
      <w:bookmarkEnd w:id="479"/>
      <w:bookmarkEnd w:id="480"/>
      <w:bookmarkEnd w:id="48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82" w:name="_Toc1123"/>
      <w:bookmarkStart w:id="483" w:name="_Toc23323"/>
      <w:bookmarkStart w:id="484" w:name="_Toc2016"/>
      <w:r>
        <w:rPr>
          <w:rFonts w:asciiTheme="minorEastAsia" w:hAnsiTheme="minorEastAsia" w:eastAsiaTheme="minorEastAsia"/>
          <w:b/>
          <w:color w:val="auto"/>
          <w:sz w:val="24"/>
          <w:highlight w:val="none"/>
        </w:rPr>
        <w:t>2.14 合同中止、终止</w:t>
      </w:r>
      <w:bookmarkEnd w:id="482"/>
      <w:bookmarkEnd w:id="483"/>
      <w:bookmarkEnd w:id="484"/>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85" w:name="_Toc17363"/>
      <w:bookmarkStart w:id="486" w:name="_Toc1969"/>
      <w:bookmarkStart w:id="487" w:name="_Toc14525"/>
      <w:r>
        <w:rPr>
          <w:rFonts w:asciiTheme="minorEastAsia" w:hAnsiTheme="minorEastAsia" w:eastAsiaTheme="minorEastAsia"/>
          <w:b/>
          <w:color w:val="auto"/>
          <w:sz w:val="24"/>
          <w:highlight w:val="none"/>
        </w:rPr>
        <w:t>2.15 检验和验收</w:t>
      </w:r>
      <w:bookmarkEnd w:id="485"/>
      <w:bookmarkEnd w:id="486"/>
      <w:bookmarkEnd w:id="487"/>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88" w:name="_Toc31892"/>
      <w:bookmarkStart w:id="489" w:name="_Toc25198"/>
      <w:bookmarkStart w:id="490" w:name="_Toc9808"/>
      <w:bookmarkStart w:id="491" w:name="_Toc2308"/>
      <w:bookmarkStart w:id="492" w:name="_Toc12666"/>
      <w:r>
        <w:rPr>
          <w:rFonts w:asciiTheme="minorEastAsia" w:hAnsiTheme="minorEastAsia" w:eastAsiaTheme="minorEastAsia"/>
          <w:b/>
          <w:color w:val="auto"/>
          <w:sz w:val="24"/>
          <w:highlight w:val="none"/>
        </w:rPr>
        <w:t>2.16 通知和送达</w:t>
      </w:r>
      <w:bookmarkEnd w:id="488"/>
      <w:bookmarkEnd w:id="489"/>
      <w:bookmarkEnd w:id="490"/>
      <w:bookmarkEnd w:id="491"/>
      <w:bookmarkEnd w:id="492"/>
    </w:p>
    <w:p>
      <w:pPr>
        <w:spacing w:line="560" w:lineRule="exact"/>
        <w:ind w:firstLine="480" w:firstLineChars="200"/>
        <w:rPr>
          <w:rFonts w:asciiTheme="minorEastAsia" w:hAnsiTheme="minorEastAsia" w:eastAsiaTheme="minorEastAsia"/>
          <w:color w:val="auto"/>
          <w:sz w:val="24"/>
          <w:highlight w:val="none"/>
        </w:rPr>
      </w:pPr>
      <w:bookmarkStart w:id="493" w:name="_Toc27674"/>
      <w:bookmarkStart w:id="494" w:name="_Toc18401"/>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3"/>
      <w:bookmarkEnd w:id="494"/>
    </w:p>
    <w:p>
      <w:pPr>
        <w:spacing w:line="560" w:lineRule="exact"/>
        <w:ind w:firstLine="482" w:firstLineChars="200"/>
        <w:outlineLvl w:val="0"/>
        <w:rPr>
          <w:rFonts w:asciiTheme="minorEastAsia" w:hAnsiTheme="minorEastAsia" w:eastAsiaTheme="minorEastAsia"/>
          <w:b/>
          <w:color w:val="auto"/>
          <w:sz w:val="24"/>
          <w:highlight w:val="none"/>
        </w:rPr>
      </w:pPr>
      <w:bookmarkStart w:id="495" w:name="_Toc5063"/>
      <w:bookmarkStart w:id="496" w:name="_Toc20808"/>
      <w:bookmarkStart w:id="497" w:name="_Toc12254"/>
      <w:bookmarkStart w:id="498" w:name="_Toc27644"/>
      <w:bookmarkStart w:id="499" w:name="_Toc28906"/>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5"/>
      <w:bookmarkEnd w:id="496"/>
      <w:bookmarkEnd w:id="497"/>
      <w:bookmarkEnd w:id="498"/>
      <w:bookmarkEnd w:id="499"/>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pPr>
        <w:spacing w:line="560" w:lineRule="exact"/>
        <w:ind w:firstLine="482" w:firstLineChars="200"/>
        <w:outlineLvl w:val="0"/>
        <w:rPr>
          <w:rFonts w:asciiTheme="minorEastAsia" w:hAnsiTheme="minorEastAsia" w:eastAsiaTheme="minorEastAsia"/>
          <w:b/>
          <w:color w:val="auto"/>
          <w:sz w:val="24"/>
          <w:highlight w:val="none"/>
        </w:rPr>
      </w:pPr>
      <w:bookmarkStart w:id="500" w:name="_Toc1492"/>
      <w:bookmarkStart w:id="501" w:name="_Toc22266"/>
      <w:bookmarkStart w:id="502" w:name="_Toc27403"/>
      <w:bookmarkStart w:id="503" w:name="_Toc27127"/>
      <w:bookmarkStart w:id="504" w:name="_Toc30096"/>
      <w:r>
        <w:rPr>
          <w:rFonts w:asciiTheme="minorEastAsia" w:hAnsiTheme="minorEastAsia" w:eastAsiaTheme="minorEastAsia"/>
          <w:b/>
          <w:color w:val="auto"/>
          <w:sz w:val="24"/>
          <w:highlight w:val="none"/>
        </w:rPr>
        <w:t>2.18 履约保证金</w:t>
      </w:r>
      <w:bookmarkEnd w:id="500"/>
      <w:bookmarkEnd w:id="501"/>
      <w:bookmarkEnd w:id="502"/>
      <w:bookmarkEnd w:id="503"/>
      <w:bookmarkEnd w:id="504"/>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2.</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采购文件要求乙方提交履约保证金的，乙方应按合同专用条款约定的方式，以支票、汇票、本票或者金融机构、担保机构出具的保函等非现金形式，提交不超过合同金额</w:t>
      </w:r>
      <w:r>
        <w:rPr>
          <w:rFonts w:asciiTheme="minorEastAsia" w:hAnsiTheme="minorEastAsia" w:eastAsiaTheme="minorEastAsia"/>
          <w:color w:val="auto"/>
          <w:sz w:val="24"/>
          <w:highlight w:val="none"/>
        </w:rPr>
        <w:t>1%的履约保证金；鼓励和支持乙方以银行、保险公司出具的保函形式提供履约保证</w:t>
      </w:r>
      <w:r>
        <w:rPr>
          <w:rFonts w:hint="eastAsia" w:asciiTheme="minorEastAsia" w:hAnsiTheme="minorEastAsia" w:eastAsiaTheme="minorEastAsia"/>
          <w:color w:val="auto"/>
          <w:sz w:val="24"/>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 xml:space="preserve">.2  </w:t>
      </w:r>
      <w:r>
        <w:rPr>
          <w:rFonts w:hint="eastAsia" w:ascii="宋体" w:hAnsi="宋体" w:cs="宋体"/>
          <w:color w:val="auto"/>
          <w:sz w:val="24"/>
          <w:highlight w:val="none"/>
        </w:rPr>
        <w:t>甲方在项目验收结束后及时退还履约保证金。甲方在项目通过验收</w:t>
      </w:r>
      <w:r>
        <w:rPr>
          <w:rFonts w:hint="eastAsia" w:ascii="宋体" w:hAnsi="宋体" w:cs="宋体"/>
          <w:color w:val="auto"/>
          <w:sz w:val="24"/>
          <w:highlight w:val="none"/>
          <w:lang w:eastAsia="zh-CN"/>
        </w:rPr>
        <w:t>后及时</w:t>
      </w:r>
      <w:r>
        <w:rPr>
          <w:rFonts w:hint="eastAsia" w:asciiTheme="minorEastAsia" w:hAnsiTheme="minorEastAsia" w:eastAsiaTheme="minorEastAsia"/>
          <w:color w:val="auto"/>
          <w:sz w:val="24"/>
          <w:highlight w:val="none"/>
        </w:rPr>
        <w:t>将履约保证金退还乙方，逾期退还的，乙方可要求甲方支付违约金，违约金按每迟延退还一日的应退还而未退还金额的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0.05</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20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 xml:space="preserve">%； </w:t>
      </w:r>
    </w:p>
    <w:p>
      <w:pPr>
        <w:spacing w:line="560" w:lineRule="exact"/>
        <w:ind w:firstLine="480" w:firstLineChars="200"/>
        <w:rPr>
          <w:rFonts w:asciiTheme="minorEastAsia" w:hAnsiTheme="minorEastAsia" w:eastAsiaTheme="minorEastAsia"/>
          <w:color w:val="auto"/>
          <w:sz w:val="24"/>
          <w:highlight w:val="none"/>
        </w:rPr>
      </w:pP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甲方根据杭州市政府采购网公布的供应商履约评价情况减免履约保证金。乙方履约验收评价总分为</w:t>
      </w:r>
      <w:r>
        <w:rPr>
          <w:rFonts w:asciiTheme="minorEastAsia" w:hAnsiTheme="minorEastAsia" w:eastAsiaTheme="minorEastAsia"/>
          <w:color w:val="auto"/>
          <w:sz w:val="24"/>
          <w:highlight w:val="none"/>
        </w:rPr>
        <w:t>100分的，甲方免收履约保证金。</w:t>
      </w:r>
    </w:p>
    <w:p>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2.18.5</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pStyle w:val="699"/>
        <w:spacing w:line="560" w:lineRule="exact"/>
        <w:jc w:val="center"/>
        <w:rPr>
          <w:rFonts w:ascii="宋体" w:hAnsi="宋体" w:cs="宋体"/>
          <w:b/>
          <w:color w:val="auto"/>
          <w:szCs w:val="24"/>
          <w:highlight w:val="none"/>
        </w:rPr>
      </w:pPr>
      <w:r>
        <w:rPr>
          <w:rFonts w:hint="eastAsia" w:ascii="宋体" w:hAnsi="宋体" w:cs="宋体"/>
          <w:color w:val="auto"/>
          <w:kern w:val="0"/>
          <w:szCs w:val="24"/>
          <w:highlight w:val="none"/>
        </w:rPr>
        <w:br w:type="page"/>
      </w:r>
      <w:bookmarkStart w:id="505" w:name="_Toc331685784"/>
      <w:r>
        <w:rPr>
          <w:rFonts w:hint="eastAsia" w:ascii="宋体" w:hAnsi="宋体" w:cs="宋体"/>
          <w:b/>
          <w:color w:val="auto"/>
          <w:szCs w:val="24"/>
          <w:highlight w:val="none"/>
        </w:rPr>
        <w:t xml:space="preserve"> </w:t>
      </w:r>
      <w:bookmarkEnd w:id="505"/>
      <w:r>
        <w:rPr>
          <w:rFonts w:hint="eastAsia" w:ascii="宋体" w:hAnsi="宋体" w:cs="宋体"/>
          <w:b/>
          <w:color w:val="auto"/>
          <w:szCs w:val="24"/>
          <w:highlight w:val="none"/>
        </w:rPr>
        <w:t>第三部分  合同专用条款</w:t>
      </w:r>
    </w:p>
    <w:p>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633" w:type="dxa"/>
            <w:vAlign w:val="center"/>
          </w:tcPr>
          <w:p>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highlight w:val="none"/>
              </w:rPr>
              <w:t>、本合同期内核定(        )人，其中项目经理       人，人均费用   元/月；项目主管         人，人均费用        元/月；服务人员岗位级别          。总计      人)，人均费用         元/月，病区门岗夜班（          人数），人均费用为         元/人/月。物业管理服务费用总计人民币         元整/年(大写)       ￥             元/年(小写）。</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2、乙方进场服务并通过甲方考核后，甲方凭乙方开具的正规发票和甲方认可的各项记录复印件，办理服务费用的支付手续，在次月的15日前支付给乙方上月物业管理费。 </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期内物业管理服务费按每月实际人员岗位工资结算，除经医院讨论明确约定可以另行支付的费用外，所有物业管理及服务费用（物价变动、杭州市最低工资标准上涨等）均包括在内，在合同期内乙方不得另行向甲方收取任何费用。</w:t>
            </w:r>
          </w:p>
          <w:p>
            <w:pPr>
              <w:pStyle w:val="2"/>
              <w:ind w:left="732" w:hanging="732" w:hangingChars="305"/>
              <w:jc w:val="both"/>
              <w:rPr>
                <w:rFonts w:hint="eastAsia" w:ascii="宋体" w:hAnsi="宋体" w:eastAsia="宋体" w:cs="宋体"/>
                <w:b w:val="0"/>
                <w:color w:val="auto"/>
                <w:highlight w:val="none"/>
                <w:lang w:val="en-US"/>
              </w:rPr>
            </w:pPr>
            <w:r>
              <w:rPr>
                <w:rFonts w:hint="eastAsia" w:ascii="宋体" w:hAnsi="宋体" w:eastAsia="宋体" w:cs="宋体"/>
                <w:b w:val="0"/>
                <w:bCs w:val="0"/>
                <w:color w:val="auto"/>
                <w:sz w:val="24"/>
                <w:szCs w:val="24"/>
                <w:highlight w:val="none"/>
                <w:lang w:val="en-US"/>
              </w:rPr>
              <w:t>4、合同签定后甲方预付乙方合同总金额10%,该预付款在每月支付费用金额中每月按比例扣除。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合同期限为1年。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7633" w:type="dxa"/>
            <w:vAlign w:val="center"/>
          </w:tcPr>
          <w:p>
            <w:pPr>
              <w:spacing w:line="560" w:lineRule="exact"/>
              <w:rPr>
                <w:rFonts w:hint="eastAsia" w:ascii="宋体" w:hAnsi="宋体" w:eastAsia="宋体" w:cs="宋体"/>
                <w:color w:val="auto"/>
                <w:highlight w:val="none"/>
              </w:rPr>
            </w:pPr>
            <w:r>
              <w:rPr>
                <w:rFonts w:hint="eastAsia" w:ascii="宋体" w:hAnsi="宋体" w:eastAsia="宋体" w:cs="宋体"/>
                <w:color w:val="auto"/>
                <w:sz w:val="24"/>
                <w:highlight w:val="none"/>
              </w:rPr>
              <w:t>杭州市浣纱路261号，杭州市第一人民医院招标人指定区域。标项一：1号楼、2号楼、教学楼及勤务中心；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要求所有的建筑按照三级甲等医院的标准24小时提供保洁、运送(含电梯)、给病人提供日常生活照料、维修服务项目，并针对特殊情况，制定防止交叉感染、消毒隔离制度和工作标准、流程，同时做好病区内服务员工的日常培训与管理工作。操作特种设备的员工应持证上岗，中标人负责监督并承担相应培训费用。配合医院做好迎接各类检查和突发性公共卫生事件等的应急卫生保洁、运送工作。</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物业管理区域内保洁服务内容：包括大楼内的楼梯、大厅、走廊、屋顶天台、吊顶、平台、雨棚、电梯厅、卫生间、茶水间、花盆、会议室、接待室、办公区域、公共活动场所的台（地）面、明沟、墙面、门、窗、灯具、果壳箱等设施和器皿，楼宇外墙等所有公共部位设施，规划内的道路、园林、停车场(库)、垃圾房等所有公共场地及设施和门前三包"区域的日常保洁保养以及垃圾、废弃物清理”等院区规划范围内的所有环境卫生保洁；</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3、物业管理区域内日常生活照料服务内容：包括所有服务区域按照三级甲等医院的卫生标准协助做好病患日常生活照料。</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4、物业管理区域内运送（含电梯）服务内容：包括电梯操作、物品运送、人员运送、医疗标本、单据运送等各类运送工作。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1.签订合同后3个工作日内，乙方须向甲方交纳相当于合同总额</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%的履约保证金。以保证乙方遵守本合同的一切条款、条件和承诺，该保证金在甲方的规定存续期间不计息。</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3.甲方认为乙方在服务期内没有涉及甲方的应付而未付金额或违约行为，甲方在服务期满</w:t>
            </w:r>
            <w:r>
              <w:rPr>
                <w:rFonts w:hint="eastAsia" w:ascii="宋体" w:hAnsi="宋体" w:cs="宋体"/>
                <w:color w:val="auto"/>
                <w:sz w:val="24"/>
                <w:highlight w:val="none"/>
                <w:lang w:eastAsia="zh-CN"/>
              </w:rPr>
              <w:t>验收通过</w:t>
            </w:r>
            <w:r>
              <w:rPr>
                <w:rFonts w:hint="eastAsia" w:ascii="宋体" w:hAnsi="宋体" w:eastAsia="宋体" w:cs="宋体"/>
                <w:color w:val="auto"/>
                <w:sz w:val="24"/>
                <w:highlight w:val="none"/>
              </w:rPr>
              <w:t>后</w:t>
            </w:r>
            <w:r>
              <w:rPr>
                <w:rFonts w:hint="eastAsia" w:ascii="宋体" w:hAnsi="宋体" w:cs="宋体"/>
                <w:color w:val="auto"/>
                <w:sz w:val="24"/>
                <w:highlight w:val="none"/>
                <w:lang w:eastAsia="zh-CN"/>
              </w:rPr>
              <w:t>及时</w:t>
            </w:r>
            <w:r>
              <w:rPr>
                <w:rFonts w:hint="eastAsia" w:ascii="宋体" w:hAnsi="宋体" w:eastAsia="宋体" w:cs="宋体"/>
                <w:color w:val="auto"/>
                <w:sz w:val="24"/>
                <w:highlight w:val="none"/>
              </w:rPr>
              <w:t>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1．合同在履行过程中发生争议时，甲方与乙方及时协商解决。协商不成时，在甲方所在地的人民法院进行诉讼。</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1．合同在履行过程中发生争议时，甲方与乙方及时协商解决。协商不成时，在甲方所在地的人民法院进行诉讼。</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1．合同在履行过程中发生争议时，甲方与乙方及时协商解决。协商不成时，在甲方所在地的人民法院进行诉讼。</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7633" w:type="dxa"/>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乙方进场服务并通过甲方考核后，甲方凭乙方开具的正规发票和甲方认可的各项记录复印件，办理服务费用的支付手续，在次月的15日前支付给乙方上月物业管理费。 </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每月实际岗位人员工资支付，除经医院会议讨论明确约定可以另行支付的费用外，所有物业管理及服务费用（物价变动、杭州市最低工资标准上涨等）均包括在内，在合同期内乙方不得另行向甲方收取任何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乙方没有按照本合同约定的期限、地点和方式履行，那么甲方可要求乙方支付违约金，违约金按每迟延履行一日的应提供而未提供服务价格的0.05%计算，最高限额为本合同总价的20 %；迟延履行的违约金计算数额达到前述最高限额之日起，甲方有权在要求乙方支付违约金的同时，书面通知乙方解除本合同；</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3、如果出现政府采购监督管理部门在处理投诉事项期间，书面通知甲方暂停采购活动的情形，或者询问或质疑事项可能影响中标结果的，导致甲方中止履行合同的情形，均不视为甲方违约；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甲方工作人员及其他物业使用人可根据《杭州市第一人民医院物业管理考核奖惩细则》随时组织进行对乙方物业服务的综合考评，费用在每月物业奖罚通知单体现。（合同签定时附后）</w:t>
            </w:r>
          </w:p>
          <w:p>
            <w:pPr>
              <w:numPr>
                <w:ilvl w:val="255"/>
                <w:numId w:val="0"/>
              </w:num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1、医院物业服务人员年龄要求：所有服务员工年龄不超过60周岁。原有员工年龄超过60周岁，年龄超过60周岁的在1个月内逐步更换达到上述要求。未按要求更换的按照1000元/人在当月物业服务费中扣除。</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2、乙方服务人员在工作时间不得向院区内病人提供陪护服务，经发现后每人每次扣罚500元，在当月物业服务费扣除。</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工作岗位人数不足时，按相应岗位成本扣除服务费，超过15天的按当月缺岗处罚。甲方不定期抽查乙方投入的人员数量，如果抽查时发现乙方投入的人员数量少于合同约定的数量，甲方可以按缺少人数扣除当月岗位合同物业服务费每月每人3000元，累计扣除当月合同款为止。</w:t>
            </w:r>
          </w:p>
          <w:p>
            <w:pPr>
              <w:spacing w:line="560" w:lineRule="exact"/>
              <w:rPr>
                <w:rFonts w:hint="eastAsia" w:ascii="宋体" w:hAnsi="宋体" w:eastAsia="宋体" w:cs="宋体"/>
                <w:color w:val="auto"/>
                <w:highlight w:val="none"/>
              </w:rPr>
            </w:pPr>
            <w:r>
              <w:rPr>
                <w:rFonts w:hint="eastAsia" w:ascii="宋体" w:hAnsi="宋体" w:eastAsia="宋体" w:cs="宋体"/>
                <w:color w:val="auto"/>
                <w:sz w:val="24"/>
                <w:highlight w:val="none"/>
              </w:rPr>
              <w:t>4、环境卫生、运送考评：在杭州市健委及有关单位的考评中A：医院门诊星级卫生间覆盖率达到100%，被上级检查通报批评的扣除乙方当月服务费至少1000元，如因乙方原因被上级单位取缔星级卫生间称号的每间至少罚款10000元并写出书面整改措施；B：医院第三方测评门诊环境卫生满意度，住院部环境卫生满意度每次达90分及以上，达不到考核标准扣除乙方当月服务费至少5000元；C：医疗废弃物制度不落实，分类、收集、转运、暂存、交接等环节存在不符合规范要求，被扣分或通报批评的扣除乙方当月服务费至少5000元；D: 在其他单位的工作检查中，由乙方原因造成的甲方被扣分或通报批评的扣除乙方当月服务费至少5000元。5、甲方工作人员及其他物业使用人可根据《杭州市第一人民医院物业管理考核奖惩细则》随时组织进行对乙方物业服务的综合考评，费用在每月物业奖罚通知单体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2.15.2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物业服务满意度考评调查表，以甲方单位所有使用的钉钉软件的考核内容为准（合同签订时附后）。合同服务期内甲方每月对乙方服务质量进行考核，各科室的考核标准以甲方单位使用的钉钉软件的满意度调查表为准，所在区域科室每月的综合考核结果平均分在90分以下的，罚款5000元；区域单个科室连续三个月考核结果85分以下的，每次罚款1000元并书面提交整改措施，连续3次不达标甲方可单方提出终止服务合同；区域科室综合考核结果连续3个月平均分在95分以上的奖励5000元；奖罚在当月物业服务费中体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2.18.1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签订合同后3个工作日内，乙方须向甲方交纳相当于合同总额</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%的履约保证金。以保证乙方遵守本合同的一切条款、条件和承诺，该保证金在甲方的规定存续期间不计息。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2.18.2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2.甲方认为乙方在服务期内没有涉及甲方的应付而未付金额或违约行为，甲方在服务期满</w:t>
            </w:r>
            <w:r>
              <w:rPr>
                <w:rFonts w:hint="eastAsia" w:ascii="宋体" w:hAnsi="宋体" w:cs="宋体"/>
                <w:color w:val="auto"/>
                <w:sz w:val="24"/>
                <w:highlight w:val="none"/>
                <w:lang w:eastAsia="zh-CN"/>
              </w:rPr>
              <w:t>验收通过</w:t>
            </w:r>
            <w:r>
              <w:rPr>
                <w:rFonts w:hint="eastAsia" w:ascii="宋体" w:hAnsi="宋体" w:eastAsia="宋体" w:cs="宋体"/>
                <w:color w:val="auto"/>
                <w:sz w:val="24"/>
                <w:highlight w:val="none"/>
              </w:rPr>
              <w:t>后</w:t>
            </w:r>
            <w:r>
              <w:rPr>
                <w:rFonts w:hint="eastAsia" w:ascii="宋体" w:hAnsi="宋体" w:cs="宋体"/>
                <w:color w:val="auto"/>
                <w:sz w:val="24"/>
                <w:highlight w:val="none"/>
                <w:lang w:eastAsia="zh-CN"/>
              </w:rPr>
              <w:t>及时</w:t>
            </w:r>
            <w:r>
              <w:rPr>
                <w:rFonts w:hint="eastAsia" w:ascii="宋体" w:hAnsi="宋体" w:eastAsia="宋体" w:cs="宋体"/>
                <w:color w:val="auto"/>
                <w:sz w:val="24"/>
                <w:highlight w:val="none"/>
              </w:rPr>
              <w:t>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本合同一式陆份，甲方执肆份、乙方执贰份。</w:t>
            </w:r>
          </w:p>
        </w:tc>
      </w:tr>
    </w:tbl>
    <w:p>
      <w:pPr>
        <w:pStyle w:val="2"/>
        <w:rPr>
          <w:color w:val="auto"/>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杭州市第一人民医院3-9号楼及部分楼宇保洁、运送服务采购项目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HZZFCG-2022-218(1)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2"/>
        <w:rPr>
          <w:b w:val="0"/>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杭州市第一人民医院3-9号楼及部分楼宇保洁、运送服务采购项目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HZZFCG-2022-218(1)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6" w:name="_Hlk101257010"/>
      <w:r>
        <w:rPr>
          <w:rFonts w:hint="eastAsia" w:ascii="宋体" w:hAnsi="宋体" w:cs="宋体"/>
          <w:snapToGrid w:val="0"/>
          <w:color w:val="auto"/>
          <w:kern w:val="28"/>
          <w:sz w:val="24"/>
          <w:szCs w:val="20"/>
          <w:highlight w:val="none"/>
        </w:rPr>
        <w:t>（如果有)</w:t>
      </w:r>
      <w:bookmarkEnd w:id="506"/>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杭州市第一人民医院3-9号楼及部分楼宇保洁、运送服务采购项目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杭州市第一人民医院3-9号楼及部分楼宇保洁、运送服务采购项目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杭州市第一人民医院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杭州市第一人民医院3-9号楼及部分楼宇保洁、运送服务采购项目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HZZFCG-2022-218(1)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07" w:name="_Toc465665161"/>
      <w:r>
        <w:rPr>
          <w:rFonts w:hint="eastAsia" w:ascii="宋体" w:hAnsi="宋体" w:cs="宋体"/>
          <w:color w:val="auto"/>
          <w:highlight w:val="none"/>
        </w:rPr>
        <w:t>附件</w:t>
      </w:r>
      <w:bookmarkEnd w:id="50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8" w:name="OLE_LINK14"/>
      <w:bookmarkStart w:id="509" w:name="OLE_LINK13"/>
      <w:r>
        <w:rPr>
          <w:rFonts w:hint="eastAsia" w:ascii="宋体" w:hAnsi="宋体" w:cs="宋体"/>
          <w:b/>
          <w:color w:val="auto"/>
          <w:spacing w:val="6"/>
          <w:sz w:val="32"/>
          <w:szCs w:val="32"/>
          <w:highlight w:val="none"/>
        </w:rPr>
        <w:t>残疾人福利性单位声明函</w:t>
      </w:r>
    </w:p>
    <w:bookmarkEnd w:id="508"/>
    <w:bookmarkEnd w:id="5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杭州市第一人民医院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杭州市第一人民医院3-9号楼及部分楼宇保洁、运送服务采购项目</w:t>
      </w:r>
      <w:r>
        <w:rPr>
          <w:rFonts w:hint="eastAsia" w:ascii="宋体" w:hAnsi="宋体" w:cs="宋体"/>
          <w:color w:val="auto"/>
          <w:sz w:val="24"/>
          <w:highlight w:val="none"/>
        </w:rPr>
        <w:t>项目【招标编号：</w:t>
      </w:r>
      <w:r>
        <w:rPr>
          <w:rFonts w:hint="eastAsia" w:ascii="宋体" w:hAnsi="宋体" w:cs="宋体"/>
          <w:color w:val="auto"/>
          <w:sz w:val="24"/>
          <w:highlight w:val="none"/>
          <w:lang w:eastAsia="zh-CN"/>
        </w:rPr>
        <w:t>HZZFCG-2022-218(1)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杭州市第一人民医院3-9号楼及部分楼宇保洁、运送服务采购项目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杭州市第一人民医院3-9号楼及部分楼宇保洁、运送服务采购项目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HZZFCG-2022-218(1)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杭州市第一人民医院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杭州市第一人民医院3-9号楼及部分楼宇保洁、运送服务采购项目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highlight w:val="none"/>
          <w:u w:val="single"/>
        </w:rPr>
        <w:t>保洁、运送服务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物业管理</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3" w:name="_Toc91899912"/>
    <w:bookmarkStart w:id="514" w:name="_Toc164085800"/>
    <w:bookmarkStart w:id="515" w:name="_Toc131845147"/>
    <w:bookmarkStart w:id="516" w:name="_Toc3611018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1B4EB"/>
    <w:multiLevelType w:val="singleLevel"/>
    <w:tmpl w:val="AC41B4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C46D8B"/>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E61E6"/>
    <w:rsid w:val="05F41565"/>
    <w:rsid w:val="060E5941"/>
    <w:rsid w:val="06110FAF"/>
    <w:rsid w:val="06493CA7"/>
    <w:rsid w:val="065A6178"/>
    <w:rsid w:val="066F1CF3"/>
    <w:rsid w:val="06930BB8"/>
    <w:rsid w:val="07245D42"/>
    <w:rsid w:val="07264C62"/>
    <w:rsid w:val="0779354C"/>
    <w:rsid w:val="0789431E"/>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735B5"/>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B1C33"/>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321F9"/>
    <w:rsid w:val="10637A13"/>
    <w:rsid w:val="10646583"/>
    <w:rsid w:val="107D4B15"/>
    <w:rsid w:val="108A3C80"/>
    <w:rsid w:val="10C26171"/>
    <w:rsid w:val="10F33360"/>
    <w:rsid w:val="10FC16EA"/>
    <w:rsid w:val="110F1D40"/>
    <w:rsid w:val="11266F33"/>
    <w:rsid w:val="118963A1"/>
    <w:rsid w:val="11C6522A"/>
    <w:rsid w:val="11E104CC"/>
    <w:rsid w:val="11E20309"/>
    <w:rsid w:val="11F808E7"/>
    <w:rsid w:val="1209262F"/>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04160"/>
    <w:rsid w:val="15762120"/>
    <w:rsid w:val="15D13671"/>
    <w:rsid w:val="16A8729C"/>
    <w:rsid w:val="16B33777"/>
    <w:rsid w:val="16BC70A7"/>
    <w:rsid w:val="16C6339E"/>
    <w:rsid w:val="172F2D79"/>
    <w:rsid w:val="17557BEF"/>
    <w:rsid w:val="17D349C1"/>
    <w:rsid w:val="1830729E"/>
    <w:rsid w:val="1870062C"/>
    <w:rsid w:val="18817102"/>
    <w:rsid w:val="18830A15"/>
    <w:rsid w:val="18852B28"/>
    <w:rsid w:val="188B5321"/>
    <w:rsid w:val="193A5E8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0C278C"/>
    <w:rsid w:val="211116EB"/>
    <w:rsid w:val="216133FC"/>
    <w:rsid w:val="21D56769"/>
    <w:rsid w:val="21E52EF3"/>
    <w:rsid w:val="21FB5D7B"/>
    <w:rsid w:val="22015E94"/>
    <w:rsid w:val="220B1C3D"/>
    <w:rsid w:val="221D1D20"/>
    <w:rsid w:val="22334A87"/>
    <w:rsid w:val="223F3123"/>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C73F8"/>
    <w:rsid w:val="258B00E2"/>
    <w:rsid w:val="25A917A6"/>
    <w:rsid w:val="25BE27CC"/>
    <w:rsid w:val="25F74A5C"/>
    <w:rsid w:val="2628662C"/>
    <w:rsid w:val="26296BB1"/>
    <w:rsid w:val="262D45DE"/>
    <w:rsid w:val="26871DC8"/>
    <w:rsid w:val="26A53EF9"/>
    <w:rsid w:val="26A94201"/>
    <w:rsid w:val="26AC274F"/>
    <w:rsid w:val="27044A29"/>
    <w:rsid w:val="271D34C8"/>
    <w:rsid w:val="271E749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D58EC"/>
    <w:rsid w:val="29F26D24"/>
    <w:rsid w:val="2A15033F"/>
    <w:rsid w:val="2A1662C1"/>
    <w:rsid w:val="2A1C7367"/>
    <w:rsid w:val="2A2815FA"/>
    <w:rsid w:val="2A6D6092"/>
    <w:rsid w:val="2A7D76B4"/>
    <w:rsid w:val="2AD417E1"/>
    <w:rsid w:val="2B437463"/>
    <w:rsid w:val="2B7807EE"/>
    <w:rsid w:val="2B8054C5"/>
    <w:rsid w:val="2BA50BF7"/>
    <w:rsid w:val="2BBF00EC"/>
    <w:rsid w:val="2BC37CFD"/>
    <w:rsid w:val="2BD5237F"/>
    <w:rsid w:val="2BE536CE"/>
    <w:rsid w:val="2BE758D9"/>
    <w:rsid w:val="2BE84BCA"/>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197C97"/>
    <w:rsid w:val="30706524"/>
    <w:rsid w:val="30733ACD"/>
    <w:rsid w:val="308C3862"/>
    <w:rsid w:val="309379D8"/>
    <w:rsid w:val="30A270F7"/>
    <w:rsid w:val="30AE3EC3"/>
    <w:rsid w:val="30D500DA"/>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522C3"/>
    <w:rsid w:val="363A3B40"/>
    <w:rsid w:val="365302AE"/>
    <w:rsid w:val="36607A0A"/>
    <w:rsid w:val="366663CE"/>
    <w:rsid w:val="366E227C"/>
    <w:rsid w:val="366F2E0D"/>
    <w:rsid w:val="367B6A5C"/>
    <w:rsid w:val="36A74ADA"/>
    <w:rsid w:val="36AD60D5"/>
    <w:rsid w:val="36B224F9"/>
    <w:rsid w:val="36EC0CC9"/>
    <w:rsid w:val="373F410B"/>
    <w:rsid w:val="37EE7094"/>
    <w:rsid w:val="381A4575"/>
    <w:rsid w:val="38296C89"/>
    <w:rsid w:val="383002EB"/>
    <w:rsid w:val="38586797"/>
    <w:rsid w:val="38BC0149"/>
    <w:rsid w:val="38D87D1C"/>
    <w:rsid w:val="39636459"/>
    <w:rsid w:val="396B7F6C"/>
    <w:rsid w:val="39B417A9"/>
    <w:rsid w:val="39FC5695"/>
    <w:rsid w:val="3A006D8E"/>
    <w:rsid w:val="3A3651E5"/>
    <w:rsid w:val="3A744481"/>
    <w:rsid w:val="3A8C7BEF"/>
    <w:rsid w:val="3A906246"/>
    <w:rsid w:val="3B1D2836"/>
    <w:rsid w:val="3B2349B7"/>
    <w:rsid w:val="3B615BB4"/>
    <w:rsid w:val="3B616CFF"/>
    <w:rsid w:val="3B6259F6"/>
    <w:rsid w:val="3B976654"/>
    <w:rsid w:val="3BC01EFC"/>
    <w:rsid w:val="3BCA786A"/>
    <w:rsid w:val="3BD31E2F"/>
    <w:rsid w:val="3BF15831"/>
    <w:rsid w:val="3C105946"/>
    <w:rsid w:val="3C471448"/>
    <w:rsid w:val="3C5F759A"/>
    <w:rsid w:val="3C6C525A"/>
    <w:rsid w:val="3CCE23CB"/>
    <w:rsid w:val="3CD17D17"/>
    <w:rsid w:val="3CEC6B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B64C7"/>
    <w:rsid w:val="4019356B"/>
    <w:rsid w:val="40592157"/>
    <w:rsid w:val="406E1CAE"/>
    <w:rsid w:val="40A0133A"/>
    <w:rsid w:val="40C31A53"/>
    <w:rsid w:val="40E0492C"/>
    <w:rsid w:val="40FF545D"/>
    <w:rsid w:val="410067C8"/>
    <w:rsid w:val="418F0D2A"/>
    <w:rsid w:val="41D01505"/>
    <w:rsid w:val="42474939"/>
    <w:rsid w:val="424C3C57"/>
    <w:rsid w:val="42613FF3"/>
    <w:rsid w:val="42660D96"/>
    <w:rsid w:val="428667D2"/>
    <w:rsid w:val="42C41CE4"/>
    <w:rsid w:val="42CD1CE0"/>
    <w:rsid w:val="42E1381E"/>
    <w:rsid w:val="42ED6459"/>
    <w:rsid w:val="42FE58DD"/>
    <w:rsid w:val="43174B3D"/>
    <w:rsid w:val="434B790E"/>
    <w:rsid w:val="4360274F"/>
    <w:rsid w:val="43977AB6"/>
    <w:rsid w:val="43A3342B"/>
    <w:rsid w:val="43C77C27"/>
    <w:rsid w:val="43DE09EE"/>
    <w:rsid w:val="44002FAD"/>
    <w:rsid w:val="447F6675"/>
    <w:rsid w:val="449101DD"/>
    <w:rsid w:val="44A17B2B"/>
    <w:rsid w:val="44DE1391"/>
    <w:rsid w:val="451B225C"/>
    <w:rsid w:val="452410C9"/>
    <w:rsid w:val="45317DFB"/>
    <w:rsid w:val="456D3CE4"/>
    <w:rsid w:val="4579042C"/>
    <w:rsid w:val="457F0571"/>
    <w:rsid w:val="45851176"/>
    <w:rsid w:val="45C63B94"/>
    <w:rsid w:val="45E665CA"/>
    <w:rsid w:val="460E7DA5"/>
    <w:rsid w:val="46422483"/>
    <w:rsid w:val="4659254A"/>
    <w:rsid w:val="465B0637"/>
    <w:rsid w:val="465E3F0D"/>
    <w:rsid w:val="466A16E6"/>
    <w:rsid w:val="46893F2B"/>
    <w:rsid w:val="46C4686E"/>
    <w:rsid w:val="477B778F"/>
    <w:rsid w:val="478203EC"/>
    <w:rsid w:val="47B025FA"/>
    <w:rsid w:val="4809698F"/>
    <w:rsid w:val="4811697D"/>
    <w:rsid w:val="483416BA"/>
    <w:rsid w:val="487A3E25"/>
    <w:rsid w:val="488B5503"/>
    <w:rsid w:val="48937E21"/>
    <w:rsid w:val="489A0361"/>
    <w:rsid w:val="48B94FF3"/>
    <w:rsid w:val="48E37AAB"/>
    <w:rsid w:val="48FD4B4C"/>
    <w:rsid w:val="490A68E0"/>
    <w:rsid w:val="491055FE"/>
    <w:rsid w:val="495F5B3E"/>
    <w:rsid w:val="49684445"/>
    <w:rsid w:val="496F77D7"/>
    <w:rsid w:val="497654FD"/>
    <w:rsid w:val="49B64211"/>
    <w:rsid w:val="49F6167F"/>
    <w:rsid w:val="4A064FA0"/>
    <w:rsid w:val="4A16615C"/>
    <w:rsid w:val="4A4424D7"/>
    <w:rsid w:val="4AB82D0F"/>
    <w:rsid w:val="4AE80A03"/>
    <w:rsid w:val="4AEB4064"/>
    <w:rsid w:val="4AEB7664"/>
    <w:rsid w:val="4AFD7C19"/>
    <w:rsid w:val="4B0567D1"/>
    <w:rsid w:val="4B236AAE"/>
    <w:rsid w:val="4B707271"/>
    <w:rsid w:val="4B9739F7"/>
    <w:rsid w:val="4BEE2503"/>
    <w:rsid w:val="4C066EC9"/>
    <w:rsid w:val="4C245A30"/>
    <w:rsid w:val="4CB6685F"/>
    <w:rsid w:val="4CC367FE"/>
    <w:rsid w:val="4CEB6BD1"/>
    <w:rsid w:val="4D077F3C"/>
    <w:rsid w:val="4D123355"/>
    <w:rsid w:val="4D1D271C"/>
    <w:rsid w:val="4D2A3B31"/>
    <w:rsid w:val="4D312C52"/>
    <w:rsid w:val="4D905305"/>
    <w:rsid w:val="4D964A72"/>
    <w:rsid w:val="4D9C1254"/>
    <w:rsid w:val="4DB210B7"/>
    <w:rsid w:val="4E793892"/>
    <w:rsid w:val="4E800872"/>
    <w:rsid w:val="4EC569ED"/>
    <w:rsid w:val="4ED50EA1"/>
    <w:rsid w:val="4EEC050C"/>
    <w:rsid w:val="4EF94B8B"/>
    <w:rsid w:val="4F104EC3"/>
    <w:rsid w:val="4F47354A"/>
    <w:rsid w:val="4F6528EC"/>
    <w:rsid w:val="4F911C54"/>
    <w:rsid w:val="4FE625E0"/>
    <w:rsid w:val="5021480F"/>
    <w:rsid w:val="50962ECB"/>
    <w:rsid w:val="50A42E38"/>
    <w:rsid w:val="50A4577F"/>
    <w:rsid w:val="50B73D1F"/>
    <w:rsid w:val="50BD5BC9"/>
    <w:rsid w:val="50C11EEE"/>
    <w:rsid w:val="50E97CFC"/>
    <w:rsid w:val="50F96F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E639C"/>
    <w:rsid w:val="52EA3A62"/>
    <w:rsid w:val="52F50BB8"/>
    <w:rsid w:val="53097272"/>
    <w:rsid w:val="5339723D"/>
    <w:rsid w:val="53483DB8"/>
    <w:rsid w:val="53544462"/>
    <w:rsid w:val="5397158E"/>
    <w:rsid w:val="53FE4961"/>
    <w:rsid w:val="54013861"/>
    <w:rsid w:val="54487265"/>
    <w:rsid w:val="544D6070"/>
    <w:rsid w:val="54521371"/>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14AE3"/>
    <w:rsid w:val="566B6D1E"/>
    <w:rsid w:val="56EA4F7D"/>
    <w:rsid w:val="57032A2C"/>
    <w:rsid w:val="570F5219"/>
    <w:rsid w:val="57302597"/>
    <w:rsid w:val="575D12B5"/>
    <w:rsid w:val="57610A87"/>
    <w:rsid w:val="57684EDC"/>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F1EA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3650D"/>
    <w:rsid w:val="5C5B73D5"/>
    <w:rsid w:val="5C5C389C"/>
    <w:rsid w:val="5C620811"/>
    <w:rsid w:val="5C80234E"/>
    <w:rsid w:val="5C8A680C"/>
    <w:rsid w:val="5CC7620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13BFC"/>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C36B0"/>
    <w:rsid w:val="62422353"/>
    <w:rsid w:val="624F3E49"/>
    <w:rsid w:val="625B6C51"/>
    <w:rsid w:val="62632286"/>
    <w:rsid w:val="62885958"/>
    <w:rsid w:val="62F40B65"/>
    <w:rsid w:val="62FC2CFE"/>
    <w:rsid w:val="63024505"/>
    <w:rsid w:val="635600A5"/>
    <w:rsid w:val="635B1DB5"/>
    <w:rsid w:val="63711FED"/>
    <w:rsid w:val="63880DDC"/>
    <w:rsid w:val="638D750D"/>
    <w:rsid w:val="63A13F43"/>
    <w:rsid w:val="63AC6CC0"/>
    <w:rsid w:val="64055776"/>
    <w:rsid w:val="64240056"/>
    <w:rsid w:val="643E143A"/>
    <w:rsid w:val="64491666"/>
    <w:rsid w:val="648B6EEF"/>
    <w:rsid w:val="64C158BF"/>
    <w:rsid w:val="64CE2EAA"/>
    <w:rsid w:val="653C3090"/>
    <w:rsid w:val="65854376"/>
    <w:rsid w:val="658767BE"/>
    <w:rsid w:val="65892531"/>
    <w:rsid w:val="66107515"/>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430AED"/>
    <w:rsid w:val="68551F4F"/>
    <w:rsid w:val="687C10C9"/>
    <w:rsid w:val="68840C16"/>
    <w:rsid w:val="68876EFB"/>
    <w:rsid w:val="68884654"/>
    <w:rsid w:val="689F444F"/>
    <w:rsid w:val="68B96DBB"/>
    <w:rsid w:val="68CA2805"/>
    <w:rsid w:val="68E937A3"/>
    <w:rsid w:val="693E15D3"/>
    <w:rsid w:val="693E60EF"/>
    <w:rsid w:val="69627681"/>
    <w:rsid w:val="6977531D"/>
    <w:rsid w:val="69872FA0"/>
    <w:rsid w:val="69CC2BFF"/>
    <w:rsid w:val="69FD55B8"/>
    <w:rsid w:val="6A0B1C62"/>
    <w:rsid w:val="6A2406C8"/>
    <w:rsid w:val="6A7501A9"/>
    <w:rsid w:val="6ADE0BD1"/>
    <w:rsid w:val="6AE96859"/>
    <w:rsid w:val="6B147746"/>
    <w:rsid w:val="6B24787C"/>
    <w:rsid w:val="6B573233"/>
    <w:rsid w:val="6B5B6274"/>
    <w:rsid w:val="6B935D53"/>
    <w:rsid w:val="6BD526E8"/>
    <w:rsid w:val="6C196F71"/>
    <w:rsid w:val="6C226FCB"/>
    <w:rsid w:val="6C31226F"/>
    <w:rsid w:val="6C552F0B"/>
    <w:rsid w:val="6C8C67B7"/>
    <w:rsid w:val="6C9D744C"/>
    <w:rsid w:val="6CB4102B"/>
    <w:rsid w:val="6D167928"/>
    <w:rsid w:val="6D255B2E"/>
    <w:rsid w:val="6D26299B"/>
    <w:rsid w:val="6D4772EC"/>
    <w:rsid w:val="6D9078AF"/>
    <w:rsid w:val="6DAA3FEF"/>
    <w:rsid w:val="6DC0172B"/>
    <w:rsid w:val="6DCB690C"/>
    <w:rsid w:val="6DD10C8D"/>
    <w:rsid w:val="6DD41A5B"/>
    <w:rsid w:val="6DF43C2E"/>
    <w:rsid w:val="6DF51CA3"/>
    <w:rsid w:val="6E775737"/>
    <w:rsid w:val="6E8335BD"/>
    <w:rsid w:val="6E8E12EF"/>
    <w:rsid w:val="6E972936"/>
    <w:rsid w:val="6ED446C5"/>
    <w:rsid w:val="6F2A7D94"/>
    <w:rsid w:val="6F8331F1"/>
    <w:rsid w:val="6FAE1A09"/>
    <w:rsid w:val="6FD75BF8"/>
    <w:rsid w:val="707723D0"/>
    <w:rsid w:val="70F5661B"/>
    <w:rsid w:val="71341DEC"/>
    <w:rsid w:val="71360107"/>
    <w:rsid w:val="713B688E"/>
    <w:rsid w:val="718F50E7"/>
    <w:rsid w:val="71D43752"/>
    <w:rsid w:val="71F1796A"/>
    <w:rsid w:val="72154626"/>
    <w:rsid w:val="72262B5D"/>
    <w:rsid w:val="72283FF7"/>
    <w:rsid w:val="722E7212"/>
    <w:rsid w:val="723A0474"/>
    <w:rsid w:val="725923E4"/>
    <w:rsid w:val="72742D1A"/>
    <w:rsid w:val="72864BF7"/>
    <w:rsid w:val="729023FC"/>
    <w:rsid w:val="737C2238"/>
    <w:rsid w:val="73C0646E"/>
    <w:rsid w:val="742222F5"/>
    <w:rsid w:val="74235FBB"/>
    <w:rsid w:val="74476126"/>
    <w:rsid w:val="74706664"/>
    <w:rsid w:val="747F3682"/>
    <w:rsid w:val="749C4185"/>
    <w:rsid w:val="75067759"/>
    <w:rsid w:val="752E6DCD"/>
    <w:rsid w:val="7551380D"/>
    <w:rsid w:val="75600BE5"/>
    <w:rsid w:val="75615AED"/>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50C07"/>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878BC"/>
    <w:rsid w:val="7AD05746"/>
    <w:rsid w:val="7B257FFD"/>
    <w:rsid w:val="7B343476"/>
    <w:rsid w:val="7B567E41"/>
    <w:rsid w:val="7B5A2978"/>
    <w:rsid w:val="7B5A7E4C"/>
    <w:rsid w:val="7B667AF9"/>
    <w:rsid w:val="7B7468F8"/>
    <w:rsid w:val="7BD56FDD"/>
    <w:rsid w:val="7BEE0103"/>
    <w:rsid w:val="7C0A0FE4"/>
    <w:rsid w:val="7C10356E"/>
    <w:rsid w:val="7C254906"/>
    <w:rsid w:val="7C590818"/>
    <w:rsid w:val="7C7C10F6"/>
    <w:rsid w:val="7C853BEA"/>
    <w:rsid w:val="7C881368"/>
    <w:rsid w:val="7CE27788"/>
    <w:rsid w:val="7D0C32F1"/>
    <w:rsid w:val="7D0F408D"/>
    <w:rsid w:val="7D491C6C"/>
    <w:rsid w:val="7D5429C0"/>
    <w:rsid w:val="7D6E6D43"/>
    <w:rsid w:val="7DB57A34"/>
    <w:rsid w:val="7DDC0370"/>
    <w:rsid w:val="7DE60973"/>
    <w:rsid w:val="7DEF0916"/>
    <w:rsid w:val="7E1E5218"/>
    <w:rsid w:val="7E7924A1"/>
    <w:rsid w:val="7E9A4E1F"/>
    <w:rsid w:val="7EA7723A"/>
    <w:rsid w:val="7EF56FBB"/>
    <w:rsid w:val="7F0768EB"/>
    <w:rsid w:val="7F143BEC"/>
    <w:rsid w:val="7F715AF2"/>
    <w:rsid w:val="7F886E69"/>
    <w:rsid w:val="7FD8234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104</Pages>
  <Words>51524</Words>
  <Characters>54123</Characters>
  <Lines>283</Lines>
  <Paragraphs>79</Paragraphs>
  <TotalTime>4</TotalTime>
  <ScaleCrop>false</ScaleCrop>
  <LinksUpToDate>false</LinksUpToDate>
  <CharactersWithSpaces>59708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WPS_1661847895</cp:lastModifiedBy>
  <cp:lastPrinted>2021-12-27T03:06:00Z</cp:lastPrinted>
  <dcterms:modified xsi:type="dcterms:W3CDTF">2022-12-02T03:51:33Z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