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仿宋_GB2312" w:hAnsi="仿宋" w:eastAsia="仿宋_GB2312" w:cs="仿宋"/>
          <w:b/>
          <w:color w:val="auto"/>
          <w:sz w:val="32"/>
          <w:szCs w:val="32"/>
          <w:highlight w:val="none"/>
        </w:rPr>
      </w:pPr>
      <w:bookmarkStart w:id="581" w:name="_GoBack"/>
      <w:bookmarkEnd w:id="581"/>
    </w:p>
    <w:p>
      <w:pPr>
        <w:adjustRightInd/>
        <w:spacing w:line="360" w:lineRule="auto"/>
        <w:jc w:val="center"/>
        <w:rPr>
          <w:rFonts w:hint="eastAsia" w:ascii="仿宋_GB2312" w:hAnsi="仿宋" w:eastAsia="仿宋_GB2312" w:cs="仿宋_GB2312"/>
          <w:b/>
          <w:color w:val="auto"/>
          <w:sz w:val="44"/>
          <w:szCs w:val="44"/>
          <w:highlight w:val="none"/>
        </w:rPr>
      </w:pPr>
    </w:p>
    <w:p>
      <w:pPr>
        <w:adjustRightInd/>
        <w:spacing w:line="360" w:lineRule="auto"/>
        <w:jc w:val="center"/>
        <w:rPr>
          <w:rFonts w:hint="eastAsia" w:ascii="仿宋_GB2312" w:hAnsi="仿宋" w:eastAsia="仿宋_GB2312" w:cs="仿宋"/>
          <w:b/>
          <w:bCs/>
          <w:color w:val="auto"/>
          <w:sz w:val="48"/>
          <w:szCs w:val="48"/>
          <w:highlight w:val="none"/>
        </w:rPr>
      </w:pPr>
      <w:r>
        <w:rPr>
          <w:rFonts w:hint="eastAsia" w:ascii="仿宋_GB2312" w:hAnsi="仿宋" w:eastAsia="仿宋_GB2312" w:cs="仿宋_GB2312"/>
          <w:b/>
          <w:color w:val="auto"/>
          <w:sz w:val="44"/>
          <w:szCs w:val="44"/>
          <w:highlight w:val="none"/>
        </w:rPr>
        <w:t>杭州城市大脑**操作系统应用场景及业务通用能力建设项目应用支撑能力模块</w:t>
      </w:r>
    </w:p>
    <w:p>
      <w:pPr>
        <w:adjustRightInd/>
        <w:spacing w:line="360" w:lineRule="auto"/>
        <w:jc w:val="center"/>
        <w:rPr>
          <w:rFonts w:hint="eastAsia" w:ascii="仿宋_GB2312" w:hAnsi="仿宋" w:eastAsia="仿宋_GB2312" w:cs="仿宋"/>
          <w:b/>
          <w:color w:val="auto"/>
          <w:sz w:val="72"/>
          <w:szCs w:val="72"/>
          <w:highlight w:val="none"/>
        </w:rPr>
      </w:pPr>
    </w:p>
    <w:p>
      <w:pPr>
        <w:adjustRightInd/>
        <w:spacing w:line="360" w:lineRule="auto"/>
        <w:jc w:val="center"/>
        <w:rPr>
          <w:rFonts w:hint="eastAsia" w:ascii="仿宋_GB2312" w:hAnsi="仿宋" w:eastAsia="仿宋_GB2312" w:cs="仿宋"/>
          <w:b/>
          <w:color w:val="auto"/>
          <w:sz w:val="72"/>
          <w:szCs w:val="72"/>
          <w:highlight w:val="none"/>
        </w:rPr>
      </w:pPr>
      <w:r>
        <w:rPr>
          <w:rFonts w:hint="eastAsia" w:ascii="仿宋_GB2312" w:hAnsi="仿宋" w:eastAsia="仿宋_GB2312" w:cs="仿宋"/>
          <w:b/>
          <w:color w:val="auto"/>
          <w:sz w:val="72"/>
          <w:szCs w:val="72"/>
          <w:highlight w:val="none"/>
        </w:rPr>
        <w:t>招标文件</w:t>
      </w:r>
    </w:p>
    <w:p>
      <w:pPr>
        <w:adjustRightInd/>
        <w:spacing w:line="360" w:lineRule="auto"/>
        <w:jc w:val="center"/>
        <w:rPr>
          <w:rFonts w:hint="eastAsia" w:ascii="仿宋_GB2312" w:hAnsi="仿宋" w:eastAsia="仿宋_GB2312" w:cs="仿宋"/>
          <w:b/>
          <w:color w:val="auto"/>
          <w:sz w:val="44"/>
          <w:szCs w:val="44"/>
          <w:highlight w:val="none"/>
        </w:rPr>
      </w:pPr>
      <w:r>
        <w:rPr>
          <w:rFonts w:hint="eastAsia" w:ascii="仿宋_GB2312" w:hAnsi="仿宋" w:eastAsia="仿宋_GB2312" w:cs="仿宋"/>
          <w:b/>
          <w:color w:val="auto"/>
          <w:sz w:val="44"/>
          <w:szCs w:val="44"/>
          <w:highlight w:val="none"/>
        </w:rPr>
        <w:t xml:space="preserve"> （电子招投标）</w:t>
      </w:r>
    </w:p>
    <w:p>
      <w:pPr>
        <w:spacing w:line="360" w:lineRule="auto"/>
        <w:jc w:val="center"/>
        <w:rPr>
          <w:rFonts w:hint="eastAsia" w:ascii="仿宋_GB2312" w:hAnsi="仿宋" w:eastAsia="仿宋_GB2312" w:cs="仿宋"/>
          <w:b/>
          <w:color w:val="auto"/>
          <w:sz w:val="24"/>
          <w:highlight w:val="none"/>
        </w:rPr>
      </w:pPr>
    </w:p>
    <w:p>
      <w:pPr>
        <w:snapToGrid w:val="0"/>
        <w:spacing w:line="360" w:lineRule="auto"/>
        <w:jc w:val="center"/>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编号:HZZFCG-2021-157</w:t>
      </w:r>
    </w:p>
    <w:p>
      <w:pPr>
        <w:adjustRightInd/>
        <w:spacing w:line="360" w:lineRule="auto"/>
        <w:rPr>
          <w:rFonts w:hint="eastAsia" w:ascii="仿宋_GB2312" w:hAnsi="仿宋" w:eastAsia="仿宋_GB2312" w:cs="仿宋"/>
          <w:color w:val="auto"/>
          <w:sz w:val="28"/>
          <w:szCs w:val="20"/>
          <w:highlight w:val="none"/>
        </w:rPr>
      </w:pP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b/>
          <w:color w:val="auto"/>
          <w:sz w:val="44"/>
          <w:szCs w:val="44"/>
          <w:highlight w:val="none"/>
        </w:rPr>
        <w:t xml:space="preserve"> </w:t>
      </w:r>
      <w:r>
        <w:rPr>
          <w:rFonts w:hint="eastAsia" w:ascii="仿宋_GB2312" w:hAnsi="仿宋" w:eastAsia="仿宋_GB2312" w:cs="仿宋"/>
          <w:color w:val="auto"/>
          <w:sz w:val="24"/>
          <w:highlight w:val="none"/>
        </w:rPr>
        <w:t xml:space="preserve">                                    </w:t>
      </w:r>
    </w:p>
    <w:p>
      <w:pPr>
        <w:pStyle w:val="2"/>
        <w:numPr>
          <w:ilvl w:val="0"/>
          <w:numId w:val="0"/>
        </w:numPr>
        <w:ind w:leftChars="0"/>
        <w:rPr>
          <w:rFonts w:hint="eastAsia"/>
        </w:rPr>
      </w:pPr>
    </w:p>
    <w:p>
      <w:pPr>
        <w:snapToGrid w:val="0"/>
        <w:spacing w:line="360" w:lineRule="auto"/>
        <w:jc w:val="center"/>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杭州市公安局</w:t>
      </w:r>
    </w:p>
    <w:p>
      <w:pPr>
        <w:spacing w:line="360" w:lineRule="auto"/>
        <w:jc w:val="center"/>
        <w:rPr>
          <w:rFonts w:hint="eastAsia" w:ascii="仿宋_GB2312" w:hAnsi="仿宋" w:eastAsia="仿宋_GB2312" w:cs="仿宋"/>
          <w:bCs/>
          <w:color w:val="auto"/>
          <w:sz w:val="32"/>
          <w:szCs w:val="32"/>
          <w:highlight w:val="none"/>
        </w:rPr>
      </w:pPr>
      <w:r>
        <w:rPr>
          <w:rFonts w:hint="eastAsia" w:ascii="仿宋_GB2312" w:hAnsi="仿宋" w:eastAsia="仿宋_GB2312" w:cs="仿宋"/>
          <w:bCs/>
          <w:color w:val="auto"/>
          <w:sz w:val="32"/>
          <w:szCs w:val="32"/>
          <w:highlight w:val="none"/>
        </w:rPr>
        <w:t>杭州市公共资源交易中心（杭州市政府采购中心）</w:t>
      </w:r>
    </w:p>
    <w:p>
      <w:pPr>
        <w:snapToGrid w:val="0"/>
        <w:spacing w:line="360" w:lineRule="auto"/>
        <w:jc w:val="center"/>
        <w:rPr>
          <w:rFonts w:hint="eastAsia" w:ascii="仿宋_GB2312" w:hAnsi="仿宋" w:eastAsia="仿宋_GB2312" w:cs="仿宋"/>
          <w:bCs/>
          <w:color w:val="auto"/>
          <w:sz w:val="32"/>
          <w:szCs w:val="32"/>
          <w:highlight w:val="none"/>
        </w:rPr>
      </w:pPr>
      <w:r>
        <w:rPr>
          <w:rFonts w:hint="eastAsia" w:ascii="仿宋_GB2312" w:hAnsi="仿宋" w:eastAsia="仿宋_GB2312" w:cs="仿宋"/>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二一年</w:t>
      </w:r>
      <w:r>
        <w:rPr>
          <w:rFonts w:hint="eastAsia" w:ascii="仿宋_GB2312" w:hAnsi="仿宋" w:eastAsia="仿宋_GB2312" w:cs="仿宋"/>
          <w:bCs/>
          <w:color w:val="auto"/>
          <w:sz w:val="32"/>
          <w:szCs w:val="32"/>
          <w:highlight w:val="none"/>
          <w:lang w:eastAsia="zh-CN"/>
        </w:rPr>
        <w:t>十</w:t>
      </w:r>
      <w:r>
        <w:rPr>
          <w:rFonts w:hint="eastAsia" w:ascii="仿宋_GB2312" w:hAnsi="仿宋" w:eastAsia="仿宋_GB2312" w:cs="仿宋"/>
          <w:bCs/>
          <w:color w:val="auto"/>
          <w:sz w:val="32"/>
          <w:szCs w:val="32"/>
          <w:highlight w:val="none"/>
        </w:rPr>
        <w:t>月</w:t>
      </w:r>
      <w:r>
        <w:rPr>
          <w:rFonts w:hint="eastAsia" w:ascii="仿宋_GB2312" w:hAnsi="仿宋" w:eastAsia="仿宋_GB2312" w:cs="仿宋"/>
          <w:bCs/>
          <w:color w:val="auto"/>
          <w:sz w:val="32"/>
          <w:szCs w:val="32"/>
          <w:highlight w:val="none"/>
          <w:lang w:eastAsia="zh-CN"/>
        </w:rPr>
        <w:t>十二</w:t>
      </w:r>
      <w:r>
        <w:rPr>
          <w:rFonts w:hint="eastAsia" w:ascii="仿宋_GB2312" w:hAnsi="仿宋" w:eastAsia="仿宋_GB2312" w:cs="仿宋"/>
          <w:bCs/>
          <w:color w:val="auto"/>
          <w:sz w:val="32"/>
          <w:szCs w:val="32"/>
          <w:highlight w:val="none"/>
        </w:rPr>
        <w:t>日</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br w:type="page"/>
      </w:r>
      <w:bookmarkStart w:id="0" w:name="_Hlt67893495"/>
      <w:bookmarkEnd w:id="0"/>
    </w:p>
    <w:p>
      <w:pPr>
        <w:spacing w:line="360" w:lineRule="auto"/>
        <w:jc w:val="center"/>
        <w:rPr>
          <w:rFonts w:hint="eastAsia" w:ascii="仿宋_GB2312" w:hAnsi="仿宋" w:eastAsia="仿宋_GB2312" w:cs="仿宋"/>
          <w:color w:val="auto"/>
          <w:sz w:val="24"/>
          <w:highlight w:val="none"/>
        </w:rPr>
      </w:pPr>
    </w:p>
    <w:p>
      <w:pPr>
        <w:spacing w:line="360" w:lineRule="auto"/>
        <w:jc w:val="center"/>
        <w:rPr>
          <w:rFonts w:hint="eastAsia" w:ascii="仿宋_GB2312" w:hAnsi="仿宋" w:eastAsia="仿宋_GB2312" w:cs="仿宋"/>
          <w:b/>
          <w:color w:val="auto"/>
          <w:sz w:val="48"/>
          <w:szCs w:val="48"/>
          <w:highlight w:val="none"/>
        </w:rPr>
      </w:pPr>
      <w:r>
        <w:rPr>
          <w:rFonts w:hint="eastAsia" w:ascii="仿宋_GB2312" w:hAnsi="仿宋" w:eastAsia="仿宋_GB2312" w:cs="仿宋"/>
          <w:b/>
          <w:color w:val="auto"/>
          <w:sz w:val="48"/>
          <w:szCs w:val="48"/>
          <w:highlight w:val="none"/>
        </w:rPr>
        <w:t>目  录</w:t>
      </w:r>
    </w:p>
    <w:p>
      <w:pPr>
        <w:spacing w:line="360" w:lineRule="auto"/>
        <w:rPr>
          <w:rFonts w:hint="eastAsia" w:ascii="仿宋_GB2312" w:hAnsi="仿宋" w:eastAsia="仿宋_GB2312" w:cs="仿宋"/>
          <w:color w:val="auto"/>
          <w:sz w:val="32"/>
          <w:szCs w:val="32"/>
          <w:highlight w:val="none"/>
        </w:rPr>
      </w:pPr>
    </w:p>
    <w:p>
      <w:pPr>
        <w:spacing w:line="360" w:lineRule="auto"/>
        <w:rPr>
          <w:rFonts w:hint="eastAsia" w:ascii="仿宋_GB2312" w:hAnsi="仿宋" w:eastAsia="仿宋_GB2312" w:cs="仿宋"/>
          <w:color w:val="auto"/>
          <w:sz w:val="32"/>
          <w:szCs w:val="32"/>
          <w:highlight w:val="none"/>
        </w:rPr>
      </w:pPr>
    </w:p>
    <w:p>
      <w:pPr>
        <w:spacing w:line="360" w:lineRule="auto"/>
        <w:ind w:firstLine="1280" w:firstLineChars="4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第一部分      招标公告</w:t>
      </w:r>
    </w:p>
    <w:p>
      <w:pPr>
        <w:spacing w:line="360" w:lineRule="auto"/>
        <w:ind w:firstLine="1280" w:firstLineChars="4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第二部分      投标人须知</w:t>
      </w:r>
    </w:p>
    <w:p>
      <w:pPr>
        <w:spacing w:line="360" w:lineRule="auto"/>
        <w:ind w:firstLine="1280" w:firstLineChars="4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第三部分      采购需求</w:t>
      </w:r>
    </w:p>
    <w:p>
      <w:pPr>
        <w:spacing w:line="360" w:lineRule="auto"/>
        <w:ind w:firstLine="1280" w:firstLineChars="4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第四部分      评标方法及评分标准</w:t>
      </w:r>
    </w:p>
    <w:p>
      <w:pPr>
        <w:spacing w:line="360" w:lineRule="auto"/>
        <w:ind w:firstLine="1280" w:firstLineChars="4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第五部分      拟签订的合同文本</w:t>
      </w:r>
    </w:p>
    <w:p>
      <w:pPr>
        <w:spacing w:line="360" w:lineRule="auto"/>
        <w:ind w:firstLine="1280" w:firstLineChars="4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第六部分      应提交的有关格式范例</w:t>
      </w:r>
    </w:p>
    <w:p>
      <w:pPr>
        <w:spacing w:line="360" w:lineRule="auto"/>
        <w:ind w:firstLine="549" w:firstLineChars="229"/>
        <w:rPr>
          <w:rFonts w:hint="eastAsia" w:ascii="仿宋_GB2312" w:hAnsi="仿宋" w:eastAsia="仿宋_GB2312"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_GB2312" w:hAnsi="仿宋" w:eastAsia="仿宋_GB2312" w:cs="仿宋"/>
          <w:color w:val="auto"/>
          <w:sz w:val="24"/>
          <w:highlight w:val="none"/>
        </w:rPr>
      </w:pPr>
    </w:p>
    <w:p>
      <w:pPr>
        <w:spacing w:line="360" w:lineRule="auto"/>
        <w:ind w:firstLine="549" w:firstLineChars="229"/>
        <w:rPr>
          <w:rFonts w:hint="eastAsia" w:ascii="仿宋_GB2312" w:hAnsi="仿宋" w:eastAsia="仿宋_GB2312" w:cs="仿宋"/>
          <w:color w:val="auto"/>
          <w:sz w:val="24"/>
          <w:highlight w:val="none"/>
        </w:rPr>
      </w:pPr>
    </w:p>
    <w:p>
      <w:pPr>
        <w:spacing w:line="360" w:lineRule="auto"/>
        <w:ind w:firstLine="549" w:firstLineChars="229"/>
        <w:rPr>
          <w:rFonts w:hint="eastAsia" w:ascii="仿宋_GB2312" w:hAnsi="仿宋" w:eastAsia="仿宋_GB2312" w:cs="仿宋"/>
          <w:color w:val="auto"/>
          <w:sz w:val="24"/>
          <w:highlight w:val="none"/>
        </w:rPr>
      </w:pPr>
    </w:p>
    <w:p>
      <w:pPr>
        <w:spacing w:line="360" w:lineRule="auto"/>
        <w:ind w:firstLine="549" w:firstLineChars="229"/>
        <w:rPr>
          <w:rFonts w:hint="eastAsia" w:ascii="仿宋_GB2312" w:hAnsi="仿宋" w:eastAsia="仿宋_GB2312" w:cs="仿宋"/>
          <w:color w:val="auto"/>
          <w:sz w:val="24"/>
          <w:highlight w:val="none"/>
        </w:rPr>
      </w:pPr>
    </w:p>
    <w:p>
      <w:pPr>
        <w:spacing w:line="360" w:lineRule="auto"/>
        <w:ind w:firstLine="549" w:firstLineChars="229"/>
        <w:rPr>
          <w:rFonts w:hint="eastAsia" w:ascii="仿宋_GB2312" w:hAnsi="仿宋" w:eastAsia="仿宋_GB2312" w:cs="仿宋"/>
          <w:color w:val="auto"/>
          <w:sz w:val="24"/>
          <w:highlight w:val="none"/>
        </w:rPr>
      </w:pPr>
    </w:p>
    <w:p>
      <w:pPr>
        <w:spacing w:line="360" w:lineRule="auto"/>
        <w:ind w:firstLine="549" w:firstLineChars="229"/>
        <w:rPr>
          <w:rFonts w:hint="eastAsia" w:ascii="仿宋_GB2312" w:hAnsi="仿宋" w:eastAsia="仿宋_GB2312" w:cs="仿宋"/>
          <w:color w:val="auto"/>
          <w:sz w:val="24"/>
          <w:highlight w:val="none"/>
        </w:rPr>
      </w:pPr>
    </w:p>
    <w:p>
      <w:pPr>
        <w:spacing w:line="360" w:lineRule="auto"/>
        <w:ind w:firstLine="549" w:firstLineChars="229"/>
        <w:rPr>
          <w:rFonts w:hint="eastAsia" w:ascii="仿宋_GB2312" w:hAnsi="仿宋" w:eastAsia="仿宋_GB2312" w:cs="仿宋"/>
          <w:color w:val="auto"/>
          <w:sz w:val="24"/>
          <w:highlight w:val="none"/>
        </w:rPr>
      </w:pPr>
    </w:p>
    <w:bookmarkEnd w:id="2"/>
    <w:p>
      <w:pPr>
        <w:adjustRightInd/>
        <w:spacing w:line="360" w:lineRule="auto"/>
        <w:jc w:val="center"/>
        <w:outlineLvl w:val="0"/>
        <w:rPr>
          <w:rFonts w:hint="eastAsia" w:ascii="仿宋_GB2312" w:hAnsi="仿宋" w:eastAsia="仿宋_GB2312" w:cs="仿宋"/>
          <w:b/>
          <w:color w:val="auto"/>
          <w:sz w:val="36"/>
          <w:szCs w:val="20"/>
          <w:highlight w:val="none"/>
        </w:r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_GB2312" w:hAnsi="仿宋" w:eastAsia="仿宋_GB2312" w:cs="仿宋"/>
          <w:b/>
          <w:color w:val="auto"/>
          <w:sz w:val="36"/>
          <w:szCs w:val="20"/>
          <w:highlight w:val="none"/>
        </w:rPr>
        <w:br w:type="page"/>
      </w:r>
      <w:r>
        <w:rPr>
          <w:rFonts w:hint="eastAsia" w:ascii="仿宋_GB2312" w:hAnsi="仿宋" w:eastAsia="仿宋_GB2312"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u w:val="single"/>
        </w:rPr>
        <w:t>杭州城市大脑**操作系统应用场景及业务通用能力建设项目应用支撑能力模块</w:t>
      </w:r>
      <w:r>
        <w:rPr>
          <w:rFonts w:hint="eastAsia" w:ascii="仿宋_GB2312" w:hAnsi="仿宋" w:eastAsia="仿宋_GB2312" w:cs="仿宋"/>
          <w:color w:val="auto"/>
          <w:sz w:val="24"/>
          <w:highlight w:val="none"/>
        </w:rPr>
        <w:t>招标项目的潜在投标人应在政采云平台（https://www.zcygov.cn/）获取（下载）招标文件，并于</w:t>
      </w:r>
      <w:r>
        <w:rPr>
          <w:rFonts w:hint="eastAsia" w:ascii="仿宋_GB2312" w:hAnsi="仿宋" w:eastAsia="仿宋_GB2312" w:cs="仿宋"/>
          <w:color w:val="auto"/>
          <w:sz w:val="24"/>
          <w:highlight w:val="none"/>
          <w:u w:val="single"/>
        </w:rPr>
        <w:t>2021年</w:t>
      </w:r>
      <w:r>
        <w:rPr>
          <w:rFonts w:hint="eastAsia" w:ascii="仿宋_GB2312" w:hAnsi="仿宋" w:eastAsia="仿宋_GB2312" w:cs="仿宋"/>
          <w:color w:val="auto"/>
          <w:sz w:val="24"/>
          <w:highlight w:val="none"/>
          <w:u w:val="single"/>
          <w:lang w:val="en-US" w:eastAsia="zh-CN"/>
        </w:rPr>
        <w:t>11</w:t>
      </w:r>
      <w:r>
        <w:rPr>
          <w:rFonts w:hint="eastAsia" w:ascii="仿宋_GB2312" w:hAnsi="仿宋" w:eastAsia="仿宋_GB2312" w:cs="仿宋"/>
          <w:color w:val="auto"/>
          <w:sz w:val="24"/>
          <w:highlight w:val="none"/>
          <w:u w:val="single"/>
        </w:rPr>
        <w:t>月</w:t>
      </w:r>
      <w:r>
        <w:rPr>
          <w:rFonts w:hint="eastAsia" w:ascii="仿宋_GB2312" w:hAnsi="仿宋" w:eastAsia="仿宋_GB2312" w:cs="仿宋"/>
          <w:color w:val="auto"/>
          <w:sz w:val="24"/>
          <w:highlight w:val="none"/>
          <w:u w:val="single"/>
          <w:lang w:val="en-US" w:eastAsia="zh-CN"/>
        </w:rPr>
        <w:t>1</w:t>
      </w:r>
      <w:r>
        <w:rPr>
          <w:rFonts w:hint="eastAsia" w:ascii="仿宋_GB2312" w:hAnsi="仿宋" w:eastAsia="仿宋_GB2312" w:cs="仿宋"/>
          <w:color w:val="auto"/>
          <w:sz w:val="24"/>
          <w:highlight w:val="none"/>
          <w:u w:val="single"/>
        </w:rPr>
        <w:t>日</w:t>
      </w:r>
      <w:r>
        <w:rPr>
          <w:rFonts w:hint="eastAsia" w:ascii="仿宋_GB2312" w:hAnsi="仿宋" w:eastAsia="仿宋_GB2312" w:cs="仿宋"/>
          <w:color w:val="auto"/>
          <w:sz w:val="24"/>
          <w:highlight w:val="none"/>
          <w:u w:val="single"/>
          <w:lang w:val="en-US" w:eastAsia="zh-CN"/>
        </w:rPr>
        <w:t>10</w:t>
      </w:r>
      <w:r>
        <w:rPr>
          <w:rFonts w:hint="eastAsia" w:ascii="仿宋_GB2312" w:hAnsi="仿宋" w:eastAsia="仿宋_GB2312" w:cs="仿宋"/>
          <w:bCs/>
          <w:color w:val="auto"/>
          <w:sz w:val="24"/>
          <w:highlight w:val="none"/>
          <w:u w:val="single"/>
        </w:rPr>
        <w:t>点</w:t>
      </w:r>
      <w:r>
        <w:rPr>
          <w:rFonts w:hint="eastAsia" w:ascii="仿宋_GB2312" w:hAnsi="仿宋" w:eastAsia="仿宋_GB2312" w:cs="仿宋"/>
          <w:bCs/>
          <w:color w:val="auto"/>
          <w:sz w:val="24"/>
          <w:highlight w:val="none"/>
          <w:u w:val="single"/>
          <w:lang w:val="en-US" w:eastAsia="zh-CN"/>
        </w:rPr>
        <w:t>00</w:t>
      </w:r>
      <w:r>
        <w:rPr>
          <w:rFonts w:hint="eastAsia" w:ascii="仿宋_GB2312" w:hAnsi="仿宋" w:eastAsia="仿宋_GB2312" w:cs="仿宋"/>
          <w:bCs/>
          <w:color w:val="auto"/>
          <w:sz w:val="24"/>
          <w:highlight w:val="none"/>
          <w:u w:val="single"/>
        </w:rPr>
        <w:t>分00秒</w:t>
      </w:r>
      <w:r>
        <w:rPr>
          <w:rFonts w:hint="eastAsia" w:ascii="仿宋_GB2312" w:hAnsi="仿宋" w:eastAsia="仿宋_GB2312" w:cs="仿宋"/>
          <w:bCs/>
          <w:color w:val="auto"/>
          <w:sz w:val="24"/>
          <w:highlight w:val="none"/>
        </w:rPr>
        <w:t>（北京时间）前</w:t>
      </w:r>
      <w:r>
        <w:rPr>
          <w:rFonts w:hint="eastAsia" w:ascii="仿宋_GB2312" w:hAnsi="仿宋" w:eastAsia="仿宋_GB2312" w:cs="仿宋"/>
          <w:color w:val="auto"/>
          <w:sz w:val="24"/>
          <w:highlight w:val="none"/>
        </w:rPr>
        <w:t>递交（上传）投标文件。</w:t>
      </w: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 xml:space="preserve">一、项目基本情况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w:t>
      </w:r>
      <w:r>
        <w:rPr>
          <w:rFonts w:hint="eastAsia" w:ascii="仿宋_GB2312" w:hAnsi="仿宋" w:eastAsia="仿宋_GB2312" w:cs="仿宋"/>
          <w:b/>
          <w:color w:val="auto"/>
          <w:sz w:val="24"/>
          <w:highlight w:val="none"/>
        </w:rPr>
        <w:t>项目编号：</w:t>
      </w:r>
      <w:r>
        <w:rPr>
          <w:rFonts w:hint="eastAsia" w:ascii="仿宋_GB2312" w:hAnsi="仿宋" w:eastAsia="仿宋_GB2312" w:cs="仿宋"/>
          <w:color w:val="auto"/>
          <w:sz w:val="24"/>
          <w:highlight w:val="none"/>
        </w:rPr>
        <w:t>HZZFCG-2021-157</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w:t>
      </w:r>
      <w:r>
        <w:rPr>
          <w:rFonts w:hint="eastAsia" w:ascii="仿宋_GB2312" w:hAnsi="仿宋" w:eastAsia="仿宋_GB2312" w:cs="仿宋"/>
          <w:b/>
          <w:color w:val="auto"/>
          <w:sz w:val="24"/>
          <w:highlight w:val="none"/>
        </w:rPr>
        <w:t xml:space="preserve"> 项目名称：</w:t>
      </w:r>
      <w:r>
        <w:rPr>
          <w:rFonts w:hint="eastAsia" w:ascii="仿宋_GB2312" w:hAnsi="仿宋" w:eastAsia="仿宋_GB2312" w:cs="仿宋"/>
          <w:color w:val="auto"/>
          <w:sz w:val="24"/>
          <w:highlight w:val="none"/>
        </w:rPr>
        <w:t>杭州城市大脑**操作系统应用场景及业务通用能力建设项目应用支撑能力模块</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w:t>
      </w:r>
      <w:r>
        <w:rPr>
          <w:rFonts w:hint="eastAsia" w:ascii="仿宋_GB2312" w:hAnsi="仿宋" w:eastAsia="仿宋_GB2312" w:cs="仿宋"/>
          <w:b/>
          <w:color w:val="auto"/>
          <w:sz w:val="24"/>
          <w:highlight w:val="none"/>
        </w:rPr>
        <w:t xml:space="preserve"> 预算金额（元）：</w:t>
      </w:r>
      <w:r>
        <w:rPr>
          <w:rFonts w:hint="eastAsia" w:ascii="仿宋_GB2312" w:hAnsi="仿宋" w:eastAsia="仿宋_GB2312"/>
          <w:color w:val="auto"/>
          <w:sz w:val="24"/>
          <w:highlight w:val="none"/>
        </w:rPr>
        <w:t>114350</w:t>
      </w:r>
      <w:r>
        <w:rPr>
          <w:rFonts w:ascii="仿宋_GB2312" w:hAnsi="仿宋" w:eastAsia="仿宋_GB2312"/>
          <w:color w:val="auto"/>
          <w:sz w:val="24"/>
          <w:highlight w:val="none"/>
        </w:rPr>
        <w:t>00</w:t>
      </w:r>
    </w:p>
    <w:p>
      <w:pPr>
        <w:spacing w:line="360" w:lineRule="auto"/>
        <w:ind w:firstLine="48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最高限价（元）：10053545</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_GB2312" w:hAnsi="仿宋" w:eastAsia="仿宋_GB2312"/>
          <w:color w:val="auto"/>
          <w:sz w:val="24"/>
          <w:szCs w:val="24"/>
          <w:highlight w:val="none"/>
        </w:rPr>
      </w:pPr>
      <w:r>
        <w:rPr>
          <w:rFonts w:hint="eastAsia" w:ascii="仿宋_GB2312" w:hAnsi="仿宋" w:eastAsia="仿宋_GB2312" w:cs="仿宋"/>
          <w:b/>
          <w:bCs/>
          <w:color w:val="auto"/>
          <w:sz w:val="24"/>
          <w:szCs w:val="24"/>
          <w:highlight w:val="none"/>
        </w:rPr>
        <w:t>采购需求：</w:t>
      </w:r>
      <w:r>
        <w:rPr>
          <w:rFonts w:hint="eastAsia" w:ascii="仿宋_GB2312" w:hAnsi="仿宋" w:eastAsia="仿宋_GB2312" w:cs="仿宋_GB2312"/>
          <w:color w:val="auto"/>
          <w:sz w:val="24"/>
          <w:szCs w:val="24"/>
          <w:highlight w:val="none"/>
        </w:rPr>
        <w:t>杭州城市大脑**操作系统应用场景及业务通用能力建设项目应用支撑能力模块项目深化以大数据为引擎的智慧**建设，深入实施公安大数据战略，紧紧围绕公安部和省厅公安大数据建设标准要求，实现技术和业务的融合、警种条线和块的融合，提升在线感知、夯实基础、聚合赋能和创新裂变四项核心能力，全面推动公安工作质量变革、效率变革、动力变革，让社会治理更精准、**工作更高效、民生服务更温暖，打造**操作系统应用场景及业务通用能力建设项目。</w:t>
      </w:r>
      <w:r>
        <w:rPr>
          <w:rFonts w:hint="eastAsia" w:ascii="仿宋_GB2312" w:hAnsi="仿宋" w:eastAsia="仿宋_GB2312" w:cs="Helvetica"/>
          <w:color w:val="auto"/>
          <w:kern w:val="0"/>
          <w:sz w:val="24"/>
          <w:szCs w:val="24"/>
          <w:highlight w:val="none"/>
          <w:lang w:eastAsia="zh-CN"/>
        </w:rPr>
        <w:t>建设内容：</w:t>
      </w:r>
      <w:r>
        <w:rPr>
          <w:rFonts w:hint="eastAsia" w:ascii="仿宋_GB2312" w:hAnsi="仿宋" w:eastAsia="仿宋_GB2312" w:cs="Helvetica"/>
          <w:color w:val="auto"/>
          <w:kern w:val="0"/>
          <w:sz w:val="24"/>
          <w:szCs w:val="24"/>
          <w:highlight w:val="none"/>
        </w:rPr>
        <w:t>建设民警任务中心，将**的各项基础工作都以任务的方式进行管理，包括预警中枢、智能日历、可视化地图、内外网传输工具、工具集管理、移动接处警APP升级、办公自动化模块等内容。深化模型、标签、指标等共享内容的众智建设、集中发布、共享开放的统一体系建设。通用基础能力主要包括：图像能力中心，涉网新型犯罪能力中心，通用应用功能新增等</w:t>
      </w:r>
      <w:r>
        <w:rPr>
          <w:rFonts w:hint="eastAsia" w:ascii="仿宋_GB2312" w:hAnsi="仿宋" w:eastAsia="仿宋_GB2312" w:cs="Helvetica"/>
          <w:color w:val="auto"/>
          <w:kern w:val="0"/>
          <w:sz w:val="24"/>
          <w:szCs w:val="24"/>
          <w:highlight w:val="none"/>
          <w:lang w:eastAsia="zh-CN"/>
        </w:rPr>
        <w:t>并</w:t>
      </w:r>
      <w:r>
        <w:rPr>
          <w:rFonts w:hint="eastAsia" w:ascii="仿宋_GB2312" w:hAnsi="仿宋" w:eastAsia="仿宋_GB2312" w:cs="Helvetica"/>
          <w:color w:val="auto"/>
          <w:kern w:val="0"/>
          <w:sz w:val="24"/>
          <w:szCs w:val="24"/>
          <w:highlight w:val="none"/>
        </w:rPr>
        <w:t>提供运营支撑、技术保障、以及质量把控和公有云订阅服务。</w:t>
      </w:r>
      <w:r>
        <w:rPr>
          <w:rFonts w:hint="eastAsia" w:ascii="仿宋_GB2312" w:hAnsi="仿宋" w:eastAsia="仿宋_GB2312"/>
          <w:color w:val="auto"/>
          <w:sz w:val="24"/>
          <w:szCs w:val="24"/>
          <w:highlight w:val="none"/>
        </w:rPr>
        <w:t>项目总体需完成系统设计、开发、系统集成实施、运行维护以及技术培训和不少于5年7*24小时售后现场技术服务等。</w:t>
      </w:r>
      <w:r>
        <w:rPr>
          <w:rFonts w:hint="eastAsia" w:ascii="仿宋_GB2312" w:hAnsi="仿宋" w:eastAsia="仿宋_GB2312" w:cs="仿宋_GB2312"/>
          <w:color w:val="auto"/>
          <w:sz w:val="24"/>
          <w:szCs w:val="24"/>
          <w:highlight w:val="none"/>
        </w:rPr>
        <w:t>详见招标文件。</w:t>
      </w:r>
    </w:p>
    <w:p>
      <w:pPr>
        <w:spacing w:line="360" w:lineRule="auto"/>
        <w:ind w:firstLine="48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合同履约期限：</w:t>
      </w:r>
      <w:r>
        <w:rPr>
          <w:rFonts w:hint="eastAsia" w:ascii="仿宋_GB2312" w:eastAsia="仿宋_GB2312"/>
          <w:color w:val="auto"/>
          <w:sz w:val="24"/>
          <w:highlight w:val="none"/>
        </w:rPr>
        <w:t>4个月，其中建设工期为</w:t>
      </w:r>
      <w:r>
        <w:rPr>
          <w:rFonts w:ascii="仿宋_GB2312" w:eastAsia="仿宋_GB2312"/>
          <w:color w:val="auto"/>
          <w:sz w:val="24"/>
          <w:highlight w:val="none"/>
        </w:rPr>
        <w:t>3</w:t>
      </w:r>
      <w:r>
        <w:rPr>
          <w:rFonts w:hint="eastAsia" w:ascii="仿宋_GB2312" w:eastAsia="仿宋_GB2312"/>
          <w:color w:val="auto"/>
          <w:sz w:val="24"/>
          <w:highlight w:val="none"/>
        </w:rPr>
        <w:t>个月，试运行1个月。</w:t>
      </w:r>
      <w:r>
        <w:rPr>
          <w:rFonts w:hint="eastAsia" w:ascii="仿宋_GB2312" w:hAnsi="仿宋" w:eastAsia="仿宋_GB2312" w:cs="仿宋"/>
          <w:b/>
          <w:color w:val="auto"/>
          <w:sz w:val="24"/>
          <w:highlight w:val="none"/>
        </w:rPr>
        <w:t>投标人本项目提供五年的质保服务。</w:t>
      </w:r>
    </w:p>
    <w:p>
      <w:pPr>
        <w:spacing w:line="360" w:lineRule="auto"/>
        <w:ind w:firstLine="48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本项目（否）</w:t>
      </w:r>
      <w:r>
        <w:rPr>
          <w:rFonts w:hint="eastAsia" w:ascii="仿宋_GB2312" w:hAnsi="仿宋" w:eastAsia="仿宋_GB2312" w:cs="仿宋"/>
          <w:bCs/>
          <w:color w:val="auto"/>
          <w:sz w:val="24"/>
          <w:highlight w:val="none"/>
        </w:rPr>
        <w:t>接受联合体投标。</w:t>
      </w: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二、申请人的资格要求：</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1.满足《中华人民共和国政府采购法》第二十二条规定；</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2.落实政府采购政策需满足的资格要求：无特殊要求。</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3.本项目的特定资格要求：无。 </w:t>
      </w: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 xml:space="preserve">三、获取招标文件 </w:t>
      </w:r>
    </w:p>
    <w:p>
      <w:pPr>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时间：</w:t>
      </w:r>
      <w:r>
        <w:rPr>
          <w:rFonts w:hint="eastAsia" w:ascii="仿宋_GB2312" w:hAnsi="仿宋" w:eastAsia="仿宋_GB2312" w:cs="仿宋"/>
          <w:color w:val="auto"/>
          <w:sz w:val="24"/>
          <w:highlight w:val="none"/>
        </w:rPr>
        <w:t>/至2021年</w:t>
      </w:r>
      <w:r>
        <w:rPr>
          <w:rFonts w:hint="eastAsia" w:ascii="仿宋_GB2312" w:hAnsi="仿宋" w:eastAsia="仿宋_GB2312" w:cs="仿宋"/>
          <w:color w:val="auto"/>
          <w:sz w:val="24"/>
          <w:highlight w:val="none"/>
          <w:lang w:val="en-US" w:eastAsia="zh-CN"/>
        </w:rPr>
        <w:t>11</w:t>
      </w:r>
      <w:r>
        <w:rPr>
          <w:rFonts w:hint="eastAsia" w:ascii="仿宋_GB2312" w:hAnsi="仿宋" w:eastAsia="仿宋_GB2312" w:cs="仿宋"/>
          <w:color w:val="auto"/>
          <w:sz w:val="24"/>
          <w:highlight w:val="none"/>
        </w:rPr>
        <w:t>月</w:t>
      </w:r>
      <w:r>
        <w:rPr>
          <w:rFonts w:hint="eastAsia" w:ascii="仿宋_GB2312" w:hAnsi="仿宋" w:eastAsia="仿宋_GB2312" w:cs="仿宋"/>
          <w:color w:val="auto"/>
          <w:sz w:val="24"/>
          <w:highlight w:val="none"/>
          <w:lang w:val="en-US" w:eastAsia="zh-CN"/>
        </w:rPr>
        <w:t>1</w:t>
      </w:r>
      <w:r>
        <w:rPr>
          <w:rFonts w:hint="eastAsia" w:ascii="仿宋_GB2312" w:hAnsi="仿宋" w:eastAsia="仿宋_GB2312" w:cs="仿宋"/>
          <w:color w:val="auto"/>
          <w:sz w:val="24"/>
          <w:highlight w:val="none"/>
        </w:rPr>
        <w:t>日 ，每天上午00:00至12:00 ，下午12:00至23:59（北京时间，线上获取法定节假日均可，线下获取文件法定节假日除外）</w:t>
      </w:r>
    </w:p>
    <w:p>
      <w:pPr>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地点（网址）：</w:t>
      </w:r>
      <w:r>
        <w:rPr>
          <w:rFonts w:hint="eastAsia" w:ascii="仿宋_GB2312" w:hAnsi="仿宋" w:eastAsia="仿宋_GB2312" w:cs="仿宋"/>
          <w:color w:val="auto"/>
          <w:sz w:val="24"/>
          <w:highlight w:val="none"/>
        </w:rPr>
        <w:t xml:space="preserve">政采云平台（https://www.zcygov.cn/） </w:t>
      </w:r>
    </w:p>
    <w:p>
      <w:pPr>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方式：</w:t>
      </w:r>
      <w:r>
        <w:rPr>
          <w:rFonts w:hint="eastAsia" w:ascii="仿宋_GB2312" w:hAnsi="仿宋" w:eastAsia="仿宋_GB2312" w:cs="仿宋"/>
          <w:color w:val="auto"/>
          <w:sz w:val="24"/>
          <w:highlight w:val="none"/>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售价（元）：</w:t>
      </w:r>
      <w:r>
        <w:rPr>
          <w:rFonts w:hint="eastAsia" w:ascii="仿宋_GB2312" w:hAnsi="仿宋" w:eastAsia="仿宋_GB2312" w:cs="仿宋"/>
          <w:color w:val="auto"/>
          <w:sz w:val="24"/>
          <w:highlight w:val="none"/>
        </w:rPr>
        <w:t xml:space="preserve">0 </w:t>
      </w: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四、提交投标文件截止时间、开标时间和地点</w:t>
      </w:r>
    </w:p>
    <w:p>
      <w:pPr>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提交投标文件截止时间：</w:t>
      </w:r>
      <w:r>
        <w:rPr>
          <w:rFonts w:hint="eastAsia" w:ascii="仿宋_GB2312" w:hAnsi="仿宋" w:eastAsia="仿宋_GB2312" w:cs="仿宋"/>
          <w:color w:val="auto"/>
          <w:sz w:val="24"/>
          <w:highlight w:val="none"/>
        </w:rPr>
        <w:t>2021年</w:t>
      </w:r>
      <w:r>
        <w:rPr>
          <w:rFonts w:hint="eastAsia" w:ascii="仿宋_GB2312" w:hAnsi="仿宋" w:eastAsia="仿宋_GB2312" w:cs="仿宋"/>
          <w:color w:val="auto"/>
          <w:sz w:val="24"/>
          <w:highlight w:val="none"/>
          <w:lang w:val="en-US" w:eastAsia="zh-CN"/>
        </w:rPr>
        <w:t>11</w:t>
      </w:r>
      <w:r>
        <w:rPr>
          <w:rFonts w:hint="eastAsia" w:ascii="仿宋_GB2312" w:hAnsi="仿宋" w:eastAsia="仿宋_GB2312" w:cs="仿宋"/>
          <w:color w:val="auto"/>
          <w:sz w:val="24"/>
          <w:highlight w:val="none"/>
        </w:rPr>
        <w:t>月</w:t>
      </w:r>
      <w:r>
        <w:rPr>
          <w:rFonts w:hint="eastAsia" w:ascii="仿宋_GB2312" w:hAnsi="仿宋" w:eastAsia="仿宋_GB2312" w:cs="仿宋"/>
          <w:color w:val="auto"/>
          <w:sz w:val="24"/>
          <w:highlight w:val="none"/>
          <w:lang w:val="en-US" w:eastAsia="zh-CN"/>
        </w:rPr>
        <w:t>1</w:t>
      </w:r>
      <w:r>
        <w:rPr>
          <w:rFonts w:hint="eastAsia" w:ascii="仿宋_GB2312" w:hAnsi="仿宋" w:eastAsia="仿宋_GB2312" w:cs="仿宋"/>
          <w:color w:val="auto"/>
          <w:sz w:val="24"/>
          <w:highlight w:val="none"/>
        </w:rPr>
        <w:t>日</w:t>
      </w:r>
      <w:r>
        <w:rPr>
          <w:rFonts w:hint="eastAsia" w:ascii="仿宋_GB2312" w:hAnsi="仿宋" w:eastAsia="仿宋_GB2312" w:cs="仿宋"/>
          <w:color w:val="auto"/>
          <w:sz w:val="24"/>
          <w:highlight w:val="none"/>
          <w:lang w:val="en-US" w:eastAsia="zh-CN"/>
        </w:rPr>
        <w:t>10</w:t>
      </w:r>
      <w:r>
        <w:rPr>
          <w:rFonts w:hint="eastAsia" w:ascii="仿宋_GB2312" w:hAnsi="仿宋" w:eastAsia="仿宋_GB2312" w:cs="仿宋"/>
          <w:bCs/>
          <w:color w:val="auto"/>
          <w:sz w:val="24"/>
          <w:highlight w:val="none"/>
        </w:rPr>
        <w:t>点</w:t>
      </w:r>
      <w:r>
        <w:rPr>
          <w:rFonts w:hint="eastAsia" w:ascii="仿宋_GB2312" w:hAnsi="仿宋" w:eastAsia="仿宋_GB2312" w:cs="仿宋"/>
          <w:bCs/>
          <w:color w:val="auto"/>
          <w:sz w:val="24"/>
          <w:highlight w:val="none"/>
          <w:lang w:val="en-US" w:eastAsia="zh-CN"/>
        </w:rPr>
        <w:t>00</w:t>
      </w:r>
      <w:r>
        <w:rPr>
          <w:rFonts w:hint="eastAsia" w:ascii="仿宋_GB2312" w:hAnsi="仿宋" w:eastAsia="仿宋_GB2312" w:cs="仿宋"/>
          <w:bCs/>
          <w:color w:val="auto"/>
          <w:sz w:val="24"/>
          <w:highlight w:val="none"/>
        </w:rPr>
        <w:t>分00秒</w:t>
      </w:r>
      <w:r>
        <w:rPr>
          <w:rFonts w:hint="eastAsia" w:ascii="仿宋_GB2312" w:hAnsi="仿宋" w:eastAsia="仿宋_GB2312" w:cs="仿宋"/>
          <w:color w:val="auto"/>
          <w:sz w:val="24"/>
          <w:highlight w:val="none"/>
        </w:rPr>
        <w:t>（北京时间）</w:t>
      </w:r>
    </w:p>
    <w:p>
      <w:pPr>
        <w:spacing w:line="360" w:lineRule="auto"/>
        <w:ind w:firstLine="482" w:firstLineChars="20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投标地点（网址）：</w:t>
      </w:r>
      <w:r>
        <w:rPr>
          <w:rFonts w:hint="eastAsia" w:ascii="仿宋_GB2312" w:hAnsi="仿宋" w:eastAsia="仿宋_GB2312" w:cs="仿宋"/>
          <w:color w:val="auto"/>
          <w:sz w:val="24"/>
          <w:highlight w:val="none"/>
        </w:rPr>
        <w:t xml:space="preserve">政采云平台 </w:t>
      </w:r>
    </w:p>
    <w:p>
      <w:pPr>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开标时间：</w:t>
      </w:r>
      <w:r>
        <w:rPr>
          <w:rFonts w:hint="eastAsia" w:ascii="仿宋_GB2312" w:hAnsi="仿宋" w:eastAsia="仿宋_GB2312" w:cs="仿宋"/>
          <w:color w:val="auto"/>
          <w:sz w:val="24"/>
          <w:highlight w:val="none"/>
        </w:rPr>
        <w:t>2021年</w:t>
      </w:r>
      <w:r>
        <w:rPr>
          <w:rFonts w:hint="eastAsia" w:ascii="仿宋_GB2312" w:hAnsi="仿宋" w:eastAsia="仿宋_GB2312" w:cs="仿宋"/>
          <w:color w:val="auto"/>
          <w:sz w:val="24"/>
          <w:highlight w:val="none"/>
          <w:lang w:val="en-US" w:eastAsia="zh-CN"/>
        </w:rPr>
        <w:t>11</w:t>
      </w:r>
      <w:r>
        <w:rPr>
          <w:rFonts w:hint="eastAsia" w:ascii="仿宋_GB2312" w:hAnsi="仿宋" w:eastAsia="仿宋_GB2312" w:cs="仿宋"/>
          <w:color w:val="auto"/>
          <w:sz w:val="24"/>
          <w:highlight w:val="none"/>
        </w:rPr>
        <w:t>月</w:t>
      </w:r>
      <w:r>
        <w:rPr>
          <w:rFonts w:hint="eastAsia" w:ascii="仿宋_GB2312" w:hAnsi="仿宋" w:eastAsia="仿宋_GB2312" w:cs="仿宋"/>
          <w:color w:val="auto"/>
          <w:sz w:val="24"/>
          <w:highlight w:val="none"/>
          <w:lang w:val="en-US" w:eastAsia="zh-CN"/>
        </w:rPr>
        <w:t>1</w:t>
      </w:r>
      <w:r>
        <w:rPr>
          <w:rFonts w:hint="eastAsia" w:ascii="仿宋_GB2312" w:hAnsi="仿宋" w:eastAsia="仿宋_GB2312" w:cs="仿宋"/>
          <w:color w:val="auto"/>
          <w:sz w:val="24"/>
          <w:highlight w:val="none"/>
        </w:rPr>
        <w:t>日</w:t>
      </w:r>
      <w:r>
        <w:rPr>
          <w:rFonts w:hint="eastAsia" w:ascii="仿宋_GB2312" w:hAnsi="仿宋" w:eastAsia="仿宋_GB2312" w:cs="仿宋"/>
          <w:color w:val="auto"/>
          <w:sz w:val="24"/>
          <w:highlight w:val="none"/>
          <w:lang w:val="en-US" w:eastAsia="zh-CN"/>
        </w:rPr>
        <w:t>10</w:t>
      </w:r>
      <w:r>
        <w:rPr>
          <w:rFonts w:hint="eastAsia" w:ascii="仿宋_GB2312" w:hAnsi="仿宋" w:eastAsia="仿宋_GB2312" w:cs="仿宋"/>
          <w:bCs/>
          <w:color w:val="auto"/>
          <w:sz w:val="24"/>
          <w:highlight w:val="none"/>
        </w:rPr>
        <w:t>点</w:t>
      </w:r>
      <w:r>
        <w:rPr>
          <w:rFonts w:hint="eastAsia" w:ascii="仿宋_GB2312" w:hAnsi="仿宋" w:eastAsia="仿宋_GB2312" w:cs="仿宋"/>
          <w:bCs/>
          <w:color w:val="auto"/>
          <w:sz w:val="24"/>
          <w:highlight w:val="none"/>
          <w:lang w:val="en-US" w:eastAsia="zh-CN"/>
        </w:rPr>
        <w:t>00</w:t>
      </w:r>
      <w:r>
        <w:rPr>
          <w:rFonts w:hint="eastAsia" w:ascii="仿宋_GB2312" w:hAnsi="仿宋" w:eastAsia="仿宋_GB2312" w:cs="仿宋"/>
          <w:bCs/>
          <w:color w:val="auto"/>
          <w:sz w:val="24"/>
          <w:highlight w:val="none"/>
        </w:rPr>
        <w:t>分00秒</w:t>
      </w:r>
    </w:p>
    <w:p>
      <w:pPr>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开标地点：</w:t>
      </w:r>
      <w:r>
        <w:rPr>
          <w:rFonts w:hint="eastAsia" w:ascii="仿宋_GB2312" w:hAnsi="仿宋" w:eastAsia="仿宋_GB2312" w:cs="仿宋"/>
          <w:color w:val="auto"/>
          <w:sz w:val="24"/>
          <w:highlight w:val="none"/>
        </w:rPr>
        <w:t xml:space="preserve">杭州市公共资源交易中心第四开标室[杭州市之江路925号（临江金座2号楼）三楼]  </w:t>
      </w: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 xml:space="preserve">五、公告期限 </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自本公告发布之日起5个工作日。</w:t>
      </w: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六、其他补充事宜</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 需要落实的政府采购政策：包括保护环境、节约能源、促进中小企业发展等。详见招标文件的第二部分总则。为支持和促进中小企业发展，杭州市财政局出台了政府采购信用融资政策，供应商可凭中标合同申请贷款，</w:t>
      </w:r>
      <w:r>
        <w:rPr>
          <w:rFonts w:hint="eastAsia" w:ascii="仿宋_GB2312" w:hAnsi="仿宋" w:eastAsia="仿宋_GB2312" w:cs="仿宋"/>
          <w:color w:val="auto"/>
          <w:kern w:val="0"/>
          <w:sz w:val="24"/>
          <w:highlight w:val="none"/>
        </w:rPr>
        <w:t>利率一般不超过基准利率上浮10%。</w:t>
      </w:r>
      <w:r>
        <w:rPr>
          <w:rFonts w:hint="eastAsia" w:ascii="仿宋_GB2312" w:hAnsi="仿宋" w:eastAsia="仿宋_GB2312" w:cs="仿宋"/>
          <w:color w:val="auto"/>
          <w:sz w:val="24"/>
          <w:highlight w:val="none"/>
        </w:rPr>
        <w:t>。具体可登录http://220.191.208.230/login.do办理业务。</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3.电子招投标的说明：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名”、“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七、对本次采购提出询问、质疑、投诉，请按以下方式联系</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1.采购人信息</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名    称： 杭州市公安局</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址：杭州市上城区华光路35号</w:t>
      </w:r>
      <w:r>
        <w:rPr>
          <w:rFonts w:hint="eastAsia" w:ascii="仿宋_GB2312" w:hAnsi="仿宋" w:eastAsia="仿宋_GB2312" w:cs="仿宋_GB2312"/>
          <w:color w:val="auto"/>
          <w:sz w:val="24"/>
          <w:highlight w:val="none"/>
        </w:rPr>
        <w:t>；</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传    真：/</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项目联系人（询问）： 陈先生</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项目联系方式（询问）：0571-87280237</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质疑联系人： 张女士</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质疑联系方式：0571-</w:t>
      </w:r>
      <w:r>
        <w:rPr>
          <w:rFonts w:ascii="仿宋_GB2312" w:hAnsi="仿宋" w:eastAsia="仿宋_GB2312"/>
          <w:color w:val="auto"/>
          <w:sz w:val="24"/>
          <w:highlight w:val="none"/>
        </w:rPr>
        <w:t>8728023</w:t>
      </w:r>
      <w:r>
        <w:rPr>
          <w:rFonts w:hint="eastAsia" w:ascii="仿宋_GB2312" w:hAnsi="仿宋" w:eastAsia="仿宋_GB2312"/>
          <w:color w:val="auto"/>
          <w:sz w:val="24"/>
          <w:highlight w:val="none"/>
        </w:rPr>
        <w:t>2</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2.采购代理机构信息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名    称：杭州市公共资源交易中心（杭州市政府采购中心、杭州市建设工程交易中心）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地    址：浙江杭州上城区之江路925号临江金座2号楼</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传    真：/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项目联系人（询问）：潘颖颖、吴巍锋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项目联系方式（询问）：0571-85085361、85085572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质疑联系人：滕菲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质疑联系方式：0571-85085388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3.同级政府采购监督管理部门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名    称：杭州市财政局政府采购监管处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地    址：杭州市中河中路152号617办公室 </w:t>
      </w:r>
    </w:p>
    <w:p>
      <w:pPr>
        <w:spacing w:line="360" w:lineRule="auto"/>
        <w:ind w:firstLine="240" w:firstLineChars="1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传    真：0571-87715261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联系人 ：吕先生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监督投诉电话：0571-87715261           </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CA问题联系电话（人工）：汇信CA 400-888-4636；天谷CA 400-087-8198。</w:t>
      </w:r>
    </w:p>
    <w:p>
      <w:pPr>
        <w:pStyle w:val="32"/>
        <w:spacing w:line="360" w:lineRule="auto"/>
        <w:ind w:firstLine="472" w:firstLineChars="196"/>
        <w:rPr>
          <w:rFonts w:hint="eastAsia" w:ascii="仿宋_GB2312" w:hAnsi="仿宋" w:eastAsia="仿宋_GB2312" w:cs="仿宋"/>
          <w:b/>
          <w:color w:val="auto"/>
          <w:sz w:val="24"/>
          <w:szCs w:val="24"/>
          <w:highlight w:val="none"/>
        </w:rPr>
      </w:pPr>
    </w:p>
    <w:p>
      <w:pPr>
        <w:spacing w:line="360" w:lineRule="auto"/>
        <w:ind w:firstLine="20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w:t>
      </w:r>
    </w:p>
    <w:p>
      <w:pPr>
        <w:spacing w:line="360" w:lineRule="auto"/>
        <w:ind w:firstLine="20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杭州市公共资源交易中心（杭州市政府采购中心）</w:t>
      </w:r>
    </w:p>
    <w:p>
      <w:pPr>
        <w:pStyle w:val="32"/>
        <w:spacing w:line="360" w:lineRule="auto"/>
        <w:ind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二○二一年</w:t>
      </w:r>
      <w:r>
        <w:rPr>
          <w:rFonts w:hint="eastAsia" w:ascii="仿宋_GB2312" w:hAnsi="仿宋" w:eastAsia="仿宋_GB2312" w:cs="仿宋"/>
          <w:color w:val="auto"/>
          <w:sz w:val="24"/>
          <w:szCs w:val="24"/>
          <w:highlight w:val="none"/>
          <w:lang w:eastAsia="zh-CN"/>
        </w:rPr>
        <w:t>十</w:t>
      </w:r>
      <w:r>
        <w:rPr>
          <w:rFonts w:hint="eastAsia" w:ascii="仿宋_GB2312" w:hAnsi="仿宋" w:eastAsia="仿宋_GB2312" w:cs="仿宋"/>
          <w:color w:val="auto"/>
          <w:sz w:val="24"/>
          <w:szCs w:val="24"/>
          <w:highlight w:val="none"/>
        </w:rPr>
        <w:t>月</w:t>
      </w:r>
      <w:r>
        <w:rPr>
          <w:rFonts w:hint="eastAsia" w:ascii="仿宋_GB2312" w:hAnsi="仿宋" w:eastAsia="仿宋_GB2312" w:cs="仿宋"/>
          <w:color w:val="auto"/>
          <w:sz w:val="24"/>
          <w:szCs w:val="24"/>
          <w:highlight w:val="none"/>
          <w:lang w:eastAsia="zh-CN"/>
        </w:rPr>
        <w:t>十二</w:t>
      </w:r>
      <w:r>
        <w:rPr>
          <w:rFonts w:hint="eastAsia" w:ascii="仿宋_GB2312" w:hAnsi="仿宋" w:eastAsia="仿宋_GB2312" w:cs="仿宋"/>
          <w:color w:val="auto"/>
          <w:sz w:val="24"/>
          <w:szCs w:val="24"/>
          <w:highlight w:val="none"/>
        </w:rPr>
        <w:t>日</w:t>
      </w:r>
    </w:p>
    <w:p>
      <w:pPr>
        <w:adjustRightInd/>
        <w:spacing w:line="360" w:lineRule="auto"/>
        <w:jc w:val="center"/>
        <w:outlineLvl w:val="0"/>
        <w:rPr>
          <w:rFonts w:hint="eastAsia" w:ascii="仿宋_GB2312" w:hAnsi="仿宋" w:eastAsia="仿宋_GB2312" w:cs="仿宋"/>
          <w:b/>
          <w:color w:val="auto"/>
          <w:sz w:val="36"/>
          <w:szCs w:val="20"/>
          <w:highlight w:val="none"/>
        </w:rPr>
      </w:pPr>
      <w:r>
        <w:rPr>
          <w:rFonts w:hint="eastAsia" w:ascii="仿宋_GB2312" w:hAnsi="仿宋" w:eastAsia="仿宋_GB2312" w:cs="仿宋"/>
          <w:b/>
          <w:color w:val="auto"/>
          <w:sz w:val="36"/>
          <w:szCs w:val="20"/>
          <w:highlight w:val="none"/>
        </w:rPr>
        <w:br w:type="page"/>
      </w:r>
      <w:r>
        <w:rPr>
          <w:rFonts w:hint="eastAsia" w:ascii="仿宋_GB2312" w:hAnsi="仿宋" w:eastAsia="仿宋_GB2312" w:cs="仿宋"/>
          <w:b/>
          <w:color w:val="auto"/>
          <w:sz w:val="36"/>
          <w:szCs w:val="20"/>
          <w:highlight w:val="none"/>
        </w:rPr>
        <w:t>第二部分</w:t>
      </w:r>
      <w:bookmarkEnd w:id="7"/>
      <w:r>
        <w:rPr>
          <w:rFonts w:hint="eastAsia" w:ascii="仿宋_GB2312" w:hAnsi="仿宋" w:eastAsia="仿宋_GB2312" w:cs="仿宋"/>
          <w:b/>
          <w:color w:val="auto"/>
          <w:sz w:val="36"/>
          <w:szCs w:val="20"/>
          <w:highlight w:val="none"/>
        </w:rPr>
        <w:t xml:space="preserve"> 投标人须知</w:t>
      </w:r>
      <w:bookmarkEnd w:id="8"/>
    </w:p>
    <w:p>
      <w:pPr>
        <w:snapToGrid w:val="0"/>
        <w:spacing w:line="360" w:lineRule="auto"/>
        <w:jc w:val="center"/>
        <w:rPr>
          <w:rFonts w:hint="eastAsia" w:ascii="仿宋_GB2312" w:hAnsi="仿宋" w:eastAsia="仿宋_GB2312" w:cs="仿宋"/>
          <w:b/>
          <w:color w:val="auto"/>
          <w:sz w:val="32"/>
          <w:szCs w:val="20"/>
          <w:highlight w:val="none"/>
        </w:rPr>
      </w:pPr>
      <w:r>
        <w:rPr>
          <w:rFonts w:hint="eastAsia" w:ascii="仿宋_GB2312" w:hAnsi="仿宋" w:eastAsia="仿宋_GB2312" w:cs="仿宋"/>
          <w:b/>
          <w:color w:val="auto"/>
          <w:sz w:val="32"/>
          <w:szCs w:val="20"/>
          <w:highlight w:val="none"/>
        </w:rP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_GB2312" w:hAnsi="仿宋" w:eastAsia="仿宋_GB2312" w:cs="仿宋"/>
                <w:b/>
                <w:color w:val="auto"/>
                <w:kern w:val="0"/>
                <w:sz w:val="24"/>
                <w:highlight w:val="none"/>
                <w:lang w:val="zh-CN"/>
              </w:rPr>
            </w:pPr>
            <w:r>
              <w:rPr>
                <w:rFonts w:hint="eastAsia" w:ascii="仿宋_GB2312" w:hAnsi="仿宋" w:eastAsia="仿宋_GB2312"/>
                <w:color w:val="auto"/>
                <w:kern w:val="0"/>
                <w:sz w:val="24"/>
                <w:highlight w:val="none"/>
                <w:lang w:val="zh-CN"/>
              </w:rPr>
              <w:t>有关本项目建设所需的技术方案编写、系统开发、系统集成实施费、质保期运行维护、技术支持、测试费、培训费、售后服务和税金等费用均计入报价。</w:t>
            </w:r>
            <w:r>
              <w:rPr>
                <w:rFonts w:hint="eastAsia" w:ascii="仿宋_GB2312" w:hAnsi="仿宋" w:eastAsia="仿宋_GB2312" w:cs="仿宋"/>
                <w:color w:val="auto"/>
                <w:sz w:val="24"/>
                <w:highlight w:val="none"/>
              </w:rPr>
              <w:t>《投标（开标）一览表》是报价的唯一载体</w:t>
            </w:r>
            <w:r>
              <w:rPr>
                <w:rFonts w:hint="eastAsia" w:ascii="仿宋_GB2312" w:hAnsi="仿宋" w:eastAsia="仿宋_GB2312" w:cs="仿宋"/>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_GB2312" w:hAnsi="仿宋" w:eastAsia="仿宋_GB2312" w:cs="仿宋"/>
                <w:b/>
                <w:color w:val="auto"/>
                <w:kern w:val="0"/>
                <w:sz w:val="24"/>
                <w:highlight w:val="none"/>
                <w:lang w:val="zh-CN"/>
              </w:rPr>
            </w:pPr>
            <w:r>
              <w:rPr>
                <w:rFonts w:hint="eastAsia" w:ascii="仿宋_GB2312" w:hAnsi="仿宋" w:eastAsia="仿宋_GB2312" w:cs="仿宋"/>
                <w:b/>
                <w:color w:val="auto"/>
                <w:kern w:val="0"/>
                <w:sz w:val="24"/>
                <w:highlight w:val="none"/>
                <w:lang w:val="zh-CN"/>
              </w:rPr>
              <w:t>投标报价出现下列情形的，投标无效：</w:t>
            </w:r>
          </w:p>
          <w:p>
            <w:pPr>
              <w:snapToGrid w:val="0"/>
              <w:spacing w:line="360" w:lineRule="auto"/>
              <w:jc w:val="left"/>
              <w:rPr>
                <w:rFonts w:hint="eastAsia" w:ascii="仿宋_GB2312" w:hAnsi="仿宋" w:eastAsia="仿宋_GB2312" w:cs="仿宋"/>
                <w:b/>
                <w:color w:val="auto"/>
                <w:kern w:val="0"/>
                <w:sz w:val="24"/>
                <w:highlight w:val="none"/>
                <w:lang w:val="zh-CN"/>
              </w:rPr>
            </w:pPr>
            <w:r>
              <w:rPr>
                <w:rFonts w:hint="eastAsia" w:ascii="仿宋_GB2312" w:hAnsi="仿宋" w:eastAsia="仿宋_GB2312" w:cs="仿宋"/>
                <w:b/>
                <w:color w:val="auto"/>
                <w:sz w:val="24"/>
                <w:highlight w:val="none"/>
              </w:rPr>
              <w:t>▲</w:t>
            </w:r>
            <w:r>
              <w:rPr>
                <w:rFonts w:hint="eastAsia" w:ascii="仿宋_GB2312" w:hAnsi="仿宋" w:eastAsia="仿宋_GB2312" w:cs="仿宋"/>
                <w:b/>
                <w:color w:val="auto"/>
                <w:kern w:val="0"/>
                <w:sz w:val="24"/>
                <w:highlight w:val="none"/>
                <w:lang w:val="zh-CN"/>
              </w:rPr>
              <w:t>投标文件出现不是唯一的、有选择性投标报价的；</w:t>
            </w:r>
          </w:p>
          <w:p>
            <w:pPr>
              <w:snapToGrid w:val="0"/>
              <w:spacing w:line="360" w:lineRule="auto"/>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b/>
                <w:color w:val="auto"/>
                <w:sz w:val="24"/>
                <w:highlight w:val="none"/>
              </w:rPr>
              <w:t>▲投标报价高于本项目采购预算或者最高限价的;</w:t>
            </w: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w:t>
            </w:r>
            <w:r>
              <w:rPr>
                <w:rFonts w:hint="eastAsia" w:ascii="仿宋_GB2312" w:hAnsi="仿宋" w:eastAsia="仿宋_GB2312" w:cs="仿宋"/>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
                <w:b/>
                <w:color w:val="auto"/>
                <w:sz w:val="24"/>
                <w:szCs w:val="21"/>
                <w:highlight w:val="none"/>
              </w:rPr>
              <w:t>;</w:t>
            </w:r>
          </w:p>
          <w:p>
            <w:pPr>
              <w:spacing w:line="360" w:lineRule="auto"/>
              <w:rPr>
                <w:rFonts w:hint="eastAsia" w:ascii="仿宋_GB2312" w:hAnsi="仿宋" w:eastAsia="仿宋_GB2312" w:cs="仿宋"/>
                <w:color w:val="auto"/>
                <w:sz w:val="24"/>
                <w:szCs w:val="21"/>
                <w:highlight w:val="none"/>
              </w:rPr>
            </w:pPr>
            <w:r>
              <w:rPr>
                <w:rFonts w:hint="eastAsia" w:ascii="仿宋_GB2312" w:hAnsi="仿宋" w:eastAsia="仿宋_GB2312" w:cs="仿宋"/>
                <w:b/>
                <w:color w:val="auto"/>
                <w:sz w:val="24"/>
                <w:highlight w:val="none"/>
              </w:rPr>
              <w:t>▲《投标（开标）一览表》填写不完整或字迹不能辨认或有漏项的；</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b/>
                <w:color w:val="auto"/>
                <w:kern w:val="0"/>
                <w:sz w:val="24"/>
                <w:highlight w:val="none"/>
              </w:rPr>
              <w:t>▲投标人对根据修正原则修正后的报价不确认的</w:t>
            </w:r>
            <w:r>
              <w:rPr>
                <w:rFonts w:hint="eastAsia" w:ascii="仿宋_GB2312" w:hAnsi="仿宋" w:eastAsia="仿宋_GB2312"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分包或转包。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9"/>
              </w:numPr>
              <w:adjustRightInd/>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采购人</w:t>
            </w:r>
            <w:r>
              <w:rPr>
                <w:rFonts w:hint="eastAsia" w:ascii="仿宋_GB2312" w:hAnsi="仿宋" w:eastAsia="仿宋_GB2312" w:cs="仿宋"/>
                <w:b/>
                <w:color w:val="auto"/>
                <w:sz w:val="24"/>
                <w:highlight w:val="none"/>
              </w:rPr>
              <w:t>不同意</w:t>
            </w:r>
            <w:r>
              <w:rPr>
                <w:rFonts w:hint="eastAsia" w:ascii="仿宋_GB2312" w:hAnsi="仿宋" w:eastAsia="仿宋_GB2312" w:cs="仿宋"/>
                <w:color w:val="auto"/>
                <w:sz w:val="24"/>
                <w:highlight w:val="none"/>
              </w:rPr>
              <w:t>分包。</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414"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（1）资格证明文件：见招标文件第二部分11.1。</w:t>
            </w:r>
          </w:p>
          <w:p>
            <w:pPr>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w:t>
            </w:r>
            <w:r>
              <w:rPr>
                <w:rFonts w:hint="eastAsia" w:ascii="仿宋_GB2312" w:hAnsi="仿宋" w:eastAsia="仿宋_GB2312" w:cs="仿宋"/>
                <w:b/>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1077"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32"/>
              <w:spacing w:line="360" w:lineRule="auto"/>
              <w:rPr>
                <w:rFonts w:hint="eastAsia" w:ascii="仿宋_GB2312" w:hAnsi="仿宋" w:eastAsia="仿宋_GB2312" w:cs="仿宋"/>
                <w:snapToGrid/>
                <w:color w:val="auto"/>
                <w:sz w:val="24"/>
                <w:szCs w:val="20"/>
                <w:highlight w:val="none"/>
              </w:rPr>
            </w:pPr>
            <w:r>
              <w:rPr>
                <w:rFonts w:hint="eastAsia" w:ascii="仿宋_GB2312" w:hAnsi="仿宋" w:eastAsia="仿宋_GB2312" w:cs="仿宋"/>
                <w:snapToGrid/>
                <w:color w:val="auto"/>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73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Cs/>
                <w:color w:val="auto"/>
                <w:sz w:val="24"/>
                <w:highlight w:val="none"/>
              </w:rPr>
            </w:pPr>
            <w:r>
              <w:rPr>
                <w:rFonts w:hint="eastAsia" w:ascii="仿宋_GB2312" w:hAnsi="仿宋" w:eastAsia="仿宋_GB2312" w:cs="仿宋"/>
                <w:b/>
                <w:color w:val="auto"/>
                <w:sz w:val="24"/>
                <w:highlight w:val="none"/>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（2）方案讲解演示可选择以下其中一种方式：</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方式一：政采云平台在线讲解演示。政采云平台在线讲解需投标人根据政采云平台操作要求做好准备工作，提前完善软硬件配置环境。</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方式二：交易中心现场讲解演示。现场讲解地点为杭州市公共资源交易中心4楼讲标室（答疑室），讲解演示所用电脑等设备由投标人自备。现场讲解演示人员进场时提供讲解人员名单（加盖公章或授权代表签字）及身份证明，否则不得讲解演示。</w:t>
            </w:r>
          </w:p>
          <w:p>
            <w:pPr>
              <w:snapToGrid w:val="0"/>
              <w:spacing w:line="360" w:lineRule="auto"/>
              <w:rPr>
                <w:rFonts w:hint="eastAsia" w:ascii="仿宋_GB2312" w:hAnsi="仿宋" w:eastAsia="仿宋_GB2312" w:cs="仿宋"/>
                <w:b/>
                <w:color w:val="auto"/>
                <w:kern w:val="0"/>
                <w:sz w:val="24"/>
                <w:highlight w:val="none"/>
                <w:lang w:val="zh-CN"/>
              </w:rPr>
            </w:pPr>
            <w:r>
              <w:rPr>
                <w:rFonts w:hint="eastAsia" w:ascii="仿宋_GB2312" w:hAnsi="仿宋" w:eastAsia="仿宋_GB2312" w:cs="仿宋"/>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w:t>
            </w:r>
          </w:p>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项目属性</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385"/>
              <w:adjustRightInd/>
              <w:ind w:firstLine="0" w:firstLineChars="0"/>
              <w:rPr>
                <w:rFonts w:hint="eastAsia" w:ascii="仿宋_GB2312" w:hAnsi="仿宋" w:eastAsia="仿宋_GB2312" w:cs="仿宋"/>
                <w:color w:val="auto"/>
                <w:highlight w:val="none"/>
                <w:u w:val="single"/>
              </w:rPr>
            </w:pPr>
            <w:r>
              <w:rPr>
                <w:rFonts w:hint="eastAsia" w:ascii="仿宋_GB2312" w:hAnsi="仿宋" w:eastAsia="仿宋_GB2312" w:cs="仿宋"/>
                <w:color w:val="auto"/>
                <w:highlight w:val="none"/>
                <w:u w:val="single"/>
              </w:rPr>
              <w:t>采购标的：</w:t>
            </w:r>
            <w:r>
              <w:rPr>
                <w:rFonts w:hint="eastAsia" w:ascii="仿宋_GB2312" w:hAnsi="仿宋" w:eastAsia="仿宋_GB2312" w:cs="仿宋"/>
                <w:b/>
                <w:bCs/>
                <w:color w:val="auto"/>
                <w:szCs w:val="28"/>
                <w:highlight w:val="none"/>
                <w:u w:val="single"/>
              </w:rPr>
              <w:t>杭州城市大脑**操作系统应用场景及业务通用能力建设项目应用支撑能力模块</w:t>
            </w:r>
            <w:r>
              <w:rPr>
                <w:rFonts w:hint="eastAsia" w:ascii="仿宋_GB2312" w:hAnsi="仿宋" w:eastAsia="仿宋_GB2312" w:cs="仿宋"/>
                <w:color w:val="auto"/>
                <w:highlight w:val="none"/>
                <w:u w:val="single"/>
              </w:rPr>
              <w:t>，所属行业：</w:t>
            </w:r>
            <w:r>
              <w:rPr>
                <w:rFonts w:hint="eastAsia" w:ascii="仿宋_GB2312" w:hAnsi="仿宋" w:eastAsia="仿宋_GB2312" w:cs="仿宋"/>
                <w:b/>
                <w:bCs/>
                <w:color w:val="auto"/>
                <w:highlight w:val="none"/>
                <w:u w:val="single"/>
              </w:rPr>
              <w:t xml:space="preserve">软件和信息技术服务业 </w:t>
            </w:r>
            <w:r>
              <w:rPr>
                <w:rFonts w:hint="eastAsia" w:ascii="仿宋_GB2312" w:hAnsi="仿宋" w:eastAsia="仿宋_GB2312" w:cs="仿宋"/>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是否适宜中小企业情况</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根据《政府采购促进中小企业发展管理办法》财库〔2020〕46号文件的规定，本项目不预留份额专门面向中小企业采购。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snapToGrid w:val="0"/>
                <w:color w:val="auto"/>
                <w:kern w:val="28"/>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pPr>
        <w:snapToGrid w:val="0"/>
        <w:spacing w:line="360" w:lineRule="auto"/>
        <w:jc w:val="center"/>
        <w:rPr>
          <w:rFonts w:hint="eastAsia" w:ascii="仿宋_GB2312" w:hAnsi="仿宋" w:eastAsia="仿宋_GB2312" w:cs="仿宋"/>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
          <w:b/>
          <w:color w:val="auto"/>
          <w:sz w:val="32"/>
          <w:szCs w:val="20"/>
          <w:highlight w:val="none"/>
        </w:rPr>
      </w:pPr>
      <w:r>
        <w:rPr>
          <w:rFonts w:hint="eastAsia" w:ascii="仿宋_GB2312" w:hAnsi="仿宋" w:eastAsia="仿宋_GB2312" w:cs="仿宋"/>
          <w:b/>
          <w:color w:val="auto"/>
          <w:sz w:val="32"/>
          <w:szCs w:val="20"/>
          <w:highlight w:val="none"/>
        </w:rPr>
        <w:t>一、总则</w:t>
      </w:r>
      <w:bookmarkEnd w:id="9"/>
    </w:p>
    <w:p>
      <w:pPr>
        <w:snapToGrid w:val="0"/>
        <w:spacing w:line="360" w:lineRule="auto"/>
        <w:ind w:firstLine="361" w:firstLineChars="150"/>
        <w:jc w:val="left"/>
        <w:outlineLvl w:val="1"/>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1. 适用范围</w:t>
      </w:r>
    </w:p>
    <w:p>
      <w:pPr>
        <w:snapToGrid w:val="0"/>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 xml:space="preserve">   2.定义</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2.1 “采购人”系指招标公告中载明的本项目的采购人。</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2.2 “采购机构”系指招标公告中载明的本项目的采购机构。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2.7 “▲” 系指实质性要求条款，“★”系产品采购项目中单一产品或核心产品。</w:t>
      </w:r>
    </w:p>
    <w:p>
      <w:pPr>
        <w:spacing w:line="360" w:lineRule="auto"/>
        <w:ind w:firstLine="241" w:firstLineChars="10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3.</w:t>
      </w:r>
      <w:r>
        <w:rPr>
          <w:rFonts w:hint="eastAsia" w:ascii="仿宋_GB2312" w:hAnsi="仿宋" w:eastAsia="仿宋_GB2312" w:cs="仿宋"/>
          <w:color w:val="auto"/>
          <w:highlight w:val="none"/>
        </w:rPr>
        <w:t xml:space="preserve"> </w:t>
      </w:r>
      <w:r>
        <w:rPr>
          <w:rFonts w:hint="eastAsia" w:ascii="仿宋_GB2312" w:hAnsi="仿宋" w:eastAsia="仿宋_GB2312" w:cs="仿宋"/>
          <w:b/>
          <w:color w:val="auto"/>
          <w:sz w:val="24"/>
          <w:highlight w:val="none"/>
        </w:rPr>
        <w:t>采购项目需要落实的政府采购政策</w:t>
      </w:r>
    </w:p>
    <w:p>
      <w:pPr>
        <w:spacing w:line="360" w:lineRule="auto"/>
        <w:ind w:firstLine="240" w:firstLineChars="1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3.2 节能环保要求</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_GB2312" w:hAnsi="仿宋" w:eastAsia="仿宋_GB2312" w:cs="仿宋"/>
          <w:b/>
          <w:color w:val="auto"/>
          <w:sz w:val="24"/>
          <w:highlight w:val="none"/>
        </w:rPr>
      </w:pPr>
      <w:r>
        <w:rPr>
          <w:rFonts w:hint="eastAsia" w:ascii="仿宋_GB2312" w:hAnsi="仿宋" w:eastAsia="仿宋_GB2312" w:cs="仿宋"/>
          <w:color w:val="auto"/>
          <w:sz w:val="24"/>
          <w:highlight w:val="none"/>
        </w:rPr>
        <w:t>3.2.2</w:t>
      </w:r>
      <w:r>
        <w:rPr>
          <w:rFonts w:hint="eastAsia" w:ascii="仿宋_GB2312" w:hAnsi="仿宋" w:eastAsia="仿宋_GB2312" w:cs="仿宋"/>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3.3</w:t>
      </w:r>
      <w:r>
        <w:rPr>
          <w:rFonts w:hint="eastAsia" w:ascii="仿宋_GB2312" w:hAnsi="仿宋" w:eastAsia="仿宋_GB2312" w:cs="仿宋"/>
          <w:bCs/>
          <w:color w:val="auto"/>
          <w:sz w:val="24"/>
          <w:highlight w:val="none"/>
        </w:rPr>
        <w:t>支持中小企业发展</w:t>
      </w:r>
      <w:r>
        <w:rPr>
          <w:rFonts w:hint="eastAsia" w:ascii="仿宋_GB2312" w:hAnsi="仿宋" w:eastAsia="仿宋_GB2312" w:cs="仿宋"/>
          <w:color w:val="auto"/>
          <w:sz w:val="24"/>
          <w:highlight w:val="none"/>
        </w:rPr>
        <w:t>。</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_GB2312" w:hAnsi="仿宋" w:eastAsia="仿宋_GB2312" w:cs="仿宋"/>
          <w:color w:val="auto"/>
          <w:kern w:val="0"/>
          <w:sz w:val="24"/>
          <w:highlight w:val="none"/>
        </w:rPr>
      </w:pPr>
      <w:r>
        <w:rPr>
          <w:rFonts w:hint="eastAsia" w:ascii="仿宋_GB2312" w:hAnsi="仿宋" w:eastAsia="仿宋_GB2312" w:cs="仿宋"/>
          <w:bCs/>
          <w:color w:val="auto"/>
          <w:sz w:val="24"/>
          <w:highlight w:val="none"/>
        </w:rPr>
        <w:t>3.3.2</w:t>
      </w:r>
      <w:r>
        <w:rPr>
          <w:rFonts w:hint="eastAsia" w:ascii="仿宋_GB2312" w:hAnsi="仿宋" w:eastAsia="仿宋_GB2312"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（2）在工程采购项目中，工程由中小企业承建，即工程施工单位为中小企业；</w:t>
      </w:r>
    </w:p>
    <w:p>
      <w:pPr>
        <w:widowControl/>
        <w:spacing w:line="360" w:lineRule="auto"/>
        <w:ind w:firstLine="480" w:firstLineChars="200"/>
        <w:jc w:val="left"/>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3.3.3对于未预留份额专门面向中小企业的政府采购货物或服务项目，以及预留份额政府采购货物或服务项目中的非预留部分标项，对小型和微型企业的投标报价给予10 %的扣除，用扣除后的价格参与评审。</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3.3.7可享受</w:t>
      </w:r>
      <w:r>
        <w:rPr>
          <w:rFonts w:hint="eastAsia" w:ascii="仿宋_GB2312" w:hAnsi="仿宋" w:eastAsia="仿宋_GB2312" w:cs="仿宋"/>
          <w:color w:val="auto"/>
          <w:kern w:val="0"/>
          <w:sz w:val="24"/>
          <w:highlight w:val="none"/>
        </w:rPr>
        <w:t>中小企业扶持政策</w:t>
      </w:r>
      <w:r>
        <w:rPr>
          <w:rFonts w:hint="eastAsia" w:ascii="仿宋_GB2312" w:hAnsi="仿宋" w:eastAsia="仿宋_GB2312" w:cs="仿宋"/>
          <w:color w:val="auto"/>
          <w:sz w:val="24"/>
          <w:highlight w:val="none"/>
        </w:rPr>
        <w:t>的投标人应按照招标文件格式要求提供《中小企业声明函》。</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3.3.8中小企业享受扶持政策获得政府采购合同的，小微企业不得将合同分包给大中型企业，中型企业不得将合同分包给大型企业。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_GB2312" w:hAnsi="仿宋" w:eastAsia="仿宋_GB2312" w:cs="仿宋"/>
          <w:b/>
          <w:color w:val="auto"/>
          <w:sz w:val="24"/>
          <w:highlight w:val="none"/>
        </w:rPr>
      </w:pPr>
      <w:r>
        <w:rPr>
          <w:rFonts w:hint="eastAsia" w:ascii="仿宋_GB2312" w:hAnsi="仿宋" w:eastAsia="仿宋_GB2312" w:cs="仿宋"/>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仿宋_GB2312" w:hAnsi="仿宋" w:eastAsia="仿宋_GB2312" w:cs="仿宋"/>
          <w:color w:val="auto"/>
          <w:sz w:val="24"/>
          <w:highlight w:val="none"/>
        </w:rPr>
        <w:cr/>
      </w:r>
      <w:r>
        <w:rPr>
          <w:rFonts w:hint="eastAsia" w:ascii="仿宋_GB2312" w:hAnsi="仿宋" w:eastAsia="仿宋_GB2312" w:cs="仿宋"/>
          <w:b/>
          <w:color w:val="auto"/>
          <w:sz w:val="24"/>
          <w:highlight w:val="none"/>
        </w:rPr>
        <w:t>4. 询问、质疑、投诉</w:t>
      </w:r>
    </w:p>
    <w:p>
      <w:pPr>
        <w:autoSpaceDE w:val="0"/>
        <w:autoSpaceDN w:val="0"/>
        <w:spacing w:line="360" w:lineRule="auto"/>
        <w:ind w:firstLine="240" w:firstLineChars="1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4.1供应商询问</w:t>
      </w:r>
    </w:p>
    <w:p>
      <w:pPr>
        <w:pStyle w:val="32"/>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根据采购人与采购机构签订的《杭州市集中采购年度委托协议》的规定：供应商可以就招标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240" w:firstLineChars="1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4.2供应商质疑</w:t>
      </w:r>
    </w:p>
    <w:p>
      <w:pPr>
        <w:pStyle w:val="32"/>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lang w:val="zh-CN"/>
        </w:rPr>
        <w:t>4.2</w:t>
      </w:r>
      <w:r>
        <w:rPr>
          <w:rFonts w:hint="eastAsia" w:ascii="仿宋_GB2312" w:hAnsi="仿宋" w:eastAsia="仿宋_GB2312"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lang w:val="zh-CN"/>
        </w:rPr>
        <w:t>4.2</w:t>
      </w:r>
      <w:r>
        <w:rPr>
          <w:rFonts w:hint="eastAsia" w:ascii="仿宋_GB2312" w:hAnsi="仿宋" w:eastAsia="仿宋_GB2312"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hint="eastAsia" w:ascii="仿宋_GB2312" w:hAnsi="仿宋" w:eastAsia="仿宋_GB2312" w:cs="仿宋"/>
          <w:snapToGrid/>
          <w:color w:val="auto"/>
          <w:kern w:val="2"/>
          <w:sz w:val="24"/>
          <w:highlight w:val="none"/>
        </w:rPr>
      </w:pPr>
      <w:r>
        <w:rPr>
          <w:rFonts w:hint="eastAsia" w:ascii="仿宋_GB2312" w:hAnsi="仿宋" w:eastAsia="仿宋_GB2312" w:cs="仿宋"/>
          <w:snapToGrid/>
          <w:color w:val="auto"/>
          <w:kern w:val="2"/>
          <w:sz w:val="24"/>
          <w:highlight w:val="none"/>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根据采购人与采购机构签订的《杭州市集中采购年度委托协议》的规定：对招标文件中特定资格条件、采购需求、评分办法提出的质疑，原则上由采购人负责答复；对招标文件中其他内容提出的质疑，原则上由采购机构负责答复。</w:t>
      </w:r>
    </w:p>
    <w:p>
      <w:pPr>
        <w:pStyle w:val="32"/>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pStyle w:val="32"/>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4.2.2.3对采购结果提出质疑的，质疑期限自采购结果公告期限届满之日起计算。对采购结果提出质疑的，采购机构负责答复。</w:t>
      </w:r>
    </w:p>
    <w:p>
      <w:pPr>
        <w:pStyle w:val="32"/>
        <w:snapToGrid w:val="0"/>
        <w:spacing w:line="360" w:lineRule="auto"/>
        <w:ind w:firstLine="240" w:firstLineChars="100"/>
        <w:contextualSpacing/>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lang w:val="zh-CN"/>
        </w:rPr>
        <w:t>4.2.3</w:t>
      </w:r>
      <w:r>
        <w:rPr>
          <w:rFonts w:hint="eastAsia" w:ascii="仿宋_GB2312" w:hAnsi="仿宋" w:eastAsia="仿宋_GB2312" w:cs="仿宋"/>
          <w:color w:val="auto"/>
          <w:sz w:val="24"/>
          <w:highlight w:val="none"/>
        </w:rPr>
        <w:t>供应商提出质疑应当提交质疑函和必要的证明材料。质疑函应当包括下列内容：</w:t>
      </w:r>
    </w:p>
    <w:p>
      <w:pPr>
        <w:pStyle w:val="477"/>
        <w:shd w:val="clear" w:color="auto" w:fill="FFFFFF"/>
        <w:snapToGrid w:val="0"/>
        <w:spacing w:after="240" w:afterAutospacing="0" w:line="360" w:lineRule="auto"/>
        <w:contextualSpacing/>
        <w:rPr>
          <w:rFonts w:hint="eastAsia" w:ascii="仿宋_GB2312" w:hAnsi="仿宋" w:eastAsia="仿宋_GB2312" w:cs="仿宋"/>
          <w:snapToGrid w:val="0"/>
          <w:color w:val="auto"/>
          <w:kern w:val="2"/>
          <w:szCs w:val="21"/>
          <w:highlight w:val="none"/>
        </w:rPr>
      </w:pPr>
      <w:r>
        <w:rPr>
          <w:rFonts w:hint="eastAsia" w:ascii="仿宋_GB2312" w:hAnsi="仿宋" w:eastAsia="仿宋_GB2312" w:cs="仿宋"/>
          <w:snapToGrid w:val="0"/>
          <w:color w:val="auto"/>
          <w:kern w:val="2"/>
          <w:szCs w:val="21"/>
          <w:highlight w:val="none"/>
        </w:rPr>
        <w:t>　　</w:t>
      </w:r>
      <w:r>
        <w:rPr>
          <w:rFonts w:hint="eastAsia" w:ascii="仿宋_GB2312" w:hAnsi="仿宋" w:eastAsia="仿宋_GB2312" w:cs="仿宋"/>
          <w:color w:val="auto"/>
          <w:highlight w:val="none"/>
          <w:lang w:val="zh-CN"/>
        </w:rPr>
        <w:t>4.2.3.1</w:t>
      </w:r>
      <w:r>
        <w:rPr>
          <w:rFonts w:hint="eastAsia" w:ascii="仿宋_GB2312" w:hAnsi="仿宋" w:eastAsia="仿宋_GB2312" w:cs="仿宋"/>
          <w:snapToGrid w:val="0"/>
          <w:color w:val="auto"/>
          <w:kern w:val="2"/>
          <w:szCs w:val="21"/>
          <w:highlight w:val="none"/>
        </w:rPr>
        <w:t>供应商的姓名或者名称、地址、邮编、联系人及联系电话；</w:t>
      </w:r>
    </w:p>
    <w:p>
      <w:pPr>
        <w:pStyle w:val="477"/>
        <w:shd w:val="clear" w:color="auto" w:fill="FFFFFF"/>
        <w:snapToGrid w:val="0"/>
        <w:spacing w:after="240" w:afterAutospacing="0" w:line="360" w:lineRule="auto"/>
        <w:contextualSpacing/>
        <w:rPr>
          <w:rFonts w:hint="eastAsia" w:ascii="仿宋_GB2312" w:hAnsi="仿宋" w:eastAsia="仿宋_GB2312" w:cs="仿宋"/>
          <w:snapToGrid w:val="0"/>
          <w:color w:val="auto"/>
          <w:kern w:val="2"/>
          <w:szCs w:val="21"/>
          <w:highlight w:val="none"/>
        </w:rPr>
      </w:pPr>
      <w:r>
        <w:rPr>
          <w:rFonts w:hint="eastAsia" w:ascii="仿宋_GB2312" w:hAnsi="仿宋" w:eastAsia="仿宋_GB2312" w:cs="仿宋"/>
          <w:snapToGrid w:val="0"/>
          <w:color w:val="auto"/>
          <w:kern w:val="2"/>
          <w:szCs w:val="21"/>
          <w:highlight w:val="none"/>
        </w:rPr>
        <w:t>　　</w:t>
      </w:r>
      <w:r>
        <w:rPr>
          <w:rFonts w:hint="eastAsia" w:ascii="仿宋_GB2312" w:hAnsi="仿宋" w:eastAsia="仿宋_GB2312" w:cs="仿宋"/>
          <w:color w:val="auto"/>
          <w:highlight w:val="none"/>
          <w:lang w:val="zh-CN"/>
        </w:rPr>
        <w:t>4.2.3.2</w:t>
      </w:r>
      <w:r>
        <w:rPr>
          <w:rFonts w:hint="eastAsia" w:ascii="仿宋_GB2312" w:hAnsi="仿宋" w:eastAsia="仿宋_GB2312" w:cs="仿宋"/>
          <w:snapToGrid w:val="0"/>
          <w:color w:val="auto"/>
          <w:kern w:val="2"/>
          <w:szCs w:val="21"/>
          <w:highlight w:val="none"/>
        </w:rPr>
        <w:t>质疑项目的名称、编号；</w:t>
      </w:r>
    </w:p>
    <w:p>
      <w:pPr>
        <w:pStyle w:val="477"/>
        <w:shd w:val="clear" w:color="auto" w:fill="FFFFFF"/>
        <w:snapToGrid w:val="0"/>
        <w:spacing w:after="240" w:afterAutospacing="0" w:line="360" w:lineRule="auto"/>
        <w:contextualSpacing/>
        <w:rPr>
          <w:rFonts w:hint="eastAsia" w:ascii="仿宋_GB2312" w:hAnsi="仿宋" w:eastAsia="仿宋_GB2312" w:cs="仿宋"/>
          <w:snapToGrid w:val="0"/>
          <w:color w:val="auto"/>
          <w:kern w:val="2"/>
          <w:szCs w:val="21"/>
          <w:highlight w:val="none"/>
        </w:rPr>
      </w:pPr>
      <w:r>
        <w:rPr>
          <w:rFonts w:hint="eastAsia" w:ascii="仿宋_GB2312" w:hAnsi="仿宋" w:eastAsia="仿宋_GB2312" w:cs="仿宋"/>
          <w:snapToGrid w:val="0"/>
          <w:color w:val="auto"/>
          <w:kern w:val="2"/>
          <w:szCs w:val="21"/>
          <w:highlight w:val="none"/>
        </w:rPr>
        <w:t>　　</w:t>
      </w:r>
      <w:r>
        <w:rPr>
          <w:rFonts w:hint="eastAsia" w:ascii="仿宋_GB2312" w:hAnsi="仿宋" w:eastAsia="仿宋_GB2312" w:cs="仿宋"/>
          <w:color w:val="auto"/>
          <w:highlight w:val="none"/>
          <w:lang w:val="zh-CN"/>
        </w:rPr>
        <w:t>4.2.3.3</w:t>
      </w:r>
      <w:r>
        <w:rPr>
          <w:rFonts w:hint="eastAsia" w:ascii="仿宋_GB2312" w:hAnsi="仿宋" w:eastAsia="仿宋_GB2312" w:cs="仿宋"/>
          <w:snapToGrid w:val="0"/>
          <w:color w:val="auto"/>
          <w:kern w:val="2"/>
          <w:szCs w:val="21"/>
          <w:highlight w:val="none"/>
        </w:rPr>
        <w:t>具体、明确的质疑事项和与质疑事项相关的请求；</w:t>
      </w:r>
    </w:p>
    <w:p>
      <w:pPr>
        <w:pStyle w:val="477"/>
        <w:shd w:val="clear" w:color="auto" w:fill="FFFFFF"/>
        <w:snapToGrid w:val="0"/>
        <w:spacing w:after="240" w:afterAutospacing="0" w:line="360" w:lineRule="auto"/>
        <w:contextualSpacing/>
        <w:rPr>
          <w:rFonts w:hint="eastAsia" w:ascii="仿宋_GB2312" w:hAnsi="仿宋" w:eastAsia="仿宋_GB2312" w:cs="仿宋"/>
          <w:snapToGrid w:val="0"/>
          <w:color w:val="auto"/>
          <w:kern w:val="2"/>
          <w:szCs w:val="21"/>
          <w:highlight w:val="none"/>
        </w:rPr>
      </w:pPr>
      <w:r>
        <w:rPr>
          <w:rFonts w:hint="eastAsia" w:ascii="仿宋_GB2312" w:hAnsi="仿宋" w:eastAsia="仿宋_GB2312" w:cs="仿宋"/>
          <w:snapToGrid w:val="0"/>
          <w:color w:val="auto"/>
          <w:kern w:val="2"/>
          <w:szCs w:val="21"/>
          <w:highlight w:val="none"/>
        </w:rPr>
        <w:t>　　</w:t>
      </w:r>
      <w:r>
        <w:rPr>
          <w:rFonts w:hint="eastAsia" w:ascii="仿宋_GB2312" w:hAnsi="仿宋" w:eastAsia="仿宋_GB2312" w:cs="仿宋"/>
          <w:color w:val="auto"/>
          <w:highlight w:val="none"/>
          <w:lang w:val="zh-CN"/>
        </w:rPr>
        <w:t>4.2.3.4</w:t>
      </w:r>
      <w:r>
        <w:rPr>
          <w:rFonts w:hint="eastAsia" w:ascii="仿宋_GB2312" w:hAnsi="仿宋" w:eastAsia="仿宋_GB2312" w:cs="仿宋"/>
          <w:snapToGrid w:val="0"/>
          <w:color w:val="auto"/>
          <w:kern w:val="2"/>
          <w:szCs w:val="21"/>
          <w:highlight w:val="none"/>
        </w:rPr>
        <w:t>事实依据；</w:t>
      </w:r>
    </w:p>
    <w:p>
      <w:pPr>
        <w:pStyle w:val="477"/>
        <w:shd w:val="clear" w:color="auto" w:fill="FFFFFF"/>
        <w:snapToGrid w:val="0"/>
        <w:spacing w:after="240" w:afterAutospacing="0" w:line="360" w:lineRule="auto"/>
        <w:contextualSpacing/>
        <w:rPr>
          <w:rFonts w:hint="eastAsia" w:ascii="仿宋_GB2312" w:hAnsi="仿宋" w:eastAsia="仿宋_GB2312" w:cs="仿宋"/>
          <w:snapToGrid w:val="0"/>
          <w:color w:val="auto"/>
          <w:kern w:val="2"/>
          <w:szCs w:val="21"/>
          <w:highlight w:val="none"/>
        </w:rPr>
      </w:pPr>
      <w:r>
        <w:rPr>
          <w:rFonts w:hint="eastAsia" w:ascii="仿宋_GB2312" w:hAnsi="仿宋" w:eastAsia="仿宋_GB2312" w:cs="仿宋"/>
          <w:snapToGrid w:val="0"/>
          <w:color w:val="auto"/>
          <w:kern w:val="2"/>
          <w:szCs w:val="21"/>
          <w:highlight w:val="none"/>
        </w:rPr>
        <w:t>　　</w:t>
      </w:r>
      <w:r>
        <w:rPr>
          <w:rFonts w:hint="eastAsia" w:ascii="仿宋_GB2312" w:hAnsi="仿宋" w:eastAsia="仿宋_GB2312" w:cs="仿宋"/>
          <w:color w:val="auto"/>
          <w:highlight w:val="none"/>
          <w:lang w:val="zh-CN"/>
        </w:rPr>
        <w:t>4.2.3.5</w:t>
      </w:r>
      <w:r>
        <w:rPr>
          <w:rFonts w:hint="eastAsia" w:ascii="仿宋_GB2312" w:hAnsi="仿宋" w:eastAsia="仿宋_GB2312" w:cs="仿宋"/>
          <w:snapToGrid w:val="0"/>
          <w:color w:val="auto"/>
          <w:kern w:val="2"/>
          <w:szCs w:val="21"/>
          <w:highlight w:val="none"/>
        </w:rPr>
        <w:t>必要的法律依据；</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snapToGrid w:val="0"/>
          <w:color w:val="auto"/>
          <w:kern w:val="2"/>
          <w:szCs w:val="21"/>
          <w:highlight w:val="none"/>
        </w:rPr>
      </w:pPr>
      <w:r>
        <w:rPr>
          <w:rFonts w:hint="eastAsia" w:ascii="仿宋_GB2312" w:hAnsi="仿宋" w:eastAsia="仿宋_GB2312" w:cs="仿宋"/>
          <w:color w:val="auto"/>
          <w:highlight w:val="none"/>
          <w:lang w:val="zh-CN"/>
        </w:rPr>
        <w:t>4.2.3.6</w:t>
      </w:r>
      <w:r>
        <w:rPr>
          <w:rFonts w:hint="eastAsia" w:ascii="仿宋_GB2312" w:hAnsi="仿宋" w:eastAsia="仿宋_GB2312" w:cs="仿宋"/>
          <w:snapToGrid w:val="0"/>
          <w:color w:val="auto"/>
          <w:kern w:val="2"/>
          <w:szCs w:val="21"/>
          <w:highlight w:val="none"/>
        </w:rPr>
        <w:t>提出质疑的日期。</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rPr>
      </w:pPr>
      <w:r>
        <w:rPr>
          <w:rFonts w:hint="eastAsia" w:ascii="仿宋_GB2312" w:hAnsi="仿宋" w:eastAsia="仿宋_GB2312"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rPr>
      </w:pPr>
      <w:r>
        <w:rPr>
          <w:rFonts w:hint="eastAsia" w:ascii="仿宋_GB2312" w:hAnsi="仿宋" w:eastAsia="仿宋_GB2312" w:cs="仿宋"/>
          <w:color w:val="auto"/>
          <w:highlight w:val="none"/>
        </w:rPr>
        <w:t>质疑函范本及制作说明详见附件2。</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rPr>
      </w:pPr>
      <w:r>
        <w:rPr>
          <w:rFonts w:hint="eastAsia" w:ascii="仿宋_GB2312" w:hAnsi="仿宋" w:eastAsia="仿宋_GB2312" w:cs="仿宋"/>
          <w:color w:val="auto"/>
          <w:highlight w:val="none"/>
          <w:lang w:val="zh-CN"/>
        </w:rPr>
        <w:t>4.2</w:t>
      </w:r>
      <w:r>
        <w:rPr>
          <w:rFonts w:hint="eastAsia" w:ascii="仿宋_GB2312" w:hAnsi="仿宋" w:eastAsia="仿宋_GB2312"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rPr>
      </w:pPr>
      <w:r>
        <w:rPr>
          <w:rFonts w:hint="eastAsia" w:ascii="仿宋_GB2312" w:hAnsi="仿宋" w:eastAsia="仿宋_GB2312" w:cs="仿宋"/>
          <w:color w:val="auto"/>
          <w:highlight w:val="none"/>
          <w:lang w:val="zh-CN"/>
        </w:rPr>
        <w:t>4.2</w:t>
      </w:r>
      <w:r>
        <w:rPr>
          <w:rFonts w:hint="eastAsia" w:ascii="仿宋_GB2312" w:hAnsi="仿宋" w:eastAsia="仿宋_GB2312" w:cs="仿宋"/>
          <w:color w:val="auto"/>
          <w:highlight w:val="none"/>
        </w:rPr>
        <w:t>.5询问或者质疑事项可能影响采购结果的，采购人应当暂停签订合同，已经签订合同的，应当中止履行合同。</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lang w:val="zh-CN"/>
        </w:rPr>
      </w:pPr>
      <w:r>
        <w:rPr>
          <w:rFonts w:hint="eastAsia" w:ascii="仿宋_GB2312" w:hAnsi="仿宋" w:eastAsia="仿宋_GB2312" w:cs="仿宋"/>
          <w:color w:val="auto"/>
          <w:highlight w:val="none"/>
          <w:lang w:val="zh-CN"/>
        </w:rPr>
        <w:t>4.3供应商投诉</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rPr>
      </w:pPr>
      <w:r>
        <w:rPr>
          <w:rFonts w:hint="eastAsia" w:ascii="仿宋_GB2312" w:hAnsi="仿宋" w:eastAsia="仿宋_GB2312"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rPr>
      </w:pPr>
      <w:r>
        <w:rPr>
          <w:rFonts w:hint="eastAsia" w:ascii="仿宋_GB2312" w:hAnsi="仿宋" w:eastAsia="仿宋_GB2312" w:cs="仿宋"/>
          <w:color w:val="auto"/>
          <w:highlight w:val="none"/>
        </w:rPr>
        <w:t>4.3.</w:t>
      </w:r>
      <w:r>
        <w:rPr>
          <w:rFonts w:hint="eastAsia" w:ascii="仿宋_GB2312" w:hAnsi="仿宋" w:eastAsia="仿宋_GB2312" w:cs="仿宋"/>
          <w:color w:val="auto"/>
          <w:highlight w:val="none"/>
          <w:lang w:val="zh-CN"/>
        </w:rPr>
        <w:t>2</w:t>
      </w:r>
      <w:r>
        <w:rPr>
          <w:rFonts w:hint="eastAsia" w:ascii="仿宋_GB2312" w:hAnsi="仿宋" w:eastAsia="仿宋_GB2312" w:cs="仿宋"/>
          <w:color w:val="auto"/>
          <w:highlight w:val="none"/>
        </w:rPr>
        <w:t>供应商投诉的事项不得超出已质疑事项的范围，基于质疑答复内容提出的投诉事项除外。</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rPr>
      </w:pPr>
      <w:r>
        <w:rPr>
          <w:rFonts w:hint="eastAsia" w:ascii="仿宋_GB2312" w:hAnsi="仿宋" w:eastAsia="仿宋_GB2312" w:cs="仿宋"/>
          <w:color w:val="auto"/>
          <w:highlight w:val="none"/>
        </w:rPr>
        <w:t>4.3.3供应商投诉应当有明确的请求和必要的证明材料。</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rPr>
      </w:pPr>
      <w:r>
        <w:rPr>
          <w:rFonts w:hint="eastAsia" w:ascii="仿宋_GB2312" w:hAnsi="仿宋" w:eastAsia="仿宋_GB2312" w:cs="仿宋"/>
          <w:color w:val="auto"/>
          <w:highlight w:val="none"/>
        </w:rPr>
        <w:t>4.3.5 以联合体形式参加政府采购活动的，其投诉应当由组成联合体的所有供应商共同提出。</w:t>
      </w:r>
    </w:p>
    <w:p>
      <w:pPr>
        <w:pStyle w:val="477"/>
        <w:shd w:val="clear" w:color="auto" w:fill="FFFFFF"/>
        <w:snapToGrid w:val="0"/>
        <w:spacing w:after="240" w:afterAutospacing="0" w:line="360" w:lineRule="auto"/>
        <w:ind w:firstLine="480"/>
        <w:contextualSpacing/>
        <w:rPr>
          <w:rFonts w:hint="eastAsia" w:ascii="仿宋_GB2312" w:hAnsi="仿宋" w:eastAsia="仿宋_GB2312" w:cs="仿宋"/>
          <w:color w:val="auto"/>
          <w:highlight w:val="none"/>
        </w:rPr>
      </w:pPr>
      <w:r>
        <w:rPr>
          <w:rFonts w:hint="eastAsia" w:ascii="仿宋_GB2312" w:hAnsi="仿宋" w:eastAsia="仿宋_GB2312" w:cs="仿宋"/>
          <w:color w:val="auto"/>
          <w:highlight w:val="none"/>
        </w:rPr>
        <w:t>投诉书范本及制作说明详见附件3。</w:t>
      </w:r>
    </w:p>
    <w:p>
      <w:pPr>
        <w:pStyle w:val="237"/>
        <w:snapToGrid w:val="0"/>
        <w:spacing w:before="0"/>
        <w:ind w:firstLine="360"/>
        <w:rPr>
          <w:rFonts w:hint="eastAsia" w:ascii="仿宋_GB2312" w:hAnsi="仿宋" w:eastAsia="仿宋_GB2312" w:cs="仿宋"/>
          <w:color w:val="auto"/>
          <w:sz w:val="18"/>
          <w:szCs w:val="18"/>
          <w:highlight w:val="none"/>
        </w:rPr>
      </w:pPr>
    </w:p>
    <w:p>
      <w:pPr>
        <w:adjustRightInd/>
        <w:spacing w:line="360" w:lineRule="auto"/>
        <w:jc w:val="center"/>
        <w:outlineLvl w:val="0"/>
        <w:rPr>
          <w:rFonts w:hint="eastAsia" w:ascii="仿宋_GB2312" w:hAnsi="仿宋" w:eastAsia="仿宋_GB2312" w:cs="仿宋"/>
          <w:b/>
          <w:color w:val="auto"/>
          <w:sz w:val="32"/>
          <w:szCs w:val="20"/>
          <w:highlight w:val="none"/>
        </w:rPr>
      </w:pPr>
      <w:bookmarkStart w:id="10" w:name="_Hlt74707468"/>
      <w:bookmarkEnd w:id="10"/>
      <w:bookmarkStart w:id="11" w:name="_Hlt68072990"/>
      <w:bookmarkEnd w:id="11"/>
      <w:bookmarkStart w:id="12" w:name="_Hlt75236290"/>
      <w:bookmarkEnd w:id="12"/>
      <w:bookmarkStart w:id="13" w:name="_Hlt74714665"/>
      <w:bookmarkEnd w:id="13"/>
      <w:bookmarkStart w:id="14" w:name="_Hlt68057669"/>
      <w:bookmarkEnd w:id="14"/>
      <w:bookmarkStart w:id="15" w:name="_Hlt74730295"/>
      <w:bookmarkEnd w:id="15"/>
      <w:bookmarkStart w:id="16" w:name="_Hlt74729768"/>
      <w:bookmarkEnd w:id="16"/>
      <w:bookmarkStart w:id="17" w:name="_Toc91899879"/>
      <w:r>
        <w:rPr>
          <w:rFonts w:hint="eastAsia" w:ascii="仿宋_GB2312" w:hAnsi="仿宋" w:eastAsia="仿宋_GB2312" w:cs="仿宋"/>
          <w:b/>
          <w:color w:val="auto"/>
          <w:sz w:val="32"/>
          <w:szCs w:val="20"/>
          <w:highlight w:val="none"/>
        </w:rPr>
        <w:t>二、招标文件</w:t>
      </w:r>
      <w:bookmarkEnd w:id="17"/>
      <w:r>
        <w:rPr>
          <w:rFonts w:hint="eastAsia" w:ascii="仿宋_GB2312" w:hAnsi="仿宋" w:eastAsia="仿宋_GB2312" w:cs="仿宋"/>
          <w:b/>
          <w:color w:val="auto"/>
          <w:sz w:val="32"/>
          <w:szCs w:val="20"/>
          <w:highlight w:val="none"/>
        </w:rPr>
        <w:t>的构成、澄清、修改</w:t>
      </w:r>
    </w:p>
    <w:p>
      <w:pPr>
        <w:pStyle w:val="32"/>
        <w:spacing w:line="360" w:lineRule="auto"/>
        <w:rPr>
          <w:rFonts w:hint="eastAsia" w:ascii="仿宋_GB2312" w:hAnsi="仿宋" w:eastAsia="仿宋_GB2312" w:cs="仿宋"/>
          <w:b/>
          <w:color w:val="auto"/>
          <w:sz w:val="24"/>
          <w:szCs w:val="24"/>
          <w:highlight w:val="none"/>
        </w:rPr>
      </w:pPr>
      <w:bookmarkStart w:id="18" w:name="_Toc91899880"/>
      <w:bookmarkStart w:id="19" w:name="_Hlt74730307"/>
      <w:r>
        <w:rPr>
          <w:rFonts w:hint="eastAsia" w:ascii="仿宋_GB2312" w:hAnsi="仿宋" w:eastAsia="仿宋_GB2312" w:cs="仿宋"/>
          <w:b/>
          <w:color w:val="auto"/>
          <w:sz w:val="24"/>
          <w:szCs w:val="24"/>
          <w:highlight w:val="none"/>
        </w:rPr>
        <w:t>5．招标文件的构成</w:t>
      </w:r>
      <w:bookmarkEnd w:id="18"/>
    </w:p>
    <w:bookmarkEnd w:id="19"/>
    <w:p>
      <w:pPr>
        <w:pStyle w:val="32"/>
        <w:spacing w:line="360" w:lineRule="auto"/>
        <w:ind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5.1 招标文件包括下列文件及附件</w:t>
      </w:r>
    </w:p>
    <w:p>
      <w:pPr>
        <w:pStyle w:val="32"/>
        <w:numPr>
          <w:ilvl w:val="0"/>
          <w:numId w:val="5"/>
        </w:numPr>
        <w:spacing w:line="360" w:lineRule="auto"/>
        <w:ind w:left="839"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第一部分 招标公告</w:t>
      </w:r>
    </w:p>
    <w:p>
      <w:pPr>
        <w:pStyle w:val="32"/>
        <w:numPr>
          <w:ilvl w:val="0"/>
          <w:numId w:val="5"/>
        </w:numPr>
        <w:spacing w:line="360" w:lineRule="auto"/>
        <w:ind w:left="839"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第二部分 投标人须知</w:t>
      </w:r>
    </w:p>
    <w:p>
      <w:pPr>
        <w:pStyle w:val="32"/>
        <w:numPr>
          <w:ilvl w:val="0"/>
          <w:numId w:val="5"/>
        </w:numPr>
        <w:spacing w:line="360" w:lineRule="auto"/>
        <w:ind w:left="839"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第三部分 采购需求</w:t>
      </w:r>
    </w:p>
    <w:p>
      <w:pPr>
        <w:pStyle w:val="32"/>
        <w:numPr>
          <w:ilvl w:val="0"/>
          <w:numId w:val="5"/>
        </w:numPr>
        <w:spacing w:line="360" w:lineRule="auto"/>
        <w:ind w:left="839"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第四部分 评标方法及评分标准</w:t>
      </w:r>
    </w:p>
    <w:p>
      <w:pPr>
        <w:pStyle w:val="32"/>
        <w:numPr>
          <w:ilvl w:val="0"/>
          <w:numId w:val="5"/>
        </w:numPr>
        <w:spacing w:line="360" w:lineRule="auto"/>
        <w:ind w:left="839"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第五部分 拟签订的合同文本</w:t>
      </w:r>
    </w:p>
    <w:p>
      <w:pPr>
        <w:pStyle w:val="32"/>
        <w:numPr>
          <w:ilvl w:val="0"/>
          <w:numId w:val="5"/>
        </w:numPr>
        <w:spacing w:line="360" w:lineRule="auto"/>
        <w:ind w:left="839"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第六部分 应提交的有关格式范例</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5.2与本项目有关的</w:t>
      </w:r>
      <w:r>
        <w:rPr>
          <w:rFonts w:hint="eastAsia" w:ascii="仿宋_GB2312" w:hAnsi="仿宋" w:eastAsia="仿宋_GB2312" w:cs="仿宋"/>
          <w:bCs/>
          <w:color w:val="auto"/>
          <w:sz w:val="24"/>
          <w:highlight w:val="none"/>
        </w:rPr>
        <w:t>澄清或者修改的内容为招标文件的组成部分</w:t>
      </w:r>
      <w:r>
        <w:rPr>
          <w:rFonts w:hint="eastAsia" w:ascii="仿宋_GB2312" w:hAnsi="仿宋" w:eastAsia="仿宋_GB2312" w:cs="仿宋"/>
          <w:color w:val="auto"/>
          <w:sz w:val="24"/>
          <w:highlight w:val="none"/>
        </w:rPr>
        <w:t>。</w:t>
      </w:r>
    </w:p>
    <w:p>
      <w:pPr>
        <w:pStyle w:val="32"/>
        <w:spacing w:line="360" w:lineRule="auto"/>
        <w:rPr>
          <w:rFonts w:hint="eastAsia"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6. 招标文件的澄清、修改</w:t>
      </w:r>
    </w:p>
    <w:p>
      <w:pPr>
        <w:pStyle w:val="237"/>
        <w:snapToGrid w:val="0"/>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6.1已获取招标文件的潜在投标人，若有问题需要澄清，应于投标截止时间前，以书面形式向采购机构提出。</w:t>
      </w:r>
    </w:p>
    <w:p>
      <w:pPr>
        <w:pStyle w:val="237"/>
        <w:snapToGrid w:val="0"/>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_GB2312" w:hAnsi="仿宋" w:eastAsia="仿宋_GB2312" w:cs="仿宋"/>
          <w:b/>
          <w:color w:val="auto"/>
          <w:sz w:val="24"/>
          <w:szCs w:val="21"/>
          <w:highlight w:val="none"/>
        </w:rPr>
      </w:pPr>
      <w:r>
        <w:rPr>
          <w:rFonts w:hint="eastAsia" w:ascii="仿宋_GB2312" w:hAnsi="仿宋" w:eastAsia="仿宋_GB2312" w:cs="仿宋"/>
          <w:b/>
          <w:color w:val="auto"/>
          <w:sz w:val="24"/>
          <w:highlight w:val="none"/>
        </w:rPr>
        <w:t>▲</w:t>
      </w:r>
      <w:r>
        <w:rPr>
          <w:rFonts w:hint="eastAsia" w:ascii="仿宋_GB2312" w:hAnsi="仿宋" w:eastAsia="仿宋_GB2312" w:cs="仿宋"/>
          <w:b/>
          <w:color w:val="auto"/>
          <w:sz w:val="24"/>
          <w:szCs w:val="21"/>
          <w:highlight w:val="none"/>
        </w:rPr>
        <w:t>投标文件未按招标文件的澄清、修改的内容编制，又不符合实质性要求的，投标无效。</w:t>
      </w:r>
    </w:p>
    <w:p>
      <w:pPr>
        <w:pStyle w:val="23"/>
        <w:rPr>
          <w:rFonts w:hint="eastAsia" w:ascii="仿宋_GB2312" w:hAnsi="仿宋" w:eastAsia="仿宋_GB2312" w:cs="仿宋"/>
          <w:color w:val="auto"/>
          <w:sz w:val="18"/>
          <w:szCs w:val="18"/>
          <w:highlight w:val="none"/>
          <w:lang w:val="en-US"/>
        </w:rPr>
      </w:pPr>
      <w:r>
        <w:rPr>
          <w:rFonts w:hint="eastAsia" w:ascii="仿宋_GB2312" w:hAnsi="仿宋" w:eastAsia="仿宋_GB2312" w:cs="仿宋"/>
          <w:color w:val="auto"/>
          <w:szCs w:val="24"/>
          <w:highlight w:val="none"/>
          <w:lang w:val="en-US"/>
        </w:rPr>
        <w:t xml:space="preserve">    </w:t>
      </w:r>
    </w:p>
    <w:p>
      <w:pPr>
        <w:adjustRightInd/>
        <w:spacing w:line="360" w:lineRule="auto"/>
        <w:jc w:val="center"/>
        <w:outlineLvl w:val="0"/>
        <w:rPr>
          <w:rFonts w:hint="eastAsia" w:ascii="仿宋_GB2312" w:hAnsi="仿宋" w:eastAsia="仿宋_GB2312" w:cs="仿宋"/>
          <w:b/>
          <w:color w:val="auto"/>
          <w:sz w:val="30"/>
          <w:szCs w:val="20"/>
          <w:highlight w:val="none"/>
        </w:rPr>
      </w:pPr>
      <w:bookmarkStart w:id="20" w:name="_Hlt75236011"/>
      <w:bookmarkEnd w:id="20"/>
      <w:bookmarkStart w:id="21" w:name="_Toc91899884"/>
      <w:r>
        <w:rPr>
          <w:rFonts w:hint="eastAsia" w:ascii="仿宋_GB2312" w:hAnsi="仿宋" w:eastAsia="仿宋_GB2312" w:cs="仿宋"/>
          <w:b/>
          <w:color w:val="auto"/>
          <w:sz w:val="30"/>
          <w:szCs w:val="20"/>
          <w:highlight w:val="none"/>
        </w:rPr>
        <w:t>三、投标</w:t>
      </w:r>
      <w:bookmarkEnd w:id="21"/>
    </w:p>
    <w:p>
      <w:pPr>
        <w:pStyle w:val="32"/>
        <w:spacing w:line="360" w:lineRule="auto"/>
        <w:rPr>
          <w:rFonts w:hint="eastAsia" w:ascii="仿宋_GB2312" w:hAnsi="仿宋" w:eastAsia="仿宋_GB2312" w:cs="仿宋"/>
          <w:b/>
          <w:color w:val="auto"/>
          <w:sz w:val="24"/>
          <w:szCs w:val="24"/>
          <w:highlight w:val="none"/>
        </w:rPr>
      </w:pPr>
      <w:bookmarkStart w:id="22" w:name="_Toc91899892"/>
      <w:bookmarkStart w:id="23" w:name="_Toc86216991"/>
      <w:r>
        <w:rPr>
          <w:rFonts w:hint="eastAsia" w:ascii="仿宋_GB2312" w:hAnsi="仿宋" w:eastAsia="仿宋_GB2312" w:cs="仿宋"/>
          <w:b/>
          <w:color w:val="auto"/>
          <w:sz w:val="24"/>
          <w:szCs w:val="24"/>
          <w:highlight w:val="none"/>
        </w:rPr>
        <w:t>7. 招标文件的获取</w:t>
      </w:r>
    </w:p>
    <w:p>
      <w:pPr>
        <w:spacing w:line="360" w:lineRule="auto"/>
        <w:ind w:firstLine="480" w:firstLineChars="200"/>
        <w:rPr>
          <w:rFonts w:hint="eastAsia" w:ascii="仿宋_GB2312" w:hAnsi="仿宋" w:eastAsia="仿宋_GB2312" w:cs="仿宋"/>
          <w:snapToGrid w:val="0"/>
          <w:color w:val="auto"/>
          <w:kern w:val="28"/>
          <w:sz w:val="24"/>
          <w:highlight w:val="none"/>
        </w:rPr>
      </w:pPr>
      <w:r>
        <w:rPr>
          <w:rFonts w:hint="eastAsia" w:ascii="仿宋_GB2312" w:hAnsi="仿宋" w:eastAsia="仿宋_GB2312" w:cs="仿宋"/>
          <w:snapToGrid w:val="0"/>
          <w:color w:val="auto"/>
          <w:kern w:val="28"/>
          <w:sz w:val="24"/>
          <w:highlight w:val="none"/>
        </w:rPr>
        <w:t>详见招标公告中获取招标文件的时间期限、地点、方式及招标文件售价。</w:t>
      </w:r>
    </w:p>
    <w:p>
      <w:pPr>
        <w:pStyle w:val="32"/>
        <w:spacing w:line="360" w:lineRule="auto"/>
        <w:rPr>
          <w:rFonts w:hint="eastAsia"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8.开标前答疑会或现场考察</w:t>
      </w:r>
    </w:p>
    <w:p>
      <w:pPr>
        <w:pStyle w:val="32"/>
        <w:spacing w:line="360" w:lineRule="auto"/>
        <w:ind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采购人组织潜在投标人现场考察或者召开开标前答疑会的，潜在投标人按前附表的规定参加现场考察或者开标前答疑会。</w:t>
      </w:r>
      <w:r>
        <w:rPr>
          <w:rFonts w:hint="eastAsia" w:ascii="仿宋_GB2312" w:hAnsi="仿宋" w:eastAsia="仿宋_GB2312" w:cs="仿宋"/>
          <w:b/>
          <w:color w:val="auto"/>
          <w:sz w:val="24"/>
          <w:szCs w:val="24"/>
          <w:highlight w:val="none"/>
        </w:rPr>
        <w:t>采购人不单独或分别组织只有一个供应商参加的现场考察和答疑会。</w:t>
      </w:r>
    </w:p>
    <w:p>
      <w:pPr>
        <w:pStyle w:val="32"/>
        <w:spacing w:line="360" w:lineRule="auto"/>
        <w:rPr>
          <w:rFonts w:hint="eastAsia" w:ascii="仿宋_GB2312" w:hAnsi="仿宋" w:eastAsia="仿宋_GB2312" w:cs="仿宋"/>
          <w:b/>
          <w:color w:val="auto"/>
          <w:szCs w:val="24"/>
          <w:highlight w:val="none"/>
        </w:rPr>
      </w:pPr>
      <w:r>
        <w:rPr>
          <w:rFonts w:hint="eastAsia" w:ascii="仿宋_GB2312" w:hAnsi="仿宋" w:eastAsia="仿宋_GB2312" w:cs="仿宋"/>
          <w:b/>
          <w:color w:val="auto"/>
          <w:kern w:val="28"/>
          <w:sz w:val="24"/>
          <w:szCs w:val="24"/>
          <w:highlight w:val="none"/>
        </w:rPr>
        <w:t>9.投标保证金</w:t>
      </w:r>
    </w:p>
    <w:p>
      <w:pPr>
        <w:pStyle w:val="15"/>
        <w:spacing w:line="360" w:lineRule="auto"/>
        <w:ind w:firstLine="470" w:firstLineChars="196"/>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本项目不需要交纳投标保证金。</w:t>
      </w:r>
    </w:p>
    <w:p>
      <w:pPr>
        <w:pStyle w:val="32"/>
        <w:spacing w:line="360" w:lineRule="auto"/>
        <w:rPr>
          <w:rFonts w:hint="eastAsia"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10. 投标文件的语言</w:t>
      </w:r>
    </w:p>
    <w:p>
      <w:pPr>
        <w:autoSpaceDE w:val="0"/>
        <w:autoSpaceDN w:val="0"/>
        <w:spacing w:line="360" w:lineRule="auto"/>
        <w:ind w:firstLine="480" w:firstLineChars="200"/>
        <w:rPr>
          <w:rFonts w:hint="eastAsia" w:ascii="仿宋_GB2312" w:hAnsi="仿宋" w:eastAsia="仿宋_GB2312" w:cs="仿宋"/>
          <w:color w:val="auto"/>
          <w:sz w:val="24"/>
          <w:highlight w:val="none"/>
          <w:lang w:val="zh-CN"/>
        </w:rPr>
      </w:pPr>
      <w:r>
        <w:rPr>
          <w:rFonts w:hint="eastAsia" w:ascii="仿宋_GB2312" w:hAnsi="仿宋" w:eastAsia="仿宋_GB2312" w:cs="仿宋"/>
          <w:color w:val="auto"/>
          <w:sz w:val="24"/>
          <w:highlight w:val="none"/>
        </w:rPr>
        <w:t>投标文件及投标人与采购有关的来往通知、函件和文件均应使用中文。</w:t>
      </w:r>
    </w:p>
    <w:p>
      <w:pPr>
        <w:pStyle w:val="32"/>
        <w:spacing w:line="360" w:lineRule="auto"/>
        <w:rPr>
          <w:rFonts w:hint="eastAsia"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11. 投标文件的组成</w:t>
      </w:r>
    </w:p>
    <w:p>
      <w:pPr>
        <w:pStyle w:val="32"/>
        <w:snapToGrid w:val="0"/>
        <w:spacing w:line="360" w:lineRule="auto"/>
        <w:ind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kern w:val="0"/>
          <w:sz w:val="24"/>
          <w:szCs w:val="24"/>
          <w:highlight w:val="none"/>
        </w:rPr>
        <w:t>投标文件应当包括以下主要内容：</w:t>
      </w:r>
      <w:r>
        <w:rPr>
          <w:rFonts w:hint="eastAsia" w:ascii="仿宋_GB2312" w:hAnsi="仿宋" w:eastAsia="仿宋_GB2312" w:cs="仿宋"/>
          <w:b/>
          <w:color w:val="auto"/>
          <w:sz w:val="24"/>
          <w:szCs w:val="24"/>
          <w:highlight w:val="none"/>
        </w:rPr>
        <w:t>资格文件、报价文件、商务技术文件</w:t>
      </w:r>
      <w:r>
        <w:rPr>
          <w:rFonts w:hint="eastAsia" w:ascii="仿宋_GB2312" w:hAnsi="仿宋" w:eastAsia="仿宋_GB2312" w:cs="仿宋"/>
          <w:color w:val="auto"/>
          <w:sz w:val="24"/>
          <w:szCs w:val="24"/>
          <w:highlight w:val="none"/>
        </w:rPr>
        <w:t>。投标文件应当对招标文件提出的要求和条件作出明确响应。</w:t>
      </w:r>
    </w:p>
    <w:p>
      <w:pPr>
        <w:snapToGrid w:val="0"/>
        <w:spacing w:line="360" w:lineRule="auto"/>
        <w:ind w:firstLine="480" w:firstLineChars="200"/>
        <w:rPr>
          <w:rFonts w:hint="eastAsia" w:ascii="仿宋_GB2312" w:hAnsi="仿宋" w:eastAsia="仿宋_GB2312" w:cs="仿宋"/>
          <w:b/>
          <w:color w:val="auto"/>
          <w:kern w:val="0"/>
          <w:sz w:val="24"/>
          <w:highlight w:val="none"/>
        </w:rPr>
      </w:pPr>
      <w:r>
        <w:rPr>
          <w:rFonts w:hint="eastAsia" w:ascii="仿宋_GB2312" w:hAnsi="仿宋" w:eastAsia="仿宋_GB2312" w:cs="仿宋"/>
          <w:color w:val="auto"/>
          <w:sz w:val="24"/>
          <w:highlight w:val="none"/>
        </w:rPr>
        <w:t>11.1</w:t>
      </w:r>
      <w:r>
        <w:rPr>
          <w:rFonts w:hint="eastAsia" w:ascii="仿宋_GB2312" w:hAnsi="仿宋" w:eastAsia="仿宋_GB2312" w:cs="仿宋"/>
          <w:b/>
          <w:color w:val="auto"/>
          <w:sz w:val="24"/>
          <w:highlight w:val="none"/>
        </w:rPr>
        <w:t>资格文件</w:t>
      </w:r>
      <w:r>
        <w:rPr>
          <w:rFonts w:hint="eastAsia" w:ascii="仿宋_GB2312" w:hAnsi="仿宋" w:eastAsia="仿宋_GB2312" w:cs="仿宋"/>
          <w:color w:val="auto"/>
          <w:sz w:val="24"/>
          <w:highlight w:val="none"/>
        </w:rPr>
        <w:t>应包括以下内容（均需使用电子签名）：</w:t>
      </w:r>
      <w:r>
        <w:rPr>
          <w:rFonts w:hint="eastAsia" w:ascii="仿宋_GB2312" w:hAnsi="仿宋" w:eastAsia="仿宋_GB2312" w:cs="仿宋"/>
          <w:color w:val="auto"/>
          <w:kern w:val="0"/>
          <w:sz w:val="24"/>
          <w:highlight w:val="none"/>
        </w:rPr>
        <w:t>证明其符合《中华人民共和国政府采购法》规定的供应商基本条件和采购项目对供应商的特定条件</w:t>
      </w:r>
      <w:r>
        <w:rPr>
          <w:rFonts w:hint="eastAsia" w:ascii="仿宋_GB2312" w:hAnsi="仿宋" w:eastAsia="仿宋_GB2312" w:cs="仿宋"/>
          <w:color w:val="auto"/>
          <w:sz w:val="24"/>
          <w:highlight w:val="none"/>
        </w:rPr>
        <w:t>（如果项目要求）</w:t>
      </w:r>
      <w:r>
        <w:rPr>
          <w:rFonts w:hint="eastAsia" w:ascii="仿宋_GB2312" w:hAnsi="仿宋" w:eastAsia="仿宋_GB2312" w:cs="仿宋"/>
          <w:color w:val="auto"/>
          <w:kern w:val="0"/>
          <w:sz w:val="24"/>
          <w:highlight w:val="none"/>
        </w:rPr>
        <w:t>的有关资格证明文件。</w:t>
      </w:r>
      <w:r>
        <w:rPr>
          <w:rFonts w:hint="eastAsia" w:ascii="仿宋_GB2312" w:hAnsi="仿宋" w:eastAsia="仿宋_GB2312" w:cs="仿宋"/>
          <w:b/>
          <w:color w:val="auto"/>
          <w:kern w:val="0"/>
          <w:sz w:val="24"/>
          <w:highlight w:val="none"/>
        </w:rPr>
        <w:t>（以联合体形式进行政府采购的，参加联合体的供应商均应当提供）</w:t>
      </w:r>
    </w:p>
    <w:p>
      <w:pPr>
        <w:pStyle w:val="32"/>
        <w:spacing w:line="360" w:lineRule="auto"/>
        <w:ind w:firstLine="480" w:firstLineChars="200"/>
        <w:rPr>
          <w:rFonts w:hint="eastAsia" w:ascii="仿宋_GB2312" w:hAnsi="仿宋" w:eastAsia="仿宋_GB2312" w:cs="仿宋"/>
          <w:color w:val="auto"/>
          <w:sz w:val="24"/>
          <w:highlight w:val="none"/>
        </w:rPr>
      </w:pPr>
      <w:bookmarkStart w:id="24" w:name="_Hlt68072998"/>
      <w:bookmarkEnd w:id="24"/>
      <w:bookmarkStart w:id="25" w:name="_Hlt68073093"/>
      <w:bookmarkEnd w:id="25"/>
      <w:bookmarkStart w:id="26" w:name="_Hlt68403820"/>
      <w:bookmarkEnd w:id="26"/>
      <w:r>
        <w:rPr>
          <w:rFonts w:hint="eastAsia" w:ascii="仿宋_GB2312" w:hAnsi="仿宋" w:eastAsia="仿宋_GB2312" w:cs="仿宋_GB2312"/>
          <w:color w:val="auto"/>
          <w:sz w:val="24"/>
          <w:highlight w:val="none"/>
        </w:rPr>
        <w:t>11.1.1</w:t>
      </w:r>
      <w:r>
        <w:rPr>
          <w:rFonts w:hint="eastAsia" w:ascii="仿宋_GB2312" w:hAnsi="仿宋" w:eastAsia="仿宋_GB2312"/>
          <w:color w:val="auto"/>
          <w:sz w:val="24"/>
          <w:highlight w:val="none"/>
        </w:rPr>
        <w:t>营业执照(或事业法人登记证或其他工商等登记证明材料)复印件（投标人为自然人的，提供</w:t>
      </w:r>
      <w:r>
        <w:rPr>
          <w:rFonts w:hint="eastAsia" w:ascii="仿宋_GB2312" w:hAnsi="Helvetica"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p>
    <w:p>
      <w:pPr>
        <w:pStyle w:val="32"/>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11.1.2法人授权书（如法定代表人直接参加投标并对相应文件签字的，只需提供其身份证复印件正反面；如以联合体形式参加政府采购活动的，按招标文件有关格式范例提供联合体投标授权书）；▲</w:t>
      </w:r>
      <w:r>
        <w:rPr>
          <w:rFonts w:hint="eastAsia" w:ascii="仿宋_GB2312" w:hAnsi="仿宋" w:eastAsia="仿宋_GB2312" w:cs="仿宋"/>
          <w:b/>
          <w:color w:val="auto"/>
          <w:sz w:val="24"/>
          <w:highlight w:val="none"/>
        </w:rPr>
        <w:t>投标文件中法人授权书所载内容与本项目内容有异的，投标无效</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11.1.3授权代表的身份证（复印件）；</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11.1.4符合参与政府采购活动的资格条件并且没有税收缴纳、社会保障等方面的失信记录的承诺函；</w:t>
      </w:r>
    </w:p>
    <w:p>
      <w:pPr>
        <w:pStyle w:val="32"/>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11.1.5具有履行合同所必需的设备和专业技术能力的承诺函；</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11.1.6参加政府采购活动前三年内，在经营活动中没有重大违法记录的声明；</w:t>
      </w:r>
    </w:p>
    <w:p>
      <w:pPr>
        <w:spacing w:line="360" w:lineRule="auto"/>
        <w:ind w:firstLine="480" w:firstLineChars="200"/>
        <w:rPr>
          <w:rFonts w:hint="eastAsia" w:ascii="仿宋_GB2312" w:hAnsi="仿宋" w:eastAsia="仿宋_GB2312" w:cs="仿宋"/>
          <w:color w:val="auto"/>
          <w:sz w:val="24"/>
          <w:szCs w:val="20"/>
          <w:highlight w:val="none"/>
        </w:rPr>
      </w:pPr>
      <w:r>
        <w:rPr>
          <w:rFonts w:hint="eastAsia" w:ascii="仿宋_GB2312" w:hAnsi="仿宋" w:eastAsia="仿宋_GB2312" w:cs="仿宋"/>
          <w:color w:val="auto"/>
          <w:sz w:val="24"/>
          <w:highlight w:val="none"/>
        </w:rPr>
        <w:t>11.1.7</w:t>
      </w:r>
      <w:r>
        <w:rPr>
          <w:rFonts w:hint="eastAsia" w:ascii="仿宋_GB2312" w:hAnsi="仿宋" w:eastAsia="仿宋_GB2312" w:cs="仿宋"/>
          <w:color w:val="auto"/>
          <w:sz w:val="24"/>
          <w:szCs w:val="20"/>
          <w:highlight w:val="none"/>
        </w:rPr>
        <w:t>具有良好商业信誉的特别声明；</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11.1.8符合特定资格条件（如果项目要求）的有关证明材料（复印件）；</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11.1.9以联合体形式投标的，提供联合体协议。</w:t>
      </w:r>
    </w:p>
    <w:p>
      <w:pPr>
        <w:snapToGrid w:val="0"/>
        <w:spacing w:line="360" w:lineRule="auto"/>
        <w:ind w:firstLine="480" w:firstLineChars="200"/>
        <w:rPr>
          <w:rFonts w:hint="eastAsia" w:ascii="仿宋_GB2312" w:hAnsi="仿宋" w:eastAsia="仿宋_GB2312" w:cs="仿宋"/>
          <w:color w:val="auto"/>
          <w:sz w:val="24"/>
          <w:highlight w:val="none"/>
          <w:u w:val="single"/>
          <w:lang w:val="zh-CN"/>
        </w:rPr>
      </w:pPr>
      <w:r>
        <w:rPr>
          <w:rFonts w:hint="eastAsia" w:ascii="仿宋_GB2312" w:hAnsi="仿宋" w:eastAsia="仿宋_GB2312" w:cs="仿宋"/>
          <w:color w:val="auto"/>
          <w:kern w:val="0"/>
          <w:sz w:val="24"/>
          <w:highlight w:val="none"/>
          <w:lang w:val="zh-CN"/>
        </w:rPr>
        <w:t xml:space="preserve">11.2 </w:t>
      </w:r>
      <w:r>
        <w:rPr>
          <w:rFonts w:hint="eastAsia" w:ascii="仿宋_GB2312" w:hAnsi="仿宋" w:eastAsia="仿宋_GB2312" w:cs="仿宋"/>
          <w:color w:val="auto"/>
          <w:sz w:val="24"/>
          <w:highlight w:val="none"/>
        </w:rPr>
        <w:t>投标人的</w:t>
      </w:r>
      <w:r>
        <w:rPr>
          <w:rFonts w:hint="eastAsia" w:ascii="仿宋_GB2312" w:hAnsi="仿宋" w:eastAsia="仿宋_GB2312" w:cs="仿宋"/>
          <w:b/>
          <w:color w:val="auto"/>
          <w:sz w:val="24"/>
          <w:highlight w:val="none"/>
        </w:rPr>
        <w:t>报价文件</w:t>
      </w:r>
      <w:r>
        <w:rPr>
          <w:rFonts w:hint="eastAsia" w:ascii="仿宋_GB2312" w:hAnsi="仿宋" w:eastAsia="仿宋_GB2312" w:cs="仿宋"/>
          <w:color w:val="auto"/>
          <w:sz w:val="24"/>
          <w:highlight w:val="none"/>
        </w:rPr>
        <w:t>应包括以下内容（均需使用电子签名）：</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11.2.1</w:t>
      </w:r>
      <w:r>
        <w:rPr>
          <w:rFonts w:hint="eastAsia" w:ascii="仿宋_GB2312" w:hAnsi="仿宋" w:eastAsia="仿宋_GB2312" w:cs="仿宋"/>
          <w:color w:val="auto"/>
          <w:kern w:val="0"/>
          <w:sz w:val="24"/>
          <w:highlight w:val="none"/>
        </w:rPr>
        <w:t>投标响应函</w:t>
      </w:r>
      <w:r>
        <w:rPr>
          <w:rFonts w:hint="eastAsia" w:ascii="仿宋_GB2312" w:hAnsi="仿宋" w:eastAsia="仿宋_GB2312" w:cs="仿宋"/>
          <w:color w:val="auto"/>
          <w:sz w:val="24"/>
          <w:highlight w:val="none"/>
        </w:rPr>
        <w:t>；</w:t>
      </w:r>
    </w:p>
    <w:p>
      <w:pPr>
        <w:pStyle w:val="32"/>
        <w:snapToGrid w:val="0"/>
        <w:spacing w:line="360" w:lineRule="auto"/>
        <w:ind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11.2.2投标(开标)一览表；</w:t>
      </w:r>
    </w:p>
    <w:p>
      <w:pPr>
        <w:pStyle w:val="32"/>
        <w:snapToGrid w:val="0"/>
        <w:spacing w:line="360" w:lineRule="auto"/>
        <w:ind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11.2.3中小企业声明函。</w:t>
      </w:r>
    </w:p>
    <w:p>
      <w:pPr>
        <w:pStyle w:val="32"/>
        <w:spacing w:line="360" w:lineRule="auto"/>
        <w:ind w:firstLine="480" w:firstLineChars="200"/>
        <w:rPr>
          <w:rFonts w:hint="eastAsia" w:ascii="仿宋_GB2312" w:hAnsi="仿宋" w:eastAsia="仿宋_GB2312" w:cs="仿宋"/>
          <w:color w:val="auto"/>
          <w:sz w:val="24"/>
          <w:szCs w:val="24"/>
          <w:highlight w:val="none"/>
          <w:lang w:val="zh-CN"/>
        </w:rPr>
      </w:pPr>
      <w:r>
        <w:rPr>
          <w:rFonts w:hint="eastAsia" w:ascii="仿宋_GB2312" w:hAnsi="仿宋" w:eastAsia="仿宋_GB2312" w:cs="仿宋"/>
          <w:color w:val="auto"/>
          <w:kern w:val="0"/>
          <w:sz w:val="24"/>
          <w:szCs w:val="24"/>
          <w:highlight w:val="none"/>
          <w:lang w:val="zh-CN"/>
        </w:rPr>
        <w:t>11.3  投标人的</w:t>
      </w:r>
      <w:r>
        <w:rPr>
          <w:rFonts w:hint="eastAsia" w:ascii="仿宋_GB2312" w:hAnsi="仿宋" w:eastAsia="仿宋_GB2312" w:cs="仿宋"/>
          <w:b/>
          <w:color w:val="auto"/>
          <w:sz w:val="24"/>
          <w:szCs w:val="24"/>
          <w:highlight w:val="none"/>
        </w:rPr>
        <w:t>商务技术</w:t>
      </w:r>
      <w:r>
        <w:rPr>
          <w:rFonts w:hint="eastAsia" w:ascii="仿宋_GB2312" w:hAnsi="仿宋" w:eastAsia="仿宋_GB2312" w:cs="仿宋"/>
          <w:b/>
          <w:color w:val="auto"/>
          <w:kern w:val="0"/>
          <w:sz w:val="24"/>
          <w:szCs w:val="24"/>
          <w:highlight w:val="none"/>
          <w:lang w:val="zh-CN"/>
        </w:rPr>
        <w:t>文件应</w:t>
      </w:r>
      <w:r>
        <w:rPr>
          <w:rFonts w:hint="eastAsia" w:ascii="仿宋_GB2312" w:hAnsi="仿宋" w:eastAsia="仿宋_GB2312" w:cs="仿宋"/>
          <w:color w:val="auto"/>
          <w:kern w:val="0"/>
          <w:sz w:val="24"/>
          <w:szCs w:val="24"/>
          <w:highlight w:val="none"/>
          <w:lang w:val="zh-CN"/>
        </w:rPr>
        <w:t>包括以下内容</w:t>
      </w:r>
      <w:r>
        <w:rPr>
          <w:rFonts w:hint="eastAsia" w:ascii="仿宋_GB2312" w:hAnsi="仿宋" w:eastAsia="仿宋_GB2312" w:cs="仿宋"/>
          <w:color w:val="auto"/>
          <w:sz w:val="24"/>
          <w:szCs w:val="24"/>
          <w:highlight w:val="none"/>
        </w:rPr>
        <w:t>（均需使用电子签名）</w:t>
      </w:r>
      <w:r>
        <w:rPr>
          <w:rFonts w:hint="eastAsia" w:ascii="仿宋_GB2312" w:hAnsi="仿宋" w:eastAsia="仿宋_GB2312" w:cs="仿宋"/>
          <w:color w:val="auto"/>
          <w:kern w:val="0"/>
          <w:sz w:val="24"/>
          <w:szCs w:val="24"/>
          <w:highlight w:val="none"/>
          <w:lang w:val="zh-CN"/>
        </w:rPr>
        <w:t>：</w:t>
      </w:r>
      <w:r>
        <w:rPr>
          <w:rFonts w:hint="eastAsia" w:ascii="仿宋_GB2312" w:hAnsi="仿宋" w:eastAsia="仿宋_GB2312" w:cs="仿宋"/>
          <w:color w:val="auto"/>
          <w:sz w:val="24"/>
          <w:szCs w:val="24"/>
          <w:highlight w:val="none"/>
          <w:lang w:val="zh-CN"/>
        </w:rPr>
        <w:t xml:space="preserve"> </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zh-CN"/>
        </w:rPr>
        <w:t>11.3.1</w:t>
      </w:r>
      <w:r>
        <w:rPr>
          <w:rFonts w:hint="eastAsia" w:ascii="仿宋_GB2312" w:hAnsi="仿宋" w:eastAsia="仿宋_GB2312" w:cs="仿宋"/>
          <w:color w:val="auto"/>
          <w:sz w:val="24"/>
          <w:highlight w:val="none"/>
        </w:rPr>
        <w:t>营业执照(或事业法人登记证或其他工商等登记证明材料)复印件（投标人为自然人的，须提供</w:t>
      </w:r>
      <w:r>
        <w:rPr>
          <w:rFonts w:hint="eastAsia" w:ascii="仿宋_GB2312" w:hAnsi="仿宋" w:eastAsia="仿宋_GB2312" w:cs="仿宋"/>
          <w:color w:val="auto"/>
          <w:kern w:val="0"/>
          <w:sz w:val="24"/>
          <w:highlight w:val="none"/>
        </w:rPr>
        <w:t>自然人的身份证明</w:t>
      </w:r>
      <w:r>
        <w:rPr>
          <w:rFonts w:hint="eastAsia" w:ascii="仿宋_GB2312" w:hAnsi="仿宋" w:eastAsia="仿宋_GB2312" w:cs="仿宋"/>
          <w:color w:val="auto"/>
          <w:sz w:val="24"/>
          <w:highlight w:val="none"/>
        </w:rPr>
        <w:t>）；</w:t>
      </w:r>
    </w:p>
    <w:p>
      <w:pPr>
        <w:pStyle w:val="32"/>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zh-CN"/>
        </w:rPr>
        <w:t>11.3.2</w:t>
      </w:r>
      <w:r>
        <w:rPr>
          <w:rFonts w:hint="eastAsia" w:ascii="仿宋_GB2312" w:hAnsi="仿宋" w:eastAsia="仿宋_GB2312" w:cs="仿宋"/>
          <w:color w:val="auto"/>
          <w:sz w:val="24"/>
          <w:highlight w:val="none"/>
        </w:rPr>
        <w:t>如以联合体形式参加政府采购活动的，</w:t>
      </w:r>
      <w:r>
        <w:rPr>
          <w:rFonts w:hint="eastAsia" w:ascii="仿宋_GB2312" w:hAnsi="仿宋" w:eastAsia="仿宋_GB2312" w:cs="仿宋"/>
          <w:color w:val="auto"/>
          <w:sz w:val="24"/>
          <w:szCs w:val="24"/>
          <w:highlight w:val="none"/>
        </w:rPr>
        <w:t>联合体各方应当指定牵头人，授权其代表所有联合体成员负责投标和合同实施阶段的主办、协调工作，并应当向采购机构提交由所有联合体成员各方签署的授权书，同时</w:t>
      </w:r>
      <w:r>
        <w:rPr>
          <w:rFonts w:hint="eastAsia" w:ascii="仿宋_GB2312" w:hAnsi="仿宋" w:eastAsia="仿宋_GB2312" w:cs="仿宋"/>
          <w:color w:val="auto"/>
          <w:sz w:val="24"/>
          <w:highlight w:val="none"/>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_GB2312" w:hAnsi="仿宋" w:eastAsia="仿宋_GB2312" w:cs="仿宋"/>
          <w:b/>
          <w:color w:val="auto"/>
          <w:sz w:val="24"/>
          <w:highlight w:val="none"/>
        </w:rPr>
        <w:t>▲如以联合体形式参加政府采购活动的，联合体协议不符合招标文件规定的联合体协议要求的，投标无效。</w:t>
      </w:r>
      <w:r>
        <w:rPr>
          <w:rFonts w:hint="eastAsia" w:ascii="仿宋_GB2312" w:hAnsi="仿宋" w:eastAsia="仿宋_GB2312" w:cs="仿宋"/>
          <w:color w:val="auto"/>
          <w:sz w:val="24"/>
          <w:highlight w:val="none"/>
        </w:rPr>
        <w:t>）</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zh-CN"/>
        </w:rPr>
        <w:t>11.3.3</w:t>
      </w:r>
      <w:r>
        <w:rPr>
          <w:rFonts w:hint="eastAsia" w:ascii="仿宋_GB2312" w:hAnsi="仿宋" w:eastAsia="仿宋_GB2312" w:cs="仿宋"/>
          <w:color w:val="auto"/>
          <w:sz w:val="24"/>
          <w:highlight w:val="none"/>
        </w:rPr>
        <w:t>资信文件：</w:t>
      </w:r>
      <w:r>
        <w:rPr>
          <w:rFonts w:hint="eastAsia" w:ascii="仿宋_GB2312" w:hAnsi="仿宋" w:eastAsia="仿宋_GB2312" w:cs="仿宋"/>
          <w:color w:val="auto"/>
          <w:kern w:val="0"/>
          <w:sz w:val="24"/>
          <w:szCs w:val="20"/>
          <w:highlight w:val="none"/>
        </w:rPr>
        <w:t>见投标须知前附表所述；</w:t>
      </w:r>
    </w:p>
    <w:p>
      <w:pPr>
        <w:pStyle w:val="237"/>
        <w:snapToGrid w:val="0"/>
        <w:spacing w:before="0"/>
        <w:ind w:firstLine="480"/>
        <w:rPr>
          <w:rFonts w:hint="eastAsia" w:ascii="仿宋_GB2312" w:hAnsi="仿宋" w:eastAsia="仿宋_GB2312" w:cs="仿宋"/>
          <w:color w:val="auto"/>
          <w:kern w:val="0"/>
          <w:highlight w:val="none"/>
          <w:lang w:val="zh-CN"/>
        </w:rPr>
      </w:pPr>
      <w:r>
        <w:rPr>
          <w:rFonts w:hint="eastAsia" w:ascii="仿宋_GB2312" w:hAnsi="仿宋" w:eastAsia="仿宋_GB2312" w:cs="仿宋"/>
          <w:color w:val="auto"/>
          <w:highlight w:val="none"/>
          <w:lang w:val="zh-CN"/>
        </w:rPr>
        <w:t>11.3.4</w:t>
      </w:r>
      <w:r>
        <w:rPr>
          <w:rFonts w:hint="eastAsia" w:ascii="仿宋_GB2312" w:hAnsi="仿宋" w:eastAsia="仿宋_GB2312" w:cs="仿宋"/>
          <w:color w:val="auto"/>
          <w:kern w:val="0"/>
          <w:highlight w:val="none"/>
        </w:rPr>
        <w:t>投标截止时间前三年投标人的主要业绩证明材料即</w:t>
      </w:r>
      <w:r>
        <w:rPr>
          <w:rFonts w:hint="eastAsia" w:ascii="仿宋_GB2312" w:hAnsi="仿宋" w:eastAsia="仿宋_GB2312" w:cs="仿宋"/>
          <w:color w:val="auto"/>
          <w:highlight w:val="none"/>
          <w:lang w:val="zh-CN"/>
        </w:rPr>
        <w:t>合同</w:t>
      </w:r>
      <w:r>
        <w:rPr>
          <w:rFonts w:hint="eastAsia" w:ascii="仿宋_GB2312" w:hAnsi="仿宋" w:eastAsia="仿宋_GB2312" w:cs="仿宋"/>
          <w:color w:val="auto"/>
          <w:highlight w:val="none"/>
        </w:rPr>
        <w:t>和用户验收报告</w:t>
      </w:r>
      <w:r>
        <w:rPr>
          <w:rFonts w:hint="eastAsia" w:ascii="仿宋_GB2312" w:hAnsi="仿宋" w:eastAsia="仿宋_GB2312" w:cs="仿宋"/>
          <w:color w:val="auto"/>
          <w:szCs w:val="24"/>
          <w:highlight w:val="none"/>
        </w:rPr>
        <w:t>（</w:t>
      </w:r>
      <w:r>
        <w:rPr>
          <w:rFonts w:hint="eastAsia" w:ascii="仿宋_GB2312" w:hAnsi="仿宋" w:eastAsia="仿宋_GB2312" w:cs="仿宋"/>
          <w:color w:val="auto"/>
          <w:highlight w:val="none"/>
        </w:rPr>
        <w:t>联合体投标的，联合体各方</w:t>
      </w:r>
      <w:r>
        <w:rPr>
          <w:rFonts w:hint="eastAsia" w:ascii="仿宋_GB2312" w:hAnsi="仿宋" w:eastAsia="仿宋_GB2312" w:cs="仿宋"/>
          <w:color w:val="auto"/>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 w:eastAsia="仿宋_GB2312" w:cs="仿宋"/>
          <w:color w:val="auto"/>
          <w:szCs w:val="24"/>
          <w:highlight w:val="none"/>
        </w:rPr>
        <w:t>)</w:t>
      </w:r>
      <w:r>
        <w:rPr>
          <w:rFonts w:hint="eastAsia" w:ascii="仿宋_GB2312" w:hAnsi="仿宋" w:eastAsia="仿宋_GB2312" w:cs="仿宋"/>
          <w:color w:val="auto"/>
          <w:kern w:val="0"/>
          <w:highlight w:val="none"/>
        </w:rPr>
        <w:t>；</w:t>
      </w:r>
    </w:p>
    <w:p>
      <w:pPr>
        <w:snapToGrid w:val="0"/>
        <w:spacing w:line="360" w:lineRule="auto"/>
        <w:ind w:firstLine="540" w:firstLineChars="225"/>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zh-CN"/>
        </w:rPr>
        <w:t>11.3.5</w:t>
      </w:r>
      <w:r>
        <w:rPr>
          <w:rFonts w:hint="eastAsia" w:ascii="仿宋_GB2312" w:hAnsi="仿宋" w:eastAsia="仿宋_GB2312" w:cs="仿宋"/>
          <w:color w:val="auto"/>
          <w:kern w:val="0"/>
          <w:sz w:val="24"/>
          <w:highlight w:val="none"/>
          <w:lang w:val="zh-CN"/>
        </w:rPr>
        <w:t>投标人认为需要的其他商务文件或说明；</w:t>
      </w:r>
      <w:r>
        <w:rPr>
          <w:rFonts w:hint="eastAsia" w:ascii="仿宋_GB2312" w:hAnsi="仿宋" w:eastAsia="仿宋_GB2312" w:cs="仿宋"/>
          <w:color w:val="auto"/>
          <w:sz w:val="24"/>
          <w:highlight w:val="none"/>
        </w:rPr>
        <w:t xml:space="preserve"> </w:t>
      </w:r>
    </w:p>
    <w:p>
      <w:pPr>
        <w:pStyle w:val="32"/>
        <w:snapToGrid w:val="0"/>
        <w:spacing w:line="360" w:lineRule="auto"/>
        <w:ind w:firstLine="480" w:firstLineChars="200"/>
        <w:rPr>
          <w:rFonts w:hint="eastAsia" w:ascii="仿宋_GB2312" w:hAnsi="仿宋" w:eastAsia="仿宋_GB2312" w:cs="仿宋"/>
          <w:color w:val="auto"/>
          <w:sz w:val="24"/>
          <w:highlight w:val="none"/>
          <w:lang w:val="zh-CN"/>
        </w:rPr>
      </w:pPr>
      <w:r>
        <w:rPr>
          <w:rFonts w:hint="eastAsia" w:ascii="仿宋_GB2312" w:hAnsi="仿宋" w:eastAsia="仿宋_GB2312" w:cs="仿宋"/>
          <w:color w:val="auto"/>
          <w:sz w:val="24"/>
          <w:highlight w:val="none"/>
          <w:lang w:val="zh-CN"/>
        </w:rPr>
        <w:t>11.3.6投标人应提供针对项目的完整技术解决方案；</w:t>
      </w:r>
    </w:p>
    <w:p>
      <w:pPr>
        <w:snapToGrid w:val="0"/>
        <w:spacing w:line="360" w:lineRule="auto"/>
        <w:ind w:firstLine="480" w:firstLineChars="20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lang w:val="zh-CN"/>
        </w:rPr>
        <w:t>针对本项目的完整技术解决方案和实施方案；详细阐述项目方案的实现思路及关键技术；符合本项目对当前和未来发展的要求；以及对功能设计和实施计划的建议；</w:t>
      </w:r>
    </w:p>
    <w:p>
      <w:pPr>
        <w:pStyle w:val="32"/>
        <w:snapToGrid w:val="0"/>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
          <w:b/>
          <w:color w:val="auto"/>
          <w:kern w:val="0"/>
          <w:sz w:val="24"/>
          <w:highlight w:val="none"/>
          <w:lang w:val="zh-CN"/>
        </w:rPr>
        <w:t>任何含糊不清的</w:t>
      </w:r>
      <w:r>
        <w:rPr>
          <w:rFonts w:hint="eastAsia" w:ascii="仿宋_GB2312" w:hAnsi="仿宋" w:eastAsia="仿宋_GB2312" w:cs="仿宋"/>
          <w:b/>
          <w:color w:val="auto"/>
          <w:sz w:val="24"/>
          <w:highlight w:val="none"/>
        </w:rPr>
        <w:t>表述导致</w:t>
      </w:r>
      <w:r>
        <w:rPr>
          <w:rFonts w:hint="eastAsia" w:ascii="仿宋_GB2312" w:hAnsi="仿宋" w:eastAsia="仿宋_GB2312" w:cs="仿宋"/>
          <w:b/>
          <w:color w:val="auto"/>
          <w:kern w:val="0"/>
          <w:sz w:val="24"/>
          <w:highlight w:val="none"/>
          <w:lang w:val="zh-CN"/>
        </w:rPr>
        <w:t>评标委员会技术扣分直至认定为投标无效都将是投标人的责任</w:t>
      </w:r>
      <w:r>
        <w:rPr>
          <w:rFonts w:hint="eastAsia" w:ascii="仿宋_GB2312" w:hAnsi="仿宋" w:eastAsia="仿宋_GB2312" w:cs="仿宋"/>
          <w:color w:val="auto"/>
          <w:sz w:val="24"/>
          <w:highlight w:val="none"/>
        </w:rPr>
        <w:t>。</w:t>
      </w:r>
    </w:p>
    <w:p>
      <w:pPr>
        <w:pStyle w:val="32"/>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本项目如需采购政府强制采购的节能产品的或投标人提供的产品是环境标志产品，投标人按格式提供节能产品、环境标志产品认证证书复印件；</w:t>
      </w:r>
    </w:p>
    <w:p>
      <w:pPr>
        <w:pStyle w:val="32"/>
        <w:snapToGrid w:val="0"/>
        <w:spacing w:line="360" w:lineRule="auto"/>
        <w:ind w:firstLine="480" w:firstLineChars="20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lang w:val="zh-CN"/>
        </w:rPr>
        <w:t>11.3.7</w:t>
      </w:r>
      <w:r>
        <w:rPr>
          <w:rFonts w:hint="eastAsia" w:ascii="仿宋_GB2312" w:hAnsi="仿宋" w:eastAsia="仿宋_GB2312" w:cs="仿宋"/>
          <w:color w:val="auto"/>
          <w:sz w:val="24"/>
          <w:highlight w:val="none"/>
        </w:rPr>
        <w:t>投标人在投标文件技术偏离说明表中，</w:t>
      </w:r>
      <w:r>
        <w:rPr>
          <w:rFonts w:hint="eastAsia" w:ascii="仿宋_GB2312" w:hAnsi="仿宋" w:eastAsia="仿宋_GB2312" w:cs="仿宋"/>
          <w:color w:val="auto"/>
          <w:kern w:val="0"/>
          <w:sz w:val="24"/>
          <w:highlight w:val="none"/>
          <w:lang w:val="zh-CN"/>
        </w:rPr>
        <w:t>应对</w:t>
      </w:r>
      <w:r>
        <w:rPr>
          <w:rFonts w:hint="eastAsia" w:ascii="仿宋_GB2312" w:hAnsi="仿宋" w:eastAsia="仿宋_GB2312" w:cs="仿宋"/>
          <w:color w:val="auto"/>
          <w:sz w:val="24"/>
          <w:highlight w:val="none"/>
        </w:rPr>
        <w:t>采购需求</w:t>
      </w:r>
      <w:r>
        <w:rPr>
          <w:rFonts w:hint="eastAsia" w:ascii="仿宋_GB2312" w:hAnsi="仿宋" w:eastAsia="仿宋_GB2312" w:cs="仿宋"/>
          <w:color w:val="auto"/>
          <w:kern w:val="0"/>
          <w:sz w:val="24"/>
          <w:highlight w:val="none"/>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lang w:val="zh-CN"/>
        </w:rPr>
        <w:t>11.3.8</w:t>
      </w:r>
      <w:r>
        <w:rPr>
          <w:rFonts w:hint="eastAsia" w:ascii="仿宋_GB2312" w:hAnsi="仿宋" w:eastAsia="仿宋_GB2312" w:cs="仿宋"/>
          <w:color w:val="auto"/>
          <w:kern w:val="0"/>
          <w:sz w:val="24"/>
          <w:highlight w:val="none"/>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lang w:val="zh-CN"/>
        </w:rPr>
        <w:t>11.3.9</w:t>
      </w:r>
      <w:r>
        <w:rPr>
          <w:rFonts w:hint="eastAsia" w:ascii="仿宋_GB2312" w:hAnsi="仿宋" w:eastAsia="仿宋_GB2312" w:cs="仿宋"/>
          <w:color w:val="auto"/>
          <w:kern w:val="0"/>
          <w:sz w:val="24"/>
          <w:highlight w:val="none"/>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lang w:val="zh-CN"/>
        </w:rPr>
        <w:t>11.3.10</w:t>
      </w:r>
      <w:r>
        <w:rPr>
          <w:rFonts w:hint="eastAsia" w:ascii="仿宋_GB2312" w:hAnsi="仿宋" w:eastAsia="仿宋_GB2312" w:cs="仿宋"/>
          <w:color w:val="auto"/>
          <w:kern w:val="0"/>
          <w:sz w:val="24"/>
          <w:highlight w:val="none"/>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lang w:val="zh-CN"/>
        </w:rPr>
        <w:t>11.3.11</w:t>
      </w:r>
      <w:r>
        <w:rPr>
          <w:rFonts w:hint="eastAsia" w:ascii="仿宋_GB2312" w:hAnsi="仿宋" w:eastAsia="仿宋_GB2312" w:cs="仿宋"/>
          <w:color w:val="auto"/>
          <w:kern w:val="0"/>
          <w:sz w:val="24"/>
          <w:highlight w:val="none"/>
          <w:lang w:val="zh-CN"/>
        </w:rPr>
        <w:t>优惠条件及特殊承诺；</w:t>
      </w:r>
    </w:p>
    <w:p>
      <w:pPr>
        <w:tabs>
          <w:tab w:val="left" w:pos="0"/>
          <w:tab w:val="left" w:pos="840"/>
        </w:tabs>
        <w:autoSpaceDE w:val="0"/>
        <w:autoSpaceDN w:val="0"/>
        <w:spacing w:line="360" w:lineRule="auto"/>
        <w:ind w:firstLine="360" w:firstLineChars="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lang w:val="zh-CN"/>
        </w:rPr>
        <w:t>11.3.12</w:t>
      </w:r>
      <w:r>
        <w:rPr>
          <w:rFonts w:hint="eastAsia" w:ascii="仿宋_GB2312" w:hAnsi="仿宋" w:eastAsia="仿宋_GB2312" w:cs="仿宋"/>
          <w:color w:val="auto"/>
          <w:kern w:val="0"/>
          <w:sz w:val="24"/>
          <w:highlight w:val="none"/>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lang w:val="zh-CN"/>
        </w:rPr>
        <w:t>11.3.13</w:t>
      </w:r>
      <w:r>
        <w:rPr>
          <w:rFonts w:hint="eastAsia" w:ascii="仿宋_GB2312" w:hAnsi="仿宋" w:eastAsia="仿宋_GB2312" w:cs="仿宋"/>
          <w:color w:val="auto"/>
          <w:kern w:val="0"/>
          <w:sz w:val="24"/>
          <w:highlight w:val="none"/>
          <w:lang w:val="zh-CN"/>
        </w:rPr>
        <w:t>培训计划；（如果有）</w:t>
      </w:r>
    </w:p>
    <w:p>
      <w:pPr>
        <w:pStyle w:val="32"/>
        <w:spacing w:line="360" w:lineRule="auto"/>
        <w:ind w:firstLine="360" w:firstLineChars="150"/>
        <w:rPr>
          <w:rFonts w:hint="eastAsia" w:ascii="仿宋_GB2312" w:hAnsi="仿宋" w:eastAsia="仿宋_GB2312" w:cs="仿宋"/>
          <w:color w:val="auto"/>
          <w:kern w:val="0"/>
          <w:sz w:val="24"/>
          <w:szCs w:val="24"/>
          <w:highlight w:val="none"/>
          <w:lang w:val="zh-CN"/>
        </w:rPr>
      </w:pPr>
      <w:r>
        <w:rPr>
          <w:rFonts w:hint="eastAsia" w:ascii="仿宋_GB2312" w:hAnsi="仿宋" w:eastAsia="仿宋_GB2312" w:cs="仿宋"/>
          <w:color w:val="auto"/>
          <w:sz w:val="24"/>
          <w:highlight w:val="none"/>
          <w:lang w:val="zh-CN"/>
        </w:rPr>
        <w:t>11.3.14</w:t>
      </w:r>
      <w:r>
        <w:rPr>
          <w:rFonts w:hint="eastAsia" w:ascii="仿宋_GB2312" w:hAnsi="仿宋" w:eastAsia="仿宋_GB2312" w:cs="仿宋"/>
          <w:color w:val="auto"/>
          <w:kern w:val="0"/>
          <w:sz w:val="24"/>
          <w:szCs w:val="24"/>
          <w:highlight w:val="none"/>
          <w:lang w:val="zh-CN"/>
        </w:rPr>
        <w:t>投标人认为需要的其他技术文件或说明；</w:t>
      </w:r>
    </w:p>
    <w:p>
      <w:pPr>
        <w:tabs>
          <w:tab w:val="left" w:pos="0"/>
        </w:tabs>
        <w:autoSpaceDE w:val="0"/>
        <w:autoSpaceDN w:val="0"/>
        <w:spacing w:line="360" w:lineRule="auto"/>
        <w:ind w:firstLine="360" w:firstLineChars="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lang w:val="zh-CN"/>
        </w:rPr>
        <w:t>11.3.15</w:t>
      </w:r>
      <w:r>
        <w:rPr>
          <w:rFonts w:hint="eastAsia" w:ascii="仿宋_GB2312" w:hAnsi="仿宋" w:eastAsia="仿宋_GB2312" w:cs="仿宋"/>
          <w:color w:val="auto"/>
          <w:kern w:val="0"/>
          <w:sz w:val="24"/>
          <w:highlight w:val="none"/>
          <w:lang w:val="zh-CN"/>
        </w:rPr>
        <w:t>关于对招标文件商务、合同中有关条款的拒绝声明。（如果有）</w:t>
      </w:r>
    </w:p>
    <w:p>
      <w:pPr>
        <w:tabs>
          <w:tab w:val="left" w:pos="0"/>
        </w:tabs>
        <w:autoSpaceDE w:val="0"/>
        <w:autoSpaceDN w:val="0"/>
        <w:spacing w:line="360" w:lineRule="auto"/>
        <w:ind w:firstLine="360" w:firstLineChars="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11.3.16政府采购供应商廉洁自律承诺书；</w:t>
      </w:r>
    </w:p>
    <w:p>
      <w:pPr>
        <w:tabs>
          <w:tab w:val="left" w:pos="0"/>
        </w:tabs>
        <w:autoSpaceDE w:val="0"/>
        <w:autoSpaceDN w:val="0"/>
        <w:spacing w:line="360" w:lineRule="auto"/>
        <w:ind w:firstLine="360" w:firstLineChars="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11.3.17廉政承诺书。</w:t>
      </w:r>
    </w:p>
    <w:p>
      <w:pPr>
        <w:spacing w:line="360" w:lineRule="auto"/>
        <w:ind w:firstLine="482" w:firstLineChars="20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▲投标文件组成漏项，内容不全或内容字迹模糊辨认不清的，投标无效；</w:t>
      </w:r>
    </w:p>
    <w:p>
      <w:pPr>
        <w:spacing w:line="360" w:lineRule="auto"/>
        <w:ind w:firstLine="482" w:firstLineChars="20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▲投标文件含有采购人不能接受的附加条件的，投标无效；</w:t>
      </w:r>
    </w:p>
    <w:p>
      <w:pPr>
        <w:spacing w:line="360" w:lineRule="auto"/>
        <w:ind w:firstLine="482" w:firstLineChars="200"/>
        <w:rPr>
          <w:rFonts w:hint="eastAsia" w:ascii="仿宋_GB2312" w:hAnsi="仿宋" w:eastAsia="仿宋_GB2312" w:cs="仿宋"/>
          <w:b/>
          <w:color w:val="auto"/>
          <w:sz w:val="24"/>
          <w:szCs w:val="21"/>
          <w:highlight w:val="none"/>
        </w:rPr>
      </w:pPr>
      <w:r>
        <w:rPr>
          <w:rFonts w:hint="eastAsia" w:ascii="仿宋_GB2312" w:hAnsi="仿宋" w:eastAsia="仿宋_GB2312" w:cs="仿宋"/>
          <w:b/>
          <w:color w:val="auto"/>
          <w:sz w:val="24"/>
          <w:highlight w:val="none"/>
        </w:rPr>
        <w:t>▲投标人提供虚假材料投标的，投标无效。</w:t>
      </w:r>
    </w:p>
    <w:p>
      <w:pPr>
        <w:pStyle w:val="237"/>
        <w:snapToGrid w:val="0"/>
        <w:spacing w:before="0"/>
        <w:ind w:firstLine="0" w:firstLineChars="0"/>
        <w:outlineLvl w:val="0"/>
        <w:rPr>
          <w:rFonts w:hint="eastAsia" w:ascii="仿宋_GB2312" w:hAnsi="仿宋" w:eastAsia="仿宋_GB2312" w:cs="仿宋"/>
          <w:b/>
          <w:color w:val="auto"/>
          <w:szCs w:val="24"/>
          <w:highlight w:val="none"/>
        </w:rPr>
      </w:pPr>
      <w:bookmarkStart w:id="27" w:name="_Toc91899887"/>
      <w:r>
        <w:rPr>
          <w:rFonts w:hint="eastAsia" w:ascii="仿宋_GB2312" w:hAnsi="仿宋" w:eastAsia="仿宋_GB2312" w:cs="仿宋"/>
          <w:b/>
          <w:color w:val="auto"/>
          <w:szCs w:val="24"/>
          <w:highlight w:val="none"/>
        </w:rPr>
        <w:t>12</w:t>
      </w:r>
      <w:r>
        <w:rPr>
          <w:rFonts w:hint="eastAsia" w:ascii="仿宋_GB2312" w:hAnsi="仿宋" w:eastAsia="仿宋_GB2312" w:cs="仿宋"/>
          <w:b/>
          <w:color w:val="auto"/>
          <w:kern w:val="0"/>
          <w:szCs w:val="24"/>
          <w:highlight w:val="none"/>
          <w:lang w:val="zh-CN"/>
        </w:rPr>
        <w:t xml:space="preserve">. </w:t>
      </w:r>
      <w:r>
        <w:rPr>
          <w:rFonts w:hint="eastAsia" w:ascii="仿宋_GB2312" w:hAnsi="仿宋" w:eastAsia="仿宋_GB2312" w:cs="仿宋"/>
          <w:b/>
          <w:color w:val="auto"/>
          <w:szCs w:val="24"/>
          <w:highlight w:val="none"/>
        </w:rPr>
        <w:t>投标文件的编制</w:t>
      </w:r>
    </w:p>
    <w:p>
      <w:pPr>
        <w:spacing w:line="360" w:lineRule="auto"/>
        <w:ind w:firstLine="480" w:firstLineChars="200"/>
        <w:rPr>
          <w:rFonts w:hint="eastAsia" w:ascii="仿宋_GB2312" w:hAnsi="仿宋" w:eastAsia="仿宋_GB2312" w:cs="仿宋"/>
          <w:b/>
          <w:color w:val="auto"/>
          <w:sz w:val="24"/>
          <w:highlight w:val="none"/>
        </w:rPr>
      </w:pPr>
      <w:r>
        <w:rPr>
          <w:rFonts w:hint="eastAsia" w:ascii="仿宋_GB2312" w:hAnsi="仿宋" w:eastAsia="仿宋_GB2312"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 w:eastAsia="仿宋_GB2312" w:cs="仿宋"/>
          <w:b/>
          <w:color w:val="auto"/>
          <w:sz w:val="24"/>
          <w:highlight w:val="none"/>
        </w:rPr>
        <w:t>▲投标文件未按规定的格式编制的，投标无效；</w:t>
      </w:r>
    </w:p>
    <w:p>
      <w:pPr>
        <w:spacing w:line="360" w:lineRule="auto"/>
        <w:ind w:firstLine="480" w:firstLineChars="20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bookmarkEnd w:id="27"/>
    <w:p>
      <w:pPr>
        <w:snapToGrid w:val="0"/>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13.投标文件的签署、盖章</w:t>
      </w:r>
    </w:p>
    <w:p>
      <w:pPr>
        <w:pStyle w:val="237"/>
        <w:snapToGrid w:val="0"/>
        <w:spacing w:before="0"/>
        <w:ind w:firstLine="480"/>
        <w:rPr>
          <w:rFonts w:hint="eastAsia" w:ascii="仿宋_GB2312" w:hAnsi="仿宋" w:eastAsia="仿宋_GB2312" w:cs="仿宋"/>
          <w:b/>
          <w:color w:val="auto"/>
          <w:highlight w:val="none"/>
        </w:rPr>
      </w:pPr>
      <w:r>
        <w:rPr>
          <w:rFonts w:hint="eastAsia" w:ascii="仿宋_GB2312" w:hAnsi="仿宋" w:eastAsia="仿宋_GB2312" w:cs="仿宋"/>
          <w:color w:val="auto"/>
          <w:szCs w:val="24"/>
          <w:highlight w:val="none"/>
        </w:rPr>
        <w:t>13.1投标文件按照招标文件第六部分格式要</w:t>
      </w:r>
      <w:r>
        <w:rPr>
          <w:rFonts w:hint="eastAsia" w:ascii="仿宋_GB2312" w:hAnsi="仿宋" w:eastAsia="仿宋_GB2312" w:cs="仿宋"/>
          <w:color w:val="auto"/>
          <w:highlight w:val="none"/>
        </w:rPr>
        <w:t>求进行签署、盖章。</w:t>
      </w:r>
      <w:r>
        <w:rPr>
          <w:rFonts w:hint="eastAsia" w:ascii="仿宋_GB2312" w:hAnsi="仿宋" w:eastAsia="仿宋_GB2312" w:cs="仿宋"/>
          <w:b/>
          <w:color w:val="auto"/>
          <w:highlight w:val="none"/>
        </w:rPr>
        <w:t>投标人的投标文件未按照招标文件要求签署、盖章的，其投标无效</w:t>
      </w:r>
      <w:r>
        <w:rPr>
          <w:rFonts w:hint="eastAsia" w:ascii="仿宋_GB2312" w:hAnsi="仿宋" w:eastAsia="仿宋_GB2312" w:cs="仿宋"/>
          <w:color w:val="auto"/>
          <w:szCs w:val="24"/>
          <w:highlight w:val="none"/>
        </w:rPr>
        <w:t>。</w:t>
      </w:r>
    </w:p>
    <w:p>
      <w:pPr>
        <w:pStyle w:val="237"/>
        <w:snapToGrid w:val="0"/>
        <w:spacing w:before="0"/>
        <w:ind w:firstLine="482"/>
        <w:rPr>
          <w:rFonts w:hint="eastAsia" w:ascii="仿宋_GB2312" w:hAnsi="仿宋" w:eastAsia="仿宋_GB2312" w:cs="仿宋"/>
          <w:color w:val="auto"/>
          <w:szCs w:val="24"/>
          <w:highlight w:val="none"/>
        </w:rPr>
      </w:pPr>
      <w:r>
        <w:rPr>
          <w:rFonts w:hint="eastAsia" w:ascii="仿宋_GB2312" w:hAnsi="仿宋" w:eastAsia="仿宋_GB2312" w:cs="仿宋"/>
          <w:b/>
          <w:color w:val="auto"/>
          <w:highlight w:val="none"/>
        </w:rPr>
        <w:t>13.2</w:t>
      </w:r>
      <w:r>
        <w:rPr>
          <w:rFonts w:hint="eastAsia" w:ascii="仿宋_GB2312" w:hAnsi="仿宋" w:eastAsia="仿宋_GB2312" w:cs="仿宋"/>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237"/>
        <w:spacing w:before="0"/>
        <w:ind w:firstLine="0" w:firstLineChars="0"/>
        <w:rPr>
          <w:rFonts w:hint="eastAsia" w:ascii="仿宋_GB2312" w:hAnsi="仿宋" w:eastAsia="仿宋_GB2312" w:cs="仿宋"/>
          <w:b/>
          <w:color w:val="auto"/>
          <w:szCs w:val="24"/>
          <w:highlight w:val="none"/>
        </w:rPr>
      </w:pPr>
      <w:r>
        <w:rPr>
          <w:rFonts w:hint="eastAsia" w:ascii="仿宋_GB2312" w:hAnsi="仿宋" w:eastAsia="仿宋_GB2312" w:cs="仿宋"/>
          <w:b/>
          <w:color w:val="auto"/>
          <w:szCs w:val="24"/>
          <w:highlight w:val="none"/>
        </w:rPr>
        <w:t>14. 投标文件的提交、补充、修改、撤回</w:t>
      </w:r>
    </w:p>
    <w:p>
      <w:pPr>
        <w:pStyle w:val="237"/>
        <w:ind w:firstLine="480"/>
        <w:rPr>
          <w:rFonts w:hint="eastAsia" w:ascii="仿宋_GB2312" w:hAnsi="仿宋" w:eastAsia="仿宋_GB2312" w:cs="仿宋"/>
          <w:color w:val="auto"/>
          <w:szCs w:val="24"/>
          <w:highlight w:val="none"/>
        </w:rPr>
      </w:pPr>
      <w:r>
        <w:rPr>
          <w:rFonts w:hint="eastAsia" w:ascii="仿宋_GB2312" w:hAnsi="仿宋" w:eastAsia="仿宋_GB2312"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7"/>
        <w:spacing w:before="0"/>
        <w:ind w:firstLine="600" w:firstLineChars="250"/>
        <w:rPr>
          <w:rFonts w:hint="eastAsia" w:ascii="仿宋_GB2312" w:hAnsi="仿宋" w:eastAsia="仿宋_GB2312" w:cs="仿宋"/>
          <w:color w:val="auto"/>
          <w:szCs w:val="24"/>
          <w:highlight w:val="none"/>
        </w:rPr>
      </w:pPr>
      <w:r>
        <w:rPr>
          <w:rFonts w:hint="eastAsia" w:ascii="仿宋_GB2312" w:hAnsi="仿宋" w:eastAsia="仿宋_GB2312"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37"/>
        <w:spacing w:before="0"/>
        <w:ind w:firstLine="480"/>
        <w:rPr>
          <w:rFonts w:hint="eastAsia" w:ascii="仿宋_GB2312" w:hAnsi="仿宋" w:eastAsia="仿宋_GB2312" w:cs="仿宋"/>
          <w:color w:val="auto"/>
          <w:szCs w:val="24"/>
          <w:highlight w:val="none"/>
        </w:rPr>
      </w:pPr>
      <w:r>
        <w:rPr>
          <w:rFonts w:hint="eastAsia" w:ascii="仿宋_GB2312" w:hAnsi="仿宋" w:eastAsia="仿宋_GB2312" w:cs="仿宋"/>
          <w:color w:val="auto"/>
          <w:szCs w:val="24"/>
          <w:highlight w:val="none"/>
        </w:rPr>
        <w:t>14.3采购机构可以视情况延长投标文件提交的截止时间。在上述情况下，采购机构与投标人以前在投标截止期方面的全部权利、责任和义务，将适用于延长至新的投标截止期。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15.备份投标文件</w:t>
      </w:r>
    </w:p>
    <w:p>
      <w:pPr>
        <w:pStyle w:val="32"/>
        <w:spacing w:line="360" w:lineRule="auto"/>
        <w:ind w:firstLine="360" w:firstLineChars="150"/>
        <w:rPr>
          <w:rFonts w:hint="eastAsia" w:ascii="仿宋_GB2312" w:hAnsi="仿宋" w:eastAsia="仿宋_GB2312" w:cs="仿宋"/>
          <w:b/>
          <w:color w:val="auto"/>
          <w:sz w:val="24"/>
          <w:szCs w:val="24"/>
          <w:highlight w:val="none"/>
        </w:rPr>
      </w:pPr>
      <w:r>
        <w:rPr>
          <w:rFonts w:hint="eastAsia" w:ascii="仿宋_GB2312" w:hAnsi="仿宋" w:eastAsia="仿宋_GB2312"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
          <w:b/>
          <w:color w:val="auto"/>
          <w:sz w:val="24"/>
          <w:szCs w:val="24"/>
          <w:highlight w:val="none"/>
        </w:rPr>
        <w:t>但采购人、采购机构不强制或变相强制投标人提交备份投标文件。</w:t>
      </w:r>
    </w:p>
    <w:p>
      <w:pPr>
        <w:pStyle w:val="32"/>
        <w:spacing w:line="360" w:lineRule="auto"/>
        <w:ind w:firstLine="360" w:firstLineChars="150"/>
        <w:rPr>
          <w:rFonts w:hint="eastAsia" w:ascii="仿宋_GB2312" w:hAnsi="仿宋" w:eastAsia="仿宋_GB2312" w:cs="仿宋"/>
          <w:b/>
          <w:color w:val="auto"/>
          <w:sz w:val="24"/>
          <w:szCs w:val="24"/>
          <w:highlight w:val="none"/>
        </w:rPr>
      </w:pPr>
      <w:r>
        <w:rPr>
          <w:rFonts w:hint="eastAsia" w:ascii="仿宋_GB2312" w:hAnsi="仿宋" w:eastAsia="仿宋_GB2312" w:cs="仿宋"/>
          <w:color w:val="auto"/>
          <w:sz w:val="24"/>
          <w:szCs w:val="24"/>
          <w:highlight w:val="none"/>
        </w:rPr>
        <w:t>15.2备份投标文件须在“政采云投标客户端”制作生成，并储存在</w:t>
      </w:r>
      <w:r>
        <w:rPr>
          <w:rFonts w:hint="eastAsia" w:ascii="仿宋_GB2312" w:hAnsi="仿宋" w:eastAsia="仿宋_GB2312" w:cs="仿宋"/>
          <w:color w:val="auto"/>
          <w:sz w:val="24"/>
          <w:highlight w:val="none"/>
        </w:rPr>
        <w:t>DVD光盘</w:t>
      </w:r>
      <w:r>
        <w:rPr>
          <w:rFonts w:hint="eastAsia" w:ascii="仿宋_GB2312" w:hAnsi="仿宋" w:eastAsia="仿宋_GB2312"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_GB2312" w:hAnsi="仿宋" w:eastAsia="仿宋_GB2312" w:cs="仿宋"/>
          <w:b/>
          <w:color w:val="auto"/>
          <w:sz w:val="24"/>
          <w:highlight w:val="none"/>
        </w:rPr>
        <w:t>▲不符合上述制作、</w:t>
      </w:r>
      <w:r>
        <w:rPr>
          <w:rFonts w:hint="eastAsia" w:ascii="仿宋_GB2312" w:hAnsi="仿宋" w:eastAsia="仿宋_GB2312" w:cs="仿宋"/>
          <w:b/>
          <w:color w:val="auto"/>
          <w:sz w:val="24"/>
          <w:szCs w:val="24"/>
          <w:highlight w:val="none"/>
        </w:rPr>
        <w:t>存储、密封规定的备份投标文件将被视为无效或者被拒绝接收。</w:t>
      </w:r>
    </w:p>
    <w:p>
      <w:pPr>
        <w:pStyle w:val="32"/>
        <w:spacing w:line="360" w:lineRule="auto"/>
        <w:ind w:firstLine="360" w:firstLineChars="15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360" w:firstLineChars="15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杭州市之江路925号临江金座2号楼1010室（杭州市公共资源交易中心政府采购处）；送达时间以签收人签收时间为准（签收人：徐莉， 联系电话：0571-87008103）。采购机构将拒绝接受逾期送达的备份投标文件。邮寄过程中，电子备份投标文件发生泄露、遗失、损坏或延期送达等情况的，由投标人自行负责。</w:t>
      </w:r>
    </w:p>
    <w:p>
      <w:pPr>
        <w:pStyle w:val="32"/>
        <w:spacing w:line="360" w:lineRule="auto"/>
        <w:ind w:firstLine="361" w:firstLineChars="150"/>
        <w:rPr>
          <w:rFonts w:hint="eastAsia"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15.5投标人仅提交备份投标文件，没有在电子交易平台传输递交投标文件的，投标无效。</w:t>
      </w:r>
    </w:p>
    <w:bookmarkEnd w:id="22"/>
    <w:bookmarkEnd w:id="23"/>
    <w:p>
      <w:pPr>
        <w:pStyle w:val="237"/>
        <w:spacing w:before="0"/>
        <w:ind w:firstLine="0" w:firstLineChars="0"/>
        <w:rPr>
          <w:rFonts w:hint="eastAsia" w:ascii="仿宋_GB2312" w:hAnsi="仿宋" w:eastAsia="仿宋_GB2312" w:cs="仿宋"/>
          <w:b/>
          <w:color w:val="auto"/>
          <w:szCs w:val="24"/>
          <w:highlight w:val="none"/>
        </w:rPr>
      </w:pPr>
      <w:bookmarkStart w:id="28" w:name="_Toc164416483"/>
      <w:bookmarkStart w:id="29" w:name="第三部分"/>
      <w:r>
        <w:rPr>
          <w:rFonts w:hint="eastAsia" w:ascii="仿宋_GB2312" w:hAnsi="仿宋" w:eastAsia="仿宋_GB2312" w:cs="仿宋"/>
          <w:b/>
          <w:color w:val="auto"/>
          <w:szCs w:val="24"/>
          <w:highlight w:val="none"/>
        </w:rPr>
        <w:t>16.投标文件的无效处理</w:t>
      </w:r>
    </w:p>
    <w:p>
      <w:pPr>
        <w:pStyle w:val="24"/>
        <w:spacing w:line="360" w:lineRule="auto"/>
        <w:ind w:firstLine="360" w:firstLineChars="150"/>
        <w:rPr>
          <w:rFonts w:hint="eastAsia" w:ascii="仿宋_GB2312" w:hAnsi="仿宋" w:eastAsia="仿宋_GB2312" w:cs="仿宋"/>
          <w:color w:val="auto"/>
          <w:szCs w:val="21"/>
          <w:highlight w:val="none"/>
        </w:rPr>
      </w:pPr>
      <w:r>
        <w:rPr>
          <w:rFonts w:hint="eastAsia" w:ascii="仿宋_GB2312" w:hAnsi="仿宋" w:eastAsia="仿宋_GB2312" w:cs="仿宋"/>
          <w:color w:val="auto"/>
          <w:szCs w:val="21"/>
          <w:highlight w:val="none"/>
        </w:rPr>
        <w:t>有招标文件第四部分</w:t>
      </w:r>
      <w:r>
        <w:rPr>
          <w:rFonts w:hint="eastAsia" w:ascii="仿宋_GB2312" w:hAnsi="仿宋" w:eastAsia="仿宋_GB2312" w:cs="仿宋"/>
          <w:color w:val="auto"/>
          <w:highlight w:val="none"/>
        </w:rPr>
        <w:t>第13项规定</w:t>
      </w:r>
      <w:r>
        <w:rPr>
          <w:rFonts w:hint="eastAsia" w:ascii="仿宋_GB2312" w:hAnsi="仿宋" w:eastAsia="仿宋_GB2312" w:cs="仿宋"/>
          <w:color w:val="auto"/>
          <w:szCs w:val="21"/>
          <w:highlight w:val="none"/>
        </w:rPr>
        <w:t>的情形之一的，投标无效：</w:t>
      </w:r>
    </w:p>
    <w:p>
      <w:pPr>
        <w:pStyle w:val="237"/>
        <w:spacing w:before="0"/>
        <w:ind w:firstLine="0" w:firstLineChars="0"/>
        <w:rPr>
          <w:rFonts w:hint="eastAsia" w:ascii="仿宋_GB2312" w:hAnsi="仿宋" w:eastAsia="仿宋_GB2312" w:cs="仿宋"/>
          <w:b/>
          <w:color w:val="auto"/>
          <w:szCs w:val="24"/>
          <w:highlight w:val="none"/>
        </w:rPr>
      </w:pPr>
      <w:r>
        <w:rPr>
          <w:rFonts w:hint="eastAsia" w:ascii="仿宋_GB2312" w:hAnsi="仿宋" w:eastAsia="仿宋_GB2312" w:cs="仿宋"/>
          <w:b/>
          <w:color w:val="auto"/>
          <w:szCs w:val="24"/>
          <w:highlight w:val="none"/>
        </w:rPr>
        <w:t>17.投标有效期</w:t>
      </w:r>
    </w:p>
    <w:p>
      <w:pPr>
        <w:spacing w:line="360" w:lineRule="auto"/>
        <w:ind w:firstLine="480" w:firstLineChars="200"/>
        <w:rPr>
          <w:rFonts w:hint="eastAsia" w:ascii="仿宋_GB2312" w:hAnsi="仿宋" w:eastAsia="仿宋_GB2312" w:cs="仿宋"/>
          <w:b/>
          <w:color w:val="auto"/>
          <w:sz w:val="24"/>
          <w:szCs w:val="21"/>
          <w:highlight w:val="none"/>
        </w:rPr>
      </w:pPr>
      <w:r>
        <w:rPr>
          <w:rFonts w:hint="eastAsia" w:ascii="仿宋_GB2312" w:hAnsi="仿宋" w:eastAsia="仿宋_GB2312" w:cs="仿宋"/>
          <w:color w:val="auto"/>
          <w:sz w:val="24"/>
          <w:szCs w:val="20"/>
          <w:highlight w:val="none"/>
        </w:rPr>
        <w:t>17.1投标有效期为从提交投标文件的截止之日起90天。▲</w:t>
      </w:r>
      <w:r>
        <w:rPr>
          <w:rFonts w:hint="eastAsia" w:ascii="仿宋_GB2312" w:hAnsi="仿宋" w:eastAsia="仿宋_GB2312" w:cs="仿宋"/>
          <w:b/>
          <w:color w:val="auto"/>
          <w:sz w:val="24"/>
          <w:szCs w:val="20"/>
          <w:highlight w:val="none"/>
        </w:rPr>
        <w:t>投标人的投标文件中承</w:t>
      </w:r>
      <w:r>
        <w:rPr>
          <w:rFonts w:hint="eastAsia" w:ascii="仿宋_GB2312" w:hAnsi="仿宋" w:eastAsia="仿宋_GB2312" w:cs="仿宋"/>
          <w:b/>
          <w:color w:val="auto"/>
          <w:sz w:val="24"/>
          <w:szCs w:val="21"/>
          <w:highlight w:val="none"/>
        </w:rPr>
        <w:t>诺的投标有效期少于招标文件中载明的投标有效期的，投标无效。</w:t>
      </w:r>
    </w:p>
    <w:p>
      <w:pPr>
        <w:pStyle w:val="237"/>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17.2投标文件合格投递后，自投标截止日期起，在投标有效期内有效。</w:t>
      </w:r>
    </w:p>
    <w:p>
      <w:pPr>
        <w:pStyle w:val="237"/>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37"/>
        <w:spacing w:before="0"/>
        <w:ind w:firstLine="643"/>
        <w:rPr>
          <w:rFonts w:hint="eastAsia" w:ascii="仿宋_GB2312" w:hAnsi="仿宋" w:eastAsia="仿宋_GB2312" w:cs="仿宋"/>
          <w:b/>
          <w:color w:val="auto"/>
          <w:sz w:val="32"/>
          <w:highlight w:val="none"/>
        </w:rPr>
      </w:pPr>
      <w:bookmarkStart w:id="30" w:name="_Toc91899897"/>
    </w:p>
    <w:p>
      <w:pPr>
        <w:pStyle w:val="237"/>
        <w:spacing w:before="0"/>
        <w:ind w:firstLine="1928" w:firstLineChars="600"/>
        <w:rPr>
          <w:rFonts w:hint="eastAsia" w:ascii="仿宋_GB2312" w:hAnsi="仿宋" w:eastAsia="仿宋_GB2312" w:cs="仿宋"/>
          <w:b/>
          <w:color w:val="auto"/>
          <w:sz w:val="32"/>
          <w:highlight w:val="none"/>
        </w:rPr>
      </w:pPr>
      <w:r>
        <w:rPr>
          <w:rFonts w:hint="eastAsia" w:ascii="仿宋_GB2312" w:hAnsi="仿宋" w:eastAsia="仿宋_GB2312" w:cs="仿宋"/>
          <w:b/>
          <w:color w:val="auto"/>
          <w:sz w:val="32"/>
          <w:highlight w:val="none"/>
        </w:rPr>
        <w:t>四、开标</w:t>
      </w:r>
      <w:bookmarkEnd w:id="30"/>
      <w:r>
        <w:rPr>
          <w:rFonts w:hint="eastAsia" w:ascii="仿宋_GB2312" w:hAnsi="仿宋" w:eastAsia="仿宋_GB2312" w:cs="仿宋"/>
          <w:b/>
          <w:color w:val="auto"/>
          <w:sz w:val="32"/>
          <w:highlight w:val="none"/>
        </w:rPr>
        <w:t>、资格审查与信用信息查询</w:t>
      </w:r>
    </w:p>
    <w:p>
      <w:pPr>
        <w:pStyle w:val="686"/>
        <w:spacing w:before="0" w:line="360" w:lineRule="auto"/>
        <w:ind w:left="0" w:firstLine="241" w:firstLineChars="100"/>
        <w:contextualSpacing/>
        <w:rPr>
          <w:rFonts w:hint="eastAsia" w:ascii="仿宋_GB2312" w:hAnsi="仿宋" w:eastAsia="仿宋_GB2312" w:cs="仿宋"/>
          <w:color w:val="auto"/>
          <w:sz w:val="24"/>
          <w:highlight w:val="none"/>
        </w:rPr>
      </w:pPr>
      <w:r>
        <w:rPr>
          <w:rFonts w:hint="eastAsia" w:ascii="仿宋_GB2312" w:hAnsi="仿宋" w:eastAsia="仿宋_GB2312" w:cs="仿宋"/>
          <w:b/>
          <w:color w:val="auto"/>
          <w:sz w:val="24"/>
          <w:szCs w:val="24"/>
          <w:highlight w:val="none"/>
        </w:rPr>
        <w:t>18.开标</w:t>
      </w:r>
      <w:r>
        <w:rPr>
          <w:rFonts w:hint="eastAsia" w:ascii="仿宋_GB2312" w:hAnsi="仿宋" w:eastAsia="仿宋_GB2312" w:cs="仿宋"/>
          <w:color w:val="auto"/>
          <w:sz w:val="24"/>
          <w:highlight w:val="none"/>
        </w:rPr>
        <w:t xml:space="preserve"> </w:t>
      </w:r>
    </w:p>
    <w:p>
      <w:pPr>
        <w:pStyle w:val="686"/>
        <w:spacing w:before="0" w:line="360" w:lineRule="auto"/>
        <w:ind w:left="0" w:firstLine="480" w:firstLineChars="200"/>
        <w:contextualSpacing/>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18.1采购机构按照招标文件规定的时间通过电子交易平台组织开标，所有投标人均应当准时在线参加。投标人不足3家的，不得开标。</w:t>
      </w:r>
    </w:p>
    <w:p>
      <w:pPr>
        <w:pStyle w:val="686"/>
        <w:spacing w:before="0" w:line="360" w:lineRule="auto"/>
        <w:ind w:left="0" w:firstLine="240" w:firstLineChars="100"/>
        <w:contextualSpacing/>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686"/>
        <w:spacing w:before="0" w:line="360" w:lineRule="auto"/>
        <w:ind w:left="0" w:firstLine="240" w:firstLineChars="100"/>
        <w:contextualSpacing/>
        <w:rPr>
          <w:rFonts w:hint="eastAsia" w:ascii="仿宋_GB2312" w:hAnsi="仿宋" w:eastAsia="仿宋_GB2312" w:cs="仿宋"/>
          <w:b/>
          <w:color w:val="auto"/>
          <w:sz w:val="24"/>
          <w:highlight w:val="none"/>
        </w:rPr>
      </w:pPr>
      <w:r>
        <w:rPr>
          <w:rFonts w:hint="eastAsia" w:ascii="仿宋_GB2312" w:hAnsi="仿宋" w:eastAsia="仿宋_GB2312" w:cs="仿宋"/>
          <w:color w:val="auto"/>
          <w:sz w:val="24"/>
          <w:highlight w:val="none"/>
        </w:rPr>
        <w:t>　18.3</w:t>
      </w:r>
      <w:r>
        <w:rPr>
          <w:rFonts w:hint="eastAsia" w:ascii="仿宋_GB2312" w:hAnsi="仿宋" w:eastAsia="仿宋_GB2312"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686"/>
        <w:spacing w:before="0" w:line="360" w:lineRule="auto"/>
        <w:ind w:left="0" w:firstLine="0"/>
        <w:contextualSpacing/>
        <w:rPr>
          <w:rFonts w:hint="eastAsia"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19、资格审查</w:t>
      </w:r>
    </w:p>
    <w:p>
      <w:pPr>
        <w:pStyle w:val="237"/>
        <w:spacing w:before="0"/>
        <w:ind w:firstLine="48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rPr>
        <w:t>19.2</w:t>
      </w:r>
      <w:r>
        <w:rPr>
          <w:rFonts w:hint="eastAsia" w:ascii="仿宋_GB2312" w:hAnsi="仿宋" w:eastAsia="仿宋_GB2312" w:cs="仿宋"/>
          <w:color w:val="auto"/>
          <w:sz w:val="24"/>
          <w:highlight w:val="none"/>
        </w:rPr>
        <w:t>采购人或采购机构依据法律法规和招标文件的规定，对投标人的基本资格条件、特定资格条件进行审查。</w:t>
      </w:r>
    </w:p>
    <w:p>
      <w:pPr>
        <w:pStyle w:val="237"/>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kern w:val="0"/>
          <w:szCs w:val="24"/>
          <w:highlight w:val="none"/>
        </w:rPr>
        <w:t>19.3投标人未按照招标文件要求提供与</w:t>
      </w:r>
      <w:r>
        <w:rPr>
          <w:rFonts w:hint="eastAsia" w:ascii="仿宋_GB2312" w:hAnsi="仿宋" w:eastAsia="仿宋_GB2312" w:cs="仿宋"/>
          <w:color w:val="auto"/>
          <w:highlight w:val="none"/>
        </w:rPr>
        <w:t>基本资格条件、特定资格条件相应的</w:t>
      </w:r>
      <w:r>
        <w:rPr>
          <w:rFonts w:hint="eastAsia" w:ascii="仿宋_GB2312" w:hAnsi="仿宋" w:eastAsia="仿宋_GB2312" w:cs="仿宋"/>
          <w:color w:val="auto"/>
          <w:kern w:val="0"/>
          <w:szCs w:val="24"/>
          <w:highlight w:val="none"/>
        </w:rPr>
        <w:t>有效资格证明材料的，视为</w:t>
      </w:r>
      <w:r>
        <w:rPr>
          <w:rFonts w:hint="eastAsia" w:ascii="仿宋_GB2312" w:hAnsi="仿宋" w:eastAsia="仿宋_GB2312" w:cs="仿宋"/>
          <w:color w:val="auto"/>
          <w:highlight w:val="none"/>
        </w:rPr>
        <w:t>投标人不具备招标文件中规定的资格要求，其投标无效。</w:t>
      </w:r>
    </w:p>
    <w:p>
      <w:pPr>
        <w:pStyle w:val="237"/>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kern w:val="0"/>
          <w:szCs w:val="24"/>
          <w:highlight w:val="none"/>
        </w:rPr>
        <w:t>19.</w:t>
      </w:r>
      <w:r>
        <w:rPr>
          <w:rFonts w:hint="eastAsia" w:ascii="仿宋_GB2312" w:hAnsi="仿宋" w:eastAsia="仿宋_GB2312" w:cs="仿宋"/>
          <w:color w:val="auto"/>
          <w:highlight w:val="none"/>
        </w:rPr>
        <w:t>4对未通过资格审查的投标人，采购人或采购机构告知其未通过的原因。</w:t>
      </w:r>
    </w:p>
    <w:p>
      <w:pPr>
        <w:pStyle w:val="237"/>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kern w:val="0"/>
          <w:szCs w:val="24"/>
          <w:highlight w:val="none"/>
        </w:rPr>
        <w:t>19.</w:t>
      </w:r>
      <w:r>
        <w:rPr>
          <w:rFonts w:hint="eastAsia" w:ascii="仿宋_GB2312" w:hAnsi="仿宋" w:eastAsia="仿宋_GB2312" w:cs="仿宋"/>
          <w:color w:val="auto"/>
          <w:highlight w:val="none"/>
        </w:rPr>
        <w:t>5合格投标人不足3家的，不再评标。</w:t>
      </w:r>
    </w:p>
    <w:p>
      <w:pPr>
        <w:pStyle w:val="237"/>
        <w:spacing w:before="0"/>
        <w:ind w:firstLine="0" w:firstLineChars="0"/>
        <w:rPr>
          <w:rFonts w:hint="eastAsia" w:ascii="仿宋_GB2312" w:hAnsi="仿宋" w:eastAsia="仿宋_GB2312" w:cs="仿宋"/>
          <w:b/>
          <w:color w:val="auto"/>
          <w:szCs w:val="24"/>
          <w:highlight w:val="none"/>
        </w:rPr>
      </w:pPr>
      <w:r>
        <w:rPr>
          <w:rFonts w:hint="eastAsia" w:ascii="仿宋_GB2312" w:hAnsi="仿宋" w:eastAsia="仿宋_GB2312" w:cs="仿宋"/>
          <w:b/>
          <w:color w:val="auto"/>
          <w:szCs w:val="24"/>
          <w:highlight w:val="none"/>
        </w:rPr>
        <w:t>20、信用信息查询</w:t>
      </w:r>
    </w:p>
    <w:p>
      <w:pPr>
        <w:pStyle w:val="237"/>
        <w:spacing w:before="0"/>
        <w:ind w:firstLine="495"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237"/>
        <w:spacing w:before="0"/>
        <w:ind w:firstLine="495"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20.2信用信息查询记录和证据留存的具体方式：现场查询的投标人的信用记录、查询结果经确认后将与采购文件一起存档。</w:t>
      </w:r>
    </w:p>
    <w:p>
      <w:pPr>
        <w:pStyle w:val="237"/>
        <w:spacing w:before="0"/>
        <w:ind w:firstLine="495"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37"/>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
          <w:color w:val="auto"/>
          <w:highlight w:val="none"/>
        </w:rPr>
        <w:t>。</w:t>
      </w:r>
    </w:p>
    <w:p>
      <w:pPr>
        <w:pStyle w:val="237"/>
        <w:spacing w:before="0"/>
        <w:ind w:firstLine="0" w:firstLineChars="0"/>
        <w:rPr>
          <w:rFonts w:hint="eastAsia" w:ascii="仿宋_GB2312" w:hAnsi="仿宋" w:eastAsia="仿宋_GB2312" w:cs="仿宋"/>
          <w:color w:val="auto"/>
          <w:kern w:val="0"/>
          <w:szCs w:val="24"/>
          <w:highlight w:val="none"/>
        </w:rPr>
      </w:pPr>
    </w:p>
    <w:p>
      <w:pPr>
        <w:snapToGrid w:val="0"/>
        <w:spacing w:line="360" w:lineRule="auto"/>
        <w:jc w:val="center"/>
        <w:outlineLvl w:val="0"/>
        <w:rPr>
          <w:rFonts w:hint="eastAsia" w:ascii="仿宋_GB2312" w:hAnsi="仿宋" w:eastAsia="仿宋_GB2312" w:cs="仿宋"/>
          <w:b/>
          <w:color w:val="auto"/>
          <w:sz w:val="36"/>
          <w:szCs w:val="36"/>
          <w:highlight w:val="none"/>
        </w:rPr>
      </w:pPr>
      <w:bookmarkStart w:id="31" w:name="_Hlt75236101"/>
      <w:bookmarkEnd w:id="31"/>
      <w:bookmarkStart w:id="32" w:name="_Toc91899902"/>
      <w:r>
        <w:rPr>
          <w:rFonts w:hint="eastAsia" w:ascii="仿宋_GB2312" w:hAnsi="仿宋" w:eastAsia="仿宋_GB2312" w:cs="仿宋"/>
          <w:b/>
          <w:color w:val="auto"/>
          <w:sz w:val="36"/>
          <w:szCs w:val="36"/>
          <w:highlight w:val="none"/>
        </w:rPr>
        <w:t>五、评标</w:t>
      </w:r>
      <w:bookmarkEnd w:id="32"/>
    </w:p>
    <w:p>
      <w:pPr>
        <w:spacing w:line="360" w:lineRule="auto"/>
        <w:rPr>
          <w:rFonts w:hint="eastAsia" w:ascii="仿宋_GB2312" w:hAnsi="仿宋" w:eastAsia="仿宋_GB2312" w:cs="仿宋"/>
          <w:b/>
          <w:color w:val="auto"/>
          <w:sz w:val="24"/>
          <w:highlight w:val="none"/>
        </w:rPr>
      </w:pPr>
      <w:bookmarkStart w:id="33" w:name="_Toc91899903"/>
      <w:r>
        <w:rPr>
          <w:rFonts w:hint="eastAsia" w:ascii="仿宋_GB2312" w:hAnsi="仿宋" w:eastAsia="仿宋_GB2312" w:cs="仿宋"/>
          <w:b/>
          <w:color w:val="auto"/>
          <w:sz w:val="24"/>
          <w:highlight w:val="none"/>
        </w:rPr>
        <w:t>21.</w:t>
      </w:r>
      <w:r>
        <w:rPr>
          <w:rFonts w:hint="eastAsia" w:ascii="仿宋_GB2312" w:hAnsi="仿宋" w:eastAsia="仿宋_GB2312" w:cs="仿宋"/>
          <w:color w:val="auto"/>
          <w:highlight w:val="none"/>
        </w:rPr>
        <w:t xml:space="preserve"> </w:t>
      </w:r>
      <w:r>
        <w:rPr>
          <w:rFonts w:hint="eastAsia" w:ascii="仿宋_GB2312" w:hAnsi="仿宋" w:eastAsia="仿宋_GB2312"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
          <w:b/>
          <w:color w:val="auto"/>
          <w:sz w:val="24"/>
          <w:highlight w:val="none"/>
        </w:rPr>
        <w:t>详见招标文件第四部分“评标方法及评分标准”。</w:t>
      </w:r>
    </w:p>
    <w:p>
      <w:pPr>
        <w:spacing w:line="360" w:lineRule="auto"/>
        <w:rPr>
          <w:rFonts w:hint="eastAsia" w:ascii="仿宋_GB2312" w:hAnsi="仿宋" w:eastAsia="仿宋_GB2312" w:cs="仿宋"/>
          <w:b/>
          <w:color w:val="auto"/>
          <w:sz w:val="24"/>
          <w:highlight w:val="none"/>
        </w:rPr>
      </w:pPr>
    </w:p>
    <w:p>
      <w:pPr>
        <w:snapToGrid w:val="0"/>
        <w:spacing w:line="360" w:lineRule="auto"/>
        <w:jc w:val="center"/>
        <w:outlineLvl w:val="0"/>
        <w:rPr>
          <w:rFonts w:hint="eastAsia" w:ascii="仿宋_GB2312" w:hAnsi="仿宋" w:eastAsia="仿宋_GB2312" w:cs="仿宋"/>
          <w:b/>
          <w:color w:val="auto"/>
          <w:sz w:val="36"/>
          <w:szCs w:val="36"/>
          <w:highlight w:val="none"/>
        </w:rPr>
      </w:pPr>
      <w:r>
        <w:rPr>
          <w:rFonts w:hint="eastAsia" w:ascii="仿宋_GB2312" w:hAnsi="仿宋" w:eastAsia="仿宋_GB2312" w:cs="仿宋"/>
          <w:b/>
          <w:color w:val="auto"/>
          <w:sz w:val="36"/>
          <w:szCs w:val="36"/>
          <w:highlight w:val="none"/>
        </w:rPr>
        <w:t>六、定 标</w:t>
      </w:r>
    </w:p>
    <w:p>
      <w:pPr>
        <w:pStyle w:val="24"/>
        <w:spacing w:line="360" w:lineRule="auto"/>
        <w:ind w:left="479" w:hanging="479" w:hangingChars="199"/>
        <w:rPr>
          <w:rFonts w:hint="eastAsia" w:ascii="仿宋_GB2312" w:hAnsi="仿宋" w:eastAsia="仿宋_GB2312" w:cs="仿宋"/>
          <w:b/>
          <w:color w:val="auto"/>
          <w:highlight w:val="none"/>
        </w:rPr>
      </w:pPr>
      <w:r>
        <w:rPr>
          <w:rFonts w:hint="eastAsia" w:ascii="仿宋_GB2312" w:hAnsi="仿宋" w:eastAsia="仿宋_GB2312" w:cs="仿宋"/>
          <w:b/>
          <w:color w:val="auto"/>
          <w:highlight w:val="none"/>
        </w:rPr>
        <w:t>22. 确定中标供应商</w:t>
      </w:r>
    </w:p>
    <w:p>
      <w:pPr>
        <w:pStyle w:val="237"/>
        <w:snapToGrid w:val="0"/>
        <w:spacing w:before="0"/>
        <w:ind w:firstLine="480"/>
        <w:rPr>
          <w:rFonts w:hint="eastAsia" w:ascii="仿宋_GB2312" w:hAnsi="仿宋" w:eastAsia="仿宋_GB2312" w:cs="仿宋"/>
          <w:b/>
          <w:color w:val="auto"/>
          <w:szCs w:val="24"/>
          <w:highlight w:val="none"/>
        </w:rPr>
      </w:pPr>
      <w:r>
        <w:rPr>
          <w:rFonts w:hint="eastAsia" w:ascii="仿宋_GB2312" w:hAnsi="仿宋" w:eastAsia="仿宋_GB2312" w:cs="仿宋"/>
          <w:color w:val="auto"/>
          <w:szCs w:val="24"/>
          <w:highlight w:val="none"/>
        </w:rPr>
        <w:t>采购人将自收到评审报告之日起5个工作日内通过电子交易平台在评审报告推荐的中标候选人中按顺序确定中标供应商。</w:t>
      </w:r>
    </w:p>
    <w:p>
      <w:pPr>
        <w:pStyle w:val="237"/>
        <w:snapToGrid w:val="0"/>
        <w:spacing w:before="0"/>
        <w:ind w:firstLine="0" w:firstLineChars="0"/>
        <w:rPr>
          <w:rFonts w:hint="eastAsia" w:ascii="仿宋_GB2312" w:hAnsi="仿宋" w:eastAsia="仿宋_GB2312" w:cs="仿宋"/>
          <w:b/>
          <w:color w:val="auto"/>
          <w:szCs w:val="24"/>
          <w:highlight w:val="none"/>
        </w:rPr>
      </w:pPr>
      <w:r>
        <w:rPr>
          <w:rFonts w:hint="eastAsia" w:ascii="仿宋_GB2312" w:hAnsi="仿宋" w:eastAsia="仿宋_GB2312" w:cs="仿宋"/>
          <w:b/>
          <w:color w:val="auto"/>
          <w:szCs w:val="24"/>
          <w:highlight w:val="none"/>
        </w:rPr>
        <w:t>23. 中标通知与中标结果公告</w:t>
      </w:r>
    </w:p>
    <w:p>
      <w:pPr>
        <w:widowControl/>
        <w:shd w:val="clear" w:color="auto" w:fill="FFFFFF"/>
        <w:spacing w:line="360" w:lineRule="auto"/>
        <w:ind w:firstLine="48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spacing w:line="360" w:lineRule="auto"/>
        <w:ind w:firstLine="48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23.3公告期限为1个工作日。</w:t>
      </w:r>
    </w:p>
    <w:p>
      <w:pPr>
        <w:snapToGrid w:val="0"/>
        <w:spacing w:line="360" w:lineRule="auto"/>
        <w:ind w:left="120" w:leftChars="57" w:firstLine="482" w:firstLineChars="150"/>
        <w:jc w:val="center"/>
        <w:rPr>
          <w:rFonts w:hint="eastAsia" w:ascii="仿宋_GB2312" w:hAnsi="仿宋" w:eastAsia="仿宋_GB2312" w:cs="仿宋"/>
          <w:b/>
          <w:color w:val="auto"/>
          <w:sz w:val="32"/>
          <w:highlight w:val="none"/>
        </w:rPr>
      </w:pPr>
    </w:p>
    <w:p>
      <w:pPr>
        <w:snapToGrid w:val="0"/>
        <w:spacing w:line="360" w:lineRule="auto"/>
        <w:ind w:left="120" w:leftChars="57" w:firstLine="482" w:firstLineChars="150"/>
        <w:jc w:val="center"/>
        <w:rPr>
          <w:rFonts w:hint="eastAsia" w:ascii="仿宋_GB2312" w:hAnsi="仿宋" w:eastAsia="仿宋_GB2312" w:cs="仿宋"/>
          <w:b/>
          <w:color w:val="auto"/>
          <w:sz w:val="32"/>
          <w:highlight w:val="none"/>
        </w:rPr>
      </w:pPr>
      <w:r>
        <w:rPr>
          <w:rFonts w:hint="eastAsia" w:ascii="仿宋_GB2312" w:hAnsi="仿宋" w:eastAsia="仿宋_GB2312" w:cs="仿宋"/>
          <w:b/>
          <w:color w:val="auto"/>
          <w:sz w:val="32"/>
          <w:highlight w:val="none"/>
        </w:rPr>
        <w:t>七、合同授予</w:t>
      </w:r>
    </w:p>
    <w:p>
      <w:pPr>
        <w:pStyle w:val="24"/>
        <w:spacing w:line="360" w:lineRule="auto"/>
        <w:ind w:left="479" w:hanging="479" w:hangingChars="199"/>
        <w:rPr>
          <w:rFonts w:hint="eastAsia" w:ascii="仿宋_GB2312" w:hAnsi="仿宋" w:eastAsia="仿宋_GB2312" w:cs="仿宋"/>
          <w:b/>
          <w:color w:val="auto"/>
          <w:highlight w:val="none"/>
        </w:rPr>
      </w:pPr>
      <w:r>
        <w:rPr>
          <w:rFonts w:hint="eastAsia" w:ascii="仿宋_GB2312" w:hAnsi="仿宋" w:eastAsia="仿宋_GB2312" w:cs="仿宋"/>
          <w:b/>
          <w:color w:val="auto"/>
          <w:highlight w:val="none"/>
        </w:rPr>
        <w:t xml:space="preserve">24. </w:t>
      </w:r>
      <w:r>
        <w:rPr>
          <w:rFonts w:hint="eastAsia" w:ascii="仿宋_GB2312" w:hAnsi="仿宋" w:eastAsia="仿宋_GB2312" w:cs="仿宋"/>
          <w:color w:val="auto"/>
          <w:highlight w:val="none"/>
        </w:rPr>
        <w:t>合同主要条款详见第五部分拟签订的合同文本。</w:t>
      </w:r>
    </w:p>
    <w:p>
      <w:pPr>
        <w:pStyle w:val="24"/>
        <w:spacing w:line="360" w:lineRule="auto"/>
        <w:ind w:left="479" w:hanging="479" w:hangingChars="199"/>
        <w:rPr>
          <w:rFonts w:hint="eastAsia" w:ascii="仿宋_GB2312" w:hAnsi="仿宋" w:eastAsia="仿宋_GB2312" w:cs="仿宋"/>
          <w:b/>
          <w:color w:val="auto"/>
          <w:highlight w:val="none"/>
        </w:rPr>
      </w:pPr>
      <w:r>
        <w:rPr>
          <w:rFonts w:hint="eastAsia" w:ascii="仿宋_GB2312" w:hAnsi="仿宋" w:eastAsia="仿宋_GB2312" w:cs="仿宋"/>
          <w:b/>
          <w:color w:val="auto"/>
          <w:highlight w:val="none"/>
        </w:rPr>
        <w:t>25. 合同的签订</w:t>
      </w:r>
    </w:p>
    <w:p>
      <w:pPr>
        <w:widowControl/>
        <w:shd w:val="clear" w:color="auto" w:fill="FFFFFF"/>
        <w:spacing w:line="360" w:lineRule="auto"/>
        <w:ind w:firstLine="480"/>
        <w:jc w:val="left"/>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25.1</w:t>
      </w:r>
      <w:r>
        <w:rPr>
          <w:rFonts w:hint="eastAsia" w:ascii="仿宋_GB2312" w:hAnsi="仿宋" w:eastAsia="仿宋_GB2312" w:cs="仿宋"/>
          <w:color w:val="auto"/>
          <w:kern w:val="0"/>
          <w:sz w:val="24"/>
          <w:highlight w:val="none"/>
        </w:rPr>
        <w:t xml:space="preserve"> 采购人与中标人应当通过电子交易平台在中标通知书发出之日起三十日内，按照招标文件确定的事项签订政府采购合同，并在规定时间内依法发布合同公告。</w:t>
      </w:r>
    </w:p>
    <w:p>
      <w:pPr>
        <w:pStyle w:val="237"/>
        <w:snapToGrid w:val="0"/>
        <w:spacing w:before="0"/>
        <w:ind w:firstLine="48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37"/>
        <w:snapToGrid w:val="0"/>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25.3如签订合同并生效后，供应商无故拒绝或延期，除按照合同条款处理外，列入不良行为记录一次，并给予通报。</w:t>
      </w:r>
    </w:p>
    <w:p>
      <w:pPr>
        <w:pStyle w:val="237"/>
        <w:snapToGrid w:val="0"/>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37"/>
        <w:snapToGrid w:val="0"/>
        <w:spacing w:before="0" w:after="12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_GB2312" w:hAnsi="仿宋" w:eastAsia="仿宋_GB2312" w:cs="仿宋"/>
          <w:b/>
          <w:color w:val="auto"/>
          <w:highlight w:val="none"/>
        </w:rPr>
      </w:pPr>
      <w:r>
        <w:rPr>
          <w:rFonts w:hint="eastAsia" w:ascii="仿宋_GB2312" w:hAnsi="仿宋" w:eastAsia="仿宋_GB2312" w:cs="仿宋"/>
          <w:b/>
          <w:color w:val="auto"/>
          <w:highlight w:val="none"/>
        </w:rPr>
        <w:t>26. 履约保证金</w:t>
      </w:r>
    </w:p>
    <w:p>
      <w:pPr>
        <w:tabs>
          <w:tab w:val="left" w:pos="0"/>
        </w:tabs>
        <w:spacing w:line="360" w:lineRule="auto"/>
        <w:ind w:firstLine="48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s="仿宋"/>
          <w:color w:val="auto"/>
          <w:sz w:val="24"/>
          <w:highlight w:val="none"/>
        </w:rPr>
        <w:t>。履约保证金的数额不得超过政府采购合同金额的5%。</w:t>
      </w:r>
      <w:r>
        <w:rPr>
          <w:rFonts w:hint="eastAsia" w:ascii="仿宋_GB2312" w:hAnsi="仿宋" w:eastAsia="仿宋_GB2312" w:cs="仿宋"/>
          <w:b/>
          <w:color w:val="auto"/>
          <w:sz w:val="24"/>
          <w:highlight w:val="none"/>
        </w:rPr>
        <w:t>采购人不得拒收履约保函。</w:t>
      </w:r>
    </w:p>
    <w:p>
      <w:pPr>
        <w:tabs>
          <w:tab w:val="left" w:pos="0"/>
        </w:tabs>
        <w:spacing w:line="360" w:lineRule="auto"/>
        <w:ind w:firstLine="480"/>
        <w:rPr>
          <w:rFonts w:hint="eastAsia" w:ascii="仿宋_GB2312" w:hAnsi="仿宋" w:eastAsia="仿宋_GB2312" w:cs="仿宋"/>
          <w:color w:val="auto"/>
          <w:sz w:val="24"/>
          <w:highlight w:val="none"/>
        </w:rPr>
      </w:pPr>
    </w:p>
    <w:p>
      <w:pPr>
        <w:snapToGrid w:val="0"/>
        <w:spacing w:line="360" w:lineRule="auto"/>
        <w:ind w:firstLine="3357" w:firstLineChars="1045"/>
        <w:rPr>
          <w:rFonts w:hint="eastAsia" w:ascii="仿宋_GB2312" w:hAnsi="仿宋" w:eastAsia="仿宋_GB2312" w:cs="仿宋"/>
          <w:b/>
          <w:color w:val="auto"/>
          <w:sz w:val="24"/>
          <w:highlight w:val="none"/>
        </w:rPr>
      </w:pPr>
      <w:r>
        <w:rPr>
          <w:rFonts w:hint="eastAsia" w:ascii="仿宋_GB2312" w:hAnsi="仿宋" w:eastAsia="仿宋_GB2312" w:cs="仿宋"/>
          <w:b/>
          <w:color w:val="auto"/>
          <w:sz w:val="32"/>
          <w:highlight w:val="none"/>
        </w:rPr>
        <w:t>八、电子交易活动的中止</w:t>
      </w:r>
    </w:p>
    <w:p>
      <w:pPr>
        <w:pStyle w:val="237"/>
        <w:snapToGrid w:val="0"/>
        <w:spacing w:before="0"/>
        <w:ind w:firstLine="0" w:firstLineChars="0"/>
        <w:rPr>
          <w:rFonts w:hint="eastAsia" w:ascii="仿宋_GB2312" w:hAnsi="仿宋" w:eastAsia="仿宋_GB2312" w:cs="仿宋"/>
          <w:color w:val="auto"/>
          <w:highlight w:val="none"/>
        </w:rPr>
      </w:pPr>
      <w:r>
        <w:rPr>
          <w:rFonts w:hint="eastAsia" w:ascii="仿宋_GB2312" w:hAnsi="仿宋" w:eastAsia="仿宋_GB2312" w:cs="仿宋"/>
          <w:b/>
          <w:bCs/>
          <w:color w:val="auto"/>
          <w:highlight w:val="none"/>
        </w:rPr>
        <w:t>2</w:t>
      </w:r>
      <w:r>
        <w:rPr>
          <w:rFonts w:hint="eastAsia" w:ascii="仿宋_GB2312" w:hAnsi="仿宋" w:eastAsia="仿宋_GB2312" w:cs="仿宋"/>
          <w:b/>
          <w:bCs/>
          <w:color w:val="auto"/>
          <w:szCs w:val="24"/>
          <w:highlight w:val="none"/>
        </w:rPr>
        <w:t>7</w:t>
      </w:r>
      <w:r>
        <w:rPr>
          <w:rFonts w:hint="eastAsia" w:ascii="仿宋_GB2312" w:hAnsi="仿宋" w:eastAsia="仿宋_GB2312" w:cs="仿宋"/>
          <w:b/>
          <w:color w:val="auto"/>
          <w:szCs w:val="24"/>
          <w:highlight w:val="none"/>
        </w:rPr>
        <w:t>. 电子交易活动的中止。</w:t>
      </w:r>
      <w:r>
        <w:rPr>
          <w:rFonts w:hint="eastAsia" w:ascii="仿宋_GB2312" w:hAnsi="仿宋" w:eastAsia="仿宋_GB2312" w:cs="仿宋"/>
          <w:color w:val="auto"/>
          <w:highlight w:val="none"/>
        </w:rPr>
        <w:t>采购过程中出现以下情形，导致电子交易平台无法正常运行，或者无法保证电子交易的公平、公正和安全时，采购机构可中止电子交易活动：</w:t>
      </w:r>
    </w:p>
    <w:p>
      <w:pPr>
        <w:pStyle w:val="237"/>
        <w:snapToGrid w:val="0"/>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 xml:space="preserve">27.1电子交易平台发生故障而无法登录访问的； </w:t>
      </w:r>
    </w:p>
    <w:p>
      <w:pPr>
        <w:pStyle w:val="237"/>
        <w:snapToGrid w:val="0"/>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27.2电子交易平台应用或数据库出现错误，不能进行正常操作的；</w:t>
      </w:r>
    </w:p>
    <w:p>
      <w:pPr>
        <w:pStyle w:val="237"/>
        <w:snapToGrid w:val="0"/>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27.3电子交易平台发现严重安全漏洞，有潜在泄密危险的；</w:t>
      </w:r>
    </w:p>
    <w:p>
      <w:pPr>
        <w:pStyle w:val="237"/>
        <w:snapToGrid w:val="0"/>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 xml:space="preserve">27.4病毒发作导致不能进行正常操作的； </w:t>
      </w:r>
    </w:p>
    <w:p>
      <w:pPr>
        <w:pStyle w:val="237"/>
        <w:snapToGrid w:val="0"/>
        <w:spacing w:before="0"/>
        <w:ind w:firstLine="48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27.5其他无法保证电子交易的公平、公正和安全的情况。</w:t>
      </w:r>
    </w:p>
    <w:p>
      <w:pPr>
        <w:pStyle w:val="237"/>
        <w:snapToGrid w:val="0"/>
        <w:spacing w:before="0"/>
        <w:ind w:firstLine="0" w:firstLineChars="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 xml:space="preserve"> </w:t>
      </w:r>
      <w:r>
        <w:rPr>
          <w:rFonts w:hint="eastAsia" w:ascii="仿宋_GB2312" w:hAnsi="仿宋" w:eastAsia="仿宋_GB2312" w:cs="仿宋"/>
          <w:b/>
          <w:bCs/>
          <w:color w:val="auto"/>
          <w:highlight w:val="none"/>
        </w:rPr>
        <w:t>28.</w:t>
      </w:r>
      <w:r>
        <w:rPr>
          <w:rFonts w:hint="eastAsia" w:ascii="仿宋_GB2312" w:hAnsi="仿宋" w:eastAsia="仿宋_GB2312"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_GB2312" w:hAnsi="仿宋" w:eastAsia="仿宋_GB2312" w:cs="仿宋"/>
          <w:color w:val="auto"/>
          <w:sz w:val="24"/>
          <w:highlight w:val="none"/>
        </w:rPr>
      </w:pPr>
    </w:p>
    <w:p>
      <w:pPr>
        <w:snapToGrid w:val="0"/>
        <w:spacing w:line="360" w:lineRule="auto"/>
        <w:ind w:left="120" w:leftChars="57" w:firstLine="482" w:firstLineChars="150"/>
        <w:jc w:val="center"/>
        <w:rPr>
          <w:rFonts w:hint="eastAsia" w:ascii="仿宋_GB2312" w:hAnsi="仿宋" w:eastAsia="仿宋_GB2312" w:cs="仿宋"/>
          <w:b/>
          <w:color w:val="auto"/>
          <w:sz w:val="32"/>
          <w:highlight w:val="none"/>
        </w:rPr>
      </w:pPr>
      <w:r>
        <w:rPr>
          <w:rFonts w:hint="eastAsia" w:ascii="仿宋_GB2312" w:hAnsi="仿宋" w:eastAsia="仿宋_GB2312" w:cs="仿宋"/>
          <w:b/>
          <w:color w:val="auto"/>
          <w:sz w:val="32"/>
          <w:highlight w:val="none"/>
        </w:rPr>
        <w:t>九、验收</w:t>
      </w:r>
    </w:p>
    <w:p>
      <w:pPr>
        <w:pStyle w:val="24"/>
        <w:spacing w:line="360" w:lineRule="auto"/>
        <w:ind w:firstLine="0" w:firstLineChars="0"/>
        <w:rPr>
          <w:rFonts w:hint="eastAsia" w:ascii="仿宋_GB2312" w:hAnsi="仿宋" w:eastAsia="仿宋_GB2312" w:cs="仿宋"/>
          <w:b/>
          <w:color w:val="auto"/>
          <w:highlight w:val="none"/>
        </w:rPr>
      </w:pPr>
      <w:r>
        <w:rPr>
          <w:rFonts w:hint="eastAsia" w:ascii="仿宋_GB2312" w:hAnsi="仿宋" w:eastAsia="仿宋_GB2312" w:cs="仿宋"/>
          <w:b/>
          <w:color w:val="auto"/>
          <w:highlight w:val="none"/>
        </w:rPr>
        <w:t>29.验收</w:t>
      </w:r>
    </w:p>
    <w:p>
      <w:pPr>
        <w:tabs>
          <w:tab w:val="left" w:pos="0"/>
        </w:tabs>
        <w:spacing w:line="360" w:lineRule="auto"/>
        <w:ind w:firstLine="48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 w:eastAsia="仿宋_GB2312" w:cs="仿宋"/>
          <w:color w:val="auto"/>
          <w:sz w:val="18"/>
          <w:szCs w:val="18"/>
          <w:highlight w:val="none"/>
        </w:rPr>
      </w:pPr>
      <w:r>
        <w:rPr>
          <w:rFonts w:hint="eastAsia" w:ascii="仿宋_GB2312" w:hAnsi="仿宋" w:eastAsia="仿宋_GB2312"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pPr>
        <w:adjustRightInd/>
        <w:spacing w:line="360" w:lineRule="auto"/>
        <w:jc w:val="center"/>
        <w:rPr>
          <w:rFonts w:hint="eastAsia" w:ascii="仿宋_GB2312" w:hAnsi="仿宋" w:eastAsia="仿宋_GB2312" w:cs="仿宋"/>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8"/>
    <w:bookmarkEnd w:id="29"/>
    <w:p>
      <w:pPr>
        <w:spacing w:line="360" w:lineRule="auto"/>
        <w:jc w:val="center"/>
        <w:outlineLvl w:val="0"/>
        <w:rPr>
          <w:rFonts w:hint="eastAsia" w:ascii="仿宋_GB2312" w:hAnsi="仿宋" w:eastAsia="仿宋_GB2312" w:cs="仿宋"/>
          <w:b/>
          <w:color w:val="auto"/>
          <w:sz w:val="36"/>
          <w:szCs w:val="36"/>
          <w:highlight w:val="none"/>
        </w:rPr>
      </w:pPr>
      <w:bookmarkStart w:id="34" w:name="第四部分"/>
      <w:r>
        <w:rPr>
          <w:rFonts w:hint="eastAsia" w:ascii="仿宋_GB2312" w:hAnsi="仿宋" w:eastAsia="仿宋_GB2312" w:cs="仿宋"/>
          <w:b/>
          <w:color w:val="auto"/>
          <w:sz w:val="36"/>
          <w:szCs w:val="36"/>
          <w:highlight w:val="none"/>
        </w:rPr>
        <w:t>第三部分   采购需求</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本项目需求经市场调查和专家论证后编制以下需求，并符合党政机关电子公文系统安全可靠应用全面替代的规定</w:t>
      </w:r>
      <w:r>
        <w:rPr>
          <w:rFonts w:hint="eastAsia" w:ascii="仿宋_GB2312" w:hAnsi="仿宋" w:eastAsia="仿宋_GB2312"/>
          <w:color w:val="auto"/>
          <w:sz w:val="24"/>
          <w:highlight w:val="none"/>
        </w:rPr>
        <w:t>：</w:t>
      </w:r>
    </w:p>
    <w:p>
      <w:pPr>
        <w:adjustRightInd/>
        <w:spacing w:line="360" w:lineRule="auto"/>
        <w:ind w:right="6151" w:rightChars="2929"/>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一、项目背景</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杭州市城市大脑**操作系统V2.0通过整合全局数据资源，提供大数据服务能力，为各警种业务提供智能化的“大基座”。通过建设“情、指、行、督、服”等基于“大基座”建设的智能业务平台，实现技术升级、业务重构、流程再造，打造智慧**新生态。但是另一方面，全局开发需求迫切的现实情况对“**操作系统”的支撑能力也提出了重大挑战——面对全警应用开发需求，经调研排摸，我们发现很多应用开发都提出了对某一项通用能力的需求，例如“地图应用、智能语音、人员档案、统一布控、视频追踪”等，为此必须通过标准化组件支撑全市应用建设，提升扁平化服务能力。</w:t>
      </w:r>
    </w:p>
    <w:p>
      <w:pPr>
        <w:tabs>
          <w:tab w:val="left" w:pos="0"/>
        </w:tabs>
        <w:spacing w:line="360" w:lineRule="auto"/>
        <w:ind w:firstLine="480"/>
        <w:rPr>
          <w:rFonts w:hint="eastAsia" w:ascii="仿宋_GB2312" w:hAnsi="Arial" w:eastAsia="仿宋_GB2312" w:cs="Arial"/>
          <w:snapToGrid w:val="0"/>
          <w:color w:val="auto"/>
          <w:kern w:val="0"/>
          <w:szCs w:val="21"/>
          <w:highlight w:val="none"/>
        </w:rPr>
      </w:pPr>
      <w:r>
        <w:rPr>
          <w:rFonts w:hint="eastAsia" w:ascii="仿宋_GB2312" w:hAnsi="仿宋" w:eastAsia="仿宋_GB2312" w:cs="Helvetica"/>
          <w:color w:val="auto"/>
          <w:kern w:val="0"/>
          <w:sz w:val="24"/>
          <w:highlight w:val="none"/>
        </w:rPr>
        <w:t>因此，杭州公安需要在进一步强化“一云两端三屏”的信息化建设架构的基础上，通过进一步强化建设应用支撑和运营保障能力，将**操作系统信息化建设“大基座”，进一步向“共建、共享、共用”的方向推动发展。</w:t>
      </w:r>
    </w:p>
    <w:p>
      <w:pPr>
        <w:adjustRightInd/>
        <w:spacing w:line="360" w:lineRule="auto"/>
        <w:ind w:right="6151" w:rightChars="2929"/>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二、建设目标</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深化以大数据为引擎的智慧**建设，深入实施公安大数据战略，紧紧围绕公安部和省厅公安大数据建设标准要求，实现技术和业务的融合、警种条线和块的融合，提升在线感知、夯实基础、聚合赋能和创新裂变四项核心能力，全面推动公安工作质量变革、效率变革、动力变革，让社会治理更精准、**工作更高效、民生服务更温暖，打造**操作系统应用场景及业务通用能力建设项目。</w:t>
      </w:r>
    </w:p>
    <w:p>
      <w:pPr>
        <w:adjustRightInd/>
        <w:spacing w:line="360" w:lineRule="auto"/>
        <w:ind w:right="6151" w:rightChars="2929"/>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三、建设内容</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杭州城市大脑**操作系统应用场景及业务通用能力建设项目应用支撑能力模块对智慧**云基础支撑和服务能力统筹提升，统筹建立通用基础服务体系和数据支撑平台，进一步提高开发效率、降低开发成本。</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（一）民警任务中心</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建设民警任务中心，将**的各项基础工作都以任务的方式进行管理，包括预警中枢、智能日历、可视化地图、内外网传输工具、工具集管理、移动接处警APP升级、办公自动化模块等内容。</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（二）共享内容</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深化模型、标签、指标等共享内容的众智建设、集中发布、共享开放的统一体系建设。</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（三）通用基础能力</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通用基础能力提供统一标准的应用开发环境和应用开发规范，是连接数据与应用的枢纽，实现各类数据资源、各应用系统之间的互联互通，是应用建设统筹规划、共性能力统一抽象复用的基本支撑。本期建设内容主要包括：</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1、图像能力中心，包括公安内网实人认证、智能点位标签、视频解析智能调度、图片二次解析、视频测量、光学字符识别、AR制高点等能力建设；</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2、涉网新型犯罪能力中心，包括反诈能力、反诈线索服务、反诈AI分析、反诈AI中台等能力建设；</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3、通用应用功能新增，包括布控智寻、**智搜、全息地图、地址标准化、关系网络分析、数据魔方等通用应用模块。</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（四）运营支撑</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为了让应用充分利用好云上开发的优势，充分利用好云平台的算力、存储能力，以及云上建设的通用基础能力（业务中台）和数据支撑能力（数据中台），提供运营支撑、技术保障、以及质量把控和公有云订阅服务。</w:t>
      </w:r>
    </w:p>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四、建设原则</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杭州城市大脑**操作系统应用场景及业务通用能力建设项目应用支撑能力模块，应严格遵循以下原则：</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1、规范性原则。项目实施应严格遵循国际通用开发标准，并按照国家标准及公安行业标准执行。结合本项目需求，形成数据规范、接口规范、应用系统管理规范。</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2、统一设计原则。统筹规划和统一设计协同体系，尤其是应用的体系、数据的标准以及系统扩展规划等内容，均需从全局出发、从长远的角度考虑。</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先进性原则。必须采用成熟、具有国内先进水平，并符合国际发展趋势的技术体系和规范。在设计过程中充分依照国际上的规范、标准，借鉴国内外目前成熟的主流数据处理体系架构，以保证系统运行体系具有较长的生命力和扩展能力。保证先进性的同时还要保证技术的稳定、安全性。</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4、高可靠性原则。项目实施体系的设计中充分考虑安全和可靠，机构和人员的变动及业务流程的优化等必须保证既有系统的稳定运行。</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5、可扩展性原则。项目实施体系的设计要考虑到业务未来发展的需要，尽可能设计得简明，降低各实施环节的耦合度，并充分考虑兼容性。</w:t>
      </w:r>
    </w:p>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五、系统建设需求</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5.1进一步改进民警中心</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建设民警任务中心，统一对接AI警情等模块提供的各类线索预警信息，将对应的处置任务进行统一管理，民警只需要登录到一个系统，就能实现对各类预警处置任务的访问并完成相关的所有工作。同时也可以支持考核任务的填报与展示。主要包括预警中心、智能日历、可视化地图、工具集等功能。</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5.2. 进一步丰富共享内容</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围绕模型中心、标签中心、指标中心进一步丰富应用支撑能力的共享服务内容。</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模型中心：通过大数据服务将抽象的业务思维固化成可见、可用的模型，为日常工作提供支撑。</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标签中心：基于统一标签体系的技术和管理规范，将来自于各个警种在业务应用建设过程中开发的各类标签特征汇集沉淀共享。</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指标中心：于已建立的技术和管理规范，将来自于各个警种在业务应用建设过程中开发的各类指标的汇集沉淀。</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5.3. 进一步夯实基础能力</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进一步提炼前期**操作系统建设的功能，围绕图像智能、涉网新型犯罪能力、通用功能新增三个方面进一步夯实基础能力，面向全警种提供支撑服务。</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5.4. 进一步优化运营支撑</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建设能力中台运营支撑、交付质量保障建设、交付质量组织保障、公共云订阅服务，进一步提升运营支撑能力。</w:t>
      </w:r>
    </w:p>
    <w:p>
      <w:pPr>
        <w:adjustRightInd/>
        <w:spacing w:line="360" w:lineRule="auto"/>
        <w:ind w:right="57" w:rightChars="27"/>
        <w:outlineLvl w:val="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六、功能及性能需求</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公安业务体系建设中，针对多个警种都有的共性业务需求，如果各个警种条线都各自分别建设其实战业务应用，势必造成重复建设和资源浪费。因此杭州城市大脑**操作系统将按照条块结合的方式建设业务应用体系。其中条线业务即警种实战业务体系，而块业务则主要包含公安通用类业务场景，比如搜索、研判、布控、指挥等等，形成通用业务体系。</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除了通用业务应用之外，一些重要业务内容如模型、标签、指标等等，为了避免各警种重复建设，同样需要按照统一共享的原则进行建设。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同时为了能快速高效的实现云上系统的开发，让**操作系统真正被基层民警会用、爱用，需要对所有通用业务应用以及共享内容提供全流程支撑管理。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民警任务中心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建设民警任务中心，统一对接AI警情等模块提供的各类线索预警信息，将对应的处置任务进行统一管理，民警只需要登录到一个系统，就能实现对各类预警处置任务的访问并完成相关的所有工作。同时也可以支持考核任务的填报与展示。主要包括预警中心、智能日历、可视化地图、工具集等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预警中枢</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预警中枢系统顶部菜单栏分为数据看板模块、预警档案模块、预警管理模块及预警数据接入。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数据看板</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数据看板集中展示了杭州各分局、杭州各***的预警下发数据（预警累计下发数、今日下发预警数、日均下发预警数、日环比）、预警处置数据（预警累计处置数、今日处置预警数、日均处置预警数、日环比）、预警完结数据（预警累计完结数、未处理预警数、已处理预警数），预警今日处置数据（今日预警完结数、今日预警完结率、昨日预警完结率、日环比）。</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各警种的预警系统数据，以饼图的形式统计包括情指、执法、禁毒、反诈、出入境、督察等各警种的预警数量及占比，民警可按自身需求以全部、近一月、近一周、昨日、今日五个维度查看预警量，做出相关的评估与决策。杭州各分局的预警数量及占比看板，民警可按自身需求以全部、近一月、近一周、昨日、今日五个维度查看预警量。默认显示预警数量最多前几个警种和分局，鼠标移入图表对应位置，可显示该项数据的具体数值，民警可根据数据做出相关的评估与针对性的决策。</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各警种和各分局的预警数据总量及未处理量看板，以柱状图形式分别展示各警种和分局的预警处理总量及未处理量，鼠标移入图表对应位置，可显示该项数据的具体数值，民警可根据图表判断各警种和分局的预警发生趋势和处理情况。</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预警档案模块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预警档案模块显示所有由各警种的预警系统接入的预警数据，支持模糊搜索，和以类别、业务类型、预警日期、处置单位、预警状态、是否变更处置单位为筛选条件的组合搜索，方便民警在数量繁多的预警数据中查找到所需的预警内容。预警档案的列表页，分别展示了序号、预警编号、预警类别、预警业务类型、预警标签、预警概述、预警处置单位、预警下发日期、预警状态等字段，默认以预警下发日期的倒序排列，当民警选择某一条预警信息时，可在列表右侧查看该预警信息的业务流程节点，包括下发流程、处理流程、审核流程和预警完结，按该条预警状态的发生日期倒叙排列。预警档案模块记录大量的预警数据，可供其他业务系统按需调取，反馈最新状态信息，让预警做到有迹可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组合搜索，支持模糊搜索，和以类别、业务类型、预警日期、处置单位、预警状态、是否变更处置单位为筛选条件的组合搜索，方便民警在数量繁多的预警数据中查找到所需的预警内容。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注册管理模块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注册管理模块显示所有由各警种接入的预警注册情况，支持模糊搜索和以警种、业务类型、预注册单位、注册日期为筛选条件的组合搜索，方便民警在数量繁多的预警注册信息中查找到所需的内容。注册管理的列表页，分别展示了序号、注册单位、注册类别、业务类型、注册民警、联系方式、创建时间、操作等字段，默认以创建时间的倒叙排列。系统管理员可查看、修改和删除对应的注册信息。民警登录预警中枢后可在预警注册页面录入相关信息后完成预警注册，并查看接口规范说明文件。</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预警数据接入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根据预警中枢的接口规范说明文件所提供的API说明，各警种从各自系统推送预警数据至预警中枢，数据接入服务实现对各警种预警系统推送的预警数据集中收集展示、映射源数据和目标数据、配置校验转换规则，从省数据平台、魔方等多个不同预警系统、多个平台的数据源中汇集数据。对于汇聚的数据，开展整合、逻辑映射设计，构建专题要素数据库。</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6.1.1.5.</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工作台</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对接预警中枢注册的威慑**预警模型，实现所有模型未处置量角标动态提醒。</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根据模型、时间、未处置、已处置、已完结快速准确定位相关预警信息。2、提供全文检索预警信息，准确查找相关预警信息，支持姓名、身份证、预警地点、预警编号、预警详情、预警原因模糊搜索。3、筛选需要我处理、我已处理、我可以浏览的预警信息。</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提供预警信息头像、姓名、预警地点、预警时间等概要信息一览。</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展示预警详细信息，包括预警概要、预警详情、预警原因(原因描述、监控抓拍、轨迹信息及地图展示)；提供大脑研判关键信息：一人一档、车辆档案、融合轨迹、重点人专题、管控信息、异常行为信息</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预警信息进行处理：1、提供研判工具服务；2、对预警进行研判分析及说明，支持多次研判、富文本框输入、附件上传；3、对预警进行指派流转及说明，支持跨单位多部门多次流转、富文本框输入；4、对预警进行处置，支持模型不准确、已抓获、嫌疑度不高、现场排除嫌疑、人员已离开等，以及完结说明。</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形象实现预警信息的流转过程，支持按时间正序和倒序查看。支持一键生成预警研判处置报告，提供带水印快速导出。</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新预警信息弹框提醒、声音提醒功能。</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6.1.1.6.</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研判组</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提供各单位、各警种、各部门按组配置预警模型研判权限，配置实现相关单位、警种、部门对接收到的预警信息进行研判、流转、处置。</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6.1.1.7.</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权限配置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提供实现各单位、警种配置管理员权限。支持按层级分配子管理员以及管辖单位。</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提供实现各单位、警种、按模型配置相关人员的数据浏览权限。支持设置人员浏览威慑**预警的数据权限范围，数据浏览权限的人员只能查看数据，无法进行研判、流转和完结的操作。</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6.1.1.8.</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接口管理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提供所有警种所有模型产生的预警信息实时接收接口；</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对接第三方服务接口；</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对接IT服务平台各类接口，如零信任体系接口、大脑研判接口、信息补全接口等。</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6.1.1.9.</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日志管理</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登录日志、操作日志、查看日志，对接市局相关日志系统。</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6.1.1.10.</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安全管理</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对接市局安全管理系统。</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6.1.1.11.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模型管理</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提供各警种威慑**模型注册、模型完结状态配置、数据接口测试、研判工具配置；提供各警种非威慑**模型注册、数据接口测试、研判工具配置。</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6.1.1.12.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研判工具</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配置威慑**模型研判工具及相关参数，校验相关参数有效性，实现一键调取研判工具，提供实时高效的研判辅助；配置非威慑**模型研判工具及相关参数，校验相关参数有效性，实现一键调取研判工具，提供实时高效的研判辅助。</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6.1.1.13.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统计分析</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实现按组织机构、模型、警种、时间、区间、完结状态、模型预警总量、模型研判次数、流转次数、完结预警量、“模型不准确”的完结预警量、本级完结预警量、模型研判率、模型流转率、模型完结率、模型不准确率、模型战果率、单位预警总量、研判次数、流转次数、单位完结预警量、单位完结预警总用时、单位首处预警数、单位首处总用时等维度进行统计分析，按照不同的图表进行展示。</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6.1.1.13.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预警大屏</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预警大屏主要分为实时预警、预警指标、模型统计和指标统计四个模块。其中实时预警主要展示接收到的最新10条预警基本信息；预警指标实现预警完结率、预警量、以及预警信息研判次数的统计功能；模型统计对各个模型的预警总数、研判数、未完结数以及准确率进行分析呈现；指标统计将全市范围内的对接模型总数、预警总数、预警流转总数、预警数据完结总数、研判分局总量以及准确率进行展示，并结合地图对各个区县市的预警总数、流转总量、完结总量以及准确率进行统计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智能日历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智能日历作为杭州市公安局各个区划的既定重大事项、天气预警以及未来警情预测提醒系统。支持从治安支队接入各重大事项数据进行展示提醒。基于机器学习的手段，实现对未来每天警情数量的预测能力。最终输出各个***、分局未来30天内不同类型警情的发展趋势。</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实现日历展示模块、数据详情模块、算法预测及数据接入。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6.1.2.1.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日历展示模块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日历模块展示当日该4A组织权限下可见的提醒事项，其中包括天气预警，既定事项提醒、重大警情、预测警情。其中既定事项又包含重大任务、重大活动等需要提高勤务等级的事项。警情预测部分仅展示近七天内预测出的可能呈上升趋势的各类警情。</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日历功能默认显示本月日期，支持选择年份及月份，根据接口调取当日得天气及气温数据，并提醒近期的警情趋势与预设的重大事件。</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日历显示当月日期，分为年、月、周、日、农历、节气，并标注有预设事件的日期，支持模糊搜索功能，在搜索框输入要查询的关键字之后，可显示相关内容数据，点击可查看具体信息详情。添加事件功能，在配置类别名称、事件名称、事件详情、起止日期、接收单位、提醒周期后，可在预设的日期提醒相关接收单位完成该事件，并在大屏端显示。</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通过第三方推送的天气数据，事实显示当前天气及气温，并提醒如台风、暴雨、大雪、冰雹等特殊天气，方便民警做出相关的预防措施。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6.1.2.2.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数据详情模块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数据详情模块由当日详情信息、警情预测两个部分组成。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当日详情信息部分，展示当日提醒事项的具体信息。预测警情类包含警情类别、需关注时间段、警情变化趋势等信息。支持雷达图、趋势图展示。</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警情预测部分，是对某一类警情进行更全面的分析数据查看，趋势图的x轴也从15天扩展至30天。</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警情预测支持日期、辖区、警情类型的筛选，显示周期内所属辖区的警情发展趋势，包括高发警情、实际警情数、实际警情同比、预测警情同比、拟合度，并通过数据算法以天气、节气、场所、预警内容、酒店入住、前科人员信息等多维度预测当前的高发警情，提醒当前周期内的各类案件发生率。</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6.1.2.3.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算法预测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预测系统对市公安局、各个分局和***未来三十天内不同类型的警情和案件发生的数量进行预测。支持基于警情类型排列组合中产生的392组组合进行预测。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重大事项预测，根据不同的积分、统计维度展示重大事项详细信息，维度图对重大事项预测不同维度进行分析展示，线形图根据实际情况和预测警情进行分析对比展示。针对不准确的事项，提供编辑和删除功能。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6.1.2.4.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数据接入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数据对接主要包括警情预测数据、天气数据，重大事项数据，接入后推送至RDS库。</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6.1.2.</w:t>
      </w:r>
      <w:r>
        <w:rPr>
          <w:rFonts w:ascii="仿宋_GB2312" w:hAnsi="Arial" w:eastAsia="仿宋_GB2312" w:cs="Arial"/>
          <w:snapToGrid w:val="0"/>
          <w:color w:val="auto"/>
          <w:kern w:val="0"/>
          <w:sz w:val="24"/>
          <w:highlight w:val="none"/>
        </w:rPr>
        <w:t>5</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搜索和添加重大事项</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用户对某些关键字进行检索出相关联的重大警情或重大事项，针对一些存在风险但是未预警的信息可以进行添加录入，录入的信息也能同步推送到市局三级大屏。</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6.1.2.</w:t>
      </w:r>
      <w:r>
        <w:rPr>
          <w:rFonts w:ascii="仿宋_GB2312" w:hAnsi="Arial" w:eastAsia="仿宋_GB2312" w:cs="Arial"/>
          <w:snapToGrid w:val="0"/>
          <w:color w:val="auto"/>
          <w:kern w:val="0"/>
          <w:sz w:val="24"/>
          <w:highlight w:val="none"/>
        </w:rPr>
        <w:t>6</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日志管理</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登录日志、操作日志、查看日志，对接市局相关日志系统。</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6.1.2.</w:t>
      </w:r>
      <w:r>
        <w:rPr>
          <w:rFonts w:ascii="仿宋_GB2312" w:hAnsi="Arial" w:eastAsia="仿宋_GB2312" w:cs="Arial"/>
          <w:snapToGrid w:val="0"/>
          <w:color w:val="auto"/>
          <w:kern w:val="0"/>
          <w:sz w:val="24"/>
          <w:highlight w:val="none"/>
        </w:rPr>
        <w:t>7</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安全管理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对接市局安全管理系统。</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可视化地图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通过整合梳理任务中心各项基础信息数据，结合**操作系统的地图支撑能力，将任务中心的任务数据上图，分类建立多个数据图层，支撑基于地图的任务工作处置。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实现任务数据上图、数据图层建立、图上指挥、可视化分析。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内外网传输工具</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文件基本操作与分享：支持上传、下载、预览、收藏、一键轻松分享文件，支持生成链接分享等基本文件操作功能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组织架构和成员管理：可按照组织架构进行人员管理，根据组织架构可自动生成对应的文件结构，并支持通过模板批量导入成员；</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数据报表审计：显示云盘使用的总体情况，包括帐号数量、存储空间、分享数量、已上传文件/文件夹数量等项目；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文件分享安全：使用内部链接分享必须拥有云盘账号才可登录查看下载分享文件，保障资料分享后的安全获取；</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文件共享和权限管控：按照组织架构建立各部门的共享文件夹，并且可以对不同成员进行权限设置，保证文件安全前提下实现各种协作需求。</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个人内网文件存储：建立内网个人网盘，存储文件。</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6.1.5.</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工具集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工具管理：对工具集的工具进行统一管理，增加、删除、备注等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工具查看：对工具的基础操作及介绍进行查看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工具评价：对工具的使用效果进行评价</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接处警APP功能升级</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移动接处警APP本期主要建设内容主要包括警辅力量联动、执法视频自动化生成、当事人信息文本识别、反馈内容输入优化、当事人照片上传、工作台界面交互模式优化等内容。接入的数据资源包括110接处警系统的警情数据、警力数据、标准地址数据、POI数据、人口数据、单位数据、物品数据、案件数据、事件数据、房屋等可以协调到的数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警辅力量联动</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警辅作为社会治安队伍的重要组成部分，当前缺少信息化工具辅助**工作开展。为此，须在杭州市警察叔叔APP基础上开发相关功能点满足警辅力量的信息化需求，提升**处理效率。</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警单列表：警察叔叔APP首页展示警辅人员接收到的所有历史警单。警单信息包括但不仅限于：警情类型、警单生成时间、警单内容、警情发生地址等。移动接处警APP首页将警辅人员接收到的所有历史警单以可滑动列表的形式进行显示，并按照时间倒序进行排列，方便警员进行查找。警单信息在页面上方进行类别的显示，包括但不仅限于：警情类型、警单生成时间、警单内容、警情发生地址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警单处理：警单处理流程一般由a.签收。b.到达现场。c.反馈，三大环节构成。警单处理功能辅助调度人员对警情的处理进行全流程跟踪，流程由a.签收。b.到达现场。c.反馈，三大环节构成。对警单处理形成闭环。其中，签收模块主要为警辅人员提供警单的相关数据信息和签收按钮，民警到达现场后，可在页面上点击“到达现场”按钮。反馈模块为警辅人员处理完警单后提供快速汇报的支持，提供文字输入模块和照片上传模块，可以对现场情况快速进行文字编辑描述并上传实时照片。</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处警记录查询：警辅人员可在个人信息中，查看个人历史处警记录。历史处警记录便于警辅人员回溯警情处理成果。对警员的处警数据进行汇总同步。警辅人员可在个人信息中查看个人历史处警记录，历史处警记录便于警辅人员回溯警情处理成果。记录以可滑动列表的形式进行展示，并按照时间倒序进行排列，方便警辅人员对记录进行查找。记录的显示内容包括：处警时间、警情类型、警单内容、警情发生地址、处理结果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警辅力量帮助：执法帮助功能着眼于为警辅人员处理非**类警情提供额外的辅助决策支持，尤其面向于执法办案经验尚缺乏的警辅人员，有助于规范其执法办案行为，提升执法办案能力。可以根据警辅人员不同的分工，展示不同的帮助内容。考虑到警辅人员日常的手机操作习惯，警辅力量帮助入口位于首页的右下角。点击后，根据当前的警情类别，罗列非**类警情的细分场景，点击每个细分场景，可查看对应细分场景下执法帮助要点详情。</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针对警辅力量联动功能，有三条技术实现路径：</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方案一：在公安内网提供，签收，到达、现场反馈，证据关联接口提供杭州警察叔叔进行互联网端处警反馈。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方案二：政务网接口提供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在政务网提供，签收，到达、现场反馈，证据关联接口提供杭州警察叔叔进行互联网端处警反馈。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方案三：提供互联网签收反馈界面并整合到警察叔叔</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在政务网提供，签收，到达、现场反馈，证据关联接口提供签收反馈。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政务网端开发签收，到达，现场反馈，证据上传app（H5）终端。</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执法视频自动化生成</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终端功能，根据**通录入的接警单时间信息以及执法记录仪上传的音像信息，通过智能算法模型，自动进行匹配关联，打破**通和执法记录仪彼此的信息孤岛，建立完整的接处警信息档案。**通和执法记录仪两者的信息成功匹配后，在110警情卷宗内建立执法视频的链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执法记录仪终端功能，须记录并上传各个警单的生成时间、警单签收时间、警单反馈时间、最终反馈时间、治安调解协议书保存时间，作为警情处理各个环节的节点标记；对于执法记录仪终端，须记录并上传音视频的拍录开始时间、拍录暂停时间、拍录结束时间。</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当事人信息文本识别</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现场反馈界面可以通过对接OCR实时读取驾驶照及市民卡信息，同时对接健康码数据对人员身份进行读取，返回当事人的身份证号码、电话号码、姓名、住址、户籍、健康码状态（绿码、黄码、红码）等数据信息。为防止录入数据的丢失和缺漏上传，设置返回提示功能，110接处警移动应用任何信息录入模块在返回时进行弹窗提示，提醒用户保存输入内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110接处警移动应用任何信息录入模块在返回时须保存输入内容。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反馈内容输入优化</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民警可在接警单录入两类反馈内容：文字反馈、语音反馈。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文字反馈内容支持不多于1000个字符输入。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对于不同年龄段的用户，文字反馈输入框支持两种输入模式：1.普通输入模式。2.便捷输入模式。</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普通输入模式下：指尖触碰于文本框区域中时，可自由上下翻动输入的反馈信息；指尖离开文本框区域，则可自由上下翻动整个手机屏的页面内容。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便捷输入模式：点击文本框右下角的放大按钮 ，则手机屏幕由竖屏模式自动转为横屏模式，文本框占据手机屏的所有空间。</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在便捷输入模式下，点击文本框右下角的收缩按钮 ，或将手机位置由横放转为竖放，则手机屏幕由横屏模式恢复为竖屏模式，文本框恢复为原来大小。</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文字反馈内容自动填入3类信息：当事人信息、报警地址信息、处置结果。</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6.1.6.5.</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当事人照片上传</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作为警单处理的最后一个环节，民警需上传当事人的照片、电子签名方可完成警单处理的流程闭环。通过留存警情当事人的照片及电子签名，做到警单回溯有据可循。该部分提供两种当事人照片上传方式：</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1、直接进行拍摄，通过页面内相机入口进行照片的实时拍摄获取；</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2、从图库中进行选择，警辅人员可以直接从手机相册中选择已经拍摄完成的当事人照片。</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提供实时签字功能，当时人可以直接在APP页面上用手指进行签名。</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6.1.6.6.</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治安调解书优化</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现场治安调解书修改页面，按照新需求，定制现场治安调解书录入项。优化治安调解协议书自动读取已登记好的双方当事人所有信息，不需要再手动输入地址，节省民警处理时间；优化打印时无法显示全部内容的问题；优化确认签名时横着书写打印后无法显示签名的问题。</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w:t>
      </w:r>
      <w:r>
        <w:rPr>
          <w:rFonts w:ascii="仿宋_GB2312" w:hAnsi="Arial" w:eastAsia="仿宋_GB2312" w:cs="Arial"/>
          <w:snapToGrid w:val="0"/>
          <w:color w:val="auto"/>
          <w:kern w:val="0"/>
          <w:sz w:val="24"/>
          <w:highlight w:val="none"/>
        </w:rPr>
        <w:t>7</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飞投优化</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改变原飞投内容与警情内容脱离的方式，飞投内容与警情内容相关联，查看时以聊天交互的方式按照发送内容时间排序。以列表的形式，展示飞投而来的图文音像资料。同一警单号的飞投信息集合显示，按照警单生成时间的早晚，在列表上从下到上排列。向下滑动时，飞投信息依次向下显示。</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6.1.6.8.</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工作台界面交互模式优化</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调整当前110接处警移动应用的功能界面位置，由左侧导航栏调整成底部导航栏。</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更加符合用户操作习惯。</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根据功能的差别和流程的分布，将各模块分为首页、飞投、自建警情、通知、我的</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w:t>
      </w:r>
      <w:r>
        <w:rPr>
          <w:rFonts w:ascii="仿宋_GB2312" w:hAnsi="Arial" w:eastAsia="仿宋_GB2312" w:cs="Arial"/>
          <w:snapToGrid w:val="0"/>
          <w:color w:val="auto"/>
          <w:kern w:val="0"/>
          <w:sz w:val="24"/>
          <w:highlight w:val="none"/>
        </w:rPr>
        <w:t>9</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统计功能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针对接处警APP 的现场反馈进行数据统计，从组织机构维度统计接处警APP 使用率，包括现场反馈警情数、总有效警情数、民警个性数据：APP 反馈警情总数、全局或***接警APP 反馈数排名。</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6.1.6.10.</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播放语音自动提醒</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设计开发语音提示功能，系统在收到指派警情时及时进行弹窗，并对指派给民警自己的警情进行语音提示。提供自定义设置提醒功能，民警可设置指派给自己警情时是否进行弹窗语音提示，民警可设置只收到指派给自己的警情才弹窗，而其他警情不弹窗。6.1.7.</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办公自动化模块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公文管理模块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6.1.7.1.1.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收文管理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收文管理实现对外来的文件、公函等，进行输入、分类登记、自动编号，实现文件的拟办、传阅、批阅、承办协办、归档的电子化管理，通过流程监控功能，追踪电子文件的传输过程，记录领导的批示意见以及文件办理情况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收文办理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拥有文件拟办、批办、承办、协办权限的用户，可以查看公文阅办单、电子正文和附件、办理意见和文件去向、流程记录，可以打印公文阅办单、电子正文和附件。</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收文分办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在收到的收文里面，有一些是需要分派到相关部门去操作执行。在收文的流程里面设置分办环节，需要分办的收文就选择相关的分办部门，不需要就直接跳过该环节。</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催办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在收到的收文有经过分办环节时，不同的部门在工作时有可能出现办理滞后的情况出现，这时就可以利用的流程的催办功能。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对当前流程办理人发送通知、短信等，进行催办。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办复</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分办的相关部门对收文办理情况的一个整体说明，便于相关工作的落实及领导对工作办理情况的查看。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收文登记</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收文登记薄主要是针对通过公文处理单或者文件接收区接收到的公文。同时支持来文字号、来文内容的搜索。</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收文归档</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 xml:space="preserve">收文办结后，由归档人员执行归档操作，将办结的文件根据拟稿部门归档到档案管理模块，归档信息包括公文正文、附件文件以及发文办理单。 </w:t>
      </w:r>
    </w:p>
    <w:p>
      <w:pPr>
        <w:tabs>
          <w:tab w:val="left" w:pos="0"/>
        </w:tabs>
        <w:spacing w:line="360" w:lineRule="auto"/>
        <w:ind w:firstLine="480"/>
        <w:rPr>
          <w:rFonts w:hint="eastAsia" w:ascii="仿宋_GB2312" w:hAnsi="Arial" w:eastAsia="仿宋_GB2312" w:cs="Arial"/>
          <w:snapToGrid w:val="0"/>
          <w:color w:val="auto"/>
          <w:kern w:val="0"/>
          <w:sz w:val="24"/>
          <w:highlight w:val="none"/>
        </w:rPr>
      </w:pP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6.1.7.1.2.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发文管理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发文管理，实现公文发布、在线编辑、公文阅处。发文管理遵循国标《国家行政机关公文格式》和浙江省人民政府办公厅编颁的有关规范标准。</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实现发文流转过程的无纸化管理，具备拟稿、核稿、会签、核稿、分管领导审核、签发、登记套红头、电子校对、盖章发文等环节功能。实现发文全过程的业务流程自动化定义功能。实现发文库管理人员管理监控发文流程、发文编号流水号管理、管理配置发文字号、发文单自定义（发文稿纸可以根据各个流程或则处室实际情况编制）、发文主题词自动引标、文件表头、红头管理、发送范围配置管理等文件相关功能，与现实公文管理流程可无缝衔接。具备发文状态显示、查询、监控、配置等管理功能。根据实际情况，实现发文后的修正业务流程管理，由各单位根据公文修正需求，经过规范的公文修正业务流程，保障公文发布的严肃性与有效性。</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会议管理模块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6.1.7.2.1.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计划内会议管理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每月第三周周五前，各单位提交下月拟召开会议计划。会议计划审核通过并发布后，各单位按会议计划执行并召开相关会议。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6.1.7.2.2.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计划外会议管理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未列入每月会议计划的会议，为计划外会议，最迟需在会议召开前1天履行计划外会议审批手续，方能按计划召开会议。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6.1.7.2.3.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市局党委会议和局长办公会议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此模块中包含市局党委会议和市局局长办公会议两项功能。点击相应功能按键后，分别进入相应流程。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信息报送管理模块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该模块主要用于各相关单位向工作牵头单位报送工作信息，报送的工作信息经修改录用后可以在前台直接显示，或者被录用后编发工作简报；未被录用信息也可存储，作为后续材料素材。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信息报送：实现政务信息的编辑、上报等功能。包括多次上报处理，重复上报信息过滤，同时上报多个单位的处理等。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评分统计：实现政务信息的上报情况、采用情况、得分情况的统计功能。包括根据期刊类型、采用情况的不同定义相应的评分标准，统计每条信息的得分情况、被每种期刊的采用情况、单位上报信息的情况，形成期刊采用情况统计表，计算每个单位得分情况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批示督办管理模块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各大类事项系统自动编制独立的流水号，允许手动修改流水号用于手动录入涉密件，手动录入件编号之后系统再顺延自动编号。设置自动提醒功能，对各办理环节接收方进行提醒，对未签收、办理期限届满、超期办理等情况进行提醒。</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6.1.7.4.1.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政协人大建议提案办理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具体流程如下：</w:t>
      </w:r>
    </w:p>
    <w:p>
      <w:pPr>
        <w:tabs>
          <w:tab w:val="left" w:pos="0"/>
        </w:tabs>
        <w:spacing w:line="360" w:lineRule="auto"/>
        <w:rPr>
          <w:rFonts w:hint="eastAsia" w:ascii="仿宋_GB2312" w:hAnsi="Arial" w:eastAsia="仿宋_GB2312" w:cs="Arial"/>
          <w:snapToGrid w:val="0"/>
          <w:color w:val="auto"/>
          <w:kern w:val="0"/>
          <w:sz w:val="24"/>
          <w:highlight w:val="none"/>
        </w:rPr>
      </w:pPr>
      <w:r>
        <w:rPr>
          <w:rFonts w:hint="eastAsia" w:ascii="仿宋_GB2312" w:eastAsia="仿宋_GB2312"/>
          <w:color w:val="auto"/>
          <w:highlight w:val="none"/>
        </w:rPr>
        <w:drawing>
          <wp:inline distT="0" distB="0" distL="114300" distR="114300">
            <wp:extent cx="4829175" cy="6724650"/>
            <wp:effectExtent l="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2"/>
                    <a:stretch>
                      <a:fillRect/>
                    </a:stretch>
                  </pic:blipFill>
                  <pic:spPr>
                    <a:xfrm>
                      <a:off x="0" y="0"/>
                      <a:ext cx="4829175" cy="6724650"/>
                    </a:xfrm>
                    <a:prstGeom prst="rect">
                      <a:avLst/>
                    </a:prstGeom>
                    <a:noFill/>
                    <a:ln>
                      <a:noFill/>
                    </a:ln>
                  </pic:spPr>
                </pic:pic>
              </a:graphicData>
            </a:graphic>
          </wp:inline>
        </w:drawing>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6.1.7.4.2.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督办工作</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具体流程如下：</w:t>
      </w:r>
    </w:p>
    <w:p>
      <w:pPr>
        <w:tabs>
          <w:tab w:val="left" w:pos="0"/>
        </w:tabs>
        <w:spacing w:line="360" w:lineRule="auto"/>
        <w:rPr>
          <w:rFonts w:hint="eastAsia" w:ascii="仿宋_GB2312" w:hAnsi="Arial" w:eastAsia="仿宋_GB2312" w:cs="Arial"/>
          <w:snapToGrid w:val="0"/>
          <w:color w:val="auto"/>
          <w:kern w:val="0"/>
          <w:sz w:val="24"/>
          <w:highlight w:val="none"/>
        </w:rPr>
      </w:pPr>
      <w:r>
        <w:rPr>
          <w:rFonts w:hint="eastAsia" w:ascii="仿宋_GB2312" w:eastAsia="仿宋_GB2312"/>
          <w:color w:val="auto"/>
          <w:highlight w:val="none"/>
        </w:rPr>
        <w:drawing>
          <wp:inline distT="0" distB="0" distL="114300" distR="114300">
            <wp:extent cx="5431790" cy="5809615"/>
            <wp:effectExtent l="0" t="0" r="16510"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3"/>
                    <a:stretch>
                      <a:fillRect/>
                    </a:stretch>
                  </pic:blipFill>
                  <pic:spPr>
                    <a:xfrm>
                      <a:off x="0" y="0"/>
                      <a:ext cx="5431790" cy="5809615"/>
                    </a:xfrm>
                    <a:prstGeom prst="rect">
                      <a:avLst/>
                    </a:prstGeom>
                    <a:noFill/>
                    <a:ln>
                      <a:noFill/>
                    </a:ln>
                  </pic:spPr>
                </pic:pic>
              </a:graphicData>
            </a:graphic>
          </wp:inline>
        </w:drawing>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6.1.7.4.3.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市局领导批示</w:t>
      </w:r>
    </w:p>
    <w:p>
      <w:pPr>
        <w:tabs>
          <w:tab w:val="left" w:pos="0"/>
        </w:tabs>
        <w:spacing w:line="360" w:lineRule="auto"/>
        <w:rPr>
          <w:rFonts w:hint="eastAsia" w:ascii="仿宋_GB2312" w:hAnsi="Arial" w:eastAsia="仿宋_GB2312" w:cs="Arial"/>
          <w:snapToGrid w:val="0"/>
          <w:color w:val="auto"/>
          <w:kern w:val="0"/>
          <w:szCs w:val="21"/>
          <w:highlight w:val="none"/>
        </w:rPr>
      </w:pPr>
      <w:r>
        <w:rPr>
          <w:rFonts w:hint="eastAsia" w:ascii="仿宋_GB2312" w:eastAsia="仿宋_GB2312"/>
          <w:color w:val="auto"/>
          <w:highlight w:val="none"/>
        </w:rPr>
        <w:drawing>
          <wp:inline distT="0" distB="0" distL="114300" distR="114300">
            <wp:extent cx="4695825" cy="6429375"/>
            <wp:effectExtent l="0" t="0" r="9525" b="952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4"/>
                    <a:stretch>
                      <a:fillRect/>
                    </a:stretch>
                  </pic:blipFill>
                  <pic:spPr>
                    <a:xfrm>
                      <a:off x="0" y="0"/>
                      <a:ext cx="4695825" cy="6429375"/>
                    </a:xfrm>
                    <a:prstGeom prst="rect">
                      <a:avLst/>
                    </a:prstGeom>
                    <a:noFill/>
                    <a:ln>
                      <a:noFill/>
                    </a:ln>
                  </pic:spPr>
                </pic:pic>
              </a:graphicData>
            </a:graphic>
          </wp:inline>
        </w:drawing>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6.1.7.4.</w:t>
      </w:r>
      <w:r>
        <w:rPr>
          <w:rFonts w:ascii="仿宋_GB2312" w:hAnsi="Arial" w:eastAsia="仿宋_GB2312" w:cs="Arial"/>
          <w:snapToGrid w:val="0"/>
          <w:color w:val="auto"/>
          <w:kern w:val="0"/>
          <w:sz w:val="24"/>
          <w:highlight w:val="none"/>
        </w:rPr>
        <w:t>4</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统计分析</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通过统计分析视图全方位体系展现批示督办数据，实现领导管理任务更轻松，部门汇报进度更及时。</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6.1.7.5.</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通讯录管理</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个人通讯录，搭建个人可配置的通讯录，维护个人常用联系人或联系单位，实现模块操作时，可快速定位人员。</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6.1.7.6.</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电子公章管理系统对接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通过对接杭州市公安局现有电子公章管理系统支撑杭州市公安局办公自动化系统，实现部门间审批办事全程电子化，规范网上审批流程，有效推动公安局内部办事事项网上办理全程电子化监管。</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w:t>
      </w:r>
      <w:r>
        <w:rPr>
          <w:rFonts w:ascii="仿宋_GB2312" w:hAnsi="Arial" w:eastAsia="仿宋_GB2312" w:cs="Arial"/>
          <w:snapToGrid w:val="0"/>
          <w:color w:val="auto"/>
          <w:kern w:val="0"/>
          <w:sz w:val="24"/>
          <w:highlight w:val="none"/>
        </w:rPr>
        <w:t>7</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流程中心</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流程中心提供流程自定义能力，通过可视化界面配置流程，为单位提供强大的流程定义和接入能力；提供了通用的流程引擎和接口，便于其他系统或模块去调用和使用，以实现具有工作流或者业务流性质的事务或者业务功能。提供了可视化配置和参数配置，可在线调整流转过程和操作，便于流程快速上线。</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w:t>
      </w:r>
      <w:r>
        <w:rPr>
          <w:rFonts w:ascii="仿宋_GB2312" w:hAnsi="Arial" w:eastAsia="仿宋_GB2312" w:cs="Arial"/>
          <w:snapToGrid w:val="0"/>
          <w:color w:val="auto"/>
          <w:kern w:val="0"/>
          <w:sz w:val="24"/>
          <w:highlight w:val="none"/>
        </w:rPr>
        <w:t>8</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表单中心</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表单中心提供了表单在线配置能力，内置40余个组件，包括输入文本框、多行文本、下拉选择等组件。可实现在线调整表单细节样式，以适应频繁变更的需求，快速响应用户诉求。在线配置表单可与流程中心无缝对接，快速配置应用模块并上线。</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6.1.7.</w:t>
      </w:r>
      <w:r>
        <w:rPr>
          <w:rFonts w:ascii="仿宋_GB2312" w:hAnsi="Arial" w:eastAsia="仿宋_GB2312" w:cs="Arial"/>
          <w:snapToGrid w:val="0"/>
          <w:color w:val="auto"/>
          <w:kern w:val="0"/>
          <w:sz w:val="24"/>
          <w:highlight w:val="none"/>
        </w:rPr>
        <w:t>9</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系统配置中心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内含包括数据字典、系统常量、用户体系、机构体系、群组管理、模块管理、权限体系等基础支撑服务能力。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与内网现有用户体系对接与集成。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共享内容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6.2.1.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模型中心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通过大数据服务将抽象的业务思维固化成可见、可用的模型，为日常工作提供支撑。将作战经验进行沉淀为经验模型，通过海量大数据的碰撞形成结果，将经验共享全警使用，提升整体的作战能力。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本期项目在杭州**操作系统建立的共享模型体系的基础上，从业务出发覆盖各个相关业务警种的领域提供业务输入。各警种业务部门在开发实战业务应用的过程中，统一通过建模平台进行技战法模型的构建，建成的模型向全警共享，形成众智开发，百花齐放的模型开发生态。</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6.2.2.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标签中心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统一标签体系的技术和管理规范，将来自于各个警种在业务应用建设过程中开发的各类标签特征汇集沉淀共享，支撑各警种应用在标签中心中使用，形成对实体对象的全方位刻画，增强实战效能，提高开发效率。</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业务标签特征重点支持业务模型实战落地，根据业务模型数据依赖需要，本期项目重点抽象建设实体异常特征应用于业务模型异常评估，包括：</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人员异常：提供关注人员的异常标签，包括人员的异常行为、异常轨迹等等；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机动车异常：提供重点车辆的异常标签，包括车辆异常轨迹特征；</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场所异常：提供重点场所的异常标签；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组织异常：提供关注组织的异常标签；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案/事件异常等等：提供重点案/事件的异常标签；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6.2.3.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指标中心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已建立的技术和管理规范，将来自于各个警种在业务应用建设过程中开发的各类指标的汇集沉淀。支撑各个应用的开发者将开发过程中生产的指标在智能指标中心中统一汇集、统一调度、统一使用。并在指标超市中分门别类的展示，便于后续其它用户可以便捷的找到所需的已有指标，提高开发效率。</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杭州**操作系统目前已经建立面向各警种的指标内容。本期为加速构建公安信息化支撑体系，构建五大指标域，围绕政治维稳、治安维稳、打击犯罪、行政管理、综合管理构建指标，从而实现多警种、多模块的指标融合。</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指标注册完成后，提供指标调用方法展示，主要包括：1.接口信息（接口地址、请求方式、content-type）；2.请求示例代码样式、响应示例代码样式；3.实例说明：参数名、参数类型、是否必须、描述等；4.支持一键下载实例说明文档。</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针对系统内管理的各项指标的数据情况进行实时监控。主要从指标调用详情（应用角度）、指标接收详情（警种角度）对指标数据进行分类查看。指标调用详情（应用角度）：1）支持查看系统内共有哪些应用在对指标进行调用；2）支持查看该应用下指标及指标数据情况；3）点击单一指标可查看该指标的在该账号组织范围内各单位的指标数据情况。</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展示所有已上架指标；主要包括指标名称、添加购物车；按警种区分指标，警钟类别主要包括：情指、双基、刑侦、治安、禁毒、经侦、督察、法制、科信、跑改办、出入境、交警等。1.支持用户将想要调用的指标添加进购物车；2.支持对购物车内指标进行单一删除或一键清空；3.支持用户一键提交购物车内的所有申请调用的指标</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通用基础能力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图像能力中心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6.3.1.1.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公安内网实人认证</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在公安内网建设实人认证能力，将采集的人脸照片，以及给定的待校验身份，通过与在系统保存的底库照片进行1：1比对，判断采集的照片是否是活体人脸，且是否与待校验的身份相符。</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验证通过后，上传的照片会自动扩充到对应身份的底库中。</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对不存在底库中的身份，从外部系统抓取人脸照片作为底库照片进行比对。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6.3.1.2.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智能点位标签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对视频点位进行轮询分析，抽取视频的内容进行理解，从而对该点位的标签进行智能化分析，提取如人脸识别、车辆识别、高点、人流量大、人行道监控、室内监控、适合结构化等标签。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利用对视频点位长时间多次的轮询分析，每个点位的标签会不断的变化演进。通过训练新的标签识别的模型，可识别的标签还可根据需求不断增加。</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视频点位的标签可以辅助用户在播放视频、建立视频解析任务时，选择符合需求的视频点位，避免盲目地选择区域内所有视频进行播放或解析。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6.3.1.3.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视频解析智能调度</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当前视频的解析能力是通过人工建立任务进行调度的，当没有相应任务时，视频解析的能力是空闲的。视频解析的智能调度能力，利用视频播放日志、警情、布控报警等数据的驱动，通过算法自动推荐当前时刻分析价值最高的点位，拉取对应的视频进行分析，从而更有目的地调度空闲的视频解析能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6.3.1.4.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图片二次解析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利用空闲的算力，对人脸卡口和车辆卡口抓拍的大图按需进行二次分析，将人脸卡口中的人体、车辆卡口中的人脸进行解析，扩充感知数据来源，解析后的数据上云汇聚。</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6.3.1.5.</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视频测量</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利用遥感地图作为绝对空间的参照，在视频中对距离和速度进行测量。遥感地图和视频画面可以进行自动粗粒度匹配及手动精准匹配，提供手动匹配的交互界面，要求用户在界面中标注多个遥感地图与视频画面匹配的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提供在视频画面中进行测量的交互界面，用户通过支持点和线的标注，可以获得真实的测量距离。</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6.3.1.6.</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光学字符识别能力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OCR（Optical Character Recognition，光学字符识别）是把纸张、卡证、车牌等载体上的文字通过光学手段和技术手段转化为计算机可以使用的文字的过程。在OCR技术没有广泛应用的时代，要把大量的卡证牌照、票据表单、纸质文档上的文字信息录入电脑，只能依赖人工。而通过OCR技术可以直接从影像中提取金额、帐号、文字资料等重要数据，生成所需的新文本，代替人的手工录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业务服务和信息共享过程中会产生大量的影印件和文字图像等数据，OCR技术可以帮助从影印件和文字图像中提取文字和关键信息。然后OCR的效果依赖于输入数据的质量和场景，市场上通用的OCR服务并不能满足业务服务和信息共享的业务要求。本次项目计划针对业务服务和信息共享中的业务需求定制训练优化能满足业务需求的OCR服务。根据应用场景的不同，本次计划定制训练优化三类常用的OCR模型：通用OCR模型、文档OCR模型、证件OCR模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6.3.1.7.</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AR制高点应用</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该功能包括标签添加、标签管理、标签位置偏移纠正、标签同步、标签过滤、标签搜索、标签展示、标签关闭、AR视频预览回放、电子地图应用、AR联动、布控报警可视化、目标追踪、人流量统计应用等功能项。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涉网新型犯罪能力中心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6.3.2.1.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反诈能力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互联网能力，融合多源异构数据，建设反诈骗中心技术平台，实现诈骗行为态势综合感知，实现诈骗行为实时识别、诈骗对象和诈骗分子综合画像、诈骗行为链条自动化分析、诈骗趋势分析与预警，实现诈骗情报线索挖掘、推送与自动化分发，反诈模型训练与知识库管理，实现反诈指挥、调度与处置智能化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1）构建高危易骗人群画像模型，同时结合分类预测、关系网络挖掘等手段，识别和发现潜在的刷单易骗人群，并根据他们的相关联系方式进行提前干预。</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2）构建诈骗团伙的人群画像模型，同时结合分类预测、关系网络挖掘等手段，识别和发现诈骗团伙网络，并根据他们银行卡与支付宝信息进行阻断干预。</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3）在通讯网络诈骗行为识别方面，输出诈骗行为特征标签，识别和定位的诈骗团伙，实施精准抓捕。</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基于公安数据，建设统一的反诈数据资源层（数据中台）和研判分析能力（业务中台），包括数据融合、标签萃取、数据管理和数据服务等功能，在此基础之上，通过AI工具结合关系网络挖掘、聚类等多种算法，构建大数据分析模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6.3.2.2.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反诈线索服务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反诈线索服务帮助警方提前预警、及时阻断，从而降低诈骗案件的发生概率、频次。将欺诈产业链的重点环节进行识别、打标并分类型推送给警方，在案件还未发生时就锁定关键信息，警方再通过多种方式进行阻断，达到有效预防的效果。提升事中、甚至事前的发现能力，真正解决受害者‘最痛的问题’，保护老百姓的‘钱袋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6.3.2.3.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反诈AI分析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1）互金借贷风险模型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随着互联网金融平台的普及，各类骗术开始突破受骗者的自由财产范围，开始出现诱导受骗者通过多个互金平台大量借贷后转出资金的骗术。这种骗术在给受害人造成巨大损失的同时，还使受害人背负高额债务，社会危害巨大，极易造成受害人采取极端行为，影响社会稳定。本模型在此类诈骗案件中识别被害人风险特征，并流转至现有涉网新型犯罪侦防平台支撑劝阻反制流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2）兼职刷单风险模型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主要分析对象为刷单信息多发的载体，如兼职类信息发布平台，刷单QQ、YY等兼职社群。</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兼职刷单风险防范模型用人工智能与模式识别技术，通过已有案件数据分析上述高发诈骗载体的特征，识别提取常见兼职刷单诈骗信息内容、诈骗与发布载体、易骗人群群体等特征，对接现有涉网新型犯罪侦防平台，支撑对刷单诈骗高发的平台、社群及其他载体的预警，当高危易被骗人群开始访问上述诈骗载体时，识别被害人风险，并完成劝阻反制流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3）“杀猪盘”风险模型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杀猪盘类骗术指的是利用情感交友为名，在社交媒体等平台通过较长期的交流，获取被骗者信任，逐步诱骗其进入投资、理财、网络赌博等诈骗载体，造成高额损失。</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根据实际的反诈业务数据，进行社交账号风险特征识别、杀猪盘诈骗载体特征识别、受骗人群高危行为特征识别，构建受骗人群画像、诈骗账号特征。</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4）诈骗网站识别模型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诈骗网站检测系统通过黑白名单库以及基础特征分析模型，识别出正常网址、诈骗网址以及疑似诈骗网址，具备进一步分析研判能力。可通过域名相似度、网站特征相似度来检测诈骗网站、网址。</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5）诈骗短信检测模型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基于NLP和NUP技术对涉诈短信文本特征识别，抽取回拨号码，邮箱、URL、银行账号、手机号，关键词等实体。</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6）涉诈互联网账号发现模型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实现疑似诈骗的互联网账号(如微信/QQ)分析研判功能，支持基于现有涉案数据进行多应用场景下分析疑似诈骗微信/QQ号码、微博账号的能力,可根据实际情况评估其诈骗风险等级。</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6.3.2.4.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反诈AI中台</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1）数据采集与加工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由于涉网新型犯罪的涉案比例不断增加，既遂案件受害人手机设备采集数据是案件侦破有关键线索。利用新型案件现场勘查平台的现勘数据，按照公安部现勘标准采集社网络流、资金流、信息流等类型数据，通过互联网到公安内网通道，将采集的数据进行统一汇聚，并按照标准进行批量加工。对涉诈APK，通过系统提供的APK解析功能进行解析，为案件研判提供线索。</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2）数据融合引擎</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对现勘数据、报案数据、案情、互联网大数据等数据进行清洗、转换、融合，构建数据融合引擎，提供预警功能、标签画像引擎。</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3）研判分析引擎</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研判分析引擎是实现画像研判、关系研判和时空研判的大数据可视化分析平台。研判分析引擎结合关系网络、时空数据、地理制图学建立可视化表征，揭示对象间的关联和对象时空相关的模式及规律。该产品提供关联网络、时空网络、信息立方、智能研判、协作共享、动态建模等功能，以可视化的方式有效融合机器的计算能力和业务专家的认知能力，利用现勘、案件及互联网大数据资源与**操作系统能力，对诈骗案件进行还原和回溯，并基于其他相关模块能力，进步开展综合分析工作，以支撑人工研判和事件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6.3.2.5.</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移动反诈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依托警察叔叔APP，建设反诈SDK消息推送模块。针对以APP为载体的非接触式犯罪案件，总结公安机关先进经验，发现并及时提醒潜在的电信网络诈骗易受害群体。融合反诈SDK的警察叔叔APP支持对用户手机内APP进行安全监测，自动发现可疑的敏感APP，提醒用户提高警惕以免上当受骗。通过比对用户手机是否安装黑样本库中的敏感应用，实时保障用户上网安全。通过反诈SDK信息预警推送模块的开发应用和推广普及，可有效提高全民反诈意识，降低辖区内非接触式依托APP实施诈骗的发案数量和涉案金额，防止民众利益受到侵害。</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6.3.2.5.1.警察叔叔SDK对接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依托互联网社会面主流APP，在运营过程中的SDK活跃情况，对警察叔叔APP进行共联拉活，保障反诈应用检测和消息推送的可用性、及时性。</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6.3.2.5.2.涉诈应用检测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涉诈应用检测，自动检测本机安装应用情况</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APP活跃时可自动检测本机安装应用情况并与互联网黑样本库进行比对，帮助用户发现可疑敏感应用。</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自动判断安装的应用类型，帮助用户发现可疑敏感应用。</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支持将应用包名同互联网涉诈黑样本库进行比对，判断应用类型。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支持将应用包名同互联网涉诈黑样本库进行比对，通过比对用户手机是否安装黑样本库中的敏感应用，实时保障用户上网安全。</w:t>
      </w:r>
    </w:p>
    <w:p>
      <w:pPr>
        <w:tabs>
          <w:tab w:val="left" w:pos="0"/>
        </w:tabs>
        <w:spacing w:line="360" w:lineRule="auto"/>
        <w:ind w:firstLine="480"/>
        <w:rPr>
          <w:rFonts w:hint="eastAsia" w:ascii="仿宋_GB2312" w:hAnsi="Arial" w:eastAsia="仿宋_GB2312" w:cs="Arial"/>
          <w:snapToGrid w:val="0"/>
          <w:color w:val="auto"/>
          <w:kern w:val="0"/>
          <w:sz w:val="24"/>
          <w:highlight w:val="none"/>
        </w:rPr>
      </w:pP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6.3.2.5.3.消息预警推送</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当手机中的应用被判断为涉诈应用，提供给机主推送相关消息的技术能力。通过及时提醒，帮助用户提高警惕及时卸载或举报。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消息推送频率可自定义。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通用应用功能新增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6.3.3.1.布控智寻功能新增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布控智寻模块新增不分类图搜、异常流量分析可视域、异常流量区域人流热力、异常流量点位新增、重点人轨迹、一键生成轨迹、结果大图操作工具、搜索结果展开、人脸接触人员研判、失驾模型分析、酒驾模型、地图工具、快速定位、告警时段支持添加多个等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6.3.3.1.1.不分类图搜</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图搜不分类型进行，对上传的图片进行对象选取后直接搜索。</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6.3.3.1.2.异常流量分析可视域</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展示可视域，支持关闭可视域（通过按钮进行控制），无可视域的点位支持“选域”功能，有可视域的点位支持“编辑”功能。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6.3.3.1.3.异常流量区域人流热力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支持通过热力图形式在地图上展示区域内的人流密集情况。</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6.3.3.1.4.异常流量点位新增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通过在地图上对点位进行单击点选/对圈选的区域进行鼠标拖动/通过地图上对框选的锚点进行拖动等操作进行点位新增。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6.3.3.1.5.重点人轨迹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支持生成重点人的轨迹报告。</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6.3.3.1.6.一键生成轨迹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支持对人脸搜索结果进行一键生成轨迹。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6.3.3.1.7.结果大图操作工具</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查看大图时支持截图搜索，截图后支持身份落地（人脸）、跳转视频搜索。</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6.3.3.1.8.搜索结果展开</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将结果区域以抽屉形式拉出，最多一屏展示12条。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6.3.3.1.9.人脸接触人员研判</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基于时空约束的人脸特征聚合自动发现目标人的所有可能的相关接触人员。</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6.3.3.1.10.失驾模型分析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通过人脸、车辆卡口数据比对失驾人员，协助交警完成失驾人员的管控工作。</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6.3.3.1.11.酒驾模型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在饭店、KTV等重点场所门口抓拍筛选到的饮酒或疑似饮酒人员，构成当天的饮酒人员人脸特征库，同时机动车人脸卡口将驾驶人人脸特征与当天的饮酒人员人脸特征库进行比对，比对一致则触发酒驾报警。</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6.3.3.1.12.地图工具</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新增地图工具，放大、缩小、地图快速查找位置。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6.3.3.1.13.快速定位</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快速搜索点位名称进行定位。</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6.3.3.1.14.告警时段</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支持添加多个。</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**智搜功能新增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智搜模块新增境外人员专题档案、房屋专题档案、更丰富的全息档案、专题档案修改、专题档案规律评估（如分析人员的出行规律，人员画像等）、智搜app搜索交互迭代、智寻应用集成、旅馆/火车/飞机专题档案语义搜等等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6.3.3.2.1.专题档案：境外人员档案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基于全息档案实现框架，完成对外国人员，港澳台等境外人员构建基于出入境数据为基准的全息档案构建。境外人员档案基于城市大脑相关资源，扩充现有全息档案体系，赋能支撑出入境警种业务。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专题档案：房屋档案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基于全息档案实现框架，实现对房屋的档案建立，汇聚房屋基本信息，居住人员信息，事件信息，帮助用户快速构建房屋纬度信息“一页式”档案。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全息档案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构建更丰富的全息档案，包括网吧、企业、重点人、小区、案件、警情。</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专题档案：档案修改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实现对档案中存在数据不准确和错误信息，提交档案修改流程，对档案数据进行矫正。</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6.3.3.2.5.</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专题档案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档案分析评估（如分析人员的出行规律，同报警人警情等）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结合城市大脑数据资源和计算能力，基于全息档案实现框架，丰富当前已有全息档案呈现维度，在原有官方数据维度呈现之外，新增档案数据技战法模型分析，对档案主题进行分析研判。</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6.3.3.2.6.</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智搜app</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搜索交互迭代（对语音查询）。</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根据移动端操作习惯和当前移动端搜索场景，对智能搜索app进行调整交互，提供语音方式进行数据查询和反馈。</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6.3.3.2.7.</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智寻应用集成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集成智寻的图片检索能力。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6.3.3.2.8.</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语义搜：旅馆/火车/飞机专题</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专题搜索支持语义搜索能力。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w:t>
      </w:r>
      <w:r>
        <w:rPr>
          <w:rFonts w:ascii="仿宋_GB2312" w:hAnsi="Arial" w:eastAsia="仿宋_GB2312" w:cs="Arial"/>
          <w:snapToGrid w:val="0"/>
          <w:color w:val="auto"/>
          <w:kern w:val="0"/>
          <w:sz w:val="24"/>
          <w:highlight w:val="none"/>
        </w:rPr>
        <w:t>9</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用户端功能新增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用户在使用全息档案功能遇到功能、数据问题，支持用户可按照不同类型问题进行提交，包括功能错误，档案修正，维度建议。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支持用户填写修正的问题标题、具体描述以及支持上传附件，同时也支持用户通过扫码添加入群。</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支持用户查看历史的提交记录，支持用户对记录按照反馈时间、档案类型、进度进行筛选，反馈的记录支持查看详情。</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6.3.3.2.</w:t>
      </w:r>
      <w:r>
        <w:rPr>
          <w:rFonts w:ascii="仿宋_GB2312" w:hAnsi="Arial" w:eastAsia="仿宋_GB2312" w:cs="Arial"/>
          <w:snapToGrid w:val="0"/>
          <w:color w:val="auto"/>
          <w:kern w:val="0"/>
          <w:sz w:val="24"/>
          <w:highlight w:val="none"/>
        </w:rPr>
        <w:t>10</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运维端功能新增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支持接收用户侧反馈信息，反馈的结果支持选择属性筛选以及处理。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支持运维侧对任务进行状态的处理以及问题处理的结果同步到前台用户。</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全息地图功能新增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依托3.0建设的可视化展示，数据元素接入，数据配置，服务能力支撑基础上，应业务发展和通用能力支撑需要，新增可视化配置工作台、磁贴库、要素库、实战推演等功能模块。</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6.3.3.3.1.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可视化配置工作台</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可视化技术，磁贴库、要素库、图标库等内容的支撑，实现**实战场景所关注的业务指标、态势、**要素等内容的可视化配置实现，满足市局、分局、***等不同组织、不同警种、不同业务场景的差异化需求；全息提供提供所见即所得的可视化配置工作台，将磁贴、要素、地图作战区域、权限管控等内容有机组合，在一站式工作台上实现拖拉拽的配置。可视化配置工作台包括场景信息配置，地图区域绘制，要素库的**要素关联，磁贴库的磁贴管理，场景权限配置，场景发布等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6.3.3.3.2.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磁贴库对接指标中心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实现标准组件，如文字描述类组件、单值展示类组件、饼图组件、柱图组件、趋势图组件，完成磁贴的可视化配置，实现磁贴背后业务内容在不同场景、不同机构、不同用户间的资源共享。</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6.3.3.3.3.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要素库实现**要素</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如警情、警力、视频监控、机构驻地、勤务支点等可接入的**要素的统一管理，包括要素基本信息、要素数据源映射等内容，为可视化配置工作台提供多样化的要素素材。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6.3.3.3.4.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实战推演</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实现特定场景的模拟任务的管理，包括任务新增、编辑、启动、停止。</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地址标准化功能新增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地址标准化模块新增寄递数据分析、多源地址库归一等功能。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6.3.3.4.1.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寄递数据分析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支持物流信息人名、地名、电话号码的提取和识别，后续借助NLP自然语言处理、知识图谱等技术，实现实体、关系的识别抽取以及联想，实现对寄递物流数据的有效利用分析。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6.3.3.4.2.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多源地址库归一</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完成多源地址库融合匹配，以及增量地址数据的补充后，往往容易出现大量的重复数据，包括文本相似地址数据，一地多名数据等等。通过地址引擎的地址归一服务，可以根据相似文本算法，地址补全比对等技术减少一地多名的现象，进一步提升统一地址库数据质量。</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w:t>
      </w:r>
      <w:r>
        <w:rPr>
          <w:rFonts w:ascii="仿宋_GB2312" w:hAnsi="Arial" w:eastAsia="仿宋_GB2312" w:cs="Arial"/>
          <w:snapToGrid w:val="0"/>
          <w:color w:val="auto"/>
          <w:kern w:val="0"/>
          <w:sz w:val="24"/>
          <w:highlight w:val="none"/>
        </w:rPr>
        <w:t>5</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**要素警情</w:t>
      </w:r>
    </w:p>
    <w:tbl>
      <w:tblPr>
        <w:tblStyle w:val="6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**要素警情:撒点图--警情数据以撒点方式在地图上进行展示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**要素警情:热力图--警情数据以热力方式在地图上进行展示，可根据地理范围自定义热力半径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**要素警情:聚合图--警情数据以聚合方式在地图上进行展示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**要素警情:态势图--警情数据根据态势计算并在地图进行展示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**要素警情:当班警情--警情快捷搜索，查询当班警情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**要素警情:当日警情--警情快捷搜索，查询当日警情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**要素警情:24小时警情--警情快捷搜索，查询前24小时内警情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**要素警情:警情级别--警情根据一般、紧急、危急进行分类，并可以对次级别进行快速查询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**要素警情:警情处置阶段--根据警情处置阶段分为分派、签收、到达、反馈、完结，并可以对次级别进行快速查询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**要素警情:快速检索--按要素列表的名称，接警编号，内容信息的快速查询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**要素警情:分类检索--按要素列表的各个字段进行分类查询，如时间维度，警情分类，管辖单位等多维度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**要素警情:警情看板--根据接警数据不同维度进行统计分析，如：接警数、有效警情数、警情级别、警情所处阶段等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**要素警情:警情列表--自动获取最新警情数据，实时动态更新警情，并数据根据时间倒叙进行展示，分为展开和收起2种状态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**要素警情:警情页卡详情--详细展示警情数据的接警单数据，处置数据，出警数据等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**要素警情:气泡弹窗--地图展示要素内容，可在列表种点击弹窗或者点击地图icom进行弹出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**要素警情:详情（列表页卡按钮）--功能按钮，查询数据的详情数据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**要素警情:关注（列表页卡按钮）--功能按钮，对关注警情进行关注置顶出来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**要素警情:一警多派（列表页卡按钮）--功能按钮，对警单多次进行派警进行关联，未多派进行置灰处理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**要素警情:周边（列表页卡按钮）--功能按钮，根据警情定位对周边警情、警力、视频进行分组，并拉起周边视频进行自动播放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**要素警情:多图合一（列表页卡按钮）--功能按钮，对警单进行关联多图合一系统进行跳转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**要素警力:撒点图--警力数据以撒点方式在地图上进行展示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**要素警力:热力图--警力数据以热力方式在地图上进行展示，可根据地理范围自定义热力半径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**要素警力:聚合图--警力数据以聚合方式在地图上进行展示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**要素警力:态势图--警力数据根据态势计算并在地图进行展示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**要素警力:在线警力--快速筛选所有在线警力数据（与离线警力可多选，与当班警力互斥）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**要素警力:离线警力--快速筛选所有离线警力数据（与在线警力可多选，与当班警力互斥）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**要素警力:当班离线--快速筛选所有当班在线警力数据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**要素警力:当班离线--快速筛选所有当班离线警力数据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**要素警力:标注--根据警力定位数据显示警力标注，如：警员类型+警员名称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**要素警力:追踪--查看追踪状态下的设备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**要素警力:警力视频--打开播放器播放警力实时视频数据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**要素警力:警力信息导出--对所有的警力数据进行导出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**要素警力:警力看板--根据警力数据不同维度进行统计分析，如：警力类别、设备类别等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**要素警力:钉钉信息--对接钉钉信息发送接口，打通数据发送通道，可对警力推送相应钉钉信息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**要素警力:警力列表--查询所有的警力数据（警员和警车）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**要素警力:快速检索--内容，名称，所属信息的快速筛选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**要素警力:分类检索--按要素列表的各个字段进行分类查询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**要素警力:警力页卡详情--显示警力详细信息，如：名称，编号，电话，关联设备等信息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**要素警力:气泡弹窗--地图展示要素内容，可在列表种点击弹窗或者点击地图icom进行弹出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**要素警力:轨迹（列表页卡按钮）--功能按钮，点击后查询警员的轨迹信息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**要素警力:视频（列表页卡按钮）--打开播放器播放警力实时视频数据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**要素警力:追踪（列表页卡按钮）--在地图实时显示次警力的运动轨迹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**要素警力:周边（列表页卡按钮）--功能按钮，根据定位对周边警情、警力、视频进行分组，并拉起周边视频进行自动播放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**要素重点人:撒点图--重点人数据以撒点方式在地图上进行展示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**要素重点人:热力图--重点人数据以热力方式在地图上进行展示，可根据地理范围自定义热力半径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**要素重点人:聚合图--重点人数据以聚合方式在地图上进行展示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**要素重点人:标注--在地图上根据定位数据显示重点人名称的标注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**要素重点人:看板--根据重点人数据不同维度进行统计分析，如：本地/非本地列管、人员类别等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**要素重点人:快速检索--名称和类型等信息的快速搜索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**要素重点人:分类检索--按要素列表的各个字段进行分类查询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**要素重点人:本地列管--快速查询本辖区列管重点人员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**要素重点人:非本地列管--快速查询外辖区来本地的重点人员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**要素重点人:其它类别查询--快速筛选查询：来源分类、重点关注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**要素重点人:重点人页卡详情--重点人名称、身份证号、管控类型等字段进行展示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**要素重点人:气泡弹窗--地图展示要素内容，可在列表种点击弹窗或者点击地图icom进行弹出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**要素重点人:轨迹（列表页卡按钮）--查看人员轨迹，并能进行轨迹行程回溯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**要素重点人:专题档案--跳转重点人的档案信息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**要素重点人:一人一档--跳转人员的一人一档查看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**要素联网监控:撒点图--监控数据以撒点方式在地图上进行展示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**要素联网监控:热力图--监控数据以热力方式在地图上进行展示，可根据地理范围自定义热力半径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**要素联网监控:聚合图--监控数据以聚合方式在地图上进行展示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**要素联网监控:标注--在地图上根据定位数据显示重点人名称的标注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**要素联网监控:看板--视频数据看板显示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**要素联网监控:数据列表--查询所有的联网监控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**要素联网监控:快速检索--名称和编号等信息的快速搜索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**要素联网监控:分类检索--按要素列表的各个字段进行分类查询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**要素联网监控:气泡弹窗--地图展示要素内容，可在列表种点击弹窗或者点击地图icom进行弹出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**要素联网监控:周边（列表页卡按钮）--功能按钮，根据定位对周边警情、警力、视频进行分组，并拉起周边视频进行自动播放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**要素联网监控:联网监控--编组（列表页卡按钮）--对视频进行编组安排，与编组信息相关联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**要素联网监控:联网监控--播放（列表页卡按钮）--当前监控设备视频播放功能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**要素联网监控:监控编组--显示--对有编组的监控设备在地图上是否进行撒点控制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**要素联网监控:监控编组--新增--编组信息的新增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**要素联网监控:监控编组--编辑--修改编组信息或者是修改编组内的设备数据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**要素联网监控:监控编组--删除--删除此编组信息并且清空编组内的设备信息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**要素联网监控:最近播放--记录最近播放的设备信息，按照时间倒叙进行排序（最多存200条）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**要素联网监控:资源目录--根据设备归属地行政区划树状展示，并进行统计（在线数/总数），按资源目录进行点击播放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**要素人口:资源目录--根据设备归属地行政区划树状展示，并进行统计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**要素人口:常口--查询常口人员数量，根据不同层级进行统计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**要素人口:流口--查询流口人员数量，根据不同层级进行统计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**要素人口:外籍人口--查询外籍人口人员数量，根据不同层级进行统计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**要素人口:人员信息--查询人员的基本信息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**要素交通路况:撒点图--交通路况数据以撒点方式在地图上进行展示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**要素交通路况:拥堵--拥堵数据显示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**要素交通路况:缓行--缓行数据显示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**要素交通路况:畅通--畅通数据显示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**要素交通路况:施工--道路施工数据显示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**要素交通路况:数据列表--数据信息列表展示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**要素交通路况:快速检索--名称和编号等信息的快速搜索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**要素交通路况:分类检索--按要素列表的各个字段进行分类查询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**要素交通路况:看板--按要素数据类型进行统计分析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**要素勤务支点:撒点图--数据以撒点方式在地图上进行展示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**要素勤务支点:热力图--数据以热力方式在地图上进行展示，可根据地理范围自定义热力半径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**要素勤务支点:聚合图--数据以聚合方式在地图上进行展示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**要素勤务支点:周边（列表页卡按钮）--功能按钮，根据定位对周边警情、警力、视频进行分组，并拉起周边视频进行自动播放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**要素勤务支点:快速检索--名称和类型等信息的快速搜索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**要素勤务支点:分类检索--按要素列表的各个字段进行分类查询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**要素勤务支点:气泡弹窗--地图展示要素内容，可在列表种点击弹窗或者点击地图icom进行弹出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**要素勤务支点:检查站--接入数据展示，并快速进行筛选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**要素勤务支点:**室--接入数据展示，并快速进行筛选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**要素勤务支点:楔子岗亭--接入数据展示，并快速进行筛选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**要素勤务支点:联勤勤务站--接入数据展示，并快速进行筛选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**要素勤务支点:支点页卡详情--根据不同**数据，分别进行详情数据展示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**要素勤务支点:气泡弹窗--地图展示要素内容，可在列表种点击弹窗或者点击地图icom进行弹出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**要素勤务支点:置顶（列表页卡按钮）--关注支点要素进行置顶功能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**要素勤务支点:定位（列表页卡按钮）--对要素定位进行修改或二次定位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**要素勤务支点:修改（列表页卡按钮）--修改支点信息内容，如名称、地点等</w:t>
            </w:r>
          </w:p>
        </w:tc>
      </w:tr>
    </w:tbl>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w:t>
      </w:r>
      <w:r>
        <w:rPr>
          <w:rFonts w:ascii="仿宋_GB2312" w:hAnsi="Arial" w:eastAsia="仿宋_GB2312" w:cs="Arial"/>
          <w:snapToGrid w:val="0"/>
          <w:color w:val="auto"/>
          <w:kern w:val="0"/>
          <w:sz w:val="24"/>
          <w:highlight w:val="none"/>
        </w:rPr>
        <w:t>6</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区域防控场景</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区域防控场景巡防区:地图显示--对热力、撒点、态势、聚合在地图上显示控制开关，控制数据在地图进行展示。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区域防控场景巡防区:数据看板--按数据类别在看板进行统计展示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区域防控场景巡防区:**要素联动--联动**要素，并根据所选巡区数据进行结合展示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区域防控场景135快反:地图显示--控制数据在地图进行展示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区域防控场景136快反:数据看板--按数据类别在看板进行统计展示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区域防控场景137快反:**要素联动--联动**要素，并根据所选235快反数据进行结合展示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区域防控场景小区:地图显示--对热力、撒点、态势、聚合在地图上显示控制开关，控制数据在地图进行展示。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区域防控场景小区:数据看板--按数据类别在看板进行统计展示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区域防控场景小区:**要素联动--联动**要素，并根据所选小区范围数据进行结合展示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区域防控场景医院:地图显示--对热力、撒点、态势、聚合在地图上显示控制开关，控制数据在地图进行展示。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区域防控场景医院:数据看板--按数据类别在看板进行统计展示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区域防控场景医院:**要素联动--联动**要素，并根据所医院范围数据进行结合展示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区域防控场景学校:地图显示--对热力、撒点、态势、聚合在地图上显示控制开关，控制数据在地图进行展示。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区域防控场景学校:数据看板--按数据类别在看板进行统计展示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区域防控场景学校:**要素联动--联动**要素，并根据所学校范围面数据进行结合展示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区域防控场景自定义场景添加:地图显示--控制数据在地图进行展示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区域防控场景自定义场景添加:数据看板--按数据类别在看板进行统计展示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区域防控场景自定义场景添加:**要素联动--联动**要素，并根据所选重点场所面数据进行结合展示</w:t>
            </w:r>
          </w:p>
        </w:tc>
      </w:tr>
    </w:tbl>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w:t>
      </w:r>
      <w:r>
        <w:rPr>
          <w:rFonts w:ascii="仿宋_GB2312" w:hAnsi="Arial" w:eastAsia="仿宋_GB2312" w:cs="Arial"/>
          <w:snapToGrid w:val="0"/>
          <w:color w:val="auto"/>
          <w:kern w:val="0"/>
          <w:sz w:val="24"/>
          <w:highlight w:val="none"/>
        </w:rPr>
        <w:t>7</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地图工具地图</w:t>
      </w:r>
    </w:p>
    <w:tbl>
      <w:tblPr>
        <w:tblStyle w:val="6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地图工具地图切换:地图切换--可切换二维的高德矢量图、天地图矢量、纯影像图、高德影像、天地图影像。二三维的为高德矢量地图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地图工具地图筛选:地图筛选--五大类通用地图筛选工具：圈选、框选、线选、多边形选择、区域及自定义区域选择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地图工具地图坐标定位:坐标拾取--根据选中地图位置提取当前经纬度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地图工具地图坐标定位:坐标定位--根据选中地图经纬度信息获取到当前经纬度位置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地图工具地图测量:测距--测量需要路线的距离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地图工具:测面积--测量所选位置的面积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地图工具地图背景调整:地图背景调整--背景减淡、虚化，可实现地图背景变淡及变灰色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地图工具地图挂图使用:地图挂图使用--地图打印：用于挂图作战，可打印大面积的地图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地图工具地图覆盖图层:地图覆盖图层--全市的各类边界展示：分局、***、防区、街道、社区、交警中队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地图工具地址搜索:地址搜索--各类POI、标准地址搜索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地图工具图层控制:全部选择--联动**要素图层选择全部快速控制开启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地图工具图层控制:全部关闭--联动**要素图层选择全部快速控制关闭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地图工具图层控制:全部隐藏--联动**要素图层选择全部快速控制关闭地图图层显示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地图工具图层控制:勾选确认--选中要素的确认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地图工具图层控制:取消--选中要素取消</w:t>
            </w:r>
          </w:p>
        </w:tc>
      </w:tr>
    </w:tbl>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w:t>
      </w:r>
      <w:r>
        <w:rPr>
          <w:rFonts w:ascii="仿宋_GB2312" w:hAnsi="Arial" w:eastAsia="仿宋_GB2312" w:cs="Arial"/>
          <w:snapToGrid w:val="0"/>
          <w:color w:val="auto"/>
          <w:kern w:val="0"/>
          <w:sz w:val="24"/>
          <w:highlight w:val="none"/>
        </w:rPr>
        <w:t>8</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自定义管理要素管理</w:t>
      </w:r>
    </w:p>
    <w:tbl>
      <w:tblPr>
        <w:tblStyle w:val="6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自定义管理要素管理:要素数据管理--数据的管理（如：警情、警力、重点人）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自定义管理要素管理:要素类别管理--自定义类别进行管理，可管理到各要素类别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自定义管理要素管理:要素分组管理--分组数据的增删改查，并且可关联到各类要素进行分组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自定义管理要素管理:要素标签分组管理--标签数据的增删改查，并且可关联到各类要素进行分组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自定义管理要素管理:要素图标--可自定义配置地图下侧列表要素图标，增删改查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自定义管理要素管理:图标管理--自定义图标的上传和管理界面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自定义管理定制图层:分组新增--分组信息的新增功能，名称和权限（ID，创建时间，创建人，创建人警号，创建人部门，修改时间，修改人）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自定义管理定制图层:图层新增--名称，图层分组，数据来源，查看权限，采集权限（ID，创建时间，创建人警号，创建人，创建人部门，修改时间，修改人）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自定义管理定制图层:分组管理--分组和图层的关联，分组的管理界面，权限管理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自定义管理定制图层:图层管理界面--分组和图层的关联，图层的管理界面，权限管理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自定义管理定制图层:点模板--根据不通的图层设置不同的模板，可进行数据管理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自定义管理定制图层:线模板--根据不通的图层设置不同的模板，可进行数据管理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自定义管理定制图层:面模板--根据不通的图层设置不同的模板，可进行数据管理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自定义管理定制图层:字模板--根据不通的图层设置不同的模板，可进行数据管理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自定义管理数据管理:数据管理--自定义数据的增删改，查询数据表名，接入时间，状态；对数据的同步和详情查看，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自定义管理数据管理:接口管理--自定义接口的新增、删、改、查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自定义管理辖区管理:信息管理--全市的各类边界数据的增删改查：分局、***、防区、街道、社区、交警中队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自定义管理辖区管理:区域绘制--对全市编辑数据可在地图上自定义画定范围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自定义管理权限管理:权限配置--系统用户使用权限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自定义管理权限管理:层级配置--功能界面配置权限管理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自定义管理权限管理:数据权限--要素等数据的管理权限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shd w:val="clear" w:color="000000" w:fill="FFFFFF"/>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自定义管理权限管理:浏览器适配--支持62、67、74等谷歌以及win7及win10相应系统</w:t>
            </w:r>
          </w:p>
        </w:tc>
      </w:tr>
    </w:tbl>
    <w:p>
      <w:pPr>
        <w:tabs>
          <w:tab w:val="left" w:pos="0"/>
        </w:tabs>
        <w:spacing w:line="360" w:lineRule="auto"/>
        <w:rPr>
          <w:rFonts w:hint="eastAsia" w:ascii="仿宋_GB2312" w:hAnsi="Arial" w:eastAsia="仿宋_GB2312" w:cs="Arial"/>
          <w:snapToGrid w:val="0"/>
          <w:color w:val="auto"/>
          <w:kern w:val="0"/>
          <w:sz w:val="24"/>
          <w:highlight w:val="none"/>
        </w:rPr>
      </w:pP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6.3.3.9.</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关系网络分析功能新增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关系网络分析模块新增更多可视化操作、行为明细、时序分析、行为分析、离线数据导入分析、时空分析等功能。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6.3.3.9.1.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可视化操作</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1、节点管理 。节点新增、节点删除。可支持任意位置的节点新增、选中节点的删除。</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2、关系（边）管理。关系新增、关系删除。支持任意位置的关系新增。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3、缩略图。提供缩略图，方便对图进行操作。</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4、信息标注。对于研判过程关注的信息，可以进行灵活的多标签式信息标注。</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5、关系下钻。对于间接关系，点击边可进行关系下钻。比如人与人的同火车信息，点击关系连线时，可展开具体的火车节点，查看对应的详细乘车记录。</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6.3.3.9.2.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行为明细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行为明细以列表的方式展示关系（边）的详细信息，例如人员关系详情。</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6.3.3.9.3.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时序分析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以时间为坐标，将所有实体和关联以时间序列的顺序进行排列，以揭示事件发生的过程和规律。时序分析通过时间序列搜索出的重复发生概率较高的模式，与回归一样，它也是用已知的数据预测未来的值。利用时序分析，可以通过分析历史案件发生前、发生中、发生后的数据，来生成案件的时序分析模型，当某种行为发生时，可以预测可能的下一步行为，来帮助判断是否会有案件的发生。</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6.3.3.9.4.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行为分析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过提取人员在行为上的特征（行为特征主要包括基本行为特征和社会行为特征，基本行为特征包括常住地址，暂住地址等，社会行为特征包括手机通话，乘坐火车，乘坐飞机等），可以分析人的行为信息，找出异常规律。例如根据某案件已抓获的案犯，分析其案发前后的行为特征，例如案发前潜伏、案发后逃逸。</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6.3.3.9.5.</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离线数据导入分析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可将用户掌握的离线文件信息导入进行关系网络分析，导入后可分析该数据的关系网络，同时可融合底层数据进一步拓展分析，支持的文件包括EXCEL，TXT，CSV格式。</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6.3.3.9.6.</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时空分析</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时空分析，是针对对象轨迹的分析。即引入轨迹的概念，将实体、关联等坐标数据和地图结合，从而发掘出时间与空间关联关系。</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1、圈选：在地图中选择一个区域内查询在一段时间内出现的各类轨迹，如图所示</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2、共现：基于地图选中两个或多个区域或同一个区域的不同时间段进行碰撞分析，获取重合的轨迹，如图所示。</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伴随分析：伴随分析是轨迹与轨迹之间时空伴随、时间伴随、空间伴随相似度分析。利用相似度等算法，定位人员或者团伙在时间和地理空间上的行为轨迹，并获取与其行为相似的犯罪分子或者犯罪团伙。例如，针对案件的重点嫌疑人，通过定位分析其在地理上的轨迹路线图，并找出特定时间段内与轨迹有重合的人员，实现以人找人。</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身份落地：身份落地是根据已知的轨迹，通过算法来计算与与查找之相似的轨迹。从而确认轨迹所属的对象身份。如当通过摄像头拍摄到嫌疑人身影，但无法确认其身份时，可以根据其轨迹信息，查询与之匹配的手机GPS轨迹，从而确认嫌疑人身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6.3.3.10.</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数据魔方功能新增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数据魔方模块新增场景化建模能力、数据安全措施强化、指标看板、建模效率提升等功能。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智能客服功能新增</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智能客服模块新增全语音门户机器人功能。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基于ASR（语音识别）、TTS（语音合成）和机器人NLP（自然语言处理）技术，可实现具备语音交互能力的智能语音机器人。智能语音机器人能够基于业务场景实现各种能力，可承接用户的日常咨询和投诉具备任务。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通过智能语音门户的建立，用户无需经过传统的IVR按键方式，拨通后直接说明问题或意图即可开始对话服务，大大减少了用户的等待时长和操作成本，同时智能语音机器人能够实现7X24小时的不间断服务，提升用户咨询、投诉体验的同时，还能够极大降低客服成本。</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系统功能</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（1）语音识别/语音合成引擎</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ASR（语音识别）是一项将语音识别并转化为文本的技术，TTS（语音合成）是将文本转办为语音的技术。用户的呼入语音先通过ASR语音转写服务转换为文本，对语音做自然语言理解，通过对话管理，返回答案文本结果，然后再调用TTS服务合成为自然语音，返回给用户。基于ASR和TTS，可实现整个语音交互过程的无缝衔接，给用户一种自然语音对话交互的体验。</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（2）智能语音门户</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用户拨通电话后，无需进行IVR按键操作，无需等待IVR播报，直接进行问题描述与表达，根据预设策略，机器人识别到用户意图后将快速进行应答或直接将用户转接到对应技能组进行解答，全面提升用户体验。</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（3）智能语音识别与交互</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基于ASR和TTS引擎，能够实时识别用户语音，并且支持将机器人答复转化为语音播报给用户，实现人机自然的语音交互。并且基于机器人的多轮交互能力，能够实现具备上下文语义理解的多轮交互问答。</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（4）智能语义理解</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在前端语音识别模块完成对客户语音内容的识别并转写后，客户的语音信息被转到后端语义理解模块进行处理。语义理解模块将客户语音内容和相应的业务模型进行匹配和理解，将成功匹配的客户业务要求转到具体的业务流程进行处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（5）行业意图模型与语音交互场景</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可根据用户行业特性训练专用的行业意图模型，设计专用的语音交互场景。</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（6）智能打断与澄清</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支持语音打断，访客可在自助语音服务过程中随时打断对话并描述自己的诉求，而无需等待播放结束。支持智能澄清，面对不清晰的表达机器人会进行澄清或反问，引导用户重新表达。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（7）容错处理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当用户静默或者机器人没有理解用户的需求而导致拒识时，自动进行反问引导用户开口表述或者提示用户换一种表述。</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（8）自定义语音交互场景设计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系统提供话术管理平台，支持两类话术的管理：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问答型知识库搭建与管理：实现一问一答场景的回复。</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多轮对话场景搭建与管理：实现复杂业务场景的回复。支持通过多轮对话形式进行服务，用户可任意改变询问的次序，引擎根据提问中包含的信息点，通过反问请求用户在后续对话中补全信息，在多次交互及上下文继承后，形成用户提问意图的完整表示，最终提供符合要求的答案或输出给IVR系统业务指令</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以上话术通过智能问答机器人后台进行管理和配置。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（9）会话记录</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支持显示会话列表，记录所有从用户进入导航实例到结束(挂断或转人工)的详细交互；列表显示内容包括：号码（手机号码），会话开始时间、会话结束时间、是否转人工，转人工显示转的技能组等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支持查看会话详情。选择会话记录，点击查看详情，到会话详情展示页面。显示从呼入到结束整个过程时间以及交互内容。分角色分时间按照交互顺序显示。</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（10）转人工设置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支持当用户有转人工需求时，机器人与客户进行反问交互确定所需要的人工支持，然后向IVR返回转人工指令，转接到人工坐席。</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（11）人机对话内容透传工单</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支持人机对话内容透传到工单系统，并展示给话务人员。</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（12）统计报表</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监控智能语音机器人的运行和使用情况，通过仪表盘直观展示一段周期时间内运行数据、关键指标、运行曲线。支持以可视化的方式展示统计报表，可展示实时访问量等的日常监控，包括：智能通话总量、转人工量、挂断率用户访问数据统计、机器人有效回复统计、未识别情况统计等报表。</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（13）录音存储</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会将接通状态的通话的录音保存下来，用于下载回听。</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（14）呼叫中心对接</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提供标准开发接口，支持与核心业务系统对接。支持MRCP或SIP协议与呼叫中心系统对接，支持所要求的并发数。</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语音交互场景建设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（1）业务流程设计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针对建设的交互场景，进行业务流程的设计。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具体包括：主业务流程设计、异常流程（超时、拒识等业务流程设计）、通用流程设计（针对用户表述简短语、问候、再见、更多业务等场景）、转人工设计（业务转人工、指令转人工、异常流程转人工）等场景。</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（2）多轮会话配置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针对拟建设的场景，场景设计之后，通过多轮对话工厂进行业务流程的配置。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配置过程主要包括：</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1）意图名称及话术配置、LGF 编写；</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2）引导话术及恢复内容配置；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3）槽位配置；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4）业务流程分支节点、服务引用节点、函数调用节点配置等。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（3）NLP模型训练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针对拟上线的语音场景，进行针对性的模型训练，包含实体词、特殊意图、相似问法等语义模型的训练和调优。</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（4）ASR模型训练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针对拟上线的语音场景，优化对应领域的专用语音识别效果，范围包含声学模型、语言模型、实体热词、重口音权重、静默时长、自动断句等内容的训练和调优。</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（5）场景定制化报表</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针对公积金提取场景，建立定制化的数据报表，包括报表设计、指标定义、报表输出、数据监控等工作内容。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（6）场景转人工逻辑设计与规则配置</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针对拟定的上线场景，设计对应的机器人转人工触发条件和规则。</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6.3.3.11.</w:t>
      </w:r>
      <w:r>
        <w:rPr>
          <w:rFonts w:ascii="仿宋_GB2312" w:hAnsi="Arial" w:eastAsia="仿宋_GB2312" w:cs="Arial"/>
          <w:snapToGrid w:val="0"/>
          <w:color w:val="auto"/>
          <w:kern w:val="0"/>
          <w:sz w:val="24"/>
          <w:highlight w:val="none"/>
        </w:rPr>
        <w:t>3</w:t>
      </w:r>
      <w:r>
        <w:rPr>
          <w:rFonts w:hint="eastAsia" w:ascii="仿宋_GB2312" w:hAnsi="Arial" w:eastAsia="仿宋_GB2312" w:cs="Arial"/>
          <w:snapToGrid w:val="0"/>
          <w:color w:val="auto"/>
          <w:kern w:val="0"/>
          <w:sz w:val="24"/>
          <w:highlight w:val="none"/>
        </w:rPr>
        <w:t>.</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其他功能</w:t>
      </w:r>
    </w:p>
    <w:tbl>
      <w:tblPr>
        <w:tblStyle w:val="6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0" w:hRule="atLeast"/>
        </w:trPr>
        <w:tc>
          <w:tcPr>
            <w:tcW w:w="5000" w:type="pct"/>
            <w:noWrap w:val="0"/>
            <w:vAlign w:val="center"/>
          </w:tcPr>
          <w:p>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端点检测。支持对输入的音频流进行分析，确定客户说话的起始和终止的处理过程。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56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轮对话反问引导。系统支持多轮对话反问引导，根据行方提供的业务逻辑，导航流程维护人员编写多轮对话脚本，引擎能够按照脚本与用户进行多轮对话交互，用户可任意改变询问的次序，引擎根据提问中包含的信息点，通过反问请求用户在后续对话中补全信息，在多次交互及上下文继承后，形成用户提问意图的完整表示，最终提供符合要求的答案或输出给IVR系统业务指令。系统支持二次引导，当客户描述不清、或者询问到某类关键词重叠度高的业务，如余额查询、密码服务、密码修改、本周交易明细、本月交易明细等，系统可以进行二次引导，通过反问的方式确定客户需求，最终给出符合要求的答案或输出给IVR系统业务指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8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错误提示。系统导航过程中支持输出错误提示，例如：用户进入语音导航系统，在一段时间没有收集到用户发出的语音数据，会给出“未收集到声音”的相关提示；当语义分析引擎无法理解用户意图时，会给出让用户重复说话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4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按键与语音识别混合模式。系统支持语音交互与按键混合模式，IVR流程支持DTMF与语音的混合模式。当客户进入特定业务场景时，如查询账户余额，用户可口述需求，系统反问引导客户用键盘输入卡号，用户输入完毕并确定，系统通过验证后可自动给出账户余额信息。在客户和机器人进行交互过程中，可随时进行按键打断并跳转到对应的业务节点内容，如转接到人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2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语音语义一体化（智能承接语能力）。语音语义一体化指的是一种算法与工程的创新思路和方法，将语音和语义信号统一处理，以实现对话体验与效果上的突破。当前业内的语音对话类产品大多数架构都是ASR、对话控制、NLU、TTS等每个环节之间相互独立串行，没有统一的全局的控制和判断能力。这样的劣势是，虽然人机对话都能够进行下去，但是与人类“边听边想边说”的模式相差较远，体验的天花板难以突破。而语音语义一体化是一种全新的智能承接语能力，它可以根据用户所述内容类型进行判断、自动在回复内容前加上口语化的承接语，比如“嗯嗯”、“好的”等。这种承接语能力会带来多个优势。例如：电话中端到端的延迟体验预计降低600ms左右；更自然的对话体验；针对性优化了承接语与后续TTS合成内容的衔接，确保衔接自然、平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2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语音预生成。支持拨打电话时的TTS语音预生成，可以有效减少大段语音播报时实时合成语音占用的时间，为用户提供更好的接听体验。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噪音消除。具备高效的噪音消除能力，降低客户在实际环境中的噪声，最大限度的保留用户的原始语音信息。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4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流程链路图。支持自定时间按流程链路更详细的查看到会话详情，在统计各个节点信息的基础上还提供了呼入量（总呼入总量）、转人工量（用户通过导航进入到呼叫中心的人工排队数量）、流程中断量（当出现了超时/拒识，或者对话流未完成的情况下，用户主动挂机）和解决量（当命中了知识点，或者对话流完成的情况下，用户主动挂机）的常用数据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8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实例管理。支持实例新增、编辑、删除、发布等功能。支持新建智能语音导航实例，设置名称、并发数目、描述；支持编辑智能语音导航实例信息；支持删除实例，同时删除实例下的话术、会话记录等，删除操作不可恢复；支持发布智能语音导航实例，实例从草稿转入已发布状态，上线使用；支持下线智能语音导航实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4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IVR导航。根据客户语义，自动匹配相应业务菜单，无需客户进行繁琐的按键操作。拒识设置：当智能语音导航当连续无法识别用户表述时，可选择进行转技能组（人工客服），转IVR菜单（语音菜单）和挂机；欢迎语设置：智能导航语音服务过程中，客户初次接通智能导航后，设置的机器人回复语。静默识别：当用户长时间不发出声音时，智能语音导航会主动发出话术，并做出相应处理。</w:t>
            </w:r>
          </w:p>
        </w:tc>
      </w:tr>
    </w:tbl>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重点人库系统</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w:t>
      </w:r>
      <w:r>
        <w:rPr>
          <w:rFonts w:ascii="仿宋_GB2312" w:hAnsi="Arial" w:eastAsia="仿宋_GB2312" w:cs="Arial"/>
          <w:snapToGrid w:val="0"/>
          <w:color w:val="auto"/>
          <w:kern w:val="0"/>
          <w:sz w:val="24"/>
          <w:highlight w:val="none"/>
        </w:rPr>
        <w:t>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首页</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1、在库人员总数：由省区下发的重点人员数据以及市局分类总和的四大类人员包括重点人员、前科人员、关注人员、临控人员及所属中类人员数量；</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2、今日预警总量：由杭州重点人在本地、杭州重点人在外地、外地重点人在杭州组成的今日的预警总人数统计；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3、重点人员分布总量：由杭州市在库重点人员、关注人员、前科人员、临控人员在各个区分局的总量分布产生的柱状图；在分局维度下，各个***的四大类人员总量分布柱状图；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4、人员预警：在最近24小时、最近7天维度下，四大类人员包括重点人员、关注人员、前科人员、临控人员产生的实名轨迹、人像轨迹、通讯轨迹、车辆轨迹、虚拟身份总数，以及产生的预警总数；</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5、预警总量分布：在最近24小时、最近7天维度下，市局所有分局的预警总数及总数占比饼状图；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6、预警趋势：在最近24小时、最近7天维度下，市局的预警总数产生的预警趋势折线图；</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7、人员动态去向预警趋势：在最近7天、一个月维度下，离行杭、入杭、进京重点人员、杭州重点人在外地、外地重点人在杭州产生的预警总数趋势折线图。</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w:t>
      </w:r>
      <w:r>
        <w:rPr>
          <w:rFonts w:ascii="仿宋_GB2312" w:hAnsi="Arial" w:eastAsia="仿宋_GB2312" w:cs="Arial"/>
          <w:snapToGrid w:val="0"/>
          <w:color w:val="auto"/>
          <w:kern w:val="0"/>
          <w:sz w:val="24"/>
          <w:highlight w:val="none"/>
        </w:rPr>
        <w:t>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人员管理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重点人员列表页：分别展示了姓名、证件号码、户籍地区划、管辖单位、人员大类、多个人员中类、责任警种、数据来源、来源系统名称等字段，默认以数据接入日期倒序排列，右侧列表操作可查看该人员信息详情；</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重点人员详情页：展示了基础信息包含姓名、性别、出生日期、婚姻状况、国籍、民族、兵役状况、工作单位、人员大类、人员中类、人员小类、人员细类、人员标签、居住地地址、户籍地区划、户籍详址、现住址区划、现住址详址等信息；特征信息包含手机号码、驾驶证信息、机动车登记、网络虚拟身份、机动车登记；管控信息列表包含人员大类、管控措施、管控级别、责任警钟、责任单位等字段；活动轨迹包含活动时间、活动类别、班次/网点/车次/车型、出发时间、出发地点、到达地点、结束时间、管辖公安单位/检查单位等信息；</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临控专题列表页：展示了专题名称、专题类型、有效时间范围、及临控人员的身份证、手机数量、车牌号数量、专题状态、录入人、录入单位等字段，根据创建时间倒叙排序；可新建临控专题，包括专题类型、专题名称、生效时间段、人员信息表；</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临控专题详情页：可以通过对专题进行二级审批，专题状态包括待提交、已提交、已生效、已失效；待提交状态可以对专题进行编辑，再选择审批人进行提交；已提交专题可以通过跳转审批中心通过审批详情页查看审批进度；已生效专题指已通过二级审批，可以对人员进行布控；已失效专题指当前时间已经超过专题生效时间段。</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w:t>
      </w:r>
      <w:r>
        <w:rPr>
          <w:rFonts w:ascii="仿宋_GB2312" w:hAnsi="Arial" w:eastAsia="仿宋_GB2312" w:cs="Arial"/>
          <w:snapToGrid w:val="0"/>
          <w:color w:val="auto"/>
          <w:kern w:val="0"/>
          <w:sz w:val="24"/>
          <w:highlight w:val="none"/>
        </w:rPr>
        <w:t>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审批中心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我已提交列表页：提交人通过对临控专题进行提交，在审批中心产生提交后的审批列表，包含审批单号、专题名称、专题类型、提交审批时间、提交人、一级审批人、审批状态；可通过审批记录详情页查看审批进度，实时同步审批节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待我审批的：审批人通过对临控专题进行审批，在审批中心产生由一、二级审批人审批的列表，包含审批单号、专题名称、专题类型、提交审批时间、提交人、一级审批人、审批状态；可通过审批记录详情页对该审批记录进行审批动作包括通过、拒绝；一级审批人需要二级审批人以及审批部门；</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我已审批的：由一、二级审批人完成审批后产生的审批列表，包含审批单号、专题名称、专题类型、提交审批时间、提交人、一级审批人、审批状态；可通过审批记录详情页对该审批记录进行审批动作包括通过、拒绝；一级审批人需要二级审批人以及审批部门；可通过审批记录详情页查看审批进度，实时同步审批节点。</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w:t>
      </w:r>
      <w:r>
        <w:rPr>
          <w:rFonts w:ascii="仿宋_GB2312" w:hAnsi="Arial" w:eastAsia="仿宋_GB2312" w:cs="Arial"/>
          <w:snapToGrid w:val="0"/>
          <w:color w:val="auto"/>
          <w:kern w:val="0"/>
          <w:sz w:val="24"/>
          <w:highlight w:val="none"/>
        </w:rPr>
        <w:t>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预警中心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常控预警列表页：展示信息包括姓名、证件号码、预警时间、人员大类、人员标签、活动类别、活动区划；预警分为带处置、已审阅、已下达、已反馈四种状态，可通过带处置预警信息对预警进行审阅、下达、反馈操作；可通过姓名、证件号码、手机号码、活动日期、活动区划、活动类型进行筛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临控预警列表页：展示信息姓名、预警对象类型、预警对象号码、预警时间、活动类别、监测区域；预警分为带处置、已审阅、已下达、已反馈四种状态，可通过带处置预警信息对预警进行审阅、下达、反馈操作；可通过姓名、证件号码、手机号码、活动日期、活动区划、活动类型进行筛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越界预警列表页：属于模型预警。展示信息姓名、预警对象类型、预警对象号码、预警时间、活动类别、活动发生区划、活动发生地址；可通过检测区域、预警时间按段、活动类别、证件号码、人员大类、人员种类进行筛选；</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隐性伴随预警列表页：属于算法预警。展示信息包括人员姓名、人员证件号、伴随者姓名、伴随者证件号、活动区划、伴随时间范围、伴随轨迹数量；可通过姓名、证件号码、活动区划、轨迹范围、活动区划进行筛选。</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w:t>
      </w:r>
      <w:r>
        <w:rPr>
          <w:rFonts w:ascii="仿宋_GB2312" w:hAnsi="Arial" w:eastAsia="仿宋_GB2312" w:cs="Arial"/>
          <w:snapToGrid w:val="0"/>
          <w:color w:val="auto"/>
          <w:kern w:val="0"/>
          <w:sz w:val="24"/>
          <w:highlight w:val="none"/>
        </w:rPr>
        <w:t>5</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统计中心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人员统计报表：通过设置统计时间段、活动区划、预警类型、人员大类、人员中类、人员小类，绘制出人员分类的统计结果表；报表信息包括人员类别、预警人数、预警总数、实名轨迹、人像轨迹、通讯轨迹、车辆轨迹、虚拟身份、民航、公路、铁路、旅馆、暂口、网吧等报表字段；</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组织机构预警报表：通过设置统计时间段、活动区划、预警类型、人员大类、人员中类、人员小类，绘制出分局及***人员分类的统计结果表；报表信息包括人员类别、预警人数、预警总数、实名轨迹、人像轨迹、通讯轨迹、车辆轨迹、虚拟身份、民航、公路、铁路、旅馆、暂口、网吧等报表字段；</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警种预警统计报表：通过设置统计时间段、活动区划、预警类型、人员大类、人员中类、人员小类，绘制出分局及***人员分类的统计结果表；报表信息包括警钟类别、预警人数、预警总数、实名轨迹、人像轨迹、通讯轨迹、车辆轨迹、虚拟身份、民航、公路、铁路、旅馆、暂口、网吧等报表字段；</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月年报表统计：通过设置统计类型、统计年份、统计月份、统计日期、表类型，绘制出分局及***人员分类的统计结果表；报表信息包括人群类别、本年在库人数、上年在库人数、环比、本年预警人数、上年预警人数、环比字段。</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w:t>
      </w:r>
      <w:r>
        <w:rPr>
          <w:rFonts w:ascii="仿宋_GB2312" w:hAnsi="Arial" w:eastAsia="仿宋_GB2312" w:cs="Arial"/>
          <w:snapToGrid w:val="0"/>
          <w:color w:val="auto"/>
          <w:kern w:val="0"/>
          <w:sz w:val="24"/>
          <w:highlight w:val="none"/>
        </w:rPr>
        <w:t>6</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管理中心</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1、人员类别管理：通过新建人员类别包括分类编码、分类名称，区分人员分类；通过分类逐级区分人员类别，方便管理人员类别，建立属于市局的重点人分类标签，快速对人员进行分类布控预警；</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审批人配置列列表页：展示的信息包括姓名、警号、所属单位、审批角色、创建时间等；可通过新建分类包括分类编码、分类名称；可修改分类名称；为***、分局、市局所属不同部门配置所有需要审批的一级、二级审批人；通过对接省厅以及第三方数据，快速将人员进行分类。</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w:t>
      </w:r>
      <w:r>
        <w:rPr>
          <w:rFonts w:ascii="仿宋_GB2312" w:hAnsi="Arial" w:eastAsia="仿宋_GB2312" w:cs="Arial"/>
          <w:snapToGrid w:val="0"/>
          <w:color w:val="auto"/>
          <w:kern w:val="0"/>
          <w:sz w:val="24"/>
          <w:highlight w:val="none"/>
        </w:rPr>
        <w:t>7</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权限管理</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1、角色管理，通过新建角色，建立系统管理所需的各类角色，提供为各类角色分配菜单资源和按钮，分配角色数据权限等。</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2、菜单管理：菜单列表页，展示系统已创建的菜单，包括菜单编号、菜单名称、资源路径，级别，排序、创建时间，创建人等；方便管理人员建立菜单资源新建、修改、删除等功能。</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3、数据权限管理：默认显示菜单列表，权限配置：配置各菜单的数据权限，权限字段，规则类型，数据权限规则值。</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w:t>
      </w:r>
      <w:r>
        <w:rPr>
          <w:rFonts w:ascii="仿宋_GB2312" w:hAnsi="Arial" w:eastAsia="仿宋_GB2312" w:cs="Arial"/>
          <w:snapToGrid w:val="0"/>
          <w:color w:val="auto"/>
          <w:kern w:val="0"/>
          <w:sz w:val="24"/>
          <w:highlight w:val="none"/>
        </w:rPr>
        <w:t>8</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数据接入服务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数据接入服务，根据预警中枢的接口规范说明文件所提供的API说明，各警种从各自系统推送预警数据至预警中枢，数据接入服务实现对各警种预警系统推送的预警数据集中收集展示、映射源数据和目标数据、配置校验转换规则，从省数据平台、魔方等多个不同预警系统、多个平台的数据源中汇集数据</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2、专题要素数据库，对于汇聚的数据，开展整合、逻辑映射设计，构建专题要素数据库。</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6.3.3.12.9</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统一门户功能新增</w:t>
      </w:r>
    </w:p>
    <w:tbl>
      <w:tblPr>
        <w:tblStyle w:val="6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5000" w:type="pct"/>
            <w:noWrap w:val="0"/>
            <w:vAlign w:val="center"/>
          </w:tcPr>
          <w:p>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头像上传：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1、增加头像上传功能、用户可自行上传头像。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2、头像上传支持回复的原始默认头像。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核心指标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1、市局：实时人口、当班警情、实时警力、重点人员、刑事立案、办案区、案件受理、延误指数。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2、分局在市局指标基础上增加电信诈骗受案增长比、处警满意度。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3、***在市局指标基础挥上增加队伍健康指数。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账号登录：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1、根据登录的账号展示不同的信息内容。例如市局账号、分局账号、***账号等。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2、账号根据对应的权限进行创建。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消息中心：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1、我的任务、消息详情两个板块。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2、我的任务展示关于与登陆账号有关的任务信息。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3、消息详情展示任务消息的具体内容信息。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4、消息提醒显示日期、时间等信息。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应用导航：展示收藏、推荐、级别、业务类型、警钟五个板块。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1、收藏展示登录账号的收藏应用，可对收藏的应用进行编辑操作，可批量添加以及批量删除应用。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2、推荐展示所有应用，推荐规则为按照UV独立访客进行推荐。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3、级别展示市局以及区县两种类别，市级展示市局公安局应用，区县展示区县级的公安局应用。可通过点击对应应用跳转至对应应用界面，可通过搜素快捷查重某一应用。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4、业务类型展示通用、打击、侦破三种类型应用。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5、警种展示情指、治安、刑侦、禁毒、经侦、法制、其他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常用链接：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1、展示登录账号的常用链接应用。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2、可对链接进行编辑，进行添加或删除操作，自行选择展示的应用链接，最多展示3个。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3、操作增加操作错误提示。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**操作系统：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1、可自主选择展示的应用，例如展示为**操作系统以及市局大屏。最多展示2个。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2、大屏导航推荐下管理员查看到所有功能，管理员判断功能。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3、大屏导航推荐下提供对应用进行搜索的功能。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5000" w:type="pct"/>
            <w:noWrap w:val="0"/>
            <w:vAlign w:val="center"/>
          </w:tcPr>
          <w:p>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安全分：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1、展示安全分数据。</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2、安全分根据不同登录环境有所改变，100分为最高。</w:t>
            </w:r>
          </w:p>
        </w:tc>
      </w:tr>
    </w:tbl>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运营支撑</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能力中台运营支撑</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项目构建了大中台的基础，支撑上层丰富多样的场景应用，需要构建能力中台的运营支撑能力，能全链路的从底座能力到上层应用功能服务做技术运营和支撑保障工作。</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6.4.1.1.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云上开发技术支撑</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对本项目实战业务应用云上开发全过程提供技术评估、组件选型及微服务架构设计和开发技术支撑工作。具体包括、云上开发环境技术评估、云上数据开发链路技术支持、云上开发技术架构改造支持等内容。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1、云上开发环境技术评估</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接项目建设单位，根据项目系统业务需求组织相关业务方案人员进行综合评估，包括系统的用户量、阶段活跃度、业务量、数据量等多方因素进行实际考量，提供优化建议，输出总体业务架构；根据建设单位的云下技术需求和技术框架，组织技术架构师、系统运维师等人员进行技术综合评审，包括网络带宽、模型计算方式、硬件的内存\CPU\GPU、数据库等进行考量，输出技术架构；根据目前云资源情况与实际需求，与建设单位明确优化，输出各个系统的云上架构设计图；针对评估情况，全盘考虑云上资源情况对云上资源的使用进行科学管理,有效控制云资源使用成本。对上云业务系统资源包括云服务器、结构化/非结构化存储、SLB、数据库、带宽等10多种资源进行评估后输出资源清单和申请评估报告。</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2、云上数据开发链路技术支持</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云上数据开发链路技术支持。根据业务应用的数据从源头采集到接入的规范化流程化。包括指导全市委办单位数据归集接入的逻辑架构、接入方式（数据库表、web service、文件方式）；接入流程管理：从各单位接入申请、接入准备（接入方式、前置节点、网络环境、接入资源）到数据接入（库表资源、文件资源、服务资源）的全流程技术支持与保障，输出规范文档；根据云上环境情况，制定相应数据上云规范要求，如存储类型：mysql、odps、oracle、sqlsever；使用要求：热数据、温数据、冷数据和冰数据；标准化格式：代码格式、字符格式、拓展值格式等一系列标准规范动作，输出对应说明；针对各系统不同数据类型、数据格式和数据使用要求，深入分析数据的接入方式、总量、接口、类型、关联、建模、可视化、及业务支撑，输出数据上云开发技术报告，报告包含数据盘点、依赖关系、分库分表策略、存储方案、访问方式、云资源服务组件等，并为建设单位提供相应指导，输出数据上云开发技术报告。</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3、云上开发技术架构改造支持</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云上开发技术架构改造支持。编制**操作系统云上开发技术规范要求，对实战应用系统上云给出常见问题QA说明书，进行前后端分离技术支撑：组织系统架构团队，评估原有系统架构，梳理并分离前端页面以及交互逻辑，中间层交互，以及后端的API接口。微服务化改造支持：组织系统开发团队，对原有系统的服务支撑能力进行改造剥离的支持，以及实际方案的指导；提供业务架构师、系统架构师团队针对不同类型和不同业务应用的场景特点进行综合分析，包括前期上云规划的信息收集、需求评估、应用分析、风险分析，以及后期的上云实施标准、上云架构、服务架构、开发环境、数据实施、业务系统实施、系统部署配置等全流程指导，最终输出云上开发技术架构改造技术架构和实操方案和手册。</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4、对接4A统一用户管理系统</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对接4A统一用户管理系统，奇安信网络安全防护平台，提供标准对接代码，供相关建设单位使用，以及对接规范评审。</w:t>
      </w:r>
    </w:p>
    <w:p>
      <w:pPr>
        <w:tabs>
          <w:tab w:val="left" w:pos="0"/>
        </w:tabs>
        <w:spacing w:line="360" w:lineRule="auto"/>
        <w:ind w:firstLine="480"/>
        <w:rPr>
          <w:rFonts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5、管理及统计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管理并统计全市分局、支队业务系统的云资源情况、包括开发环境资源、生产环境资源，如云计算、云存储、数据库产品等相关资源管理，提供对应的服务支撑。</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6.4.1.2.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能力中台技术支撑</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对本项目实战业务应用使用**操作系统的通用能力过程提供技术支撑工作。具体包括、通用应用能力技术支持、通用基础能力技术支持等内容。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1、通用应用能力技术支持</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包括全息地图、**智搜、关系网络分析、布控智寻等通用应用的能力使用手册和实际使用过程的技术指导和基础支持，针对每个通用应用能力按照调用场景输出通用应用能力使用技术方案，明确能力使用方法、步骤和流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2、通用基础能力技术支持</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提供对指标、标签、数据魔方、能力共享开放、流程引擎、消息中心、智能研判、智能检索、布控预警、智能客服、智能视频、智能文本、地址相似匹配、地图支持能力、实人认证等能力的技术支持工作。根据实战业务应用对能力的使用场景输出通用基础能力的使用技术方案，明确能力使用方法、步骤、流程和调用开发说明，并针对每个场景提供能力使用开发工程样例。</w:t>
      </w:r>
    </w:p>
    <w:p>
      <w:pPr>
        <w:tabs>
          <w:tab w:val="left" w:pos="0"/>
        </w:tabs>
        <w:spacing w:line="360" w:lineRule="auto"/>
        <w:ind w:firstLine="480"/>
        <w:rPr>
          <w:rFonts w:hint="eastAsia" w:ascii="仿宋_GB2312" w:hAnsi="Arial" w:eastAsia="仿宋_GB2312" w:cs="Arial"/>
          <w:snapToGrid w:val="0"/>
          <w:color w:val="auto"/>
          <w:kern w:val="0"/>
          <w:sz w:val="24"/>
          <w:highlight w:val="none"/>
        </w:rPr>
      </w:pP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交付质量保障建设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大量业务系统在云上进行建设开发，大部分都是核心业务应用，系统运行的质量直接影响了**工作的效率，所以系统交付的质量则显得尤为重要，交付过程的质量保障建设也成为必要的一环。</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6.4.2.1.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交付质量范围</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对于定制开发的所有系统，进行全面功能质量保障；与用户达成一致的核心业务场景进行性能压测；定制开发的核心系统进行代码质量保障；重点移动app进行移动专项测试。产出测试交付物：测试计划、测试用例、测试报告。整体通过建立交付质量组织、建立测试标准并指导落地、测试过程全管控的方式，有效保障项目质量。</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6.4.2.2.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测试能力建设</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测试能力建设具体包括建设功能测试、性能压测、代码质量、移动专项测试等测试能力。</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6.4.3.</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交付质量组织保障</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成立项目质量管理虚拟小组，由各厂商测试人员组成，全面负责本项目测试工作，阿里项目质量负责人担任质量负责人，制定统一测试规划、统一测试标准，跟进厂商执行落地。</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6.4.3.1.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质量行为全程管控</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质量行为全程管控具体包括测试进度&amp;风险保障、测试质量保障、测试文档质量保障等内容。</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6.4.4.</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公共云订阅服务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6.4.4.1.</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2021年短信服务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支持国内验证码、短信通知和推广短信，秒级触达，免运维。</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2021年短信服务，不超过1200万条，服务期1年。</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6.4.4.2.</w:t>
      </w:r>
      <w:r>
        <w:rPr>
          <w:rFonts w:hint="eastAsia" w:ascii="仿宋_GB2312" w:hAnsi="Arial" w:eastAsia="仿宋_GB2312" w:cs="Arial"/>
          <w:snapToGrid w:val="0"/>
          <w:color w:val="auto"/>
          <w:kern w:val="0"/>
          <w:sz w:val="24"/>
          <w:highlight w:val="none"/>
        </w:rPr>
        <w:tab/>
      </w:r>
      <w:r>
        <w:rPr>
          <w:rFonts w:hint="eastAsia" w:ascii="仿宋_GB2312" w:hAnsi="Arial" w:eastAsia="仿宋_GB2312" w:cs="Arial"/>
          <w:snapToGrid w:val="0"/>
          <w:color w:val="auto"/>
          <w:kern w:val="0"/>
          <w:sz w:val="24"/>
          <w:highlight w:val="none"/>
        </w:rPr>
        <w:t>2021年移动推动服务</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移动推送是提供给移动开发者的移动端消息推送服务，通过在App中集成推送功能，进行高效、精准、实时的消息推送，从而使业务及时触达用户，提高用户粘性。</w:t>
      </w:r>
    </w:p>
    <w:p>
      <w:pPr>
        <w:tabs>
          <w:tab w:val="left" w:pos="0"/>
        </w:tabs>
        <w:spacing w:line="360" w:lineRule="auto"/>
        <w:ind w:firstLine="480"/>
        <w:rPr>
          <w:rFonts w:hint="eastAsia" w:ascii="仿宋_GB2312" w:hAnsi="Arial" w:eastAsia="仿宋_GB2312" w:cs="Arial"/>
          <w:snapToGrid w:val="0"/>
          <w:color w:val="auto"/>
          <w:kern w:val="0"/>
          <w:sz w:val="24"/>
          <w:highlight w:val="none"/>
        </w:rPr>
      </w:pPr>
      <w:r>
        <w:rPr>
          <w:rFonts w:hint="eastAsia" w:ascii="仿宋_GB2312" w:hAnsi="Arial" w:eastAsia="仿宋_GB2312" w:cs="Arial"/>
          <w:snapToGrid w:val="0"/>
          <w:color w:val="auto"/>
          <w:kern w:val="0"/>
          <w:sz w:val="24"/>
          <w:highlight w:val="none"/>
        </w:rPr>
        <w:t>2021年移动推送服务，服务期1年。</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6.5. 系统性能需求</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本系统中，需要满足的性能要求包括：</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ascii="Segoe UI Emoji" w:hAnsi="Segoe UI Emoji" w:eastAsia="仿宋_GB2312" w:cs="Segoe UI Emoji"/>
          <w:color w:val="auto"/>
          <w:kern w:val="0"/>
          <w:sz w:val="24"/>
          <w:highlight w:val="none"/>
        </w:rPr>
        <w:t>⚫</w:t>
      </w:r>
      <w:r>
        <w:rPr>
          <w:rFonts w:hint="eastAsia" w:ascii="仿宋_GB2312" w:hAnsi="仿宋" w:eastAsia="仿宋_GB2312" w:cs="Helvetica"/>
          <w:color w:val="auto"/>
          <w:kern w:val="0"/>
          <w:sz w:val="24"/>
          <w:highlight w:val="none"/>
        </w:rPr>
        <w:t xml:space="preserve"> 系统可靠性：所有相关软硬件系统可实现7*24小时不间断连续运行，平均无故障工作时间MTBF＞500小时，平均维修时间MTTR＜1小时；</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ascii="Segoe UI Emoji" w:hAnsi="Segoe UI Emoji" w:eastAsia="仿宋_GB2312" w:cs="Segoe UI Emoji"/>
          <w:color w:val="auto"/>
          <w:kern w:val="0"/>
          <w:sz w:val="24"/>
          <w:highlight w:val="none"/>
        </w:rPr>
        <w:t>⚫</w:t>
      </w:r>
      <w:r>
        <w:rPr>
          <w:rFonts w:hint="eastAsia" w:ascii="仿宋_GB2312" w:hAnsi="仿宋" w:eastAsia="仿宋_GB2312" w:cs="Helvetica"/>
          <w:color w:val="auto"/>
          <w:kern w:val="0"/>
          <w:sz w:val="24"/>
          <w:highlight w:val="none"/>
        </w:rPr>
        <w:t xml:space="preserve"> 系统响应时间：主要功能的操作响应时间应控制在15秒以内，流转时间不应超过20秒，查询功能查询时间在20秒以内。在应用高峰期支持5000人的并发访问，日常支持500人的并发访问；</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ascii="Segoe UI Emoji" w:hAnsi="Segoe UI Emoji" w:eastAsia="仿宋_GB2312" w:cs="Segoe UI Emoji"/>
          <w:color w:val="auto"/>
          <w:kern w:val="0"/>
          <w:sz w:val="24"/>
          <w:highlight w:val="none"/>
        </w:rPr>
        <w:t>⚫</w:t>
      </w:r>
      <w:r>
        <w:rPr>
          <w:rFonts w:hint="eastAsia" w:ascii="仿宋_GB2312" w:hAnsi="仿宋" w:eastAsia="仿宋_GB2312" w:cs="Helvetica"/>
          <w:color w:val="auto"/>
          <w:kern w:val="0"/>
          <w:sz w:val="24"/>
          <w:highlight w:val="none"/>
        </w:rPr>
        <w:t xml:space="preserve"> 统一数据接入标准：采用统一的数据接入标准，要求不同产品厂家接入平台，提供各类动态监管数据；</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ascii="Segoe UI Emoji" w:hAnsi="Segoe UI Emoji" w:eastAsia="仿宋_GB2312" w:cs="Segoe UI Emoji"/>
          <w:color w:val="auto"/>
          <w:kern w:val="0"/>
          <w:sz w:val="24"/>
          <w:highlight w:val="none"/>
        </w:rPr>
        <w:t>⚫</w:t>
      </w:r>
      <w:r>
        <w:rPr>
          <w:rFonts w:hint="eastAsia" w:ascii="仿宋_GB2312" w:hAnsi="仿宋" w:eastAsia="仿宋_GB2312" w:cs="Helvetica"/>
          <w:color w:val="auto"/>
          <w:kern w:val="0"/>
          <w:sz w:val="24"/>
          <w:highlight w:val="none"/>
        </w:rPr>
        <w:t xml:space="preserve"> 系统安全性：系统应保证信息安全，避免各子系统相互干扰；对操作人员进行身份验证，并可由系统管理员按权限设定操作内容和操作范围，数据信息不可随意修改和删除，数据删除和修改应有记录，应保留操作日志等。</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6.6. 设备需求</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本次项目申请浙江省政法云资源，复用杭州城市大脑**操作系统的环境进行部署。</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6.7. 安全需求</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本项目在实施过程中，将依托杭州市公安局现有信息安全保障体系，通过以下方面进一步强化系统安全，保证系统数据安全、运行稳定、不被破坏、系统可监测、并且可恢复：按信息中心安全管理规范接入网络环境，关闭除堡垒机外的其它访问通道，做好服务器的杀毒和补丁更新，配置服务器证书实现数字证书单轨制访问，核心数据做好冗余备份，保留完整日志审计内容，并根据相关要求开展系统安全保护等级建设。</w:t>
      </w:r>
    </w:p>
    <w:p>
      <w:pPr>
        <w:tabs>
          <w:tab w:val="left" w:pos="0"/>
        </w:tabs>
        <w:spacing w:line="360" w:lineRule="auto"/>
        <w:ind w:firstLine="480"/>
        <w:rPr>
          <w:rFonts w:hint="eastAsia" w:ascii="仿宋_GB2312" w:hAnsi="Arial" w:eastAsia="仿宋_GB2312" w:cs="Arial"/>
          <w:snapToGrid w:val="0"/>
          <w:color w:val="auto"/>
          <w:kern w:val="0"/>
          <w:szCs w:val="21"/>
          <w:highlight w:val="none"/>
        </w:rPr>
      </w:pPr>
    </w:p>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七、项目建设清单</w:t>
      </w:r>
    </w:p>
    <w:tbl>
      <w:tblPr>
        <w:tblStyle w:val="61"/>
        <w:tblW w:w="8840" w:type="dxa"/>
        <w:tblInd w:w="-5" w:type="dxa"/>
        <w:tblLayout w:type="autofit"/>
        <w:tblCellMar>
          <w:top w:w="0" w:type="dxa"/>
          <w:left w:w="108" w:type="dxa"/>
          <w:bottom w:w="0" w:type="dxa"/>
          <w:right w:w="108" w:type="dxa"/>
        </w:tblCellMar>
      </w:tblPr>
      <w:tblGrid>
        <w:gridCol w:w="1040"/>
        <w:gridCol w:w="1040"/>
        <w:gridCol w:w="6760"/>
      </w:tblGrid>
      <w:tr>
        <w:tblPrEx>
          <w:tblCellMar>
            <w:top w:w="0" w:type="dxa"/>
            <w:left w:w="108" w:type="dxa"/>
            <w:bottom w:w="0" w:type="dxa"/>
            <w:right w:w="108" w:type="dxa"/>
          </w:tblCellMar>
        </w:tblPrEx>
        <w:trPr>
          <w:trHeight w:val="5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模块</w:t>
            </w:r>
          </w:p>
        </w:tc>
        <w:tc>
          <w:tcPr>
            <w:tcW w:w="10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子模块</w:t>
            </w:r>
          </w:p>
        </w:tc>
        <w:tc>
          <w:tcPr>
            <w:tcW w:w="6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功能描述</w:t>
            </w:r>
          </w:p>
        </w:tc>
      </w:tr>
      <w:tr>
        <w:tblPrEx>
          <w:tblCellMar>
            <w:top w:w="0" w:type="dxa"/>
            <w:left w:w="108" w:type="dxa"/>
            <w:bottom w:w="0" w:type="dxa"/>
            <w:right w:w="108" w:type="dxa"/>
          </w:tblCellMar>
        </w:tblPrEx>
        <w:trPr>
          <w:trHeight w:val="1960" w:hRule="atLeast"/>
        </w:trPr>
        <w:tc>
          <w:tcPr>
            <w:tcW w:w="10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民警任务中心</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预警中枢</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预警中枢作为杭州各预警系统的业务信息汇总展示，对接AI警情、魔方、省平台数据等模块提供的各类线索预警信息，并基于既定的数据来源进入预警处置流程跟踪，民警在预警中枢查看流程各环节的处置信息。预警中枢对整个预警处置全流程进行闭环管理，并将最终处置结果按需反馈给相关系统，进一步完善相关线索预警的信息底库。预警中枢系统顶部菜单栏分为数据看板模块、预警档案模块、预警管理模块及预警数据接入。</w:t>
            </w:r>
          </w:p>
        </w:tc>
      </w:tr>
      <w:tr>
        <w:tblPrEx>
          <w:tblCellMar>
            <w:top w:w="0" w:type="dxa"/>
            <w:left w:w="108" w:type="dxa"/>
            <w:bottom w:w="0" w:type="dxa"/>
            <w:right w:w="108" w:type="dxa"/>
          </w:tblCellMar>
        </w:tblPrEx>
        <w:trPr>
          <w:trHeight w:val="140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智能日历</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智能日历作为杭州市公安局各个区划的既定重大事项、天气预警以及未来警情预测提醒系统。支持从治安支队接入各重大事项数据进行展示提醒。基于机器学习的手段，实现对未来每天警情数量的预测能力。最终输出各个***、分局未来30天内不同类型警情的发展趋势。实现日历展示模块、数据详情模块、算法预测、数据接入。</w:t>
            </w:r>
          </w:p>
        </w:tc>
      </w:tr>
      <w:tr>
        <w:tblPrEx>
          <w:tblCellMar>
            <w:top w:w="0" w:type="dxa"/>
            <w:left w:w="108" w:type="dxa"/>
            <w:bottom w:w="0" w:type="dxa"/>
            <w:right w:w="108" w:type="dxa"/>
          </w:tblCellMar>
        </w:tblPrEx>
        <w:trPr>
          <w:trHeight w:val="112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可视化地图</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通过整合梳理任务中心各项基础信息数据，结合**操作系统的地图支撑能力，将任务中心的任务数据上图，分类建立多个数据图层，支撑基于地图的任务工作处置。实现任务数据上图、数据图层建立、图上指挥、可视化分析。</w:t>
            </w:r>
          </w:p>
        </w:tc>
      </w:tr>
      <w:tr>
        <w:tblPrEx>
          <w:tblCellMar>
            <w:top w:w="0" w:type="dxa"/>
            <w:left w:w="108" w:type="dxa"/>
            <w:bottom w:w="0" w:type="dxa"/>
            <w:right w:w="108" w:type="dxa"/>
          </w:tblCellMar>
        </w:tblPrEx>
        <w:trPr>
          <w:trHeight w:val="56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内外网传输工具</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实现文件基本操作与分享、组织架构和成员管理、数据报表审计、文件分享安全、个人内网文件存储、文件共享和权限管控。</w:t>
            </w:r>
          </w:p>
        </w:tc>
      </w:tr>
      <w:tr>
        <w:tblPrEx>
          <w:tblCellMar>
            <w:top w:w="0" w:type="dxa"/>
            <w:left w:w="108" w:type="dxa"/>
            <w:bottom w:w="0" w:type="dxa"/>
            <w:right w:w="108" w:type="dxa"/>
          </w:tblCellMar>
        </w:tblPrEx>
        <w:trPr>
          <w:trHeight w:val="50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工具集</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实现工具管理、工具查看、工具评价。</w:t>
            </w:r>
          </w:p>
        </w:tc>
      </w:tr>
      <w:tr>
        <w:tblPrEx>
          <w:tblCellMar>
            <w:top w:w="0" w:type="dxa"/>
            <w:left w:w="108" w:type="dxa"/>
            <w:bottom w:w="0" w:type="dxa"/>
            <w:right w:w="108" w:type="dxa"/>
          </w:tblCellMar>
        </w:tblPrEx>
        <w:trPr>
          <w:trHeight w:val="168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接处警APP功能升级</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移动接处警APP本期主要建设内容主要包括警辅力量联动、执法视频自动化生成、当事人信息文本识别、反馈内容输入优化、当事人照片上传、工作台界面交互模式优化、播放语音自动提醒内容。接入的数据资源包括110接处警系统的警情数据、警力数据、标准地址数据、POI数据、人口数据、单位数据、物品数据、案件数据、事件数据、房屋等可以协调到的数据。</w:t>
            </w:r>
          </w:p>
        </w:tc>
      </w:tr>
      <w:tr>
        <w:tblPrEx>
          <w:tblCellMar>
            <w:top w:w="0" w:type="dxa"/>
            <w:left w:w="108" w:type="dxa"/>
            <w:bottom w:w="0" w:type="dxa"/>
            <w:right w:w="108" w:type="dxa"/>
          </w:tblCellMar>
        </w:tblPrEx>
        <w:trPr>
          <w:trHeight w:val="50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办公自动化模块</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办公自动化模块，实现收文管理、发文管理、会议管理模块、信息报送管理模块、批示督办管理模块、电子公章管理系统对接。</w:t>
            </w:r>
          </w:p>
        </w:tc>
      </w:tr>
      <w:tr>
        <w:tblPrEx>
          <w:tblCellMar>
            <w:top w:w="0" w:type="dxa"/>
            <w:left w:w="108" w:type="dxa"/>
            <w:bottom w:w="0" w:type="dxa"/>
            <w:right w:w="108" w:type="dxa"/>
          </w:tblCellMar>
        </w:tblPrEx>
        <w:trPr>
          <w:trHeight w:val="1120" w:hRule="atLeast"/>
        </w:trPr>
        <w:tc>
          <w:tcPr>
            <w:tcW w:w="10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共享内容</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模型中心</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bookmarkStart w:id="35" w:name="RANGE!C9"/>
            <w:r>
              <w:rPr>
                <w:rFonts w:hint="eastAsia" w:ascii="仿宋_GB2312" w:hAnsi="宋体" w:eastAsia="仿宋_GB2312" w:cs="宋体"/>
                <w:color w:val="000000"/>
                <w:kern w:val="0"/>
                <w:sz w:val="22"/>
              </w:rPr>
              <w:t>本期项目在杭州**操作系统建立的共享模型体系的基础上，新建模型：涉毒线索挖掘的模型、涉毒人员落脚点位置和活动规律、涉毒窝点/团伙发现、涉诈团伙发现模型、空壳公司异常分析模型、虚开发票高危企业预警模型、聚合类经济犯罪风险企业发现模型。</w:t>
            </w:r>
            <w:bookmarkEnd w:id="35"/>
          </w:p>
        </w:tc>
      </w:tr>
      <w:tr>
        <w:tblPrEx>
          <w:tblCellMar>
            <w:top w:w="0" w:type="dxa"/>
            <w:left w:w="108" w:type="dxa"/>
            <w:bottom w:w="0" w:type="dxa"/>
            <w:right w:w="108" w:type="dxa"/>
          </w:tblCellMar>
        </w:tblPrEx>
        <w:trPr>
          <w:trHeight w:val="112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标签中心</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业务标签特征重点支持业务模型实战落地，根据业务模型数据依赖需要，本期项目重点抽象建设实体异常特征应用于业务模型异常评估，包括：人员异常、机动车异常、场所异常、组织异常、</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案/事件异常。</w:t>
            </w:r>
          </w:p>
        </w:tc>
      </w:tr>
      <w:tr>
        <w:tblPrEx>
          <w:tblCellMar>
            <w:top w:w="0" w:type="dxa"/>
            <w:left w:w="108" w:type="dxa"/>
            <w:bottom w:w="0" w:type="dxa"/>
            <w:right w:w="108" w:type="dxa"/>
          </w:tblCellMar>
        </w:tblPrEx>
        <w:trPr>
          <w:trHeight w:val="112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指标中心</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杭州**操作系统目前已经建立面向各警种的指标内容。本期为加速构建公安信息化支撑体系，构建五大指标域，围绕政治维稳、治安维稳、打击犯罪、行政管理、综合管理构建指标，从而实现多警种、多模块的指标融合。</w:t>
            </w:r>
          </w:p>
        </w:tc>
      </w:tr>
      <w:tr>
        <w:tblPrEx>
          <w:tblCellMar>
            <w:top w:w="0" w:type="dxa"/>
            <w:left w:w="108" w:type="dxa"/>
            <w:bottom w:w="0" w:type="dxa"/>
            <w:right w:w="108" w:type="dxa"/>
          </w:tblCellMar>
        </w:tblPrEx>
        <w:trPr>
          <w:trHeight w:val="840" w:hRule="atLeast"/>
        </w:trPr>
        <w:tc>
          <w:tcPr>
            <w:tcW w:w="10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通用基础能力</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图像能力中心</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进一步提升杭州**操作系统视图图像智能能力，构建图像能力中心，建设公安内网实人认证、智能点位标签、视频解析智能调度、图片二次解析、视频测量、光学字符识别能力、AR制高点应用。</w:t>
            </w:r>
          </w:p>
        </w:tc>
      </w:tr>
      <w:tr>
        <w:tblPrEx>
          <w:tblCellMar>
            <w:top w:w="0" w:type="dxa"/>
            <w:left w:w="108" w:type="dxa"/>
            <w:bottom w:w="0" w:type="dxa"/>
            <w:right w:w="108" w:type="dxa"/>
          </w:tblCellMar>
        </w:tblPrEx>
        <w:trPr>
          <w:trHeight w:val="84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涉网新型犯罪能力中心</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基于互联网数据及相关案件数据，对接警察叔叔APP，建设反诈能力、反诈线索服务、反诈AI分析、反诈AI中台。</w:t>
            </w:r>
          </w:p>
        </w:tc>
      </w:tr>
      <w:tr>
        <w:tblPrEx>
          <w:tblCellMar>
            <w:top w:w="0" w:type="dxa"/>
            <w:left w:w="108" w:type="dxa"/>
            <w:bottom w:w="0" w:type="dxa"/>
            <w:right w:w="108" w:type="dxa"/>
          </w:tblCellMar>
        </w:tblPrEx>
        <w:trPr>
          <w:trHeight w:val="112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通用应用功能新增</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在杭州**操作系统前期建设系统的基础上，进行功能升级，本次主要包含布控智寻功能新增、**搜索功能新增、全息地图功能新增、地址标准化功能新增、关系网络分析功能新增、数据魔方功能新增、智能客服功能新增。</w:t>
            </w:r>
          </w:p>
        </w:tc>
      </w:tr>
      <w:tr>
        <w:tblPrEx>
          <w:tblCellMar>
            <w:top w:w="0" w:type="dxa"/>
            <w:left w:w="108" w:type="dxa"/>
            <w:bottom w:w="0" w:type="dxa"/>
            <w:right w:w="108" w:type="dxa"/>
          </w:tblCellMar>
        </w:tblPrEx>
        <w:trPr>
          <w:trHeight w:val="500" w:hRule="atLeast"/>
        </w:trPr>
        <w:tc>
          <w:tcPr>
            <w:tcW w:w="10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运营支撑</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能力中台运营支撑</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项目构建大中台的基础，支撑上层丰富多样的场景应用，需要构建能力中台的运营支撑能力，能全链路的从底座能力到上层应用功能服务做技术运营和支撑保障工作。建设云上开发技术支撑、能力中台技术支撑。</w:t>
            </w:r>
          </w:p>
        </w:tc>
      </w:tr>
      <w:tr>
        <w:tblPrEx>
          <w:tblCellMar>
            <w:top w:w="0" w:type="dxa"/>
            <w:left w:w="108" w:type="dxa"/>
            <w:bottom w:w="0" w:type="dxa"/>
            <w:right w:w="108" w:type="dxa"/>
          </w:tblCellMar>
        </w:tblPrEx>
        <w:trPr>
          <w:trHeight w:val="50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交付质量保障建设</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实现云上建设开发时，提供交付质量范围、测试能力建设能力。</w:t>
            </w:r>
          </w:p>
        </w:tc>
      </w:tr>
      <w:tr>
        <w:tblPrEx>
          <w:tblCellMar>
            <w:top w:w="0" w:type="dxa"/>
            <w:left w:w="108" w:type="dxa"/>
            <w:bottom w:w="0" w:type="dxa"/>
            <w:right w:w="108" w:type="dxa"/>
          </w:tblCellMar>
        </w:tblPrEx>
        <w:trPr>
          <w:trHeight w:val="50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交付质量组织保障</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质量行为全程管控</w:t>
            </w:r>
          </w:p>
        </w:tc>
      </w:tr>
      <w:tr>
        <w:tblPrEx>
          <w:tblCellMar>
            <w:top w:w="0" w:type="dxa"/>
            <w:left w:w="108" w:type="dxa"/>
            <w:bottom w:w="0" w:type="dxa"/>
            <w:right w:w="108" w:type="dxa"/>
          </w:tblCellMar>
        </w:tblPrEx>
        <w:trPr>
          <w:trHeight w:val="500" w:hRule="atLeast"/>
        </w:trPr>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公共云服务订阅</w:t>
            </w:r>
          </w:p>
        </w:tc>
        <w:tc>
          <w:tcPr>
            <w:tcW w:w="676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订阅公有云2021年短信服务、移动推送服务。</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2021年短信服务。支持国内验证码、短信通知和推广短信，秒级触达，免运维。2021年短信服务，不超过1200万条，服务期1年。</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2021年移动推送服务。2021年移动推送服务，服务期1年。</w:t>
            </w:r>
          </w:p>
        </w:tc>
      </w:tr>
    </w:tbl>
    <w:p>
      <w:pPr>
        <w:widowControl/>
        <w:jc w:val="left"/>
        <w:rPr>
          <w:rFonts w:hint="eastAsia" w:ascii="仿宋_GB2312" w:hAnsi="仿宋" w:eastAsia="仿宋_GB2312"/>
          <w:color w:val="auto"/>
          <w:highlight w:val="none"/>
        </w:rPr>
      </w:pPr>
    </w:p>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八、人员及培训</w:t>
      </w:r>
    </w:p>
    <w:p>
      <w:pPr>
        <w:tabs>
          <w:tab w:val="left" w:pos="0"/>
        </w:tabs>
        <w:spacing w:line="360" w:lineRule="auto"/>
        <w:ind w:firstLine="482"/>
        <w:jc w:val="left"/>
        <w:rPr>
          <w:rFonts w:hint="eastAsia" w:ascii="仿宋_GB2312" w:hAnsi="Helvetica" w:eastAsia="仿宋_GB2312" w:cs="Helvetica"/>
          <w:b/>
          <w:bCs/>
          <w:color w:val="auto"/>
          <w:kern w:val="0"/>
          <w:sz w:val="24"/>
          <w:highlight w:val="none"/>
        </w:rPr>
      </w:pPr>
      <w:r>
        <w:rPr>
          <w:rFonts w:hint="eastAsia" w:ascii="仿宋_GB2312" w:hAnsi="仿宋" w:eastAsia="仿宋_GB2312" w:cs="仿宋_GB2312"/>
          <w:b/>
          <w:bCs/>
          <w:color w:val="auto"/>
          <w:sz w:val="24"/>
          <w:highlight w:val="none"/>
        </w:rPr>
        <w:t>1、</w:t>
      </w:r>
      <w:r>
        <w:rPr>
          <w:rFonts w:hint="eastAsia" w:ascii="仿宋_GB2312" w:hAnsi="Helvetica" w:eastAsia="仿宋_GB2312" w:cs="Helvetica"/>
          <w:b/>
          <w:bCs/>
          <w:color w:val="auto"/>
          <w:kern w:val="0"/>
          <w:sz w:val="24"/>
          <w:highlight w:val="none"/>
        </w:rPr>
        <w:t>项目组人员要求</w:t>
      </w:r>
    </w:p>
    <w:p>
      <w:pPr>
        <w:snapToGrid w:val="0"/>
        <w:spacing w:line="360" w:lineRule="auto"/>
        <w:ind w:firstLine="480" w:firstLineChars="200"/>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要求项目中标单位选派具有深厚硬件系统部署、应用软件开发、系统集成与实施经验的项目经理和精深专业技术的工程师，结合其在应用软件开发、系统集成与实施方面的积累经验，提出较详细的项目实施计划，确定系统需求调研、系统分析和开发、实施、试运行、正式运行、验收等的各项规范；提出项目完善的售后服务体系，为该项目在服务保证期内和将来提供统一技术服务界面，融合系统软件集成商、应用软件开发商的售后服务；制定详细的培训计划，保证系统各级用户正常系统使用和运行维护管理。</w:t>
      </w:r>
    </w:p>
    <w:p>
      <w:pPr>
        <w:snapToGrid w:val="0"/>
        <w:ind w:firstLine="420"/>
        <w:rPr>
          <w:rFonts w:hint="eastAsia" w:ascii="仿宋_GB2312" w:hAnsi="仿宋_GB2312" w:eastAsia="仿宋_GB2312" w:cs="仿宋_GB2312"/>
          <w:b/>
          <w:bCs/>
          <w:color w:val="auto"/>
          <w:sz w:val="24"/>
          <w:szCs w:val="22"/>
          <w:highlight w:val="none"/>
        </w:rPr>
      </w:pPr>
      <w:r>
        <w:rPr>
          <w:rFonts w:hint="eastAsia" w:ascii="仿宋_GB2312" w:hAnsi="仿宋_GB2312" w:eastAsia="仿宋_GB2312" w:cs="仿宋_GB2312"/>
          <w:b/>
          <w:bCs/>
          <w:color w:val="auto"/>
          <w:sz w:val="24"/>
          <w:szCs w:val="22"/>
          <w:highlight w:val="none"/>
        </w:rPr>
        <w:t>2、培训要求</w:t>
      </w:r>
    </w:p>
    <w:p>
      <w:pPr>
        <w:spacing w:line="360" w:lineRule="auto"/>
        <w:ind w:firstLine="426"/>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培训方式为工程培训，通过技术培训班结合现场操作对实际操作人员培训，使他们对产品及技术有较深的理解，能熟练地进行系统操作，且能进行日常的系统保养、检修工作。</w:t>
      </w:r>
    </w:p>
    <w:p>
      <w:pPr>
        <w:spacing w:line="360" w:lineRule="auto"/>
        <w:ind w:firstLine="426"/>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培训方法：</w:t>
      </w:r>
    </w:p>
    <w:p>
      <w:pPr>
        <w:spacing w:line="360" w:lineRule="auto"/>
        <w:ind w:firstLine="426"/>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①</w:t>
      </w:r>
      <w:r>
        <w:rPr>
          <w:rFonts w:hint="eastAsia" w:ascii="仿宋_GB2312" w:hAnsi="仿宋_GB2312" w:eastAsia="仿宋_GB2312" w:cs="仿宋_GB2312"/>
          <w:color w:val="auto"/>
          <w:sz w:val="24"/>
          <w:szCs w:val="22"/>
          <w:highlight w:val="none"/>
        </w:rPr>
        <w:tab/>
      </w:r>
      <w:r>
        <w:rPr>
          <w:rFonts w:hint="eastAsia" w:ascii="仿宋_GB2312" w:hAnsi="仿宋_GB2312" w:eastAsia="仿宋_GB2312" w:cs="仿宋_GB2312"/>
          <w:color w:val="auto"/>
          <w:sz w:val="24"/>
          <w:szCs w:val="22"/>
          <w:highlight w:val="none"/>
        </w:rPr>
        <w:t>培训班：进行理论及系统操作、维护的培训</w:t>
      </w:r>
    </w:p>
    <w:p>
      <w:pPr>
        <w:spacing w:line="360" w:lineRule="auto"/>
        <w:ind w:firstLine="426"/>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②</w:t>
      </w:r>
      <w:r>
        <w:rPr>
          <w:rFonts w:hint="eastAsia" w:ascii="仿宋_GB2312" w:hAnsi="仿宋_GB2312" w:eastAsia="仿宋_GB2312" w:cs="仿宋_GB2312"/>
          <w:color w:val="auto"/>
          <w:sz w:val="24"/>
          <w:szCs w:val="22"/>
          <w:highlight w:val="none"/>
        </w:rPr>
        <w:tab/>
      </w:r>
      <w:r>
        <w:rPr>
          <w:rFonts w:hint="eastAsia" w:ascii="仿宋_GB2312" w:hAnsi="仿宋_GB2312" w:eastAsia="仿宋_GB2312" w:cs="仿宋_GB2312"/>
          <w:color w:val="auto"/>
          <w:sz w:val="24"/>
          <w:szCs w:val="22"/>
          <w:highlight w:val="none"/>
        </w:rPr>
        <w:t>现场培训：在整个系统安装、调试进程中进行现场培训。</w:t>
      </w:r>
    </w:p>
    <w:p>
      <w:pPr>
        <w:spacing w:line="360" w:lineRule="auto"/>
        <w:ind w:firstLine="426"/>
        <w:rPr>
          <w:rFonts w:hint="eastAsia" w:ascii="仿宋_GB2312" w:eastAsia="仿宋_GB2312"/>
          <w:color w:val="auto"/>
          <w:sz w:val="24"/>
          <w:highlight w:val="none"/>
        </w:rPr>
      </w:pPr>
      <w:r>
        <w:rPr>
          <w:rFonts w:hint="eastAsia" w:ascii="仿宋_GB2312" w:hAnsi="仿宋_GB2312" w:eastAsia="仿宋_GB2312" w:cs="仿宋_GB2312"/>
          <w:color w:val="auto"/>
          <w:sz w:val="24"/>
          <w:szCs w:val="22"/>
          <w:highlight w:val="none"/>
        </w:rPr>
        <w:t>培训结合工程进度，与设备安装、检测和系统验收时间同步进行。</w:t>
      </w:r>
    </w:p>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九、售后服务及响应</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本项目要求承建单</w:t>
      </w:r>
      <w:r>
        <w:rPr>
          <w:rFonts w:hint="eastAsia" w:ascii="仿宋_GB2312" w:hAnsi="仿宋" w:eastAsia="仿宋_GB2312" w:cs="Helvetica"/>
          <w:color w:val="auto"/>
          <w:kern w:val="0"/>
          <w:sz w:val="24"/>
          <w:szCs w:val="24"/>
          <w:highlight w:val="none"/>
        </w:rPr>
        <w:t>位提供不少于五年的软件系统维护技术支持</w:t>
      </w:r>
      <w:r>
        <w:rPr>
          <w:rFonts w:hint="eastAsia" w:ascii="仿宋_GB2312" w:hAnsi="仿宋" w:eastAsia="仿宋_GB2312" w:cs="仿宋_GB2312"/>
          <w:color w:val="auto"/>
          <w:sz w:val="24"/>
          <w:highlight w:val="none"/>
        </w:rPr>
        <w:t>。</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为了保证本次项目顺利成功，要求投标人承诺项目验收后提供软件五年售后技术支持，提供7*24小时服务，1小时内做出明确响应和安排，现场响应时间要求是接到用户需求电话后4小时内到达。包括升级、功能完善、故障排除、性能调优、技术咨询等，并负责系统的开发、集成，处理、协调与各系统软件等供应商的关系。</w:t>
      </w:r>
    </w:p>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十、其他要求</w:t>
      </w:r>
    </w:p>
    <w:p>
      <w:pPr>
        <w:pStyle w:val="32"/>
        <w:spacing w:line="360" w:lineRule="auto"/>
        <w:ind w:firstLine="480" w:firstLineChars="200"/>
        <w:rPr>
          <w:rFonts w:hint="eastAsia" w:ascii="仿宋_GB2312" w:hAnsi="Times New Roman" w:eastAsia="仿宋_GB2312"/>
          <w:color w:val="auto"/>
          <w:sz w:val="24"/>
          <w:highlight w:val="none"/>
        </w:rPr>
      </w:pPr>
      <w:r>
        <w:rPr>
          <w:rFonts w:hint="eastAsia" w:ascii="仿宋_GB2312" w:hAnsi="Times New Roman" w:eastAsia="仿宋_GB2312"/>
          <w:color w:val="auto"/>
          <w:sz w:val="24"/>
          <w:highlight w:val="none"/>
        </w:rPr>
        <w:t>（1）项目建设期：项目建设总工期为4个月，其中建设工期为3个月，试运行1个月。</w:t>
      </w:r>
    </w:p>
    <w:p>
      <w:pPr>
        <w:pStyle w:val="32"/>
        <w:spacing w:line="360" w:lineRule="auto"/>
        <w:ind w:firstLine="480" w:firstLineChars="200"/>
        <w:rPr>
          <w:rFonts w:hint="eastAsia" w:ascii="仿宋_GB2312" w:hAnsi="Times New Roman" w:eastAsia="仿宋_GB2312"/>
          <w:color w:val="auto"/>
          <w:sz w:val="24"/>
          <w:highlight w:val="none"/>
        </w:rPr>
      </w:pPr>
      <w:r>
        <w:rPr>
          <w:rFonts w:hint="eastAsia" w:ascii="仿宋_GB2312" w:hAnsi="Times New Roman" w:eastAsia="仿宋_GB2312"/>
          <w:color w:val="auto"/>
          <w:sz w:val="24"/>
          <w:highlight w:val="none"/>
        </w:rPr>
        <w:t>（2）项目实施地点：杭州市公安局及其指定地点。</w:t>
      </w:r>
    </w:p>
    <w:p>
      <w:pPr>
        <w:pStyle w:val="32"/>
        <w:spacing w:line="360" w:lineRule="auto"/>
        <w:ind w:firstLine="480" w:firstLineChars="200"/>
        <w:rPr>
          <w:rFonts w:hint="eastAsia" w:ascii="仿宋_GB2312" w:hAnsi="Times New Roman" w:eastAsia="仿宋_GB2312"/>
          <w:color w:val="auto"/>
          <w:sz w:val="24"/>
          <w:highlight w:val="none"/>
        </w:rPr>
      </w:pPr>
      <w:r>
        <w:rPr>
          <w:rFonts w:hint="eastAsia" w:ascii="仿宋_GB2312" w:hAnsi="Times New Roman" w:eastAsia="仿宋_GB2312"/>
          <w:color w:val="auto"/>
          <w:sz w:val="24"/>
          <w:highlight w:val="none"/>
        </w:rPr>
        <w:t>（3）投标人必须与采购人签订保密协议，同时参与本项目维护人员须就本项目数据安全保密单独签订保密协议。</w:t>
      </w:r>
    </w:p>
    <w:p>
      <w:pPr>
        <w:pStyle w:val="32"/>
        <w:spacing w:line="360" w:lineRule="auto"/>
        <w:ind w:firstLine="480" w:firstLineChars="200"/>
        <w:rPr>
          <w:rFonts w:hint="eastAsia" w:ascii="仿宋_GB2312" w:hAnsi="Times New Roman" w:eastAsia="仿宋_GB2312"/>
          <w:color w:val="auto"/>
          <w:sz w:val="24"/>
          <w:highlight w:val="none"/>
        </w:rPr>
      </w:pPr>
      <w:r>
        <w:rPr>
          <w:rFonts w:hint="eastAsia" w:ascii="仿宋_GB2312" w:hAnsi="Times New Roman" w:eastAsia="仿宋_GB2312"/>
          <w:color w:val="auto"/>
          <w:sz w:val="24"/>
          <w:highlight w:val="none"/>
        </w:rPr>
        <w:t>（4）知识产权：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涉及定制化部分的知识产权均归属于采购人。</w:t>
      </w:r>
    </w:p>
    <w:p>
      <w:pPr>
        <w:spacing w:line="360" w:lineRule="auto"/>
        <w:ind w:firstLine="426"/>
        <w:rPr>
          <w:rFonts w:hint="eastAsia" w:ascii="仿宋_GB2312" w:hAnsi="仿宋" w:eastAsia="仿宋_GB2312" w:cs="宋体"/>
          <w:color w:val="auto"/>
          <w:kern w:val="0"/>
          <w:sz w:val="24"/>
          <w:highlight w:val="none"/>
          <w:lang w:val="zh-CN"/>
        </w:rPr>
      </w:pPr>
      <w:r>
        <w:rPr>
          <w:rFonts w:hint="eastAsia" w:ascii="仿宋_GB2312" w:eastAsia="仿宋_GB2312"/>
          <w:color w:val="auto"/>
          <w:sz w:val="24"/>
          <w:highlight w:val="none"/>
        </w:rPr>
        <w:t>（5）</w:t>
      </w:r>
      <w:r>
        <w:rPr>
          <w:rFonts w:hint="eastAsia" w:ascii="仿宋_GB2312" w:hAnsi="仿宋" w:eastAsia="仿宋_GB2312" w:cs="宋体"/>
          <w:color w:val="auto"/>
          <w:kern w:val="0"/>
          <w:sz w:val="24"/>
          <w:highlight w:val="none"/>
          <w:lang w:val="zh-CN"/>
        </w:rPr>
        <w:t>公司资质要求：投标人应具有完备的项目实施规范和管理制度，提供具有有效期内的ISO 9001质量管理体系认证证书。</w:t>
      </w:r>
    </w:p>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十一、付款方式</w:t>
      </w:r>
    </w:p>
    <w:p>
      <w:pPr>
        <w:autoSpaceDE w:val="0"/>
        <w:autoSpaceDN w:val="0"/>
        <w:snapToGrid w:val="0"/>
        <w:spacing w:line="360" w:lineRule="auto"/>
        <w:ind w:firstLine="540"/>
        <w:rPr>
          <w:rFonts w:hint="eastAsia" w:ascii="仿宋_GB2312" w:hAnsi="宋体" w:eastAsia="仿宋_GB2312"/>
          <w:color w:val="auto"/>
          <w:kern w:val="0"/>
          <w:sz w:val="24"/>
          <w:highlight w:val="none"/>
          <w:lang w:val="zh-CN"/>
        </w:rPr>
      </w:pPr>
      <w:r>
        <w:rPr>
          <w:rFonts w:hint="eastAsia" w:ascii="仿宋_GB2312" w:hAnsi="宋体" w:eastAsia="仿宋_GB2312"/>
          <w:color w:val="auto"/>
          <w:kern w:val="0"/>
          <w:sz w:val="24"/>
          <w:highlight w:val="none"/>
          <w:lang w:val="zh-CN"/>
        </w:rPr>
        <w:t>第一期付款：签订合同后7个工作日内，供应商缴纳合同总额5%的履约保证金后，供应商凭采购人签字盖章的支付通知书和等额发票向采购人办理合同总价30％的款项。</w:t>
      </w:r>
    </w:p>
    <w:p>
      <w:pPr>
        <w:autoSpaceDE w:val="0"/>
        <w:autoSpaceDN w:val="0"/>
        <w:snapToGrid w:val="0"/>
        <w:spacing w:line="360" w:lineRule="auto"/>
        <w:ind w:firstLine="540"/>
        <w:rPr>
          <w:rFonts w:hint="eastAsia" w:ascii="仿宋_GB2312" w:hAnsi="宋体" w:eastAsia="仿宋_GB2312"/>
          <w:color w:val="auto"/>
          <w:kern w:val="0"/>
          <w:sz w:val="24"/>
          <w:highlight w:val="none"/>
          <w:lang w:val="zh-CN"/>
        </w:rPr>
      </w:pPr>
      <w:r>
        <w:rPr>
          <w:rFonts w:hint="eastAsia" w:ascii="仿宋_GB2312" w:hAnsi="宋体" w:eastAsia="仿宋_GB2312"/>
          <w:color w:val="auto"/>
          <w:kern w:val="0"/>
          <w:sz w:val="24"/>
          <w:highlight w:val="none"/>
          <w:lang w:val="zh-CN"/>
        </w:rPr>
        <w:t>第二期付款：合同签订后3个月内，完成系统开发、安装部署、对接联调，实现系统全部功能，完成调试、集成等，提交全部报告材料及初验申请。通过初步验收，进入试运行，并出具初步验收报告且经甲方审查通过后15个工作日内，供应商凭采购人签字盖章的支付通知书、初验意见、验收小组签字的初步验收报告和等额发票向采购人办理合同总额50%的款项结算手续。</w:t>
      </w:r>
    </w:p>
    <w:p>
      <w:pPr>
        <w:autoSpaceDE w:val="0"/>
        <w:autoSpaceDN w:val="0"/>
        <w:snapToGrid w:val="0"/>
        <w:spacing w:line="360" w:lineRule="auto"/>
        <w:ind w:firstLine="540"/>
        <w:rPr>
          <w:rFonts w:hint="eastAsia" w:ascii="仿宋_GB2312" w:hAnsi="宋体" w:eastAsia="仿宋_GB2312"/>
          <w:color w:val="auto"/>
          <w:kern w:val="0"/>
          <w:sz w:val="24"/>
          <w:highlight w:val="none"/>
          <w:lang w:val="zh-CN"/>
        </w:rPr>
      </w:pPr>
      <w:r>
        <w:rPr>
          <w:rFonts w:hint="eastAsia" w:ascii="仿宋_GB2312" w:hAnsi="宋体" w:eastAsia="仿宋_GB2312"/>
          <w:color w:val="auto"/>
          <w:kern w:val="0"/>
          <w:sz w:val="24"/>
          <w:highlight w:val="none"/>
          <w:lang w:val="zh-CN"/>
        </w:rPr>
        <w:t>第三期付款：项目通过初验后1个月内完成培训、试运行，通过第三方检测、等保测评工作后，提交全部报告材料及终验申请。通过正式验收后，出具项目终验报告且经采购人审查通过。经审计确认后，供应商凭采购人签字盖章的支付通知书、终验意见、验收小组签字</w:t>
      </w:r>
      <w:r>
        <w:rPr>
          <w:rFonts w:hint="eastAsia" w:ascii="仿宋_GB2312" w:hAnsi="宋体" w:eastAsia="仿宋_GB2312"/>
          <w:color w:val="auto"/>
          <w:kern w:val="0"/>
          <w:sz w:val="24"/>
          <w:highlight w:val="none"/>
        </w:rPr>
        <w:t>终验意见、双方签字的验收报告、测评报告、公示截图及相关考核资料，向</w:t>
      </w:r>
      <w:r>
        <w:rPr>
          <w:rFonts w:hint="eastAsia" w:ascii="仿宋_GB2312" w:hAnsi="宋体" w:eastAsia="仿宋_GB2312"/>
          <w:color w:val="auto"/>
          <w:kern w:val="0"/>
          <w:sz w:val="24"/>
          <w:highlight w:val="none"/>
          <w:lang w:eastAsia="zh-CN"/>
        </w:rPr>
        <w:t>采购人</w:t>
      </w:r>
      <w:r>
        <w:rPr>
          <w:rFonts w:hint="eastAsia" w:ascii="仿宋_GB2312" w:hAnsi="宋体" w:eastAsia="仿宋_GB2312"/>
          <w:color w:val="auto"/>
          <w:kern w:val="0"/>
          <w:sz w:val="24"/>
          <w:highlight w:val="none"/>
        </w:rPr>
        <w:t>办理合同</w:t>
      </w:r>
      <w:r>
        <w:rPr>
          <w:rFonts w:hint="eastAsia" w:ascii="仿宋_GB2312" w:hAnsi="宋体" w:eastAsia="仿宋_GB2312"/>
          <w:color w:val="auto"/>
          <w:kern w:val="0"/>
          <w:sz w:val="24"/>
          <w:highlight w:val="none"/>
          <w:lang w:val="zh-CN"/>
        </w:rPr>
        <w:t>总额19%的款项结算手续</w:t>
      </w:r>
      <w:r>
        <w:rPr>
          <w:rFonts w:hint="eastAsia" w:ascii="仿宋_GB2312" w:hAnsi="宋体" w:eastAsia="仿宋_GB2312"/>
          <w:color w:val="auto"/>
          <w:kern w:val="0"/>
          <w:sz w:val="24"/>
          <w:highlight w:val="none"/>
        </w:rPr>
        <w:t>（扣除违约金后，若有）</w:t>
      </w:r>
      <w:r>
        <w:rPr>
          <w:rFonts w:hint="eastAsia" w:ascii="仿宋_GB2312" w:hAnsi="宋体" w:eastAsia="仿宋_GB2312"/>
          <w:color w:val="auto"/>
          <w:kern w:val="0"/>
          <w:sz w:val="24"/>
          <w:highlight w:val="none"/>
          <w:lang w:val="zh-CN"/>
        </w:rPr>
        <w:t>。</w:t>
      </w:r>
    </w:p>
    <w:p>
      <w:pPr>
        <w:spacing w:line="360" w:lineRule="auto"/>
        <w:ind w:firstLine="426"/>
        <w:rPr>
          <w:rFonts w:hint="eastAsia" w:ascii="仿宋_GB2312" w:hAnsi="仿宋" w:eastAsia="仿宋_GB2312" w:cs="宋体"/>
          <w:color w:val="auto"/>
          <w:kern w:val="0"/>
          <w:sz w:val="24"/>
          <w:highlight w:val="none"/>
          <w:lang w:val="zh-CN"/>
        </w:rPr>
      </w:pPr>
      <w:r>
        <w:rPr>
          <w:rFonts w:hint="eastAsia" w:ascii="仿宋_GB2312" w:hAnsi="宋体" w:eastAsia="仿宋_GB2312"/>
          <w:color w:val="auto"/>
          <w:kern w:val="0"/>
          <w:sz w:val="24"/>
          <w:highlight w:val="none"/>
          <w:lang w:val="zh-CN"/>
        </w:rPr>
        <w:t>第四期付款：短信服务、移动推送服务期满后，供应商凭经采购人确认的短信发送数量凭证、记录，推送服务数量、凭证，验收小组签字</w:t>
      </w:r>
      <w:r>
        <w:rPr>
          <w:rFonts w:hint="eastAsia" w:ascii="仿宋_GB2312" w:hAnsi="宋体" w:eastAsia="仿宋_GB2312"/>
          <w:color w:val="auto"/>
          <w:kern w:val="0"/>
          <w:sz w:val="24"/>
          <w:highlight w:val="none"/>
        </w:rPr>
        <w:t>验收意见、双方签字的验收报告</w:t>
      </w:r>
      <w:r>
        <w:rPr>
          <w:rFonts w:hint="eastAsia" w:ascii="仿宋_GB2312" w:hAnsi="宋体" w:eastAsia="仿宋_GB2312"/>
          <w:color w:val="auto"/>
          <w:kern w:val="0"/>
          <w:sz w:val="24"/>
          <w:highlight w:val="none"/>
          <w:lang w:val="zh-CN"/>
        </w:rPr>
        <w:t>等相关资料，后向采购人办理合同尾款结算手续。</w:t>
      </w:r>
    </w:p>
    <w:p>
      <w:pPr>
        <w:spacing w:line="360" w:lineRule="auto"/>
        <w:ind w:firstLine="426"/>
        <w:rPr>
          <w:rFonts w:hint="eastAsia" w:ascii="仿宋_GB2312" w:hAnsi="仿宋" w:eastAsia="仿宋_GB2312" w:cs="宋体"/>
          <w:color w:val="auto"/>
          <w:kern w:val="0"/>
          <w:sz w:val="24"/>
          <w:highlight w:val="none"/>
          <w:lang w:val="zh-CN"/>
        </w:rPr>
      </w:pPr>
      <w:r>
        <w:rPr>
          <w:rFonts w:hint="eastAsia" w:ascii="仿宋_GB2312" w:hAnsi="仿宋" w:eastAsia="仿宋_GB2312" w:cs="宋体"/>
          <w:color w:val="auto"/>
          <w:kern w:val="0"/>
          <w:sz w:val="24"/>
          <w:highlight w:val="none"/>
          <w:lang w:val="zh-CN"/>
        </w:rPr>
        <w:t>履约保证金：</w:t>
      </w:r>
    </w:p>
    <w:p>
      <w:pPr>
        <w:spacing w:line="360" w:lineRule="auto"/>
        <w:ind w:firstLine="426"/>
        <w:rPr>
          <w:rFonts w:hint="eastAsia" w:ascii="仿宋_GB2312" w:hAnsi="仿宋" w:eastAsia="仿宋_GB2312" w:cs="宋体"/>
          <w:color w:val="auto"/>
          <w:kern w:val="0"/>
          <w:sz w:val="24"/>
          <w:highlight w:val="none"/>
          <w:lang w:val="zh-CN"/>
        </w:rPr>
      </w:pPr>
      <w:r>
        <w:rPr>
          <w:rFonts w:hint="eastAsia" w:ascii="仿宋_GB2312" w:hAnsi="仿宋" w:eastAsia="仿宋_GB2312" w:cs="宋体"/>
          <w:color w:val="auto"/>
          <w:kern w:val="0"/>
          <w:sz w:val="24"/>
          <w:highlight w:val="none"/>
          <w:lang w:val="zh-CN"/>
        </w:rPr>
        <w:t>（1）履约保证金交纳：供应商应在合同签订后 7 个工作日内，向采购人缴纳合同金额5%的履约保证金。违约金在结算合同款项时扣除。</w:t>
      </w:r>
    </w:p>
    <w:p>
      <w:pPr>
        <w:spacing w:line="360" w:lineRule="auto"/>
        <w:ind w:firstLine="426"/>
        <w:rPr>
          <w:rFonts w:hint="eastAsia" w:ascii="仿宋_GB2312" w:hAnsi="仿宋" w:eastAsia="仿宋_GB2312" w:cs="宋体"/>
          <w:color w:val="auto"/>
          <w:kern w:val="0"/>
          <w:sz w:val="24"/>
          <w:highlight w:val="none"/>
          <w:lang w:val="zh-CN"/>
        </w:rPr>
      </w:pPr>
      <w:bookmarkStart w:id="36" w:name="_Hlk79759797"/>
      <w:r>
        <w:rPr>
          <w:rFonts w:hint="eastAsia" w:ascii="仿宋_GB2312" w:hAnsi="仿宋" w:eastAsia="仿宋_GB2312" w:cs="宋体"/>
          <w:color w:val="auto"/>
          <w:kern w:val="0"/>
          <w:sz w:val="24"/>
          <w:highlight w:val="none"/>
          <w:lang w:val="zh-CN"/>
        </w:rPr>
        <w:t>（2）履约保证金退还：服务完成，采购人于收到供应商退还履约保证金申请之日起</w:t>
      </w:r>
      <w:r>
        <w:rPr>
          <w:rFonts w:hint="eastAsia" w:ascii="仿宋_GB2312" w:hAnsi="仿宋" w:eastAsia="仿宋_GB2312" w:cs="宋体"/>
          <w:color w:val="auto"/>
          <w:kern w:val="0"/>
          <w:sz w:val="24"/>
          <w:highlight w:val="none"/>
          <w:lang w:val="en-US" w:eastAsia="zh-CN"/>
        </w:rPr>
        <w:t>5</w:t>
      </w:r>
      <w:r>
        <w:rPr>
          <w:rFonts w:hint="eastAsia" w:ascii="仿宋_GB2312" w:hAnsi="仿宋" w:eastAsia="仿宋_GB2312" w:cs="宋体"/>
          <w:color w:val="auto"/>
          <w:kern w:val="0"/>
          <w:sz w:val="24"/>
          <w:highlight w:val="none"/>
          <w:lang w:val="zh-CN"/>
        </w:rPr>
        <w:t>个工作日内凭双方签字盖章的验收意见，退还供应商履约保证金（扣除履约金后，若有）。</w:t>
      </w:r>
    </w:p>
    <w:bookmarkEnd w:id="36"/>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十二、验收方案</w:t>
      </w:r>
    </w:p>
    <w:p>
      <w:pPr>
        <w:spacing w:line="360" w:lineRule="auto"/>
        <w:ind w:firstLine="482" w:firstLineChars="200"/>
        <w:outlineLvl w:val="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12.1、验收要求</w:t>
      </w:r>
    </w:p>
    <w:p>
      <w:pPr>
        <w:pStyle w:val="32"/>
        <w:spacing w:line="360" w:lineRule="auto"/>
        <w:ind w:firstLine="480" w:firstLineChars="200"/>
        <w:rPr>
          <w:rFonts w:hint="eastAsia" w:ascii="仿宋_GB2312" w:hAnsi="仿宋" w:eastAsia="仿宋_GB2312" w:cs="仿宋_GB2312"/>
          <w:color w:val="auto"/>
          <w:sz w:val="24"/>
          <w:highlight w:val="none"/>
        </w:rPr>
      </w:pPr>
      <w:bookmarkStart w:id="37" w:name="_Hlk79759811"/>
      <w:r>
        <w:rPr>
          <w:rFonts w:hint="eastAsia" w:ascii="仿宋_GB2312" w:hAnsi="仿宋" w:eastAsia="仿宋_GB2312" w:cs="仿宋_GB2312"/>
          <w:color w:val="auto"/>
          <w:sz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bookmarkEnd w:id="37"/>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本项目为信息化项目，根据《杭州市公安局信息化项目管理办法》第27条规定,信息化项目建设完成后,项目单位应向市公安局科信局提交《信息化建设项目验收表》及验收所需相应材料,由市公安局科信局按照市政府履约验收相关管理办法的程序,结合市局相关内控制度组织开展终验。</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投标人应及时整改到位；验收结果为不通过的，投标人应及时整改并重新提出验收申请。若因投标人原因验收不通过，并造成项目未能在合同约定时限内完成终验，按合同条款执行。采购人根据验收报告形成验收意见并经采购人与投标人签字盖章，并在财政指定媒体上公示无异议后生效。验收结果与采购合同约定的资金支付及履约保证金返还条件挂钩。履约验收的各项资料应当存档备查。</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4、验收产生的费用首次验收费用由采购人承担，如首次验收不合格，后续验收费用由投标人支付。</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5、根据采购文件确定的技术指标或者服务要求确定验收指标和标准。未进行相应约定的，应当符合国家强制性规定、政策要求、安全标准、行业或企业有关标准等。</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6、验收小组人员需符合杭州市公安局【2021】52号文件规定。</w:t>
      </w:r>
    </w:p>
    <w:p>
      <w:pPr>
        <w:spacing w:line="360" w:lineRule="auto"/>
        <w:ind w:firstLine="482" w:firstLineChars="200"/>
        <w:outlineLvl w:val="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12.2、验收阶段</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第一阶段：合同签定后，3个月内完成软件开发部署、系统测试等工作内容，并提交初验申请，初验通过后投入试运行；</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第二阶段：试运行（不少于1个月）正常后，提交终验申请，并完成终验。</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第三阶段：</w:t>
      </w:r>
      <w:r>
        <w:rPr>
          <w:rFonts w:hint="eastAsia" w:ascii="仿宋_GB2312" w:hAnsi="宋体" w:eastAsia="仿宋_GB2312"/>
          <w:color w:val="auto"/>
          <w:kern w:val="0"/>
          <w:sz w:val="24"/>
          <w:highlight w:val="none"/>
          <w:lang w:val="zh-CN"/>
        </w:rPr>
        <w:t>短信服务、移动推送服务1年期满后，对短信服务、移动推送服务的数量进行验收。</w:t>
      </w:r>
    </w:p>
    <w:p>
      <w:pPr>
        <w:spacing w:line="360" w:lineRule="auto"/>
        <w:ind w:firstLine="482" w:firstLineChars="200"/>
        <w:outlineLvl w:val="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12.3、验收内容</w:t>
      </w: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1"/>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序号</w:t>
            </w:r>
          </w:p>
        </w:tc>
        <w:tc>
          <w:tcPr>
            <w:tcW w:w="1411"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验收内容</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w:t>
            </w:r>
          </w:p>
        </w:tc>
        <w:tc>
          <w:tcPr>
            <w:tcW w:w="1411"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质量</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合同定制开发软件功能全部开发和部署完成，软件功能齐全，符合合同要求，软件功能通过采购人、监理方测试。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合同成品软件安合同要装部署完成，软件授权准确，无知识产权问题，符合合同要求。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系统试运行期间，试运行记录完整、真实，硬件、软件运行正常，未发生重大故障。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通过第三方软件评测，软件功能、性能各项指标合格，符合合同要求。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整体系统功能实现符合合同和用户实际使用需求，并发挥一定使用成效。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2</w:t>
            </w:r>
          </w:p>
        </w:tc>
        <w:tc>
          <w:tcPr>
            <w:tcW w:w="1411"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进度</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项目按合同工期要求完成建设，并在规定的时间内完成项目各项建设内容。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项目有有效的进度控制方式，有效的把控整个项目建设进度，阶段工作任务不延迟。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系统试运行时间不少于1个月。项目按合同工期要求完成建设，并在规定的时间内交付用户使用。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系统试运行期间，如有出现故障，及时解决，未影响用户正常使用。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3</w:t>
            </w:r>
          </w:p>
        </w:tc>
        <w:tc>
          <w:tcPr>
            <w:tcW w:w="1411"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安全和保密</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在项目建设期和试运行期间，安全、文明施工措施到位，未发生重大安全事故。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公司签订保密协议，保密措施完善。未发生敏感数据、资料丢失和泄漏问题。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4</w:t>
            </w:r>
          </w:p>
        </w:tc>
        <w:tc>
          <w:tcPr>
            <w:tcW w:w="1411"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培训</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有效组织开展培训工作，培训内容齐全、完整，并形成完善的培训记录。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培训人数、场次符合合同和实际工作要求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培训结果良好，受训人员对系统的了解、操作程度良好，反馈良好。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5</w:t>
            </w:r>
          </w:p>
        </w:tc>
        <w:tc>
          <w:tcPr>
            <w:tcW w:w="1411"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运维服务方案</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制定详细的运维服务方案，确保能有效执行合同运维要求。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6</w:t>
            </w:r>
          </w:p>
        </w:tc>
        <w:tc>
          <w:tcPr>
            <w:tcW w:w="1411" w:type="dxa"/>
            <w:vMerge w:val="restart"/>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 xml:space="preserve">人员管理 </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在项目建设期和试运行期间，按合同和投标文件投入相应资质的项目管理和技术人员。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pPr>
              <w:rPr>
                <w:rFonts w:hint="eastAsia" w:ascii="仿宋_GB2312" w:hAnsi="仿宋" w:eastAsia="仿宋_GB2312" w:cs="仿宋"/>
                <w:color w:val="auto"/>
                <w:highlight w:val="none"/>
              </w:rPr>
            </w:pPr>
          </w:p>
        </w:tc>
        <w:tc>
          <w:tcPr>
            <w:tcW w:w="1411" w:type="dxa"/>
            <w:vMerge w:val="continue"/>
            <w:noWrap/>
            <w:vAlign w:val="center"/>
          </w:tcPr>
          <w:p>
            <w:pPr>
              <w:rPr>
                <w:rFonts w:hint="eastAsia" w:ascii="仿宋_GB2312" w:hAnsi="仿宋" w:eastAsia="仿宋_GB2312" w:cs="仿宋"/>
                <w:color w:val="auto"/>
                <w:highlight w:val="none"/>
              </w:rPr>
            </w:pP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在项目建设期和试运行期间，项目人员及时到位，不存在脱岗等问题，请假应有正常手续。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7</w:t>
            </w:r>
          </w:p>
        </w:tc>
        <w:tc>
          <w:tcPr>
            <w:tcW w:w="1411"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验收小组现场演示</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验收时，验收小组现场组织对系统演示。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8</w:t>
            </w:r>
          </w:p>
        </w:tc>
        <w:tc>
          <w:tcPr>
            <w:tcW w:w="1411"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终验资料</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项目终验资料种类齐全，各类审批流程手续和各类资料真实、完整，符合信息化项目资料规范要求。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9</w:t>
            </w:r>
          </w:p>
        </w:tc>
        <w:tc>
          <w:tcPr>
            <w:tcW w:w="1411"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短信、推送</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短信服务、移动推送服务的数量是否达到1200万条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10</w:t>
            </w:r>
          </w:p>
        </w:tc>
        <w:tc>
          <w:tcPr>
            <w:tcW w:w="1411"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其他工作</w:t>
            </w:r>
          </w:p>
        </w:tc>
        <w:tc>
          <w:tcPr>
            <w:tcW w:w="6415" w:type="dxa"/>
            <w:noWrap w:val="0"/>
            <w:vAlign w:val="center"/>
          </w:tcPr>
          <w:p>
            <w:pPr>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履行项目采购文件、投标文件、合同条款中涉及的其他承诺的情况。</w:t>
            </w:r>
          </w:p>
        </w:tc>
      </w:tr>
    </w:tbl>
    <w:p>
      <w:pPr>
        <w:pStyle w:val="32"/>
        <w:spacing w:line="360" w:lineRule="auto"/>
        <w:ind w:firstLine="480" w:firstLineChars="200"/>
        <w:rPr>
          <w:rFonts w:hint="eastAsia" w:ascii="仿宋_GB2312" w:hAnsi="仿宋" w:eastAsia="仿宋_GB2312" w:cs="仿宋_GB2312"/>
          <w:color w:val="auto"/>
          <w:sz w:val="24"/>
          <w:highlight w:val="none"/>
        </w:rPr>
      </w:pP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验收资料</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1)招标文件；</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2)投标文件；</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3)项目合同；</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4)保密协议；</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5)项目实施方案：内容包括项目人员组织架构、质量保证措施、进度保证措施、进度计划等。</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6)需求规格说明书：经需求调研后形成需求规格说明书，由投标人编制并盖章；</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7)定制开发软件：概要设计、详细设计、数据库设计、数据接口文档，由投标人编制并签字盖章，经监理单位签字确认；</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8)测试报告：根据测试方案和测试用例，经采购人、监理单位现场测试后，由投标人和监理单位签字确认；</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9)工程款支付申请：由投标人编制并签字盖章，监理单位审核通过后出具支付证书由监理单位签字盖章；</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10)初验申请表：由投标人编制并签字盖章，经监理单位和采购人确认后，由监理方，采购人签字并盖章；</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11)初验报告：初验时专家组签字；</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13)培训方案：由投标人编制并盖章；</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14)培训记录：由培训参与人员签字；</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15)试运行记录、试运总结报告：由投标人编制并签字盖章；</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16)第三方检测报告：由测评资质机构出具；</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17）等保测评报告：由测评资质机构出具；</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18)终验总结报告；</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19)用户使用报告；</w:t>
      </w:r>
    </w:p>
    <w:p>
      <w:pPr>
        <w:pStyle w:val="32"/>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20)其他项目所需的资料。</w:t>
      </w:r>
    </w:p>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十三、</w:t>
      </w:r>
      <w:r>
        <w:rPr>
          <w:rFonts w:hint="eastAsia" w:ascii="仿宋_GB2312" w:hAnsi="仿宋" w:eastAsia="仿宋_GB2312" w:cs="仿宋"/>
          <w:b/>
          <w:color w:val="auto"/>
          <w:sz w:val="24"/>
          <w:highlight w:val="none"/>
        </w:rPr>
        <w:t>是否面向中小企业</w:t>
      </w:r>
    </w:p>
    <w:p>
      <w:pPr>
        <w:spacing w:line="360" w:lineRule="auto"/>
        <w:ind w:firstLine="480" w:firstLineChars="200"/>
        <w:rPr>
          <w:rFonts w:hint="eastAsia" w:ascii="仿宋_GB2312" w:eastAsia="仿宋_GB2312"/>
          <w:color w:val="auto"/>
          <w:highlight w:val="none"/>
        </w:rPr>
      </w:pPr>
      <w:r>
        <w:rPr>
          <w:rFonts w:hint="eastAsia" w:ascii="仿宋_GB2312" w:eastAsia="仿宋_GB2312"/>
          <w:color w:val="auto"/>
          <w:sz w:val="24"/>
          <w:highlight w:val="none"/>
        </w:rPr>
        <w:t>根据《政府采购促进中小企业发展管理办法》财库〔2020〕46号文件的规定，本项目不专门面向中小企业采购。</w:t>
      </w:r>
    </w:p>
    <w:p>
      <w:pPr>
        <w:adjustRightInd/>
        <w:spacing w:line="360" w:lineRule="auto"/>
        <w:ind w:right="57" w:rightChars="27"/>
        <w:outlineLvl w:val="0"/>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十四、投标文件制作要求</w:t>
      </w:r>
    </w:p>
    <w:p>
      <w:pPr>
        <w:pStyle w:val="32"/>
        <w:spacing w:line="360" w:lineRule="auto"/>
        <w:ind w:firstLine="480" w:firstLineChars="200"/>
        <w:rPr>
          <w:rFonts w:hint="eastAsia" w:ascii="仿宋_GB2312" w:hAnsi="宋体" w:eastAsia="仿宋_GB2312" w:cs="宋体"/>
          <w:color w:val="auto"/>
          <w:sz w:val="24"/>
          <w:highlight w:val="none"/>
        </w:rPr>
      </w:pPr>
      <w:r>
        <w:rPr>
          <w:rFonts w:hint="eastAsia" w:ascii="仿宋_GB2312" w:eastAsia="仿宋_GB2312"/>
          <w:color w:val="auto"/>
          <w:sz w:val="24"/>
          <w:highlight w:val="none"/>
        </w:rPr>
        <w:t>投标文件要求编制完整、格式规范、内容齐全、表述准确、条理清晰，内容无前后矛盾，符合招标文件要求。相关资料的提供情况真实、完整、清晰、有序、合理。电子化投标文件与评分标准一一对应。</w:t>
      </w:r>
    </w:p>
    <w:p>
      <w:pPr>
        <w:spacing w:line="360" w:lineRule="auto"/>
        <w:ind w:firstLine="1084" w:firstLineChars="300"/>
        <w:outlineLvl w:val="0"/>
        <w:rPr>
          <w:rFonts w:hint="eastAsia" w:ascii="仿宋_GB2312" w:hAnsi="仿宋" w:eastAsia="仿宋_GB2312" w:cs="仿宋"/>
          <w:b/>
          <w:color w:val="auto"/>
          <w:sz w:val="36"/>
          <w:szCs w:val="36"/>
          <w:highlight w:val="none"/>
        </w:rPr>
      </w:pPr>
      <w:r>
        <w:rPr>
          <w:rFonts w:hint="eastAsia" w:ascii="仿宋_GB2312" w:hAnsi="仿宋" w:eastAsia="仿宋_GB2312" w:cs="仿宋"/>
          <w:b/>
          <w:color w:val="auto"/>
          <w:sz w:val="36"/>
          <w:szCs w:val="36"/>
          <w:highlight w:val="none"/>
        </w:rPr>
        <w:br w:type="page"/>
      </w:r>
      <w:r>
        <w:rPr>
          <w:rFonts w:hint="eastAsia" w:ascii="仿宋_GB2312" w:hAnsi="仿宋" w:eastAsia="仿宋_GB2312" w:cs="仿宋"/>
          <w:b/>
          <w:color w:val="auto"/>
          <w:sz w:val="36"/>
          <w:szCs w:val="36"/>
          <w:highlight w:val="none"/>
        </w:rPr>
        <w:t xml:space="preserve">第四部分   </w:t>
      </w:r>
      <w:bookmarkStart w:id="38" w:name="_Toc184314471"/>
      <w:bookmarkEnd w:id="38"/>
      <w:bookmarkStart w:id="39" w:name="_Toc184314458"/>
      <w:bookmarkEnd w:id="39"/>
      <w:bookmarkStart w:id="40" w:name="_Toc184313277"/>
      <w:bookmarkEnd w:id="40"/>
      <w:bookmarkStart w:id="41" w:name="_Toc184310275"/>
      <w:bookmarkEnd w:id="41"/>
      <w:bookmarkStart w:id="42" w:name="_Toc184308040"/>
      <w:bookmarkEnd w:id="42"/>
      <w:bookmarkStart w:id="43" w:name="_Toc184314431"/>
      <w:bookmarkEnd w:id="43"/>
      <w:bookmarkStart w:id="44" w:name="_Toc184308080"/>
      <w:bookmarkEnd w:id="44"/>
      <w:bookmarkStart w:id="45" w:name="_Toc184308039"/>
      <w:bookmarkEnd w:id="45"/>
      <w:bookmarkStart w:id="46" w:name="_Toc184312069"/>
      <w:bookmarkEnd w:id="46"/>
      <w:bookmarkStart w:id="47" w:name="_Toc184312112"/>
      <w:bookmarkEnd w:id="47"/>
      <w:bookmarkStart w:id="48" w:name="_Toc184312129"/>
      <w:bookmarkEnd w:id="48"/>
      <w:bookmarkStart w:id="49" w:name="_Toc184310343"/>
      <w:bookmarkEnd w:id="49"/>
      <w:bookmarkStart w:id="50" w:name="_Toc184310333"/>
      <w:bookmarkEnd w:id="50"/>
      <w:bookmarkStart w:id="51" w:name="_Toc184313300"/>
      <w:bookmarkEnd w:id="51"/>
      <w:bookmarkStart w:id="52" w:name="_Toc184308061"/>
      <w:bookmarkEnd w:id="52"/>
      <w:bookmarkStart w:id="53" w:name="_Toc184313304"/>
      <w:bookmarkEnd w:id="53"/>
      <w:bookmarkStart w:id="54" w:name="_Toc184310294"/>
      <w:bookmarkEnd w:id="54"/>
      <w:bookmarkStart w:id="55" w:name="_Toc184314446"/>
      <w:bookmarkEnd w:id="55"/>
      <w:bookmarkStart w:id="56" w:name="_Toc184308098"/>
      <w:bookmarkEnd w:id="56"/>
      <w:bookmarkStart w:id="57" w:name="_Toc184312130"/>
      <w:bookmarkEnd w:id="57"/>
      <w:bookmarkStart w:id="58" w:name="_Toc184312115"/>
      <w:bookmarkEnd w:id="58"/>
      <w:bookmarkStart w:id="59" w:name="_Toc184310339"/>
      <w:bookmarkEnd w:id="59"/>
      <w:bookmarkStart w:id="60" w:name="_Toc184314452"/>
      <w:bookmarkEnd w:id="60"/>
      <w:bookmarkStart w:id="61" w:name="_Toc184314443"/>
      <w:bookmarkEnd w:id="61"/>
      <w:bookmarkStart w:id="62" w:name="_Toc184310293"/>
      <w:bookmarkEnd w:id="62"/>
      <w:bookmarkStart w:id="63" w:name="_Toc184308049"/>
      <w:bookmarkEnd w:id="63"/>
      <w:bookmarkStart w:id="64" w:name="_Toc184314454"/>
      <w:bookmarkEnd w:id="64"/>
      <w:bookmarkStart w:id="65" w:name="_Toc184310295"/>
      <w:bookmarkEnd w:id="65"/>
      <w:bookmarkStart w:id="66" w:name="_Toc184310316"/>
      <w:bookmarkEnd w:id="66"/>
      <w:bookmarkStart w:id="67" w:name="_Toc184313292"/>
      <w:bookmarkEnd w:id="67"/>
      <w:bookmarkStart w:id="68" w:name="_Toc184308044"/>
      <w:bookmarkEnd w:id="68"/>
      <w:bookmarkStart w:id="69" w:name="_Toc184310288"/>
      <w:bookmarkEnd w:id="69"/>
      <w:bookmarkStart w:id="70" w:name="_Toc184308058"/>
      <w:bookmarkEnd w:id="70"/>
      <w:bookmarkStart w:id="71" w:name="_Toc184313268"/>
      <w:bookmarkEnd w:id="71"/>
      <w:bookmarkStart w:id="72" w:name="_Toc184310344"/>
      <w:bookmarkEnd w:id="72"/>
      <w:bookmarkStart w:id="73" w:name="_Toc184314470"/>
      <w:bookmarkEnd w:id="73"/>
      <w:bookmarkStart w:id="74" w:name="_Toc184310281"/>
      <w:bookmarkEnd w:id="74"/>
      <w:bookmarkStart w:id="75" w:name="_Toc184313253"/>
      <w:bookmarkEnd w:id="75"/>
      <w:bookmarkStart w:id="76" w:name="_Toc184312128"/>
      <w:bookmarkEnd w:id="76"/>
      <w:bookmarkStart w:id="77" w:name="_Toc184313261"/>
      <w:bookmarkEnd w:id="77"/>
      <w:bookmarkStart w:id="78" w:name="_Toc184312134"/>
      <w:bookmarkEnd w:id="78"/>
      <w:bookmarkStart w:id="79" w:name="_Toc184314419"/>
      <w:bookmarkEnd w:id="79"/>
      <w:bookmarkStart w:id="80" w:name="_Toc184310287"/>
      <w:bookmarkEnd w:id="80"/>
      <w:bookmarkStart w:id="81" w:name="_Toc184314457"/>
      <w:bookmarkEnd w:id="81"/>
      <w:bookmarkStart w:id="82" w:name="_Toc184313309"/>
      <w:bookmarkEnd w:id="82"/>
      <w:bookmarkStart w:id="83" w:name="_Toc184312085"/>
      <w:bookmarkEnd w:id="83"/>
      <w:bookmarkStart w:id="84" w:name="_Toc184308106"/>
      <w:bookmarkEnd w:id="84"/>
      <w:bookmarkStart w:id="85" w:name="_Toc184313276"/>
      <w:bookmarkEnd w:id="85"/>
      <w:bookmarkStart w:id="86" w:name="_Toc184314416"/>
      <w:bookmarkEnd w:id="86"/>
      <w:bookmarkStart w:id="87" w:name="_Toc184310342"/>
      <w:bookmarkEnd w:id="87"/>
      <w:bookmarkStart w:id="88" w:name="_Toc184308072"/>
      <w:bookmarkEnd w:id="88"/>
      <w:bookmarkStart w:id="89" w:name="_Toc184312102"/>
      <w:bookmarkEnd w:id="89"/>
      <w:bookmarkStart w:id="90" w:name="_Toc184312071"/>
      <w:bookmarkEnd w:id="90"/>
      <w:bookmarkStart w:id="91" w:name="_Toc184314435"/>
      <w:bookmarkEnd w:id="91"/>
      <w:bookmarkStart w:id="92" w:name="_Toc184312135"/>
      <w:bookmarkEnd w:id="92"/>
      <w:bookmarkStart w:id="93" w:name="_Toc184312110"/>
      <w:bookmarkEnd w:id="93"/>
      <w:bookmarkStart w:id="94" w:name="_Toc184312117"/>
      <w:bookmarkEnd w:id="94"/>
      <w:bookmarkStart w:id="95" w:name="_Toc184313285"/>
      <w:bookmarkEnd w:id="95"/>
      <w:bookmarkStart w:id="96" w:name="_Toc184310280"/>
      <w:bookmarkEnd w:id="96"/>
      <w:bookmarkStart w:id="97" w:name="_Toc184312079"/>
      <w:bookmarkEnd w:id="97"/>
      <w:bookmarkStart w:id="98" w:name="_Toc184314440"/>
      <w:bookmarkEnd w:id="98"/>
      <w:bookmarkStart w:id="99" w:name="_Toc184310276"/>
      <w:bookmarkEnd w:id="99"/>
      <w:bookmarkStart w:id="100" w:name="_Toc184308050"/>
      <w:bookmarkEnd w:id="100"/>
      <w:bookmarkStart w:id="101" w:name="_Toc184313241"/>
      <w:bookmarkEnd w:id="101"/>
      <w:bookmarkStart w:id="102" w:name="_Toc184310308"/>
      <w:bookmarkEnd w:id="102"/>
      <w:bookmarkStart w:id="103" w:name="_Toc184310311"/>
      <w:bookmarkEnd w:id="103"/>
      <w:bookmarkStart w:id="104" w:name="_Toc184314459"/>
      <w:bookmarkEnd w:id="104"/>
      <w:bookmarkStart w:id="105" w:name="_Toc184313269"/>
      <w:bookmarkEnd w:id="105"/>
      <w:bookmarkStart w:id="106" w:name="_Toc184312090"/>
      <w:bookmarkEnd w:id="106"/>
      <w:bookmarkStart w:id="107" w:name="_Toc184310304"/>
      <w:bookmarkEnd w:id="107"/>
      <w:bookmarkStart w:id="108" w:name="_Toc184314417"/>
      <w:bookmarkEnd w:id="108"/>
      <w:bookmarkStart w:id="109" w:name="_Toc184313297"/>
      <w:bookmarkEnd w:id="109"/>
      <w:bookmarkStart w:id="110" w:name="_Toc184313305"/>
      <w:bookmarkEnd w:id="110"/>
      <w:bookmarkStart w:id="111" w:name="_Toc184313286"/>
      <w:bookmarkEnd w:id="111"/>
      <w:bookmarkStart w:id="112" w:name="_Toc184310322"/>
      <w:bookmarkEnd w:id="112"/>
      <w:bookmarkStart w:id="113" w:name="_Toc184313302"/>
      <w:bookmarkEnd w:id="113"/>
      <w:bookmarkStart w:id="114" w:name="_Toc184314414"/>
      <w:bookmarkEnd w:id="114"/>
      <w:bookmarkStart w:id="115" w:name="_Toc184308067"/>
      <w:bookmarkEnd w:id="115"/>
      <w:bookmarkStart w:id="116" w:name="_Toc184310291"/>
      <w:bookmarkEnd w:id="116"/>
      <w:bookmarkStart w:id="117" w:name="_Toc184308043"/>
      <w:bookmarkEnd w:id="117"/>
      <w:bookmarkStart w:id="118" w:name="_Toc184308104"/>
      <w:bookmarkEnd w:id="118"/>
      <w:bookmarkStart w:id="119" w:name="_Toc184314412"/>
      <w:bookmarkEnd w:id="119"/>
      <w:bookmarkStart w:id="120" w:name="_Toc184312136"/>
      <w:bookmarkEnd w:id="120"/>
      <w:bookmarkStart w:id="121" w:name="_Toc184310315"/>
      <w:bookmarkEnd w:id="121"/>
      <w:bookmarkStart w:id="122" w:name="_Toc184312116"/>
      <w:bookmarkEnd w:id="122"/>
      <w:bookmarkStart w:id="123" w:name="_Toc184314424"/>
      <w:bookmarkEnd w:id="123"/>
      <w:bookmarkStart w:id="124" w:name="_Toc184312125"/>
      <w:bookmarkEnd w:id="124"/>
      <w:bookmarkStart w:id="125" w:name="_Toc184308085"/>
      <w:bookmarkEnd w:id="125"/>
      <w:bookmarkStart w:id="126" w:name="_Toc184312076"/>
      <w:bookmarkEnd w:id="126"/>
      <w:bookmarkStart w:id="127" w:name="_Toc184312081"/>
      <w:bookmarkEnd w:id="127"/>
      <w:bookmarkStart w:id="128" w:name="_Toc184312127"/>
      <w:bookmarkEnd w:id="128"/>
      <w:bookmarkStart w:id="129" w:name="_Toc184312132"/>
      <w:bookmarkEnd w:id="129"/>
      <w:bookmarkStart w:id="130" w:name="_Toc184308099"/>
      <w:bookmarkEnd w:id="130"/>
      <w:bookmarkStart w:id="131" w:name="_Toc184312073"/>
      <w:bookmarkEnd w:id="131"/>
      <w:bookmarkStart w:id="132" w:name="_Toc184313260"/>
      <w:bookmarkEnd w:id="132"/>
      <w:bookmarkStart w:id="133" w:name="_Toc184308066"/>
      <w:bookmarkEnd w:id="133"/>
      <w:bookmarkStart w:id="134" w:name="_Toc184314437"/>
      <w:bookmarkEnd w:id="134"/>
      <w:bookmarkStart w:id="135" w:name="_Toc184308041"/>
      <w:bookmarkEnd w:id="135"/>
      <w:bookmarkStart w:id="136" w:name="_Toc184312119"/>
      <w:bookmarkEnd w:id="136"/>
      <w:bookmarkStart w:id="137" w:name="_Toc184314423"/>
      <w:bookmarkEnd w:id="137"/>
      <w:bookmarkStart w:id="138" w:name="_Toc184314426"/>
      <w:bookmarkEnd w:id="138"/>
      <w:bookmarkStart w:id="139" w:name="_Toc184312114"/>
      <w:bookmarkEnd w:id="139"/>
      <w:bookmarkStart w:id="140" w:name="_Toc184308053"/>
      <w:bookmarkEnd w:id="140"/>
      <w:bookmarkStart w:id="141" w:name="_Toc184308048"/>
      <w:bookmarkEnd w:id="141"/>
      <w:bookmarkStart w:id="142" w:name="_Toc184312077"/>
      <w:bookmarkEnd w:id="142"/>
      <w:bookmarkStart w:id="143" w:name="_Toc184308056"/>
      <w:bookmarkEnd w:id="143"/>
      <w:bookmarkStart w:id="144" w:name="_Toc184312107"/>
      <w:bookmarkEnd w:id="144"/>
      <w:bookmarkStart w:id="145" w:name="_Toc184313283"/>
      <w:bookmarkEnd w:id="145"/>
      <w:bookmarkStart w:id="146" w:name="_Toc184314411"/>
      <w:bookmarkEnd w:id="146"/>
      <w:bookmarkStart w:id="147" w:name="_Toc184310296"/>
      <w:bookmarkEnd w:id="147"/>
      <w:bookmarkStart w:id="148" w:name="_Toc184312092"/>
      <w:bookmarkEnd w:id="148"/>
      <w:bookmarkStart w:id="149" w:name="_Toc184308090"/>
      <w:bookmarkEnd w:id="149"/>
      <w:bookmarkStart w:id="150" w:name="_Toc184308081"/>
      <w:bookmarkEnd w:id="150"/>
      <w:bookmarkStart w:id="151" w:name="_Toc184310286"/>
      <w:bookmarkEnd w:id="151"/>
      <w:bookmarkStart w:id="152" w:name="_Toc184314462"/>
      <w:bookmarkEnd w:id="152"/>
      <w:bookmarkStart w:id="153" w:name="_Toc184308091"/>
      <w:bookmarkEnd w:id="153"/>
      <w:bookmarkStart w:id="154" w:name="_Toc184310332"/>
      <w:bookmarkEnd w:id="154"/>
      <w:bookmarkStart w:id="155" w:name="_Toc184312082"/>
      <w:bookmarkEnd w:id="155"/>
      <w:bookmarkStart w:id="156" w:name="_Toc184310299"/>
      <w:bookmarkEnd w:id="156"/>
      <w:bookmarkStart w:id="157" w:name="_Toc184313287"/>
      <w:bookmarkEnd w:id="157"/>
      <w:bookmarkStart w:id="158" w:name="_Toc184310279"/>
      <w:bookmarkEnd w:id="158"/>
      <w:bookmarkStart w:id="159" w:name="_Toc184308071"/>
      <w:bookmarkEnd w:id="159"/>
      <w:bookmarkStart w:id="160" w:name="_Toc184310298"/>
      <w:bookmarkEnd w:id="160"/>
      <w:bookmarkStart w:id="161" w:name="_Toc184312138"/>
      <w:bookmarkEnd w:id="161"/>
      <w:bookmarkStart w:id="162" w:name="_Toc184308103"/>
      <w:bookmarkEnd w:id="162"/>
      <w:bookmarkStart w:id="163" w:name="_Toc184312098"/>
      <w:bookmarkEnd w:id="163"/>
      <w:bookmarkStart w:id="164" w:name="_Toc184312111"/>
      <w:bookmarkEnd w:id="164"/>
      <w:bookmarkStart w:id="165" w:name="_Toc184314425"/>
      <w:bookmarkEnd w:id="165"/>
      <w:bookmarkStart w:id="166" w:name="_Toc184313245"/>
      <w:bookmarkEnd w:id="166"/>
      <w:bookmarkStart w:id="167" w:name="_Toc184313263"/>
      <w:bookmarkEnd w:id="167"/>
      <w:bookmarkStart w:id="168" w:name="_Toc184313244"/>
      <w:bookmarkEnd w:id="168"/>
      <w:bookmarkStart w:id="169" w:name="_Toc184313280"/>
      <w:bookmarkEnd w:id="169"/>
      <w:bookmarkStart w:id="170" w:name="_Toc184313299"/>
      <w:bookmarkEnd w:id="170"/>
      <w:bookmarkStart w:id="171" w:name="_Toc184308047"/>
      <w:bookmarkEnd w:id="171"/>
      <w:bookmarkStart w:id="172" w:name="_Toc184308059"/>
      <w:bookmarkEnd w:id="172"/>
      <w:bookmarkStart w:id="173" w:name="_Toc184310284"/>
      <w:bookmarkEnd w:id="173"/>
      <w:bookmarkStart w:id="174" w:name="_Toc184308076"/>
      <w:bookmarkEnd w:id="174"/>
      <w:bookmarkStart w:id="175" w:name="_Toc184308069"/>
      <w:bookmarkEnd w:id="175"/>
      <w:bookmarkStart w:id="176" w:name="_Toc184308060"/>
      <w:bookmarkEnd w:id="176"/>
      <w:bookmarkStart w:id="177" w:name="_Toc184310317"/>
      <w:bookmarkEnd w:id="177"/>
      <w:bookmarkStart w:id="178" w:name="_Toc184313301"/>
      <w:bookmarkEnd w:id="178"/>
      <w:bookmarkStart w:id="179" w:name="_Toc184312074"/>
      <w:bookmarkEnd w:id="179"/>
      <w:bookmarkStart w:id="180" w:name="_Toc184310274"/>
      <w:bookmarkEnd w:id="180"/>
      <w:bookmarkStart w:id="181" w:name="_Toc184312094"/>
      <w:bookmarkEnd w:id="181"/>
      <w:bookmarkStart w:id="182" w:name="_Toc184314410"/>
      <w:bookmarkEnd w:id="182"/>
      <w:bookmarkStart w:id="183" w:name="_Toc184310290"/>
      <w:bookmarkEnd w:id="183"/>
      <w:bookmarkStart w:id="184" w:name="_Toc184308046"/>
      <w:bookmarkEnd w:id="184"/>
      <w:bookmarkStart w:id="185" w:name="_Toc184313242"/>
      <w:bookmarkEnd w:id="185"/>
      <w:bookmarkStart w:id="186" w:name="_Toc184310310"/>
      <w:bookmarkEnd w:id="186"/>
      <w:bookmarkStart w:id="187" w:name="_Toc184312133"/>
      <w:bookmarkEnd w:id="187"/>
      <w:bookmarkStart w:id="188" w:name="_Toc184314442"/>
      <w:bookmarkEnd w:id="188"/>
      <w:bookmarkStart w:id="189" w:name="_Toc184312103"/>
      <w:bookmarkEnd w:id="189"/>
      <w:bookmarkStart w:id="190" w:name="_Toc184313246"/>
      <w:bookmarkEnd w:id="190"/>
      <w:bookmarkStart w:id="191" w:name="_Toc184313265"/>
      <w:bookmarkEnd w:id="191"/>
      <w:bookmarkStart w:id="192" w:name="_Toc184313278"/>
      <w:bookmarkEnd w:id="192"/>
      <w:bookmarkStart w:id="193" w:name="_Toc184312097"/>
      <w:bookmarkEnd w:id="193"/>
      <w:bookmarkStart w:id="194" w:name="_Toc184310312"/>
      <w:bookmarkEnd w:id="194"/>
      <w:bookmarkStart w:id="195" w:name="_Toc184310305"/>
      <w:bookmarkEnd w:id="195"/>
      <w:bookmarkStart w:id="196" w:name="_Toc184310297"/>
      <w:bookmarkEnd w:id="196"/>
      <w:bookmarkStart w:id="197" w:name="_Toc184312126"/>
      <w:bookmarkEnd w:id="197"/>
      <w:bookmarkStart w:id="198" w:name="_Toc184314473"/>
      <w:bookmarkEnd w:id="198"/>
      <w:bookmarkStart w:id="199" w:name="_Toc184314477"/>
      <w:bookmarkEnd w:id="199"/>
      <w:bookmarkStart w:id="200" w:name="_Toc184312100"/>
      <w:bookmarkEnd w:id="200"/>
      <w:bookmarkStart w:id="201" w:name="_Toc184314413"/>
      <w:bookmarkEnd w:id="201"/>
      <w:bookmarkStart w:id="202" w:name="_Toc184312105"/>
      <w:bookmarkEnd w:id="202"/>
      <w:bookmarkStart w:id="203" w:name="_Toc184310335"/>
      <w:bookmarkEnd w:id="203"/>
      <w:bookmarkStart w:id="204" w:name="_Toc184314476"/>
      <w:bookmarkEnd w:id="204"/>
      <w:bookmarkStart w:id="205" w:name="_Toc184308037"/>
      <w:bookmarkEnd w:id="205"/>
      <w:bookmarkStart w:id="206" w:name="_Toc184310320"/>
      <w:bookmarkEnd w:id="206"/>
      <w:bookmarkStart w:id="207" w:name="_Toc184312070"/>
      <w:bookmarkEnd w:id="207"/>
      <w:bookmarkStart w:id="208" w:name="_Toc184310289"/>
      <w:bookmarkEnd w:id="208"/>
      <w:bookmarkStart w:id="209" w:name="_Toc184310283"/>
      <w:bookmarkEnd w:id="209"/>
      <w:bookmarkStart w:id="210" w:name="_Toc184313271"/>
      <w:bookmarkEnd w:id="210"/>
      <w:bookmarkStart w:id="211" w:name="_Toc184308073"/>
      <w:bookmarkEnd w:id="211"/>
      <w:bookmarkStart w:id="212" w:name="_Toc184310327"/>
      <w:bookmarkEnd w:id="212"/>
      <w:bookmarkStart w:id="213" w:name="_Toc184308107"/>
      <w:bookmarkEnd w:id="213"/>
      <w:bookmarkStart w:id="214" w:name="_Toc184308051"/>
      <w:bookmarkEnd w:id="214"/>
      <w:bookmarkStart w:id="215" w:name="_Toc184313282"/>
      <w:bookmarkEnd w:id="215"/>
      <w:bookmarkStart w:id="216" w:name="_Toc184314468"/>
      <w:bookmarkEnd w:id="216"/>
      <w:bookmarkStart w:id="217" w:name="_Toc184314421"/>
      <w:bookmarkEnd w:id="217"/>
      <w:bookmarkStart w:id="218" w:name="_Toc184308102"/>
      <w:bookmarkEnd w:id="218"/>
      <w:bookmarkStart w:id="219" w:name="_Toc184313254"/>
      <w:bookmarkEnd w:id="219"/>
      <w:bookmarkStart w:id="220" w:name="_Toc184314461"/>
      <w:bookmarkEnd w:id="220"/>
      <w:bookmarkStart w:id="221" w:name="_Toc184312091"/>
      <w:bookmarkEnd w:id="221"/>
      <w:bookmarkStart w:id="222" w:name="_Toc184308084"/>
      <w:bookmarkEnd w:id="222"/>
      <w:bookmarkStart w:id="223" w:name="_Toc184312124"/>
      <w:bookmarkEnd w:id="223"/>
      <w:bookmarkStart w:id="224" w:name="_Toc184313275"/>
      <w:bookmarkEnd w:id="224"/>
      <w:bookmarkStart w:id="225" w:name="_Toc184308052"/>
      <w:bookmarkEnd w:id="225"/>
      <w:bookmarkStart w:id="226" w:name="_Toc184313284"/>
      <w:bookmarkEnd w:id="226"/>
      <w:bookmarkStart w:id="227" w:name="_Toc184312083"/>
      <w:bookmarkEnd w:id="227"/>
      <w:bookmarkStart w:id="228" w:name="_Toc184310278"/>
      <w:bookmarkEnd w:id="228"/>
      <w:bookmarkStart w:id="229" w:name="_Toc184310326"/>
      <w:bookmarkEnd w:id="229"/>
      <w:bookmarkStart w:id="230" w:name="_Toc184313240"/>
      <w:bookmarkEnd w:id="230"/>
      <w:bookmarkStart w:id="231" w:name="_Toc184310273"/>
      <w:bookmarkEnd w:id="231"/>
      <w:bookmarkStart w:id="232" w:name="_Toc184314455"/>
      <w:bookmarkEnd w:id="232"/>
      <w:bookmarkStart w:id="233" w:name="_Toc184310272"/>
      <w:bookmarkEnd w:id="233"/>
      <w:bookmarkStart w:id="234" w:name="_Toc184310338"/>
      <w:bookmarkEnd w:id="234"/>
      <w:bookmarkStart w:id="235" w:name="_Toc184314438"/>
      <w:bookmarkEnd w:id="235"/>
      <w:bookmarkStart w:id="236" w:name="_Toc184308089"/>
      <w:bookmarkEnd w:id="236"/>
      <w:bookmarkStart w:id="237" w:name="_Toc184312072"/>
      <w:bookmarkEnd w:id="237"/>
      <w:bookmarkStart w:id="238" w:name="_Toc184310301"/>
      <w:bookmarkEnd w:id="238"/>
      <w:bookmarkStart w:id="239" w:name="_Toc184310300"/>
      <w:bookmarkEnd w:id="239"/>
      <w:bookmarkStart w:id="240" w:name="_Toc184313252"/>
      <w:bookmarkEnd w:id="240"/>
      <w:bookmarkStart w:id="241" w:name="_Toc184312101"/>
      <w:bookmarkEnd w:id="241"/>
      <w:bookmarkStart w:id="242" w:name="_Toc184308083"/>
      <w:bookmarkEnd w:id="242"/>
      <w:bookmarkStart w:id="243" w:name="_Toc184313298"/>
      <w:bookmarkEnd w:id="243"/>
      <w:bookmarkStart w:id="244" w:name="_Toc184308068"/>
      <w:bookmarkEnd w:id="244"/>
      <w:bookmarkStart w:id="245" w:name="_Toc184313248"/>
      <w:bookmarkEnd w:id="245"/>
      <w:bookmarkStart w:id="246" w:name="_Toc184313247"/>
      <w:bookmarkEnd w:id="246"/>
      <w:bookmarkStart w:id="247" w:name="_Toc184312086"/>
      <w:bookmarkEnd w:id="247"/>
      <w:bookmarkStart w:id="248" w:name="_Toc184313279"/>
      <w:bookmarkEnd w:id="248"/>
      <w:bookmarkStart w:id="249" w:name="_Toc184310313"/>
      <w:bookmarkEnd w:id="249"/>
      <w:bookmarkStart w:id="250" w:name="_Toc184308065"/>
      <w:bookmarkEnd w:id="250"/>
      <w:bookmarkStart w:id="251" w:name="_Toc184313243"/>
      <w:bookmarkEnd w:id="251"/>
      <w:bookmarkStart w:id="252" w:name="_Toc184312095"/>
      <w:bookmarkEnd w:id="252"/>
      <w:bookmarkStart w:id="253" w:name="_Toc184314463"/>
      <w:bookmarkEnd w:id="253"/>
      <w:bookmarkStart w:id="254" w:name="_Toc184308074"/>
      <w:bookmarkEnd w:id="254"/>
      <w:bookmarkStart w:id="255" w:name="_Toc184308038"/>
      <w:bookmarkEnd w:id="255"/>
      <w:bookmarkStart w:id="256" w:name="_Toc184308088"/>
      <w:bookmarkEnd w:id="256"/>
      <w:bookmarkStart w:id="257" w:name="_Toc184308070"/>
      <w:bookmarkEnd w:id="257"/>
      <w:bookmarkStart w:id="258" w:name="_Toc184308096"/>
      <w:bookmarkEnd w:id="258"/>
      <w:bookmarkStart w:id="259" w:name="_Toc184312137"/>
      <w:bookmarkEnd w:id="259"/>
      <w:bookmarkStart w:id="260" w:name="_Toc184313296"/>
      <w:bookmarkEnd w:id="260"/>
      <w:bookmarkStart w:id="261" w:name="_Toc184308057"/>
      <w:bookmarkEnd w:id="261"/>
      <w:bookmarkStart w:id="262" w:name="_Toc184312139"/>
      <w:bookmarkEnd w:id="262"/>
      <w:bookmarkStart w:id="263" w:name="_Toc184314480"/>
      <w:bookmarkEnd w:id="263"/>
      <w:bookmarkStart w:id="264" w:name="_Toc184312113"/>
      <w:bookmarkEnd w:id="264"/>
      <w:bookmarkStart w:id="265" w:name="_Toc184308093"/>
      <w:bookmarkEnd w:id="265"/>
      <w:bookmarkStart w:id="266" w:name="_Toc184310303"/>
      <w:bookmarkEnd w:id="266"/>
      <w:bookmarkStart w:id="267" w:name="_Toc184314466"/>
      <w:bookmarkEnd w:id="267"/>
      <w:bookmarkStart w:id="268" w:name="_Toc184312109"/>
      <w:bookmarkEnd w:id="268"/>
      <w:bookmarkStart w:id="269" w:name="_Toc184314436"/>
      <w:bookmarkEnd w:id="269"/>
      <w:bookmarkStart w:id="270" w:name="_Toc184312078"/>
      <w:bookmarkEnd w:id="270"/>
      <w:bookmarkStart w:id="271" w:name="_Toc184313273"/>
      <w:bookmarkEnd w:id="271"/>
      <w:bookmarkStart w:id="272" w:name="_Toc184310323"/>
      <w:bookmarkEnd w:id="272"/>
      <w:bookmarkStart w:id="273" w:name="_Toc184308087"/>
      <w:bookmarkEnd w:id="273"/>
      <w:bookmarkStart w:id="274" w:name="_Toc184308082"/>
      <w:bookmarkEnd w:id="274"/>
      <w:bookmarkStart w:id="275" w:name="_Toc184313266"/>
      <w:bookmarkEnd w:id="275"/>
      <w:bookmarkStart w:id="276" w:name="_Toc184313288"/>
      <w:bookmarkEnd w:id="276"/>
      <w:bookmarkStart w:id="277" w:name="_Toc184312099"/>
      <w:bookmarkEnd w:id="277"/>
      <w:bookmarkStart w:id="278" w:name="_Toc184314475"/>
      <w:bookmarkEnd w:id="278"/>
      <w:bookmarkStart w:id="279" w:name="_Toc184312068"/>
      <w:bookmarkEnd w:id="279"/>
      <w:bookmarkStart w:id="280" w:name="_Toc184314478"/>
      <w:bookmarkEnd w:id="280"/>
      <w:bookmarkStart w:id="281" w:name="_Toc184308078"/>
      <w:bookmarkEnd w:id="281"/>
      <w:bookmarkStart w:id="282" w:name="_Toc184312118"/>
      <w:bookmarkEnd w:id="282"/>
      <w:bookmarkStart w:id="283" w:name="_Toc184313250"/>
      <w:bookmarkEnd w:id="283"/>
      <w:bookmarkStart w:id="284" w:name="_Toc184314469"/>
      <w:bookmarkEnd w:id="284"/>
      <w:bookmarkStart w:id="285" w:name="_Toc184308097"/>
      <w:bookmarkEnd w:id="285"/>
      <w:bookmarkStart w:id="286" w:name="_Toc184313262"/>
      <w:bookmarkEnd w:id="286"/>
      <w:bookmarkStart w:id="287" w:name="_Toc184314479"/>
      <w:bookmarkEnd w:id="287"/>
      <w:bookmarkStart w:id="288" w:name="_Toc184308092"/>
      <w:bookmarkEnd w:id="288"/>
      <w:bookmarkStart w:id="289" w:name="_Toc184308062"/>
      <w:bookmarkEnd w:id="289"/>
      <w:bookmarkStart w:id="290" w:name="_Toc184314481"/>
      <w:bookmarkEnd w:id="290"/>
      <w:bookmarkStart w:id="291" w:name="_Toc184312093"/>
      <w:bookmarkEnd w:id="291"/>
      <w:bookmarkStart w:id="292" w:name="_Toc184314464"/>
      <w:bookmarkEnd w:id="292"/>
      <w:bookmarkStart w:id="293" w:name="_Toc184314460"/>
      <w:bookmarkEnd w:id="293"/>
      <w:bookmarkStart w:id="294" w:name="_Toc184314448"/>
      <w:bookmarkEnd w:id="294"/>
      <w:bookmarkStart w:id="295" w:name="_Toc184312121"/>
      <w:bookmarkEnd w:id="295"/>
      <w:bookmarkStart w:id="296" w:name="_Toc184314453"/>
      <w:bookmarkEnd w:id="296"/>
      <w:bookmarkStart w:id="297" w:name="_Toc184313274"/>
      <w:bookmarkEnd w:id="297"/>
      <w:bookmarkStart w:id="298" w:name="_Toc184308045"/>
      <w:bookmarkEnd w:id="298"/>
      <w:bookmarkStart w:id="299" w:name="_Toc184308055"/>
      <w:bookmarkEnd w:id="299"/>
      <w:bookmarkStart w:id="300" w:name="_Toc184314465"/>
      <w:bookmarkEnd w:id="300"/>
      <w:bookmarkStart w:id="301" w:name="_Toc184313259"/>
      <w:bookmarkEnd w:id="301"/>
      <w:bookmarkStart w:id="302" w:name="_Toc184310321"/>
      <w:bookmarkEnd w:id="302"/>
      <w:bookmarkStart w:id="303" w:name="_Toc184313290"/>
      <w:bookmarkEnd w:id="303"/>
      <w:bookmarkStart w:id="304" w:name="_Toc184308108"/>
      <w:bookmarkEnd w:id="304"/>
      <w:bookmarkStart w:id="305" w:name="_Toc184308054"/>
      <w:bookmarkEnd w:id="305"/>
      <w:bookmarkStart w:id="306" w:name="_Toc184310292"/>
      <w:bookmarkEnd w:id="306"/>
      <w:bookmarkStart w:id="307" w:name="_Toc184314429"/>
      <w:bookmarkEnd w:id="307"/>
      <w:bookmarkStart w:id="308" w:name="_Toc184310341"/>
      <w:bookmarkEnd w:id="308"/>
      <w:bookmarkStart w:id="309" w:name="_Toc184308079"/>
      <w:bookmarkEnd w:id="309"/>
      <w:bookmarkStart w:id="310" w:name="_Toc184313289"/>
      <w:bookmarkEnd w:id="310"/>
      <w:bookmarkStart w:id="311" w:name="_Toc184313251"/>
      <w:bookmarkEnd w:id="311"/>
      <w:bookmarkStart w:id="312" w:name="_Toc184310334"/>
      <w:bookmarkEnd w:id="312"/>
      <w:bookmarkStart w:id="313" w:name="_Toc184308077"/>
      <w:bookmarkEnd w:id="313"/>
      <w:bookmarkStart w:id="314" w:name="_Toc184310319"/>
      <w:bookmarkEnd w:id="314"/>
      <w:bookmarkStart w:id="315" w:name="_Toc184314432"/>
      <w:bookmarkEnd w:id="315"/>
      <w:bookmarkStart w:id="316" w:name="_Toc184308094"/>
      <w:bookmarkEnd w:id="316"/>
      <w:bookmarkStart w:id="317" w:name="_Toc184310324"/>
      <w:bookmarkEnd w:id="317"/>
      <w:bookmarkStart w:id="318" w:name="_Toc184310337"/>
      <w:bookmarkEnd w:id="318"/>
      <w:bookmarkStart w:id="319" w:name="_Toc184313294"/>
      <w:bookmarkEnd w:id="319"/>
      <w:bookmarkStart w:id="320" w:name="_Toc184312122"/>
      <w:bookmarkEnd w:id="320"/>
      <w:bookmarkStart w:id="321" w:name="_Toc184310285"/>
      <w:bookmarkEnd w:id="321"/>
      <w:bookmarkStart w:id="322" w:name="_Toc184308095"/>
      <w:bookmarkEnd w:id="322"/>
      <w:bookmarkStart w:id="323" w:name="_Toc184313257"/>
      <w:bookmarkEnd w:id="323"/>
      <w:bookmarkStart w:id="324" w:name="_Toc184312131"/>
      <w:bookmarkEnd w:id="324"/>
      <w:bookmarkStart w:id="325" w:name="_Toc184313293"/>
      <w:bookmarkEnd w:id="325"/>
      <w:bookmarkStart w:id="326" w:name="_Toc184314428"/>
      <w:bookmarkEnd w:id="326"/>
      <w:bookmarkStart w:id="327" w:name="_Toc184310329"/>
      <w:bookmarkEnd w:id="327"/>
      <w:bookmarkStart w:id="328" w:name="_Toc184314447"/>
      <w:bookmarkEnd w:id="328"/>
      <w:bookmarkStart w:id="329" w:name="_Toc184314451"/>
      <w:bookmarkEnd w:id="329"/>
      <w:bookmarkStart w:id="330" w:name="_Toc184313310"/>
      <w:bookmarkEnd w:id="330"/>
      <w:bookmarkStart w:id="331" w:name="_Toc184310331"/>
      <w:bookmarkEnd w:id="331"/>
      <w:bookmarkStart w:id="332" w:name="_Toc184313267"/>
      <w:bookmarkEnd w:id="332"/>
      <w:bookmarkStart w:id="333" w:name="_Toc184312108"/>
      <w:bookmarkEnd w:id="333"/>
      <w:bookmarkStart w:id="334" w:name="_Toc184314467"/>
      <w:bookmarkEnd w:id="334"/>
      <w:bookmarkStart w:id="335" w:name="_Toc184314415"/>
      <w:bookmarkEnd w:id="335"/>
      <w:bookmarkStart w:id="336" w:name="_Toc184313295"/>
      <w:bookmarkEnd w:id="336"/>
      <w:bookmarkStart w:id="337" w:name="_Toc184314433"/>
      <w:bookmarkEnd w:id="337"/>
      <w:bookmarkStart w:id="338" w:name="_Toc184308042"/>
      <w:bookmarkEnd w:id="338"/>
      <w:bookmarkStart w:id="339" w:name="_Toc184313291"/>
      <w:bookmarkEnd w:id="339"/>
      <w:bookmarkStart w:id="340" w:name="_Toc184310314"/>
      <w:bookmarkEnd w:id="340"/>
      <w:bookmarkStart w:id="341" w:name="_Toc184312123"/>
      <w:bookmarkEnd w:id="341"/>
      <w:bookmarkStart w:id="342" w:name="_Toc184310309"/>
      <w:bookmarkEnd w:id="342"/>
      <w:bookmarkStart w:id="343" w:name="_Toc184313306"/>
      <w:bookmarkEnd w:id="343"/>
      <w:bookmarkStart w:id="344" w:name="_Toc184312067"/>
      <w:bookmarkEnd w:id="344"/>
      <w:bookmarkStart w:id="345" w:name="_Toc184312080"/>
      <w:bookmarkEnd w:id="345"/>
      <w:bookmarkStart w:id="346" w:name="_Toc184313256"/>
      <w:bookmarkEnd w:id="346"/>
      <w:bookmarkStart w:id="347" w:name="_Toc184314441"/>
      <w:bookmarkEnd w:id="347"/>
      <w:bookmarkStart w:id="348" w:name="_Toc184313264"/>
      <w:bookmarkEnd w:id="348"/>
      <w:bookmarkStart w:id="349" w:name="_Toc184308101"/>
      <w:bookmarkEnd w:id="349"/>
      <w:bookmarkStart w:id="350" w:name="_Toc184314482"/>
      <w:bookmarkEnd w:id="350"/>
      <w:bookmarkStart w:id="351" w:name="_Toc184312087"/>
      <w:bookmarkEnd w:id="351"/>
      <w:bookmarkStart w:id="352" w:name="_Toc184310330"/>
      <w:bookmarkEnd w:id="352"/>
      <w:bookmarkStart w:id="353" w:name="_Toc184314439"/>
      <w:bookmarkEnd w:id="353"/>
      <w:bookmarkStart w:id="354" w:name="_Toc184310325"/>
      <w:bookmarkEnd w:id="354"/>
      <w:bookmarkStart w:id="355" w:name="_Toc184310307"/>
      <w:bookmarkEnd w:id="355"/>
      <w:bookmarkStart w:id="356" w:name="_Toc184314445"/>
      <w:bookmarkEnd w:id="356"/>
      <w:bookmarkStart w:id="357" w:name="_Toc184314456"/>
      <w:bookmarkEnd w:id="357"/>
      <w:bookmarkStart w:id="358" w:name="_Toc184308036"/>
      <w:bookmarkEnd w:id="358"/>
      <w:bookmarkStart w:id="359" w:name="_Toc184313272"/>
      <w:bookmarkEnd w:id="359"/>
      <w:bookmarkStart w:id="360" w:name="_Toc184308105"/>
      <w:bookmarkEnd w:id="360"/>
      <w:bookmarkStart w:id="361" w:name="_Toc184310282"/>
      <w:bookmarkEnd w:id="361"/>
      <w:bookmarkStart w:id="362" w:name="_Toc184310302"/>
      <w:bookmarkEnd w:id="362"/>
      <w:bookmarkStart w:id="363" w:name="_Toc184308063"/>
      <w:bookmarkEnd w:id="363"/>
      <w:bookmarkStart w:id="364" w:name="_Toc184314422"/>
      <w:bookmarkEnd w:id="364"/>
      <w:bookmarkStart w:id="365" w:name="_Toc184313308"/>
      <w:bookmarkEnd w:id="365"/>
      <w:bookmarkStart w:id="366" w:name="_Toc184312075"/>
      <w:bookmarkEnd w:id="366"/>
      <w:bookmarkStart w:id="367" w:name="_Toc184313255"/>
      <w:bookmarkEnd w:id="367"/>
      <w:bookmarkStart w:id="368" w:name="_Toc184313307"/>
      <w:bookmarkEnd w:id="368"/>
      <w:bookmarkStart w:id="369" w:name="_Toc184313270"/>
      <w:bookmarkEnd w:id="369"/>
      <w:bookmarkStart w:id="370" w:name="_Toc184308086"/>
      <w:bookmarkEnd w:id="370"/>
      <w:bookmarkStart w:id="371" w:name="_Toc184314430"/>
      <w:bookmarkEnd w:id="371"/>
      <w:bookmarkStart w:id="372" w:name="_Toc184310340"/>
      <w:bookmarkEnd w:id="372"/>
      <w:bookmarkStart w:id="373" w:name="_Toc184313281"/>
      <w:bookmarkEnd w:id="373"/>
      <w:bookmarkStart w:id="374" w:name="_Toc184313249"/>
      <w:bookmarkEnd w:id="374"/>
      <w:bookmarkStart w:id="375" w:name="_Toc184313238"/>
      <w:bookmarkEnd w:id="375"/>
      <w:bookmarkStart w:id="376" w:name="_Toc184314450"/>
      <w:bookmarkEnd w:id="376"/>
      <w:bookmarkStart w:id="377" w:name="_Toc184314427"/>
      <w:bookmarkEnd w:id="377"/>
      <w:bookmarkStart w:id="378" w:name="_Toc184312106"/>
      <w:bookmarkEnd w:id="378"/>
      <w:bookmarkStart w:id="379" w:name="_Toc184310336"/>
      <w:bookmarkEnd w:id="379"/>
      <w:bookmarkStart w:id="380" w:name="_Toc184314418"/>
      <w:bookmarkEnd w:id="380"/>
      <w:bookmarkStart w:id="381" w:name="_Toc184313303"/>
      <w:bookmarkEnd w:id="381"/>
      <w:bookmarkStart w:id="382" w:name="_Toc184314474"/>
      <w:bookmarkEnd w:id="382"/>
      <w:bookmarkStart w:id="383" w:name="_Toc184314472"/>
      <w:bookmarkEnd w:id="383"/>
      <w:bookmarkStart w:id="384" w:name="_Toc184310318"/>
      <w:bookmarkEnd w:id="384"/>
      <w:bookmarkStart w:id="385" w:name="_Toc184310277"/>
      <w:bookmarkEnd w:id="385"/>
      <w:bookmarkStart w:id="386" w:name="_Toc184312084"/>
      <w:bookmarkEnd w:id="386"/>
      <w:bookmarkStart w:id="387" w:name="_Toc184314434"/>
      <w:bookmarkEnd w:id="387"/>
      <w:bookmarkStart w:id="388" w:name="_Toc184310306"/>
      <w:bookmarkEnd w:id="388"/>
      <w:bookmarkStart w:id="389" w:name="_Toc184314449"/>
      <w:bookmarkEnd w:id="389"/>
      <w:bookmarkStart w:id="390" w:name="_Toc184314444"/>
      <w:bookmarkEnd w:id="390"/>
      <w:bookmarkStart w:id="391" w:name="_Toc184308064"/>
      <w:bookmarkEnd w:id="391"/>
      <w:bookmarkStart w:id="392" w:name="_Toc184312089"/>
      <w:bookmarkEnd w:id="392"/>
      <w:bookmarkStart w:id="393" w:name="_Toc184310328"/>
      <w:bookmarkEnd w:id="393"/>
      <w:bookmarkStart w:id="394" w:name="_Toc184312120"/>
      <w:bookmarkEnd w:id="394"/>
      <w:bookmarkStart w:id="395" w:name="_Toc184312104"/>
      <w:bookmarkEnd w:id="395"/>
      <w:bookmarkStart w:id="396" w:name="_Toc184308075"/>
      <w:bookmarkEnd w:id="396"/>
      <w:bookmarkStart w:id="397" w:name="_Toc184312096"/>
      <w:bookmarkEnd w:id="397"/>
      <w:bookmarkStart w:id="398" w:name="_Toc184313239"/>
      <w:bookmarkEnd w:id="398"/>
      <w:bookmarkStart w:id="399" w:name="_Toc184313258"/>
      <w:bookmarkEnd w:id="399"/>
      <w:bookmarkStart w:id="400" w:name="_Toc184312088"/>
      <w:bookmarkEnd w:id="400"/>
      <w:bookmarkStart w:id="401" w:name="_Toc184314420"/>
      <w:bookmarkEnd w:id="401"/>
      <w:bookmarkStart w:id="402" w:name="_Toc184308100"/>
      <w:bookmarkEnd w:id="402"/>
      <w:r>
        <w:rPr>
          <w:rFonts w:hint="eastAsia" w:ascii="仿宋_GB2312" w:hAnsi="仿宋" w:eastAsia="仿宋_GB2312" w:cs="仿宋"/>
          <w:b/>
          <w:color w:val="auto"/>
          <w:sz w:val="36"/>
          <w:szCs w:val="36"/>
          <w:highlight w:val="none"/>
        </w:rPr>
        <w:t>评标方法及评分标准</w:t>
      </w:r>
    </w:p>
    <w:p>
      <w:pPr>
        <w:snapToGrid w:val="0"/>
        <w:spacing w:line="360" w:lineRule="auto"/>
        <w:ind w:firstLine="3052" w:firstLineChars="950"/>
        <w:rPr>
          <w:rFonts w:hint="eastAsia" w:ascii="仿宋_GB2312" w:hAnsi="仿宋" w:eastAsia="仿宋_GB2312" w:cs="仿宋"/>
          <w:b/>
          <w:color w:val="auto"/>
          <w:sz w:val="28"/>
          <w:szCs w:val="28"/>
          <w:highlight w:val="none"/>
        </w:rPr>
      </w:pPr>
      <w:r>
        <w:rPr>
          <w:rFonts w:hint="eastAsia" w:ascii="仿宋_GB2312" w:hAnsi="仿宋" w:eastAsia="仿宋_GB2312" w:cs="仿宋"/>
          <w:b/>
          <w:color w:val="auto"/>
          <w:sz w:val="32"/>
          <w:highlight w:val="none"/>
        </w:rPr>
        <w:t>一、评标方法</w:t>
      </w:r>
    </w:p>
    <w:p>
      <w:pPr>
        <w:adjustRightInd/>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b/>
          <w:color w:val="auto"/>
          <w:kern w:val="0"/>
          <w:sz w:val="24"/>
          <w:highlight w:val="none"/>
        </w:rPr>
        <w:t>1.综合评分法。</w:t>
      </w:r>
      <w:r>
        <w:rPr>
          <w:rFonts w:hint="eastAsia" w:ascii="仿宋_GB2312" w:hAnsi="仿宋" w:eastAsia="仿宋_GB2312"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 w:eastAsia="仿宋_GB2312" w:cs="仿宋"/>
          <w:color w:val="auto"/>
          <w:kern w:val="0"/>
          <w:sz w:val="24"/>
          <w:highlight w:val="none"/>
        </w:rPr>
      </w:pPr>
    </w:p>
    <w:p>
      <w:pPr>
        <w:snapToGrid w:val="0"/>
        <w:spacing w:line="360" w:lineRule="auto"/>
        <w:ind w:left="120" w:leftChars="57" w:firstLine="422" w:firstLineChars="150"/>
        <w:jc w:val="center"/>
        <w:rPr>
          <w:rFonts w:hint="eastAsia" w:ascii="仿宋_GB2312" w:hAnsi="仿宋" w:eastAsia="仿宋_GB2312" w:cs="仿宋"/>
          <w:b/>
          <w:color w:val="auto"/>
          <w:sz w:val="32"/>
          <w:highlight w:val="none"/>
        </w:rPr>
      </w:pPr>
      <w:r>
        <w:rPr>
          <w:rFonts w:hint="eastAsia" w:ascii="仿宋_GB2312" w:hAnsi="仿宋" w:eastAsia="仿宋_GB2312" w:cs="仿宋"/>
          <w:b/>
          <w:color w:val="auto"/>
          <w:sz w:val="28"/>
          <w:szCs w:val="28"/>
          <w:highlight w:val="none"/>
        </w:rPr>
        <w:t xml:space="preserve">   </w:t>
      </w:r>
      <w:r>
        <w:rPr>
          <w:rFonts w:hint="eastAsia" w:ascii="仿宋_GB2312" w:hAnsi="仿宋" w:eastAsia="仿宋_GB2312" w:cs="仿宋"/>
          <w:b/>
          <w:color w:val="auto"/>
          <w:sz w:val="32"/>
          <w:highlight w:val="none"/>
        </w:rPr>
        <w:t>二、评标委员会的组成</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b/>
          <w:color w:val="auto"/>
          <w:kern w:val="0"/>
          <w:sz w:val="24"/>
          <w:highlight w:val="none"/>
        </w:rPr>
        <w:t>2.评标委员会的组成。</w:t>
      </w:r>
      <w:r>
        <w:rPr>
          <w:rFonts w:hint="eastAsia" w:ascii="仿宋_GB2312" w:hAnsi="仿宋" w:eastAsia="仿宋_GB2312" w:cs="仿宋"/>
          <w:color w:val="auto"/>
          <w:kern w:val="0"/>
          <w:sz w:val="24"/>
          <w:highlight w:val="none"/>
        </w:rPr>
        <w:t>评标委员会由采购人代表和评审专家组成，成员人数为5人以上单数，其中评审专家不少于成员总数的三分之二。</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b/>
          <w:color w:val="auto"/>
          <w:kern w:val="0"/>
          <w:highlight w:val="none"/>
        </w:rPr>
        <w:t>3.评</w:t>
      </w:r>
      <w:r>
        <w:rPr>
          <w:rFonts w:hint="eastAsia" w:ascii="仿宋_GB2312" w:hAnsi="仿宋" w:eastAsia="仿宋_GB2312" w:cs="仿宋"/>
          <w:b/>
          <w:color w:val="auto"/>
          <w:kern w:val="0"/>
          <w:szCs w:val="24"/>
          <w:highlight w:val="none"/>
        </w:rPr>
        <w:t>标委员会的组成人员的回避。</w:t>
      </w:r>
      <w:r>
        <w:rPr>
          <w:rFonts w:hint="eastAsia" w:ascii="仿宋_GB2312" w:hAnsi="仿宋" w:eastAsia="仿宋_GB2312" w:cs="仿宋"/>
          <w:color w:val="auto"/>
          <w:kern w:val="0"/>
          <w:highlight w:val="none"/>
        </w:rPr>
        <w:t>在政府采购活动中，评标委员会的组成人员与供应商有下列利害关系之一的，应当回避：</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3.1参加采购活动前3年内与供应商存在劳动关系；</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3.2参加采购活动前3年内担任供应商的董事、监事；</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3.3参加采购活动前3年内是供应商的控股股东或者实际控制人；</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3.4与供应商的法定代表人或者负责人有夫妻、直系血亲、三代以内旁系血亲或者近姻亲关系；</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3.5与供应商有其他可能影响政府采购活动公平、公正进行的关系。</w:t>
      </w:r>
    </w:p>
    <w:p>
      <w:pPr>
        <w:snapToGrid w:val="0"/>
        <w:spacing w:line="360" w:lineRule="auto"/>
        <w:ind w:left="120" w:leftChars="57" w:firstLine="482" w:firstLineChars="150"/>
        <w:jc w:val="center"/>
        <w:rPr>
          <w:rFonts w:hint="eastAsia" w:ascii="仿宋_GB2312" w:hAnsi="仿宋" w:eastAsia="仿宋_GB2312" w:cs="仿宋"/>
          <w:b/>
          <w:color w:val="auto"/>
          <w:sz w:val="32"/>
          <w:szCs w:val="32"/>
          <w:highlight w:val="none"/>
        </w:rPr>
      </w:pPr>
    </w:p>
    <w:p>
      <w:pPr>
        <w:snapToGrid w:val="0"/>
        <w:spacing w:line="360" w:lineRule="auto"/>
        <w:ind w:left="120" w:leftChars="57" w:firstLine="482" w:firstLineChars="150"/>
        <w:jc w:val="center"/>
        <w:rPr>
          <w:rFonts w:hint="eastAsia" w:ascii="仿宋_GB2312" w:hAnsi="仿宋" w:eastAsia="仿宋_GB2312" w:cs="仿宋"/>
          <w:b/>
          <w:color w:val="auto"/>
          <w:sz w:val="32"/>
          <w:szCs w:val="32"/>
          <w:highlight w:val="none"/>
        </w:rPr>
      </w:pPr>
      <w:r>
        <w:rPr>
          <w:rFonts w:hint="eastAsia" w:ascii="仿宋_GB2312" w:hAnsi="仿宋" w:eastAsia="仿宋_GB2312" w:cs="仿宋"/>
          <w:b/>
          <w:color w:val="auto"/>
          <w:sz w:val="32"/>
          <w:szCs w:val="32"/>
          <w:highlight w:val="none"/>
        </w:rPr>
        <w:t>　</w:t>
      </w:r>
      <w:r>
        <w:rPr>
          <w:rFonts w:hint="eastAsia" w:ascii="仿宋_GB2312" w:hAnsi="仿宋" w:eastAsia="仿宋_GB2312" w:cs="仿宋"/>
          <w:b/>
          <w:color w:val="auto"/>
          <w:sz w:val="32"/>
          <w:highlight w:val="none"/>
        </w:rPr>
        <w:t>　三、评标委员会的职责</w:t>
      </w:r>
    </w:p>
    <w:p>
      <w:pPr>
        <w:pStyle w:val="237"/>
        <w:spacing w:before="0"/>
        <w:ind w:firstLine="0" w:firstLineChars="0"/>
        <w:rPr>
          <w:rFonts w:hint="eastAsia" w:ascii="仿宋_GB2312" w:hAnsi="仿宋" w:eastAsia="仿宋_GB2312" w:cs="仿宋"/>
          <w:b/>
          <w:color w:val="auto"/>
          <w:kern w:val="0"/>
          <w:szCs w:val="24"/>
          <w:highlight w:val="none"/>
        </w:rPr>
      </w:pPr>
      <w:r>
        <w:rPr>
          <w:rFonts w:hint="eastAsia" w:ascii="仿宋_GB2312" w:hAnsi="仿宋" w:eastAsia="仿宋_GB2312" w:cs="仿宋"/>
          <w:b/>
          <w:color w:val="auto"/>
          <w:kern w:val="0"/>
          <w:szCs w:val="24"/>
          <w:highlight w:val="none"/>
        </w:rPr>
        <w:t>4.评标委员会负责具体评标事务，并独立履行下列职责：</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4.1审查、评价投标文件是否符合招标文件的商务、技术等实质性要求；</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4.2要求投标人对投标文件有关事项作出澄清或者说明；</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4.3对投标文件进行比较和评价；</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4.4确定中标候选人名单，以及根据采购人委托直接确定中标人；</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4.5向采购人、采购机构或者有关部门报告评标中发现的违法行为；</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4.6法律、法规、规章、招标文件等规定的其它事项。</w:t>
      </w:r>
    </w:p>
    <w:p>
      <w:pPr>
        <w:pStyle w:val="237"/>
        <w:spacing w:before="0"/>
        <w:ind w:firstLine="0" w:firstLineChars="0"/>
        <w:rPr>
          <w:rFonts w:hint="eastAsia" w:ascii="仿宋_GB2312" w:hAnsi="仿宋" w:eastAsia="仿宋_GB2312" w:cs="仿宋"/>
          <w:b/>
          <w:color w:val="auto"/>
          <w:kern w:val="0"/>
          <w:szCs w:val="24"/>
          <w:highlight w:val="none"/>
        </w:rPr>
      </w:pPr>
      <w:r>
        <w:rPr>
          <w:rFonts w:hint="eastAsia" w:ascii="仿宋_GB2312" w:hAnsi="仿宋" w:eastAsia="仿宋_GB2312" w:cs="仿宋"/>
          <w:b/>
          <w:color w:val="auto"/>
          <w:kern w:val="0"/>
          <w:szCs w:val="24"/>
          <w:highlight w:val="none"/>
        </w:rPr>
        <w:t>5.评标委员会及其成员不得有下列行为：</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5.1确定参与评标至评标结束前私自接触投标人；</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5.2接受投标人提出的与投标文件不一致的澄清或者说明，《政府采购货物和服务招标投标管理办法》（财政部令第87号）第五十一条规定的情形除外；</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5.3违反评标纪律发表倾向性意见或者征询采购人的倾向性意见；</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5.4对需要专业判断的主观评审因素协商评分；</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5.5在评标过程中擅离职守，影响评标程序正常进行的；</w:t>
      </w:r>
    </w:p>
    <w:p>
      <w:pPr>
        <w:pStyle w:val="237"/>
        <w:spacing w:before="0"/>
        <w:ind w:firstLine="240" w:firstLineChars="10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5.6记录、复制或者带走任何评标资料；</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5.7其他不遵守评标纪律的行为。</w:t>
      </w:r>
    </w:p>
    <w:p>
      <w:pPr>
        <w:pStyle w:val="237"/>
        <w:spacing w:before="0"/>
        <w:ind w:firstLine="0" w:firstLineChars="0"/>
        <w:rPr>
          <w:rFonts w:hint="eastAsia" w:ascii="仿宋_GB2312" w:hAnsi="仿宋" w:eastAsia="仿宋_GB2312" w:cs="仿宋"/>
          <w:color w:val="auto"/>
          <w:kern w:val="0"/>
          <w:highlight w:val="none"/>
        </w:rPr>
      </w:pPr>
      <w:r>
        <w:rPr>
          <w:rFonts w:hint="eastAsia" w:ascii="仿宋_GB2312" w:hAnsi="仿宋" w:eastAsia="仿宋_GB2312" w:cs="仿宋"/>
          <w:color w:val="auto"/>
          <w:kern w:val="0"/>
          <w:highlight w:val="none"/>
        </w:rPr>
        <w:t>　　评标委员会成员有5.1-5.5行为之一的，其评审意见无效，并不得获取评审劳务报酬和报销异地评审差旅费。</w:t>
      </w:r>
    </w:p>
    <w:p>
      <w:pPr>
        <w:pStyle w:val="237"/>
        <w:spacing w:before="0"/>
        <w:ind w:firstLine="0" w:firstLineChars="0"/>
        <w:rPr>
          <w:rFonts w:hint="eastAsia" w:ascii="仿宋_GB2312" w:hAnsi="仿宋" w:eastAsia="仿宋_GB2312" w:cs="仿宋"/>
          <w:color w:val="auto"/>
          <w:kern w:val="0"/>
          <w:highlight w:val="none"/>
        </w:rPr>
      </w:pPr>
    </w:p>
    <w:p>
      <w:pPr>
        <w:snapToGrid w:val="0"/>
        <w:spacing w:line="360" w:lineRule="auto"/>
        <w:ind w:left="120" w:leftChars="57" w:firstLine="482" w:firstLineChars="150"/>
        <w:jc w:val="center"/>
        <w:rPr>
          <w:rFonts w:hint="eastAsia" w:ascii="仿宋_GB2312" w:hAnsi="仿宋" w:eastAsia="仿宋_GB2312" w:cs="仿宋"/>
          <w:b/>
          <w:color w:val="auto"/>
          <w:sz w:val="32"/>
          <w:highlight w:val="none"/>
        </w:rPr>
      </w:pPr>
      <w:r>
        <w:rPr>
          <w:rFonts w:hint="eastAsia" w:ascii="仿宋_GB2312" w:hAnsi="仿宋" w:eastAsia="仿宋_GB2312" w:cs="仿宋"/>
          <w:b/>
          <w:color w:val="auto"/>
          <w:sz w:val="32"/>
          <w:highlight w:val="none"/>
        </w:rPr>
        <w:t>四、评审程序</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b/>
          <w:color w:val="auto"/>
          <w:kern w:val="0"/>
          <w:szCs w:val="24"/>
          <w:highlight w:val="none"/>
        </w:rPr>
        <w:t xml:space="preserve">6.符合性审查。 </w:t>
      </w:r>
      <w:r>
        <w:rPr>
          <w:rFonts w:hint="eastAsia" w:ascii="仿宋_GB2312" w:hAnsi="仿宋" w:eastAsia="仿宋_GB2312" w:cs="仿宋"/>
          <w:color w:val="auto"/>
          <w:kern w:val="0"/>
          <w:szCs w:val="24"/>
          <w:highlight w:val="none"/>
        </w:rPr>
        <w:t>评标委员会应当对符合资格的投标人的投标文件进行符合性审查，以确定其是否满足招标文件的实质性要求。符合投标无效情形的，投标无效。</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b/>
          <w:color w:val="auto"/>
          <w:kern w:val="0"/>
          <w:szCs w:val="24"/>
          <w:highlight w:val="none"/>
        </w:rPr>
        <w:t>7.投标人澄清、说明或者补正。</w:t>
      </w:r>
      <w:r>
        <w:rPr>
          <w:rFonts w:hint="eastAsia" w:ascii="仿宋_GB2312" w:hAnsi="仿宋" w:eastAsia="仿宋_GB2312"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b/>
          <w:color w:val="auto"/>
          <w:kern w:val="0"/>
          <w:szCs w:val="24"/>
          <w:highlight w:val="none"/>
        </w:rPr>
        <w:t>8. 比较与评价。</w:t>
      </w:r>
      <w:r>
        <w:rPr>
          <w:rFonts w:hint="eastAsia" w:ascii="仿宋_GB2312" w:hAnsi="仿宋" w:eastAsia="仿宋_GB2312" w:cs="仿宋"/>
          <w:color w:val="auto"/>
          <w:kern w:val="0"/>
          <w:szCs w:val="24"/>
          <w:highlight w:val="none"/>
        </w:rPr>
        <w:t>评标委员会应当按照评标标准，对符合性审查合格的投标文件进行商务和技术评估，综合比较与评价。</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b/>
          <w:color w:val="auto"/>
          <w:kern w:val="0"/>
          <w:szCs w:val="24"/>
          <w:highlight w:val="none"/>
        </w:rPr>
        <w:t>9. 汇总（商务技术得分情况）。</w:t>
      </w:r>
      <w:r>
        <w:rPr>
          <w:rFonts w:hint="eastAsia" w:ascii="仿宋_GB2312" w:hAnsi="仿宋" w:eastAsia="仿宋_GB2312" w:cs="仿宋"/>
          <w:color w:val="auto"/>
          <w:kern w:val="0"/>
          <w:szCs w:val="24"/>
          <w:highlight w:val="none"/>
        </w:rPr>
        <w:t>评标委员会各成员应当独立对每个投标人的商务和技术文件进行评价，并汇总商务技术得分情况。</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b/>
          <w:color w:val="auto"/>
          <w:kern w:val="0"/>
          <w:szCs w:val="24"/>
          <w:highlight w:val="none"/>
        </w:rPr>
        <w:t>10. 报价审核。</w:t>
      </w:r>
      <w:r>
        <w:rPr>
          <w:rFonts w:hint="eastAsia" w:ascii="仿宋_GB2312" w:hAnsi="仿宋" w:eastAsia="仿宋_GB2312" w:cs="仿宋"/>
          <w:color w:val="auto"/>
          <w:kern w:val="0"/>
          <w:szCs w:val="24"/>
          <w:highlight w:val="none"/>
        </w:rPr>
        <w:t>对经商务和技术评审符合采购需求的投标人的报价的合理性、准确性等进行审查核实。</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10.1评标委员会认为投标人的报价明显低于其他通过符合性审查投标人的报价，有可能影响产品质量或者不能诚信履约的，应当要求其在合理的时间内提供书面说明，必要时提交相关证明材料。</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10.2根据财政部发布的《政府采购促进中小企业发展管理办法》规定，对于经主管预算单位统筹后未预留份额专门面向中小企业采购的采购项目，以及预留份额项目中的非预留部分采购包，对小微企业报价给予一定的扣除，用扣除后的价格参与评审。</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10.3投标价格的修正原则。投标文件报价出现前后不一致的，按照下列规定修正：</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10.3.1投标文件中开标一览表(报价表)内容与投标文件中相应内容不一致的，以开标一览表(报价表)为准;</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10.3.2大写金额和小写金额不一致的，以大写金额为准;</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10.3.3单价金额小数点或者百分比有明显错位的，以开标一览表的总价为准，并修改单价;</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10.3.4总价金额与按单价汇总金额不一致的，以单价金额计算结果为准。</w:t>
      </w:r>
    </w:p>
    <w:p>
      <w:pPr>
        <w:pStyle w:val="237"/>
        <w:spacing w:before="0"/>
        <w:ind w:firstLine="0" w:firstLineChars="0"/>
        <w:rPr>
          <w:rFonts w:hint="eastAsia"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_GB2312" w:hAnsi="仿宋" w:eastAsia="仿宋_GB2312" w:cs="仿宋"/>
          <w:b/>
          <w:bCs/>
          <w:color w:val="auto"/>
          <w:sz w:val="24"/>
          <w:highlight w:val="none"/>
        </w:rPr>
      </w:pPr>
      <w:r>
        <w:rPr>
          <w:rFonts w:hint="eastAsia" w:ascii="仿宋_GB2312" w:hAnsi="仿宋" w:eastAsia="仿宋_GB2312" w:cs="仿宋"/>
          <w:bCs/>
          <w:color w:val="auto"/>
          <w:sz w:val="24"/>
          <w:highlight w:val="none"/>
        </w:rPr>
        <w:t>▲</w:t>
      </w:r>
      <w:r>
        <w:rPr>
          <w:rFonts w:hint="eastAsia" w:ascii="仿宋_GB2312" w:hAnsi="仿宋" w:eastAsia="仿宋_GB2312" w:cs="仿宋"/>
          <w:b/>
          <w:bCs/>
          <w:color w:val="auto"/>
          <w:sz w:val="24"/>
          <w:highlight w:val="none"/>
        </w:rPr>
        <w:t>投标人对根据修正原则修正后的报价不确认的，投标无效。</w:t>
      </w:r>
    </w:p>
    <w:p>
      <w:pPr>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b/>
          <w:color w:val="auto"/>
          <w:kern w:val="0"/>
          <w:sz w:val="24"/>
          <w:highlight w:val="none"/>
        </w:rPr>
        <w:t>11.汇总得分。</w:t>
      </w:r>
      <w:r>
        <w:rPr>
          <w:rFonts w:hint="eastAsia" w:ascii="仿宋_GB2312" w:hAnsi="仿宋" w:eastAsia="仿宋_GB2312" w:cs="仿宋"/>
          <w:color w:val="auto"/>
          <w:kern w:val="0"/>
          <w:sz w:val="24"/>
          <w:highlight w:val="none"/>
        </w:rPr>
        <w:t>评标委员会各成员应当独立对每个投标人的投标文件进行评价，并汇总每个投标人的得分。</w:t>
      </w:r>
    </w:p>
    <w:p>
      <w:pPr>
        <w:spacing w:line="360" w:lineRule="auto"/>
        <w:rPr>
          <w:rFonts w:hint="eastAsia" w:ascii="仿宋_GB2312" w:hAnsi="仿宋" w:eastAsia="仿宋_GB2312" w:cs="仿宋"/>
          <w:b/>
          <w:color w:val="auto"/>
          <w:kern w:val="0"/>
          <w:sz w:val="24"/>
          <w:highlight w:val="none"/>
        </w:rPr>
      </w:pPr>
      <w:r>
        <w:rPr>
          <w:rFonts w:hint="eastAsia" w:ascii="仿宋_GB2312" w:hAnsi="仿宋" w:eastAsia="仿宋_GB2312" w:cs="仿宋"/>
          <w:b/>
          <w:color w:val="auto"/>
          <w:kern w:val="0"/>
          <w:sz w:val="24"/>
          <w:highlight w:val="none"/>
        </w:rPr>
        <w:t>12.顺序排列与中标候选推荐。</w:t>
      </w:r>
    </w:p>
    <w:p>
      <w:pPr>
        <w:spacing w:line="360" w:lineRule="auto"/>
        <w:rPr>
          <w:rFonts w:hint="eastAsia" w:ascii="仿宋_GB2312" w:hAnsi="仿宋" w:eastAsia="仿宋_GB2312" w:cs="仿宋"/>
          <w:color w:val="auto"/>
          <w:sz w:val="24"/>
          <w:szCs w:val="21"/>
          <w:highlight w:val="none"/>
        </w:rPr>
      </w:pPr>
      <w:r>
        <w:rPr>
          <w:rFonts w:hint="eastAsia" w:ascii="仿宋_GB2312" w:hAnsi="仿宋" w:eastAsia="仿宋_GB2312" w:cs="仿宋"/>
          <w:color w:val="auto"/>
          <w:sz w:val="24"/>
          <w:szCs w:val="21"/>
          <w:highlight w:val="none"/>
        </w:rPr>
        <w:t>12.1评标结果按评审后得分由高到低顺序排列。得分相同的，按投标报价由低到高顺序排列。得分且投标报价相同的并列。得分最高的投标人为排名第一的中标候选人。</w:t>
      </w:r>
    </w:p>
    <w:p>
      <w:pPr>
        <w:spacing w:line="360" w:lineRule="auto"/>
        <w:rPr>
          <w:rFonts w:hint="eastAsia" w:ascii="仿宋_GB2312" w:hAnsi="仿宋" w:eastAsia="仿宋_GB2312" w:cs="仿宋"/>
          <w:color w:val="auto"/>
          <w:sz w:val="24"/>
          <w:szCs w:val="21"/>
          <w:highlight w:val="none"/>
        </w:rPr>
      </w:pPr>
      <w:r>
        <w:rPr>
          <w:rFonts w:hint="eastAsia" w:ascii="仿宋_GB2312" w:hAnsi="仿宋" w:eastAsia="仿宋_GB2312" w:cs="仿宋"/>
          <w:color w:val="auto"/>
          <w:sz w:val="24"/>
          <w:szCs w:val="21"/>
          <w:highlight w:val="none"/>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4"/>
        <w:spacing w:line="360" w:lineRule="auto"/>
        <w:ind w:left="559" w:hanging="559" w:hangingChars="199"/>
        <w:rPr>
          <w:rFonts w:hint="eastAsia" w:ascii="仿宋_GB2312" w:hAnsi="仿宋" w:eastAsia="仿宋_GB2312" w:cs="仿宋"/>
          <w:color w:val="auto"/>
          <w:szCs w:val="21"/>
          <w:highlight w:val="none"/>
        </w:rPr>
      </w:pPr>
      <w:r>
        <w:rPr>
          <w:rFonts w:hint="eastAsia" w:ascii="仿宋_GB2312" w:hAnsi="仿宋" w:eastAsia="仿宋_GB2312" w:cs="仿宋"/>
          <w:b/>
          <w:color w:val="auto"/>
          <w:spacing w:val="20"/>
          <w:highlight w:val="none"/>
        </w:rPr>
        <w:t>13.投标无效。</w:t>
      </w:r>
      <w:r>
        <w:rPr>
          <w:rFonts w:hint="eastAsia" w:ascii="仿宋_GB2312" w:hAnsi="仿宋" w:eastAsia="仿宋_GB2312" w:cs="仿宋"/>
          <w:color w:val="auto"/>
          <w:szCs w:val="21"/>
          <w:highlight w:val="none"/>
        </w:rPr>
        <w:t>有下列情况之一的，投标无效：</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13.1单位负责人为同一人或者存在直接控股、管理关系的不同供应商参加同一合同项下的政府采购活动的（均无效）；</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13.2为采购项目提供整体设计、规范编制或者项目管理、监理、检测等服务的供应商再参加该采购项目的其他采购活动的； </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13.3投标人不具备招标文件中规定的资格要求的（投标人未提供有效的资格证明文件的，视为投标人不具备招标文件中规定的资格要求）；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13.4如以联合体形式参加政府采购活动的，联合体协议不符合招标文件规定的联合体协议要求的；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 5投标文件未按规定的格式编制的；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13.6投标文件未按招标文件的澄清、修改的内容编制，又不符合实质性要求的；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13.7投标文件组成漏项，内容不全或内容字迹模糊辨认不清的；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13.8投标文件中法人授权书所载内容与本项目内容有异的；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13.9投标文件未按照招标文件要求签署、盖章的；</w:t>
      </w:r>
    </w:p>
    <w:p>
      <w:pPr>
        <w:spacing w:line="360" w:lineRule="auto"/>
        <w:ind w:firstLine="480" w:firstLineChars="200"/>
        <w:rPr>
          <w:rFonts w:hint="eastAsia" w:ascii="仿宋_GB2312" w:hAnsi="仿宋" w:eastAsia="仿宋_GB2312" w:cs="仿宋"/>
          <w:b/>
          <w:color w:val="auto"/>
          <w:sz w:val="24"/>
          <w:highlight w:val="none"/>
        </w:rPr>
      </w:pPr>
      <w:r>
        <w:rPr>
          <w:rFonts w:hint="eastAsia" w:ascii="仿宋_GB2312" w:hAnsi="仿宋" w:eastAsia="仿宋_GB2312" w:cs="仿宋"/>
          <w:color w:val="auto"/>
          <w:sz w:val="24"/>
          <w:highlight w:val="none"/>
        </w:rPr>
        <w:t>13.10采购人拟采购的产品属于政府强制采购的节能产品品目清单范围的，投标人未按招标文件要求提供国家确定的认证机构出具的、处于有效期之内的节能产品认证证书的；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13.11投标文件含有采购人不能接受的附加条件的；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13.12投标文件中承诺的投标有效期少于招标文件中载明的投标有效期的；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13.13投标人所投内容不符合招标文件中实质性要求的；</w:t>
      </w:r>
    </w:p>
    <w:p>
      <w:pPr>
        <w:snapToGrid w:val="0"/>
        <w:spacing w:line="360" w:lineRule="auto"/>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13.14投标文件出现不是唯一的、有选择性投标报价的;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13.15投标报价高于本项目采购预算或者最高限价的;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13.16报价明显低于其他通过符合性审查投标人的报价，有可能影响产品质量或者不能诚信履约的，未能按要求提供书面说明或者提交相关证明材料，不能证明其报价合理性的;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13.17《投标（开标）一览表》填写不完整或字迹不能辨认或有漏项的；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13.18投标人对根据修正原则修正后的报价不确认的；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13.19投标人提供虚假材料投标的（包括但不限于以下情节）；</w:t>
      </w:r>
    </w:p>
    <w:p>
      <w:pPr>
        <w:spacing w:line="360" w:lineRule="auto"/>
        <w:ind w:firstLine="720" w:firstLineChars="3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13.19.1使用伪造、变造的许可证件；</w:t>
      </w:r>
      <w:r>
        <w:rPr>
          <w:rFonts w:hint="eastAsia" w:ascii="仿宋_GB2312" w:hAnsi="仿宋" w:eastAsia="仿宋_GB2312" w:cs="仿宋"/>
          <w:color w:val="auto"/>
          <w:sz w:val="24"/>
          <w:highlight w:val="none"/>
        </w:rPr>
        <w:br w:type="textWrapping"/>
      </w:r>
      <w:r>
        <w:rPr>
          <w:rFonts w:hint="eastAsia" w:ascii="仿宋_GB2312" w:hAnsi="仿宋" w:eastAsia="仿宋_GB2312" w:cs="仿宋"/>
          <w:color w:val="auto"/>
          <w:sz w:val="24"/>
          <w:highlight w:val="none"/>
        </w:rPr>
        <w:t>    13.19.2提供虚假的财务状况或者业绩；</w:t>
      </w:r>
      <w:r>
        <w:rPr>
          <w:rFonts w:hint="eastAsia" w:ascii="仿宋_GB2312" w:hAnsi="仿宋" w:eastAsia="仿宋_GB2312" w:cs="仿宋"/>
          <w:color w:val="auto"/>
          <w:sz w:val="24"/>
          <w:highlight w:val="none"/>
        </w:rPr>
        <w:br w:type="textWrapping"/>
      </w:r>
      <w:r>
        <w:rPr>
          <w:rFonts w:hint="eastAsia" w:ascii="仿宋_GB2312" w:hAnsi="仿宋" w:eastAsia="仿宋_GB2312" w:cs="仿宋"/>
          <w:color w:val="auto"/>
          <w:sz w:val="24"/>
          <w:highlight w:val="none"/>
        </w:rPr>
        <w:t>    13.19.3提供虚假的项目负责人或者主要技术人员简历、劳动关系证明；</w:t>
      </w:r>
      <w:r>
        <w:rPr>
          <w:rFonts w:hint="eastAsia" w:ascii="仿宋_GB2312" w:hAnsi="仿宋" w:eastAsia="仿宋_GB2312" w:cs="仿宋"/>
          <w:color w:val="auto"/>
          <w:sz w:val="24"/>
          <w:highlight w:val="none"/>
        </w:rPr>
        <w:br w:type="textWrapping"/>
      </w:r>
      <w:r>
        <w:rPr>
          <w:rFonts w:hint="eastAsia" w:ascii="仿宋_GB2312" w:hAnsi="仿宋" w:eastAsia="仿宋_GB2312" w:cs="仿宋"/>
          <w:color w:val="auto"/>
          <w:sz w:val="24"/>
          <w:highlight w:val="none"/>
        </w:rPr>
        <w:t>    13.19.4提供虚假的信用状况；</w:t>
      </w:r>
      <w:r>
        <w:rPr>
          <w:rFonts w:hint="eastAsia" w:ascii="仿宋_GB2312" w:hAnsi="仿宋" w:eastAsia="仿宋_GB2312" w:cs="仿宋"/>
          <w:color w:val="auto"/>
          <w:sz w:val="24"/>
          <w:highlight w:val="none"/>
        </w:rPr>
        <w:br w:type="textWrapping"/>
      </w:r>
      <w:r>
        <w:rPr>
          <w:rFonts w:hint="eastAsia" w:ascii="仿宋_GB2312" w:hAnsi="仿宋" w:eastAsia="仿宋_GB2312" w:cs="仿宋"/>
          <w:color w:val="auto"/>
          <w:sz w:val="24"/>
          <w:highlight w:val="none"/>
        </w:rPr>
        <w:t>     13.19.5其他弄虚作假的行为。</w:t>
      </w:r>
      <w:r>
        <w:rPr>
          <w:rFonts w:hint="eastAsia" w:ascii="仿宋_GB2312" w:hAnsi="仿宋" w:eastAsia="仿宋_GB2312" w:cs="仿宋"/>
          <w:color w:val="auto"/>
          <w:sz w:val="24"/>
          <w:highlight w:val="none"/>
        </w:rPr>
        <w:br w:type="textWrapping"/>
      </w:r>
      <w:r>
        <w:rPr>
          <w:rFonts w:hint="eastAsia" w:ascii="仿宋_GB2312" w:hAnsi="仿宋" w:eastAsia="仿宋_GB2312" w:cs="仿宋"/>
          <w:color w:val="auto"/>
          <w:sz w:val="24"/>
          <w:highlight w:val="none"/>
        </w:rPr>
        <w:t xml:space="preserve">   13.20投标人有恶意串通、妨碍其他投标人的竞争行为、损害采购人或者其他投标人的合法权益情形的；有下列情形之一的，属于或视为恶意串通，其投标无效：</w:t>
      </w:r>
    </w:p>
    <w:p>
      <w:pPr>
        <w:spacing w:line="360" w:lineRule="auto"/>
        <w:ind w:firstLine="600" w:firstLineChars="25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13.20.1供应商直接或者间接从采购人或者采购机构处获得其他供应商的相关情况并修改其投标文件或者响应文件；</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13.20.2供应商按照采购人或者采购机构的授意撤换、修改投标文件或者响应文件；</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13.20.3供应商之间协商报价、技术方案等投标文件或者响应文件的实质性内容；</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13.20.4属于同一集团、协会、商会等组织成员的供应商按照该组织要求协同参加政府采购活动；</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13.20.5供应商之间事先约定由某一特定供应商中标、成交；</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13.20.6供应商之间商定部分供应商放弃参加政府采购活动或者放弃中标、成交；</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13.20.8不同投标人的投标文件由同一单位或者个人编制；</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13.20.9不同投标人委托同一单位或者个人办理投标事宜；</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13.20.10不同投标人的投标文件载明的项目管理成员或者联系人员为同一人；</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13.20.11不同投标人的投标文件异常一致或者投标报价呈规律性差异；</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13.20.12不同投标人的投标文件相互混装；</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13.21投标人仅提交备份投标文件，没有在电子交易平台传输递交投标文件的，投标无效；</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13.22法律、法规、规章（适用本市的）及省级以上规范性文件（适用本市的）规定的其他无效情形。</w:t>
      </w:r>
    </w:p>
    <w:p>
      <w:pPr>
        <w:spacing w:line="360" w:lineRule="auto"/>
        <w:ind w:firstLine="240" w:firstLineChars="100"/>
        <w:rPr>
          <w:rFonts w:hint="eastAsia" w:ascii="仿宋_GB2312" w:hAnsi="仿宋" w:eastAsia="仿宋_GB2312" w:cs="仿宋"/>
          <w:color w:val="auto"/>
          <w:sz w:val="24"/>
          <w:szCs w:val="21"/>
          <w:highlight w:val="none"/>
        </w:rPr>
      </w:pPr>
    </w:p>
    <w:p>
      <w:pPr>
        <w:snapToGrid w:val="0"/>
        <w:spacing w:line="360" w:lineRule="auto"/>
        <w:ind w:left="120" w:leftChars="57" w:firstLine="482" w:firstLineChars="150"/>
        <w:jc w:val="center"/>
        <w:rPr>
          <w:rFonts w:hint="eastAsia" w:ascii="仿宋_GB2312" w:hAnsi="仿宋" w:eastAsia="仿宋_GB2312" w:cs="仿宋"/>
          <w:b/>
          <w:color w:val="auto"/>
          <w:sz w:val="32"/>
          <w:highlight w:val="none"/>
        </w:rPr>
      </w:pPr>
      <w:r>
        <w:rPr>
          <w:rFonts w:hint="eastAsia" w:ascii="仿宋_GB2312" w:hAnsi="仿宋" w:eastAsia="仿宋_GB2312" w:cs="仿宋"/>
          <w:b/>
          <w:color w:val="auto"/>
          <w:sz w:val="32"/>
          <w:highlight w:val="none"/>
        </w:rPr>
        <w:t xml:space="preserve">五、评标报告 </w:t>
      </w:r>
    </w:p>
    <w:p>
      <w:pPr>
        <w:pStyle w:val="237"/>
        <w:spacing w:before="0"/>
        <w:ind w:firstLine="0" w:firstLineChars="0"/>
        <w:rPr>
          <w:rFonts w:hint="eastAsia" w:ascii="仿宋_GB2312" w:hAnsi="仿宋" w:eastAsia="仿宋_GB2312" w:cs="仿宋"/>
          <w:color w:val="auto"/>
          <w:szCs w:val="24"/>
          <w:highlight w:val="none"/>
        </w:rPr>
      </w:pPr>
      <w:r>
        <w:rPr>
          <w:rFonts w:hint="eastAsia" w:ascii="仿宋_GB2312" w:hAnsi="仿宋" w:eastAsia="仿宋_GB2312" w:cs="仿宋"/>
          <w:b/>
          <w:color w:val="auto"/>
          <w:szCs w:val="24"/>
          <w:highlight w:val="none"/>
        </w:rPr>
        <w:t>14. 评标报告与推荐中标候选人。</w:t>
      </w:r>
      <w:r>
        <w:rPr>
          <w:rFonts w:hint="eastAsia" w:ascii="仿宋_GB2312" w:hAnsi="仿宋" w:eastAsia="仿宋_GB2312" w:cs="仿宋"/>
          <w:color w:val="auto"/>
          <w:szCs w:val="24"/>
          <w:highlight w:val="none"/>
        </w:rPr>
        <w:t>评标委员会根据原始评标记录和评标结果编写评标报告，并通过电子交易平台向采购人、采购机构提交。</w:t>
      </w:r>
    </w:p>
    <w:p>
      <w:pPr>
        <w:widowControl/>
        <w:adjustRightInd/>
        <w:spacing w:before="100" w:beforeAutospacing="1" w:after="100" w:afterAutospacing="1" w:line="360" w:lineRule="auto"/>
        <w:jc w:val="left"/>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15. 评标争议事项处理。</w:t>
      </w:r>
      <w:r>
        <w:rPr>
          <w:rFonts w:hint="eastAsia" w:ascii="仿宋_GB2312" w:hAnsi="仿宋" w:eastAsia="仿宋_GB2312" w:cs="仿宋"/>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left"/>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 xml:space="preserve">                    </w:t>
      </w:r>
    </w:p>
    <w:p>
      <w:pPr>
        <w:widowControl/>
        <w:adjustRightInd/>
        <w:spacing w:before="100" w:beforeAutospacing="1" w:after="100" w:afterAutospacing="1" w:line="360" w:lineRule="auto"/>
        <w:jc w:val="left"/>
        <w:rPr>
          <w:rFonts w:hint="eastAsia" w:ascii="仿宋_GB2312" w:hAnsi="仿宋" w:eastAsia="仿宋_GB2312" w:cs="仿宋"/>
          <w:b/>
          <w:color w:val="auto"/>
          <w:sz w:val="32"/>
          <w:highlight w:val="none"/>
        </w:rPr>
      </w:pP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b/>
          <w:color w:val="auto"/>
          <w:sz w:val="32"/>
          <w:highlight w:val="none"/>
        </w:rPr>
        <w:t>六、 废标</w:t>
      </w:r>
    </w:p>
    <w:p>
      <w:pPr>
        <w:pStyle w:val="24"/>
        <w:snapToGrid w:val="0"/>
        <w:spacing w:line="360" w:lineRule="auto"/>
        <w:ind w:firstLine="0" w:firstLineChars="0"/>
        <w:rPr>
          <w:rFonts w:hint="eastAsia" w:ascii="仿宋_GB2312" w:hAnsi="仿宋" w:eastAsia="仿宋_GB2312" w:cs="仿宋"/>
          <w:color w:val="auto"/>
          <w:highlight w:val="none"/>
        </w:rPr>
      </w:pPr>
      <w:r>
        <w:rPr>
          <w:rFonts w:hint="eastAsia" w:ascii="仿宋_GB2312" w:hAnsi="仿宋" w:eastAsia="仿宋_GB2312" w:cs="仿宋"/>
          <w:b/>
          <w:color w:val="auto"/>
          <w:highlight w:val="none"/>
        </w:rPr>
        <w:t>16.废标。</w:t>
      </w:r>
      <w:r>
        <w:rPr>
          <w:rFonts w:hint="eastAsia" w:ascii="仿宋_GB2312" w:hAnsi="仿宋" w:eastAsia="仿宋_GB2312"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16.1符合专业条件的供应商或者对招标文件作实质响应的供应商不足3家的；</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16.2出现影响采购公正的违法、违规行为的；</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16.3投标人的报价均超过了采购预算，采购人不能支付的；</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16.4因重大变故，采购任务取消的。</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废标后，采购机构应当将废标理由通知所有投标人。</w:t>
      </w:r>
    </w:p>
    <w:p>
      <w:pPr>
        <w:pStyle w:val="24"/>
        <w:snapToGrid w:val="0"/>
        <w:spacing w:line="360" w:lineRule="auto"/>
        <w:rPr>
          <w:rFonts w:hint="eastAsia" w:ascii="仿宋_GB2312" w:hAnsi="仿宋" w:eastAsia="仿宋_GB2312" w:cs="仿宋"/>
          <w:color w:val="auto"/>
          <w:highlight w:val="none"/>
        </w:rPr>
      </w:pPr>
    </w:p>
    <w:p>
      <w:pPr>
        <w:snapToGrid w:val="0"/>
        <w:spacing w:line="360" w:lineRule="auto"/>
        <w:ind w:left="120" w:leftChars="57" w:firstLine="482" w:firstLineChars="150"/>
        <w:jc w:val="center"/>
        <w:rPr>
          <w:rFonts w:hint="eastAsia" w:ascii="仿宋_GB2312" w:hAnsi="仿宋" w:eastAsia="仿宋_GB2312" w:cs="仿宋"/>
          <w:b/>
          <w:color w:val="auto"/>
          <w:sz w:val="32"/>
          <w:highlight w:val="none"/>
        </w:rPr>
      </w:pPr>
      <w:r>
        <w:rPr>
          <w:rFonts w:hint="eastAsia" w:ascii="仿宋_GB2312" w:hAnsi="仿宋" w:eastAsia="仿宋_GB2312" w:cs="仿宋"/>
          <w:b/>
          <w:color w:val="auto"/>
          <w:sz w:val="32"/>
          <w:highlight w:val="none"/>
        </w:rPr>
        <w:t>七、 重新组织采购</w:t>
      </w:r>
    </w:p>
    <w:p>
      <w:pPr>
        <w:pStyle w:val="24"/>
        <w:snapToGrid w:val="0"/>
        <w:spacing w:line="360" w:lineRule="auto"/>
        <w:ind w:firstLine="482"/>
        <w:rPr>
          <w:rFonts w:hint="eastAsia" w:ascii="仿宋_GB2312" w:hAnsi="仿宋" w:eastAsia="仿宋_GB2312" w:cs="仿宋"/>
          <w:color w:val="auto"/>
          <w:highlight w:val="none"/>
        </w:rPr>
      </w:pPr>
      <w:r>
        <w:rPr>
          <w:rFonts w:hint="eastAsia" w:ascii="仿宋_GB2312" w:hAnsi="仿宋" w:eastAsia="仿宋_GB2312" w:cs="仿宋"/>
          <w:b/>
          <w:color w:val="auto"/>
          <w:highlight w:val="none"/>
        </w:rPr>
        <w:t>17.修改招标文件，重新组织采购活动。</w:t>
      </w:r>
      <w:r>
        <w:rPr>
          <w:rFonts w:hint="eastAsia" w:ascii="仿宋_GB2312" w:hAnsi="仿宋" w:eastAsia="仿宋_GB2312"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hint="eastAsia" w:ascii="仿宋_GB2312" w:hAnsi="仿宋" w:eastAsia="仿宋_GB2312" w:cs="仿宋"/>
          <w:color w:val="auto"/>
          <w:highlight w:val="none"/>
        </w:rPr>
      </w:pPr>
      <w:r>
        <w:rPr>
          <w:rFonts w:hint="eastAsia" w:ascii="仿宋_GB2312" w:hAnsi="仿宋" w:eastAsia="仿宋_GB2312" w:cs="仿宋"/>
          <w:b/>
          <w:color w:val="auto"/>
          <w:kern w:val="0"/>
          <w:highlight w:val="none"/>
        </w:rPr>
        <w:t>18.重新开展采购。</w:t>
      </w:r>
      <w:r>
        <w:rPr>
          <w:rFonts w:hint="eastAsia" w:ascii="仿宋_GB2312" w:hAnsi="仿宋" w:eastAsia="仿宋_GB2312"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18.1未确定中标或者中标人的，终止本次政府采购活动，重新开展政府采购活动。</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18.2已确定中标或者中标人但尚未签订政府采购合同的，中标或者成交结果无效，从合格的中标或者成交候选人中另行确定中标或者中标人；没有合格的中标或者成交候选人的，重新开展政府采购活动。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18.3政府采购合同已签订但尚未履行的，撤销合同，从合格的中标或者成交候选人中另行确定中标或者中标人；没有合格的中标或者成交候选人的，重新开展政府采购活动。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18.4政府采购合同已经履行，给采购人、供应商造成损失的，由责任人承担赔偿责任。</w:t>
      </w:r>
    </w:p>
    <w:p>
      <w:pPr>
        <w:pStyle w:val="24"/>
        <w:snapToGrid w:val="0"/>
        <w:spacing w:line="360" w:lineRule="auto"/>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18.5政府采购当事人有其他违反政府采购法或者本条例规定的行为，经改正后仍然影响或者可能影响中标、成交结果或者依法被认定为中标、成交无效的，依照18.1-18.4规定处理。</w:t>
      </w:r>
    </w:p>
    <w:p>
      <w:pPr>
        <w:pStyle w:val="24"/>
        <w:snapToGrid w:val="0"/>
        <w:spacing w:line="360" w:lineRule="auto"/>
        <w:rPr>
          <w:rFonts w:hint="eastAsia" w:ascii="仿宋_GB2312" w:hAnsi="仿宋" w:eastAsia="仿宋_GB2312" w:cs="仿宋"/>
          <w:color w:val="auto"/>
          <w:highlight w:val="none"/>
        </w:rPr>
      </w:pPr>
    </w:p>
    <w:p>
      <w:pPr>
        <w:snapToGrid w:val="0"/>
        <w:spacing w:line="360" w:lineRule="auto"/>
        <w:ind w:left="120" w:leftChars="57" w:firstLine="482" w:firstLineChars="150"/>
        <w:jc w:val="center"/>
        <w:rPr>
          <w:rFonts w:hint="eastAsia" w:ascii="仿宋_GB2312" w:hAnsi="仿宋" w:eastAsia="仿宋_GB2312" w:cs="仿宋"/>
          <w:b/>
          <w:color w:val="auto"/>
          <w:sz w:val="32"/>
          <w:highlight w:val="none"/>
        </w:rPr>
      </w:pPr>
      <w:r>
        <w:rPr>
          <w:rFonts w:hint="eastAsia" w:ascii="仿宋_GB2312" w:hAnsi="仿宋" w:eastAsia="仿宋_GB2312" w:cs="仿宋"/>
          <w:b/>
          <w:color w:val="auto"/>
          <w:sz w:val="32"/>
          <w:highlight w:val="none"/>
        </w:rPr>
        <w:t>八、评审过程的保密与录像</w:t>
      </w:r>
    </w:p>
    <w:p>
      <w:pPr>
        <w:widowControl/>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19.保密。</w:t>
      </w:r>
      <w:r>
        <w:rPr>
          <w:rFonts w:hint="eastAsia" w:ascii="仿宋_GB2312" w:hAnsi="仿宋" w:eastAsia="仿宋_GB2312" w:cs="仿宋"/>
          <w:color w:val="auto"/>
          <w:sz w:val="24"/>
          <w:highlight w:val="none"/>
        </w:rPr>
        <w:t>评审活动在严格保密的情况下进行。评审过程中凡是与采购响应文件评审和比较、中标人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20.录音录像。</w:t>
      </w:r>
      <w:r>
        <w:rPr>
          <w:rFonts w:hint="eastAsia" w:ascii="仿宋_GB2312" w:hAnsi="仿宋" w:eastAsia="仿宋_GB2312" w:cs="仿宋"/>
          <w:color w:val="auto"/>
          <w:sz w:val="24"/>
          <w:highlight w:val="none"/>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_GB2312" w:hAnsi="仿宋" w:eastAsia="仿宋_GB2312" w:cs="仿宋"/>
          <w:b/>
          <w:color w:val="auto"/>
          <w:sz w:val="32"/>
          <w:highlight w:val="none"/>
        </w:rPr>
      </w:pPr>
    </w:p>
    <w:p>
      <w:pPr>
        <w:snapToGrid w:val="0"/>
        <w:spacing w:line="360" w:lineRule="auto"/>
        <w:ind w:left="120" w:leftChars="57" w:firstLine="482" w:firstLineChars="150"/>
        <w:jc w:val="center"/>
        <w:rPr>
          <w:rFonts w:hint="eastAsia" w:ascii="仿宋_GB2312" w:hAnsi="仿宋" w:eastAsia="仿宋_GB2312" w:cs="仿宋"/>
          <w:b/>
          <w:color w:val="auto"/>
          <w:sz w:val="32"/>
          <w:highlight w:val="none"/>
        </w:rPr>
      </w:pPr>
      <w:r>
        <w:rPr>
          <w:rFonts w:hint="eastAsia" w:ascii="仿宋_GB2312" w:hAnsi="仿宋" w:eastAsia="仿宋_GB2312" w:cs="仿宋"/>
          <w:b/>
          <w:color w:val="auto"/>
          <w:sz w:val="32"/>
          <w:highlight w:val="none"/>
        </w:rPr>
        <w:t>九、具体评标标准</w:t>
      </w:r>
    </w:p>
    <w:p>
      <w:pPr>
        <w:autoSpaceDE w:val="0"/>
        <w:autoSpaceDN w:val="0"/>
        <w:spacing w:line="360" w:lineRule="auto"/>
        <w:ind w:firstLine="482" w:firstLineChars="200"/>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一、本项目采用综合评分法</w:t>
      </w:r>
      <w:r>
        <w:rPr>
          <w:rFonts w:hint="eastAsia" w:ascii="仿宋_GB2312" w:hAnsi="仿宋" w:eastAsia="仿宋_GB2312" w:cs="仿宋"/>
          <w:color w:val="auto"/>
          <w:sz w:val="24"/>
          <w:highlight w:val="none"/>
        </w:rPr>
        <w:t>，评标委员会将对各投标人的投标报价、</w:t>
      </w:r>
      <w:r>
        <w:rPr>
          <w:rFonts w:hint="eastAsia" w:ascii="仿宋_GB2312" w:hAnsi="仿宋" w:eastAsia="仿宋_GB2312" w:cs="仿宋"/>
          <w:bCs/>
          <w:color w:val="auto"/>
          <w:sz w:val="24"/>
          <w:highlight w:val="none"/>
        </w:rPr>
        <w:t>技术和服务方案</w:t>
      </w:r>
      <w:r>
        <w:rPr>
          <w:rFonts w:hint="eastAsia" w:ascii="仿宋_GB2312" w:hAnsi="仿宋" w:eastAsia="仿宋_GB2312" w:cs="仿宋"/>
          <w:color w:val="auto"/>
          <w:sz w:val="24"/>
          <w:highlight w:val="none"/>
        </w:rPr>
        <w:t>、投标人提供的资信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_GB2312" w:hAnsi="仿宋" w:eastAsia="仿宋_GB2312" w:cs="仿宋"/>
          <w:color w:val="auto"/>
          <w:sz w:val="24"/>
          <w:szCs w:val="21"/>
          <w:highlight w:val="none"/>
        </w:rPr>
        <w:t>得分且投标报价相同的并列</w:t>
      </w:r>
      <w:r>
        <w:rPr>
          <w:rFonts w:hint="eastAsia" w:ascii="仿宋_GB2312" w:hAnsi="仿宋" w:eastAsia="仿宋_GB2312" w:cs="仿宋"/>
          <w:color w:val="auto"/>
          <w:sz w:val="24"/>
          <w:highlight w:val="none"/>
        </w:rPr>
        <w:t>，并形成评标意见。</w:t>
      </w:r>
    </w:p>
    <w:p>
      <w:pPr>
        <w:spacing w:line="360" w:lineRule="auto"/>
        <w:ind w:left="105" w:leftChars="50" w:firstLine="427" w:firstLineChars="178"/>
        <w:rPr>
          <w:rFonts w:hint="eastAsia" w:ascii="仿宋_GB2312" w:hAnsi="宋体" w:eastAsia="仿宋_GB2312" w:cs="宋体"/>
          <w:b/>
          <w:color w:val="auto"/>
          <w:sz w:val="24"/>
          <w:highlight w:val="none"/>
        </w:rPr>
      </w:pPr>
      <w:r>
        <w:rPr>
          <w:rFonts w:hint="eastAsia" w:ascii="仿宋_GB2312" w:hAnsi="宋体" w:eastAsia="仿宋_GB2312" w:cs="宋体"/>
          <w:color w:val="auto"/>
          <w:sz w:val="24"/>
          <w:highlight w:val="none"/>
        </w:rPr>
        <w:t>各投标人的综合得分为：投标价格得分+</w:t>
      </w:r>
      <w:r>
        <w:rPr>
          <w:rFonts w:hint="eastAsia" w:ascii="仿宋_GB2312" w:hAnsi="宋体" w:eastAsia="仿宋_GB2312" w:cs="宋体"/>
          <w:bCs/>
          <w:color w:val="auto"/>
          <w:sz w:val="24"/>
          <w:highlight w:val="none"/>
        </w:rPr>
        <w:t>技术和服务方案</w:t>
      </w:r>
      <w:r>
        <w:rPr>
          <w:rFonts w:hint="eastAsia" w:ascii="仿宋_GB2312" w:hAnsi="宋体" w:eastAsia="仿宋_GB2312" w:cs="宋体"/>
          <w:color w:val="auto"/>
          <w:sz w:val="24"/>
          <w:highlight w:val="none"/>
        </w:rPr>
        <w:t>得分+投标人的资信和业绩情况得分之和，</w:t>
      </w:r>
      <w:r>
        <w:rPr>
          <w:rFonts w:hint="eastAsia" w:ascii="仿宋_GB2312" w:hAnsi="宋体" w:eastAsia="仿宋_GB2312" w:cs="宋体"/>
          <w:b/>
          <w:color w:val="auto"/>
          <w:sz w:val="24"/>
          <w:highlight w:val="none"/>
        </w:rPr>
        <w:t>总和为</w:t>
      </w:r>
      <w:r>
        <w:rPr>
          <w:rFonts w:hint="eastAsia" w:ascii="仿宋_GB2312" w:hAnsi="宋体" w:eastAsia="仿宋_GB2312" w:cs="宋体"/>
          <w:b/>
          <w:color w:val="auto"/>
          <w:sz w:val="24"/>
          <w:highlight w:val="none"/>
          <w:u w:val="single"/>
        </w:rPr>
        <w:t>100</w:t>
      </w:r>
      <w:r>
        <w:rPr>
          <w:rFonts w:hint="eastAsia" w:ascii="仿宋_GB2312" w:hAnsi="宋体" w:eastAsia="仿宋_GB2312" w:cs="宋体"/>
          <w:b/>
          <w:color w:val="auto"/>
          <w:sz w:val="24"/>
          <w:highlight w:val="none"/>
        </w:rPr>
        <w:t>分</w:t>
      </w:r>
      <w:r>
        <w:rPr>
          <w:rFonts w:hint="eastAsia" w:ascii="仿宋_GB2312" w:hAnsi="宋体" w:eastAsia="仿宋_GB2312" w:cs="宋体"/>
          <w:color w:val="auto"/>
          <w:sz w:val="24"/>
          <w:highlight w:val="none"/>
        </w:rPr>
        <w:t>，其中：</w:t>
      </w:r>
      <w:r>
        <w:rPr>
          <w:rFonts w:hint="eastAsia" w:ascii="仿宋_GB2312" w:hAnsi="宋体" w:eastAsia="仿宋_GB2312" w:cs="宋体"/>
          <w:b/>
          <w:color w:val="auto"/>
          <w:sz w:val="24"/>
          <w:highlight w:val="none"/>
        </w:rPr>
        <w:t>投标价格得分</w:t>
      </w:r>
      <w:r>
        <w:rPr>
          <w:rFonts w:hint="eastAsia" w:ascii="仿宋_GB2312" w:hAnsi="宋体" w:eastAsia="仿宋_GB2312" w:cs="宋体"/>
          <w:b/>
          <w:color w:val="auto"/>
          <w:sz w:val="24"/>
          <w:highlight w:val="none"/>
          <w:u w:val="single"/>
        </w:rPr>
        <w:t xml:space="preserve"> 10 </w:t>
      </w:r>
      <w:r>
        <w:rPr>
          <w:rFonts w:hint="eastAsia" w:ascii="仿宋_GB2312" w:hAnsi="宋体" w:eastAsia="仿宋_GB2312" w:cs="宋体"/>
          <w:b/>
          <w:color w:val="auto"/>
          <w:sz w:val="24"/>
          <w:highlight w:val="none"/>
        </w:rPr>
        <w:t>分，</w:t>
      </w:r>
      <w:r>
        <w:rPr>
          <w:rFonts w:hint="eastAsia" w:ascii="仿宋_GB2312" w:hAnsi="宋体" w:eastAsia="仿宋_GB2312" w:cs="宋体"/>
          <w:b/>
          <w:bCs/>
          <w:color w:val="auto"/>
          <w:sz w:val="24"/>
          <w:highlight w:val="none"/>
        </w:rPr>
        <w:t>技术和服务方案得分</w:t>
      </w:r>
      <w:r>
        <w:rPr>
          <w:rFonts w:hint="eastAsia" w:ascii="仿宋_GB2312" w:hAnsi="宋体" w:eastAsia="仿宋_GB2312" w:cs="宋体"/>
          <w:b/>
          <w:color w:val="auto"/>
          <w:sz w:val="24"/>
          <w:highlight w:val="none"/>
          <w:u w:val="single"/>
        </w:rPr>
        <w:t xml:space="preserve"> 85</w:t>
      </w:r>
      <w:r>
        <w:rPr>
          <w:rFonts w:hint="eastAsia" w:ascii="仿宋_GB2312" w:hAnsi="宋体" w:eastAsia="仿宋_GB2312" w:cs="宋体"/>
          <w:b/>
          <w:color w:val="auto"/>
          <w:sz w:val="24"/>
          <w:highlight w:val="none"/>
        </w:rPr>
        <w:t>分，投标人的资信和业绩情况得分</w:t>
      </w:r>
      <w:r>
        <w:rPr>
          <w:rFonts w:hint="eastAsia" w:ascii="仿宋_GB2312" w:hAnsi="宋体" w:eastAsia="仿宋_GB2312" w:cs="宋体"/>
          <w:b/>
          <w:color w:val="auto"/>
          <w:sz w:val="24"/>
          <w:highlight w:val="none"/>
          <w:u w:val="single"/>
        </w:rPr>
        <w:t xml:space="preserve"> 5</w:t>
      </w:r>
      <w:r>
        <w:rPr>
          <w:rFonts w:hint="eastAsia" w:ascii="仿宋_GB2312" w:hAnsi="宋体" w:eastAsia="仿宋_GB2312" w:cs="宋体"/>
          <w:b/>
          <w:color w:val="auto"/>
          <w:sz w:val="24"/>
          <w:highlight w:val="none"/>
        </w:rPr>
        <w:t>分。</w:t>
      </w:r>
    </w:p>
    <w:p>
      <w:pPr>
        <w:tabs>
          <w:tab w:val="left" w:pos="0"/>
        </w:tabs>
        <w:spacing w:line="360" w:lineRule="auto"/>
        <w:ind w:firstLine="542" w:firstLineChars="225"/>
        <w:rPr>
          <w:rFonts w:hint="eastAsia" w:ascii="仿宋_GB2312" w:hAnsi="宋体" w:eastAsia="仿宋_GB2312" w:cs="宋体"/>
          <w:color w:val="auto"/>
          <w:sz w:val="24"/>
          <w:highlight w:val="none"/>
        </w:rPr>
      </w:pPr>
      <w:r>
        <w:rPr>
          <w:rFonts w:hint="eastAsia" w:ascii="仿宋_GB2312" w:hAnsi="宋体" w:eastAsia="仿宋_GB2312" w:cs="宋体"/>
          <w:b/>
          <w:color w:val="auto"/>
          <w:sz w:val="24"/>
          <w:highlight w:val="none"/>
        </w:rPr>
        <w:t>各投标人的技术和服务方案、投标人的资信和业绩情况得分为：评标委员会各成员评分的算术平均值。各投标人的投标价格得分按投标价格评分</w:t>
      </w:r>
      <w:r>
        <w:rPr>
          <w:rFonts w:hint="eastAsia" w:ascii="仿宋_GB2312" w:hAnsi="宋体" w:eastAsia="仿宋_GB2312" w:cs="宋体"/>
          <w:b/>
          <w:color w:val="auto"/>
          <w:kern w:val="0"/>
          <w:sz w:val="24"/>
          <w:highlight w:val="none"/>
        </w:rPr>
        <w:t>公式由采购机构计算，</w:t>
      </w:r>
      <w:r>
        <w:rPr>
          <w:rFonts w:hint="eastAsia" w:ascii="仿宋_GB2312" w:hAnsi="宋体" w:eastAsia="仿宋_GB2312" w:cs="宋体"/>
          <w:b/>
          <w:color w:val="auto"/>
          <w:sz w:val="24"/>
          <w:highlight w:val="none"/>
        </w:rPr>
        <w:t>评标委员会审核。</w:t>
      </w:r>
      <w:r>
        <w:rPr>
          <w:rFonts w:hint="eastAsia" w:ascii="仿宋_GB2312" w:hAnsi="宋体" w:eastAsia="仿宋_GB2312" w:cs="宋体"/>
          <w:color w:val="auto"/>
          <w:sz w:val="24"/>
          <w:highlight w:val="none"/>
        </w:rPr>
        <w:t>根据上述评标原则，分值安排如下：</w:t>
      </w:r>
    </w:p>
    <w:p>
      <w:pPr>
        <w:spacing w:line="360" w:lineRule="auto"/>
        <w:ind w:firstLine="482" w:firstLineChars="200"/>
        <w:rPr>
          <w:rFonts w:hint="eastAsia" w:ascii="仿宋_GB2312" w:hAnsi="宋体" w:eastAsia="仿宋_GB2312" w:cs="宋体"/>
          <w:b/>
          <w:color w:val="auto"/>
          <w:sz w:val="24"/>
          <w:highlight w:val="none"/>
        </w:rPr>
      </w:pPr>
      <w:r>
        <w:rPr>
          <w:rFonts w:hint="eastAsia" w:ascii="仿宋_GB2312" w:hAnsi="宋体" w:eastAsia="仿宋_GB2312" w:cs="宋体"/>
          <w:b/>
          <w:color w:val="auto"/>
          <w:sz w:val="24"/>
          <w:highlight w:val="none"/>
        </w:rPr>
        <w:t>A、投标价格（A=</w:t>
      </w:r>
      <w:r>
        <w:rPr>
          <w:rFonts w:hint="eastAsia" w:ascii="仿宋_GB2312" w:hAnsi="宋体" w:eastAsia="仿宋_GB2312" w:cs="宋体"/>
          <w:b/>
          <w:color w:val="auto"/>
          <w:sz w:val="24"/>
          <w:highlight w:val="none"/>
          <w:u w:val="single"/>
        </w:rPr>
        <w:t>10</w:t>
      </w:r>
      <w:r>
        <w:rPr>
          <w:rFonts w:hint="eastAsia" w:ascii="仿宋_GB2312" w:hAnsi="宋体" w:eastAsia="仿宋_GB2312" w:cs="宋体"/>
          <w:b/>
          <w:color w:val="auto"/>
          <w:sz w:val="24"/>
          <w:highlight w:val="none"/>
        </w:rPr>
        <w:t>分）：</w:t>
      </w:r>
    </w:p>
    <w:p>
      <w:pPr>
        <w:autoSpaceDE w:val="0"/>
        <w:autoSpaceDN w:val="0"/>
        <w:spacing w:line="360" w:lineRule="auto"/>
        <w:ind w:firstLine="482"/>
        <w:rPr>
          <w:rFonts w:hint="eastAsia" w:ascii="仿宋_GB2312" w:hAnsi="宋体" w:eastAsia="仿宋_GB2312" w:cs="宋体"/>
          <w:color w:val="auto"/>
          <w:sz w:val="24"/>
          <w:highlight w:val="none"/>
          <w:lang w:val="zh-CN"/>
        </w:rPr>
      </w:pPr>
      <w:r>
        <w:rPr>
          <w:rFonts w:hint="eastAsia" w:ascii="仿宋_GB2312" w:hAnsi="宋体" w:eastAsia="仿宋_GB2312" w:cs="宋体"/>
          <w:b/>
          <w:bCs/>
          <w:color w:val="auto"/>
          <w:sz w:val="24"/>
          <w:highlight w:val="none"/>
          <w:lang w:val="zh-CN"/>
        </w:rPr>
        <w:t>报价的合理性：</w:t>
      </w:r>
      <w:r>
        <w:rPr>
          <w:rFonts w:hint="eastAsia" w:ascii="仿宋_GB2312" w:hAnsi="宋体" w:eastAsia="仿宋_GB2312" w:cs="宋体"/>
          <w:color w:val="auto"/>
          <w:sz w:val="24"/>
          <w:highlight w:val="none"/>
          <w:lang w:val="zh-CN"/>
        </w:rPr>
        <w:t>分析总报价及各个分项报价是否合理，报价范围是否完整，有否重大错漏项</w:t>
      </w:r>
      <w:r>
        <w:rPr>
          <w:rFonts w:hint="eastAsia" w:ascii="仿宋_GB2312" w:hAnsi="宋体" w:eastAsia="仿宋_GB2312" w:cs="宋体"/>
          <w:color w:val="auto"/>
          <w:sz w:val="24"/>
          <w:highlight w:val="none"/>
        </w:rPr>
        <w:t>，评标委员会认为投标报价出现异常时，有权要求投标人在评标期间对投标报价的详细组成和投标产品的供应渠道等事项作出解释和澄清，并确认其投标报价是否有效</w:t>
      </w:r>
      <w:r>
        <w:rPr>
          <w:rFonts w:hint="eastAsia" w:ascii="仿宋_GB2312" w:hAnsi="宋体" w:eastAsia="仿宋_GB2312" w:cs="宋体"/>
          <w:color w:val="auto"/>
          <w:sz w:val="24"/>
          <w:highlight w:val="none"/>
          <w:lang w:val="zh-CN"/>
        </w:rPr>
        <w:t>。</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zh-CN"/>
        </w:rPr>
        <w:t>报价分计算方法：根据各投标人的有效投标报价，以满足招标文件要求且有效投标价格的最低的投标报价为评标基准价，其价格分为</w:t>
      </w:r>
      <w:r>
        <w:rPr>
          <w:rFonts w:hint="eastAsia" w:ascii="仿宋_GB2312" w:hAnsi="宋体" w:eastAsia="仿宋_GB2312" w:cs="宋体"/>
          <w:color w:val="auto"/>
          <w:sz w:val="24"/>
          <w:highlight w:val="none"/>
          <w:u w:val="single"/>
          <w:lang w:val="zh-CN"/>
        </w:rPr>
        <w:t>10</w:t>
      </w:r>
      <w:r>
        <w:rPr>
          <w:rFonts w:hint="eastAsia" w:ascii="仿宋_GB2312" w:hAnsi="宋体" w:eastAsia="仿宋_GB2312" w:cs="宋体"/>
          <w:color w:val="auto"/>
          <w:sz w:val="24"/>
          <w:highlight w:val="none"/>
          <w:lang w:val="zh-CN"/>
        </w:rPr>
        <w:t>分。其他投标人的价格分统一按照下列公式计算：投标报价得分＝(评标基准价/有效投标报价)</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zh-CN"/>
        </w:rPr>
        <w:t>价格权值</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zh-CN"/>
        </w:rPr>
        <w:t>100(精确到小数点后二位，由采购机构当场统一计算)。</w:t>
      </w:r>
    </w:p>
    <w:p>
      <w:pPr>
        <w:spacing w:line="360" w:lineRule="auto"/>
        <w:ind w:firstLine="482" w:firstLineChars="200"/>
        <w:rPr>
          <w:rFonts w:hint="eastAsia"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B、技术和服务方案（B=</w:t>
      </w:r>
      <w:r>
        <w:rPr>
          <w:rFonts w:hint="eastAsia" w:ascii="仿宋_GB2312" w:hAnsi="宋体" w:eastAsia="仿宋_GB2312" w:cs="宋体"/>
          <w:b/>
          <w:bCs/>
          <w:color w:val="auto"/>
          <w:sz w:val="24"/>
          <w:highlight w:val="none"/>
          <w:u w:val="single"/>
        </w:rPr>
        <w:t>85</w:t>
      </w:r>
      <w:r>
        <w:rPr>
          <w:rFonts w:hint="eastAsia" w:ascii="仿宋_GB2312" w:hAnsi="宋体" w:eastAsia="仿宋_GB2312" w:cs="宋体"/>
          <w:b/>
          <w:bCs/>
          <w:color w:val="auto"/>
          <w:sz w:val="24"/>
          <w:highlight w:val="none"/>
        </w:rPr>
        <w:t>分）：</w:t>
      </w:r>
      <w:r>
        <w:rPr>
          <w:rFonts w:hint="eastAsia" w:ascii="仿宋_GB2312" w:hAnsi="宋体" w:eastAsia="仿宋_GB2312" w:cs="宋体"/>
          <w:bCs/>
          <w:color w:val="auto"/>
          <w:sz w:val="24"/>
          <w:highlight w:val="none"/>
        </w:rPr>
        <w:t>主要包含方案的先进性、科学性和完整性，方案与需求的吻合程度，提供的售后服务方案、维护人员和机构服务优劣程度以及承诺和优惠等方面的因素。评审要点为：</w:t>
      </w:r>
    </w:p>
    <w:p>
      <w:pPr>
        <w:snapToGrid w:val="0"/>
        <w:spacing w:line="360" w:lineRule="auto"/>
        <w:ind w:left="361" w:right="-109" w:rightChars="-52"/>
        <w:rPr>
          <w:rFonts w:ascii="仿宋_GB2312" w:eastAsia="仿宋_GB2312"/>
          <w:b/>
          <w:color w:val="auto"/>
          <w:sz w:val="24"/>
          <w:highlight w:val="none"/>
        </w:rPr>
      </w:pPr>
      <w:r>
        <w:rPr>
          <w:rFonts w:hint="eastAsia" w:ascii="仿宋_GB2312" w:hAnsi="宋体" w:eastAsia="仿宋_GB2312" w:cs="宋体"/>
          <w:b/>
          <w:bCs/>
          <w:color w:val="auto"/>
          <w:sz w:val="24"/>
          <w:highlight w:val="none"/>
        </w:rPr>
        <w:t xml:space="preserve"> </w:t>
      </w:r>
      <w:r>
        <w:rPr>
          <w:rFonts w:hint="eastAsia" w:ascii="仿宋_GB2312" w:eastAsia="仿宋_GB2312"/>
          <w:b/>
          <w:color w:val="auto"/>
          <w:sz w:val="24"/>
          <w:highlight w:val="none"/>
        </w:rPr>
        <w:t>（1）投标方案的</w:t>
      </w:r>
      <w:r>
        <w:rPr>
          <w:rFonts w:hint="eastAsia" w:ascii="仿宋_GB2312" w:eastAsia="仿宋_GB2312"/>
          <w:b/>
          <w:bCs/>
          <w:color w:val="auto"/>
          <w:sz w:val="24"/>
          <w:highlight w:val="none"/>
        </w:rPr>
        <w:t>科学性和完整性</w:t>
      </w:r>
      <w:r>
        <w:rPr>
          <w:rFonts w:hint="eastAsia" w:ascii="仿宋_GB2312" w:eastAsia="仿宋_GB2312"/>
          <w:b/>
          <w:color w:val="auto"/>
          <w:sz w:val="24"/>
          <w:highlight w:val="none"/>
        </w:rPr>
        <w:t>（</w:t>
      </w:r>
      <w:r>
        <w:rPr>
          <w:rFonts w:ascii="仿宋_GB2312" w:hAnsi="宋体" w:eastAsia="仿宋_GB2312"/>
          <w:b/>
          <w:color w:val="auto"/>
          <w:sz w:val="24"/>
          <w:highlight w:val="none"/>
        </w:rPr>
        <w:t>4</w:t>
      </w:r>
      <w:r>
        <w:rPr>
          <w:rFonts w:hint="eastAsia" w:ascii="仿宋_GB2312" w:hAnsi="宋体" w:eastAsia="仿宋_GB2312"/>
          <w:b/>
          <w:color w:val="auto"/>
          <w:sz w:val="24"/>
          <w:highlight w:val="none"/>
        </w:rPr>
        <w:t>2</w:t>
      </w:r>
      <w:r>
        <w:rPr>
          <w:rFonts w:hint="eastAsia" w:ascii="仿宋_GB2312" w:eastAsia="仿宋_GB2312"/>
          <w:b/>
          <w:color w:val="auto"/>
          <w:sz w:val="24"/>
          <w:highlight w:val="none"/>
        </w:rPr>
        <w:t>分）：</w:t>
      </w:r>
    </w:p>
    <w:p>
      <w:pPr>
        <w:spacing w:line="360" w:lineRule="auto"/>
        <w:ind w:firstLine="600" w:firstLineChars="25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●投标方案系统设计情况（10分）：</w:t>
      </w:r>
    </w:p>
    <w:p>
      <w:pPr>
        <w:spacing w:line="360" w:lineRule="auto"/>
        <w:ind w:firstLine="600" w:firstLineChars="25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1）投标人是否选用稳定可靠且通用的系统软件、数据库软件、中间件软件、工具软件开发系统。全部满足得2分，部分满足得1分，不满足不得分（2分）；</w:t>
      </w:r>
    </w:p>
    <w:p>
      <w:pPr>
        <w:spacing w:line="360" w:lineRule="auto"/>
        <w:ind w:firstLine="600" w:firstLineChars="25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2）投标方案需要符合公安部总体规划要求；符合公安部、省公安厅有关技术规范；符合省各类公安业务信息系统的要求；符合公安业务综合信息系统现有规范；系统必须具有实用性；系统的所有软、硬件应统一考虑，融为一体。全部满足得2分，部分满足得1分，不满足不得分（2分）；</w:t>
      </w:r>
    </w:p>
    <w:p>
      <w:pPr>
        <w:spacing w:line="360" w:lineRule="auto"/>
        <w:ind w:firstLine="600" w:firstLineChars="25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3）投标系统的设计能力需要考虑满足未来数据和应用的增长需求，要具有灵活扩充和调整的特性，便于维护、升级和扩充以及二次开发，并具有支持多种接口的能力。全部满足得2分，部分满足得1分，不满足不得分（2分）；</w:t>
      </w:r>
    </w:p>
    <w:p>
      <w:pPr>
        <w:spacing w:line="360" w:lineRule="auto"/>
        <w:ind w:firstLine="600" w:firstLineChars="25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4）投标方案在保证数据和信息为全体民警和其它应用共享的同时，系统需要保证信息的安全。系统应有完整的、统一的用户权限管理机制，防止非法访问、越级访问和非法操作，同时提供安全日志的功能。全部满足得2分，部分满足得1分，不满足不得分（2分）；</w:t>
      </w:r>
    </w:p>
    <w:p>
      <w:pPr>
        <w:spacing w:line="360" w:lineRule="auto"/>
        <w:ind w:firstLine="600" w:firstLineChars="25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5）投标方案需要解决现有系统中存在的开发、维护、推广，周期长、投入大、成本高等问题;充分考虑业务需求和投资规模，力求达到最佳性价比和最优平衡点；系统数据建设成本低，系统滚动开发成本低；系统维护成本低。全部满足得2分，部分满足得1分，不满足不得分（2分）；</w:t>
      </w:r>
    </w:p>
    <w:p>
      <w:pPr>
        <w:spacing w:line="360" w:lineRule="auto"/>
        <w:ind w:firstLine="600" w:firstLineChars="25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●投标方案中体现包括</w:t>
      </w:r>
      <w:r>
        <w:rPr>
          <w:rFonts w:hint="eastAsia" w:ascii="仿宋_GB2312" w:hAnsi="仿宋" w:eastAsia="仿宋_GB2312" w:cs="宋体"/>
          <w:color w:val="auto"/>
          <w:sz w:val="24"/>
          <w:szCs w:val="22"/>
          <w:highlight w:val="none"/>
        </w:rPr>
        <w:t xml:space="preserve"> “民警任务中心”、“共享内容”、“通用基础能力”、“运营支撑”等。根据提供的方案内容进行评分，</w:t>
      </w:r>
      <w:r>
        <w:rPr>
          <w:rFonts w:hint="eastAsia" w:ascii="仿宋_GB2312" w:hAnsi="仿宋" w:eastAsia="仿宋_GB2312" w:cs="宋体"/>
          <w:color w:val="auto"/>
          <w:sz w:val="24"/>
          <w:highlight w:val="none"/>
        </w:rPr>
        <w:t>功能需求一项不满足的扣</w:t>
      </w:r>
      <w:r>
        <w:rPr>
          <w:rFonts w:ascii="仿宋_GB2312" w:hAnsi="仿宋" w:eastAsia="仿宋_GB2312" w:cs="宋体"/>
          <w:color w:val="auto"/>
          <w:sz w:val="24"/>
          <w:highlight w:val="none"/>
        </w:rPr>
        <w:t>1</w:t>
      </w:r>
      <w:r>
        <w:rPr>
          <w:rFonts w:hint="eastAsia" w:ascii="仿宋_GB2312" w:hAnsi="仿宋" w:eastAsia="仿宋_GB2312" w:cs="宋体"/>
          <w:color w:val="auto"/>
          <w:sz w:val="24"/>
          <w:highlight w:val="none"/>
        </w:rPr>
        <w:t>分，扣完为止（13分）；</w:t>
      </w:r>
    </w:p>
    <w:p>
      <w:pPr>
        <w:spacing w:line="360" w:lineRule="auto"/>
        <w:ind w:firstLine="600" w:firstLineChars="25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 投标人对现有城市大脑**操作系统现状的了解情况，有详细客观的描述，包括①系统架构、②数据结构和数据量、③业务应用体系和④能力支撑建设情况等。根据提供的方案内容进行评分，每一项内容</w:t>
      </w:r>
      <w:r>
        <w:rPr>
          <w:rFonts w:hint="eastAsia" w:ascii="仿宋_GB2312" w:hAnsi="仿宋" w:eastAsia="仿宋_GB2312" w:cs="宋体"/>
          <w:color w:val="auto"/>
          <w:sz w:val="24"/>
          <w:highlight w:val="none"/>
          <w:lang w:eastAsia="zh-CN"/>
        </w:rPr>
        <w:t>全部满足采购人要求得</w:t>
      </w:r>
      <w:r>
        <w:rPr>
          <w:rFonts w:hint="eastAsia" w:ascii="仿宋_GB2312" w:hAnsi="仿宋" w:eastAsia="仿宋_GB2312" w:cs="宋体"/>
          <w:color w:val="auto"/>
          <w:sz w:val="24"/>
          <w:highlight w:val="none"/>
          <w:lang w:val="en-US" w:eastAsia="zh-CN"/>
        </w:rPr>
        <w:t>3分，部分满足采购人要求得1.5分，不满足不得分</w:t>
      </w:r>
      <w:r>
        <w:rPr>
          <w:rFonts w:hint="eastAsia" w:ascii="仿宋_GB2312" w:hAnsi="仿宋" w:eastAsia="仿宋_GB2312" w:cs="宋体"/>
          <w:color w:val="auto"/>
          <w:sz w:val="24"/>
          <w:highlight w:val="none"/>
        </w:rPr>
        <w:t>，最高得</w:t>
      </w:r>
      <w:r>
        <w:rPr>
          <w:rFonts w:ascii="仿宋_GB2312" w:hAnsi="仿宋" w:eastAsia="仿宋_GB2312" w:cs="宋体"/>
          <w:color w:val="auto"/>
          <w:sz w:val="24"/>
          <w:highlight w:val="none"/>
        </w:rPr>
        <w:t>12</w:t>
      </w:r>
      <w:r>
        <w:rPr>
          <w:rFonts w:hint="eastAsia" w:ascii="仿宋_GB2312" w:hAnsi="仿宋" w:eastAsia="仿宋_GB2312" w:cs="宋体"/>
          <w:color w:val="auto"/>
          <w:sz w:val="24"/>
          <w:highlight w:val="none"/>
        </w:rPr>
        <w:t>分（</w:t>
      </w:r>
      <w:r>
        <w:rPr>
          <w:rFonts w:ascii="仿宋_GB2312" w:hAnsi="仿宋" w:eastAsia="仿宋_GB2312" w:cs="宋体"/>
          <w:color w:val="auto"/>
          <w:sz w:val="24"/>
          <w:highlight w:val="none"/>
        </w:rPr>
        <w:t>12</w:t>
      </w:r>
      <w:r>
        <w:rPr>
          <w:rFonts w:hint="eastAsia" w:ascii="仿宋_GB2312" w:hAnsi="仿宋" w:eastAsia="仿宋_GB2312" w:cs="宋体"/>
          <w:color w:val="auto"/>
          <w:sz w:val="24"/>
          <w:highlight w:val="none"/>
        </w:rPr>
        <w:t>分）；</w:t>
      </w:r>
    </w:p>
    <w:p>
      <w:pPr>
        <w:spacing w:line="360" w:lineRule="auto"/>
        <w:ind w:firstLine="600" w:firstLineChars="25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●投标方案中对系统提出整合建议和措施。根据提供的方案内容进行评分，内容完整、措施有效、符合采购人实际视为合理，合理得</w:t>
      </w:r>
      <w:r>
        <w:rPr>
          <w:rFonts w:hint="eastAsia" w:ascii="仿宋_GB2312" w:hAnsi="仿宋" w:eastAsia="仿宋_GB2312" w:cs="宋体"/>
          <w:color w:val="auto"/>
          <w:sz w:val="24"/>
          <w:highlight w:val="none"/>
          <w:lang w:val="en-US" w:eastAsia="zh-CN"/>
        </w:rPr>
        <w:t>2</w:t>
      </w:r>
      <w:r>
        <w:rPr>
          <w:rFonts w:hint="eastAsia" w:ascii="仿宋_GB2312" w:hAnsi="仿宋" w:eastAsia="仿宋_GB2312" w:cs="宋体"/>
          <w:color w:val="auto"/>
          <w:sz w:val="24"/>
          <w:highlight w:val="none"/>
        </w:rPr>
        <w:t>分，不合理得0分，最高得2分（2分）；</w:t>
      </w:r>
    </w:p>
    <w:p>
      <w:pPr>
        <w:spacing w:line="360" w:lineRule="auto"/>
        <w:ind w:firstLine="600" w:firstLineChars="25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 ①投标人是否全面熟知平台系统的相关标准、准则、要求、要素；②投标方案在确保阶段性任务实现的同时，是否统筹考虑了总体目标的实现。根据提供的方案内容进行评分，每一项内容完整、措施有效、符合采购人实际视为合理，合理得1分，不合理得0分，最高得2分（2分）；</w:t>
      </w:r>
    </w:p>
    <w:p>
      <w:pPr>
        <w:snapToGrid w:val="0"/>
        <w:spacing w:line="360" w:lineRule="auto"/>
        <w:ind w:firstLine="450" w:firstLineChars="250"/>
        <w:rPr>
          <w:rFonts w:hint="eastAsia" w:ascii="仿宋_GB2312" w:hAnsi="仿宋" w:eastAsia="仿宋_GB2312" w:cs="Wingdings"/>
          <w:color w:val="auto"/>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olor w:val="auto"/>
          <w:sz w:val="24"/>
          <w:highlight w:val="none"/>
        </w:rPr>
        <w:t>系统的应急方案</w:t>
      </w:r>
      <w:r>
        <w:rPr>
          <w:rFonts w:hint="eastAsia" w:ascii="仿宋_GB2312" w:hAnsi="仿宋" w:eastAsia="仿宋_GB2312" w:cs="宋体"/>
          <w:color w:val="auto"/>
          <w:kern w:val="0"/>
          <w:sz w:val="24"/>
          <w:highlight w:val="none"/>
        </w:rPr>
        <w:t>①</w:t>
      </w:r>
      <w:r>
        <w:rPr>
          <w:rFonts w:hint="eastAsia" w:ascii="仿宋_GB2312" w:hAnsi="仿宋" w:eastAsia="仿宋_GB2312"/>
          <w:color w:val="auto"/>
          <w:sz w:val="24"/>
          <w:highlight w:val="none"/>
        </w:rPr>
        <w:t>设计</w:t>
      </w:r>
      <w:r>
        <w:rPr>
          <w:rFonts w:hint="eastAsia" w:ascii="仿宋_GB2312" w:hAnsi="仿宋" w:eastAsia="仿宋_GB2312" w:cs="Wingdings"/>
          <w:color w:val="auto"/>
          <w:sz w:val="24"/>
          <w:highlight w:val="none"/>
        </w:rPr>
        <w:t>是否</w:t>
      </w:r>
      <w:r>
        <w:rPr>
          <w:rFonts w:hint="eastAsia" w:ascii="仿宋_GB2312" w:hAnsi="仿宋" w:eastAsia="仿宋_GB2312"/>
          <w:color w:val="auto"/>
          <w:sz w:val="24"/>
          <w:highlight w:val="none"/>
        </w:rPr>
        <w:t>合理，</w:t>
      </w:r>
      <w:r>
        <w:rPr>
          <w:rFonts w:hint="eastAsia" w:ascii="仿宋_GB2312" w:hAnsi="仿宋" w:eastAsia="仿宋_GB2312" w:cs="宋体"/>
          <w:color w:val="auto"/>
          <w:kern w:val="0"/>
          <w:sz w:val="24"/>
          <w:highlight w:val="none"/>
        </w:rPr>
        <w:t>②</w:t>
      </w:r>
      <w:r>
        <w:rPr>
          <w:rFonts w:hint="eastAsia" w:ascii="仿宋_GB2312" w:hAnsi="仿宋" w:eastAsia="仿宋_GB2312" w:cs="Wingdings"/>
          <w:color w:val="auto"/>
          <w:sz w:val="24"/>
          <w:highlight w:val="none"/>
        </w:rPr>
        <w:t>是否</w:t>
      </w:r>
      <w:r>
        <w:rPr>
          <w:rFonts w:hint="eastAsia" w:ascii="仿宋_GB2312" w:hAnsi="仿宋" w:eastAsia="仿宋_GB2312"/>
          <w:color w:val="auto"/>
          <w:sz w:val="24"/>
          <w:highlight w:val="none"/>
        </w:rPr>
        <w:t>充分考虑用户实际使用需求，</w:t>
      </w:r>
      <w:r>
        <w:rPr>
          <w:rFonts w:hint="eastAsia" w:ascii="仿宋_GB2312" w:hAnsi="仿宋" w:eastAsia="仿宋_GB2312" w:cs="宋体"/>
          <w:color w:val="auto"/>
          <w:kern w:val="0"/>
          <w:sz w:val="24"/>
          <w:highlight w:val="none"/>
        </w:rPr>
        <w:t>③</w:t>
      </w:r>
      <w:r>
        <w:rPr>
          <w:rFonts w:hint="eastAsia" w:ascii="仿宋_GB2312" w:hAnsi="仿宋" w:eastAsia="仿宋_GB2312"/>
          <w:color w:val="auto"/>
          <w:sz w:val="24"/>
          <w:highlight w:val="none"/>
        </w:rPr>
        <w:t>是否符合本项目对当前和未来发展的要求。</w:t>
      </w:r>
      <w:r>
        <w:rPr>
          <w:rFonts w:hint="eastAsia" w:ascii="仿宋_GB2312" w:hAnsi="仿宋" w:eastAsia="仿宋_GB2312" w:cs="宋体"/>
          <w:color w:val="auto"/>
          <w:kern w:val="0"/>
          <w:sz w:val="24"/>
          <w:highlight w:val="none"/>
        </w:rPr>
        <w:t>根据提供的方案内容进行评分，每一项内容完整、措施有效、符合采购人实际视为合理，合理得</w:t>
      </w:r>
      <w:r>
        <w:rPr>
          <w:rFonts w:hint="eastAsia" w:ascii="仿宋_GB2312" w:hAnsi="仿宋" w:eastAsia="仿宋_GB2312" w:cs="宋体"/>
          <w:color w:val="auto"/>
          <w:sz w:val="24"/>
          <w:highlight w:val="none"/>
        </w:rPr>
        <w:t>1</w:t>
      </w:r>
      <w:r>
        <w:rPr>
          <w:rFonts w:hint="eastAsia" w:ascii="仿宋_GB2312" w:hAnsi="仿宋" w:eastAsia="仿宋_GB2312" w:cs="宋体"/>
          <w:color w:val="auto"/>
          <w:kern w:val="0"/>
          <w:sz w:val="24"/>
          <w:highlight w:val="none"/>
        </w:rPr>
        <w:t>分，不合理得0分，最高得3分</w:t>
      </w:r>
      <w:r>
        <w:rPr>
          <w:rFonts w:hint="eastAsia" w:ascii="仿宋_GB2312" w:hAnsi="仿宋" w:eastAsia="仿宋_GB2312" w:cs="Wingdings"/>
          <w:color w:val="auto"/>
          <w:sz w:val="24"/>
          <w:highlight w:val="none"/>
        </w:rPr>
        <w:t>（3分）。</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（2）投标系统现场演示和项目功能的实现情况（2</w:t>
      </w:r>
      <w:r>
        <w:rPr>
          <w:rFonts w:ascii="仿宋_GB2312" w:hAnsi="宋体" w:eastAsia="仿宋_GB2312"/>
          <w:b/>
          <w:color w:val="auto"/>
          <w:sz w:val="24"/>
          <w:highlight w:val="none"/>
        </w:rPr>
        <w:t>0</w:t>
      </w:r>
      <w:r>
        <w:rPr>
          <w:rFonts w:hint="eastAsia" w:ascii="仿宋_GB2312" w:hAnsi="宋体" w:eastAsia="仿宋_GB2312"/>
          <w:b/>
          <w:color w:val="auto"/>
          <w:sz w:val="24"/>
          <w:highlight w:val="none"/>
        </w:rPr>
        <w:t>分）：</w:t>
      </w:r>
    </w:p>
    <w:p>
      <w:pPr>
        <w:snapToGrid w:val="0"/>
        <w:spacing w:line="360" w:lineRule="auto"/>
        <w:ind w:firstLine="600" w:firstLineChars="250"/>
        <w:rPr>
          <w:rFonts w:ascii="仿宋_GB2312" w:eastAsia="仿宋_GB2312"/>
          <w:b/>
          <w:bCs/>
          <w:color w:val="auto"/>
          <w:sz w:val="24"/>
          <w:highlight w:val="none"/>
        </w:rPr>
      </w:pPr>
      <w:r>
        <w:rPr>
          <w:rFonts w:hint="eastAsia" w:ascii="仿宋_GB2312" w:hAnsi="仿宋" w:eastAsia="仿宋_GB2312" w:cs="宋体"/>
          <w:color w:val="auto"/>
          <w:sz w:val="24"/>
          <w:highlight w:val="none"/>
        </w:rPr>
        <w:t>●</w:t>
      </w:r>
      <w:r>
        <w:rPr>
          <w:rFonts w:hint="eastAsia" w:ascii="仿宋_GB2312" w:eastAsia="仿宋_GB2312"/>
          <w:color w:val="auto"/>
          <w:sz w:val="24"/>
          <w:highlight w:val="none"/>
        </w:rPr>
        <w:t>是否有可演示的原型，原型系统是否紧密结合业务，体现与现有系统在系统架构、功能、数据结构上的无缝集成，能符合单位实际情况。</w:t>
      </w:r>
      <w:r>
        <w:rPr>
          <w:rFonts w:hint="eastAsia" w:ascii="仿宋_GB2312" w:eastAsia="仿宋_GB2312"/>
          <w:b/>
          <w:bCs/>
          <w:color w:val="auto"/>
          <w:sz w:val="24"/>
          <w:highlight w:val="none"/>
        </w:rPr>
        <w:t>无原型演示或演示不符合业务实际情况(采用图片、PPT等属非原型演示)此项不得分（20分）：</w:t>
      </w:r>
    </w:p>
    <w:p>
      <w:pPr>
        <w:numPr>
          <w:ilvl w:val="0"/>
          <w:numId w:val="10"/>
        </w:numPr>
        <w:adjustRightInd/>
        <w:snapToGrid w:val="0"/>
        <w:spacing w:line="360" w:lineRule="auto"/>
        <w:ind w:firstLine="600" w:firstLineChars="250"/>
        <w:rPr>
          <w:rFonts w:ascii="仿宋_GB2312" w:eastAsia="仿宋_GB2312" w:cs="宋体"/>
          <w:color w:val="auto"/>
          <w:sz w:val="24"/>
          <w:highlight w:val="none"/>
          <w:lang w:val="zh-CN"/>
        </w:rPr>
      </w:pPr>
      <w:r>
        <w:rPr>
          <w:rFonts w:hint="eastAsia" w:ascii="仿宋_GB2312" w:hAnsi="仿宋" w:eastAsia="仿宋_GB2312" w:cs="宋体"/>
          <w:color w:val="auto"/>
          <w:sz w:val="24"/>
          <w:szCs w:val="22"/>
          <w:highlight w:val="none"/>
        </w:rPr>
        <w:t xml:space="preserve"> “民警任务中心”：能否对预警中枢、智能日历、可视化地图、内外网传输工具、工具集、移动接处警APP、办公自动化模块有相关的演示，演示一项功能得1分，没有演示不得分（7分）；</w:t>
      </w:r>
    </w:p>
    <w:p>
      <w:pPr>
        <w:numPr>
          <w:ilvl w:val="0"/>
          <w:numId w:val="10"/>
        </w:numPr>
        <w:adjustRightInd/>
        <w:snapToGrid w:val="0"/>
        <w:spacing w:line="360" w:lineRule="auto"/>
        <w:ind w:firstLine="600" w:firstLineChars="250"/>
        <w:rPr>
          <w:rFonts w:ascii="仿宋_GB2312" w:eastAsia="仿宋_GB2312" w:cs="宋体"/>
          <w:color w:val="auto"/>
          <w:sz w:val="24"/>
          <w:highlight w:val="none"/>
          <w:lang w:val="zh-CN"/>
        </w:rPr>
      </w:pPr>
      <w:r>
        <w:rPr>
          <w:rFonts w:hint="eastAsia" w:ascii="仿宋_GB2312" w:hAnsi="仿宋" w:eastAsia="仿宋_GB2312" w:cs="宋体"/>
          <w:color w:val="auto"/>
          <w:sz w:val="24"/>
          <w:szCs w:val="22"/>
          <w:highlight w:val="none"/>
        </w:rPr>
        <w:t>“模型中心”：能否对涉毒线索挖掘的模型、涉毒人员落脚点位置和活动规律、涉毒窝点/团伙发现</w:t>
      </w:r>
      <w:r>
        <w:rPr>
          <w:rFonts w:hint="eastAsia" w:ascii="仿宋_GB2312" w:hAnsi="宋体" w:eastAsia="仿宋_GB2312" w:cs="宋体"/>
          <w:color w:val="auto"/>
          <w:kern w:val="0"/>
          <w:sz w:val="22"/>
          <w:highlight w:val="none"/>
        </w:rPr>
        <w:t>模型</w:t>
      </w:r>
      <w:r>
        <w:rPr>
          <w:rFonts w:hint="eastAsia" w:ascii="仿宋_GB2312" w:hAnsi="仿宋" w:eastAsia="仿宋_GB2312" w:cs="宋体"/>
          <w:color w:val="auto"/>
          <w:sz w:val="24"/>
          <w:szCs w:val="22"/>
          <w:highlight w:val="none"/>
        </w:rPr>
        <w:t>、涉诈团伙发现模型、空壳公司异常分析模型、虚开发票高危企业预警模型、聚合类经济犯罪风险企业发现模型相关的演示，演示一项功能得1分，没有演示不得分（7分）；</w:t>
      </w:r>
    </w:p>
    <w:p>
      <w:pPr>
        <w:numPr>
          <w:ilvl w:val="0"/>
          <w:numId w:val="10"/>
        </w:numPr>
        <w:adjustRightInd/>
        <w:snapToGrid w:val="0"/>
        <w:spacing w:line="360" w:lineRule="auto"/>
        <w:ind w:firstLine="600" w:firstLineChars="250"/>
        <w:rPr>
          <w:rFonts w:ascii="仿宋_GB2312" w:hAnsi="仿宋" w:eastAsia="仿宋_GB2312" w:cs="宋体"/>
          <w:color w:val="auto"/>
          <w:sz w:val="24"/>
          <w:szCs w:val="22"/>
          <w:highlight w:val="none"/>
        </w:rPr>
      </w:pPr>
      <w:r>
        <w:rPr>
          <w:rFonts w:hint="eastAsia" w:ascii="仿宋_GB2312" w:hAnsi="仿宋" w:eastAsia="仿宋_GB2312" w:cs="宋体"/>
          <w:color w:val="auto"/>
          <w:sz w:val="24"/>
          <w:szCs w:val="22"/>
          <w:highlight w:val="none"/>
        </w:rPr>
        <w:t xml:space="preserve"> “通用基础能力”：能否对图像能力中心、涉网新型犯罪能力中心、布控智寻、**搜索、全息地图、地址标准化、关系网络分析、数据魔方、智能客服有相关的演示，上述功能一项未演示扣1分，扣完为止（6分）。</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（3）售后服务方案情况（4分）：</w:t>
      </w:r>
    </w:p>
    <w:p>
      <w:pPr>
        <w:tabs>
          <w:tab w:val="left" w:pos="0"/>
        </w:tabs>
        <w:spacing w:line="360" w:lineRule="auto"/>
        <w:ind w:firstLine="405" w:firstLineChars="225"/>
        <w:rPr>
          <w:rFonts w:ascii="仿宋_GB2312" w:hAnsi="仿宋" w:eastAsia="仿宋_GB2312"/>
          <w:color w:val="auto"/>
          <w:sz w:val="24"/>
          <w:highlight w:val="none"/>
        </w:rPr>
      </w:pPr>
      <w:r>
        <w:rPr>
          <w:rFonts w:hint="eastAsia" w:ascii="仿宋_GB2312" w:hAnsi="仿宋" w:eastAsia="仿宋_GB2312"/>
          <w:color w:val="auto"/>
          <w:sz w:val="18"/>
          <w:szCs w:val="18"/>
          <w:highlight w:val="none"/>
        </w:rPr>
        <w:t>●</w:t>
      </w:r>
      <w:r>
        <w:rPr>
          <w:rFonts w:hint="eastAsia" w:ascii="仿宋_GB2312" w:hAnsi="仿宋" w:eastAsia="仿宋_GB2312" w:cs="宋体"/>
          <w:color w:val="auto"/>
          <w:sz w:val="24"/>
          <w:highlight w:val="none"/>
        </w:rPr>
        <w:t>售后服务内容包括升级、功能完善、故障排除、性能调优、技术咨询等，并负责系统的开发、集成，处理、协调与各系统软件等供应商的关系，提供证明材料（全部满足要求得2分，部分满足得1分，不满足不得分）（2分）</w:t>
      </w:r>
      <w:r>
        <w:rPr>
          <w:rFonts w:hint="eastAsia" w:ascii="仿宋_GB2312" w:hAnsi="仿宋" w:eastAsia="仿宋_GB2312"/>
          <w:color w:val="auto"/>
          <w:sz w:val="24"/>
          <w:highlight w:val="none"/>
        </w:rPr>
        <w:t>；</w:t>
      </w:r>
    </w:p>
    <w:p>
      <w:pPr>
        <w:tabs>
          <w:tab w:val="left" w:pos="0"/>
        </w:tabs>
        <w:spacing w:line="360" w:lineRule="auto"/>
        <w:ind w:firstLine="405" w:firstLineChars="225"/>
        <w:rPr>
          <w:rFonts w:ascii="仿宋_GB2312" w:hAnsi="仿宋" w:eastAsia="仿宋_GB2312"/>
          <w:color w:val="auto"/>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olor w:val="auto"/>
          <w:sz w:val="24"/>
          <w:highlight w:val="none"/>
        </w:rPr>
        <w:t>投标人提供</w:t>
      </w:r>
      <w:r>
        <w:rPr>
          <w:rFonts w:hint="eastAsia" w:ascii="仿宋_GB2312" w:hAnsi="仿宋" w:eastAsia="仿宋_GB2312"/>
          <w:color w:val="auto"/>
          <w:sz w:val="24"/>
          <w:highlight w:val="none"/>
          <w:lang w:eastAsia="zh-CN"/>
        </w:rPr>
        <w:t>五年</w:t>
      </w:r>
      <w:r>
        <w:rPr>
          <w:rFonts w:hint="eastAsia" w:ascii="仿宋_GB2312" w:hAnsi="仿宋" w:eastAsia="仿宋_GB2312"/>
          <w:color w:val="auto"/>
          <w:sz w:val="24"/>
          <w:highlight w:val="none"/>
        </w:rPr>
        <w:t>售后服务时间</w:t>
      </w:r>
      <w:r>
        <w:rPr>
          <w:rFonts w:hint="eastAsia" w:ascii="仿宋_GB2312" w:hAnsi="仿宋" w:eastAsia="仿宋_GB2312"/>
          <w:color w:val="auto"/>
          <w:sz w:val="24"/>
          <w:highlight w:val="none"/>
          <w:lang w:eastAsia="zh-CN"/>
        </w:rPr>
        <w:t>并提供承诺函</w:t>
      </w:r>
      <w:r>
        <w:rPr>
          <w:rFonts w:hint="eastAsia" w:ascii="仿宋_GB2312" w:hAnsi="仿宋" w:eastAsia="仿宋_GB2312"/>
          <w:color w:val="auto"/>
          <w:sz w:val="24"/>
          <w:highlight w:val="none"/>
        </w:rPr>
        <w:t>得</w:t>
      </w:r>
      <w:r>
        <w:rPr>
          <w:rFonts w:ascii="仿宋_GB2312" w:hAnsi="仿宋" w:eastAsia="仿宋_GB2312"/>
          <w:color w:val="auto"/>
          <w:sz w:val="24"/>
          <w:highlight w:val="none"/>
        </w:rPr>
        <w:t>1</w:t>
      </w:r>
      <w:r>
        <w:rPr>
          <w:rFonts w:hint="eastAsia" w:ascii="仿宋_GB2312" w:hAnsi="仿宋" w:eastAsia="仿宋_GB2312"/>
          <w:color w:val="auto"/>
          <w:sz w:val="24"/>
          <w:highlight w:val="none"/>
        </w:rPr>
        <w:t>分，不满足不得分（</w:t>
      </w:r>
      <w:r>
        <w:rPr>
          <w:rFonts w:ascii="仿宋_GB2312" w:hAnsi="仿宋" w:eastAsia="仿宋_GB2312"/>
          <w:color w:val="auto"/>
          <w:sz w:val="24"/>
          <w:highlight w:val="none"/>
        </w:rPr>
        <w:t>1</w:t>
      </w:r>
      <w:r>
        <w:rPr>
          <w:rFonts w:hint="eastAsia" w:ascii="仿宋_GB2312" w:hAnsi="仿宋" w:eastAsia="仿宋_GB2312"/>
          <w:color w:val="auto"/>
          <w:sz w:val="24"/>
          <w:highlight w:val="none"/>
        </w:rPr>
        <w:t>分）；</w:t>
      </w:r>
    </w:p>
    <w:p>
      <w:pPr>
        <w:tabs>
          <w:tab w:val="left" w:pos="0"/>
        </w:tabs>
        <w:spacing w:line="360" w:lineRule="auto"/>
        <w:ind w:firstLine="405" w:firstLineChars="225"/>
        <w:rPr>
          <w:rFonts w:ascii="仿宋_GB2312" w:hAnsi="仿宋" w:eastAsia="仿宋_GB2312" w:cs="Wingdings"/>
          <w:color w:val="auto"/>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olor w:val="auto"/>
          <w:sz w:val="24"/>
          <w:highlight w:val="none"/>
        </w:rPr>
        <w:t>投标人</w:t>
      </w:r>
      <w:r>
        <w:rPr>
          <w:rFonts w:hint="eastAsia" w:ascii="仿宋_GB2312" w:eastAsia="仿宋_GB2312" w:cs="MT Extra"/>
          <w:color w:val="auto"/>
          <w:sz w:val="24"/>
          <w:szCs w:val="20"/>
          <w:highlight w:val="none"/>
        </w:rPr>
        <w:t>现场响应时间小于4小时的得</w:t>
      </w:r>
      <w:r>
        <w:rPr>
          <w:rFonts w:ascii="仿宋_GB2312" w:eastAsia="仿宋_GB2312" w:cs="MT Extra"/>
          <w:color w:val="auto"/>
          <w:sz w:val="24"/>
          <w:szCs w:val="20"/>
          <w:highlight w:val="none"/>
        </w:rPr>
        <w:t>1</w:t>
      </w:r>
      <w:r>
        <w:rPr>
          <w:rFonts w:hint="eastAsia" w:ascii="仿宋_GB2312" w:eastAsia="仿宋_GB2312" w:cs="MT Extra"/>
          <w:color w:val="auto"/>
          <w:sz w:val="24"/>
          <w:szCs w:val="20"/>
          <w:highlight w:val="none"/>
        </w:rPr>
        <w:t>分，不满足不得分。提供证明材料（</w:t>
      </w:r>
      <w:r>
        <w:rPr>
          <w:rFonts w:ascii="仿宋_GB2312" w:eastAsia="仿宋_GB2312" w:cs="MT Extra"/>
          <w:color w:val="auto"/>
          <w:sz w:val="24"/>
          <w:szCs w:val="20"/>
          <w:highlight w:val="none"/>
        </w:rPr>
        <w:t>1</w:t>
      </w:r>
      <w:r>
        <w:rPr>
          <w:rFonts w:hint="eastAsia" w:ascii="仿宋_GB2312" w:eastAsia="仿宋_GB2312" w:cs="MT Extra"/>
          <w:color w:val="auto"/>
          <w:sz w:val="24"/>
          <w:szCs w:val="20"/>
          <w:highlight w:val="none"/>
        </w:rPr>
        <w:t>分）</w:t>
      </w:r>
      <w:r>
        <w:rPr>
          <w:rFonts w:hint="eastAsia" w:ascii="仿宋_GB2312" w:hAnsi="仿宋" w:eastAsia="仿宋_GB2312"/>
          <w:color w:val="auto"/>
          <w:sz w:val="24"/>
          <w:highlight w:val="none"/>
        </w:rPr>
        <w:t>。</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（4）项目组人员素质情况（10分）：</w:t>
      </w:r>
    </w:p>
    <w:p>
      <w:pPr>
        <w:snapToGrid w:val="0"/>
        <w:spacing w:line="360" w:lineRule="auto"/>
        <w:ind w:firstLine="360" w:firstLineChars="200"/>
        <w:rPr>
          <w:rFonts w:ascii="仿宋_GB2312" w:eastAsia="仿宋_GB2312"/>
          <w:color w:val="auto"/>
          <w:sz w:val="24"/>
          <w:highlight w:val="none"/>
          <w:lang w:val="zh-CN"/>
        </w:rPr>
      </w:pPr>
      <w:r>
        <w:rPr>
          <w:rFonts w:hint="eastAsia" w:ascii="仿宋_GB2312" w:hAnsi="仿宋" w:eastAsia="仿宋_GB2312"/>
          <w:color w:val="auto"/>
          <w:sz w:val="18"/>
          <w:highlight w:val="none"/>
        </w:rPr>
        <w:t>●</w:t>
      </w:r>
      <w:r>
        <w:rPr>
          <w:rFonts w:hint="eastAsia" w:ascii="仿宋_GB2312" w:hAnsi="仿宋" w:eastAsia="仿宋_GB2312" w:cs="宋体"/>
          <w:color w:val="auto"/>
          <w:kern w:val="0"/>
          <w:sz w:val="24"/>
          <w:highlight w:val="none"/>
          <w:lang w:val="zh-CN"/>
        </w:rPr>
        <w:t>①具有完备的项目实施规范和管理制度；②具有</w:t>
      </w:r>
      <w:r>
        <w:rPr>
          <w:rFonts w:hint="eastAsia" w:ascii="仿宋_GB2312" w:hAnsi="仿宋" w:eastAsia="仿宋_GB2312" w:cs="宋体"/>
          <w:color w:val="auto"/>
          <w:sz w:val="24"/>
          <w:highlight w:val="none"/>
        </w:rPr>
        <w:t>ISO9000</w:t>
      </w:r>
      <w:r>
        <w:rPr>
          <w:rFonts w:hint="eastAsia" w:ascii="仿宋_GB2312" w:hAnsi="仿宋" w:eastAsia="仿宋_GB2312" w:cs="宋体"/>
          <w:color w:val="auto"/>
          <w:sz w:val="24"/>
          <w:highlight w:val="none"/>
          <w:lang w:val="zh-CN"/>
        </w:rPr>
        <w:t>质量管理体系</w:t>
      </w:r>
      <w:r>
        <w:rPr>
          <w:rFonts w:hint="eastAsia" w:ascii="仿宋_GB2312" w:hAnsi="仿宋" w:eastAsia="仿宋_GB2312" w:cs="宋体"/>
          <w:color w:val="auto"/>
          <w:kern w:val="0"/>
          <w:sz w:val="24"/>
          <w:highlight w:val="none"/>
          <w:lang w:val="zh-CN"/>
        </w:rPr>
        <w:t>，并能有效实施；每一项得1分，共2分（2分）；</w:t>
      </w:r>
    </w:p>
    <w:p>
      <w:pPr>
        <w:tabs>
          <w:tab w:val="left" w:pos="0"/>
        </w:tabs>
        <w:spacing w:line="360" w:lineRule="auto"/>
        <w:ind w:firstLine="405" w:firstLineChars="225"/>
        <w:rPr>
          <w:rFonts w:ascii="仿宋_GB2312" w:hAnsi="仿宋" w:eastAsia="仿宋_GB2312"/>
          <w:color w:val="auto"/>
          <w:sz w:val="24"/>
          <w:highlight w:val="none"/>
        </w:rPr>
      </w:pPr>
      <w:r>
        <w:rPr>
          <w:rFonts w:hint="eastAsia" w:ascii="仿宋_GB2312" w:hAnsi="仿宋" w:eastAsia="仿宋_GB2312"/>
          <w:color w:val="auto"/>
          <w:sz w:val="18"/>
          <w:highlight w:val="none"/>
        </w:rPr>
        <w:t>●</w:t>
      </w:r>
      <w:r>
        <w:rPr>
          <w:rFonts w:hint="eastAsia" w:ascii="仿宋_GB2312" w:hAnsi="仿宋" w:eastAsia="仿宋_GB2312"/>
          <w:color w:val="auto"/>
          <w:sz w:val="24"/>
          <w:highlight w:val="none"/>
        </w:rPr>
        <w:t>拟担任本</w:t>
      </w:r>
      <w:r>
        <w:rPr>
          <w:rFonts w:hint="eastAsia" w:ascii="仿宋_GB2312" w:hAnsi="仿宋" w:eastAsia="仿宋_GB2312" w:cs="Wingdings"/>
          <w:color w:val="auto"/>
          <w:sz w:val="24"/>
          <w:highlight w:val="none"/>
        </w:rPr>
        <w:t>项目项目经理</w:t>
      </w:r>
      <w:r>
        <w:rPr>
          <w:rFonts w:hint="eastAsia" w:ascii="仿宋_GB2312" w:hAnsi="仿宋_GB2312" w:eastAsia="仿宋_GB2312" w:cs="仿宋_GB2312"/>
          <w:color w:val="auto"/>
          <w:sz w:val="24"/>
          <w:highlight w:val="none"/>
        </w:rPr>
        <w:t>的专业素质、技术能力、经验等情况</w:t>
      </w:r>
      <w:r>
        <w:rPr>
          <w:rFonts w:hint="eastAsia" w:ascii="仿宋_GB2312" w:hAnsi="仿宋_GB2312" w:eastAsia="仿宋_GB2312" w:cs="仿宋_GB2312"/>
          <w:color w:val="auto"/>
          <w:sz w:val="24"/>
          <w:szCs w:val="22"/>
          <w:highlight w:val="none"/>
        </w:rPr>
        <w:t>，</w:t>
      </w:r>
      <w:r>
        <w:rPr>
          <w:rFonts w:hint="eastAsia" w:ascii="仿宋_GB2312" w:hAnsi="仿宋" w:eastAsia="仿宋_GB2312"/>
          <w:color w:val="auto"/>
          <w:sz w:val="24"/>
          <w:highlight w:val="none"/>
        </w:rPr>
        <w:t>具有类似项目建设经验（需提供相关业绩证明材料）得</w:t>
      </w:r>
      <w:r>
        <w:rPr>
          <w:rFonts w:ascii="仿宋_GB2312" w:hAnsi="仿宋" w:eastAsia="仿宋_GB2312"/>
          <w:color w:val="auto"/>
          <w:sz w:val="24"/>
          <w:highlight w:val="none"/>
        </w:rPr>
        <w:t>2</w:t>
      </w:r>
      <w:r>
        <w:rPr>
          <w:rFonts w:hint="eastAsia" w:ascii="仿宋_GB2312" w:hAnsi="仿宋" w:eastAsia="仿宋_GB2312"/>
          <w:color w:val="auto"/>
          <w:sz w:val="24"/>
          <w:highlight w:val="none"/>
        </w:rPr>
        <w:t>分</w:t>
      </w:r>
      <w:r>
        <w:rPr>
          <w:rFonts w:hint="eastAsia" w:ascii="仿宋_GB2312" w:hAnsi="仿宋_GB2312" w:eastAsia="仿宋_GB2312" w:cs="仿宋_GB2312"/>
          <w:color w:val="auto"/>
          <w:sz w:val="24"/>
          <w:highlight w:val="none"/>
        </w:rPr>
        <w:t>。</w:t>
      </w:r>
      <w:r>
        <w:rPr>
          <w:rFonts w:hint="eastAsia" w:ascii="仿宋_GB2312" w:hAnsi="仿宋" w:eastAsia="仿宋_GB2312" w:cs="Wingdings"/>
          <w:color w:val="auto"/>
          <w:sz w:val="24"/>
          <w:highlight w:val="none"/>
        </w:rPr>
        <w:t>项目经理</w:t>
      </w:r>
      <w:r>
        <w:rPr>
          <w:rFonts w:hint="eastAsia" w:ascii="仿宋_GB2312" w:hAnsi="仿宋_GB2312" w:eastAsia="仿宋_GB2312" w:cs="仿宋_GB2312"/>
          <w:color w:val="auto"/>
          <w:sz w:val="24"/>
          <w:highlight w:val="none"/>
        </w:rPr>
        <w:t>具备</w:t>
      </w:r>
      <w:r>
        <w:rPr>
          <w:rFonts w:hint="eastAsia" w:ascii="仿宋_GB2312" w:hAnsi="仿宋" w:eastAsia="仿宋_GB2312"/>
          <w:color w:val="auto"/>
          <w:sz w:val="24"/>
          <w:highlight w:val="none"/>
        </w:rPr>
        <w:t>软件开发经验，具有系统架构设计师及高级程序员</w:t>
      </w:r>
      <w:r>
        <w:rPr>
          <w:rFonts w:hint="eastAsia" w:ascii="仿宋_GB2312" w:hAnsi="仿宋_GB2312" w:eastAsia="仿宋_GB2312" w:cs="仿宋_GB2312"/>
          <w:color w:val="auto"/>
          <w:sz w:val="24"/>
          <w:highlight w:val="none"/>
        </w:rPr>
        <w:t>资质证书的得2分，否则不得分。本项共4分。</w:t>
      </w:r>
      <w:r>
        <w:rPr>
          <w:rFonts w:hint="eastAsia" w:ascii="仿宋_GB2312" w:hAnsi="仿宋" w:eastAsia="仿宋_GB2312"/>
          <w:color w:val="auto"/>
          <w:sz w:val="24"/>
          <w:highlight w:val="none"/>
        </w:rPr>
        <w:t>（4分）；</w:t>
      </w:r>
    </w:p>
    <w:p>
      <w:pPr>
        <w:tabs>
          <w:tab w:val="left" w:pos="0"/>
        </w:tabs>
        <w:spacing w:line="360" w:lineRule="auto"/>
        <w:ind w:firstLine="540" w:firstLineChars="225"/>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项目组实施人员专业人员素质、技术能力、专业分布等情况，</w:t>
      </w:r>
      <w:r>
        <w:rPr>
          <w:rFonts w:hint="eastAsia" w:ascii="仿宋_GB2312" w:hAnsi="仿宋" w:eastAsia="仿宋_GB2312"/>
          <w:color w:val="auto"/>
          <w:sz w:val="24"/>
          <w:highlight w:val="none"/>
        </w:rPr>
        <w:t>具有类似项目建设经验</w:t>
      </w:r>
      <w:bookmarkStart w:id="403" w:name="_Hlk57157896"/>
      <w:r>
        <w:rPr>
          <w:rFonts w:hint="eastAsia" w:ascii="仿宋_GB2312" w:hAnsi="仿宋" w:eastAsia="仿宋_GB2312"/>
          <w:color w:val="auto"/>
          <w:sz w:val="24"/>
          <w:highlight w:val="none"/>
        </w:rPr>
        <w:t>（</w:t>
      </w:r>
      <w:bookmarkStart w:id="404" w:name="_Hlk57154876"/>
      <w:r>
        <w:rPr>
          <w:rFonts w:hint="eastAsia" w:ascii="仿宋_GB2312" w:hAnsi="仿宋" w:eastAsia="仿宋_GB2312"/>
          <w:color w:val="auto"/>
          <w:sz w:val="24"/>
          <w:highlight w:val="none"/>
        </w:rPr>
        <w:t>需提供相关业绩证明材料</w:t>
      </w:r>
      <w:bookmarkEnd w:id="404"/>
      <w:r>
        <w:rPr>
          <w:rFonts w:hint="eastAsia" w:ascii="仿宋_GB2312" w:hAnsi="仿宋" w:eastAsia="仿宋_GB2312"/>
          <w:color w:val="auto"/>
          <w:sz w:val="24"/>
          <w:highlight w:val="none"/>
        </w:rPr>
        <w:t>）</w:t>
      </w:r>
      <w:bookmarkEnd w:id="403"/>
      <w:r>
        <w:rPr>
          <w:rFonts w:hint="eastAsia" w:ascii="仿宋_GB2312" w:hAnsi="仿宋" w:eastAsia="仿宋_GB2312"/>
          <w:color w:val="auto"/>
          <w:sz w:val="24"/>
          <w:highlight w:val="none"/>
        </w:rPr>
        <w:t>得</w:t>
      </w:r>
      <w:r>
        <w:rPr>
          <w:rFonts w:ascii="仿宋_GB2312" w:hAnsi="仿宋" w:eastAsia="仿宋_GB2312"/>
          <w:color w:val="auto"/>
          <w:sz w:val="24"/>
          <w:highlight w:val="none"/>
        </w:rPr>
        <w:t>2</w:t>
      </w:r>
      <w:r>
        <w:rPr>
          <w:rFonts w:hint="eastAsia" w:ascii="仿宋_GB2312" w:hAnsi="仿宋" w:eastAsia="仿宋_GB2312"/>
          <w:color w:val="auto"/>
          <w:sz w:val="24"/>
          <w:highlight w:val="none"/>
        </w:rPr>
        <w:t>分，否则不得分</w:t>
      </w:r>
      <w:r>
        <w:rPr>
          <w:rFonts w:hint="eastAsia" w:ascii="仿宋_GB2312" w:hAnsi="仿宋_GB2312" w:eastAsia="仿宋_GB2312" w:cs="仿宋_GB2312"/>
          <w:color w:val="auto"/>
          <w:sz w:val="24"/>
          <w:szCs w:val="22"/>
          <w:highlight w:val="none"/>
        </w:rPr>
        <w:t>；具有注册信息安全专业人员资格证书</w:t>
      </w:r>
      <w:r>
        <w:rPr>
          <w:rFonts w:hint="eastAsia" w:ascii="仿宋_GB2312" w:hAnsi="仿宋_GB2312" w:eastAsia="仿宋_GB2312" w:cs="仿宋_GB2312"/>
          <w:color w:val="auto"/>
          <w:sz w:val="24"/>
          <w:highlight w:val="none"/>
        </w:rPr>
        <w:t>、软件设计师证书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szCs w:val="22"/>
          <w:highlight w:val="none"/>
        </w:rPr>
        <w:t>每个证书得1分，最高得2分（4分）。</w:t>
      </w:r>
    </w:p>
    <w:p>
      <w:pPr>
        <w:snapToGrid w:val="0"/>
        <w:spacing w:line="360" w:lineRule="auto"/>
        <w:ind w:firstLine="480" w:firstLineChars="200"/>
        <w:rPr>
          <w:rFonts w:ascii="仿宋_GB2312" w:hAnsi="宋体" w:eastAsia="仿宋_GB2312"/>
          <w:color w:val="auto"/>
          <w:sz w:val="24"/>
          <w:highlight w:val="none"/>
        </w:rPr>
      </w:pPr>
      <w:r>
        <w:rPr>
          <w:rFonts w:hint="eastAsia" w:ascii="仿宋_GB2312" w:hAnsi="仿宋" w:eastAsia="仿宋_GB2312"/>
          <w:color w:val="auto"/>
          <w:sz w:val="24"/>
          <w:highlight w:val="none"/>
        </w:rPr>
        <w:t>注：要求提供所有人员近3个月的社保缴纳清单扫描件和上述人员身份证扫描件及证书扫描件，</w:t>
      </w:r>
      <w:r>
        <w:rPr>
          <w:rFonts w:hint="eastAsia" w:ascii="仿宋_GB2312" w:hAnsi="仿宋_GB2312" w:eastAsia="仿宋_GB2312" w:cs="仿宋_GB2312"/>
          <w:color w:val="auto"/>
          <w:sz w:val="24"/>
          <w:szCs w:val="22"/>
          <w:highlight w:val="none"/>
        </w:rPr>
        <w:t>以上涉及到的</w:t>
      </w:r>
      <w:r>
        <w:rPr>
          <w:rFonts w:hint="eastAsia" w:ascii="仿宋_GB2312" w:hAnsi="仿宋" w:eastAsia="仿宋_GB2312"/>
          <w:color w:val="auto"/>
          <w:sz w:val="24"/>
          <w:highlight w:val="none"/>
        </w:rPr>
        <w:t>证书均需相关政府部门颁发。</w:t>
      </w:r>
      <w:r>
        <w:rPr>
          <w:rFonts w:hint="eastAsia" w:ascii="仿宋_GB2312" w:hAnsi="宋体" w:eastAsia="仿宋_GB2312"/>
          <w:color w:val="auto"/>
          <w:sz w:val="24"/>
          <w:highlight w:val="none"/>
        </w:rPr>
        <w:t xml:space="preserve"> </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（5）培训、测试、试运行和验收（6分）：</w:t>
      </w:r>
    </w:p>
    <w:p>
      <w:pPr>
        <w:spacing w:line="360" w:lineRule="auto"/>
        <w:ind w:firstLine="540" w:firstLineChars="300"/>
        <w:rPr>
          <w:rFonts w:ascii="仿宋_GB2312" w:hAnsi="仿宋" w:eastAsia="仿宋_GB2312"/>
          <w:color w:val="auto"/>
          <w:sz w:val="24"/>
          <w:highlight w:val="none"/>
        </w:rPr>
      </w:pPr>
      <w:r>
        <w:rPr>
          <w:rFonts w:hint="eastAsia" w:ascii="仿宋_GB2312" w:hAnsi="仿宋" w:eastAsia="仿宋_GB2312"/>
          <w:color w:val="auto"/>
          <w:sz w:val="18"/>
          <w:highlight w:val="none"/>
        </w:rPr>
        <w:t xml:space="preserve">● </w:t>
      </w:r>
      <w:r>
        <w:rPr>
          <w:rFonts w:hint="eastAsia" w:ascii="仿宋_GB2312" w:hAnsi="仿宋" w:eastAsia="仿宋_GB2312" w:cs="宋体"/>
          <w:color w:val="auto"/>
          <w:sz w:val="24"/>
          <w:highlight w:val="none"/>
        </w:rPr>
        <w:t>投标人是否提出合理可行的功能测试及验收方案。</w:t>
      </w:r>
      <w:r>
        <w:rPr>
          <w:rFonts w:hint="eastAsia" w:ascii="仿宋_GB2312" w:hAnsi="仿宋" w:eastAsia="仿宋_GB2312" w:cs="宋体"/>
          <w:color w:val="auto"/>
          <w:sz w:val="24"/>
          <w:highlight w:val="none"/>
          <w:lang w:eastAsia="zh-CN"/>
        </w:rPr>
        <w:t>全部</w:t>
      </w:r>
      <w:r>
        <w:rPr>
          <w:rFonts w:hint="eastAsia" w:ascii="仿宋_GB2312" w:hAnsi="仿宋" w:eastAsia="仿宋_GB2312" w:cs="宋体"/>
          <w:color w:val="auto"/>
          <w:sz w:val="24"/>
          <w:highlight w:val="none"/>
        </w:rPr>
        <w:t>满足得</w:t>
      </w:r>
      <w:r>
        <w:rPr>
          <w:rFonts w:hint="eastAsia" w:ascii="仿宋_GB2312" w:hAnsi="仿宋" w:eastAsia="仿宋_GB2312" w:cs="宋体"/>
          <w:color w:val="auto"/>
          <w:sz w:val="24"/>
          <w:highlight w:val="none"/>
          <w:lang w:val="en-US" w:eastAsia="zh-CN"/>
        </w:rPr>
        <w:t>2</w:t>
      </w:r>
      <w:r>
        <w:rPr>
          <w:rFonts w:hint="eastAsia" w:ascii="仿宋_GB2312" w:hAnsi="仿宋" w:eastAsia="仿宋_GB2312" w:cs="宋体"/>
          <w:color w:val="auto"/>
          <w:sz w:val="24"/>
          <w:highlight w:val="none"/>
        </w:rPr>
        <w:t>分，</w:t>
      </w:r>
      <w:r>
        <w:rPr>
          <w:rFonts w:hint="eastAsia" w:ascii="仿宋_GB2312" w:hAnsi="仿宋" w:eastAsia="仿宋_GB2312" w:cs="宋体"/>
          <w:color w:val="auto"/>
          <w:sz w:val="24"/>
          <w:highlight w:val="none"/>
          <w:lang w:eastAsia="zh-CN"/>
        </w:rPr>
        <w:t>部分满足得</w:t>
      </w:r>
      <w:r>
        <w:rPr>
          <w:rFonts w:hint="eastAsia" w:ascii="仿宋_GB2312" w:hAnsi="仿宋" w:eastAsia="仿宋_GB2312" w:cs="宋体"/>
          <w:color w:val="auto"/>
          <w:sz w:val="24"/>
          <w:highlight w:val="none"/>
          <w:lang w:val="en-US" w:eastAsia="zh-CN"/>
        </w:rPr>
        <w:t>1分，</w:t>
      </w:r>
      <w:r>
        <w:rPr>
          <w:rFonts w:hint="eastAsia" w:ascii="仿宋_GB2312" w:hAnsi="仿宋" w:eastAsia="仿宋_GB2312" w:cs="宋体"/>
          <w:color w:val="auto"/>
          <w:sz w:val="24"/>
          <w:highlight w:val="none"/>
        </w:rPr>
        <w:t>不满足不得分</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分）；</w:t>
      </w:r>
    </w:p>
    <w:p>
      <w:pPr>
        <w:spacing w:line="360" w:lineRule="auto"/>
        <w:ind w:firstLine="540" w:firstLineChars="300"/>
        <w:rPr>
          <w:rFonts w:ascii="仿宋_GB2312" w:hAnsi="仿宋" w:eastAsia="仿宋_GB2312" w:cs="宋体"/>
          <w:color w:val="auto"/>
          <w:sz w:val="24"/>
          <w:highlight w:val="none"/>
        </w:rPr>
      </w:pPr>
      <w:r>
        <w:rPr>
          <w:rFonts w:hint="eastAsia" w:ascii="仿宋_GB2312" w:hAnsi="仿宋" w:eastAsia="仿宋_GB2312"/>
          <w:color w:val="auto"/>
          <w:sz w:val="18"/>
          <w:highlight w:val="none"/>
        </w:rPr>
        <w:t xml:space="preserve">● </w:t>
      </w:r>
      <w:r>
        <w:rPr>
          <w:rFonts w:hint="eastAsia" w:ascii="仿宋_GB2312" w:hAnsi="仿宋" w:eastAsia="仿宋_GB2312" w:cs="宋体"/>
          <w:color w:val="auto"/>
          <w:sz w:val="24"/>
          <w:highlight w:val="none"/>
        </w:rPr>
        <w:t>培训计划包括培训内容、培训时间地点、培训对象，培训师资力量等；根据投标方案内容进行评分，每一项符合采购人要求得0.5分，共2分（2分）；</w:t>
      </w:r>
    </w:p>
    <w:p>
      <w:pPr>
        <w:spacing w:line="360" w:lineRule="auto"/>
        <w:ind w:firstLine="540" w:firstLineChars="300"/>
        <w:rPr>
          <w:rFonts w:ascii="仿宋_GB2312" w:hAnsi="仿宋" w:eastAsia="仿宋_GB2312" w:cs="宋体"/>
          <w:color w:val="auto"/>
          <w:sz w:val="24"/>
          <w:highlight w:val="none"/>
        </w:rPr>
      </w:pPr>
      <w:r>
        <w:rPr>
          <w:rFonts w:hint="eastAsia" w:ascii="仿宋_GB2312" w:hAnsi="仿宋" w:eastAsia="仿宋_GB2312"/>
          <w:color w:val="auto"/>
          <w:sz w:val="18"/>
          <w:highlight w:val="none"/>
        </w:rPr>
        <w:t xml:space="preserve">● </w:t>
      </w:r>
      <w:r>
        <w:rPr>
          <w:rFonts w:hint="eastAsia" w:ascii="仿宋_GB2312" w:hAnsi="仿宋" w:eastAsia="仿宋_GB2312" w:cs="宋体"/>
          <w:color w:val="auto"/>
          <w:sz w:val="24"/>
          <w:highlight w:val="none"/>
        </w:rPr>
        <w:t>投标人承诺提供</w:t>
      </w:r>
      <w:r>
        <w:rPr>
          <w:rFonts w:hint="eastAsia" w:ascii="仿宋_GB2312" w:eastAsia="仿宋_GB2312" w:cs="MT Extra"/>
          <w:color w:val="auto"/>
          <w:sz w:val="24"/>
          <w:szCs w:val="20"/>
          <w:highlight w:val="none"/>
        </w:rPr>
        <w:t>用户使用手册的得</w:t>
      </w:r>
      <w:r>
        <w:rPr>
          <w:rFonts w:ascii="仿宋_GB2312" w:eastAsia="仿宋_GB2312" w:cs="MT Extra"/>
          <w:color w:val="auto"/>
          <w:sz w:val="24"/>
          <w:szCs w:val="20"/>
          <w:highlight w:val="none"/>
        </w:rPr>
        <w:t>2</w:t>
      </w:r>
      <w:r>
        <w:rPr>
          <w:rFonts w:hint="eastAsia" w:ascii="仿宋_GB2312" w:eastAsia="仿宋_GB2312" w:cs="MT Extra"/>
          <w:color w:val="auto"/>
          <w:sz w:val="24"/>
          <w:szCs w:val="20"/>
          <w:highlight w:val="none"/>
        </w:rPr>
        <w:t>分，不承诺不得分（</w:t>
      </w:r>
      <w:r>
        <w:rPr>
          <w:rFonts w:ascii="仿宋_GB2312" w:eastAsia="仿宋_GB2312" w:cs="MT Extra"/>
          <w:color w:val="auto"/>
          <w:sz w:val="24"/>
          <w:szCs w:val="20"/>
          <w:highlight w:val="none"/>
        </w:rPr>
        <w:t>2</w:t>
      </w:r>
      <w:r>
        <w:rPr>
          <w:rFonts w:hint="eastAsia" w:ascii="仿宋_GB2312" w:eastAsia="仿宋_GB2312" w:cs="MT Extra"/>
          <w:color w:val="auto"/>
          <w:sz w:val="24"/>
          <w:szCs w:val="20"/>
          <w:highlight w:val="none"/>
        </w:rPr>
        <w:t>分）。</w:t>
      </w:r>
    </w:p>
    <w:p>
      <w:pPr>
        <w:snapToGrid w:val="0"/>
        <w:spacing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（6）质量保证措施和建设工期情况（3分）：</w:t>
      </w:r>
    </w:p>
    <w:p>
      <w:pPr>
        <w:snapToGrid w:val="0"/>
        <w:spacing w:line="360" w:lineRule="auto"/>
        <w:ind w:firstLine="360" w:firstLineChars="200"/>
        <w:rPr>
          <w:rFonts w:ascii="仿宋_GB2312" w:hAnsi="仿宋" w:eastAsia="仿宋_GB2312" w:cs="宋体"/>
          <w:color w:val="auto"/>
          <w:kern w:val="0"/>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s="宋体"/>
          <w:color w:val="auto"/>
          <w:kern w:val="0"/>
          <w:sz w:val="24"/>
          <w:highlight w:val="none"/>
        </w:rPr>
        <w:t>投标人按采购人要求有明确的建设质量目标，质量保证措施，并具有详细可行的实施内容及工期保证等（满足得2分，不满足得0分）（2分）；</w:t>
      </w:r>
    </w:p>
    <w:p>
      <w:pPr>
        <w:snapToGrid w:val="0"/>
        <w:spacing w:line="360" w:lineRule="auto"/>
        <w:ind w:firstLine="360" w:firstLineChars="200"/>
        <w:rPr>
          <w:rFonts w:ascii="仿宋_GB2312" w:hAnsi="仿宋" w:eastAsia="仿宋_GB2312" w:cs="宋体"/>
          <w:color w:val="auto"/>
          <w:kern w:val="0"/>
          <w:sz w:val="24"/>
          <w:highlight w:val="none"/>
        </w:rPr>
      </w:pPr>
      <w:r>
        <w:rPr>
          <w:rFonts w:hint="eastAsia" w:ascii="仿宋_GB2312" w:hAnsi="仿宋" w:eastAsia="仿宋_GB2312"/>
          <w:color w:val="auto"/>
          <w:sz w:val="18"/>
          <w:szCs w:val="18"/>
          <w:highlight w:val="none"/>
        </w:rPr>
        <w:t xml:space="preserve">● </w:t>
      </w:r>
      <w:r>
        <w:rPr>
          <w:rFonts w:hint="eastAsia" w:ascii="仿宋_GB2312" w:hAnsi="仿宋" w:eastAsia="仿宋_GB2312" w:cs="宋体"/>
          <w:color w:val="auto"/>
          <w:kern w:val="0"/>
          <w:sz w:val="24"/>
          <w:highlight w:val="none"/>
        </w:rPr>
        <w:t>投标方案是否提出符合招标文件和采购人要求，按期完成上线运行、验收等措施（满足得1分，不满足得0分）（1分）。</w:t>
      </w:r>
    </w:p>
    <w:p>
      <w:pPr>
        <w:snapToGrid w:val="0"/>
        <w:spacing w:line="360" w:lineRule="auto"/>
        <w:ind w:firstLine="482" w:firstLineChars="200"/>
        <w:rPr>
          <w:rFonts w:hint="eastAsia" w:ascii="仿宋_GB2312" w:hAnsi="宋体" w:eastAsia="仿宋_GB2312" w:cs="宋体"/>
          <w:b/>
          <w:bCs/>
          <w:color w:val="auto"/>
          <w:sz w:val="24"/>
          <w:highlight w:val="none"/>
        </w:rPr>
      </w:pPr>
      <w:r>
        <w:rPr>
          <w:rFonts w:hint="eastAsia" w:ascii="仿宋_GB2312" w:hAnsi="宋体" w:eastAsia="仿宋_GB2312" w:cs="宋体"/>
          <w:b/>
          <w:bCs/>
          <w:color w:val="auto"/>
          <w:sz w:val="24"/>
          <w:highlight w:val="none"/>
        </w:rPr>
        <w:t>C、投标人的业绩情况（C=</w:t>
      </w:r>
      <w:r>
        <w:rPr>
          <w:rFonts w:hint="eastAsia" w:ascii="仿宋_GB2312" w:hAnsi="宋体" w:eastAsia="仿宋_GB2312" w:cs="宋体"/>
          <w:b/>
          <w:color w:val="auto"/>
          <w:sz w:val="24"/>
          <w:highlight w:val="none"/>
          <w:u w:val="single"/>
        </w:rPr>
        <w:t>5</w:t>
      </w:r>
      <w:r>
        <w:rPr>
          <w:rFonts w:hint="eastAsia" w:ascii="仿宋_GB2312" w:hAnsi="宋体" w:eastAsia="仿宋_GB2312" w:cs="宋体"/>
          <w:b/>
          <w:bCs/>
          <w:color w:val="auto"/>
          <w:sz w:val="24"/>
          <w:highlight w:val="none"/>
        </w:rPr>
        <w:t>分）：主要包含投标人的类似项目建设经验等方面的因素。评审要点为：</w:t>
      </w:r>
    </w:p>
    <w:p>
      <w:pPr>
        <w:snapToGrid w:val="0"/>
        <w:spacing w:line="360" w:lineRule="auto"/>
        <w:ind w:firstLine="482" w:firstLineChars="200"/>
        <w:rPr>
          <w:rFonts w:hint="eastAsia" w:ascii="仿宋_GB2312" w:hAnsi="仿宋" w:eastAsia="仿宋_GB2312" w:cs="仿宋"/>
          <w:color w:val="auto"/>
          <w:sz w:val="24"/>
          <w:szCs w:val="24"/>
          <w:highlight w:val="none"/>
        </w:rPr>
      </w:pPr>
      <w:r>
        <w:rPr>
          <w:rFonts w:hint="eastAsia" w:ascii="仿宋_GB2312" w:hAnsi="宋体" w:eastAsia="仿宋_GB2312" w:cs="宋体"/>
          <w:b/>
          <w:color w:val="auto"/>
          <w:sz w:val="24"/>
          <w:szCs w:val="24"/>
          <w:highlight w:val="none"/>
        </w:rPr>
        <w:t>（1）</w:t>
      </w:r>
      <w:r>
        <w:rPr>
          <w:rFonts w:hint="eastAsia" w:ascii="仿宋_GB2312" w:hAnsi="仿宋" w:eastAsia="仿宋_GB2312" w:cs="仿宋_GB2312"/>
          <w:b/>
          <w:color w:val="auto"/>
          <w:sz w:val="24"/>
          <w:szCs w:val="24"/>
          <w:highlight w:val="none"/>
        </w:rPr>
        <w:t>投标人类似项目建设的成功经验（5分）：</w:t>
      </w:r>
      <w:r>
        <w:rPr>
          <w:rFonts w:hint="eastAsia" w:ascii="MS Mincho" w:hAnsi="MS Mincho" w:eastAsia="MS Mincho" w:cs="MS Mincho"/>
          <w:bCs/>
          <w:color w:val="auto"/>
          <w:sz w:val="24"/>
          <w:szCs w:val="24"/>
          <w:highlight w:val="none"/>
        </w:rPr>
        <w:t> </w:t>
      </w:r>
      <w:r>
        <w:rPr>
          <w:rFonts w:hint="eastAsia" w:ascii="仿宋_GB2312" w:hAnsi="仿宋_GB2312" w:eastAsia="仿宋_GB2312" w:cs="仿宋_GB2312"/>
          <w:bCs/>
          <w:color w:val="auto"/>
          <w:sz w:val="24"/>
          <w:szCs w:val="24"/>
          <w:highlight w:val="none"/>
        </w:rPr>
        <w:t>截止投标时间前三年，投标人承担类似项目实施的经验情况。依照投标人提供的合同、合格的用户验收报告。只提供合同的案例（以合同签订时间为准），每个得</w:t>
      </w:r>
      <w:r>
        <w:rPr>
          <w:rFonts w:ascii="仿宋_GB2312" w:hAnsi="仿宋_GB2312" w:eastAsia="仿宋_GB2312" w:cs="仿宋_GB2312"/>
          <w:bCs/>
          <w:color w:val="auto"/>
          <w:sz w:val="24"/>
          <w:szCs w:val="24"/>
          <w:highlight w:val="none"/>
        </w:rPr>
        <w:t>0.5</w:t>
      </w:r>
      <w:r>
        <w:rPr>
          <w:rFonts w:hint="eastAsia" w:ascii="仿宋_GB2312" w:hAnsi="仿宋_GB2312" w:eastAsia="仿宋_GB2312" w:cs="仿宋_GB2312"/>
          <w:bCs/>
          <w:color w:val="auto"/>
          <w:sz w:val="24"/>
          <w:szCs w:val="24"/>
          <w:highlight w:val="none"/>
        </w:rPr>
        <w:t>分，最高得2.5分；同时提供合同和合格的用户验收报告的案例（以验收报告时间为准），每个得</w:t>
      </w:r>
      <w:r>
        <w:rPr>
          <w:rFonts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rPr>
        <w:t>分，最高得5分。</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Pr>
          <w:rFonts w:hint="eastAsia" w:ascii="仿宋_GB2312" w:hAnsi="仿宋" w:eastAsia="仿宋_GB2312" w:cs="仿宋_GB2312"/>
          <w:color w:val="auto"/>
          <w:sz w:val="24"/>
          <w:szCs w:val="24"/>
          <w:highlight w:val="none"/>
        </w:rPr>
        <w:t>】，是否有良好的工作业绩和履约记录</w:t>
      </w:r>
      <w:r>
        <w:rPr>
          <w:rFonts w:hint="eastAsia" w:ascii="仿宋_GB2312" w:hAnsi="仿宋" w:eastAsia="仿宋_GB2312" w:cs="仿宋_GB2312"/>
          <w:color w:val="auto"/>
          <w:sz w:val="24"/>
          <w:szCs w:val="24"/>
          <w:highlight w:val="none"/>
          <w:lang w:val="zh-CN"/>
        </w:rPr>
        <w:t>等情况</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kern w:val="0"/>
          <w:sz w:val="24"/>
          <w:szCs w:val="24"/>
          <w:highlight w:val="none"/>
        </w:rPr>
        <w:t>以分包方式履行政府采购合同的，还需提供该项目采购方同意分包的证明材料;</w:t>
      </w:r>
      <w:r>
        <w:rPr>
          <w:rFonts w:hint="eastAsia" w:ascii="仿宋_GB2312" w:hAnsi="仿宋" w:eastAsia="仿宋_GB2312" w:cs="仿宋_GB2312"/>
          <w:b/>
          <w:color w:val="auto"/>
          <w:sz w:val="24"/>
          <w:szCs w:val="24"/>
          <w:highlight w:val="none"/>
        </w:rPr>
        <w:t>如投标人提供的合同复印件等实施项目证明材料与投标主体无关或违规转包分包的，评标委员会将进行扣分直至认定投标无效</w:t>
      </w:r>
      <w:r>
        <w:rPr>
          <w:rFonts w:hint="eastAsia" w:ascii="仿宋_GB2312" w:hAnsi="仿宋" w:eastAsia="仿宋_GB2312" w:cs="Arial"/>
          <w:b/>
          <w:snapToGrid w:val="0"/>
          <w:color w:val="auto"/>
          <w:kern w:val="0"/>
          <w:sz w:val="24"/>
          <w:szCs w:val="24"/>
          <w:highlight w:val="none"/>
        </w:rPr>
        <w:t>。</w:t>
      </w:r>
    </w:p>
    <w:p>
      <w:pPr>
        <w:snapToGrid w:val="0"/>
        <w:spacing w:line="360" w:lineRule="auto"/>
        <w:ind w:firstLine="467" w:firstLineChars="194"/>
        <w:rPr>
          <w:rFonts w:hint="eastAsia" w:ascii="仿宋_GB2312" w:eastAsia="仿宋_GB2312"/>
          <w:color w:val="auto"/>
          <w:sz w:val="24"/>
          <w:szCs w:val="24"/>
          <w:highlight w:val="none"/>
        </w:rPr>
      </w:pPr>
      <w:r>
        <w:rPr>
          <w:rFonts w:hint="eastAsia" w:ascii="仿宋_GB2312" w:hAnsi="仿宋_GB2312" w:eastAsia="仿宋_GB2312" w:cs="仿宋_GB2312"/>
          <w:b/>
          <w:color w:val="auto"/>
          <w:sz w:val="24"/>
          <w:szCs w:val="24"/>
          <w:highlight w:val="none"/>
        </w:rPr>
        <w:t>综合得分=A+B+C</w:t>
      </w:r>
      <w:r>
        <w:rPr>
          <w:rFonts w:hint="eastAsia" w:ascii="仿宋_GB2312" w:hAnsi="仿宋" w:eastAsia="仿宋_GB2312" w:cs="仿宋_GB2312"/>
          <w:b/>
          <w:color w:val="auto"/>
          <w:sz w:val="24"/>
          <w:szCs w:val="24"/>
          <w:highlight w:val="none"/>
        </w:rPr>
        <w:t>。精确到小数点后两位。</w:t>
      </w:r>
    </w:p>
    <w:p>
      <w:pPr>
        <w:spacing w:line="360" w:lineRule="auto"/>
        <w:ind w:left="720" w:firstLine="723" w:firstLineChars="200"/>
        <w:outlineLvl w:val="0"/>
        <w:rPr>
          <w:rFonts w:hint="eastAsia" w:ascii="仿宋_GB2312" w:hAnsi="仿宋" w:eastAsia="仿宋_GB2312" w:cs="仿宋_GB2312"/>
          <w:b/>
          <w:color w:val="auto"/>
          <w:sz w:val="36"/>
          <w:szCs w:val="36"/>
          <w:highlight w:val="none"/>
        </w:rPr>
      </w:pPr>
      <w:r>
        <w:rPr>
          <w:rFonts w:hint="eastAsia" w:ascii="仿宋_GB2312" w:hAnsi="仿宋" w:eastAsia="仿宋_GB2312" w:cs="仿宋"/>
          <w:b/>
          <w:color w:val="auto"/>
          <w:sz w:val="36"/>
          <w:szCs w:val="36"/>
          <w:highlight w:val="none"/>
        </w:rPr>
        <w:br w:type="page"/>
      </w:r>
      <w:bookmarkEnd w:id="34"/>
      <w:bookmarkStart w:id="405" w:name="第五部分"/>
      <w:bookmarkStart w:id="406" w:name="_Toc86217003"/>
      <w:r>
        <w:rPr>
          <w:rFonts w:hint="eastAsia" w:ascii="仿宋_GB2312" w:hAnsi="仿宋" w:eastAsia="仿宋_GB2312" w:cs="仿宋_GB2312"/>
          <w:b/>
          <w:color w:val="auto"/>
          <w:sz w:val="36"/>
          <w:szCs w:val="36"/>
          <w:highlight w:val="none"/>
        </w:rPr>
        <w:t>第五部分 拟签订的合同文本</w:t>
      </w:r>
    </w:p>
    <w:p>
      <w:pPr>
        <w:spacing w:line="360" w:lineRule="auto"/>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合同编号：</w:t>
      </w:r>
      <w:r>
        <w:rPr>
          <w:rFonts w:hint="eastAsia" w:ascii="仿宋_GB2312" w:hAnsi="楷体" w:eastAsia="仿宋_GB2312"/>
          <w:color w:val="auto"/>
          <w:sz w:val="24"/>
          <w:highlight w:val="none"/>
          <w:u w:val="single"/>
        </w:rPr>
        <w:t xml:space="preserve">           </w:t>
      </w:r>
    </w:p>
    <w:p>
      <w:pPr>
        <w:pStyle w:val="640"/>
        <w:rPr>
          <w:rFonts w:hint="eastAsia" w:ascii="仿宋_GB2312" w:hAnsi="楷体" w:eastAsia="仿宋_GB2312"/>
          <w:color w:val="auto"/>
          <w:szCs w:val="24"/>
          <w:highlight w:val="none"/>
        </w:rPr>
      </w:pPr>
    </w:p>
    <w:p>
      <w:pPr>
        <w:pStyle w:val="640"/>
        <w:rPr>
          <w:rFonts w:hint="eastAsia" w:ascii="仿宋_GB2312" w:hAnsi="楷体" w:eastAsia="仿宋_GB2312"/>
          <w:color w:val="auto"/>
          <w:szCs w:val="24"/>
          <w:highlight w:val="none"/>
        </w:rPr>
      </w:pPr>
    </w:p>
    <w:p>
      <w:pPr>
        <w:spacing w:before="120" w:line="360" w:lineRule="auto"/>
        <w:rPr>
          <w:rFonts w:hint="eastAsia" w:ascii="仿宋_GB2312" w:hAnsi="楷体" w:eastAsia="仿宋_GB2312"/>
          <w:color w:val="auto"/>
          <w:sz w:val="24"/>
          <w:highlight w:val="none"/>
        </w:rPr>
      </w:pPr>
    </w:p>
    <w:p>
      <w:pPr>
        <w:spacing w:before="120" w:line="360" w:lineRule="auto"/>
        <w:ind w:left="96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项目名称：</w:t>
      </w:r>
      <w:r>
        <w:rPr>
          <w:rFonts w:hint="eastAsia" w:ascii="仿宋_GB2312" w:hAnsi="楷体" w:eastAsia="仿宋_GB2312"/>
          <w:color w:val="auto"/>
          <w:sz w:val="24"/>
          <w:highlight w:val="none"/>
          <w:u w:val="single"/>
        </w:rPr>
        <w:t xml:space="preserve">                                       </w:t>
      </w:r>
    </w:p>
    <w:p>
      <w:pPr>
        <w:pStyle w:val="491"/>
        <w:spacing w:before="120"/>
        <w:rPr>
          <w:rFonts w:hint="eastAsia" w:hAnsi="楷体"/>
          <w:color w:val="auto"/>
          <w:szCs w:val="24"/>
          <w:highlight w:val="none"/>
        </w:rPr>
      </w:pPr>
    </w:p>
    <w:p>
      <w:pPr>
        <w:pStyle w:val="491"/>
        <w:spacing w:before="120"/>
        <w:rPr>
          <w:rFonts w:hint="eastAsia" w:hAnsi="楷体"/>
          <w:color w:val="auto"/>
          <w:szCs w:val="24"/>
          <w:highlight w:val="none"/>
        </w:rPr>
      </w:pPr>
    </w:p>
    <w:p>
      <w:pPr>
        <w:spacing w:line="360" w:lineRule="auto"/>
        <w:rPr>
          <w:rFonts w:hint="eastAsia" w:ascii="仿宋_GB2312" w:eastAsia="仿宋_GB2312"/>
          <w:color w:val="auto"/>
          <w:sz w:val="24"/>
          <w:highlight w:val="none"/>
        </w:rPr>
      </w:pPr>
    </w:p>
    <w:p>
      <w:pPr>
        <w:spacing w:before="120" w:line="360" w:lineRule="auto"/>
        <w:ind w:left="96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甲方：</w:t>
      </w:r>
      <w:r>
        <w:rPr>
          <w:rFonts w:hint="eastAsia" w:ascii="仿宋_GB2312" w:hAnsi="楷体" w:eastAsia="仿宋_GB2312"/>
          <w:color w:val="auto"/>
          <w:sz w:val="24"/>
          <w:highlight w:val="none"/>
          <w:u w:val="single"/>
        </w:rPr>
        <w:t xml:space="preserve">                                       </w:t>
      </w:r>
    </w:p>
    <w:p>
      <w:pPr>
        <w:spacing w:before="120" w:line="360" w:lineRule="auto"/>
        <w:rPr>
          <w:rFonts w:hint="eastAsia" w:ascii="仿宋_GB2312" w:hAnsi="楷体" w:eastAsia="仿宋_GB2312"/>
          <w:color w:val="auto"/>
          <w:sz w:val="24"/>
          <w:highlight w:val="none"/>
        </w:rPr>
      </w:pPr>
    </w:p>
    <w:p>
      <w:pPr>
        <w:spacing w:before="120" w:line="360" w:lineRule="auto"/>
        <w:ind w:left="96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乙方：</w:t>
      </w:r>
      <w:r>
        <w:rPr>
          <w:rFonts w:hint="eastAsia" w:ascii="仿宋_GB2312" w:hAnsi="楷体" w:eastAsia="仿宋_GB2312"/>
          <w:color w:val="auto"/>
          <w:sz w:val="24"/>
          <w:highlight w:val="none"/>
          <w:u w:val="single"/>
        </w:rPr>
        <w:t xml:space="preserve">                                       </w:t>
      </w:r>
    </w:p>
    <w:p>
      <w:pPr>
        <w:spacing w:before="120" w:line="360" w:lineRule="auto"/>
        <w:rPr>
          <w:rFonts w:hint="eastAsia" w:ascii="仿宋_GB2312" w:hAnsi="楷体" w:eastAsia="仿宋_GB2312"/>
          <w:color w:val="auto"/>
          <w:sz w:val="24"/>
          <w:highlight w:val="none"/>
        </w:rPr>
      </w:pPr>
    </w:p>
    <w:p>
      <w:pPr>
        <w:spacing w:before="120" w:line="360" w:lineRule="auto"/>
        <w:ind w:firstLine="960" w:firstLineChars="4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签订地：</w:t>
      </w:r>
      <w:r>
        <w:rPr>
          <w:rFonts w:hint="eastAsia" w:ascii="仿宋_GB2312" w:hAnsi="楷体" w:eastAsia="仿宋_GB2312"/>
          <w:color w:val="auto"/>
          <w:sz w:val="24"/>
          <w:highlight w:val="none"/>
          <w:u w:val="single"/>
        </w:rPr>
        <w:t xml:space="preserve">                                     </w:t>
      </w:r>
    </w:p>
    <w:p>
      <w:pPr>
        <w:spacing w:before="120" w:line="360" w:lineRule="auto"/>
        <w:rPr>
          <w:rFonts w:hint="eastAsia" w:ascii="仿宋_GB2312" w:hAnsi="楷体" w:eastAsia="仿宋_GB2312"/>
          <w:color w:val="auto"/>
          <w:sz w:val="24"/>
          <w:highlight w:val="none"/>
        </w:rPr>
      </w:pPr>
    </w:p>
    <w:p>
      <w:pPr>
        <w:spacing w:before="120" w:line="360" w:lineRule="auto"/>
        <w:ind w:firstLine="960" w:firstLineChars="4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pPr>
        <w:autoSpaceDE w:val="0"/>
        <w:autoSpaceDN w:val="0"/>
        <w:spacing w:line="360" w:lineRule="auto"/>
        <w:ind w:firstLine="640"/>
        <w:jc w:val="center"/>
        <w:rPr>
          <w:rFonts w:hint="eastAsia" w:ascii="仿宋_GB2312" w:hAnsi="宋体" w:eastAsia="仿宋_GB2312"/>
          <w:color w:val="auto"/>
          <w:sz w:val="24"/>
          <w:highlight w:val="none"/>
        </w:rPr>
        <w:sectPr>
          <w:headerReference r:id="rId8" w:type="default"/>
          <w:footerReference r:id="rId9" w:type="default"/>
          <w:pgSz w:w="11907" w:h="16840"/>
          <w:pgMar w:top="1474" w:right="1814" w:bottom="1474" w:left="1814" w:header="851" w:footer="851" w:gutter="0"/>
          <w:cols w:space="720" w:num="1"/>
          <w:docGrid w:linePitch="462" w:charSpace="0"/>
        </w:sectPr>
      </w:pPr>
    </w:p>
    <w:p>
      <w:pPr>
        <w:pStyle w:val="640"/>
        <w:ind w:firstLine="482"/>
        <w:jc w:val="center"/>
        <w:rPr>
          <w:rFonts w:hint="eastAsia" w:ascii="仿宋_GB2312" w:hAnsi="楷体" w:eastAsia="仿宋_GB2312"/>
          <w:b/>
          <w:color w:val="auto"/>
          <w:szCs w:val="24"/>
          <w:highlight w:val="none"/>
        </w:rPr>
      </w:pPr>
      <w:r>
        <w:rPr>
          <w:rFonts w:hint="eastAsia" w:ascii="仿宋_GB2312" w:hAnsi="楷体" w:eastAsia="仿宋_GB2312"/>
          <w:b/>
          <w:color w:val="auto"/>
          <w:szCs w:val="24"/>
          <w:highlight w:val="none"/>
        </w:rPr>
        <w:t>第一部分 合同书</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（单位名称）</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为该项目中标人。现于中标通知书发出之日起三十日内，按照采购文件确定的事项签订本合同。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根据《中华人民共和国民法典法》、《中华人民共和国政府采购法》等相关法律法规之规定，按照平等、自愿、公平和诚实信用的原则，经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（采购人名称）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pPr>
        <w:spacing w:line="360" w:lineRule="auto"/>
        <w:ind w:firstLine="482" w:firstLineChars="200"/>
        <w:outlineLvl w:val="0"/>
        <w:rPr>
          <w:rFonts w:hint="eastAsia" w:ascii="仿宋_GB2312" w:hAnsi="楷体" w:eastAsia="仿宋_GB2312"/>
          <w:b/>
          <w:color w:val="auto"/>
          <w:sz w:val="24"/>
          <w:highlight w:val="none"/>
        </w:rPr>
      </w:pPr>
      <w:bookmarkStart w:id="407" w:name="_Toc2232"/>
      <w:bookmarkStart w:id="408" w:name="_Toc24059"/>
      <w:bookmarkStart w:id="409" w:name="_Toc3029"/>
      <w:r>
        <w:rPr>
          <w:rFonts w:hint="eastAsia" w:ascii="仿宋_GB2312" w:hAnsi="楷体" w:eastAsia="仿宋_GB2312"/>
          <w:b/>
          <w:color w:val="auto"/>
          <w:sz w:val="24"/>
          <w:highlight w:val="none"/>
        </w:rPr>
        <w:t>1.1 合同组成部分</w:t>
      </w:r>
      <w:bookmarkEnd w:id="407"/>
      <w:bookmarkEnd w:id="408"/>
      <w:bookmarkEnd w:id="409"/>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pPr>
        <w:spacing w:line="360" w:lineRule="auto"/>
        <w:ind w:firstLine="482" w:firstLineChars="200"/>
        <w:outlineLvl w:val="0"/>
        <w:rPr>
          <w:rFonts w:hint="eastAsia" w:ascii="仿宋_GB2312" w:hAnsi="楷体" w:eastAsia="仿宋_GB2312"/>
          <w:b/>
          <w:color w:val="auto"/>
          <w:sz w:val="24"/>
          <w:highlight w:val="none"/>
        </w:rPr>
      </w:pPr>
      <w:bookmarkStart w:id="410" w:name="_Toc24300"/>
      <w:bookmarkStart w:id="411" w:name="_Toc27126"/>
      <w:bookmarkStart w:id="412" w:name="_Toc21295"/>
      <w:r>
        <w:rPr>
          <w:rFonts w:hint="eastAsia" w:ascii="仿宋_GB2312" w:hAnsi="楷体" w:eastAsia="仿宋_GB2312"/>
          <w:b/>
          <w:color w:val="auto"/>
          <w:sz w:val="24"/>
          <w:highlight w:val="none"/>
        </w:rPr>
        <w:t>1.2 标的物</w:t>
      </w:r>
      <w:bookmarkEnd w:id="410"/>
      <w:bookmarkEnd w:id="411"/>
      <w:bookmarkEnd w:id="412"/>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 标的物名称：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1.2.2 标的物数量：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1.2.3 标的物质量：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13" w:name="_Toc23292"/>
      <w:bookmarkStart w:id="414" w:name="_Toc21631"/>
      <w:bookmarkStart w:id="415" w:name="_Toc21551"/>
      <w:r>
        <w:rPr>
          <w:rFonts w:hint="eastAsia" w:ascii="仿宋_GB2312" w:hAnsi="楷体" w:eastAsia="仿宋_GB2312"/>
          <w:b/>
          <w:color w:val="auto"/>
          <w:sz w:val="24"/>
          <w:highlight w:val="none"/>
        </w:rPr>
        <w:t>1.3 价款</w:t>
      </w:r>
      <w:bookmarkEnd w:id="413"/>
      <w:bookmarkEnd w:id="414"/>
      <w:bookmarkEnd w:id="41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98"/>
              <w:spacing w:line="360" w:lineRule="auto"/>
              <w:jc w:val="center"/>
              <w:rPr>
                <w:rFonts w:hint="eastAsia" w:ascii="仿宋_GB2312" w:hAnsi="楷体" w:eastAsia="仿宋_GB2312"/>
                <w:color w:val="auto"/>
                <w:sz w:val="24"/>
                <w:szCs w:val="24"/>
                <w:highlight w:val="none"/>
                <w:lang w:val="en-US" w:eastAsia="zh-CN"/>
              </w:rPr>
            </w:pPr>
            <w:r>
              <w:rPr>
                <w:rFonts w:hint="eastAsia" w:ascii="仿宋_GB2312" w:hAnsi="楷体" w:eastAsia="仿宋_GB2312"/>
                <w:color w:val="auto"/>
                <w:sz w:val="24"/>
                <w:szCs w:val="24"/>
                <w:highlight w:val="none"/>
                <w:lang w:val="en-US" w:eastAsia="zh-CN"/>
              </w:rPr>
              <w:t>序号</w:t>
            </w:r>
          </w:p>
        </w:tc>
        <w:tc>
          <w:tcPr>
            <w:tcW w:w="3402"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r>
              <w:rPr>
                <w:rFonts w:hint="eastAsia" w:ascii="仿宋_GB2312" w:hAnsi="楷体" w:eastAsia="仿宋_GB2312"/>
                <w:color w:val="auto"/>
                <w:sz w:val="24"/>
                <w:szCs w:val="24"/>
                <w:highlight w:val="none"/>
                <w:lang w:val="en-US" w:eastAsia="zh-CN"/>
              </w:rPr>
              <w:t>分项名称</w:t>
            </w:r>
          </w:p>
        </w:tc>
        <w:tc>
          <w:tcPr>
            <w:tcW w:w="2552" w:type="dxa"/>
            <w:noWrap w:val="0"/>
            <w:vAlign w:val="center"/>
          </w:tcPr>
          <w:p>
            <w:pPr>
              <w:pStyle w:val="298"/>
              <w:spacing w:line="360" w:lineRule="auto"/>
              <w:jc w:val="center"/>
              <w:rPr>
                <w:rFonts w:hint="eastAsia" w:ascii="仿宋_GB2312" w:hAnsi="楷体" w:eastAsia="仿宋_GB2312"/>
                <w:color w:val="auto"/>
                <w:sz w:val="24"/>
                <w:szCs w:val="24"/>
                <w:highlight w:val="none"/>
                <w:lang w:val="en-US" w:eastAsia="zh-CN"/>
              </w:rPr>
            </w:pPr>
            <w:r>
              <w:rPr>
                <w:rFonts w:hint="eastAsia" w:ascii="仿宋_GB2312" w:hAnsi="楷体" w:eastAsia="仿宋_GB2312"/>
                <w:color w:val="auto"/>
                <w:sz w:val="24"/>
                <w:szCs w:val="24"/>
                <w:highlight w:val="none"/>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c>
          <w:tcPr>
            <w:tcW w:w="3402"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c>
          <w:tcPr>
            <w:tcW w:w="2552"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c>
          <w:tcPr>
            <w:tcW w:w="3402"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c>
          <w:tcPr>
            <w:tcW w:w="2552"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c>
          <w:tcPr>
            <w:tcW w:w="3402"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c>
          <w:tcPr>
            <w:tcW w:w="2552"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r>
              <w:rPr>
                <w:rFonts w:hint="eastAsia" w:ascii="仿宋_GB2312" w:hAnsi="楷体" w:eastAsia="仿宋_GB2312"/>
                <w:color w:val="auto"/>
                <w:sz w:val="24"/>
                <w:szCs w:val="24"/>
                <w:highlight w:val="none"/>
                <w:lang w:val="en-US" w:eastAsia="zh-CN"/>
              </w:rPr>
              <w:t>总价</w:t>
            </w:r>
          </w:p>
        </w:tc>
        <w:tc>
          <w:tcPr>
            <w:tcW w:w="2552" w:type="dxa"/>
            <w:noWrap w:val="0"/>
            <w:vAlign w:val="center"/>
          </w:tcPr>
          <w:p>
            <w:pPr>
              <w:pStyle w:val="298"/>
              <w:spacing w:line="360" w:lineRule="auto"/>
              <w:ind w:firstLine="200"/>
              <w:jc w:val="center"/>
              <w:rPr>
                <w:rFonts w:hint="eastAsia" w:ascii="仿宋_GB2312" w:hAnsi="楷体" w:eastAsia="仿宋_GB2312"/>
                <w:color w:val="auto"/>
                <w:sz w:val="24"/>
                <w:szCs w:val="24"/>
                <w:highlight w:val="none"/>
                <w:lang w:val="en-US" w:eastAsia="zh-CN"/>
              </w:rPr>
            </w:pPr>
          </w:p>
        </w:tc>
      </w:tr>
    </w:tbl>
    <w:p>
      <w:pPr>
        <w:spacing w:line="360" w:lineRule="auto"/>
        <w:ind w:firstLine="482" w:firstLineChars="200"/>
        <w:outlineLvl w:val="0"/>
        <w:rPr>
          <w:rFonts w:hint="eastAsia" w:ascii="仿宋_GB2312" w:hAnsi="楷体" w:eastAsia="仿宋_GB2312"/>
          <w:b/>
          <w:color w:val="auto"/>
          <w:sz w:val="24"/>
          <w:highlight w:val="none"/>
        </w:rPr>
      </w:pPr>
      <w:bookmarkStart w:id="416" w:name="_Toc10340"/>
      <w:bookmarkStart w:id="417" w:name="_Toc1814"/>
      <w:bookmarkStart w:id="418" w:name="_Toc22618"/>
      <w:r>
        <w:rPr>
          <w:rFonts w:hint="eastAsia" w:ascii="仿宋_GB2312" w:hAnsi="楷体" w:eastAsia="仿宋_GB2312"/>
          <w:b/>
          <w:color w:val="auto"/>
          <w:sz w:val="24"/>
          <w:highlight w:val="none"/>
        </w:rPr>
        <w:t>1.4 付款方式和发票开具方式</w:t>
      </w:r>
      <w:bookmarkEnd w:id="416"/>
      <w:bookmarkEnd w:id="417"/>
      <w:bookmarkEnd w:id="418"/>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分期付款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19" w:name="_Toc19304"/>
      <w:bookmarkStart w:id="420" w:name="_Toc32071"/>
      <w:bookmarkStart w:id="421" w:name="_Toc2846"/>
      <w:r>
        <w:rPr>
          <w:rFonts w:hint="eastAsia" w:ascii="仿宋_GB2312" w:hAnsi="楷体" w:eastAsia="仿宋_GB2312"/>
          <w:b/>
          <w:color w:val="auto"/>
          <w:sz w:val="24"/>
          <w:highlight w:val="none"/>
        </w:rPr>
        <w:t>1.5 标的物交付期限、地点和方式</w:t>
      </w:r>
      <w:bookmarkEnd w:id="419"/>
      <w:bookmarkEnd w:id="420"/>
      <w:bookmarkEnd w:id="421"/>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合同签订后3个月内完成项目，通过初验后1个月完成培训、试运行；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杭州市公安局及其指点地点；</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现场交付　                      　      </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22" w:name="_Toc19554"/>
      <w:bookmarkStart w:id="423" w:name="_Toc21423"/>
      <w:bookmarkStart w:id="424" w:name="_Toc27250"/>
      <w:r>
        <w:rPr>
          <w:rFonts w:hint="eastAsia" w:ascii="仿宋_GB2312" w:hAnsi="楷体" w:eastAsia="仿宋_GB2312"/>
          <w:b/>
          <w:color w:val="auto"/>
          <w:sz w:val="24"/>
          <w:highlight w:val="none"/>
        </w:rPr>
        <w:t>1.6 违约责任</w:t>
      </w:r>
      <w:bookmarkEnd w:id="422"/>
      <w:bookmarkEnd w:id="423"/>
      <w:bookmarkEnd w:id="42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%；迟延交付标的物的违约金计算数额达到前述最高限额之日起，甲方有权在要求乙方支付违约金的同时，书面通知乙方解除本合同；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hint="eastAsia" w:ascii="仿宋_GB2312" w:hAnsi="楷体" w:eastAsia="仿宋_GB2312"/>
          <w:b/>
          <w:color w:val="auto"/>
          <w:sz w:val="24"/>
          <w:highlight w:val="none"/>
        </w:rPr>
      </w:pPr>
      <w:bookmarkStart w:id="425" w:name="_Toc15583"/>
      <w:bookmarkStart w:id="426" w:name="_Toc28375"/>
      <w:bookmarkStart w:id="427" w:name="_Toc16021"/>
      <w:r>
        <w:rPr>
          <w:rFonts w:hint="eastAsia" w:ascii="仿宋_GB2312" w:hAnsi="楷体" w:eastAsia="仿宋_GB2312"/>
          <w:b/>
          <w:color w:val="auto"/>
          <w:sz w:val="24"/>
          <w:highlight w:val="none"/>
        </w:rPr>
        <w:t>1.7 合同争议的解决</w:t>
      </w:r>
      <w:bookmarkEnd w:id="425"/>
      <w:bookmarkEnd w:id="426"/>
      <w:bookmarkEnd w:id="427"/>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2  </w:t>
      </w:r>
      <w:r>
        <w:rPr>
          <w:rFonts w:hint="eastAsia" w:ascii="仿宋_GB2312" w:hAnsi="楷体" w:eastAsia="仿宋_GB2312"/>
          <w:color w:val="auto"/>
          <w:sz w:val="24"/>
          <w:highlight w:val="none"/>
        </w:rPr>
        <w:t>种方式解决：</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杭州</w:t>
      </w:r>
      <w:r>
        <w:rPr>
          <w:rFonts w:hint="eastAsia" w:ascii="仿宋_GB2312" w:hAnsi="楷体" w:eastAsia="仿宋_GB2312"/>
          <w:color w:val="auto"/>
          <w:sz w:val="24"/>
          <w:highlight w:val="none"/>
        </w:rPr>
        <w:t>仲裁委员会依申请仲裁时其现行有效的仲裁规则裁决；</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pPr>
        <w:spacing w:line="360" w:lineRule="auto"/>
        <w:ind w:firstLine="482" w:firstLineChars="200"/>
        <w:outlineLvl w:val="0"/>
        <w:rPr>
          <w:rFonts w:hint="eastAsia" w:ascii="仿宋_GB2312" w:hAnsi="楷体" w:eastAsia="仿宋_GB2312"/>
          <w:b/>
          <w:color w:val="auto"/>
          <w:sz w:val="24"/>
          <w:highlight w:val="none"/>
        </w:rPr>
      </w:pPr>
      <w:bookmarkStart w:id="428" w:name="_Toc7245"/>
      <w:bookmarkStart w:id="429" w:name="_Toc11173"/>
      <w:bookmarkStart w:id="430" w:name="_Toc15322"/>
      <w:r>
        <w:rPr>
          <w:rFonts w:hint="eastAsia" w:ascii="仿宋_GB2312" w:hAnsi="楷体" w:eastAsia="仿宋_GB2312"/>
          <w:b/>
          <w:color w:val="auto"/>
          <w:sz w:val="24"/>
          <w:highlight w:val="none"/>
        </w:rPr>
        <w:t>1.8 合同生效</w:t>
      </w:r>
      <w:bookmarkEnd w:id="428"/>
      <w:bookmarkEnd w:id="429"/>
      <w:bookmarkEnd w:id="430"/>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本合同自双方当事人盖章或者签字时生效。</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pPr>
        <w:autoSpaceDE w:val="0"/>
        <w:autoSpaceDN w:val="0"/>
        <w:spacing w:line="360" w:lineRule="auto"/>
        <w:rPr>
          <w:rFonts w:hint="eastAsia" w:ascii="仿宋_GB2312" w:hAnsi="楷体" w:eastAsia="仿宋_GB2312"/>
          <w:color w:val="auto"/>
          <w:sz w:val="24"/>
          <w:highlight w:val="none"/>
          <w:lang w:val="zh-CN"/>
        </w:rPr>
      </w:pP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pPr>
        <w:autoSpaceDE w:val="0"/>
        <w:autoSpaceDN w:val="0"/>
        <w:spacing w:line="360" w:lineRule="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zh-CN"/>
        </w:rPr>
        <w:t>法定代表人或                             法定代表人</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pPr>
        <w:widowControl/>
        <w:adjustRightInd/>
        <w:jc w:val="center"/>
        <w:rPr>
          <w:rFonts w:hint="eastAsia" w:ascii="仿宋_GB2312" w:hAnsi="楷体" w:eastAsia="仿宋_GB2312"/>
          <w:b/>
          <w:color w:val="auto"/>
          <w:sz w:val="28"/>
          <w:szCs w:val="28"/>
          <w:highlight w:val="none"/>
        </w:rPr>
      </w:pPr>
      <w:bookmarkStart w:id="431" w:name="_Toc331685783"/>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bookmarkEnd w:id="431"/>
    </w:p>
    <w:p>
      <w:pPr>
        <w:spacing w:line="360" w:lineRule="auto"/>
        <w:ind w:firstLine="482" w:firstLineChars="200"/>
        <w:outlineLvl w:val="0"/>
        <w:rPr>
          <w:rFonts w:hint="eastAsia" w:ascii="仿宋_GB2312" w:hAnsi="楷体" w:eastAsia="仿宋_GB2312"/>
          <w:b/>
          <w:color w:val="auto"/>
          <w:sz w:val="24"/>
          <w:highlight w:val="none"/>
        </w:rPr>
      </w:pPr>
      <w:bookmarkStart w:id="432" w:name="_Toc19614"/>
      <w:bookmarkStart w:id="433" w:name="_Toc279701240"/>
      <w:bookmarkStart w:id="434" w:name="_Ref467378404"/>
      <w:bookmarkStart w:id="435" w:name="_Toc28763"/>
      <w:bookmarkStart w:id="436" w:name="_Ref467379094"/>
      <w:bookmarkStart w:id="437" w:name="_Ref467379195"/>
      <w:bookmarkStart w:id="438" w:name="_Ref467379101"/>
      <w:bookmarkStart w:id="439" w:name="_Ref467379109"/>
      <w:bookmarkStart w:id="440" w:name="_Ref467379214"/>
      <w:bookmarkStart w:id="441" w:name="_Toc259093669"/>
      <w:bookmarkStart w:id="442" w:name="_Ref467379225"/>
      <w:bookmarkStart w:id="443" w:name="_Toc16917"/>
      <w:bookmarkStart w:id="444" w:name="_Ref467379205"/>
      <w:bookmarkStart w:id="445" w:name="_Ref467378463"/>
      <w:bookmarkStart w:id="446" w:name="_Toc487900349"/>
      <w:bookmarkStart w:id="447" w:name="_Ref467378499"/>
      <w:r>
        <w:rPr>
          <w:rFonts w:hint="eastAsia" w:ascii="仿宋_GB2312" w:hAnsi="楷体" w:eastAsia="仿宋_GB2312"/>
          <w:b/>
          <w:color w:val="auto"/>
          <w:sz w:val="24"/>
          <w:highlight w:val="none"/>
        </w:rPr>
        <w:t>2.1 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color w:val="auto"/>
          <w:sz w:val="24"/>
          <w:highlight w:val="none"/>
        </w:rPr>
      </w:pPr>
      <w:bookmarkStart w:id="448" w:name="_Ref467378840"/>
      <w:r>
        <w:rPr>
          <w:rFonts w:hint="eastAsia" w:ascii="仿宋_GB2312" w:hAnsi="楷体" w:eastAsia="仿宋_GB2312"/>
          <w:color w:val="auto"/>
          <w:sz w:val="24"/>
          <w:highlight w:val="none"/>
        </w:rPr>
        <w:t>2.1.4 “甲方”系指与中标人签署合同的采购人</w:t>
      </w:r>
      <w:bookmarkEnd w:id="448"/>
      <w:r>
        <w:rPr>
          <w:rFonts w:hint="eastAsia" w:ascii="仿宋_GB2312" w:hAnsi="楷体" w:eastAsia="仿宋_GB2312"/>
          <w:color w:val="auto"/>
          <w:sz w:val="24"/>
          <w:highlight w:val="none"/>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color w:val="auto"/>
          <w:sz w:val="24"/>
          <w:highlight w:val="none"/>
        </w:rPr>
      </w:pPr>
      <w:bookmarkStart w:id="449" w:name="_Ref467379400"/>
      <w:r>
        <w:rPr>
          <w:rFonts w:hint="eastAsia" w:ascii="仿宋_GB2312" w:hAnsi="楷体" w:eastAsia="仿宋_GB2312"/>
          <w:color w:val="auto"/>
          <w:sz w:val="24"/>
          <w:highlight w:val="none"/>
        </w:rPr>
        <w:t>2.1.5 “乙方”系指根据合同约定交付标的物的</w:t>
      </w:r>
      <w:bookmarkEnd w:id="449"/>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color w:val="auto"/>
          <w:sz w:val="24"/>
          <w:highlight w:val="none"/>
        </w:rPr>
      </w:pPr>
      <w:bookmarkStart w:id="450" w:name="_Ref467379436"/>
      <w:r>
        <w:rPr>
          <w:rFonts w:hint="eastAsia" w:ascii="仿宋_GB2312" w:hAnsi="楷体" w:eastAsia="仿宋_GB2312"/>
          <w:color w:val="auto"/>
          <w:sz w:val="24"/>
          <w:highlight w:val="none"/>
        </w:rPr>
        <w:t>2.1.6 “现场”系指合同约定标的物将要运至或者实施或者安装的地点。</w:t>
      </w:r>
      <w:bookmarkEnd w:id="450"/>
    </w:p>
    <w:p>
      <w:pPr>
        <w:spacing w:line="360" w:lineRule="auto"/>
        <w:ind w:firstLine="482" w:firstLineChars="200"/>
        <w:outlineLvl w:val="0"/>
        <w:rPr>
          <w:rFonts w:hint="eastAsia" w:ascii="仿宋_GB2312" w:hAnsi="楷体" w:eastAsia="仿宋_GB2312"/>
          <w:b/>
          <w:color w:val="auto"/>
          <w:sz w:val="24"/>
          <w:highlight w:val="none"/>
        </w:rPr>
      </w:pPr>
      <w:bookmarkStart w:id="451" w:name="_Toc487900350"/>
      <w:bookmarkStart w:id="452" w:name="_Toc279701241"/>
      <w:bookmarkStart w:id="453" w:name="_Toc27635"/>
      <w:bookmarkStart w:id="454" w:name="_Toc259093670"/>
      <w:bookmarkStart w:id="455" w:name="_Toc32504"/>
      <w:bookmarkStart w:id="456" w:name="_Toc13336"/>
      <w:r>
        <w:rPr>
          <w:rFonts w:hint="eastAsia" w:ascii="仿宋_GB2312" w:hAnsi="楷体" w:eastAsia="仿宋_GB2312"/>
          <w:b/>
          <w:color w:val="auto"/>
          <w:sz w:val="24"/>
          <w:highlight w:val="none"/>
        </w:rPr>
        <w:t>2.2 技术规范</w:t>
      </w:r>
      <w:bookmarkEnd w:id="451"/>
      <w:bookmarkEnd w:id="452"/>
      <w:bookmarkEnd w:id="453"/>
      <w:bookmarkEnd w:id="454"/>
      <w:bookmarkEnd w:id="455"/>
      <w:bookmarkEnd w:id="45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hAnsi="楷体" w:eastAsia="仿宋_GB2312"/>
          <w:b/>
          <w:color w:val="auto"/>
          <w:sz w:val="24"/>
          <w:highlight w:val="none"/>
        </w:rPr>
      </w:pPr>
      <w:bookmarkStart w:id="457" w:name="_Toc487900351"/>
      <w:bookmarkStart w:id="458" w:name="_Toc9829"/>
      <w:bookmarkStart w:id="459" w:name="_Toc27853"/>
      <w:bookmarkStart w:id="460" w:name="_Toc279701242"/>
      <w:bookmarkStart w:id="461" w:name="_Toc259093671"/>
      <w:bookmarkStart w:id="462" w:name="_Toc31634"/>
      <w:r>
        <w:rPr>
          <w:rFonts w:hint="eastAsia" w:ascii="仿宋_GB2312" w:hAnsi="楷体" w:eastAsia="仿宋_GB2312"/>
          <w:b/>
          <w:color w:val="auto"/>
          <w:sz w:val="24"/>
          <w:highlight w:val="none"/>
        </w:rPr>
        <w:t>2.3 知识产权</w:t>
      </w:r>
      <w:bookmarkEnd w:id="457"/>
      <w:bookmarkEnd w:id="458"/>
      <w:bookmarkEnd w:id="459"/>
      <w:bookmarkEnd w:id="460"/>
      <w:bookmarkEnd w:id="461"/>
      <w:bookmarkEnd w:id="462"/>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63" w:name="_Toc11932"/>
      <w:bookmarkStart w:id="464" w:name="_Toc29149"/>
      <w:bookmarkStart w:id="465" w:name="_Toc4194"/>
      <w:r>
        <w:rPr>
          <w:rFonts w:hint="eastAsia" w:ascii="仿宋_GB2312" w:hAnsi="楷体" w:eastAsia="仿宋_GB2312"/>
          <w:b/>
          <w:color w:val="auto"/>
          <w:sz w:val="24"/>
          <w:highlight w:val="none"/>
        </w:rPr>
        <w:t>2.4 包装和装运</w:t>
      </w:r>
      <w:bookmarkEnd w:id="463"/>
      <w:bookmarkEnd w:id="464"/>
      <w:bookmarkEnd w:id="46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66" w:name="_Ref467379527"/>
      <w:bookmarkStart w:id="467" w:name="_Toc487900354"/>
      <w:bookmarkStart w:id="468" w:name="_Ref467378591"/>
      <w:bookmarkStart w:id="469" w:name="_Ref467378541"/>
      <w:bookmarkStart w:id="470" w:name="_Ref467379536"/>
      <w:bookmarkStart w:id="471" w:name="_Toc279701245"/>
      <w:bookmarkStart w:id="472" w:name="_Toc259093674"/>
      <w:bookmarkStart w:id="473" w:name="_Ref467379542"/>
      <w:bookmarkStart w:id="474" w:name="_Toc30272"/>
      <w:bookmarkStart w:id="475" w:name="_Toc26182"/>
      <w:bookmarkStart w:id="476" w:name="_Toc19074"/>
      <w:r>
        <w:rPr>
          <w:rFonts w:hint="eastAsia" w:ascii="仿宋_GB2312" w:hAnsi="楷体" w:eastAsia="仿宋_GB2312"/>
          <w:b/>
          <w:color w:val="auto"/>
          <w:sz w:val="24"/>
          <w:highlight w:val="none"/>
        </w:rPr>
        <w:t>2.</w:t>
      </w:r>
      <w:bookmarkEnd w:id="466"/>
      <w:bookmarkEnd w:id="467"/>
      <w:bookmarkEnd w:id="468"/>
      <w:bookmarkEnd w:id="469"/>
      <w:bookmarkEnd w:id="470"/>
      <w:bookmarkEnd w:id="471"/>
      <w:bookmarkEnd w:id="472"/>
      <w:bookmarkEnd w:id="473"/>
      <w:r>
        <w:rPr>
          <w:rFonts w:hint="eastAsia" w:ascii="仿宋_GB2312" w:hAnsi="楷体" w:eastAsia="仿宋_GB2312"/>
          <w:b/>
          <w:color w:val="auto"/>
          <w:sz w:val="24"/>
          <w:highlight w:val="none"/>
        </w:rPr>
        <w:t>5 履约检查和问题反馈</w:t>
      </w:r>
      <w:bookmarkEnd w:id="474"/>
      <w:bookmarkEnd w:id="475"/>
      <w:bookmarkEnd w:id="476"/>
    </w:p>
    <w:p>
      <w:pPr>
        <w:spacing w:line="360" w:lineRule="auto"/>
        <w:ind w:firstLine="480" w:firstLineChars="200"/>
        <w:rPr>
          <w:rFonts w:hint="eastAsia" w:ascii="仿宋_GB2312" w:hAnsi="楷体" w:eastAsia="仿宋_GB2312"/>
          <w:color w:val="auto"/>
          <w:sz w:val="24"/>
          <w:highlight w:val="none"/>
        </w:rPr>
      </w:pPr>
      <w:bookmarkStart w:id="477" w:name="_Ref467379657"/>
      <w:r>
        <w:rPr>
          <w:rFonts w:hint="eastAsia" w:ascii="仿宋_GB2312" w:hAnsi="楷体" w:eastAsia="仿宋_GB2312"/>
          <w:color w:val="auto"/>
          <w:sz w:val="24"/>
          <w:highlight w:val="none"/>
        </w:rPr>
        <w:t>2.5.1</w:t>
      </w:r>
      <w:bookmarkEnd w:id="477"/>
      <w:bookmarkStart w:id="478" w:name="_Toc186431854"/>
      <w:bookmarkStart w:id="479" w:name="_Toc279701247"/>
      <w:bookmarkStart w:id="480" w:name="_Toc259093676"/>
      <w:bookmarkStart w:id="481" w:name="_Ref467379793"/>
      <w:bookmarkStart w:id="482" w:name="_Toc487900357"/>
      <w:bookmarkStart w:id="483" w:name="_Ref46737980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478"/>
      <w:bookmarkStart w:id="484" w:name="_Toc186431855"/>
      <w:r>
        <w:rPr>
          <w:rFonts w:hint="eastAsia" w:ascii="仿宋_GB2312" w:hAnsi="楷体" w:eastAsia="仿宋_GB2312"/>
          <w:color w:val="auto"/>
          <w:sz w:val="24"/>
          <w:highlight w:val="none"/>
        </w:rPr>
        <w:t>。</w:t>
      </w:r>
    </w:p>
    <w:bookmarkEnd w:id="484"/>
    <w:p>
      <w:pPr>
        <w:spacing w:line="360" w:lineRule="auto"/>
        <w:ind w:firstLine="482" w:firstLineChars="200"/>
        <w:outlineLvl w:val="0"/>
        <w:rPr>
          <w:rFonts w:hint="eastAsia" w:ascii="仿宋_GB2312" w:hAnsi="楷体" w:eastAsia="仿宋_GB2312"/>
          <w:b/>
          <w:color w:val="auto"/>
          <w:sz w:val="24"/>
          <w:highlight w:val="none"/>
        </w:rPr>
      </w:pPr>
      <w:bookmarkStart w:id="485" w:name="_Toc19219"/>
      <w:bookmarkStart w:id="486" w:name="_Toc7836"/>
      <w:bookmarkStart w:id="487" w:name="_Toc28451"/>
      <w:r>
        <w:rPr>
          <w:rFonts w:hint="eastAsia" w:ascii="仿宋_GB2312" w:hAnsi="楷体" w:eastAsia="仿宋_GB2312"/>
          <w:b/>
          <w:color w:val="auto"/>
          <w:sz w:val="24"/>
          <w:highlight w:val="none"/>
        </w:rPr>
        <w:t>2.6 结算方式和付款条件</w:t>
      </w:r>
      <w:bookmarkEnd w:id="479"/>
      <w:bookmarkEnd w:id="480"/>
      <w:bookmarkEnd w:id="481"/>
      <w:bookmarkEnd w:id="482"/>
      <w:bookmarkEnd w:id="483"/>
      <w:bookmarkEnd w:id="485"/>
      <w:bookmarkEnd w:id="486"/>
      <w:bookmarkEnd w:id="487"/>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88" w:name="_Toc487900358"/>
      <w:bookmarkStart w:id="489" w:name="_Ref467379863"/>
      <w:bookmarkStart w:id="490" w:name="_Toc279701248"/>
      <w:bookmarkStart w:id="491" w:name="_Ref467379852"/>
      <w:bookmarkStart w:id="492" w:name="_Toc259093677"/>
      <w:bookmarkStart w:id="493" w:name="_Ref467379923"/>
      <w:bookmarkStart w:id="494" w:name="_Toc774"/>
      <w:bookmarkStart w:id="495" w:name="_Toc3225"/>
      <w:bookmarkStart w:id="496" w:name="_Toc16110"/>
      <w:r>
        <w:rPr>
          <w:rFonts w:hint="eastAsia" w:ascii="仿宋_GB2312" w:hAnsi="楷体" w:eastAsia="仿宋_GB2312"/>
          <w:b/>
          <w:color w:val="auto"/>
          <w:sz w:val="24"/>
          <w:highlight w:val="none"/>
        </w:rPr>
        <w:t>2.7 技术资料</w:t>
      </w:r>
      <w:bookmarkEnd w:id="488"/>
      <w:bookmarkEnd w:id="489"/>
      <w:bookmarkEnd w:id="490"/>
      <w:bookmarkEnd w:id="491"/>
      <w:bookmarkEnd w:id="492"/>
      <w:bookmarkEnd w:id="493"/>
      <w:r>
        <w:rPr>
          <w:rFonts w:hint="eastAsia" w:ascii="仿宋_GB2312" w:hAnsi="楷体" w:eastAsia="仿宋_GB2312"/>
          <w:b/>
          <w:color w:val="auto"/>
          <w:sz w:val="24"/>
          <w:highlight w:val="none"/>
        </w:rPr>
        <w:t>和保密义务</w:t>
      </w:r>
      <w:bookmarkEnd w:id="494"/>
      <w:bookmarkEnd w:id="495"/>
      <w:bookmarkEnd w:id="49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hint="eastAsia" w:ascii="仿宋_GB2312" w:hAnsi="楷体" w:eastAsia="仿宋_GB2312"/>
          <w:b/>
          <w:color w:val="auto"/>
          <w:sz w:val="24"/>
          <w:highlight w:val="none"/>
        </w:rPr>
      </w:pPr>
      <w:bookmarkStart w:id="497" w:name="_Toc7860"/>
      <w:r>
        <w:rPr>
          <w:rFonts w:hint="eastAsia" w:ascii="仿宋_GB2312" w:hAnsi="楷体" w:eastAsia="仿宋_GB2312"/>
          <w:b/>
          <w:color w:val="auto"/>
          <w:sz w:val="24"/>
          <w:highlight w:val="none"/>
        </w:rPr>
        <w:t>2.8 质量保证</w:t>
      </w:r>
      <w:bookmarkEnd w:id="497"/>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2.8.4因乙方原因造成甲方其他系统不能正常运行，酿成重大事故（工作日系统中断一天以上）的，乙方应承担全部法律责任，并赔偿经济损失，赔偿金额为项目总价的30%。</w:t>
      </w:r>
    </w:p>
    <w:p>
      <w:pPr>
        <w:spacing w:line="360" w:lineRule="auto"/>
        <w:ind w:firstLine="482" w:firstLineChars="200"/>
        <w:outlineLvl w:val="0"/>
        <w:rPr>
          <w:rFonts w:hint="eastAsia" w:ascii="仿宋_GB2312" w:hAnsi="楷体" w:eastAsia="仿宋_GB2312"/>
          <w:b/>
          <w:color w:val="auto"/>
          <w:sz w:val="24"/>
          <w:highlight w:val="none"/>
        </w:rPr>
      </w:pPr>
      <w:bookmarkStart w:id="498" w:name="_Toc17244"/>
      <w:bookmarkStart w:id="499" w:name="_Toc259093681"/>
      <w:bookmarkStart w:id="500" w:name="_Toc487900362"/>
      <w:bookmarkStart w:id="501" w:name="_Toc279701252"/>
      <w:r>
        <w:rPr>
          <w:rFonts w:hint="eastAsia" w:ascii="仿宋_GB2312" w:hAnsi="楷体" w:eastAsia="仿宋_GB2312"/>
          <w:b/>
          <w:color w:val="auto"/>
          <w:sz w:val="24"/>
          <w:highlight w:val="none"/>
        </w:rPr>
        <w:t>2.9 标的物的风险负担</w:t>
      </w:r>
      <w:bookmarkEnd w:id="498"/>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502" w:name="_Toc14055"/>
      <w:r>
        <w:rPr>
          <w:rFonts w:hint="eastAsia" w:ascii="仿宋_GB2312" w:hAnsi="楷体" w:eastAsia="仿宋_GB2312"/>
          <w:b/>
          <w:color w:val="auto"/>
          <w:sz w:val="24"/>
          <w:highlight w:val="none"/>
        </w:rPr>
        <w:t>2.10 延迟交货</w:t>
      </w:r>
      <w:bookmarkEnd w:id="499"/>
      <w:bookmarkEnd w:id="500"/>
      <w:bookmarkEnd w:id="501"/>
      <w:bookmarkEnd w:id="502"/>
      <w:r>
        <w:rPr>
          <w:rFonts w:hint="eastAsia" w:ascii="仿宋_GB2312" w:hAnsi="楷体" w:eastAsia="仿宋_GB2312"/>
          <w:b/>
          <w:color w:val="auto"/>
          <w:sz w:val="24"/>
          <w:highlight w:val="none"/>
        </w:rPr>
        <w:t>/交付</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_GB2312" w:hAnsi="楷体" w:eastAsia="仿宋_GB2312"/>
          <w:b/>
          <w:color w:val="auto"/>
          <w:sz w:val="24"/>
          <w:highlight w:val="none"/>
        </w:rPr>
      </w:pPr>
      <w:bookmarkStart w:id="503" w:name="_Toc7502"/>
      <w:bookmarkStart w:id="504" w:name="_Toc487900364"/>
      <w:bookmarkStart w:id="505" w:name="_Ref467378121"/>
      <w:bookmarkStart w:id="506" w:name="_Toc259093683"/>
      <w:bookmarkStart w:id="507" w:name="_Toc279701254"/>
      <w:r>
        <w:rPr>
          <w:rFonts w:hint="eastAsia" w:ascii="仿宋_GB2312" w:hAnsi="楷体" w:eastAsia="仿宋_GB2312"/>
          <w:b/>
          <w:color w:val="auto"/>
          <w:sz w:val="24"/>
          <w:highlight w:val="none"/>
        </w:rPr>
        <w:t>2.11 合同变更</w:t>
      </w:r>
      <w:bookmarkEnd w:id="503"/>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508" w:name="_Toc279701259"/>
      <w:bookmarkStart w:id="509" w:name="_Toc487900369"/>
      <w:bookmarkStart w:id="510" w:name="_Toc259093688"/>
    </w:p>
    <w:p>
      <w:pPr>
        <w:spacing w:line="360" w:lineRule="auto"/>
        <w:ind w:firstLine="482" w:firstLineChars="200"/>
        <w:outlineLvl w:val="0"/>
        <w:rPr>
          <w:rFonts w:hint="eastAsia" w:ascii="仿宋_GB2312" w:hAnsi="楷体" w:eastAsia="仿宋_GB2312"/>
          <w:b/>
          <w:color w:val="auto"/>
          <w:sz w:val="24"/>
          <w:highlight w:val="none"/>
        </w:rPr>
      </w:pPr>
      <w:bookmarkStart w:id="511" w:name="_Toc22955"/>
      <w:bookmarkStart w:id="512" w:name="_Toc15237"/>
      <w:bookmarkStart w:id="513" w:name="_Toc10366"/>
      <w:r>
        <w:rPr>
          <w:rFonts w:hint="eastAsia" w:ascii="仿宋_GB2312" w:hAnsi="楷体" w:eastAsia="仿宋_GB2312"/>
          <w:b/>
          <w:color w:val="auto"/>
          <w:sz w:val="24"/>
          <w:highlight w:val="none"/>
        </w:rPr>
        <w:t>2.12 合同转让</w:t>
      </w:r>
      <w:bookmarkEnd w:id="508"/>
      <w:bookmarkEnd w:id="509"/>
      <w:bookmarkEnd w:id="510"/>
      <w:r>
        <w:rPr>
          <w:rFonts w:hint="eastAsia" w:ascii="仿宋_GB2312" w:hAnsi="楷体" w:eastAsia="仿宋_GB2312"/>
          <w:b/>
          <w:color w:val="auto"/>
          <w:sz w:val="24"/>
          <w:highlight w:val="none"/>
        </w:rPr>
        <w:t>和分包</w:t>
      </w:r>
      <w:bookmarkEnd w:id="511"/>
      <w:bookmarkEnd w:id="512"/>
      <w:bookmarkEnd w:id="513"/>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合同的权利义务依法不得转让，甲方不同意乙方采取分包或转包的方式履行合同。</w:t>
      </w:r>
    </w:p>
    <w:p>
      <w:pPr>
        <w:spacing w:line="360" w:lineRule="auto"/>
        <w:ind w:firstLine="482" w:firstLineChars="200"/>
        <w:outlineLvl w:val="0"/>
        <w:rPr>
          <w:rFonts w:hint="eastAsia" w:ascii="仿宋_GB2312" w:hAnsi="楷体" w:eastAsia="仿宋_GB2312"/>
          <w:b/>
          <w:color w:val="auto"/>
          <w:sz w:val="24"/>
          <w:highlight w:val="none"/>
        </w:rPr>
      </w:pPr>
      <w:bookmarkStart w:id="514" w:name="_Toc13566"/>
      <w:bookmarkStart w:id="515" w:name="_Toc16508"/>
      <w:bookmarkStart w:id="516" w:name="_Toc14066"/>
      <w:r>
        <w:rPr>
          <w:rFonts w:hint="eastAsia" w:ascii="仿宋_GB2312" w:hAnsi="楷体" w:eastAsia="仿宋_GB2312"/>
          <w:b/>
          <w:color w:val="auto"/>
          <w:sz w:val="24"/>
          <w:highlight w:val="none"/>
        </w:rPr>
        <w:t>2.13 不可抗力</w:t>
      </w:r>
      <w:bookmarkEnd w:id="514"/>
      <w:bookmarkEnd w:id="515"/>
      <w:bookmarkEnd w:id="51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pPr>
        <w:spacing w:line="360" w:lineRule="auto"/>
        <w:ind w:firstLine="482" w:firstLineChars="200"/>
        <w:outlineLvl w:val="0"/>
        <w:rPr>
          <w:rFonts w:hint="eastAsia" w:ascii="仿宋_GB2312" w:hAnsi="楷体" w:eastAsia="仿宋_GB2312"/>
          <w:b/>
          <w:color w:val="auto"/>
          <w:sz w:val="24"/>
          <w:highlight w:val="none"/>
        </w:rPr>
      </w:pPr>
      <w:bookmarkStart w:id="517" w:name="_Toc6969"/>
      <w:bookmarkStart w:id="518" w:name="_Toc487900365"/>
      <w:bookmarkStart w:id="519" w:name="_Toc689"/>
      <w:bookmarkStart w:id="520" w:name="_Toc30676"/>
      <w:bookmarkStart w:id="521" w:name="_Toc279701255"/>
      <w:bookmarkStart w:id="522" w:name="_Toc259093684"/>
      <w:r>
        <w:rPr>
          <w:rFonts w:hint="eastAsia" w:ascii="仿宋_GB2312" w:hAnsi="楷体" w:eastAsia="仿宋_GB2312"/>
          <w:b/>
          <w:color w:val="auto"/>
          <w:sz w:val="24"/>
          <w:highlight w:val="none"/>
        </w:rPr>
        <w:t>2.14 税费</w:t>
      </w:r>
      <w:bookmarkEnd w:id="517"/>
      <w:bookmarkEnd w:id="518"/>
      <w:bookmarkEnd w:id="519"/>
      <w:bookmarkEnd w:id="520"/>
      <w:bookmarkEnd w:id="521"/>
      <w:bookmarkEnd w:id="522"/>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pPr>
        <w:spacing w:line="360" w:lineRule="auto"/>
        <w:ind w:firstLine="482" w:firstLineChars="200"/>
        <w:outlineLvl w:val="0"/>
        <w:rPr>
          <w:rFonts w:hint="eastAsia" w:ascii="仿宋_GB2312" w:hAnsi="楷体" w:eastAsia="仿宋_GB2312"/>
          <w:b/>
          <w:color w:val="auto"/>
          <w:sz w:val="24"/>
          <w:highlight w:val="none"/>
        </w:rPr>
      </w:pPr>
      <w:bookmarkStart w:id="523" w:name="_Toc259093687"/>
      <w:bookmarkStart w:id="524" w:name="_Toc7102"/>
      <w:bookmarkStart w:id="525" w:name="_Toc487900368"/>
      <w:bookmarkStart w:id="526" w:name="_Toc16959"/>
      <w:bookmarkStart w:id="527" w:name="_Toc279701258"/>
      <w:bookmarkStart w:id="528" w:name="_Toc8298"/>
      <w:r>
        <w:rPr>
          <w:rFonts w:hint="eastAsia" w:ascii="仿宋_GB2312" w:hAnsi="楷体" w:eastAsia="仿宋_GB2312"/>
          <w:b/>
          <w:color w:val="auto"/>
          <w:sz w:val="24"/>
          <w:highlight w:val="none"/>
        </w:rPr>
        <w:t>2.15 乙方破产</w:t>
      </w:r>
      <w:bookmarkEnd w:id="523"/>
      <w:bookmarkEnd w:id="524"/>
      <w:bookmarkEnd w:id="525"/>
      <w:bookmarkEnd w:id="526"/>
      <w:bookmarkEnd w:id="527"/>
      <w:bookmarkEnd w:id="528"/>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楷体" w:eastAsia="仿宋_GB2312"/>
          <w:b/>
          <w:color w:val="auto"/>
          <w:sz w:val="24"/>
          <w:highlight w:val="none"/>
        </w:rPr>
      </w:pPr>
      <w:bookmarkStart w:id="529" w:name="_Toc15387"/>
      <w:bookmarkStart w:id="530" w:name="_Toc6134"/>
      <w:bookmarkStart w:id="531" w:name="_Toc29333"/>
      <w:r>
        <w:rPr>
          <w:rFonts w:hint="eastAsia" w:ascii="仿宋_GB2312" w:hAnsi="楷体" w:eastAsia="仿宋_GB2312"/>
          <w:b/>
          <w:color w:val="auto"/>
          <w:sz w:val="24"/>
          <w:highlight w:val="none"/>
        </w:rPr>
        <w:t>2.16 合同中止、终止</w:t>
      </w:r>
      <w:bookmarkEnd w:id="529"/>
      <w:bookmarkEnd w:id="530"/>
      <w:bookmarkEnd w:id="531"/>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_GB2312" w:hAnsi="楷体" w:eastAsia="仿宋_GB2312"/>
          <w:b/>
          <w:color w:val="auto"/>
          <w:sz w:val="24"/>
          <w:highlight w:val="none"/>
        </w:rPr>
      </w:pPr>
      <w:bookmarkStart w:id="532" w:name="_Toc14563"/>
      <w:bookmarkStart w:id="533" w:name="_Toc6596"/>
      <w:bookmarkStart w:id="534" w:name="_Toc1125"/>
      <w:r>
        <w:rPr>
          <w:rFonts w:hint="eastAsia" w:ascii="仿宋_GB2312" w:hAnsi="楷体" w:eastAsia="仿宋_GB2312"/>
          <w:b/>
          <w:color w:val="auto"/>
          <w:sz w:val="24"/>
          <w:highlight w:val="none"/>
        </w:rPr>
        <w:t>2.17 检验和验收</w:t>
      </w:r>
      <w:bookmarkEnd w:id="532"/>
      <w:bookmarkEnd w:id="533"/>
      <w:bookmarkEnd w:id="534"/>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504"/>
    <w:bookmarkEnd w:id="505"/>
    <w:bookmarkEnd w:id="506"/>
    <w:bookmarkEnd w:id="507"/>
    <w:p>
      <w:pPr>
        <w:spacing w:line="360" w:lineRule="auto"/>
        <w:ind w:firstLine="482" w:firstLineChars="200"/>
        <w:outlineLvl w:val="0"/>
        <w:rPr>
          <w:rFonts w:hint="eastAsia" w:ascii="仿宋_GB2312" w:hAnsi="楷体" w:eastAsia="仿宋_GB2312"/>
          <w:b/>
          <w:color w:val="auto"/>
          <w:sz w:val="24"/>
          <w:highlight w:val="none"/>
        </w:rPr>
      </w:pPr>
      <w:bookmarkStart w:id="535" w:name="_Toc487900371"/>
      <w:bookmarkStart w:id="536" w:name="_Toc259093690"/>
      <w:bookmarkStart w:id="537" w:name="_Toc279701261"/>
      <w:bookmarkStart w:id="538" w:name="_Toc19604"/>
      <w:bookmarkStart w:id="539" w:name="_Toc25182"/>
      <w:bookmarkStart w:id="540" w:name="_Toc11284"/>
      <w:r>
        <w:rPr>
          <w:rFonts w:hint="eastAsia" w:ascii="仿宋_GB2312" w:hAnsi="楷体" w:eastAsia="仿宋_GB2312"/>
          <w:b/>
          <w:color w:val="auto"/>
          <w:sz w:val="24"/>
          <w:highlight w:val="none"/>
        </w:rPr>
        <w:t>2.18 通知</w:t>
      </w:r>
      <w:bookmarkEnd w:id="535"/>
      <w:bookmarkEnd w:id="536"/>
      <w:bookmarkEnd w:id="537"/>
      <w:r>
        <w:rPr>
          <w:rFonts w:hint="eastAsia" w:ascii="仿宋_GB2312" w:hAnsi="楷体" w:eastAsia="仿宋_GB2312"/>
          <w:b/>
          <w:color w:val="auto"/>
          <w:sz w:val="24"/>
          <w:highlight w:val="none"/>
        </w:rPr>
        <w:t>和送达</w:t>
      </w:r>
      <w:bookmarkEnd w:id="538"/>
      <w:bookmarkEnd w:id="539"/>
      <w:bookmarkEnd w:id="540"/>
    </w:p>
    <w:p>
      <w:pPr>
        <w:spacing w:line="360" w:lineRule="auto"/>
        <w:ind w:firstLine="480" w:firstLineChars="200"/>
        <w:rPr>
          <w:rFonts w:hint="eastAsia" w:ascii="仿宋_GB2312" w:hAnsi="楷体" w:eastAsia="仿宋_GB2312"/>
          <w:color w:val="auto"/>
          <w:sz w:val="24"/>
          <w:highlight w:val="none"/>
        </w:rPr>
      </w:pPr>
      <w:bookmarkStart w:id="541" w:name="_Toc6698"/>
      <w:bookmarkStart w:id="542" w:name="_Toc3135"/>
      <w:bookmarkStart w:id="543" w:name="_Toc259093691"/>
      <w:bookmarkStart w:id="544" w:name="_Toc487900372"/>
      <w:bookmarkStart w:id="545"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5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bookmarkEnd w:id="541"/>
      <w:bookmarkEnd w:id="542"/>
    </w:p>
    <w:p>
      <w:pPr>
        <w:spacing w:line="360" w:lineRule="auto"/>
        <w:ind w:firstLine="480" w:firstLineChars="200"/>
        <w:rPr>
          <w:rFonts w:hint="eastAsia" w:ascii="仿宋_GB2312" w:hAnsi="楷体" w:eastAsia="仿宋_GB2312"/>
          <w:color w:val="auto"/>
          <w:sz w:val="24"/>
          <w:highlight w:val="none"/>
        </w:rPr>
      </w:pPr>
      <w:bookmarkStart w:id="546" w:name="_Toc23128"/>
      <w:bookmarkStart w:id="547"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6"/>
      <w:bookmarkEnd w:id="547"/>
    </w:p>
    <w:p>
      <w:pPr>
        <w:spacing w:line="360" w:lineRule="auto"/>
        <w:ind w:firstLine="482" w:firstLineChars="200"/>
        <w:outlineLvl w:val="0"/>
        <w:rPr>
          <w:rFonts w:hint="eastAsia" w:ascii="仿宋_GB2312" w:hAnsi="楷体" w:eastAsia="仿宋_GB2312"/>
          <w:b/>
          <w:color w:val="auto"/>
          <w:sz w:val="24"/>
          <w:highlight w:val="none"/>
        </w:rPr>
      </w:pPr>
      <w:bookmarkStart w:id="548" w:name="_Toc30599"/>
      <w:bookmarkStart w:id="549" w:name="_Toc4355"/>
      <w:bookmarkStart w:id="550" w:name="_Toc18540"/>
      <w:r>
        <w:rPr>
          <w:rFonts w:hint="eastAsia" w:ascii="仿宋_GB2312" w:hAnsi="楷体" w:eastAsia="仿宋_GB2312"/>
          <w:b/>
          <w:color w:val="auto"/>
          <w:sz w:val="24"/>
          <w:highlight w:val="none"/>
        </w:rPr>
        <w:t>2.19 计量单位</w:t>
      </w:r>
      <w:bookmarkEnd w:id="543"/>
      <w:bookmarkEnd w:id="544"/>
      <w:bookmarkEnd w:id="545"/>
      <w:bookmarkEnd w:id="548"/>
      <w:bookmarkEnd w:id="549"/>
      <w:bookmarkEnd w:id="550"/>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pPr>
        <w:spacing w:line="360" w:lineRule="auto"/>
        <w:ind w:firstLine="482" w:firstLineChars="200"/>
        <w:outlineLvl w:val="0"/>
        <w:rPr>
          <w:rFonts w:hint="eastAsia" w:ascii="仿宋_GB2312" w:hAnsi="楷体" w:eastAsia="仿宋_GB2312"/>
          <w:b/>
          <w:color w:val="auto"/>
          <w:sz w:val="24"/>
          <w:highlight w:val="none"/>
        </w:rPr>
      </w:pPr>
      <w:bookmarkStart w:id="551" w:name="_Toc10330"/>
      <w:bookmarkStart w:id="552" w:name="_Toc18567"/>
      <w:bookmarkStart w:id="553" w:name="_Toc279701263"/>
      <w:bookmarkStart w:id="554" w:name="_Toc487900373"/>
      <w:bookmarkStart w:id="555" w:name="_Toc259093692"/>
      <w:bookmarkStart w:id="556" w:name="_Toc12773"/>
      <w:r>
        <w:rPr>
          <w:rFonts w:hint="eastAsia" w:ascii="仿宋_GB2312" w:hAnsi="楷体" w:eastAsia="仿宋_GB2312"/>
          <w:b/>
          <w:color w:val="auto"/>
          <w:sz w:val="24"/>
          <w:highlight w:val="none"/>
        </w:rPr>
        <w:t>2.20 合同使用的文字和适用的法律</w:t>
      </w:r>
      <w:bookmarkEnd w:id="551"/>
      <w:bookmarkEnd w:id="552"/>
      <w:bookmarkEnd w:id="553"/>
      <w:bookmarkEnd w:id="554"/>
      <w:bookmarkEnd w:id="555"/>
      <w:bookmarkEnd w:id="55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pPr>
        <w:spacing w:line="360" w:lineRule="auto"/>
        <w:ind w:firstLine="482" w:firstLineChars="200"/>
        <w:outlineLvl w:val="0"/>
        <w:rPr>
          <w:rFonts w:hint="eastAsia" w:ascii="仿宋_GB2312" w:hAnsi="楷体" w:eastAsia="仿宋_GB2312"/>
          <w:b/>
          <w:color w:val="auto"/>
          <w:sz w:val="24"/>
          <w:highlight w:val="none"/>
        </w:rPr>
      </w:pPr>
      <w:bookmarkStart w:id="557" w:name="_Toc3148"/>
      <w:bookmarkStart w:id="558" w:name="_Toc259093693"/>
      <w:bookmarkStart w:id="559" w:name="_Toc279701264"/>
      <w:bookmarkStart w:id="560" w:name="_Toc12004"/>
      <w:bookmarkStart w:id="561" w:name="_Toc16673"/>
      <w:bookmarkStart w:id="562" w:name="_Toc487900374"/>
      <w:r>
        <w:rPr>
          <w:rFonts w:hint="eastAsia" w:ascii="仿宋_GB2312" w:hAnsi="楷体" w:eastAsia="仿宋_GB2312"/>
          <w:b/>
          <w:color w:val="auto"/>
          <w:sz w:val="24"/>
          <w:highlight w:val="none"/>
        </w:rPr>
        <w:t>2.21 履约保证金</w:t>
      </w:r>
      <w:bookmarkEnd w:id="557"/>
      <w:bookmarkEnd w:id="558"/>
      <w:bookmarkEnd w:id="559"/>
      <w:bookmarkEnd w:id="560"/>
      <w:bookmarkEnd w:id="561"/>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2.21.1 采购文件要求乙方提交履约保证金的，乙方</w:t>
      </w:r>
      <w:r>
        <w:rPr>
          <w:rFonts w:hint="eastAsia" w:ascii="仿宋_GB2312" w:hAnsi="仿宋" w:eastAsia="仿宋_GB2312"/>
          <w:color w:val="auto"/>
          <w:kern w:val="0"/>
          <w:sz w:val="24"/>
          <w:highlight w:val="none"/>
          <w:lang w:val="zh-CN"/>
        </w:rPr>
        <w:t>应在合同签订后</w:t>
      </w:r>
      <w:r>
        <w:rPr>
          <w:rFonts w:hint="eastAsia" w:ascii="仿宋_GB2312" w:hAnsi="仿宋" w:eastAsia="仿宋_GB2312"/>
          <w:color w:val="auto"/>
          <w:kern w:val="0"/>
          <w:sz w:val="24"/>
          <w:highlight w:val="none"/>
        </w:rPr>
        <w:t>7</w:t>
      </w:r>
      <w:r>
        <w:rPr>
          <w:rFonts w:hint="eastAsia" w:ascii="仿宋_GB2312" w:hAnsi="仿宋" w:eastAsia="仿宋_GB2312"/>
          <w:color w:val="auto"/>
          <w:kern w:val="0"/>
          <w:sz w:val="24"/>
          <w:highlight w:val="none"/>
          <w:lang w:val="zh-CN"/>
        </w:rPr>
        <w:t>个工作日内</w:t>
      </w:r>
      <w:r>
        <w:rPr>
          <w:rFonts w:hint="eastAsia" w:ascii="仿宋_GB2312" w:hAnsi="楷体" w:eastAsia="仿宋_GB2312"/>
          <w:color w:val="auto"/>
          <w:sz w:val="24"/>
          <w:highlight w:val="none"/>
        </w:rPr>
        <w:t>，以支票、汇票、本票或者金融机构、担保机构出具的保函等非现金形式，提交合同价</w:t>
      </w:r>
      <w:r>
        <w:rPr>
          <w:rFonts w:hint="eastAsia" w:ascii="仿宋_GB2312" w:hAnsi="楷体" w:eastAsia="仿宋_GB2312"/>
          <w:color w:val="auto"/>
          <w:sz w:val="24"/>
          <w:highlight w:val="none"/>
          <w:u w:val="single"/>
        </w:rPr>
        <w:t xml:space="preserve"> 5 </w:t>
      </w:r>
      <w:r>
        <w:rPr>
          <w:rFonts w:hint="eastAsia" w:ascii="仿宋_GB2312" w:hAnsi="楷体" w:eastAsia="仿宋_GB2312"/>
          <w:color w:val="auto"/>
          <w:sz w:val="24"/>
          <w:highlight w:val="none"/>
        </w:rPr>
        <w:t>%的履约保证金；</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2.21.2  履约保证金在</w:t>
      </w:r>
      <w:r>
        <w:rPr>
          <w:rFonts w:hint="eastAsia" w:ascii="仿宋_GB2312" w:hAnsi="楷体" w:eastAsia="仿宋_GB2312"/>
          <w:color w:val="auto"/>
          <w:sz w:val="24"/>
          <w:highlight w:val="none"/>
          <w:u w:val="single"/>
        </w:rPr>
        <w:t>合同有效期</w:t>
      </w:r>
      <w:r>
        <w:rPr>
          <w:rFonts w:hint="eastAsia" w:ascii="仿宋_GB2312" w:hAnsi="楷体" w:eastAsia="仿宋_GB2312"/>
          <w:color w:val="auto"/>
          <w:sz w:val="24"/>
          <w:highlight w:val="none"/>
        </w:rPr>
        <w:t>内或者标的物质量保证期内不予退还或者应完全有效，前述约定期间届满或者标的物质量保证期届满之日起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个工作日内，甲方应将履约保证金退还乙方；</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 xml:space="preserve">2.21.4 </w:t>
      </w:r>
      <w:r>
        <w:rPr>
          <w:rFonts w:hint="eastAsia" w:ascii="仿宋_GB2312" w:hAnsi="仿宋" w:eastAsia="仿宋_GB2312" w:cs="Arial"/>
          <w:snapToGrid w:val="0"/>
          <w:color w:val="auto"/>
          <w:kern w:val="0"/>
          <w:sz w:val="24"/>
          <w:highlight w:val="none"/>
        </w:rPr>
        <w:t>服务期满，，甲方于收到乙方退还履约保证金申请之日起</w:t>
      </w:r>
      <w:r>
        <w:rPr>
          <w:rFonts w:hint="eastAsia" w:ascii="仿宋_GB2312" w:hAnsi="仿宋" w:eastAsia="仿宋_GB2312" w:cs="Arial"/>
          <w:snapToGrid w:val="0"/>
          <w:color w:val="auto"/>
          <w:kern w:val="0"/>
          <w:sz w:val="24"/>
          <w:highlight w:val="none"/>
          <w:u w:val="single"/>
        </w:rPr>
        <w:tab/>
      </w:r>
      <w:r>
        <w:rPr>
          <w:rFonts w:hint="eastAsia" w:ascii="仿宋_GB2312" w:hAnsi="仿宋" w:eastAsia="仿宋_GB2312" w:cs="Arial"/>
          <w:snapToGrid w:val="0"/>
          <w:color w:val="auto"/>
          <w:kern w:val="0"/>
          <w:sz w:val="24"/>
          <w:highlight w:val="none"/>
          <w:u w:val="single"/>
          <w:lang w:val="en-US" w:eastAsia="zh-CN"/>
        </w:rPr>
        <w:t>5</w:t>
      </w:r>
      <w:r>
        <w:rPr>
          <w:rFonts w:hint="eastAsia" w:ascii="仿宋_GB2312" w:hAnsi="仿宋" w:eastAsia="仿宋_GB2312" w:cs="Arial"/>
          <w:snapToGrid w:val="0"/>
          <w:color w:val="auto"/>
          <w:kern w:val="0"/>
          <w:sz w:val="24"/>
          <w:highlight w:val="none"/>
        </w:rPr>
        <w:t>个工作日内凭甲乙双方签字盖章的验收意见退还乙方履约保证金。</w:t>
      </w:r>
    </w:p>
    <w:p>
      <w:pPr>
        <w:spacing w:line="360" w:lineRule="auto"/>
        <w:ind w:firstLine="480"/>
        <w:outlineLvl w:val="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pPr>
        <w:spacing w:line="360" w:lineRule="auto"/>
        <w:ind w:firstLine="480"/>
        <w:outlineLvl w:val="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□否）为可融资合同，关于中小企业信用融资事项可登陆杭州市政府采购网（</w:t>
      </w:r>
      <w:r>
        <w:rPr>
          <w:rFonts w:ascii="仿宋_GB2312" w:hAnsi="仿宋" w:eastAsia="仿宋_GB2312"/>
          <w:color w:val="auto"/>
          <w:kern w:val="0"/>
          <w:sz w:val="24"/>
          <w:highlight w:val="none"/>
          <w:lang w:val="zh-CN"/>
        </w:rPr>
        <w:t>http://czj.hangzhou.gov.cn/zfcg</w:t>
      </w:r>
      <w:r>
        <w:rPr>
          <w:rFonts w:hint="eastAsia" w:ascii="仿宋_GB2312" w:hAnsi="仿宋" w:eastAsia="仿宋_GB2312"/>
          <w:color w:val="auto"/>
          <w:kern w:val="0"/>
          <w:sz w:val="24"/>
          <w:highlight w:val="none"/>
          <w:lang w:val="zh-CN"/>
        </w:rPr>
        <w:t>）“中小企业信用融资”专栏进行查询。</w:t>
      </w:r>
    </w:p>
    <w:p>
      <w:pPr>
        <w:spacing w:line="360" w:lineRule="auto"/>
        <w:ind w:firstLine="480"/>
        <w:outlineLvl w:val="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w:t>
      </w:r>
      <w:r>
        <w:rPr>
          <w:rFonts w:ascii="仿宋_GB2312" w:hAnsi="仿宋" w:eastAsia="仿宋_GB2312"/>
          <w:color w:val="auto"/>
          <w:kern w:val="0"/>
          <w:sz w:val="24"/>
          <w:highlight w:val="none"/>
          <w:lang w:val="zh-CN"/>
        </w:rPr>
        <w:t xml:space="preserve">本合同（□是  </w:t>
      </w:r>
      <w:r>
        <w:rPr>
          <w:rFonts w:hint="eastAsia" w:ascii="仿宋_GB2312" w:hAnsi="仿宋" w:eastAsia="仿宋_GB2312"/>
          <w:color w:val="auto"/>
          <w:kern w:val="0"/>
          <w:sz w:val="24"/>
          <w:highlight w:val="none"/>
          <w:lang w:val="zh-CN"/>
        </w:rPr>
        <w:t>□否）为中小企业预留合同。</w:t>
      </w:r>
    </w:p>
    <w:bookmarkEnd w:id="562"/>
    <w:p>
      <w:pPr>
        <w:spacing w:line="360" w:lineRule="auto"/>
        <w:ind w:firstLine="482" w:firstLineChars="200"/>
        <w:outlineLvl w:val="0"/>
        <w:rPr>
          <w:rFonts w:hint="eastAsia" w:ascii="仿宋_GB2312" w:hAnsi="楷体" w:eastAsia="仿宋_GB2312"/>
          <w:b/>
          <w:color w:val="auto"/>
          <w:sz w:val="24"/>
          <w:highlight w:val="none"/>
        </w:rPr>
      </w:pPr>
      <w:bookmarkStart w:id="563" w:name="_Toc6885"/>
      <w:bookmarkStart w:id="564" w:name="_Toc19890"/>
      <w:bookmarkStart w:id="565" w:name="_Toc14001"/>
      <w:r>
        <w:rPr>
          <w:rFonts w:hint="eastAsia" w:ascii="仿宋_GB2312" w:hAnsi="楷体" w:eastAsia="仿宋_GB2312"/>
          <w:b/>
          <w:color w:val="auto"/>
          <w:sz w:val="24"/>
          <w:highlight w:val="none"/>
        </w:rPr>
        <w:t>2.23 合同份数</w:t>
      </w:r>
      <w:bookmarkEnd w:id="563"/>
      <w:bookmarkEnd w:id="564"/>
      <w:bookmarkEnd w:id="565"/>
    </w:p>
    <w:p>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本合同一式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pPr>
        <w:pStyle w:val="640"/>
        <w:jc w:val="center"/>
        <w:rPr>
          <w:rFonts w:hint="eastAsia" w:ascii="仿宋_GB2312" w:hAnsi="楷体" w:eastAsia="仿宋_GB2312"/>
          <w:b/>
          <w:color w:val="auto"/>
          <w:szCs w:val="24"/>
          <w:highlight w:val="none"/>
        </w:rPr>
      </w:pPr>
      <w:r>
        <w:rPr>
          <w:rFonts w:hint="eastAsia" w:ascii="仿宋_GB2312" w:hAnsi="楷体" w:eastAsia="仿宋_GB2312"/>
          <w:color w:val="auto"/>
          <w:szCs w:val="24"/>
          <w:highlight w:val="none"/>
        </w:rPr>
        <w:br w:type="page"/>
      </w:r>
      <w:bookmarkStart w:id="566" w:name="_Toc331685784"/>
      <w:r>
        <w:rPr>
          <w:rFonts w:hint="eastAsia" w:ascii="仿宋_GB2312" w:hAnsi="楷体" w:eastAsia="仿宋_GB2312"/>
          <w:b/>
          <w:color w:val="auto"/>
          <w:szCs w:val="24"/>
          <w:highlight w:val="none"/>
        </w:rPr>
        <w:t>第三部分  合同专用条款</w:t>
      </w:r>
      <w:bookmarkEnd w:id="56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乙方为甲方开发的系统的整体及任何部分的的知识产权归属甲方所有。</w:t>
      </w:r>
      <w:r>
        <w:rPr>
          <w:rFonts w:hint="eastAsia" w:ascii="仿宋_GB2312" w:hAnsi="楷体" w:eastAsia="仿宋_GB2312"/>
          <w:color w:val="auto"/>
          <w:sz w:val="24"/>
          <w:highlight w:val="none"/>
        </w:rPr>
        <w:t xml:space="preserve">         </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2.4.1包装和装运专用条款（如果有）：</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2.4.2装运标的物的要求和通知：</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2.6</w:t>
      </w:r>
      <w:r>
        <w:rPr>
          <w:rFonts w:hint="eastAsia" w:ascii="仿宋_GB2312" w:hAnsi="楷体" w:eastAsia="仿宋_GB2312"/>
          <w:b/>
          <w:color w:val="auto"/>
          <w:sz w:val="24"/>
          <w:highlight w:val="none"/>
        </w:rPr>
        <w:t>结算方式和付款条件</w:t>
      </w:r>
    </w:p>
    <w:p>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    元），采用分期付款方式，具体如下</w:t>
      </w:r>
      <w:r>
        <w:rPr>
          <w:rFonts w:hint="eastAsia" w:ascii="仿宋_GB2312" w:eastAsia="仿宋_GB2312" w:cs="仿宋_GB2312"/>
          <w:color w:val="auto"/>
          <w:kern w:val="0"/>
          <w:sz w:val="24"/>
          <w:highlight w:val="none"/>
        </w:rPr>
        <w:t>：</w:t>
      </w:r>
    </w:p>
    <w:p>
      <w:pPr>
        <w:autoSpaceDE w:val="0"/>
        <w:autoSpaceDN w:val="0"/>
        <w:snapToGrid w:val="0"/>
        <w:spacing w:line="360" w:lineRule="auto"/>
        <w:ind w:firstLine="540"/>
        <w:rPr>
          <w:rFonts w:hint="eastAsia" w:ascii="仿宋_GB2312" w:hAnsi="宋体" w:eastAsia="仿宋_GB2312"/>
          <w:color w:val="auto"/>
          <w:kern w:val="0"/>
          <w:sz w:val="24"/>
          <w:highlight w:val="none"/>
          <w:lang w:val="zh-CN"/>
        </w:rPr>
      </w:pPr>
      <w:r>
        <w:rPr>
          <w:rFonts w:hint="eastAsia" w:ascii="仿宋_GB2312" w:hAnsi="宋体" w:eastAsia="仿宋_GB2312"/>
          <w:color w:val="auto"/>
          <w:kern w:val="0"/>
          <w:sz w:val="24"/>
          <w:highlight w:val="none"/>
          <w:lang w:val="zh-CN"/>
        </w:rPr>
        <w:t>第一期付款：签订合同后7个工作日内，乙方缴纳合同总额5%的履约保证金后，乙方凭甲方签字盖章的支付通知书和等额发票向甲方办理合同总价30％的款项。</w:t>
      </w:r>
    </w:p>
    <w:p>
      <w:pPr>
        <w:autoSpaceDE w:val="0"/>
        <w:autoSpaceDN w:val="0"/>
        <w:snapToGrid w:val="0"/>
        <w:spacing w:line="360" w:lineRule="auto"/>
        <w:ind w:firstLine="540"/>
        <w:rPr>
          <w:rFonts w:hint="eastAsia" w:ascii="仿宋_GB2312" w:hAnsi="宋体" w:eastAsia="仿宋_GB2312"/>
          <w:color w:val="auto"/>
          <w:kern w:val="0"/>
          <w:sz w:val="24"/>
          <w:highlight w:val="none"/>
          <w:lang w:val="zh-CN"/>
        </w:rPr>
      </w:pPr>
      <w:r>
        <w:rPr>
          <w:rFonts w:hint="eastAsia" w:ascii="仿宋_GB2312" w:hAnsi="宋体" w:eastAsia="仿宋_GB2312"/>
          <w:color w:val="auto"/>
          <w:kern w:val="0"/>
          <w:sz w:val="24"/>
          <w:highlight w:val="none"/>
          <w:lang w:val="zh-CN"/>
        </w:rPr>
        <w:t>第二期付款：合同签订后3个月内，完成系统开发、安装部署、对接联调，实现系统全部功能，完成调试、集成等，提交全部报告材料及初验申请。通过初步验收，进入试运行，并出具初步验收报告且经甲方审查通过后15个工作日内，乙方凭甲方签字盖章的支付通知书、初验意见、验收小组签字的初步验收报告和等额发票向甲方办理合同总额50%的款项结算手续。</w:t>
      </w:r>
    </w:p>
    <w:p>
      <w:pPr>
        <w:autoSpaceDE w:val="0"/>
        <w:autoSpaceDN w:val="0"/>
        <w:snapToGrid w:val="0"/>
        <w:spacing w:line="360" w:lineRule="auto"/>
        <w:ind w:firstLine="540"/>
        <w:rPr>
          <w:rFonts w:hint="eastAsia" w:ascii="仿宋_GB2312" w:hAnsi="宋体" w:eastAsia="仿宋_GB2312"/>
          <w:color w:val="auto"/>
          <w:kern w:val="0"/>
          <w:sz w:val="24"/>
          <w:highlight w:val="none"/>
          <w:lang w:val="zh-CN"/>
        </w:rPr>
      </w:pPr>
      <w:r>
        <w:rPr>
          <w:rFonts w:hint="eastAsia" w:ascii="仿宋_GB2312" w:hAnsi="宋体" w:eastAsia="仿宋_GB2312"/>
          <w:color w:val="auto"/>
          <w:kern w:val="0"/>
          <w:sz w:val="24"/>
          <w:highlight w:val="none"/>
          <w:lang w:val="zh-CN"/>
        </w:rPr>
        <w:t>第三期付款：项目通过初验后1个月内完成培训、试运行，通过第三方检测、等保测评工作后，提交全部报告材料及终验申请。通过正式验收后，出具项目终验报告且经甲方审查通过。经审计确认后，乙方凭甲方签字盖章的支付通知书、终验意见、验收小组签字</w:t>
      </w:r>
      <w:r>
        <w:rPr>
          <w:rFonts w:hint="eastAsia" w:ascii="仿宋_GB2312" w:hAnsi="宋体" w:eastAsia="仿宋_GB2312"/>
          <w:color w:val="auto"/>
          <w:kern w:val="0"/>
          <w:sz w:val="24"/>
          <w:highlight w:val="none"/>
        </w:rPr>
        <w:t>终验意见、甲方双方签字的验收报告、测评报告、公示截图及相关考核资料，向甲方办理合同的尾款结算手续（扣除违约金后，若有）</w:t>
      </w:r>
      <w:r>
        <w:rPr>
          <w:rFonts w:hint="eastAsia" w:ascii="仿宋_GB2312" w:hAnsi="宋体" w:eastAsia="仿宋_GB2312"/>
          <w:color w:val="auto"/>
          <w:kern w:val="0"/>
          <w:sz w:val="24"/>
          <w:highlight w:val="none"/>
          <w:lang w:val="zh-CN"/>
        </w:rPr>
        <w:t>。</w:t>
      </w:r>
    </w:p>
    <w:p>
      <w:pPr>
        <w:spacing w:line="360" w:lineRule="auto"/>
        <w:ind w:firstLine="426"/>
        <w:rPr>
          <w:rFonts w:hint="eastAsia" w:ascii="仿宋_GB2312" w:hAnsi="仿宋" w:eastAsia="仿宋_GB2312" w:cs="宋体"/>
          <w:color w:val="auto"/>
          <w:kern w:val="0"/>
          <w:sz w:val="24"/>
          <w:highlight w:val="none"/>
          <w:lang w:val="zh-CN"/>
        </w:rPr>
      </w:pPr>
      <w:r>
        <w:rPr>
          <w:rFonts w:hint="eastAsia" w:ascii="仿宋_GB2312" w:hAnsi="宋体" w:eastAsia="仿宋_GB2312"/>
          <w:color w:val="auto"/>
          <w:kern w:val="0"/>
          <w:sz w:val="24"/>
          <w:highlight w:val="none"/>
          <w:lang w:val="zh-CN"/>
        </w:rPr>
        <w:t>第四期付款：短信服务、移动推送服务期满后，乙方凭经甲方确认的短信发送数量凭证、记录，推送服务数量、凭证，验收小组签字</w:t>
      </w:r>
      <w:r>
        <w:rPr>
          <w:rFonts w:hint="eastAsia" w:ascii="仿宋_GB2312" w:hAnsi="宋体" w:eastAsia="仿宋_GB2312"/>
          <w:color w:val="auto"/>
          <w:kern w:val="0"/>
          <w:sz w:val="24"/>
          <w:highlight w:val="none"/>
        </w:rPr>
        <w:t>验收意见、甲方双方签字的验收报告</w:t>
      </w:r>
      <w:r>
        <w:rPr>
          <w:rFonts w:hint="eastAsia" w:ascii="仿宋_GB2312" w:hAnsi="宋体" w:eastAsia="仿宋_GB2312"/>
          <w:color w:val="auto"/>
          <w:kern w:val="0"/>
          <w:sz w:val="24"/>
          <w:highlight w:val="none"/>
          <w:lang w:val="zh-CN"/>
        </w:rPr>
        <w:t>等相关资料，后向甲方办理合同尾款结算手续。</w:t>
      </w:r>
    </w:p>
    <w:p>
      <w:pPr>
        <w:autoSpaceDE w:val="0"/>
        <w:autoSpaceDN w:val="0"/>
        <w:snapToGrid w:val="0"/>
        <w:spacing w:line="360" w:lineRule="auto"/>
        <w:ind w:firstLine="540"/>
        <w:rPr>
          <w:rFonts w:hint="eastAsia" w:ascii="仿宋_GB2312" w:hAnsi="宋体" w:eastAsia="仿宋_GB2312"/>
          <w:color w:val="auto"/>
          <w:kern w:val="0"/>
          <w:sz w:val="24"/>
          <w:highlight w:val="none"/>
          <w:lang w:val="zh-CN" w:eastAsia="zh-CN"/>
        </w:rPr>
      </w:pPr>
      <w:r>
        <w:rPr>
          <w:rFonts w:hint="eastAsia" w:ascii="仿宋_GB2312" w:hAnsi="仿宋" w:eastAsia="仿宋_GB2312" w:cs="仿宋"/>
          <w:color w:val="auto"/>
          <w:sz w:val="24"/>
          <w:highlight w:val="none"/>
        </w:rPr>
        <w:t>甲方无故逾期支付服务费用的，按照每逾期一日支付本期应支付服务费额度的万分之五承担违约责任，最高限额为本合同总价的</w:t>
      </w:r>
      <w:r>
        <w:rPr>
          <w:rFonts w:hint="eastAsia" w:ascii="仿宋_GB2312" w:hAnsi="仿宋" w:eastAsia="仿宋_GB2312" w:cs="仿宋"/>
          <w:color w:val="auto"/>
          <w:sz w:val="24"/>
          <w:highlight w:val="none"/>
          <w:u w:val="single"/>
        </w:rPr>
        <w:t xml:space="preserve">   20  </w:t>
      </w: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eastAsia="zh-CN"/>
        </w:rPr>
        <w:t>。</w:t>
      </w:r>
    </w:p>
    <w:p>
      <w:pPr>
        <w:autoSpaceDE w:val="0"/>
        <w:autoSpaceDN w:val="0"/>
        <w:snapToGrid w:val="0"/>
        <w:spacing w:line="360" w:lineRule="auto"/>
        <w:ind w:firstLine="54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2.9</w:t>
      </w:r>
      <w:r>
        <w:rPr>
          <w:rFonts w:hint="eastAsia" w:ascii="仿宋_GB2312" w:hAnsi="楷体" w:eastAsia="仿宋_GB2312"/>
          <w:b/>
          <w:color w:val="auto"/>
          <w:sz w:val="24"/>
          <w:highlight w:val="none"/>
        </w:rPr>
        <w:t>标的物的风险负担</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2.9标的物的风险负担</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仿宋" w:eastAsia="仿宋_GB2312"/>
          <w:color w:val="auto"/>
          <w:sz w:val="24"/>
          <w:highlight w:val="none"/>
          <w:u w:val="single"/>
        </w:rPr>
        <w:t xml:space="preserve">在本项目完成交付验收前，相应一切风险由乙方承担   </w:t>
      </w:r>
      <w:r>
        <w:rPr>
          <w:rFonts w:hint="eastAsia" w:ascii="仿宋_GB2312" w:hAnsi="楷体" w:eastAsia="仿宋_GB2312"/>
          <w:color w:val="auto"/>
          <w:sz w:val="24"/>
          <w:highlight w:val="none"/>
          <w:u w:val="singl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2.17.3 检验和验收标准、程序等具体内容以及前述验收书的效力：</w:t>
      </w:r>
    </w:p>
    <w:p>
      <w:pP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u w:val="single"/>
        </w:rPr>
        <w:t xml:space="preserve">项目完成后，乙方应提供项目软件清单和系统功能清单，会同甲方对照清单逐项验收。软件清单与系统功能清单应符合招投标所承诺提供软件与系统功能。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3.1 其他：</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乙方未按合同承诺提供服务，每发生1起扣除履约保证金3000元，累计发生3次以上，甲方有权没收全部履约保证金，并就由此造成的损失向乙方提出索赔。</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u w:val="single"/>
          <w:lang w:val="zh-CN"/>
        </w:rPr>
        <w:t>如乙方未按合同及招投标文件约定要求完成项目建设内容，在整改完成的基础上扣除10%—50%履约保证金，拒不整改的，甲方有权没收全部履约保证金并由此造成的损失向乙方提出索赔。</w:t>
      </w:r>
    </w:p>
    <w:p>
      <w:pPr>
        <w:pStyle w:val="640"/>
        <w:ind w:left="0" w:leftChars="0" w:firstLine="0" w:firstLineChars="0"/>
        <w:jc w:val="left"/>
        <w:rPr>
          <w:rFonts w:hint="eastAsia" w:ascii="仿宋_GB2312" w:hAnsi="仿宋" w:eastAsia="仿宋_GB2312" w:cs="仿宋"/>
          <w:color w:val="auto"/>
          <w:szCs w:val="24"/>
          <w:highlight w:val="none"/>
        </w:rPr>
      </w:pP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color w:val="auto"/>
          <w:kern w:val="0"/>
          <w:highlight w:val="none"/>
          <w:u w:val="single"/>
          <w:lang w:val="zh-CN"/>
        </w:rPr>
        <w:t>在合同实施过程中，合同建设内容如发生变化，乙方在实施前需事先取得项目建设单位、监理等部门签署的书面意见同意后按《杭州市公安局科技建设项目管理办法》变更管理规定实施，否则该变更内容在款项结算时，甲方有权不予认可。同时，扣除履约保证金5000元。</w:t>
      </w:r>
    </w:p>
    <w:p>
      <w:pPr>
        <w:snapToGrid w:val="0"/>
        <w:spacing w:line="360" w:lineRule="auto"/>
        <w:jc w:val="center"/>
        <w:rPr>
          <w:rFonts w:hint="eastAsia" w:ascii="仿宋_GB2312" w:hAnsi="仿宋" w:eastAsia="仿宋_GB2312" w:cs="仿宋"/>
          <w:b/>
          <w:color w:val="auto"/>
          <w:sz w:val="36"/>
          <w:szCs w:val="20"/>
          <w:highlight w:val="none"/>
        </w:rPr>
      </w:pPr>
    </w:p>
    <w:p>
      <w:pPr>
        <w:snapToGrid w:val="0"/>
        <w:spacing w:line="360" w:lineRule="auto"/>
        <w:jc w:val="center"/>
        <w:rPr>
          <w:rFonts w:hint="eastAsia" w:ascii="仿宋_GB2312" w:hAnsi="仿宋" w:eastAsia="仿宋_GB2312" w:cs="仿宋"/>
          <w:b/>
          <w:color w:val="auto"/>
          <w:sz w:val="36"/>
          <w:szCs w:val="20"/>
          <w:highlight w:val="none"/>
        </w:rPr>
      </w:pPr>
      <w:r>
        <w:rPr>
          <w:rFonts w:hint="eastAsia" w:ascii="仿宋_GB2312" w:hAnsi="仿宋" w:eastAsia="仿宋_GB2312" w:cs="仿宋"/>
          <w:b/>
          <w:color w:val="auto"/>
          <w:sz w:val="36"/>
          <w:szCs w:val="20"/>
          <w:highlight w:val="none"/>
        </w:rPr>
        <w:br w:type="page"/>
      </w:r>
      <w:r>
        <w:rPr>
          <w:rFonts w:hint="eastAsia" w:ascii="仿宋_GB2312" w:hAnsi="仿宋" w:eastAsia="仿宋_GB2312" w:cs="仿宋"/>
          <w:b/>
          <w:color w:val="auto"/>
          <w:sz w:val="36"/>
          <w:szCs w:val="20"/>
          <w:highlight w:val="none"/>
        </w:rPr>
        <w:t>第六部分</w:t>
      </w:r>
      <w:bookmarkEnd w:id="405"/>
      <w:r>
        <w:rPr>
          <w:rFonts w:hint="eastAsia" w:ascii="仿宋_GB2312" w:hAnsi="仿宋" w:eastAsia="仿宋_GB2312" w:cs="仿宋"/>
          <w:b/>
          <w:color w:val="auto"/>
          <w:sz w:val="36"/>
          <w:szCs w:val="20"/>
          <w:highlight w:val="none"/>
        </w:rPr>
        <w:t xml:space="preserve"> </w:t>
      </w:r>
      <w:bookmarkEnd w:id="406"/>
      <w:r>
        <w:rPr>
          <w:rFonts w:hint="eastAsia" w:ascii="仿宋_GB2312" w:hAnsi="仿宋" w:eastAsia="仿宋_GB2312" w:cs="仿宋"/>
          <w:b/>
          <w:color w:val="auto"/>
          <w:sz w:val="36"/>
          <w:szCs w:val="20"/>
          <w:highlight w:val="none"/>
        </w:rPr>
        <w:t>应提交的有关格式范例</w:t>
      </w:r>
    </w:p>
    <w:p>
      <w:pPr>
        <w:spacing w:line="360" w:lineRule="auto"/>
        <w:ind w:firstLine="480" w:firstLineChars="200"/>
        <w:outlineLvl w:val="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投标人按照以下格式编制投标文件。</w:t>
      </w:r>
    </w:p>
    <w:p>
      <w:pPr>
        <w:spacing w:line="360" w:lineRule="auto"/>
        <w:jc w:val="center"/>
        <w:outlineLvl w:val="0"/>
        <w:rPr>
          <w:rFonts w:hint="eastAsia" w:ascii="仿宋_GB2312" w:hAnsi="仿宋" w:eastAsia="仿宋_GB2312" w:cs="仿宋"/>
          <w:color w:val="auto"/>
          <w:sz w:val="36"/>
          <w:szCs w:val="36"/>
          <w:highlight w:val="none"/>
          <w:lang w:val="zh-CN"/>
        </w:rPr>
      </w:pPr>
    </w:p>
    <w:p>
      <w:pPr>
        <w:spacing w:line="360" w:lineRule="auto"/>
        <w:jc w:val="center"/>
        <w:outlineLvl w:val="0"/>
        <w:rPr>
          <w:rFonts w:hint="eastAsia" w:ascii="仿宋_GB2312" w:hAnsi="仿宋" w:eastAsia="仿宋_GB2312" w:cs="仿宋"/>
          <w:b/>
          <w:color w:val="auto"/>
          <w:kern w:val="0"/>
          <w:sz w:val="36"/>
          <w:szCs w:val="36"/>
          <w:highlight w:val="none"/>
        </w:rPr>
      </w:pPr>
      <w:r>
        <w:rPr>
          <w:rFonts w:hint="eastAsia" w:ascii="仿宋_GB2312" w:hAnsi="仿宋" w:eastAsia="仿宋_GB2312" w:cs="仿宋"/>
          <w:b/>
          <w:color w:val="auto"/>
          <w:kern w:val="0"/>
          <w:sz w:val="36"/>
          <w:szCs w:val="36"/>
          <w:highlight w:val="none"/>
        </w:rPr>
        <w:t>资格文件部分</w:t>
      </w:r>
    </w:p>
    <w:p>
      <w:pPr>
        <w:spacing w:line="360" w:lineRule="auto"/>
        <w:jc w:val="center"/>
        <w:outlineLvl w:val="0"/>
        <w:rPr>
          <w:rFonts w:hint="eastAsia" w:ascii="仿宋_GB2312" w:hAnsi="仿宋" w:eastAsia="仿宋_GB2312" w:cs="仿宋"/>
          <w:b/>
          <w:color w:val="auto"/>
          <w:kern w:val="0"/>
          <w:sz w:val="36"/>
          <w:szCs w:val="36"/>
          <w:highlight w:val="none"/>
        </w:rPr>
      </w:pPr>
      <w:r>
        <w:rPr>
          <w:rFonts w:hint="eastAsia" w:ascii="仿宋_GB2312" w:hAnsi="仿宋" w:eastAsia="仿宋_GB2312" w:cs="仿宋"/>
          <w:b/>
          <w:color w:val="auto"/>
          <w:kern w:val="0"/>
          <w:sz w:val="36"/>
          <w:szCs w:val="36"/>
          <w:highlight w:val="none"/>
        </w:rPr>
        <w:t>目录</w:t>
      </w:r>
    </w:p>
    <w:p>
      <w:pPr>
        <w:spacing w:line="360" w:lineRule="auto"/>
        <w:jc w:val="center"/>
        <w:outlineLvl w:val="0"/>
        <w:rPr>
          <w:rFonts w:hint="eastAsia" w:ascii="仿宋_GB2312" w:hAnsi="仿宋" w:eastAsia="仿宋_GB2312" w:cs="仿宋"/>
          <w:b/>
          <w:color w:val="auto"/>
          <w:kern w:val="0"/>
          <w:sz w:val="36"/>
          <w:szCs w:val="36"/>
          <w:highlight w:val="none"/>
        </w:rPr>
      </w:pP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（2）法人授权书 ……………………………………………………………………（页码）</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（3）授权代表的身份证（复印件）………………………………………………（页码）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（4）符合参与政府采购活动的资格条件并且没有税收缴纳、社会保障等方面的失信记录的承诺函……………………………………………………………………………（页码）</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（5）具有履行合同所必需的设备和专业技术能力的承诺函………………………（页码）</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（6）参加政府采购活动前三年内，在经营活动中没有重大违法记录的声明</w:t>
      </w:r>
      <w:r>
        <w:rPr>
          <w:rFonts w:hint="eastAsia" w:ascii="仿宋_GB2312" w:hAnsi="仿宋" w:eastAsia="仿宋_GB2312" w:cs="仿宋"/>
          <w:color w:val="auto"/>
          <w:kern w:val="0"/>
          <w:sz w:val="24"/>
          <w:highlight w:val="none"/>
        </w:rPr>
        <w:t xml:space="preserve"> …（页码）</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（7）具有良好商业信誉特别声明</w:t>
      </w:r>
      <w:r>
        <w:rPr>
          <w:rFonts w:hint="eastAsia" w:ascii="仿宋_GB2312" w:hAnsi="仿宋" w:eastAsia="仿宋_GB2312" w:cs="仿宋"/>
          <w:color w:val="auto"/>
          <w:kern w:val="0"/>
          <w:sz w:val="24"/>
          <w:highlight w:val="none"/>
        </w:rPr>
        <w:t>……………………………………………………（页码）</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（8）</w:t>
      </w:r>
      <w:r>
        <w:rPr>
          <w:rFonts w:hint="eastAsia" w:ascii="仿宋_GB2312" w:hAnsi="仿宋" w:eastAsia="仿宋_GB2312" w:cs="仿宋"/>
          <w:color w:val="auto"/>
          <w:sz w:val="24"/>
          <w:highlight w:val="none"/>
        </w:rPr>
        <w:t>符合特定资格条件（如果项目要求）的有关证明材料（复印件）</w:t>
      </w:r>
      <w:r>
        <w:rPr>
          <w:rFonts w:hint="eastAsia" w:ascii="仿宋_GB2312" w:hAnsi="仿宋" w:eastAsia="仿宋_GB2312" w:cs="仿宋"/>
          <w:color w:val="auto"/>
          <w:kern w:val="0"/>
          <w:sz w:val="24"/>
          <w:highlight w:val="none"/>
        </w:rPr>
        <w:t>…………（页码）</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（9）</w:t>
      </w:r>
      <w:r>
        <w:rPr>
          <w:rFonts w:hint="eastAsia" w:ascii="仿宋_GB2312" w:hAnsi="仿宋" w:eastAsia="仿宋_GB2312" w:cs="仿宋"/>
          <w:color w:val="auto"/>
          <w:sz w:val="24"/>
          <w:highlight w:val="none"/>
        </w:rPr>
        <w:t>以联合体形式投标的，提供联合体协议；本项目不允许联合体投标或者投标人不以联合体形式投标的，则不需要提供</w:t>
      </w:r>
      <w:r>
        <w:rPr>
          <w:rFonts w:hint="eastAsia" w:ascii="仿宋_GB2312" w:hAnsi="仿宋" w:eastAsia="仿宋_GB2312" w:cs="仿宋"/>
          <w:color w:val="auto"/>
          <w:kern w:val="0"/>
          <w:sz w:val="24"/>
          <w:highlight w:val="none"/>
        </w:rPr>
        <w:t>…………………………………………………（页码）</w:t>
      </w:r>
    </w:p>
    <w:p>
      <w:pPr>
        <w:snapToGrid w:val="0"/>
        <w:spacing w:line="360" w:lineRule="auto"/>
        <w:rPr>
          <w:rFonts w:hint="eastAsia" w:ascii="仿宋_GB2312" w:hAnsi="仿宋" w:eastAsia="仿宋_GB2312" w:cs="仿宋"/>
          <w:color w:val="auto"/>
          <w:kern w:val="0"/>
          <w:sz w:val="24"/>
          <w:highlight w:val="none"/>
        </w:rPr>
      </w:pPr>
    </w:p>
    <w:p>
      <w:pPr>
        <w:spacing w:line="360" w:lineRule="auto"/>
        <w:ind w:firstLine="480" w:firstLineChars="200"/>
        <w:rPr>
          <w:rFonts w:hint="eastAsia" w:ascii="仿宋_GB2312" w:hAnsi="仿宋" w:eastAsia="仿宋_GB2312" w:cs="仿宋"/>
          <w:color w:val="auto"/>
          <w:sz w:val="24"/>
          <w:highlight w:val="none"/>
        </w:rPr>
      </w:pPr>
    </w:p>
    <w:p>
      <w:pPr>
        <w:snapToGrid w:val="0"/>
        <w:spacing w:line="360" w:lineRule="auto"/>
        <w:jc w:val="center"/>
        <w:rPr>
          <w:rFonts w:hint="eastAsia" w:ascii="仿宋_GB2312" w:hAnsi="仿宋" w:eastAsia="仿宋_GB2312" w:cs="仿宋"/>
          <w:b/>
          <w:color w:val="auto"/>
          <w:sz w:val="30"/>
          <w:szCs w:val="30"/>
          <w:highlight w:val="none"/>
        </w:rPr>
      </w:pPr>
      <w:r>
        <w:rPr>
          <w:rFonts w:hint="eastAsia" w:ascii="仿宋_GB2312" w:hAnsi="仿宋" w:eastAsia="仿宋_GB2312" w:cs="仿宋"/>
          <w:color w:val="auto"/>
          <w:kern w:val="0"/>
          <w:sz w:val="24"/>
          <w:highlight w:val="none"/>
        </w:rPr>
        <w:br w:type="page"/>
      </w: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营业执照或事业法人登记证证明材料（复印件）</w:t>
      </w:r>
    </w:p>
    <w:p>
      <w:pPr>
        <w:spacing w:line="360" w:lineRule="auto"/>
        <w:jc w:val="center"/>
        <w:rPr>
          <w:rFonts w:hint="eastAsia" w:ascii="仿宋_GB2312" w:hAnsi="仿宋" w:eastAsia="仿宋_GB2312" w:cs="仿宋"/>
          <w:b/>
          <w:color w:val="auto"/>
          <w:sz w:val="30"/>
          <w:szCs w:val="30"/>
          <w:highlight w:val="none"/>
        </w:rPr>
      </w:pPr>
    </w:p>
    <w:p>
      <w:pPr>
        <w:snapToGrid w:val="0"/>
        <w:spacing w:line="360" w:lineRule="auto"/>
        <w:ind w:firstLine="576"/>
        <w:jc w:val="center"/>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投标人名称(电子签名)：                              </w:t>
      </w:r>
    </w:p>
    <w:p>
      <w:pPr>
        <w:spacing w:line="360" w:lineRule="auto"/>
        <w:jc w:val="center"/>
        <w:rPr>
          <w:rFonts w:hint="eastAsia" w:ascii="仿宋_GB2312" w:hAnsi="仿宋" w:eastAsia="仿宋_GB2312" w:cs="仿宋"/>
          <w:b/>
          <w:color w:val="auto"/>
          <w:sz w:val="30"/>
          <w:szCs w:val="30"/>
          <w:highlight w:val="none"/>
        </w:rPr>
      </w:pPr>
      <w:r>
        <w:rPr>
          <w:rFonts w:hint="eastAsia" w:ascii="仿宋_GB2312" w:hAnsi="仿宋" w:eastAsia="仿宋_GB2312" w:cs="仿宋"/>
          <w:color w:val="auto"/>
          <w:kern w:val="0"/>
          <w:sz w:val="24"/>
          <w:highlight w:val="none"/>
          <w:lang w:val="zh-CN"/>
        </w:rPr>
        <w:t xml:space="preserve">                   日期：  年  月</w:t>
      </w:r>
    </w:p>
    <w:p>
      <w:pPr>
        <w:spacing w:line="360" w:lineRule="auto"/>
        <w:jc w:val="center"/>
        <w:rPr>
          <w:rFonts w:hint="eastAsia" w:ascii="仿宋_GB2312" w:hAnsi="仿宋" w:eastAsia="仿宋_GB2312" w:cs="仿宋"/>
          <w:b/>
          <w:color w:val="auto"/>
          <w:sz w:val="30"/>
          <w:szCs w:val="30"/>
          <w:highlight w:val="none"/>
        </w:rPr>
      </w:pPr>
    </w:p>
    <w:p>
      <w:pPr>
        <w:spacing w:line="360" w:lineRule="auto"/>
        <w:jc w:val="center"/>
        <w:rPr>
          <w:rFonts w:hint="eastAsia" w:ascii="仿宋_GB2312" w:hAnsi="仿宋" w:eastAsia="仿宋_GB2312" w:cs="仿宋"/>
          <w:b/>
          <w:color w:val="auto"/>
          <w:sz w:val="30"/>
          <w:szCs w:val="30"/>
          <w:highlight w:val="none"/>
        </w:rPr>
      </w:pPr>
    </w:p>
    <w:p>
      <w:pPr>
        <w:snapToGrid w:val="0"/>
        <w:spacing w:line="360" w:lineRule="auto"/>
        <w:ind w:firstLine="2570" w:firstLineChars="800"/>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t>二、法人授权书</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杭州市公安局、杭州市公共资源交易中心（杭州市政府采购中心）</w:t>
      </w:r>
      <w:r>
        <w:rPr>
          <w:rFonts w:hint="eastAsia" w:ascii="仿宋_GB2312" w:hAnsi="仿宋" w:eastAsia="仿宋_GB2312" w:cs="仿宋"/>
          <w:color w:val="auto"/>
          <w:kern w:val="0"/>
          <w:sz w:val="24"/>
          <w:highlight w:val="none"/>
          <w:lang w:val="zh-CN"/>
        </w:rPr>
        <w:t>：</w:t>
      </w:r>
    </w:p>
    <w:p>
      <w:pPr>
        <w:snapToGrid w:val="0"/>
        <w:spacing w:line="360" w:lineRule="auto"/>
        <w:ind w:firstLine="576"/>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兹委派我公司</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先生/女士(其在本公司的职务是：</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 xml:space="preserve"> ，联系电话：</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手机：</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传真：</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)，代表我公司全权处理</w:t>
      </w:r>
      <w:r>
        <w:rPr>
          <w:rFonts w:hint="eastAsia" w:ascii="仿宋_GB2312" w:hAnsi="仿宋" w:eastAsia="仿宋_GB2312" w:cs="仿宋"/>
          <w:color w:val="auto"/>
          <w:sz w:val="24"/>
          <w:highlight w:val="none"/>
        </w:rPr>
        <w:t>杭州城市大脑**操作系统应用场景及业务通用能力建设项目应用支撑能力模块</w:t>
      </w:r>
      <w:r>
        <w:rPr>
          <w:rFonts w:hint="eastAsia" w:ascii="仿宋_GB2312" w:hAnsi="仿宋" w:eastAsia="仿宋_GB2312" w:cs="仿宋"/>
          <w:color w:val="auto"/>
          <w:kern w:val="0"/>
          <w:sz w:val="24"/>
          <w:highlight w:val="none"/>
          <w:lang w:val="zh-CN"/>
        </w:rPr>
        <w:t>【招标编号：HZZFCG-2021-157】政府采购投标的一切事项，若中标则全权代表本公司签订相关合同，并负责处理合同履行等事宜。</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本授权书有效期：自   年 月  日起至  年  月  日止。</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 xml:space="preserve">    特此告知。</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 xml:space="preserve">                                                  投标人名称(电子签名)：</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签发日期：  年  月   日</w:t>
      </w:r>
    </w:p>
    <w:p>
      <w:pPr>
        <w:snapToGrid w:val="0"/>
        <w:spacing w:line="360" w:lineRule="auto"/>
        <w:jc w:val="center"/>
        <w:rPr>
          <w:rFonts w:hint="eastAsia" w:ascii="仿宋_GB2312" w:hAnsi="仿宋" w:eastAsia="仿宋_GB2312" w:cs="仿宋"/>
          <w:b/>
          <w:color w:val="auto"/>
          <w:kern w:val="0"/>
          <w:sz w:val="32"/>
          <w:szCs w:val="32"/>
          <w:highlight w:val="none"/>
          <w:lang w:val="zh-CN"/>
        </w:rPr>
      </w:pPr>
    </w:p>
    <w:p>
      <w:pPr>
        <w:snapToGrid w:val="0"/>
        <w:spacing w:line="360" w:lineRule="auto"/>
        <w:jc w:val="center"/>
        <w:rPr>
          <w:rFonts w:hint="eastAsia" w:ascii="仿宋_GB2312" w:hAnsi="仿宋" w:eastAsia="仿宋_GB2312" w:cs="仿宋"/>
          <w:b/>
          <w:color w:val="auto"/>
          <w:kern w:val="0"/>
          <w:sz w:val="32"/>
          <w:szCs w:val="32"/>
          <w:highlight w:val="none"/>
          <w:lang w:val="zh-CN"/>
        </w:rPr>
      </w:pPr>
    </w:p>
    <w:p>
      <w:pPr>
        <w:snapToGrid w:val="0"/>
        <w:spacing w:line="360" w:lineRule="auto"/>
        <w:jc w:val="center"/>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br w:type="page"/>
      </w:r>
      <w:r>
        <w:rPr>
          <w:rFonts w:hint="eastAsia" w:ascii="仿宋_GB2312" w:hAnsi="仿宋" w:eastAsia="仿宋_GB2312" w:cs="仿宋"/>
          <w:b/>
          <w:color w:val="auto"/>
          <w:kern w:val="0"/>
          <w:sz w:val="32"/>
          <w:szCs w:val="32"/>
          <w:highlight w:val="none"/>
          <w:lang w:val="zh-CN"/>
        </w:rPr>
        <w:t xml:space="preserve">   联合体投标授权书（适用联合体投标）</w:t>
      </w:r>
    </w:p>
    <w:p>
      <w:pPr>
        <w:snapToGrid w:val="0"/>
        <w:spacing w:line="360" w:lineRule="auto"/>
        <w:ind w:firstLine="576"/>
        <w:jc w:val="center"/>
        <w:rPr>
          <w:rFonts w:hint="eastAsia" w:ascii="仿宋_GB2312" w:hAnsi="仿宋" w:eastAsia="仿宋_GB2312" w:cs="仿宋"/>
          <w:b/>
          <w:color w:val="auto"/>
          <w:sz w:val="30"/>
          <w:szCs w:val="30"/>
          <w:highlight w:val="none"/>
        </w:rPr>
      </w:pPr>
      <w:r>
        <w:rPr>
          <w:rFonts w:hint="eastAsia" w:ascii="仿宋_GB2312" w:hAnsi="仿宋" w:eastAsia="仿宋_GB2312" w:cs="仿宋"/>
          <w:b/>
          <w:color w:val="auto"/>
          <w:sz w:val="30"/>
          <w:szCs w:val="30"/>
          <w:highlight w:val="none"/>
        </w:rPr>
        <w:t>（扫描件加盖上传公司电子签名）</w:t>
      </w:r>
    </w:p>
    <w:p>
      <w:pPr>
        <w:snapToGrid w:val="0"/>
        <w:spacing w:line="360" w:lineRule="auto"/>
        <w:ind w:firstLine="576"/>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兹委派</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公司</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先生/女士(其在该公司的职务是：</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 xml:space="preserve"> ，联系电话：</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手机：</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传真：</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公司</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先生/女士(其在该公司的职务是：</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 xml:space="preserve"> ，联系电话：</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手机：</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传真：</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)；……，代表本联合体全权处理</w:t>
      </w:r>
      <w:r>
        <w:rPr>
          <w:rFonts w:hint="eastAsia" w:ascii="仿宋_GB2312" w:hAnsi="仿宋" w:eastAsia="仿宋_GB2312" w:cs="仿宋"/>
          <w:color w:val="auto"/>
          <w:sz w:val="24"/>
          <w:highlight w:val="none"/>
        </w:rPr>
        <w:t>杭州城市大脑**操作系统应用场景及业务通用能力建设项目应用支撑能力模块</w:t>
      </w:r>
      <w:r>
        <w:rPr>
          <w:rFonts w:hint="eastAsia" w:ascii="仿宋_GB2312" w:hAnsi="仿宋" w:eastAsia="仿宋_GB2312" w:cs="仿宋"/>
          <w:color w:val="auto"/>
          <w:kern w:val="0"/>
          <w:sz w:val="24"/>
          <w:highlight w:val="none"/>
          <w:lang w:val="zh-CN"/>
        </w:rPr>
        <w:t>【招标编号：HZZFCG-2021-157】政府采购投标的一切事项，若中标则全权代表本联合体签订相关合同，并负责处理合同履行等事宜。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本授权书有效期：自   年 月  日起至  年  月  日止。</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 xml:space="preserve">    特此告知。</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单位：          （电子签名或公章）         单位：      （电子签名或公章）</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日期：    年   月   日             日期：    年   月   日</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w:t>
      </w:r>
    </w:p>
    <w:p>
      <w:pPr>
        <w:spacing w:line="360" w:lineRule="auto"/>
        <w:rPr>
          <w:rFonts w:hint="eastAsia" w:ascii="仿宋_GB2312" w:hAnsi="仿宋" w:eastAsia="仿宋_GB2312" w:cs="仿宋"/>
          <w:color w:val="auto"/>
          <w:sz w:val="28"/>
          <w:szCs w:val="28"/>
          <w:highlight w:val="none"/>
        </w:rPr>
      </w:pPr>
    </w:p>
    <w:p>
      <w:pPr>
        <w:spacing w:line="360" w:lineRule="auto"/>
        <w:rPr>
          <w:rFonts w:hint="eastAsia" w:ascii="仿宋_GB2312" w:hAnsi="仿宋" w:eastAsia="仿宋_GB2312" w:cs="仿宋"/>
          <w:color w:val="auto"/>
          <w:sz w:val="28"/>
          <w:szCs w:val="28"/>
          <w:highlight w:val="none"/>
        </w:rPr>
      </w:pPr>
    </w:p>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b/>
          <w:bCs/>
          <w:color w:val="auto"/>
          <w:sz w:val="30"/>
          <w:szCs w:val="30"/>
          <w:highlight w:val="none"/>
        </w:rPr>
        <w:br w:type="page"/>
      </w:r>
      <w:r>
        <w:rPr>
          <w:rFonts w:hint="eastAsia" w:ascii="仿宋_GB2312" w:hAnsi="仿宋" w:eastAsia="仿宋_GB2312" w:cs="仿宋"/>
          <w:b/>
          <w:bCs/>
          <w:color w:val="auto"/>
          <w:sz w:val="30"/>
          <w:szCs w:val="30"/>
          <w:highlight w:val="none"/>
        </w:rPr>
        <w:t>三、</w:t>
      </w:r>
      <w:r>
        <w:rPr>
          <w:rFonts w:hint="eastAsia" w:ascii="仿宋_GB2312" w:hAnsi="仿宋" w:eastAsia="仿宋_GB2312" w:cs="仿宋"/>
          <w:b/>
          <w:color w:val="auto"/>
          <w:sz w:val="30"/>
          <w:szCs w:val="30"/>
          <w:highlight w:val="none"/>
        </w:rPr>
        <w:t>授权代表的身份证（复印件）</w:t>
      </w:r>
    </w:p>
    <w:p>
      <w:pPr>
        <w:pStyle w:val="295"/>
        <w:spacing w:line="360" w:lineRule="auto"/>
        <w:rPr>
          <w:rFonts w:hint="eastAsia"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95"/>
              <w:spacing w:line="360" w:lineRule="auto"/>
              <w:rPr>
                <w:rFonts w:hint="eastAsia" w:ascii="仿宋_GB2312" w:hAnsi="仿宋" w:eastAsia="仿宋_GB2312" w:cs="仿宋"/>
                <w:bCs/>
                <w:color w:val="auto"/>
                <w:sz w:val="24"/>
                <w:highlight w:val="none"/>
                <w:lang w:eastAsia="zh-CN"/>
              </w:rPr>
            </w:pPr>
            <w:r>
              <w:rPr>
                <w:rFonts w:hint="eastAsia" w:ascii="仿宋_GB2312" w:hAnsi="仿宋" w:eastAsia="仿宋_GB2312" w:cs="仿宋"/>
                <w:bCs/>
                <w:color w:val="auto"/>
                <w:sz w:val="24"/>
                <w:highlight w:val="none"/>
                <w:lang w:eastAsia="zh-CN"/>
              </w:rPr>
              <w:t>正面：                                 反面：</w:t>
            </w:r>
          </w:p>
          <w:p>
            <w:pPr>
              <w:pStyle w:val="295"/>
              <w:spacing w:line="360" w:lineRule="auto"/>
              <w:rPr>
                <w:rFonts w:hint="eastAsia" w:ascii="仿宋_GB2312" w:hAnsi="仿宋" w:eastAsia="仿宋_GB2312" w:cs="仿宋"/>
                <w:bCs/>
                <w:color w:val="auto"/>
                <w:sz w:val="24"/>
                <w:highlight w:val="none"/>
                <w:lang w:eastAsia="zh-CN"/>
              </w:rPr>
            </w:pPr>
          </w:p>
        </w:tc>
      </w:tr>
    </w:tbl>
    <w:p>
      <w:pPr>
        <w:snapToGrid w:val="0"/>
        <w:spacing w:line="360" w:lineRule="auto"/>
        <w:ind w:firstLine="576"/>
        <w:jc w:val="center"/>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w:t>
      </w:r>
    </w:p>
    <w:p>
      <w:pPr>
        <w:snapToGrid w:val="0"/>
        <w:spacing w:line="360" w:lineRule="auto"/>
        <w:ind w:firstLine="576"/>
        <w:jc w:val="center"/>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投标人名称(电子签名)：                              </w:t>
      </w:r>
    </w:p>
    <w:p>
      <w:pPr>
        <w:spacing w:line="360" w:lineRule="auto"/>
        <w:jc w:val="center"/>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日期：  年  月</w:t>
      </w:r>
    </w:p>
    <w:p>
      <w:pPr>
        <w:spacing w:line="360" w:lineRule="auto"/>
        <w:jc w:val="center"/>
        <w:rPr>
          <w:rFonts w:hint="eastAsia" w:ascii="仿宋_GB2312" w:hAnsi="仿宋" w:eastAsia="仿宋_GB2312" w:cs="仿宋"/>
          <w:color w:val="auto"/>
          <w:kern w:val="0"/>
          <w:sz w:val="24"/>
          <w:highlight w:val="none"/>
          <w:lang w:val="zh-CN"/>
        </w:rPr>
      </w:pPr>
    </w:p>
    <w:p>
      <w:pPr>
        <w:spacing w:line="360" w:lineRule="auto"/>
        <w:jc w:val="center"/>
        <w:rPr>
          <w:rFonts w:hint="eastAsia" w:ascii="仿宋_GB2312" w:hAnsi="仿宋" w:eastAsia="仿宋_GB2312" w:cs="仿宋"/>
          <w:b/>
          <w:color w:val="auto"/>
          <w:sz w:val="30"/>
          <w:szCs w:val="30"/>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四、</w:t>
      </w:r>
      <w:r>
        <w:rPr>
          <w:rFonts w:hint="eastAsia" w:ascii="仿宋_GB2312" w:hAnsi="仿宋" w:eastAsia="仿宋_GB2312" w:cs="仿宋_GB2312"/>
          <w:b/>
          <w:color w:val="auto"/>
          <w:kern w:val="0"/>
          <w:sz w:val="32"/>
          <w:szCs w:val="32"/>
          <w:highlight w:val="none"/>
        </w:rPr>
        <w:t>符合参与政府采购活动的资格条件并且没有税收缴纳、社会保障等方面的失信记录的承诺函</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杭州市公安局、杭州市公共资源交易中心（杭州市政府采购中心）：</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我方郑重承诺，我方符合参与杭州城市大脑**操作系统应用场景及业务通用能力建设项目应用支撑能力模块【招标编号：</w:t>
      </w:r>
      <w:r>
        <w:rPr>
          <w:rFonts w:hint="eastAsia" w:ascii="仿宋_GB2312" w:hAnsi="仿宋" w:eastAsia="仿宋_GB2312"/>
          <w:color w:val="auto"/>
          <w:sz w:val="24"/>
          <w:highlight w:val="none"/>
        </w:rPr>
        <w:t>HZZFCG-2021-157</w:t>
      </w:r>
      <w:r>
        <w:rPr>
          <w:rFonts w:hint="eastAsia" w:ascii="仿宋_GB2312" w:hAnsi="仿宋" w:eastAsia="仿宋_GB2312" w:cs="仿宋_GB2312"/>
          <w:color w:val="auto"/>
          <w:sz w:val="24"/>
          <w:highlight w:val="none"/>
        </w:rPr>
        <w:t>】政府采购活动的资格条件并且没有税收缴纳、社会保障等方面的失信记录。</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hint="eastAsia" w:ascii="仿宋_GB2312" w:hAnsi="仿宋" w:eastAsia="仿宋_GB2312" w:cs="仿宋"/>
          <w:b/>
          <w:color w:val="auto"/>
          <w:kern w:val="0"/>
          <w:sz w:val="32"/>
          <w:szCs w:val="32"/>
          <w:highlight w:val="none"/>
          <w:lang w:val="zh-CN"/>
        </w:rPr>
      </w:pPr>
    </w:p>
    <w:p>
      <w:pPr>
        <w:snapToGrid w:val="0"/>
        <w:spacing w:line="360" w:lineRule="auto"/>
        <w:ind w:right="480"/>
        <w:jc w:val="center"/>
        <w:rPr>
          <w:rFonts w:hint="eastAsia" w:ascii="仿宋_GB2312" w:hAnsi="仿宋" w:eastAsia="仿宋_GB2312" w:cs="仿宋"/>
          <w:b/>
          <w:color w:val="auto"/>
          <w:kern w:val="0"/>
          <w:sz w:val="32"/>
          <w:szCs w:val="32"/>
          <w:highlight w:val="none"/>
        </w:rPr>
      </w:pPr>
      <w:r>
        <w:rPr>
          <w:rFonts w:hint="eastAsia" w:ascii="仿宋_GB2312" w:hAnsi="仿宋" w:eastAsia="仿宋_GB2312" w:cs="仿宋"/>
          <w:b/>
          <w:color w:val="auto"/>
          <w:kern w:val="0"/>
          <w:sz w:val="32"/>
          <w:szCs w:val="32"/>
          <w:highlight w:val="none"/>
        </w:rPr>
        <w:br w:type="page"/>
      </w:r>
      <w:r>
        <w:rPr>
          <w:rFonts w:hint="eastAsia" w:ascii="仿宋_GB2312" w:hAnsi="仿宋" w:eastAsia="仿宋_GB2312" w:cs="仿宋"/>
          <w:b/>
          <w:color w:val="auto"/>
          <w:kern w:val="0"/>
          <w:sz w:val="32"/>
          <w:szCs w:val="32"/>
          <w:highlight w:val="none"/>
        </w:rPr>
        <w:t>五、具有履行合同所必需的设备和专业技术能力的承诺函</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杭州市公安局、杭州市公共资源交易中心（杭州市政府采购中心）：</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我方郑重承诺，我方具有履行杭州城市大脑**操作系统应用场景及业务通用能力建设项目应用支撑能力模块【招标编号：HZZFCG-2021-157】合同所必需的设备和专业技术能力。如中标，我方将保证合同顺利履行。</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w:t>
      </w:r>
    </w:p>
    <w:p>
      <w:pPr>
        <w:snapToGrid w:val="0"/>
        <w:spacing w:line="360" w:lineRule="auto"/>
        <w:ind w:firstLine="5040" w:firstLineChars="21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 xml:space="preserve"> 投标人名称(电子签名)：</w:t>
      </w:r>
    </w:p>
    <w:p>
      <w:pPr>
        <w:snapToGrid w:val="0"/>
        <w:spacing w:line="360" w:lineRule="auto"/>
        <w:ind w:firstLine="5160" w:firstLineChars="215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日期</w:t>
      </w:r>
      <w:r>
        <w:rPr>
          <w:rFonts w:hint="eastAsia" w:ascii="仿宋_GB2312" w:hAnsi="仿宋" w:eastAsia="仿宋_GB2312" w:cs="仿宋"/>
          <w:color w:val="auto"/>
          <w:kern w:val="0"/>
          <w:sz w:val="24"/>
          <w:highlight w:val="none"/>
        </w:rPr>
        <w:t xml:space="preserve">：  年  </w:t>
      </w:r>
      <w:r>
        <w:rPr>
          <w:rFonts w:hint="eastAsia" w:ascii="仿宋_GB2312" w:hAnsi="仿宋" w:eastAsia="仿宋_GB2312" w:cs="仿宋"/>
          <w:color w:val="auto"/>
          <w:kern w:val="0"/>
          <w:sz w:val="24"/>
          <w:highlight w:val="none"/>
          <w:lang w:val="zh-CN"/>
        </w:rPr>
        <w:t>月</w:t>
      </w: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w:t>
      </w:r>
    </w:p>
    <w:p>
      <w:pPr>
        <w:spacing w:line="360" w:lineRule="auto"/>
        <w:jc w:val="center"/>
        <w:rPr>
          <w:rFonts w:hint="eastAsia" w:ascii="仿宋_GB2312" w:hAnsi="仿宋" w:eastAsia="仿宋_GB2312" w:cs="仿宋"/>
          <w:b/>
          <w:color w:val="auto"/>
          <w:kern w:val="0"/>
          <w:sz w:val="32"/>
          <w:szCs w:val="32"/>
          <w:highlight w:val="none"/>
        </w:rPr>
      </w:pPr>
    </w:p>
    <w:p>
      <w:pPr>
        <w:spacing w:line="360" w:lineRule="auto"/>
        <w:jc w:val="center"/>
        <w:rPr>
          <w:rFonts w:hint="eastAsia" w:ascii="仿宋_GB2312" w:hAnsi="仿宋" w:eastAsia="仿宋_GB2312" w:cs="仿宋"/>
          <w:b/>
          <w:color w:val="auto"/>
          <w:kern w:val="0"/>
          <w:sz w:val="32"/>
          <w:szCs w:val="32"/>
          <w:highlight w:val="none"/>
        </w:rPr>
      </w:pPr>
    </w:p>
    <w:p>
      <w:pPr>
        <w:spacing w:line="360" w:lineRule="auto"/>
        <w:jc w:val="center"/>
        <w:rPr>
          <w:rFonts w:hint="eastAsia" w:ascii="仿宋_GB2312" w:hAnsi="仿宋" w:eastAsia="仿宋_GB2312" w:cs="仿宋"/>
          <w:b/>
          <w:color w:val="auto"/>
          <w:kern w:val="0"/>
          <w:sz w:val="32"/>
          <w:szCs w:val="32"/>
          <w:highlight w:val="none"/>
        </w:rPr>
      </w:pPr>
    </w:p>
    <w:p>
      <w:pPr>
        <w:spacing w:line="360" w:lineRule="auto"/>
        <w:jc w:val="center"/>
        <w:rPr>
          <w:rFonts w:hint="eastAsia" w:ascii="仿宋_GB2312" w:hAnsi="仿宋" w:eastAsia="仿宋_GB2312" w:cs="仿宋"/>
          <w:b/>
          <w:color w:val="auto"/>
          <w:kern w:val="0"/>
          <w:sz w:val="32"/>
          <w:szCs w:val="32"/>
          <w:highlight w:val="none"/>
        </w:rPr>
      </w:pPr>
    </w:p>
    <w:p>
      <w:pPr>
        <w:spacing w:line="360" w:lineRule="auto"/>
        <w:jc w:val="center"/>
        <w:rPr>
          <w:rFonts w:hint="eastAsia" w:ascii="仿宋_GB2312" w:hAnsi="仿宋" w:eastAsia="仿宋_GB2312" w:cs="仿宋"/>
          <w:b/>
          <w:color w:val="auto"/>
          <w:kern w:val="0"/>
          <w:sz w:val="32"/>
          <w:szCs w:val="32"/>
          <w:highlight w:val="none"/>
        </w:rPr>
      </w:pPr>
    </w:p>
    <w:p>
      <w:pPr>
        <w:spacing w:line="360" w:lineRule="auto"/>
        <w:jc w:val="center"/>
        <w:rPr>
          <w:rFonts w:hint="eastAsia" w:ascii="仿宋_GB2312" w:hAnsi="仿宋" w:eastAsia="仿宋_GB2312" w:cs="仿宋"/>
          <w:b/>
          <w:color w:val="auto"/>
          <w:kern w:val="0"/>
          <w:sz w:val="32"/>
          <w:szCs w:val="32"/>
          <w:highlight w:val="none"/>
        </w:rPr>
      </w:pPr>
      <w:r>
        <w:rPr>
          <w:rFonts w:hint="eastAsia" w:ascii="仿宋_GB2312" w:hAnsi="仿宋" w:eastAsia="仿宋_GB2312" w:cs="仿宋"/>
          <w:b/>
          <w:color w:val="auto"/>
          <w:kern w:val="0"/>
          <w:sz w:val="32"/>
          <w:szCs w:val="32"/>
          <w:highlight w:val="none"/>
        </w:rPr>
        <w:t>六、参加政府采购活动前三年内，在经营活动中</w:t>
      </w:r>
    </w:p>
    <w:p>
      <w:pPr>
        <w:spacing w:line="360" w:lineRule="auto"/>
        <w:jc w:val="center"/>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rPr>
        <w:t>没有重大违法记录的声明</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杭州市公安局、杭州市公共资源交易中心（杭州市政府采购中心）</w:t>
      </w:r>
      <w:r>
        <w:rPr>
          <w:rFonts w:hint="eastAsia" w:ascii="仿宋_GB2312" w:hAnsi="仿宋" w:eastAsia="仿宋_GB2312" w:cs="仿宋"/>
          <w:color w:val="auto"/>
          <w:kern w:val="0"/>
          <w:sz w:val="24"/>
          <w:highlight w:val="none"/>
          <w:lang w:val="zh-CN"/>
        </w:rPr>
        <w:t>：</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lang w:val="zh-CN"/>
        </w:rPr>
        <w:t>我方</w:t>
      </w:r>
      <w:r>
        <w:rPr>
          <w:rFonts w:hint="eastAsia" w:ascii="仿宋_GB2312" w:hAnsi="仿宋" w:eastAsia="仿宋_GB2312" w:cs="仿宋"/>
          <w:color w:val="auto"/>
          <w:sz w:val="24"/>
          <w:highlight w:val="none"/>
        </w:rPr>
        <w:t>声明投标截止时间前三年，在</w:t>
      </w:r>
      <w:r>
        <w:rPr>
          <w:rFonts w:hint="eastAsia" w:ascii="仿宋_GB2312" w:hAnsi="仿宋" w:eastAsia="仿宋_GB2312" w:cs="仿宋"/>
          <w:color w:val="auto"/>
          <w:kern w:val="0"/>
          <w:sz w:val="24"/>
          <w:highlight w:val="none"/>
        </w:rPr>
        <w:t>经营活动中</w:t>
      </w:r>
      <w:r>
        <w:rPr>
          <w:rFonts w:hint="eastAsia" w:ascii="仿宋_GB2312" w:hAnsi="仿宋" w:eastAsia="仿宋_GB2312" w:cs="仿宋"/>
          <w:color w:val="auto"/>
          <w:sz w:val="24"/>
          <w:highlight w:val="none"/>
        </w:rPr>
        <w:t xml:space="preserve">没有重大违法记录。 </w:t>
      </w:r>
    </w:p>
    <w:p>
      <w:pPr>
        <w:spacing w:line="360" w:lineRule="auto"/>
        <w:ind w:firstLine="480" w:firstLineChars="200"/>
        <w:rPr>
          <w:rFonts w:hint="eastAsia" w:ascii="仿宋_GB2312" w:hAnsi="仿宋" w:eastAsia="仿宋_GB2312" w:cs="仿宋"/>
          <w:color w:val="auto"/>
          <w:sz w:val="24"/>
          <w:highlight w:val="none"/>
        </w:rPr>
      </w:pP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 xml:space="preserve">                                           投标人名称(电子签名)：</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日期</w:t>
      </w:r>
      <w:r>
        <w:rPr>
          <w:rFonts w:hint="eastAsia" w:ascii="仿宋_GB2312" w:hAnsi="仿宋" w:eastAsia="仿宋_GB2312" w:cs="仿宋"/>
          <w:color w:val="auto"/>
          <w:kern w:val="0"/>
          <w:sz w:val="24"/>
          <w:highlight w:val="none"/>
        </w:rPr>
        <w:t xml:space="preserve">：  年  </w:t>
      </w:r>
      <w:r>
        <w:rPr>
          <w:rFonts w:hint="eastAsia" w:ascii="仿宋_GB2312" w:hAnsi="仿宋" w:eastAsia="仿宋_GB2312" w:cs="仿宋"/>
          <w:color w:val="auto"/>
          <w:kern w:val="0"/>
          <w:sz w:val="24"/>
          <w:highlight w:val="none"/>
          <w:lang w:val="zh-CN"/>
        </w:rPr>
        <w:t>月</w:t>
      </w: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w:t>
      </w:r>
    </w:p>
    <w:p>
      <w:pPr>
        <w:snapToGrid w:val="0"/>
        <w:spacing w:line="360" w:lineRule="auto"/>
        <w:ind w:firstLine="5160" w:firstLineChars="2150"/>
        <w:rPr>
          <w:rFonts w:hint="eastAsia" w:ascii="仿宋_GB2312" w:hAnsi="仿宋" w:eastAsia="仿宋_GB2312" w:cs="仿宋"/>
          <w:color w:val="auto"/>
          <w:kern w:val="0"/>
          <w:sz w:val="24"/>
          <w:highlight w:val="none"/>
          <w:lang w:val="zh-CN"/>
        </w:rPr>
      </w:pPr>
    </w:p>
    <w:p>
      <w:pPr>
        <w:snapToGrid w:val="0"/>
        <w:spacing w:line="360" w:lineRule="auto"/>
        <w:ind w:firstLine="5160" w:firstLineChars="2150"/>
        <w:rPr>
          <w:rFonts w:hint="eastAsia" w:ascii="仿宋_GB2312" w:hAnsi="仿宋" w:eastAsia="仿宋_GB2312" w:cs="仿宋"/>
          <w:color w:val="auto"/>
          <w:kern w:val="0"/>
          <w:sz w:val="24"/>
          <w:highlight w:val="none"/>
          <w:lang w:val="zh-CN"/>
        </w:rPr>
      </w:pPr>
    </w:p>
    <w:p>
      <w:pPr>
        <w:snapToGrid w:val="0"/>
        <w:spacing w:line="360" w:lineRule="auto"/>
        <w:ind w:firstLine="5160" w:firstLineChars="2150"/>
        <w:rPr>
          <w:rFonts w:hint="eastAsia" w:ascii="仿宋_GB2312" w:hAnsi="仿宋" w:eastAsia="仿宋_GB2312" w:cs="仿宋"/>
          <w:color w:val="auto"/>
          <w:kern w:val="0"/>
          <w:sz w:val="24"/>
          <w:highlight w:val="none"/>
          <w:lang w:val="zh-CN"/>
        </w:rPr>
      </w:pPr>
    </w:p>
    <w:p>
      <w:pPr>
        <w:snapToGrid w:val="0"/>
        <w:spacing w:line="360" w:lineRule="auto"/>
        <w:ind w:firstLine="5160" w:firstLineChars="2150"/>
        <w:rPr>
          <w:rFonts w:hint="eastAsia" w:ascii="仿宋_GB2312" w:hAnsi="仿宋" w:eastAsia="仿宋_GB2312" w:cs="仿宋"/>
          <w:color w:val="auto"/>
          <w:kern w:val="0"/>
          <w:sz w:val="24"/>
          <w:highlight w:val="none"/>
          <w:lang w:val="zh-CN"/>
        </w:rPr>
      </w:pPr>
    </w:p>
    <w:p>
      <w:pPr>
        <w:snapToGrid w:val="0"/>
        <w:spacing w:line="360" w:lineRule="auto"/>
        <w:ind w:firstLine="5160" w:firstLineChars="2150"/>
        <w:rPr>
          <w:rFonts w:hint="eastAsia" w:ascii="仿宋_GB2312" w:hAnsi="仿宋" w:eastAsia="仿宋_GB2312" w:cs="仿宋"/>
          <w:color w:val="auto"/>
          <w:kern w:val="0"/>
          <w:sz w:val="24"/>
          <w:highlight w:val="none"/>
          <w:lang w:val="zh-CN"/>
        </w:rPr>
      </w:pPr>
    </w:p>
    <w:p>
      <w:pPr>
        <w:snapToGrid w:val="0"/>
        <w:spacing w:line="360" w:lineRule="auto"/>
        <w:ind w:firstLine="1606" w:firstLineChars="500"/>
        <w:rPr>
          <w:rFonts w:hint="eastAsia" w:ascii="仿宋_GB2312" w:hAnsi="仿宋" w:eastAsia="仿宋_GB2312" w:cs="仿宋"/>
          <w:b/>
          <w:color w:val="auto"/>
          <w:kern w:val="0"/>
          <w:sz w:val="32"/>
          <w:szCs w:val="32"/>
          <w:highlight w:val="none"/>
        </w:rPr>
      </w:pPr>
    </w:p>
    <w:p>
      <w:pPr>
        <w:snapToGrid w:val="0"/>
        <w:spacing w:line="360" w:lineRule="auto"/>
        <w:ind w:firstLine="1606" w:firstLineChars="500"/>
        <w:rPr>
          <w:rFonts w:hint="eastAsia" w:ascii="仿宋_GB2312" w:hAnsi="仿宋" w:eastAsia="仿宋_GB2312" w:cs="仿宋"/>
          <w:b/>
          <w:color w:val="auto"/>
          <w:kern w:val="0"/>
          <w:sz w:val="32"/>
          <w:szCs w:val="32"/>
          <w:highlight w:val="none"/>
        </w:rPr>
      </w:pPr>
    </w:p>
    <w:p>
      <w:pPr>
        <w:snapToGrid w:val="0"/>
        <w:spacing w:line="360" w:lineRule="auto"/>
        <w:ind w:firstLine="1606" w:firstLineChars="500"/>
        <w:rPr>
          <w:rFonts w:hint="eastAsia" w:ascii="仿宋_GB2312" w:hAnsi="仿宋" w:eastAsia="仿宋_GB2312" w:cs="仿宋"/>
          <w:b/>
          <w:color w:val="auto"/>
          <w:kern w:val="0"/>
          <w:sz w:val="32"/>
          <w:szCs w:val="32"/>
          <w:highlight w:val="none"/>
        </w:rPr>
      </w:pPr>
      <w:r>
        <w:rPr>
          <w:rFonts w:hint="eastAsia" w:ascii="仿宋_GB2312" w:hAnsi="仿宋" w:eastAsia="仿宋_GB2312" w:cs="仿宋"/>
          <w:b/>
          <w:color w:val="auto"/>
          <w:kern w:val="0"/>
          <w:sz w:val="32"/>
          <w:szCs w:val="32"/>
          <w:highlight w:val="none"/>
        </w:rPr>
        <w:t>七、具有良好商业信誉特别声明</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杭州市公安局、杭州市公共资源交易中心（杭州市政府采购中心）</w:t>
      </w:r>
      <w:r>
        <w:rPr>
          <w:rFonts w:hint="eastAsia" w:ascii="仿宋_GB2312" w:hAnsi="仿宋" w:eastAsia="仿宋_GB2312" w:cs="仿宋"/>
          <w:color w:val="auto"/>
          <w:kern w:val="0"/>
          <w:sz w:val="24"/>
          <w:highlight w:val="none"/>
          <w:lang w:val="zh-CN"/>
        </w:rPr>
        <w:t>：</w:t>
      </w:r>
    </w:p>
    <w:p>
      <w:pPr>
        <w:snapToGrid w:val="0"/>
        <w:spacing w:line="360" w:lineRule="auto"/>
        <w:ind w:firstLine="48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rPr>
        <w:t>截至投标截止时间，我方具有良好的商业信誉，不存在下列情形（包括但不限于）。否则，我方将承担在资格审查时不被通过的后果。</w:t>
      </w:r>
    </w:p>
    <w:p>
      <w:pPr>
        <w:pStyle w:val="237"/>
        <w:spacing w:before="0"/>
        <w:ind w:firstLine="495" w:firstLineChars="0"/>
        <w:rPr>
          <w:rFonts w:hint="eastAsia" w:ascii="仿宋_GB2312" w:hAnsi="仿宋" w:eastAsia="仿宋_GB2312" w:cs="仿宋"/>
          <w:color w:val="auto"/>
          <w:highlight w:val="none"/>
        </w:rPr>
      </w:pPr>
      <w:r>
        <w:rPr>
          <w:rFonts w:hint="eastAsia" w:ascii="仿宋_GB2312" w:hAnsi="仿宋" w:eastAsia="仿宋_GB2312" w:cs="仿宋"/>
          <w:color w:val="auto"/>
          <w:highlight w:val="none"/>
        </w:rPr>
        <w:t>1</w:t>
      </w:r>
      <w:r>
        <w:rPr>
          <w:rFonts w:hint="eastAsia" w:ascii="仿宋_GB2312" w:hAnsi="仿宋" w:eastAsia="仿宋_GB2312" w:cs="仿宋"/>
          <w:b/>
          <w:color w:val="auto"/>
          <w:szCs w:val="24"/>
          <w:highlight w:val="none"/>
        </w:rPr>
        <w:t>、</w:t>
      </w:r>
      <w:r>
        <w:rPr>
          <w:rFonts w:hint="eastAsia" w:ascii="仿宋_GB2312" w:hAnsi="仿宋" w:eastAsia="仿宋_GB2312" w:cs="仿宋"/>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_GB2312" w:hAnsi="仿宋" w:eastAsia="仿宋_GB2312" w:cs="仿宋"/>
          <w:color w:val="auto"/>
          <w:sz w:val="24"/>
          <w:highlight w:val="none"/>
        </w:rPr>
      </w:pPr>
    </w:p>
    <w:p>
      <w:pPr>
        <w:snapToGrid w:val="0"/>
        <w:spacing w:line="360" w:lineRule="auto"/>
        <w:ind w:firstLine="4680" w:firstLineChars="195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投标人名称(电子签名)：</w:t>
      </w:r>
    </w:p>
    <w:p>
      <w:pPr>
        <w:snapToGrid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日期</w:t>
      </w:r>
      <w:r>
        <w:rPr>
          <w:rFonts w:hint="eastAsia" w:ascii="仿宋_GB2312" w:hAnsi="仿宋" w:eastAsia="仿宋_GB2312" w:cs="仿宋"/>
          <w:color w:val="auto"/>
          <w:kern w:val="0"/>
          <w:sz w:val="24"/>
          <w:highlight w:val="none"/>
        </w:rPr>
        <w:t xml:space="preserve">：  年  </w:t>
      </w:r>
      <w:r>
        <w:rPr>
          <w:rFonts w:hint="eastAsia" w:ascii="仿宋_GB2312" w:hAnsi="仿宋" w:eastAsia="仿宋_GB2312" w:cs="仿宋"/>
          <w:color w:val="auto"/>
          <w:kern w:val="0"/>
          <w:sz w:val="24"/>
          <w:highlight w:val="none"/>
          <w:lang w:val="zh-CN"/>
        </w:rPr>
        <w:t>月</w:t>
      </w: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w:t>
      </w:r>
    </w:p>
    <w:p>
      <w:pPr>
        <w:spacing w:line="360" w:lineRule="auto"/>
        <w:jc w:val="center"/>
        <w:rPr>
          <w:rFonts w:hint="eastAsia" w:ascii="仿宋_GB2312" w:hAnsi="仿宋" w:eastAsia="仿宋_GB2312" w:cs="仿宋"/>
          <w:b/>
          <w:color w:val="auto"/>
          <w:sz w:val="30"/>
          <w:szCs w:val="30"/>
          <w:highlight w:val="none"/>
        </w:rPr>
      </w:pPr>
    </w:p>
    <w:p>
      <w:pPr>
        <w:spacing w:line="360" w:lineRule="auto"/>
        <w:jc w:val="center"/>
        <w:rPr>
          <w:rFonts w:hint="eastAsia" w:ascii="仿宋_GB2312" w:hAnsi="仿宋" w:eastAsia="仿宋_GB2312" w:cs="仿宋"/>
          <w:b/>
          <w:color w:val="auto"/>
          <w:sz w:val="32"/>
          <w:szCs w:val="32"/>
          <w:highlight w:val="none"/>
        </w:rPr>
      </w:pPr>
    </w:p>
    <w:p>
      <w:pPr>
        <w:spacing w:line="360" w:lineRule="auto"/>
        <w:jc w:val="center"/>
        <w:rPr>
          <w:rFonts w:hint="eastAsia" w:ascii="仿宋_GB2312" w:hAnsi="仿宋" w:eastAsia="仿宋_GB2312" w:cs="仿宋"/>
          <w:b/>
          <w:color w:val="auto"/>
          <w:sz w:val="32"/>
          <w:szCs w:val="32"/>
          <w:highlight w:val="none"/>
        </w:rPr>
      </w:pPr>
      <w:r>
        <w:rPr>
          <w:rFonts w:hint="eastAsia" w:ascii="仿宋_GB2312" w:hAnsi="仿宋" w:eastAsia="仿宋_GB2312" w:cs="仿宋"/>
          <w:b/>
          <w:color w:val="auto"/>
          <w:sz w:val="32"/>
          <w:szCs w:val="32"/>
          <w:highlight w:val="none"/>
        </w:rPr>
        <w:t>八、特定资格条件要求的资质文件（复印件）</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仿宋_GB2312" w:hAnsi="仿宋" w:eastAsia="仿宋_GB2312" w:cs="仿宋"/>
          <w:color w:val="auto"/>
          <w:sz w:val="24"/>
          <w:highlight w:val="none"/>
        </w:rPr>
      </w:pPr>
    </w:p>
    <w:p>
      <w:pPr>
        <w:snapToGrid w:val="0"/>
        <w:spacing w:before="50" w:after="50" w:line="360" w:lineRule="auto"/>
        <w:jc w:val="center"/>
        <w:rPr>
          <w:rFonts w:hint="eastAsia" w:ascii="仿宋_GB2312" w:hAnsi="仿宋" w:eastAsia="仿宋_GB2312" w:cs="仿宋"/>
          <w:b/>
          <w:color w:val="auto"/>
          <w:sz w:val="30"/>
          <w:szCs w:val="30"/>
          <w:highlight w:val="none"/>
        </w:rPr>
      </w:pPr>
      <w:r>
        <w:rPr>
          <w:rFonts w:hint="eastAsia" w:ascii="仿宋_GB2312" w:hAnsi="仿宋" w:eastAsia="仿宋_GB2312" w:cs="仿宋"/>
          <w:b/>
          <w:color w:val="auto"/>
          <w:sz w:val="32"/>
          <w:szCs w:val="32"/>
          <w:highlight w:val="none"/>
        </w:rPr>
        <w:br w:type="page"/>
      </w:r>
      <w:r>
        <w:rPr>
          <w:rFonts w:hint="eastAsia" w:ascii="仿宋_GB2312" w:hAnsi="仿宋" w:eastAsia="仿宋_GB2312" w:cs="仿宋"/>
          <w:b/>
          <w:color w:val="auto"/>
          <w:sz w:val="32"/>
          <w:szCs w:val="32"/>
          <w:highlight w:val="none"/>
        </w:rPr>
        <w:t>九</w:t>
      </w:r>
      <w:r>
        <w:rPr>
          <w:rFonts w:hint="eastAsia" w:ascii="仿宋_GB2312" w:hAnsi="仿宋" w:eastAsia="仿宋_GB2312" w:cs="仿宋"/>
          <w:b/>
          <w:color w:val="auto"/>
          <w:sz w:val="30"/>
          <w:szCs w:val="30"/>
          <w:highlight w:val="none"/>
        </w:rPr>
        <w:t>、联合体协议</w:t>
      </w:r>
      <w:r>
        <w:rPr>
          <w:rFonts w:hint="eastAsia" w:ascii="仿宋_GB2312" w:hAnsi="仿宋" w:eastAsia="仿宋_GB2312" w:cs="仿宋"/>
          <w:b/>
          <w:bCs/>
          <w:color w:val="auto"/>
          <w:sz w:val="30"/>
          <w:szCs w:val="30"/>
          <w:highlight w:val="none"/>
        </w:rPr>
        <w:t>（扫描件加盖上传公司电子签名）</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（以联合体形式投标的，提供联合体协议；本项目不允许联合体投标，或者投标人不以联合体形式投标的，则不需要提供）</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甲方：</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乙方：</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各方经协商一致，决定组成一个联合体，以一个投标人的身份就杭州市公共资源交易中心组织实施的</w:t>
      </w:r>
      <w:r>
        <w:rPr>
          <w:rFonts w:hint="eastAsia" w:ascii="仿宋_GB2312" w:hAnsi="仿宋" w:eastAsia="仿宋_GB2312" w:cs="仿宋"/>
          <w:color w:val="auto"/>
          <w:sz w:val="24"/>
          <w:highlight w:val="none"/>
        </w:rPr>
        <w:t>杭州城市大脑**操作系统应用场景及业务通用能力建设项目应用支撑能力模块【招标编号：HZZFCG-2021-157】</w:t>
      </w:r>
      <w:r>
        <w:rPr>
          <w:rFonts w:hint="eastAsia" w:ascii="仿宋_GB2312" w:hAnsi="仿宋" w:eastAsia="仿宋_GB2312" w:cs="仿宋"/>
          <w:color w:val="auto"/>
          <w:kern w:val="0"/>
          <w:sz w:val="24"/>
          <w:highlight w:val="none"/>
          <w:lang w:val="zh-CN"/>
        </w:rPr>
        <w:t xml:space="preserve">共同投标。 </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一、各方一致决定，</w:t>
      </w:r>
      <w:r>
        <w:rPr>
          <w:rFonts w:hint="eastAsia" w:ascii="仿宋_GB2312" w:hAnsi="仿宋" w:eastAsia="仿宋_GB2312" w:cs="仿宋"/>
          <w:color w:val="auto"/>
          <w:sz w:val="24"/>
          <w:highlight w:val="none"/>
        </w:rPr>
        <w:t>指定</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sz w:val="24"/>
          <w:highlight w:val="none"/>
        </w:rPr>
        <w:t>方牵头人，代表所有联合体成员负责投标和合同实施阶段的主办、协调工作</w:t>
      </w:r>
      <w:r>
        <w:rPr>
          <w:rFonts w:hint="eastAsia" w:ascii="仿宋_GB2312" w:hAnsi="仿宋" w:eastAsia="仿宋_GB2312" w:cs="仿宋"/>
          <w:color w:val="auto"/>
          <w:kern w:val="0"/>
          <w:sz w:val="24"/>
          <w:highlight w:val="none"/>
          <w:lang w:val="zh-CN"/>
        </w:rPr>
        <w:t>。</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二、</w:t>
      </w:r>
      <w:r>
        <w:rPr>
          <w:rFonts w:hint="eastAsia" w:ascii="仿宋_GB2312" w:hAnsi="仿宋" w:eastAsia="仿宋_GB2312" w:cs="仿宋"/>
          <w:color w:val="auto"/>
          <w:sz w:val="24"/>
          <w:highlight w:val="none"/>
        </w:rPr>
        <w:t>所有联合体成员各方签署授权书，授权书载明的</w:t>
      </w:r>
      <w:r>
        <w:rPr>
          <w:rFonts w:hint="eastAsia" w:ascii="仿宋_GB2312" w:hAnsi="仿宋" w:eastAsia="仿宋_GB2312"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三、本次联合投标中，分工如下：甲方承担的工作和义务为：</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kern w:val="0"/>
          <w:sz w:val="24"/>
          <w:highlight w:val="none"/>
          <w:lang w:val="zh-CN"/>
        </w:rPr>
        <w:t>；乙方承担的工作和义务为：</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kern w:val="0"/>
          <w:sz w:val="24"/>
          <w:highlight w:val="none"/>
          <w:lang w:val="zh-CN"/>
        </w:rPr>
        <w:t xml:space="preserve"> ；……</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四、如果中标，</w:t>
      </w:r>
      <w:r>
        <w:rPr>
          <w:rFonts w:hint="eastAsia" w:ascii="仿宋_GB2312" w:hAnsi="仿宋" w:eastAsia="仿宋_GB2312"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五、有关本次联合投标的其他事宜：</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仿宋_GB2312" w:hAnsi="仿宋" w:eastAsia="仿宋_GB2312" w:cs="仿宋"/>
          <w:color w:val="auto"/>
          <w:kern w:val="0"/>
          <w:sz w:val="24"/>
          <w:highlight w:val="none"/>
          <w:lang w:val="zh-CN"/>
        </w:rPr>
      </w:pP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甲方单位：     （电子签名或公章）      乙方单位：      （电子签名或公章）</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lang w:val="zh-CN"/>
        </w:rPr>
        <w:t>日期：    年   月   日                  日期：    年   月   日</w:t>
      </w:r>
    </w:p>
    <w:p>
      <w:pPr>
        <w:spacing w:line="360" w:lineRule="auto"/>
        <w:ind w:left="2" w:firstLine="480" w:firstLineChars="200"/>
        <w:rPr>
          <w:rFonts w:hint="eastAsia" w:ascii="仿宋_GB2312" w:hAnsi="仿宋" w:eastAsia="仿宋_GB2312" w:cs="仿宋"/>
          <w:color w:val="auto"/>
          <w:sz w:val="24"/>
          <w:highlight w:val="none"/>
        </w:rPr>
      </w:pPr>
    </w:p>
    <w:p>
      <w:pPr>
        <w:snapToGrid w:val="0"/>
        <w:spacing w:line="360" w:lineRule="auto"/>
        <w:ind w:firstLine="3253" w:firstLineChars="900"/>
        <w:rPr>
          <w:rFonts w:hint="eastAsia" w:ascii="仿宋_GB2312" w:hAnsi="仿宋" w:eastAsia="仿宋_GB2312" w:cs="仿宋"/>
          <w:b/>
          <w:color w:val="auto"/>
          <w:kern w:val="0"/>
          <w:sz w:val="36"/>
          <w:szCs w:val="36"/>
          <w:highlight w:val="none"/>
        </w:rPr>
      </w:pPr>
    </w:p>
    <w:p>
      <w:pPr>
        <w:snapToGrid w:val="0"/>
        <w:spacing w:line="360" w:lineRule="auto"/>
        <w:ind w:firstLine="3253" w:firstLineChars="900"/>
        <w:rPr>
          <w:rFonts w:hint="eastAsia" w:ascii="仿宋_GB2312" w:hAnsi="仿宋" w:eastAsia="仿宋_GB2312" w:cs="仿宋"/>
          <w:b/>
          <w:color w:val="auto"/>
          <w:kern w:val="0"/>
          <w:sz w:val="36"/>
          <w:szCs w:val="36"/>
          <w:highlight w:val="none"/>
        </w:rPr>
      </w:pPr>
      <w:r>
        <w:rPr>
          <w:rFonts w:hint="eastAsia" w:ascii="仿宋_GB2312" w:hAnsi="仿宋" w:eastAsia="仿宋_GB2312" w:cs="仿宋"/>
          <w:b/>
          <w:color w:val="auto"/>
          <w:kern w:val="0"/>
          <w:sz w:val="36"/>
          <w:szCs w:val="36"/>
          <w:highlight w:val="none"/>
        </w:rPr>
        <w:t>报价文件部分</w:t>
      </w:r>
    </w:p>
    <w:p>
      <w:pPr>
        <w:spacing w:line="360" w:lineRule="auto"/>
        <w:jc w:val="center"/>
        <w:outlineLvl w:val="0"/>
        <w:rPr>
          <w:rFonts w:hint="eastAsia" w:ascii="仿宋_GB2312" w:hAnsi="仿宋" w:eastAsia="仿宋_GB2312" w:cs="仿宋"/>
          <w:b/>
          <w:color w:val="auto"/>
          <w:kern w:val="0"/>
          <w:sz w:val="24"/>
          <w:highlight w:val="none"/>
        </w:rPr>
      </w:pPr>
    </w:p>
    <w:p>
      <w:pPr>
        <w:spacing w:line="360" w:lineRule="auto"/>
        <w:jc w:val="center"/>
        <w:outlineLvl w:val="0"/>
        <w:rPr>
          <w:rFonts w:hint="eastAsia" w:ascii="仿宋_GB2312" w:hAnsi="仿宋" w:eastAsia="仿宋_GB2312" w:cs="仿宋"/>
          <w:b/>
          <w:color w:val="auto"/>
          <w:kern w:val="0"/>
          <w:sz w:val="36"/>
          <w:szCs w:val="36"/>
          <w:highlight w:val="none"/>
        </w:rPr>
      </w:pPr>
      <w:r>
        <w:rPr>
          <w:rFonts w:hint="eastAsia" w:ascii="仿宋_GB2312" w:hAnsi="仿宋" w:eastAsia="仿宋_GB2312" w:cs="仿宋"/>
          <w:b/>
          <w:color w:val="auto"/>
          <w:kern w:val="0"/>
          <w:sz w:val="36"/>
          <w:szCs w:val="36"/>
          <w:highlight w:val="none"/>
        </w:rPr>
        <w:t>目录</w:t>
      </w:r>
    </w:p>
    <w:p>
      <w:pPr>
        <w:spacing w:line="360" w:lineRule="auto"/>
        <w:outlineLvl w:val="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（1）投标响应函……………………………………………………（页码）</w:t>
      </w:r>
    </w:p>
    <w:p>
      <w:pPr>
        <w:spacing w:line="360" w:lineRule="auto"/>
        <w:outlineLvl w:val="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（2）投标（开标）一览表…………………………………………（页码）</w:t>
      </w:r>
    </w:p>
    <w:p>
      <w:pPr>
        <w:spacing w:line="360" w:lineRule="auto"/>
        <w:outlineLvl w:val="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（3）中小企业声明函………………………………………………（页码）</w:t>
      </w:r>
    </w:p>
    <w:p>
      <w:pPr>
        <w:spacing w:line="360" w:lineRule="auto"/>
        <w:ind w:left="2" w:firstLine="480" w:firstLineChars="200"/>
        <w:rPr>
          <w:rFonts w:hint="eastAsia" w:ascii="仿宋_GB2312" w:hAnsi="仿宋" w:eastAsia="仿宋_GB2312" w:cs="仿宋"/>
          <w:color w:val="auto"/>
          <w:sz w:val="24"/>
          <w:highlight w:val="none"/>
        </w:rPr>
      </w:pPr>
    </w:p>
    <w:p>
      <w:pPr>
        <w:spacing w:line="360" w:lineRule="auto"/>
        <w:ind w:left="2" w:firstLine="480" w:firstLineChars="200"/>
        <w:rPr>
          <w:rFonts w:hint="eastAsia" w:ascii="仿宋_GB2312" w:hAnsi="仿宋" w:eastAsia="仿宋_GB2312" w:cs="仿宋"/>
          <w:color w:val="auto"/>
          <w:sz w:val="24"/>
          <w:highlight w:val="none"/>
        </w:rPr>
      </w:pPr>
    </w:p>
    <w:p>
      <w:pPr>
        <w:spacing w:line="360" w:lineRule="auto"/>
        <w:ind w:left="2" w:firstLine="480" w:firstLineChars="200"/>
        <w:rPr>
          <w:rFonts w:hint="eastAsia" w:ascii="仿宋_GB2312" w:hAnsi="仿宋" w:eastAsia="仿宋_GB2312" w:cs="仿宋"/>
          <w:color w:val="auto"/>
          <w:sz w:val="24"/>
          <w:highlight w:val="none"/>
        </w:rPr>
      </w:pPr>
    </w:p>
    <w:p>
      <w:pPr>
        <w:spacing w:line="360" w:lineRule="auto"/>
        <w:ind w:left="2" w:firstLine="480" w:firstLineChars="200"/>
        <w:rPr>
          <w:rFonts w:hint="eastAsia" w:ascii="仿宋_GB2312" w:hAnsi="仿宋" w:eastAsia="仿宋_GB2312" w:cs="仿宋"/>
          <w:color w:val="auto"/>
          <w:sz w:val="24"/>
          <w:highlight w:val="none"/>
        </w:rPr>
      </w:pPr>
    </w:p>
    <w:p>
      <w:pPr>
        <w:spacing w:line="360" w:lineRule="auto"/>
        <w:ind w:left="2" w:firstLine="480" w:firstLineChars="200"/>
        <w:rPr>
          <w:rFonts w:hint="eastAsia" w:ascii="仿宋_GB2312" w:hAnsi="仿宋" w:eastAsia="仿宋_GB2312" w:cs="仿宋"/>
          <w:color w:val="auto"/>
          <w:sz w:val="24"/>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kern w:val="0"/>
          <w:sz w:val="32"/>
          <w:szCs w:val="32"/>
          <w:highlight w:val="none"/>
        </w:rPr>
      </w:pPr>
    </w:p>
    <w:p>
      <w:pPr>
        <w:snapToGrid w:val="0"/>
        <w:spacing w:line="360" w:lineRule="auto"/>
        <w:jc w:val="center"/>
        <w:outlineLvl w:val="0"/>
        <w:rPr>
          <w:rFonts w:hint="eastAsia" w:ascii="仿宋_GB2312" w:hAnsi="仿宋" w:eastAsia="仿宋_GB2312" w:cs="仿宋"/>
          <w:b/>
          <w:color w:val="auto"/>
          <w:sz w:val="32"/>
          <w:szCs w:val="32"/>
          <w:highlight w:val="none"/>
        </w:rPr>
      </w:pPr>
      <w:r>
        <w:rPr>
          <w:rFonts w:hint="eastAsia" w:ascii="仿宋_GB2312" w:hAnsi="仿宋" w:eastAsia="仿宋_GB2312" w:cs="仿宋"/>
          <w:b/>
          <w:color w:val="auto"/>
          <w:kern w:val="0"/>
          <w:sz w:val="32"/>
          <w:szCs w:val="32"/>
          <w:highlight w:val="none"/>
        </w:rPr>
        <w:t>一、投标响应</w:t>
      </w:r>
      <w:r>
        <w:rPr>
          <w:rFonts w:hint="eastAsia" w:ascii="仿宋_GB2312" w:hAnsi="仿宋" w:eastAsia="仿宋_GB2312" w:cs="仿宋"/>
          <w:b/>
          <w:color w:val="auto"/>
          <w:sz w:val="32"/>
          <w:szCs w:val="32"/>
          <w:highlight w:val="none"/>
        </w:rPr>
        <w:t>函</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杭州市公安局、杭州市公共资源交易中心（杭州市政府采购中心）：</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sz w:val="24"/>
          <w:highlight w:val="none"/>
        </w:rPr>
        <w:t>(投标人全称)授权</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sz w:val="24"/>
          <w:highlight w:val="none"/>
        </w:rPr>
        <w:t>(全权代表姓名)</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sz w:val="24"/>
          <w:highlight w:val="none"/>
        </w:rPr>
        <w:t>(职务、职称)为全权代表，参加贵方组织的杭州城市大脑**操作系统应用场景及业务通用能力建设项目应用支撑能力模块【招标编号：HZZFCG-2021-157】招标的有关活动，并对此项目进行投标。为此：</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1、我方同意在投标人</w:t>
      </w:r>
      <w:r>
        <w:rPr>
          <w:rFonts w:hint="eastAsia" w:ascii="仿宋_GB2312" w:hAnsi="仿宋" w:eastAsia="仿宋_GB2312" w:cs="仿宋"/>
          <w:color w:val="auto"/>
          <w:kern w:val="44"/>
          <w:sz w:val="24"/>
          <w:highlight w:val="none"/>
        </w:rPr>
        <w:t>投标人须知</w:t>
      </w:r>
      <w:r>
        <w:rPr>
          <w:rFonts w:hint="eastAsia" w:ascii="仿宋_GB2312" w:hAnsi="仿宋" w:eastAsia="仿宋_GB2312" w:cs="仿宋"/>
          <w:color w:val="auto"/>
          <w:sz w:val="24"/>
          <w:highlight w:val="none"/>
        </w:rPr>
        <w:t>规定的开标日期起遵守本投标文件中的承诺且在投标有效期满之前均具有约束力。</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(1)具有独立承担民事责任的能力；</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(2)遵守国家法律、行政法规，具有良好的信誉和商业道德；</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(3)具有履行合同的能力和良好的履行合同记录；</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(4)良好的资金、财务状况；</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(5)产品及生产所需装备符合中国政府规定的相应技术标准和环保标准；</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(6)没有违反政府采购法规、政策的记录；</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(7)没有发生重大经济纠纷和走私犯罪记录。</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3、我方中标后拟在中标后将</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工作分包，分包承担主体是</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，我方承诺分包承担主体具备相应资质条件</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，且不再次分包。（不再将工作进行分包或本项目不允许分包的，下划线处填写“/”。）</w:t>
      </w:r>
    </w:p>
    <w:p>
      <w:pPr>
        <w:pStyle w:val="32"/>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4、提供</w:t>
      </w:r>
      <w:r>
        <w:rPr>
          <w:rFonts w:hint="eastAsia" w:ascii="仿宋_GB2312" w:hAnsi="仿宋" w:eastAsia="仿宋_GB2312" w:cs="仿宋"/>
          <w:color w:val="auto"/>
          <w:kern w:val="44"/>
          <w:sz w:val="24"/>
          <w:highlight w:val="none"/>
        </w:rPr>
        <w:t>投标人须知</w:t>
      </w:r>
      <w:r>
        <w:rPr>
          <w:rFonts w:hint="eastAsia" w:ascii="仿宋_GB2312" w:hAnsi="仿宋" w:eastAsia="仿宋_GB2312" w:cs="仿宋"/>
          <w:color w:val="auto"/>
          <w:sz w:val="24"/>
          <w:highlight w:val="none"/>
        </w:rPr>
        <w:t>规定的全部投标文件</w:t>
      </w:r>
      <w:r>
        <w:rPr>
          <w:rFonts w:hint="eastAsia" w:ascii="仿宋_GB2312" w:hAnsi="仿宋" w:eastAsia="仿宋_GB2312" w:cs="仿宋"/>
          <w:color w:val="auto"/>
          <w:kern w:val="44"/>
          <w:sz w:val="24"/>
          <w:highlight w:val="none"/>
        </w:rPr>
        <w:t>。</w:t>
      </w:r>
      <w:r>
        <w:rPr>
          <w:rFonts w:hint="eastAsia" w:ascii="仿宋_GB2312" w:hAnsi="仿宋" w:eastAsia="仿宋_GB2312" w:cs="仿宋"/>
          <w:color w:val="auto"/>
          <w:sz w:val="24"/>
          <w:highlight w:val="none"/>
        </w:rPr>
        <w:t>具体内容为：</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(1)投标(开标)一览表；</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(2)投标</w:t>
      </w:r>
      <w:r>
        <w:rPr>
          <w:rFonts w:hint="eastAsia" w:ascii="仿宋_GB2312" w:hAnsi="仿宋" w:eastAsia="仿宋_GB2312" w:cs="仿宋"/>
          <w:color w:val="auto"/>
          <w:kern w:val="0"/>
          <w:sz w:val="24"/>
          <w:highlight w:val="none"/>
          <w:lang w:val="zh-CN"/>
        </w:rPr>
        <w:t>技术文件和</w:t>
      </w:r>
      <w:r>
        <w:rPr>
          <w:rFonts w:hint="eastAsia" w:ascii="仿宋_GB2312" w:hAnsi="仿宋" w:eastAsia="仿宋_GB2312" w:cs="仿宋"/>
          <w:color w:val="auto"/>
          <w:sz w:val="24"/>
          <w:highlight w:val="none"/>
          <w:lang w:val="zh-CN"/>
        </w:rPr>
        <w:t>商务文件</w:t>
      </w:r>
      <w:r>
        <w:rPr>
          <w:rFonts w:hint="eastAsia" w:ascii="仿宋_GB2312" w:hAnsi="仿宋" w:eastAsia="仿宋_GB2312" w:cs="仿宋"/>
          <w:color w:val="auto"/>
          <w:sz w:val="24"/>
          <w:highlight w:val="none"/>
        </w:rPr>
        <w:t>；</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w:t>
      </w:r>
      <w:r>
        <w:rPr>
          <w:rFonts w:hint="eastAsia" w:ascii="仿宋_GB2312" w:hAnsi="仿宋" w:eastAsia="仿宋_GB2312" w:cs="仿宋"/>
          <w:color w:val="auto"/>
          <w:kern w:val="44"/>
          <w:sz w:val="24"/>
          <w:highlight w:val="none"/>
        </w:rPr>
        <w:t>投标人须知</w:t>
      </w:r>
      <w:r>
        <w:rPr>
          <w:rFonts w:hint="eastAsia" w:ascii="仿宋_GB2312" w:hAnsi="仿宋" w:eastAsia="仿宋_GB2312" w:cs="仿宋"/>
          <w:color w:val="auto"/>
          <w:sz w:val="24"/>
          <w:highlight w:val="none"/>
        </w:rPr>
        <w:t>要求投标人提交的全部文件；</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(4)按招标文件要求提供和交付的货物和服务的投标报价详见投标(开标)一览表；</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(5)保证忠实地执行双方所签订的合同，并承担合同规定的责任和义务；</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(6)保证遵守招标文件中的其他有关规定。</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5、我方承诺投标有效期从提交投标文件的截止之日起</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天，不少于招标文件中载明的投标有效期（从提交投标文件的截止之日起90天）。</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6、我方完全理解贵方不一定要接受最低价的投标。</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8、我方已详细审核全部招标文件，包括招标文件修改书(如果有)、参考资料及有关附件，确认无误。</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a)提供虚假材料谋取中标、成交的；</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b)采取不正当手段诋毁、排挤其他供应商的；</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c)与采购人、其它供应商或者采购机构恶意串通的；</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d)向采购人、采购机构行贿或者提供其他不正当利益的；</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e)在招标采购过程中与采购人进行协商谈判的；</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f)拒绝有关部门监督检查或提供虚假情况的。</w:t>
      </w:r>
    </w:p>
    <w:p>
      <w:pPr>
        <w:snapToGrid w:val="0"/>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供应商有前款第a)至e)项情形之一的，中标、成交无效。</w:t>
      </w:r>
    </w:p>
    <w:p>
      <w:pPr>
        <w:spacing w:line="360" w:lineRule="auto"/>
        <w:ind w:firstLine="3600" w:firstLineChars="15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投标人名称（电子签名）：                          </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日期：  年   月   日</w:t>
      </w:r>
    </w:p>
    <w:p>
      <w:pPr>
        <w:snapToGrid w:val="0"/>
        <w:spacing w:line="360" w:lineRule="auto"/>
        <w:ind w:left="420" w:leftChars="200" w:firstLine="4200" w:firstLineChars="1750"/>
        <w:rPr>
          <w:rFonts w:hint="eastAsia" w:ascii="仿宋_GB2312" w:hAnsi="仿宋" w:eastAsia="仿宋_GB2312" w:cs="仿宋"/>
          <w:color w:val="auto"/>
          <w:kern w:val="0"/>
          <w:sz w:val="24"/>
          <w:highlight w:val="none"/>
          <w:u w:val="single"/>
          <w:lang w:val="zh-CN"/>
        </w:rPr>
      </w:pPr>
    </w:p>
    <w:p>
      <w:pPr>
        <w:snapToGrid w:val="0"/>
        <w:spacing w:line="360" w:lineRule="auto"/>
        <w:ind w:left="420" w:left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联系人：</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 xml:space="preserve">联系电话： </w:t>
      </w:r>
      <w:r>
        <w:rPr>
          <w:rFonts w:hint="eastAsia" w:ascii="仿宋_GB2312" w:hAnsi="仿宋" w:eastAsia="仿宋_GB2312" w:cs="仿宋"/>
          <w:color w:val="auto"/>
          <w:kern w:val="0"/>
          <w:sz w:val="24"/>
          <w:highlight w:val="none"/>
          <w:u w:val="single"/>
          <w:lang w:val="zh-CN"/>
        </w:rPr>
        <w:t xml:space="preserve">                </w:t>
      </w:r>
    </w:p>
    <w:p>
      <w:pPr>
        <w:snapToGrid w:val="0"/>
        <w:spacing w:line="360" w:lineRule="auto"/>
        <w:ind w:left="420" w:left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联系地址：</w:t>
      </w:r>
      <w:r>
        <w:rPr>
          <w:rFonts w:hint="eastAsia" w:ascii="仿宋_GB2312" w:hAnsi="仿宋" w:eastAsia="仿宋_GB2312" w:cs="仿宋"/>
          <w:color w:val="auto"/>
          <w:kern w:val="0"/>
          <w:sz w:val="24"/>
          <w:highlight w:val="none"/>
          <w:u w:val="single"/>
          <w:lang w:val="zh-CN"/>
        </w:rPr>
        <w:t xml:space="preserve">                                                    </w:t>
      </w:r>
    </w:p>
    <w:p>
      <w:pPr>
        <w:snapToGrid w:val="0"/>
        <w:spacing w:line="360" w:lineRule="auto"/>
        <w:ind w:left="420" w:left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邮政编码：</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kern w:val="0"/>
          <w:sz w:val="24"/>
          <w:highlight w:val="none"/>
          <w:lang w:val="zh-CN"/>
        </w:rPr>
        <w:t>传真号码：</w:t>
      </w:r>
      <w:r>
        <w:rPr>
          <w:rFonts w:hint="eastAsia" w:ascii="仿宋_GB2312" w:hAnsi="仿宋" w:eastAsia="仿宋_GB2312" w:cs="仿宋"/>
          <w:color w:val="auto"/>
          <w:kern w:val="0"/>
          <w:sz w:val="24"/>
          <w:highlight w:val="none"/>
          <w:u w:val="single"/>
          <w:lang w:val="zh-CN"/>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b/>
          <w:color w:val="auto"/>
          <w:kern w:val="0"/>
          <w:sz w:val="24"/>
          <w:highlight w:val="none"/>
          <w:lang w:val="zh-CN"/>
        </w:rPr>
        <w:t>注：未按照本投标响应函要求填报的将被视为非实质性响应投标，从而可能导致该投标被拒绝。</w:t>
      </w:r>
    </w:p>
    <w:p>
      <w:pPr>
        <w:pStyle w:val="639"/>
        <w:keepNext w:val="0"/>
        <w:pageBreakBefore w:val="0"/>
        <w:tabs>
          <w:tab w:val="clear" w:pos="720"/>
        </w:tabs>
        <w:snapToGrid w:val="0"/>
        <w:spacing w:before="120" w:after="120"/>
        <w:ind w:firstLine="643"/>
        <w:outlineLvl w:val="9"/>
        <w:rPr>
          <w:rFonts w:hint="eastAsia" w:ascii="仿宋_GB2312" w:hAnsi="仿宋" w:eastAsia="仿宋_GB2312" w:cs="仿宋"/>
          <w:color w:val="auto"/>
          <w:kern w:val="2"/>
          <w:sz w:val="32"/>
          <w:szCs w:val="32"/>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p>
    <w:p>
      <w:pPr>
        <w:pStyle w:val="639"/>
        <w:keepNext w:val="0"/>
        <w:pageBreakBefore w:val="0"/>
        <w:tabs>
          <w:tab w:val="clear" w:pos="720"/>
        </w:tabs>
        <w:snapToGrid w:val="0"/>
        <w:spacing w:before="120" w:after="120"/>
        <w:ind w:firstLine="643"/>
        <w:outlineLvl w:val="9"/>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二、投标(开标)一览表</w:t>
      </w:r>
    </w:p>
    <w:p>
      <w:pPr>
        <w:snapToGrid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杭州市公安局、杭州市公共资源交易中心（杭州市政府采购中心）</w:t>
      </w:r>
      <w:r>
        <w:rPr>
          <w:rFonts w:hint="eastAsia" w:ascii="仿宋_GB2312" w:hAnsi="仿宋" w:eastAsia="仿宋_GB2312" w:cs="仿宋"/>
          <w:color w:val="auto"/>
          <w:kern w:val="0"/>
          <w:sz w:val="24"/>
          <w:highlight w:val="none"/>
          <w:lang w:val="zh-CN"/>
        </w:rPr>
        <w:t>：</w:t>
      </w:r>
    </w:p>
    <w:p>
      <w:pPr>
        <w:snapToGrid w:val="0"/>
        <w:spacing w:line="360" w:lineRule="auto"/>
        <w:ind w:firstLine="482"/>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
          <w:color w:val="auto"/>
          <w:sz w:val="24"/>
          <w:highlight w:val="none"/>
        </w:rPr>
        <w:t>杭州城市大脑**操作系统应用场景及业务通用能力建设项目应用支撑能力模块</w:t>
      </w:r>
      <w:r>
        <w:rPr>
          <w:rFonts w:hint="eastAsia" w:ascii="仿宋_GB2312" w:hAnsi="仿宋" w:eastAsia="仿宋_GB2312" w:cs="仿宋"/>
          <w:color w:val="auto"/>
          <w:kern w:val="0"/>
          <w:sz w:val="24"/>
          <w:highlight w:val="none"/>
          <w:lang w:val="zh-CN"/>
        </w:rPr>
        <w:t>【招标编号：</w:t>
      </w:r>
      <w:r>
        <w:rPr>
          <w:rFonts w:hint="eastAsia" w:ascii="仿宋_GB2312" w:hAnsi="仿宋" w:eastAsia="仿宋_GB2312" w:cs="仿宋"/>
          <w:color w:val="auto"/>
          <w:sz w:val="24"/>
          <w:highlight w:val="none"/>
        </w:rPr>
        <w:t>HZZFCG-2021-157】的实施</w:t>
      </w:r>
      <w:r>
        <w:rPr>
          <w:rFonts w:hint="eastAsia" w:ascii="仿宋_GB2312" w:hAnsi="仿宋" w:eastAsia="仿宋_GB2312" w:cs="仿宋"/>
          <w:color w:val="auto"/>
          <w:kern w:val="0"/>
          <w:sz w:val="24"/>
          <w:highlight w:val="none"/>
          <w:lang w:val="zh-CN"/>
        </w:rPr>
        <w:t>。</w:t>
      </w:r>
    </w:p>
    <w:p>
      <w:pPr>
        <w:spacing w:line="360" w:lineRule="auto"/>
        <w:jc w:val="center"/>
        <w:rPr>
          <w:rFonts w:hint="eastAsia" w:ascii="仿宋_GB2312" w:hAnsi="仿宋" w:eastAsia="仿宋_GB2312" w:cs="仿宋"/>
          <w:b/>
          <w:color w:val="auto"/>
          <w:kern w:val="0"/>
          <w:sz w:val="24"/>
          <w:highlight w:val="none"/>
          <w:lang w:val="zh-CN"/>
        </w:rPr>
      </w:pPr>
      <w:r>
        <w:rPr>
          <w:rFonts w:hint="eastAsia" w:ascii="仿宋_GB2312" w:hAnsi="仿宋" w:eastAsia="仿宋_GB2312" w:cs="仿宋"/>
          <w:b/>
          <w:color w:val="auto"/>
          <w:kern w:val="0"/>
          <w:sz w:val="24"/>
          <w:highlight w:val="none"/>
          <w:lang w:val="zh-CN"/>
        </w:rPr>
        <w:t>投标(开标)一览表(单位均为人民币元)</w:t>
      </w:r>
    </w:p>
    <w:tbl>
      <w:tblPr>
        <w:tblStyle w:val="6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序号</w:t>
            </w:r>
          </w:p>
        </w:tc>
        <w:tc>
          <w:tcPr>
            <w:tcW w:w="1417"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名称</w:t>
            </w:r>
          </w:p>
        </w:tc>
        <w:tc>
          <w:tcPr>
            <w:tcW w:w="1843" w:type="dxa"/>
            <w:noWrap w:val="0"/>
            <w:vAlign w:val="top"/>
          </w:tcPr>
          <w:p>
            <w:pPr>
              <w:spacing w:line="360" w:lineRule="auto"/>
              <w:jc w:val="center"/>
              <w:rPr>
                <w:rFonts w:hint="eastAsia" w:ascii="仿宋_GB2312" w:hAnsi="仿宋" w:eastAsia="仿宋_GB2312" w:cs="仿宋"/>
                <w:b/>
                <w:color w:val="auto"/>
                <w:sz w:val="24"/>
                <w:highlight w:val="none"/>
              </w:rPr>
            </w:pPr>
          </w:p>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品牌（如果有）</w:t>
            </w:r>
          </w:p>
        </w:tc>
        <w:tc>
          <w:tcPr>
            <w:tcW w:w="3118"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规格型号（或具体服务）</w:t>
            </w:r>
          </w:p>
        </w:tc>
        <w:tc>
          <w:tcPr>
            <w:tcW w:w="993"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数量</w:t>
            </w:r>
          </w:p>
        </w:tc>
        <w:tc>
          <w:tcPr>
            <w:tcW w:w="1559"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单价</w:t>
            </w:r>
          </w:p>
        </w:tc>
        <w:tc>
          <w:tcPr>
            <w:tcW w:w="1984"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总价</w:t>
            </w:r>
          </w:p>
        </w:tc>
        <w:tc>
          <w:tcPr>
            <w:tcW w:w="3119" w:type="dxa"/>
            <w:noWrap w:val="0"/>
            <w:vAlign w:val="center"/>
          </w:tcPr>
          <w:p>
            <w:pPr>
              <w:spacing w:line="360" w:lineRule="auto"/>
              <w:jc w:val="center"/>
              <w:rPr>
                <w:rFonts w:hint="eastAsia" w:ascii="仿宋_GB2312" w:hAnsi="仿宋" w:eastAsia="仿宋_GB2312" w:cs="仿宋"/>
                <w:b/>
                <w:color w:val="auto"/>
                <w:sz w:val="24"/>
                <w:highlight w:val="none"/>
              </w:rPr>
            </w:pPr>
          </w:p>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服务要求（年限）</w:t>
            </w:r>
          </w:p>
          <w:p>
            <w:pPr>
              <w:spacing w:line="360" w:lineRule="auto"/>
              <w:jc w:val="center"/>
              <w:rPr>
                <w:rFonts w:hint="eastAsia" w:ascii="仿宋_GB2312" w:hAnsi="仿宋" w:eastAsia="仿宋_GB2312"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w:t>
            </w:r>
          </w:p>
        </w:tc>
        <w:tc>
          <w:tcPr>
            <w:tcW w:w="1417"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w:t>
            </w:r>
          </w:p>
        </w:tc>
        <w:tc>
          <w:tcPr>
            <w:tcW w:w="1417"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w:t>
            </w:r>
          </w:p>
        </w:tc>
        <w:tc>
          <w:tcPr>
            <w:tcW w:w="1417"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w:t>
            </w:r>
          </w:p>
        </w:tc>
        <w:tc>
          <w:tcPr>
            <w:tcW w:w="1417"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w:t>
            </w:r>
          </w:p>
        </w:tc>
        <w:tc>
          <w:tcPr>
            <w:tcW w:w="1417"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投标报价（小写）</w:t>
            </w:r>
          </w:p>
        </w:tc>
        <w:tc>
          <w:tcPr>
            <w:tcW w:w="7655" w:type="dxa"/>
            <w:gridSpan w:val="4"/>
            <w:noWrap w:val="0"/>
            <w:vAlign w:val="center"/>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投标报价（大写）</w:t>
            </w:r>
          </w:p>
        </w:tc>
        <w:tc>
          <w:tcPr>
            <w:tcW w:w="7655" w:type="dxa"/>
            <w:gridSpan w:val="4"/>
            <w:noWrap w:val="0"/>
            <w:vAlign w:val="center"/>
          </w:tcPr>
          <w:p>
            <w:pPr>
              <w:spacing w:line="360" w:lineRule="auto"/>
              <w:jc w:val="center"/>
              <w:rPr>
                <w:rFonts w:hint="eastAsia" w:ascii="仿宋_GB2312" w:hAnsi="仿宋" w:eastAsia="仿宋_GB2312" w:cs="仿宋"/>
                <w:color w:val="auto"/>
                <w:sz w:val="24"/>
                <w:highlight w:val="none"/>
              </w:rPr>
            </w:pPr>
          </w:p>
        </w:tc>
      </w:tr>
    </w:tbl>
    <w:p>
      <w:pPr>
        <w:snapToGrid w:val="0"/>
        <w:spacing w:line="360" w:lineRule="auto"/>
        <w:ind w:left="480"/>
        <w:rPr>
          <w:rFonts w:hint="eastAsia" w:ascii="仿宋_GB2312" w:hAnsi="仿宋" w:eastAsia="仿宋_GB2312" w:cs="仿宋"/>
          <w:b/>
          <w:color w:val="auto"/>
          <w:kern w:val="0"/>
          <w:sz w:val="24"/>
          <w:highlight w:val="none"/>
          <w:lang w:val="zh-CN"/>
        </w:rPr>
      </w:pPr>
      <w:r>
        <w:rPr>
          <w:rFonts w:hint="eastAsia" w:ascii="仿宋_GB2312" w:hAnsi="仿宋" w:eastAsia="仿宋_GB2312" w:cs="仿宋"/>
          <w:b/>
          <w:color w:val="auto"/>
          <w:kern w:val="0"/>
          <w:sz w:val="24"/>
          <w:highlight w:val="none"/>
          <w:lang w:val="zh-CN"/>
        </w:rPr>
        <w:t>注：</w:t>
      </w:r>
    </w:p>
    <w:p>
      <w:pPr>
        <w:spacing w:line="360" w:lineRule="auto"/>
        <w:ind w:left="-2" w:leftChars="-1" w:firstLine="480" w:firstLineChars="20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1、投标人需按本表格式填写，不得自行更改。</w:t>
      </w:r>
    </w:p>
    <w:p>
      <w:pPr>
        <w:snapToGrid w:val="0"/>
        <w:spacing w:line="360" w:lineRule="auto"/>
        <w:ind w:left="48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2、有关本项目实施所涉及的一切费用（详见前附表）均计入报价。</w:t>
      </w:r>
      <w:r>
        <w:rPr>
          <w:rFonts w:hint="eastAsia" w:ascii="仿宋_GB2312" w:hAnsi="仿宋" w:eastAsia="仿宋_GB2312" w:cs="仿宋"/>
          <w:b/>
          <w:color w:val="auto"/>
          <w:sz w:val="24"/>
          <w:highlight w:val="none"/>
        </w:rPr>
        <w:t>▲</w:t>
      </w:r>
      <w:r>
        <w:rPr>
          <w:rFonts w:hint="eastAsia" w:ascii="仿宋_GB2312" w:hAnsi="仿宋" w:eastAsia="仿宋_GB2312" w:cs="仿宋"/>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
          <w:color w:val="auto"/>
          <w:kern w:val="0"/>
          <w:sz w:val="24"/>
          <w:highlight w:val="none"/>
          <w:lang w:val="zh-CN"/>
        </w:rPr>
        <w:t>，</w:t>
      </w:r>
      <w:r>
        <w:rPr>
          <w:rFonts w:hint="eastAsia" w:ascii="仿宋_GB2312" w:hAnsi="仿宋" w:eastAsia="仿宋_GB2312" w:cs="仿宋"/>
          <w:b/>
          <w:color w:val="auto"/>
          <w:kern w:val="0"/>
          <w:sz w:val="24"/>
          <w:highlight w:val="none"/>
          <w:lang w:val="zh-CN"/>
        </w:rPr>
        <w:t>各项明细费用请按实填写（不得出现“0元”“免费赠送”等形式的无偿报价）。</w:t>
      </w:r>
    </w:p>
    <w:p>
      <w:pPr>
        <w:snapToGrid w:val="0"/>
        <w:spacing w:line="360" w:lineRule="auto"/>
        <w:ind w:firstLine="480" w:firstLineChars="2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_GB2312" w:hAnsi="仿宋" w:eastAsia="仿宋_GB2312" w:cs="仿宋"/>
          <w:color w:val="auto"/>
          <w:highlight w:val="none"/>
        </w:rPr>
      </w:pPr>
      <w:r>
        <w:rPr>
          <w:rFonts w:hint="eastAsia" w:ascii="仿宋_GB2312" w:hAnsi="仿宋" w:eastAsia="仿宋_GB2312" w:cs="仿宋"/>
          <w:color w:val="auto"/>
          <w:kern w:val="0"/>
          <w:sz w:val="24"/>
          <w:szCs w:val="22"/>
          <w:highlight w:val="none"/>
          <w:lang w:val="zh-CN"/>
        </w:rPr>
        <w:t>5、</w:t>
      </w:r>
      <w:r>
        <w:rPr>
          <w:rFonts w:hint="eastAsia" w:ascii="仿宋_GB2312" w:hAnsi="仿宋" w:eastAsia="仿宋_GB2312"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hint="eastAsia" w:ascii="仿宋_GB2312" w:hAnsi="仿宋" w:eastAsia="仿宋_GB2312" w:cs="仿宋"/>
          <w:b/>
          <w:color w:val="auto"/>
          <w:kern w:val="0"/>
          <w:sz w:val="24"/>
          <w:highlight w:val="none"/>
        </w:rPr>
      </w:pPr>
    </w:p>
    <w:p>
      <w:pPr>
        <w:snapToGrid w:val="0"/>
        <w:spacing w:line="360" w:lineRule="auto"/>
        <w:ind w:firstLine="482" w:firstLineChars="200"/>
        <w:jc w:val="right"/>
        <w:rPr>
          <w:rFonts w:hint="eastAsia" w:ascii="仿宋_GB2312" w:hAnsi="仿宋" w:eastAsia="仿宋_GB2312" w:cs="仿宋"/>
          <w:b/>
          <w:color w:val="auto"/>
          <w:kern w:val="0"/>
          <w:sz w:val="24"/>
          <w:highlight w:val="none"/>
        </w:rPr>
      </w:pPr>
    </w:p>
    <w:p>
      <w:pPr>
        <w:spacing w:line="360" w:lineRule="auto"/>
        <w:ind w:right="960" w:firstLine="10440" w:firstLineChars="435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投标人名称（电子签名）：</w:t>
      </w:r>
    </w:p>
    <w:p>
      <w:pPr>
        <w:spacing w:line="360" w:lineRule="auto"/>
        <w:ind w:right="48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日期：  年   月   日</w:t>
      </w:r>
    </w:p>
    <w:p>
      <w:pPr>
        <w:spacing w:line="360" w:lineRule="auto"/>
        <w:jc w:val="center"/>
        <w:outlineLvl w:val="0"/>
        <w:rPr>
          <w:rFonts w:hint="eastAsia" w:ascii="仿宋_GB2312" w:hAnsi="仿宋" w:eastAsia="仿宋_GB2312" w:cs="仿宋"/>
          <w:color w:val="auto"/>
          <w:sz w:val="36"/>
          <w:szCs w:val="36"/>
          <w:highlight w:val="none"/>
          <w:lang w:val="zh-CN"/>
        </w:rPr>
      </w:pPr>
    </w:p>
    <w:p>
      <w:pPr>
        <w:spacing w:line="360" w:lineRule="auto"/>
        <w:jc w:val="center"/>
        <w:outlineLvl w:val="0"/>
        <w:rPr>
          <w:rFonts w:hint="eastAsia" w:ascii="仿宋_GB2312" w:hAnsi="仿宋" w:eastAsia="仿宋_GB2312" w:cs="仿宋"/>
          <w:color w:val="auto"/>
          <w:sz w:val="36"/>
          <w:szCs w:val="36"/>
          <w:highlight w:val="none"/>
          <w:lang w:val="zh-CN"/>
        </w:rPr>
      </w:pPr>
    </w:p>
    <w:p>
      <w:pPr>
        <w:spacing w:line="360" w:lineRule="auto"/>
        <w:jc w:val="center"/>
        <w:outlineLvl w:val="0"/>
        <w:rPr>
          <w:rFonts w:hint="eastAsia" w:ascii="仿宋_GB2312" w:hAnsi="仿宋" w:eastAsia="仿宋_GB2312" w:cs="仿宋"/>
          <w:color w:val="auto"/>
          <w:sz w:val="36"/>
          <w:szCs w:val="36"/>
          <w:highlight w:val="none"/>
          <w:lang w:val="zh-CN"/>
        </w:rPr>
      </w:pPr>
    </w:p>
    <w:p>
      <w:pPr>
        <w:spacing w:line="360" w:lineRule="auto"/>
        <w:jc w:val="center"/>
        <w:outlineLvl w:val="0"/>
        <w:rPr>
          <w:rFonts w:hint="eastAsia" w:ascii="仿宋_GB2312" w:hAnsi="仿宋" w:eastAsia="仿宋_GB2312" w:cs="仿宋"/>
          <w:color w:val="auto"/>
          <w:sz w:val="36"/>
          <w:szCs w:val="36"/>
          <w:highlight w:val="none"/>
          <w:lang w:val="zh-CN"/>
        </w:rPr>
      </w:pPr>
    </w:p>
    <w:p>
      <w:pPr>
        <w:spacing w:line="360" w:lineRule="auto"/>
        <w:jc w:val="center"/>
        <w:outlineLvl w:val="0"/>
        <w:rPr>
          <w:rFonts w:hint="eastAsia" w:ascii="仿宋_GB2312" w:hAnsi="仿宋" w:eastAsia="仿宋_GB2312" w:cs="仿宋"/>
          <w:color w:val="auto"/>
          <w:sz w:val="36"/>
          <w:szCs w:val="36"/>
          <w:highlight w:val="none"/>
          <w:lang w:val="zh-CN"/>
        </w:rPr>
        <w:sectPr>
          <w:pgSz w:w="16838" w:h="11906" w:orient="landscape"/>
          <w:pgMar w:top="1418" w:right="1276" w:bottom="1418" w:left="1247" w:header="851" w:footer="992" w:gutter="0"/>
          <w:cols w:space="720" w:num="1"/>
          <w:titlePg/>
          <w:docGrid w:linePitch="312" w:charSpace="0"/>
        </w:sectPr>
      </w:pPr>
    </w:p>
    <w:p>
      <w:pPr>
        <w:spacing w:line="360" w:lineRule="auto"/>
        <w:jc w:val="center"/>
        <w:rPr>
          <w:rFonts w:hint="eastAsia" w:ascii="仿宋_GB2312" w:hAnsi="仿宋" w:eastAsia="仿宋_GB2312" w:cs="仿宋"/>
          <w:b/>
          <w:color w:val="auto"/>
          <w:sz w:val="32"/>
          <w:szCs w:val="32"/>
          <w:highlight w:val="none"/>
        </w:rPr>
      </w:pPr>
    </w:p>
    <w:p>
      <w:pPr>
        <w:pStyle w:val="639"/>
        <w:keepNext w:val="0"/>
        <w:pageBreakBefore w:val="0"/>
        <w:tabs>
          <w:tab w:val="clear" w:pos="720"/>
        </w:tabs>
        <w:snapToGrid w:val="0"/>
        <w:spacing w:before="120" w:after="120"/>
        <w:ind w:firstLine="643"/>
        <w:outlineLvl w:val="9"/>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三、中小企业声明函（工程、服务）</w:t>
      </w:r>
    </w:p>
    <w:p>
      <w:pPr>
        <w:spacing w:line="360" w:lineRule="auto"/>
        <w:ind w:firstLine="360" w:firstLineChars="15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仿宋" w:eastAsia="仿宋_GB2312" w:cs="仿宋"/>
          <w:color w:val="auto"/>
          <w:sz w:val="24"/>
          <w:highlight w:val="none"/>
        </w:rPr>
        <w:t>2020</w:t>
      </w:r>
      <w:r>
        <w:rPr>
          <w:rFonts w:hint="eastAsia" w:ascii="宋体" w:hAnsi="宋体" w:cs="宋体"/>
          <w:color w:val="auto"/>
          <w:sz w:val="24"/>
          <w:highlight w:val="none"/>
        </w:rPr>
        <w:t>﹞</w:t>
      </w:r>
      <w:r>
        <w:rPr>
          <w:rFonts w:hint="eastAsia" w:ascii="仿宋_GB2312" w:hAnsi="仿宋" w:eastAsia="仿宋_GB2312" w:cs="仿宋"/>
          <w:color w:val="auto"/>
          <w:sz w:val="24"/>
          <w:highlight w:val="none"/>
        </w:rPr>
        <w:t>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w:t>
      </w:r>
      <w:r>
        <w:rPr>
          <w:rFonts w:hint="eastAsia" w:ascii="仿宋_GB2312" w:hAnsi="仿宋" w:eastAsia="仿宋_GB2312" w:cs="仿宋"/>
          <w:color w:val="auto"/>
          <w:sz w:val="24"/>
          <w:highlight w:val="none"/>
          <w:u w:val="single"/>
        </w:rPr>
        <w:t>杭州城市大脑**操作系统应用场景及业务通用能力建设项目应用支撑能力模块</w:t>
      </w:r>
      <w:r>
        <w:rPr>
          <w:rFonts w:hint="eastAsia" w:ascii="仿宋_GB2312" w:hAnsi="仿宋" w:eastAsia="仿宋_GB2312" w:cs="仿宋"/>
          <w:color w:val="auto"/>
          <w:sz w:val="24"/>
          <w:highlight w:val="none"/>
        </w:rPr>
        <w:t xml:space="preserve">，属于 </w:t>
      </w:r>
      <w:r>
        <w:rPr>
          <w:rFonts w:hint="eastAsia" w:ascii="仿宋_GB2312" w:hAnsi="仿宋" w:eastAsia="仿宋_GB2312" w:cs="仿宋"/>
          <w:color w:val="auto"/>
          <w:sz w:val="24"/>
          <w:highlight w:val="none"/>
          <w:u w:val="single"/>
        </w:rPr>
        <w:t>软件和信息技术服务业</w:t>
      </w:r>
      <w:r>
        <w:rPr>
          <w:rFonts w:hint="eastAsia" w:ascii="仿宋_GB2312" w:hAnsi="仿宋" w:eastAsia="仿宋_GB2312" w:cs="仿宋"/>
          <w:color w:val="auto"/>
          <w:sz w:val="24"/>
          <w:highlight w:val="none"/>
        </w:rPr>
        <w:t xml:space="preserve"> ；承建（承接）企业为 </w:t>
      </w:r>
      <w:r>
        <w:rPr>
          <w:rFonts w:hint="eastAsia" w:ascii="仿宋_GB2312" w:hAnsi="仿宋" w:eastAsia="仿宋_GB2312" w:cs="仿宋"/>
          <w:color w:val="auto"/>
          <w:sz w:val="24"/>
          <w:highlight w:val="none"/>
          <w:u w:val="single"/>
        </w:rPr>
        <w:t>（企业名称）</w:t>
      </w:r>
      <w:r>
        <w:rPr>
          <w:rFonts w:hint="eastAsia" w:ascii="仿宋_GB2312" w:hAnsi="仿宋" w:eastAsia="仿宋_GB2312" w:cs="仿宋"/>
          <w:color w:val="auto"/>
          <w:sz w:val="24"/>
          <w:highlight w:val="none"/>
        </w:rPr>
        <w:t xml:space="preserve"> ，从业人员</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人，营业收入为</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万元，资产总额为</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万元属于</w:t>
      </w:r>
      <w:r>
        <w:rPr>
          <w:rFonts w:hint="eastAsia" w:ascii="仿宋_GB2312" w:hAnsi="仿宋" w:eastAsia="仿宋_GB2312" w:cs="仿宋"/>
          <w:color w:val="auto"/>
          <w:sz w:val="24"/>
          <w:highlight w:val="none"/>
          <w:u w:val="single"/>
        </w:rPr>
        <w:t xml:space="preserve"> （中型企业、小型企业、微型企业） </w:t>
      </w:r>
      <w:r>
        <w:rPr>
          <w:rFonts w:hint="eastAsia" w:ascii="仿宋_GB2312" w:hAnsi="仿宋" w:eastAsia="仿宋_GB2312" w:cs="仿宋"/>
          <w:color w:val="auto"/>
          <w:sz w:val="24"/>
          <w:highlight w:val="none"/>
        </w:rPr>
        <w:t>；</w:t>
      </w:r>
    </w:p>
    <w:p>
      <w:pPr>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本企业对上述声明内容的真实性负责。如有虚假，将依法承担相应责任。</w:t>
      </w:r>
    </w:p>
    <w:p>
      <w:pPr>
        <w:spacing w:line="360" w:lineRule="auto"/>
        <w:ind w:right="1040"/>
        <w:jc w:val="righ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投标人名称（电子签名）：</w:t>
      </w:r>
    </w:p>
    <w:p>
      <w:pPr>
        <w:spacing w:line="360" w:lineRule="auto"/>
        <w:ind w:right="1120" w:firstLine="4680" w:firstLineChars="195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日 期：</w:t>
      </w:r>
    </w:p>
    <w:p>
      <w:pPr>
        <w:spacing w:line="360" w:lineRule="auto"/>
        <w:ind w:firstLine="310" w:firstLineChars="147"/>
        <w:jc w:val="left"/>
        <w:rPr>
          <w:rFonts w:hint="eastAsia" w:ascii="仿宋_GB2312" w:hAnsi="仿宋" w:eastAsia="仿宋_GB2312" w:cs="仿宋"/>
          <w:b/>
          <w:color w:val="auto"/>
          <w:szCs w:val="21"/>
          <w:highlight w:val="none"/>
        </w:rPr>
      </w:pPr>
      <w:r>
        <w:rPr>
          <w:rFonts w:hint="eastAsia" w:ascii="仿宋_GB2312" w:hAnsi="仿宋" w:eastAsia="仿宋_GB2312"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_GB2312" w:hAnsi="仿宋" w:eastAsia="仿宋_GB2312" w:cs="仿宋"/>
          <w:color w:val="auto"/>
          <w:sz w:val="24"/>
          <w:highlight w:val="none"/>
        </w:rPr>
      </w:pPr>
    </w:p>
    <w:p>
      <w:pPr>
        <w:spacing w:line="360" w:lineRule="auto"/>
        <w:ind w:right="48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注：</w:t>
      </w:r>
      <w:r>
        <w:rPr>
          <w:rFonts w:hint="eastAsia" w:ascii="仿宋_GB2312" w:hAnsi="仿宋" w:eastAsia="仿宋_GB2312" w:cs="仿宋"/>
          <w:b/>
          <w:color w:val="auto"/>
          <w:sz w:val="24"/>
          <w:highlight w:val="none"/>
        </w:rPr>
        <w:t>投标人提供的中小企业声明函与实际情况不符的，投标价格不可享受价格扣除。</w:t>
      </w:r>
      <w:r>
        <w:rPr>
          <w:rFonts w:hint="eastAsia" w:ascii="仿宋_GB2312" w:hAnsi="仿宋" w:eastAsia="仿宋_GB2312"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39"/>
        <w:keepNext w:val="0"/>
        <w:pageBreakBefore w:val="0"/>
        <w:tabs>
          <w:tab w:val="clear" w:pos="720"/>
        </w:tabs>
        <w:snapToGrid w:val="0"/>
        <w:spacing w:before="120" w:after="120"/>
        <w:ind w:firstLine="643"/>
        <w:outlineLvl w:val="9"/>
        <w:rPr>
          <w:rFonts w:hint="eastAsia" w:ascii="仿宋_GB2312" w:hAnsi="仿宋" w:eastAsia="仿宋_GB2312" w:cs="仿宋"/>
          <w:b w:val="0"/>
          <w:color w:val="auto"/>
          <w:kern w:val="0"/>
          <w:szCs w:val="36"/>
          <w:highlight w:val="none"/>
        </w:rPr>
      </w:pPr>
      <w:r>
        <w:rPr>
          <w:rFonts w:hint="eastAsia" w:ascii="仿宋_GB2312" w:hAnsi="仿宋" w:eastAsia="仿宋_GB2312" w:cs="仿宋_GB2312"/>
          <w:color w:val="auto"/>
          <w:kern w:val="0"/>
          <w:sz w:val="32"/>
          <w:szCs w:val="32"/>
          <w:highlight w:val="none"/>
        </w:rPr>
        <w:br w:type="page"/>
      </w:r>
    </w:p>
    <w:p>
      <w:pPr>
        <w:pStyle w:val="639"/>
        <w:keepNext w:val="0"/>
        <w:pageBreakBefore w:val="0"/>
        <w:tabs>
          <w:tab w:val="clear" w:pos="720"/>
        </w:tabs>
        <w:snapToGrid w:val="0"/>
        <w:spacing w:before="120" w:after="120"/>
        <w:ind w:firstLine="643"/>
        <w:outlineLvl w:val="9"/>
        <w:rPr>
          <w:rFonts w:hint="eastAsia" w:ascii="仿宋_GB2312" w:hAnsi="仿宋" w:eastAsia="仿宋_GB2312" w:cs="仿宋"/>
          <w:b w:val="0"/>
          <w:color w:val="auto"/>
          <w:kern w:val="0"/>
          <w:szCs w:val="36"/>
          <w:highlight w:val="none"/>
        </w:rPr>
      </w:pPr>
      <w:r>
        <w:rPr>
          <w:rFonts w:hint="eastAsia" w:ascii="仿宋_GB2312" w:hAnsi="仿宋" w:eastAsia="仿宋_GB2312" w:cs="仿宋"/>
          <w:bCs/>
          <w:color w:val="auto"/>
          <w:kern w:val="0"/>
          <w:szCs w:val="36"/>
          <w:highlight w:val="none"/>
        </w:rPr>
        <w:t>商务技术文件部分</w:t>
      </w:r>
    </w:p>
    <w:p>
      <w:pPr>
        <w:spacing w:line="360" w:lineRule="auto"/>
        <w:jc w:val="center"/>
        <w:outlineLvl w:val="0"/>
        <w:rPr>
          <w:rFonts w:hint="eastAsia" w:ascii="仿宋_GB2312" w:hAnsi="仿宋" w:eastAsia="仿宋_GB2312" w:cs="仿宋"/>
          <w:b/>
          <w:color w:val="auto"/>
          <w:kern w:val="0"/>
          <w:sz w:val="24"/>
          <w:highlight w:val="none"/>
        </w:rPr>
      </w:pPr>
    </w:p>
    <w:p>
      <w:pPr>
        <w:spacing w:line="360" w:lineRule="auto"/>
        <w:jc w:val="center"/>
        <w:outlineLvl w:val="0"/>
        <w:rPr>
          <w:rFonts w:hint="eastAsia" w:ascii="仿宋_GB2312" w:hAnsi="仿宋" w:eastAsia="仿宋_GB2312" w:cs="仿宋"/>
          <w:b/>
          <w:color w:val="auto"/>
          <w:kern w:val="0"/>
          <w:sz w:val="28"/>
          <w:szCs w:val="28"/>
          <w:highlight w:val="none"/>
        </w:rPr>
      </w:pPr>
      <w:r>
        <w:rPr>
          <w:rFonts w:hint="eastAsia" w:ascii="仿宋_GB2312" w:hAnsi="仿宋" w:eastAsia="仿宋_GB2312" w:cs="仿宋"/>
          <w:b/>
          <w:color w:val="auto"/>
          <w:kern w:val="0"/>
          <w:sz w:val="28"/>
          <w:szCs w:val="28"/>
          <w:highlight w:val="none"/>
        </w:rPr>
        <w:t>目录</w:t>
      </w:r>
    </w:p>
    <w:p>
      <w:pPr>
        <w:pStyle w:val="810"/>
        <w:spacing w:line="360" w:lineRule="auto"/>
        <w:rPr>
          <w:rFonts w:hint="eastAsia" w:cs="仿宋"/>
          <w:color w:val="auto"/>
          <w:highlight w:val="none"/>
        </w:rPr>
      </w:pPr>
      <w:r>
        <w:rPr>
          <w:rFonts w:hint="eastAsia" w:cs="仿宋"/>
          <w:color w:val="auto"/>
          <w:highlight w:val="none"/>
        </w:rPr>
        <w:t>（1）营业执照(或事业法人登记证或其他工商等登记证明材料)复印件（投标人为 然人的，提供自然人的身份证明）………………………………………（页码）</w:t>
      </w:r>
    </w:p>
    <w:p>
      <w:pPr>
        <w:pStyle w:val="810"/>
        <w:spacing w:line="360" w:lineRule="auto"/>
        <w:rPr>
          <w:rFonts w:hint="eastAsia" w:cs="仿宋"/>
          <w:color w:val="auto"/>
          <w:highlight w:val="none"/>
        </w:rPr>
      </w:pPr>
      <w:r>
        <w:rPr>
          <w:rFonts w:hint="eastAsia" w:cs="仿宋"/>
          <w:color w:val="auto"/>
          <w:highlight w:val="none"/>
        </w:rPr>
        <w:t>（2）联合体协议</w:t>
      </w:r>
      <w:r>
        <w:rPr>
          <w:rFonts w:hint="eastAsia" w:cs="仿宋"/>
          <w:color w:val="auto"/>
          <w:highlight w:val="none"/>
          <w:lang w:val="zh-CN"/>
        </w:rPr>
        <w:t>… ……………………………………………………</w:t>
      </w:r>
      <w:r>
        <w:rPr>
          <w:rFonts w:hint="eastAsia" w:cs="仿宋"/>
          <w:color w:val="auto"/>
          <w:highlight w:val="none"/>
        </w:rPr>
        <w:t>（页码）</w:t>
      </w:r>
    </w:p>
    <w:p>
      <w:pPr>
        <w:pStyle w:val="810"/>
        <w:spacing w:line="360" w:lineRule="auto"/>
        <w:rPr>
          <w:rFonts w:hint="eastAsia" w:cs="仿宋"/>
          <w:color w:val="auto"/>
          <w:highlight w:val="none"/>
        </w:rPr>
      </w:pPr>
      <w:r>
        <w:rPr>
          <w:rFonts w:hint="eastAsia" w:cs="仿宋"/>
          <w:color w:val="auto"/>
          <w:highlight w:val="none"/>
        </w:rPr>
        <w:t>（3）资信文件复印件（如果要求提供）……………………………（页码）</w:t>
      </w:r>
    </w:p>
    <w:p>
      <w:pPr>
        <w:pStyle w:val="810"/>
        <w:spacing w:line="360" w:lineRule="auto"/>
        <w:rPr>
          <w:rFonts w:hint="eastAsia" w:cs="仿宋"/>
          <w:color w:val="auto"/>
          <w:highlight w:val="none"/>
        </w:rPr>
      </w:pPr>
      <w:r>
        <w:rPr>
          <w:rFonts w:hint="eastAsia" w:cs="仿宋"/>
          <w:color w:val="auto"/>
          <w:highlight w:val="none"/>
        </w:rPr>
        <w:t>（4）</w:t>
      </w:r>
      <w:r>
        <w:rPr>
          <w:rFonts w:hint="eastAsia" w:cs="仿宋"/>
          <w:color w:val="auto"/>
          <w:highlight w:val="none"/>
          <w:lang w:val="zh-CN"/>
        </w:rPr>
        <w:t>主要业绩证明… …………………………………………………</w:t>
      </w:r>
      <w:r>
        <w:rPr>
          <w:rFonts w:hint="eastAsia" w:cs="仿宋"/>
          <w:color w:val="auto"/>
          <w:highlight w:val="none"/>
        </w:rPr>
        <w:t>（页码）</w:t>
      </w:r>
    </w:p>
    <w:p>
      <w:pPr>
        <w:pStyle w:val="810"/>
        <w:spacing w:line="360" w:lineRule="auto"/>
        <w:rPr>
          <w:rFonts w:hint="eastAsia" w:cs="仿宋"/>
          <w:color w:val="auto"/>
          <w:highlight w:val="none"/>
        </w:rPr>
      </w:pPr>
      <w:bookmarkStart w:id="567" w:name="OLE_LINK6"/>
      <w:bookmarkStart w:id="568" w:name="OLE_LINK7"/>
      <w:bookmarkStart w:id="569" w:name="OLE_LINK5"/>
      <w:r>
        <w:rPr>
          <w:rFonts w:hint="eastAsia" w:cs="仿宋"/>
          <w:color w:val="auto"/>
          <w:highlight w:val="none"/>
        </w:rPr>
        <w:t>（5）其他商务文件或说明</w:t>
      </w:r>
      <w:r>
        <w:rPr>
          <w:rFonts w:hint="eastAsia" w:cs="仿宋"/>
          <w:color w:val="auto"/>
          <w:highlight w:val="none"/>
          <w:lang w:val="zh-CN"/>
        </w:rPr>
        <w:t>………………………………………………</w:t>
      </w:r>
      <w:r>
        <w:rPr>
          <w:rFonts w:hint="eastAsia" w:cs="仿宋"/>
          <w:color w:val="auto"/>
          <w:highlight w:val="none"/>
        </w:rPr>
        <w:t>（页码）</w:t>
      </w:r>
      <w:bookmarkEnd w:id="567"/>
      <w:bookmarkEnd w:id="568"/>
    </w:p>
    <w:bookmarkEnd w:id="569"/>
    <w:p>
      <w:pPr>
        <w:spacing w:line="360" w:lineRule="auto"/>
        <w:ind w:firstLine="480" w:firstLineChars="200"/>
        <w:outlineLvl w:val="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（6）技术解决方案……………………………………………………（页码）</w:t>
      </w:r>
    </w:p>
    <w:p>
      <w:pPr>
        <w:spacing w:line="360" w:lineRule="auto"/>
        <w:ind w:firstLine="480" w:firstLineChars="200"/>
        <w:outlineLvl w:val="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（7）技术偏离说明表…………………………………………………（页码）</w:t>
      </w:r>
    </w:p>
    <w:p>
      <w:pPr>
        <w:spacing w:line="360" w:lineRule="auto"/>
        <w:ind w:firstLine="480" w:firstLineChars="200"/>
        <w:outlineLvl w:val="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（8）组织实施方案……………………………………………………（页码）</w:t>
      </w:r>
    </w:p>
    <w:p>
      <w:pPr>
        <w:spacing w:line="360" w:lineRule="auto"/>
        <w:ind w:firstLine="480" w:firstLine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（9）售后服务方案……………………………………………………（页码）</w:t>
      </w:r>
    </w:p>
    <w:p>
      <w:pPr>
        <w:spacing w:line="360" w:lineRule="auto"/>
        <w:ind w:firstLine="480" w:firstLine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（10）项目小组人员名单………………………………………………（页码）</w:t>
      </w:r>
    </w:p>
    <w:p>
      <w:pPr>
        <w:spacing w:line="360" w:lineRule="auto"/>
        <w:ind w:firstLine="480" w:firstLine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（11）</w:t>
      </w:r>
      <w:r>
        <w:rPr>
          <w:rFonts w:hint="eastAsia" w:ascii="仿宋_GB2312" w:hAnsi="仿宋" w:eastAsia="仿宋_GB2312" w:cs="仿宋"/>
          <w:color w:val="auto"/>
          <w:kern w:val="0"/>
          <w:sz w:val="24"/>
          <w:highlight w:val="none"/>
          <w:lang w:val="zh-CN"/>
        </w:rPr>
        <w:t>优惠条件及特殊承诺……………………………………………</w:t>
      </w:r>
      <w:r>
        <w:rPr>
          <w:rFonts w:hint="eastAsia" w:ascii="仿宋_GB2312" w:hAnsi="仿宋" w:eastAsia="仿宋_GB2312" w:cs="仿宋"/>
          <w:color w:val="auto"/>
          <w:kern w:val="0"/>
          <w:sz w:val="24"/>
          <w:highlight w:val="none"/>
        </w:rPr>
        <w:t>（页码）</w:t>
      </w:r>
    </w:p>
    <w:p>
      <w:pPr>
        <w:spacing w:line="360" w:lineRule="auto"/>
        <w:ind w:firstLine="480" w:firstLine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（12）</w:t>
      </w:r>
      <w:r>
        <w:rPr>
          <w:rFonts w:hint="eastAsia" w:ascii="仿宋_GB2312" w:hAnsi="仿宋" w:eastAsia="仿宋_GB2312" w:cs="仿宋"/>
          <w:color w:val="auto"/>
          <w:kern w:val="0"/>
          <w:sz w:val="24"/>
          <w:highlight w:val="none"/>
          <w:lang w:val="zh-CN"/>
        </w:rPr>
        <w:t>备品备件及供选择的配套零部件清单…………………………</w:t>
      </w:r>
      <w:r>
        <w:rPr>
          <w:rFonts w:hint="eastAsia" w:ascii="仿宋_GB2312" w:hAnsi="仿宋" w:eastAsia="仿宋_GB2312" w:cs="仿宋"/>
          <w:color w:val="auto"/>
          <w:kern w:val="0"/>
          <w:sz w:val="24"/>
          <w:highlight w:val="none"/>
        </w:rPr>
        <w:t>（页码）</w:t>
      </w:r>
    </w:p>
    <w:p>
      <w:pPr>
        <w:spacing w:line="360" w:lineRule="auto"/>
        <w:ind w:firstLine="480" w:firstLine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（13）</w:t>
      </w:r>
      <w:r>
        <w:rPr>
          <w:rFonts w:hint="eastAsia" w:ascii="仿宋_GB2312" w:hAnsi="仿宋" w:eastAsia="仿宋_GB2312" w:cs="仿宋"/>
          <w:color w:val="auto"/>
          <w:kern w:val="0"/>
          <w:sz w:val="24"/>
          <w:highlight w:val="none"/>
          <w:lang w:val="zh-CN"/>
        </w:rPr>
        <w:t>培训计划…………………………………………………………</w:t>
      </w:r>
      <w:r>
        <w:rPr>
          <w:rFonts w:hint="eastAsia" w:ascii="仿宋_GB2312" w:hAnsi="仿宋" w:eastAsia="仿宋_GB2312" w:cs="仿宋"/>
          <w:color w:val="auto"/>
          <w:kern w:val="0"/>
          <w:sz w:val="24"/>
          <w:highlight w:val="none"/>
        </w:rPr>
        <w:t>（页码）</w:t>
      </w:r>
    </w:p>
    <w:p>
      <w:pPr>
        <w:spacing w:line="360" w:lineRule="auto"/>
        <w:ind w:firstLine="480" w:firstLineChars="200"/>
        <w:rPr>
          <w:rFonts w:hint="eastAsia" w:ascii="仿宋_GB2312" w:hAnsi="仿宋" w:eastAsia="仿宋_GB2312" w:cs="仿宋"/>
          <w:b/>
          <w:bCs/>
          <w:color w:val="auto"/>
          <w:sz w:val="24"/>
          <w:highlight w:val="none"/>
        </w:rPr>
      </w:pPr>
      <w:r>
        <w:rPr>
          <w:rFonts w:hint="eastAsia" w:ascii="仿宋_GB2312" w:hAnsi="仿宋" w:eastAsia="仿宋_GB2312" w:cs="仿宋"/>
          <w:color w:val="auto"/>
          <w:kern w:val="0"/>
          <w:sz w:val="24"/>
          <w:highlight w:val="none"/>
        </w:rPr>
        <w:t>（14）</w:t>
      </w:r>
      <w:r>
        <w:rPr>
          <w:rFonts w:hint="eastAsia" w:ascii="仿宋_GB2312" w:hAnsi="仿宋" w:eastAsia="仿宋_GB2312" w:cs="仿宋"/>
          <w:color w:val="auto"/>
          <w:kern w:val="0"/>
          <w:sz w:val="24"/>
          <w:highlight w:val="none"/>
          <w:lang w:val="zh-CN"/>
        </w:rPr>
        <w:t>认为需要的其他技术文件或说明………………………………</w:t>
      </w:r>
      <w:r>
        <w:rPr>
          <w:rFonts w:hint="eastAsia" w:ascii="仿宋_GB2312" w:hAnsi="仿宋" w:eastAsia="仿宋_GB2312" w:cs="仿宋"/>
          <w:color w:val="auto"/>
          <w:kern w:val="0"/>
          <w:sz w:val="24"/>
          <w:highlight w:val="none"/>
        </w:rPr>
        <w:t>（页码）</w:t>
      </w:r>
    </w:p>
    <w:p>
      <w:pPr>
        <w:spacing w:line="360" w:lineRule="auto"/>
        <w:ind w:firstLine="480" w:firstLine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（15）</w:t>
      </w:r>
      <w:r>
        <w:rPr>
          <w:rFonts w:hint="eastAsia" w:ascii="仿宋_GB2312" w:hAnsi="仿宋" w:eastAsia="仿宋_GB2312" w:cs="仿宋"/>
          <w:color w:val="auto"/>
          <w:kern w:val="0"/>
          <w:sz w:val="24"/>
          <w:highlight w:val="none"/>
          <w:lang w:val="zh-CN"/>
        </w:rPr>
        <w:t>关于对招标文件中商务、合同有关条款的拒绝声明……………</w:t>
      </w:r>
      <w:r>
        <w:rPr>
          <w:rFonts w:hint="eastAsia" w:ascii="仿宋_GB2312" w:hAnsi="仿宋" w:eastAsia="仿宋_GB2312" w:cs="仿宋"/>
          <w:color w:val="auto"/>
          <w:kern w:val="0"/>
          <w:sz w:val="24"/>
          <w:highlight w:val="none"/>
        </w:rPr>
        <w:t>（页码）</w:t>
      </w:r>
    </w:p>
    <w:p>
      <w:pPr>
        <w:tabs>
          <w:tab w:val="left" w:pos="0"/>
        </w:tabs>
        <w:autoSpaceDE w:val="0"/>
        <w:autoSpaceDN w:val="0"/>
        <w:spacing w:line="360" w:lineRule="auto"/>
        <w:ind w:firstLine="480" w:firstLineChars="20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rPr>
        <w:t>（16）</w:t>
      </w:r>
      <w:r>
        <w:rPr>
          <w:rFonts w:hint="eastAsia" w:ascii="仿宋_GB2312" w:hAnsi="仿宋" w:eastAsia="仿宋_GB2312" w:cs="仿宋"/>
          <w:color w:val="auto"/>
          <w:kern w:val="0"/>
          <w:sz w:val="24"/>
          <w:highlight w:val="none"/>
          <w:lang w:val="zh-CN"/>
        </w:rPr>
        <w:t>政府采购供应商廉洁自律承诺书………………………………</w:t>
      </w:r>
      <w:r>
        <w:rPr>
          <w:rFonts w:hint="eastAsia" w:ascii="仿宋_GB2312" w:hAnsi="仿宋" w:eastAsia="仿宋_GB2312" w:cs="仿宋"/>
          <w:color w:val="auto"/>
          <w:kern w:val="0"/>
          <w:sz w:val="24"/>
          <w:highlight w:val="none"/>
        </w:rPr>
        <w:t>（页码）</w:t>
      </w:r>
    </w:p>
    <w:p>
      <w:pPr>
        <w:spacing w:line="360" w:lineRule="auto"/>
        <w:ind w:firstLine="480" w:firstLineChars="20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rPr>
        <w:t>（17）</w:t>
      </w:r>
      <w:r>
        <w:rPr>
          <w:rFonts w:hint="eastAsia" w:ascii="仿宋_GB2312" w:hAnsi="仿宋" w:eastAsia="仿宋_GB2312" w:cs="仿宋"/>
          <w:color w:val="auto"/>
          <w:kern w:val="0"/>
          <w:sz w:val="24"/>
          <w:highlight w:val="none"/>
          <w:lang w:val="zh-CN"/>
        </w:rPr>
        <w:t>廉政承诺书………………………………………………………</w:t>
      </w:r>
      <w:r>
        <w:rPr>
          <w:rFonts w:hint="eastAsia" w:ascii="仿宋_GB2312" w:hAnsi="仿宋" w:eastAsia="仿宋_GB2312" w:cs="仿宋"/>
          <w:color w:val="auto"/>
          <w:kern w:val="0"/>
          <w:sz w:val="24"/>
          <w:highlight w:val="none"/>
        </w:rPr>
        <w:t>（页码）</w:t>
      </w:r>
    </w:p>
    <w:p>
      <w:pPr>
        <w:spacing w:line="360" w:lineRule="auto"/>
        <w:rPr>
          <w:rFonts w:hint="eastAsia" w:ascii="仿宋_GB2312" w:hAnsi="仿宋" w:eastAsia="仿宋_GB2312" w:cs="仿宋"/>
          <w:b/>
          <w:bCs/>
          <w:color w:val="auto"/>
          <w:sz w:val="24"/>
          <w:highlight w:val="none"/>
        </w:rPr>
      </w:pPr>
      <w:r>
        <w:rPr>
          <w:rFonts w:hint="eastAsia" w:ascii="仿宋_GB2312" w:hAnsi="仿宋" w:eastAsia="仿宋_GB2312" w:cs="仿宋"/>
          <w:b/>
          <w:bCs/>
          <w:color w:val="auto"/>
          <w:sz w:val="24"/>
          <w:highlight w:val="none"/>
        </w:rPr>
        <w:t>注：以上目录是基本格式要求，各投标人可根据自身情况进一步细化。</w:t>
      </w:r>
    </w:p>
    <w:p>
      <w:pPr>
        <w:snapToGrid w:val="0"/>
        <w:spacing w:line="360" w:lineRule="auto"/>
        <w:jc w:val="center"/>
        <w:rPr>
          <w:rFonts w:hint="eastAsia" w:ascii="仿宋_GB2312" w:hAnsi="仿宋" w:eastAsia="仿宋_GB2312" w:cs="仿宋"/>
          <w:b/>
          <w:color w:val="auto"/>
          <w:kern w:val="0"/>
          <w:sz w:val="32"/>
          <w:szCs w:val="32"/>
          <w:highlight w:val="none"/>
          <w:lang w:val="zh-CN"/>
        </w:rPr>
      </w:pPr>
    </w:p>
    <w:p>
      <w:pPr>
        <w:snapToGrid w:val="0"/>
        <w:spacing w:line="360" w:lineRule="auto"/>
        <w:jc w:val="center"/>
        <w:rPr>
          <w:rFonts w:hint="eastAsia" w:ascii="仿宋_GB2312" w:hAnsi="仿宋" w:eastAsia="仿宋_GB2312" w:cs="仿宋"/>
          <w:b/>
          <w:color w:val="auto"/>
          <w:kern w:val="0"/>
          <w:sz w:val="32"/>
          <w:szCs w:val="32"/>
          <w:highlight w:val="none"/>
          <w:lang w:val="zh-CN"/>
        </w:rPr>
      </w:pPr>
    </w:p>
    <w:p>
      <w:pPr>
        <w:snapToGrid w:val="0"/>
        <w:spacing w:line="360" w:lineRule="auto"/>
        <w:jc w:val="center"/>
        <w:rPr>
          <w:rFonts w:hint="eastAsia" w:ascii="仿宋_GB2312" w:hAnsi="仿宋" w:eastAsia="仿宋_GB2312" w:cs="仿宋"/>
          <w:b/>
          <w:color w:val="auto"/>
          <w:kern w:val="0"/>
          <w:sz w:val="32"/>
          <w:szCs w:val="32"/>
          <w:highlight w:val="none"/>
          <w:lang w:val="zh-CN"/>
        </w:rPr>
      </w:pPr>
    </w:p>
    <w:p>
      <w:pPr>
        <w:pStyle w:val="59"/>
        <w:rPr>
          <w:rFonts w:hint="eastAsia" w:ascii="仿宋_GB2312" w:hAnsi="Arial" w:eastAsia="仿宋_GB2312" w:cs="Arial"/>
          <w:snapToGrid w:val="0"/>
          <w:color w:val="auto"/>
          <w:kern w:val="0"/>
          <w:szCs w:val="21"/>
          <w:highlight w:val="none"/>
        </w:rPr>
      </w:pPr>
    </w:p>
    <w:p>
      <w:pPr>
        <w:spacing w:line="360" w:lineRule="auto"/>
        <w:jc w:val="center"/>
        <w:rPr>
          <w:rFonts w:hint="eastAsia" w:ascii="仿宋_GB2312" w:hAnsi="仿宋" w:eastAsia="仿宋_GB2312" w:cs="仿宋"/>
          <w:b/>
          <w:color w:val="auto"/>
          <w:sz w:val="30"/>
          <w:szCs w:val="30"/>
          <w:highlight w:val="none"/>
        </w:rPr>
      </w:pPr>
      <w:r>
        <w:rPr>
          <w:rFonts w:hint="eastAsia" w:ascii="仿宋_GB2312" w:hAnsi="仿宋" w:eastAsia="仿宋_GB2312" w:cs="仿宋"/>
          <w:b/>
          <w:color w:val="auto"/>
          <w:kern w:val="0"/>
          <w:sz w:val="32"/>
          <w:szCs w:val="32"/>
          <w:highlight w:val="none"/>
          <w:lang w:val="zh-CN"/>
        </w:rPr>
        <w:t>一、</w:t>
      </w:r>
      <w:r>
        <w:rPr>
          <w:rFonts w:hint="eastAsia" w:ascii="仿宋_GB2312" w:hAnsi="仿宋" w:eastAsia="仿宋_GB2312" w:cs="仿宋"/>
          <w:b/>
          <w:color w:val="auto"/>
          <w:sz w:val="30"/>
          <w:szCs w:val="30"/>
          <w:highlight w:val="none"/>
        </w:rPr>
        <w:t>营业执照(或事业法人登记证或其他工商等登记证明材料)复印件（投标人为自然人的，提供自然人的身份证明）</w:t>
      </w:r>
    </w:p>
    <w:p>
      <w:pPr>
        <w:snapToGrid w:val="0"/>
        <w:spacing w:line="360" w:lineRule="auto"/>
        <w:jc w:val="center"/>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576"/>
        <w:jc w:val="center"/>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投标人名称(电子签名)：                              </w:t>
      </w:r>
    </w:p>
    <w:p>
      <w:pPr>
        <w:snapToGrid w:val="0"/>
        <w:spacing w:line="360" w:lineRule="auto"/>
        <w:ind w:firstLine="1440" w:firstLineChars="600"/>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color w:val="auto"/>
          <w:kern w:val="0"/>
          <w:sz w:val="24"/>
          <w:highlight w:val="none"/>
          <w:lang w:val="zh-CN"/>
        </w:rPr>
        <w:t xml:space="preserve">                   日期：  年  月 日</w:t>
      </w: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
          <w:b/>
          <w:color w:val="auto"/>
          <w:kern w:val="0"/>
          <w:sz w:val="32"/>
          <w:szCs w:val="32"/>
          <w:highlight w:val="none"/>
          <w:lang w:val="zh-CN"/>
        </w:rPr>
      </w:pPr>
    </w:p>
    <w:p>
      <w:pPr>
        <w:snapToGrid w:val="0"/>
        <w:spacing w:line="360" w:lineRule="auto"/>
        <w:ind w:firstLine="576"/>
        <w:jc w:val="center"/>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w:t>
      </w:r>
    </w:p>
    <w:p>
      <w:pPr>
        <w:snapToGrid w:val="0"/>
        <w:spacing w:before="50" w:after="50" w:line="360" w:lineRule="auto"/>
        <w:jc w:val="center"/>
        <w:rPr>
          <w:rFonts w:hint="eastAsia" w:ascii="仿宋_GB2312" w:hAnsi="仿宋" w:eastAsia="仿宋_GB2312" w:cs="仿宋"/>
          <w:b/>
          <w:color w:val="auto"/>
          <w:sz w:val="30"/>
          <w:szCs w:val="30"/>
          <w:highlight w:val="none"/>
        </w:rPr>
      </w:pPr>
      <w:r>
        <w:rPr>
          <w:rFonts w:hint="eastAsia" w:ascii="仿宋_GB2312" w:hAnsi="仿宋" w:eastAsia="仿宋_GB2312" w:cs="仿宋"/>
          <w:b/>
          <w:color w:val="auto"/>
          <w:sz w:val="30"/>
          <w:szCs w:val="30"/>
          <w:highlight w:val="none"/>
        </w:rPr>
        <w:t>二、联合体协议（扫描件加盖上传公司电子签名）</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甲方：</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乙方：</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各方经协商一致，决定组成一个联合体，以一个投标人的身份就杭州市公共资源交易中心组织实施的</w:t>
      </w:r>
      <w:r>
        <w:rPr>
          <w:rFonts w:hint="eastAsia" w:ascii="仿宋_GB2312" w:hAnsi="仿宋" w:eastAsia="仿宋_GB2312" w:cs="仿宋"/>
          <w:color w:val="auto"/>
          <w:sz w:val="24"/>
          <w:highlight w:val="none"/>
        </w:rPr>
        <w:t>杭州城市大脑**操作系统应用场景及业务通用能力建设项目应用支撑能力模块</w:t>
      </w:r>
      <w:r>
        <w:rPr>
          <w:rFonts w:hint="eastAsia" w:ascii="仿宋_GB2312" w:hAnsi="仿宋" w:eastAsia="仿宋_GB2312" w:cs="仿宋"/>
          <w:color w:val="auto"/>
          <w:kern w:val="0"/>
          <w:sz w:val="24"/>
          <w:highlight w:val="none"/>
          <w:lang w:val="zh-CN"/>
        </w:rPr>
        <w:t>【招标编号：HZZFCG-2021-157】共同投标。</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一、各方一致决定，</w:t>
      </w:r>
      <w:r>
        <w:rPr>
          <w:rFonts w:hint="eastAsia" w:ascii="仿宋_GB2312" w:hAnsi="仿宋" w:eastAsia="仿宋_GB2312" w:cs="仿宋"/>
          <w:color w:val="auto"/>
          <w:sz w:val="24"/>
          <w:highlight w:val="none"/>
        </w:rPr>
        <w:t>指定</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sz w:val="24"/>
          <w:highlight w:val="none"/>
        </w:rPr>
        <w:t>方牵头人，代表所有联合体成员负责投标和合同实施阶段的主办、协调工作</w:t>
      </w:r>
      <w:r>
        <w:rPr>
          <w:rFonts w:hint="eastAsia" w:ascii="仿宋_GB2312" w:hAnsi="仿宋" w:eastAsia="仿宋_GB2312" w:cs="仿宋"/>
          <w:color w:val="auto"/>
          <w:kern w:val="0"/>
          <w:sz w:val="24"/>
          <w:highlight w:val="none"/>
          <w:lang w:val="zh-CN"/>
        </w:rPr>
        <w:t>。</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二、</w:t>
      </w:r>
      <w:r>
        <w:rPr>
          <w:rFonts w:hint="eastAsia" w:ascii="仿宋_GB2312" w:hAnsi="仿宋" w:eastAsia="仿宋_GB2312" w:cs="仿宋"/>
          <w:color w:val="auto"/>
          <w:sz w:val="24"/>
          <w:highlight w:val="none"/>
        </w:rPr>
        <w:t>所有联合体成员各方签署授权书，授权书载明的</w:t>
      </w:r>
      <w:r>
        <w:rPr>
          <w:rFonts w:hint="eastAsia" w:ascii="仿宋_GB2312" w:hAnsi="仿宋" w:eastAsia="仿宋_GB2312"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三、本次联合投标中，分工如下：甲方承担的工作和义务为：</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kern w:val="0"/>
          <w:sz w:val="24"/>
          <w:highlight w:val="none"/>
          <w:lang w:val="zh-CN"/>
        </w:rPr>
        <w:t>；乙方承担的工作和义务为：</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kern w:val="0"/>
          <w:sz w:val="24"/>
          <w:highlight w:val="none"/>
          <w:lang w:val="zh-CN"/>
        </w:rPr>
        <w:t xml:space="preserve"> ；……</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四、如果中标，</w:t>
      </w:r>
      <w:r>
        <w:rPr>
          <w:rFonts w:hint="eastAsia" w:ascii="仿宋_GB2312" w:hAnsi="仿宋" w:eastAsia="仿宋_GB2312"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五、有关本次联合投标的其他事宜：</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仿宋_GB2312" w:hAnsi="仿宋" w:eastAsia="仿宋_GB2312" w:cs="仿宋"/>
          <w:color w:val="auto"/>
          <w:kern w:val="0"/>
          <w:sz w:val="24"/>
          <w:highlight w:val="none"/>
          <w:lang w:val="zh-CN"/>
        </w:rPr>
      </w:pP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甲方单位：    （电子签名或公章）       乙方单位：     （电子签名或公章）</w:t>
      </w:r>
    </w:p>
    <w:p>
      <w:pPr>
        <w:snapToGrid w:val="0"/>
        <w:spacing w:line="360" w:lineRule="auto"/>
        <w:ind w:firstLine="576"/>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日期：    年   月   日                  日期：    年   月   日</w:t>
      </w:r>
    </w:p>
    <w:p>
      <w:pPr>
        <w:snapToGrid w:val="0"/>
        <w:spacing w:line="360" w:lineRule="auto"/>
        <w:ind w:right="480"/>
        <w:jc w:val="center"/>
        <w:rPr>
          <w:rFonts w:hint="eastAsia" w:ascii="仿宋_GB2312" w:hAnsi="仿宋" w:eastAsia="仿宋_GB2312" w:cs="仿宋"/>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仿宋_GB2312" w:hAnsi="仿宋" w:eastAsia="仿宋_GB2312" w:cs="仿宋"/>
          <w:b/>
          <w:color w:val="auto"/>
          <w:sz w:val="32"/>
          <w:szCs w:val="32"/>
          <w:highlight w:val="none"/>
        </w:rPr>
      </w:pPr>
      <w:r>
        <w:rPr>
          <w:rFonts w:hint="eastAsia" w:ascii="仿宋_GB2312" w:hAnsi="仿宋" w:eastAsia="仿宋_GB2312" w:cs="仿宋"/>
          <w:b/>
          <w:color w:val="auto"/>
          <w:sz w:val="32"/>
          <w:szCs w:val="32"/>
          <w:highlight w:val="none"/>
        </w:rPr>
        <w:t>三、资信文件复印件（如果要求提供）</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（由投标人根据采购需求及招标文件要求编制）</w:t>
      </w:r>
    </w:p>
    <w:p>
      <w:pPr>
        <w:spacing w:line="360" w:lineRule="auto"/>
        <w:jc w:val="center"/>
        <w:rPr>
          <w:rFonts w:hint="eastAsia" w:ascii="仿宋_GB2312" w:hAnsi="仿宋" w:eastAsia="仿宋_GB2312" w:cs="仿宋"/>
          <w:b/>
          <w:bCs/>
          <w:color w:val="auto"/>
          <w:sz w:val="32"/>
          <w:szCs w:val="32"/>
          <w:highlight w:val="none"/>
        </w:rPr>
      </w:pPr>
    </w:p>
    <w:p>
      <w:pPr>
        <w:snapToGrid w:val="0"/>
        <w:spacing w:line="360" w:lineRule="auto"/>
        <w:ind w:firstLine="576"/>
        <w:jc w:val="center"/>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投标人名称(电子签名)：                              </w:t>
      </w:r>
    </w:p>
    <w:p>
      <w:pPr>
        <w:spacing w:line="360" w:lineRule="auto"/>
        <w:jc w:val="center"/>
        <w:rPr>
          <w:rFonts w:hint="eastAsia" w:ascii="仿宋_GB2312" w:hAnsi="仿宋" w:eastAsia="仿宋_GB2312" w:cs="仿宋"/>
          <w:b/>
          <w:bCs/>
          <w:color w:val="auto"/>
          <w:sz w:val="32"/>
          <w:szCs w:val="32"/>
          <w:highlight w:val="none"/>
        </w:rPr>
      </w:pPr>
      <w:r>
        <w:rPr>
          <w:rFonts w:hint="eastAsia" w:ascii="仿宋_GB2312" w:hAnsi="仿宋" w:eastAsia="仿宋_GB2312" w:cs="仿宋"/>
          <w:color w:val="auto"/>
          <w:kern w:val="0"/>
          <w:sz w:val="24"/>
          <w:highlight w:val="none"/>
          <w:lang w:val="zh-CN"/>
        </w:rPr>
        <w:t xml:space="preserve">                   日期：  年  月 日</w:t>
      </w:r>
    </w:p>
    <w:p>
      <w:pPr>
        <w:spacing w:line="360" w:lineRule="auto"/>
        <w:jc w:val="center"/>
        <w:rPr>
          <w:rFonts w:hint="eastAsia" w:ascii="仿宋_GB2312" w:hAnsi="仿宋" w:eastAsia="仿宋_GB2312" w:cs="仿宋"/>
          <w:b/>
          <w:bCs/>
          <w:color w:val="auto"/>
          <w:sz w:val="32"/>
          <w:szCs w:val="32"/>
          <w:highlight w:val="none"/>
        </w:rPr>
      </w:pPr>
    </w:p>
    <w:p>
      <w:pPr>
        <w:spacing w:line="360" w:lineRule="auto"/>
        <w:jc w:val="center"/>
        <w:rPr>
          <w:rFonts w:hint="eastAsia" w:ascii="仿宋_GB2312" w:hAnsi="仿宋" w:eastAsia="仿宋_GB2312" w:cs="仿宋"/>
          <w:b/>
          <w:bCs/>
          <w:color w:val="auto"/>
          <w:sz w:val="32"/>
          <w:szCs w:val="32"/>
          <w:highlight w:val="none"/>
        </w:rPr>
      </w:pPr>
      <w:r>
        <w:rPr>
          <w:rFonts w:hint="eastAsia" w:ascii="仿宋_GB2312" w:hAnsi="仿宋" w:eastAsia="仿宋_GB2312" w:cs="仿宋"/>
          <w:b/>
          <w:bCs/>
          <w:color w:val="auto"/>
          <w:sz w:val="32"/>
          <w:szCs w:val="32"/>
          <w:highlight w:val="none"/>
        </w:rPr>
        <w:t>四、</w:t>
      </w:r>
      <w:r>
        <w:rPr>
          <w:rFonts w:hint="eastAsia" w:ascii="仿宋_GB2312" w:hAnsi="仿宋" w:eastAsia="仿宋_GB2312" w:cs="仿宋"/>
          <w:b/>
          <w:color w:val="auto"/>
          <w:kern w:val="0"/>
          <w:sz w:val="32"/>
          <w:szCs w:val="32"/>
          <w:highlight w:val="none"/>
          <w:lang w:val="zh-CN"/>
        </w:rPr>
        <w:t>主要业绩证明</w:t>
      </w:r>
    </w:p>
    <w:p>
      <w:pPr>
        <w:autoSpaceDE w:val="0"/>
        <w:autoSpaceDN w:val="0"/>
        <w:spacing w:line="360" w:lineRule="auto"/>
        <w:ind w:firstLine="12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附表 :相关项目建设业绩一览表</w:t>
      </w:r>
    </w:p>
    <w:tbl>
      <w:tblPr>
        <w:tblStyle w:val="61"/>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Before w:w="0" w:type="dxa"/>
          <w:wAfter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项目</w:t>
            </w:r>
          </w:p>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项目</w:t>
            </w:r>
          </w:p>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投资</w:t>
            </w:r>
          </w:p>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所在页码</w:t>
            </w:r>
          </w:p>
        </w:tc>
      </w:tr>
      <w:tr>
        <w:tblPrEx>
          <w:tblCellMar>
            <w:top w:w="0" w:type="dxa"/>
            <w:left w:w="108" w:type="dxa"/>
            <w:bottom w:w="0" w:type="dxa"/>
            <w:right w:w="108" w:type="dxa"/>
          </w:tblCellMar>
        </w:tblPrEx>
        <w:trPr>
          <w:wBefore w:w="0" w:type="dxa"/>
          <w:wAfter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wAfter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wAfter w:w="0" w:type="dxa"/>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bl>
    <w:p>
      <w:pPr>
        <w:autoSpaceDE w:val="0"/>
        <w:autoSpaceDN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b/>
          <w:color w:val="auto"/>
          <w:sz w:val="24"/>
          <w:highlight w:val="none"/>
        </w:rPr>
        <w:t>注：投标人可按上述的格式自行编制，须随表提交相应的合同复印件和用户单位验收证明并注明所在投标人商务技术文件页码。</w:t>
      </w:r>
    </w:p>
    <w:p>
      <w:pPr>
        <w:autoSpaceDE w:val="0"/>
        <w:autoSpaceDN w:val="0"/>
        <w:spacing w:line="360" w:lineRule="auto"/>
        <w:ind w:firstLine="4560" w:firstLineChars="1900"/>
        <w:rPr>
          <w:rFonts w:hint="eastAsia" w:ascii="仿宋_GB2312" w:hAnsi="仿宋" w:eastAsia="仿宋_GB2312" w:cs="仿宋"/>
          <w:color w:val="auto"/>
          <w:kern w:val="0"/>
          <w:sz w:val="24"/>
          <w:highlight w:val="none"/>
        </w:rPr>
      </w:pPr>
    </w:p>
    <w:p>
      <w:pPr>
        <w:autoSpaceDE w:val="0"/>
        <w:autoSpaceDN w:val="0"/>
        <w:spacing w:line="360" w:lineRule="auto"/>
        <w:ind w:firstLine="4560" w:firstLineChars="19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 xml:space="preserve">投标人名称（电子签名）：                       </w:t>
      </w:r>
    </w:p>
    <w:p>
      <w:pPr>
        <w:autoSpaceDE w:val="0"/>
        <w:autoSpaceDN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 xml:space="preserve">                                     日期：  年  月   日</w:t>
      </w:r>
    </w:p>
    <w:p>
      <w:pPr>
        <w:spacing w:line="360" w:lineRule="auto"/>
        <w:rPr>
          <w:rFonts w:hint="eastAsia" w:ascii="仿宋_GB2312" w:hAnsi="仿宋" w:eastAsia="仿宋_GB2312" w:cs="仿宋"/>
          <w:color w:val="auto"/>
          <w:kern w:val="0"/>
          <w:sz w:val="24"/>
          <w:highlight w:val="none"/>
        </w:rPr>
      </w:pPr>
    </w:p>
    <w:p>
      <w:pPr>
        <w:spacing w:line="360" w:lineRule="auto"/>
        <w:rPr>
          <w:rFonts w:hint="eastAsia" w:ascii="仿宋_GB2312" w:hAnsi="仿宋" w:eastAsia="仿宋_GB2312" w:cs="仿宋"/>
          <w:color w:val="auto"/>
          <w:kern w:val="0"/>
          <w:sz w:val="24"/>
          <w:highlight w:val="none"/>
        </w:rPr>
      </w:pPr>
    </w:p>
    <w:p>
      <w:pPr>
        <w:spacing w:line="360" w:lineRule="auto"/>
        <w:jc w:val="center"/>
        <w:rPr>
          <w:rFonts w:hint="eastAsia" w:ascii="仿宋_GB2312" w:hAnsi="仿宋" w:eastAsia="仿宋_GB2312" w:cs="仿宋"/>
          <w:b/>
          <w:bCs/>
          <w:color w:val="auto"/>
          <w:sz w:val="32"/>
          <w:szCs w:val="32"/>
          <w:highlight w:val="none"/>
        </w:rPr>
      </w:pPr>
      <w:r>
        <w:rPr>
          <w:rFonts w:hint="eastAsia" w:ascii="仿宋_GB2312" w:hAnsi="仿宋" w:eastAsia="仿宋_GB2312" w:cs="仿宋"/>
          <w:b/>
          <w:bCs/>
          <w:color w:val="auto"/>
          <w:sz w:val="32"/>
          <w:szCs w:val="32"/>
          <w:highlight w:val="none"/>
        </w:rPr>
        <w:t>五、</w:t>
      </w:r>
      <w:bookmarkStart w:id="570" w:name="OLE_LINK16"/>
      <w:bookmarkStart w:id="571" w:name="OLE_LINK17"/>
      <w:r>
        <w:rPr>
          <w:rFonts w:hint="eastAsia" w:ascii="仿宋_GB2312" w:hAnsi="仿宋" w:eastAsia="仿宋_GB2312" w:cs="仿宋"/>
          <w:b/>
          <w:bCs/>
          <w:color w:val="auto"/>
          <w:sz w:val="32"/>
          <w:szCs w:val="32"/>
          <w:highlight w:val="none"/>
        </w:rPr>
        <w:t>其他商务文件或说明</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bookmarkStart w:id="572" w:name="OLE_LINK11"/>
      <w:bookmarkStart w:id="573" w:name="OLE_LINK10"/>
      <w:r>
        <w:rPr>
          <w:rFonts w:hint="eastAsia" w:ascii="仿宋_GB2312" w:hAnsi="仿宋" w:eastAsia="仿宋_GB2312" w:cs="仿宋"/>
          <w:color w:val="auto"/>
          <w:sz w:val="24"/>
          <w:highlight w:val="none"/>
        </w:rPr>
        <w:t>其他商务文件或说明由投标人根据采购需求自行编制</w:t>
      </w:r>
      <w:bookmarkEnd w:id="572"/>
      <w:bookmarkEnd w:id="573"/>
      <w:r>
        <w:rPr>
          <w:rFonts w:hint="eastAsia" w:ascii="仿宋_GB2312" w:hAnsi="仿宋" w:eastAsia="仿宋_GB2312" w:cs="仿宋"/>
          <w:color w:val="auto"/>
          <w:sz w:val="24"/>
          <w:highlight w:val="none"/>
        </w:rPr>
        <w:t>）</w:t>
      </w:r>
    </w:p>
    <w:bookmarkEnd w:id="570"/>
    <w:bookmarkEnd w:id="571"/>
    <w:p>
      <w:pPr>
        <w:spacing w:line="360" w:lineRule="auto"/>
        <w:jc w:val="center"/>
        <w:rPr>
          <w:rFonts w:hint="eastAsia" w:ascii="仿宋_GB2312" w:hAnsi="仿宋" w:eastAsia="仿宋_GB2312" w:cs="仿宋"/>
          <w:color w:val="auto"/>
          <w:sz w:val="24"/>
          <w:highlight w:val="none"/>
        </w:rPr>
      </w:pPr>
    </w:p>
    <w:p>
      <w:pPr>
        <w:autoSpaceDE w:val="0"/>
        <w:autoSpaceDN w:val="0"/>
        <w:spacing w:line="360" w:lineRule="auto"/>
        <w:ind w:firstLine="4800" w:firstLineChars="20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 xml:space="preserve">投标人名称（电子签名）：      </w:t>
      </w:r>
    </w:p>
    <w:p>
      <w:pPr>
        <w:autoSpaceDE w:val="0"/>
        <w:autoSpaceDN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日期：  年  月   日</w:t>
      </w:r>
    </w:p>
    <w:p>
      <w:pPr>
        <w:autoSpaceDE w:val="0"/>
        <w:autoSpaceDN w:val="0"/>
        <w:spacing w:line="360" w:lineRule="auto"/>
        <w:rPr>
          <w:rFonts w:hint="eastAsia" w:ascii="仿宋_GB2312" w:hAnsi="仿宋" w:eastAsia="仿宋_GB2312" w:cs="仿宋"/>
          <w:color w:val="auto"/>
          <w:kern w:val="0"/>
          <w:sz w:val="24"/>
          <w:highlight w:val="none"/>
          <w:lang w:val="zh-CN"/>
        </w:rPr>
      </w:pPr>
    </w:p>
    <w:p>
      <w:pPr>
        <w:autoSpaceDE w:val="0"/>
        <w:autoSpaceDN w:val="0"/>
        <w:spacing w:line="360" w:lineRule="auto"/>
        <w:rPr>
          <w:rFonts w:hint="eastAsia" w:ascii="仿宋_GB2312" w:hAnsi="仿宋" w:eastAsia="仿宋_GB2312" w:cs="仿宋"/>
          <w:color w:val="auto"/>
          <w:kern w:val="0"/>
          <w:sz w:val="24"/>
          <w:highlight w:val="none"/>
          <w:lang w:val="zh-CN"/>
        </w:rPr>
      </w:pPr>
    </w:p>
    <w:p>
      <w:pPr>
        <w:spacing w:line="360" w:lineRule="auto"/>
        <w:jc w:val="center"/>
        <w:rPr>
          <w:rFonts w:hint="eastAsia" w:ascii="仿宋_GB2312" w:hAnsi="仿宋" w:eastAsia="仿宋_GB2312" w:cs="仿宋"/>
          <w:b/>
          <w:bCs/>
          <w:color w:val="auto"/>
          <w:sz w:val="32"/>
          <w:szCs w:val="32"/>
          <w:highlight w:val="none"/>
        </w:rPr>
      </w:pPr>
      <w:r>
        <w:rPr>
          <w:rFonts w:hint="eastAsia" w:ascii="仿宋_GB2312" w:hAnsi="仿宋" w:eastAsia="仿宋_GB2312" w:cs="仿宋"/>
          <w:b/>
          <w:color w:val="auto"/>
          <w:sz w:val="32"/>
          <w:szCs w:val="32"/>
          <w:highlight w:val="none"/>
        </w:rPr>
        <w:t>六</w:t>
      </w:r>
      <w:r>
        <w:rPr>
          <w:rFonts w:hint="eastAsia" w:ascii="仿宋_GB2312" w:hAnsi="仿宋" w:eastAsia="仿宋_GB2312" w:cs="仿宋"/>
          <w:b/>
          <w:bCs/>
          <w:color w:val="auto"/>
          <w:sz w:val="32"/>
          <w:szCs w:val="32"/>
          <w:highlight w:val="none"/>
        </w:rPr>
        <w:t>、技术解决方案</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（由投标人根据采购需求及招标文件要求编制）</w:t>
      </w:r>
    </w:p>
    <w:p>
      <w:pPr>
        <w:snapToGrid w:val="0"/>
        <w:spacing w:line="360" w:lineRule="auto"/>
        <w:jc w:val="center"/>
        <w:rPr>
          <w:rFonts w:hint="eastAsia" w:ascii="仿宋_GB2312" w:hAnsi="仿宋" w:eastAsia="仿宋_GB2312" w:cs="仿宋"/>
          <w:b/>
          <w:color w:val="auto"/>
          <w:sz w:val="32"/>
          <w:szCs w:val="32"/>
          <w:highlight w:val="none"/>
        </w:rPr>
      </w:pPr>
      <w:r>
        <w:rPr>
          <w:rFonts w:hint="eastAsia" w:ascii="仿宋_GB2312" w:hAnsi="仿宋" w:eastAsia="仿宋_GB2312" w:cs="仿宋"/>
          <w:b/>
          <w:color w:val="auto"/>
          <w:sz w:val="32"/>
          <w:szCs w:val="32"/>
          <w:highlight w:val="none"/>
        </w:rPr>
        <w:t>（一）投标产品规格配置清单</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737"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序号</w:t>
            </w:r>
          </w:p>
        </w:tc>
        <w:tc>
          <w:tcPr>
            <w:tcW w:w="1531"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设备名称</w:t>
            </w:r>
          </w:p>
        </w:tc>
        <w:tc>
          <w:tcPr>
            <w:tcW w:w="2160"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投标品牌及型号</w:t>
            </w:r>
          </w:p>
        </w:tc>
        <w:tc>
          <w:tcPr>
            <w:tcW w:w="2340"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规格配置详细说明</w:t>
            </w:r>
          </w:p>
        </w:tc>
        <w:tc>
          <w:tcPr>
            <w:tcW w:w="1080"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数量</w:t>
            </w:r>
          </w:p>
        </w:tc>
        <w:tc>
          <w:tcPr>
            <w:tcW w:w="1332" w:type="dxa"/>
            <w:noWrap w:val="0"/>
            <w:vAlign w:val="center"/>
          </w:tcPr>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737" w:type="dxa"/>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w:t>
            </w:r>
          </w:p>
        </w:tc>
        <w:tc>
          <w:tcPr>
            <w:tcW w:w="1531"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2160"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2340" w:type="dxa"/>
            <w:noWrap w:val="0"/>
            <w:vAlign w:val="center"/>
          </w:tcPr>
          <w:p>
            <w:pPr>
              <w:spacing w:line="360" w:lineRule="auto"/>
              <w:jc w:val="center"/>
              <w:rPr>
                <w:rFonts w:hint="eastAsia" w:ascii="仿宋_GB2312" w:hAnsi="仿宋" w:eastAsia="仿宋_GB2312" w:cs="仿宋"/>
                <w:color w:val="auto"/>
                <w:sz w:val="24"/>
                <w:highlight w:val="none"/>
              </w:rPr>
            </w:pPr>
          </w:p>
        </w:tc>
        <w:tc>
          <w:tcPr>
            <w:tcW w:w="1080" w:type="dxa"/>
            <w:noWrap w:val="0"/>
            <w:vAlign w:val="center"/>
          </w:tcPr>
          <w:p>
            <w:pPr>
              <w:spacing w:line="360" w:lineRule="auto"/>
              <w:jc w:val="center"/>
              <w:rPr>
                <w:rFonts w:hint="eastAsia" w:ascii="仿宋_GB2312" w:hAnsi="仿宋" w:eastAsia="仿宋_GB2312" w:cs="仿宋"/>
                <w:color w:val="auto"/>
                <w:sz w:val="24"/>
                <w:highlight w:val="none"/>
              </w:rPr>
            </w:pPr>
          </w:p>
        </w:tc>
        <w:tc>
          <w:tcPr>
            <w:tcW w:w="1332" w:type="dxa"/>
            <w:noWrap w:val="0"/>
            <w:vAlign w:val="center"/>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w:t>
            </w:r>
          </w:p>
        </w:tc>
        <w:tc>
          <w:tcPr>
            <w:tcW w:w="1531"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2160"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2340" w:type="dxa"/>
            <w:noWrap w:val="0"/>
            <w:vAlign w:val="center"/>
          </w:tcPr>
          <w:p>
            <w:pPr>
              <w:spacing w:line="360" w:lineRule="auto"/>
              <w:jc w:val="center"/>
              <w:rPr>
                <w:rFonts w:hint="eastAsia" w:ascii="仿宋_GB2312" w:hAnsi="仿宋" w:eastAsia="仿宋_GB2312" w:cs="仿宋"/>
                <w:color w:val="auto"/>
                <w:sz w:val="24"/>
                <w:highlight w:val="none"/>
              </w:rPr>
            </w:pPr>
          </w:p>
        </w:tc>
        <w:tc>
          <w:tcPr>
            <w:tcW w:w="1080" w:type="dxa"/>
            <w:noWrap w:val="0"/>
            <w:vAlign w:val="center"/>
          </w:tcPr>
          <w:p>
            <w:pPr>
              <w:spacing w:line="360" w:lineRule="auto"/>
              <w:jc w:val="center"/>
              <w:rPr>
                <w:rFonts w:hint="eastAsia" w:ascii="仿宋_GB2312" w:hAnsi="仿宋" w:eastAsia="仿宋_GB2312" w:cs="仿宋"/>
                <w:color w:val="auto"/>
                <w:sz w:val="24"/>
                <w:highlight w:val="none"/>
              </w:rPr>
            </w:pPr>
          </w:p>
        </w:tc>
        <w:tc>
          <w:tcPr>
            <w:tcW w:w="1332" w:type="dxa"/>
            <w:noWrap w:val="0"/>
            <w:vAlign w:val="center"/>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tc>
        <w:tc>
          <w:tcPr>
            <w:tcW w:w="1531"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2160" w:type="dxa"/>
            <w:noWrap w:val="0"/>
            <w:vAlign w:val="center"/>
          </w:tcPr>
          <w:p>
            <w:pPr>
              <w:snapToGrid w:val="0"/>
              <w:spacing w:line="360" w:lineRule="auto"/>
              <w:jc w:val="center"/>
              <w:rPr>
                <w:rFonts w:hint="eastAsia" w:ascii="仿宋_GB2312" w:hAnsi="仿宋" w:eastAsia="仿宋_GB2312" w:cs="仿宋"/>
                <w:color w:val="auto"/>
                <w:sz w:val="24"/>
                <w:highlight w:val="none"/>
              </w:rPr>
            </w:pPr>
          </w:p>
        </w:tc>
        <w:tc>
          <w:tcPr>
            <w:tcW w:w="2340" w:type="dxa"/>
            <w:noWrap w:val="0"/>
            <w:vAlign w:val="center"/>
          </w:tcPr>
          <w:p>
            <w:pPr>
              <w:spacing w:line="360" w:lineRule="auto"/>
              <w:jc w:val="center"/>
              <w:rPr>
                <w:rFonts w:hint="eastAsia" w:ascii="仿宋_GB2312" w:hAnsi="仿宋" w:eastAsia="仿宋_GB2312" w:cs="仿宋"/>
                <w:color w:val="auto"/>
                <w:sz w:val="24"/>
                <w:highlight w:val="none"/>
              </w:rPr>
            </w:pPr>
          </w:p>
        </w:tc>
        <w:tc>
          <w:tcPr>
            <w:tcW w:w="1080" w:type="dxa"/>
            <w:noWrap w:val="0"/>
            <w:vAlign w:val="center"/>
          </w:tcPr>
          <w:p>
            <w:pPr>
              <w:spacing w:line="360" w:lineRule="auto"/>
              <w:jc w:val="center"/>
              <w:rPr>
                <w:rFonts w:hint="eastAsia" w:ascii="仿宋_GB2312" w:hAnsi="仿宋" w:eastAsia="仿宋_GB2312" w:cs="仿宋"/>
                <w:color w:val="auto"/>
                <w:sz w:val="24"/>
                <w:highlight w:val="none"/>
              </w:rPr>
            </w:pPr>
          </w:p>
        </w:tc>
        <w:tc>
          <w:tcPr>
            <w:tcW w:w="1332" w:type="dxa"/>
            <w:noWrap w:val="0"/>
            <w:vAlign w:val="center"/>
          </w:tcPr>
          <w:p>
            <w:pPr>
              <w:spacing w:line="360" w:lineRule="auto"/>
              <w:jc w:val="center"/>
              <w:rPr>
                <w:rFonts w:hint="eastAsia" w:ascii="仿宋_GB2312" w:hAnsi="仿宋" w:eastAsia="仿宋_GB2312" w:cs="仿宋"/>
                <w:color w:val="auto"/>
                <w:sz w:val="24"/>
                <w:highlight w:val="none"/>
              </w:rPr>
            </w:pPr>
          </w:p>
        </w:tc>
      </w:tr>
    </w:tbl>
    <w:p>
      <w:pPr>
        <w:autoSpaceDE w:val="0"/>
        <w:autoSpaceDN w:val="0"/>
        <w:spacing w:line="360" w:lineRule="auto"/>
        <w:rPr>
          <w:rFonts w:hint="eastAsia" w:ascii="仿宋_GB2312" w:hAnsi="仿宋" w:eastAsia="仿宋_GB2312" w:cs="仿宋"/>
          <w:b/>
          <w:color w:val="auto"/>
          <w:kern w:val="0"/>
          <w:sz w:val="28"/>
          <w:szCs w:val="28"/>
          <w:highlight w:val="none"/>
        </w:rPr>
      </w:pPr>
      <w:r>
        <w:rPr>
          <w:rFonts w:hint="eastAsia" w:ascii="仿宋_GB2312" w:hAnsi="仿宋" w:eastAsia="仿宋_GB2312" w:cs="仿宋"/>
          <w:b/>
          <w:color w:val="auto"/>
          <w:sz w:val="24"/>
          <w:highlight w:val="none"/>
        </w:rPr>
        <w:t>注：如果本项目涉及硬件设备采购，须在技术文件中提供此配置清单</w:t>
      </w:r>
      <w:r>
        <w:rPr>
          <w:rFonts w:hint="eastAsia" w:ascii="仿宋_GB2312" w:hAnsi="仿宋" w:eastAsia="仿宋_GB2312" w:cs="仿宋"/>
          <w:b/>
          <w:color w:val="auto"/>
          <w:sz w:val="28"/>
          <w:szCs w:val="28"/>
          <w:highlight w:val="none"/>
        </w:rPr>
        <w:t>。</w:t>
      </w:r>
    </w:p>
    <w:p>
      <w:pPr>
        <w:tabs>
          <w:tab w:val="left" w:pos="2790"/>
          <w:tab w:val="center" w:pos="3835"/>
          <w:tab w:val="left" w:pos="4230"/>
          <w:tab w:val="left" w:pos="4695"/>
        </w:tabs>
        <w:autoSpaceDE w:val="0"/>
        <w:autoSpaceDN w:val="0"/>
        <w:spacing w:line="360" w:lineRule="auto"/>
        <w:ind w:right="1400"/>
        <w:jc w:val="left"/>
        <w:outlineLvl w:val="1"/>
        <w:rPr>
          <w:rFonts w:hint="eastAsia" w:ascii="仿宋_GB2312" w:hAnsi="仿宋" w:eastAsia="仿宋_GB2312" w:cs="仿宋"/>
          <w:b/>
          <w:bCs/>
          <w:color w:val="auto"/>
          <w:kern w:val="0"/>
          <w:sz w:val="24"/>
          <w:highlight w:val="none"/>
          <w:lang w:val="zh-CN"/>
        </w:rPr>
      </w:pPr>
      <w:r>
        <w:rPr>
          <w:rFonts w:hint="eastAsia" w:ascii="仿宋_GB2312" w:hAnsi="仿宋" w:eastAsia="仿宋_GB2312" w:cs="仿宋"/>
          <w:b/>
          <w:bCs/>
          <w:color w:val="auto"/>
          <w:kern w:val="0"/>
          <w:sz w:val="24"/>
          <w:highlight w:val="none"/>
          <w:lang w:val="zh-CN"/>
        </w:rPr>
        <w:tab/>
      </w:r>
      <w:r>
        <w:rPr>
          <w:rFonts w:hint="eastAsia" w:ascii="仿宋_GB2312" w:hAnsi="仿宋" w:eastAsia="仿宋_GB2312" w:cs="仿宋"/>
          <w:b/>
          <w:bCs/>
          <w:color w:val="auto"/>
          <w:kern w:val="0"/>
          <w:sz w:val="24"/>
          <w:highlight w:val="none"/>
          <w:lang w:val="zh-CN"/>
        </w:rPr>
        <w:tab/>
      </w:r>
      <w:r>
        <w:rPr>
          <w:rFonts w:hint="eastAsia" w:ascii="仿宋_GB2312" w:hAnsi="仿宋" w:eastAsia="仿宋_GB2312" w:cs="仿宋"/>
          <w:b/>
          <w:bCs/>
          <w:color w:val="auto"/>
          <w:kern w:val="0"/>
          <w:sz w:val="24"/>
          <w:highlight w:val="none"/>
          <w:lang w:val="zh-CN"/>
        </w:rPr>
        <w:t xml:space="preserve">                        </w:t>
      </w:r>
    </w:p>
    <w:p>
      <w:pPr>
        <w:spacing w:line="360" w:lineRule="auto"/>
        <w:ind w:firstLine="1333" w:firstLineChars="400"/>
        <w:jc w:val="left"/>
        <w:rPr>
          <w:rFonts w:hint="eastAsia" w:ascii="仿宋_GB2312" w:hAnsi="仿宋" w:eastAsia="仿宋_GB2312" w:cs="仿宋"/>
          <w:b/>
          <w:color w:val="auto"/>
          <w:spacing w:val="6"/>
          <w:sz w:val="32"/>
          <w:szCs w:val="32"/>
          <w:highlight w:val="none"/>
        </w:rPr>
      </w:pPr>
      <w:r>
        <w:rPr>
          <w:rFonts w:hint="eastAsia" w:ascii="仿宋_GB2312" w:hAnsi="仿宋" w:eastAsia="仿宋_GB2312" w:cs="仿宋"/>
          <w:b/>
          <w:color w:val="auto"/>
          <w:spacing w:val="6"/>
          <w:sz w:val="32"/>
          <w:szCs w:val="32"/>
          <w:highlight w:val="none"/>
        </w:rPr>
        <w:t>（二）节能产品认证证书复印件（电子签名）</w:t>
      </w:r>
    </w:p>
    <w:p>
      <w:pPr>
        <w:spacing w:line="360" w:lineRule="auto"/>
        <w:ind w:firstLine="1333" w:firstLineChars="400"/>
        <w:jc w:val="left"/>
        <w:rPr>
          <w:rFonts w:hint="eastAsia" w:ascii="仿宋_GB2312" w:hAnsi="仿宋" w:eastAsia="仿宋_GB2312" w:cs="仿宋"/>
          <w:b/>
          <w:color w:val="auto"/>
          <w:spacing w:val="6"/>
          <w:sz w:val="32"/>
          <w:szCs w:val="32"/>
          <w:highlight w:val="none"/>
        </w:rPr>
      </w:pPr>
    </w:p>
    <w:p>
      <w:pPr>
        <w:spacing w:line="360" w:lineRule="auto"/>
        <w:rPr>
          <w:rFonts w:hint="eastAsia" w:ascii="仿宋_GB2312" w:hAnsi="仿宋" w:eastAsia="仿宋_GB2312" w:cs="仿宋"/>
          <w:b/>
          <w:bCs/>
          <w:color w:val="auto"/>
          <w:sz w:val="24"/>
          <w:highlight w:val="none"/>
        </w:rPr>
      </w:pPr>
      <w:r>
        <w:rPr>
          <w:rFonts w:hint="eastAsia" w:ascii="仿宋_GB2312" w:hAnsi="仿宋" w:eastAsia="仿宋_GB2312" w:cs="仿宋"/>
          <w:b/>
          <w:bCs/>
          <w:color w:val="auto"/>
          <w:sz w:val="24"/>
          <w:highlight w:val="none"/>
        </w:rPr>
        <w:t xml:space="preserve"> </w:t>
      </w:r>
    </w:p>
    <w:p>
      <w:pPr>
        <w:spacing w:line="360" w:lineRule="auto"/>
        <w:ind w:firstLine="1000" w:firstLineChars="300"/>
        <w:jc w:val="left"/>
        <w:rPr>
          <w:rFonts w:hint="eastAsia" w:ascii="仿宋_GB2312" w:hAnsi="仿宋" w:eastAsia="仿宋_GB2312" w:cs="仿宋"/>
          <w:b/>
          <w:color w:val="auto"/>
          <w:spacing w:val="6"/>
          <w:sz w:val="32"/>
          <w:szCs w:val="32"/>
          <w:highlight w:val="none"/>
        </w:rPr>
      </w:pPr>
      <w:r>
        <w:rPr>
          <w:rFonts w:hint="eastAsia" w:ascii="仿宋_GB2312" w:hAnsi="仿宋" w:eastAsia="仿宋_GB2312" w:cs="仿宋"/>
          <w:b/>
          <w:color w:val="auto"/>
          <w:spacing w:val="6"/>
          <w:sz w:val="32"/>
          <w:szCs w:val="32"/>
          <w:highlight w:val="none"/>
        </w:rPr>
        <w:t>（三）环境标志产品认证证书复印件（电子签名）</w:t>
      </w:r>
    </w:p>
    <w:p>
      <w:pPr>
        <w:autoSpaceDE w:val="0"/>
        <w:autoSpaceDN w:val="0"/>
        <w:spacing w:line="360" w:lineRule="auto"/>
        <w:ind w:firstLine="4560" w:firstLineChars="1900"/>
        <w:rPr>
          <w:rFonts w:hint="eastAsia" w:ascii="仿宋_GB2312" w:hAnsi="仿宋" w:eastAsia="仿宋_GB2312" w:cs="仿宋"/>
          <w:color w:val="auto"/>
          <w:kern w:val="0"/>
          <w:sz w:val="24"/>
          <w:highlight w:val="none"/>
        </w:rPr>
      </w:pPr>
    </w:p>
    <w:p>
      <w:pPr>
        <w:autoSpaceDE w:val="0"/>
        <w:autoSpaceDN w:val="0"/>
        <w:spacing w:line="360" w:lineRule="auto"/>
        <w:ind w:firstLine="4560" w:firstLineChars="1900"/>
        <w:rPr>
          <w:rFonts w:hint="eastAsia" w:ascii="仿宋_GB2312" w:hAnsi="仿宋" w:eastAsia="仿宋_GB2312" w:cs="仿宋"/>
          <w:color w:val="auto"/>
          <w:kern w:val="0"/>
          <w:sz w:val="24"/>
          <w:highlight w:val="none"/>
        </w:rPr>
      </w:pPr>
    </w:p>
    <w:p>
      <w:pPr>
        <w:autoSpaceDE w:val="0"/>
        <w:autoSpaceDN w:val="0"/>
        <w:spacing w:line="360" w:lineRule="auto"/>
        <w:ind w:firstLine="4560" w:firstLineChars="1900"/>
        <w:rPr>
          <w:rFonts w:hint="eastAsia" w:ascii="仿宋_GB2312" w:hAnsi="仿宋" w:eastAsia="仿宋_GB2312" w:cs="仿宋"/>
          <w:color w:val="auto"/>
          <w:kern w:val="0"/>
          <w:sz w:val="24"/>
          <w:highlight w:val="none"/>
        </w:rPr>
      </w:pPr>
    </w:p>
    <w:p>
      <w:pPr>
        <w:autoSpaceDE w:val="0"/>
        <w:autoSpaceDN w:val="0"/>
        <w:spacing w:line="360" w:lineRule="auto"/>
        <w:ind w:firstLine="4560" w:firstLineChars="1900"/>
        <w:rPr>
          <w:rFonts w:hint="eastAsia" w:ascii="仿宋_GB2312" w:hAnsi="仿宋" w:eastAsia="仿宋_GB2312" w:cs="仿宋"/>
          <w:color w:val="auto"/>
          <w:kern w:val="0"/>
          <w:sz w:val="24"/>
          <w:highlight w:val="none"/>
        </w:rPr>
      </w:pPr>
    </w:p>
    <w:p>
      <w:pPr>
        <w:autoSpaceDE w:val="0"/>
        <w:autoSpaceDN w:val="0"/>
        <w:spacing w:line="360" w:lineRule="auto"/>
        <w:ind w:firstLine="4560" w:firstLineChars="19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 xml:space="preserve">供应商名称（电子签名）：                       </w:t>
      </w:r>
    </w:p>
    <w:p>
      <w:pPr>
        <w:autoSpaceDE w:val="0"/>
        <w:autoSpaceDN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 xml:space="preserve">                                      日期：   年  月   日</w:t>
      </w:r>
    </w:p>
    <w:p>
      <w:pPr>
        <w:pStyle w:val="59"/>
        <w:rPr>
          <w:rFonts w:hint="eastAsia" w:ascii="仿宋_GB2312" w:hAnsi="Arial" w:eastAsia="仿宋_GB2312" w:cs="Arial"/>
          <w:snapToGrid w:val="0"/>
          <w:color w:val="auto"/>
          <w:kern w:val="0"/>
          <w:szCs w:val="21"/>
          <w:highlight w:val="none"/>
          <w:lang w:val="en-US"/>
        </w:rPr>
      </w:pPr>
    </w:p>
    <w:p>
      <w:pPr>
        <w:spacing w:line="360" w:lineRule="auto"/>
        <w:jc w:val="center"/>
        <w:rPr>
          <w:rFonts w:hint="eastAsia" w:ascii="仿宋_GB2312" w:hAnsi="仿宋" w:eastAsia="仿宋_GB2312" w:cs="仿宋"/>
          <w:b/>
          <w:bCs/>
          <w:color w:val="auto"/>
          <w:sz w:val="32"/>
          <w:szCs w:val="32"/>
          <w:highlight w:val="none"/>
        </w:rPr>
      </w:pPr>
      <w:r>
        <w:rPr>
          <w:rFonts w:hint="eastAsia" w:ascii="仿宋_GB2312" w:hAnsi="仿宋" w:eastAsia="仿宋_GB2312" w:cs="仿宋"/>
          <w:b/>
          <w:bCs/>
          <w:color w:val="auto"/>
          <w:sz w:val="32"/>
          <w:szCs w:val="32"/>
          <w:highlight w:val="none"/>
        </w:rPr>
        <w:t>七、技术偏离说明表</w:t>
      </w:r>
    </w:p>
    <w:p>
      <w:pPr>
        <w:spacing w:line="360" w:lineRule="auto"/>
        <w:jc w:val="center"/>
        <w:rPr>
          <w:rFonts w:hint="eastAsia" w:ascii="仿宋_GB2312" w:hAnsi="仿宋" w:eastAsia="仿宋_GB2312" w:cs="仿宋"/>
          <w:b/>
          <w:bCs/>
          <w:color w:val="auto"/>
          <w:sz w:val="18"/>
          <w:szCs w:val="18"/>
          <w:highlight w:val="none"/>
        </w:rPr>
      </w:pP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
                <w:color w:val="auto"/>
                <w:sz w:val="24"/>
                <w:highlight w:val="none"/>
              </w:rPr>
            </w:pPr>
          </w:p>
        </w:tc>
      </w:tr>
    </w:tbl>
    <w:p>
      <w:pPr>
        <w:autoSpaceDE w:val="0"/>
        <w:autoSpaceDN w:val="0"/>
        <w:spacing w:line="360" w:lineRule="auto"/>
        <w:ind w:firstLine="5040" w:firstLineChars="2100"/>
        <w:rPr>
          <w:rFonts w:hint="eastAsia" w:ascii="仿宋_GB2312" w:hAnsi="仿宋" w:eastAsia="仿宋_GB2312" w:cs="仿宋"/>
          <w:color w:val="auto"/>
          <w:kern w:val="0"/>
          <w:sz w:val="24"/>
          <w:highlight w:val="none"/>
          <w:lang w:val="zh-CN"/>
        </w:rPr>
      </w:pPr>
    </w:p>
    <w:p>
      <w:pPr>
        <w:autoSpaceDE w:val="0"/>
        <w:autoSpaceDN w:val="0"/>
        <w:spacing w:line="360" w:lineRule="auto"/>
        <w:ind w:firstLine="5040" w:firstLineChars="21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 xml:space="preserve">投标人名称（电子签名）：      </w:t>
      </w:r>
    </w:p>
    <w:p>
      <w:pPr>
        <w:autoSpaceDE w:val="0"/>
        <w:autoSpaceDN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日期：  年  月   日</w:t>
      </w:r>
    </w:p>
    <w:p>
      <w:pPr>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color w:val="auto"/>
          <w:kern w:val="0"/>
          <w:sz w:val="24"/>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6"/>
          <w:szCs w:val="36"/>
          <w:highlight w:val="none"/>
          <w:lang w:val="zh-CN"/>
        </w:rPr>
      </w:pPr>
      <w:r>
        <w:rPr>
          <w:rFonts w:hint="eastAsia" w:ascii="仿宋_GB2312" w:hAnsi="仿宋" w:eastAsia="仿宋_GB2312" w:cs="仿宋"/>
          <w:b/>
          <w:bCs/>
          <w:color w:val="auto"/>
          <w:kern w:val="0"/>
          <w:sz w:val="36"/>
          <w:szCs w:val="36"/>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p>
    <w:p>
      <w:pPr>
        <w:pStyle w:val="59"/>
        <w:rPr>
          <w:rFonts w:hint="eastAsia" w:ascii="仿宋_GB2312" w:hAnsi="Arial" w:eastAsia="仿宋_GB2312" w:cs="Arial"/>
          <w:snapToGrid w:val="0"/>
          <w:color w:val="auto"/>
          <w:kern w:val="0"/>
          <w:szCs w:val="21"/>
          <w:highlight w:val="none"/>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八、组织实施方案</w:t>
      </w:r>
    </w:p>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_GB2312" w:hAnsi="仿宋" w:eastAsia="仿宋_GB2312" w:cs="仿宋"/>
          <w:b/>
          <w:bCs/>
          <w:color w:val="auto"/>
          <w:kern w:val="0"/>
          <w:sz w:val="24"/>
          <w:highlight w:val="none"/>
          <w:lang w:val="zh-CN"/>
        </w:rPr>
      </w:pPr>
    </w:p>
    <w:p>
      <w:pPr>
        <w:tabs>
          <w:tab w:val="left" w:pos="2790"/>
          <w:tab w:val="left" w:pos="4230"/>
        </w:tabs>
        <w:autoSpaceDE w:val="0"/>
        <w:autoSpaceDN w:val="0"/>
        <w:spacing w:line="360" w:lineRule="auto"/>
        <w:ind w:right="1400"/>
        <w:outlineLvl w:val="1"/>
        <w:rPr>
          <w:rFonts w:hint="eastAsia" w:ascii="仿宋_GB2312" w:hAnsi="仿宋" w:eastAsia="仿宋_GB2312" w:cs="仿宋"/>
          <w:b/>
          <w:bCs/>
          <w:color w:val="auto"/>
          <w:kern w:val="0"/>
          <w:sz w:val="24"/>
          <w:highlight w:val="none"/>
          <w:lang w:val="zh-CN"/>
        </w:rPr>
      </w:pPr>
      <w:r>
        <w:rPr>
          <w:rFonts w:hint="eastAsia" w:ascii="仿宋_GB2312" w:hAnsi="仿宋" w:eastAsia="仿宋_GB2312" w:cs="仿宋"/>
          <w:b/>
          <w:bCs/>
          <w:color w:val="auto"/>
          <w:kern w:val="0"/>
          <w:sz w:val="24"/>
          <w:highlight w:val="none"/>
          <w:lang w:val="zh-CN"/>
        </w:rPr>
        <w:t>附表:项目实施进度计划表</w:t>
      </w:r>
      <w:r>
        <w:rPr>
          <w:rFonts w:hint="eastAsia" w:ascii="仿宋_GB2312" w:hAnsi="仿宋" w:eastAsia="仿宋_GB2312" w:cs="仿宋"/>
          <w:b/>
          <w:color w:val="auto"/>
          <w:sz w:val="24"/>
          <w:highlight w:val="none"/>
        </w:rPr>
        <w:t xml:space="preserve">(以生效日算起) </w:t>
      </w:r>
    </w:p>
    <w:tbl>
      <w:tblPr>
        <w:tblStyle w:val="6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9" w:hRule="atLeast"/>
        </w:trPr>
        <w:tc>
          <w:tcPr>
            <w:tcW w:w="1188" w:type="dxa"/>
            <w:noWrap w:val="0"/>
            <w:vAlign w:val="center"/>
          </w:tcPr>
          <w:p>
            <w:pPr>
              <w:spacing w:line="360" w:lineRule="auto"/>
              <w:rPr>
                <w:rFonts w:hint="eastAsia" w:ascii="仿宋_GB2312" w:hAnsi="仿宋" w:eastAsia="仿宋_GB2312" w:cs="仿宋"/>
                <w:color w:val="auto"/>
                <w:sz w:val="24"/>
                <w:highlight w:val="none"/>
              </w:rPr>
            </w:pPr>
            <w:r>
              <w:rPr>
                <w:color w:val="auto"/>
                <w:highlight w:val="none"/>
                <w:lang/>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7"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3" name="__TH_L2"/>
                              <wps:cNvCnPr/>
                              <wps:spPr>
                                <a:xfrm>
                                  <a:off x="0" y="0"/>
                                  <a:ext cx="1178" cy="1860"/>
                                </a:xfrm>
                                <a:prstGeom prst="line">
                                  <a:avLst/>
                                </a:prstGeom>
                                <a:ln w="6350" cap="flat" cmpd="sng">
                                  <a:solidFill>
                                    <a:srgbClr val="000000"/>
                                  </a:solidFill>
                                  <a:prstDash val="solid"/>
                                  <a:headEnd type="none" w="med" len="med"/>
                                  <a:tailEnd type="none" w="med" len="med"/>
                                </a:ln>
                              </wps:spPr>
                              <wps:bodyPr/>
                            </wps:wsp>
                            <wps:wsp>
                              <wps:cNvPr id="4" name="__TH_B113"/>
                              <wps:cNvSpPr txBox="1"/>
                              <wps:spPr>
                                <a:xfrm>
                                  <a:off x="455" y="122"/>
                                  <a:ext cx="253" cy="263"/>
                                </a:xfrm>
                                <a:prstGeom prst="rect">
                                  <a:avLst/>
                                </a:prstGeom>
                                <a:noFill/>
                                <a:ln>
                                  <a:noFill/>
                                </a:ln>
                              </wps:spPr>
                              <wps:txbx>
                                <w:txbxContent>
                                  <w:p>
                                    <w:pPr>
                                      <w:snapToGrid w:val="0"/>
                                    </w:pPr>
                                    <w:r>
                                      <w:rPr>
                                        <w:rFonts w:hint="eastAsia"/>
                                      </w:rPr>
                                      <w:t>工</w:t>
                                    </w:r>
                                  </w:p>
                                </w:txbxContent>
                              </wps:txbx>
                              <wps:bodyPr wrap="square" lIns="0" tIns="0" rIns="0" bIns="0" upright="1"/>
                            </wps:wsp>
                            <wps:wsp>
                              <wps:cNvPr id="5" name="__TH_B124"/>
                              <wps:cNvSpPr txBox="1"/>
                              <wps:spPr>
                                <a:xfrm>
                                  <a:off x="643" y="419"/>
                                  <a:ext cx="253" cy="263"/>
                                </a:xfrm>
                                <a:prstGeom prst="rect">
                                  <a:avLst/>
                                </a:prstGeom>
                                <a:noFill/>
                                <a:ln>
                                  <a:noFill/>
                                </a:ln>
                              </wps:spPr>
                              <wps:txbx>
                                <w:txbxContent>
                                  <w:p>
                                    <w:pPr>
                                      <w:snapToGrid w:val="0"/>
                                    </w:pPr>
                                    <w:r>
                                      <w:rPr>
                                        <w:rFonts w:hint="eastAsia"/>
                                      </w:rPr>
                                      <w:t>作</w:t>
                                    </w:r>
                                  </w:p>
                                </w:txbxContent>
                              </wps:txbx>
                              <wps:bodyPr wrap="square" lIns="0" tIns="0" rIns="0" bIns="0" upright="1"/>
                            </wps:wsp>
                            <wps:wsp>
                              <wps:cNvPr id="6" name="__TH_B135"/>
                              <wps:cNvSpPr txBox="1"/>
                              <wps:spPr>
                                <a:xfrm>
                                  <a:off x="831" y="717"/>
                                  <a:ext cx="253" cy="262"/>
                                </a:xfrm>
                                <a:prstGeom prst="rect">
                                  <a:avLst/>
                                </a:prstGeom>
                                <a:noFill/>
                                <a:ln>
                                  <a:noFill/>
                                </a:ln>
                              </wps:spPr>
                              <wps:txbx>
                                <w:txbxContent>
                                  <w:p>
                                    <w:pPr>
                                      <w:snapToGrid w:val="0"/>
                                    </w:pPr>
                                    <w:r>
                                      <w:rPr>
                                        <w:rFonts w:hint="eastAsia"/>
                                      </w:rPr>
                                      <w:t>日</w:t>
                                    </w:r>
                                  </w:p>
                                </w:txbxContent>
                              </wps:txbx>
                              <wps:bodyPr wrap="square" lIns="0" tIns="0" rIns="0" bIns="0" upright="1"/>
                            </wps:wsp>
                          </wpg:wgp>
                        </a:graphicData>
                      </a:graphic>
                    </wp:anchor>
                  </w:drawing>
                </mc:Choice>
                <mc:Fallback>
                  <w:pict>
                    <v:group id="组合 10" o:spid="_x0000_s1026" o:spt="203" style="position:absolute;left:0pt;margin-left:-5.15pt;margin-top:0pt;height:93pt;width:58.9pt;z-index:251661312;mso-width-relative:page;mso-height-relative:page;" coordsize="1178,186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SxT4GgMAADwLAAAOAAAAZHJzL2Uyb0RvYy54bWzkVslu2zAQvRfoPxC8NzLlJa4QOUicNC2Q tgGSngOaohZUIlWStpyee+ix/9PvKfobHZKS7ThdghRwA1QHYcRlNPPemyEPDpdViRZc6UKKGJO9 HkZcMJkUIovxu6sXz8YYaUNFQkspeIxvuMaHk6dPDpo64qHMZZlwhcCJ0FFTxzg3po6CQLOcV1Tv yZoLmEylqqiBT5UFiaINeK/KIOz1RkEjVVIrybjWMHriJ/HE+U9TzszbNNXcoDLGEJtxb+XeM/sO Jgc0yhSt84K1YdAHRFHRQsBPV65OqKForoo7rqqCKallavaYrAKZpgXjLgfIhvS2sjlTcl67XLKo yeoVTADtFk4PdsveLC4UKhLgDuARtAKOvn/99O3LZwQDgE5TZxEsOlP1ZX2hfIpgnkv2XsN0sD1v vzO/GM2a1zIBh3RupENnmarKuoC80dKRcLMigS8NYjC4Pxj3+hALgylCxoT0WpZYDlTe2cby03Yj IfsgNrdtPHJ7Ahr5P7oo26hsSqA1vYZT/x2clzmtuWNJW6Q6OEkH5/X11cvr89CD6ZZMhUeSLUWL JBJymlOR8SOlZJNzmkBQxG6B0Df22A8NPDwM2t8gRKNaaXPGZYWsEeOyEDYpGtHFuTY2kPUSOyzk i6IsYZxGpUBNjEf9Yc9t0LIsEjtp57TKZtNSoQW1BegelxXMbC4DoYvEObO5n7a2oUXpbfh5KVow bP6exJlMbi5UBxJQuituw1vcHhPS32DX1gkyy2MJYiYeEV8ufybZl9i9SR4MhxjZMgmdumjU1VA4 7PtKCEcuslUhrDlsaVbQIe9N8y3ef06JWc6WQIhNwbODlPRNFw4JMHKpPmLUQMONsf4wp4pjVL4S oHbbnTtDdcasM6hgsDXGBiNvTo3v4vNaFVkOnj3UQh5Bs0kLp9h1FK10digRIMB3U1f+xyQc/BOJ jAYQCEhkQJ7b/z8WifgTp0Pk/1bKYEsp/WGHC5wmu2sm4z6cWKCUfbL/S6W4NrPbZuKUsjo8H6tS 3AUDrmjumGyvk/YOuPntetD60jv5AQAA//8DAFBLAwQUAAYACAAAACEALyStleMAAAANAQAADwAA AGRycy9kb3ducmV2LnhtbEyPT2/CMAzF75P2HSJP2g2SDsFQaYoQ+3NCkwaTpt1CY9qKxqma0JZv P3PaLpatZz+/X7YeXSN67ELtSUMyVSCQCm9rKjV8Hd4mSxAhGrKm8YQarhhgnd/fZSa1fqBP7Pex FGxCITUaqhjbVMpQVOhMmPoWibWT75yJPHaltJ0Z2Nw18kmphXSmJv5QmRa3FRbn/cVpeB/MsJkl r/3ufNpefw7zj+9dglo/PowvKy6bFYiIY/y7gBsD54ecgx39hWwQjYZJoma8qoGxbrJ6noM4crNc KJB5Jv9T5L8AAAD//wMAUEsBAi0AFAAGAAgAAAAhALaDOJL+AAAA4QEAABMAAAAAAAAAAAAAAAAA AAAAAFtDb250ZW50X1R5cGVzXS54bWxQSwECLQAUAAYACAAAACEAOP0h/9YAAACUAQAACwAAAAAA AAAAAAAAAAAvAQAAX3JlbHMvLnJlbHNQSwECLQAUAAYACAAAACEAkEsU+BoDAAA8CwAADgAAAAAA AAAAAAAAAAAuAgAAZHJzL2Uyb0RvYy54bWxQSwECLQAUAAYACAAAACEALyStleMAAAANAQAADwAA AAAAAAAAAAAAAAB0BQAAZHJzL2Rvd25yZXYueG1sUEsFBgAAAAAEAAQA8wAAAIQGAAAAAA== ">
                      <o:lock v:ext="edit" grouping="f" rotation="f" aspectratio="f"/>
                      <v:line id="__TH_L2" o:spid="_x0000_s1026" o:spt="20" style="position:absolute;left:0;top:0;height:1860;width:1178;" o:connectortype="straight" filled="f" stroked="t" coordsize="21600,21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zqN+RyAAAAOAAAAAPAAAAZHJzL2Rvd25yZXYueG1sRI/BasMw DIbvhb2D0WC31skopaRxwtZSGOxQ0vSym4i1JFssB9tr0z19XRjsIiR+/k98eTmZQZzJ+d6ygnSR gCBurO65VXCq9/M1CB+QNQ6WScGVPJTFwyzHTNsLV3Q+hlZECPsMFXQhjJmUvunIoF/YkThmn9YZ DPF0rdQOLxFuBvmcJCtpsOf4ocORth0138cfo2Bdj3533X7s7cF9/Vbvy4qW+KrU0+O028TxsgER aAr/jT/Em44OKdyF4gKyuAEAAP//AwBQSwECLQAUAAYACAAAACEA2+H2y+4AAACFAQAAEwAAAAAA AAAAAAAAAAAAAAAAW0NvbnRlbnRfVHlwZXNdLnhtbFBLAQItABQABgAIAAAAIQBa9CxbvwAAABUB AAALAAAAAAAAAAAAAAAAAB8BAABfcmVscy8ucmVsc1BLAQItABQABgAIAAAAIQAzqN+RyAAAAOAA AAAPAAAAAAAAAAAAAAAAAAcCAABkcnMvZG93bnJldi54bWxQSwUGAAAAAAMAAwC3AAAA/AIA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4xYrdxwAAAOAAAAAPAAAAZHJzL2Rvd25yZXYueG1sRI/BasJA EIbvBd9hGaG3uqkHsdFVpLYgFMQkHnqcZsdkMTsbs6vGt3eFgpdhhp//G775sreNuFDnjWMF76ME BHHptOFKwb74fpuC8AFZY+OYFNzIw3IxeJljqt2VM7rkoRIRwj5FBXUIbSqlL2uy6EeuJY7ZwXUW Qzy7SuoOrxFuGzlOkom0aDh+qLGlz5rKY362Cla/nH2Z0/Zvlx0yUxQfCf9Mjkq9Dvv1LI7VDESg Pjwb/4iNjg5jeAjFBeTiDgAA//8DAFBLAQItABQABgAIAAAAIQDb4fbL7gAAAIUBAAATAAAAAAAA AAAAAAAAAAAAAABbQ29udGVudF9UeXBlc10ueG1sUEsBAi0AFAAGAAgAAAAhAFr0LFu/AAAAFQEA AAsAAAAAAAAAAAAAAAAAHwEAAF9yZWxzLy5yZWxzUEsBAi0AFAAGAAgAAAAhALjFit3HAAAA4AAA AA8AAAAAAAAAAAAAAAAABwIAAGRycy9kb3ducmV2LnhtbFBLBQYAAAAAAwADALcAAAD7Ag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XiS9GyQAAAOAAAAAPAAAAZHJzL2Rvd25yZXYueG1sRI9Na8JA EIbvBf/DMkJvdWML0kY3In5AoSCN8eBxzE6Sxexsmt1q+u/dQqGXYYaX9xmexXKwrbhS741jBdNJ AoK4dNpwreBY7J5eQfiArLF1TAp+yMMyGz0sMNXuxjldD6EWEcI+RQVNCF0qpS8bsugnriOOWeV6 iyGefS11j7cIt618TpKZtGg4fmiwo3VD5eXwbRWsTpxvzdf+/JlXuSmKt4Q/ZhelHsfDZh7Hag4i 0BD+G3+Idx0dXuBXKC4gszsAAAD//wMAUEsBAi0AFAAGAAgAAAAhANvh9svuAAAAhQEAABMAAAAA AAAAAAAAAAAAAAAAAFtDb250ZW50X1R5cGVzXS54bWxQSwECLQAUAAYACAAAACEAWvQsW78AAAAV AQAACwAAAAAAAAAAAAAAAAAfAQAAX3JlbHMvLnJlbHNQSwECLQAUAAYACAAAACEA14kvRskAAADg AAAADwAAAAAAAAAAAAAAAAAHAgAAZHJzL2Rvd25yZXYueG1sUEsFBgAAAAADAAMAtwAAAP0CAAAA 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YYLcyyQAAAOAAAAAPAAAAZHJzL2Rvd25yZXYueG1sRI9Na8JA EIbvBf/DMkJvdWMp0kY3In5AoSCN8eBxzE6Sxexsmt1q+u/dQqGXYYaX9xmexXKwrbhS741jBdNJ AoK4dNpwreBY7J5eQfiArLF1TAp+yMMyGz0sMNXuxjldD6EWEcI+RQVNCF0qpS8bsugnriOOWeV6 iyGefS11j7cIt618TpKZtGg4fmiwo3VD5eXwbRWsTpxvzdf+/JlXuSmKt4Q/ZhelHsfDZh7Hag4i 0BD+G3+Idx0dXuBXKC4gszsAAAD//wMAUEsBAi0AFAAGAAgAAAAhANvh9svuAAAAhQEAABMAAAAA AAAAAAAAAAAAAAAAAFtDb250ZW50X1R5cGVzXS54bWxQSwECLQAUAAYACAAAACEAWvQsW78AAAAV AQAACwAAAAAAAAAAAAAAAAAfAQAAX3JlbHMvLnJlbHNQSwECLQAUAAYACAAAACEAWGC3MskAAADg AAAADwAAAAAAAAAAAAAAAAAHAgAAZHJzL2Rvd25yZXYueG1sUEsFBgAAAAADAAMAtwAAAP0CAAAA 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仿宋_GB2312" w:hAnsi="仿宋" w:eastAsia="仿宋_GB2312" w:cs="仿宋"/>
                <w:color w:val="auto"/>
                <w:sz w:val="24"/>
                <w:highlight w:val="none"/>
              </w:rPr>
            </w:pPr>
          </w:p>
          <w:p>
            <w:pPr>
              <w:spacing w:line="360" w:lineRule="auto"/>
              <w:rPr>
                <w:rFonts w:hint="eastAsia" w:ascii="仿宋_GB2312" w:hAnsi="仿宋" w:eastAsia="仿宋_GB2312" w:cs="仿宋"/>
                <w:color w:val="auto"/>
                <w:sz w:val="24"/>
                <w:highlight w:val="none"/>
              </w:rPr>
            </w:pP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内容</w:t>
            </w:r>
          </w:p>
        </w:tc>
        <w:tc>
          <w:tcPr>
            <w:tcW w:w="552"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w:t>
            </w:r>
          </w:p>
        </w:tc>
        <w:tc>
          <w:tcPr>
            <w:tcW w:w="552"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w:t>
            </w:r>
          </w:p>
        </w:tc>
        <w:tc>
          <w:tcPr>
            <w:tcW w:w="552"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w:t>
            </w:r>
          </w:p>
        </w:tc>
        <w:tc>
          <w:tcPr>
            <w:tcW w:w="552"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w:t>
            </w:r>
          </w:p>
        </w:tc>
        <w:tc>
          <w:tcPr>
            <w:tcW w:w="552"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w:t>
            </w:r>
          </w:p>
        </w:tc>
        <w:tc>
          <w:tcPr>
            <w:tcW w:w="552"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6</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7</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8</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9</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10</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11</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12</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13</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14</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15</w:t>
            </w:r>
          </w:p>
        </w:tc>
        <w:tc>
          <w:tcPr>
            <w:tcW w:w="553" w:type="dxa"/>
            <w:noWrap w:val="0"/>
            <w:vAlign w:val="center"/>
          </w:tcPr>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2"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c>
          <w:tcPr>
            <w:tcW w:w="553" w:type="dxa"/>
            <w:noWrap w:val="0"/>
            <w:vAlign w:val="top"/>
          </w:tcPr>
          <w:p>
            <w:pPr>
              <w:spacing w:line="360" w:lineRule="auto"/>
              <w:rPr>
                <w:rFonts w:hint="eastAsia" w:ascii="仿宋_GB2312" w:hAnsi="仿宋" w:eastAsia="仿宋_GB2312" w:cs="仿宋"/>
                <w:color w:val="auto"/>
                <w:sz w:val="24"/>
                <w:highlight w:val="none"/>
              </w:rPr>
            </w:pPr>
          </w:p>
        </w:tc>
      </w:tr>
    </w:tbl>
    <w:p>
      <w:pPr>
        <w:autoSpaceDE w:val="0"/>
        <w:autoSpaceDN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b/>
          <w:color w:val="auto"/>
          <w:sz w:val="24"/>
          <w:highlight w:val="none"/>
        </w:rPr>
        <w:t>注：投标人可按上述时间表的格式自行编制切合实际的具体时间表。</w:t>
      </w:r>
    </w:p>
    <w:p>
      <w:pPr>
        <w:autoSpaceDE w:val="0"/>
        <w:autoSpaceDN w:val="0"/>
        <w:spacing w:line="360" w:lineRule="auto"/>
        <w:ind w:firstLine="4440" w:firstLineChars="185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投标人名称（电子签名）：</w:t>
      </w:r>
    </w:p>
    <w:p>
      <w:pPr>
        <w:autoSpaceDE w:val="0"/>
        <w:autoSpaceDN w:val="0"/>
        <w:spacing w:line="360" w:lineRule="auto"/>
        <w:rPr>
          <w:rFonts w:hint="eastAsia" w:ascii="仿宋_GB2312" w:hAnsi="仿宋" w:eastAsia="仿宋_GB2312" w:cs="仿宋"/>
          <w:b/>
          <w:bCs/>
          <w:color w:val="auto"/>
          <w:sz w:val="32"/>
          <w:szCs w:val="32"/>
          <w:highlight w:val="none"/>
        </w:rPr>
      </w:pP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日期：  年  月   日</w:t>
      </w:r>
    </w:p>
    <w:p>
      <w:pPr>
        <w:spacing w:line="360" w:lineRule="auto"/>
        <w:jc w:val="center"/>
        <w:rPr>
          <w:rFonts w:hint="eastAsia" w:ascii="仿宋_GB2312" w:hAnsi="仿宋" w:eastAsia="仿宋_GB2312" w:cs="仿宋"/>
          <w:b/>
          <w:bCs/>
          <w:color w:val="auto"/>
          <w:sz w:val="32"/>
          <w:szCs w:val="32"/>
          <w:highlight w:val="none"/>
        </w:rPr>
      </w:pPr>
    </w:p>
    <w:p>
      <w:pPr>
        <w:spacing w:line="360" w:lineRule="auto"/>
        <w:jc w:val="center"/>
        <w:rPr>
          <w:rFonts w:hint="eastAsia" w:ascii="仿宋_GB2312" w:hAnsi="仿宋" w:eastAsia="仿宋_GB2312" w:cs="仿宋"/>
          <w:b/>
          <w:bCs/>
          <w:color w:val="auto"/>
          <w:sz w:val="32"/>
          <w:szCs w:val="32"/>
          <w:highlight w:val="none"/>
        </w:rPr>
      </w:pPr>
    </w:p>
    <w:p>
      <w:pPr>
        <w:spacing w:line="360" w:lineRule="auto"/>
        <w:jc w:val="center"/>
        <w:rPr>
          <w:rFonts w:hint="eastAsia" w:ascii="仿宋_GB2312" w:hAnsi="仿宋" w:eastAsia="仿宋_GB2312" w:cs="仿宋"/>
          <w:b/>
          <w:bCs/>
          <w:color w:val="auto"/>
          <w:sz w:val="32"/>
          <w:szCs w:val="32"/>
          <w:highlight w:val="none"/>
        </w:rPr>
      </w:pPr>
    </w:p>
    <w:p>
      <w:pPr>
        <w:spacing w:line="360" w:lineRule="auto"/>
        <w:jc w:val="center"/>
        <w:rPr>
          <w:rFonts w:hint="eastAsia" w:ascii="仿宋_GB2312" w:hAnsi="仿宋" w:eastAsia="仿宋_GB2312" w:cs="仿宋"/>
          <w:b/>
          <w:bCs/>
          <w:color w:val="auto"/>
          <w:sz w:val="32"/>
          <w:szCs w:val="32"/>
          <w:highlight w:val="none"/>
        </w:rPr>
      </w:pPr>
    </w:p>
    <w:p>
      <w:pPr>
        <w:spacing w:line="360" w:lineRule="auto"/>
        <w:jc w:val="center"/>
        <w:rPr>
          <w:rFonts w:hint="eastAsia" w:ascii="仿宋_GB2312" w:hAnsi="仿宋" w:eastAsia="仿宋_GB2312" w:cs="仿宋"/>
          <w:b/>
          <w:bCs/>
          <w:color w:val="auto"/>
          <w:sz w:val="32"/>
          <w:szCs w:val="32"/>
          <w:highlight w:val="none"/>
        </w:rPr>
      </w:pPr>
      <w:r>
        <w:rPr>
          <w:rFonts w:hint="eastAsia" w:ascii="仿宋_GB2312" w:hAnsi="仿宋" w:eastAsia="仿宋_GB2312" w:cs="仿宋"/>
          <w:b/>
          <w:bCs/>
          <w:color w:val="auto"/>
          <w:sz w:val="32"/>
          <w:szCs w:val="32"/>
          <w:highlight w:val="none"/>
        </w:rPr>
        <w:br w:type="page"/>
      </w:r>
      <w:r>
        <w:rPr>
          <w:rFonts w:hint="eastAsia" w:ascii="仿宋_GB2312" w:hAnsi="仿宋" w:eastAsia="仿宋_GB2312" w:cs="仿宋"/>
          <w:b/>
          <w:bCs/>
          <w:color w:val="auto"/>
          <w:sz w:val="32"/>
          <w:szCs w:val="32"/>
          <w:highlight w:val="none"/>
        </w:rPr>
        <w:t>九、售后服务方案</w:t>
      </w:r>
    </w:p>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（由投标人根据采购需求及招标文件要求编制）</w:t>
      </w:r>
    </w:p>
    <w:p>
      <w:pPr>
        <w:autoSpaceDE w:val="0"/>
        <w:autoSpaceDN w:val="0"/>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附表A:售后服务机构情况表</w:t>
      </w:r>
      <w:r>
        <w:rPr>
          <w:rFonts w:hint="eastAsia" w:ascii="仿宋_GB2312" w:hAnsi="仿宋" w:eastAsia="仿宋_GB2312" w:cs="仿宋"/>
          <w:color w:val="auto"/>
          <w:sz w:val="24"/>
          <w:highlight w:val="none"/>
        </w:rPr>
        <w:t>（按此格式自制）</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序号</w:t>
            </w:r>
          </w:p>
        </w:tc>
        <w:tc>
          <w:tcPr>
            <w:tcW w:w="2340" w:type="dxa"/>
            <w:noWrap w:val="0"/>
            <w:vAlign w:val="top"/>
          </w:tcPr>
          <w:p>
            <w:pPr>
              <w:autoSpaceDE w:val="0"/>
              <w:autoSpaceDN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机构名称</w:t>
            </w:r>
          </w:p>
        </w:tc>
        <w:tc>
          <w:tcPr>
            <w:tcW w:w="1095" w:type="dxa"/>
            <w:noWrap w:val="0"/>
            <w:vAlign w:val="top"/>
          </w:tcPr>
          <w:p>
            <w:pPr>
              <w:autoSpaceDE w:val="0"/>
              <w:autoSpaceDN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机构性质</w:t>
            </w:r>
          </w:p>
        </w:tc>
        <w:tc>
          <w:tcPr>
            <w:tcW w:w="1245" w:type="dxa"/>
            <w:noWrap w:val="0"/>
            <w:vAlign w:val="top"/>
          </w:tcPr>
          <w:p>
            <w:pPr>
              <w:autoSpaceDE w:val="0"/>
              <w:autoSpaceDN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注册地址</w:t>
            </w:r>
          </w:p>
        </w:tc>
        <w:tc>
          <w:tcPr>
            <w:tcW w:w="1980" w:type="dxa"/>
            <w:noWrap w:val="0"/>
            <w:vAlign w:val="top"/>
          </w:tcPr>
          <w:p>
            <w:pPr>
              <w:autoSpaceDE w:val="0"/>
              <w:autoSpaceDN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服务技术人员数量</w:t>
            </w:r>
          </w:p>
        </w:tc>
        <w:tc>
          <w:tcPr>
            <w:tcW w:w="1260" w:type="dxa"/>
            <w:noWrap w:val="0"/>
            <w:vAlign w:val="top"/>
          </w:tcPr>
          <w:p>
            <w:pPr>
              <w:autoSpaceDE w:val="0"/>
              <w:autoSpaceDN w:val="0"/>
              <w:spacing w:line="360" w:lineRule="auto"/>
              <w:jc w:val="center"/>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2340"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095"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245"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980"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2340"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095"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245"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980"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2340"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095"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245"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980"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r>
    </w:tbl>
    <w:p>
      <w:pPr>
        <w:autoSpaceDE w:val="0"/>
        <w:autoSpaceDN w:val="0"/>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hint="eastAsia" w:ascii="仿宋_GB2312" w:hAnsi="仿宋" w:eastAsia="仿宋_GB2312" w:cs="仿宋"/>
          <w:color w:val="auto"/>
          <w:kern w:val="0"/>
          <w:sz w:val="24"/>
          <w:highlight w:val="none"/>
        </w:rPr>
      </w:pPr>
    </w:p>
    <w:p>
      <w:pPr>
        <w:autoSpaceDE w:val="0"/>
        <w:autoSpaceDN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b/>
          <w:color w:val="auto"/>
          <w:kern w:val="0"/>
          <w:sz w:val="24"/>
          <w:highlight w:val="none"/>
        </w:rPr>
        <w:t>附表B：售后服务人员情况表</w:t>
      </w:r>
      <w:r>
        <w:rPr>
          <w:rFonts w:hint="eastAsia" w:ascii="仿宋_GB2312" w:hAnsi="仿宋" w:eastAsia="仿宋_GB2312" w:cs="仿宋"/>
          <w:color w:val="auto"/>
          <w:sz w:val="24"/>
          <w:highlight w:val="none"/>
        </w:rPr>
        <w:t>（按此格式自制）</w:t>
      </w:r>
    </w:p>
    <w:tbl>
      <w:tblPr>
        <w:tblStyle w:val="6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wBefore w:w="0" w:type="dxa"/>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序号</w:t>
            </w:r>
          </w:p>
          <w:p>
            <w:pPr>
              <w:autoSpaceDE w:val="0"/>
              <w:autoSpaceDN w:val="0"/>
              <w:spacing w:line="360" w:lineRule="auto"/>
              <w:jc w:val="center"/>
              <w:rPr>
                <w:rFonts w:hint="eastAsia" w:ascii="仿宋_GB2312" w:hAnsi="仿宋" w:eastAsia="仿宋_GB2312" w:cs="仿宋"/>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到达现场时间</w:t>
            </w:r>
          </w:p>
        </w:tc>
      </w:tr>
      <w:tr>
        <w:tblPrEx>
          <w:tblCellMar>
            <w:top w:w="0" w:type="dxa"/>
            <w:left w:w="108" w:type="dxa"/>
            <w:bottom w:w="0" w:type="dxa"/>
            <w:right w:w="108" w:type="dxa"/>
          </w:tblCellMar>
        </w:tblPrEx>
        <w:trPr>
          <w:wBefore w:w="0" w:type="dxa"/>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bl>
    <w:p>
      <w:pPr>
        <w:autoSpaceDE w:val="0"/>
        <w:autoSpaceDN w:val="0"/>
        <w:spacing w:line="360" w:lineRule="auto"/>
        <w:rPr>
          <w:rFonts w:hint="eastAsia" w:ascii="仿宋_GB2312" w:hAnsi="仿宋" w:eastAsia="仿宋_GB2312" w:cs="仿宋"/>
          <w:color w:val="auto"/>
          <w:kern w:val="0"/>
          <w:sz w:val="24"/>
          <w:highlight w:val="none"/>
        </w:rPr>
      </w:pPr>
    </w:p>
    <w:p>
      <w:pPr>
        <w:autoSpaceDE w:val="0"/>
        <w:autoSpaceDN w:val="0"/>
        <w:spacing w:line="360" w:lineRule="auto"/>
        <w:ind w:firstLine="4440" w:firstLineChars="185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投标人名称（电子签名）：</w:t>
      </w:r>
    </w:p>
    <w:p>
      <w:pPr>
        <w:autoSpaceDE w:val="0"/>
        <w:autoSpaceDN w:val="0"/>
        <w:spacing w:line="360" w:lineRule="auto"/>
        <w:rPr>
          <w:rFonts w:hint="eastAsia" w:ascii="仿宋_GB2312" w:hAnsi="仿宋" w:eastAsia="仿宋_GB2312" w:cs="仿宋"/>
          <w:b/>
          <w:bCs/>
          <w:color w:val="auto"/>
          <w:sz w:val="24"/>
          <w:highlight w:val="none"/>
        </w:rPr>
      </w:pP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日期：  年  月   日</w:t>
      </w:r>
    </w:p>
    <w:p>
      <w:pPr>
        <w:spacing w:line="360" w:lineRule="auto"/>
        <w:jc w:val="center"/>
        <w:rPr>
          <w:rFonts w:hint="eastAsia" w:ascii="仿宋_GB2312" w:hAnsi="仿宋" w:eastAsia="仿宋_GB2312" w:cs="仿宋"/>
          <w:b/>
          <w:bCs/>
          <w:color w:val="auto"/>
          <w:sz w:val="32"/>
          <w:szCs w:val="32"/>
          <w:highlight w:val="none"/>
        </w:rPr>
      </w:pPr>
      <w:r>
        <w:rPr>
          <w:rFonts w:hint="eastAsia" w:ascii="仿宋_GB2312" w:hAnsi="仿宋" w:eastAsia="仿宋_GB2312" w:cs="仿宋"/>
          <w:b/>
          <w:bCs/>
          <w:color w:val="auto"/>
          <w:sz w:val="32"/>
          <w:szCs w:val="32"/>
          <w:highlight w:val="none"/>
        </w:rPr>
        <w:br w:type="page"/>
      </w:r>
      <w:r>
        <w:rPr>
          <w:rFonts w:hint="eastAsia" w:ascii="仿宋_GB2312" w:hAnsi="仿宋" w:eastAsia="仿宋_GB2312" w:cs="仿宋"/>
          <w:b/>
          <w:bCs/>
          <w:color w:val="auto"/>
          <w:sz w:val="32"/>
          <w:szCs w:val="32"/>
          <w:highlight w:val="none"/>
        </w:rPr>
        <w:t>十、项目小组人员名单</w:t>
      </w:r>
    </w:p>
    <w:p>
      <w:pPr>
        <w:spacing w:line="360" w:lineRule="auto"/>
        <w:jc w:val="center"/>
        <w:rPr>
          <w:rFonts w:hint="eastAsia" w:ascii="仿宋_GB2312" w:hAnsi="仿宋" w:eastAsia="仿宋_GB2312" w:cs="仿宋"/>
          <w:b/>
          <w:bCs/>
          <w:color w:val="auto"/>
          <w:sz w:val="24"/>
          <w:highlight w:val="none"/>
        </w:rPr>
      </w:pPr>
      <w:r>
        <w:rPr>
          <w:rFonts w:hint="eastAsia" w:ascii="仿宋_GB2312" w:hAnsi="仿宋" w:eastAsia="仿宋_GB2312" w:cs="仿宋"/>
          <w:color w:val="auto"/>
          <w:sz w:val="24"/>
          <w:highlight w:val="none"/>
        </w:rPr>
        <w:t>（由投标人根据采购需求及招标文件要求编制）</w:t>
      </w:r>
    </w:p>
    <w:p>
      <w:pPr>
        <w:keepNext/>
        <w:autoSpaceDE w:val="0"/>
        <w:autoSpaceDN w:val="0"/>
        <w:spacing w:line="360" w:lineRule="auto"/>
        <w:ind w:firstLine="477"/>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附表A:本项目的项目经理情况表</w:t>
      </w:r>
    </w:p>
    <w:tbl>
      <w:tblPr>
        <w:tblStyle w:val="61"/>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投标截止时间前三年业绩及承担的主要工作情况，曾担任项目经理的项目应列明细</w:t>
            </w: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p>
        </w:tc>
      </w:tr>
    </w:tbl>
    <w:p>
      <w:pPr>
        <w:autoSpaceDE w:val="0"/>
        <w:autoSpaceDN w:val="0"/>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注：须随表提交相应的证书复印件并注明所在投标技术文件页码。</w:t>
      </w:r>
    </w:p>
    <w:p>
      <w:pPr>
        <w:autoSpaceDE w:val="0"/>
        <w:autoSpaceDN w:val="0"/>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附表B:本项目的项目小组人员情况表</w:t>
      </w:r>
      <w:r>
        <w:rPr>
          <w:rFonts w:hint="eastAsia" w:ascii="仿宋_GB2312" w:hAnsi="仿宋" w:eastAsia="仿宋_GB2312" w:cs="仿宋"/>
          <w:color w:val="auto"/>
          <w:sz w:val="24"/>
          <w:highlight w:val="none"/>
        </w:rPr>
        <w:t>（按此格式自制）</w:t>
      </w:r>
    </w:p>
    <w:tbl>
      <w:tblPr>
        <w:tblStyle w:val="6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wAfter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学历</w:t>
            </w:r>
          </w:p>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专业</w:t>
            </w:r>
          </w:p>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职称</w:t>
            </w:r>
          </w:p>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参与本项目的到位情况</w:t>
            </w:r>
          </w:p>
        </w:tc>
      </w:tr>
      <w:tr>
        <w:tblPrEx>
          <w:tblCellMar>
            <w:top w:w="0" w:type="dxa"/>
            <w:left w:w="108" w:type="dxa"/>
            <w:bottom w:w="0" w:type="dxa"/>
            <w:right w:w="108" w:type="dxa"/>
          </w:tblCellMar>
        </w:tblPrEx>
        <w:trPr>
          <w:wBefore w:w="0" w:type="dxa"/>
          <w:wAfter w:w="0" w:type="dxa"/>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08" w:type="dxa"/>
            <w:bottom w:w="0" w:type="dxa"/>
            <w:right w:w="108" w:type="dxa"/>
          </w:tblCellMar>
        </w:tblPrEx>
        <w:trPr>
          <w:wBefore w:w="0" w:type="dxa"/>
          <w:wAfter w:w="0" w:type="dxa"/>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
                <w:color w:val="auto"/>
                <w:sz w:val="24"/>
                <w:highlight w:val="none"/>
              </w:rPr>
            </w:pPr>
          </w:p>
        </w:tc>
      </w:tr>
    </w:tbl>
    <w:p>
      <w:pPr>
        <w:spacing w:line="360" w:lineRule="auto"/>
        <w:rPr>
          <w:rFonts w:hint="eastAsia" w:ascii="仿宋_GB2312" w:hAnsi="仿宋" w:eastAsia="仿宋_GB2312" w:cs="仿宋"/>
          <w:b/>
          <w:bCs/>
          <w:color w:val="auto"/>
          <w:sz w:val="24"/>
          <w:highlight w:val="none"/>
        </w:rPr>
      </w:pPr>
      <w:r>
        <w:rPr>
          <w:rFonts w:hint="eastAsia" w:ascii="仿宋_GB2312" w:hAnsi="仿宋" w:eastAsia="仿宋_GB2312" w:cs="仿宋"/>
          <w:b/>
          <w:color w:val="auto"/>
          <w:sz w:val="24"/>
          <w:highlight w:val="none"/>
        </w:rPr>
        <w:t>注：投标人可按上述的格式自行编制，须随表提交相应的证书复印件并注明所在投标技术文件页码。</w:t>
      </w:r>
    </w:p>
    <w:p>
      <w:pPr>
        <w:spacing w:line="360" w:lineRule="auto"/>
        <w:rPr>
          <w:rFonts w:hint="eastAsia" w:ascii="仿宋_GB2312" w:hAnsi="仿宋" w:eastAsia="仿宋_GB2312" w:cs="仿宋"/>
          <w:b/>
          <w:bCs/>
          <w:color w:val="auto"/>
          <w:sz w:val="24"/>
          <w:highlight w:val="none"/>
        </w:rPr>
      </w:pPr>
      <w:r>
        <w:rPr>
          <w:rFonts w:hint="eastAsia" w:ascii="仿宋_GB2312" w:hAnsi="仿宋" w:eastAsia="仿宋_GB2312" w:cs="仿宋"/>
          <w:b/>
          <w:color w:val="auto"/>
          <w:sz w:val="24"/>
          <w:highlight w:val="none"/>
        </w:rPr>
        <w:t>附表C:本项目的项目经理和小组人员近3个月交纳社保记录情况表</w:t>
      </w:r>
      <w:r>
        <w:rPr>
          <w:rFonts w:hint="eastAsia" w:ascii="仿宋_GB2312" w:hAnsi="仿宋" w:eastAsia="仿宋_GB2312" w:cs="仿宋"/>
          <w:color w:val="auto"/>
          <w:sz w:val="24"/>
          <w:highlight w:val="none"/>
        </w:rPr>
        <w:t>（以社保局缴纳凭证作附件）</w:t>
      </w:r>
    </w:p>
    <w:p>
      <w:pPr>
        <w:autoSpaceDE w:val="0"/>
        <w:autoSpaceDN w:val="0"/>
        <w:spacing w:line="360" w:lineRule="auto"/>
        <w:ind w:firstLine="4440" w:firstLineChars="185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投标人名称（电子签名）：</w:t>
      </w:r>
    </w:p>
    <w:p>
      <w:pPr>
        <w:autoSpaceDE w:val="0"/>
        <w:autoSpaceDN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日期：  年  月   日</w:t>
      </w:r>
    </w:p>
    <w:p>
      <w:pPr>
        <w:spacing w:line="360" w:lineRule="auto"/>
        <w:jc w:val="center"/>
        <w:rPr>
          <w:rFonts w:hint="eastAsia" w:ascii="仿宋_GB2312" w:hAnsi="仿宋" w:eastAsia="仿宋_GB2312" w:cs="仿宋"/>
          <w:b/>
          <w:bCs/>
          <w:color w:val="auto"/>
          <w:sz w:val="32"/>
          <w:szCs w:val="32"/>
          <w:highlight w:val="none"/>
        </w:rPr>
      </w:pPr>
    </w:p>
    <w:p>
      <w:pPr>
        <w:spacing w:line="360" w:lineRule="auto"/>
        <w:jc w:val="center"/>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bCs/>
          <w:color w:val="auto"/>
          <w:sz w:val="32"/>
          <w:szCs w:val="32"/>
          <w:highlight w:val="none"/>
        </w:rPr>
        <w:t>十一、</w:t>
      </w:r>
      <w:r>
        <w:rPr>
          <w:rFonts w:hint="eastAsia" w:ascii="仿宋_GB2312" w:hAnsi="仿宋" w:eastAsia="仿宋_GB2312" w:cs="仿宋"/>
          <w:b/>
          <w:color w:val="auto"/>
          <w:kern w:val="0"/>
          <w:sz w:val="32"/>
          <w:szCs w:val="32"/>
          <w:highlight w:val="none"/>
          <w:lang w:val="zh-CN"/>
        </w:rPr>
        <w:t>优惠条件及特殊承诺</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（由投标人根据采购需求自行编制）</w:t>
      </w:r>
    </w:p>
    <w:p>
      <w:pPr>
        <w:spacing w:line="360" w:lineRule="auto"/>
        <w:jc w:val="center"/>
        <w:rPr>
          <w:rFonts w:hint="eastAsia" w:ascii="仿宋_GB2312" w:hAnsi="仿宋" w:eastAsia="仿宋_GB2312" w:cs="仿宋"/>
          <w:color w:val="auto"/>
          <w:sz w:val="18"/>
          <w:szCs w:val="18"/>
          <w:highlight w:val="none"/>
        </w:rPr>
      </w:pPr>
    </w:p>
    <w:p>
      <w:pPr>
        <w:autoSpaceDE w:val="0"/>
        <w:autoSpaceDN w:val="0"/>
        <w:spacing w:line="360" w:lineRule="auto"/>
        <w:ind w:firstLine="4440" w:firstLineChars="185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投标人名称（电子签名）：</w:t>
      </w:r>
    </w:p>
    <w:p>
      <w:pPr>
        <w:autoSpaceDE w:val="0"/>
        <w:autoSpaceDN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日期：  年  月   日</w:t>
      </w:r>
    </w:p>
    <w:p>
      <w:pPr>
        <w:autoSpaceDE w:val="0"/>
        <w:autoSpaceDN w:val="0"/>
        <w:spacing w:line="360" w:lineRule="auto"/>
        <w:rPr>
          <w:rFonts w:hint="eastAsia" w:ascii="仿宋_GB2312" w:hAnsi="仿宋" w:eastAsia="仿宋_GB2312" w:cs="仿宋"/>
          <w:color w:val="auto"/>
          <w:kern w:val="0"/>
          <w:sz w:val="24"/>
          <w:highlight w:val="none"/>
          <w:lang w:val="zh-CN"/>
        </w:rPr>
      </w:pPr>
    </w:p>
    <w:p>
      <w:pPr>
        <w:spacing w:line="360" w:lineRule="auto"/>
        <w:jc w:val="center"/>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bCs/>
          <w:color w:val="auto"/>
          <w:sz w:val="32"/>
          <w:szCs w:val="32"/>
          <w:highlight w:val="none"/>
        </w:rPr>
        <w:t>十二、</w:t>
      </w:r>
      <w:r>
        <w:rPr>
          <w:rFonts w:hint="eastAsia" w:ascii="仿宋_GB2312" w:hAnsi="仿宋" w:eastAsia="仿宋_GB2312" w:cs="仿宋"/>
          <w:b/>
          <w:color w:val="auto"/>
          <w:kern w:val="0"/>
          <w:sz w:val="32"/>
          <w:szCs w:val="32"/>
          <w:highlight w:val="none"/>
          <w:lang w:val="zh-CN"/>
        </w:rPr>
        <w:t>备品备件及供选择的配套零部件清单</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（由投标人根据采购需求自行编制）</w:t>
      </w:r>
    </w:p>
    <w:p>
      <w:pPr>
        <w:autoSpaceDE w:val="0"/>
        <w:autoSpaceDN w:val="0"/>
        <w:spacing w:line="360" w:lineRule="auto"/>
        <w:ind w:firstLine="4440" w:firstLineChars="1850"/>
        <w:rPr>
          <w:rFonts w:hint="eastAsia" w:ascii="仿宋_GB2312" w:hAnsi="仿宋" w:eastAsia="仿宋_GB2312" w:cs="仿宋"/>
          <w:color w:val="auto"/>
          <w:kern w:val="0"/>
          <w:sz w:val="24"/>
          <w:highlight w:val="none"/>
        </w:rPr>
      </w:pPr>
    </w:p>
    <w:p>
      <w:pPr>
        <w:autoSpaceDE w:val="0"/>
        <w:autoSpaceDN w:val="0"/>
        <w:spacing w:line="360" w:lineRule="auto"/>
        <w:ind w:firstLine="4440" w:firstLineChars="185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投标人名称（电子签名）：</w:t>
      </w:r>
    </w:p>
    <w:p>
      <w:pPr>
        <w:autoSpaceDE w:val="0"/>
        <w:autoSpaceDN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日期：  年  月   日</w:t>
      </w:r>
    </w:p>
    <w:p>
      <w:pPr>
        <w:autoSpaceDE w:val="0"/>
        <w:autoSpaceDN w:val="0"/>
        <w:spacing w:line="360" w:lineRule="auto"/>
        <w:rPr>
          <w:rFonts w:hint="eastAsia" w:ascii="仿宋_GB2312" w:hAnsi="仿宋" w:eastAsia="仿宋_GB2312" w:cs="仿宋"/>
          <w:color w:val="auto"/>
          <w:kern w:val="0"/>
          <w:sz w:val="24"/>
          <w:highlight w:val="none"/>
          <w:lang w:val="zh-CN"/>
        </w:rPr>
      </w:pPr>
    </w:p>
    <w:p>
      <w:pPr>
        <w:spacing w:line="360" w:lineRule="auto"/>
        <w:jc w:val="center"/>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bCs/>
          <w:color w:val="auto"/>
          <w:sz w:val="32"/>
          <w:szCs w:val="32"/>
          <w:highlight w:val="none"/>
        </w:rPr>
        <w:t>十三、</w:t>
      </w:r>
      <w:r>
        <w:rPr>
          <w:rFonts w:hint="eastAsia" w:ascii="仿宋_GB2312" w:hAnsi="仿宋" w:eastAsia="仿宋_GB2312" w:cs="仿宋"/>
          <w:b/>
          <w:color w:val="auto"/>
          <w:kern w:val="0"/>
          <w:sz w:val="32"/>
          <w:szCs w:val="32"/>
          <w:highlight w:val="none"/>
          <w:lang w:val="zh-CN"/>
        </w:rPr>
        <w:t>培训计划</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（由投标人根据采购需求自行编制）</w:t>
      </w:r>
    </w:p>
    <w:p>
      <w:pPr>
        <w:keepNext/>
        <w:autoSpaceDE w:val="0"/>
        <w:autoSpaceDN w:val="0"/>
        <w:spacing w:line="360" w:lineRule="auto"/>
        <w:ind w:firstLine="477"/>
        <w:jc w:val="left"/>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附表: 培训日程及费用</w:t>
      </w:r>
    </w:p>
    <w:tbl>
      <w:tblPr>
        <w:tblStyle w:val="61"/>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wBefore w:w="0" w:type="dxa"/>
          <w:wAfter w:w="0" w:type="dxa"/>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课程费用</w:t>
            </w:r>
          </w:p>
        </w:tc>
      </w:tr>
      <w:tr>
        <w:tblPrEx>
          <w:tblCellMar>
            <w:top w:w="0" w:type="dxa"/>
            <w:left w:w="120" w:type="dxa"/>
            <w:bottom w:w="0" w:type="dxa"/>
            <w:right w:w="120" w:type="dxa"/>
          </w:tblCellMar>
        </w:tblPrEx>
        <w:trPr>
          <w:wBefore w:w="0" w:type="dxa"/>
          <w:wAfter w:w="0" w:type="dxa"/>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_GB2312" w:hAnsi="仿宋" w:eastAsia="仿宋_GB2312" w:cs="仿宋"/>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_GB2312" w:hAnsi="仿宋" w:eastAsia="仿宋_GB2312" w:cs="仿宋"/>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_GB2312" w:hAnsi="仿宋" w:eastAsia="仿宋_GB2312" w:cs="仿宋"/>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_GB2312" w:hAnsi="仿宋" w:eastAsia="仿宋_GB2312" w:cs="仿宋"/>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20" w:type="dxa"/>
            <w:bottom w:w="0" w:type="dxa"/>
            <w:right w:w="120" w:type="dxa"/>
          </w:tblCellMar>
        </w:tblPrEx>
        <w:trPr>
          <w:wBefore w:w="0" w:type="dxa"/>
          <w:wAfter w:w="0" w:type="dxa"/>
          <w:trHeight w:val="273"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_GB2312" w:hAnsi="仿宋" w:eastAsia="仿宋_GB2312" w:cs="仿宋"/>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_GB2312" w:hAnsi="仿宋" w:eastAsia="仿宋_GB2312" w:cs="仿宋"/>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_GB2312" w:hAnsi="仿宋" w:eastAsia="仿宋_GB2312" w:cs="仿宋"/>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hint="eastAsia" w:ascii="仿宋_GB2312" w:hAnsi="仿宋" w:eastAsia="仿宋_GB2312" w:cs="仿宋"/>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_GB2312" w:hAnsi="仿宋" w:eastAsia="仿宋_GB2312" w:cs="仿宋"/>
                <w:color w:val="auto"/>
                <w:sz w:val="24"/>
                <w:highlight w:val="none"/>
              </w:rPr>
            </w:pPr>
          </w:p>
        </w:tc>
      </w:tr>
      <w:tr>
        <w:tblPrEx>
          <w:tblCellMar>
            <w:top w:w="0" w:type="dxa"/>
            <w:left w:w="120" w:type="dxa"/>
            <w:bottom w:w="0" w:type="dxa"/>
            <w:right w:w="120" w:type="dxa"/>
          </w:tblCellMar>
        </w:tblPrEx>
        <w:trPr>
          <w:wBefore w:w="0" w:type="dxa"/>
          <w:wAfter w:w="0" w:type="dxa"/>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_GB2312" w:hAnsi="仿宋" w:eastAsia="仿宋_GB2312"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_GB2312" w:hAnsi="仿宋" w:eastAsia="仿宋_GB2312"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hint="eastAsia" w:ascii="仿宋_GB2312" w:hAnsi="仿宋" w:eastAsia="仿宋_GB2312"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hint="eastAsia" w:ascii="仿宋_GB2312" w:hAnsi="仿宋" w:eastAsia="仿宋_GB2312" w:cs="仿宋"/>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注解:A</w:t>
      </w:r>
      <w:r>
        <w:rPr>
          <w:rFonts w:hint="eastAsia" w:ascii="仿宋_GB2312" w:hAnsi="仿宋" w:eastAsia="仿宋_GB2312" w:cs="仿宋"/>
          <w:color w:val="auto"/>
          <w:sz w:val="24"/>
          <w:highlight w:val="none"/>
        </w:rPr>
        <w:tab/>
      </w:r>
      <w:r>
        <w:rPr>
          <w:rFonts w:hint="eastAsia" w:ascii="仿宋_GB2312" w:hAnsi="仿宋" w:eastAsia="仿宋_GB2312" w:cs="仿宋"/>
          <w:color w:val="auto"/>
          <w:sz w:val="24"/>
          <w:highlight w:val="none"/>
        </w:rPr>
        <w:t>课程清单按时间顺序排列，并提供以下详细资料：</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课程概要</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课程目的</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教学方式</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先决条件</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教材目录</w:t>
      </w:r>
    </w:p>
    <w:p>
      <w:pPr>
        <w:autoSpaceDE w:val="0"/>
        <w:autoSpaceDN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B  按照附表A提供授课教师的简历</w:t>
      </w:r>
    </w:p>
    <w:p>
      <w:pPr>
        <w:autoSpaceDE w:val="0"/>
        <w:autoSpaceDN w:val="0"/>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注：须随表提交相应的证书复印件并注明所在投标技术文件页码。</w:t>
      </w:r>
    </w:p>
    <w:p>
      <w:pPr>
        <w:autoSpaceDE w:val="0"/>
        <w:autoSpaceDN w:val="0"/>
        <w:spacing w:line="360" w:lineRule="auto"/>
        <w:ind w:firstLine="4800" w:firstLineChars="20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rPr>
        <w:t xml:space="preserve">投标人名称（电子签名）：                       </w:t>
      </w:r>
    </w:p>
    <w:p>
      <w:pPr>
        <w:autoSpaceDE w:val="0"/>
        <w:autoSpaceDN w:val="0"/>
        <w:spacing w:line="360" w:lineRule="auto"/>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日期：  年  月   日</w:t>
      </w:r>
    </w:p>
    <w:p>
      <w:pPr>
        <w:autoSpaceDE w:val="0"/>
        <w:autoSpaceDN w:val="0"/>
        <w:spacing w:line="360" w:lineRule="auto"/>
        <w:ind w:firstLine="120"/>
        <w:rPr>
          <w:rFonts w:hint="eastAsia" w:ascii="仿宋_GB2312" w:hAnsi="仿宋" w:eastAsia="仿宋_GB2312" w:cs="仿宋"/>
          <w:color w:val="auto"/>
          <w:sz w:val="24"/>
          <w:highlight w:val="none"/>
        </w:rPr>
      </w:pPr>
    </w:p>
    <w:p>
      <w:pPr>
        <w:spacing w:line="360" w:lineRule="auto"/>
        <w:jc w:val="center"/>
        <w:rPr>
          <w:rFonts w:hint="eastAsia" w:ascii="仿宋_GB2312" w:hAnsi="仿宋" w:eastAsia="仿宋_GB2312" w:cs="仿宋"/>
          <w:b/>
          <w:bCs/>
          <w:color w:val="auto"/>
          <w:sz w:val="32"/>
          <w:szCs w:val="32"/>
          <w:highlight w:val="none"/>
        </w:rPr>
      </w:pPr>
      <w:r>
        <w:rPr>
          <w:rFonts w:hint="eastAsia" w:ascii="仿宋_GB2312" w:hAnsi="仿宋" w:eastAsia="仿宋_GB2312" w:cs="仿宋"/>
          <w:b/>
          <w:bCs/>
          <w:color w:val="auto"/>
          <w:sz w:val="32"/>
          <w:szCs w:val="32"/>
          <w:highlight w:val="none"/>
        </w:rPr>
        <w:t>十四、认为需要的其他技术文件或说明</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（由投标人根据采购需求自行编制）</w:t>
      </w:r>
    </w:p>
    <w:p>
      <w:pPr>
        <w:spacing w:line="360" w:lineRule="auto"/>
        <w:jc w:val="center"/>
        <w:rPr>
          <w:rFonts w:hint="eastAsia" w:ascii="仿宋_GB2312" w:hAnsi="仿宋" w:eastAsia="仿宋_GB2312" w:cs="仿宋"/>
          <w:color w:val="auto"/>
          <w:sz w:val="24"/>
          <w:highlight w:val="none"/>
        </w:rPr>
      </w:pPr>
    </w:p>
    <w:p>
      <w:pPr>
        <w:autoSpaceDE w:val="0"/>
        <w:autoSpaceDN w:val="0"/>
        <w:spacing w:line="360" w:lineRule="auto"/>
        <w:ind w:firstLine="4800" w:firstLineChars="20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rPr>
        <w:t xml:space="preserve">投标人名称（电子签名）：                       </w:t>
      </w:r>
    </w:p>
    <w:p>
      <w:pPr>
        <w:autoSpaceDE w:val="0"/>
        <w:autoSpaceDN w:val="0"/>
        <w:spacing w:line="360" w:lineRule="auto"/>
        <w:rPr>
          <w:rFonts w:hint="eastAsia" w:ascii="仿宋_GB2312" w:hAnsi="仿宋" w:eastAsia="仿宋_GB2312" w:cs="仿宋"/>
          <w:b/>
          <w:bCs/>
          <w:color w:val="auto"/>
          <w:sz w:val="30"/>
          <w:szCs w:val="30"/>
          <w:highlight w:val="none"/>
        </w:rPr>
      </w:pPr>
      <w:r>
        <w:rPr>
          <w:rFonts w:hint="eastAsia" w:ascii="仿宋_GB2312" w:hAnsi="仿宋" w:eastAsia="仿宋_GB2312" w:cs="仿宋"/>
          <w:color w:val="auto"/>
          <w:kern w:val="0"/>
          <w:sz w:val="24"/>
          <w:highlight w:val="none"/>
        </w:rPr>
        <w:t xml:space="preserve">                                        </w:t>
      </w:r>
      <w:r>
        <w:rPr>
          <w:rFonts w:hint="eastAsia" w:ascii="仿宋_GB2312" w:hAnsi="仿宋" w:eastAsia="仿宋_GB2312" w:cs="仿宋"/>
          <w:color w:val="auto"/>
          <w:kern w:val="0"/>
          <w:sz w:val="24"/>
          <w:highlight w:val="none"/>
          <w:lang w:val="zh-CN"/>
        </w:rPr>
        <w:t>日期：  年  月   日</w:t>
      </w:r>
    </w:p>
    <w:p>
      <w:pPr>
        <w:spacing w:line="360" w:lineRule="auto"/>
        <w:jc w:val="center"/>
        <w:rPr>
          <w:rFonts w:hint="eastAsia" w:ascii="仿宋_GB2312" w:hAnsi="仿宋" w:eastAsia="仿宋_GB2312" w:cs="仿宋"/>
          <w:b/>
          <w:bCs/>
          <w:color w:val="auto"/>
          <w:sz w:val="30"/>
          <w:szCs w:val="30"/>
          <w:highlight w:val="none"/>
        </w:rPr>
      </w:pPr>
    </w:p>
    <w:p>
      <w:pPr>
        <w:spacing w:line="360" w:lineRule="auto"/>
        <w:jc w:val="center"/>
        <w:rPr>
          <w:rFonts w:hint="eastAsia" w:ascii="仿宋_GB2312" w:hAnsi="仿宋" w:eastAsia="仿宋_GB2312" w:cs="仿宋"/>
          <w:b/>
          <w:color w:val="auto"/>
          <w:kern w:val="0"/>
          <w:sz w:val="30"/>
          <w:szCs w:val="30"/>
          <w:highlight w:val="none"/>
          <w:lang w:val="zh-CN"/>
        </w:rPr>
      </w:pPr>
      <w:r>
        <w:rPr>
          <w:rFonts w:hint="eastAsia" w:ascii="仿宋_GB2312" w:hAnsi="仿宋" w:eastAsia="仿宋_GB2312" w:cs="仿宋"/>
          <w:b/>
          <w:bCs/>
          <w:color w:val="auto"/>
          <w:sz w:val="30"/>
          <w:szCs w:val="30"/>
          <w:highlight w:val="none"/>
        </w:rPr>
        <w:t>十五、关于</w:t>
      </w:r>
      <w:r>
        <w:rPr>
          <w:rFonts w:hint="eastAsia" w:ascii="仿宋_GB2312" w:hAnsi="仿宋" w:eastAsia="仿宋_GB2312" w:cs="仿宋"/>
          <w:b/>
          <w:color w:val="auto"/>
          <w:kern w:val="0"/>
          <w:sz w:val="30"/>
          <w:szCs w:val="30"/>
          <w:highlight w:val="none"/>
          <w:lang w:val="zh-CN"/>
        </w:rPr>
        <w:t>对招标文件中有关商务、合同条款的拒绝声明</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（由投标人根据采购需求自行编制）</w:t>
      </w:r>
    </w:p>
    <w:p>
      <w:pPr>
        <w:spacing w:line="360" w:lineRule="auto"/>
        <w:rPr>
          <w:rFonts w:hint="eastAsia" w:ascii="仿宋_GB2312" w:hAnsi="仿宋" w:eastAsia="仿宋_GB2312" w:cs="仿宋"/>
          <w:color w:val="auto"/>
          <w:sz w:val="24"/>
          <w:highlight w:val="none"/>
        </w:rPr>
      </w:pPr>
    </w:p>
    <w:p>
      <w:pPr>
        <w:autoSpaceDE w:val="0"/>
        <w:autoSpaceDN w:val="0"/>
        <w:spacing w:line="360" w:lineRule="auto"/>
        <w:ind w:firstLine="5040" w:firstLineChars="2100"/>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 xml:space="preserve">投标人名称（电子签名）：      </w:t>
      </w:r>
    </w:p>
    <w:p>
      <w:pPr>
        <w:autoSpaceDE w:val="0"/>
        <w:autoSpaceDN w:val="0"/>
        <w:spacing w:line="360" w:lineRule="auto"/>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                                        日期：  年  月   日</w:t>
      </w:r>
    </w:p>
    <w:p>
      <w:pPr>
        <w:autoSpaceDE w:val="0"/>
        <w:autoSpaceDN w:val="0"/>
        <w:spacing w:line="360" w:lineRule="auto"/>
        <w:rPr>
          <w:rFonts w:hint="eastAsia" w:ascii="仿宋_GB2312" w:hAnsi="仿宋" w:eastAsia="仿宋_GB2312" w:cs="仿宋"/>
          <w:color w:val="auto"/>
          <w:kern w:val="0"/>
          <w:sz w:val="24"/>
          <w:highlight w:val="none"/>
          <w:lang w:val="zh-CN"/>
        </w:rPr>
      </w:pPr>
    </w:p>
    <w:p>
      <w:pPr>
        <w:tabs>
          <w:tab w:val="left" w:pos="0"/>
        </w:tabs>
        <w:autoSpaceDE w:val="0"/>
        <w:autoSpaceDN w:val="0"/>
        <w:spacing w:line="360" w:lineRule="auto"/>
        <w:ind w:firstLine="2108" w:firstLineChars="700"/>
        <w:rPr>
          <w:rFonts w:hint="eastAsia" w:ascii="仿宋_GB2312" w:hAnsi="仿宋" w:eastAsia="仿宋_GB2312" w:cs="仿宋"/>
          <w:b/>
          <w:bCs/>
          <w:color w:val="auto"/>
          <w:sz w:val="30"/>
          <w:szCs w:val="30"/>
          <w:highlight w:val="none"/>
        </w:rPr>
      </w:pPr>
      <w:r>
        <w:rPr>
          <w:rFonts w:hint="eastAsia" w:ascii="仿宋_GB2312" w:hAnsi="仿宋" w:eastAsia="仿宋_GB2312" w:cs="仿宋"/>
          <w:b/>
          <w:bCs/>
          <w:color w:val="auto"/>
          <w:sz w:val="30"/>
          <w:szCs w:val="30"/>
          <w:highlight w:val="none"/>
        </w:rPr>
        <w:t>十六、政府采购供应商廉洁自律承诺书</w:t>
      </w:r>
    </w:p>
    <w:p>
      <w:pPr>
        <w:spacing w:line="360" w:lineRule="auto"/>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杭州市公安局、杭州市公共资源交易中心（杭州市政府采购中心）：</w:t>
      </w:r>
    </w:p>
    <w:p>
      <w:pPr>
        <w:spacing w:line="360" w:lineRule="auto"/>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本单位合法参加杭州城市大脑**操作系统应用场景及业务通用能力建设项目应用支撑能力模块（编号：HZZFCG-2021-157）政府采购活动，就有关廉洁自律和公平竞争事项郑重声明如下：</w:t>
      </w:r>
    </w:p>
    <w:p>
      <w:pPr>
        <w:spacing w:line="360" w:lineRule="auto"/>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一、本单位与采购人之间不存在利害关系，不存在行贿、串通等违法行为。</w:t>
      </w:r>
    </w:p>
    <w:p>
      <w:pPr>
        <w:spacing w:line="360" w:lineRule="auto"/>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二、本单位与其他当事人之间不存在直接控股、管理关系等情况，不存在法定的不允许投标情形，不存在行贿、串通等违法行为。</w:t>
      </w:r>
    </w:p>
    <w:p>
      <w:pPr>
        <w:spacing w:line="360" w:lineRule="auto"/>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三、本单位清楚知道并严格遵守政府采购法律法规、政策文件和相关纪律。</w:t>
      </w:r>
    </w:p>
    <w:p>
      <w:pPr>
        <w:autoSpaceDE w:val="0"/>
        <w:autoSpaceDN w:val="0"/>
        <w:spacing w:line="360" w:lineRule="auto"/>
        <w:ind w:firstLine="5040" w:firstLineChars="2100"/>
        <w:jc w:val="left"/>
        <w:rPr>
          <w:rFonts w:hint="eastAsia"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lang w:val="zh-CN"/>
        </w:rPr>
        <w:t>投标人名称（电子签名）：</w:t>
      </w:r>
    </w:p>
    <w:p>
      <w:pPr>
        <w:autoSpaceDE w:val="0"/>
        <w:autoSpaceDN w:val="0"/>
        <w:spacing w:line="360" w:lineRule="auto"/>
        <w:ind w:right="960" w:firstLine="5040" w:firstLineChars="210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日期：  年  月   日</w:t>
      </w:r>
    </w:p>
    <w:p>
      <w:pPr>
        <w:tabs>
          <w:tab w:val="left" w:pos="0"/>
        </w:tabs>
        <w:autoSpaceDE w:val="0"/>
        <w:autoSpaceDN w:val="0"/>
        <w:spacing w:line="360" w:lineRule="auto"/>
        <w:ind w:firstLine="2409" w:firstLineChars="800"/>
        <w:rPr>
          <w:rFonts w:hint="eastAsia" w:ascii="仿宋_GB2312" w:hAnsi="仿宋" w:eastAsia="仿宋_GB2312" w:cs="仿宋"/>
          <w:b/>
          <w:bCs/>
          <w:color w:val="auto"/>
          <w:sz w:val="30"/>
          <w:szCs w:val="30"/>
          <w:highlight w:val="none"/>
        </w:rPr>
      </w:pPr>
    </w:p>
    <w:p>
      <w:pPr>
        <w:tabs>
          <w:tab w:val="left" w:pos="0"/>
        </w:tabs>
        <w:autoSpaceDE w:val="0"/>
        <w:autoSpaceDN w:val="0"/>
        <w:spacing w:line="360" w:lineRule="auto"/>
        <w:ind w:firstLine="2409" w:firstLineChars="800"/>
        <w:rPr>
          <w:rFonts w:hint="eastAsia" w:ascii="仿宋_GB2312" w:hAnsi="仿宋" w:eastAsia="仿宋_GB2312" w:cs="仿宋"/>
          <w:b/>
          <w:bCs/>
          <w:color w:val="auto"/>
          <w:sz w:val="30"/>
          <w:szCs w:val="30"/>
          <w:highlight w:val="none"/>
        </w:rPr>
      </w:pPr>
    </w:p>
    <w:p>
      <w:pPr>
        <w:tabs>
          <w:tab w:val="left" w:pos="0"/>
        </w:tabs>
        <w:autoSpaceDE w:val="0"/>
        <w:autoSpaceDN w:val="0"/>
        <w:spacing w:line="360" w:lineRule="auto"/>
        <w:ind w:firstLine="2409" w:firstLineChars="800"/>
        <w:rPr>
          <w:rFonts w:hint="eastAsia" w:ascii="仿宋_GB2312" w:hAnsi="仿宋" w:eastAsia="仿宋_GB2312" w:cs="仿宋"/>
          <w:b/>
          <w:bCs/>
          <w:color w:val="auto"/>
          <w:sz w:val="30"/>
          <w:szCs w:val="30"/>
          <w:highlight w:val="none"/>
        </w:rPr>
      </w:pPr>
    </w:p>
    <w:p>
      <w:pPr>
        <w:tabs>
          <w:tab w:val="left" w:pos="0"/>
        </w:tabs>
        <w:autoSpaceDE w:val="0"/>
        <w:autoSpaceDN w:val="0"/>
        <w:spacing w:line="360" w:lineRule="auto"/>
        <w:ind w:firstLine="2409" w:firstLineChars="800"/>
        <w:rPr>
          <w:rFonts w:hint="eastAsia" w:ascii="仿宋_GB2312" w:hAnsi="仿宋" w:eastAsia="仿宋_GB2312" w:cs="仿宋"/>
          <w:b/>
          <w:bCs/>
          <w:color w:val="auto"/>
          <w:sz w:val="30"/>
          <w:szCs w:val="30"/>
          <w:highlight w:val="none"/>
        </w:rPr>
      </w:pPr>
      <w:r>
        <w:rPr>
          <w:rFonts w:hint="eastAsia" w:ascii="仿宋_GB2312" w:hAnsi="仿宋" w:eastAsia="仿宋_GB2312" w:cs="仿宋"/>
          <w:b/>
          <w:bCs/>
          <w:color w:val="auto"/>
          <w:sz w:val="30"/>
          <w:szCs w:val="30"/>
          <w:highlight w:val="none"/>
        </w:rPr>
        <w:t>十七、廉政承诺书</w:t>
      </w:r>
    </w:p>
    <w:p>
      <w:pPr>
        <w:autoSpaceDE w:val="0"/>
        <w:autoSpaceDN w:val="0"/>
        <w:spacing w:line="360" w:lineRule="auto"/>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sz w:val="24"/>
          <w:highlight w:val="none"/>
        </w:rPr>
        <w:t>杭州市公安局、杭州市公共资源交易中心（杭州市政府采购中心）</w:t>
      </w:r>
      <w:r>
        <w:rPr>
          <w:rFonts w:hint="eastAsia" w:ascii="仿宋_GB2312" w:hAnsi="仿宋" w:eastAsia="仿宋_GB2312" w:cs="仿宋"/>
          <w:color w:val="auto"/>
          <w:kern w:val="0"/>
          <w:sz w:val="24"/>
          <w:highlight w:val="none"/>
          <w:lang w:val="zh-CN"/>
        </w:rPr>
        <w:t xml:space="preserve">：    </w:t>
      </w:r>
    </w:p>
    <w:p>
      <w:pPr>
        <w:autoSpaceDE w:val="0"/>
        <w:autoSpaceDN w:val="0"/>
        <w:spacing w:line="360" w:lineRule="auto"/>
        <w:ind w:left="2" w:leftChars="1" w:firstLine="480" w:firstLineChars="2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我单位响应你</w:t>
      </w:r>
      <w:r>
        <w:rPr>
          <w:rFonts w:hint="eastAsia" w:ascii="仿宋_GB2312" w:hAnsi="仿宋" w:eastAsia="仿宋_GB2312" w:cs="仿宋"/>
          <w:color w:val="auto"/>
          <w:sz w:val="24"/>
          <w:highlight w:val="none"/>
        </w:rPr>
        <w:t>单位</w:t>
      </w:r>
      <w:r>
        <w:rPr>
          <w:rFonts w:hint="eastAsia" w:ascii="仿宋_GB2312" w:hAnsi="仿宋" w:eastAsia="仿宋_GB2312"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好处；</w:t>
      </w:r>
    </w:p>
    <w:p>
      <w:pPr>
        <w:autoSpaceDE w:val="0"/>
        <w:autoSpaceDN w:val="0"/>
        <w:spacing w:line="360" w:lineRule="auto"/>
        <w:ind w:left="481" w:leftChars="229"/>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六、严格遵守《</w:t>
      </w:r>
      <w:r>
        <w:rPr>
          <w:rFonts w:hint="eastAsia" w:ascii="仿宋_GB2312" w:hAnsi="仿宋" w:eastAsia="仿宋_GB2312" w:cs="仿宋"/>
          <w:color w:val="auto"/>
          <w:sz w:val="24"/>
          <w:highlight w:val="none"/>
          <w:lang w:val="zh-CN"/>
        </w:rPr>
        <w:t>中华人民共和国</w:t>
      </w:r>
      <w:r>
        <w:rPr>
          <w:rFonts w:hint="eastAsia" w:ascii="仿宋_GB2312" w:hAnsi="仿宋" w:eastAsia="仿宋_GB2312" w:cs="仿宋"/>
          <w:color w:val="auto"/>
          <w:kern w:val="0"/>
          <w:sz w:val="24"/>
          <w:highlight w:val="none"/>
          <w:lang w:val="zh-CN"/>
        </w:rPr>
        <w:t>政府采购法》《</w:t>
      </w:r>
      <w:r>
        <w:rPr>
          <w:rFonts w:hint="eastAsia" w:ascii="仿宋_GB2312" w:hAnsi="仿宋" w:eastAsia="仿宋_GB2312" w:cs="仿宋"/>
          <w:color w:val="auto"/>
          <w:sz w:val="24"/>
          <w:highlight w:val="none"/>
          <w:lang w:val="zh-CN"/>
        </w:rPr>
        <w:t>中华人民共和国</w:t>
      </w:r>
      <w:r>
        <w:rPr>
          <w:rFonts w:hint="eastAsia" w:ascii="仿宋_GB2312" w:hAnsi="仿宋" w:eastAsia="仿宋_GB2312" w:cs="仿宋"/>
          <w:color w:val="auto"/>
          <w:kern w:val="0"/>
          <w:sz w:val="24"/>
          <w:highlight w:val="none"/>
          <w:lang w:val="zh-CN"/>
        </w:rPr>
        <w:t>招标投标</w:t>
      </w:r>
    </w:p>
    <w:p>
      <w:pPr>
        <w:autoSpaceDE w:val="0"/>
        <w:autoSpaceDN w:val="0"/>
        <w:spacing w:line="360" w:lineRule="auto"/>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法》</w:t>
      </w:r>
      <w:r>
        <w:rPr>
          <w:rFonts w:hint="eastAsia" w:ascii="仿宋_GB2312" w:hAnsi="仿宋" w:eastAsia="仿宋_GB2312" w:cs="仿宋"/>
          <w:color w:val="auto"/>
          <w:sz w:val="24"/>
          <w:highlight w:val="none"/>
          <w:lang w:val="zh-CN"/>
        </w:rPr>
        <w:t>《中华人民共和国民法典》</w:t>
      </w:r>
      <w:r>
        <w:rPr>
          <w:rFonts w:hint="eastAsia" w:ascii="仿宋_GB2312" w:hAnsi="仿宋" w:eastAsia="仿宋_GB2312"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如违反上述承诺，你</w:t>
      </w:r>
      <w:r>
        <w:rPr>
          <w:rFonts w:hint="eastAsia" w:ascii="仿宋_GB2312" w:hAnsi="仿宋" w:eastAsia="仿宋_GB2312" w:cs="仿宋"/>
          <w:color w:val="auto"/>
          <w:sz w:val="24"/>
          <w:highlight w:val="none"/>
        </w:rPr>
        <w:t>单位</w:t>
      </w:r>
      <w:r>
        <w:rPr>
          <w:rFonts w:hint="eastAsia" w:ascii="仿宋_GB2312" w:hAnsi="仿宋" w:eastAsia="仿宋_GB2312" w:cs="仿宋"/>
          <w:color w:val="auto"/>
          <w:kern w:val="0"/>
          <w:sz w:val="24"/>
          <w:highlight w:val="none"/>
          <w:lang w:val="zh-CN"/>
        </w:rPr>
        <w:t>有权立即取消我单位投标、中标或在建项目的建设资格，有权拒绝我单位在一定时期内进入你</w:t>
      </w:r>
      <w:r>
        <w:rPr>
          <w:rFonts w:hint="eastAsia" w:ascii="仿宋_GB2312" w:hAnsi="仿宋" w:eastAsia="仿宋_GB2312" w:cs="仿宋"/>
          <w:color w:val="auto"/>
          <w:sz w:val="24"/>
          <w:highlight w:val="none"/>
        </w:rPr>
        <w:t>单位</w:t>
      </w:r>
      <w:r>
        <w:rPr>
          <w:rFonts w:hint="eastAsia" w:ascii="仿宋_GB2312" w:hAnsi="仿宋" w:eastAsia="仿宋_GB2312"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 w:eastAsia="仿宋_GB2312" w:cs="仿宋"/>
          <w:color w:val="auto"/>
          <w:kern w:val="0"/>
          <w:sz w:val="24"/>
          <w:highlight w:val="none"/>
          <w:lang w:val="zh-CN"/>
        </w:rPr>
      </w:pPr>
    </w:p>
    <w:p>
      <w:pPr>
        <w:autoSpaceDE w:val="0"/>
        <w:autoSpaceDN w:val="0"/>
        <w:spacing w:line="360" w:lineRule="auto"/>
        <w:ind w:left="2"/>
        <w:jc w:val="left"/>
        <w:rPr>
          <w:rFonts w:hint="eastAsia" w:ascii="仿宋_GB2312" w:hAnsi="仿宋" w:eastAsia="仿宋_GB2312" w:cs="仿宋"/>
          <w:color w:val="auto"/>
          <w:kern w:val="0"/>
          <w:sz w:val="24"/>
          <w:highlight w:val="none"/>
          <w:lang w:val="zh-CN"/>
        </w:rPr>
      </w:pPr>
    </w:p>
    <w:p>
      <w:pPr>
        <w:autoSpaceDE w:val="0"/>
        <w:autoSpaceDN w:val="0"/>
        <w:spacing w:line="360" w:lineRule="auto"/>
        <w:ind w:left="2"/>
        <w:jc w:val="left"/>
        <w:rPr>
          <w:rFonts w:hint="eastAsia" w:ascii="仿宋_GB2312" w:hAnsi="仿宋" w:eastAsia="仿宋_GB2312" w:cs="仿宋"/>
          <w:color w:val="auto"/>
          <w:kern w:val="0"/>
          <w:sz w:val="24"/>
          <w:highlight w:val="none"/>
          <w:lang w:val="zh-CN"/>
        </w:rPr>
      </w:pPr>
    </w:p>
    <w:p>
      <w:pPr>
        <w:autoSpaceDE w:val="0"/>
        <w:autoSpaceDN w:val="0"/>
        <w:spacing w:line="360" w:lineRule="auto"/>
        <w:ind w:right="1120" w:firstLine="5280" w:firstLineChars="2200"/>
        <w:jc w:val="left"/>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投标人名称（</w:t>
      </w:r>
      <w:r>
        <w:rPr>
          <w:rFonts w:hint="eastAsia" w:ascii="仿宋_GB2312" w:hAnsi="仿宋" w:eastAsia="仿宋_GB2312" w:cs="仿宋"/>
          <w:color w:val="auto"/>
          <w:sz w:val="24"/>
          <w:highlight w:val="none"/>
        </w:rPr>
        <w:t>电子签名</w:t>
      </w:r>
      <w:r>
        <w:rPr>
          <w:rFonts w:hint="eastAsia" w:ascii="仿宋_GB2312" w:hAnsi="仿宋" w:eastAsia="仿宋_GB2312" w:cs="仿宋"/>
          <w:color w:val="auto"/>
          <w:kern w:val="0"/>
          <w:sz w:val="24"/>
          <w:highlight w:val="none"/>
          <w:lang w:val="zh-CN"/>
        </w:rPr>
        <w:t xml:space="preserve">）：             </w:t>
      </w:r>
    </w:p>
    <w:p>
      <w:pPr>
        <w:spacing w:line="360" w:lineRule="auto"/>
        <w:ind w:left="5280" w:hanging="5280" w:hangingChars="22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lang w:val="zh-CN"/>
        </w:rPr>
        <w:t xml:space="preserve">                                            日期</w:t>
      </w:r>
      <w:r>
        <w:rPr>
          <w:rFonts w:hint="eastAsia" w:ascii="仿宋_GB2312" w:hAnsi="仿宋" w:eastAsia="仿宋_GB2312" w:cs="仿宋"/>
          <w:color w:val="auto"/>
          <w:kern w:val="0"/>
          <w:sz w:val="24"/>
          <w:highlight w:val="none"/>
        </w:rPr>
        <w:t>：</w:t>
      </w:r>
      <w:r>
        <w:rPr>
          <w:rFonts w:hint="eastAsia" w:ascii="仿宋_GB2312" w:hAnsi="仿宋" w:eastAsia="仿宋_GB2312" w:cs="仿宋"/>
          <w:color w:val="auto"/>
          <w:kern w:val="0"/>
          <w:sz w:val="24"/>
          <w:highlight w:val="none"/>
          <w:lang w:val="zh-CN"/>
        </w:rPr>
        <w:t xml:space="preserve">   年   月   日                                                                                                                                                       </w:t>
      </w:r>
    </w:p>
    <w:p>
      <w:pPr>
        <w:spacing w:line="360" w:lineRule="auto"/>
        <w:jc w:val="center"/>
        <w:rPr>
          <w:rFonts w:hint="eastAsia" w:ascii="仿宋_GB2312" w:hAnsi="仿宋" w:eastAsia="仿宋_GB2312" w:cs="仿宋"/>
          <w:b/>
          <w:bCs/>
          <w:color w:val="auto"/>
          <w:sz w:val="24"/>
          <w:highlight w:val="none"/>
        </w:rPr>
      </w:pPr>
    </w:p>
    <w:p>
      <w:pPr>
        <w:spacing w:line="360" w:lineRule="auto"/>
        <w:jc w:val="center"/>
        <w:rPr>
          <w:rFonts w:hint="eastAsia" w:ascii="仿宋_GB2312" w:hAnsi="仿宋" w:eastAsia="仿宋_GB2312" w:cs="仿宋"/>
          <w:b/>
          <w:bCs/>
          <w:color w:val="auto"/>
          <w:sz w:val="24"/>
          <w:highlight w:val="none"/>
        </w:rPr>
        <w:sectPr>
          <w:pgSz w:w="11906" w:h="16838"/>
          <w:pgMar w:top="1247" w:right="1418" w:bottom="1276" w:left="1418" w:header="851" w:footer="992" w:gutter="0"/>
          <w:cols w:space="720" w:num="1"/>
          <w:titlePg/>
          <w:docGrid w:linePitch="312" w:charSpace="0"/>
        </w:sectPr>
      </w:pPr>
    </w:p>
    <w:p>
      <w:pPr>
        <w:tabs>
          <w:tab w:val="left" w:pos="8085"/>
        </w:tabs>
        <w:spacing w:line="360" w:lineRule="auto"/>
        <w:jc w:val="left"/>
        <w:rPr>
          <w:rFonts w:hint="eastAsia" w:ascii="仿宋_GB2312" w:hAnsi="仿宋" w:eastAsia="仿宋_GB2312" w:cs="仿宋"/>
          <w:b/>
          <w:color w:val="auto"/>
          <w:sz w:val="32"/>
          <w:szCs w:val="32"/>
          <w:highlight w:val="none"/>
        </w:rPr>
      </w:pPr>
    </w:p>
    <w:p>
      <w:pPr>
        <w:tabs>
          <w:tab w:val="left" w:pos="8085"/>
        </w:tabs>
        <w:spacing w:line="360" w:lineRule="auto"/>
        <w:ind w:firstLine="1285" w:firstLineChars="400"/>
        <w:jc w:val="left"/>
        <w:rPr>
          <w:rFonts w:hint="eastAsia" w:ascii="仿宋_GB2312" w:hAnsi="仿宋" w:eastAsia="仿宋_GB2312" w:cs="仿宋"/>
          <w:b/>
          <w:color w:val="auto"/>
          <w:sz w:val="32"/>
          <w:szCs w:val="32"/>
          <w:highlight w:val="none"/>
        </w:rPr>
      </w:pPr>
      <w:r>
        <w:rPr>
          <w:rFonts w:hint="eastAsia" w:ascii="仿宋_GB2312" w:hAnsi="仿宋" w:eastAsia="仿宋_GB2312" w:cs="仿宋"/>
          <w:b/>
          <w:color w:val="auto"/>
          <w:sz w:val="32"/>
          <w:szCs w:val="32"/>
          <w:highlight w:val="none"/>
        </w:rPr>
        <w:t>政府采购支持中小企业信用融资相关事项通知</w:t>
      </w:r>
    </w:p>
    <w:p>
      <w:pPr>
        <w:spacing w:line="360" w:lineRule="auto"/>
        <w:ind w:firstLine="480" w:firstLineChars="200"/>
        <w:rPr>
          <w:rFonts w:hint="eastAsia" w:ascii="仿宋_GB2312" w:hAnsi="仿宋" w:eastAsia="仿宋_GB2312" w:cs="仿宋"/>
          <w:color w:val="auto"/>
          <w:kern w:val="0"/>
          <w:sz w:val="24"/>
          <w:highlight w:val="none"/>
          <w:lang w:val="zh-CN"/>
        </w:rPr>
      </w:pPr>
      <w:r>
        <w:rPr>
          <w:rFonts w:hint="eastAsia" w:ascii="仿宋_GB2312" w:hAnsi="仿宋" w:eastAsia="仿宋_GB2312" w:cs="仿宋"/>
          <w:color w:val="auto"/>
          <w:kern w:val="0"/>
          <w:sz w:val="24"/>
          <w:highlight w:val="none"/>
          <w:lang w:val="zh-CN"/>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一、适用对象</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在浙江政府采购网注册入库，并取得杭州市政府采购合同的杭州市内中小企业供应商。</w:t>
      </w:r>
    </w:p>
    <w:p>
      <w:pPr>
        <w:spacing w:line="360" w:lineRule="auto"/>
        <w:ind w:firstLine="482" w:firstLineChars="20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二、相关信息获取方式</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请登陆杭州市政府采购网“中小企业信用融资”模块，查看信用融资政策文件及各相关银行服务方案。</w:t>
      </w:r>
    </w:p>
    <w:p>
      <w:pPr>
        <w:spacing w:line="360" w:lineRule="auto"/>
        <w:ind w:firstLine="482" w:firstLineChars="20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三、申请方式和步骤</w:t>
      </w:r>
    </w:p>
    <w:p>
      <w:pPr>
        <w:spacing w:line="360" w:lineRule="auto"/>
        <w:ind w:firstLine="482" w:firstLineChars="200"/>
        <w:rPr>
          <w:rFonts w:hint="eastAsia" w:ascii="仿宋_GB2312" w:hAnsi="仿宋" w:eastAsia="仿宋_GB2312" w:cs="仿宋"/>
          <w:b/>
          <w:bCs/>
          <w:color w:val="auto"/>
          <w:sz w:val="24"/>
          <w:highlight w:val="none"/>
        </w:rPr>
      </w:pPr>
      <w:r>
        <w:rPr>
          <w:rFonts w:hint="eastAsia" w:ascii="仿宋_GB2312" w:hAnsi="仿宋" w:eastAsia="仿宋_GB2312" w:cs="仿宋"/>
          <w:b/>
          <w:bCs/>
          <w:color w:val="auto"/>
          <w:sz w:val="24"/>
          <w:highlight w:val="none"/>
        </w:rPr>
        <w:t>（一）“云采贷”融资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1、供应商先与银行对接，办理融资前期手续；</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2、供应商中标后，登陆“中小企业信用融资”模块测算授信额度，并向银行发出融资申请；</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3、银行线上审批通过后，办理放贷手续。</w:t>
      </w:r>
    </w:p>
    <w:p>
      <w:pPr>
        <w:spacing w:line="360" w:lineRule="auto"/>
        <w:ind w:firstLine="482" w:firstLineChars="200"/>
        <w:rPr>
          <w:rFonts w:hint="eastAsia" w:ascii="仿宋_GB2312" w:hAnsi="仿宋" w:eastAsia="仿宋_GB2312" w:cs="仿宋"/>
          <w:b/>
          <w:bCs/>
          <w:color w:val="auto"/>
          <w:sz w:val="24"/>
          <w:highlight w:val="none"/>
        </w:rPr>
      </w:pPr>
      <w:r>
        <w:rPr>
          <w:rFonts w:hint="eastAsia" w:ascii="仿宋_GB2312" w:hAnsi="仿宋" w:eastAsia="仿宋_GB2312" w:cs="仿宋"/>
          <w:b/>
          <w:bCs/>
          <w:color w:val="auto"/>
          <w:sz w:val="24"/>
          <w:highlight w:val="none"/>
        </w:rPr>
        <w:t>（二）一般融资</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1、供应商先与银行对接，办理融资前期手续；</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2、供应商中标后，登陆杭州市政府采购网“中小企业信用融资”模块，向相关合作银行发出融资申请；</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3、银行在“中小企业信用融资”模块受理申请；</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4、银行、供应商线下办理审批、放贷事宜。</w:t>
      </w:r>
    </w:p>
    <w:p>
      <w:pPr>
        <w:spacing w:line="360" w:lineRule="auto"/>
        <w:ind w:firstLine="482" w:firstLineChars="200"/>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四、注意事项</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1、供应商需确保政府采购合同的收款银行与融资银行一致。</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2、请各采购单位积极支持和配合政府采购信用融资工作，在合同备案环节仔细核对收款银行、账号信息等内容，一旦录入将无法修改。</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3、技术服务热线：87210880；如有业务问题可与各合作银行联系。</w:t>
      </w:r>
    </w:p>
    <w:p>
      <w:pPr>
        <w:spacing w:line="360" w:lineRule="auto"/>
        <w:ind w:left="5060" w:hanging="5060" w:hangingChars="2100"/>
        <w:rPr>
          <w:rFonts w:hint="eastAsia" w:ascii="仿宋_GB2312" w:hAnsi="仿宋" w:eastAsia="仿宋_GB2312" w:cs="仿宋"/>
          <w:b/>
          <w:bCs/>
          <w:color w:val="auto"/>
          <w:kern w:val="0"/>
          <w:sz w:val="24"/>
          <w:highlight w:val="none"/>
        </w:rPr>
      </w:pPr>
    </w:p>
    <w:p>
      <w:pPr>
        <w:pStyle w:val="2"/>
        <w:keepNext w:val="0"/>
        <w:keepLines w:val="0"/>
        <w:pageBreakBefore/>
        <w:widowControl/>
        <w:numPr>
          <w:ilvl w:val="0"/>
          <w:numId w:val="0"/>
        </w:numPr>
        <w:spacing w:before="100" w:beforeAutospacing="1" w:after="100" w:afterAutospacing="1" w:line="360" w:lineRule="auto"/>
        <w:ind w:left="1290" w:firstLine="3092" w:firstLineChars="700"/>
        <w:rPr>
          <w:rFonts w:hint="eastAsia" w:ascii="仿宋_GB2312" w:hAnsi="仿宋" w:eastAsia="仿宋_GB2312" w:cs="仿宋"/>
          <w:color w:val="auto"/>
          <w:highlight w:val="none"/>
        </w:rPr>
      </w:pPr>
      <w:bookmarkStart w:id="574" w:name="_Toc465665161"/>
      <w:r>
        <w:rPr>
          <w:rFonts w:hint="eastAsia" w:ascii="仿宋_GB2312" w:hAnsi="仿宋" w:eastAsia="仿宋_GB2312" w:cs="仿宋"/>
          <w:color w:val="auto"/>
          <w:highlight w:val="none"/>
        </w:rPr>
        <w:t>附件</w:t>
      </w:r>
      <w:bookmarkEnd w:id="574"/>
    </w:p>
    <w:p>
      <w:pPr>
        <w:spacing w:line="360" w:lineRule="auto"/>
        <w:rPr>
          <w:rFonts w:hint="eastAsia" w:ascii="仿宋_GB2312" w:hAnsi="仿宋" w:eastAsia="仿宋_GB2312" w:cs="仿宋"/>
          <w:b/>
          <w:color w:val="auto"/>
          <w:spacing w:val="6"/>
          <w:sz w:val="32"/>
          <w:szCs w:val="32"/>
          <w:highlight w:val="none"/>
        </w:rPr>
      </w:pPr>
      <w:r>
        <w:rPr>
          <w:rFonts w:hint="eastAsia" w:ascii="仿宋_GB2312" w:hAnsi="仿宋" w:eastAsia="仿宋_GB2312" w:cs="仿宋"/>
          <w:b/>
          <w:color w:val="auto"/>
          <w:spacing w:val="6"/>
          <w:sz w:val="32"/>
          <w:szCs w:val="32"/>
          <w:highlight w:val="none"/>
        </w:rPr>
        <w:t>附件1：</w:t>
      </w:r>
    </w:p>
    <w:p>
      <w:pPr>
        <w:spacing w:line="360" w:lineRule="auto"/>
        <w:jc w:val="center"/>
        <w:rPr>
          <w:rFonts w:hint="eastAsia" w:ascii="仿宋_GB2312" w:hAnsi="仿宋" w:eastAsia="仿宋_GB2312" w:cs="仿宋"/>
          <w:b/>
          <w:color w:val="auto"/>
          <w:spacing w:val="6"/>
          <w:sz w:val="32"/>
          <w:szCs w:val="32"/>
          <w:highlight w:val="none"/>
        </w:rPr>
      </w:pPr>
      <w:bookmarkStart w:id="575" w:name="OLE_LINK14"/>
      <w:bookmarkStart w:id="576" w:name="OLE_LINK13"/>
      <w:r>
        <w:rPr>
          <w:rFonts w:hint="eastAsia" w:ascii="仿宋_GB2312" w:hAnsi="仿宋" w:eastAsia="仿宋_GB2312" w:cs="仿宋"/>
          <w:b/>
          <w:color w:val="auto"/>
          <w:spacing w:val="6"/>
          <w:sz w:val="32"/>
          <w:szCs w:val="32"/>
          <w:highlight w:val="none"/>
        </w:rPr>
        <w:t>残疾人福利性单位声明函</w:t>
      </w:r>
    </w:p>
    <w:bookmarkEnd w:id="575"/>
    <w:bookmarkEnd w:id="576"/>
    <w:p>
      <w:pPr>
        <w:spacing w:line="360" w:lineRule="auto"/>
        <w:rPr>
          <w:rFonts w:hint="eastAsia" w:ascii="仿宋_GB2312" w:hAnsi="仿宋" w:eastAsia="仿宋_GB2312" w:cs="仿宋"/>
          <w:b/>
          <w:color w:val="auto"/>
          <w:spacing w:val="6"/>
          <w:sz w:val="30"/>
          <w:szCs w:val="30"/>
          <w:highlight w:val="none"/>
        </w:rPr>
      </w:pP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本单位对上述声明的真实性负责。如有虚假，将依法承担相应责任。</w:t>
      </w:r>
    </w:p>
    <w:p>
      <w:pPr>
        <w:spacing w:line="360" w:lineRule="auto"/>
        <w:ind w:firstLine="480" w:firstLineChars="200"/>
        <w:rPr>
          <w:rFonts w:hint="eastAsia" w:ascii="仿宋_GB2312" w:hAnsi="仿宋" w:eastAsia="仿宋_GB2312" w:cs="仿宋"/>
          <w:color w:val="auto"/>
          <w:sz w:val="24"/>
          <w:highlight w:val="none"/>
        </w:rPr>
      </w:pPr>
    </w:p>
    <w:p>
      <w:pPr>
        <w:spacing w:line="360" w:lineRule="auto"/>
        <w:ind w:firstLine="480" w:firstLineChars="200"/>
        <w:rPr>
          <w:rFonts w:hint="eastAsia" w:ascii="仿宋_GB2312" w:hAnsi="仿宋" w:eastAsia="仿宋_GB2312" w:cs="仿宋"/>
          <w:color w:val="auto"/>
          <w:sz w:val="24"/>
          <w:highlight w:val="none"/>
        </w:rPr>
      </w:pPr>
    </w:p>
    <w:p>
      <w:pPr>
        <w:tabs>
          <w:tab w:val="left" w:pos="4860"/>
        </w:tabs>
        <w:spacing w:line="360" w:lineRule="auto"/>
        <w:ind w:right="1560" w:firstLine="480" w:firstLineChars="20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w:t>
      </w:r>
      <w:r>
        <w:rPr>
          <w:rFonts w:hint="eastAsia" w:ascii="仿宋_GB2312" w:hAnsi="仿宋" w:eastAsia="仿宋_GB2312" w:cs="仿宋"/>
          <w:color w:val="auto"/>
          <w:kern w:val="0"/>
          <w:sz w:val="24"/>
          <w:highlight w:val="none"/>
          <w:lang w:val="zh-CN"/>
        </w:rPr>
        <w:t>投标人名称（电子签名）</w:t>
      </w:r>
      <w:r>
        <w:rPr>
          <w:rFonts w:hint="eastAsia" w:ascii="仿宋_GB2312" w:hAnsi="仿宋" w:eastAsia="仿宋_GB2312" w:cs="仿宋"/>
          <w:color w:val="auto"/>
          <w:sz w:val="24"/>
          <w:highlight w:val="none"/>
        </w:rPr>
        <w:t>：</w:t>
      </w:r>
    </w:p>
    <w:p>
      <w:pPr>
        <w:tabs>
          <w:tab w:val="left" w:pos="4860"/>
        </w:tabs>
        <w:spacing w:line="360" w:lineRule="auto"/>
        <w:ind w:right="1560" w:firstLine="480" w:firstLineChars="200"/>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日  期：</w:t>
      </w:r>
    </w:p>
    <w:p>
      <w:pPr>
        <w:spacing w:line="360" w:lineRule="auto"/>
        <w:ind w:firstLine="480" w:firstLineChars="200"/>
        <w:rPr>
          <w:rFonts w:hint="eastAsia" w:ascii="仿宋_GB2312" w:hAnsi="仿宋" w:eastAsia="仿宋_GB2312" w:cs="仿宋"/>
          <w:color w:val="auto"/>
          <w:sz w:val="24"/>
          <w:highlight w:val="none"/>
        </w:rPr>
      </w:pPr>
    </w:p>
    <w:p>
      <w:pPr>
        <w:spacing w:line="360" w:lineRule="auto"/>
        <w:ind w:firstLine="420" w:firstLineChars="200"/>
        <w:rPr>
          <w:rFonts w:hint="eastAsia" w:ascii="仿宋_GB2312" w:hAnsi="仿宋" w:eastAsia="仿宋_GB2312" w:cs="仿宋"/>
          <w:color w:val="auto"/>
          <w:highlight w:val="none"/>
        </w:rPr>
      </w:pPr>
    </w:p>
    <w:p>
      <w:pPr>
        <w:spacing w:line="360" w:lineRule="auto"/>
        <w:ind w:firstLine="420" w:firstLineChars="200"/>
        <w:rPr>
          <w:rFonts w:hint="eastAsia" w:ascii="仿宋_GB2312" w:hAnsi="仿宋" w:eastAsia="仿宋_GB2312" w:cs="仿宋"/>
          <w:color w:val="auto"/>
          <w:highlight w:val="none"/>
        </w:rPr>
      </w:pPr>
    </w:p>
    <w:p>
      <w:pPr>
        <w:spacing w:line="360" w:lineRule="auto"/>
        <w:ind w:firstLine="420" w:firstLineChars="200"/>
        <w:rPr>
          <w:rFonts w:hint="eastAsia" w:ascii="仿宋_GB2312" w:hAnsi="仿宋" w:eastAsia="仿宋_GB2312" w:cs="仿宋"/>
          <w:color w:val="auto"/>
          <w:highlight w:val="none"/>
        </w:rPr>
      </w:pPr>
    </w:p>
    <w:p>
      <w:pPr>
        <w:spacing w:line="360" w:lineRule="auto"/>
        <w:ind w:firstLine="420" w:firstLineChars="200"/>
        <w:rPr>
          <w:rFonts w:hint="eastAsia" w:ascii="仿宋_GB2312" w:hAnsi="仿宋" w:eastAsia="仿宋_GB2312" w:cs="仿宋"/>
          <w:color w:val="auto"/>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jc w:val="left"/>
        <w:rPr>
          <w:rFonts w:hint="eastAsia" w:ascii="仿宋_GB2312" w:hAnsi="仿宋" w:eastAsia="仿宋_GB2312" w:cs="仿宋"/>
          <w:b/>
          <w:color w:val="auto"/>
          <w:spacing w:val="6"/>
          <w:sz w:val="32"/>
          <w:szCs w:val="32"/>
          <w:highlight w:val="none"/>
        </w:rPr>
      </w:pPr>
      <w:r>
        <w:rPr>
          <w:rFonts w:hint="eastAsia" w:ascii="仿宋_GB2312" w:hAnsi="仿宋" w:eastAsia="仿宋_GB2312" w:cs="仿宋"/>
          <w:b/>
          <w:color w:val="auto"/>
          <w:spacing w:val="6"/>
          <w:sz w:val="32"/>
          <w:szCs w:val="32"/>
          <w:highlight w:val="none"/>
        </w:rPr>
        <w:t>附件2：质疑函范本及制作说明</w:t>
      </w:r>
    </w:p>
    <w:p>
      <w:pPr>
        <w:spacing w:line="360" w:lineRule="auto"/>
        <w:jc w:val="center"/>
        <w:rPr>
          <w:rFonts w:hint="eastAsia" w:ascii="仿宋_GB2312" w:hAnsi="仿宋" w:eastAsia="仿宋_GB2312" w:cs="仿宋"/>
          <w:b/>
          <w:color w:val="auto"/>
          <w:spacing w:val="6"/>
          <w:sz w:val="32"/>
          <w:szCs w:val="32"/>
          <w:highlight w:val="none"/>
        </w:rPr>
      </w:pPr>
      <w:r>
        <w:rPr>
          <w:rFonts w:hint="eastAsia" w:ascii="仿宋_GB2312" w:hAnsi="仿宋" w:eastAsia="仿宋_GB2312" w:cs="仿宋"/>
          <w:b/>
          <w:color w:val="auto"/>
          <w:spacing w:val="6"/>
          <w:sz w:val="32"/>
          <w:szCs w:val="32"/>
          <w:highlight w:val="none"/>
        </w:rPr>
        <w:t>质疑函范本</w:t>
      </w:r>
    </w:p>
    <w:p>
      <w:pPr>
        <w:snapToGrid w:val="0"/>
        <w:spacing w:before="240" w:beforeLines="100" w:line="360" w:lineRule="auto"/>
        <w:rPr>
          <w:rFonts w:hint="eastAsia"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地址： </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质疑事项1：</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质疑事项2</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hint="eastAsia"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签字(签章)：                   公章：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日期：    </w:t>
      </w:r>
    </w:p>
    <w:p>
      <w:pPr>
        <w:spacing w:line="360" w:lineRule="auto"/>
        <w:jc w:val="center"/>
        <w:rPr>
          <w:rFonts w:hint="eastAsia" w:ascii="仿宋_GB2312" w:hAnsi="仿宋" w:eastAsia="仿宋_GB2312" w:cs="仿宋"/>
          <w:b/>
          <w:bCs/>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质疑函制作说明：</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2.质疑供应商若委托代理人进行质疑的，质疑函应按要求列明“授权代表”的有关内容，并在附件中提交由质疑</w:t>
      </w:r>
      <w:r>
        <w:rPr>
          <w:rFonts w:hint="eastAsia" w:ascii="仿宋_GB2312" w:hAnsi="仿宋" w:eastAsia="仿宋_GB2312"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5.质疑函的质疑请求应与质疑事项相关。</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cs="仿宋"/>
          <w:color w:val="auto"/>
          <w:sz w:val="30"/>
          <w:szCs w:val="30"/>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center"/>
        <w:rPr>
          <w:rFonts w:hint="eastAsia" w:ascii="仿宋_GB2312" w:hAnsi="仿宋" w:eastAsia="仿宋_GB2312" w:cs="仿宋"/>
          <w:b/>
          <w:color w:val="auto"/>
          <w:spacing w:val="6"/>
          <w:sz w:val="32"/>
          <w:szCs w:val="32"/>
          <w:highlight w:val="none"/>
        </w:rPr>
      </w:pPr>
    </w:p>
    <w:p>
      <w:pPr>
        <w:spacing w:line="360" w:lineRule="auto"/>
        <w:jc w:val="left"/>
        <w:rPr>
          <w:rFonts w:hint="eastAsia" w:ascii="仿宋_GB2312" w:hAnsi="仿宋" w:eastAsia="仿宋_GB2312" w:cs="仿宋"/>
          <w:b/>
          <w:color w:val="auto"/>
          <w:spacing w:val="6"/>
          <w:sz w:val="32"/>
          <w:szCs w:val="32"/>
          <w:highlight w:val="none"/>
        </w:rPr>
      </w:pPr>
      <w:r>
        <w:rPr>
          <w:rFonts w:hint="eastAsia" w:ascii="仿宋_GB2312" w:hAnsi="仿宋" w:eastAsia="仿宋_GB2312" w:cs="仿宋"/>
          <w:b/>
          <w:color w:val="auto"/>
          <w:spacing w:val="6"/>
          <w:sz w:val="32"/>
          <w:szCs w:val="32"/>
          <w:highlight w:val="none"/>
        </w:rPr>
        <w:t>附件3：投诉书范本及制作说明</w:t>
      </w:r>
    </w:p>
    <w:p>
      <w:pPr>
        <w:spacing w:line="360" w:lineRule="auto"/>
        <w:jc w:val="center"/>
        <w:rPr>
          <w:rFonts w:hint="eastAsia" w:ascii="仿宋_GB2312" w:hAnsi="仿宋" w:eastAsia="仿宋_GB2312" w:cs="仿宋"/>
          <w:b/>
          <w:color w:val="auto"/>
          <w:sz w:val="24"/>
          <w:highlight w:val="none"/>
        </w:rPr>
      </w:pPr>
    </w:p>
    <w:p>
      <w:pPr>
        <w:spacing w:line="360" w:lineRule="auto"/>
        <w:jc w:val="center"/>
        <w:rPr>
          <w:rFonts w:hint="eastAsia" w:ascii="仿宋_GB2312" w:hAnsi="仿宋" w:eastAsia="仿宋_GB2312" w:cs="仿宋"/>
          <w:b/>
          <w:color w:val="auto"/>
          <w:spacing w:val="6"/>
          <w:sz w:val="32"/>
          <w:szCs w:val="32"/>
          <w:highlight w:val="none"/>
        </w:rPr>
      </w:pPr>
      <w:r>
        <w:rPr>
          <w:rFonts w:hint="eastAsia" w:ascii="仿宋_GB2312" w:hAnsi="仿宋" w:eastAsia="仿宋_GB2312" w:cs="仿宋"/>
          <w:b/>
          <w:color w:val="auto"/>
          <w:spacing w:val="6"/>
          <w:sz w:val="32"/>
          <w:szCs w:val="32"/>
          <w:highlight w:val="none"/>
        </w:rPr>
        <w:t>投诉书范本</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一、投诉相关主体基本情况</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投诉人：</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地     址：</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u w:val="single"/>
        </w:rPr>
        <w:t xml:space="preserve">   </w:t>
      </w:r>
    </w:p>
    <w:p>
      <w:pPr>
        <w:tabs>
          <w:tab w:val="left" w:pos="6510"/>
        </w:tabs>
        <w:spacing w:line="360" w:lineRule="auto"/>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法定代表人/主要负责人：</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 xml:space="preserve">  </w:t>
      </w:r>
    </w:p>
    <w:p>
      <w:pPr>
        <w:tabs>
          <w:tab w:val="left" w:pos="6510"/>
        </w:tabs>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地     址：</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被投诉人1：</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u w:val="single"/>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地     址：</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u w:val="single"/>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联系人：</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u w:val="single"/>
        </w:rPr>
        <w:t xml:space="preserve">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被投诉人2</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相关供应商：</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u w:val="single"/>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地     址：</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u w:val="single"/>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联系人：</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u w:val="single"/>
        </w:rPr>
        <w:t xml:space="preserve">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二、投诉项目基本情况</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采购项目名称：</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采购项目编号：</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采购人名称：</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u w:val="single"/>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代理机构名称：</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采购文件公告:</w:t>
      </w:r>
      <w:r>
        <w:rPr>
          <w:rFonts w:hint="eastAsia" w:ascii="仿宋_GB2312" w:hAnsi="仿宋" w:eastAsia="仿宋_GB2312" w:cs="仿宋"/>
          <w:color w:val="auto"/>
          <w:sz w:val="24"/>
          <w:highlight w:val="none"/>
          <w:u w:val="dotted"/>
        </w:rPr>
        <w:t xml:space="preserve">是/否 </w:t>
      </w:r>
      <w:r>
        <w:rPr>
          <w:rFonts w:hint="eastAsia" w:ascii="仿宋_GB2312" w:hAnsi="仿宋" w:eastAsia="仿宋_GB2312" w:cs="仿宋"/>
          <w:color w:val="auto"/>
          <w:sz w:val="24"/>
          <w:highlight w:val="none"/>
        </w:rPr>
        <w:t>公告期限：</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采购结果公告:</w:t>
      </w:r>
      <w:r>
        <w:rPr>
          <w:rFonts w:hint="eastAsia" w:ascii="仿宋_GB2312" w:hAnsi="仿宋" w:eastAsia="仿宋_GB2312" w:cs="仿宋"/>
          <w:color w:val="auto"/>
          <w:sz w:val="24"/>
          <w:highlight w:val="none"/>
          <w:u w:val="dotted"/>
        </w:rPr>
        <w:t xml:space="preserve">是/否 </w:t>
      </w:r>
      <w:r>
        <w:rPr>
          <w:rFonts w:hint="eastAsia" w:ascii="仿宋_GB2312" w:hAnsi="仿宋" w:eastAsia="仿宋_GB2312" w:cs="仿宋"/>
          <w:color w:val="auto"/>
          <w:sz w:val="24"/>
          <w:highlight w:val="none"/>
        </w:rPr>
        <w:t>公告期限：</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三、质疑基本情况</w:t>
      </w:r>
    </w:p>
    <w:p>
      <w:pPr>
        <w:spacing w:line="360" w:lineRule="auto"/>
        <w:ind w:firstLine="480" w:firstLineChars="200"/>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投诉人于</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年</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月</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日,向</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提出质疑，质疑事项为：</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 xml:space="preserve">  </w:t>
      </w:r>
    </w:p>
    <w:p>
      <w:pPr>
        <w:spacing w:line="360" w:lineRule="auto"/>
        <w:ind w:firstLine="360" w:firstLineChars="15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u w:val="dotted"/>
        </w:rPr>
        <w:t>采购人/代理机构</w:t>
      </w:r>
      <w:r>
        <w:rPr>
          <w:rFonts w:hint="eastAsia" w:ascii="仿宋_GB2312" w:hAnsi="仿宋" w:eastAsia="仿宋_GB2312" w:cs="仿宋"/>
          <w:color w:val="auto"/>
          <w:sz w:val="24"/>
          <w:highlight w:val="none"/>
        </w:rPr>
        <w:t>于</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年</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月</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日,就质疑事项作出了答复/没有在法定期限内作出答复。</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四、投诉事项具体内容</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投诉事项 1：</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事实依据：</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法律依据：</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投诉事项2</w:t>
      </w:r>
    </w:p>
    <w:p>
      <w:pPr>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五、与投诉事项相关的投诉请求</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请求：</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 xml:space="preserve"> </w:t>
      </w:r>
    </w:p>
    <w:p>
      <w:pPr>
        <w:spacing w:line="360" w:lineRule="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 xml:space="preserve">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签字(签章)：                   公章：                      </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日期：    </w:t>
      </w: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p>
    <w:p>
      <w:pPr>
        <w:spacing w:line="360" w:lineRule="auto"/>
        <w:rPr>
          <w:rFonts w:hint="eastAsia" w:ascii="仿宋_GB2312" w:hAnsi="仿宋" w:eastAsia="仿宋_GB2312" w:cs="仿宋"/>
          <w:b/>
          <w:color w:val="auto"/>
          <w:sz w:val="24"/>
          <w:highlight w:val="none"/>
        </w:rPr>
      </w:pPr>
      <w:r>
        <w:rPr>
          <w:rFonts w:hint="eastAsia" w:ascii="仿宋_GB2312" w:hAnsi="仿宋" w:eastAsia="仿宋_GB2312" w:cs="仿宋"/>
          <w:b/>
          <w:color w:val="auto"/>
          <w:sz w:val="24"/>
          <w:highlight w:val="none"/>
        </w:rPr>
        <w:t>投诉书制作说明：</w:t>
      </w:r>
    </w:p>
    <w:p>
      <w:pPr>
        <w:widowControl/>
        <w:spacing w:line="360" w:lineRule="auto"/>
        <w:ind w:firstLine="480" w:firstLineChars="200"/>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仿宋"/>
          <w:color w:val="auto"/>
          <w:kern w:val="0"/>
          <w:sz w:val="24"/>
          <w:highlight w:val="none"/>
        </w:rPr>
      </w:pPr>
      <w:r>
        <w:rPr>
          <w:rFonts w:hint="eastAsia" w:ascii="仿宋_GB2312" w:hAnsi="仿宋" w:eastAsia="仿宋_GB2312" w:cs="仿宋"/>
          <w:color w:val="auto"/>
          <w:sz w:val="24"/>
          <w:highlight w:val="none"/>
        </w:rPr>
        <w:t>2.投诉人若委托代理人进行投诉的，投诉书应按照要求列明“授权代表”的有关内容，并在附件中提交由</w:t>
      </w:r>
      <w:r>
        <w:rPr>
          <w:rFonts w:hint="eastAsia" w:ascii="仿宋_GB2312" w:hAnsi="仿宋" w:eastAsia="仿宋_GB2312"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6.投诉书的投诉请求应与投诉事项相关。</w:t>
      </w:r>
    </w:p>
    <w:p>
      <w:pPr>
        <w:widowControl/>
        <w:spacing w:line="360" w:lineRule="auto"/>
        <w:ind w:firstLine="480" w:firstLineChars="200"/>
        <w:jc w:val="left"/>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hint="eastAsia" w:ascii="仿宋_GB2312" w:hAnsi="仿宋" w:eastAsia="仿宋_GB2312" w:cs="仿宋"/>
          <w:color w:val="auto"/>
          <w:sz w:val="24"/>
          <w:highlight w:val="none"/>
        </w:rPr>
      </w:pPr>
    </w:p>
    <w:p>
      <w:pPr>
        <w:autoSpaceDE w:val="0"/>
        <w:autoSpaceDN w:val="0"/>
        <w:jc w:val="center"/>
        <w:rPr>
          <w:rFonts w:hint="eastAsia" w:ascii="仿宋_GB2312" w:hAnsi="仿宋" w:eastAsia="仿宋_GB2312" w:cs="仿宋"/>
          <w:b/>
          <w:bCs/>
          <w:color w:val="auto"/>
          <w:sz w:val="32"/>
          <w:szCs w:val="32"/>
          <w:highlight w:val="none"/>
        </w:rPr>
      </w:pPr>
      <w:r>
        <w:rPr>
          <w:rFonts w:hint="eastAsia" w:ascii="仿宋_GB2312" w:hAnsi="仿宋" w:eastAsia="仿宋_GB2312" w:cs="仿宋"/>
          <w:b/>
          <w:color w:val="auto"/>
          <w:spacing w:val="6"/>
          <w:sz w:val="32"/>
          <w:szCs w:val="32"/>
          <w:highlight w:val="none"/>
        </w:rPr>
        <w:t>附件4：</w:t>
      </w:r>
      <w:r>
        <w:rPr>
          <w:rFonts w:hint="eastAsia" w:ascii="仿宋_GB2312" w:hAnsi="仿宋" w:eastAsia="仿宋_GB2312" w:cs="仿宋"/>
          <w:b/>
          <w:bCs/>
          <w:color w:val="auto"/>
          <w:sz w:val="32"/>
          <w:szCs w:val="32"/>
          <w:highlight w:val="none"/>
        </w:rPr>
        <w:t>业务专用章使用说明函</w:t>
      </w:r>
    </w:p>
    <w:p>
      <w:pPr>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u w:val="single"/>
        </w:rPr>
        <w:t>杭州市公安局、杭州市公共资源交易中心（杭州市政府采购中心）</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kern w:val="0"/>
          <w:sz w:val="24"/>
          <w:highlight w:val="none"/>
          <w:lang w:val="zh-CN"/>
        </w:rPr>
        <w:t>我方</w:t>
      </w:r>
      <w:r>
        <w:rPr>
          <w:rFonts w:hint="eastAsia" w:ascii="仿宋_GB2312" w:hAnsi="仿宋" w:eastAsia="仿宋_GB2312" w:cs="仿宋"/>
          <w:color w:val="auto"/>
          <w:kern w:val="0"/>
          <w:sz w:val="24"/>
          <w:highlight w:val="none"/>
          <w:u w:val="single"/>
          <w:lang w:val="zh-CN"/>
        </w:rPr>
        <w:t xml:space="preserve">                         </w:t>
      </w:r>
      <w:r>
        <w:rPr>
          <w:rFonts w:hint="eastAsia" w:ascii="仿宋_GB2312" w:hAnsi="仿宋" w:eastAsia="仿宋_GB2312" w:cs="仿宋"/>
          <w:color w:val="auto"/>
          <w:sz w:val="24"/>
          <w:highlight w:val="none"/>
        </w:rPr>
        <w:t>(投标人全称)是中华人民共和国依法登记注册的合法企业，</w:t>
      </w:r>
      <w:r>
        <w:rPr>
          <w:rFonts w:hint="eastAsia" w:ascii="仿宋_GB2312" w:hAnsi="仿宋" w:eastAsia="仿宋_GB2312" w:cs="仿宋"/>
          <w:bCs/>
          <w:color w:val="auto"/>
          <w:sz w:val="24"/>
          <w:highlight w:val="none"/>
        </w:rPr>
        <w:t>在参加</w:t>
      </w:r>
      <w:r>
        <w:rPr>
          <w:rFonts w:hint="eastAsia" w:ascii="仿宋_GB2312" w:hAnsi="仿宋" w:eastAsia="仿宋_GB2312" w:cs="仿宋"/>
          <w:color w:val="auto"/>
          <w:sz w:val="24"/>
          <w:highlight w:val="none"/>
        </w:rPr>
        <w:t>贵方组织的杭州城市大脑**操作系统应用场景及业务通用能力建设项目应用支撑能力模块</w:t>
      </w:r>
      <w:r>
        <w:rPr>
          <w:rFonts w:hint="eastAsia" w:ascii="仿宋_GB2312" w:hAnsi="仿宋" w:eastAsia="仿宋_GB2312" w:cs="仿宋"/>
          <w:color w:val="auto"/>
          <w:kern w:val="0"/>
          <w:sz w:val="24"/>
          <w:highlight w:val="none"/>
          <w:lang w:val="zh-CN"/>
        </w:rPr>
        <w:t>【招标编号：HZZFCG-2021-157】</w:t>
      </w:r>
      <w:r>
        <w:rPr>
          <w:rFonts w:hint="eastAsia" w:ascii="仿宋_GB2312" w:hAnsi="仿宋" w:eastAsia="仿宋_GB2312" w:cs="仿宋"/>
          <w:bCs/>
          <w:color w:val="auto"/>
          <w:sz w:val="24"/>
          <w:highlight w:val="none"/>
        </w:rPr>
        <w:t>投标活动中作如下说明：</w:t>
      </w:r>
      <w:r>
        <w:rPr>
          <w:rFonts w:hint="eastAsia" w:ascii="仿宋_GB2312" w:hAnsi="仿宋" w:eastAsia="仿宋_GB2312"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特此说明。</w:t>
      </w:r>
    </w:p>
    <w:p>
      <w:pPr>
        <w:spacing w:line="360" w:lineRule="auto"/>
        <w:ind w:firstLine="494"/>
        <w:rPr>
          <w:rFonts w:hint="eastAsia" w:ascii="仿宋_GB2312" w:hAnsi="仿宋" w:eastAsia="仿宋_GB2312" w:cs="仿宋"/>
          <w:color w:val="auto"/>
          <w:sz w:val="24"/>
          <w:highlight w:val="none"/>
        </w:rPr>
      </w:pPr>
    </w:p>
    <w:p>
      <w:pPr>
        <w:spacing w:line="360" w:lineRule="auto"/>
        <w:ind w:firstLine="494"/>
        <w:rPr>
          <w:rFonts w:hint="eastAsia" w:ascii="仿宋_GB2312" w:hAnsi="仿宋" w:eastAsia="仿宋_GB2312" w:cs="仿宋"/>
          <w:color w:val="auto"/>
          <w:sz w:val="24"/>
          <w:highlight w:val="none"/>
        </w:rPr>
      </w:pPr>
    </w:p>
    <w:p>
      <w:pPr>
        <w:spacing w:line="360" w:lineRule="auto"/>
        <w:ind w:firstLine="494"/>
        <w:rPr>
          <w:rFonts w:hint="eastAsia" w:ascii="仿宋_GB2312" w:hAnsi="仿宋" w:eastAsia="仿宋_GB2312" w:cs="仿宋"/>
          <w:color w:val="auto"/>
          <w:sz w:val="24"/>
          <w:highlight w:val="none"/>
        </w:rPr>
      </w:pPr>
    </w:p>
    <w:p>
      <w:pPr>
        <w:spacing w:line="360" w:lineRule="auto"/>
        <w:ind w:firstLine="494"/>
        <w:rPr>
          <w:rFonts w:hint="eastAsia" w:ascii="仿宋_GB2312" w:hAnsi="仿宋" w:eastAsia="仿宋_GB2312" w:cs="仿宋"/>
          <w:color w:val="auto"/>
          <w:sz w:val="24"/>
          <w:highlight w:val="none"/>
        </w:rPr>
      </w:pPr>
    </w:p>
    <w:p>
      <w:pPr>
        <w:spacing w:line="360" w:lineRule="auto"/>
        <w:ind w:right="482" w:firstLine="4080" w:firstLineChars="1700"/>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投标单位（法定名称章）：</w:t>
      </w:r>
    </w:p>
    <w:p>
      <w:pPr>
        <w:spacing w:line="360" w:lineRule="auto"/>
        <w:ind w:right="482" w:firstLine="494"/>
        <w:jc w:val="center"/>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日期：       年     月     日</w:t>
      </w:r>
    </w:p>
    <w:p>
      <w:pPr>
        <w:rPr>
          <w:rFonts w:hint="eastAsia" w:ascii="仿宋_GB2312" w:hAnsi="仿宋" w:eastAsia="仿宋_GB2312" w:cs="仿宋"/>
          <w:color w:val="auto"/>
          <w:sz w:val="24"/>
          <w:highlight w:val="none"/>
        </w:rPr>
      </w:pPr>
      <w:r>
        <w:rPr>
          <w:rFonts w:hint="eastAsia" w:ascii="仿宋_GB2312" w:hAnsi="仿宋" w:eastAsia="仿宋_GB2312" w:cs="仿宋"/>
          <w:b/>
          <w:bCs/>
          <w:color w:val="auto"/>
          <w:sz w:val="24"/>
          <w:highlight w:val="none"/>
        </w:rPr>
        <w:t>附：</w:t>
      </w:r>
    </w:p>
    <w:p>
      <w:pPr>
        <w:spacing w:line="360" w:lineRule="auto"/>
        <w:rPr>
          <w:rFonts w:hint="eastAsia" w:ascii="仿宋_GB2312" w:hAnsi="仿宋" w:eastAsia="仿宋_GB2312" w:cs="仿宋"/>
          <w:bCs/>
          <w:color w:val="auto"/>
          <w:sz w:val="24"/>
          <w:highlight w:val="none"/>
        </w:rPr>
      </w:pPr>
      <w:r>
        <w:rPr>
          <w:rFonts w:hint="eastAsia" w:ascii="仿宋_GB2312" w:hAnsi="仿宋" w:eastAsia="仿宋_GB2312"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18"/>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8"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wFcb2QUCAAAuBAAADgAAAGRycy9lMm9Eb2MueG1srVNN rtMwEN4jcQfLe5o0vJZH1PQtKGWD4EkPDuDaTmLJf3jcpj0NEjsOwXEQ12DshL4fWHRBFs6MPf5m vm/Gq5uj0eQgAyhnGzqflZRIy51Qtmvo50/bF9eUQGRWMO2sbOhJAr1ZP3+2GnwtK9c7LWQgCGKh HnxD+xh9XRTAe2kYzJyXFg9bFwyL6IauEIENiG50UZXlshhcED44LgFwdzMe0gkxXALo2lZxuXF8 b6SNI2qQmkWkBL3yQNe52raVPH5sW5CR6IYi05hXTIL2Lq3FesXqLjDfKz6VwC4p4Qknw5TFpGeo DYuM7IP6C8ooHhy4Ns64M8VIJCuCLOblE23ueuZl5oJSgz+LDv8Pln843AaiREMrSiwz2PBfX7// /PGNzK+TOIOHGmPu/G2YPEAzMT22waQ/ciDHLOjpLKg8RsJxs3pVXl0tF5RwPKuqxcvlfJFQi/vr PkB8J50hyWhowI5lIdnhPcQx9E9IygZOK7FVWmcndLs3OpADw+5u8zehPwrTlgwNfb2oUiEMR7bF UUHTeKQNtsv5Ht2Ah8Bl/v4FnArbMOjHAjJCCmO1UVGGbPWSibdWkHjyKK3FF0VTMUYKSrTEB5is HBmZ0pdEonbaooSpM2MvkrVz4oSNHHCSkdOXPQuYaO+D6npUdZ6rT3E4Rln+aeTTnD70M+79M1// Bl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HHP+MHYAAAACgEAAA8AAAAAAAAAAQAgAAAAIgAAAGRy cy9kb3ducmV2LnhtbFBLAQIUABQAAAAIAIdO4kDAVxvZBQIAAC4EAAAOAAAAAAAAAAEAIAAAACcB AABkcnMvZTJvRG9jLnhtbFBLBQYAAAAABgAGAFkBAACeBQAAAAA= ">
                <v:fill on="t" focussize="0,0"/>
                <v:stroke color="#000000" joinstyle="miter"/>
                <v:imagedata o:title=""/>
                <o:lock v:ext="edit" aspectratio="f"/>
              </v:rect>
            </w:pict>
          </mc:Fallback>
        </mc:AlternateContent>
      </w:r>
      <w:r>
        <w:rPr>
          <w:rFonts w:hint="eastAsia" w:ascii="仿宋_GB2312" w:hAnsi="仿宋" w:eastAsia="仿宋_GB2312"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9"/>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9"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V5sD4gUCAAAuBAAADgAAAGRycy9lMm9Eb2MueG1srVNN rtMwEN4jcQfLe5o20EKjpm9BKRsET3pwANdxEkv+Y8Zt2tMgseMQHAdxjTd2St8PLN6CLJwZe/zN fN+MV1dHa9hBAWrvaj6bTDlTTvpGu67mXz5vX7zhDKNwjTDeqZqfFPKr9fNnqyFUqvS9N40CRiAO qyHUvI8xVEWBsldW4MQH5eiw9WBFJBe6ogExELo1RTmdLorBQxPAS4VIu5vxkJ8R4SmAvm21VBsv 91a5OKKCMiISJex1QL7O1batkvFT26KKzNScmMa8UhKyd2kt1itRdSBCr+W5BPGUEh5xskI7SnqB 2ogo2B70X1BWS/Do2ziR3hYjkawIsZhNH2lz04ugMheSGsNFdPx/sPLj4RqYbmgSOHPCUsN/f/vx 6+d3NlsmcYaAFcXchGs4e0hmYnpswaY/cWDHLOjpIqg6RiZps1y8er2ck9aSzspy/nIxmyfU4u56 AIzvlbcsGTUH6lgWUhw+YBxD/4SkbOiNbrbamOxAt3trgB0EdXebvzP6gzDj2FDz5bycUyGCRral USHTBqKNrsv5HtzA+8DT/P0LOBW2EdiPBWSEFCYqq6OCbPVKNO9cw+IpkLSOXhRPxVjVcGYUPcBk 5cgotHlKJGlnHEmYOjP2Ilk735yokQNNMnH6uhdAifYBdNeTqrNcfYqjMcryn0c+zel9P+PePfP1 L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J3TsFjYAAAACgEAAA8AAAAAAAAAAQAgAAAAIgAAAGRy cy9kb3ducmV2LnhtbFBLAQIUABQAAAAIAIdO4kBXmwPiBQIAAC4EAAAOAAAAAAAAAAEAIAAAACcB AABkcnMvZTJvRG9jLnhtbFBLBQYAAAAABgAGAFkBAACeBQAAAAA= ">
                <v:fill on="t" focussize="0,0"/>
                <v:stroke color="#000000" joinstyle="miter"/>
                <v:imagedata o:title=""/>
                <o:lock v:ext="edit" aspectratio="f"/>
              </v:rect>
            </w:pict>
          </mc:Fallback>
        </mc:AlternateContent>
      </w:r>
      <w:r>
        <w:rPr>
          <w:rFonts w:hint="eastAsia" w:ascii="仿宋_GB2312" w:hAnsi="仿宋" w:eastAsia="仿宋_GB2312" w:cs="仿宋"/>
          <w:color w:val="auto"/>
          <w:sz w:val="24"/>
          <w:highlight w:val="none"/>
        </w:rPr>
        <w:t>投标单位法定名称章（印模）                投标单位“XX专用章”（印模）</w:t>
      </w:r>
    </w:p>
    <w:p>
      <w:pPr>
        <w:widowControl/>
        <w:spacing w:line="360" w:lineRule="auto"/>
        <w:ind w:firstLine="480" w:firstLineChars="200"/>
        <w:jc w:val="left"/>
        <w:rPr>
          <w:rFonts w:hint="eastAsia" w:ascii="仿宋_GB2312" w:hAnsi="仿宋" w:eastAsia="仿宋_GB2312" w:cs="仿宋"/>
          <w:color w:val="auto"/>
          <w:sz w:val="24"/>
          <w:highlight w:val="none"/>
        </w:rPr>
      </w:pPr>
    </w:p>
    <w:p>
      <w:pPr>
        <w:spacing w:line="360" w:lineRule="auto"/>
        <w:rPr>
          <w:rFonts w:hint="eastAsia" w:ascii="仿宋_GB2312" w:hAnsi="仿宋" w:eastAsia="仿宋_GB2312" w:cs="仿宋"/>
          <w:b/>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Century Gothic"/>
    <w:panose1 w:val="00000000000000000000"/>
    <w:charset w:val="00"/>
    <w:family w:val="swiss"/>
    <w:pitch w:val="default"/>
    <w:sig w:usb0="00000000" w:usb1="00000000" w:usb2="00000000" w:usb3="00000000" w:csb0="0000009F" w:csb1="00000000"/>
  </w:font>
  <w:font w:name="等线 Light">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20002A87" w:usb1="8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Futura Hv">
    <w:altName w:val="宋体"/>
    <w:panose1 w:val="00000000000000000000"/>
    <w:charset w:val="00"/>
    <w:family w:val="swiss"/>
    <w:pitch w:val="default"/>
    <w:sig w:usb0="00000000" w:usb1="00000000" w:usb2="00000000" w:usb3="00000000" w:csb0="0000009F" w:csb1="00000000"/>
  </w:font>
  <w:font w:name="Century Gothic">
    <w:panose1 w:val="020B050202020202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MS Mincho">
    <w:altName w:val="MS UI Gothic"/>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123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129</w:t>
    </w:r>
    <w:r>
      <w:rPr>
        <w:rFonts w:hint="eastAsia" w:ascii="仿宋_GB2312" w:eastAsia="仿宋_GB2312"/>
        <w:kern w:val="0"/>
        <w:szCs w:val="21"/>
      </w:rPr>
      <w:fldChar w:fldCharType="end"/>
    </w:r>
    <w:bookmarkStart w:id="577" w:name="_Toc131845147"/>
    <w:bookmarkStart w:id="578" w:name="_Toc36110187"/>
    <w:bookmarkStart w:id="579" w:name="_Toc164085800"/>
    <w:bookmarkStart w:id="580" w:name="_Toc91899912"/>
    <w:r>
      <w:rPr>
        <w:rFonts w:hint="eastAsia" w:ascii="仿宋_GB2312" w:eastAsia="仿宋_GB2312"/>
        <w:kern w:val="0"/>
        <w:szCs w:val="21"/>
      </w:rPr>
      <w:t xml:space="preserve"> 页</w:t>
    </w:r>
    <w:bookmarkEnd w:id="577"/>
    <w:bookmarkEnd w:id="578"/>
    <w:bookmarkEnd w:id="579"/>
    <w:bookmarkEnd w:id="5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0"/>
      </w:rPr>
    </w:pPr>
    <w:r>
      <w:fldChar w:fldCharType="begin"/>
    </w:r>
    <w:r>
      <w:rPr>
        <w:rStyle w:val="70"/>
      </w:rPr>
      <w:instrText xml:space="preserve">PAGE  </w:instrText>
    </w:r>
    <w:r>
      <w:fldChar w:fldCharType="separate"/>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129</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0"/>
      </w:rPr>
    </w:pPr>
    <w:r>
      <w:fldChar w:fldCharType="begin"/>
    </w:r>
    <w:r>
      <w:rPr>
        <w:rStyle w:val="70"/>
      </w:rPr>
      <w:instrText xml:space="preserve">PAGE  </w:instrText>
    </w:r>
    <w:r>
      <w:fldChar w:fldCharType="separate"/>
    </w:r>
    <w:r>
      <w:fldChar w:fldCharType="end"/>
    </w:r>
  </w:p>
  <w:p>
    <w:pPr>
      <w:pStyle w:val="38"/>
      <w:ind w:right="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129</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129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129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0"/>
      </w:rPr>
    </w:pPr>
    <w:r>
      <w:fldChar w:fldCharType="begin"/>
    </w:r>
    <w:r>
      <w:rPr>
        <w:rStyle w:val="70"/>
      </w:rPr>
      <w:instrText xml:space="preserve">PAGE  </w:instrText>
    </w:r>
    <w:r>
      <w:fldChar w:fldCharType="separate"/>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p>
    <w:pPr>
      <w:pStyle w:val="57"/>
      <w:tabs>
        <w:tab w:val="center" w:pos="4535"/>
        <w:tab w:val="right" w:pos="9070"/>
      </w:tabs>
      <w:ind w:firstLine="180" w:firstLineChars="100"/>
      <w:jc w:val="both"/>
      <w:rPr>
        <w:rFonts w:hint="eastAsia"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right" w:pos="8279"/>
        <w:tab w:val="clear" w:pos="8306"/>
      </w:tabs>
      <w:jc w:val="right"/>
    </w:pPr>
    <w:r>
      <w:rPr>
        <w:rFonts w:hint="eastAsia"/>
        <w:lang w:val="zh-CN"/>
      </w:rPr>
      <w:t xml:space="preserve"> </w:t>
    </w:r>
    <w:r>
      <w:tab/>
    </w:r>
    <w:r>
      <w:rPr>
        <w:rFonts w:hint="eastAsia"/>
        <w:lang w:val="zh-CN"/>
      </w:rPr>
      <w:t xml:space="preserve"> </w:t>
    </w:r>
    <w:r>
      <w:tab/>
    </w:r>
    <w:r>
      <w:rPr>
        <w:rFonts w:hint="eastAsia"/>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ascii="仿宋_GB2312" w:eastAsia="仿宋_GB2312"/>
        <w:b/>
        <w:i/>
        <w:u w:val="single"/>
      </w:rPr>
    </w:pPr>
    <w:r>
      <w:t>杭州市政府采购公开招标文件</w:t>
    </w:r>
  </w:p>
  <w:p>
    <w:pPr>
      <w:rPr>
        <w:rFonts w:hint="eastAsia"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ascii="仿宋_GB2312" w:eastAsia="仿宋_GB2312"/>
        <w:b/>
        <w:i/>
        <w:iCs/>
        <w:u w:val="single"/>
      </w:rPr>
    </w:pPr>
    <w:r>
      <w:rPr>
        <w:rFonts w:hint="eastAsia"/>
      </w:rPr>
      <w:t xml:space="preserve">                                                            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739"/>
      <w:lvlText w:val=""/>
      <w:lvlJc w:val="left"/>
      <w:pPr>
        <w:tabs>
          <w:tab w:val="left" w:pos="1260"/>
        </w:tabs>
        <w:ind w:left="1260" w:hanging="420"/>
      </w:pPr>
      <w:rPr>
        <w:rFonts w:hint="default" w:ascii="Wingdings" w:hAnsi="Wingdings"/>
      </w:rPr>
    </w:lvl>
    <w:lvl w:ilvl="2" w:tentative="0">
      <w:start w:val="1"/>
      <w:numFmt w:val="bullet"/>
      <w:pStyle w:val="713"/>
      <w:lvlText w:val=""/>
      <w:lvlJc w:val="left"/>
      <w:pPr>
        <w:tabs>
          <w:tab w:val="left" w:pos="1680"/>
        </w:tabs>
        <w:ind w:left="1680" w:hanging="420"/>
      </w:pPr>
      <w:rPr>
        <w:rFonts w:hint="default" w:ascii="Wingdings" w:hAnsi="Wingdings"/>
      </w:rPr>
    </w:lvl>
    <w:lvl w:ilvl="3" w:tentative="0">
      <w:start w:val="1"/>
      <w:numFmt w:val="bullet"/>
      <w:pStyle w:val="663"/>
      <w:lvlText w:val=""/>
      <w:lvlJc w:val="left"/>
      <w:pPr>
        <w:tabs>
          <w:tab w:val="left" w:pos="2100"/>
        </w:tabs>
        <w:ind w:left="2100" w:hanging="420"/>
      </w:pPr>
      <w:rPr>
        <w:rFonts w:hint="default" w:ascii="Wingdings" w:hAnsi="Wingdings"/>
      </w:rPr>
    </w:lvl>
    <w:lvl w:ilvl="4" w:tentative="0">
      <w:start w:val="1"/>
      <w:numFmt w:val="bullet"/>
      <w:pStyle w:val="762"/>
      <w:lvlText w:val=""/>
      <w:lvlJc w:val="left"/>
      <w:pPr>
        <w:tabs>
          <w:tab w:val="left" w:pos="2520"/>
        </w:tabs>
        <w:ind w:left="2520" w:hanging="420"/>
      </w:pPr>
      <w:rPr>
        <w:rFonts w:hint="default" w:ascii="Wingdings" w:hAnsi="Wingdings"/>
      </w:rPr>
    </w:lvl>
    <w:lvl w:ilvl="5" w:tentative="0">
      <w:start w:val="1"/>
      <w:numFmt w:val="bullet"/>
      <w:pStyle w:val="617"/>
      <w:lvlText w:val=""/>
      <w:lvlJc w:val="left"/>
      <w:pPr>
        <w:tabs>
          <w:tab w:val="left" w:pos="2940"/>
        </w:tabs>
        <w:ind w:left="2940" w:hanging="420"/>
      </w:pPr>
      <w:rPr>
        <w:rFonts w:hint="default" w:ascii="Wingdings" w:hAnsi="Wingdings"/>
      </w:rPr>
    </w:lvl>
    <w:lvl w:ilvl="6" w:tentative="0">
      <w:start w:val="1"/>
      <w:numFmt w:val="bullet"/>
      <w:pStyle w:val="616"/>
      <w:lvlText w:val=""/>
      <w:lvlJc w:val="left"/>
      <w:pPr>
        <w:tabs>
          <w:tab w:val="left" w:pos="3360"/>
        </w:tabs>
        <w:ind w:left="3360" w:hanging="420"/>
      </w:pPr>
      <w:rPr>
        <w:rFonts w:hint="default" w:ascii="Wingdings" w:hAnsi="Wingdings"/>
      </w:rPr>
    </w:lvl>
    <w:lvl w:ilvl="7" w:tentative="0">
      <w:start w:val="1"/>
      <w:numFmt w:val="bullet"/>
      <w:pStyle w:val="601"/>
      <w:lvlText w:val=""/>
      <w:lvlJc w:val="left"/>
      <w:pPr>
        <w:tabs>
          <w:tab w:val="left" w:pos="3780"/>
        </w:tabs>
        <w:ind w:left="3780" w:hanging="420"/>
      </w:pPr>
      <w:rPr>
        <w:rFonts w:hint="default" w:ascii="Wingdings" w:hAnsi="Wingdings"/>
      </w:rPr>
    </w:lvl>
    <w:lvl w:ilvl="8" w:tentative="0">
      <w:start w:val="1"/>
      <w:numFmt w:val="bullet"/>
      <w:pStyle w:val="659"/>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408"/>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98"/>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5E539EC"/>
    <w:multiLevelType w:val="singleLevel"/>
    <w:tmpl w:val="25E539EC"/>
    <w:lvl w:ilvl="0" w:tentative="0">
      <w:start w:val="1"/>
      <w:numFmt w:val="decimal"/>
      <w:suff w:val="nothing"/>
      <w:lvlText w:val="%1）"/>
      <w:lvlJc w:val="left"/>
    </w:lvl>
  </w:abstractNum>
  <w:abstractNum w:abstractNumId="6">
    <w:nsid w:val="578B3BD2"/>
    <w:multiLevelType w:val="multilevel"/>
    <w:tmpl w:val="578B3BD2"/>
    <w:lvl w:ilvl="0" w:tentative="0">
      <w:start w:val="1"/>
      <w:numFmt w:val="decimal"/>
      <w:pStyle w:val="492"/>
      <w:lvlText w:val="%1"/>
      <w:lvlJc w:val="left"/>
      <w:pPr>
        <w:tabs>
          <w:tab w:val="left" w:pos="480"/>
        </w:tabs>
        <w:ind w:left="480" w:hanging="480"/>
      </w:pPr>
      <w:rPr>
        <w:rFonts w:hint="eastAsia"/>
        <w:sz w:val="44"/>
        <w:szCs w:val="44"/>
      </w:rPr>
    </w:lvl>
    <w:lvl w:ilvl="1" w:tentative="0">
      <w:start w:val="1"/>
      <w:numFmt w:val="decimal"/>
      <w:pStyle w:val="8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775"/>
      <w:lvlText w:val="%1.%2.%3.%4.%5"/>
      <w:lvlJc w:val="left"/>
      <w:pPr>
        <w:tabs>
          <w:tab w:val="left" w:pos="1080"/>
        </w:tabs>
        <w:ind w:left="1080" w:hanging="1080"/>
      </w:pPr>
      <w:rPr>
        <w:rFonts w:hint="default"/>
      </w:rPr>
    </w:lvl>
    <w:lvl w:ilvl="5" w:tentative="0">
      <w:start w:val="1"/>
      <w:numFmt w:val="decimal"/>
      <w:pStyle w:val="8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6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B17697D"/>
    <w:multiLevelType w:val="multilevel"/>
    <w:tmpl w:val="7B1769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265E1C"/>
    <w:multiLevelType w:val="multilevel"/>
    <w:tmpl w:val="7E265E1C"/>
    <w:lvl w:ilvl="0" w:tentative="0">
      <w:start w:val="1"/>
      <w:numFmt w:val="decimal"/>
      <w:pStyle w:val="22"/>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9"/>
  </w:num>
  <w:num w:numId="5">
    <w:abstractNumId w:val="1"/>
  </w:num>
  <w:num w:numId="6">
    <w:abstractNumId w:val="3"/>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33D"/>
    <w:rsid w:val="000058BD"/>
    <w:rsid w:val="00006109"/>
    <w:rsid w:val="00006725"/>
    <w:rsid w:val="0000675E"/>
    <w:rsid w:val="00007CAA"/>
    <w:rsid w:val="00010683"/>
    <w:rsid w:val="00010FE9"/>
    <w:rsid w:val="0001122F"/>
    <w:rsid w:val="0001337C"/>
    <w:rsid w:val="000138C4"/>
    <w:rsid w:val="00013F31"/>
    <w:rsid w:val="000140D8"/>
    <w:rsid w:val="00014530"/>
    <w:rsid w:val="00014BBC"/>
    <w:rsid w:val="000166DF"/>
    <w:rsid w:val="000168D8"/>
    <w:rsid w:val="000170C8"/>
    <w:rsid w:val="000173F4"/>
    <w:rsid w:val="00020287"/>
    <w:rsid w:val="000202FE"/>
    <w:rsid w:val="000211BC"/>
    <w:rsid w:val="00023005"/>
    <w:rsid w:val="000232FD"/>
    <w:rsid w:val="00023323"/>
    <w:rsid w:val="000233E4"/>
    <w:rsid w:val="00024130"/>
    <w:rsid w:val="00024584"/>
    <w:rsid w:val="00024962"/>
    <w:rsid w:val="000249AA"/>
    <w:rsid w:val="000253E5"/>
    <w:rsid w:val="00025776"/>
    <w:rsid w:val="00026EAC"/>
    <w:rsid w:val="000270F2"/>
    <w:rsid w:val="00027540"/>
    <w:rsid w:val="00030572"/>
    <w:rsid w:val="00030CB3"/>
    <w:rsid w:val="0003206A"/>
    <w:rsid w:val="000326A7"/>
    <w:rsid w:val="00032EA0"/>
    <w:rsid w:val="000331B0"/>
    <w:rsid w:val="000336D4"/>
    <w:rsid w:val="00034FA7"/>
    <w:rsid w:val="0003533D"/>
    <w:rsid w:val="000357E4"/>
    <w:rsid w:val="00035ACA"/>
    <w:rsid w:val="00040447"/>
    <w:rsid w:val="00040494"/>
    <w:rsid w:val="00040B70"/>
    <w:rsid w:val="00042533"/>
    <w:rsid w:val="00042DBB"/>
    <w:rsid w:val="00042E65"/>
    <w:rsid w:val="0004347C"/>
    <w:rsid w:val="00043907"/>
    <w:rsid w:val="00044F48"/>
    <w:rsid w:val="000451DD"/>
    <w:rsid w:val="00047354"/>
    <w:rsid w:val="00050656"/>
    <w:rsid w:val="000511B6"/>
    <w:rsid w:val="00051B00"/>
    <w:rsid w:val="00051C72"/>
    <w:rsid w:val="0005238F"/>
    <w:rsid w:val="00052BB8"/>
    <w:rsid w:val="0005417A"/>
    <w:rsid w:val="00054D39"/>
    <w:rsid w:val="0005501B"/>
    <w:rsid w:val="000550F5"/>
    <w:rsid w:val="00055337"/>
    <w:rsid w:val="000554C7"/>
    <w:rsid w:val="00056145"/>
    <w:rsid w:val="00056402"/>
    <w:rsid w:val="00056791"/>
    <w:rsid w:val="000568DF"/>
    <w:rsid w:val="000578A3"/>
    <w:rsid w:val="00057D4C"/>
    <w:rsid w:val="00060C48"/>
    <w:rsid w:val="000615E9"/>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30B1"/>
    <w:rsid w:val="00073860"/>
    <w:rsid w:val="000738EA"/>
    <w:rsid w:val="00074078"/>
    <w:rsid w:val="00075BCE"/>
    <w:rsid w:val="00075D0E"/>
    <w:rsid w:val="00075F6A"/>
    <w:rsid w:val="00076159"/>
    <w:rsid w:val="0007616C"/>
    <w:rsid w:val="000763F3"/>
    <w:rsid w:val="00076801"/>
    <w:rsid w:val="00077577"/>
    <w:rsid w:val="00077607"/>
    <w:rsid w:val="00077756"/>
    <w:rsid w:val="00080970"/>
    <w:rsid w:val="00081671"/>
    <w:rsid w:val="0008263F"/>
    <w:rsid w:val="00082AD4"/>
    <w:rsid w:val="00084D27"/>
    <w:rsid w:val="0008580E"/>
    <w:rsid w:val="00085A0E"/>
    <w:rsid w:val="00085C4F"/>
    <w:rsid w:val="00086F8A"/>
    <w:rsid w:val="00087031"/>
    <w:rsid w:val="00090243"/>
    <w:rsid w:val="000904F6"/>
    <w:rsid w:val="00090573"/>
    <w:rsid w:val="00090918"/>
    <w:rsid w:val="00090ED8"/>
    <w:rsid w:val="00090F9F"/>
    <w:rsid w:val="00090FE6"/>
    <w:rsid w:val="0009145F"/>
    <w:rsid w:val="0009184E"/>
    <w:rsid w:val="00091B4E"/>
    <w:rsid w:val="00092FE9"/>
    <w:rsid w:val="000936BF"/>
    <w:rsid w:val="00093A30"/>
    <w:rsid w:val="00094342"/>
    <w:rsid w:val="00095954"/>
    <w:rsid w:val="000960BA"/>
    <w:rsid w:val="0009662A"/>
    <w:rsid w:val="0009690D"/>
    <w:rsid w:val="00096DFF"/>
    <w:rsid w:val="000A0E69"/>
    <w:rsid w:val="000A1A52"/>
    <w:rsid w:val="000A1F98"/>
    <w:rsid w:val="000A3D58"/>
    <w:rsid w:val="000A3FE3"/>
    <w:rsid w:val="000A4090"/>
    <w:rsid w:val="000A47B0"/>
    <w:rsid w:val="000A49BB"/>
    <w:rsid w:val="000A4F22"/>
    <w:rsid w:val="000A5674"/>
    <w:rsid w:val="000A5A46"/>
    <w:rsid w:val="000A7299"/>
    <w:rsid w:val="000B0E04"/>
    <w:rsid w:val="000B268D"/>
    <w:rsid w:val="000B291B"/>
    <w:rsid w:val="000B456C"/>
    <w:rsid w:val="000B45B9"/>
    <w:rsid w:val="000B47CE"/>
    <w:rsid w:val="000B4B56"/>
    <w:rsid w:val="000B4C62"/>
    <w:rsid w:val="000B54C1"/>
    <w:rsid w:val="000B666E"/>
    <w:rsid w:val="000C0A43"/>
    <w:rsid w:val="000C0CB1"/>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754"/>
    <w:rsid w:val="000D11E5"/>
    <w:rsid w:val="000D19E8"/>
    <w:rsid w:val="000D1FA1"/>
    <w:rsid w:val="000D2834"/>
    <w:rsid w:val="000D2CAC"/>
    <w:rsid w:val="000D34C8"/>
    <w:rsid w:val="000D34FD"/>
    <w:rsid w:val="000D3BE5"/>
    <w:rsid w:val="000D3C37"/>
    <w:rsid w:val="000D453A"/>
    <w:rsid w:val="000D4F98"/>
    <w:rsid w:val="000D5EA6"/>
    <w:rsid w:val="000D5F00"/>
    <w:rsid w:val="000D6C9F"/>
    <w:rsid w:val="000D6E3B"/>
    <w:rsid w:val="000D6F30"/>
    <w:rsid w:val="000D7C9D"/>
    <w:rsid w:val="000D7CE0"/>
    <w:rsid w:val="000E2785"/>
    <w:rsid w:val="000E27BB"/>
    <w:rsid w:val="000E3153"/>
    <w:rsid w:val="000E386F"/>
    <w:rsid w:val="000E4051"/>
    <w:rsid w:val="000E4765"/>
    <w:rsid w:val="000E5B7E"/>
    <w:rsid w:val="000E5FF9"/>
    <w:rsid w:val="000E6AE1"/>
    <w:rsid w:val="000E7142"/>
    <w:rsid w:val="000E7632"/>
    <w:rsid w:val="000E7737"/>
    <w:rsid w:val="000E7739"/>
    <w:rsid w:val="000E77EE"/>
    <w:rsid w:val="000F2940"/>
    <w:rsid w:val="000F2AB3"/>
    <w:rsid w:val="000F3D08"/>
    <w:rsid w:val="000F4495"/>
    <w:rsid w:val="000F4A05"/>
    <w:rsid w:val="000F4AEA"/>
    <w:rsid w:val="000F505B"/>
    <w:rsid w:val="000F5C95"/>
    <w:rsid w:val="000F68A0"/>
    <w:rsid w:val="000F6CC2"/>
    <w:rsid w:val="000F7D4B"/>
    <w:rsid w:val="0010118C"/>
    <w:rsid w:val="0010125E"/>
    <w:rsid w:val="00101967"/>
    <w:rsid w:val="00103EBD"/>
    <w:rsid w:val="00104E5B"/>
    <w:rsid w:val="00104EEC"/>
    <w:rsid w:val="001050DC"/>
    <w:rsid w:val="00105482"/>
    <w:rsid w:val="001056A5"/>
    <w:rsid w:val="00105BA9"/>
    <w:rsid w:val="00105FE1"/>
    <w:rsid w:val="00106AAA"/>
    <w:rsid w:val="00107BBD"/>
    <w:rsid w:val="00107BC7"/>
    <w:rsid w:val="001102B5"/>
    <w:rsid w:val="00111C7D"/>
    <w:rsid w:val="00112038"/>
    <w:rsid w:val="001127FF"/>
    <w:rsid w:val="00112B0B"/>
    <w:rsid w:val="00112EB5"/>
    <w:rsid w:val="0011383E"/>
    <w:rsid w:val="00113EE3"/>
    <w:rsid w:val="00114847"/>
    <w:rsid w:val="0011585B"/>
    <w:rsid w:val="00115B1A"/>
    <w:rsid w:val="001160FF"/>
    <w:rsid w:val="001168F8"/>
    <w:rsid w:val="00116C9B"/>
    <w:rsid w:val="001176FF"/>
    <w:rsid w:val="0012159D"/>
    <w:rsid w:val="00121804"/>
    <w:rsid w:val="0012192C"/>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770C"/>
    <w:rsid w:val="0013188F"/>
    <w:rsid w:val="00131C2D"/>
    <w:rsid w:val="0013202C"/>
    <w:rsid w:val="00132CBF"/>
    <w:rsid w:val="00133742"/>
    <w:rsid w:val="00133B70"/>
    <w:rsid w:val="001350F7"/>
    <w:rsid w:val="00135769"/>
    <w:rsid w:val="00135BE9"/>
    <w:rsid w:val="00135E5C"/>
    <w:rsid w:val="00136762"/>
    <w:rsid w:val="00136E33"/>
    <w:rsid w:val="0013773D"/>
    <w:rsid w:val="0014042F"/>
    <w:rsid w:val="00140693"/>
    <w:rsid w:val="00140D7A"/>
    <w:rsid w:val="00141DFE"/>
    <w:rsid w:val="001433BC"/>
    <w:rsid w:val="00143872"/>
    <w:rsid w:val="00144649"/>
    <w:rsid w:val="00145022"/>
    <w:rsid w:val="00145662"/>
    <w:rsid w:val="00145C6D"/>
    <w:rsid w:val="00146151"/>
    <w:rsid w:val="00147032"/>
    <w:rsid w:val="00147EA7"/>
    <w:rsid w:val="001508EB"/>
    <w:rsid w:val="00151495"/>
    <w:rsid w:val="00151820"/>
    <w:rsid w:val="00151B2F"/>
    <w:rsid w:val="001524DC"/>
    <w:rsid w:val="001525E5"/>
    <w:rsid w:val="00153859"/>
    <w:rsid w:val="00153915"/>
    <w:rsid w:val="00154BBA"/>
    <w:rsid w:val="00155B95"/>
    <w:rsid w:val="00156853"/>
    <w:rsid w:val="00157432"/>
    <w:rsid w:val="00161185"/>
    <w:rsid w:val="001623AC"/>
    <w:rsid w:val="00162BAA"/>
    <w:rsid w:val="0016488B"/>
    <w:rsid w:val="001655F6"/>
    <w:rsid w:val="00165758"/>
    <w:rsid w:val="00165A65"/>
    <w:rsid w:val="00167478"/>
    <w:rsid w:val="00167594"/>
    <w:rsid w:val="001702BE"/>
    <w:rsid w:val="001704B3"/>
    <w:rsid w:val="0017105C"/>
    <w:rsid w:val="00171622"/>
    <w:rsid w:val="0017204F"/>
    <w:rsid w:val="001721CF"/>
    <w:rsid w:val="001728FD"/>
    <w:rsid w:val="00172F02"/>
    <w:rsid w:val="00173631"/>
    <w:rsid w:val="0017372D"/>
    <w:rsid w:val="00173826"/>
    <w:rsid w:val="00173C58"/>
    <w:rsid w:val="00173E59"/>
    <w:rsid w:val="001741DC"/>
    <w:rsid w:val="00174F57"/>
    <w:rsid w:val="00175078"/>
    <w:rsid w:val="001755DC"/>
    <w:rsid w:val="00176AA6"/>
    <w:rsid w:val="00177063"/>
    <w:rsid w:val="00180A47"/>
    <w:rsid w:val="00181664"/>
    <w:rsid w:val="00181A5B"/>
    <w:rsid w:val="001827B7"/>
    <w:rsid w:val="001827EF"/>
    <w:rsid w:val="00182982"/>
    <w:rsid w:val="00182D68"/>
    <w:rsid w:val="00183031"/>
    <w:rsid w:val="00183468"/>
    <w:rsid w:val="0018397E"/>
    <w:rsid w:val="00184DBF"/>
    <w:rsid w:val="001852A8"/>
    <w:rsid w:val="00187243"/>
    <w:rsid w:val="00187C29"/>
    <w:rsid w:val="00190942"/>
    <w:rsid w:val="001909A7"/>
    <w:rsid w:val="001909C3"/>
    <w:rsid w:val="00191459"/>
    <w:rsid w:val="0019174E"/>
    <w:rsid w:val="001923D5"/>
    <w:rsid w:val="00192991"/>
    <w:rsid w:val="00193B94"/>
    <w:rsid w:val="001940A7"/>
    <w:rsid w:val="00194BB1"/>
    <w:rsid w:val="00194BC6"/>
    <w:rsid w:val="00195070"/>
    <w:rsid w:val="00195172"/>
    <w:rsid w:val="0019526D"/>
    <w:rsid w:val="001956BE"/>
    <w:rsid w:val="0019602C"/>
    <w:rsid w:val="00196721"/>
    <w:rsid w:val="001969F2"/>
    <w:rsid w:val="00196CD6"/>
    <w:rsid w:val="0019756A"/>
    <w:rsid w:val="001A07F8"/>
    <w:rsid w:val="001A0A23"/>
    <w:rsid w:val="001A0C98"/>
    <w:rsid w:val="001A128B"/>
    <w:rsid w:val="001A1475"/>
    <w:rsid w:val="001A1F0E"/>
    <w:rsid w:val="001A4162"/>
    <w:rsid w:val="001A473A"/>
    <w:rsid w:val="001A4ED9"/>
    <w:rsid w:val="001A5785"/>
    <w:rsid w:val="001A5FD7"/>
    <w:rsid w:val="001A66A6"/>
    <w:rsid w:val="001A6BAF"/>
    <w:rsid w:val="001A6BBB"/>
    <w:rsid w:val="001A79A2"/>
    <w:rsid w:val="001B13BF"/>
    <w:rsid w:val="001B16F5"/>
    <w:rsid w:val="001B1C1F"/>
    <w:rsid w:val="001B219B"/>
    <w:rsid w:val="001B2703"/>
    <w:rsid w:val="001B46B2"/>
    <w:rsid w:val="001B4725"/>
    <w:rsid w:val="001B48B2"/>
    <w:rsid w:val="001B49DA"/>
    <w:rsid w:val="001B4CA8"/>
    <w:rsid w:val="001B572D"/>
    <w:rsid w:val="001B594E"/>
    <w:rsid w:val="001B5B10"/>
    <w:rsid w:val="001B6D58"/>
    <w:rsid w:val="001B6FA7"/>
    <w:rsid w:val="001B7A15"/>
    <w:rsid w:val="001B7B69"/>
    <w:rsid w:val="001C08DB"/>
    <w:rsid w:val="001C10BD"/>
    <w:rsid w:val="001C1F01"/>
    <w:rsid w:val="001C2092"/>
    <w:rsid w:val="001C232F"/>
    <w:rsid w:val="001C2544"/>
    <w:rsid w:val="001C2A17"/>
    <w:rsid w:val="001C31F5"/>
    <w:rsid w:val="001C6047"/>
    <w:rsid w:val="001C6698"/>
    <w:rsid w:val="001C7CE0"/>
    <w:rsid w:val="001D005B"/>
    <w:rsid w:val="001D0947"/>
    <w:rsid w:val="001D16F5"/>
    <w:rsid w:val="001D1970"/>
    <w:rsid w:val="001D1D55"/>
    <w:rsid w:val="001D21EF"/>
    <w:rsid w:val="001D29A4"/>
    <w:rsid w:val="001D3136"/>
    <w:rsid w:val="001D330D"/>
    <w:rsid w:val="001D4877"/>
    <w:rsid w:val="001D4AB6"/>
    <w:rsid w:val="001D4AD3"/>
    <w:rsid w:val="001D5281"/>
    <w:rsid w:val="001E0239"/>
    <w:rsid w:val="001E17E3"/>
    <w:rsid w:val="001E2052"/>
    <w:rsid w:val="001E257C"/>
    <w:rsid w:val="001E2F34"/>
    <w:rsid w:val="001E35EE"/>
    <w:rsid w:val="001E4B2C"/>
    <w:rsid w:val="001E507F"/>
    <w:rsid w:val="001E59FB"/>
    <w:rsid w:val="001F0FD1"/>
    <w:rsid w:val="001F1526"/>
    <w:rsid w:val="001F19D1"/>
    <w:rsid w:val="001F1CB9"/>
    <w:rsid w:val="001F1F18"/>
    <w:rsid w:val="001F2F92"/>
    <w:rsid w:val="001F3B3C"/>
    <w:rsid w:val="001F5DA1"/>
    <w:rsid w:val="001F612E"/>
    <w:rsid w:val="001F77E8"/>
    <w:rsid w:val="00201755"/>
    <w:rsid w:val="00201B0F"/>
    <w:rsid w:val="00202800"/>
    <w:rsid w:val="00202D33"/>
    <w:rsid w:val="00202E58"/>
    <w:rsid w:val="00202F99"/>
    <w:rsid w:val="00203C85"/>
    <w:rsid w:val="0020449A"/>
    <w:rsid w:val="00205298"/>
    <w:rsid w:val="00206698"/>
    <w:rsid w:val="00206736"/>
    <w:rsid w:val="00206C88"/>
    <w:rsid w:val="00207CD5"/>
    <w:rsid w:val="002104BD"/>
    <w:rsid w:val="00210B9C"/>
    <w:rsid w:val="00211A94"/>
    <w:rsid w:val="00214028"/>
    <w:rsid w:val="002141C3"/>
    <w:rsid w:val="002141DC"/>
    <w:rsid w:val="0021440C"/>
    <w:rsid w:val="00214479"/>
    <w:rsid w:val="002144F3"/>
    <w:rsid w:val="002146C3"/>
    <w:rsid w:val="0021581D"/>
    <w:rsid w:val="00215A2A"/>
    <w:rsid w:val="00215A3F"/>
    <w:rsid w:val="00215D21"/>
    <w:rsid w:val="00216387"/>
    <w:rsid w:val="00216E7B"/>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2555"/>
    <w:rsid w:val="00233538"/>
    <w:rsid w:val="0023449F"/>
    <w:rsid w:val="002344F5"/>
    <w:rsid w:val="0023454D"/>
    <w:rsid w:val="00234679"/>
    <w:rsid w:val="002359FC"/>
    <w:rsid w:val="00236690"/>
    <w:rsid w:val="0023669D"/>
    <w:rsid w:val="00237FA2"/>
    <w:rsid w:val="002403D5"/>
    <w:rsid w:val="00240965"/>
    <w:rsid w:val="00240F67"/>
    <w:rsid w:val="00241144"/>
    <w:rsid w:val="00242510"/>
    <w:rsid w:val="00242F79"/>
    <w:rsid w:val="0024415B"/>
    <w:rsid w:val="00245226"/>
    <w:rsid w:val="00245565"/>
    <w:rsid w:val="002458C1"/>
    <w:rsid w:val="00246357"/>
    <w:rsid w:val="00247422"/>
    <w:rsid w:val="00247BA2"/>
    <w:rsid w:val="00250870"/>
    <w:rsid w:val="0025151C"/>
    <w:rsid w:val="0025184F"/>
    <w:rsid w:val="00251967"/>
    <w:rsid w:val="002527CC"/>
    <w:rsid w:val="00253586"/>
    <w:rsid w:val="002537FC"/>
    <w:rsid w:val="002542F8"/>
    <w:rsid w:val="002543EF"/>
    <w:rsid w:val="00254F2A"/>
    <w:rsid w:val="00255784"/>
    <w:rsid w:val="0025631F"/>
    <w:rsid w:val="00256986"/>
    <w:rsid w:val="00256D61"/>
    <w:rsid w:val="00256E23"/>
    <w:rsid w:val="00257246"/>
    <w:rsid w:val="00257438"/>
    <w:rsid w:val="00261071"/>
    <w:rsid w:val="0026212A"/>
    <w:rsid w:val="002621D7"/>
    <w:rsid w:val="00263044"/>
    <w:rsid w:val="00263598"/>
    <w:rsid w:val="00263759"/>
    <w:rsid w:val="00263867"/>
    <w:rsid w:val="002638BD"/>
    <w:rsid w:val="0026470B"/>
    <w:rsid w:val="0026486D"/>
    <w:rsid w:val="00264C4B"/>
    <w:rsid w:val="00264ED0"/>
    <w:rsid w:val="00265346"/>
    <w:rsid w:val="002660C3"/>
    <w:rsid w:val="00266DE1"/>
    <w:rsid w:val="00267A92"/>
    <w:rsid w:val="00267E43"/>
    <w:rsid w:val="00270282"/>
    <w:rsid w:val="00270CF6"/>
    <w:rsid w:val="00271097"/>
    <w:rsid w:val="002723C6"/>
    <w:rsid w:val="0027244F"/>
    <w:rsid w:val="002739CE"/>
    <w:rsid w:val="00273C5F"/>
    <w:rsid w:val="002743AC"/>
    <w:rsid w:val="002751CA"/>
    <w:rsid w:val="0027544D"/>
    <w:rsid w:val="002775ED"/>
    <w:rsid w:val="002778AB"/>
    <w:rsid w:val="002802A5"/>
    <w:rsid w:val="00280CFB"/>
    <w:rsid w:val="00280D24"/>
    <w:rsid w:val="002815C4"/>
    <w:rsid w:val="00281BCB"/>
    <w:rsid w:val="00281C76"/>
    <w:rsid w:val="00283296"/>
    <w:rsid w:val="0028583E"/>
    <w:rsid w:val="00285853"/>
    <w:rsid w:val="00285B1A"/>
    <w:rsid w:val="00285FF3"/>
    <w:rsid w:val="002866EC"/>
    <w:rsid w:val="0028744E"/>
    <w:rsid w:val="00287936"/>
    <w:rsid w:val="002903C5"/>
    <w:rsid w:val="0029041B"/>
    <w:rsid w:val="00290A99"/>
    <w:rsid w:val="00290EAF"/>
    <w:rsid w:val="00291327"/>
    <w:rsid w:val="0029159A"/>
    <w:rsid w:val="00291C9E"/>
    <w:rsid w:val="00292AA1"/>
    <w:rsid w:val="0029499D"/>
    <w:rsid w:val="00294A13"/>
    <w:rsid w:val="00294B10"/>
    <w:rsid w:val="00294DF9"/>
    <w:rsid w:val="00295073"/>
    <w:rsid w:val="00295468"/>
    <w:rsid w:val="00296C32"/>
    <w:rsid w:val="002977CE"/>
    <w:rsid w:val="00297AF5"/>
    <w:rsid w:val="002A02D6"/>
    <w:rsid w:val="002A07C4"/>
    <w:rsid w:val="002A0921"/>
    <w:rsid w:val="002A0CB3"/>
    <w:rsid w:val="002A0F65"/>
    <w:rsid w:val="002A1887"/>
    <w:rsid w:val="002A2001"/>
    <w:rsid w:val="002A4060"/>
    <w:rsid w:val="002A4A05"/>
    <w:rsid w:val="002A4EB3"/>
    <w:rsid w:val="002A51D9"/>
    <w:rsid w:val="002A5968"/>
    <w:rsid w:val="002A5CAB"/>
    <w:rsid w:val="002A5D40"/>
    <w:rsid w:val="002A64E7"/>
    <w:rsid w:val="002A7ED3"/>
    <w:rsid w:val="002A7FC9"/>
    <w:rsid w:val="002B139C"/>
    <w:rsid w:val="002B1881"/>
    <w:rsid w:val="002B1F61"/>
    <w:rsid w:val="002B2070"/>
    <w:rsid w:val="002B2906"/>
    <w:rsid w:val="002B2A41"/>
    <w:rsid w:val="002B2EC5"/>
    <w:rsid w:val="002B328B"/>
    <w:rsid w:val="002B34E3"/>
    <w:rsid w:val="002B39C8"/>
    <w:rsid w:val="002B5AEE"/>
    <w:rsid w:val="002B5DF1"/>
    <w:rsid w:val="002B6177"/>
    <w:rsid w:val="002B650C"/>
    <w:rsid w:val="002B68E6"/>
    <w:rsid w:val="002B6985"/>
    <w:rsid w:val="002C0301"/>
    <w:rsid w:val="002C0326"/>
    <w:rsid w:val="002C07DE"/>
    <w:rsid w:val="002C0A9F"/>
    <w:rsid w:val="002C1AB3"/>
    <w:rsid w:val="002C1BB7"/>
    <w:rsid w:val="002C1FB3"/>
    <w:rsid w:val="002C2665"/>
    <w:rsid w:val="002C28E1"/>
    <w:rsid w:val="002C327D"/>
    <w:rsid w:val="002C3890"/>
    <w:rsid w:val="002C3AD9"/>
    <w:rsid w:val="002C43FC"/>
    <w:rsid w:val="002C45C3"/>
    <w:rsid w:val="002C483B"/>
    <w:rsid w:val="002C5D5E"/>
    <w:rsid w:val="002C5DA9"/>
    <w:rsid w:val="002C6116"/>
    <w:rsid w:val="002C643D"/>
    <w:rsid w:val="002C70E7"/>
    <w:rsid w:val="002D0C6A"/>
    <w:rsid w:val="002D0E88"/>
    <w:rsid w:val="002D14B4"/>
    <w:rsid w:val="002D1593"/>
    <w:rsid w:val="002D22A6"/>
    <w:rsid w:val="002D2819"/>
    <w:rsid w:val="002D2CD6"/>
    <w:rsid w:val="002D2F81"/>
    <w:rsid w:val="002D38A3"/>
    <w:rsid w:val="002D3BA3"/>
    <w:rsid w:val="002D4892"/>
    <w:rsid w:val="002D4D06"/>
    <w:rsid w:val="002D4DDE"/>
    <w:rsid w:val="002D4EE7"/>
    <w:rsid w:val="002D4EED"/>
    <w:rsid w:val="002D5AAD"/>
    <w:rsid w:val="002D6097"/>
    <w:rsid w:val="002D65AD"/>
    <w:rsid w:val="002D6782"/>
    <w:rsid w:val="002D74A4"/>
    <w:rsid w:val="002D7DB2"/>
    <w:rsid w:val="002D7DBD"/>
    <w:rsid w:val="002D7EA8"/>
    <w:rsid w:val="002E00E1"/>
    <w:rsid w:val="002E03AE"/>
    <w:rsid w:val="002E0542"/>
    <w:rsid w:val="002E05F2"/>
    <w:rsid w:val="002E0D35"/>
    <w:rsid w:val="002E0E87"/>
    <w:rsid w:val="002E13CF"/>
    <w:rsid w:val="002E201C"/>
    <w:rsid w:val="002E22CA"/>
    <w:rsid w:val="002E236F"/>
    <w:rsid w:val="002E3956"/>
    <w:rsid w:val="002E3C08"/>
    <w:rsid w:val="002E469E"/>
    <w:rsid w:val="002E4C01"/>
    <w:rsid w:val="002E4D50"/>
    <w:rsid w:val="002E55FF"/>
    <w:rsid w:val="002E587E"/>
    <w:rsid w:val="002E672A"/>
    <w:rsid w:val="002E6853"/>
    <w:rsid w:val="002E7EC1"/>
    <w:rsid w:val="002E7EE5"/>
    <w:rsid w:val="002F0323"/>
    <w:rsid w:val="002F0CEB"/>
    <w:rsid w:val="002F134F"/>
    <w:rsid w:val="002F1D0B"/>
    <w:rsid w:val="002F1F02"/>
    <w:rsid w:val="002F1F85"/>
    <w:rsid w:val="002F27E5"/>
    <w:rsid w:val="002F2D81"/>
    <w:rsid w:val="002F2F66"/>
    <w:rsid w:val="002F4BA9"/>
    <w:rsid w:val="002F541B"/>
    <w:rsid w:val="002F5BFE"/>
    <w:rsid w:val="002F5D69"/>
    <w:rsid w:val="002F5DA5"/>
    <w:rsid w:val="002F647C"/>
    <w:rsid w:val="002F6EFF"/>
    <w:rsid w:val="002F7DF0"/>
    <w:rsid w:val="002F7FAF"/>
    <w:rsid w:val="00300573"/>
    <w:rsid w:val="003025FE"/>
    <w:rsid w:val="00303AB6"/>
    <w:rsid w:val="00304640"/>
    <w:rsid w:val="00304AC1"/>
    <w:rsid w:val="00305090"/>
    <w:rsid w:val="00305454"/>
    <w:rsid w:val="00305B9F"/>
    <w:rsid w:val="00305E21"/>
    <w:rsid w:val="003066C6"/>
    <w:rsid w:val="003066CE"/>
    <w:rsid w:val="003066FA"/>
    <w:rsid w:val="00306AD6"/>
    <w:rsid w:val="003077F4"/>
    <w:rsid w:val="00307DC7"/>
    <w:rsid w:val="00310EDB"/>
    <w:rsid w:val="00311D56"/>
    <w:rsid w:val="00312DFC"/>
    <w:rsid w:val="0031318C"/>
    <w:rsid w:val="00313C9D"/>
    <w:rsid w:val="0031430C"/>
    <w:rsid w:val="00314919"/>
    <w:rsid w:val="00314C5A"/>
    <w:rsid w:val="0031531A"/>
    <w:rsid w:val="00315394"/>
    <w:rsid w:val="003153A3"/>
    <w:rsid w:val="00315D77"/>
    <w:rsid w:val="00315D8E"/>
    <w:rsid w:val="00316002"/>
    <w:rsid w:val="00316B49"/>
    <w:rsid w:val="00316CDE"/>
    <w:rsid w:val="0031752D"/>
    <w:rsid w:val="00317709"/>
    <w:rsid w:val="00320688"/>
    <w:rsid w:val="00321DB7"/>
    <w:rsid w:val="0032226D"/>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862"/>
    <w:rsid w:val="00332D52"/>
    <w:rsid w:val="00333337"/>
    <w:rsid w:val="00333A28"/>
    <w:rsid w:val="00333B6C"/>
    <w:rsid w:val="003360AD"/>
    <w:rsid w:val="0033631D"/>
    <w:rsid w:val="00337409"/>
    <w:rsid w:val="003375A3"/>
    <w:rsid w:val="003405AF"/>
    <w:rsid w:val="0034088F"/>
    <w:rsid w:val="00340B3E"/>
    <w:rsid w:val="003413D2"/>
    <w:rsid w:val="0034257E"/>
    <w:rsid w:val="00343079"/>
    <w:rsid w:val="00344066"/>
    <w:rsid w:val="0034410D"/>
    <w:rsid w:val="00344BBF"/>
    <w:rsid w:val="0034509B"/>
    <w:rsid w:val="00345644"/>
    <w:rsid w:val="00345D7A"/>
    <w:rsid w:val="0034607E"/>
    <w:rsid w:val="00346A96"/>
    <w:rsid w:val="00346B6D"/>
    <w:rsid w:val="00346BA3"/>
    <w:rsid w:val="00347356"/>
    <w:rsid w:val="0035005C"/>
    <w:rsid w:val="00350896"/>
    <w:rsid w:val="00350C31"/>
    <w:rsid w:val="00351391"/>
    <w:rsid w:val="003519CD"/>
    <w:rsid w:val="00351A3A"/>
    <w:rsid w:val="0035455F"/>
    <w:rsid w:val="00355D8F"/>
    <w:rsid w:val="00356FF0"/>
    <w:rsid w:val="003577EF"/>
    <w:rsid w:val="00360304"/>
    <w:rsid w:val="00360A78"/>
    <w:rsid w:val="0036175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2842"/>
    <w:rsid w:val="003729A5"/>
    <w:rsid w:val="00372C89"/>
    <w:rsid w:val="00372E9A"/>
    <w:rsid w:val="003735B9"/>
    <w:rsid w:val="00373634"/>
    <w:rsid w:val="00374677"/>
    <w:rsid w:val="00375850"/>
    <w:rsid w:val="0037632F"/>
    <w:rsid w:val="00377B26"/>
    <w:rsid w:val="0038033B"/>
    <w:rsid w:val="00381014"/>
    <w:rsid w:val="00381604"/>
    <w:rsid w:val="00381C68"/>
    <w:rsid w:val="00381F60"/>
    <w:rsid w:val="00383AB0"/>
    <w:rsid w:val="003847BB"/>
    <w:rsid w:val="00384814"/>
    <w:rsid w:val="00384C0A"/>
    <w:rsid w:val="00385B16"/>
    <w:rsid w:val="00385B96"/>
    <w:rsid w:val="0038637D"/>
    <w:rsid w:val="003869DC"/>
    <w:rsid w:val="00386C07"/>
    <w:rsid w:val="00386F58"/>
    <w:rsid w:val="0038700D"/>
    <w:rsid w:val="00390B8F"/>
    <w:rsid w:val="00390C0D"/>
    <w:rsid w:val="00391447"/>
    <w:rsid w:val="003919D9"/>
    <w:rsid w:val="00391BDD"/>
    <w:rsid w:val="003922DE"/>
    <w:rsid w:val="00392E35"/>
    <w:rsid w:val="00393551"/>
    <w:rsid w:val="0039380B"/>
    <w:rsid w:val="00393816"/>
    <w:rsid w:val="00393FCD"/>
    <w:rsid w:val="003944EA"/>
    <w:rsid w:val="00394639"/>
    <w:rsid w:val="00394DF6"/>
    <w:rsid w:val="00395CD9"/>
    <w:rsid w:val="003962E6"/>
    <w:rsid w:val="00396831"/>
    <w:rsid w:val="003971A1"/>
    <w:rsid w:val="003A0F6B"/>
    <w:rsid w:val="003A12B6"/>
    <w:rsid w:val="003A20D5"/>
    <w:rsid w:val="003A24CC"/>
    <w:rsid w:val="003A2EE8"/>
    <w:rsid w:val="003A373C"/>
    <w:rsid w:val="003A5378"/>
    <w:rsid w:val="003A56DF"/>
    <w:rsid w:val="003A6008"/>
    <w:rsid w:val="003A703F"/>
    <w:rsid w:val="003A7E2B"/>
    <w:rsid w:val="003A7E40"/>
    <w:rsid w:val="003B0336"/>
    <w:rsid w:val="003B0A3A"/>
    <w:rsid w:val="003B0D79"/>
    <w:rsid w:val="003B1796"/>
    <w:rsid w:val="003B2930"/>
    <w:rsid w:val="003B31A7"/>
    <w:rsid w:val="003B33B0"/>
    <w:rsid w:val="003B4587"/>
    <w:rsid w:val="003B4B51"/>
    <w:rsid w:val="003B4FE1"/>
    <w:rsid w:val="003B514E"/>
    <w:rsid w:val="003B5531"/>
    <w:rsid w:val="003B6327"/>
    <w:rsid w:val="003B636A"/>
    <w:rsid w:val="003B69CE"/>
    <w:rsid w:val="003C011C"/>
    <w:rsid w:val="003C0D3D"/>
    <w:rsid w:val="003C0E32"/>
    <w:rsid w:val="003C16CB"/>
    <w:rsid w:val="003C1B97"/>
    <w:rsid w:val="003C247B"/>
    <w:rsid w:val="003C3292"/>
    <w:rsid w:val="003C3C1E"/>
    <w:rsid w:val="003C4134"/>
    <w:rsid w:val="003C435B"/>
    <w:rsid w:val="003C4AA7"/>
    <w:rsid w:val="003C4EBE"/>
    <w:rsid w:val="003C62EC"/>
    <w:rsid w:val="003C685A"/>
    <w:rsid w:val="003C6E9C"/>
    <w:rsid w:val="003C746F"/>
    <w:rsid w:val="003C7570"/>
    <w:rsid w:val="003C76E6"/>
    <w:rsid w:val="003C7F12"/>
    <w:rsid w:val="003D0112"/>
    <w:rsid w:val="003D03D6"/>
    <w:rsid w:val="003D075D"/>
    <w:rsid w:val="003D07CC"/>
    <w:rsid w:val="003D14C8"/>
    <w:rsid w:val="003D1517"/>
    <w:rsid w:val="003D2DA0"/>
    <w:rsid w:val="003D34C3"/>
    <w:rsid w:val="003D3D83"/>
    <w:rsid w:val="003D4685"/>
    <w:rsid w:val="003D4A41"/>
    <w:rsid w:val="003D4C2F"/>
    <w:rsid w:val="003D5ADB"/>
    <w:rsid w:val="003D6448"/>
    <w:rsid w:val="003D646C"/>
    <w:rsid w:val="003D663E"/>
    <w:rsid w:val="003D6793"/>
    <w:rsid w:val="003D6B03"/>
    <w:rsid w:val="003D75D8"/>
    <w:rsid w:val="003E006E"/>
    <w:rsid w:val="003E0E96"/>
    <w:rsid w:val="003E20F7"/>
    <w:rsid w:val="003E336A"/>
    <w:rsid w:val="003E3E2F"/>
    <w:rsid w:val="003E4048"/>
    <w:rsid w:val="003E604C"/>
    <w:rsid w:val="003E60DA"/>
    <w:rsid w:val="003E610A"/>
    <w:rsid w:val="003E6E00"/>
    <w:rsid w:val="003E7111"/>
    <w:rsid w:val="003E7940"/>
    <w:rsid w:val="003E7EF0"/>
    <w:rsid w:val="003F01BD"/>
    <w:rsid w:val="003F0486"/>
    <w:rsid w:val="003F048E"/>
    <w:rsid w:val="003F0AFF"/>
    <w:rsid w:val="003F120C"/>
    <w:rsid w:val="003F1AA2"/>
    <w:rsid w:val="003F26DC"/>
    <w:rsid w:val="003F2EF4"/>
    <w:rsid w:val="003F42FF"/>
    <w:rsid w:val="003F4B48"/>
    <w:rsid w:val="003F4DDC"/>
    <w:rsid w:val="003F5470"/>
    <w:rsid w:val="003F56B8"/>
    <w:rsid w:val="003F6327"/>
    <w:rsid w:val="003F7425"/>
    <w:rsid w:val="003F765B"/>
    <w:rsid w:val="003F7CB8"/>
    <w:rsid w:val="00400CB4"/>
    <w:rsid w:val="00401386"/>
    <w:rsid w:val="004013E6"/>
    <w:rsid w:val="00401E31"/>
    <w:rsid w:val="00402BBA"/>
    <w:rsid w:val="004035D0"/>
    <w:rsid w:val="0040361D"/>
    <w:rsid w:val="00403795"/>
    <w:rsid w:val="004041FB"/>
    <w:rsid w:val="004056B6"/>
    <w:rsid w:val="00405764"/>
    <w:rsid w:val="00406745"/>
    <w:rsid w:val="0040674B"/>
    <w:rsid w:val="00406B32"/>
    <w:rsid w:val="004074FA"/>
    <w:rsid w:val="00407A56"/>
    <w:rsid w:val="00407FCC"/>
    <w:rsid w:val="0041035A"/>
    <w:rsid w:val="004112D1"/>
    <w:rsid w:val="004113C9"/>
    <w:rsid w:val="00411DF2"/>
    <w:rsid w:val="004120DF"/>
    <w:rsid w:val="00414909"/>
    <w:rsid w:val="00415034"/>
    <w:rsid w:val="00415B1A"/>
    <w:rsid w:val="00415DFD"/>
    <w:rsid w:val="0041690F"/>
    <w:rsid w:val="00416D41"/>
    <w:rsid w:val="00417264"/>
    <w:rsid w:val="004210C0"/>
    <w:rsid w:val="004211DD"/>
    <w:rsid w:val="00421762"/>
    <w:rsid w:val="00421D4B"/>
    <w:rsid w:val="00421ED8"/>
    <w:rsid w:val="00422907"/>
    <w:rsid w:val="00423125"/>
    <w:rsid w:val="00423309"/>
    <w:rsid w:val="004233AD"/>
    <w:rsid w:val="004238DD"/>
    <w:rsid w:val="00424446"/>
    <w:rsid w:val="00425341"/>
    <w:rsid w:val="00425674"/>
    <w:rsid w:val="00425D05"/>
    <w:rsid w:val="00426B2C"/>
    <w:rsid w:val="00427FA8"/>
    <w:rsid w:val="0043009D"/>
    <w:rsid w:val="0043026B"/>
    <w:rsid w:val="004306D4"/>
    <w:rsid w:val="00431A07"/>
    <w:rsid w:val="00432ECA"/>
    <w:rsid w:val="0043554E"/>
    <w:rsid w:val="004355D4"/>
    <w:rsid w:val="0043560A"/>
    <w:rsid w:val="004357B1"/>
    <w:rsid w:val="00435821"/>
    <w:rsid w:val="0043583E"/>
    <w:rsid w:val="00436CCE"/>
    <w:rsid w:val="00436EAD"/>
    <w:rsid w:val="004375E1"/>
    <w:rsid w:val="00437A2F"/>
    <w:rsid w:val="00440262"/>
    <w:rsid w:val="004406BF"/>
    <w:rsid w:val="00440814"/>
    <w:rsid w:val="00441424"/>
    <w:rsid w:val="00442731"/>
    <w:rsid w:val="00442C12"/>
    <w:rsid w:val="004434DF"/>
    <w:rsid w:val="0044354B"/>
    <w:rsid w:val="0044493E"/>
    <w:rsid w:val="00444FC6"/>
    <w:rsid w:val="00445874"/>
    <w:rsid w:val="00445C38"/>
    <w:rsid w:val="00446462"/>
    <w:rsid w:val="004475F7"/>
    <w:rsid w:val="0045057B"/>
    <w:rsid w:val="0045069B"/>
    <w:rsid w:val="00450B22"/>
    <w:rsid w:val="00451709"/>
    <w:rsid w:val="00451A02"/>
    <w:rsid w:val="0045277C"/>
    <w:rsid w:val="004543AB"/>
    <w:rsid w:val="00455967"/>
    <w:rsid w:val="00455F71"/>
    <w:rsid w:val="00456272"/>
    <w:rsid w:val="00457517"/>
    <w:rsid w:val="00457CF7"/>
    <w:rsid w:val="00457D37"/>
    <w:rsid w:val="0046028A"/>
    <w:rsid w:val="00460BA7"/>
    <w:rsid w:val="00460E68"/>
    <w:rsid w:val="004614BC"/>
    <w:rsid w:val="004619A5"/>
    <w:rsid w:val="00461F80"/>
    <w:rsid w:val="0046240D"/>
    <w:rsid w:val="00462898"/>
    <w:rsid w:val="00463208"/>
    <w:rsid w:val="00463576"/>
    <w:rsid w:val="0046399D"/>
    <w:rsid w:val="00463EA4"/>
    <w:rsid w:val="00464FC8"/>
    <w:rsid w:val="00465A21"/>
    <w:rsid w:val="00465DE5"/>
    <w:rsid w:val="00466978"/>
    <w:rsid w:val="00466ABA"/>
    <w:rsid w:val="004672E3"/>
    <w:rsid w:val="0046775D"/>
    <w:rsid w:val="00467823"/>
    <w:rsid w:val="004705FA"/>
    <w:rsid w:val="004708AC"/>
    <w:rsid w:val="00471387"/>
    <w:rsid w:val="0047146C"/>
    <w:rsid w:val="0047149F"/>
    <w:rsid w:val="00471843"/>
    <w:rsid w:val="00471963"/>
    <w:rsid w:val="004724B8"/>
    <w:rsid w:val="004728FB"/>
    <w:rsid w:val="00472CA7"/>
    <w:rsid w:val="00472CEC"/>
    <w:rsid w:val="00473308"/>
    <w:rsid w:val="0047377C"/>
    <w:rsid w:val="0047471E"/>
    <w:rsid w:val="004749DA"/>
    <w:rsid w:val="00474DEF"/>
    <w:rsid w:val="00475729"/>
    <w:rsid w:val="004758E7"/>
    <w:rsid w:val="00475BAB"/>
    <w:rsid w:val="004764C6"/>
    <w:rsid w:val="00476F97"/>
    <w:rsid w:val="00477247"/>
    <w:rsid w:val="004776BB"/>
    <w:rsid w:val="0048055E"/>
    <w:rsid w:val="004806AE"/>
    <w:rsid w:val="00480C2B"/>
    <w:rsid w:val="00480DC5"/>
    <w:rsid w:val="004824A9"/>
    <w:rsid w:val="00483140"/>
    <w:rsid w:val="00483984"/>
    <w:rsid w:val="00483BC7"/>
    <w:rsid w:val="00483CF0"/>
    <w:rsid w:val="00484D4D"/>
    <w:rsid w:val="00486516"/>
    <w:rsid w:val="0048664F"/>
    <w:rsid w:val="004868AD"/>
    <w:rsid w:val="00486D00"/>
    <w:rsid w:val="00487FE1"/>
    <w:rsid w:val="00490707"/>
    <w:rsid w:val="00490815"/>
    <w:rsid w:val="0049117E"/>
    <w:rsid w:val="00491E81"/>
    <w:rsid w:val="00492503"/>
    <w:rsid w:val="004925C8"/>
    <w:rsid w:val="00492AF9"/>
    <w:rsid w:val="00492B76"/>
    <w:rsid w:val="0049333E"/>
    <w:rsid w:val="0049418F"/>
    <w:rsid w:val="0049570D"/>
    <w:rsid w:val="00495DC6"/>
    <w:rsid w:val="00496CCE"/>
    <w:rsid w:val="00497AAD"/>
    <w:rsid w:val="00497BD7"/>
    <w:rsid w:val="00497D1A"/>
    <w:rsid w:val="004A03D0"/>
    <w:rsid w:val="004A1049"/>
    <w:rsid w:val="004A1AFA"/>
    <w:rsid w:val="004A1EA7"/>
    <w:rsid w:val="004A26F5"/>
    <w:rsid w:val="004A2EF8"/>
    <w:rsid w:val="004A3A21"/>
    <w:rsid w:val="004A4E3B"/>
    <w:rsid w:val="004A6110"/>
    <w:rsid w:val="004A61B8"/>
    <w:rsid w:val="004A6415"/>
    <w:rsid w:val="004A64F9"/>
    <w:rsid w:val="004B026C"/>
    <w:rsid w:val="004B0271"/>
    <w:rsid w:val="004B0BE8"/>
    <w:rsid w:val="004B0E4A"/>
    <w:rsid w:val="004B18F4"/>
    <w:rsid w:val="004B1A98"/>
    <w:rsid w:val="004B2463"/>
    <w:rsid w:val="004B305F"/>
    <w:rsid w:val="004B34C4"/>
    <w:rsid w:val="004B34E8"/>
    <w:rsid w:val="004B3981"/>
    <w:rsid w:val="004B3A03"/>
    <w:rsid w:val="004B419F"/>
    <w:rsid w:val="004B4EA9"/>
    <w:rsid w:val="004B6E50"/>
    <w:rsid w:val="004B7317"/>
    <w:rsid w:val="004B75B2"/>
    <w:rsid w:val="004C0BF0"/>
    <w:rsid w:val="004C0D40"/>
    <w:rsid w:val="004C114F"/>
    <w:rsid w:val="004C11A9"/>
    <w:rsid w:val="004C27CF"/>
    <w:rsid w:val="004C2CA7"/>
    <w:rsid w:val="004C45C8"/>
    <w:rsid w:val="004C4F8F"/>
    <w:rsid w:val="004C5F4B"/>
    <w:rsid w:val="004C612E"/>
    <w:rsid w:val="004C61B8"/>
    <w:rsid w:val="004C6C0A"/>
    <w:rsid w:val="004C6C6D"/>
    <w:rsid w:val="004C77FF"/>
    <w:rsid w:val="004C7A75"/>
    <w:rsid w:val="004C7DB0"/>
    <w:rsid w:val="004C7FFC"/>
    <w:rsid w:val="004D0223"/>
    <w:rsid w:val="004D0C4C"/>
    <w:rsid w:val="004D16A3"/>
    <w:rsid w:val="004D1934"/>
    <w:rsid w:val="004D1E41"/>
    <w:rsid w:val="004D2326"/>
    <w:rsid w:val="004D2E11"/>
    <w:rsid w:val="004D3108"/>
    <w:rsid w:val="004D329C"/>
    <w:rsid w:val="004D34D1"/>
    <w:rsid w:val="004D4523"/>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2393"/>
    <w:rsid w:val="004E3117"/>
    <w:rsid w:val="004E3A2A"/>
    <w:rsid w:val="004E3AB1"/>
    <w:rsid w:val="004E4003"/>
    <w:rsid w:val="004E4626"/>
    <w:rsid w:val="004E4984"/>
    <w:rsid w:val="004E5380"/>
    <w:rsid w:val="004E6746"/>
    <w:rsid w:val="004E6CAC"/>
    <w:rsid w:val="004E6ED6"/>
    <w:rsid w:val="004E6F69"/>
    <w:rsid w:val="004E75C1"/>
    <w:rsid w:val="004E777F"/>
    <w:rsid w:val="004F07F2"/>
    <w:rsid w:val="004F07F9"/>
    <w:rsid w:val="004F0E82"/>
    <w:rsid w:val="004F1523"/>
    <w:rsid w:val="004F1847"/>
    <w:rsid w:val="004F1F9E"/>
    <w:rsid w:val="004F2CB6"/>
    <w:rsid w:val="004F2E6E"/>
    <w:rsid w:val="004F3015"/>
    <w:rsid w:val="004F313F"/>
    <w:rsid w:val="004F367F"/>
    <w:rsid w:val="004F3EEF"/>
    <w:rsid w:val="004F4169"/>
    <w:rsid w:val="004F43A7"/>
    <w:rsid w:val="004F447B"/>
    <w:rsid w:val="004F497C"/>
    <w:rsid w:val="004F4FAC"/>
    <w:rsid w:val="004F4FE8"/>
    <w:rsid w:val="004F531B"/>
    <w:rsid w:val="004F560C"/>
    <w:rsid w:val="004F5DBB"/>
    <w:rsid w:val="004F61A3"/>
    <w:rsid w:val="004F648E"/>
    <w:rsid w:val="004F6874"/>
    <w:rsid w:val="004F7922"/>
    <w:rsid w:val="004F7A1F"/>
    <w:rsid w:val="004F7B47"/>
    <w:rsid w:val="0050079C"/>
    <w:rsid w:val="0050106A"/>
    <w:rsid w:val="005010BC"/>
    <w:rsid w:val="00502B31"/>
    <w:rsid w:val="0050537D"/>
    <w:rsid w:val="005060AE"/>
    <w:rsid w:val="0050790B"/>
    <w:rsid w:val="0051037C"/>
    <w:rsid w:val="0051050F"/>
    <w:rsid w:val="0051058B"/>
    <w:rsid w:val="00510DDC"/>
    <w:rsid w:val="00511166"/>
    <w:rsid w:val="005131A2"/>
    <w:rsid w:val="005137E4"/>
    <w:rsid w:val="00513BB9"/>
    <w:rsid w:val="0051440E"/>
    <w:rsid w:val="00515180"/>
    <w:rsid w:val="00515973"/>
    <w:rsid w:val="00517AC8"/>
    <w:rsid w:val="00517C3E"/>
    <w:rsid w:val="0052091D"/>
    <w:rsid w:val="005212F4"/>
    <w:rsid w:val="00521908"/>
    <w:rsid w:val="00522928"/>
    <w:rsid w:val="00523946"/>
    <w:rsid w:val="0052397A"/>
    <w:rsid w:val="005256D6"/>
    <w:rsid w:val="00525AD8"/>
    <w:rsid w:val="00526429"/>
    <w:rsid w:val="005266C1"/>
    <w:rsid w:val="005267F4"/>
    <w:rsid w:val="00527317"/>
    <w:rsid w:val="00527ED6"/>
    <w:rsid w:val="005307A6"/>
    <w:rsid w:val="00531064"/>
    <w:rsid w:val="00531911"/>
    <w:rsid w:val="00531BCE"/>
    <w:rsid w:val="00531E92"/>
    <w:rsid w:val="005324D7"/>
    <w:rsid w:val="00532C5F"/>
    <w:rsid w:val="005335A2"/>
    <w:rsid w:val="00533DEC"/>
    <w:rsid w:val="00534026"/>
    <w:rsid w:val="00534D55"/>
    <w:rsid w:val="00535B53"/>
    <w:rsid w:val="00536B03"/>
    <w:rsid w:val="005373A6"/>
    <w:rsid w:val="00537456"/>
    <w:rsid w:val="00537B3D"/>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DB9"/>
    <w:rsid w:val="005462ED"/>
    <w:rsid w:val="0054680A"/>
    <w:rsid w:val="00546BF8"/>
    <w:rsid w:val="00547818"/>
    <w:rsid w:val="005479D6"/>
    <w:rsid w:val="00547BA2"/>
    <w:rsid w:val="00550AC5"/>
    <w:rsid w:val="00550B7E"/>
    <w:rsid w:val="00551052"/>
    <w:rsid w:val="005524ED"/>
    <w:rsid w:val="00554007"/>
    <w:rsid w:val="00554C03"/>
    <w:rsid w:val="00554C58"/>
    <w:rsid w:val="00554D5D"/>
    <w:rsid w:val="005550F9"/>
    <w:rsid w:val="00556338"/>
    <w:rsid w:val="00556441"/>
    <w:rsid w:val="00557031"/>
    <w:rsid w:val="00557F87"/>
    <w:rsid w:val="00560FCB"/>
    <w:rsid w:val="0056111C"/>
    <w:rsid w:val="00561140"/>
    <w:rsid w:val="00561412"/>
    <w:rsid w:val="00561903"/>
    <w:rsid w:val="00561A9B"/>
    <w:rsid w:val="00561E54"/>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7623"/>
    <w:rsid w:val="005701C2"/>
    <w:rsid w:val="0057057B"/>
    <w:rsid w:val="00571FCF"/>
    <w:rsid w:val="00572297"/>
    <w:rsid w:val="005729F5"/>
    <w:rsid w:val="0057345D"/>
    <w:rsid w:val="00573560"/>
    <w:rsid w:val="00574E7B"/>
    <w:rsid w:val="00575BAA"/>
    <w:rsid w:val="00576B5C"/>
    <w:rsid w:val="00577962"/>
    <w:rsid w:val="005802F9"/>
    <w:rsid w:val="005806D5"/>
    <w:rsid w:val="00580DFC"/>
    <w:rsid w:val="005815CD"/>
    <w:rsid w:val="005817F3"/>
    <w:rsid w:val="00581CEE"/>
    <w:rsid w:val="00582451"/>
    <w:rsid w:val="00582476"/>
    <w:rsid w:val="005827A7"/>
    <w:rsid w:val="005829B6"/>
    <w:rsid w:val="00583D43"/>
    <w:rsid w:val="005846C3"/>
    <w:rsid w:val="00584F04"/>
    <w:rsid w:val="0058544C"/>
    <w:rsid w:val="00585623"/>
    <w:rsid w:val="005857F7"/>
    <w:rsid w:val="00587D7B"/>
    <w:rsid w:val="00587F73"/>
    <w:rsid w:val="005904DB"/>
    <w:rsid w:val="005905ED"/>
    <w:rsid w:val="00592825"/>
    <w:rsid w:val="00594437"/>
    <w:rsid w:val="00594B70"/>
    <w:rsid w:val="00595740"/>
    <w:rsid w:val="00596CFA"/>
    <w:rsid w:val="00596EC6"/>
    <w:rsid w:val="005975CE"/>
    <w:rsid w:val="005A0088"/>
    <w:rsid w:val="005A04F6"/>
    <w:rsid w:val="005A14F0"/>
    <w:rsid w:val="005A1861"/>
    <w:rsid w:val="005A1A31"/>
    <w:rsid w:val="005A361D"/>
    <w:rsid w:val="005A36C2"/>
    <w:rsid w:val="005A3719"/>
    <w:rsid w:val="005A3DD7"/>
    <w:rsid w:val="005A4C20"/>
    <w:rsid w:val="005A4F48"/>
    <w:rsid w:val="005A54F1"/>
    <w:rsid w:val="005A5DDE"/>
    <w:rsid w:val="005A61DD"/>
    <w:rsid w:val="005A64A8"/>
    <w:rsid w:val="005A65C5"/>
    <w:rsid w:val="005A6875"/>
    <w:rsid w:val="005A7A32"/>
    <w:rsid w:val="005A7F85"/>
    <w:rsid w:val="005B00DD"/>
    <w:rsid w:val="005B07D5"/>
    <w:rsid w:val="005B1A8A"/>
    <w:rsid w:val="005B1AAB"/>
    <w:rsid w:val="005B2578"/>
    <w:rsid w:val="005B2930"/>
    <w:rsid w:val="005B2B87"/>
    <w:rsid w:val="005B33C8"/>
    <w:rsid w:val="005B387B"/>
    <w:rsid w:val="005B3B01"/>
    <w:rsid w:val="005B4333"/>
    <w:rsid w:val="005B489D"/>
    <w:rsid w:val="005B48BE"/>
    <w:rsid w:val="005B58F7"/>
    <w:rsid w:val="005B5994"/>
    <w:rsid w:val="005B6474"/>
    <w:rsid w:val="005B666D"/>
    <w:rsid w:val="005B667A"/>
    <w:rsid w:val="005B6865"/>
    <w:rsid w:val="005C039B"/>
    <w:rsid w:val="005C059F"/>
    <w:rsid w:val="005C07CE"/>
    <w:rsid w:val="005C0B8F"/>
    <w:rsid w:val="005C0F61"/>
    <w:rsid w:val="005C194E"/>
    <w:rsid w:val="005C1C83"/>
    <w:rsid w:val="005C1DB1"/>
    <w:rsid w:val="005C226F"/>
    <w:rsid w:val="005C2294"/>
    <w:rsid w:val="005C2E48"/>
    <w:rsid w:val="005C3344"/>
    <w:rsid w:val="005C4CAF"/>
    <w:rsid w:val="005C4E4D"/>
    <w:rsid w:val="005C50AB"/>
    <w:rsid w:val="005C58F2"/>
    <w:rsid w:val="005C5A97"/>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D7F57"/>
    <w:rsid w:val="005E0141"/>
    <w:rsid w:val="005E09CA"/>
    <w:rsid w:val="005E1AB4"/>
    <w:rsid w:val="005E4543"/>
    <w:rsid w:val="005E4A1C"/>
    <w:rsid w:val="005E4FC7"/>
    <w:rsid w:val="005E56C9"/>
    <w:rsid w:val="005E5CF7"/>
    <w:rsid w:val="005E628D"/>
    <w:rsid w:val="005E642A"/>
    <w:rsid w:val="005E721E"/>
    <w:rsid w:val="005F0857"/>
    <w:rsid w:val="005F15A9"/>
    <w:rsid w:val="005F1CB2"/>
    <w:rsid w:val="005F2807"/>
    <w:rsid w:val="005F2CD5"/>
    <w:rsid w:val="005F3720"/>
    <w:rsid w:val="005F5506"/>
    <w:rsid w:val="005F5A0D"/>
    <w:rsid w:val="005F60DF"/>
    <w:rsid w:val="005F615B"/>
    <w:rsid w:val="005F61DF"/>
    <w:rsid w:val="005F680A"/>
    <w:rsid w:val="005F6B3E"/>
    <w:rsid w:val="005F77F8"/>
    <w:rsid w:val="005F7CA8"/>
    <w:rsid w:val="00600DE1"/>
    <w:rsid w:val="00601506"/>
    <w:rsid w:val="00601596"/>
    <w:rsid w:val="00601C92"/>
    <w:rsid w:val="00601F66"/>
    <w:rsid w:val="00602764"/>
    <w:rsid w:val="00602B29"/>
    <w:rsid w:val="00602DAD"/>
    <w:rsid w:val="00603373"/>
    <w:rsid w:val="006036D0"/>
    <w:rsid w:val="00604007"/>
    <w:rsid w:val="006042CD"/>
    <w:rsid w:val="00605217"/>
    <w:rsid w:val="006054A5"/>
    <w:rsid w:val="006059E4"/>
    <w:rsid w:val="00605D60"/>
    <w:rsid w:val="006062A0"/>
    <w:rsid w:val="00606A0E"/>
    <w:rsid w:val="00607015"/>
    <w:rsid w:val="0061098D"/>
    <w:rsid w:val="00611B59"/>
    <w:rsid w:val="00611FBA"/>
    <w:rsid w:val="00612098"/>
    <w:rsid w:val="0061272A"/>
    <w:rsid w:val="006130D0"/>
    <w:rsid w:val="006139F7"/>
    <w:rsid w:val="00613AA2"/>
    <w:rsid w:val="006155F1"/>
    <w:rsid w:val="00615846"/>
    <w:rsid w:val="006160F0"/>
    <w:rsid w:val="0061624B"/>
    <w:rsid w:val="00616C1E"/>
    <w:rsid w:val="00617EFC"/>
    <w:rsid w:val="00620055"/>
    <w:rsid w:val="006204B3"/>
    <w:rsid w:val="006212D3"/>
    <w:rsid w:val="00621639"/>
    <w:rsid w:val="00622B22"/>
    <w:rsid w:val="00623270"/>
    <w:rsid w:val="00623571"/>
    <w:rsid w:val="006235F4"/>
    <w:rsid w:val="00623A5E"/>
    <w:rsid w:val="00625008"/>
    <w:rsid w:val="0062548B"/>
    <w:rsid w:val="00626743"/>
    <w:rsid w:val="00626930"/>
    <w:rsid w:val="00626BAC"/>
    <w:rsid w:val="006271C3"/>
    <w:rsid w:val="00627B14"/>
    <w:rsid w:val="0063001E"/>
    <w:rsid w:val="00630023"/>
    <w:rsid w:val="00630891"/>
    <w:rsid w:val="00630C70"/>
    <w:rsid w:val="00630D67"/>
    <w:rsid w:val="00630F12"/>
    <w:rsid w:val="00631005"/>
    <w:rsid w:val="0063205B"/>
    <w:rsid w:val="00632727"/>
    <w:rsid w:val="0063283D"/>
    <w:rsid w:val="00633769"/>
    <w:rsid w:val="00633FE3"/>
    <w:rsid w:val="00634276"/>
    <w:rsid w:val="00634570"/>
    <w:rsid w:val="0063487C"/>
    <w:rsid w:val="00635B73"/>
    <w:rsid w:val="00635BB7"/>
    <w:rsid w:val="00636CC7"/>
    <w:rsid w:val="00637F27"/>
    <w:rsid w:val="00641A84"/>
    <w:rsid w:val="00641DA1"/>
    <w:rsid w:val="00641E5B"/>
    <w:rsid w:val="00642C69"/>
    <w:rsid w:val="0064330A"/>
    <w:rsid w:val="00643F89"/>
    <w:rsid w:val="00644334"/>
    <w:rsid w:val="00644BED"/>
    <w:rsid w:val="00644E2E"/>
    <w:rsid w:val="00645B87"/>
    <w:rsid w:val="00645CB4"/>
    <w:rsid w:val="00646084"/>
    <w:rsid w:val="00646332"/>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52E"/>
    <w:rsid w:val="00660D3E"/>
    <w:rsid w:val="00662D3D"/>
    <w:rsid w:val="00662F1F"/>
    <w:rsid w:val="00663D15"/>
    <w:rsid w:val="00665030"/>
    <w:rsid w:val="00665670"/>
    <w:rsid w:val="006659EA"/>
    <w:rsid w:val="006661E8"/>
    <w:rsid w:val="00666424"/>
    <w:rsid w:val="006673B9"/>
    <w:rsid w:val="0066790C"/>
    <w:rsid w:val="00667FF0"/>
    <w:rsid w:val="006702CC"/>
    <w:rsid w:val="00670C7C"/>
    <w:rsid w:val="00671480"/>
    <w:rsid w:val="006717E7"/>
    <w:rsid w:val="00671FD5"/>
    <w:rsid w:val="006720BC"/>
    <w:rsid w:val="00672C73"/>
    <w:rsid w:val="00673B64"/>
    <w:rsid w:val="006753AD"/>
    <w:rsid w:val="00675430"/>
    <w:rsid w:val="006755F0"/>
    <w:rsid w:val="00675749"/>
    <w:rsid w:val="006759FE"/>
    <w:rsid w:val="00677382"/>
    <w:rsid w:val="0067772D"/>
    <w:rsid w:val="00677991"/>
    <w:rsid w:val="00677AD2"/>
    <w:rsid w:val="00677E97"/>
    <w:rsid w:val="00680714"/>
    <w:rsid w:val="0068071D"/>
    <w:rsid w:val="00680C6B"/>
    <w:rsid w:val="006811F3"/>
    <w:rsid w:val="00681240"/>
    <w:rsid w:val="00683068"/>
    <w:rsid w:val="00683DAD"/>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3071"/>
    <w:rsid w:val="00693B73"/>
    <w:rsid w:val="006945A1"/>
    <w:rsid w:val="00694A53"/>
    <w:rsid w:val="00694B3D"/>
    <w:rsid w:val="00695C78"/>
    <w:rsid w:val="00695E6C"/>
    <w:rsid w:val="00695EAC"/>
    <w:rsid w:val="00697068"/>
    <w:rsid w:val="00697A5F"/>
    <w:rsid w:val="00697D5F"/>
    <w:rsid w:val="006A035B"/>
    <w:rsid w:val="006A0582"/>
    <w:rsid w:val="006A060C"/>
    <w:rsid w:val="006A071C"/>
    <w:rsid w:val="006A0DC7"/>
    <w:rsid w:val="006A150D"/>
    <w:rsid w:val="006A1B00"/>
    <w:rsid w:val="006A1F48"/>
    <w:rsid w:val="006A241D"/>
    <w:rsid w:val="006A2766"/>
    <w:rsid w:val="006A39D0"/>
    <w:rsid w:val="006A4321"/>
    <w:rsid w:val="006A4E20"/>
    <w:rsid w:val="006A4F11"/>
    <w:rsid w:val="006A563C"/>
    <w:rsid w:val="006A7C29"/>
    <w:rsid w:val="006B0580"/>
    <w:rsid w:val="006B0DA2"/>
    <w:rsid w:val="006B1486"/>
    <w:rsid w:val="006B169F"/>
    <w:rsid w:val="006B1D06"/>
    <w:rsid w:val="006B2823"/>
    <w:rsid w:val="006B29DC"/>
    <w:rsid w:val="006B33DB"/>
    <w:rsid w:val="006B3669"/>
    <w:rsid w:val="006B36E5"/>
    <w:rsid w:val="006B3817"/>
    <w:rsid w:val="006B3D00"/>
    <w:rsid w:val="006B4CF8"/>
    <w:rsid w:val="006B5F72"/>
    <w:rsid w:val="006B5FBC"/>
    <w:rsid w:val="006B6ED2"/>
    <w:rsid w:val="006C0230"/>
    <w:rsid w:val="006C05C7"/>
    <w:rsid w:val="006C25AB"/>
    <w:rsid w:val="006C2DA6"/>
    <w:rsid w:val="006C3581"/>
    <w:rsid w:val="006C3EFE"/>
    <w:rsid w:val="006C46C7"/>
    <w:rsid w:val="006C53A4"/>
    <w:rsid w:val="006C54DF"/>
    <w:rsid w:val="006C5D5D"/>
    <w:rsid w:val="006C6303"/>
    <w:rsid w:val="006C6EBD"/>
    <w:rsid w:val="006C7E04"/>
    <w:rsid w:val="006C7F79"/>
    <w:rsid w:val="006D015F"/>
    <w:rsid w:val="006D060E"/>
    <w:rsid w:val="006D0681"/>
    <w:rsid w:val="006D0A15"/>
    <w:rsid w:val="006D0A80"/>
    <w:rsid w:val="006D0AE8"/>
    <w:rsid w:val="006D135C"/>
    <w:rsid w:val="006D2F72"/>
    <w:rsid w:val="006D43C1"/>
    <w:rsid w:val="006D5442"/>
    <w:rsid w:val="006D6E4E"/>
    <w:rsid w:val="006D7A8E"/>
    <w:rsid w:val="006E00E3"/>
    <w:rsid w:val="006E045C"/>
    <w:rsid w:val="006E0569"/>
    <w:rsid w:val="006E065E"/>
    <w:rsid w:val="006E17AC"/>
    <w:rsid w:val="006E189B"/>
    <w:rsid w:val="006E1B36"/>
    <w:rsid w:val="006E2902"/>
    <w:rsid w:val="006E2F9D"/>
    <w:rsid w:val="006E37C6"/>
    <w:rsid w:val="006E3CF3"/>
    <w:rsid w:val="006E41ED"/>
    <w:rsid w:val="006E4667"/>
    <w:rsid w:val="006E46B7"/>
    <w:rsid w:val="006E486D"/>
    <w:rsid w:val="006E48BB"/>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700405"/>
    <w:rsid w:val="00700D18"/>
    <w:rsid w:val="0070168D"/>
    <w:rsid w:val="00701C36"/>
    <w:rsid w:val="00702F2D"/>
    <w:rsid w:val="007030DD"/>
    <w:rsid w:val="0070353F"/>
    <w:rsid w:val="0070415E"/>
    <w:rsid w:val="00704631"/>
    <w:rsid w:val="0070491B"/>
    <w:rsid w:val="00704B79"/>
    <w:rsid w:val="00704E7D"/>
    <w:rsid w:val="00705060"/>
    <w:rsid w:val="00705351"/>
    <w:rsid w:val="007062AF"/>
    <w:rsid w:val="007069AE"/>
    <w:rsid w:val="00706C89"/>
    <w:rsid w:val="00707758"/>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0AB"/>
    <w:rsid w:val="0071779C"/>
    <w:rsid w:val="00717808"/>
    <w:rsid w:val="007208A7"/>
    <w:rsid w:val="00720B6A"/>
    <w:rsid w:val="007210F6"/>
    <w:rsid w:val="0072129A"/>
    <w:rsid w:val="0072139F"/>
    <w:rsid w:val="0072198A"/>
    <w:rsid w:val="00721FC3"/>
    <w:rsid w:val="00722A86"/>
    <w:rsid w:val="00722BC6"/>
    <w:rsid w:val="00722C69"/>
    <w:rsid w:val="0072388C"/>
    <w:rsid w:val="007249D1"/>
    <w:rsid w:val="00724FE4"/>
    <w:rsid w:val="007263A2"/>
    <w:rsid w:val="007266B9"/>
    <w:rsid w:val="00726BE8"/>
    <w:rsid w:val="00727351"/>
    <w:rsid w:val="00727AC5"/>
    <w:rsid w:val="00727C65"/>
    <w:rsid w:val="0073002C"/>
    <w:rsid w:val="007300F0"/>
    <w:rsid w:val="00730904"/>
    <w:rsid w:val="0073245C"/>
    <w:rsid w:val="00732493"/>
    <w:rsid w:val="00733772"/>
    <w:rsid w:val="00733A43"/>
    <w:rsid w:val="00733D5F"/>
    <w:rsid w:val="00734932"/>
    <w:rsid w:val="00735D53"/>
    <w:rsid w:val="007364A3"/>
    <w:rsid w:val="00736740"/>
    <w:rsid w:val="007378FD"/>
    <w:rsid w:val="007403FE"/>
    <w:rsid w:val="007413EB"/>
    <w:rsid w:val="00742D32"/>
    <w:rsid w:val="00742E9B"/>
    <w:rsid w:val="007444E6"/>
    <w:rsid w:val="0074592C"/>
    <w:rsid w:val="00746098"/>
    <w:rsid w:val="00746D58"/>
    <w:rsid w:val="00747578"/>
    <w:rsid w:val="00751073"/>
    <w:rsid w:val="00751AF2"/>
    <w:rsid w:val="00751B1A"/>
    <w:rsid w:val="00751BD2"/>
    <w:rsid w:val="00752188"/>
    <w:rsid w:val="00752C20"/>
    <w:rsid w:val="00752CC6"/>
    <w:rsid w:val="00753938"/>
    <w:rsid w:val="00753A57"/>
    <w:rsid w:val="007543CE"/>
    <w:rsid w:val="0075497E"/>
    <w:rsid w:val="00754A29"/>
    <w:rsid w:val="00755BCF"/>
    <w:rsid w:val="00756C5F"/>
    <w:rsid w:val="00756D69"/>
    <w:rsid w:val="00757029"/>
    <w:rsid w:val="0075723D"/>
    <w:rsid w:val="007602D4"/>
    <w:rsid w:val="00760D96"/>
    <w:rsid w:val="0076124A"/>
    <w:rsid w:val="0076161B"/>
    <w:rsid w:val="00761CB5"/>
    <w:rsid w:val="0076216B"/>
    <w:rsid w:val="00763137"/>
    <w:rsid w:val="00763F8B"/>
    <w:rsid w:val="0076417E"/>
    <w:rsid w:val="007662C7"/>
    <w:rsid w:val="00766862"/>
    <w:rsid w:val="007675DD"/>
    <w:rsid w:val="007702BF"/>
    <w:rsid w:val="007705F0"/>
    <w:rsid w:val="00770E3A"/>
    <w:rsid w:val="00771CAC"/>
    <w:rsid w:val="00772036"/>
    <w:rsid w:val="007739A3"/>
    <w:rsid w:val="00773BD9"/>
    <w:rsid w:val="00773CB0"/>
    <w:rsid w:val="00773D71"/>
    <w:rsid w:val="00775526"/>
    <w:rsid w:val="00775651"/>
    <w:rsid w:val="00775772"/>
    <w:rsid w:val="0077765A"/>
    <w:rsid w:val="00780032"/>
    <w:rsid w:val="00780636"/>
    <w:rsid w:val="00780E86"/>
    <w:rsid w:val="00781727"/>
    <w:rsid w:val="00782CF3"/>
    <w:rsid w:val="0078335D"/>
    <w:rsid w:val="00783959"/>
    <w:rsid w:val="00785091"/>
    <w:rsid w:val="007869F9"/>
    <w:rsid w:val="00786CBB"/>
    <w:rsid w:val="00786E21"/>
    <w:rsid w:val="0079038E"/>
    <w:rsid w:val="00790EBB"/>
    <w:rsid w:val="00791C6E"/>
    <w:rsid w:val="007921F7"/>
    <w:rsid w:val="00792909"/>
    <w:rsid w:val="00792BC6"/>
    <w:rsid w:val="00792C3F"/>
    <w:rsid w:val="00792EE2"/>
    <w:rsid w:val="00793105"/>
    <w:rsid w:val="007931E8"/>
    <w:rsid w:val="00793333"/>
    <w:rsid w:val="0079472B"/>
    <w:rsid w:val="00794E46"/>
    <w:rsid w:val="00794EEE"/>
    <w:rsid w:val="007952DE"/>
    <w:rsid w:val="00795479"/>
    <w:rsid w:val="00796292"/>
    <w:rsid w:val="007965D9"/>
    <w:rsid w:val="007972D5"/>
    <w:rsid w:val="007A0789"/>
    <w:rsid w:val="007A130E"/>
    <w:rsid w:val="007A18B1"/>
    <w:rsid w:val="007A1BBD"/>
    <w:rsid w:val="007A1F08"/>
    <w:rsid w:val="007A2555"/>
    <w:rsid w:val="007A25FA"/>
    <w:rsid w:val="007A2A6E"/>
    <w:rsid w:val="007A2FCB"/>
    <w:rsid w:val="007A3520"/>
    <w:rsid w:val="007A3604"/>
    <w:rsid w:val="007A3878"/>
    <w:rsid w:val="007A3D85"/>
    <w:rsid w:val="007A3E0D"/>
    <w:rsid w:val="007A436D"/>
    <w:rsid w:val="007A54F6"/>
    <w:rsid w:val="007A55FE"/>
    <w:rsid w:val="007A5950"/>
    <w:rsid w:val="007A6D91"/>
    <w:rsid w:val="007A7618"/>
    <w:rsid w:val="007B02C7"/>
    <w:rsid w:val="007B0306"/>
    <w:rsid w:val="007B08E4"/>
    <w:rsid w:val="007B0D86"/>
    <w:rsid w:val="007B28C3"/>
    <w:rsid w:val="007B3698"/>
    <w:rsid w:val="007B3A8E"/>
    <w:rsid w:val="007B3C9B"/>
    <w:rsid w:val="007B4271"/>
    <w:rsid w:val="007B497D"/>
    <w:rsid w:val="007B4EE9"/>
    <w:rsid w:val="007B5234"/>
    <w:rsid w:val="007B54C7"/>
    <w:rsid w:val="007B5DC5"/>
    <w:rsid w:val="007B5F32"/>
    <w:rsid w:val="007B63FC"/>
    <w:rsid w:val="007B6708"/>
    <w:rsid w:val="007B68CC"/>
    <w:rsid w:val="007B6C20"/>
    <w:rsid w:val="007B6E8D"/>
    <w:rsid w:val="007B767D"/>
    <w:rsid w:val="007C029E"/>
    <w:rsid w:val="007C0636"/>
    <w:rsid w:val="007C10E4"/>
    <w:rsid w:val="007C17B4"/>
    <w:rsid w:val="007C20F8"/>
    <w:rsid w:val="007C21C5"/>
    <w:rsid w:val="007C2229"/>
    <w:rsid w:val="007C3590"/>
    <w:rsid w:val="007C387A"/>
    <w:rsid w:val="007C43D6"/>
    <w:rsid w:val="007C47FF"/>
    <w:rsid w:val="007C60A8"/>
    <w:rsid w:val="007C660F"/>
    <w:rsid w:val="007C6664"/>
    <w:rsid w:val="007C69AE"/>
    <w:rsid w:val="007C6FE9"/>
    <w:rsid w:val="007C7688"/>
    <w:rsid w:val="007C76E3"/>
    <w:rsid w:val="007C76F3"/>
    <w:rsid w:val="007C7DD9"/>
    <w:rsid w:val="007D0DC9"/>
    <w:rsid w:val="007D0ECD"/>
    <w:rsid w:val="007D2882"/>
    <w:rsid w:val="007D296C"/>
    <w:rsid w:val="007D2C31"/>
    <w:rsid w:val="007D3D74"/>
    <w:rsid w:val="007D445F"/>
    <w:rsid w:val="007D4DED"/>
    <w:rsid w:val="007D554B"/>
    <w:rsid w:val="007D5BA2"/>
    <w:rsid w:val="007D5ED3"/>
    <w:rsid w:val="007D682F"/>
    <w:rsid w:val="007D6FB9"/>
    <w:rsid w:val="007D7211"/>
    <w:rsid w:val="007E0595"/>
    <w:rsid w:val="007E0A63"/>
    <w:rsid w:val="007E0C63"/>
    <w:rsid w:val="007E0E05"/>
    <w:rsid w:val="007E0F5D"/>
    <w:rsid w:val="007E23A1"/>
    <w:rsid w:val="007E259F"/>
    <w:rsid w:val="007E347E"/>
    <w:rsid w:val="007E4121"/>
    <w:rsid w:val="007E54B8"/>
    <w:rsid w:val="007E5D12"/>
    <w:rsid w:val="007E677F"/>
    <w:rsid w:val="007E6B25"/>
    <w:rsid w:val="007F152D"/>
    <w:rsid w:val="007F20EE"/>
    <w:rsid w:val="007F307A"/>
    <w:rsid w:val="007F30C6"/>
    <w:rsid w:val="007F4318"/>
    <w:rsid w:val="007F4709"/>
    <w:rsid w:val="007F47DA"/>
    <w:rsid w:val="007F4E52"/>
    <w:rsid w:val="007F4F84"/>
    <w:rsid w:val="007F5382"/>
    <w:rsid w:val="007F55A4"/>
    <w:rsid w:val="007F5D28"/>
    <w:rsid w:val="007F6260"/>
    <w:rsid w:val="007F682B"/>
    <w:rsid w:val="00800509"/>
    <w:rsid w:val="0080078E"/>
    <w:rsid w:val="00800B7F"/>
    <w:rsid w:val="008012BA"/>
    <w:rsid w:val="00801D63"/>
    <w:rsid w:val="0080348B"/>
    <w:rsid w:val="00803D82"/>
    <w:rsid w:val="00803D98"/>
    <w:rsid w:val="008052CE"/>
    <w:rsid w:val="008058D0"/>
    <w:rsid w:val="0080705B"/>
    <w:rsid w:val="0080723C"/>
    <w:rsid w:val="00807F71"/>
    <w:rsid w:val="0081000F"/>
    <w:rsid w:val="00812657"/>
    <w:rsid w:val="00812A1A"/>
    <w:rsid w:val="00812DFF"/>
    <w:rsid w:val="0081362F"/>
    <w:rsid w:val="0081383A"/>
    <w:rsid w:val="0081497F"/>
    <w:rsid w:val="00814B90"/>
    <w:rsid w:val="00814FC7"/>
    <w:rsid w:val="00815419"/>
    <w:rsid w:val="0081660C"/>
    <w:rsid w:val="00817195"/>
    <w:rsid w:val="00817416"/>
    <w:rsid w:val="00821080"/>
    <w:rsid w:val="00821271"/>
    <w:rsid w:val="00821306"/>
    <w:rsid w:val="008213D9"/>
    <w:rsid w:val="00821D85"/>
    <w:rsid w:val="008220F6"/>
    <w:rsid w:val="00823819"/>
    <w:rsid w:val="00823C4B"/>
    <w:rsid w:val="0082427D"/>
    <w:rsid w:val="00825441"/>
    <w:rsid w:val="00830052"/>
    <w:rsid w:val="008300D0"/>
    <w:rsid w:val="008320D2"/>
    <w:rsid w:val="008321CE"/>
    <w:rsid w:val="0083257C"/>
    <w:rsid w:val="0083261B"/>
    <w:rsid w:val="00832B44"/>
    <w:rsid w:val="00832EC9"/>
    <w:rsid w:val="00833307"/>
    <w:rsid w:val="00833583"/>
    <w:rsid w:val="00833B5B"/>
    <w:rsid w:val="00833E9A"/>
    <w:rsid w:val="00834FEF"/>
    <w:rsid w:val="00836323"/>
    <w:rsid w:val="00836A60"/>
    <w:rsid w:val="00837E9B"/>
    <w:rsid w:val="008404AA"/>
    <w:rsid w:val="008406D7"/>
    <w:rsid w:val="0084074F"/>
    <w:rsid w:val="008407BA"/>
    <w:rsid w:val="00840AAC"/>
    <w:rsid w:val="0084101C"/>
    <w:rsid w:val="0084181B"/>
    <w:rsid w:val="00841F29"/>
    <w:rsid w:val="008425CC"/>
    <w:rsid w:val="00842DC2"/>
    <w:rsid w:val="0084311E"/>
    <w:rsid w:val="0084483E"/>
    <w:rsid w:val="00846568"/>
    <w:rsid w:val="008465B4"/>
    <w:rsid w:val="00846D25"/>
    <w:rsid w:val="00850013"/>
    <w:rsid w:val="008500DD"/>
    <w:rsid w:val="00850A0A"/>
    <w:rsid w:val="00850A94"/>
    <w:rsid w:val="00851E96"/>
    <w:rsid w:val="00852FA5"/>
    <w:rsid w:val="00853F7D"/>
    <w:rsid w:val="0085517F"/>
    <w:rsid w:val="0085562D"/>
    <w:rsid w:val="00855A78"/>
    <w:rsid w:val="00855B70"/>
    <w:rsid w:val="00856154"/>
    <w:rsid w:val="00856286"/>
    <w:rsid w:val="0085657E"/>
    <w:rsid w:val="008573AF"/>
    <w:rsid w:val="008576B0"/>
    <w:rsid w:val="00860296"/>
    <w:rsid w:val="00860DA4"/>
    <w:rsid w:val="00861146"/>
    <w:rsid w:val="00861948"/>
    <w:rsid w:val="00862011"/>
    <w:rsid w:val="00862A15"/>
    <w:rsid w:val="00862CC9"/>
    <w:rsid w:val="00862D8E"/>
    <w:rsid w:val="00862EF2"/>
    <w:rsid w:val="0086598A"/>
    <w:rsid w:val="00865C3D"/>
    <w:rsid w:val="00866453"/>
    <w:rsid w:val="0086707F"/>
    <w:rsid w:val="00867501"/>
    <w:rsid w:val="00867D8E"/>
    <w:rsid w:val="008700C0"/>
    <w:rsid w:val="0087099A"/>
    <w:rsid w:val="00870AAA"/>
    <w:rsid w:val="00870D79"/>
    <w:rsid w:val="00871333"/>
    <w:rsid w:val="00871952"/>
    <w:rsid w:val="00872386"/>
    <w:rsid w:val="008726D7"/>
    <w:rsid w:val="00873128"/>
    <w:rsid w:val="008735BC"/>
    <w:rsid w:val="00873AAC"/>
    <w:rsid w:val="00873C61"/>
    <w:rsid w:val="00873DFD"/>
    <w:rsid w:val="008749BF"/>
    <w:rsid w:val="00875542"/>
    <w:rsid w:val="00875E14"/>
    <w:rsid w:val="00875F0F"/>
    <w:rsid w:val="0087637B"/>
    <w:rsid w:val="0087677E"/>
    <w:rsid w:val="00876942"/>
    <w:rsid w:val="0087712C"/>
    <w:rsid w:val="00877746"/>
    <w:rsid w:val="00877C5D"/>
    <w:rsid w:val="0088093C"/>
    <w:rsid w:val="00880BC0"/>
    <w:rsid w:val="0088127A"/>
    <w:rsid w:val="00881D59"/>
    <w:rsid w:val="00882EC1"/>
    <w:rsid w:val="0088434F"/>
    <w:rsid w:val="00884371"/>
    <w:rsid w:val="0088483D"/>
    <w:rsid w:val="008848E2"/>
    <w:rsid w:val="00884B7A"/>
    <w:rsid w:val="00884D47"/>
    <w:rsid w:val="008856C5"/>
    <w:rsid w:val="008872B3"/>
    <w:rsid w:val="00887392"/>
    <w:rsid w:val="00890A64"/>
    <w:rsid w:val="00890C40"/>
    <w:rsid w:val="0089122E"/>
    <w:rsid w:val="008912A7"/>
    <w:rsid w:val="0089183A"/>
    <w:rsid w:val="008920B4"/>
    <w:rsid w:val="008925EB"/>
    <w:rsid w:val="00892B43"/>
    <w:rsid w:val="00893432"/>
    <w:rsid w:val="00893936"/>
    <w:rsid w:val="00893CE2"/>
    <w:rsid w:val="00893F41"/>
    <w:rsid w:val="00895144"/>
    <w:rsid w:val="008972B6"/>
    <w:rsid w:val="00897339"/>
    <w:rsid w:val="00897697"/>
    <w:rsid w:val="008977E1"/>
    <w:rsid w:val="00897D19"/>
    <w:rsid w:val="008A0044"/>
    <w:rsid w:val="008A0BFE"/>
    <w:rsid w:val="008A1534"/>
    <w:rsid w:val="008A1932"/>
    <w:rsid w:val="008A21D9"/>
    <w:rsid w:val="008A3182"/>
    <w:rsid w:val="008A3D54"/>
    <w:rsid w:val="008A3E10"/>
    <w:rsid w:val="008A411C"/>
    <w:rsid w:val="008A47CE"/>
    <w:rsid w:val="008A4DFA"/>
    <w:rsid w:val="008A5F2F"/>
    <w:rsid w:val="008A6BAE"/>
    <w:rsid w:val="008A7350"/>
    <w:rsid w:val="008A7A72"/>
    <w:rsid w:val="008B09F3"/>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67E6"/>
    <w:rsid w:val="008B69B8"/>
    <w:rsid w:val="008B7042"/>
    <w:rsid w:val="008B770C"/>
    <w:rsid w:val="008C094A"/>
    <w:rsid w:val="008C1570"/>
    <w:rsid w:val="008C1E3E"/>
    <w:rsid w:val="008C2059"/>
    <w:rsid w:val="008C21D0"/>
    <w:rsid w:val="008C2DBC"/>
    <w:rsid w:val="008C3A4E"/>
    <w:rsid w:val="008C5371"/>
    <w:rsid w:val="008C623D"/>
    <w:rsid w:val="008C64EA"/>
    <w:rsid w:val="008C65F4"/>
    <w:rsid w:val="008C6683"/>
    <w:rsid w:val="008C6E0C"/>
    <w:rsid w:val="008C7273"/>
    <w:rsid w:val="008C78F8"/>
    <w:rsid w:val="008D09E8"/>
    <w:rsid w:val="008D0E65"/>
    <w:rsid w:val="008D110A"/>
    <w:rsid w:val="008D1612"/>
    <w:rsid w:val="008D2259"/>
    <w:rsid w:val="008D2531"/>
    <w:rsid w:val="008D2833"/>
    <w:rsid w:val="008D313A"/>
    <w:rsid w:val="008D3381"/>
    <w:rsid w:val="008D33FE"/>
    <w:rsid w:val="008D3B9F"/>
    <w:rsid w:val="008D3D02"/>
    <w:rsid w:val="008D4226"/>
    <w:rsid w:val="008D4D7C"/>
    <w:rsid w:val="008D5432"/>
    <w:rsid w:val="008D54C0"/>
    <w:rsid w:val="008D5558"/>
    <w:rsid w:val="008D5806"/>
    <w:rsid w:val="008D5ED9"/>
    <w:rsid w:val="008D7567"/>
    <w:rsid w:val="008E0EE4"/>
    <w:rsid w:val="008E1C24"/>
    <w:rsid w:val="008E2626"/>
    <w:rsid w:val="008E27A9"/>
    <w:rsid w:val="008E323C"/>
    <w:rsid w:val="008E35A6"/>
    <w:rsid w:val="008E36D9"/>
    <w:rsid w:val="008E3A5C"/>
    <w:rsid w:val="008E3A9A"/>
    <w:rsid w:val="008E429E"/>
    <w:rsid w:val="008E58A3"/>
    <w:rsid w:val="008E5938"/>
    <w:rsid w:val="008E6109"/>
    <w:rsid w:val="008E76BB"/>
    <w:rsid w:val="008F1764"/>
    <w:rsid w:val="008F1E3D"/>
    <w:rsid w:val="008F235C"/>
    <w:rsid w:val="008F290B"/>
    <w:rsid w:val="008F2F11"/>
    <w:rsid w:val="008F33A6"/>
    <w:rsid w:val="008F35EC"/>
    <w:rsid w:val="008F4FE8"/>
    <w:rsid w:val="008F4FED"/>
    <w:rsid w:val="008F6200"/>
    <w:rsid w:val="008F62F8"/>
    <w:rsid w:val="008F6893"/>
    <w:rsid w:val="008F7292"/>
    <w:rsid w:val="008F76C0"/>
    <w:rsid w:val="009000F2"/>
    <w:rsid w:val="0090079D"/>
    <w:rsid w:val="0090086A"/>
    <w:rsid w:val="009008C4"/>
    <w:rsid w:val="00900D2C"/>
    <w:rsid w:val="00901807"/>
    <w:rsid w:val="00901F0E"/>
    <w:rsid w:val="00902A26"/>
    <w:rsid w:val="00902B29"/>
    <w:rsid w:val="00903C83"/>
    <w:rsid w:val="0090408F"/>
    <w:rsid w:val="0090446A"/>
    <w:rsid w:val="00904DC3"/>
    <w:rsid w:val="00905469"/>
    <w:rsid w:val="0090629C"/>
    <w:rsid w:val="00906EA2"/>
    <w:rsid w:val="00907278"/>
    <w:rsid w:val="00910970"/>
    <w:rsid w:val="0091112B"/>
    <w:rsid w:val="009128B8"/>
    <w:rsid w:val="00913B84"/>
    <w:rsid w:val="0091472C"/>
    <w:rsid w:val="00915351"/>
    <w:rsid w:val="00915679"/>
    <w:rsid w:val="009159C2"/>
    <w:rsid w:val="0091627F"/>
    <w:rsid w:val="0092077A"/>
    <w:rsid w:val="009219F3"/>
    <w:rsid w:val="009221CB"/>
    <w:rsid w:val="00922320"/>
    <w:rsid w:val="00923643"/>
    <w:rsid w:val="00923E1A"/>
    <w:rsid w:val="0092490A"/>
    <w:rsid w:val="009251BD"/>
    <w:rsid w:val="00925A3E"/>
    <w:rsid w:val="009261DB"/>
    <w:rsid w:val="00926939"/>
    <w:rsid w:val="00926F4C"/>
    <w:rsid w:val="00927710"/>
    <w:rsid w:val="009307CA"/>
    <w:rsid w:val="009312F9"/>
    <w:rsid w:val="009313EC"/>
    <w:rsid w:val="00931445"/>
    <w:rsid w:val="00931AB8"/>
    <w:rsid w:val="00931C63"/>
    <w:rsid w:val="00931D10"/>
    <w:rsid w:val="0093218A"/>
    <w:rsid w:val="0093386D"/>
    <w:rsid w:val="00934C8E"/>
    <w:rsid w:val="00935194"/>
    <w:rsid w:val="00936EA5"/>
    <w:rsid w:val="00937114"/>
    <w:rsid w:val="0094015D"/>
    <w:rsid w:val="00940916"/>
    <w:rsid w:val="00941B13"/>
    <w:rsid w:val="0094215C"/>
    <w:rsid w:val="00942F8E"/>
    <w:rsid w:val="009441DB"/>
    <w:rsid w:val="00944834"/>
    <w:rsid w:val="00946128"/>
    <w:rsid w:val="0094633F"/>
    <w:rsid w:val="00947BA5"/>
    <w:rsid w:val="00950805"/>
    <w:rsid w:val="00951125"/>
    <w:rsid w:val="009517E4"/>
    <w:rsid w:val="009518D4"/>
    <w:rsid w:val="009520BC"/>
    <w:rsid w:val="009521D2"/>
    <w:rsid w:val="00952403"/>
    <w:rsid w:val="00952BD8"/>
    <w:rsid w:val="00953573"/>
    <w:rsid w:val="009556AF"/>
    <w:rsid w:val="00956647"/>
    <w:rsid w:val="009569AD"/>
    <w:rsid w:val="00957380"/>
    <w:rsid w:val="00957409"/>
    <w:rsid w:val="00957499"/>
    <w:rsid w:val="00957ED2"/>
    <w:rsid w:val="009604AE"/>
    <w:rsid w:val="00960DE4"/>
    <w:rsid w:val="009610C7"/>
    <w:rsid w:val="00961164"/>
    <w:rsid w:val="00961A4F"/>
    <w:rsid w:val="00962FB8"/>
    <w:rsid w:val="0096373F"/>
    <w:rsid w:val="00964007"/>
    <w:rsid w:val="00964283"/>
    <w:rsid w:val="009643F4"/>
    <w:rsid w:val="009645A6"/>
    <w:rsid w:val="00964F5A"/>
    <w:rsid w:val="009653ED"/>
    <w:rsid w:val="00966AD2"/>
    <w:rsid w:val="009716D8"/>
    <w:rsid w:val="00971F54"/>
    <w:rsid w:val="00972057"/>
    <w:rsid w:val="0097227B"/>
    <w:rsid w:val="0097262E"/>
    <w:rsid w:val="0097293F"/>
    <w:rsid w:val="00974022"/>
    <w:rsid w:val="00974580"/>
    <w:rsid w:val="009745D8"/>
    <w:rsid w:val="00974F3B"/>
    <w:rsid w:val="00974FCE"/>
    <w:rsid w:val="0097552A"/>
    <w:rsid w:val="0097564A"/>
    <w:rsid w:val="00975D06"/>
    <w:rsid w:val="00975DAE"/>
    <w:rsid w:val="00976BBE"/>
    <w:rsid w:val="009774BD"/>
    <w:rsid w:val="0098055B"/>
    <w:rsid w:val="009810BE"/>
    <w:rsid w:val="009817BC"/>
    <w:rsid w:val="009819A7"/>
    <w:rsid w:val="0098220A"/>
    <w:rsid w:val="00983337"/>
    <w:rsid w:val="009836AA"/>
    <w:rsid w:val="009851F5"/>
    <w:rsid w:val="0098534B"/>
    <w:rsid w:val="00986281"/>
    <w:rsid w:val="00986FC9"/>
    <w:rsid w:val="0098764E"/>
    <w:rsid w:val="00987683"/>
    <w:rsid w:val="00987826"/>
    <w:rsid w:val="00987B4F"/>
    <w:rsid w:val="00987D58"/>
    <w:rsid w:val="009906D4"/>
    <w:rsid w:val="00990EB7"/>
    <w:rsid w:val="00990F5F"/>
    <w:rsid w:val="009911A7"/>
    <w:rsid w:val="009913B8"/>
    <w:rsid w:val="009914E4"/>
    <w:rsid w:val="00992141"/>
    <w:rsid w:val="009921DB"/>
    <w:rsid w:val="00992D5B"/>
    <w:rsid w:val="00993135"/>
    <w:rsid w:val="00993AC7"/>
    <w:rsid w:val="00993BAD"/>
    <w:rsid w:val="00993E49"/>
    <w:rsid w:val="00994120"/>
    <w:rsid w:val="009942F5"/>
    <w:rsid w:val="00994568"/>
    <w:rsid w:val="00994602"/>
    <w:rsid w:val="00995B01"/>
    <w:rsid w:val="00996EF4"/>
    <w:rsid w:val="00997044"/>
    <w:rsid w:val="00997283"/>
    <w:rsid w:val="00997BC9"/>
    <w:rsid w:val="009A113D"/>
    <w:rsid w:val="009A1ECA"/>
    <w:rsid w:val="009A2BE9"/>
    <w:rsid w:val="009A2BF3"/>
    <w:rsid w:val="009A3713"/>
    <w:rsid w:val="009A3C3E"/>
    <w:rsid w:val="009A4153"/>
    <w:rsid w:val="009A4C2C"/>
    <w:rsid w:val="009A59B3"/>
    <w:rsid w:val="009A5FAE"/>
    <w:rsid w:val="009A6B3A"/>
    <w:rsid w:val="009A7E7C"/>
    <w:rsid w:val="009B05D2"/>
    <w:rsid w:val="009B152B"/>
    <w:rsid w:val="009B2731"/>
    <w:rsid w:val="009B2DCF"/>
    <w:rsid w:val="009B3D38"/>
    <w:rsid w:val="009B4368"/>
    <w:rsid w:val="009B4D4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48A"/>
    <w:rsid w:val="009D0246"/>
    <w:rsid w:val="009D03B7"/>
    <w:rsid w:val="009D07AD"/>
    <w:rsid w:val="009D0824"/>
    <w:rsid w:val="009D1654"/>
    <w:rsid w:val="009D1BDB"/>
    <w:rsid w:val="009D2F9C"/>
    <w:rsid w:val="009D4207"/>
    <w:rsid w:val="009D4E4A"/>
    <w:rsid w:val="009D5130"/>
    <w:rsid w:val="009D53D1"/>
    <w:rsid w:val="009D53FB"/>
    <w:rsid w:val="009D56A4"/>
    <w:rsid w:val="009D6081"/>
    <w:rsid w:val="009D678C"/>
    <w:rsid w:val="009D6B9A"/>
    <w:rsid w:val="009D76B5"/>
    <w:rsid w:val="009D7BC7"/>
    <w:rsid w:val="009D7FAC"/>
    <w:rsid w:val="009E0109"/>
    <w:rsid w:val="009E0342"/>
    <w:rsid w:val="009E098B"/>
    <w:rsid w:val="009E09AB"/>
    <w:rsid w:val="009E19BB"/>
    <w:rsid w:val="009E1C47"/>
    <w:rsid w:val="009E2FDA"/>
    <w:rsid w:val="009E38D1"/>
    <w:rsid w:val="009E3DF1"/>
    <w:rsid w:val="009E514A"/>
    <w:rsid w:val="009E5177"/>
    <w:rsid w:val="009E5701"/>
    <w:rsid w:val="009E5711"/>
    <w:rsid w:val="009E758E"/>
    <w:rsid w:val="009E7D6B"/>
    <w:rsid w:val="009E7E81"/>
    <w:rsid w:val="009F020A"/>
    <w:rsid w:val="009F05AD"/>
    <w:rsid w:val="009F0659"/>
    <w:rsid w:val="009F1109"/>
    <w:rsid w:val="009F143E"/>
    <w:rsid w:val="009F1DE8"/>
    <w:rsid w:val="009F2186"/>
    <w:rsid w:val="009F28DC"/>
    <w:rsid w:val="009F2EDB"/>
    <w:rsid w:val="009F337B"/>
    <w:rsid w:val="009F33DC"/>
    <w:rsid w:val="009F4550"/>
    <w:rsid w:val="009F56C0"/>
    <w:rsid w:val="009F5C76"/>
    <w:rsid w:val="00A000C5"/>
    <w:rsid w:val="00A007B4"/>
    <w:rsid w:val="00A00CA0"/>
    <w:rsid w:val="00A00E00"/>
    <w:rsid w:val="00A01221"/>
    <w:rsid w:val="00A012A8"/>
    <w:rsid w:val="00A012F1"/>
    <w:rsid w:val="00A016FF"/>
    <w:rsid w:val="00A01886"/>
    <w:rsid w:val="00A0207F"/>
    <w:rsid w:val="00A021AF"/>
    <w:rsid w:val="00A03A7C"/>
    <w:rsid w:val="00A044AA"/>
    <w:rsid w:val="00A0700C"/>
    <w:rsid w:val="00A102F8"/>
    <w:rsid w:val="00A10A20"/>
    <w:rsid w:val="00A117D5"/>
    <w:rsid w:val="00A13121"/>
    <w:rsid w:val="00A131F5"/>
    <w:rsid w:val="00A133C1"/>
    <w:rsid w:val="00A13414"/>
    <w:rsid w:val="00A13675"/>
    <w:rsid w:val="00A138B7"/>
    <w:rsid w:val="00A13DF3"/>
    <w:rsid w:val="00A13F2D"/>
    <w:rsid w:val="00A14F81"/>
    <w:rsid w:val="00A1535F"/>
    <w:rsid w:val="00A15CB1"/>
    <w:rsid w:val="00A15DCC"/>
    <w:rsid w:val="00A15E84"/>
    <w:rsid w:val="00A16021"/>
    <w:rsid w:val="00A176DD"/>
    <w:rsid w:val="00A17FAC"/>
    <w:rsid w:val="00A21838"/>
    <w:rsid w:val="00A22C3E"/>
    <w:rsid w:val="00A22C4D"/>
    <w:rsid w:val="00A23442"/>
    <w:rsid w:val="00A249D2"/>
    <w:rsid w:val="00A254AB"/>
    <w:rsid w:val="00A266CC"/>
    <w:rsid w:val="00A26DB4"/>
    <w:rsid w:val="00A27425"/>
    <w:rsid w:val="00A3023E"/>
    <w:rsid w:val="00A305C5"/>
    <w:rsid w:val="00A30919"/>
    <w:rsid w:val="00A309A3"/>
    <w:rsid w:val="00A31F05"/>
    <w:rsid w:val="00A31FD2"/>
    <w:rsid w:val="00A336FA"/>
    <w:rsid w:val="00A3404D"/>
    <w:rsid w:val="00A341AB"/>
    <w:rsid w:val="00A34290"/>
    <w:rsid w:val="00A355F9"/>
    <w:rsid w:val="00A357D3"/>
    <w:rsid w:val="00A35AA9"/>
    <w:rsid w:val="00A35F3C"/>
    <w:rsid w:val="00A36CF6"/>
    <w:rsid w:val="00A37309"/>
    <w:rsid w:val="00A37558"/>
    <w:rsid w:val="00A3786A"/>
    <w:rsid w:val="00A4008C"/>
    <w:rsid w:val="00A402A8"/>
    <w:rsid w:val="00A40685"/>
    <w:rsid w:val="00A40E2F"/>
    <w:rsid w:val="00A41819"/>
    <w:rsid w:val="00A41C9A"/>
    <w:rsid w:val="00A41D73"/>
    <w:rsid w:val="00A4265E"/>
    <w:rsid w:val="00A42C8C"/>
    <w:rsid w:val="00A433E8"/>
    <w:rsid w:val="00A43A1D"/>
    <w:rsid w:val="00A44854"/>
    <w:rsid w:val="00A44A45"/>
    <w:rsid w:val="00A4665D"/>
    <w:rsid w:val="00A46859"/>
    <w:rsid w:val="00A46D39"/>
    <w:rsid w:val="00A47019"/>
    <w:rsid w:val="00A472B8"/>
    <w:rsid w:val="00A476D9"/>
    <w:rsid w:val="00A5004A"/>
    <w:rsid w:val="00A502F5"/>
    <w:rsid w:val="00A504F4"/>
    <w:rsid w:val="00A508AA"/>
    <w:rsid w:val="00A50F30"/>
    <w:rsid w:val="00A526CE"/>
    <w:rsid w:val="00A54909"/>
    <w:rsid w:val="00A54DC0"/>
    <w:rsid w:val="00A550C9"/>
    <w:rsid w:val="00A55228"/>
    <w:rsid w:val="00A55A04"/>
    <w:rsid w:val="00A564DE"/>
    <w:rsid w:val="00A56B40"/>
    <w:rsid w:val="00A6054E"/>
    <w:rsid w:val="00A60799"/>
    <w:rsid w:val="00A61B48"/>
    <w:rsid w:val="00A61B7F"/>
    <w:rsid w:val="00A61B91"/>
    <w:rsid w:val="00A63335"/>
    <w:rsid w:val="00A63685"/>
    <w:rsid w:val="00A63EA5"/>
    <w:rsid w:val="00A645AC"/>
    <w:rsid w:val="00A65EFB"/>
    <w:rsid w:val="00A66E28"/>
    <w:rsid w:val="00A67429"/>
    <w:rsid w:val="00A67CE9"/>
    <w:rsid w:val="00A70590"/>
    <w:rsid w:val="00A7062E"/>
    <w:rsid w:val="00A70834"/>
    <w:rsid w:val="00A713D5"/>
    <w:rsid w:val="00A71542"/>
    <w:rsid w:val="00A71FA0"/>
    <w:rsid w:val="00A71FBD"/>
    <w:rsid w:val="00A72727"/>
    <w:rsid w:val="00A727D8"/>
    <w:rsid w:val="00A72C1A"/>
    <w:rsid w:val="00A73BF4"/>
    <w:rsid w:val="00A7463E"/>
    <w:rsid w:val="00A758E2"/>
    <w:rsid w:val="00A765B1"/>
    <w:rsid w:val="00A772F2"/>
    <w:rsid w:val="00A77828"/>
    <w:rsid w:val="00A800F9"/>
    <w:rsid w:val="00A803A6"/>
    <w:rsid w:val="00A8073D"/>
    <w:rsid w:val="00A80D02"/>
    <w:rsid w:val="00A81AEB"/>
    <w:rsid w:val="00A82D32"/>
    <w:rsid w:val="00A82EAE"/>
    <w:rsid w:val="00A837D4"/>
    <w:rsid w:val="00A84427"/>
    <w:rsid w:val="00A847F9"/>
    <w:rsid w:val="00A84D5C"/>
    <w:rsid w:val="00A84F27"/>
    <w:rsid w:val="00A8519C"/>
    <w:rsid w:val="00A8597A"/>
    <w:rsid w:val="00A85B87"/>
    <w:rsid w:val="00A85F83"/>
    <w:rsid w:val="00A86019"/>
    <w:rsid w:val="00A86EED"/>
    <w:rsid w:val="00A8733A"/>
    <w:rsid w:val="00A90C5E"/>
    <w:rsid w:val="00A9196B"/>
    <w:rsid w:val="00A91B12"/>
    <w:rsid w:val="00A91BB5"/>
    <w:rsid w:val="00A91BEE"/>
    <w:rsid w:val="00A91D4B"/>
    <w:rsid w:val="00A920B2"/>
    <w:rsid w:val="00A92A96"/>
    <w:rsid w:val="00A92AF0"/>
    <w:rsid w:val="00A933FE"/>
    <w:rsid w:val="00A937D5"/>
    <w:rsid w:val="00A93C70"/>
    <w:rsid w:val="00A94A32"/>
    <w:rsid w:val="00A94AFC"/>
    <w:rsid w:val="00A94BF5"/>
    <w:rsid w:val="00A96B4A"/>
    <w:rsid w:val="00A97BDA"/>
    <w:rsid w:val="00AA0779"/>
    <w:rsid w:val="00AA08F3"/>
    <w:rsid w:val="00AA0A16"/>
    <w:rsid w:val="00AA0A7E"/>
    <w:rsid w:val="00AA0F23"/>
    <w:rsid w:val="00AA1067"/>
    <w:rsid w:val="00AA1163"/>
    <w:rsid w:val="00AA1DA8"/>
    <w:rsid w:val="00AA222C"/>
    <w:rsid w:val="00AA238E"/>
    <w:rsid w:val="00AA253B"/>
    <w:rsid w:val="00AA29F8"/>
    <w:rsid w:val="00AA3243"/>
    <w:rsid w:val="00AA388F"/>
    <w:rsid w:val="00AA408E"/>
    <w:rsid w:val="00AA4F6D"/>
    <w:rsid w:val="00AA536B"/>
    <w:rsid w:val="00AA5A5C"/>
    <w:rsid w:val="00AA5A6F"/>
    <w:rsid w:val="00AA634D"/>
    <w:rsid w:val="00AA6F6C"/>
    <w:rsid w:val="00AA721D"/>
    <w:rsid w:val="00AA7519"/>
    <w:rsid w:val="00AA790A"/>
    <w:rsid w:val="00AA7C3C"/>
    <w:rsid w:val="00AB02EA"/>
    <w:rsid w:val="00AB04F3"/>
    <w:rsid w:val="00AB110C"/>
    <w:rsid w:val="00AB227A"/>
    <w:rsid w:val="00AB22BF"/>
    <w:rsid w:val="00AB256E"/>
    <w:rsid w:val="00AB3466"/>
    <w:rsid w:val="00AB38B2"/>
    <w:rsid w:val="00AB3BBB"/>
    <w:rsid w:val="00AB408C"/>
    <w:rsid w:val="00AB43AF"/>
    <w:rsid w:val="00AB4635"/>
    <w:rsid w:val="00AB4E41"/>
    <w:rsid w:val="00AB5EB1"/>
    <w:rsid w:val="00AB6003"/>
    <w:rsid w:val="00AB759A"/>
    <w:rsid w:val="00AB7B06"/>
    <w:rsid w:val="00AB7EAA"/>
    <w:rsid w:val="00AC0432"/>
    <w:rsid w:val="00AC0770"/>
    <w:rsid w:val="00AC1683"/>
    <w:rsid w:val="00AC1D82"/>
    <w:rsid w:val="00AC3D06"/>
    <w:rsid w:val="00AC4094"/>
    <w:rsid w:val="00AC42B6"/>
    <w:rsid w:val="00AC4AB7"/>
    <w:rsid w:val="00AC653B"/>
    <w:rsid w:val="00AC6D24"/>
    <w:rsid w:val="00AC6E18"/>
    <w:rsid w:val="00AC7493"/>
    <w:rsid w:val="00AD1065"/>
    <w:rsid w:val="00AD2AB1"/>
    <w:rsid w:val="00AD3132"/>
    <w:rsid w:val="00AD3DA6"/>
    <w:rsid w:val="00AD3F3C"/>
    <w:rsid w:val="00AD4B2F"/>
    <w:rsid w:val="00AD5F0A"/>
    <w:rsid w:val="00AD64F3"/>
    <w:rsid w:val="00AD6B4F"/>
    <w:rsid w:val="00AD6D19"/>
    <w:rsid w:val="00AD7812"/>
    <w:rsid w:val="00AD7C42"/>
    <w:rsid w:val="00AD7CFA"/>
    <w:rsid w:val="00AE0BD6"/>
    <w:rsid w:val="00AE11C1"/>
    <w:rsid w:val="00AE163D"/>
    <w:rsid w:val="00AE1C5C"/>
    <w:rsid w:val="00AE315E"/>
    <w:rsid w:val="00AE319F"/>
    <w:rsid w:val="00AE31D9"/>
    <w:rsid w:val="00AE3CF0"/>
    <w:rsid w:val="00AE5CB1"/>
    <w:rsid w:val="00AE71EE"/>
    <w:rsid w:val="00AF03CF"/>
    <w:rsid w:val="00AF0A0A"/>
    <w:rsid w:val="00AF14FC"/>
    <w:rsid w:val="00AF1ED2"/>
    <w:rsid w:val="00AF1F4E"/>
    <w:rsid w:val="00AF2302"/>
    <w:rsid w:val="00AF262A"/>
    <w:rsid w:val="00AF3557"/>
    <w:rsid w:val="00AF3F86"/>
    <w:rsid w:val="00AF4CEE"/>
    <w:rsid w:val="00AF584C"/>
    <w:rsid w:val="00AF5D84"/>
    <w:rsid w:val="00AF6476"/>
    <w:rsid w:val="00AF669D"/>
    <w:rsid w:val="00AF672C"/>
    <w:rsid w:val="00AF673E"/>
    <w:rsid w:val="00AF715A"/>
    <w:rsid w:val="00AF7389"/>
    <w:rsid w:val="00AF79DF"/>
    <w:rsid w:val="00AF7C37"/>
    <w:rsid w:val="00B00378"/>
    <w:rsid w:val="00B0074B"/>
    <w:rsid w:val="00B00D91"/>
    <w:rsid w:val="00B00E84"/>
    <w:rsid w:val="00B01DD9"/>
    <w:rsid w:val="00B038F1"/>
    <w:rsid w:val="00B03C1B"/>
    <w:rsid w:val="00B04678"/>
    <w:rsid w:val="00B04A04"/>
    <w:rsid w:val="00B04B78"/>
    <w:rsid w:val="00B04C37"/>
    <w:rsid w:val="00B04F00"/>
    <w:rsid w:val="00B04F7F"/>
    <w:rsid w:val="00B05BA6"/>
    <w:rsid w:val="00B066FE"/>
    <w:rsid w:val="00B06912"/>
    <w:rsid w:val="00B07F74"/>
    <w:rsid w:val="00B10B04"/>
    <w:rsid w:val="00B10CC6"/>
    <w:rsid w:val="00B11A61"/>
    <w:rsid w:val="00B12082"/>
    <w:rsid w:val="00B12648"/>
    <w:rsid w:val="00B1270C"/>
    <w:rsid w:val="00B13389"/>
    <w:rsid w:val="00B1364C"/>
    <w:rsid w:val="00B141A5"/>
    <w:rsid w:val="00B14F47"/>
    <w:rsid w:val="00B15286"/>
    <w:rsid w:val="00B1550D"/>
    <w:rsid w:val="00B15F6C"/>
    <w:rsid w:val="00B163E8"/>
    <w:rsid w:val="00B1767E"/>
    <w:rsid w:val="00B17A57"/>
    <w:rsid w:val="00B20760"/>
    <w:rsid w:val="00B21676"/>
    <w:rsid w:val="00B219E1"/>
    <w:rsid w:val="00B21ECF"/>
    <w:rsid w:val="00B22150"/>
    <w:rsid w:val="00B226DE"/>
    <w:rsid w:val="00B22FB5"/>
    <w:rsid w:val="00B23E72"/>
    <w:rsid w:val="00B241D5"/>
    <w:rsid w:val="00B24BE9"/>
    <w:rsid w:val="00B25F8C"/>
    <w:rsid w:val="00B260BE"/>
    <w:rsid w:val="00B26677"/>
    <w:rsid w:val="00B26A96"/>
    <w:rsid w:val="00B274E3"/>
    <w:rsid w:val="00B2765C"/>
    <w:rsid w:val="00B27C4B"/>
    <w:rsid w:val="00B30563"/>
    <w:rsid w:val="00B30A76"/>
    <w:rsid w:val="00B31246"/>
    <w:rsid w:val="00B32295"/>
    <w:rsid w:val="00B33AB5"/>
    <w:rsid w:val="00B3412E"/>
    <w:rsid w:val="00B343E0"/>
    <w:rsid w:val="00B35B6D"/>
    <w:rsid w:val="00B367C4"/>
    <w:rsid w:val="00B37B8E"/>
    <w:rsid w:val="00B40222"/>
    <w:rsid w:val="00B404C3"/>
    <w:rsid w:val="00B41D5E"/>
    <w:rsid w:val="00B4311F"/>
    <w:rsid w:val="00B431AE"/>
    <w:rsid w:val="00B433EA"/>
    <w:rsid w:val="00B44288"/>
    <w:rsid w:val="00B448BF"/>
    <w:rsid w:val="00B44940"/>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D11"/>
    <w:rsid w:val="00B56ECA"/>
    <w:rsid w:val="00B57093"/>
    <w:rsid w:val="00B60613"/>
    <w:rsid w:val="00B60943"/>
    <w:rsid w:val="00B61AEC"/>
    <w:rsid w:val="00B6244C"/>
    <w:rsid w:val="00B62A2F"/>
    <w:rsid w:val="00B62B7B"/>
    <w:rsid w:val="00B62F0A"/>
    <w:rsid w:val="00B634B7"/>
    <w:rsid w:val="00B63EF6"/>
    <w:rsid w:val="00B6440A"/>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274"/>
    <w:rsid w:val="00B81331"/>
    <w:rsid w:val="00B815D3"/>
    <w:rsid w:val="00B823A6"/>
    <w:rsid w:val="00B83C8E"/>
    <w:rsid w:val="00B83E76"/>
    <w:rsid w:val="00B83FA0"/>
    <w:rsid w:val="00B86289"/>
    <w:rsid w:val="00B86302"/>
    <w:rsid w:val="00B863B3"/>
    <w:rsid w:val="00B869D3"/>
    <w:rsid w:val="00B86CF8"/>
    <w:rsid w:val="00B86E44"/>
    <w:rsid w:val="00B87359"/>
    <w:rsid w:val="00B87F1C"/>
    <w:rsid w:val="00B90D8D"/>
    <w:rsid w:val="00B91263"/>
    <w:rsid w:val="00B91B61"/>
    <w:rsid w:val="00B93849"/>
    <w:rsid w:val="00B938BD"/>
    <w:rsid w:val="00B9407F"/>
    <w:rsid w:val="00B944E9"/>
    <w:rsid w:val="00B94896"/>
    <w:rsid w:val="00B94CDD"/>
    <w:rsid w:val="00B94DA7"/>
    <w:rsid w:val="00B96DD9"/>
    <w:rsid w:val="00BA050E"/>
    <w:rsid w:val="00BA14B2"/>
    <w:rsid w:val="00BA15DC"/>
    <w:rsid w:val="00BA2C82"/>
    <w:rsid w:val="00BA4399"/>
    <w:rsid w:val="00BA4452"/>
    <w:rsid w:val="00BA4ACF"/>
    <w:rsid w:val="00BA5039"/>
    <w:rsid w:val="00BA583B"/>
    <w:rsid w:val="00BA5EC7"/>
    <w:rsid w:val="00BA6319"/>
    <w:rsid w:val="00BA63CE"/>
    <w:rsid w:val="00BA676E"/>
    <w:rsid w:val="00BA6980"/>
    <w:rsid w:val="00BA6EF2"/>
    <w:rsid w:val="00BA7227"/>
    <w:rsid w:val="00BA763C"/>
    <w:rsid w:val="00BA7CD7"/>
    <w:rsid w:val="00BB00E5"/>
    <w:rsid w:val="00BB1EFB"/>
    <w:rsid w:val="00BB27CC"/>
    <w:rsid w:val="00BB2ACE"/>
    <w:rsid w:val="00BB2E4E"/>
    <w:rsid w:val="00BB2E62"/>
    <w:rsid w:val="00BB36C9"/>
    <w:rsid w:val="00BB40D1"/>
    <w:rsid w:val="00BB7EC0"/>
    <w:rsid w:val="00BC0207"/>
    <w:rsid w:val="00BC0538"/>
    <w:rsid w:val="00BC0A5A"/>
    <w:rsid w:val="00BC0E64"/>
    <w:rsid w:val="00BC25D1"/>
    <w:rsid w:val="00BC2DBD"/>
    <w:rsid w:val="00BC3BCB"/>
    <w:rsid w:val="00BC428A"/>
    <w:rsid w:val="00BC4C40"/>
    <w:rsid w:val="00BC4EF4"/>
    <w:rsid w:val="00BC4F04"/>
    <w:rsid w:val="00BC5AE3"/>
    <w:rsid w:val="00BC5BAD"/>
    <w:rsid w:val="00BC76C5"/>
    <w:rsid w:val="00BD09A0"/>
    <w:rsid w:val="00BD10B7"/>
    <w:rsid w:val="00BD138A"/>
    <w:rsid w:val="00BD164A"/>
    <w:rsid w:val="00BD1BDD"/>
    <w:rsid w:val="00BD1D7D"/>
    <w:rsid w:val="00BD2B4D"/>
    <w:rsid w:val="00BD2F08"/>
    <w:rsid w:val="00BD2FB9"/>
    <w:rsid w:val="00BD31C2"/>
    <w:rsid w:val="00BD3683"/>
    <w:rsid w:val="00BD450A"/>
    <w:rsid w:val="00BD4717"/>
    <w:rsid w:val="00BD48EA"/>
    <w:rsid w:val="00BD4BA8"/>
    <w:rsid w:val="00BD62E6"/>
    <w:rsid w:val="00BD6B0E"/>
    <w:rsid w:val="00BD7941"/>
    <w:rsid w:val="00BE0C55"/>
    <w:rsid w:val="00BE11A2"/>
    <w:rsid w:val="00BE1EF0"/>
    <w:rsid w:val="00BE246C"/>
    <w:rsid w:val="00BE2657"/>
    <w:rsid w:val="00BE2FD2"/>
    <w:rsid w:val="00BE37AE"/>
    <w:rsid w:val="00BE3B14"/>
    <w:rsid w:val="00BE3C65"/>
    <w:rsid w:val="00BE4222"/>
    <w:rsid w:val="00BE472D"/>
    <w:rsid w:val="00BE4C03"/>
    <w:rsid w:val="00BE7F4D"/>
    <w:rsid w:val="00BF03C0"/>
    <w:rsid w:val="00BF0EBF"/>
    <w:rsid w:val="00BF21D4"/>
    <w:rsid w:val="00BF2DDC"/>
    <w:rsid w:val="00BF36BE"/>
    <w:rsid w:val="00BF4A15"/>
    <w:rsid w:val="00BF4E0E"/>
    <w:rsid w:val="00BF4E27"/>
    <w:rsid w:val="00BF537B"/>
    <w:rsid w:val="00BF626A"/>
    <w:rsid w:val="00BF6742"/>
    <w:rsid w:val="00BF688E"/>
    <w:rsid w:val="00BF6D77"/>
    <w:rsid w:val="00BF7EF5"/>
    <w:rsid w:val="00C0234A"/>
    <w:rsid w:val="00C0247B"/>
    <w:rsid w:val="00C0378E"/>
    <w:rsid w:val="00C04314"/>
    <w:rsid w:val="00C05730"/>
    <w:rsid w:val="00C05AF4"/>
    <w:rsid w:val="00C05AFD"/>
    <w:rsid w:val="00C0661C"/>
    <w:rsid w:val="00C0675F"/>
    <w:rsid w:val="00C0702A"/>
    <w:rsid w:val="00C0724C"/>
    <w:rsid w:val="00C07C11"/>
    <w:rsid w:val="00C07E10"/>
    <w:rsid w:val="00C10015"/>
    <w:rsid w:val="00C11689"/>
    <w:rsid w:val="00C12414"/>
    <w:rsid w:val="00C12ECB"/>
    <w:rsid w:val="00C148B2"/>
    <w:rsid w:val="00C14ABD"/>
    <w:rsid w:val="00C151E0"/>
    <w:rsid w:val="00C155A8"/>
    <w:rsid w:val="00C159FD"/>
    <w:rsid w:val="00C15B31"/>
    <w:rsid w:val="00C1604F"/>
    <w:rsid w:val="00C166D4"/>
    <w:rsid w:val="00C168E5"/>
    <w:rsid w:val="00C1696D"/>
    <w:rsid w:val="00C172AB"/>
    <w:rsid w:val="00C17AB5"/>
    <w:rsid w:val="00C20051"/>
    <w:rsid w:val="00C20B86"/>
    <w:rsid w:val="00C21145"/>
    <w:rsid w:val="00C215ED"/>
    <w:rsid w:val="00C23615"/>
    <w:rsid w:val="00C2397E"/>
    <w:rsid w:val="00C23A83"/>
    <w:rsid w:val="00C24381"/>
    <w:rsid w:val="00C24801"/>
    <w:rsid w:val="00C24C2E"/>
    <w:rsid w:val="00C24C7A"/>
    <w:rsid w:val="00C24FFB"/>
    <w:rsid w:val="00C25CFF"/>
    <w:rsid w:val="00C25EA6"/>
    <w:rsid w:val="00C26164"/>
    <w:rsid w:val="00C261C1"/>
    <w:rsid w:val="00C26DBF"/>
    <w:rsid w:val="00C27204"/>
    <w:rsid w:val="00C304E9"/>
    <w:rsid w:val="00C30B0B"/>
    <w:rsid w:val="00C31320"/>
    <w:rsid w:val="00C316B4"/>
    <w:rsid w:val="00C332D4"/>
    <w:rsid w:val="00C33E51"/>
    <w:rsid w:val="00C34C25"/>
    <w:rsid w:val="00C34C45"/>
    <w:rsid w:val="00C34C47"/>
    <w:rsid w:val="00C34FCE"/>
    <w:rsid w:val="00C35EED"/>
    <w:rsid w:val="00C36B2C"/>
    <w:rsid w:val="00C3701A"/>
    <w:rsid w:val="00C405C8"/>
    <w:rsid w:val="00C40C2F"/>
    <w:rsid w:val="00C415AC"/>
    <w:rsid w:val="00C4297A"/>
    <w:rsid w:val="00C4360C"/>
    <w:rsid w:val="00C43A0B"/>
    <w:rsid w:val="00C43EDA"/>
    <w:rsid w:val="00C4414C"/>
    <w:rsid w:val="00C45512"/>
    <w:rsid w:val="00C4602B"/>
    <w:rsid w:val="00C46564"/>
    <w:rsid w:val="00C46BFA"/>
    <w:rsid w:val="00C46DDF"/>
    <w:rsid w:val="00C500A1"/>
    <w:rsid w:val="00C50A02"/>
    <w:rsid w:val="00C51149"/>
    <w:rsid w:val="00C5117E"/>
    <w:rsid w:val="00C512D1"/>
    <w:rsid w:val="00C51856"/>
    <w:rsid w:val="00C51B04"/>
    <w:rsid w:val="00C539AF"/>
    <w:rsid w:val="00C53CE9"/>
    <w:rsid w:val="00C5531B"/>
    <w:rsid w:val="00C55375"/>
    <w:rsid w:val="00C56C98"/>
    <w:rsid w:val="00C56DEE"/>
    <w:rsid w:val="00C57120"/>
    <w:rsid w:val="00C571D5"/>
    <w:rsid w:val="00C575D4"/>
    <w:rsid w:val="00C61223"/>
    <w:rsid w:val="00C61246"/>
    <w:rsid w:val="00C618A8"/>
    <w:rsid w:val="00C61A78"/>
    <w:rsid w:val="00C62B88"/>
    <w:rsid w:val="00C634F9"/>
    <w:rsid w:val="00C63969"/>
    <w:rsid w:val="00C643ED"/>
    <w:rsid w:val="00C64534"/>
    <w:rsid w:val="00C64D93"/>
    <w:rsid w:val="00C64F49"/>
    <w:rsid w:val="00C64F71"/>
    <w:rsid w:val="00C65200"/>
    <w:rsid w:val="00C65BD3"/>
    <w:rsid w:val="00C665DE"/>
    <w:rsid w:val="00C667C3"/>
    <w:rsid w:val="00C6728B"/>
    <w:rsid w:val="00C71528"/>
    <w:rsid w:val="00C717E4"/>
    <w:rsid w:val="00C7191B"/>
    <w:rsid w:val="00C71F09"/>
    <w:rsid w:val="00C72588"/>
    <w:rsid w:val="00C727B9"/>
    <w:rsid w:val="00C72F44"/>
    <w:rsid w:val="00C73670"/>
    <w:rsid w:val="00C737D1"/>
    <w:rsid w:val="00C73DE0"/>
    <w:rsid w:val="00C74609"/>
    <w:rsid w:val="00C74999"/>
    <w:rsid w:val="00C749AB"/>
    <w:rsid w:val="00C75A8F"/>
    <w:rsid w:val="00C76C0C"/>
    <w:rsid w:val="00C76FFC"/>
    <w:rsid w:val="00C774E0"/>
    <w:rsid w:val="00C776BA"/>
    <w:rsid w:val="00C7791E"/>
    <w:rsid w:val="00C81716"/>
    <w:rsid w:val="00C832CB"/>
    <w:rsid w:val="00C837D3"/>
    <w:rsid w:val="00C84085"/>
    <w:rsid w:val="00C854A8"/>
    <w:rsid w:val="00C85677"/>
    <w:rsid w:val="00C85E17"/>
    <w:rsid w:val="00C868A7"/>
    <w:rsid w:val="00C86BF7"/>
    <w:rsid w:val="00C87164"/>
    <w:rsid w:val="00C8786A"/>
    <w:rsid w:val="00C87BD0"/>
    <w:rsid w:val="00C905E5"/>
    <w:rsid w:val="00C90754"/>
    <w:rsid w:val="00C90B27"/>
    <w:rsid w:val="00C90B95"/>
    <w:rsid w:val="00C90BC4"/>
    <w:rsid w:val="00C90CA9"/>
    <w:rsid w:val="00C91802"/>
    <w:rsid w:val="00C92E41"/>
    <w:rsid w:val="00C92F62"/>
    <w:rsid w:val="00C93097"/>
    <w:rsid w:val="00C93B40"/>
    <w:rsid w:val="00C93DB5"/>
    <w:rsid w:val="00C94CB9"/>
    <w:rsid w:val="00C95C2F"/>
    <w:rsid w:val="00C95F87"/>
    <w:rsid w:val="00C968EF"/>
    <w:rsid w:val="00C972CE"/>
    <w:rsid w:val="00CA0492"/>
    <w:rsid w:val="00CA0632"/>
    <w:rsid w:val="00CA0A04"/>
    <w:rsid w:val="00CA2528"/>
    <w:rsid w:val="00CA3CAB"/>
    <w:rsid w:val="00CA3FC0"/>
    <w:rsid w:val="00CA6A2E"/>
    <w:rsid w:val="00CA7D3E"/>
    <w:rsid w:val="00CB0317"/>
    <w:rsid w:val="00CB0662"/>
    <w:rsid w:val="00CB0A82"/>
    <w:rsid w:val="00CB0F2F"/>
    <w:rsid w:val="00CB1556"/>
    <w:rsid w:val="00CB1ACE"/>
    <w:rsid w:val="00CB2913"/>
    <w:rsid w:val="00CB2B00"/>
    <w:rsid w:val="00CB3970"/>
    <w:rsid w:val="00CB42B9"/>
    <w:rsid w:val="00CB4E6A"/>
    <w:rsid w:val="00CB4F39"/>
    <w:rsid w:val="00CB52A4"/>
    <w:rsid w:val="00CB537C"/>
    <w:rsid w:val="00CB5A26"/>
    <w:rsid w:val="00CB6025"/>
    <w:rsid w:val="00CB645B"/>
    <w:rsid w:val="00CB6A93"/>
    <w:rsid w:val="00CB77C3"/>
    <w:rsid w:val="00CB7E9C"/>
    <w:rsid w:val="00CC0072"/>
    <w:rsid w:val="00CC0915"/>
    <w:rsid w:val="00CC1AF5"/>
    <w:rsid w:val="00CC1B74"/>
    <w:rsid w:val="00CC291E"/>
    <w:rsid w:val="00CC2D03"/>
    <w:rsid w:val="00CC2EB0"/>
    <w:rsid w:val="00CC4701"/>
    <w:rsid w:val="00CC56B4"/>
    <w:rsid w:val="00CC5A74"/>
    <w:rsid w:val="00CC5F95"/>
    <w:rsid w:val="00CC642A"/>
    <w:rsid w:val="00CC733D"/>
    <w:rsid w:val="00CC7E97"/>
    <w:rsid w:val="00CD1255"/>
    <w:rsid w:val="00CD1484"/>
    <w:rsid w:val="00CD1892"/>
    <w:rsid w:val="00CD1C01"/>
    <w:rsid w:val="00CD1D00"/>
    <w:rsid w:val="00CD27AC"/>
    <w:rsid w:val="00CD2A82"/>
    <w:rsid w:val="00CD3CAB"/>
    <w:rsid w:val="00CD46A7"/>
    <w:rsid w:val="00CD4E4A"/>
    <w:rsid w:val="00CD4E50"/>
    <w:rsid w:val="00CD57CB"/>
    <w:rsid w:val="00CD64E1"/>
    <w:rsid w:val="00CD699D"/>
    <w:rsid w:val="00CD6BA3"/>
    <w:rsid w:val="00CD70DB"/>
    <w:rsid w:val="00CD7544"/>
    <w:rsid w:val="00CD78D4"/>
    <w:rsid w:val="00CE0697"/>
    <w:rsid w:val="00CE2E2E"/>
    <w:rsid w:val="00CE3A51"/>
    <w:rsid w:val="00CE41F9"/>
    <w:rsid w:val="00CE59F6"/>
    <w:rsid w:val="00CE66CD"/>
    <w:rsid w:val="00CE6BA9"/>
    <w:rsid w:val="00CE71C3"/>
    <w:rsid w:val="00CF029C"/>
    <w:rsid w:val="00CF0AF0"/>
    <w:rsid w:val="00CF157E"/>
    <w:rsid w:val="00CF1834"/>
    <w:rsid w:val="00CF1AAA"/>
    <w:rsid w:val="00CF1EC2"/>
    <w:rsid w:val="00CF2ACF"/>
    <w:rsid w:val="00CF345B"/>
    <w:rsid w:val="00CF475F"/>
    <w:rsid w:val="00CF476A"/>
    <w:rsid w:val="00CF5008"/>
    <w:rsid w:val="00CF5069"/>
    <w:rsid w:val="00CF5E34"/>
    <w:rsid w:val="00CF7101"/>
    <w:rsid w:val="00CF7327"/>
    <w:rsid w:val="00CF7385"/>
    <w:rsid w:val="00CF75C6"/>
    <w:rsid w:val="00CF7B77"/>
    <w:rsid w:val="00CF7DF5"/>
    <w:rsid w:val="00D001D2"/>
    <w:rsid w:val="00D00965"/>
    <w:rsid w:val="00D02A80"/>
    <w:rsid w:val="00D0352D"/>
    <w:rsid w:val="00D04F01"/>
    <w:rsid w:val="00D04F8B"/>
    <w:rsid w:val="00D054EF"/>
    <w:rsid w:val="00D05637"/>
    <w:rsid w:val="00D05BA9"/>
    <w:rsid w:val="00D05EB1"/>
    <w:rsid w:val="00D0650B"/>
    <w:rsid w:val="00D06E71"/>
    <w:rsid w:val="00D0714B"/>
    <w:rsid w:val="00D0764E"/>
    <w:rsid w:val="00D07D82"/>
    <w:rsid w:val="00D10327"/>
    <w:rsid w:val="00D103C9"/>
    <w:rsid w:val="00D10BE1"/>
    <w:rsid w:val="00D11FE3"/>
    <w:rsid w:val="00D12945"/>
    <w:rsid w:val="00D12CC0"/>
    <w:rsid w:val="00D12DA1"/>
    <w:rsid w:val="00D1343A"/>
    <w:rsid w:val="00D13D50"/>
    <w:rsid w:val="00D14101"/>
    <w:rsid w:val="00D14919"/>
    <w:rsid w:val="00D14E25"/>
    <w:rsid w:val="00D15AE3"/>
    <w:rsid w:val="00D160C4"/>
    <w:rsid w:val="00D165D8"/>
    <w:rsid w:val="00D16EF3"/>
    <w:rsid w:val="00D1724E"/>
    <w:rsid w:val="00D17C26"/>
    <w:rsid w:val="00D206F6"/>
    <w:rsid w:val="00D20FD1"/>
    <w:rsid w:val="00D213EA"/>
    <w:rsid w:val="00D214D4"/>
    <w:rsid w:val="00D21AAA"/>
    <w:rsid w:val="00D21E6F"/>
    <w:rsid w:val="00D2371E"/>
    <w:rsid w:val="00D237E0"/>
    <w:rsid w:val="00D23A17"/>
    <w:rsid w:val="00D25276"/>
    <w:rsid w:val="00D25676"/>
    <w:rsid w:val="00D265A7"/>
    <w:rsid w:val="00D2690C"/>
    <w:rsid w:val="00D27129"/>
    <w:rsid w:val="00D279E7"/>
    <w:rsid w:val="00D27F75"/>
    <w:rsid w:val="00D3046D"/>
    <w:rsid w:val="00D30497"/>
    <w:rsid w:val="00D30F5F"/>
    <w:rsid w:val="00D31243"/>
    <w:rsid w:val="00D31B07"/>
    <w:rsid w:val="00D31B9D"/>
    <w:rsid w:val="00D3272E"/>
    <w:rsid w:val="00D32FA0"/>
    <w:rsid w:val="00D33112"/>
    <w:rsid w:val="00D331CB"/>
    <w:rsid w:val="00D3497A"/>
    <w:rsid w:val="00D36BB8"/>
    <w:rsid w:val="00D377D4"/>
    <w:rsid w:val="00D401A1"/>
    <w:rsid w:val="00D40217"/>
    <w:rsid w:val="00D40385"/>
    <w:rsid w:val="00D404CE"/>
    <w:rsid w:val="00D40E8F"/>
    <w:rsid w:val="00D412BF"/>
    <w:rsid w:val="00D417C6"/>
    <w:rsid w:val="00D42B0C"/>
    <w:rsid w:val="00D42D6E"/>
    <w:rsid w:val="00D43DEF"/>
    <w:rsid w:val="00D44259"/>
    <w:rsid w:val="00D45DDC"/>
    <w:rsid w:val="00D5064C"/>
    <w:rsid w:val="00D50C94"/>
    <w:rsid w:val="00D517ED"/>
    <w:rsid w:val="00D5251C"/>
    <w:rsid w:val="00D52837"/>
    <w:rsid w:val="00D52F56"/>
    <w:rsid w:val="00D539DA"/>
    <w:rsid w:val="00D54A50"/>
    <w:rsid w:val="00D54FFD"/>
    <w:rsid w:val="00D5552C"/>
    <w:rsid w:val="00D5556D"/>
    <w:rsid w:val="00D55C81"/>
    <w:rsid w:val="00D5674B"/>
    <w:rsid w:val="00D56B56"/>
    <w:rsid w:val="00D56BF5"/>
    <w:rsid w:val="00D56F99"/>
    <w:rsid w:val="00D5743F"/>
    <w:rsid w:val="00D60270"/>
    <w:rsid w:val="00D605C2"/>
    <w:rsid w:val="00D60733"/>
    <w:rsid w:val="00D61E1D"/>
    <w:rsid w:val="00D629A4"/>
    <w:rsid w:val="00D62A4E"/>
    <w:rsid w:val="00D62BDF"/>
    <w:rsid w:val="00D64F1C"/>
    <w:rsid w:val="00D6570C"/>
    <w:rsid w:val="00D659EA"/>
    <w:rsid w:val="00D65A89"/>
    <w:rsid w:val="00D65E85"/>
    <w:rsid w:val="00D672DA"/>
    <w:rsid w:val="00D675B0"/>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56E"/>
    <w:rsid w:val="00D753A9"/>
    <w:rsid w:val="00D755F7"/>
    <w:rsid w:val="00D75DDB"/>
    <w:rsid w:val="00D75E4B"/>
    <w:rsid w:val="00D774F4"/>
    <w:rsid w:val="00D77AF6"/>
    <w:rsid w:val="00D804C5"/>
    <w:rsid w:val="00D81A28"/>
    <w:rsid w:val="00D81B01"/>
    <w:rsid w:val="00D82B00"/>
    <w:rsid w:val="00D82B04"/>
    <w:rsid w:val="00D82BE4"/>
    <w:rsid w:val="00D82E05"/>
    <w:rsid w:val="00D83BA8"/>
    <w:rsid w:val="00D83C0D"/>
    <w:rsid w:val="00D83C80"/>
    <w:rsid w:val="00D85367"/>
    <w:rsid w:val="00D8665E"/>
    <w:rsid w:val="00D869C1"/>
    <w:rsid w:val="00D86EC6"/>
    <w:rsid w:val="00D87418"/>
    <w:rsid w:val="00D87A39"/>
    <w:rsid w:val="00D87FE6"/>
    <w:rsid w:val="00D90BC3"/>
    <w:rsid w:val="00D90D1B"/>
    <w:rsid w:val="00D90DB9"/>
    <w:rsid w:val="00D91001"/>
    <w:rsid w:val="00D910FF"/>
    <w:rsid w:val="00D91337"/>
    <w:rsid w:val="00D915C9"/>
    <w:rsid w:val="00D918DA"/>
    <w:rsid w:val="00D9198F"/>
    <w:rsid w:val="00D92078"/>
    <w:rsid w:val="00D92A87"/>
    <w:rsid w:val="00D9384E"/>
    <w:rsid w:val="00D93AEE"/>
    <w:rsid w:val="00D9413E"/>
    <w:rsid w:val="00D94C8D"/>
    <w:rsid w:val="00D95F88"/>
    <w:rsid w:val="00D96698"/>
    <w:rsid w:val="00D96876"/>
    <w:rsid w:val="00D96940"/>
    <w:rsid w:val="00D96B12"/>
    <w:rsid w:val="00D96F59"/>
    <w:rsid w:val="00DA099C"/>
    <w:rsid w:val="00DA0F18"/>
    <w:rsid w:val="00DA2125"/>
    <w:rsid w:val="00DA21EC"/>
    <w:rsid w:val="00DA24DE"/>
    <w:rsid w:val="00DA270C"/>
    <w:rsid w:val="00DA281F"/>
    <w:rsid w:val="00DA3D23"/>
    <w:rsid w:val="00DA4A61"/>
    <w:rsid w:val="00DA5AFE"/>
    <w:rsid w:val="00DA61AB"/>
    <w:rsid w:val="00DA61CD"/>
    <w:rsid w:val="00DA6EE2"/>
    <w:rsid w:val="00DA78CF"/>
    <w:rsid w:val="00DA78D5"/>
    <w:rsid w:val="00DA7A89"/>
    <w:rsid w:val="00DA7BF4"/>
    <w:rsid w:val="00DB052F"/>
    <w:rsid w:val="00DB14D3"/>
    <w:rsid w:val="00DB154B"/>
    <w:rsid w:val="00DB1BDC"/>
    <w:rsid w:val="00DB3490"/>
    <w:rsid w:val="00DB3593"/>
    <w:rsid w:val="00DB3D4A"/>
    <w:rsid w:val="00DB440B"/>
    <w:rsid w:val="00DB4426"/>
    <w:rsid w:val="00DB4B40"/>
    <w:rsid w:val="00DB4F12"/>
    <w:rsid w:val="00DB4F21"/>
    <w:rsid w:val="00DB5180"/>
    <w:rsid w:val="00DB540C"/>
    <w:rsid w:val="00DB6F96"/>
    <w:rsid w:val="00DB71B9"/>
    <w:rsid w:val="00DC1395"/>
    <w:rsid w:val="00DC1E91"/>
    <w:rsid w:val="00DC32FC"/>
    <w:rsid w:val="00DC3D89"/>
    <w:rsid w:val="00DC4567"/>
    <w:rsid w:val="00DC4D6C"/>
    <w:rsid w:val="00DC4F47"/>
    <w:rsid w:val="00DC5BD0"/>
    <w:rsid w:val="00DC5BE2"/>
    <w:rsid w:val="00DC628E"/>
    <w:rsid w:val="00DC6747"/>
    <w:rsid w:val="00DC6AF3"/>
    <w:rsid w:val="00DC7608"/>
    <w:rsid w:val="00DC761E"/>
    <w:rsid w:val="00DC7B3B"/>
    <w:rsid w:val="00DC7CFC"/>
    <w:rsid w:val="00DC7F15"/>
    <w:rsid w:val="00DD09F2"/>
    <w:rsid w:val="00DD0DEE"/>
    <w:rsid w:val="00DD1205"/>
    <w:rsid w:val="00DD1633"/>
    <w:rsid w:val="00DD17A0"/>
    <w:rsid w:val="00DD2831"/>
    <w:rsid w:val="00DD2A6D"/>
    <w:rsid w:val="00DD2E17"/>
    <w:rsid w:val="00DD42DE"/>
    <w:rsid w:val="00DD4309"/>
    <w:rsid w:val="00DD4344"/>
    <w:rsid w:val="00DD573B"/>
    <w:rsid w:val="00DD57E7"/>
    <w:rsid w:val="00DD5A1E"/>
    <w:rsid w:val="00DD5B8C"/>
    <w:rsid w:val="00DD5DFA"/>
    <w:rsid w:val="00DD720D"/>
    <w:rsid w:val="00DE0229"/>
    <w:rsid w:val="00DE04E0"/>
    <w:rsid w:val="00DE1A9D"/>
    <w:rsid w:val="00DE1CB1"/>
    <w:rsid w:val="00DE2073"/>
    <w:rsid w:val="00DE20B8"/>
    <w:rsid w:val="00DE22FA"/>
    <w:rsid w:val="00DE30AC"/>
    <w:rsid w:val="00DE37AC"/>
    <w:rsid w:val="00DE4106"/>
    <w:rsid w:val="00DE4567"/>
    <w:rsid w:val="00DE466B"/>
    <w:rsid w:val="00DE48F4"/>
    <w:rsid w:val="00DE5563"/>
    <w:rsid w:val="00DE5D48"/>
    <w:rsid w:val="00DE6E4D"/>
    <w:rsid w:val="00DE7498"/>
    <w:rsid w:val="00DE75EF"/>
    <w:rsid w:val="00DE7611"/>
    <w:rsid w:val="00DF05A0"/>
    <w:rsid w:val="00DF1162"/>
    <w:rsid w:val="00DF1BA8"/>
    <w:rsid w:val="00DF1F63"/>
    <w:rsid w:val="00DF28F2"/>
    <w:rsid w:val="00DF2BFF"/>
    <w:rsid w:val="00DF3798"/>
    <w:rsid w:val="00DF4FF1"/>
    <w:rsid w:val="00DF6FD2"/>
    <w:rsid w:val="00DF72EF"/>
    <w:rsid w:val="00DF743D"/>
    <w:rsid w:val="00DF7724"/>
    <w:rsid w:val="00DF774D"/>
    <w:rsid w:val="00DF7E72"/>
    <w:rsid w:val="00E000D8"/>
    <w:rsid w:val="00E00C1E"/>
    <w:rsid w:val="00E00F5F"/>
    <w:rsid w:val="00E01377"/>
    <w:rsid w:val="00E014E7"/>
    <w:rsid w:val="00E0232F"/>
    <w:rsid w:val="00E026A9"/>
    <w:rsid w:val="00E0356F"/>
    <w:rsid w:val="00E03B42"/>
    <w:rsid w:val="00E03C10"/>
    <w:rsid w:val="00E0479F"/>
    <w:rsid w:val="00E04816"/>
    <w:rsid w:val="00E04982"/>
    <w:rsid w:val="00E04D6A"/>
    <w:rsid w:val="00E05950"/>
    <w:rsid w:val="00E05CD4"/>
    <w:rsid w:val="00E06100"/>
    <w:rsid w:val="00E0614E"/>
    <w:rsid w:val="00E06E97"/>
    <w:rsid w:val="00E06F8F"/>
    <w:rsid w:val="00E07B8F"/>
    <w:rsid w:val="00E10DD1"/>
    <w:rsid w:val="00E1103B"/>
    <w:rsid w:val="00E1224C"/>
    <w:rsid w:val="00E1254C"/>
    <w:rsid w:val="00E12BDF"/>
    <w:rsid w:val="00E13326"/>
    <w:rsid w:val="00E14356"/>
    <w:rsid w:val="00E14961"/>
    <w:rsid w:val="00E14D76"/>
    <w:rsid w:val="00E15183"/>
    <w:rsid w:val="00E15D6C"/>
    <w:rsid w:val="00E1720B"/>
    <w:rsid w:val="00E203DE"/>
    <w:rsid w:val="00E20CE7"/>
    <w:rsid w:val="00E217B1"/>
    <w:rsid w:val="00E222FA"/>
    <w:rsid w:val="00E229CE"/>
    <w:rsid w:val="00E22B4A"/>
    <w:rsid w:val="00E24A62"/>
    <w:rsid w:val="00E24F52"/>
    <w:rsid w:val="00E25755"/>
    <w:rsid w:val="00E266DD"/>
    <w:rsid w:val="00E26D2E"/>
    <w:rsid w:val="00E279B2"/>
    <w:rsid w:val="00E3055B"/>
    <w:rsid w:val="00E31699"/>
    <w:rsid w:val="00E31761"/>
    <w:rsid w:val="00E31812"/>
    <w:rsid w:val="00E31889"/>
    <w:rsid w:val="00E31CE7"/>
    <w:rsid w:val="00E333D5"/>
    <w:rsid w:val="00E3394F"/>
    <w:rsid w:val="00E34A2F"/>
    <w:rsid w:val="00E35A45"/>
    <w:rsid w:val="00E35F7F"/>
    <w:rsid w:val="00E36392"/>
    <w:rsid w:val="00E36B32"/>
    <w:rsid w:val="00E37A6F"/>
    <w:rsid w:val="00E37A9C"/>
    <w:rsid w:val="00E40222"/>
    <w:rsid w:val="00E40406"/>
    <w:rsid w:val="00E4082B"/>
    <w:rsid w:val="00E408EC"/>
    <w:rsid w:val="00E40BCB"/>
    <w:rsid w:val="00E414C4"/>
    <w:rsid w:val="00E4208F"/>
    <w:rsid w:val="00E42E94"/>
    <w:rsid w:val="00E43006"/>
    <w:rsid w:val="00E4312A"/>
    <w:rsid w:val="00E43551"/>
    <w:rsid w:val="00E437FA"/>
    <w:rsid w:val="00E45A2C"/>
    <w:rsid w:val="00E46A9C"/>
    <w:rsid w:val="00E47DB1"/>
    <w:rsid w:val="00E50BDD"/>
    <w:rsid w:val="00E510CF"/>
    <w:rsid w:val="00E513D7"/>
    <w:rsid w:val="00E51C45"/>
    <w:rsid w:val="00E5206C"/>
    <w:rsid w:val="00E52AAB"/>
    <w:rsid w:val="00E5448E"/>
    <w:rsid w:val="00E5491F"/>
    <w:rsid w:val="00E54E0D"/>
    <w:rsid w:val="00E558E5"/>
    <w:rsid w:val="00E56795"/>
    <w:rsid w:val="00E57932"/>
    <w:rsid w:val="00E606C4"/>
    <w:rsid w:val="00E60811"/>
    <w:rsid w:val="00E60AB8"/>
    <w:rsid w:val="00E6185A"/>
    <w:rsid w:val="00E61D32"/>
    <w:rsid w:val="00E63C60"/>
    <w:rsid w:val="00E64050"/>
    <w:rsid w:val="00E6514D"/>
    <w:rsid w:val="00E65161"/>
    <w:rsid w:val="00E652C9"/>
    <w:rsid w:val="00E6593B"/>
    <w:rsid w:val="00E672C6"/>
    <w:rsid w:val="00E70192"/>
    <w:rsid w:val="00E703C8"/>
    <w:rsid w:val="00E70C55"/>
    <w:rsid w:val="00E71809"/>
    <w:rsid w:val="00E71D1E"/>
    <w:rsid w:val="00E728E2"/>
    <w:rsid w:val="00E738FA"/>
    <w:rsid w:val="00E747ED"/>
    <w:rsid w:val="00E74A2B"/>
    <w:rsid w:val="00E75667"/>
    <w:rsid w:val="00E756D3"/>
    <w:rsid w:val="00E75A5A"/>
    <w:rsid w:val="00E76004"/>
    <w:rsid w:val="00E7608F"/>
    <w:rsid w:val="00E760D7"/>
    <w:rsid w:val="00E769CC"/>
    <w:rsid w:val="00E77341"/>
    <w:rsid w:val="00E7783E"/>
    <w:rsid w:val="00E778B8"/>
    <w:rsid w:val="00E801C7"/>
    <w:rsid w:val="00E8059E"/>
    <w:rsid w:val="00E80688"/>
    <w:rsid w:val="00E80864"/>
    <w:rsid w:val="00E80AF8"/>
    <w:rsid w:val="00E80BED"/>
    <w:rsid w:val="00E816E8"/>
    <w:rsid w:val="00E82592"/>
    <w:rsid w:val="00E827BB"/>
    <w:rsid w:val="00E82D24"/>
    <w:rsid w:val="00E8357D"/>
    <w:rsid w:val="00E83C4F"/>
    <w:rsid w:val="00E84212"/>
    <w:rsid w:val="00E84886"/>
    <w:rsid w:val="00E84C04"/>
    <w:rsid w:val="00E84F72"/>
    <w:rsid w:val="00E856A2"/>
    <w:rsid w:val="00E8572B"/>
    <w:rsid w:val="00E8575B"/>
    <w:rsid w:val="00E85929"/>
    <w:rsid w:val="00E85AD2"/>
    <w:rsid w:val="00E87CF7"/>
    <w:rsid w:val="00E9036E"/>
    <w:rsid w:val="00E9078A"/>
    <w:rsid w:val="00E912FD"/>
    <w:rsid w:val="00E91B26"/>
    <w:rsid w:val="00E92C6E"/>
    <w:rsid w:val="00E92D0B"/>
    <w:rsid w:val="00E93195"/>
    <w:rsid w:val="00E951D8"/>
    <w:rsid w:val="00E95523"/>
    <w:rsid w:val="00E95C2A"/>
    <w:rsid w:val="00E961CB"/>
    <w:rsid w:val="00E963BC"/>
    <w:rsid w:val="00E966A6"/>
    <w:rsid w:val="00E96E91"/>
    <w:rsid w:val="00E97DC6"/>
    <w:rsid w:val="00E97F7A"/>
    <w:rsid w:val="00E97FF5"/>
    <w:rsid w:val="00EA0010"/>
    <w:rsid w:val="00EA0143"/>
    <w:rsid w:val="00EA089B"/>
    <w:rsid w:val="00EA1FC7"/>
    <w:rsid w:val="00EA2E21"/>
    <w:rsid w:val="00EA2EAA"/>
    <w:rsid w:val="00EA336E"/>
    <w:rsid w:val="00EA380C"/>
    <w:rsid w:val="00EA7308"/>
    <w:rsid w:val="00EB089C"/>
    <w:rsid w:val="00EB0AA8"/>
    <w:rsid w:val="00EB0C65"/>
    <w:rsid w:val="00EB1624"/>
    <w:rsid w:val="00EB169F"/>
    <w:rsid w:val="00EB2635"/>
    <w:rsid w:val="00EB2961"/>
    <w:rsid w:val="00EB2E09"/>
    <w:rsid w:val="00EB2E1A"/>
    <w:rsid w:val="00EB2F8A"/>
    <w:rsid w:val="00EB3268"/>
    <w:rsid w:val="00EB3298"/>
    <w:rsid w:val="00EB3939"/>
    <w:rsid w:val="00EB3CE6"/>
    <w:rsid w:val="00EB3E92"/>
    <w:rsid w:val="00EB3F2A"/>
    <w:rsid w:val="00EB54AB"/>
    <w:rsid w:val="00EB6257"/>
    <w:rsid w:val="00EB62BD"/>
    <w:rsid w:val="00EB68E6"/>
    <w:rsid w:val="00EB6B2D"/>
    <w:rsid w:val="00EB71C9"/>
    <w:rsid w:val="00EB7B67"/>
    <w:rsid w:val="00EC07F1"/>
    <w:rsid w:val="00EC1E8A"/>
    <w:rsid w:val="00EC328C"/>
    <w:rsid w:val="00EC3852"/>
    <w:rsid w:val="00EC5241"/>
    <w:rsid w:val="00EC594C"/>
    <w:rsid w:val="00EC5C7B"/>
    <w:rsid w:val="00EC66AA"/>
    <w:rsid w:val="00EC6B8F"/>
    <w:rsid w:val="00EC7154"/>
    <w:rsid w:val="00EC7371"/>
    <w:rsid w:val="00EC73F5"/>
    <w:rsid w:val="00EC7A28"/>
    <w:rsid w:val="00EC7B48"/>
    <w:rsid w:val="00EC7E65"/>
    <w:rsid w:val="00ED0257"/>
    <w:rsid w:val="00ED071B"/>
    <w:rsid w:val="00ED1ADE"/>
    <w:rsid w:val="00ED4A77"/>
    <w:rsid w:val="00ED5981"/>
    <w:rsid w:val="00ED613A"/>
    <w:rsid w:val="00ED6514"/>
    <w:rsid w:val="00ED66B2"/>
    <w:rsid w:val="00ED71BA"/>
    <w:rsid w:val="00ED73A1"/>
    <w:rsid w:val="00ED7CA2"/>
    <w:rsid w:val="00EE13DA"/>
    <w:rsid w:val="00EE1595"/>
    <w:rsid w:val="00EE1E71"/>
    <w:rsid w:val="00EE2087"/>
    <w:rsid w:val="00EE20C2"/>
    <w:rsid w:val="00EE2A9D"/>
    <w:rsid w:val="00EE3384"/>
    <w:rsid w:val="00EE499F"/>
    <w:rsid w:val="00EE56E2"/>
    <w:rsid w:val="00EE6D45"/>
    <w:rsid w:val="00EE6E89"/>
    <w:rsid w:val="00EF0D4B"/>
    <w:rsid w:val="00EF0FE6"/>
    <w:rsid w:val="00EF1432"/>
    <w:rsid w:val="00EF1511"/>
    <w:rsid w:val="00EF2C39"/>
    <w:rsid w:val="00EF2C5F"/>
    <w:rsid w:val="00EF3AC4"/>
    <w:rsid w:val="00EF3FF9"/>
    <w:rsid w:val="00EF41AF"/>
    <w:rsid w:val="00EF4445"/>
    <w:rsid w:val="00EF4DB4"/>
    <w:rsid w:val="00EF55E9"/>
    <w:rsid w:val="00EF5B41"/>
    <w:rsid w:val="00EF611C"/>
    <w:rsid w:val="00EF625F"/>
    <w:rsid w:val="00F00630"/>
    <w:rsid w:val="00F00922"/>
    <w:rsid w:val="00F00924"/>
    <w:rsid w:val="00F01BE6"/>
    <w:rsid w:val="00F0217A"/>
    <w:rsid w:val="00F026D3"/>
    <w:rsid w:val="00F027E8"/>
    <w:rsid w:val="00F03395"/>
    <w:rsid w:val="00F034E6"/>
    <w:rsid w:val="00F03E4C"/>
    <w:rsid w:val="00F053E4"/>
    <w:rsid w:val="00F06340"/>
    <w:rsid w:val="00F0665D"/>
    <w:rsid w:val="00F06D42"/>
    <w:rsid w:val="00F07134"/>
    <w:rsid w:val="00F0724D"/>
    <w:rsid w:val="00F07378"/>
    <w:rsid w:val="00F10B81"/>
    <w:rsid w:val="00F113C9"/>
    <w:rsid w:val="00F11C01"/>
    <w:rsid w:val="00F11D80"/>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13D8"/>
    <w:rsid w:val="00F21A5D"/>
    <w:rsid w:val="00F21C13"/>
    <w:rsid w:val="00F22362"/>
    <w:rsid w:val="00F22796"/>
    <w:rsid w:val="00F2363A"/>
    <w:rsid w:val="00F238F7"/>
    <w:rsid w:val="00F23BA0"/>
    <w:rsid w:val="00F2420C"/>
    <w:rsid w:val="00F254C4"/>
    <w:rsid w:val="00F25641"/>
    <w:rsid w:val="00F256D8"/>
    <w:rsid w:val="00F25824"/>
    <w:rsid w:val="00F26065"/>
    <w:rsid w:val="00F266E3"/>
    <w:rsid w:val="00F2689C"/>
    <w:rsid w:val="00F27E44"/>
    <w:rsid w:val="00F30313"/>
    <w:rsid w:val="00F303BC"/>
    <w:rsid w:val="00F30472"/>
    <w:rsid w:val="00F318A1"/>
    <w:rsid w:val="00F31CF5"/>
    <w:rsid w:val="00F3265C"/>
    <w:rsid w:val="00F33262"/>
    <w:rsid w:val="00F343EE"/>
    <w:rsid w:val="00F353F4"/>
    <w:rsid w:val="00F35494"/>
    <w:rsid w:val="00F35607"/>
    <w:rsid w:val="00F35DBA"/>
    <w:rsid w:val="00F3619D"/>
    <w:rsid w:val="00F3722A"/>
    <w:rsid w:val="00F37366"/>
    <w:rsid w:val="00F37C99"/>
    <w:rsid w:val="00F37FCC"/>
    <w:rsid w:val="00F419B8"/>
    <w:rsid w:val="00F41C0F"/>
    <w:rsid w:val="00F42856"/>
    <w:rsid w:val="00F43777"/>
    <w:rsid w:val="00F4482B"/>
    <w:rsid w:val="00F44F02"/>
    <w:rsid w:val="00F4526B"/>
    <w:rsid w:val="00F45298"/>
    <w:rsid w:val="00F45F64"/>
    <w:rsid w:val="00F462DF"/>
    <w:rsid w:val="00F4662D"/>
    <w:rsid w:val="00F467BA"/>
    <w:rsid w:val="00F4689E"/>
    <w:rsid w:val="00F468AC"/>
    <w:rsid w:val="00F4696F"/>
    <w:rsid w:val="00F46A5F"/>
    <w:rsid w:val="00F47316"/>
    <w:rsid w:val="00F47507"/>
    <w:rsid w:val="00F47A01"/>
    <w:rsid w:val="00F47CEE"/>
    <w:rsid w:val="00F5052D"/>
    <w:rsid w:val="00F51A82"/>
    <w:rsid w:val="00F51B78"/>
    <w:rsid w:val="00F521CE"/>
    <w:rsid w:val="00F5254B"/>
    <w:rsid w:val="00F53A44"/>
    <w:rsid w:val="00F54E5E"/>
    <w:rsid w:val="00F551DB"/>
    <w:rsid w:val="00F559BE"/>
    <w:rsid w:val="00F56C7B"/>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B58"/>
    <w:rsid w:val="00F67E81"/>
    <w:rsid w:val="00F701DC"/>
    <w:rsid w:val="00F7044B"/>
    <w:rsid w:val="00F71342"/>
    <w:rsid w:val="00F71C68"/>
    <w:rsid w:val="00F724E2"/>
    <w:rsid w:val="00F74103"/>
    <w:rsid w:val="00F745A4"/>
    <w:rsid w:val="00F74C0C"/>
    <w:rsid w:val="00F75BB5"/>
    <w:rsid w:val="00F75FD5"/>
    <w:rsid w:val="00F7604C"/>
    <w:rsid w:val="00F773A9"/>
    <w:rsid w:val="00F80140"/>
    <w:rsid w:val="00F805B7"/>
    <w:rsid w:val="00F810C1"/>
    <w:rsid w:val="00F81623"/>
    <w:rsid w:val="00F81D25"/>
    <w:rsid w:val="00F82928"/>
    <w:rsid w:val="00F829B9"/>
    <w:rsid w:val="00F83045"/>
    <w:rsid w:val="00F83615"/>
    <w:rsid w:val="00F8421D"/>
    <w:rsid w:val="00F84C5A"/>
    <w:rsid w:val="00F85329"/>
    <w:rsid w:val="00F85683"/>
    <w:rsid w:val="00F85841"/>
    <w:rsid w:val="00F86079"/>
    <w:rsid w:val="00F87282"/>
    <w:rsid w:val="00F873C9"/>
    <w:rsid w:val="00F878CD"/>
    <w:rsid w:val="00F87905"/>
    <w:rsid w:val="00F87A66"/>
    <w:rsid w:val="00F90C1F"/>
    <w:rsid w:val="00F91A44"/>
    <w:rsid w:val="00F9217B"/>
    <w:rsid w:val="00F97A34"/>
    <w:rsid w:val="00F97E4A"/>
    <w:rsid w:val="00F97EA1"/>
    <w:rsid w:val="00FA05C8"/>
    <w:rsid w:val="00FA0678"/>
    <w:rsid w:val="00FA0DB6"/>
    <w:rsid w:val="00FA23F7"/>
    <w:rsid w:val="00FA2583"/>
    <w:rsid w:val="00FA27EB"/>
    <w:rsid w:val="00FA3627"/>
    <w:rsid w:val="00FA3EBC"/>
    <w:rsid w:val="00FA423C"/>
    <w:rsid w:val="00FA44D0"/>
    <w:rsid w:val="00FA4590"/>
    <w:rsid w:val="00FA55A2"/>
    <w:rsid w:val="00FA5ABC"/>
    <w:rsid w:val="00FA672F"/>
    <w:rsid w:val="00FA69F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0ABE"/>
    <w:rsid w:val="00FC22D0"/>
    <w:rsid w:val="00FC2E93"/>
    <w:rsid w:val="00FC38D4"/>
    <w:rsid w:val="00FC391E"/>
    <w:rsid w:val="00FC3BB7"/>
    <w:rsid w:val="00FC4345"/>
    <w:rsid w:val="00FC444A"/>
    <w:rsid w:val="00FC453D"/>
    <w:rsid w:val="00FC4A89"/>
    <w:rsid w:val="00FC619B"/>
    <w:rsid w:val="00FC665F"/>
    <w:rsid w:val="00FC6D59"/>
    <w:rsid w:val="00FC78F5"/>
    <w:rsid w:val="00FC7AD2"/>
    <w:rsid w:val="00FD10B3"/>
    <w:rsid w:val="00FD11C3"/>
    <w:rsid w:val="00FD154E"/>
    <w:rsid w:val="00FD24D7"/>
    <w:rsid w:val="00FD29CE"/>
    <w:rsid w:val="00FD3AE2"/>
    <w:rsid w:val="00FD3E41"/>
    <w:rsid w:val="00FD3EFA"/>
    <w:rsid w:val="00FD5AE4"/>
    <w:rsid w:val="00FD5F25"/>
    <w:rsid w:val="00FD60BE"/>
    <w:rsid w:val="00FD6894"/>
    <w:rsid w:val="00FD6AF0"/>
    <w:rsid w:val="00FD704D"/>
    <w:rsid w:val="00FD73BD"/>
    <w:rsid w:val="00FD74EF"/>
    <w:rsid w:val="00FD79B8"/>
    <w:rsid w:val="00FD79F6"/>
    <w:rsid w:val="00FE0AD1"/>
    <w:rsid w:val="00FE14D4"/>
    <w:rsid w:val="00FE1852"/>
    <w:rsid w:val="00FE2664"/>
    <w:rsid w:val="00FE33DB"/>
    <w:rsid w:val="00FE33F5"/>
    <w:rsid w:val="00FE37DD"/>
    <w:rsid w:val="00FE3C31"/>
    <w:rsid w:val="00FE4015"/>
    <w:rsid w:val="00FE44F5"/>
    <w:rsid w:val="00FE4783"/>
    <w:rsid w:val="00FE480D"/>
    <w:rsid w:val="00FE4ACC"/>
    <w:rsid w:val="00FE713E"/>
    <w:rsid w:val="00FE7DD1"/>
    <w:rsid w:val="00FF0B4F"/>
    <w:rsid w:val="00FF0F58"/>
    <w:rsid w:val="00FF1A06"/>
    <w:rsid w:val="00FF1AD3"/>
    <w:rsid w:val="00FF1B46"/>
    <w:rsid w:val="00FF219D"/>
    <w:rsid w:val="00FF2A7B"/>
    <w:rsid w:val="00FF3D2B"/>
    <w:rsid w:val="00FF49B4"/>
    <w:rsid w:val="00FF49F4"/>
    <w:rsid w:val="00FF4F9C"/>
    <w:rsid w:val="00FF5C6A"/>
    <w:rsid w:val="00FF651D"/>
    <w:rsid w:val="00FF6843"/>
    <w:rsid w:val="01001561"/>
    <w:rsid w:val="01014A49"/>
    <w:rsid w:val="010651D9"/>
    <w:rsid w:val="010926E6"/>
    <w:rsid w:val="01096D71"/>
    <w:rsid w:val="01161860"/>
    <w:rsid w:val="012C30BD"/>
    <w:rsid w:val="012D6C58"/>
    <w:rsid w:val="01323FA1"/>
    <w:rsid w:val="013367E7"/>
    <w:rsid w:val="013E51C3"/>
    <w:rsid w:val="014B5A41"/>
    <w:rsid w:val="015016E2"/>
    <w:rsid w:val="01962BFF"/>
    <w:rsid w:val="01A238C8"/>
    <w:rsid w:val="01A82AE6"/>
    <w:rsid w:val="01B73420"/>
    <w:rsid w:val="01C10B3F"/>
    <w:rsid w:val="01C22CBD"/>
    <w:rsid w:val="01D176B6"/>
    <w:rsid w:val="01F442EF"/>
    <w:rsid w:val="01F96484"/>
    <w:rsid w:val="02091182"/>
    <w:rsid w:val="02123769"/>
    <w:rsid w:val="022159FB"/>
    <w:rsid w:val="02336B37"/>
    <w:rsid w:val="02482E71"/>
    <w:rsid w:val="02492E20"/>
    <w:rsid w:val="025C4398"/>
    <w:rsid w:val="026E7E49"/>
    <w:rsid w:val="02775DF2"/>
    <w:rsid w:val="027C34A6"/>
    <w:rsid w:val="028173F9"/>
    <w:rsid w:val="02833F3A"/>
    <w:rsid w:val="02965E5E"/>
    <w:rsid w:val="02A575B0"/>
    <w:rsid w:val="02AC21EB"/>
    <w:rsid w:val="02AE1C21"/>
    <w:rsid w:val="02B32511"/>
    <w:rsid w:val="02D663D4"/>
    <w:rsid w:val="02D94088"/>
    <w:rsid w:val="02E25579"/>
    <w:rsid w:val="02ED6CEE"/>
    <w:rsid w:val="02FC1842"/>
    <w:rsid w:val="02FD1585"/>
    <w:rsid w:val="02FE48D5"/>
    <w:rsid w:val="02FF228B"/>
    <w:rsid w:val="0314132A"/>
    <w:rsid w:val="031644EE"/>
    <w:rsid w:val="03227CD2"/>
    <w:rsid w:val="032642A6"/>
    <w:rsid w:val="0328667E"/>
    <w:rsid w:val="032A28D9"/>
    <w:rsid w:val="03354660"/>
    <w:rsid w:val="03411D37"/>
    <w:rsid w:val="034E2038"/>
    <w:rsid w:val="035848B7"/>
    <w:rsid w:val="0362261E"/>
    <w:rsid w:val="036C307E"/>
    <w:rsid w:val="037939E1"/>
    <w:rsid w:val="038E471E"/>
    <w:rsid w:val="03902FD3"/>
    <w:rsid w:val="03953F15"/>
    <w:rsid w:val="03A336F0"/>
    <w:rsid w:val="03A56AE2"/>
    <w:rsid w:val="03A6682D"/>
    <w:rsid w:val="03AE1B4A"/>
    <w:rsid w:val="03C2047C"/>
    <w:rsid w:val="03C617C7"/>
    <w:rsid w:val="03C71E68"/>
    <w:rsid w:val="03DD35E4"/>
    <w:rsid w:val="03E073A4"/>
    <w:rsid w:val="03E411F9"/>
    <w:rsid w:val="03F84D00"/>
    <w:rsid w:val="04050968"/>
    <w:rsid w:val="04067468"/>
    <w:rsid w:val="04161BD5"/>
    <w:rsid w:val="041B37B6"/>
    <w:rsid w:val="041D0DB3"/>
    <w:rsid w:val="041D5B4F"/>
    <w:rsid w:val="043806A7"/>
    <w:rsid w:val="043D3797"/>
    <w:rsid w:val="043D45CE"/>
    <w:rsid w:val="043F151F"/>
    <w:rsid w:val="044421CE"/>
    <w:rsid w:val="044D6294"/>
    <w:rsid w:val="044E3580"/>
    <w:rsid w:val="04696307"/>
    <w:rsid w:val="046E65B8"/>
    <w:rsid w:val="04701A41"/>
    <w:rsid w:val="047116B5"/>
    <w:rsid w:val="04751083"/>
    <w:rsid w:val="04941B22"/>
    <w:rsid w:val="049B3230"/>
    <w:rsid w:val="049B574D"/>
    <w:rsid w:val="04AF7241"/>
    <w:rsid w:val="04BB5DCF"/>
    <w:rsid w:val="04BE2ED9"/>
    <w:rsid w:val="04C15122"/>
    <w:rsid w:val="04D41ED3"/>
    <w:rsid w:val="04D46217"/>
    <w:rsid w:val="04E15B97"/>
    <w:rsid w:val="04E80122"/>
    <w:rsid w:val="04F07897"/>
    <w:rsid w:val="04F527A9"/>
    <w:rsid w:val="04F862CB"/>
    <w:rsid w:val="050121E7"/>
    <w:rsid w:val="050E53E7"/>
    <w:rsid w:val="051437CF"/>
    <w:rsid w:val="051D24DF"/>
    <w:rsid w:val="05230FC7"/>
    <w:rsid w:val="052C5697"/>
    <w:rsid w:val="053F13FA"/>
    <w:rsid w:val="055F5D2E"/>
    <w:rsid w:val="05600435"/>
    <w:rsid w:val="056413D9"/>
    <w:rsid w:val="05684A84"/>
    <w:rsid w:val="057274D7"/>
    <w:rsid w:val="057D1F1A"/>
    <w:rsid w:val="05807DBA"/>
    <w:rsid w:val="058844A3"/>
    <w:rsid w:val="059A5F99"/>
    <w:rsid w:val="05AB0BF1"/>
    <w:rsid w:val="05B2304F"/>
    <w:rsid w:val="05CA0CA4"/>
    <w:rsid w:val="05CD78E0"/>
    <w:rsid w:val="05D43A88"/>
    <w:rsid w:val="05DC0CDD"/>
    <w:rsid w:val="05E80301"/>
    <w:rsid w:val="05FB3AF2"/>
    <w:rsid w:val="05FC5FD0"/>
    <w:rsid w:val="0601747E"/>
    <w:rsid w:val="060B12CD"/>
    <w:rsid w:val="061D68AB"/>
    <w:rsid w:val="06206DCE"/>
    <w:rsid w:val="06303BDF"/>
    <w:rsid w:val="063A05A4"/>
    <w:rsid w:val="063D089D"/>
    <w:rsid w:val="063D66F6"/>
    <w:rsid w:val="06462D7D"/>
    <w:rsid w:val="064A5DA1"/>
    <w:rsid w:val="06501D07"/>
    <w:rsid w:val="06596753"/>
    <w:rsid w:val="065A6178"/>
    <w:rsid w:val="06621909"/>
    <w:rsid w:val="06643CB5"/>
    <w:rsid w:val="067D3338"/>
    <w:rsid w:val="067F47BD"/>
    <w:rsid w:val="06821275"/>
    <w:rsid w:val="068C4152"/>
    <w:rsid w:val="068D66B7"/>
    <w:rsid w:val="06945939"/>
    <w:rsid w:val="06A3344F"/>
    <w:rsid w:val="06A47A1A"/>
    <w:rsid w:val="06B4344B"/>
    <w:rsid w:val="06BD3C2C"/>
    <w:rsid w:val="06C14715"/>
    <w:rsid w:val="06C31F62"/>
    <w:rsid w:val="06C47F1A"/>
    <w:rsid w:val="06C547DF"/>
    <w:rsid w:val="06D54A24"/>
    <w:rsid w:val="06E34B09"/>
    <w:rsid w:val="06E83847"/>
    <w:rsid w:val="07044B4D"/>
    <w:rsid w:val="070F08C7"/>
    <w:rsid w:val="070F1569"/>
    <w:rsid w:val="071B7FEF"/>
    <w:rsid w:val="072E19FB"/>
    <w:rsid w:val="07312CB8"/>
    <w:rsid w:val="07391CE6"/>
    <w:rsid w:val="073E4884"/>
    <w:rsid w:val="074A3CBE"/>
    <w:rsid w:val="074D7256"/>
    <w:rsid w:val="074E32AC"/>
    <w:rsid w:val="07522A2C"/>
    <w:rsid w:val="076E04E2"/>
    <w:rsid w:val="077674B3"/>
    <w:rsid w:val="07947C76"/>
    <w:rsid w:val="07BB60A7"/>
    <w:rsid w:val="07C141A0"/>
    <w:rsid w:val="07C21547"/>
    <w:rsid w:val="07D354B4"/>
    <w:rsid w:val="07E14FC8"/>
    <w:rsid w:val="07E735F4"/>
    <w:rsid w:val="07E73A7C"/>
    <w:rsid w:val="07F7506F"/>
    <w:rsid w:val="07FA0673"/>
    <w:rsid w:val="07FA5FDA"/>
    <w:rsid w:val="082918A3"/>
    <w:rsid w:val="082D21D3"/>
    <w:rsid w:val="084E56AE"/>
    <w:rsid w:val="08530836"/>
    <w:rsid w:val="085E1E8E"/>
    <w:rsid w:val="085E36E6"/>
    <w:rsid w:val="08677FD2"/>
    <w:rsid w:val="0896247B"/>
    <w:rsid w:val="08971B72"/>
    <w:rsid w:val="08A9512E"/>
    <w:rsid w:val="08AF4E0A"/>
    <w:rsid w:val="08B1571F"/>
    <w:rsid w:val="08B741C6"/>
    <w:rsid w:val="08CC5C61"/>
    <w:rsid w:val="08CD1D8B"/>
    <w:rsid w:val="08D45A82"/>
    <w:rsid w:val="08EF1F2C"/>
    <w:rsid w:val="091F110F"/>
    <w:rsid w:val="09206806"/>
    <w:rsid w:val="09213995"/>
    <w:rsid w:val="09233958"/>
    <w:rsid w:val="092A1926"/>
    <w:rsid w:val="092D74BC"/>
    <w:rsid w:val="0939141F"/>
    <w:rsid w:val="09497C5E"/>
    <w:rsid w:val="09610A9C"/>
    <w:rsid w:val="096D3A44"/>
    <w:rsid w:val="09734827"/>
    <w:rsid w:val="097E386D"/>
    <w:rsid w:val="09812372"/>
    <w:rsid w:val="099019C4"/>
    <w:rsid w:val="09A33CF7"/>
    <w:rsid w:val="09AF7565"/>
    <w:rsid w:val="09B75479"/>
    <w:rsid w:val="09B84DF5"/>
    <w:rsid w:val="09E83FF0"/>
    <w:rsid w:val="09EF23A0"/>
    <w:rsid w:val="0A0348DF"/>
    <w:rsid w:val="0A0C33C7"/>
    <w:rsid w:val="0A154A04"/>
    <w:rsid w:val="0A24178A"/>
    <w:rsid w:val="0A2C4C4E"/>
    <w:rsid w:val="0A320047"/>
    <w:rsid w:val="0A347CD4"/>
    <w:rsid w:val="0A493236"/>
    <w:rsid w:val="0A4F0E25"/>
    <w:rsid w:val="0A5B7E63"/>
    <w:rsid w:val="0A66573C"/>
    <w:rsid w:val="0A815EF2"/>
    <w:rsid w:val="0A8421F7"/>
    <w:rsid w:val="0A8A0909"/>
    <w:rsid w:val="0A8F0A28"/>
    <w:rsid w:val="0A8F741D"/>
    <w:rsid w:val="0A972FF0"/>
    <w:rsid w:val="0A9B7D25"/>
    <w:rsid w:val="0AA45849"/>
    <w:rsid w:val="0AB774D8"/>
    <w:rsid w:val="0AC15BE8"/>
    <w:rsid w:val="0ACF49C9"/>
    <w:rsid w:val="0AD804CA"/>
    <w:rsid w:val="0AEF5A0F"/>
    <w:rsid w:val="0AF06209"/>
    <w:rsid w:val="0AF92D80"/>
    <w:rsid w:val="0B1A51BE"/>
    <w:rsid w:val="0B306855"/>
    <w:rsid w:val="0B325BE1"/>
    <w:rsid w:val="0B3336C9"/>
    <w:rsid w:val="0B38767D"/>
    <w:rsid w:val="0B3C7CE8"/>
    <w:rsid w:val="0B406699"/>
    <w:rsid w:val="0B433EF6"/>
    <w:rsid w:val="0B566523"/>
    <w:rsid w:val="0B5766D9"/>
    <w:rsid w:val="0B640372"/>
    <w:rsid w:val="0B681AD4"/>
    <w:rsid w:val="0B691C70"/>
    <w:rsid w:val="0B6B2A23"/>
    <w:rsid w:val="0B6F5CB6"/>
    <w:rsid w:val="0B71767C"/>
    <w:rsid w:val="0B820FAA"/>
    <w:rsid w:val="0B867FD2"/>
    <w:rsid w:val="0B886E69"/>
    <w:rsid w:val="0B9C4F87"/>
    <w:rsid w:val="0BA126E9"/>
    <w:rsid w:val="0BAD5382"/>
    <w:rsid w:val="0BB529D1"/>
    <w:rsid w:val="0BB63F6B"/>
    <w:rsid w:val="0BC47562"/>
    <w:rsid w:val="0BCC544E"/>
    <w:rsid w:val="0BD51C39"/>
    <w:rsid w:val="0BD87674"/>
    <w:rsid w:val="0BDA4BDD"/>
    <w:rsid w:val="0BE16695"/>
    <w:rsid w:val="0BE21B0F"/>
    <w:rsid w:val="0BE6293D"/>
    <w:rsid w:val="0C0248C8"/>
    <w:rsid w:val="0C043638"/>
    <w:rsid w:val="0C0D3A97"/>
    <w:rsid w:val="0C172F21"/>
    <w:rsid w:val="0C1934AA"/>
    <w:rsid w:val="0C266BD6"/>
    <w:rsid w:val="0C2C0C11"/>
    <w:rsid w:val="0C30248D"/>
    <w:rsid w:val="0C3A4B8E"/>
    <w:rsid w:val="0C425924"/>
    <w:rsid w:val="0C427C70"/>
    <w:rsid w:val="0C463CA3"/>
    <w:rsid w:val="0C535E92"/>
    <w:rsid w:val="0C6758BE"/>
    <w:rsid w:val="0C700D32"/>
    <w:rsid w:val="0C8362AD"/>
    <w:rsid w:val="0C87121B"/>
    <w:rsid w:val="0C97494E"/>
    <w:rsid w:val="0CA13DED"/>
    <w:rsid w:val="0CAB2340"/>
    <w:rsid w:val="0CAC6B37"/>
    <w:rsid w:val="0CAF03EA"/>
    <w:rsid w:val="0CBF7468"/>
    <w:rsid w:val="0CC4238A"/>
    <w:rsid w:val="0CDF17C4"/>
    <w:rsid w:val="0CE54206"/>
    <w:rsid w:val="0CE97760"/>
    <w:rsid w:val="0CEA4A0C"/>
    <w:rsid w:val="0CEF4220"/>
    <w:rsid w:val="0D01033B"/>
    <w:rsid w:val="0D0A17B6"/>
    <w:rsid w:val="0D0C4030"/>
    <w:rsid w:val="0D0E6D3F"/>
    <w:rsid w:val="0D1A22B3"/>
    <w:rsid w:val="0D1E4340"/>
    <w:rsid w:val="0D2D44D0"/>
    <w:rsid w:val="0D35003E"/>
    <w:rsid w:val="0D57408D"/>
    <w:rsid w:val="0D5A6433"/>
    <w:rsid w:val="0D63143F"/>
    <w:rsid w:val="0D6404B9"/>
    <w:rsid w:val="0D66489D"/>
    <w:rsid w:val="0D6913E2"/>
    <w:rsid w:val="0D75743D"/>
    <w:rsid w:val="0D9218D7"/>
    <w:rsid w:val="0D9836DB"/>
    <w:rsid w:val="0D993563"/>
    <w:rsid w:val="0D9E5D6F"/>
    <w:rsid w:val="0DA34FB3"/>
    <w:rsid w:val="0DAE5F30"/>
    <w:rsid w:val="0DC36725"/>
    <w:rsid w:val="0DC471EA"/>
    <w:rsid w:val="0DC865AE"/>
    <w:rsid w:val="0DC94BF1"/>
    <w:rsid w:val="0DD3637A"/>
    <w:rsid w:val="0DD90F21"/>
    <w:rsid w:val="0DED650E"/>
    <w:rsid w:val="0DF702FE"/>
    <w:rsid w:val="0DFA18E6"/>
    <w:rsid w:val="0DFC7CDD"/>
    <w:rsid w:val="0E1B7CF0"/>
    <w:rsid w:val="0E1F7C12"/>
    <w:rsid w:val="0E34434A"/>
    <w:rsid w:val="0E35746B"/>
    <w:rsid w:val="0E3B14E3"/>
    <w:rsid w:val="0E3E427B"/>
    <w:rsid w:val="0E4963E7"/>
    <w:rsid w:val="0E600AF5"/>
    <w:rsid w:val="0E715FB8"/>
    <w:rsid w:val="0E7168D8"/>
    <w:rsid w:val="0E802FE8"/>
    <w:rsid w:val="0E821C7D"/>
    <w:rsid w:val="0E970A7E"/>
    <w:rsid w:val="0E9D5A36"/>
    <w:rsid w:val="0EBB0B19"/>
    <w:rsid w:val="0EC6383C"/>
    <w:rsid w:val="0ECC1392"/>
    <w:rsid w:val="0EEA4321"/>
    <w:rsid w:val="0EEB19A8"/>
    <w:rsid w:val="0EEB2330"/>
    <w:rsid w:val="0F0B6D48"/>
    <w:rsid w:val="0F0E1CE0"/>
    <w:rsid w:val="0F11689B"/>
    <w:rsid w:val="0F1F3554"/>
    <w:rsid w:val="0F312A96"/>
    <w:rsid w:val="0F3607C4"/>
    <w:rsid w:val="0F3A72D1"/>
    <w:rsid w:val="0F3B5862"/>
    <w:rsid w:val="0F3E6B01"/>
    <w:rsid w:val="0F40285F"/>
    <w:rsid w:val="0F410492"/>
    <w:rsid w:val="0F4A53D9"/>
    <w:rsid w:val="0F58506B"/>
    <w:rsid w:val="0F796A8D"/>
    <w:rsid w:val="0F816ACD"/>
    <w:rsid w:val="0F841BDE"/>
    <w:rsid w:val="0F8654DD"/>
    <w:rsid w:val="0F8A4082"/>
    <w:rsid w:val="0F9C0157"/>
    <w:rsid w:val="0F9D019B"/>
    <w:rsid w:val="0FA62D68"/>
    <w:rsid w:val="0FAB0718"/>
    <w:rsid w:val="0FAC4241"/>
    <w:rsid w:val="0FB07ABB"/>
    <w:rsid w:val="0FB52ACD"/>
    <w:rsid w:val="0FB844C4"/>
    <w:rsid w:val="0FBA3DA5"/>
    <w:rsid w:val="0FC8650E"/>
    <w:rsid w:val="0FCF2858"/>
    <w:rsid w:val="0FDD0112"/>
    <w:rsid w:val="0FDE63D6"/>
    <w:rsid w:val="0FDF203F"/>
    <w:rsid w:val="0FEF3C2E"/>
    <w:rsid w:val="10081E39"/>
    <w:rsid w:val="100B62C4"/>
    <w:rsid w:val="10181110"/>
    <w:rsid w:val="10203467"/>
    <w:rsid w:val="10234403"/>
    <w:rsid w:val="10271B61"/>
    <w:rsid w:val="1035293E"/>
    <w:rsid w:val="10430F34"/>
    <w:rsid w:val="10466AC3"/>
    <w:rsid w:val="10483160"/>
    <w:rsid w:val="10584354"/>
    <w:rsid w:val="10592ED1"/>
    <w:rsid w:val="106234C6"/>
    <w:rsid w:val="107E162B"/>
    <w:rsid w:val="107E4A84"/>
    <w:rsid w:val="108C6AB8"/>
    <w:rsid w:val="10A30C4C"/>
    <w:rsid w:val="10A53E7F"/>
    <w:rsid w:val="10B51EEC"/>
    <w:rsid w:val="10C32124"/>
    <w:rsid w:val="10D7114F"/>
    <w:rsid w:val="10FC16EA"/>
    <w:rsid w:val="11014DB6"/>
    <w:rsid w:val="11050686"/>
    <w:rsid w:val="110751E5"/>
    <w:rsid w:val="11091DE8"/>
    <w:rsid w:val="111244E7"/>
    <w:rsid w:val="111C3480"/>
    <w:rsid w:val="1125502C"/>
    <w:rsid w:val="113F21E3"/>
    <w:rsid w:val="113F6650"/>
    <w:rsid w:val="11465019"/>
    <w:rsid w:val="115D517F"/>
    <w:rsid w:val="116C520E"/>
    <w:rsid w:val="116F2EE3"/>
    <w:rsid w:val="117B7761"/>
    <w:rsid w:val="117C4DC6"/>
    <w:rsid w:val="117F1501"/>
    <w:rsid w:val="118963A1"/>
    <w:rsid w:val="118D388A"/>
    <w:rsid w:val="11920E07"/>
    <w:rsid w:val="1193444B"/>
    <w:rsid w:val="119D1910"/>
    <w:rsid w:val="11A333B3"/>
    <w:rsid w:val="11A76D60"/>
    <w:rsid w:val="11B224D1"/>
    <w:rsid w:val="11B7645C"/>
    <w:rsid w:val="11C340F6"/>
    <w:rsid w:val="11C61D74"/>
    <w:rsid w:val="11C73BFD"/>
    <w:rsid w:val="11CA6019"/>
    <w:rsid w:val="11E211B0"/>
    <w:rsid w:val="11E93691"/>
    <w:rsid w:val="11EB670B"/>
    <w:rsid w:val="11FA699F"/>
    <w:rsid w:val="11FB658E"/>
    <w:rsid w:val="120656F1"/>
    <w:rsid w:val="121516EA"/>
    <w:rsid w:val="1229761D"/>
    <w:rsid w:val="122F31AD"/>
    <w:rsid w:val="124B1E55"/>
    <w:rsid w:val="1262151B"/>
    <w:rsid w:val="127723A9"/>
    <w:rsid w:val="12854E9F"/>
    <w:rsid w:val="128639DC"/>
    <w:rsid w:val="129F2D42"/>
    <w:rsid w:val="12AA47FA"/>
    <w:rsid w:val="12AD61D1"/>
    <w:rsid w:val="12B86891"/>
    <w:rsid w:val="12BF7506"/>
    <w:rsid w:val="12C42FC1"/>
    <w:rsid w:val="12CB1B33"/>
    <w:rsid w:val="12D96B21"/>
    <w:rsid w:val="12F06184"/>
    <w:rsid w:val="130605EA"/>
    <w:rsid w:val="13072A44"/>
    <w:rsid w:val="13134FAB"/>
    <w:rsid w:val="131D15E5"/>
    <w:rsid w:val="132B3BBE"/>
    <w:rsid w:val="132F490A"/>
    <w:rsid w:val="133336ED"/>
    <w:rsid w:val="1336221A"/>
    <w:rsid w:val="13391DCE"/>
    <w:rsid w:val="133B528C"/>
    <w:rsid w:val="1344522F"/>
    <w:rsid w:val="134F2A1B"/>
    <w:rsid w:val="13505F03"/>
    <w:rsid w:val="136543B2"/>
    <w:rsid w:val="136951F9"/>
    <w:rsid w:val="138861FB"/>
    <w:rsid w:val="138C4961"/>
    <w:rsid w:val="13975132"/>
    <w:rsid w:val="139C50E9"/>
    <w:rsid w:val="13A03110"/>
    <w:rsid w:val="13C3692D"/>
    <w:rsid w:val="13C82A41"/>
    <w:rsid w:val="13D30D50"/>
    <w:rsid w:val="13D727B1"/>
    <w:rsid w:val="13E041D1"/>
    <w:rsid w:val="13F725C5"/>
    <w:rsid w:val="14044F65"/>
    <w:rsid w:val="140B40AC"/>
    <w:rsid w:val="140C30BB"/>
    <w:rsid w:val="140D0683"/>
    <w:rsid w:val="140E546B"/>
    <w:rsid w:val="14101E60"/>
    <w:rsid w:val="1427436F"/>
    <w:rsid w:val="144018EB"/>
    <w:rsid w:val="144B5BC0"/>
    <w:rsid w:val="144E1173"/>
    <w:rsid w:val="145F0C2D"/>
    <w:rsid w:val="147346B7"/>
    <w:rsid w:val="14775CBC"/>
    <w:rsid w:val="14822B47"/>
    <w:rsid w:val="14844DE2"/>
    <w:rsid w:val="148A1384"/>
    <w:rsid w:val="148D4B30"/>
    <w:rsid w:val="148E3A4B"/>
    <w:rsid w:val="148E5A9F"/>
    <w:rsid w:val="149511F4"/>
    <w:rsid w:val="14A07E2F"/>
    <w:rsid w:val="14A73815"/>
    <w:rsid w:val="14AD6AC7"/>
    <w:rsid w:val="14B13340"/>
    <w:rsid w:val="14BF52F1"/>
    <w:rsid w:val="14C441C5"/>
    <w:rsid w:val="14CA693C"/>
    <w:rsid w:val="14CF33CA"/>
    <w:rsid w:val="14D418BA"/>
    <w:rsid w:val="14D64CE7"/>
    <w:rsid w:val="14DC0CA9"/>
    <w:rsid w:val="14E657E8"/>
    <w:rsid w:val="14E8043A"/>
    <w:rsid w:val="14EB3B53"/>
    <w:rsid w:val="14EC35EE"/>
    <w:rsid w:val="14F360D5"/>
    <w:rsid w:val="150B29DD"/>
    <w:rsid w:val="153318EA"/>
    <w:rsid w:val="15377BEB"/>
    <w:rsid w:val="153D57D8"/>
    <w:rsid w:val="15402463"/>
    <w:rsid w:val="1563550E"/>
    <w:rsid w:val="15681D77"/>
    <w:rsid w:val="156A1226"/>
    <w:rsid w:val="15842CF8"/>
    <w:rsid w:val="1586514E"/>
    <w:rsid w:val="1587493F"/>
    <w:rsid w:val="15875C68"/>
    <w:rsid w:val="158C50FF"/>
    <w:rsid w:val="15941750"/>
    <w:rsid w:val="15A85575"/>
    <w:rsid w:val="15AD6953"/>
    <w:rsid w:val="15C70BDA"/>
    <w:rsid w:val="15CF4417"/>
    <w:rsid w:val="15D2509F"/>
    <w:rsid w:val="15D634E3"/>
    <w:rsid w:val="15F96197"/>
    <w:rsid w:val="160D3DF4"/>
    <w:rsid w:val="161E2E86"/>
    <w:rsid w:val="161E595C"/>
    <w:rsid w:val="162219D8"/>
    <w:rsid w:val="162C2956"/>
    <w:rsid w:val="1633659C"/>
    <w:rsid w:val="1640355E"/>
    <w:rsid w:val="164345DD"/>
    <w:rsid w:val="165F0145"/>
    <w:rsid w:val="166441DA"/>
    <w:rsid w:val="16646AE4"/>
    <w:rsid w:val="16664ADA"/>
    <w:rsid w:val="16761174"/>
    <w:rsid w:val="167E3FCC"/>
    <w:rsid w:val="1696028F"/>
    <w:rsid w:val="169C2307"/>
    <w:rsid w:val="169D20E9"/>
    <w:rsid w:val="169E1C95"/>
    <w:rsid w:val="16A169E4"/>
    <w:rsid w:val="16A84CDB"/>
    <w:rsid w:val="16AA4004"/>
    <w:rsid w:val="16B92501"/>
    <w:rsid w:val="16E61916"/>
    <w:rsid w:val="16F80626"/>
    <w:rsid w:val="170017A6"/>
    <w:rsid w:val="170042AC"/>
    <w:rsid w:val="170957B5"/>
    <w:rsid w:val="171463A4"/>
    <w:rsid w:val="17165FB3"/>
    <w:rsid w:val="17284A86"/>
    <w:rsid w:val="17367521"/>
    <w:rsid w:val="17431992"/>
    <w:rsid w:val="1748451D"/>
    <w:rsid w:val="174D22BE"/>
    <w:rsid w:val="175033C8"/>
    <w:rsid w:val="176B3510"/>
    <w:rsid w:val="176C7D9C"/>
    <w:rsid w:val="176F5CAD"/>
    <w:rsid w:val="17887704"/>
    <w:rsid w:val="178C03AD"/>
    <w:rsid w:val="178D3961"/>
    <w:rsid w:val="17917353"/>
    <w:rsid w:val="17985845"/>
    <w:rsid w:val="179D5B1C"/>
    <w:rsid w:val="17A271BA"/>
    <w:rsid w:val="17B30358"/>
    <w:rsid w:val="17B63CFE"/>
    <w:rsid w:val="17C27715"/>
    <w:rsid w:val="17CA6CD0"/>
    <w:rsid w:val="17D36D4F"/>
    <w:rsid w:val="17D97630"/>
    <w:rsid w:val="17EA1522"/>
    <w:rsid w:val="17F112AC"/>
    <w:rsid w:val="17FA7450"/>
    <w:rsid w:val="180416B4"/>
    <w:rsid w:val="18051303"/>
    <w:rsid w:val="180A5742"/>
    <w:rsid w:val="1814672C"/>
    <w:rsid w:val="182B6EA8"/>
    <w:rsid w:val="184C0349"/>
    <w:rsid w:val="185E2738"/>
    <w:rsid w:val="186B301F"/>
    <w:rsid w:val="186C3E9F"/>
    <w:rsid w:val="186F255F"/>
    <w:rsid w:val="187640BA"/>
    <w:rsid w:val="18785210"/>
    <w:rsid w:val="187A0BAF"/>
    <w:rsid w:val="18884C12"/>
    <w:rsid w:val="188E51B9"/>
    <w:rsid w:val="18944C89"/>
    <w:rsid w:val="18A404CB"/>
    <w:rsid w:val="18A63ABA"/>
    <w:rsid w:val="18CA1A8B"/>
    <w:rsid w:val="18DE0865"/>
    <w:rsid w:val="18F52F13"/>
    <w:rsid w:val="18F64641"/>
    <w:rsid w:val="18FA4E03"/>
    <w:rsid w:val="1903004B"/>
    <w:rsid w:val="1904226A"/>
    <w:rsid w:val="190734ED"/>
    <w:rsid w:val="190C0B79"/>
    <w:rsid w:val="190C1211"/>
    <w:rsid w:val="19302A13"/>
    <w:rsid w:val="19307296"/>
    <w:rsid w:val="193100AD"/>
    <w:rsid w:val="193F6AA7"/>
    <w:rsid w:val="194066EB"/>
    <w:rsid w:val="19563722"/>
    <w:rsid w:val="195F4F8F"/>
    <w:rsid w:val="196814B6"/>
    <w:rsid w:val="196907BD"/>
    <w:rsid w:val="196A790A"/>
    <w:rsid w:val="196D346C"/>
    <w:rsid w:val="19710A9A"/>
    <w:rsid w:val="1974177B"/>
    <w:rsid w:val="19777006"/>
    <w:rsid w:val="19894183"/>
    <w:rsid w:val="198A2ADD"/>
    <w:rsid w:val="19941524"/>
    <w:rsid w:val="19A66DCD"/>
    <w:rsid w:val="19B9747A"/>
    <w:rsid w:val="19CE7FD5"/>
    <w:rsid w:val="19CF590E"/>
    <w:rsid w:val="19E11149"/>
    <w:rsid w:val="19F53DA1"/>
    <w:rsid w:val="1A022B2A"/>
    <w:rsid w:val="1A141969"/>
    <w:rsid w:val="1A1939A8"/>
    <w:rsid w:val="1A2943EB"/>
    <w:rsid w:val="1A2D7EB6"/>
    <w:rsid w:val="1A2F2698"/>
    <w:rsid w:val="1A3427CC"/>
    <w:rsid w:val="1A3B60A6"/>
    <w:rsid w:val="1A601454"/>
    <w:rsid w:val="1A616038"/>
    <w:rsid w:val="1A6E2C42"/>
    <w:rsid w:val="1A9512C3"/>
    <w:rsid w:val="1AA13D0C"/>
    <w:rsid w:val="1AB24A8A"/>
    <w:rsid w:val="1ACA2A60"/>
    <w:rsid w:val="1ACD1B5E"/>
    <w:rsid w:val="1AD16874"/>
    <w:rsid w:val="1AD74C32"/>
    <w:rsid w:val="1ADC1803"/>
    <w:rsid w:val="1AF23738"/>
    <w:rsid w:val="1AF5443B"/>
    <w:rsid w:val="1B161E5A"/>
    <w:rsid w:val="1B224560"/>
    <w:rsid w:val="1B241528"/>
    <w:rsid w:val="1B2A271F"/>
    <w:rsid w:val="1B400108"/>
    <w:rsid w:val="1B405DFF"/>
    <w:rsid w:val="1B580070"/>
    <w:rsid w:val="1B5F064E"/>
    <w:rsid w:val="1B637B07"/>
    <w:rsid w:val="1B640D8F"/>
    <w:rsid w:val="1B6A373E"/>
    <w:rsid w:val="1B6F15DC"/>
    <w:rsid w:val="1B7119EC"/>
    <w:rsid w:val="1B71739B"/>
    <w:rsid w:val="1B726803"/>
    <w:rsid w:val="1B7C1F01"/>
    <w:rsid w:val="1B88176C"/>
    <w:rsid w:val="1B973E84"/>
    <w:rsid w:val="1B9B7753"/>
    <w:rsid w:val="1BA32BB1"/>
    <w:rsid w:val="1BAA3DC1"/>
    <w:rsid w:val="1BAB4248"/>
    <w:rsid w:val="1BAD47E8"/>
    <w:rsid w:val="1BAF4F4D"/>
    <w:rsid w:val="1BB024AE"/>
    <w:rsid w:val="1BC657F8"/>
    <w:rsid w:val="1BCA7EA1"/>
    <w:rsid w:val="1BD617CF"/>
    <w:rsid w:val="1BEC3499"/>
    <w:rsid w:val="1BFB347B"/>
    <w:rsid w:val="1C017231"/>
    <w:rsid w:val="1C1131F8"/>
    <w:rsid w:val="1C126556"/>
    <w:rsid w:val="1C2016BA"/>
    <w:rsid w:val="1C207703"/>
    <w:rsid w:val="1C2227FE"/>
    <w:rsid w:val="1C28688B"/>
    <w:rsid w:val="1C2B4A6B"/>
    <w:rsid w:val="1C2F2CB0"/>
    <w:rsid w:val="1C3C2CD6"/>
    <w:rsid w:val="1C44511D"/>
    <w:rsid w:val="1C4831B3"/>
    <w:rsid w:val="1C5A0B24"/>
    <w:rsid w:val="1C5C1DDF"/>
    <w:rsid w:val="1C67483F"/>
    <w:rsid w:val="1C6D72C6"/>
    <w:rsid w:val="1C7A4FD3"/>
    <w:rsid w:val="1C846184"/>
    <w:rsid w:val="1C857589"/>
    <w:rsid w:val="1C8A0972"/>
    <w:rsid w:val="1C9E0CFB"/>
    <w:rsid w:val="1C9F75B4"/>
    <w:rsid w:val="1CAE5C50"/>
    <w:rsid w:val="1CB436D0"/>
    <w:rsid w:val="1CC063EF"/>
    <w:rsid w:val="1CC84C4A"/>
    <w:rsid w:val="1CCA0089"/>
    <w:rsid w:val="1CD16969"/>
    <w:rsid w:val="1CDC595B"/>
    <w:rsid w:val="1CE6768C"/>
    <w:rsid w:val="1CFC178C"/>
    <w:rsid w:val="1CFF79E7"/>
    <w:rsid w:val="1D220355"/>
    <w:rsid w:val="1D266CE1"/>
    <w:rsid w:val="1D374B3F"/>
    <w:rsid w:val="1D3963AF"/>
    <w:rsid w:val="1D3D7321"/>
    <w:rsid w:val="1D485793"/>
    <w:rsid w:val="1D4F37C7"/>
    <w:rsid w:val="1D541154"/>
    <w:rsid w:val="1D766BF4"/>
    <w:rsid w:val="1D7F4516"/>
    <w:rsid w:val="1D8D5E44"/>
    <w:rsid w:val="1D9D69EE"/>
    <w:rsid w:val="1DA16BDC"/>
    <w:rsid w:val="1DAC64EC"/>
    <w:rsid w:val="1DB85C9D"/>
    <w:rsid w:val="1DC84C4A"/>
    <w:rsid w:val="1DE03E54"/>
    <w:rsid w:val="1DE1641C"/>
    <w:rsid w:val="1DE425D8"/>
    <w:rsid w:val="1DE51656"/>
    <w:rsid w:val="1DEB72F3"/>
    <w:rsid w:val="1DF30B64"/>
    <w:rsid w:val="1DF34B32"/>
    <w:rsid w:val="1DFA6A8E"/>
    <w:rsid w:val="1DFF2A4C"/>
    <w:rsid w:val="1E1A691C"/>
    <w:rsid w:val="1E23793C"/>
    <w:rsid w:val="1E2B66C8"/>
    <w:rsid w:val="1E2C118E"/>
    <w:rsid w:val="1E364A50"/>
    <w:rsid w:val="1E377833"/>
    <w:rsid w:val="1E3D35E7"/>
    <w:rsid w:val="1E3F50D1"/>
    <w:rsid w:val="1E432D94"/>
    <w:rsid w:val="1E597316"/>
    <w:rsid w:val="1E714A66"/>
    <w:rsid w:val="1E7715F7"/>
    <w:rsid w:val="1E7A0198"/>
    <w:rsid w:val="1E7C6B5E"/>
    <w:rsid w:val="1E7D42E1"/>
    <w:rsid w:val="1E85601D"/>
    <w:rsid w:val="1E9241B6"/>
    <w:rsid w:val="1E9D2F45"/>
    <w:rsid w:val="1EA0659A"/>
    <w:rsid w:val="1EA830AC"/>
    <w:rsid w:val="1EAD303C"/>
    <w:rsid w:val="1EB83CAE"/>
    <w:rsid w:val="1EBB23B5"/>
    <w:rsid w:val="1EBD6C1B"/>
    <w:rsid w:val="1EC415D9"/>
    <w:rsid w:val="1ED12742"/>
    <w:rsid w:val="1EDC2E91"/>
    <w:rsid w:val="1EDE04AC"/>
    <w:rsid w:val="1EDE7AE4"/>
    <w:rsid w:val="1EDF6FD4"/>
    <w:rsid w:val="1EE67C14"/>
    <w:rsid w:val="1EF32F7D"/>
    <w:rsid w:val="1EF50FF4"/>
    <w:rsid w:val="1F0D7B9D"/>
    <w:rsid w:val="1F1301BC"/>
    <w:rsid w:val="1F1A08B7"/>
    <w:rsid w:val="1F331361"/>
    <w:rsid w:val="1F435A7C"/>
    <w:rsid w:val="1F486CB0"/>
    <w:rsid w:val="1F5955F7"/>
    <w:rsid w:val="1F5D01C3"/>
    <w:rsid w:val="1F6C5D2D"/>
    <w:rsid w:val="1F7139F0"/>
    <w:rsid w:val="1F721271"/>
    <w:rsid w:val="1F796539"/>
    <w:rsid w:val="1F9847D1"/>
    <w:rsid w:val="1FA53118"/>
    <w:rsid w:val="1FB14572"/>
    <w:rsid w:val="1FB43CE5"/>
    <w:rsid w:val="1FBA6C54"/>
    <w:rsid w:val="1FBB5763"/>
    <w:rsid w:val="1FBE3E53"/>
    <w:rsid w:val="1FD119BC"/>
    <w:rsid w:val="1FD74373"/>
    <w:rsid w:val="1FE15BDC"/>
    <w:rsid w:val="1FE60B23"/>
    <w:rsid w:val="1FE868A9"/>
    <w:rsid w:val="1FEE2B57"/>
    <w:rsid w:val="1FF60578"/>
    <w:rsid w:val="1FFF2616"/>
    <w:rsid w:val="201A19AE"/>
    <w:rsid w:val="20386A07"/>
    <w:rsid w:val="205B0041"/>
    <w:rsid w:val="206753DB"/>
    <w:rsid w:val="20707939"/>
    <w:rsid w:val="208109EE"/>
    <w:rsid w:val="2085223F"/>
    <w:rsid w:val="208E6648"/>
    <w:rsid w:val="20930D5F"/>
    <w:rsid w:val="209A686B"/>
    <w:rsid w:val="20A669F0"/>
    <w:rsid w:val="20C0649C"/>
    <w:rsid w:val="20C33B1F"/>
    <w:rsid w:val="20CA7FED"/>
    <w:rsid w:val="20CE135E"/>
    <w:rsid w:val="20D678E1"/>
    <w:rsid w:val="20E64DE0"/>
    <w:rsid w:val="20F06EF9"/>
    <w:rsid w:val="20FA6B85"/>
    <w:rsid w:val="21002C4C"/>
    <w:rsid w:val="21187EBF"/>
    <w:rsid w:val="21191EF6"/>
    <w:rsid w:val="211E0904"/>
    <w:rsid w:val="212A090F"/>
    <w:rsid w:val="213B2CA9"/>
    <w:rsid w:val="213D4E1A"/>
    <w:rsid w:val="21496A00"/>
    <w:rsid w:val="214D2AA2"/>
    <w:rsid w:val="21646635"/>
    <w:rsid w:val="216537AF"/>
    <w:rsid w:val="21766A09"/>
    <w:rsid w:val="21826A67"/>
    <w:rsid w:val="21912C7C"/>
    <w:rsid w:val="219F0E0D"/>
    <w:rsid w:val="21A81A1E"/>
    <w:rsid w:val="21B202B5"/>
    <w:rsid w:val="21C176A3"/>
    <w:rsid w:val="21C800D1"/>
    <w:rsid w:val="21CD2276"/>
    <w:rsid w:val="21D179DF"/>
    <w:rsid w:val="21E009DB"/>
    <w:rsid w:val="21E84337"/>
    <w:rsid w:val="21EA7C58"/>
    <w:rsid w:val="21F27160"/>
    <w:rsid w:val="21F32BC3"/>
    <w:rsid w:val="21FB28A1"/>
    <w:rsid w:val="220719A7"/>
    <w:rsid w:val="221E43CE"/>
    <w:rsid w:val="223C20B9"/>
    <w:rsid w:val="223C6D2C"/>
    <w:rsid w:val="22547713"/>
    <w:rsid w:val="22557F5E"/>
    <w:rsid w:val="22633D2F"/>
    <w:rsid w:val="22663332"/>
    <w:rsid w:val="22701CD9"/>
    <w:rsid w:val="22716F50"/>
    <w:rsid w:val="22741FC8"/>
    <w:rsid w:val="22777D86"/>
    <w:rsid w:val="227E6B8E"/>
    <w:rsid w:val="228858B5"/>
    <w:rsid w:val="2290430D"/>
    <w:rsid w:val="229142B5"/>
    <w:rsid w:val="229313A4"/>
    <w:rsid w:val="22985885"/>
    <w:rsid w:val="22A84D58"/>
    <w:rsid w:val="22A937B2"/>
    <w:rsid w:val="22AB328E"/>
    <w:rsid w:val="22AF1A57"/>
    <w:rsid w:val="22BA1A34"/>
    <w:rsid w:val="22DD3C7B"/>
    <w:rsid w:val="22DF2F32"/>
    <w:rsid w:val="22DF7E9D"/>
    <w:rsid w:val="22E725C8"/>
    <w:rsid w:val="23023964"/>
    <w:rsid w:val="23035044"/>
    <w:rsid w:val="230B0A2A"/>
    <w:rsid w:val="230D015B"/>
    <w:rsid w:val="230E21EB"/>
    <w:rsid w:val="231E5690"/>
    <w:rsid w:val="2329074D"/>
    <w:rsid w:val="23295988"/>
    <w:rsid w:val="232E3947"/>
    <w:rsid w:val="23313B4B"/>
    <w:rsid w:val="233468BB"/>
    <w:rsid w:val="233666AD"/>
    <w:rsid w:val="23366A87"/>
    <w:rsid w:val="233D2BED"/>
    <w:rsid w:val="233F553E"/>
    <w:rsid w:val="23455F0D"/>
    <w:rsid w:val="23515192"/>
    <w:rsid w:val="235A10CA"/>
    <w:rsid w:val="2369551C"/>
    <w:rsid w:val="236F1270"/>
    <w:rsid w:val="23795FC2"/>
    <w:rsid w:val="238175D7"/>
    <w:rsid w:val="23AE4206"/>
    <w:rsid w:val="23B8145E"/>
    <w:rsid w:val="23BD08B5"/>
    <w:rsid w:val="23BF7805"/>
    <w:rsid w:val="23E77E2B"/>
    <w:rsid w:val="23F51879"/>
    <w:rsid w:val="23FA45F7"/>
    <w:rsid w:val="241553AB"/>
    <w:rsid w:val="241A566B"/>
    <w:rsid w:val="242C50FA"/>
    <w:rsid w:val="243F74E9"/>
    <w:rsid w:val="24405A9C"/>
    <w:rsid w:val="24501E68"/>
    <w:rsid w:val="24521503"/>
    <w:rsid w:val="245B0538"/>
    <w:rsid w:val="245E3CF1"/>
    <w:rsid w:val="24667FB0"/>
    <w:rsid w:val="2467165D"/>
    <w:rsid w:val="2469344C"/>
    <w:rsid w:val="247A5F88"/>
    <w:rsid w:val="248C4624"/>
    <w:rsid w:val="248E54F5"/>
    <w:rsid w:val="24965F50"/>
    <w:rsid w:val="249E1138"/>
    <w:rsid w:val="249E37CF"/>
    <w:rsid w:val="24A10921"/>
    <w:rsid w:val="24A26EDA"/>
    <w:rsid w:val="24AF1C03"/>
    <w:rsid w:val="24BA3C71"/>
    <w:rsid w:val="24C243B8"/>
    <w:rsid w:val="24C53463"/>
    <w:rsid w:val="24C80498"/>
    <w:rsid w:val="24C97BCF"/>
    <w:rsid w:val="24E436AC"/>
    <w:rsid w:val="24EC26E7"/>
    <w:rsid w:val="24ED7AFB"/>
    <w:rsid w:val="24F00520"/>
    <w:rsid w:val="24F31057"/>
    <w:rsid w:val="25007004"/>
    <w:rsid w:val="251F02F9"/>
    <w:rsid w:val="25261B30"/>
    <w:rsid w:val="252B4BB4"/>
    <w:rsid w:val="2530380B"/>
    <w:rsid w:val="25346F32"/>
    <w:rsid w:val="253B69D8"/>
    <w:rsid w:val="253C3C08"/>
    <w:rsid w:val="253D510C"/>
    <w:rsid w:val="254147A1"/>
    <w:rsid w:val="254259B5"/>
    <w:rsid w:val="254553C8"/>
    <w:rsid w:val="255643A4"/>
    <w:rsid w:val="255A630F"/>
    <w:rsid w:val="256F5DA7"/>
    <w:rsid w:val="25716CED"/>
    <w:rsid w:val="25790E29"/>
    <w:rsid w:val="257B7B46"/>
    <w:rsid w:val="257C3371"/>
    <w:rsid w:val="2580643C"/>
    <w:rsid w:val="25816031"/>
    <w:rsid w:val="25831BF5"/>
    <w:rsid w:val="25872CB7"/>
    <w:rsid w:val="25890114"/>
    <w:rsid w:val="258B4AF1"/>
    <w:rsid w:val="258F2877"/>
    <w:rsid w:val="25924DA2"/>
    <w:rsid w:val="259C1769"/>
    <w:rsid w:val="25A667E1"/>
    <w:rsid w:val="25B45519"/>
    <w:rsid w:val="25BD32FB"/>
    <w:rsid w:val="25BE35BC"/>
    <w:rsid w:val="25C439C3"/>
    <w:rsid w:val="25CB6288"/>
    <w:rsid w:val="25CD1DCE"/>
    <w:rsid w:val="25CD2CFB"/>
    <w:rsid w:val="25D53999"/>
    <w:rsid w:val="25DA4045"/>
    <w:rsid w:val="26072BEB"/>
    <w:rsid w:val="26160C8E"/>
    <w:rsid w:val="2626659A"/>
    <w:rsid w:val="26510BDF"/>
    <w:rsid w:val="26513845"/>
    <w:rsid w:val="26525F2F"/>
    <w:rsid w:val="265845E7"/>
    <w:rsid w:val="26620D6A"/>
    <w:rsid w:val="26901FCE"/>
    <w:rsid w:val="269E07ED"/>
    <w:rsid w:val="269E228D"/>
    <w:rsid w:val="269F649E"/>
    <w:rsid w:val="26A92E8F"/>
    <w:rsid w:val="26BC1C01"/>
    <w:rsid w:val="26C442D4"/>
    <w:rsid w:val="26D12D92"/>
    <w:rsid w:val="26E37AD5"/>
    <w:rsid w:val="26E66C9C"/>
    <w:rsid w:val="26F30377"/>
    <w:rsid w:val="270775C5"/>
    <w:rsid w:val="270C6819"/>
    <w:rsid w:val="27184FED"/>
    <w:rsid w:val="272A0915"/>
    <w:rsid w:val="27326767"/>
    <w:rsid w:val="273E141C"/>
    <w:rsid w:val="27403F63"/>
    <w:rsid w:val="27404346"/>
    <w:rsid w:val="275303E1"/>
    <w:rsid w:val="275370FF"/>
    <w:rsid w:val="27572DFA"/>
    <w:rsid w:val="27605BBB"/>
    <w:rsid w:val="27662551"/>
    <w:rsid w:val="276E6CC1"/>
    <w:rsid w:val="2771390B"/>
    <w:rsid w:val="27907841"/>
    <w:rsid w:val="279C2256"/>
    <w:rsid w:val="27A30631"/>
    <w:rsid w:val="27A41174"/>
    <w:rsid w:val="27B4276B"/>
    <w:rsid w:val="27B541AE"/>
    <w:rsid w:val="27C2727F"/>
    <w:rsid w:val="27C83AC3"/>
    <w:rsid w:val="27C849DC"/>
    <w:rsid w:val="27D32B41"/>
    <w:rsid w:val="27E41476"/>
    <w:rsid w:val="27E8384C"/>
    <w:rsid w:val="27F10743"/>
    <w:rsid w:val="27F644CF"/>
    <w:rsid w:val="27F94B9D"/>
    <w:rsid w:val="280B3306"/>
    <w:rsid w:val="2818219D"/>
    <w:rsid w:val="281A3D89"/>
    <w:rsid w:val="28287478"/>
    <w:rsid w:val="283121B9"/>
    <w:rsid w:val="28375FF1"/>
    <w:rsid w:val="284021B8"/>
    <w:rsid w:val="2856775E"/>
    <w:rsid w:val="285D23FA"/>
    <w:rsid w:val="285D379E"/>
    <w:rsid w:val="286802E7"/>
    <w:rsid w:val="28984E92"/>
    <w:rsid w:val="28A64F58"/>
    <w:rsid w:val="28A6767C"/>
    <w:rsid w:val="28B1252B"/>
    <w:rsid w:val="28BA43E5"/>
    <w:rsid w:val="28CB1826"/>
    <w:rsid w:val="28CB56D2"/>
    <w:rsid w:val="28D81E8E"/>
    <w:rsid w:val="28DA7116"/>
    <w:rsid w:val="28E67705"/>
    <w:rsid w:val="28EB2DF7"/>
    <w:rsid w:val="28FB352F"/>
    <w:rsid w:val="29120BBF"/>
    <w:rsid w:val="291A3E3B"/>
    <w:rsid w:val="292736D5"/>
    <w:rsid w:val="2928289B"/>
    <w:rsid w:val="29356950"/>
    <w:rsid w:val="293F6393"/>
    <w:rsid w:val="294233CA"/>
    <w:rsid w:val="294C7C57"/>
    <w:rsid w:val="29655ACF"/>
    <w:rsid w:val="296A0173"/>
    <w:rsid w:val="296E0933"/>
    <w:rsid w:val="297805A5"/>
    <w:rsid w:val="297E730C"/>
    <w:rsid w:val="298922D9"/>
    <w:rsid w:val="298931DF"/>
    <w:rsid w:val="29994703"/>
    <w:rsid w:val="299E242E"/>
    <w:rsid w:val="29B212CA"/>
    <w:rsid w:val="29B457E3"/>
    <w:rsid w:val="29BD3A57"/>
    <w:rsid w:val="29C13F29"/>
    <w:rsid w:val="29CB00E3"/>
    <w:rsid w:val="29D072A0"/>
    <w:rsid w:val="29D10EA2"/>
    <w:rsid w:val="29D4158A"/>
    <w:rsid w:val="29D506D5"/>
    <w:rsid w:val="2A00232A"/>
    <w:rsid w:val="2A064514"/>
    <w:rsid w:val="2A1950FB"/>
    <w:rsid w:val="2A204562"/>
    <w:rsid w:val="2A295D0A"/>
    <w:rsid w:val="2A2D6ABA"/>
    <w:rsid w:val="2A5D4B43"/>
    <w:rsid w:val="2A68683B"/>
    <w:rsid w:val="2A70698E"/>
    <w:rsid w:val="2A745540"/>
    <w:rsid w:val="2A8B2BFA"/>
    <w:rsid w:val="2A8E4029"/>
    <w:rsid w:val="2AA071EF"/>
    <w:rsid w:val="2AA26823"/>
    <w:rsid w:val="2AA35D0D"/>
    <w:rsid w:val="2AA73119"/>
    <w:rsid w:val="2ABC119F"/>
    <w:rsid w:val="2ABD5087"/>
    <w:rsid w:val="2AF4193E"/>
    <w:rsid w:val="2AF558CE"/>
    <w:rsid w:val="2AF82CDA"/>
    <w:rsid w:val="2AFC65EA"/>
    <w:rsid w:val="2AFF7F36"/>
    <w:rsid w:val="2B112FC5"/>
    <w:rsid w:val="2B340686"/>
    <w:rsid w:val="2B4211CE"/>
    <w:rsid w:val="2B47678A"/>
    <w:rsid w:val="2B526698"/>
    <w:rsid w:val="2B5F247A"/>
    <w:rsid w:val="2B743662"/>
    <w:rsid w:val="2B9D580B"/>
    <w:rsid w:val="2BA44C2A"/>
    <w:rsid w:val="2BA46D08"/>
    <w:rsid w:val="2BA85CB7"/>
    <w:rsid w:val="2BB6673F"/>
    <w:rsid w:val="2BCE64BC"/>
    <w:rsid w:val="2BCF6C47"/>
    <w:rsid w:val="2BD5037E"/>
    <w:rsid w:val="2BD972E8"/>
    <w:rsid w:val="2BDA04AF"/>
    <w:rsid w:val="2BE06284"/>
    <w:rsid w:val="2BE726D1"/>
    <w:rsid w:val="2BEE0271"/>
    <w:rsid w:val="2C1D2E9E"/>
    <w:rsid w:val="2C2A58A4"/>
    <w:rsid w:val="2C3215BC"/>
    <w:rsid w:val="2C322EBA"/>
    <w:rsid w:val="2C334E97"/>
    <w:rsid w:val="2C3C4027"/>
    <w:rsid w:val="2C507D04"/>
    <w:rsid w:val="2C577E58"/>
    <w:rsid w:val="2C6B785C"/>
    <w:rsid w:val="2C724A39"/>
    <w:rsid w:val="2C7448D3"/>
    <w:rsid w:val="2C8B3FA6"/>
    <w:rsid w:val="2C8C14A1"/>
    <w:rsid w:val="2C921920"/>
    <w:rsid w:val="2C9A3337"/>
    <w:rsid w:val="2CA02BF7"/>
    <w:rsid w:val="2CA40668"/>
    <w:rsid w:val="2CAF28AD"/>
    <w:rsid w:val="2CB06DA4"/>
    <w:rsid w:val="2CB356D5"/>
    <w:rsid w:val="2CB36B82"/>
    <w:rsid w:val="2CC4177E"/>
    <w:rsid w:val="2CCD41CF"/>
    <w:rsid w:val="2CD33293"/>
    <w:rsid w:val="2CE82E99"/>
    <w:rsid w:val="2CF9283F"/>
    <w:rsid w:val="2CFA5D61"/>
    <w:rsid w:val="2CFF0B86"/>
    <w:rsid w:val="2CFF3133"/>
    <w:rsid w:val="2D041DA9"/>
    <w:rsid w:val="2D0C5AA2"/>
    <w:rsid w:val="2D0D4DC4"/>
    <w:rsid w:val="2D100EA1"/>
    <w:rsid w:val="2D171413"/>
    <w:rsid w:val="2D2B1456"/>
    <w:rsid w:val="2D3D361A"/>
    <w:rsid w:val="2D472759"/>
    <w:rsid w:val="2D4D0110"/>
    <w:rsid w:val="2D5E4616"/>
    <w:rsid w:val="2D6B322B"/>
    <w:rsid w:val="2D731E61"/>
    <w:rsid w:val="2D7D21AF"/>
    <w:rsid w:val="2D86432F"/>
    <w:rsid w:val="2D876E2D"/>
    <w:rsid w:val="2D9732EF"/>
    <w:rsid w:val="2D981B24"/>
    <w:rsid w:val="2DA4385F"/>
    <w:rsid w:val="2DA874A2"/>
    <w:rsid w:val="2DA91A3B"/>
    <w:rsid w:val="2DAF1A43"/>
    <w:rsid w:val="2DCA0846"/>
    <w:rsid w:val="2DCD6696"/>
    <w:rsid w:val="2DD15014"/>
    <w:rsid w:val="2DE20EF6"/>
    <w:rsid w:val="2DEA521E"/>
    <w:rsid w:val="2DEF3144"/>
    <w:rsid w:val="2DF12868"/>
    <w:rsid w:val="2DFA6A2A"/>
    <w:rsid w:val="2DFB793D"/>
    <w:rsid w:val="2E076E6A"/>
    <w:rsid w:val="2E175DB1"/>
    <w:rsid w:val="2E1B43B6"/>
    <w:rsid w:val="2E270009"/>
    <w:rsid w:val="2E2903F0"/>
    <w:rsid w:val="2E2A5284"/>
    <w:rsid w:val="2E3D59DE"/>
    <w:rsid w:val="2E4D66C6"/>
    <w:rsid w:val="2E5A1739"/>
    <w:rsid w:val="2E5B38A1"/>
    <w:rsid w:val="2E6E267F"/>
    <w:rsid w:val="2E9E3DB5"/>
    <w:rsid w:val="2EA61AAF"/>
    <w:rsid w:val="2EA775AC"/>
    <w:rsid w:val="2EB16E66"/>
    <w:rsid w:val="2EBF522D"/>
    <w:rsid w:val="2ED04DD6"/>
    <w:rsid w:val="2ED36596"/>
    <w:rsid w:val="2EE4488A"/>
    <w:rsid w:val="2EE857E2"/>
    <w:rsid w:val="2EF90D52"/>
    <w:rsid w:val="2F163555"/>
    <w:rsid w:val="2F1C2068"/>
    <w:rsid w:val="2F1C49A7"/>
    <w:rsid w:val="2F2503CA"/>
    <w:rsid w:val="2F2722E4"/>
    <w:rsid w:val="2F371DF5"/>
    <w:rsid w:val="2F38442D"/>
    <w:rsid w:val="2F3D217E"/>
    <w:rsid w:val="2F4214DB"/>
    <w:rsid w:val="2F454E9B"/>
    <w:rsid w:val="2F47393A"/>
    <w:rsid w:val="2F4F2EDA"/>
    <w:rsid w:val="2F5143BF"/>
    <w:rsid w:val="2F527B5A"/>
    <w:rsid w:val="2F543915"/>
    <w:rsid w:val="2F5968D1"/>
    <w:rsid w:val="2F5E2134"/>
    <w:rsid w:val="2F703D31"/>
    <w:rsid w:val="2F744F0A"/>
    <w:rsid w:val="2F7C2CBF"/>
    <w:rsid w:val="2F836A61"/>
    <w:rsid w:val="2F9862D2"/>
    <w:rsid w:val="2F9F2254"/>
    <w:rsid w:val="2FB64AD2"/>
    <w:rsid w:val="2FC50321"/>
    <w:rsid w:val="2FD06F46"/>
    <w:rsid w:val="2FD25781"/>
    <w:rsid w:val="2FD34FE0"/>
    <w:rsid w:val="2FDE7EFA"/>
    <w:rsid w:val="2FE775DF"/>
    <w:rsid w:val="2FEA756A"/>
    <w:rsid w:val="2FEB4BE2"/>
    <w:rsid w:val="2FFE44E2"/>
    <w:rsid w:val="2FFF3BD2"/>
    <w:rsid w:val="3019262B"/>
    <w:rsid w:val="301E085A"/>
    <w:rsid w:val="302D586F"/>
    <w:rsid w:val="302E4830"/>
    <w:rsid w:val="303A130A"/>
    <w:rsid w:val="30490CFC"/>
    <w:rsid w:val="306050B7"/>
    <w:rsid w:val="30697EE1"/>
    <w:rsid w:val="306B6E4B"/>
    <w:rsid w:val="306E13AE"/>
    <w:rsid w:val="30766AFE"/>
    <w:rsid w:val="30830716"/>
    <w:rsid w:val="30874631"/>
    <w:rsid w:val="30890BC2"/>
    <w:rsid w:val="30891C5A"/>
    <w:rsid w:val="30904005"/>
    <w:rsid w:val="309150C4"/>
    <w:rsid w:val="30AA3722"/>
    <w:rsid w:val="30B03532"/>
    <w:rsid w:val="30B209CA"/>
    <w:rsid w:val="30BC7149"/>
    <w:rsid w:val="30BD56A8"/>
    <w:rsid w:val="30BF399E"/>
    <w:rsid w:val="30CC0D30"/>
    <w:rsid w:val="30CD5BD4"/>
    <w:rsid w:val="30D83D76"/>
    <w:rsid w:val="30DA2068"/>
    <w:rsid w:val="30F7155C"/>
    <w:rsid w:val="30FE1265"/>
    <w:rsid w:val="3103008D"/>
    <w:rsid w:val="310869FC"/>
    <w:rsid w:val="310D50B8"/>
    <w:rsid w:val="311A4BB9"/>
    <w:rsid w:val="311F3BE1"/>
    <w:rsid w:val="312712E2"/>
    <w:rsid w:val="312B500D"/>
    <w:rsid w:val="313B363F"/>
    <w:rsid w:val="313B7C88"/>
    <w:rsid w:val="313C5BD5"/>
    <w:rsid w:val="313E3BAA"/>
    <w:rsid w:val="31491AC1"/>
    <w:rsid w:val="31510CD3"/>
    <w:rsid w:val="3152229B"/>
    <w:rsid w:val="31523E31"/>
    <w:rsid w:val="3169123E"/>
    <w:rsid w:val="31730085"/>
    <w:rsid w:val="317F634D"/>
    <w:rsid w:val="31882037"/>
    <w:rsid w:val="318B447F"/>
    <w:rsid w:val="319C4C05"/>
    <w:rsid w:val="319C6071"/>
    <w:rsid w:val="31A502AA"/>
    <w:rsid w:val="31AC6C7E"/>
    <w:rsid w:val="31AF1A54"/>
    <w:rsid w:val="31B859A4"/>
    <w:rsid w:val="31BB7715"/>
    <w:rsid w:val="31BE7B95"/>
    <w:rsid w:val="31C74DCE"/>
    <w:rsid w:val="31D54D4B"/>
    <w:rsid w:val="31F94526"/>
    <w:rsid w:val="321023A4"/>
    <w:rsid w:val="32102D98"/>
    <w:rsid w:val="32166FD5"/>
    <w:rsid w:val="32203A67"/>
    <w:rsid w:val="32272FAA"/>
    <w:rsid w:val="32382E1F"/>
    <w:rsid w:val="323869B6"/>
    <w:rsid w:val="323C4B0E"/>
    <w:rsid w:val="32422830"/>
    <w:rsid w:val="324C2545"/>
    <w:rsid w:val="325269A5"/>
    <w:rsid w:val="32531B0C"/>
    <w:rsid w:val="32775717"/>
    <w:rsid w:val="328016DC"/>
    <w:rsid w:val="328A70CA"/>
    <w:rsid w:val="32B55944"/>
    <w:rsid w:val="32B61623"/>
    <w:rsid w:val="32C9216A"/>
    <w:rsid w:val="32D43ABF"/>
    <w:rsid w:val="32EA525C"/>
    <w:rsid w:val="33034178"/>
    <w:rsid w:val="330E5F54"/>
    <w:rsid w:val="331316A4"/>
    <w:rsid w:val="334808BB"/>
    <w:rsid w:val="334C2337"/>
    <w:rsid w:val="33535309"/>
    <w:rsid w:val="335A065D"/>
    <w:rsid w:val="335B4F4C"/>
    <w:rsid w:val="33631510"/>
    <w:rsid w:val="336C749D"/>
    <w:rsid w:val="33726851"/>
    <w:rsid w:val="337E3824"/>
    <w:rsid w:val="33875E83"/>
    <w:rsid w:val="33897B17"/>
    <w:rsid w:val="339672FA"/>
    <w:rsid w:val="33A9162F"/>
    <w:rsid w:val="33CF6F24"/>
    <w:rsid w:val="33D22571"/>
    <w:rsid w:val="33DD0A52"/>
    <w:rsid w:val="33E25259"/>
    <w:rsid w:val="34035CD0"/>
    <w:rsid w:val="340D3BD3"/>
    <w:rsid w:val="34106190"/>
    <w:rsid w:val="34235AA2"/>
    <w:rsid w:val="342E63AB"/>
    <w:rsid w:val="3431094A"/>
    <w:rsid w:val="343F5CAB"/>
    <w:rsid w:val="34445835"/>
    <w:rsid w:val="34474E3E"/>
    <w:rsid w:val="34484454"/>
    <w:rsid w:val="34655849"/>
    <w:rsid w:val="34706351"/>
    <w:rsid w:val="34735CEB"/>
    <w:rsid w:val="34744CEC"/>
    <w:rsid w:val="347450A1"/>
    <w:rsid w:val="3476043F"/>
    <w:rsid w:val="34767AFB"/>
    <w:rsid w:val="347A1F1A"/>
    <w:rsid w:val="34925F90"/>
    <w:rsid w:val="34AC19A9"/>
    <w:rsid w:val="34AE4A0C"/>
    <w:rsid w:val="34C80C31"/>
    <w:rsid w:val="34CC3D4A"/>
    <w:rsid w:val="34D11384"/>
    <w:rsid w:val="34DD4349"/>
    <w:rsid w:val="34EE764B"/>
    <w:rsid w:val="35033A12"/>
    <w:rsid w:val="350C6604"/>
    <w:rsid w:val="35103416"/>
    <w:rsid w:val="351670FA"/>
    <w:rsid w:val="35184B23"/>
    <w:rsid w:val="351B4FFC"/>
    <w:rsid w:val="351C1345"/>
    <w:rsid w:val="351D0D9E"/>
    <w:rsid w:val="35205F76"/>
    <w:rsid w:val="35225987"/>
    <w:rsid w:val="35256E07"/>
    <w:rsid w:val="35360FFF"/>
    <w:rsid w:val="35417031"/>
    <w:rsid w:val="354B37BA"/>
    <w:rsid w:val="35560924"/>
    <w:rsid w:val="3559625E"/>
    <w:rsid w:val="35623999"/>
    <w:rsid w:val="35725A05"/>
    <w:rsid w:val="35876D6D"/>
    <w:rsid w:val="35906544"/>
    <w:rsid w:val="35B0349C"/>
    <w:rsid w:val="35B20A6A"/>
    <w:rsid w:val="35B22F4B"/>
    <w:rsid w:val="35C650E2"/>
    <w:rsid w:val="35D16919"/>
    <w:rsid w:val="35D23D74"/>
    <w:rsid w:val="35D47DDA"/>
    <w:rsid w:val="35D55111"/>
    <w:rsid w:val="35D63C9B"/>
    <w:rsid w:val="35E20F13"/>
    <w:rsid w:val="35E90FDC"/>
    <w:rsid w:val="35E97EC7"/>
    <w:rsid w:val="35F07B52"/>
    <w:rsid w:val="360D4712"/>
    <w:rsid w:val="361D7F1E"/>
    <w:rsid w:val="36336FE4"/>
    <w:rsid w:val="363D027B"/>
    <w:rsid w:val="363E4762"/>
    <w:rsid w:val="36486E01"/>
    <w:rsid w:val="364B68F2"/>
    <w:rsid w:val="365302AE"/>
    <w:rsid w:val="365A2B80"/>
    <w:rsid w:val="3666481D"/>
    <w:rsid w:val="366930D9"/>
    <w:rsid w:val="36697AA0"/>
    <w:rsid w:val="366D4326"/>
    <w:rsid w:val="366F4B1C"/>
    <w:rsid w:val="367125DA"/>
    <w:rsid w:val="367506C8"/>
    <w:rsid w:val="367856AB"/>
    <w:rsid w:val="367A54A0"/>
    <w:rsid w:val="368A3497"/>
    <w:rsid w:val="36911B53"/>
    <w:rsid w:val="36912951"/>
    <w:rsid w:val="36BA228F"/>
    <w:rsid w:val="36BB6C07"/>
    <w:rsid w:val="36DF268B"/>
    <w:rsid w:val="36F66E77"/>
    <w:rsid w:val="36FC7C5F"/>
    <w:rsid w:val="370C1F1B"/>
    <w:rsid w:val="372E76EE"/>
    <w:rsid w:val="37481FFA"/>
    <w:rsid w:val="374A22E2"/>
    <w:rsid w:val="374C293F"/>
    <w:rsid w:val="376A031F"/>
    <w:rsid w:val="376E03F3"/>
    <w:rsid w:val="376F5B95"/>
    <w:rsid w:val="37874064"/>
    <w:rsid w:val="378D3142"/>
    <w:rsid w:val="379521C2"/>
    <w:rsid w:val="37974833"/>
    <w:rsid w:val="37980405"/>
    <w:rsid w:val="379F395A"/>
    <w:rsid w:val="37A47E4C"/>
    <w:rsid w:val="37AB4D50"/>
    <w:rsid w:val="37AD365D"/>
    <w:rsid w:val="37AF56D1"/>
    <w:rsid w:val="37BD7AEF"/>
    <w:rsid w:val="37BF1004"/>
    <w:rsid w:val="37C551AF"/>
    <w:rsid w:val="37C9093E"/>
    <w:rsid w:val="37DE14B7"/>
    <w:rsid w:val="37E13280"/>
    <w:rsid w:val="37E9583D"/>
    <w:rsid w:val="380150A9"/>
    <w:rsid w:val="380650D4"/>
    <w:rsid w:val="380904FD"/>
    <w:rsid w:val="380C6524"/>
    <w:rsid w:val="380E4C05"/>
    <w:rsid w:val="38111701"/>
    <w:rsid w:val="38131059"/>
    <w:rsid w:val="38185020"/>
    <w:rsid w:val="382974BF"/>
    <w:rsid w:val="383116F2"/>
    <w:rsid w:val="38325DBE"/>
    <w:rsid w:val="38344B8C"/>
    <w:rsid w:val="38351339"/>
    <w:rsid w:val="38384876"/>
    <w:rsid w:val="38420C4A"/>
    <w:rsid w:val="384E7F6C"/>
    <w:rsid w:val="38555FC1"/>
    <w:rsid w:val="38567A4A"/>
    <w:rsid w:val="38582127"/>
    <w:rsid w:val="386E4CB1"/>
    <w:rsid w:val="386E7313"/>
    <w:rsid w:val="388E0CF3"/>
    <w:rsid w:val="38921A6C"/>
    <w:rsid w:val="389C4BAB"/>
    <w:rsid w:val="389C5672"/>
    <w:rsid w:val="389D7A05"/>
    <w:rsid w:val="38A316BE"/>
    <w:rsid w:val="38A85926"/>
    <w:rsid w:val="38AE43C8"/>
    <w:rsid w:val="38AF219D"/>
    <w:rsid w:val="38AF6883"/>
    <w:rsid w:val="38B60B61"/>
    <w:rsid w:val="38CE580B"/>
    <w:rsid w:val="38D20161"/>
    <w:rsid w:val="38F50C13"/>
    <w:rsid w:val="3906336A"/>
    <w:rsid w:val="390A49BD"/>
    <w:rsid w:val="391127DD"/>
    <w:rsid w:val="391958EF"/>
    <w:rsid w:val="392D79B4"/>
    <w:rsid w:val="392F338F"/>
    <w:rsid w:val="393B5EBF"/>
    <w:rsid w:val="393F4438"/>
    <w:rsid w:val="394B1182"/>
    <w:rsid w:val="395152B8"/>
    <w:rsid w:val="39534A9F"/>
    <w:rsid w:val="396937F4"/>
    <w:rsid w:val="397869B1"/>
    <w:rsid w:val="39790782"/>
    <w:rsid w:val="397D796E"/>
    <w:rsid w:val="39824BAB"/>
    <w:rsid w:val="39893E49"/>
    <w:rsid w:val="398D635E"/>
    <w:rsid w:val="39A61AB6"/>
    <w:rsid w:val="39A86EE7"/>
    <w:rsid w:val="39B97366"/>
    <w:rsid w:val="39C02A90"/>
    <w:rsid w:val="39CA18C8"/>
    <w:rsid w:val="39D12F66"/>
    <w:rsid w:val="39D43A5D"/>
    <w:rsid w:val="39D94C46"/>
    <w:rsid w:val="39EB3723"/>
    <w:rsid w:val="39F25649"/>
    <w:rsid w:val="3A04053B"/>
    <w:rsid w:val="3A08069A"/>
    <w:rsid w:val="3A0D7337"/>
    <w:rsid w:val="3A19489D"/>
    <w:rsid w:val="3A294891"/>
    <w:rsid w:val="3A3E260F"/>
    <w:rsid w:val="3A3F5C79"/>
    <w:rsid w:val="3A4D2D53"/>
    <w:rsid w:val="3A5018F9"/>
    <w:rsid w:val="3A5E3576"/>
    <w:rsid w:val="3A6C3190"/>
    <w:rsid w:val="3A6D1509"/>
    <w:rsid w:val="3A794681"/>
    <w:rsid w:val="3A7A1507"/>
    <w:rsid w:val="3A7B4621"/>
    <w:rsid w:val="3A7C7B60"/>
    <w:rsid w:val="3A8F64E9"/>
    <w:rsid w:val="3A934649"/>
    <w:rsid w:val="3A9676A2"/>
    <w:rsid w:val="3A971317"/>
    <w:rsid w:val="3AA32760"/>
    <w:rsid w:val="3AB30DC3"/>
    <w:rsid w:val="3AC13CC5"/>
    <w:rsid w:val="3AC87C96"/>
    <w:rsid w:val="3AC92AA9"/>
    <w:rsid w:val="3ADA739F"/>
    <w:rsid w:val="3AE041F7"/>
    <w:rsid w:val="3B045577"/>
    <w:rsid w:val="3B063F76"/>
    <w:rsid w:val="3B146EEB"/>
    <w:rsid w:val="3B155860"/>
    <w:rsid w:val="3B162ACD"/>
    <w:rsid w:val="3B243448"/>
    <w:rsid w:val="3B264396"/>
    <w:rsid w:val="3B2D357D"/>
    <w:rsid w:val="3B2F4FF0"/>
    <w:rsid w:val="3B346D3B"/>
    <w:rsid w:val="3B3C4218"/>
    <w:rsid w:val="3B4352C1"/>
    <w:rsid w:val="3B47437A"/>
    <w:rsid w:val="3B484AAC"/>
    <w:rsid w:val="3B4F1307"/>
    <w:rsid w:val="3B5D4AC7"/>
    <w:rsid w:val="3B5E581A"/>
    <w:rsid w:val="3B6B3C85"/>
    <w:rsid w:val="3B6D65E2"/>
    <w:rsid w:val="3B6E0F85"/>
    <w:rsid w:val="3B751AD0"/>
    <w:rsid w:val="3B79546F"/>
    <w:rsid w:val="3B8011B4"/>
    <w:rsid w:val="3B803720"/>
    <w:rsid w:val="3B815EBE"/>
    <w:rsid w:val="3B86548B"/>
    <w:rsid w:val="3B960954"/>
    <w:rsid w:val="3BA021D1"/>
    <w:rsid w:val="3BAC0E61"/>
    <w:rsid w:val="3BB00E01"/>
    <w:rsid w:val="3BB578A5"/>
    <w:rsid w:val="3BB72406"/>
    <w:rsid w:val="3BB76FDA"/>
    <w:rsid w:val="3BB977C0"/>
    <w:rsid w:val="3BDA0FE1"/>
    <w:rsid w:val="3BE6364B"/>
    <w:rsid w:val="3BED3EF2"/>
    <w:rsid w:val="3BEF1FAB"/>
    <w:rsid w:val="3BF02193"/>
    <w:rsid w:val="3BF539F9"/>
    <w:rsid w:val="3C15556A"/>
    <w:rsid w:val="3C16083D"/>
    <w:rsid w:val="3C1A7152"/>
    <w:rsid w:val="3C2328F3"/>
    <w:rsid w:val="3C292377"/>
    <w:rsid w:val="3C2C2EB6"/>
    <w:rsid w:val="3C32492D"/>
    <w:rsid w:val="3C36355A"/>
    <w:rsid w:val="3C392DCA"/>
    <w:rsid w:val="3C3C58BF"/>
    <w:rsid w:val="3C410E20"/>
    <w:rsid w:val="3C455F72"/>
    <w:rsid w:val="3C467ED1"/>
    <w:rsid w:val="3C4E533C"/>
    <w:rsid w:val="3C5A1B9E"/>
    <w:rsid w:val="3C5F759A"/>
    <w:rsid w:val="3C6429C1"/>
    <w:rsid w:val="3C674F2B"/>
    <w:rsid w:val="3C705FD1"/>
    <w:rsid w:val="3C783807"/>
    <w:rsid w:val="3C7C5389"/>
    <w:rsid w:val="3C7F228B"/>
    <w:rsid w:val="3C7F35FD"/>
    <w:rsid w:val="3C8059AB"/>
    <w:rsid w:val="3C980954"/>
    <w:rsid w:val="3CA435D7"/>
    <w:rsid w:val="3CA634FF"/>
    <w:rsid w:val="3CC4391D"/>
    <w:rsid w:val="3CC505B0"/>
    <w:rsid w:val="3CC73FC0"/>
    <w:rsid w:val="3CCB534A"/>
    <w:rsid w:val="3CD54452"/>
    <w:rsid w:val="3CD70C99"/>
    <w:rsid w:val="3CD95F2E"/>
    <w:rsid w:val="3CE10426"/>
    <w:rsid w:val="3CF25EBB"/>
    <w:rsid w:val="3CF30366"/>
    <w:rsid w:val="3CFF5A4A"/>
    <w:rsid w:val="3D064DF3"/>
    <w:rsid w:val="3D074C77"/>
    <w:rsid w:val="3D101676"/>
    <w:rsid w:val="3D1D5F9B"/>
    <w:rsid w:val="3D273973"/>
    <w:rsid w:val="3D2D3EB5"/>
    <w:rsid w:val="3D2F358D"/>
    <w:rsid w:val="3D321F2F"/>
    <w:rsid w:val="3D332FB7"/>
    <w:rsid w:val="3D4434E5"/>
    <w:rsid w:val="3D464D95"/>
    <w:rsid w:val="3D470BCC"/>
    <w:rsid w:val="3D4A05E1"/>
    <w:rsid w:val="3D6327A9"/>
    <w:rsid w:val="3D662404"/>
    <w:rsid w:val="3D6B123B"/>
    <w:rsid w:val="3D7270DD"/>
    <w:rsid w:val="3D736A52"/>
    <w:rsid w:val="3D8A665F"/>
    <w:rsid w:val="3DAD1016"/>
    <w:rsid w:val="3DB461D4"/>
    <w:rsid w:val="3DB77EE8"/>
    <w:rsid w:val="3DBC19CE"/>
    <w:rsid w:val="3DC249E0"/>
    <w:rsid w:val="3DC65CDA"/>
    <w:rsid w:val="3DD262E9"/>
    <w:rsid w:val="3DD961CC"/>
    <w:rsid w:val="3DDE04F4"/>
    <w:rsid w:val="3DDE738B"/>
    <w:rsid w:val="3DF80179"/>
    <w:rsid w:val="3DFC4904"/>
    <w:rsid w:val="3E05201F"/>
    <w:rsid w:val="3E066E88"/>
    <w:rsid w:val="3E0F1E03"/>
    <w:rsid w:val="3E1B2938"/>
    <w:rsid w:val="3E1F3CCC"/>
    <w:rsid w:val="3E26229F"/>
    <w:rsid w:val="3E3A4FCE"/>
    <w:rsid w:val="3E412234"/>
    <w:rsid w:val="3E427210"/>
    <w:rsid w:val="3E53642A"/>
    <w:rsid w:val="3E5A7B2E"/>
    <w:rsid w:val="3E5C0929"/>
    <w:rsid w:val="3E721583"/>
    <w:rsid w:val="3E8B7FAF"/>
    <w:rsid w:val="3E8D4A37"/>
    <w:rsid w:val="3E8E3647"/>
    <w:rsid w:val="3EAA43A5"/>
    <w:rsid w:val="3EB96802"/>
    <w:rsid w:val="3EDB2A1E"/>
    <w:rsid w:val="3EDC116C"/>
    <w:rsid w:val="3EF847DC"/>
    <w:rsid w:val="3EFE1441"/>
    <w:rsid w:val="3EFF18FB"/>
    <w:rsid w:val="3F166053"/>
    <w:rsid w:val="3F1671CF"/>
    <w:rsid w:val="3F297833"/>
    <w:rsid w:val="3F2B14C4"/>
    <w:rsid w:val="3F2D62D8"/>
    <w:rsid w:val="3F33113A"/>
    <w:rsid w:val="3F47491C"/>
    <w:rsid w:val="3F55435C"/>
    <w:rsid w:val="3F64154B"/>
    <w:rsid w:val="3F680742"/>
    <w:rsid w:val="3F6863E4"/>
    <w:rsid w:val="3F6A3881"/>
    <w:rsid w:val="3F7179AC"/>
    <w:rsid w:val="3F8057F3"/>
    <w:rsid w:val="3F84410C"/>
    <w:rsid w:val="3F8F1E04"/>
    <w:rsid w:val="3FC472A5"/>
    <w:rsid w:val="3FC8401F"/>
    <w:rsid w:val="3FD139F5"/>
    <w:rsid w:val="3FE866A1"/>
    <w:rsid w:val="3FFE2377"/>
    <w:rsid w:val="3FFE466F"/>
    <w:rsid w:val="40101D7E"/>
    <w:rsid w:val="4019378F"/>
    <w:rsid w:val="4025728D"/>
    <w:rsid w:val="402C6002"/>
    <w:rsid w:val="403C12E8"/>
    <w:rsid w:val="403E2F5A"/>
    <w:rsid w:val="4040026A"/>
    <w:rsid w:val="404251CD"/>
    <w:rsid w:val="404708F2"/>
    <w:rsid w:val="404B703D"/>
    <w:rsid w:val="405267D8"/>
    <w:rsid w:val="40532C2A"/>
    <w:rsid w:val="405A10AC"/>
    <w:rsid w:val="405F2FA3"/>
    <w:rsid w:val="406014E2"/>
    <w:rsid w:val="407278A0"/>
    <w:rsid w:val="40733365"/>
    <w:rsid w:val="40742757"/>
    <w:rsid w:val="40834D49"/>
    <w:rsid w:val="40846B0E"/>
    <w:rsid w:val="408F79F9"/>
    <w:rsid w:val="40A149DD"/>
    <w:rsid w:val="40A51B91"/>
    <w:rsid w:val="40AB254F"/>
    <w:rsid w:val="40D67090"/>
    <w:rsid w:val="40E4083A"/>
    <w:rsid w:val="40F17193"/>
    <w:rsid w:val="40F31573"/>
    <w:rsid w:val="41080594"/>
    <w:rsid w:val="41127874"/>
    <w:rsid w:val="41186A5A"/>
    <w:rsid w:val="41235DE2"/>
    <w:rsid w:val="412D3326"/>
    <w:rsid w:val="41387BA3"/>
    <w:rsid w:val="413A4A14"/>
    <w:rsid w:val="41496CE5"/>
    <w:rsid w:val="41680248"/>
    <w:rsid w:val="416F195C"/>
    <w:rsid w:val="41733132"/>
    <w:rsid w:val="4173331F"/>
    <w:rsid w:val="417462EE"/>
    <w:rsid w:val="41760560"/>
    <w:rsid w:val="417C3691"/>
    <w:rsid w:val="41852F51"/>
    <w:rsid w:val="418840F3"/>
    <w:rsid w:val="41921C94"/>
    <w:rsid w:val="419D1938"/>
    <w:rsid w:val="41AB33EE"/>
    <w:rsid w:val="41B2344E"/>
    <w:rsid w:val="41B747AC"/>
    <w:rsid w:val="41B82AAA"/>
    <w:rsid w:val="41B91067"/>
    <w:rsid w:val="41C73E3F"/>
    <w:rsid w:val="41C870CF"/>
    <w:rsid w:val="41CC11CF"/>
    <w:rsid w:val="41CE3F36"/>
    <w:rsid w:val="41DB2F7C"/>
    <w:rsid w:val="41DD478C"/>
    <w:rsid w:val="41E101DA"/>
    <w:rsid w:val="41E924B1"/>
    <w:rsid w:val="41EF400E"/>
    <w:rsid w:val="41F65B0A"/>
    <w:rsid w:val="4201394B"/>
    <w:rsid w:val="420A0D0F"/>
    <w:rsid w:val="420F723A"/>
    <w:rsid w:val="4214680C"/>
    <w:rsid w:val="42152002"/>
    <w:rsid w:val="423405CD"/>
    <w:rsid w:val="42507F39"/>
    <w:rsid w:val="42512023"/>
    <w:rsid w:val="425A7370"/>
    <w:rsid w:val="42613D8D"/>
    <w:rsid w:val="42764557"/>
    <w:rsid w:val="42831CBF"/>
    <w:rsid w:val="42921F0C"/>
    <w:rsid w:val="42947AF3"/>
    <w:rsid w:val="429A5E46"/>
    <w:rsid w:val="42AF36A4"/>
    <w:rsid w:val="42B74A50"/>
    <w:rsid w:val="42B87A23"/>
    <w:rsid w:val="42C71711"/>
    <w:rsid w:val="42C874FF"/>
    <w:rsid w:val="42CE1962"/>
    <w:rsid w:val="42E1381E"/>
    <w:rsid w:val="42F541B5"/>
    <w:rsid w:val="43035DE4"/>
    <w:rsid w:val="430365D1"/>
    <w:rsid w:val="43095B94"/>
    <w:rsid w:val="432A29C1"/>
    <w:rsid w:val="43347A6C"/>
    <w:rsid w:val="433D66F0"/>
    <w:rsid w:val="43415F4E"/>
    <w:rsid w:val="43437406"/>
    <w:rsid w:val="43557EFD"/>
    <w:rsid w:val="43612CAE"/>
    <w:rsid w:val="43634355"/>
    <w:rsid w:val="436A14E0"/>
    <w:rsid w:val="43785250"/>
    <w:rsid w:val="439476D1"/>
    <w:rsid w:val="43972E22"/>
    <w:rsid w:val="43B747E4"/>
    <w:rsid w:val="43B9056C"/>
    <w:rsid w:val="43D1667E"/>
    <w:rsid w:val="43D60DAB"/>
    <w:rsid w:val="43D85386"/>
    <w:rsid w:val="43E264AA"/>
    <w:rsid w:val="43EF5AD2"/>
    <w:rsid w:val="43F052B4"/>
    <w:rsid w:val="43FF3B20"/>
    <w:rsid w:val="44027E83"/>
    <w:rsid w:val="44041661"/>
    <w:rsid w:val="441816A1"/>
    <w:rsid w:val="444166D3"/>
    <w:rsid w:val="44552D00"/>
    <w:rsid w:val="446B2037"/>
    <w:rsid w:val="446F7135"/>
    <w:rsid w:val="44727AB9"/>
    <w:rsid w:val="4487214F"/>
    <w:rsid w:val="4488153B"/>
    <w:rsid w:val="448E4048"/>
    <w:rsid w:val="44A26232"/>
    <w:rsid w:val="44B11A33"/>
    <w:rsid w:val="44B33B42"/>
    <w:rsid w:val="44B77D46"/>
    <w:rsid w:val="44C46C21"/>
    <w:rsid w:val="44DF67C5"/>
    <w:rsid w:val="44ED28F9"/>
    <w:rsid w:val="450C03D8"/>
    <w:rsid w:val="4512448F"/>
    <w:rsid w:val="451306DB"/>
    <w:rsid w:val="45222833"/>
    <w:rsid w:val="45242BAC"/>
    <w:rsid w:val="452576DF"/>
    <w:rsid w:val="45264716"/>
    <w:rsid w:val="453D692F"/>
    <w:rsid w:val="45402D0E"/>
    <w:rsid w:val="454354B8"/>
    <w:rsid w:val="45532AAB"/>
    <w:rsid w:val="4554509F"/>
    <w:rsid w:val="455F7AE3"/>
    <w:rsid w:val="45647241"/>
    <w:rsid w:val="45681C42"/>
    <w:rsid w:val="456D0CD2"/>
    <w:rsid w:val="45727025"/>
    <w:rsid w:val="457677DB"/>
    <w:rsid w:val="45886583"/>
    <w:rsid w:val="458E6EF8"/>
    <w:rsid w:val="45915A68"/>
    <w:rsid w:val="45B14D61"/>
    <w:rsid w:val="45BC08C9"/>
    <w:rsid w:val="45CD48F7"/>
    <w:rsid w:val="45D41301"/>
    <w:rsid w:val="45DF42B0"/>
    <w:rsid w:val="45E37A82"/>
    <w:rsid w:val="45ED5741"/>
    <w:rsid w:val="45F07125"/>
    <w:rsid w:val="45FA0BD3"/>
    <w:rsid w:val="46072755"/>
    <w:rsid w:val="4643603E"/>
    <w:rsid w:val="46487E3D"/>
    <w:rsid w:val="464C4CBC"/>
    <w:rsid w:val="464D6EED"/>
    <w:rsid w:val="46501971"/>
    <w:rsid w:val="465F1A04"/>
    <w:rsid w:val="46672DCF"/>
    <w:rsid w:val="46846988"/>
    <w:rsid w:val="468D1C44"/>
    <w:rsid w:val="46962C4F"/>
    <w:rsid w:val="469A511E"/>
    <w:rsid w:val="46A741D7"/>
    <w:rsid w:val="46AB5F6D"/>
    <w:rsid w:val="46B21B2F"/>
    <w:rsid w:val="46B54AD4"/>
    <w:rsid w:val="46B63E80"/>
    <w:rsid w:val="46B7226C"/>
    <w:rsid w:val="46C1491B"/>
    <w:rsid w:val="46DA090B"/>
    <w:rsid w:val="46F02264"/>
    <w:rsid w:val="46F13460"/>
    <w:rsid w:val="47006F8A"/>
    <w:rsid w:val="4704197F"/>
    <w:rsid w:val="470E2E09"/>
    <w:rsid w:val="4712225F"/>
    <w:rsid w:val="47184145"/>
    <w:rsid w:val="471B6CEC"/>
    <w:rsid w:val="472C1A8D"/>
    <w:rsid w:val="473A0F29"/>
    <w:rsid w:val="473F2202"/>
    <w:rsid w:val="4745425B"/>
    <w:rsid w:val="475B19B3"/>
    <w:rsid w:val="4762606C"/>
    <w:rsid w:val="476779D9"/>
    <w:rsid w:val="476807E9"/>
    <w:rsid w:val="47692D7E"/>
    <w:rsid w:val="476C35D6"/>
    <w:rsid w:val="47713C0B"/>
    <w:rsid w:val="47723608"/>
    <w:rsid w:val="47740864"/>
    <w:rsid w:val="4779736B"/>
    <w:rsid w:val="47823128"/>
    <w:rsid w:val="47960596"/>
    <w:rsid w:val="479D5E73"/>
    <w:rsid w:val="47A2400E"/>
    <w:rsid w:val="47B74928"/>
    <w:rsid w:val="47BA5846"/>
    <w:rsid w:val="47C275FE"/>
    <w:rsid w:val="47E65CB6"/>
    <w:rsid w:val="47EB0400"/>
    <w:rsid w:val="47EB611F"/>
    <w:rsid w:val="480E6670"/>
    <w:rsid w:val="481931FD"/>
    <w:rsid w:val="482265B5"/>
    <w:rsid w:val="482C7A6F"/>
    <w:rsid w:val="482D5F8A"/>
    <w:rsid w:val="48432CF7"/>
    <w:rsid w:val="484B7C8E"/>
    <w:rsid w:val="484D65F2"/>
    <w:rsid w:val="484F54B3"/>
    <w:rsid w:val="48686334"/>
    <w:rsid w:val="48700635"/>
    <w:rsid w:val="4875108F"/>
    <w:rsid w:val="487A0D4C"/>
    <w:rsid w:val="487F2935"/>
    <w:rsid w:val="48A305BE"/>
    <w:rsid w:val="48BC478F"/>
    <w:rsid w:val="48C525D5"/>
    <w:rsid w:val="48CD03F7"/>
    <w:rsid w:val="48D13DC9"/>
    <w:rsid w:val="48D2282C"/>
    <w:rsid w:val="48F353F0"/>
    <w:rsid w:val="48F467D0"/>
    <w:rsid w:val="490C5B1C"/>
    <w:rsid w:val="491614C9"/>
    <w:rsid w:val="49165D63"/>
    <w:rsid w:val="491A6276"/>
    <w:rsid w:val="492113D9"/>
    <w:rsid w:val="4949759B"/>
    <w:rsid w:val="49597522"/>
    <w:rsid w:val="496A7D76"/>
    <w:rsid w:val="49732AB8"/>
    <w:rsid w:val="49897590"/>
    <w:rsid w:val="498F5FBB"/>
    <w:rsid w:val="49964FD5"/>
    <w:rsid w:val="49BC45C0"/>
    <w:rsid w:val="49BF1548"/>
    <w:rsid w:val="49C23620"/>
    <w:rsid w:val="49D66456"/>
    <w:rsid w:val="49D86FC9"/>
    <w:rsid w:val="49EC2CC3"/>
    <w:rsid w:val="49F6040E"/>
    <w:rsid w:val="49F90AB7"/>
    <w:rsid w:val="49F911B8"/>
    <w:rsid w:val="49FA26F1"/>
    <w:rsid w:val="4A4925B4"/>
    <w:rsid w:val="4A494618"/>
    <w:rsid w:val="4A507C4C"/>
    <w:rsid w:val="4A525F53"/>
    <w:rsid w:val="4A5764D3"/>
    <w:rsid w:val="4A63472A"/>
    <w:rsid w:val="4A6C48BC"/>
    <w:rsid w:val="4A7143BA"/>
    <w:rsid w:val="4A85622D"/>
    <w:rsid w:val="4A930903"/>
    <w:rsid w:val="4A9530BA"/>
    <w:rsid w:val="4AC221FA"/>
    <w:rsid w:val="4AD14034"/>
    <w:rsid w:val="4AEA4FED"/>
    <w:rsid w:val="4AF23E98"/>
    <w:rsid w:val="4AF406F7"/>
    <w:rsid w:val="4AFD7194"/>
    <w:rsid w:val="4AFE0C3E"/>
    <w:rsid w:val="4B095131"/>
    <w:rsid w:val="4B260D11"/>
    <w:rsid w:val="4B393D83"/>
    <w:rsid w:val="4B422631"/>
    <w:rsid w:val="4B4A562B"/>
    <w:rsid w:val="4B547872"/>
    <w:rsid w:val="4B60314A"/>
    <w:rsid w:val="4B742AB9"/>
    <w:rsid w:val="4B750D82"/>
    <w:rsid w:val="4B93548B"/>
    <w:rsid w:val="4B942169"/>
    <w:rsid w:val="4B9E7ED0"/>
    <w:rsid w:val="4B9F2766"/>
    <w:rsid w:val="4BA3525A"/>
    <w:rsid w:val="4BA97E05"/>
    <w:rsid w:val="4BC64E7F"/>
    <w:rsid w:val="4BC933A9"/>
    <w:rsid w:val="4BCC0068"/>
    <w:rsid w:val="4BD46752"/>
    <w:rsid w:val="4BDF027C"/>
    <w:rsid w:val="4BEC3621"/>
    <w:rsid w:val="4BF27CE3"/>
    <w:rsid w:val="4BF31DAC"/>
    <w:rsid w:val="4BFF15F3"/>
    <w:rsid w:val="4C036D82"/>
    <w:rsid w:val="4C052D9C"/>
    <w:rsid w:val="4C060582"/>
    <w:rsid w:val="4C1A1124"/>
    <w:rsid w:val="4C282639"/>
    <w:rsid w:val="4C2B406F"/>
    <w:rsid w:val="4C354861"/>
    <w:rsid w:val="4C363B52"/>
    <w:rsid w:val="4C5A75BB"/>
    <w:rsid w:val="4C5F7AC0"/>
    <w:rsid w:val="4C630B8A"/>
    <w:rsid w:val="4C677D6C"/>
    <w:rsid w:val="4C867D2A"/>
    <w:rsid w:val="4C873E05"/>
    <w:rsid w:val="4C980C9C"/>
    <w:rsid w:val="4CC54F36"/>
    <w:rsid w:val="4CC80D0C"/>
    <w:rsid w:val="4CCD5E43"/>
    <w:rsid w:val="4CCD7061"/>
    <w:rsid w:val="4CCF0AAD"/>
    <w:rsid w:val="4CD35706"/>
    <w:rsid w:val="4CD8725D"/>
    <w:rsid w:val="4CDB403B"/>
    <w:rsid w:val="4CDC433D"/>
    <w:rsid w:val="4CDF3D5D"/>
    <w:rsid w:val="4CF52E7E"/>
    <w:rsid w:val="4CF96A91"/>
    <w:rsid w:val="4D002108"/>
    <w:rsid w:val="4D0323B3"/>
    <w:rsid w:val="4D1816BE"/>
    <w:rsid w:val="4D1F7C85"/>
    <w:rsid w:val="4D2D0BF9"/>
    <w:rsid w:val="4D3308F8"/>
    <w:rsid w:val="4D41745C"/>
    <w:rsid w:val="4D604AA4"/>
    <w:rsid w:val="4D6B10C9"/>
    <w:rsid w:val="4D6C50E7"/>
    <w:rsid w:val="4D777316"/>
    <w:rsid w:val="4D782A86"/>
    <w:rsid w:val="4D7C30A4"/>
    <w:rsid w:val="4D7F096A"/>
    <w:rsid w:val="4D841462"/>
    <w:rsid w:val="4D8D6254"/>
    <w:rsid w:val="4D965E1A"/>
    <w:rsid w:val="4DA26E98"/>
    <w:rsid w:val="4DAD2203"/>
    <w:rsid w:val="4DB57F91"/>
    <w:rsid w:val="4DCC0C3D"/>
    <w:rsid w:val="4DCD4430"/>
    <w:rsid w:val="4DCD4A6E"/>
    <w:rsid w:val="4DD251A3"/>
    <w:rsid w:val="4DE74B13"/>
    <w:rsid w:val="4DE93563"/>
    <w:rsid w:val="4DF578B8"/>
    <w:rsid w:val="4DFB3AA6"/>
    <w:rsid w:val="4E0043E8"/>
    <w:rsid w:val="4E0A0EBE"/>
    <w:rsid w:val="4E0E696B"/>
    <w:rsid w:val="4E121EFB"/>
    <w:rsid w:val="4E17604B"/>
    <w:rsid w:val="4E427EF4"/>
    <w:rsid w:val="4E4B4B7E"/>
    <w:rsid w:val="4E4C7D04"/>
    <w:rsid w:val="4E4E2685"/>
    <w:rsid w:val="4E5C134C"/>
    <w:rsid w:val="4E621271"/>
    <w:rsid w:val="4E6F6486"/>
    <w:rsid w:val="4E743FB8"/>
    <w:rsid w:val="4E755884"/>
    <w:rsid w:val="4E8223C5"/>
    <w:rsid w:val="4E864C17"/>
    <w:rsid w:val="4E8D2D9C"/>
    <w:rsid w:val="4E9F5182"/>
    <w:rsid w:val="4EA25452"/>
    <w:rsid w:val="4EB9789D"/>
    <w:rsid w:val="4EBB7693"/>
    <w:rsid w:val="4EC10D8B"/>
    <w:rsid w:val="4EC614A1"/>
    <w:rsid w:val="4EC624E8"/>
    <w:rsid w:val="4EC826BA"/>
    <w:rsid w:val="4ECA1311"/>
    <w:rsid w:val="4ED50FDD"/>
    <w:rsid w:val="4EE33A87"/>
    <w:rsid w:val="4EEA7DCE"/>
    <w:rsid w:val="4EEF0AA3"/>
    <w:rsid w:val="4EF33E1F"/>
    <w:rsid w:val="4EF354CF"/>
    <w:rsid w:val="4F194E56"/>
    <w:rsid w:val="4F241A8A"/>
    <w:rsid w:val="4F3557AE"/>
    <w:rsid w:val="4F3914C6"/>
    <w:rsid w:val="4F3E7B73"/>
    <w:rsid w:val="4F431D44"/>
    <w:rsid w:val="4F5220EB"/>
    <w:rsid w:val="4F5C5F41"/>
    <w:rsid w:val="4F6960E5"/>
    <w:rsid w:val="4F830F0E"/>
    <w:rsid w:val="4F840348"/>
    <w:rsid w:val="4F854120"/>
    <w:rsid w:val="4F8C3149"/>
    <w:rsid w:val="4F90291C"/>
    <w:rsid w:val="4F93373D"/>
    <w:rsid w:val="4F94332C"/>
    <w:rsid w:val="4F957890"/>
    <w:rsid w:val="4F9D404D"/>
    <w:rsid w:val="4FA12F5C"/>
    <w:rsid w:val="4FA72B81"/>
    <w:rsid w:val="4FAB70A2"/>
    <w:rsid w:val="4FAF4DAB"/>
    <w:rsid w:val="4FC45FF8"/>
    <w:rsid w:val="4FCA1C8E"/>
    <w:rsid w:val="4FDC5E5A"/>
    <w:rsid w:val="4FE74258"/>
    <w:rsid w:val="4FFE13BE"/>
    <w:rsid w:val="500A3DF7"/>
    <w:rsid w:val="50243AB4"/>
    <w:rsid w:val="50273D30"/>
    <w:rsid w:val="502969AD"/>
    <w:rsid w:val="503E35D7"/>
    <w:rsid w:val="5047013B"/>
    <w:rsid w:val="504A084C"/>
    <w:rsid w:val="504D4539"/>
    <w:rsid w:val="505B1ED4"/>
    <w:rsid w:val="506F1C7C"/>
    <w:rsid w:val="506F1E6D"/>
    <w:rsid w:val="50926FB1"/>
    <w:rsid w:val="50A03067"/>
    <w:rsid w:val="50A07C15"/>
    <w:rsid w:val="50B80AD4"/>
    <w:rsid w:val="50C344B2"/>
    <w:rsid w:val="50DE22B5"/>
    <w:rsid w:val="50EB6390"/>
    <w:rsid w:val="50F81D5E"/>
    <w:rsid w:val="50FE6330"/>
    <w:rsid w:val="511946F8"/>
    <w:rsid w:val="511C1B5D"/>
    <w:rsid w:val="5135219E"/>
    <w:rsid w:val="51352B08"/>
    <w:rsid w:val="514479E7"/>
    <w:rsid w:val="51530A3E"/>
    <w:rsid w:val="51590094"/>
    <w:rsid w:val="516546AB"/>
    <w:rsid w:val="516F2CAB"/>
    <w:rsid w:val="516F6529"/>
    <w:rsid w:val="517A6988"/>
    <w:rsid w:val="517D4761"/>
    <w:rsid w:val="518200B5"/>
    <w:rsid w:val="518460AD"/>
    <w:rsid w:val="51A0432A"/>
    <w:rsid w:val="51A07837"/>
    <w:rsid w:val="51A87F5F"/>
    <w:rsid w:val="51A903D7"/>
    <w:rsid w:val="51AD6256"/>
    <w:rsid w:val="51B01401"/>
    <w:rsid w:val="51B27D22"/>
    <w:rsid w:val="51D42077"/>
    <w:rsid w:val="51E22639"/>
    <w:rsid w:val="51F35A5A"/>
    <w:rsid w:val="52132C32"/>
    <w:rsid w:val="52150A60"/>
    <w:rsid w:val="521B721D"/>
    <w:rsid w:val="521E0D1A"/>
    <w:rsid w:val="522551FE"/>
    <w:rsid w:val="52283AC5"/>
    <w:rsid w:val="5232354C"/>
    <w:rsid w:val="52352D1F"/>
    <w:rsid w:val="523D7763"/>
    <w:rsid w:val="52473797"/>
    <w:rsid w:val="52473BA0"/>
    <w:rsid w:val="5248213C"/>
    <w:rsid w:val="524D250C"/>
    <w:rsid w:val="52580E9C"/>
    <w:rsid w:val="52611D68"/>
    <w:rsid w:val="527003F6"/>
    <w:rsid w:val="527819B3"/>
    <w:rsid w:val="52783C1C"/>
    <w:rsid w:val="527E58ED"/>
    <w:rsid w:val="5282361A"/>
    <w:rsid w:val="528346D8"/>
    <w:rsid w:val="52836EFA"/>
    <w:rsid w:val="52871DEC"/>
    <w:rsid w:val="528E7FD9"/>
    <w:rsid w:val="528F0042"/>
    <w:rsid w:val="52A96B6F"/>
    <w:rsid w:val="52B72347"/>
    <w:rsid w:val="52C145C8"/>
    <w:rsid w:val="52C92243"/>
    <w:rsid w:val="52DB053F"/>
    <w:rsid w:val="52DE1176"/>
    <w:rsid w:val="52E00987"/>
    <w:rsid w:val="52E74E57"/>
    <w:rsid w:val="52E95125"/>
    <w:rsid w:val="52EE2143"/>
    <w:rsid w:val="52EF13F5"/>
    <w:rsid w:val="52F1639D"/>
    <w:rsid w:val="52F21B78"/>
    <w:rsid w:val="52F472E6"/>
    <w:rsid w:val="53026F0A"/>
    <w:rsid w:val="532E51E7"/>
    <w:rsid w:val="53337534"/>
    <w:rsid w:val="533637E2"/>
    <w:rsid w:val="53366790"/>
    <w:rsid w:val="533C6C49"/>
    <w:rsid w:val="5341533E"/>
    <w:rsid w:val="5349620B"/>
    <w:rsid w:val="534A793B"/>
    <w:rsid w:val="53522361"/>
    <w:rsid w:val="53534EDF"/>
    <w:rsid w:val="535F1C2D"/>
    <w:rsid w:val="53611F71"/>
    <w:rsid w:val="53650923"/>
    <w:rsid w:val="537576B4"/>
    <w:rsid w:val="537D2826"/>
    <w:rsid w:val="5382096D"/>
    <w:rsid w:val="53824580"/>
    <w:rsid w:val="539C099A"/>
    <w:rsid w:val="539C4519"/>
    <w:rsid w:val="53A71EAB"/>
    <w:rsid w:val="53AE1646"/>
    <w:rsid w:val="53B14E07"/>
    <w:rsid w:val="53BF13AD"/>
    <w:rsid w:val="53BF3EB8"/>
    <w:rsid w:val="53C408EE"/>
    <w:rsid w:val="53CE0683"/>
    <w:rsid w:val="53CE61F1"/>
    <w:rsid w:val="53D377DB"/>
    <w:rsid w:val="53E21FA3"/>
    <w:rsid w:val="53E463F9"/>
    <w:rsid w:val="53F91D70"/>
    <w:rsid w:val="54086EB6"/>
    <w:rsid w:val="541B4D83"/>
    <w:rsid w:val="541B6336"/>
    <w:rsid w:val="54252255"/>
    <w:rsid w:val="543B343E"/>
    <w:rsid w:val="5443221A"/>
    <w:rsid w:val="5443721B"/>
    <w:rsid w:val="5447307E"/>
    <w:rsid w:val="545B3388"/>
    <w:rsid w:val="547001A6"/>
    <w:rsid w:val="54706979"/>
    <w:rsid w:val="54712A8C"/>
    <w:rsid w:val="54855330"/>
    <w:rsid w:val="548840AA"/>
    <w:rsid w:val="549E10CC"/>
    <w:rsid w:val="54A14343"/>
    <w:rsid w:val="54A2520C"/>
    <w:rsid w:val="54A93BF5"/>
    <w:rsid w:val="54AB3653"/>
    <w:rsid w:val="54B637BE"/>
    <w:rsid w:val="54CE3735"/>
    <w:rsid w:val="54DA030D"/>
    <w:rsid w:val="54E60A23"/>
    <w:rsid w:val="54E73634"/>
    <w:rsid w:val="54EE7B88"/>
    <w:rsid w:val="54F56E07"/>
    <w:rsid w:val="54F86368"/>
    <w:rsid w:val="54FB4526"/>
    <w:rsid w:val="550058D3"/>
    <w:rsid w:val="5502198D"/>
    <w:rsid w:val="550764A4"/>
    <w:rsid w:val="550871D6"/>
    <w:rsid w:val="55142EEC"/>
    <w:rsid w:val="55197E2B"/>
    <w:rsid w:val="5524261A"/>
    <w:rsid w:val="5526557D"/>
    <w:rsid w:val="55346124"/>
    <w:rsid w:val="555F7B18"/>
    <w:rsid w:val="55674B3D"/>
    <w:rsid w:val="55681E34"/>
    <w:rsid w:val="556841B7"/>
    <w:rsid w:val="556948EA"/>
    <w:rsid w:val="55696EC8"/>
    <w:rsid w:val="556F65DD"/>
    <w:rsid w:val="55713665"/>
    <w:rsid w:val="557C0C3E"/>
    <w:rsid w:val="557C6A30"/>
    <w:rsid w:val="55A26AD3"/>
    <w:rsid w:val="55A77FA4"/>
    <w:rsid w:val="55AB00BC"/>
    <w:rsid w:val="55AD30FC"/>
    <w:rsid w:val="55BB79B7"/>
    <w:rsid w:val="55CB0C63"/>
    <w:rsid w:val="55CE5825"/>
    <w:rsid w:val="55D834D5"/>
    <w:rsid w:val="55D867AC"/>
    <w:rsid w:val="55DB1848"/>
    <w:rsid w:val="55E94565"/>
    <w:rsid w:val="55F57695"/>
    <w:rsid w:val="56001500"/>
    <w:rsid w:val="561528A0"/>
    <w:rsid w:val="56153B2B"/>
    <w:rsid w:val="56165F8D"/>
    <w:rsid w:val="561B29D9"/>
    <w:rsid w:val="56353992"/>
    <w:rsid w:val="563775CD"/>
    <w:rsid w:val="56413A7D"/>
    <w:rsid w:val="56422333"/>
    <w:rsid w:val="5644148D"/>
    <w:rsid w:val="564D5FF7"/>
    <w:rsid w:val="565D0282"/>
    <w:rsid w:val="567C12E1"/>
    <w:rsid w:val="567D6D2F"/>
    <w:rsid w:val="567F2C07"/>
    <w:rsid w:val="56804459"/>
    <w:rsid w:val="568455F9"/>
    <w:rsid w:val="56881055"/>
    <w:rsid w:val="56920539"/>
    <w:rsid w:val="569520FD"/>
    <w:rsid w:val="56997D7C"/>
    <w:rsid w:val="56A70310"/>
    <w:rsid w:val="56A76D52"/>
    <w:rsid w:val="56B301C8"/>
    <w:rsid w:val="56BB3F91"/>
    <w:rsid w:val="56BC1B9A"/>
    <w:rsid w:val="56C65CF2"/>
    <w:rsid w:val="56D7360E"/>
    <w:rsid w:val="56D97AA4"/>
    <w:rsid w:val="56DB2394"/>
    <w:rsid w:val="56DC0277"/>
    <w:rsid w:val="56E01155"/>
    <w:rsid w:val="56E318E5"/>
    <w:rsid w:val="56E90F74"/>
    <w:rsid w:val="56EC4B64"/>
    <w:rsid w:val="56FE7103"/>
    <w:rsid w:val="57062077"/>
    <w:rsid w:val="571170F7"/>
    <w:rsid w:val="57284198"/>
    <w:rsid w:val="5749342C"/>
    <w:rsid w:val="574934DF"/>
    <w:rsid w:val="574D61BF"/>
    <w:rsid w:val="57674F74"/>
    <w:rsid w:val="576E03AF"/>
    <w:rsid w:val="577912E7"/>
    <w:rsid w:val="5782528E"/>
    <w:rsid w:val="579927A1"/>
    <w:rsid w:val="57B04B5A"/>
    <w:rsid w:val="57BD3B7A"/>
    <w:rsid w:val="57EA712C"/>
    <w:rsid w:val="57FD3A5B"/>
    <w:rsid w:val="57FE42C3"/>
    <w:rsid w:val="57FE6979"/>
    <w:rsid w:val="58047A84"/>
    <w:rsid w:val="580D52FA"/>
    <w:rsid w:val="58185661"/>
    <w:rsid w:val="582004A2"/>
    <w:rsid w:val="58210097"/>
    <w:rsid w:val="58262F9A"/>
    <w:rsid w:val="582A21F3"/>
    <w:rsid w:val="582D1CDE"/>
    <w:rsid w:val="58374CA8"/>
    <w:rsid w:val="583E1669"/>
    <w:rsid w:val="585828B1"/>
    <w:rsid w:val="58620350"/>
    <w:rsid w:val="58631540"/>
    <w:rsid w:val="586607F0"/>
    <w:rsid w:val="586E18DC"/>
    <w:rsid w:val="586E603C"/>
    <w:rsid w:val="58750C7D"/>
    <w:rsid w:val="587912A6"/>
    <w:rsid w:val="5881198D"/>
    <w:rsid w:val="588B2757"/>
    <w:rsid w:val="588E7B20"/>
    <w:rsid w:val="58AE4F0C"/>
    <w:rsid w:val="58B02C4C"/>
    <w:rsid w:val="58BD75F8"/>
    <w:rsid w:val="58BE6026"/>
    <w:rsid w:val="58C0797A"/>
    <w:rsid w:val="58C14009"/>
    <w:rsid w:val="58C25571"/>
    <w:rsid w:val="58CC1C33"/>
    <w:rsid w:val="58CE077E"/>
    <w:rsid w:val="58CE3401"/>
    <w:rsid w:val="58CE35E3"/>
    <w:rsid w:val="58F70A96"/>
    <w:rsid w:val="58F8053B"/>
    <w:rsid w:val="59011A28"/>
    <w:rsid w:val="5908670B"/>
    <w:rsid w:val="591E69A8"/>
    <w:rsid w:val="5923664E"/>
    <w:rsid w:val="5927549B"/>
    <w:rsid w:val="593415E1"/>
    <w:rsid w:val="5936474C"/>
    <w:rsid w:val="59374D27"/>
    <w:rsid w:val="593957BB"/>
    <w:rsid w:val="59493ED5"/>
    <w:rsid w:val="5950164C"/>
    <w:rsid w:val="59821CF7"/>
    <w:rsid w:val="59882FB9"/>
    <w:rsid w:val="598A705F"/>
    <w:rsid w:val="59935783"/>
    <w:rsid w:val="59A00A52"/>
    <w:rsid w:val="59A01B09"/>
    <w:rsid w:val="59A273EC"/>
    <w:rsid w:val="59A37D3D"/>
    <w:rsid w:val="59B56073"/>
    <w:rsid w:val="59B74A50"/>
    <w:rsid w:val="59C9694D"/>
    <w:rsid w:val="59EB2956"/>
    <w:rsid w:val="59F63105"/>
    <w:rsid w:val="59FF39E9"/>
    <w:rsid w:val="5A043F9E"/>
    <w:rsid w:val="5A046DC2"/>
    <w:rsid w:val="5A116B4E"/>
    <w:rsid w:val="5A1E2F69"/>
    <w:rsid w:val="5A282D01"/>
    <w:rsid w:val="5A2A7C7B"/>
    <w:rsid w:val="5A4175F1"/>
    <w:rsid w:val="5A41766B"/>
    <w:rsid w:val="5A49062D"/>
    <w:rsid w:val="5A496DAB"/>
    <w:rsid w:val="5A654746"/>
    <w:rsid w:val="5A660052"/>
    <w:rsid w:val="5A6B2A04"/>
    <w:rsid w:val="5A6B56ED"/>
    <w:rsid w:val="5A7224F2"/>
    <w:rsid w:val="5A7944A4"/>
    <w:rsid w:val="5A816B8D"/>
    <w:rsid w:val="5A842095"/>
    <w:rsid w:val="5A9754B3"/>
    <w:rsid w:val="5A987583"/>
    <w:rsid w:val="5A9D3833"/>
    <w:rsid w:val="5AAA6374"/>
    <w:rsid w:val="5AAE149B"/>
    <w:rsid w:val="5ABB1BC0"/>
    <w:rsid w:val="5AC1195F"/>
    <w:rsid w:val="5AC53A88"/>
    <w:rsid w:val="5AD437A6"/>
    <w:rsid w:val="5ADA2197"/>
    <w:rsid w:val="5AE20D18"/>
    <w:rsid w:val="5AE43821"/>
    <w:rsid w:val="5AEC3586"/>
    <w:rsid w:val="5AF56E88"/>
    <w:rsid w:val="5AF6023C"/>
    <w:rsid w:val="5B096244"/>
    <w:rsid w:val="5B10687A"/>
    <w:rsid w:val="5B14630A"/>
    <w:rsid w:val="5B2425B7"/>
    <w:rsid w:val="5B262E79"/>
    <w:rsid w:val="5B29445C"/>
    <w:rsid w:val="5B2D4D1B"/>
    <w:rsid w:val="5B2E368C"/>
    <w:rsid w:val="5B3333A0"/>
    <w:rsid w:val="5B3E5506"/>
    <w:rsid w:val="5B416E73"/>
    <w:rsid w:val="5B497ADE"/>
    <w:rsid w:val="5B4C709E"/>
    <w:rsid w:val="5B6608F2"/>
    <w:rsid w:val="5B767163"/>
    <w:rsid w:val="5B845764"/>
    <w:rsid w:val="5B8574CA"/>
    <w:rsid w:val="5B8E0511"/>
    <w:rsid w:val="5B921C2D"/>
    <w:rsid w:val="5B9A6ECF"/>
    <w:rsid w:val="5B9E13FB"/>
    <w:rsid w:val="5BB11514"/>
    <w:rsid w:val="5BB47F96"/>
    <w:rsid w:val="5BB6163E"/>
    <w:rsid w:val="5BBA3EEF"/>
    <w:rsid w:val="5BBE7A57"/>
    <w:rsid w:val="5BD17F07"/>
    <w:rsid w:val="5BEB2669"/>
    <w:rsid w:val="5BF15911"/>
    <w:rsid w:val="5BF16DC6"/>
    <w:rsid w:val="5BFE3079"/>
    <w:rsid w:val="5C073F0B"/>
    <w:rsid w:val="5C116215"/>
    <w:rsid w:val="5C16751B"/>
    <w:rsid w:val="5C1C156F"/>
    <w:rsid w:val="5C493767"/>
    <w:rsid w:val="5C723949"/>
    <w:rsid w:val="5C7C73E7"/>
    <w:rsid w:val="5C80234E"/>
    <w:rsid w:val="5C925434"/>
    <w:rsid w:val="5C94240D"/>
    <w:rsid w:val="5C946D49"/>
    <w:rsid w:val="5C9D229F"/>
    <w:rsid w:val="5CA4296C"/>
    <w:rsid w:val="5CAA19FD"/>
    <w:rsid w:val="5CB22008"/>
    <w:rsid w:val="5CC12D7E"/>
    <w:rsid w:val="5CEA7760"/>
    <w:rsid w:val="5CF51498"/>
    <w:rsid w:val="5CF56526"/>
    <w:rsid w:val="5CF777B8"/>
    <w:rsid w:val="5CF82297"/>
    <w:rsid w:val="5D003CE8"/>
    <w:rsid w:val="5D0209EF"/>
    <w:rsid w:val="5D07279B"/>
    <w:rsid w:val="5D0A7111"/>
    <w:rsid w:val="5D0C2AB2"/>
    <w:rsid w:val="5D0E6CA6"/>
    <w:rsid w:val="5D1270B9"/>
    <w:rsid w:val="5D372A36"/>
    <w:rsid w:val="5D417782"/>
    <w:rsid w:val="5D4437E5"/>
    <w:rsid w:val="5D456672"/>
    <w:rsid w:val="5D6648DD"/>
    <w:rsid w:val="5D6A52D3"/>
    <w:rsid w:val="5D6B0192"/>
    <w:rsid w:val="5D7950FF"/>
    <w:rsid w:val="5D813F58"/>
    <w:rsid w:val="5D8B6544"/>
    <w:rsid w:val="5DA30F57"/>
    <w:rsid w:val="5DC32BD8"/>
    <w:rsid w:val="5DCA3DBD"/>
    <w:rsid w:val="5DD12327"/>
    <w:rsid w:val="5DE97112"/>
    <w:rsid w:val="5DFA6FEF"/>
    <w:rsid w:val="5E0F4299"/>
    <w:rsid w:val="5E114E19"/>
    <w:rsid w:val="5E176C40"/>
    <w:rsid w:val="5E1A6924"/>
    <w:rsid w:val="5E1B449E"/>
    <w:rsid w:val="5E212AC8"/>
    <w:rsid w:val="5E254766"/>
    <w:rsid w:val="5E261785"/>
    <w:rsid w:val="5E2E3125"/>
    <w:rsid w:val="5E5647EA"/>
    <w:rsid w:val="5E600CAE"/>
    <w:rsid w:val="5E61265F"/>
    <w:rsid w:val="5E6408E9"/>
    <w:rsid w:val="5E6776BE"/>
    <w:rsid w:val="5E68506A"/>
    <w:rsid w:val="5E6A083F"/>
    <w:rsid w:val="5E6C73C0"/>
    <w:rsid w:val="5E9939CD"/>
    <w:rsid w:val="5EA979C2"/>
    <w:rsid w:val="5EAE6B81"/>
    <w:rsid w:val="5EB21673"/>
    <w:rsid w:val="5EBC3D24"/>
    <w:rsid w:val="5EC02CFA"/>
    <w:rsid w:val="5EC81C08"/>
    <w:rsid w:val="5ECF7E48"/>
    <w:rsid w:val="5ED65D69"/>
    <w:rsid w:val="5EF34CE4"/>
    <w:rsid w:val="5F021901"/>
    <w:rsid w:val="5F0C06AF"/>
    <w:rsid w:val="5F193136"/>
    <w:rsid w:val="5F310080"/>
    <w:rsid w:val="5F501614"/>
    <w:rsid w:val="5F5905B9"/>
    <w:rsid w:val="5F670421"/>
    <w:rsid w:val="5F6E4716"/>
    <w:rsid w:val="5F7324CE"/>
    <w:rsid w:val="5F7772F5"/>
    <w:rsid w:val="5F84320F"/>
    <w:rsid w:val="5F861BCA"/>
    <w:rsid w:val="5F950BF6"/>
    <w:rsid w:val="5F9C34B5"/>
    <w:rsid w:val="5F9D2939"/>
    <w:rsid w:val="5FAC16B8"/>
    <w:rsid w:val="5FB92EE6"/>
    <w:rsid w:val="5FBC4B6B"/>
    <w:rsid w:val="5FC21EBB"/>
    <w:rsid w:val="5FCC5339"/>
    <w:rsid w:val="5FD12743"/>
    <w:rsid w:val="5FDC0C94"/>
    <w:rsid w:val="5FE80157"/>
    <w:rsid w:val="600A7F16"/>
    <w:rsid w:val="60291A8C"/>
    <w:rsid w:val="60487D7B"/>
    <w:rsid w:val="605D7312"/>
    <w:rsid w:val="605E60CC"/>
    <w:rsid w:val="607271AD"/>
    <w:rsid w:val="60815750"/>
    <w:rsid w:val="60972669"/>
    <w:rsid w:val="609B3B69"/>
    <w:rsid w:val="60A72A37"/>
    <w:rsid w:val="60AD2A8F"/>
    <w:rsid w:val="60B52CB4"/>
    <w:rsid w:val="60C42D4D"/>
    <w:rsid w:val="60C95C00"/>
    <w:rsid w:val="60CC6391"/>
    <w:rsid w:val="60E0366C"/>
    <w:rsid w:val="60E64AF5"/>
    <w:rsid w:val="60F92B91"/>
    <w:rsid w:val="61054A27"/>
    <w:rsid w:val="611D2366"/>
    <w:rsid w:val="6120793B"/>
    <w:rsid w:val="6130725F"/>
    <w:rsid w:val="61427854"/>
    <w:rsid w:val="6146778A"/>
    <w:rsid w:val="6151229B"/>
    <w:rsid w:val="615736F1"/>
    <w:rsid w:val="615C102F"/>
    <w:rsid w:val="61703CD1"/>
    <w:rsid w:val="617639A2"/>
    <w:rsid w:val="617D55D5"/>
    <w:rsid w:val="618A4933"/>
    <w:rsid w:val="619C6CF4"/>
    <w:rsid w:val="61A9062D"/>
    <w:rsid w:val="61B27AA7"/>
    <w:rsid w:val="61C2047A"/>
    <w:rsid w:val="61C25841"/>
    <w:rsid w:val="61CA0AD5"/>
    <w:rsid w:val="61D0599F"/>
    <w:rsid w:val="61D33324"/>
    <w:rsid w:val="61D60567"/>
    <w:rsid w:val="62027C33"/>
    <w:rsid w:val="62054BBB"/>
    <w:rsid w:val="62143F73"/>
    <w:rsid w:val="622A3F76"/>
    <w:rsid w:val="623B46C6"/>
    <w:rsid w:val="62420EBC"/>
    <w:rsid w:val="62431EC7"/>
    <w:rsid w:val="62454245"/>
    <w:rsid w:val="62593B56"/>
    <w:rsid w:val="625A5F8D"/>
    <w:rsid w:val="627714D2"/>
    <w:rsid w:val="627D6991"/>
    <w:rsid w:val="6283493C"/>
    <w:rsid w:val="628620E9"/>
    <w:rsid w:val="62885958"/>
    <w:rsid w:val="62934633"/>
    <w:rsid w:val="629672D3"/>
    <w:rsid w:val="62AE3195"/>
    <w:rsid w:val="62B03E47"/>
    <w:rsid w:val="62B373C9"/>
    <w:rsid w:val="62B53C38"/>
    <w:rsid w:val="62BD2362"/>
    <w:rsid w:val="62C72B4C"/>
    <w:rsid w:val="62C9050E"/>
    <w:rsid w:val="62CF241B"/>
    <w:rsid w:val="62DB4C86"/>
    <w:rsid w:val="62E92FCA"/>
    <w:rsid w:val="62FE6A44"/>
    <w:rsid w:val="63003880"/>
    <w:rsid w:val="630318E3"/>
    <w:rsid w:val="63112282"/>
    <w:rsid w:val="63167FB2"/>
    <w:rsid w:val="6319047B"/>
    <w:rsid w:val="63281FDB"/>
    <w:rsid w:val="634011A2"/>
    <w:rsid w:val="63407C24"/>
    <w:rsid w:val="634433EC"/>
    <w:rsid w:val="63451A19"/>
    <w:rsid w:val="6357457F"/>
    <w:rsid w:val="63600F01"/>
    <w:rsid w:val="63640574"/>
    <w:rsid w:val="63696E77"/>
    <w:rsid w:val="63724C84"/>
    <w:rsid w:val="6375557F"/>
    <w:rsid w:val="637B5E1A"/>
    <w:rsid w:val="638059CD"/>
    <w:rsid w:val="63954555"/>
    <w:rsid w:val="639724A3"/>
    <w:rsid w:val="639A0E46"/>
    <w:rsid w:val="63AF37BC"/>
    <w:rsid w:val="63BF26B0"/>
    <w:rsid w:val="63BF42F0"/>
    <w:rsid w:val="63C77AA9"/>
    <w:rsid w:val="63D76F28"/>
    <w:rsid w:val="63E35C8B"/>
    <w:rsid w:val="63E81817"/>
    <w:rsid w:val="63F038A5"/>
    <w:rsid w:val="63F641B7"/>
    <w:rsid w:val="6404474C"/>
    <w:rsid w:val="640A1453"/>
    <w:rsid w:val="640C6F2E"/>
    <w:rsid w:val="6413607B"/>
    <w:rsid w:val="64284CE1"/>
    <w:rsid w:val="64604D93"/>
    <w:rsid w:val="646118AF"/>
    <w:rsid w:val="6466104D"/>
    <w:rsid w:val="64680F87"/>
    <w:rsid w:val="64697DDF"/>
    <w:rsid w:val="647C7E8F"/>
    <w:rsid w:val="647E181A"/>
    <w:rsid w:val="647F466E"/>
    <w:rsid w:val="648C583E"/>
    <w:rsid w:val="64BA5296"/>
    <w:rsid w:val="64CB7A4E"/>
    <w:rsid w:val="64CE2EAA"/>
    <w:rsid w:val="64DD366A"/>
    <w:rsid w:val="64E642C3"/>
    <w:rsid w:val="64EB033A"/>
    <w:rsid w:val="64F05225"/>
    <w:rsid w:val="64FA3F4E"/>
    <w:rsid w:val="650621A1"/>
    <w:rsid w:val="650B66AD"/>
    <w:rsid w:val="650D2E27"/>
    <w:rsid w:val="65112287"/>
    <w:rsid w:val="651A1CE4"/>
    <w:rsid w:val="653034DA"/>
    <w:rsid w:val="653758F0"/>
    <w:rsid w:val="65393E01"/>
    <w:rsid w:val="65411844"/>
    <w:rsid w:val="65441E4B"/>
    <w:rsid w:val="655C500B"/>
    <w:rsid w:val="655C66CA"/>
    <w:rsid w:val="656162E7"/>
    <w:rsid w:val="65670DC5"/>
    <w:rsid w:val="657D4893"/>
    <w:rsid w:val="657E456A"/>
    <w:rsid w:val="657F064E"/>
    <w:rsid w:val="658A2748"/>
    <w:rsid w:val="65974104"/>
    <w:rsid w:val="659E1713"/>
    <w:rsid w:val="65B67C12"/>
    <w:rsid w:val="65BC7994"/>
    <w:rsid w:val="65C13941"/>
    <w:rsid w:val="65C745F5"/>
    <w:rsid w:val="65CF08D6"/>
    <w:rsid w:val="65D979B5"/>
    <w:rsid w:val="65E234F4"/>
    <w:rsid w:val="65E42A9E"/>
    <w:rsid w:val="65EA475D"/>
    <w:rsid w:val="65ED6E0E"/>
    <w:rsid w:val="65EE41C8"/>
    <w:rsid w:val="65F1027B"/>
    <w:rsid w:val="66035455"/>
    <w:rsid w:val="66045C1F"/>
    <w:rsid w:val="66081EB8"/>
    <w:rsid w:val="661A4996"/>
    <w:rsid w:val="661C47AE"/>
    <w:rsid w:val="662E75B1"/>
    <w:rsid w:val="66324313"/>
    <w:rsid w:val="66342C2E"/>
    <w:rsid w:val="663C03EF"/>
    <w:rsid w:val="663C2629"/>
    <w:rsid w:val="663E784C"/>
    <w:rsid w:val="663F3261"/>
    <w:rsid w:val="66474148"/>
    <w:rsid w:val="6656329A"/>
    <w:rsid w:val="665A7D83"/>
    <w:rsid w:val="665D4D0B"/>
    <w:rsid w:val="666C0459"/>
    <w:rsid w:val="666C2665"/>
    <w:rsid w:val="66746C6B"/>
    <w:rsid w:val="6681466C"/>
    <w:rsid w:val="66877835"/>
    <w:rsid w:val="669E0593"/>
    <w:rsid w:val="66A26EA3"/>
    <w:rsid w:val="66B51F8F"/>
    <w:rsid w:val="66B66DB1"/>
    <w:rsid w:val="66C21E33"/>
    <w:rsid w:val="66CD653C"/>
    <w:rsid w:val="66CE5809"/>
    <w:rsid w:val="66DE181C"/>
    <w:rsid w:val="66E3401D"/>
    <w:rsid w:val="66EB249F"/>
    <w:rsid w:val="66EB640E"/>
    <w:rsid w:val="66ED5128"/>
    <w:rsid w:val="67014D65"/>
    <w:rsid w:val="67043DB4"/>
    <w:rsid w:val="67084082"/>
    <w:rsid w:val="670F54FF"/>
    <w:rsid w:val="6716215E"/>
    <w:rsid w:val="67191D4B"/>
    <w:rsid w:val="67193B2D"/>
    <w:rsid w:val="671C5ED9"/>
    <w:rsid w:val="67237FC0"/>
    <w:rsid w:val="67325C5A"/>
    <w:rsid w:val="67336F06"/>
    <w:rsid w:val="67357064"/>
    <w:rsid w:val="6759790C"/>
    <w:rsid w:val="675A3A30"/>
    <w:rsid w:val="676E5B4A"/>
    <w:rsid w:val="67703B5C"/>
    <w:rsid w:val="67B70575"/>
    <w:rsid w:val="67C01622"/>
    <w:rsid w:val="67F46D62"/>
    <w:rsid w:val="67F91C13"/>
    <w:rsid w:val="67FC1ABE"/>
    <w:rsid w:val="68005BD3"/>
    <w:rsid w:val="68097925"/>
    <w:rsid w:val="680A5AA8"/>
    <w:rsid w:val="680D319C"/>
    <w:rsid w:val="680F7805"/>
    <w:rsid w:val="68172BF9"/>
    <w:rsid w:val="68180E49"/>
    <w:rsid w:val="68182A60"/>
    <w:rsid w:val="68183DB4"/>
    <w:rsid w:val="68193861"/>
    <w:rsid w:val="6838779D"/>
    <w:rsid w:val="683D525F"/>
    <w:rsid w:val="6843552E"/>
    <w:rsid w:val="684A5A65"/>
    <w:rsid w:val="684E72E2"/>
    <w:rsid w:val="685E2BFB"/>
    <w:rsid w:val="685F1D40"/>
    <w:rsid w:val="685F3766"/>
    <w:rsid w:val="686D63B7"/>
    <w:rsid w:val="686D750C"/>
    <w:rsid w:val="68741697"/>
    <w:rsid w:val="68864547"/>
    <w:rsid w:val="689B0B93"/>
    <w:rsid w:val="68A43F2F"/>
    <w:rsid w:val="68AD4A6E"/>
    <w:rsid w:val="68B17A13"/>
    <w:rsid w:val="68B72077"/>
    <w:rsid w:val="68B810C9"/>
    <w:rsid w:val="68CD00F2"/>
    <w:rsid w:val="68D90E36"/>
    <w:rsid w:val="68EC1BCE"/>
    <w:rsid w:val="68F14102"/>
    <w:rsid w:val="68F94C47"/>
    <w:rsid w:val="68FD06F7"/>
    <w:rsid w:val="69295F43"/>
    <w:rsid w:val="692A7A0C"/>
    <w:rsid w:val="69334D07"/>
    <w:rsid w:val="693777B1"/>
    <w:rsid w:val="693F7489"/>
    <w:rsid w:val="69485FA5"/>
    <w:rsid w:val="695C0937"/>
    <w:rsid w:val="696909E5"/>
    <w:rsid w:val="696C4972"/>
    <w:rsid w:val="69831419"/>
    <w:rsid w:val="69862BA3"/>
    <w:rsid w:val="698B5B33"/>
    <w:rsid w:val="699D15D8"/>
    <w:rsid w:val="69A07B29"/>
    <w:rsid w:val="69AA1537"/>
    <w:rsid w:val="69B434A0"/>
    <w:rsid w:val="69BA0455"/>
    <w:rsid w:val="69BA7754"/>
    <w:rsid w:val="69C00453"/>
    <w:rsid w:val="69CF46D8"/>
    <w:rsid w:val="69DA56BE"/>
    <w:rsid w:val="69FB588B"/>
    <w:rsid w:val="6A02213B"/>
    <w:rsid w:val="6A19779E"/>
    <w:rsid w:val="6A2769DD"/>
    <w:rsid w:val="6A297A49"/>
    <w:rsid w:val="6A4F40CA"/>
    <w:rsid w:val="6A5825E1"/>
    <w:rsid w:val="6A5D1BC3"/>
    <w:rsid w:val="6A6E2A6E"/>
    <w:rsid w:val="6A78373A"/>
    <w:rsid w:val="6A7E0EC2"/>
    <w:rsid w:val="6A8940F1"/>
    <w:rsid w:val="6A897114"/>
    <w:rsid w:val="6A8E7146"/>
    <w:rsid w:val="6A9522C1"/>
    <w:rsid w:val="6A990F1F"/>
    <w:rsid w:val="6ABF1EAC"/>
    <w:rsid w:val="6AC671BB"/>
    <w:rsid w:val="6ACB5571"/>
    <w:rsid w:val="6AD02CB2"/>
    <w:rsid w:val="6AD20BE1"/>
    <w:rsid w:val="6AD9203D"/>
    <w:rsid w:val="6AE92F7B"/>
    <w:rsid w:val="6B024524"/>
    <w:rsid w:val="6B23289D"/>
    <w:rsid w:val="6B36781B"/>
    <w:rsid w:val="6B386541"/>
    <w:rsid w:val="6B3C7BDB"/>
    <w:rsid w:val="6B4B60ED"/>
    <w:rsid w:val="6B517DA6"/>
    <w:rsid w:val="6B536EFC"/>
    <w:rsid w:val="6B5B3CFA"/>
    <w:rsid w:val="6B610B4B"/>
    <w:rsid w:val="6B6A64EE"/>
    <w:rsid w:val="6B822F87"/>
    <w:rsid w:val="6B993864"/>
    <w:rsid w:val="6BAC690C"/>
    <w:rsid w:val="6BBA0752"/>
    <w:rsid w:val="6BC13EBC"/>
    <w:rsid w:val="6BC52144"/>
    <w:rsid w:val="6BD35D36"/>
    <w:rsid w:val="6BE7176E"/>
    <w:rsid w:val="6BEA00F5"/>
    <w:rsid w:val="6BEC23E9"/>
    <w:rsid w:val="6BEC2450"/>
    <w:rsid w:val="6BF1525E"/>
    <w:rsid w:val="6BF74FED"/>
    <w:rsid w:val="6C062536"/>
    <w:rsid w:val="6C0D3D37"/>
    <w:rsid w:val="6C1C206B"/>
    <w:rsid w:val="6C2046A8"/>
    <w:rsid w:val="6C260421"/>
    <w:rsid w:val="6C4412DF"/>
    <w:rsid w:val="6C4C41F5"/>
    <w:rsid w:val="6C6050F9"/>
    <w:rsid w:val="6C695916"/>
    <w:rsid w:val="6C7D32F0"/>
    <w:rsid w:val="6C826872"/>
    <w:rsid w:val="6C937B6F"/>
    <w:rsid w:val="6C976ECE"/>
    <w:rsid w:val="6CA82D03"/>
    <w:rsid w:val="6CAA1D55"/>
    <w:rsid w:val="6CBA5E23"/>
    <w:rsid w:val="6CC436C9"/>
    <w:rsid w:val="6CD93AE9"/>
    <w:rsid w:val="6CEF1FC7"/>
    <w:rsid w:val="6CF046D3"/>
    <w:rsid w:val="6CFB6277"/>
    <w:rsid w:val="6D036155"/>
    <w:rsid w:val="6D1359FB"/>
    <w:rsid w:val="6D1C0FBE"/>
    <w:rsid w:val="6D1C59B5"/>
    <w:rsid w:val="6D332FFF"/>
    <w:rsid w:val="6D3471DD"/>
    <w:rsid w:val="6D417526"/>
    <w:rsid w:val="6D5E2A30"/>
    <w:rsid w:val="6D640D9A"/>
    <w:rsid w:val="6D662BB9"/>
    <w:rsid w:val="6D8B153E"/>
    <w:rsid w:val="6D9A7977"/>
    <w:rsid w:val="6DA25EA0"/>
    <w:rsid w:val="6DA70C51"/>
    <w:rsid w:val="6DC0079A"/>
    <w:rsid w:val="6DC42DC1"/>
    <w:rsid w:val="6DC64B62"/>
    <w:rsid w:val="6DD4397A"/>
    <w:rsid w:val="6DE5572C"/>
    <w:rsid w:val="6DF01093"/>
    <w:rsid w:val="6DF06A31"/>
    <w:rsid w:val="6DF20025"/>
    <w:rsid w:val="6E185D23"/>
    <w:rsid w:val="6E2046F2"/>
    <w:rsid w:val="6E4224F6"/>
    <w:rsid w:val="6E5239C9"/>
    <w:rsid w:val="6E590034"/>
    <w:rsid w:val="6E5B7AE7"/>
    <w:rsid w:val="6E754DE8"/>
    <w:rsid w:val="6E766A8D"/>
    <w:rsid w:val="6E785CEB"/>
    <w:rsid w:val="6E7919BF"/>
    <w:rsid w:val="6E7F3A1B"/>
    <w:rsid w:val="6E82561B"/>
    <w:rsid w:val="6E83716C"/>
    <w:rsid w:val="6E864B08"/>
    <w:rsid w:val="6E8E12EF"/>
    <w:rsid w:val="6EA56371"/>
    <w:rsid w:val="6EAA3F75"/>
    <w:rsid w:val="6EB7358D"/>
    <w:rsid w:val="6EB83E0D"/>
    <w:rsid w:val="6EC72C49"/>
    <w:rsid w:val="6ECE137F"/>
    <w:rsid w:val="6EDA0A23"/>
    <w:rsid w:val="6EE26A23"/>
    <w:rsid w:val="6EE90938"/>
    <w:rsid w:val="6EED0F7F"/>
    <w:rsid w:val="6EED1032"/>
    <w:rsid w:val="6EF06E51"/>
    <w:rsid w:val="6EF119C7"/>
    <w:rsid w:val="6EF80852"/>
    <w:rsid w:val="6EF858BE"/>
    <w:rsid w:val="6F1343C7"/>
    <w:rsid w:val="6F1432CF"/>
    <w:rsid w:val="6F187C7A"/>
    <w:rsid w:val="6F1B2360"/>
    <w:rsid w:val="6F1D3C66"/>
    <w:rsid w:val="6F1F73F4"/>
    <w:rsid w:val="6F2C4EAF"/>
    <w:rsid w:val="6F2D5183"/>
    <w:rsid w:val="6F34476A"/>
    <w:rsid w:val="6F4C24C1"/>
    <w:rsid w:val="6F5303E6"/>
    <w:rsid w:val="6F5E7938"/>
    <w:rsid w:val="6F60290E"/>
    <w:rsid w:val="6F6D270C"/>
    <w:rsid w:val="6F6E1CC1"/>
    <w:rsid w:val="6F703B7E"/>
    <w:rsid w:val="6F7217B4"/>
    <w:rsid w:val="6F7A7175"/>
    <w:rsid w:val="6F7F12E7"/>
    <w:rsid w:val="6F837AAB"/>
    <w:rsid w:val="6F8936CB"/>
    <w:rsid w:val="6F8E1CE3"/>
    <w:rsid w:val="6F943F3B"/>
    <w:rsid w:val="6FA97042"/>
    <w:rsid w:val="6FAB36E1"/>
    <w:rsid w:val="6FC970E4"/>
    <w:rsid w:val="6FE21F90"/>
    <w:rsid w:val="6FE45F1A"/>
    <w:rsid w:val="6FEE172C"/>
    <w:rsid w:val="6FF12179"/>
    <w:rsid w:val="6FF45086"/>
    <w:rsid w:val="6FF729AA"/>
    <w:rsid w:val="6FFD588A"/>
    <w:rsid w:val="7014230A"/>
    <w:rsid w:val="701B6A70"/>
    <w:rsid w:val="702166D4"/>
    <w:rsid w:val="702661BA"/>
    <w:rsid w:val="70386E6D"/>
    <w:rsid w:val="705979C1"/>
    <w:rsid w:val="70723DD8"/>
    <w:rsid w:val="708753EC"/>
    <w:rsid w:val="70900C81"/>
    <w:rsid w:val="70A53262"/>
    <w:rsid w:val="70B457E1"/>
    <w:rsid w:val="70BF505A"/>
    <w:rsid w:val="70C41704"/>
    <w:rsid w:val="70CD1154"/>
    <w:rsid w:val="70CE68A8"/>
    <w:rsid w:val="70D1391D"/>
    <w:rsid w:val="70DF3F68"/>
    <w:rsid w:val="70EB0A37"/>
    <w:rsid w:val="70F502CF"/>
    <w:rsid w:val="70F86B89"/>
    <w:rsid w:val="70FC61E6"/>
    <w:rsid w:val="7104389B"/>
    <w:rsid w:val="710A112E"/>
    <w:rsid w:val="710A1676"/>
    <w:rsid w:val="71135113"/>
    <w:rsid w:val="71191EEE"/>
    <w:rsid w:val="71216C5E"/>
    <w:rsid w:val="71270A7A"/>
    <w:rsid w:val="713D4AAC"/>
    <w:rsid w:val="71404A9C"/>
    <w:rsid w:val="71404D89"/>
    <w:rsid w:val="714150B6"/>
    <w:rsid w:val="7181655E"/>
    <w:rsid w:val="718451A1"/>
    <w:rsid w:val="718A0FD1"/>
    <w:rsid w:val="71B46FED"/>
    <w:rsid w:val="71B51044"/>
    <w:rsid w:val="71C907DA"/>
    <w:rsid w:val="71CA49F7"/>
    <w:rsid w:val="71D43752"/>
    <w:rsid w:val="71D73331"/>
    <w:rsid w:val="71D747F8"/>
    <w:rsid w:val="71D9231E"/>
    <w:rsid w:val="71EB5D6C"/>
    <w:rsid w:val="71EF6E06"/>
    <w:rsid w:val="71F0068E"/>
    <w:rsid w:val="71FA7701"/>
    <w:rsid w:val="71FB1968"/>
    <w:rsid w:val="71FF5D23"/>
    <w:rsid w:val="72012027"/>
    <w:rsid w:val="7202145B"/>
    <w:rsid w:val="72166509"/>
    <w:rsid w:val="72292165"/>
    <w:rsid w:val="723F1662"/>
    <w:rsid w:val="72437ECA"/>
    <w:rsid w:val="724528C7"/>
    <w:rsid w:val="72475486"/>
    <w:rsid w:val="724C40B5"/>
    <w:rsid w:val="724D573B"/>
    <w:rsid w:val="725022FA"/>
    <w:rsid w:val="72507113"/>
    <w:rsid w:val="725D0736"/>
    <w:rsid w:val="7263164A"/>
    <w:rsid w:val="727A0DA3"/>
    <w:rsid w:val="727C5E73"/>
    <w:rsid w:val="72855FD4"/>
    <w:rsid w:val="728F2B24"/>
    <w:rsid w:val="729A750A"/>
    <w:rsid w:val="729F03F1"/>
    <w:rsid w:val="729F2365"/>
    <w:rsid w:val="72AE4E24"/>
    <w:rsid w:val="72CA0BA8"/>
    <w:rsid w:val="72DE0009"/>
    <w:rsid w:val="72E564F2"/>
    <w:rsid w:val="72E56561"/>
    <w:rsid w:val="72ED4DCE"/>
    <w:rsid w:val="72EE67B1"/>
    <w:rsid w:val="72FE395A"/>
    <w:rsid w:val="730027F7"/>
    <w:rsid w:val="73197E21"/>
    <w:rsid w:val="73236EEC"/>
    <w:rsid w:val="732A25A8"/>
    <w:rsid w:val="73337FB4"/>
    <w:rsid w:val="734902BC"/>
    <w:rsid w:val="734D1D18"/>
    <w:rsid w:val="735A1F02"/>
    <w:rsid w:val="73615CFC"/>
    <w:rsid w:val="73652D02"/>
    <w:rsid w:val="736C66A2"/>
    <w:rsid w:val="737945D6"/>
    <w:rsid w:val="73847A1C"/>
    <w:rsid w:val="73856A98"/>
    <w:rsid w:val="7396184D"/>
    <w:rsid w:val="73983169"/>
    <w:rsid w:val="73AC1638"/>
    <w:rsid w:val="73B81648"/>
    <w:rsid w:val="73B939DA"/>
    <w:rsid w:val="73C63E8E"/>
    <w:rsid w:val="73C944E6"/>
    <w:rsid w:val="73CF0861"/>
    <w:rsid w:val="73D50FC6"/>
    <w:rsid w:val="73DA1ACD"/>
    <w:rsid w:val="73E220F6"/>
    <w:rsid w:val="73E35BA3"/>
    <w:rsid w:val="73E96A36"/>
    <w:rsid w:val="73F53B5F"/>
    <w:rsid w:val="73F664D4"/>
    <w:rsid w:val="740A4A48"/>
    <w:rsid w:val="740E4F01"/>
    <w:rsid w:val="741A1001"/>
    <w:rsid w:val="741B29D7"/>
    <w:rsid w:val="741B3116"/>
    <w:rsid w:val="741F3BB3"/>
    <w:rsid w:val="74251073"/>
    <w:rsid w:val="742D32E2"/>
    <w:rsid w:val="74354B19"/>
    <w:rsid w:val="743B599E"/>
    <w:rsid w:val="743D7598"/>
    <w:rsid w:val="743F3350"/>
    <w:rsid w:val="74421F36"/>
    <w:rsid w:val="74474C3E"/>
    <w:rsid w:val="744845D2"/>
    <w:rsid w:val="74537C53"/>
    <w:rsid w:val="74551AE6"/>
    <w:rsid w:val="747544F7"/>
    <w:rsid w:val="74767EE1"/>
    <w:rsid w:val="7486168B"/>
    <w:rsid w:val="74865ABB"/>
    <w:rsid w:val="74936789"/>
    <w:rsid w:val="74946BA4"/>
    <w:rsid w:val="749C4185"/>
    <w:rsid w:val="74AB1B37"/>
    <w:rsid w:val="74B00F2D"/>
    <w:rsid w:val="74BA67AA"/>
    <w:rsid w:val="74BD25EE"/>
    <w:rsid w:val="74D96A66"/>
    <w:rsid w:val="74E02C8A"/>
    <w:rsid w:val="74EF5407"/>
    <w:rsid w:val="750772F0"/>
    <w:rsid w:val="751750E0"/>
    <w:rsid w:val="75226175"/>
    <w:rsid w:val="75241FA7"/>
    <w:rsid w:val="752E3523"/>
    <w:rsid w:val="752E7385"/>
    <w:rsid w:val="754668BF"/>
    <w:rsid w:val="754C69B1"/>
    <w:rsid w:val="754D326F"/>
    <w:rsid w:val="756539BE"/>
    <w:rsid w:val="756811EF"/>
    <w:rsid w:val="756F39AA"/>
    <w:rsid w:val="757C2B4E"/>
    <w:rsid w:val="758066F7"/>
    <w:rsid w:val="75823565"/>
    <w:rsid w:val="759306AC"/>
    <w:rsid w:val="759846A3"/>
    <w:rsid w:val="75A964B8"/>
    <w:rsid w:val="75AB2297"/>
    <w:rsid w:val="75C561C4"/>
    <w:rsid w:val="75CF723A"/>
    <w:rsid w:val="75D2216C"/>
    <w:rsid w:val="75D94E26"/>
    <w:rsid w:val="75DA2C18"/>
    <w:rsid w:val="75E17070"/>
    <w:rsid w:val="75F26A0E"/>
    <w:rsid w:val="75F44C36"/>
    <w:rsid w:val="75FD3FBA"/>
    <w:rsid w:val="75FF2475"/>
    <w:rsid w:val="76043E70"/>
    <w:rsid w:val="760857EA"/>
    <w:rsid w:val="76143143"/>
    <w:rsid w:val="762D3671"/>
    <w:rsid w:val="76323342"/>
    <w:rsid w:val="76401DD7"/>
    <w:rsid w:val="764220AD"/>
    <w:rsid w:val="764615A5"/>
    <w:rsid w:val="76486ED1"/>
    <w:rsid w:val="764A15C8"/>
    <w:rsid w:val="764A7F01"/>
    <w:rsid w:val="765418C6"/>
    <w:rsid w:val="765D1FA2"/>
    <w:rsid w:val="765D25DE"/>
    <w:rsid w:val="76655436"/>
    <w:rsid w:val="76782EE3"/>
    <w:rsid w:val="767B6289"/>
    <w:rsid w:val="76851377"/>
    <w:rsid w:val="768C047E"/>
    <w:rsid w:val="768E7AE2"/>
    <w:rsid w:val="768F5C7D"/>
    <w:rsid w:val="76A60340"/>
    <w:rsid w:val="76A94C4C"/>
    <w:rsid w:val="76BF719D"/>
    <w:rsid w:val="76CC7E82"/>
    <w:rsid w:val="76D42A63"/>
    <w:rsid w:val="76D565D5"/>
    <w:rsid w:val="76DE0EC3"/>
    <w:rsid w:val="76E0069A"/>
    <w:rsid w:val="76E6579C"/>
    <w:rsid w:val="76F205DB"/>
    <w:rsid w:val="76F96BD9"/>
    <w:rsid w:val="771511F7"/>
    <w:rsid w:val="77257D82"/>
    <w:rsid w:val="77351329"/>
    <w:rsid w:val="77376F80"/>
    <w:rsid w:val="7741366D"/>
    <w:rsid w:val="77450127"/>
    <w:rsid w:val="774701F8"/>
    <w:rsid w:val="77476B03"/>
    <w:rsid w:val="77626AF8"/>
    <w:rsid w:val="77716A5D"/>
    <w:rsid w:val="777229A6"/>
    <w:rsid w:val="7772635B"/>
    <w:rsid w:val="77747F67"/>
    <w:rsid w:val="7781771B"/>
    <w:rsid w:val="778273E9"/>
    <w:rsid w:val="77910FC5"/>
    <w:rsid w:val="779C1EB7"/>
    <w:rsid w:val="779C5C40"/>
    <w:rsid w:val="77C7355C"/>
    <w:rsid w:val="77D65228"/>
    <w:rsid w:val="77D80368"/>
    <w:rsid w:val="77DE18A3"/>
    <w:rsid w:val="77ED2149"/>
    <w:rsid w:val="77F21F7B"/>
    <w:rsid w:val="77F83DF9"/>
    <w:rsid w:val="77F978EF"/>
    <w:rsid w:val="77FA4782"/>
    <w:rsid w:val="78166E97"/>
    <w:rsid w:val="7839551F"/>
    <w:rsid w:val="783B4728"/>
    <w:rsid w:val="78502B40"/>
    <w:rsid w:val="785356AF"/>
    <w:rsid w:val="78557B60"/>
    <w:rsid w:val="786313F0"/>
    <w:rsid w:val="787173D5"/>
    <w:rsid w:val="787C5D10"/>
    <w:rsid w:val="788133E2"/>
    <w:rsid w:val="788E59FF"/>
    <w:rsid w:val="78962A5B"/>
    <w:rsid w:val="789C08AC"/>
    <w:rsid w:val="789E286B"/>
    <w:rsid w:val="789E3283"/>
    <w:rsid w:val="78A148E7"/>
    <w:rsid w:val="78A85093"/>
    <w:rsid w:val="78B15A5F"/>
    <w:rsid w:val="78B25194"/>
    <w:rsid w:val="78B33A5F"/>
    <w:rsid w:val="78B47EAE"/>
    <w:rsid w:val="78C34CFE"/>
    <w:rsid w:val="78E61CF0"/>
    <w:rsid w:val="78E8399B"/>
    <w:rsid w:val="78F5293E"/>
    <w:rsid w:val="790C2B31"/>
    <w:rsid w:val="792F50AE"/>
    <w:rsid w:val="79370C3F"/>
    <w:rsid w:val="793903D6"/>
    <w:rsid w:val="793B6EFA"/>
    <w:rsid w:val="793D6787"/>
    <w:rsid w:val="79415E67"/>
    <w:rsid w:val="7950528E"/>
    <w:rsid w:val="7950679C"/>
    <w:rsid w:val="795D1004"/>
    <w:rsid w:val="7966551E"/>
    <w:rsid w:val="79685D28"/>
    <w:rsid w:val="796A625C"/>
    <w:rsid w:val="79733BCD"/>
    <w:rsid w:val="797E2ECD"/>
    <w:rsid w:val="7983407B"/>
    <w:rsid w:val="7985714D"/>
    <w:rsid w:val="799604FD"/>
    <w:rsid w:val="799C3DD2"/>
    <w:rsid w:val="79AB41F1"/>
    <w:rsid w:val="79AF1492"/>
    <w:rsid w:val="79B53598"/>
    <w:rsid w:val="79B745C8"/>
    <w:rsid w:val="79CC7128"/>
    <w:rsid w:val="79CF7D89"/>
    <w:rsid w:val="79D56CC8"/>
    <w:rsid w:val="79D72450"/>
    <w:rsid w:val="79DB1E83"/>
    <w:rsid w:val="79E273E7"/>
    <w:rsid w:val="79EE1472"/>
    <w:rsid w:val="79F96B1E"/>
    <w:rsid w:val="7A144468"/>
    <w:rsid w:val="7A163EDC"/>
    <w:rsid w:val="7A28481E"/>
    <w:rsid w:val="7A28662F"/>
    <w:rsid w:val="7A2A4F4A"/>
    <w:rsid w:val="7A2D29EF"/>
    <w:rsid w:val="7A3704EC"/>
    <w:rsid w:val="7A4232FD"/>
    <w:rsid w:val="7A443E8A"/>
    <w:rsid w:val="7A4576A6"/>
    <w:rsid w:val="7A4F756E"/>
    <w:rsid w:val="7A575CB7"/>
    <w:rsid w:val="7A67303B"/>
    <w:rsid w:val="7A6F1499"/>
    <w:rsid w:val="7A7F60E0"/>
    <w:rsid w:val="7A862FDB"/>
    <w:rsid w:val="7A921B4E"/>
    <w:rsid w:val="7A923295"/>
    <w:rsid w:val="7A967402"/>
    <w:rsid w:val="7A97546F"/>
    <w:rsid w:val="7AA06ABF"/>
    <w:rsid w:val="7AAB1D04"/>
    <w:rsid w:val="7AB57820"/>
    <w:rsid w:val="7ABA4368"/>
    <w:rsid w:val="7ABC16CA"/>
    <w:rsid w:val="7AC64FCA"/>
    <w:rsid w:val="7ACC0BEF"/>
    <w:rsid w:val="7AF42927"/>
    <w:rsid w:val="7AF60F45"/>
    <w:rsid w:val="7AF64ACB"/>
    <w:rsid w:val="7B046439"/>
    <w:rsid w:val="7B06415E"/>
    <w:rsid w:val="7B0F1E03"/>
    <w:rsid w:val="7B1E71CB"/>
    <w:rsid w:val="7B2072A9"/>
    <w:rsid w:val="7B257FFD"/>
    <w:rsid w:val="7B3471CA"/>
    <w:rsid w:val="7B454EE1"/>
    <w:rsid w:val="7B4931ED"/>
    <w:rsid w:val="7B4C69E7"/>
    <w:rsid w:val="7B4E13B1"/>
    <w:rsid w:val="7B575FCA"/>
    <w:rsid w:val="7B5B0730"/>
    <w:rsid w:val="7B5F11E6"/>
    <w:rsid w:val="7B7653CD"/>
    <w:rsid w:val="7B8E3667"/>
    <w:rsid w:val="7B9020D6"/>
    <w:rsid w:val="7BA24937"/>
    <w:rsid w:val="7BA8473F"/>
    <w:rsid w:val="7BAD4CD2"/>
    <w:rsid w:val="7BCC23A5"/>
    <w:rsid w:val="7BD00FAB"/>
    <w:rsid w:val="7BDE4797"/>
    <w:rsid w:val="7BE11B55"/>
    <w:rsid w:val="7BF03EDD"/>
    <w:rsid w:val="7BF15325"/>
    <w:rsid w:val="7BF3143A"/>
    <w:rsid w:val="7BF55E44"/>
    <w:rsid w:val="7C000B98"/>
    <w:rsid w:val="7C0634CF"/>
    <w:rsid w:val="7C0963E6"/>
    <w:rsid w:val="7C0C6DE1"/>
    <w:rsid w:val="7C0F699B"/>
    <w:rsid w:val="7C157B56"/>
    <w:rsid w:val="7C2763AB"/>
    <w:rsid w:val="7C2920C8"/>
    <w:rsid w:val="7C2D24F8"/>
    <w:rsid w:val="7C34276A"/>
    <w:rsid w:val="7C34687E"/>
    <w:rsid w:val="7C3E49E9"/>
    <w:rsid w:val="7C4B64DA"/>
    <w:rsid w:val="7C513FBC"/>
    <w:rsid w:val="7C60648E"/>
    <w:rsid w:val="7C696B58"/>
    <w:rsid w:val="7C6E024D"/>
    <w:rsid w:val="7C6E3202"/>
    <w:rsid w:val="7C766684"/>
    <w:rsid w:val="7C8135B2"/>
    <w:rsid w:val="7C826ADE"/>
    <w:rsid w:val="7C833DE4"/>
    <w:rsid w:val="7C8545CE"/>
    <w:rsid w:val="7C8F6C3B"/>
    <w:rsid w:val="7CA11BD5"/>
    <w:rsid w:val="7CA816C8"/>
    <w:rsid w:val="7CA825E7"/>
    <w:rsid w:val="7CAD0C4C"/>
    <w:rsid w:val="7CB84E64"/>
    <w:rsid w:val="7CC149C0"/>
    <w:rsid w:val="7CC206B8"/>
    <w:rsid w:val="7CCD3AAA"/>
    <w:rsid w:val="7CD52E3B"/>
    <w:rsid w:val="7CE47CAD"/>
    <w:rsid w:val="7CEB58E0"/>
    <w:rsid w:val="7CFF75AB"/>
    <w:rsid w:val="7D0C000E"/>
    <w:rsid w:val="7D0D138C"/>
    <w:rsid w:val="7D1A6801"/>
    <w:rsid w:val="7D1F7859"/>
    <w:rsid w:val="7D2021A5"/>
    <w:rsid w:val="7D215403"/>
    <w:rsid w:val="7D243FAB"/>
    <w:rsid w:val="7D39706C"/>
    <w:rsid w:val="7D3B3DF0"/>
    <w:rsid w:val="7D466DD8"/>
    <w:rsid w:val="7D475317"/>
    <w:rsid w:val="7D5802E9"/>
    <w:rsid w:val="7D677ADB"/>
    <w:rsid w:val="7D6E4DE2"/>
    <w:rsid w:val="7D80218A"/>
    <w:rsid w:val="7D8F0869"/>
    <w:rsid w:val="7D9A605D"/>
    <w:rsid w:val="7DB02FF5"/>
    <w:rsid w:val="7DBA03A9"/>
    <w:rsid w:val="7DC95B0F"/>
    <w:rsid w:val="7DCC2A57"/>
    <w:rsid w:val="7DD6356E"/>
    <w:rsid w:val="7DE16FA9"/>
    <w:rsid w:val="7DE67FF1"/>
    <w:rsid w:val="7DF5068C"/>
    <w:rsid w:val="7DFE65CE"/>
    <w:rsid w:val="7E13751B"/>
    <w:rsid w:val="7E1C65D0"/>
    <w:rsid w:val="7E315280"/>
    <w:rsid w:val="7E3B37C3"/>
    <w:rsid w:val="7E5F7F1B"/>
    <w:rsid w:val="7E6447B2"/>
    <w:rsid w:val="7E65448C"/>
    <w:rsid w:val="7E7023F2"/>
    <w:rsid w:val="7E8365EF"/>
    <w:rsid w:val="7E8F2E05"/>
    <w:rsid w:val="7E9B6FF9"/>
    <w:rsid w:val="7EDB3BB3"/>
    <w:rsid w:val="7EDF230F"/>
    <w:rsid w:val="7EE903FE"/>
    <w:rsid w:val="7EE94F16"/>
    <w:rsid w:val="7EF613BB"/>
    <w:rsid w:val="7EF73B75"/>
    <w:rsid w:val="7F0C682D"/>
    <w:rsid w:val="7F192772"/>
    <w:rsid w:val="7F1D3BE2"/>
    <w:rsid w:val="7F1F3CBE"/>
    <w:rsid w:val="7F21192E"/>
    <w:rsid w:val="7F215BDC"/>
    <w:rsid w:val="7F230F53"/>
    <w:rsid w:val="7F301701"/>
    <w:rsid w:val="7F3C5D82"/>
    <w:rsid w:val="7F3D0EF4"/>
    <w:rsid w:val="7F3F37AE"/>
    <w:rsid w:val="7F422E26"/>
    <w:rsid w:val="7F4E580B"/>
    <w:rsid w:val="7F644E17"/>
    <w:rsid w:val="7F734C6F"/>
    <w:rsid w:val="7F7D7787"/>
    <w:rsid w:val="7F8E766A"/>
    <w:rsid w:val="7F912895"/>
    <w:rsid w:val="7F957A14"/>
    <w:rsid w:val="7F987577"/>
    <w:rsid w:val="7F9A115D"/>
    <w:rsid w:val="7F9A18B9"/>
    <w:rsid w:val="7FA10C1F"/>
    <w:rsid w:val="7FA3748A"/>
    <w:rsid w:val="7FB85BDB"/>
    <w:rsid w:val="7FC840B1"/>
    <w:rsid w:val="7FD27958"/>
    <w:rsid w:val="7FDA6E56"/>
    <w:rsid w:val="7FE1146F"/>
    <w:rsid w:val="7FF50D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2">
    <w:name w:val="heading 1"/>
    <w:basedOn w:val="1"/>
    <w:next w:val="1"/>
    <w:link w:val="77"/>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8"/>
    <w:qFormat/>
    <w:uiPriority w:val="9"/>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9"/>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8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8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8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8">
    <w:name w:val="Default Paragraph Font"/>
    <w:semiHidden/>
    <w:uiPriority w:val="0"/>
    <w:rPr>
      <w:rFonts w:ascii="Arial" w:hAnsi="Arial" w:eastAsia="黑体" w:cs="Arial"/>
      <w:snapToGrid w:val="0"/>
      <w:kern w:val="0"/>
      <w:szCs w:val="21"/>
    </w:rPr>
  </w:style>
  <w:style w:type="table" w:default="1" w:styleId="61">
    <w:name w:val="Normal Table"/>
    <w:unhideWhenUsed/>
    <w:uiPriority w:val="99"/>
    <w:tblPr>
      <w:tblStyle w:val="61"/>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84"/>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85"/>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link w:val="86"/>
    <w:uiPriority w:val="0"/>
    <w:pPr>
      <w:shd w:val="clear" w:color="auto" w:fill="000080"/>
    </w:pPr>
  </w:style>
  <w:style w:type="paragraph" w:styleId="19">
    <w:name w:val="annotation text"/>
    <w:basedOn w:val="1"/>
    <w:link w:val="87"/>
    <w:qFormat/>
    <w:uiPriority w:val="0"/>
    <w:pPr>
      <w:jc w:val="left"/>
    </w:pPr>
  </w:style>
  <w:style w:type="paragraph" w:styleId="20">
    <w:name w:val="Salutation"/>
    <w:basedOn w:val="1"/>
    <w:next w:val="1"/>
    <w:link w:val="88"/>
    <w:uiPriority w:val="0"/>
    <w:rPr>
      <w:rFonts w:ascii="仿宋_GB2312" w:eastAsia="仿宋_GB2312"/>
      <w:sz w:val="28"/>
      <w:szCs w:val="20"/>
    </w:rPr>
  </w:style>
  <w:style w:type="paragraph" w:styleId="21">
    <w:name w:val="Body Text 3"/>
    <w:basedOn w:val="1"/>
    <w:link w:val="89"/>
    <w:uiPriority w:val="0"/>
    <w:pPr>
      <w:jc w:val="center"/>
    </w:pPr>
    <w:rPr>
      <w:szCs w:val="20"/>
    </w:rPr>
  </w:style>
  <w:style w:type="paragraph" w:styleId="22">
    <w:name w:val="List Bullet 3"/>
    <w:basedOn w:val="1"/>
    <w:unhideWhenUsed/>
    <w:uiPriority w:val="0"/>
    <w:pPr>
      <w:numPr>
        <w:ilvl w:val="0"/>
        <w:numId w:val="4"/>
      </w:numPr>
      <w:snapToGrid w:val="0"/>
      <w:spacing w:line="360" w:lineRule="auto"/>
      <w:ind w:right="238"/>
      <w:contextualSpacing/>
    </w:pPr>
    <w:rPr>
      <w:sz w:val="24"/>
    </w:rPr>
  </w:style>
  <w:style w:type="paragraph" w:styleId="23">
    <w:name w:val="Body Text"/>
    <w:basedOn w:val="1"/>
    <w:link w:val="90"/>
    <w:uiPriority w:val="0"/>
    <w:pPr>
      <w:autoSpaceDE w:val="0"/>
      <w:autoSpaceDN w:val="0"/>
      <w:adjustRightInd w:val="0"/>
      <w:spacing w:line="360" w:lineRule="auto"/>
    </w:pPr>
    <w:rPr>
      <w:rFonts w:ascii="宋体" w:hAnsi="Arial" w:cs="Arial"/>
      <w:snapToGrid w:val="0"/>
      <w:sz w:val="24"/>
      <w:szCs w:val="21"/>
      <w:lang w:val="zh-CN"/>
    </w:rPr>
  </w:style>
  <w:style w:type="paragraph" w:styleId="24">
    <w:name w:val="Body Text Indent"/>
    <w:basedOn w:val="1"/>
    <w:link w:val="91"/>
    <w:uiPriority w:val="0"/>
    <w:pPr>
      <w:spacing w:line="480" w:lineRule="exact"/>
      <w:ind w:firstLine="480" w:firstLineChars="200"/>
    </w:pPr>
    <w:rPr>
      <w:rFonts w:ascii="宋体" w:hAnsi="宋体"/>
      <w:sz w:val="24"/>
    </w:rPr>
  </w:style>
  <w:style w:type="paragraph" w:styleId="25">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uiPriority w:val="0"/>
    <w:pPr>
      <w:adjustRightInd/>
      <w:spacing w:line="360" w:lineRule="auto"/>
      <w:ind w:left="100" w:leftChars="200" w:hanging="200" w:hangingChars="200"/>
    </w:pPr>
    <w:rPr>
      <w:rFonts w:eastAsia="微软雅黑"/>
    </w:rPr>
  </w:style>
  <w:style w:type="paragraph" w:styleId="27">
    <w:name w:val="Block Text"/>
    <w:basedOn w:val="1"/>
    <w:uiPriority w:val="0"/>
    <w:pPr>
      <w:ind w:left="-359" w:leftChars="-171" w:rightChars="-244" w:firstLine="501" w:firstLineChars="239"/>
    </w:pPr>
    <w:rPr>
      <w:rFonts w:ascii="仿宋_GB2312" w:eastAsia="仿宋_GB2312"/>
      <w:sz w:val="30"/>
      <w:szCs w:val="20"/>
    </w:rPr>
  </w:style>
  <w:style w:type="paragraph" w:styleId="28">
    <w:name w:val="List Bullet 2"/>
    <w:basedOn w:val="1"/>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2"/>
    <w:uiPriority w:val="0"/>
    <w:pPr>
      <w:widowControl/>
      <w:adjustRightInd/>
      <w:ind w:firstLine="200" w:firstLineChars="200"/>
      <w:jc w:val="left"/>
    </w:pPr>
    <w:rPr>
      <w:rFonts w:ascii="宋体" w:hAnsi="宋体"/>
      <w:i/>
      <w:iCs/>
      <w:kern w:val="0"/>
      <w:sz w:val="24"/>
    </w:rPr>
  </w:style>
  <w:style w:type="paragraph" w:styleId="30">
    <w:name w:val="toc 5"/>
    <w:basedOn w:val="1"/>
    <w:next w:val="1"/>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2">
    <w:name w:val="Plain Text"/>
    <w:basedOn w:val="1"/>
    <w:link w:val="93"/>
    <w:qFormat/>
    <w:uiPriority w:val="0"/>
    <w:rPr>
      <w:rFonts w:ascii="宋体" w:hAnsi="Courier New" w:cs="Arial"/>
      <w:snapToGrid w:val="0"/>
      <w:szCs w:val="21"/>
    </w:rPr>
  </w:style>
  <w:style w:type="paragraph" w:styleId="33">
    <w:name w:val="List Number 4"/>
    <w:basedOn w:val="1"/>
    <w:uiPriority w:val="0"/>
    <w:pPr>
      <w:numPr>
        <w:ilvl w:val="0"/>
        <w:numId w:val="5"/>
      </w:numPr>
      <w:autoSpaceDE w:val="0"/>
      <w:autoSpaceDN w:val="0"/>
      <w:spacing w:line="360" w:lineRule="atLeast"/>
    </w:pPr>
    <w:rPr>
      <w:kern w:val="0"/>
      <w:sz w:val="24"/>
    </w:rPr>
  </w:style>
  <w:style w:type="paragraph" w:styleId="34">
    <w:name w:val="toc 8"/>
    <w:basedOn w:val="1"/>
    <w:next w:val="1"/>
    <w:uiPriority w:val="0"/>
    <w:pPr>
      <w:ind w:left="2940" w:leftChars="1400"/>
    </w:pPr>
  </w:style>
  <w:style w:type="paragraph" w:styleId="35">
    <w:name w:val="Date"/>
    <w:basedOn w:val="1"/>
    <w:next w:val="1"/>
    <w:link w:val="94"/>
    <w:uiPriority w:val="0"/>
    <w:pPr>
      <w:ind w:left="100" w:leftChars="2500"/>
    </w:pPr>
    <w:rPr>
      <w:rFonts w:ascii="宋体"/>
      <w:sz w:val="24"/>
      <w:szCs w:val="21"/>
      <w:lang w:val="zh-CN"/>
    </w:rPr>
  </w:style>
  <w:style w:type="paragraph" w:styleId="36">
    <w:name w:val="Body Text Indent 2"/>
    <w:basedOn w:val="1"/>
    <w:link w:val="95"/>
    <w:uiPriority w:val="0"/>
    <w:pPr>
      <w:adjustRightInd w:val="0"/>
      <w:spacing w:line="360" w:lineRule="auto"/>
      <w:ind w:firstLine="601"/>
      <w:textAlignment w:val="baseline"/>
    </w:pPr>
    <w:rPr>
      <w:rFonts w:ascii="宋体"/>
      <w:kern w:val="0"/>
      <w:sz w:val="28"/>
      <w:szCs w:val="20"/>
    </w:rPr>
  </w:style>
  <w:style w:type="paragraph" w:styleId="37">
    <w:name w:val="Balloon Text"/>
    <w:basedOn w:val="1"/>
    <w:link w:val="96"/>
    <w:uiPriority w:val="0"/>
    <w:rPr>
      <w:sz w:val="18"/>
      <w:szCs w:val="18"/>
    </w:rPr>
  </w:style>
  <w:style w:type="paragraph" w:styleId="38">
    <w:name w:val="footer"/>
    <w:basedOn w:val="1"/>
    <w:link w:val="97"/>
    <w:uiPriority w:val="99"/>
    <w:pPr>
      <w:tabs>
        <w:tab w:val="center" w:pos="4153"/>
        <w:tab w:val="right" w:pos="8306"/>
      </w:tabs>
      <w:snapToGrid w:val="0"/>
      <w:jc w:val="left"/>
    </w:pPr>
    <w:rPr>
      <w:sz w:val="18"/>
      <w:szCs w:val="18"/>
    </w:rPr>
  </w:style>
  <w:style w:type="paragraph" w:styleId="39">
    <w:name w:val="header"/>
    <w:basedOn w:val="1"/>
    <w:link w:val="98"/>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9"/>
    <w:uiPriority w:val="0"/>
    <w:pPr>
      <w:adjustRightInd w:val="0"/>
      <w:spacing w:after="600" w:afterLines="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uiPriority w:val="0"/>
    <w:pPr>
      <w:ind w:left="1260" w:leftChars="600"/>
    </w:pPr>
  </w:style>
  <w:style w:type="paragraph" w:styleId="43">
    <w:name w:val="index heading"/>
    <w:basedOn w:val="1"/>
    <w:next w:val="44"/>
    <w:uiPriority w:val="0"/>
    <w:pPr>
      <w:adjustRightInd/>
      <w:ind w:firstLine="200" w:firstLineChars="200"/>
    </w:pPr>
  </w:style>
  <w:style w:type="paragraph" w:styleId="44">
    <w:name w:val="index 1"/>
    <w:basedOn w:val="1"/>
    <w:next w:val="1"/>
    <w:uiPriority w:val="0"/>
    <w:pPr>
      <w:adjustRightInd/>
      <w:spacing w:line="360" w:lineRule="auto"/>
      <w:ind w:firstLine="200" w:firstLineChars="200"/>
      <w:jc w:val="center"/>
    </w:pPr>
    <w:rPr>
      <w:sz w:val="24"/>
      <w:szCs w:val="20"/>
    </w:rPr>
  </w:style>
  <w:style w:type="paragraph" w:styleId="45">
    <w:name w:val="Subtitle"/>
    <w:link w:val="100"/>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6">
    <w:name w:val="List Number 5"/>
    <w:basedOn w:val="1"/>
    <w:uiPriority w:val="0"/>
    <w:pPr>
      <w:tabs>
        <w:tab w:val="left" w:pos="902"/>
      </w:tabs>
      <w:adjustRightInd/>
      <w:spacing w:line="400" w:lineRule="exact"/>
      <w:ind w:left="902" w:hanging="420"/>
    </w:pPr>
    <w:rPr>
      <w:sz w:val="24"/>
      <w:szCs w:val="20"/>
    </w:rPr>
  </w:style>
  <w:style w:type="paragraph" w:styleId="47">
    <w:name w:val="List"/>
    <w:basedOn w:val="1"/>
    <w:uiPriority w:val="0"/>
    <w:pPr>
      <w:ind w:left="200" w:hanging="200" w:hangingChars="200"/>
    </w:pPr>
  </w:style>
  <w:style w:type="paragraph" w:styleId="48">
    <w:name w:val="footnote text"/>
    <w:basedOn w:val="15"/>
    <w:link w:val="101"/>
    <w:uiPriority w:val="0"/>
    <w:pPr>
      <w:adjustRightInd/>
      <w:snapToGrid/>
      <w:spacing w:before="60" w:beforeLines="0" w:after="60" w:afterLines="0" w:line="300" w:lineRule="exact"/>
      <w:ind w:firstLine="0"/>
    </w:pPr>
    <w:rPr>
      <w:rFonts w:ascii="Calibri"/>
      <w:snapToGrid/>
      <w:color w:val="0000FF"/>
      <w:kern w:val="0"/>
      <w:sz w:val="21"/>
    </w:rPr>
  </w:style>
  <w:style w:type="paragraph" w:styleId="49">
    <w:name w:val="toc 6"/>
    <w:basedOn w:val="1"/>
    <w:next w:val="1"/>
    <w:uiPriority w:val="0"/>
    <w:pPr>
      <w:ind w:left="2100" w:leftChars="1000"/>
    </w:pPr>
  </w:style>
  <w:style w:type="paragraph" w:styleId="50">
    <w:name w:val="List 5"/>
    <w:basedOn w:val="1"/>
    <w:uiPriority w:val="0"/>
    <w:pPr>
      <w:adjustRightInd/>
      <w:ind w:left="100" w:leftChars="800" w:hanging="200" w:hangingChars="200"/>
    </w:pPr>
  </w:style>
  <w:style w:type="paragraph" w:styleId="51">
    <w:name w:val="Body Text Indent 3"/>
    <w:basedOn w:val="1"/>
    <w:link w:val="102"/>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uiPriority w:val="0"/>
    <w:pPr>
      <w:ind w:left="3360" w:leftChars="1600"/>
    </w:pPr>
  </w:style>
  <w:style w:type="paragraph" w:styleId="54">
    <w:name w:val="Body Text 2"/>
    <w:basedOn w:val="1"/>
    <w:link w:val="103"/>
    <w:uiPriority w:val="0"/>
    <w:pPr>
      <w:spacing w:after="120" w:afterLines="0" w:line="480" w:lineRule="auto"/>
    </w:pPr>
  </w:style>
  <w:style w:type="paragraph" w:styleId="55">
    <w:name w:val="HTML Preformatted"/>
    <w:basedOn w:val="1"/>
    <w:link w:val="104"/>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uiPriority w:val="99"/>
    <w:pPr>
      <w:widowControl/>
      <w:spacing w:before="100" w:beforeLines="0" w:beforeAutospacing="1" w:after="100" w:afterLines="0" w:afterAutospacing="1"/>
      <w:jc w:val="left"/>
    </w:pPr>
    <w:rPr>
      <w:rFonts w:ascii="宋体" w:hAnsi="宋体"/>
      <w:kern w:val="0"/>
      <w:sz w:val="24"/>
    </w:rPr>
  </w:style>
  <w:style w:type="paragraph" w:styleId="57">
    <w:name w:val="Title"/>
    <w:basedOn w:val="1"/>
    <w:link w:val="105"/>
    <w:qFormat/>
    <w:uiPriority w:val="0"/>
    <w:pPr>
      <w:widowControl/>
      <w:overflowPunct w:val="0"/>
      <w:autoSpaceDE w:val="0"/>
      <w:autoSpaceDN w:val="0"/>
      <w:adjustRightInd w:val="0"/>
      <w:jc w:val="center"/>
      <w:textAlignment w:val="baseline"/>
    </w:pPr>
    <w:rPr>
      <w:b/>
      <w:kern w:val="0"/>
      <w:sz w:val="24"/>
      <w:szCs w:val="20"/>
      <w:lang w:val="en-GB"/>
    </w:rPr>
  </w:style>
  <w:style w:type="paragraph" w:styleId="58">
    <w:name w:val="annotation subject"/>
    <w:basedOn w:val="19"/>
    <w:next w:val="19"/>
    <w:link w:val="106"/>
    <w:uiPriority w:val="0"/>
    <w:rPr>
      <w:b/>
      <w:bCs/>
    </w:rPr>
  </w:style>
  <w:style w:type="paragraph" w:styleId="59">
    <w:name w:val="Body Text First Indent"/>
    <w:basedOn w:val="23"/>
    <w:link w:val="107"/>
    <w:uiPriority w:val="0"/>
    <w:pPr>
      <w:ind w:firstLine="420"/>
    </w:pPr>
    <w:rPr>
      <w:rFonts w:hAnsi="Calibri" w:cs="Times New Roman"/>
      <w:snapToGrid/>
      <w:szCs w:val="20"/>
    </w:rPr>
  </w:style>
  <w:style w:type="paragraph" w:styleId="60">
    <w:name w:val="Body Text First Indent 2"/>
    <w:basedOn w:val="24"/>
    <w:link w:val="108"/>
    <w:uiPriority w:val="0"/>
    <w:pPr>
      <w:adjustRightInd/>
      <w:spacing w:after="120" w:afterLines="0" w:line="240" w:lineRule="auto"/>
      <w:ind w:left="420" w:leftChars="200" w:firstLine="210"/>
    </w:pPr>
    <w:rPr>
      <w:sz w:val="21"/>
    </w:rPr>
  </w:style>
  <w:style w:type="table" w:styleId="62">
    <w:name w:val="Table Grid"/>
    <w:basedOn w:val="61"/>
    <w:qFormat/>
    <w:uiPriority w:val="39"/>
    <w:pPr>
      <w:widowControl w:val="0"/>
      <w:jc w:val="both"/>
    </w:p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uiPriority w:val="0"/>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uiPriority w:val="0"/>
    <w:pPr>
      <w:widowControl w:val="0"/>
      <w:jc w:val="both"/>
    </w:pPr>
    <w:tblPr>
      <w:tblStyle w:val="6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1"/>
      </w:tblPr>
      <w:tcPr>
        <w:tcBorders>
          <w:top w:val="nil"/>
          <w:left w:val="nil"/>
          <w:bottom w:val="nil"/>
          <w:right w:val="nil"/>
          <w:insideH w:val="nil"/>
          <w:insideV w:val="nil"/>
          <w:tl2br w:val="nil"/>
          <w:tr2bl w:val="nil"/>
        </w:tcBorders>
      </w:tcPr>
    </w:tblStylePr>
  </w:style>
  <w:style w:type="table" w:styleId="65">
    <w:name w:val="Table Grid 5"/>
    <w:basedOn w:val="61"/>
    <w:uiPriority w:val="0"/>
    <w:pPr>
      <w:widowControl w:val="0"/>
      <w:jc w:val="both"/>
    </w:pPr>
    <w:tblPr>
      <w:tblStyle w:val="6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1"/>
      </w:tblPr>
      <w:tcPr>
        <w:tcBorders>
          <w:top w:val="nil"/>
          <w:left w:val="single" w:color="000000" w:sz="12" w:space="0"/>
          <w:bottom w:val="nil"/>
          <w:right w:val="nil"/>
          <w:insideH w:val="nil"/>
          <w:insideV w:val="nil"/>
          <w:tl2br w:val="nil"/>
          <w:tr2bl w:val="nil"/>
        </w:tcBorders>
      </w:tcPr>
    </w:tblStylePr>
    <w:tblStylePr w:type="lastRow">
      <w:rPr>
        <w:b/>
        <w:bCs/>
      </w:rPr>
      <w:tblPr>
        <w:tblStyle w:val="61"/>
      </w:tblPr>
      <w:tcPr>
        <w:tcBorders>
          <w:top w:val="nil"/>
          <w:left w:val="nil"/>
          <w:bottom w:val="nil"/>
          <w:right w:val="nil"/>
          <w:insideH w:val="nil"/>
          <w:insideV w:val="nil"/>
          <w:tl2br w:val="nil"/>
          <w:tr2bl w:val="nil"/>
        </w:tcBorders>
      </w:tcPr>
    </w:tblStylePr>
    <w:tblStylePr w:type="lastCol">
      <w:rPr>
        <w:b/>
        <w:bCs/>
      </w:rPr>
      <w:tblPr>
        <w:tblStyle w:val="61"/>
      </w:tblPr>
      <w:tcPr>
        <w:tcBorders>
          <w:top w:val="nil"/>
          <w:left w:val="nil"/>
          <w:bottom w:val="nil"/>
          <w:right w:val="nil"/>
          <w:insideH w:val="nil"/>
          <w:insideV w:val="nil"/>
          <w:tl2br w:val="nil"/>
          <w:tr2bl w:val="nil"/>
        </w:tcBorders>
      </w:tcPr>
    </w:tblStylePr>
    <w:tblStylePr w:type="nwCell">
      <w:tblPr>
        <w:tblStyle w:val="61"/>
      </w:tblPr>
      <w:tcPr>
        <w:tcBorders>
          <w:top w:val="nil"/>
          <w:left w:val="nil"/>
          <w:bottom w:val="nil"/>
          <w:right w:val="nil"/>
          <w:insideH w:val="nil"/>
          <w:insideV w:val="nil"/>
          <w:tl2br w:val="single" w:color="000000" w:sz="6" w:space="0"/>
          <w:tr2bl w:val="nil"/>
        </w:tcBorders>
      </w:tcPr>
    </w:tblStylePr>
  </w:style>
  <w:style w:type="table" w:styleId="66">
    <w:name w:val="Table Grid 8"/>
    <w:basedOn w:val="61"/>
    <w:uiPriority w:val="0"/>
    <w:pPr>
      <w:widowControl w:val="0"/>
      <w:jc w:val="both"/>
    </w:pPr>
    <w:tblPr>
      <w:tblStyle w:val="6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1"/>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1"/>
      </w:tblPr>
      <w:tcPr>
        <w:tcBorders>
          <w:top w:val="nil"/>
          <w:left w:val="nil"/>
          <w:bottom w:val="nil"/>
          <w:right w:val="nil"/>
          <w:insideH w:val="nil"/>
          <w:insideV w:val="nil"/>
          <w:tl2br w:val="nil"/>
          <w:tr2bl w:val="nil"/>
        </w:tcBorders>
      </w:tcPr>
    </w:tblStylePr>
    <w:tblStylePr w:type="lastCol">
      <w:rPr>
        <w:b/>
        <w:bCs/>
        <w:color w:val="auto"/>
      </w:rPr>
      <w:tblPr>
        <w:tblStyle w:val="61"/>
      </w:tblPr>
      <w:tcPr>
        <w:tcBorders>
          <w:top w:val="nil"/>
          <w:left w:val="nil"/>
          <w:bottom w:val="nil"/>
          <w:right w:val="nil"/>
          <w:insideH w:val="nil"/>
          <w:insideV w:val="nil"/>
          <w:tl2br w:val="nil"/>
          <w:tr2bl w:val="nil"/>
        </w:tcBorders>
      </w:tcPr>
    </w:tblStylePr>
  </w:style>
  <w:style w:type="table" w:styleId="67">
    <w:name w:val="Table Professional"/>
    <w:basedOn w:val="61"/>
    <w:uiPriority w:val="0"/>
    <w:pPr>
      <w:widowControl w:val="0"/>
      <w:jc w:val="both"/>
    </w:pPr>
    <w:tblPr>
      <w:tblStyle w:val="6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1"/>
      </w:tblPr>
      <w:tcPr>
        <w:tcBorders>
          <w:top w:val="nil"/>
          <w:left w:val="nil"/>
          <w:bottom w:val="nil"/>
          <w:right w:val="nil"/>
          <w:insideH w:val="nil"/>
          <w:insideV w:val="nil"/>
          <w:tl2br w:val="nil"/>
          <w:tr2bl w:val="nil"/>
        </w:tcBorders>
        <w:shd w:val="solid" w:color="000000" w:fill="FFFFFF"/>
      </w:tcPr>
    </w:tblStylePr>
  </w:style>
  <w:style w:type="character" w:styleId="69">
    <w:name w:val="Strong"/>
    <w:qFormat/>
    <w:uiPriority w:val="0"/>
    <w:rPr>
      <w:b/>
      <w:bCs/>
    </w:rPr>
  </w:style>
  <w:style w:type="character" w:styleId="70">
    <w:name w:val="page number"/>
    <w:uiPriority w:val="0"/>
  </w:style>
  <w:style w:type="character" w:styleId="71">
    <w:name w:val="FollowedHyperlink"/>
    <w:uiPriority w:val="0"/>
    <w:rPr>
      <w:rFonts w:ascii="Arial" w:hAnsi="Arial" w:eastAsia="黑体" w:cs="Arial"/>
      <w:snapToGrid w:val="0"/>
      <w:color w:val="000000"/>
      <w:kern w:val="0"/>
      <w:sz w:val="18"/>
      <w:szCs w:val="18"/>
      <w:u w:val="none"/>
    </w:rPr>
  </w:style>
  <w:style w:type="character" w:styleId="72">
    <w:name w:val="Emphasis"/>
    <w:qFormat/>
    <w:uiPriority w:val="20"/>
    <w:rPr>
      <w:color w:val="CC0033"/>
    </w:rPr>
  </w:style>
  <w:style w:type="character" w:styleId="73">
    <w:name w:val="line number"/>
    <w:uiPriority w:val="0"/>
  </w:style>
  <w:style w:type="character" w:styleId="74">
    <w:name w:val="Hyperlink"/>
    <w:qFormat/>
    <w:uiPriority w:val="0"/>
    <w:rPr>
      <w:rFonts w:ascii="Arial" w:hAnsi="Arial" w:eastAsia="黑体" w:cs="Arial"/>
      <w:snapToGrid w:val="0"/>
      <w:color w:val="000000"/>
      <w:kern w:val="0"/>
      <w:sz w:val="18"/>
      <w:szCs w:val="18"/>
      <w:u w:val="none"/>
    </w:rPr>
  </w:style>
  <w:style w:type="character" w:styleId="75">
    <w:name w:val="HTML Code"/>
    <w:uiPriority w:val="0"/>
    <w:rPr>
      <w:rFonts w:ascii="黑体" w:hAnsi="Courier New" w:eastAsia="黑体" w:cs="楷体_GB2312"/>
      <w:sz w:val="20"/>
      <w:szCs w:val="20"/>
    </w:rPr>
  </w:style>
  <w:style w:type="character" w:styleId="76">
    <w:name w:val="annotation reference"/>
    <w:qFormat/>
    <w:uiPriority w:val="99"/>
    <w:rPr>
      <w:sz w:val="21"/>
      <w:szCs w:val="21"/>
    </w:rPr>
  </w:style>
  <w:style w:type="character" w:customStyle="1" w:styleId="77">
    <w:name w:val="标题 1 Char"/>
    <w:link w:val="2"/>
    <w:qFormat/>
    <w:uiPriority w:val="9"/>
    <w:rPr>
      <w:b/>
      <w:bCs/>
      <w:kern w:val="44"/>
      <w:sz w:val="44"/>
      <w:szCs w:val="44"/>
    </w:rPr>
  </w:style>
  <w:style w:type="character" w:customStyle="1" w:styleId="78">
    <w:name w:val="标题 4 Char"/>
    <w:link w:val="5"/>
    <w:qFormat/>
    <w:uiPriority w:val="9"/>
    <w:rPr>
      <w:rFonts w:ascii="Arial" w:hAnsi="Arial" w:eastAsia="黑体"/>
      <w:b/>
      <w:bCs/>
      <w:kern w:val="2"/>
      <w:sz w:val="28"/>
      <w:szCs w:val="28"/>
      <w:lang w:val="zh-CN"/>
    </w:rPr>
  </w:style>
  <w:style w:type="character" w:customStyle="1" w:styleId="79">
    <w:name w:val="标题 5 Char"/>
    <w:link w:val="6"/>
    <w:qFormat/>
    <w:uiPriority w:val="0"/>
    <w:rPr>
      <w:b/>
      <w:bCs/>
      <w:kern w:val="2"/>
      <w:sz w:val="28"/>
      <w:szCs w:val="28"/>
    </w:rPr>
  </w:style>
  <w:style w:type="character" w:customStyle="1" w:styleId="80">
    <w:name w:val="标题 6 Char"/>
    <w:link w:val="7"/>
    <w:uiPriority w:val="0"/>
    <w:rPr>
      <w:rFonts w:ascii="Arial" w:hAnsi="Arial" w:eastAsia="黑体"/>
      <w:b/>
      <w:bCs/>
      <w:kern w:val="2"/>
      <w:sz w:val="24"/>
      <w:szCs w:val="24"/>
    </w:rPr>
  </w:style>
  <w:style w:type="character" w:customStyle="1" w:styleId="81">
    <w:name w:val="标题 7 Char"/>
    <w:link w:val="8"/>
    <w:qFormat/>
    <w:uiPriority w:val="0"/>
    <w:rPr>
      <w:b/>
      <w:bCs/>
      <w:kern w:val="2"/>
      <w:sz w:val="24"/>
      <w:szCs w:val="24"/>
    </w:rPr>
  </w:style>
  <w:style w:type="character" w:customStyle="1" w:styleId="82">
    <w:name w:val="标题 8 Char"/>
    <w:link w:val="9"/>
    <w:qFormat/>
    <w:uiPriority w:val="0"/>
    <w:rPr>
      <w:rFonts w:ascii="Arial" w:hAnsi="Arial" w:eastAsia="黑体"/>
      <w:kern w:val="2"/>
      <w:sz w:val="24"/>
      <w:szCs w:val="24"/>
    </w:rPr>
  </w:style>
  <w:style w:type="character" w:customStyle="1" w:styleId="83">
    <w:name w:val="标题 9 Char"/>
    <w:link w:val="10"/>
    <w:qFormat/>
    <w:uiPriority w:val="0"/>
    <w:rPr>
      <w:rFonts w:ascii="Arial" w:hAnsi="Arial" w:eastAsia="黑体"/>
      <w:kern w:val="2"/>
      <w:sz w:val="21"/>
      <w:szCs w:val="21"/>
    </w:rPr>
  </w:style>
  <w:style w:type="character" w:customStyle="1" w:styleId="84">
    <w:name w:val="正文缩进 Char2"/>
    <w:link w:val="15"/>
    <w:qFormat/>
    <w:uiPriority w:val="0"/>
    <w:rPr>
      <w:rFonts w:ascii="宋体" w:eastAsia="宋体"/>
      <w:snapToGrid w:val="0"/>
      <w:color w:val="000000"/>
      <w:kern w:val="28"/>
      <w:sz w:val="28"/>
      <w:lang w:val="en-US" w:eastAsia="zh-CN" w:bidi="ar-SA"/>
    </w:rPr>
  </w:style>
  <w:style w:type="character" w:customStyle="1" w:styleId="85">
    <w:name w:val="题注 Char"/>
    <w:link w:val="16"/>
    <w:qFormat/>
    <w:uiPriority w:val="0"/>
    <w:rPr>
      <w:b/>
      <w:kern w:val="2"/>
      <w:sz w:val="28"/>
    </w:rPr>
  </w:style>
  <w:style w:type="character" w:customStyle="1" w:styleId="86">
    <w:name w:val="文档结构图 Char1"/>
    <w:link w:val="18"/>
    <w:qFormat/>
    <w:uiPriority w:val="0"/>
    <w:rPr>
      <w:kern w:val="2"/>
      <w:sz w:val="21"/>
      <w:szCs w:val="24"/>
      <w:shd w:val="clear" w:color="auto" w:fill="000080"/>
    </w:rPr>
  </w:style>
  <w:style w:type="character" w:customStyle="1" w:styleId="87">
    <w:name w:val="批注文字 Char1"/>
    <w:link w:val="19"/>
    <w:qFormat/>
    <w:uiPriority w:val="0"/>
    <w:rPr>
      <w:kern w:val="2"/>
      <w:sz w:val="21"/>
      <w:szCs w:val="24"/>
    </w:rPr>
  </w:style>
  <w:style w:type="character" w:customStyle="1" w:styleId="88">
    <w:name w:val="称呼 Char"/>
    <w:link w:val="20"/>
    <w:qFormat/>
    <w:uiPriority w:val="0"/>
    <w:rPr>
      <w:rFonts w:ascii="仿宋_GB2312" w:eastAsia="仿宋_GB2312"/>
      <w:kern w:val="2"/>
      <w:sz w:val="28"/>
    </w:rPr>
  </w:style>
  <w:style w:type="character" w:customStyle="1" w:styleId="89">
    <w:name w:val="正文文本 3 Char"/>
    <w:link w:val="21"/>
    <w:uiPriority w:val="0"/>
    <w:rPr>
      <w:kern w:val="2"/>
      <w:sz w:val="21"/>
    </w:rPr>
  </w:style>
  <w:style w:type="character" w:customStyle="1" w:styleId="9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1">
    <w:name w:val="正文文本缩进 Char1"/>
    <w:link w:val="24"/>
    <w:uiPriority w:val="0"/>
    <w:rPr>
      <w:rFonts w:ascii="宋体" w:hAnsi="宋体"/>
      <w:kern w:val="2"/>
      <w:sz w:val="24"/>
      <w:szCs w:val="24"/>
    </w:rPr>
  </w:style>
  <w:style w:type="character" w:customStyle="1" w:styleId="92">
    <w:name w:val="HTML 地址 Char"/>
    <w:link w:val="29"/>
    <w:uiPriority w:val="0"/>
    <w:rPr>
      <w:rFonts w:ascii="宋体" w:hAnsi="宋体"/>
      <w:i/>
      <w:iCs/>
      <w:sz w:val="24"/>
      <w:szCs w:val="24"/>
    </w:rPr>
  </w:style>
  <w:style w:type="character" w:customStyle="1" w:styleId="9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4">
    <w:name w:val="日期 Char"/>
    <w:link w:val="35"/>
    <w:uiPriority w:val="0"/>
    <w:rPr>
      <w:rFonts w:ascii="宋体"/>
      <w:kern w:val="2"/>
      <w:sz w:val="24"/>
      <w:szCs w:val="21"/>
      <w:lang w:val="zh-CN"/>
    </w:rPr>
  </w:style>
  <w:style w:type="character" w:customStyle="1" w:styleId="95">
    <w:name w:val="正文文本缩进 2 Char"/>
    <w:link w:val="36"/>
    <w:uiPriority w:val="0"/>
    <w:rPr>
      <w:rFonts w:ascii="宋体"/>
      <w:sz w:val="28"/>
    </w:rPr>
  </w:style>
  <w:style w:type="character" w:customStyle="1" w:styleId="96">
    <w:name w:val="批注框文本 Char"/>
    <w:link w:val="37"/>
    <w:qFormat/>
    <w:uiPriority w:val="0"/>
    <w:rPr>
      <w:kern w:val="2"/>
      <w:sz w:val="18"/>
      <w:szCs w:val="18"/>
    </w:rPr>
  </w:style>
  <w:style w:type="character" w:customStyle="1" w:styleId="97">
    <w:name w:val="页脚 Char2"/>
    <w:link w:val="38"/>
    <w:locked/>
    <w:uiPriority w:val="99"/>
    <w:rPr>
      <w:kern w:val="2"/>
      <w:sz w:val="18"/>
      <w:szCs w:val="18"/>
    </w:rPr>
  </w:style>
  <w:style w:type="character" w:customStyle="1" w:styleId="98">
    <w:name w:val="页眉 Char2"/>
    <w:link w:val="39"/>
    <w:uiPriority w:val="99"/>
    <w:rPr>
      <w:kern w:val="2"/>
      <w:sz w:val="18"/>
      <w:szCs w:val="18"/>
    </w:rPr>
  </w:style>
  <w:style w:type="character" w:customStyle="1" w:styleId="99">
    <w:name w:val="签名 Char"/>
    <w:link w:val="40"/>
    <w:uiPriority w:val="0"/>
    <w:rPr>
      <w:rFonts w:eastAsia="仿宋_GB2312"/>
      <w:sz w:val="24"/>
    </w:rPr>
  </w:style>
  <w:style w:type="character" w:customStyle="1" w:styleId="100">
    <w:name w:val="副标题 Char"/>
    <w:link w:val="45"/>
    <w:qFormat/>
    <w:uiPriority w:val="0"/>
    <w:rPr>
      <w:rFonts w:ascii="Arial" w:hAnsi="Arial" w:eastAsia="隶书"/>
      <w:b/>
      <w:bCs/>
      <w:kern w:val="28"/>
      <w:sz w:val="44"/>
      <w:szCs w:val="32"/>
      <w:lang w:val="en-US" w:eastAsia="zh-CN" w:bidi="ar-SA"/>
    </w:rPr>
  </w:style>
  <w:style w:type="character" w:customStyle="1" w:styleId="101">
    <w:name w:val="脚注文本 Char"/>
    <w:link w:val="48"/>
    <w:qFormat/>
    <w:uiPriority w:val="0"/>
    <w:rPr>
      <w:color w:val="0000FF"/>
      <w:sz w:val="21"/>
    </w:rPr>
  </w:style>
  <w:style w:type="character" w:customStyle="1" w:styleId="102">
    <w:name w:val="正文文本缩进 3 Char"/>
    <w:link w:val="51"/>
    <w:uiPriority w:val="0"/>
    <w:rPr>
      <w:kern w:val="2"/>
      <w:sz w:val="24"/>
    </w:rPr>
  </w:style>
  <w:style w:type="character" w:customStyle="1" w:styleId="103">
    <w:name w:val="正文文本 2 Char1"/>
    <w:link w:val="54"/>
    <w:uiPriority w:val="0"/>
    <w:rPr>
      <w:kern w:val="2"/>
      <w:sz w:val="21"/>
      <w:szCs w:val="24"/>
    </w:rPr>
  </w:style>
  <w:style w:type="character" w:customStyle="1" w:styleId="104">
    <w:name w:val="HTML 预设格式 Char"/>
    <w:link w:val="55"/>
    <w:uiPriority w:val="99"/>
    <w:rPr>
      <w:rFonts w:ascii="黑体" w:hAnsi="Courier New" w:eastAsia="黑体"/>
    </w:rPr>
  </w:style>
  <w:style w:type="character" w:customStyle="1" w:styleId="105">
    <w:name w:val="标题 Char1"/>
    <w:link w:val="57"/>
    <w:qFormat/>
    <w:uiPriority w:val="0"/>
    <w:rPr>
      <w:b/>
      <w:sz w:val="24"/>
      <w:lang w:val="en-GB"/>
    </w:rPr>
  </w:style>
  <w:style w:type="character" w:customStyle="1" w:styleId="106">
    <w:name w:val="批注主题 Char1"/>
    <w:link w:val="58"/>
    <w:uiPriority w:val="0"/>
    <w:rPr>
      <w:b/>
      <w:bCs/>
      <w:kern w:val="2"/>
      <w:sz w:val="21"/>
      <w:szCs w:val="24"/>
    </w:rPr>
  </w:style>
  <w:style w:type="character" w:customStyle="1" w:styleId="107">
    <w:name w:val="正文首行缩进 Char"/>
    <w:link w:val="59"/>
    <w:uiPriority w:val="0"/>
    <w:rPr>
      <w:rFonts w:ascii="宋体"/>
      <w:kern w:val="2"/>
      <w:sz w:val="24"/>
      <w:lang w:val="zh-CN"/>
    </w:rPr>
  </w:style>
  <w:style w:type="character" w:customStyle="1" w:styleId="108">
    <w:name w:val="正文首行缩进 2 Char"/>
    <w:link w:val="60"/>
    <w:uiPriority w:val="0"/>
    <w:rPr>
      <w:rFonts w:ascii="宋体" w:hAnsi="宋体"/>
      <w:kern w:val="2"/>
      <w:sz w:val="21"/>
      <w:szCs w:val="24"/>
    </w:rPr>
  </w:style>
  <w:style w:type="character" w:customStyle="1" w:styleId="109">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10">
    <w:name w:val=" Char Char7"/>
    <w:semiHidden/>
    <w:uiPriority w:val="0"/>
    <w:rPr>
      <w:rFonts w:eastAsia="宋体"/>
      <w:kern w:val="2"/>
      <w:sz w:val="21"/>
      <w:szCs w:val="24"/>
      <w:lang w:val="en-US" w:eastAsia="zh-CN" w:bidi="ar-SA"/>
    </w:rPr>
  </w:style>
  <w:style w:type="character" w:customStyle="1" w:styleId="111">
    <w:name w:val=" Char Char"/>
    <w:uiPriority w:val="0"/>
    <w:rPr>
      <w:rFonts w:ascii="宋体" w:hAnsi="Courier New" w:eastAsia="宋体"/>
      <w:kern w:val="2"/>
      <w:sz w:val="21"/>
      <w:lang w:val="en-US" w:eastAsia="zh-CN" w:bidi="ar-SA"/>
    </w:rPr>
  </w:style>
  <w:style w:type="character" w:customStyle="1" w:styleId="112">
    <w:name w:val="首行缩进 Char"/>
    <w:uiPriority w:val="0"/>
    <w:rPr>
      <w:rFonts w:ascii="宋体" w:eastAsia="宋体"/>
      <w:kern w:val="2"/>
      <w:sz w:val="24"/>
      <w:lang w:val="en-US" w:eastAsia="zh-CN" w:bidi="ar-SA"/>
    </w:rPr>
  </w:style>
  <w:style w:type="character" w:customStyle="1" w:styleId="113">
    <w:name w:val="FA正文 Char Char"/>
    <w:qFormat/>
    <w:uiPriority w:val="0"/>
    <w:rPr>
      <w:rFonts w:hAnsi="宋体"/>
      <w:kern w:val="2"/>
      <w:sz w:val="24"/>
      <w:lang w:bidi="ar-SA"/>
    </w:rPr>
  </w:style>
  <w:style w:type="character" w:customStyle="1" w:styleId="114">
    <w:name w:val="正文文本缩进 Char"/>
    <w:qFormat/>
    <w:uiPriority w:val="0"/>
    <w:rPr>
      <w:rFonts w:ascii="宋体" w:hAnsi="宋体"/>
      <w:kern w:val="2"/>
      <w:sz w:val="24"/>
      <w:szCs w:val="24"/>
    </w:rPr>
  </w:style>
  <w:style w:type="character" w:customStyle="1" w:styleId="115">
    <w:name w:val="h3 Char1"/>
    <w:aliases w:val="H3 Char1,sect1.2.3 Char1,Bold Head Char1,bh Char1,l3 Char1,CT Char1,Level 3 Head Char1,Heading 3 - old Char1,level_3 Char1,PIM 3 Char1,prop3 Char1,3 Char1,3heading Char1,heading 3 Char1,Heading 31 Char1,1.1.1 Heading 3 Char1,heading 3TOC Char1"/>
    <w:qFormat/>
    <w:uiPriority w:val="0"/>
    <w:rPr>
      <w:rFonts w:eastAsia="宋体"/>
      <w:b/>
      <w:bCs/>
      <w:kern w:val="2"/>
      <w:sz w:val="32"/>
      <w:szCs w:val="32"/>
      <w:lang w:bidi="ar-SA"/>
    </w:rPr>
  </w:style>
  <w:style w:type="character" w:customStyle="1" w:styleId="116">
    <w:name w:val="message1"/>
    <w:qFormat/>
    <w:uiPriority w:val="0"/>
    <w:rPr>
      <w:rFonts w:hint="default" w:ascii="Tahoma" w:hAnsi="Tahoma" w:cs="Tahoma"/>
      <w:sz w:val="18"/>
      <w:szCs w:val="18"/>
    </w:rPr>
  </w:style>
  <w:style w:type="character" w:customStyle="1" w:styleId="117">
    <w:name w:val="正文缩进 Char"/>
    <w:qFormat/>
    <w:uiPriority w:val="0"/>
    <w:rPr>
      <w:rFonts w:eastAsia="宋体"/>
      <w:kern w:val="2"/>
      <w:sz w:val="21"/>
      <w:lang w:val="en-US" w:eastAsia="zh-CN"/>
    </w:rPr>
  </w:style>
  <w:style w:type="character" w:customStyle="1" w:styleId="118">
    <w:name w:val="Footer-Even Char1"/>
    <w:aliases w:val="FtrF Char Char1"/>
    <w:qFormat/>
    <w:uiPriority w:val="0"/>
    <w:rPr>
      <w:rFonts w:eastAsia="宋体"/>
      <w:kern w:val="2"/>
      <w:sz w:val="18"/>
      <w:szCs w:val="18"/>
      <w:lang w:val="en-US" w:eastAsia="zh-CN" w:bidi="ar-SA"/>
    </w:rPr>
  </w:style>
  <w:style w:type="character" w:customStyle="1" w:styleId="119">
    <w:name w:val="样式2 Char"/>
    <w:qFormat/>
    <w:uiPriority w:val="0"/>
    <w:rPr>
      <w:rFonts w:ascii="仿宋_GB2312" w:hAnsi="仿宋" w:eastAsia="仿宋_GB2312" w:cs="仿宋_GB2312"/>
      <w:b/>
      <w:bCs/>
      <w:sz w:val="32"/>
      <w:szCs w:val="30"/>
      <w:lang w:val="zh-CN"/>
    </w:rPr>
  </w:style>
  <w:style w:type="character" w:customStyle="1" w:styleId="120">
    <w:name w:val="hui"/>
    <w:qFormat/>
    <w:uiPriority w:val="0"/>
  </w:style>
  <w:style w:type="character" w:customStyle="1" w:styleId="121">
    <w:name w:val="Char Char5"/>
    <w:uiPriority w:val="0"/>
    <w:rPr>
      <w:rFonts w:ascii="宋体" w:hAnsi="Courier New" w:eastAsia="宋体"/>
      <w:kern w:val="2"/>
      <w:sz w:val="21"/>
      <w:lang w:val="en-US" w:eastAsia="zh-CN"/>
    </w:rPr>
  </w:style>
  <w:style w:type="character" w:customStyle="1" w:styleId="122">
    <w:name w:val="shadow11"/>
    <w:qFormat/>
    <w:uiPriority w:val="0"/>
    <w:rPr>
      <w:color w:val="000000"/>
      <w:sz w:val="21"/>
    </w:rPr>
  </w:style>
  <w:style w:type="character" w:customStyle="1" w:styleId="123">
    <w:name w:val="Char Char2"/>
    <w:qFormat/>
    <w:uiPriority w:val="0"/>
    <w:rPr>
      <w:rFonts w:eastAsia="宋体"/>
      <w:b/>
      <w:bCs/>
      <w:kern w:val="2"/>
      <w:sz w:val="21"/>
      <w:szCs w:val="24"/>
      <w:lang w:val="en-US" w:eastAsia="zh-CN" w:bidi="ar-SA"/>
    </w:rPr>
  </w:style>
  <w:style w:type="character" w:customStyle="1" w:styleId="124">
    <w:name w:val="样式7 Char"/>
    <w:uiPriority w:val="0"/>
    <w:rPr>
      <w:rFonts w:ascii="仿宋_GB2312" w:hAnsi="仿宋" w:eastAsia="仿宋_GB2312"/>
      <w:b/>
      <w:kern w:val="2"/>
      <w:sz w:val="24"/>
      <w:szCs w:val="24"/>
    </w:rPr>
  </w:style>
  <w:style w:type="character" w:customStyle="1" w:styleId="125">
    <w:name w:val="二级标题 Char Char"/>
    <w:uiPriority w:val="0"/>
    <w:rPr>
      <w:rFonts w:ascii="宋体" w:hAnsi="宋体" w:eastAsia="宋体"/>
      <w:b/>
      <w:snapToGrid w:val="0"/>
      <w:kern w:val="2"/>
      <w:sz w:val="24"/>
      <w:szCs w:val="24"/>
      <w:lang w:val="en-US" w:eastAsia="zh-CN" w:bidi="ar-SA"/>
    </w:rPr>
  </w:style>
  <w:style w:type="character" w:customStyle="1" w:styleId="126">
    <w:name w:val="pt141"/>
    <w:uiPriority w:val="0"/>
    <w:rPr>
      <w:color w:val="330066"/>
      <w:sz w:val="22"/>
      <w:szCs w:val="22"/>
    </w:rPr>
  </w:style>
  <w:style w:type="character" w:customStyle="1" w:styleId="127">
    <w:name w:val="Char Char6"/>
    <w:qFormat/>
    <w:uiPriority w:val="0"/>
    <w:rPr>
      <w:rFonts w:eastAsia="宋体"/>
      <w:kern w:val="2"/>
      <w:sz w:val="21"/>
      <w:szCs w:val="24"/>
      <w:lang w:val="en-US" w:eastAsia="zh-CN" w:bidi="ar-SA"/>
    </w:rPr>
  </w:style>
  <w:style w:type="character" w:customStyle="1" w:styleId="128">
    <w:name w:val="solutionfonts"/>
    <w:qFormat/>
    <w:uiPriority w:val="0"/>
  </w:style>
  <w:style w:type="character" w:customStyle="1" w:styleId="129">
    <w:name w:val="Font Style82"/>
    <w:uiPriority w:val="99"/>
    <w:rPr>
      <w:rFonts w:ascii="宋体" w:eastAsia="宋体" w:cs="宋体"/>
      <w:color w:val="000000"/>
      <w:sz w:val="14"/>
      <w:szCs w:val="14"/>
    </w:rPr>
  </w:style>
  <w:style w:type="character" w:customStyle="1" w:styleId="130">
    <w:name w:val="此正文 Char"/>
    <w:link w:val="131"/>
    <w:qFormat/>
    <w:uiPriority w:val="0"/>
    <w:rPr>
      <w:kern w:val="2"/>
      <w:sz w:val="24"/>
      <w:szCs w:val="24"/>
    </w:rPr>
  </w:style>
  <w:style w:type="paragraph" w:customStyle="1" w:styleId="131">
    <w:name w:val="此正文"/>
    <w:basedOn w:val="1"/>
    <w:link w:val="130"/>
    <w:uiPriority w:val="0"/>
    <w:pPr>
      <w:adjustRightInd/>
      <w:spacing w:line="360" w:lineRule="auto"/>
      <w:ind w:firstLine="200" w:firstLineChars="200"/>
    </w:pPr>
    <w:rPr>
      <w:sz w:val="24"/>
    </w:rPr>
  </w:style>
  <w:style w:type="character" w:customStyle="1" w:styleId="132">
    <w:name w:val=" Char Char10"/>
    <w:semiHidden/>
    <w:uiPriority w:val="0"/>
    <w:rPr>
      <w:rFonts w:ascii="宋体" w:hAnsi="宋体"/>
      <w:kern w:val="2"/>
      <w:sz w:val="21"/>
      <w:szCs w:val="24"/>
      <w:lang/>
    </w:rPr>
  </w:style>
  <w:style w:type="character" w:customStyle="1" w:styleId="133">
    <w:name w:val="h Char Char"/>
    <w:uiPriority w:val="0"/>
    <w:rPr>
      <w:rFonts w:eastAsia="宋体"/>
      <w:kern w:val="2"/>
      <w:sz w:val="18"/>
      <w:lang w:val="en-US" w:eastAsia="zh-CN" w:bidi="ar-SA"/>
    </w:rPr>
  </w:style>
  <w:style w:type="character" w:customStyle="1" w:styleId="134">
    <w:name w:val="Bold"/>
    <w:aliases w:val="b"/>
    <w:qFormat/>
    <w:uiPriority w:val="0"/>
    <w:rPr>
      <w:rFonts w:ascii="Arial" w:hAnsi="Arial" w:eastAsia="黑体" w:cs="Times New Roman"/>
      <w:b/>
      <w:kern w:val="2"/>
      <w:sz w:val="32"/>
      <w:szCs w:val="32"/>
      <w:lang w:val="en-US" w:eastAsia="zh-CN" w:bidi="ar-SA"/>
    </w:rPr>
  </w:style>
  <w:style w:type="character" w:customStyle="1" w:styleId="135">
    <w:name w:val="Ò³Ã¼ Char Char"/>
    <w:uiPriority w:val="0"/>
    <w:rPr>
      <w:rFonts w:eastAsia="宋体"/>
      <w:kern w:val="2"/>
      <w:sz w:val="18"/>
      <w:lang w:val="en-US" w:eastAsia="zh-CN" w:bidi="ar-SA"/>
    </w:rPr>
  </w:style>
  <w:style w:type="character" w:customStyle="1" w:styleId="136">
    <w:name w:val="标准正文格式 Char"/>
    <w:uiPriority w:val="0"/>
    <w:rPr>
      <w:rFonts w:ascii="宋体" w:eastAsia="仿宋_GB2312" w:cs="宋体"/>
      <w:color w:val="000000"/>
      <w:sz w:val="24"/>
      <w:lang w:val="en-US" w:eastAsia="zh-CN" w:bidi="ar-SA"/>
    </w:rPr>
  </w:style>
  <w:style w:type="character" w:customStyle="1" w:styleId="137">
    <w:name w:val=" Char Char8"/>
    <w:uiPriority w:val="0"/>
    <w:rPr>
      <w:rFonts w:eastAsia="宋体"/>
      <w:b/>
      <w:sz w:val="24"/>
      <w:lang w:val="en-GB" w:eastAsia="zh-CN"/>
    </w:rPr>
  </w:style>
  <w:style w:type="character" w:customStyle="1" w:styleId="138">
    <w:name w:val="No Spacing Char"/>
    <w:link w:val="139"/>
    <w:uiPriority w:val="1"/>
    <w:rPr>
      <w:sz w:val="22"/>
      <w:szCs w:val="22"/>
      <w:lang w:val="en-US" w:eastAsia="zh-CN" w:bidi="ar-SA"/>
    </w:rPr>
  </w:style>
  <w:style w:type="paragraph" w:customStyle="1" w:styleId="139">
    <w:name w:val="无间隔1"/>
    <w:link w:val="138"/>
    <w:qFormat/>
    <w:uiPriority w:val="1"/>
    <w:rPr>
      <w:sz w:val="22"/>
      <w:szCs w:val="22"/>
      <w:lang w:val="en-US" w:eastAsia="zh-CN" w:bidi="ar-SA"/>
    </w:rPr>
  </w:style>
  <w:style w:type="character" w:customStyle="1" w:styleId="140">
    <w:name w:val="blue1"/>
    <w:qFormat/>
    <w:uiPriority w:val="0"/>
  </w:style>
  <w:style w:type="character" w:customStyle="1" w:styleId="141">
    <w:name w:val="highlight1"/>
    <w:uiPriority w:val="0"/>
    <w:rPr>
      <w:rFonts w:ascii="仿宋_GB2312" w:eastAsia="微软雅黑"/>
      <w:b/>
      <w:kern w:val="2"/>
      <w:sz w:val="23"/>
      <w:szCs w:val="23"/>
      <w:lang w:val="en-US" w:eastAsia="zh-CN" w:bidi="ar-SA"/>
    </w:rPr>
  </w:style>
  <w:style w:type="character" w:customStyle="1" w:styleId="142">
    <w:name w:val="ca-131"/>
    <w:uiPriority w:val="0"/>
    <w:rPr>
      <w:rFonts w:hint="eastAsia" w:ascii="仿宋_GB2312" w:eastAsia="仿宋_GB2312"/>
      <w:b/>
      <w:bCs/>
      <w:color w:val="000000"/>
      <w:spacing w:val="-20"/>
      <w:sz w:val="24"/>
      <w:szCs w:val="24"/>
    </w:rPr>
  </w:style>
  <w:style w:type="character" w:customStyle="1" w:styleId="143">
    <w:name w:val="h3 Char"/>
    <w:aliases w:val="H3 Char,sect1.2.3 Char,Bold Head Char,bh Char,l3 Char,CT Char,Level 3 Head Char,Heading 3 - old Char,level_3 Char,PIM 3 Char,prop3 Char,3 Char,3heading Char,heading 3 Char,Heading 31 Char,1.1.1 Heading 3 Char,heading 3TOC Char,3rd level Char"/>
    <w:qFormat/>
    <w:uiPriority w:val="0"/>
    <w:rPr>
      <w:rFonts w:eastAsia="宋体"/>
      <w:b/>
      <w:kern w:val="2"/>
      <w:sz w:val="32"/>
      <w:lang w:val="en-US" w:eastAsia="zh-CN" w:bidi="ar-SA"/>
    </w:rPr>
  </w:style>
  <w:style w:type="character" w:customStyle="1" w:styleId="144">
    <w:name w:val=" Char Char12"/>
    <w:uiPriority w:val="0"/>
    <w:rPr>
      <w:rFonts w:ascii="仿宋_GB2312" w:eastAsia="仿宋_GB2312"/>
      <w:b/>
      <w:bCs/>
      <w:kern w:val="2"/>
      <w:sz w:val="24"/>
      <w:szCs w:val="24"/>
      <w:lang w:val="zh-CN" w:eastAsia="zh-CN" w:bidi="ar-SA"/>
    </w:rPr>
  </w:style>
  <w:style w:type="character" w:customStyle="1" w:styleId="145">
    <w:name w:val="Comment Text Char"/>
    <w:locked/>
    <w:uiPriority w:val="0"/>
    <w:rPr>
      <w:rFonts w:ascii="宋体" w:hAnsi="宋体" w:eastAsia="宋体"/>
      <w:kern w:val="2"/>
      <w:sz w:val="24"/>
      <w:lang w:val="en-US" w:eastAsia="zh-CN" w:bidi="ar-SA"/>
    </w:rPr>
  </w:style>
  <w:style w:type="character" w:customStyle="1" w:styleId="146">
    <w:name w:val="批注文字 Char"/>
    <w:qFormat/>
    <w:uiPriority w:val="99"/>
    <w:rPr>
      <w:kern w:val="2"/>
      <w:sz w:val="21"/>
      <w:szCs w:val="24"/>
    </w:rPr>
  </w:style>
  <w:style w:type="character" w:customStyle="1" w:styleId="147">
    <w:name w:val="仿宋正文 Char"/>
    <w:link w:val="148"/>
    <w:qFormat/>
    <w:uiPriority w:val="0"/>
    <w:rPr>
      <w:rFonts w:ascii="仿宋_GB2312" w:eastAsia="仿宋_GB2312"/>
      <w:kern w:val="2"/>
      <w:sz w:val="24"/>
      <w:lang w:val="en-US" w:eastAsia="zh-CN" w:bidi="ar-SA"/>
    </w:rPr>
  </w:style>
  <w:style w:type="paragraph" w:customStyle="1" w:styleId="148">
    <w:name w:val="仿宋正文"/>
    <w:basedOn w:val="1"/>
    <w:link w:val="147"/>
    <w:qFormat/>
    <w:uiPriority w:val="0"/>
    <w:pPr>
      <w:adjustRightInd/>
      <w:spacing w:line="360" w:lineRule="auto"/>
      <w:ind w:firstLine="480" w:firstLineChars="200"/>
    </w:pPr>
    <w:rPr>
      <w:rFonts w:ascii="仿宋_GB2312" w:eastAsia="仿宋_GB2312"/>
      <w:sz w:val="24"/>
      <w:szCs w:val="20"/>
    </w:rPr>
  </w:style>
  <w:style w:type="character" w:customStyle="1" w:styleId="149">
    <w:name w:val="style91"/>
    <w:uiPriority w:val="0"/>
    <w:rPr>
      <w:color w:val="333333"/>
    </w:rPr>
  </w:style>
  <w:style w:type="character" w:customStyle="1" w:styleId="150">
    <w:name w:val="Char Char4"/>
    <w:uiPriority w:val="0"/>
    <w:rPr>
      <w:rFonts w:eastAsia="宋体"/>
      <w:b/>
      <w:sz w:val="24"/>
      <w:lang w:val="en-GB" w:eastAsia="zh-CN" w:bidi="ar-SA"/>
    </w:rPr>
  </w:style>
  <w:style w:type="character" w:customStyle="1" w:styleId="151">
    <w:name w:val=" Char Char2"/>
    <w:uiPriority w:val="0"/>
    <w:rPr>
      <w:rFonts w:eastAsia="宋体"/>
      <w:b/>
      <w:bCs/>
      <w:kern w:val="2"/>
      <w:sz w:val="21"/>
      <w:szCs w:val="24"/>
      <w:lang w:val="en-US" w:eastAsia="zh-CN" w:bidi="ar-SA"/>
    </w:rPr>
  </w:style>
  <w:style w:type="character" w:customStyle="1" w:styleId="152">
    <w:name w:val="正文 项目2 Char"/>
    <w:qFormat/>
    <w:uiPriority w:val="0"/>
    <w:rPr>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页眉 Char1"/>
    <w:aliases w:val="h Char"/>
    <w:uiPriority w:val="0"/>
    <w:rPr>
      <w:rFonts w:eastAsia="宋体"/>
      <w:kern w:val="2"/>
      <w:sz w:val="18"/>
      <w:szCs w:val="18"/>
      <w:lang w:val="en-US" w:eastAsia="zh-CN" w:bidi="ar-SA"/>
    </w:rPr>
  </w:style>
  <w:style w:type="character" w:customStyle="1" w:styleId="155">
    <w:name w:val="big1"/>
    <w:uiPriority w:val="0"/>
    <w:rPr>
      <w:rFonts w:hint="eastAsia" w:ascii="宋体" w:hAnsi="宋体" w:eastAsia="宋体"/>
      <w:color w:val="333333"/>
      <w:sz w:val="22"/>
      <w:szCs w:val="22"/>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样式8 Char"/>
    <w:qFormat/>
    <w:uiPriority w:val="0"/>
    <w:rPr>
      <w:rFonts w:ascii="仿宋_GB2312" w:hAnsi="宋体" w:eastAsia="仿宋_GB2312"/>
      <w:b/>
      <w:bCs/>
      <w:kern w:val="2"/>
      <w:sz w:val="24"/>
      <w:szCs w:val="24"/>
    </w:rPr>
  </w:style>
  <w:style w:type="character" w:customStyle="1" w:styleId="158">
    <w:name w:val="页脚 Char1"/>
    <w:aliases w:val="FtrF Char1"/>
    <w:uiPriority w:val="0"/>
    <w:rPr>
      <w:rFonts w:eastAsia="宋体"/>
      <w:kern w:val="2"/>
      <w:sz w:val="18"/>
      <w:szCs w:val="18"/>
      <w:lang w:val="en-US" w:eastAsia="zh-CN" w:bidi="ar-SA"/>
    </w:rPr>
  </w:style>
  <w:style w:type="character" w:customStyle="1" w:styleId="159">
    <w:name w:val="myp11"/>
    <w:uiPriority w:val="0"/>
    <w:rPr>
      <w:rFonts w:ascii="仿宋_GB2312" w:eastAsia="微软雅黑"/>
      <w:b/>
      <w:kern w:val="2"/>
      <w:sz w:val="32"/>
      <w:szCs w:val="32"/>
      <w:lang w:val="en-US" w:eastAsia="zh-CN" w:bidi="ar-SA"/>
    </w:rPr>
  </w:style>
  <w:style w:type="character" w:customStyle="1" w:styleId="160">
    <w:name w:val="正文文本 2 Char"/>
    <w:uiPriority w:val="0"/>
    <w:rPr>
      <w:rFonts w:eastAsia="宋体"/>
      <w:kern w:val="2"/>
      <w:sz w:val="21"/>
      <w:szCs w:val="24"/>
      <w:lang w:val="en-US" w:eastAsia="zh-CN" w:bidi="ar-SA"/>
    </w:rPr>
  </w:style>
  <w:style w:type="character" w:customStyle="1" w:styleId="161">
    <w:name w:val="tw4winTerm"/>
    <w:qFormat/>
    <w:uiPriority w:val="0"/>
    <w:rPr>
      <w:color w:val="0000FF"/>
    </w:rPr>
  </w:style>
  <w:style w:type="character" w:customStyle="1" w:styleId="162">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63">
    <w:name w:val="hei16b1"/>
    <w:uiPriority w:val="0"/>
    <w:rPr>
      <w:rFonts w:hint="default" w:ascii="Arial" w:hAnsi="Arial" w:cs="Arial"/>
      <w:b/>
      <w:bCs/>
      <w:color w:val="000000"/>
      <w:sz w:val="24"/>
      <w:szCs w:val="24"/>
    </w:rPr>
  </w:style>
  <w:style w:type="character" w:customStyle="1" w:styleId="164">
    <w:name w:val="Heading 7 Char"/>
    <w:qFormat/>
    <w:locked/>
    <w:uiPriority w:val="0"/>
    <w:rPr>
      <w:rFonts w:ascii="宋体" w:hAnsi="宋体" w:eastAsia="宋体"/>
      <w:b/>
      <w:bCs/>
      <w:kern w:val="2"/>
      <w:sz w:val="24"/>
      <w:szCs w:val="24"/>
      <w:lang w:val="en-US" w:eastAsia="zh-CN" w:bidi="ar-SA"/>
    </w:rPr>
  </w:style>
  <w:style w:type="character" w:customStyle="1" w:styleId="165">
    <w:name w:val=" Char Char6"/>
    <w:uiPriority w:val="0"/>
    <w:rPr>
      <w:rFonts w:eastAsia="宋体"/>
      <w:kern w:val="2"/>
      <w:sz w:val="21"/>
      <w:szCs w:val="24"/>
      <w:lang w:val="en-US" w:eastAsia="zh-CN" w:bidi="ar-SA"/>
    </w:rPr>
  </w:style>
  <w:style w:type="character" w:customStyle="1" w:styleId="166">
    <w:name w:val="哈哈正文 Char"/>
    <w:link w:val="167"/>
    <w:qFormat/>
    <w:uiPriority w:val="0"/>
    <w:rPr>
      <w:rFonts w:ascii="宋体" w:hAnsi="宋体" w:eastAsia="宋体"/>
      <w:kern w:val="2"/>
      <w:sz w:val="24"/>
      <w:lang w:bidi="ar-SA"/>
    </w:rPr>
  </w:style>
  <w:style w:type="paragraph" w:customStyle="1" w:styleId="167">
    <w:name w:val="哈哈正文"/>
    <w:basedOn w:val="1"/>
    <w:link w:val="166"/>
    <w:uiPriority w:val="0"/>
    <w:pPr>
      <w:adjustRightInd/>
      <w:spacing w:line="360" w:lineRule="auto"/>
      <w:ind w:firstLine="200" w:firstLineChars="200"/>
    </w:pPr>
    <w:rPr>
      <w:rFonts w:ascii="宋体" w:hAnsi="宋体"/>
      <w:sz w:val="24"/>
      <w:szCs w:val="20"/>
    </w:rPr>
  </w:style>
  <w:style w:type="character" w:customStyle="1" w:styleId="168">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6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70">
    <w:name w:val="正文2 Char"/>
    <w:qFormat/>
    <w:uiPriority w:val="0"/>
    <w:rPr>
      <w:rFonts w:eastAsia="宋体"/>
      <w:kern w:val="2"/>
      <w:sz w:val="24"/>
      <w:lang w:val="en-US" w:eastAsia="zh-CN" w:bidi="ar-SA"/>
    </w:rPr>
  </w:style>
  <w:style w:type="character" w:customStyle="1" w:styleId="171">
    <w:name w:val="Header Char"/>
    <w:qFormat/>
    <w:locked/>
    <w:uiPriority w:val="0"/>
    <w:rPr>
      <w:rFonts w:eastAsia="宋体"/>
      <w:kern w:val="2"/>
      <w:sz w:val="18"/>
      <w:szCs w:val="18"/>
      <w:lang w:val="en-US" w:eastAsia="zh-CN" w:bidi="ar-SA"/>
    </w:rPr>
  </w:style>
  <w:style w:type="character" w:customStyle="1" w:styleId="172">
    <w:name w:val="unnamed31"/>
    <w:uiPriority w:val="0"/>
    <w:rPr>
      <w:rFonts w:ascii="Tahoma" w:hAnsi="Tahoma" w:eastAsia="宋体"/>
      <w:b/>
      <w:kern w:val="2"/>
      <w:sz w:val="24"/>
      <w:szCs w:val="32"/>
      <w:u w:val="none"/>
      <w:lang w:val="en-US" w:eastAsia="zh-CN" w:bidi="ar-SA"/>
    </w:rPr>
  </w:style>
  <w:style w:type="character" w:customStyle="1" w:styleId="173">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uiPriority w:val="0"/>
    <w:rPr>
      <w:rFonts w:ascii="宋体" w:hAnsi="Courier New" w:eastAsia="宋体"/>
      <w:kern w:val="2"/>
      <w:sz w:val="21"/>
      <w:lang w:val="en-US" w:eastAsia="zh-CN" w:bidi="ar-SA"/>
    </w:rPr>
  </w:style>
  <w:style w:type="character" w:customStyle="1" w:styleId="174">
    <w:name w:val="Body Text(ch) Char Char"/>
    <w:uiPriority w:val="0"/>
    <w:rPr>
      <w:rFonts w:ascii="宋体"/>
      <w:kern w:val="2"/>
      <w:sz w:val="24"/>
      <w:szCs w:val="21"/>
      <w:lang w:val="zh-CN"/>
    </w:rPr>
  </w:style>
  <w:style w:type="character" w:customStyle="1" w:styleId="175">
    <w:name w:val="插图说明 Char"/>
    <w:uiPriority w:val="0"/>
    <w:rPr>
      <w:rFonts w:eastAsia="黑体"/>
      <w:sz w:val="24"/>
      <w:lang w:val="en-US" w:eastAsia="zh-CN"/>
    </w:rPr>
  </w:style>
  <w:style w:type="character" w:customStyle="1" w:styleId="176">
    <w:name w:val="tw4winExternal"/>
    <w:qFormat/>
    <w:uiPriority w:val="0"/>
    <w:rPr>
      <w:rFonts w:ascii="Courier New" w:hAnsi="Courier New" w:cs="Courier New"/>
      <w:color w:val="808080"/>
      <w:lang/>
    </w:rPr>
  </w:style>
  <w:style w:type="character" w:customStyle="1" w:styleId="177">
    <w:name w:val="font21"/>
    <w:uiPriority w:val="0"/>
    <w:rPr>
      <w:rFonts w:hint="eastAsia" w:ascii="宋体" w:hAnsi="宋体" w:eastAsia="宋体"/>
      <w:kern w:val="2"/>
      <w:sz w:val="28"/>
      <w:szCs w:val="28"/>
      <w:lang w:val="en-US" w:eastAsia="zh-CN" w:bidi="ar-SA"/>
    </w:rPr>
  </w:style>
  <w:style w:type="character" w:customStyle="1" w:styleId="178">
    <w:name w:val="标书正文格式 Char"/>
    <w:uiPriority w:val="0"/>
    <w:rPr>
      <w:rFonts w:eastAsia="楷体_GB2312"/>
      <w:kern w:val="2"/>
      <w:sz w:val="24"/>
      <w:szCs w:val="24"/>
      <w:lang w:bidi="ar-SA"/>
    </w:rPr>
  </w:style>
  <w:style w:type="character" w:customStyle="1" w:styleId="179">
    <w:name w:val="javascript"/>
    <w:qFormat/>
    <w:uiPriority w:val="0"/>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mdeck"/>
    <w:qFormat/>
    <w:uiPriority w:val="0"/>
    <w:rPr>
      <w:rFonts w:ascii="仿宋_GB2312" w:eastAsia="微软雅黑"/>
      <w:b/>
      <w:kern w:val="2"/>
      <w:sz w:val="32"/>
      <w:szCs w:val="32"/>
      <w:lang w:val="en-US" w:eastAsia="zh-CN" w:bidi="ar-SA"/>
    </w:rPr>
  </w:style>
  <w:style w:type="character" w:customStyle="1" w:styleId="182">
    <w:name w:val="content"/>
    <w:qFormat/>
    <w:uiPriority w:val="0"/>
  </w:style>
  <w:style w:type="character" w:customStyle="1" w:styleId="183">
    <w:name w:val=" Char Char3"/>
    <w:uiPriority w:val="0"/>
    <w:rPr>
      <w:rFonts w:eastAsia="宋体"/>
      <w:kern w:val="2"/>
      <w:sz w:val="21"/>
      <w:szCs w:val="24"/>
      <w:lang w:val="en-US" w:eastAsia="zh-CN" w:bidi="ar-SA"/>
    </w:rPr>
  </w:style>
  <w:style w:type="character" w:customStyle="1" w:styleId="184">
    <w:name w:val="Char Char8"/>
    <w:uiPriority w:val="0"/>
    <w:rPr>
      <w:rFonts w:eastAsia="宋体"/>
      <w:b/>
      <w:sz w:val="24"/>
      <w:lang w:val="en-GB" w:eastAsia="zh-CN"/>
    </w:rPr>
  </w:style>
  <w:style w:type="character" w:customStyle="1" w:styleId="185">
    <w:name w:val="页眉 Char"/>
    <w:aliases w:val="页眉2 Char,Ò³Ã¼ Char,header odd Char,居中页眉 Char"/>
    <w:qFormat/>
    <w:uiPriority w:val="0"/>
    <w:rPr>
      <w:rFonts w:eastAsia="仿宋_GB2312"/>
      <w:kern w:val="2"/>
      <w:sz w:val="18"/>
      <w:lang w:val="en-US" w:eastAsia="zh-CN"/>
    </w:rPr>
  </w:style>
  <w:style w:type="character" w:customStyle="1" w:styleId="186">
    <w:name w:val="b11_01b Char"/>
    <w:link w:val="187"/>
    <w:qFormat/>
    <w:uiPriority w:val="0"/>
    <w:rPr>
      <w:rFonts w:ascii="Verdana" w:hAnsi="Verdana"/>
      <w:b/>
      <w:bCs/>
      <w:color w:val="4A82CA"/>
      <w:sz w:val="17"/>
      <w:szCs w:val="17"/>
    </w:rPr>
  </w:style>
  <w:style w:type="paragraph" w:customStyle="1" w:styleId="187">
    <w:name w:val="b11_01b"/>
    <w:basedOn w:val="1"/>
    <w:next w:val="1"/>
    <w:link w:val="186"/>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88">
    <w:name w:val="标题4-dyf Char"/>
    <w:link w:val="189"/>
    <w:qFormat/>
    <w:uiPriority w:val="0"/>
    <w:rPr>
      <w:rFonts w:ascii="Cambria" w:hAnsi="Cambria"/>
      <w:b/>
      <w:bCs/>
      <w:color w:val="000000"/>
      <w:kern w:val="2"/>
      <w:sz w:val="21"/>
      <w:szCs w:val="21"/>
    </w:rPr>
  </w:style>
  <w:style w:type="paragraph" w:customStyle="1" w:styleId="189">
    <w:name w:val="标题4-dyf"/>
    <w:basedOn w:val="5"/>
    <w:link w:val="188"/>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0">
    <w:name w:val="批注主题 Char"/>
    <w:uiPriority w:val="0"/>
    <w:rPr>
      <w:rFonts w:eastAsia="宋体"/>
      <w:b/>
      <w:bCs/>
      <w:kern w:val="2"/>
      <w:sz w:val="21"/>
      <w:szCs w:val="24"/>
      <w:lang w:val="en-US" w:eastAsia="zh-CN" w:bidi="ar-SA"/>
    </w:rPr>
  </w:style>
  <w:style w:type="character" w:customStyle="1" w:styleId="191">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92">
    <w:name w:val="标题 3 Char2"/>
    <w:aliases w:val="标题3 Char"/>
    <w:uiPriority w:val="0"/>
    <w:rPr>
      <w:rFonts w:eastAsia="宋体"/>
      <w:b/>
      <w:bCs/>
      <w:kern w:val="2"/>
      <w:sz w:val="32"/>
      <w:szCs w:val="32"/>
      <w:lang w:val="en-US" w:eastAsia="zh-CN" w:bidi="ar-SA"/>
    </w:rPr>
  </w:style>
  <w:style w:type="character" w:customStyle="1" w:styleId="193">
    <w:name w:val="gray6"/>
    <w:uiPriority w:val="0"/>
  </w:style>
  <w:style w:type="character" w:customStyle="1" w:styleId="194">
    <w:name w:val="正文首行缩进两字 Char"/>
    <w:qFormat/>
    <w:uiPriority w:val="0"/>
    <w:rPr>
      <w:sz w:val="24"/>
      <w:szCs w:val="24"/>
      <w:lang w:val="en-US" w:eastAsia="zh-CN" w:bidi="ar-SA"/>
    </w:rPr>
  </w:style>
  <w:style w:type="character" w:customStyle="1" w:styleId="195">
    <w:name w:val=" Char Char5"/>
    <w:uiPriority w:val="0"/>
    <w:rPr>
      <w:rFonts w:ascii="宋体" w:hAnsi="Courier New" w:eastAsia="宋体"/>
      <w:kern w:val="2"/>
      <w:sz w:val="21"/>
      <w:lang w:val="en-US" w:eastAsia="zh-CN"/>
    </w:rPr>
  </w:style>
  <w:style w:type="character" w:customStyle="1" w:styleId="196">
    <w:name w:val="带编号样式 Char"/>
    <w:uiPriority w:val="0"/>
    <w:rPr>
      <w:rFonts w:ascii="仿宋_GB2312" w:eastAsia="仿宋_GB2312"/>
      <w:color w:val="000000"/>
      <w:sz w:val="24"/>
      <w:lang w:bidi="ar-SA"/>
    </w:rPr>
  </w:style>
  <w:style w:type="character" w:customStyle="1" w:styleId="197">
    <w:name w:val="Footer-Even Char"/>
    <w:aliases w:val="FtrF Char Char"/>
    <w:uiPriority w:val="0"/>
    <w:rPr>
      <w:rFonts w:eastAsia="宋体"/>
      <w:kern w:val="2"/>
      <w:sz w:val="18"/>
      <w:lang w:val="en-US" w:eastAsia="zh-CN" w:bidi="ar-SA"/>
    </w:rPr>
  </w:style>
  <w:style w:type="character" w:customStyle="1" w:styleId="198">
    <w:name w:val="样式4 Char"/>
    <w:qFormat/>
    <w:uiPriority w:val="0"/>
    <w:rPr>
      <w:rFonts w:ascii="仿宋_GB2312" w:hAnsi="仿宋" w:eastAsia="仿宋_GB2312"/>
      <w:b/>
      <w:kern w:val="2"/>
      <w:sz w:val="32"/>
      <w:szCs w:val="32"/>
      <w:lang w:bidi="ar-SA"/>
    </w:rPr>
  </w:style>
  <w:style w:type="character" w:customStyle="1" w:styleId="199">
    <w:name w:val="样式 标题 4h4H4Fab-4T5Ref Heading 1rh1Heading sqlsect 1.2.3.... Char"/>
    <w:link w:val="200"/>
    <w:uiPriority w:val="0"/>
    <w:rPr>
      <w:rFonts w:ascii="微软雅黑" w:hAnsi="微软雅黑" w:eastAsia="微软雅黑"/>
      <w:b/>
      <w:bCs/>
      <w:kern w:val="2"/>
      <w:sz w:val="24"/>
      <w:szCs w:val="28"/>
    </w:rPr>
  </w:style>
  <w:style w:type="paragraph" w:customStyle="1" w:styleId="200">
    <w:name w:val="样式 标题 4h4H4Fab-4T5Ref Heading 1rh1Heading sqlsect 1.2.3...."/>
    <w:basedOn w:val="5"/>
    <w:link w:val="199"/>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1">
    <w:name w:val="dandyren_title1"/>
    <w:uiPriority w:val="0"/>
    <w:rPr>
      <w:b/>
      <w:bCs/>
      <w:color w:val="FF6633"/>
      <w:sz w:val="18"/>
      <w:szCs w:val="18"/>
    </w:rPr>
  </w:style>
  <w:style w:type="character" w:customStyle="1" w:styleId="202">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uiPriority w:val="0"/>
    <w:rPr>
      <w:rFonts w:ascii="宋体" w:hAnsi="Courier New"/>
      <w:kern w:val="2"/>
      <w:sz w:val="21"/>
    </w:rPr>
  </w:style>
  <w:style w:type="character" w:customStyle="1" w:styleId="203">
    <w:name w:val="PI Char"/>
    <w:aliases w:val="正文文字首行缩进 Char,正文文本缩进 Char Char,正文小标题 Char,正文文字3 Char Char,正文文字3 Char,正文顶格 Char Char,正文文本缩进 Char Char Char"/>
    <w:uiPriority w:val="0"/>
    <w:rPr>
      <w:rFonts w:ascii="宋体" w:hAnsi="宋体" w:eastAsia="宋体"/>
      <w:kern w:val="2"/>
      <w:sz w:val="24"/>
      <w:szCs w:val="24"/>
      <w:lang w:val="en-US" w:eastAsia="zh-CN" w:bidi="ar-SA"/>
    </w:rPr>
  </w:style>
  <w:style w:type="character" w:customStyle="1" w:styleId="204">
    <w:name w:val="Char Char11"/>
    <w:locked/>
    <w:uiPriority w:val="0"/>
    <w:rPr>
      <w:rFonts w:ascii="宋体" w:hAnsi="宋体" w:eastAsia="宋体"/>
      <w:b/>
      <w:kern w:val="2"/>
      <w:sz w:val="24"/>
      <w:szCs w:val="24"/>
      <w:lang w:val="en-US" w:eastAsia="zh-CN" w:bidi="ar-SA"/>
    </w:rPr>
  </w:style>
  <w:style w:type="character" w:customStyle="1" w:styleId="205">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06">
    <w:name w:val="Document Map Char"/>
    <w:qFormat/>
    <w:locked/>
    <w:uiPriority w:val="0"/>
    <w:rPr>
      <w:rFonts w:eastAsia="宋体"/>
      <w:kern w:val="2"/>
      <w:sz w:val="21"/>
      <w:szCs w:val="24"/>
      <w:lang w:val="en-US" w:eastAsia="zh-CN" w:bidi="ar-SA"/>
    </w:rPr>
  </w:style>
  <w:style w:type="character" w:customStyle="1" w:styleId="207">
    <w:name w:val="文本正文 Char Char"/>
    <w:qFormat/>
    <w:locked/>
    <w:uiPriority w:val="0"/>
    <w:rPr>
      <w:sz w:val="24"/>
      <w:lang w:bidi="ar-SA"/>
    </w:rPr>
  </w:style>
  <w:style w:type="character" w:customStyle="1" w:styleId="208">
    <w:name w:val="样式3 Char"/>
    <w:qFormat/>
    <w:uiPriority w:val="0"/>
    <w:rPr>
      <w:lang w:val="zh-CN"/>
    </w:rPr>
  </w:style>
  <w:style w:type="character" w:customStyle="1" w:styleId="209">
    <w:name w:val="Table Text Char1"/>
    <w:uiPriority w:val="0"/>
    <w:rPr>
      <w:rFonts w:eastAsia="宋体"/>
      <w:sz w:val="24"/>
      <w:szCs w:val="24"/>
      <w:lang w:val="en-US" w:eastAsia="zh-CN" w:bidi="ar-SA"/>
    </w:rPr>
  </w:style>
  <w:style w:type="character" w:customStyle="1" w:styleId="210">
    <w:name w:val="正文1 Char"/>
    <w:qFormat/>
    <w:uiPriority w:val="0"/>
    <w:rPr>
      <w:rFonts w:ascii="宋体" w:eastAsia="宋体"/>
      <w:snapToGrid w:val="0"/>
      <w:color w:val="000000"/>
      <w:kern w:val="28"/>
      <w:sz w:val="28"/>
      <w:lang w:val="en-US" w:eastAsia="zh-CN" w:bidi="ar-SA"/>
    </w:rPr>
  </w:style>
  <w:style w:type="character" w:customStyle="1" w:styleId="211">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12">
    <w:name w:val="DO_NOT_TRANSLATE"/>
    <w:uiPriority w:val="0"/>
    <w:rPr>
      <w:rFonts w:ascii="Courier New" w:hAnsi="Courier New" w:cs="Courier New"/>
      <w:color w:val="800000"/>
      <w:lang/>
    </w:rPr>
  </w:style>
  <w:style w:type="character" w:customStyle="1" w:styleId="213">
    <w:name w:val="unnamed11"/>
    <w:qFormat/>
    <w:uiPriority w:val="0"/>
    <w:rPr>
      <w:sz w:val="20"/>
      <w:szCs w:val="20"/>
    </w:rPr>
  </w:style>
  <w:style w:type="character" w:customStyle="1" w:styleId="214">
    <w:name w:val="tw4winInternal"/>
    <w:uiPriority w:val="0"/>
    <w:rPr>
      <w:rFonts w:ascii="Courier New" w:hAnsi="Courier New" w:cs="Courier New"/>
      <w:color w:val="FF0000"/>
      <w:lang/>
    </w:rPr>
  </w:style>
  <w:style w:type="character" w:customStyle="1" w:styleId="215">
    <w:name w:val="正文（缩进2汉字） Char"/>
    <w:link w:val="216"/>
    <w:uiPriority w:val="0"/>
    <w:rPr>
      <w:rFonts w:ascii="宋体"/>
    </w:rPr>
  </w:style>
  <w:style w:type="paragraph" w:customStyle="1" w:styleId="216">
    <w:name w:val="正文（缩进2汉字）"/>
    <w:basedOn w:val="1"/>
    <w:link w:val="215"/>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217">
    <w:name w:val="页脚 Char"/>
    <w:aliases w:val="Footer-Even Char2,FtrF Char"/>
    <w:uiPriority w:val="0"/>
    <w:rPr>
      <w:rFonts w:eastAsia="仿宋_GB2312"/>
      <w:kern w:val="2"/>
      <w:sz w:val="18"/>
      <w:lang w:val="en-US" w:eastAsia="zh-CN"/>
    </w:rPr>
  </w:style>
  <w:style w:type="character" w:customStyle="1" w:styleId="218">
    <w:name w:val="正文缩进 Char1"/>
    <w:aliases w:val="正文对齐 Char,bt4 Char"/>
    <w:qFormat/>
    <w:uiPriority w:val="0"/>
    <w:rPr>
      <w:rFonts w:ascii="宋体" w:eastAsia="宋体"/>
      <w:snapToGrid w:val="0"/>
      <w:color w:val="000000"/>
      <w:kern w:val="28"/>
      <w:sz w:val="28"/>
      <w:lang w:val="en-US" w:eastAsia="zh-CN" w:bidi="ar-SA"/>
    </w:rPr>
  </w:style>
  <w:style w:type="character" w:customStyle="1" w:styleId="219">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220">
    <w:name w:val="style36"/>
    <w:qFormat/>
    <w:uiPriority w:val="0"/>
  </w:style>
  <w:style w:type="character" w:customStyle="1" w:styleId="221">
    <w:name w:val="hui3"/>
    <w:qFormat/>
    <w:uiPriority w:val="0"/>
    <w:rPr>
      <w:color w:val="333333"/>
    </w:rPr>
  </w:style>
  <w:style w:type="character" w:customStyle="1" w:styleId="222">
    <w:name w:val="方案正文 Char"/>
    <w:uiPriority w:val="0"/>
    <w:rPr>
      <w:rFonts w:ascii="仿宋_GB2312" w:eastAsia="仿宋_GB2312"/>
      <w:b/>
      <w:color w:val="000000"/>
      <w:kern w:val="2"/>
      <w:sz w:val="24"/>
      <w:lang w:val="en-US" w:eastAsia="zh-CN" w:bidi="ar-SA"/>
    </w:rPr>
  </w:style>
  <w:style w:type="character" w:customStyle="1" w:styleId="223">
    <w:name w:val="apple-converted-space"/>
    <w:uiPriority w:val="0"/>
  </w:style>
  <w:style w:type="character" w:customStyle="1" w:styleId="224">
    <w:name w:val="文档结构图 Char"/>
    <w:qFormat/>
    <w:uiPriority w:val="0"/>
    <w:rPr>
      <w:rFonts w:eastAsia="宋体"/>
      <w:kern w:val="2"/>
      <w:sz w:val="21"/>
      <w:szCs w:val="24"/>
      <w:lang w:val="en-US" w:eastAsia="zh-CN" w:bidi="ar-SA"/>
    </w:rPr>
  </w:style>
  <w:style w:type="character" w:customStyle="1" w:styleId="225">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26">
    <w:name w:val="dectext1"/>
    <w:uiPriority w:val="0"/>
    <w:rPr>
      <w:rFonts w:ascii="宋体" w:hAnsi="宋体" w:eastAsia="宋体"/>
      <w:color w:val="333333"/>
      <w:sz w:val="21"/>
      <w:szCs w:val="21"/>
      <w:u w:val="none"/>
    </w:rPr>
  </w:style>
  <w:style w:type="character" w:customStyle="1" w:styleId="227">
    <w:name w:val="t21"/>
    <w:uiPriority w:val="0"/>
    <w:rPr>
      <w:rFonts w:ascii="仿宋_GB2312" w:eastAsia="微软雅黑"/>
      <w:b/>
      <w:kern w:val="2"/>
      <w:sz w:val="23"/>
      <w:szCs w:val="23"/>
      <w:lang w:val="en-US" w:eastAsia="zh-CN" w:bidi="ar-SA"/>
    </w:rPr>
  </w:style>
  <w:style w:type="character" w:customStyle="1" w:styleId="228">
    <w:name w:val="副标题 Char1"/>
    <w:uiPriority w:val="0"/>
    <w:rPr>
      <w:rFonts w:ascii="Cambria" w:hAnsi="Cambria" w:eastAsia="宋体" w:cs="Times New Roman"/>
      <w:b/>
      <w:bCs/>
      <w:snapToGrid w:val="0"/>
      <w:kern w:val="28"/>
      <w:sz w:val="32"/>
      <w:szCs w:val="32"/>
    </w:rPr>
  </w:style>
  <w:style w:type="character" w:customStyle="1" w:styleId="229">
    <w:name w:val="px14"/>
    <w:qFormat/>
    <w:uiPriority w:val="0"/>
    <w:rPr>
      <w:rFonts w:ascii="仿宋_GB2312" w:eastAsia="微软雅黑" w:cs="Times New Roman"/>
      <w:b/>
      <w:kern w:val="2"/>
      <w:sz w:val="32"/>
      <w:szCs w:val="32"/>
      <w:lang w:val="en-US" w:eastAsia="zh-CN" w:bidi="ar-SA"/>
    </w:rPr>
  </w:style>
  <w:style w:type="character" w:customStyle="1" w:styleId="230">
    <w:name w:val="Normal Indent Char Char"/>
    <w:aliases w:val="Normal Indent Char1 Char Char,Normal Indent Char Char Char Char,Normal Indent Char1 Char Char Char Char,Normal Indent Char Char Char Char Char Char,Normal Indent Char1 Char Char Char Char Char Char,特点 Char Char Char"/>
    <w:qFormat/>
    <w:uiPriority w:val="0"/>
    <w:rPr>
      <w:rFonts w:eastAsia="宋体"/>
      <w:kern w:val="2"/>
      <w:sz w:val="21"/>
      <w:lang w:val="en-US" w:eastAsia="zh-CN" w:bidi="ar-SA"/>
    </w:rPr>
  </w:style>
  <w:style w:type="character" w:customStyle="1" w:styleId="231">
    <w:name w:val="f141"/>
    <w:uiPriority w:val="0"/>
    <w:rPr>
      <w:rFonts w:ascii="Tahoma" w:hAnsi="Tahoma" w:eastAsia="宋体"/>
      <w:b/>
      <w:kern w:val="2"/>
      <w:sz w:val="21"/>
      <w:szCs w:val="21"/>
      <w:lang w:val="en-US" w:eastAsia="zh-CN" w:bidi="ar-SA"/>
    </w:rPr>
  </w:style>
  <w:style w:type="character" w:customStyle="1" w:styleId="232">
    <w:name w:val="myp1111"/>
    <w:uiPriority w:val="0"/>
    <w:rPr>
      <w:rFonts w:hint="default" w:ascii="ˎ̥" w:hAnsi="ˎ̥"/>
      <w:color w:val="000000"/>
      <w:sz w:val="20"/>
      <w:szCs w:val="20"/>
      <w:u w:val="none"/>
    </w:rPr>
  </w:style>
  <w:style w:type="character" w:customStyle="1" w:styleId="233">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234">
    <w:name w:val="链接"/>
    <w:uiPriority w:val="0"/>
    <w:rPr>
      <w:color w:val="0000FF"/>
      <w:sz w:val="21"/>
      <w:szCs w:val="21"/>
      <w:u w:val="single"/>
    </w:rPr>
  </w:style>
  <w:style w:type="character" w:customStyle="1" w:styleId="235">
    <w:name w:val="正文首行缩进 Char Char Char Char Char Char"/>
    <w:uiPriority w:val="0"/>
    <w:rPr>
      <w:rFonts w:ascii="宋体" w:eastAsia="宋体"/>
      <w:kern w:val="2"/>
      <w:sz w:val="24"/>
      <w:lang w:val="zh-CN" w:bidi="ar-SA"/>
    </w:rPr>
  </w:style>
  <w:style w:type="character" w:customStyle="1" w:styleId="236">
    <w:name w:val="正文2 Char Char"/>
    <w:link w:val="237"/>
    <w:qFormat/>
    <w:uiPriority w:val="0"/>
    <w:rPr>
      <w:rFonts w:eastAsia="宋体"/>
      <w:kern w:val="2"/>
      <w:sz w:val="24"/>
      <w:lang w:val="en-US" w:eastAsia="zh-CN" w:bidi="ar-SA"/>
    </w:rPr>
  </w:style>
  <w:style w:type="paragraph" w:customStyle="1" w:styleId="237">
    <w:name w:val="正文2"/>
    <w:basedOn w:val="1"/>
    <w:link w:val="236"/>
    <w:qFormat/>
    <w:uiPriority w:val="0"/>
    <w:pPr>
      <w:spacing w:before="156" w:beforeLines="0" w:line="360" w:lineRule="auto"/>
      <w:ind w:firstLine="510" w:firstLineChars="200"/>
    </w:pPr>
    <w:rPr>
      <w:sz w:val="24"/>
      <w:szCs w:val="20"/>
    </w:rPr>
  </w:style>
  <w:style w:type="character" w:customStyle="1" w:styleId="238">
    <w:name w:val="tw4winError"/>
    <w:uiPriority w:val="0"/>
    <w:rPr>
      <w:rFonts w:ascii="Courier New" w:hAnsi="Courier New" w:cs="Courier New"/>
      <w:color w:val="00FF00"/>
      <w:sz w:val="40"/>
      <w:szCs w:val="40"/>
    </w:rPr>
  </w:style>
  <w:style w:type="character" w:customStyle="1" w:styleId="239">
    <w:name w:val="正文1 Char1"/>
    <w:uiPriority w:val="0"/>
    <w:rPr>
      <w:rFonts w:ascii="仿宋_GB2312" w:hAnsi="Courier New" w:eastAsia="仿宋_GB2312"/>
      <w:kern w:val="28"/>
      <w:sz w:val="24"/>
      <w:szCs w:val="24"/>
      <w:lang/>
    </w:rPr>
  </w:style>
  <w:style w:type="character" w:customStyle="1" w:styleId="240">
    <w:name w:val="Used by Word for text of Help footnotes Char Char"/>
    <w:qFormat/>
    <w:uiPriority w:val="0"/>
    <w:rPr>
      <w:rFonts w:ascii="Times New Roman" w:hAnsi="Times New Roman" w:eastAsia="宋体" w:cs="Times New Roman"/>
      <w:sz w:val="20"/>
      <w:szCs w:val="20"/>
    </w:rPr>
  </w:style>
  <w:style w:type="character" w:customStyle="1" w:styleId="241">
    <w:name w:val="c7 style3"/>
    <w:qFormat/>
    <w:uiPriority w:val="0"/>
  </w:style>
  <w:style w:type="character" w:customStyle="1" w:styleId="242">
    <w:name w:val="Char Char3"/>
    <w:qFormat/>
    <w:uiPriority w:val="0"/>
    <w:rPr>
      <w:rFonts w:ascii="Times New Roman" w:hAnsi="Times New Roman" w:eastAsia="宋体" w:cs="Times New Roman"/>
      <w:b/>
      <w:kern w:val="2"/>
      <w:sz w:val="32"/>
      <w:szCs w:val="24"/>
      <w:lang w:val="en-US" w:eastAsia="zh-CN" w:bidi="ar-SA"/>
    </w:rPr>
  </w:style>
  <w:style w:type="character" w:customStyle="1" w:styleId="243">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44">
    <w:name w:val="普通文字 Char1 Char"/>
    <w:qFormat/>
    <w:uiPriority w:val="0"/>
    <w:rPr>
      <w:rFonts w:ascii="宋体" w:hAnsi="Courier New" w:eastAsia="宋体"/>
      <w:kern w:val="2"/>
      <w:sz w:val="21"/>
      <w:szCs w:val="24"/>
      <w:lang w:val="en-US" w:eastAsia="zh-CN" w:bidi="ar-SA"/>
    </w:rPr>
  </w:style>
  <w:style w:type="character" w:customStyle="1" w:styleId="245">
    <w:name w:val="pt9"/>
    <w:qFormat/>
    <w:uiPriority w:val="0"/>
    <w:rPr>
      <w:rFonts w:ascii="仿宋_GB2312" w:eastAsia="微软雅黑"/>
      <w:b/>
      <w:kern w:val="2"/>
      <w:sz w:val="32"/>
      <w:szCs w:val="32"/>
      <w:lang w:val="en-US" w:eastAsia="zh-CN" w:bidi="ar-SA"/>
    </w:rPr>
  </w:style>
  <w:style w:type="character" w:customStyle="1" w:styleId="246">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47">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uiPriority w:val="0"/>
    <w:rPr>
      <w:rFonts w:ascii="宋体" w:eastAsia="宋体"/>
      <w:snapToGrid w:val="0"/>
      <w:color w:val="000000"/>
      <w:kern w:val="28"/>
      <w:sz w:val="28"/>
      <w:lang w:val="en-US" w:eastAsia="zh-CN" w:bidi="ar-SA"/>
    </w:rPr>
  </w:style>
  <w:style w:type="character" w:customStyle="1" w:styleId="248">
    <w:name w:val="冯广丽 Char"/>
    <w:link w:val="249"/>
    <w:uiPriority w:val="0"/>
    <w:rPr>
      <w:rFonts w:ascii="宋体" w:hAnsi="宋体"/>
      <w:kern w:val="2"/>
      <w:sz w:val="24"/>
      <w:szCs w:val="22"/>
    </w:rPr>
  </w:style>
  <w:style w:type="paragraph" w:customStyle="1" w:styleId="249">
    <w:name w:val="冯广丽"/>
    <w:basedOn w:val="1"/>
    <w:link w:val="248"/>
    <w:qFormat/>
    <w:uiPriority w:val="0"/>
    <w:pPr>
      <w:adjustRightInd/>
      <w:spacing w:line="360" w:lineRule="auto"/>
      <w:ind w:firstLine="480" w:firstLineChars="200"/>
    </w:pPr>
    <w:rPr>
      <w:rFonts w:ascii="宋体" w:hAnsi="宋体"/>
      <w:sz w:val="24"/>
      <w:szCs w:val="22"/>
    </w:rPr>
  </w:style>
  <w:style w:type="character" w:customStyle="1" w:styleId="250">
    <w:name w:val="large1"/>
    <w:qFormat/>
    <w:uiPriority w:val="0"/>
    <w:rPr>
      <w:rFonts w:hint="eastAsia" w:ascii="宋体" w:hAnsi="宋体" w:eastAsia="宋体"/>
      <w:sz w:val="21"/>
      <w:szCs w:val="21"/>
    </w:rPr>
  </w:style>
  <w:style w:type="character" w:customStyle="1" w:styleId="251">
    <w:name w:val="样式 样式 标题 4h4H4Fab-4T5Ref Heading 1rh1Heading sqlsect 1.2.3.... +... Char"/>
    <w:link w:val="252"/>
    <w:uiPriority w:val="0"/>
    <w:rPr>
      <w:rFonts w:ascii="微软雅黑" w:hAnsi="微软雅黑" w:eastAsia="微软雅黑"/>
      <w:b/>
      <w:bCs/>
      <w:kern w:val="2"/>
      <w:sz w:val="24"/>
      <w:szCs w:val="28"/>
    </w:rPr>
  </w:style>
  <w:style w:type="paragraph" w:customStyle="1" w:styleId="252">
    <w:name w:val="样式 样式 标题 4h4H4Fab-4T5Ref Heading 1rh1Heading sqlsect 1.2.3.... +..."/>
    <w:basedOn w:val="200"/>
    <w:link w:val="251"/>
    <w:uiPriority w:val="0"/>
  </w:style>
  <w:style w:type="character" w:customStyle="1" w:styleId="253">
    <w:name w:val="标题 1 Char Char"/>
    <w:qFormat/>
    <w:uiPriority w:val="0"/>
    <w:rPr>
      <w:rFonts w:hint="eastAsia" w:ascii="宋体" w:hAnsi="宋体" w:eastAsia="宋体"/>
      <w:b/>
      <w:spacing w:val="-2"/>
      <w:sz w:val="24"/>
      <w:lang w:val="en-US" w:eastAsia="zh-CN" w:bidi="ar-SA"/>
    </w:rPr>
  </w:style>
  <w:style w:type="character" w:customStyle="1" w:styleId="254">
    <w:name w:val="标题 4 Char1"/>
    <w:qFormat/>
    <w:uiPriority w:val="9"/>
    <w:rPr>
      <w:rFonts w:ascii="Cambria" w:hAnsi="Cambria" w:eastAsia="宋体" w:cs="Times New Roman"/>
      <w:b/>
      <w:bCs/>
      <w:kern w:val="2"/>
      <w:sz w:val="28"/>
      <w:szCs w:val="28"/>
    </w:rPr>
  </w:style>
  <w:style w:type="character" w:customStyle="1" w:styleId="255">
    <w:name w:val="zbggmain style9"/>
    <w:uiPriority w:val="0"/>
  </w:style>
  <w:style w:type="character" w:customStyle="1" w:styleId="256">
    <w:name w:val="tw4winMark"/>
    <w:uiPriority w:val="0"/>
    <w:rPr>
      <w:rFonts w:ascii="Courier New" w:hAnsi="Courier New" w:cs="Courier New"/>
      <w:vanish/>
      <w:color w:val="800080"/>
      <w:sz w:val="24"/>
      <w:szCs w:val="24"/>
      <w:vertAlign w:val="subscript"/>
    </w:rPr>
  </w:style>
  <w:style w:type="character" w:customStyle="1" w:styleId="257">
    <w:name w:val="tw4winPopup"/>
    <w:uiPriority w:val="0"/>
    <w:rPr>
      <w:rFonts w:ascii="Courier New" w:hAnsi="Courier New" w:cs="Courier New"/>
      <w:color w:val="008000"/>
      <w:lang/>
    </w:rPr>
  </w:style>
  <w:style w:type="character" w:customStyle="1" w:styleId="258">
    <w:name w:val="样式 宋体"/>
    <w:uiPriority w:val="0"/>
    <w:rPr>
      <w:rFonts w:ascii="宋体" w:hAnsi="宋体"/>
      <w:sz w:val="24"/>
    </w:rPr>
  </w:style>
  <w:style w:type="character" w:customStyle="1" w:styleId="259">
    <w:name w:val="标题 Char"/>
    <w:uiPriority w:val="0"/>
    <w:rPr>
      <w:rFonts w:eastAsia="宋体"/>
      <w:b/>
      <w:sz w:val="24"/>
      <w:lang w:val="en-GB" w:eastAsia="zh-CN" w:bidi="ar-SA"/>
    </w:rPr>
  </w:style>
  <w:style w:type="character" w:customStyle="1" w:styleId="260">
    <w:name w:val="正文 编号 Char"/>
    <w:qFormat/>
    <w:uiPriority w:val="0"/>
    <w:rPr>
      <w:rFonts w:ascii="仿宋_GB2312" w:hAnsi="仿宋_GB2312" w:eastAsia="仿宋_GB2312"/>
      <w:kern w:val="2"/>
      <w:sz w:val="24"/>
      <w:lang w:bidi="ar-SA"/>
    </w:rPr>
  </w:style>
  <w:style w:type="character" w:customStyle="1" w:styleId="261">
    <w:name w:val="公文正文 Char"/>
    <w:uiPriority w:val="0"/>
    <w:rPr>
      <w:rFonts w:ascii="仿宋_GB2312" w:eastAsia="仿宋_GB2312"/>
      <w:kern w:val="2"/>
      <w:sz w:val="24"/>
      <w:szCs w:val="24"/>
      <w:lang w:val="en-US" w:eastAsia="zh-CN" w:bidi="ar-SA"/>
    </w:rPr>
  </w:style>
  <w:style w:type="character" w:customStyle="1" w:styleId="262">
    <w:name w:val="Footer Char"/>
    <w:qFormat/>
    <w:locked/>
    <w:uiPriority w:val="0"/>
    <w:rPr>
      <w:rFonts w:eastAsia="宋体"/>
      <w:kern w:val="2"/>
      <w:sz w:val="18"/>
      <w:lang w:val="en-US" w:eastAsia="zh-CN" w:bidi="ar-SA"/>
    </w:rPr>
  </w:style>
  <w:style w:type="character" w:customStyle="1" w:styleId="263">
    <w:name w:val="标题 2 Char"/>
    <w:aliases w:val="标题 2-1 Char Char,Header 2 Char,Heading2 Char,L1 Heading 2 Char,H21 Char,sect 1.21 Char,H22 Char,sect 1.22 Char,H211 Char,sect 1.211 Char,H23 Char,sect 1.23 Char,H212 Char,sect 1.212 Char,H24 Char,sect 1.24 Char,H213 Char,sect 1.213 Char,H2 Cha"/>
    <w:uiPriority w:val="0"/>
    <w:rPr>
      <w:rFonts w:ascii="Arial" w:hAnsi="Arial" w:eastAsia="黑体"/>
      <w:b/>
      <w:kern w:val="2"/>
      <w:sz w:val="32"/>
      <w:lang w:val="en-US" w:eastAsia="zh-CN"/>
    </w:rPr>
  </w:style>
  <w:style w:type="character" w:customStyle="1" w:styleId="264">
    <w:name w:val=" Char Char4"/>
    <w:uiPriority w:val="0"/>
    <w:rPr>
      <w:rFonts w:eastAsia="宋体"/>
      <w:b/>
      <w:sz w:val="24"/>
      <w:lang w:val="en-GB" w:eastAsia="zh-CN" w:bidi="ar-SA"/>
    </w:rPr>
  </w:style>
  <w:style w:type="character" w:customStyle="1" w:styleId="265">
    <w:name w:val=" Char Char9"/>
    <w:uiPriority w:val="0"/>
    <w:rPr>
      <w:rFonts w:eastAsia="宋体"/>
      <w:kern w:val="2"/>
      <w:sz w:val="18"/>
      <w:szCs w:val="18"/>
      <w:lang w:val="en-US" w:eastAsia="zh-CN" w:bidi="ar-SA"/>
    </w:rPr>
  </w:style>
  <w:style w:type="character" w:customStyle="1" w:styleId="266">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qFormat/>
    <w:uiPriority w:val="34"/>
    <w:rPr>
      <w:rFonts w:eastAsia="楷体_GB2312" w:cs="Lucida Sans"/>
      <w:kern w:val="2"/>
      <w:sz w:val="24"/>
      <w:szCs w:val="24"/>
      <w:lang w:val="en-US" w:eastAsia="zh-CN" w:bidi="ar-SA"/>
    </w:rPr>
  </w:style>
  <w:style w:type="character" w:customStyle="1" w:styleId="267">
    <w:name w:val="gf正文1 Char"/>
    <w:qFormat/>
    <w:uiPriority w:val="0"/>
    <w:rPr>
      <w:rFonts w:ascii="宋体" w:hAnsi="宋体" w:eastAsia="宋体" w:cs="宋体"/>
      <w:kern w:val="2"/>
      <w:sz w:val="24"/>
      <w:szCs w:val="24"/>
      <w:lang w:val="en-US" w:eastAsia="zh-CN" w:bidi="ar-SA"/>
    </w:rPr>
  </w:style>
  <w:style w:type="character" w:customStyle="1" w:styleId="268">
    <w:name w:val="标书表格字体格式 Char"/>
    <w:uiPriority w:val="0"/>
    <w:rPr>
      <w:kern w:val="2"/>
      <w:sz w:val="21"/>
      <w:szCs w:val="24"/>
      <w:lang w:bidi="ar-SA"/>
    </w:rPr>
  </w:style>
  <w:style w:type="character" w:customStyle="1" w:styleId="269">
    <w:name w:val="样式6 Char"/>
    <w:uiPriority w:val="0"/>
    <w:rPr>
      <w:rFonts w:ascii="仿宋_GB2312" w:hAnsi="宋体" w:eastAsia="仿宋_GB2312"/>
      <w:b/>
      <w:bCs/>
      <w:kern w:val="2"/>
      <w:sz w:val="24"/>
      <w:szCs w:val="24"/>
      <w:lang w:val="en-US" w:eastAsia="zh-CN" w:bidi="ar-SA"/>
    </w:rPr>
  </w:style>
  <w:style w:type="character" w:customStyle="1" w:styleId="270">
    <w:name w:val="冯 Char"/>
    <w:link w:val="271"/>
    <w:uiPriority w:val="0"/>
    <w:rPr>
      <w:rFonts w:ascii="宋体" w:hAnsi="宋体"/>
      <w:color w:val="000000"/>
      <w:sz w:val="24"/>
      <w:szCs w:val="24"/>
    </w:rPr>
  </w:style>
  <w:style w:type="paragraph" w:customStyle="1" w:styleId="271">
    <w:name w:val="冯"/>
    <w:basedOn w:val="1"/>
    <w:link w:val="270"/>
    <w:qFormat/>
    <w:uiPriority w:val="0"/>
    <w:pPr>
      <w:widowControl/>
      <w:adjustRightInd/>
      <w:spacing w:line="360" w:lineRule="auto"/>
      <w:ind w:firstLine="480" w:firstLineChars="200"/>
    </w:pPr>
    <w:rPr>
      <w:rFonts w:ascii="宋体" w:hAnsi="宋体"/>
      <w:color w:val="000000"/>
      <w:kern w:val="0"/>
      <w:sz w:val="24"/>
    </w:rPr>
  </w:style>
  <w:style w:type="character" w:customStyle="1" w:styleId="272">
    <w:name w:val="Ò³Ã¼ Char Char1"/>
    <w:uiPriority w:val="0"/>
    <w:rPr>
      <w:rFonts w:eastAsia="宋体"/>
      <w:kern w:val="2"/>
      <w:sz w:val="18"/>
      <w:szCs w:val="18"/>
      <w:lang w:val="en-US" w:eastAsia="zh-CN" w:bidi="ar-SA"/>
    </w:rPr>
  </w:style>
  <w:style w:type="character" w:customStyle="1" w:styleId="273">
    <w:name w:val="md"/>
    <w:qFormat/>
    <w:uiPriority w:val="0"/>
  </w:style>
  <w:style w:type="character" w:customStyle="1" w:styleId="274">
    <w:name w:val="样式5 Char"/>
    <w:uiPriority w:val="0"/>
    <w:rPr>
      <w:rFonts w:ascii="仿宋_GB2312" w:hAnsi="仿宋" w:eastAsia="仿宋_GB2312"/>
      <w:kern w:val="2"/>
      <w:sz w:val="24"/>
      <w:szCs w:val="24"/>
    </w:rPr>
  </w:style>
  <w:style w:type="character" w:customStyle="1" w:styleId="275">
    <w:name w:val="表格 Char Char"/>
    <w:qFormat/>
    <w:uiPriority w:val="0"/>
    <w:rPr>
      <w:rFonts w:ascii="宋体" w:hAnsi="宋体" w:eastAsia="宋体"/>
      <w:lang w:bidi="ar-SA"/>
    </w:rPr>
  </w:style>
  <w:style w:type="character" w:customStyle="1" w:styleId="276">
    <w:name w:val="font12gray1"/>
    <w:qFormat/>
    <w:uiPriority w:val="0"/>
    <w:rPr>
      <w:rFonts w:ascii="仿宋_GB2312" w:eastAsia="微软雅黑"/>
      <w:b/>
      <w:spacing w:val="300"/>
      <w:kern w:val="2"/>
      <w:sz w:val="18"/>
      <w:szCs w:val="18"/>
      <w:lang w:val="en-US" w:eastAsia="zh-CN" w:bidi="ar-SA"/>
    </w:rPr>
  </w:style>
  <w:style w:type="character" w:customStyle="1" w:styleId="277">
    <w:name w:val="txt"/>
    <w:qFormat/>
    <w:uiPriority w:val="0"/>
    <w:rPr>
      <w:rFonts w:ascii="仿宋_GB2312" w:eastAsia="微软雅黑"/>
      <w:b/>
      <w:kern w:val="2"/>
      <w:sz w:val="32"/>
      <w:szCs w:val="32"/>
      <w:lang w:val="en-US" w:eastAsia="zh-CN" w:bidi="ar-SA"/>
    </w:rPr>
  </w:style>
  <w:style w:type="character" w:customStyle="1" w:styleId="278">
    <w:name w:val="tw4winJump"/>
    <w:qFormat/>
    <w:uiPriority w:val="0"/>
    <w:rPr>
      <w:rFonts w:ascii="Courier New" w:hAnsi="Courier New" w:cs="Courier New"/>
      <w:color w:val="008080"/>
      <w:lang/>
    </w:rPr>
  </w:style>
  <w:style w:type="character" w:customStyle="1" w:styleId="279">
    <w:name w:val="Item List Char"/>
    <w:link w:val="280"/>
    <w:uiPriority w:val="0"/>
    <w:rPr>
      <w:rFonts w:ascii="Arial"/>
      <w:bCs/>
      <w:sz w:val="21"/>
      <w:szCs w:val="21"/>
      <w:lang w:val="en-US" w:eastAsia="zh-CN" w:bidi="ar-SA"/>
    </w:rPr>
  </w:style>
  <w:style w:type="paragraph" w:customStyle="1" w:styleId="280">
    <w:name w:val="Item List"/>
    <w:link w:val="279"/>
    <w:uiPriority w:val="0"/>
    <w:pPr>
      <w:spacing w:after="156" w:line="360" w:lineRule="auto"/>
      <w:ind w:firstLine="424" w:firstLineChars="202"/>
      <w:jc w:val="both"/>
    </w:pPr>
    <w:rPr>
      <w:rFonts w:ascii="Arial"/>
      <w:bCs/>
      <w:sz w:val="21"/>
      <w:szCs w:val="21"/>
      <w:lang w:val="en-US" w:eastAsia="zh-CN" w:bidi="ar-SA"/>
    </w:rPr>
  </w:style>
  <w:style w:type="character" w:customStyle="1" w:styleId="281">
    <w:name w:val="Char Char12"/>
    <w:qFormat/>
    <w:uiPriority w:val="0"/>
    <w:rPr>
      <w:rFonts w:ascii="仿宋_GB2312" w:eastAsia="仿宋_GB2312"/>
      <w:b/>
      <w:bCs/>
      <w:kern w:val="2"/>
      <w:sz w:val="24"/>
      <w:szCs w:val="24"/>
      <w:lang w:val="zh-CN" w:eastAsia="zh-CN" w:bidi="ar-SA"/>
    </w:rPr>
  </w:style>
  <w:style w:type="character" w:customStyle="1" w:styleId="282">
    <w:name w:val="公文正文 Char Char"/>
    <w:link w:val="283"/>
    <w:uiPriority w:val="0"/>
    <w:rPr>
      <w:rFonts w:ascii="仿宋_GB2312" w:eastAsia="仿宋_GB2312"/>
      <w:kern w:val="2"/>
      <w:sz w:val="24"/>
      <w:szCs w:val="24"/>
    </w:rPr>
  </w:style>
  <w:style w:type="paragraph" w:customStyle="1" w:styleId="283">
    <w:name w:val="公文正文"/>
    <w:basedOn w:val="1"/>
    <w:link w:val="282"/>
    <w:uiPriority w:val="0"/>
    <w:pPr>
      <w:adjustRightInd/>
      <w:spacing w:before="156" w:beforeLines="0" w:line="360" w:lineRule="auto"/>
      <w:ind w:firstLine="360" w:firstLineChars="200"/>
    </w:pPr>
    <w:rPr>
      <w:rFonts w:ascii="仿宋_GB2312" w:eastAsia="仿宋_GB2312"/>
      <w:sz w:val="24"/>
    </w:rPr>
  </w:style>
  <w:style w:type="character" w:customStyle="1" w:styleId="284">
    <w:name w:val="Default Char"/>
    <w:link w:val="285"/>
    <w:uiPriority w:val="0"/>
    <w:rPr>
      <w:rFonts w:ascii="仿宋_GB2312" w:eastAsia="仿宋_GB2312"/>
      <w:color w:val="000000"/>
      <w:sz w:val="24"/>
      <w:szCs w:val="24"/>
      <w:lang w:val="en-US" w:eastAsia="zh-CN" w:bidi="ar-SA"/>
    </w:rPr>
  </w:style>
  <w:style w:type="paragraph" w:customStyle="1" w:styleId="285">
    <w:name w:val="Default"/>
    <w:link w:val="284"/>
    <w:qFormat/>
    <w:uiPriority w:val="0"/>
    <w:pPr>
      <w:widowControl w:val="0"/>
      <w:autoSpaceDE w:val="0"/>
      <w:autoSpaceDN w:val="0"/>
      <w:adjustRightInd w:val="0"/>
    </w:pPr>
    <w:rPr>
      <w:rFonts w:ascii="仿宋_GB2312" w:eastAsia="仿宋_GB2312"/>
      <w:color w:val="000000"/>
      <w:sz w:val="24"/>
      <w:szCs w:val="24"/>
      <w:lang w:val="en-US" w:eastAsia="zh-CN" w:bidi="ar-SA"/>
    </w:rPr>
  </w:style>
  <w:style w:type="character" w:customStyle="1" w:styleId="286">
    <w:name w:val="Table Text Char"/>
    <w:link w:val="287"/>
    <w:uiPriority w:val="0"/>
    <w:rPr>
      <w:sz w:val="24"/>
      <w:szCs w:val="24"/>
    </w:rPr>
  </w:style>
  <w:style w:type="paragraph" w:customStyle="1" w:styleId="287">
    <w:name w:val="Table Text"/>
    <w:basedOn w:val="1"/>
    <w:link w:val="286"/>
    <w:qFormat/>
    <w:uiPriority w:val="0"/>
    <w:pPr>
      <w:widowControl/>
      <w:spacing w:before="60" w:beforeLines="0" w:after="60" w:afterLines="0"/>
      <w:jc w:val="left"/>
    </w:pPr>
    <w:rPr>
      <w:kern w:val="0"/>
      <w:sz w:val="24"/>
    </w:rPr>
  </w:style>
  <w:style w:type="character" w:customStyle="1" w:styleId="288">
    <w:name w:val="正文段 Char"/>
    <w:link w:val="289"/>
    <w:uiPriority w:val="0"/>
    <w:rPr>
      <w:sz w:val="24"/>
    </w:rPr>
  </w:style>
  <w:style w:type="paragraph" w:customStyle="1" w:styleId="289">
    <w:name w:val="正文段"/>
    <w:basedOn w:val="1"/>
    <w:link w:val="288"/>
    <w:uiPriority w:val="0"/>
    <w:pPr>
      <w:widowControl/>
      <w:snapToGrid w:val="0"/>
      <w:spacing w:after="156" w:afterLines="50"/>
      <w:ind w:firstLine="200" w:firstLineChars="200"/>
    </w:pPr>
    <w:rPr>
      <w:kern w:val="0"/>
      <w:sz w:val="24"/>
      <w:szCs w:val="20"/>
    </w:rPr>
  </w:style>
  <w:style w:type="character" w:customStyle="1" w:styleId="290">
    <w:name w:val="样式 正文缩进 + 首行缩进:  2 字符 Char Char"/>
    <w:link w:val="291"/>
    <w:uiPriority w:val="0"/>
    <w:rPr>
      <w:rFonts w:cs="宋体"/>
      <w:kern w:val="2"/>
      <w:sz w:val="24"/>
    </w:rPr>
  </w:style>
  <w:style w:type="paragraph" w:customStyle="1" w:styleId="291">
    <w:name w:val="样式 正文缩进 + 首行缩进:  2 字符"/>
    <w:basedOn w:val="15"/>
    <w:link w:val="290"/>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292">
    <w:name w:val="gf正文1 Char Char"/>
    <w:link w:val="293"/>
    <w:uiPriority w:val="0"/>
    <w:rPr>
      <w:rFonts w:ascii="宋体" w:hAnsi="宋体" w:cs="宋体"/>
      <w:kern w:val="2"/>
      <w:sz w:val="24"/>
      <w:szCs w:val="24"/>
    </w:rPr>
  </w:style>
  <w:style w:type="paragraph" w:customStyle="1" w:styleId="293">
    <w:name w:val="gf正文1"/>
    <w:basedOn w:val="1"/>
    <w:link w:val="292"/>
    <w:uiPriority w:val="0"/>
    <w:pPr>
      <w:tabs>
        <w:tab w:val="left" w:pos="3240"/>
        <w:tab w:val="left" w:pos="3960"/>
      </w:tabs>
      <w:adjustRightInd w:val="0"/>
      <w:snapToGrid w:val="0"/>
      <w:spacing w:line="360" w:lineRule="auto"/>
      <w:ind w:firstLine="480" w:firstLineChars="200"/>
    </w:pPr>
    <w:rPr>
      <w:rFonts w:ascii="宋体" w:hAnsi="宋体"/>
      <w:sz w:val="24"/>
    </w:rPr>
  </w:style>
  <w:style w:type="character" w:customStyle="1" w:styleId="294">
    <w:name w:val="纯文本 Char_0"/>
    <w:link w:val="295"/>
    <w:uiPriority w:val="0"/>
    <w:rPr>
      <w:rFonts w:ascii="宋体" w:hAnsi="Courier New"/>
      <w:kern w:val="2"/>
      <w:sz w:val="21"/>
      <w:szCs w:val="21"/>
      <w:lang/>
    </w:rPr>
  </w:style>
  <w:style w:type="paragraph" w:customStyle="1" w:styleId="295">
    <w:name w:val="纯文本_0_0"/>
    <w:basedOn w:val="296"/>
    <w:link w:val="294"/>
    <w:uiPriority w:val="0"/>
    <w:rPr>
      <w:rFonts w:ascii="宋体" w:hAnsi="Courier New"/>
      <w:szCs w:val="21"/>
      <w:lang/>
    </w:rPr>
  </w:style>
  <w:style w:type="paragraph" w:customStyle="1" w:styleId="296">
    <w:name w:val="正文_1_0"/>
    <w:qFormat/>
    <w:uiPriority w:val="0"/>
    <w:pPr>
      <w:widowControl w:val="0"/>
      <w:jc w:val="both"/>
    </w:pPr>
    <w:rPr>
      <w:kern w:val="2"/>
      <w:sz w:val="21"/>
      <w:szCs w:val="24"/>
      <w:lang w:val="en-US" w:eastAsia="zh-CN" w:bidi="ar-SA"/>
    </w:rPr>
  </w:style>
  <w:style w:type="character" w:customStyle="1" w:styleId="297">
    <w:name w:val="纯文本 Char1"/>
    <w:link w:val="298"/>
    <w:qFormat/>
    <w:uiPriority w:val="0"/>
    <w:rPr>
      <w:rFonts w:ascii="宋体" w:hAnsi="Courier New"/>
    </w:rPr>
  </w:style>
  <w:style w:type="paragraph" w:customStyle="1" w:styleId="298">
    <w:name w:val="纯文本1"/>
    <w:basedOn w:val="1"/>
    <w:link w:val="297"/>
    <w:qFormat/>
    <w:uiPriority w:val="0"/>
    <w:pPr>
      <w:adjustRightInd/>
    </w:pPr>
    <w:rPr>
      <w:rFonts w:ascii="宋体" w:hAnsi="Courier New"/>
      <w:kern w:val="0"/>
      <w:sz w:val="20"/>
      <w:szCs w:val="20"/>
    </w:rPr>
  </w:style>
  <w:style w:type="character" w:customStyle="1" w:styleId="299">
    <w:name w:val="Char Char34"/>
    <w:uiPriority w:val="6"/>
    <w:rPr>
      <w:b/>
      <w:kern w:val="1"/>
      <w:sz w:val="28"/>
      <w:szCs w:val="28"/>
    </w:rPr>
  </w:style>
  <w:style w:type="character" w:customStyle="1" w:styleId="300">
    <w:name w:val="Char Char22"/>
    <w:uiPriority w:val="6"/>
    <w:rPr>
      <w:rFonts w:ascii="宋体" w:hAnsi="宋体"/>
      <w:kern w:val="1"/>
      <w:sz w:val="24"/>
      <w:szCs w:val="24"/>
    </w:rPr>
  </w:style>
  <w:style w:type="character" w:customStyle="1" w:styleId="301">
    <w:name w:val="正文首行缩进 2 Char1"/>
    <w:uiPriority w:val="0"/>
    <w:rPr>
      <w:rFonts w:ascii="Times New Roman" w:hAnsi="Times New Roman" w:eastAsia="宋体" w:cs="Times New Roman"/>
      <w:kern w:val="2"/>
      <w:sz w:val="24"/>
      <w:szCs w:val="24"/>
    </w:rPr>
  </w:style>
  <w:style w:type="character" w:customStyle="1" w:styleId="302">
    <w:name w:val="Char Char14"/>
    <w:uiPriority w:val="6"/>
    <w:rPr>
      <w:rFonts w:ascii="黑体" w:hAnsi="黑体" w:eastAsia="黑体"/>
    </w:rPr>
  </w:style>
  <w:style w:type="character" w:customStyle="1" w:styleId="303">
    <w:name w:val="Char Char61"/>
    <w:uiPriority w:val="6"/>
    <w:rPr>
      <w:rFonts w:eastAsia="宋体"/>
      <w:kern w:val="2"/>
      <w:sz w:val="21"/>
      <w:szCs w:val="24"/>
      <w:lang w:val="en-US" w:eastAsia="zh-CN" w:bidi="ar-SA"/>
    </w:rPr>
  </w:style>
  <w:style w:type="character" w:customStyle="1" w:styleId="304">
    <w:name w:val="Char Char24"/>
    <w:uiPriority w:val="6"/>
    <w:rPr>
      <w:kern w:val="1"/>
      <w:sz w:val="21"/>
    </w:rPr>
  </w:style>
  <w:style w:type="character" w:customStyle="1" w:styleId="305">
    <w:name w:val="Heading 1 Char"/>
    <w:uiPriority w:val="6"/>
    <w:rPr>
      <w:rFonts w:ascii="Times New Roman" w:hAnsi="Times New Roman" w:eastAsia="黑体" w:cs="Times New Roman"/>
      <w:b/>
      <w:kern w:val="0"/>
      <w:sz w:val="24"/>
      <w:szCs w:val="24"/>
    </w:rPr>
  </w:style>
  <w:style w:type="character" w:customStyle="1" w:styleId="306">
    <w:name w:val="Char Char19"/>
    <w:qFormat/>
    <w:uiPriority w:val="6"/>
    <w:rPr>
      <w:rFonts w:ascii="宋体" w:hAnsi="宋体"/>
      <w:i/>
      <w:sz w:val="24"/>
      <w:szCs w:val="24"/>
    </w:rPr>
  </w:style>
  <w:style w:type="character" w:customStyle="1" w:styleId="307">
    <w:name w:val="纯文本 Char2"/>
    <w:semiHidden/>
    <w:uiPriority w:val="99"/>
    <w:rPr>
      <w:rFonts w:ascii="宋体" w:hAnsi="Courier New" w:eastAsia="宋体" w:cs="Courier New"/>
    </w:rPr>
  </w:style>
  <w:style w:type="character" w:customStyle="1" w:styleId="308">
    <w:name w:val="Char Char32"/>
    <w:uiPriority w:val="6"/>
    <w:rPr>
      <w:b/>
      <w:kern w:val="1"/>
      <w:sz w:val="24"/>
      <w:szCs w:val="24"/>
    </w:rPr>
  </w:style>
  <w:style w:type="character" w:customStyle="1" w:styleId="309">
    <w:name w:val="正文文本缩进 3 Char1"/>
    <w:semiHidden/>
    <w:uiPriority w:val="99"/>
    <w:rPr>
      <w:rFonts w:ascii="Times New Roman" w:hAnsi="Times New Roman" w:eastAsia="宋体" w:cs="Times New Roman"/>
      <w:sz w:val="16"/>
      <w:szCs w:val="16"/>
    </w:rPr>
  </w:style>
  <w:style w:type="character" w:customStyle="1" w:styleId="310">
    <w:name w:val="HTML 预设格式 Char1"/>
    <w:uiPriority w:val="0"/>
    <w:rPr>
      <w:rFonts w:ascii="Courier New" w:hAnsi="Courier New" w:eastAsia="宋体" w:cs="Courier New"/>
      <w:sz w:val="20"/>
      <w:szCs w:val="20"/>
    </w:rPr>
  </w:style>
  <w:style w:type="character" w:customStyle="1" w:styleId="311">
    <w:name w:val="Char Char36"/>
    <w:uiPriority w:val="6"/>
    <w:rPr>
      <w:rFonts w:ascii="仿宋_GB2312" w:hAnsi="仿宋_GB2312" w:eastAsia="仿宋_GB2312" w:cs="Arial"/>
      <w:b/>
      <w:kern w:val="1"/>
      <w:sz w:val="32"/>
      <w:szCs w:val="32"/>
      <w:lang w:val="zh-CN" w:eastAsia="zh-CN" w:bidi="ar-SA"/>
    </w:rPr>
  </w:style>
  <w:style w:type="character" w:customStyle="1" w:styleId="312">
    <w:name w:val="Char Char101"/>
    <w:uiPriority w:val="6"/>
    <w:rPr>
      <w:rFonts w:ascii="宋体" w:hAnsi="宋体"/>
      <w:kern w:val="2"/>
      <w:sz w:val="21"/>
      <w:szCs w:val="24"/>
      <w:lang w:val="en-US" w:eastAsia="zh-CN"/>
    </w:rPr>
  </w:style>
  <w:style w:type="character" w:customStyle="1" w:styleId="313">
    <w:name w:val="正文文本 3 Char1"/>
    <w:semiHidden/>
    <w:uiPriority w:val="99"/>
    <w:rPr>
      <w:rFonts w:ascii="Times New Roman" w:hAnsi="Times New Roman" w:eastAsia="宋体" w:cs="Times New Roman"/>
      <w:sz w:val="16"/>
      <w:szCs w:val="16"/>
    </w:rPr>
  </w:style>
  <w:style w:type="character" w:customStyle="1" w:styleId="314">
    <w:name w:val="Char Char17"/>
    <w:qFormat/>
    <w:uiPriority w:val="6"/>
    <w:rPr>
      <w:rFonts w:eastAsia="仿宋_GB2312"/>
      <w:sz w:val="24"/>
    </w:rPr>
  </w:style>
  <w:style w:type="character" w:customStyle="1" w:styleId="315">
    <w:name w:val="Char Char121"/>
    <w:uiPriority w:val="6"/>
    <w:rPr>
      <w:rFonts w:ascii="仿宋_GB2312" w:eastAsia="仿宋_GB2312"/>
      <w:b/>
      <w:bCs/>
      <w:kern w:val="2"/>
      <w:sz w:val="24"/>
      <w:szCs w:val="24"/>
      <w:lang w:val="zh-CN" w:eastAsia="zh-CN" w:bidi="ar-SA"/>
    </w:rPr>
  </w:style>
  <w:style w:type="character" w:customStyle="1" w:styleId="316">
    <w:name w:val="Char Char91"/>
    <w:uiPriority w:val="0"/>
    <w:rPr>
      <w:rFonts w:eastAsia="宋体"/>
      <w:kern w:val="2"/>
      <w:sz w:val="18"/>
      <w:szCs w:val="18"/>
      <w:lang w:val="en-US" w:eastAsia="zh-CN" w:bidi="ar-SA"/>
    </w:rPr>
  </w:style>
  <w:style w:type="character" w:customStyle="1" w:styleId="317">
    <w:name w:val="param-name"/>
    <w:uiPriority w:val="99"/>
    <w:rPr>
      <w:rFonts w:ascii="Arial" w:hAnsi="Arial" w:eastAsia="黑体" w:cs="Arial"/>
      <w:snapToGrid w:val="0"/>
      <w:kern w:val="0"/>
      <w:szCs w:val="21"/>
    </w:rPr>
  </w:style>
  <w:style w:type="character" w:customStyle="1" w:styleId="318">
    <w:name w:val="Char Char31"/>
    <w:uiPriority w:val="6"/>
    <w:rPr>
      <w:rFonts w:ascii="Arial" w:hAnsi="Arial" w:eastAsia="黑体"/>
      <w:kern w:val="1"/>
      <w:sz w:val="24"/>
      <w:szCs w:val="24"/>
    </w:rPr>
  </w:style>
  <w:style w:type="character" w:customStyle="1" w:styleId="319">
    <w:name w:val="Char Char27"/>
    <w:uiPriority w:val="6"/>
    <w:rPr>
      <w:rFonts w:ascii="宋体" w:hAnsi="宋体" w:eastAsia="宋体"/>
      <w:color w:val="000000"/>
      <w:kern w:val="1"/>
      <w:sz w:val="28"/>
      <w:lang w:val="en-US" w:eastAsia="zh-CN" w:bidi="ar-SA"/>
    </w:rPr>
  </w:style>
  <w:style w:type="character" w:customStyle="1" w:styleId="320">
    <w:name w:val="称呼 Char1"/>
    <w:uiPriority w:val="0"/>
    <w:rPr>
      <w:rFonts w:ascii="Times New Roman" w:hAnsi="Times New Roman" w:eastAsia="宋体" w:cs="Times New Roman"/>
      <w:szCs w:val="24"/>
    </w:rPr>
  </w:style>
  <w:style w:type="character" w:customStyle="1" w:styleId="321">
    <w:name w:val="Char Char16"/>
    <w:uiPriority w:val="6"/>
    <w:rPr>
      <w:kern w:val="1"/>
      <w:sz w:val="18"/>
      <w:szCs w:val="18"/>
    </w:rPr>
  </w:style>
  <w:style w:type="character" w:customStyle="1" w:styleId="322">
    <w:name w:val="HTML 地址 Char1"/>
    <w:uiPriority w:val="0"/>
    <w:rPr>
      <w:rFonts w:ascii="Times New Roman" w:hAnsi="Times New Roman" w:eastAsia="宋体" w:cs="Times New Roman"/>
      <w:i/>
      <w:iCs/>
      <w:szCs w:val="24"/>
    </w:rPr>
  </w:style>
  <w:style w:type="character" w:customStyle="1" w:styleId="323">
    <w:name w:val="表格名称[858D7CFB-ED40-4347-BF05-701D383B685F]"/>
    <w:link w:val="324"/>
    <w:uiPriority w:val="0"/>
    <w:rPr>
      <w:sz w:val="32"/>
    </w:rPr>
  </w:style>
  <w:style w:type="paragraph" w:customStyle="1" w:styleId="324">
    <w:name w:val="表格名称"/>
    <w:basedOn w:val="3"/>
    <w:link w:val="323"/>
    <w:uiPriority w:val="0"/>
    <w:pPr>
      <w:numPr>
        <w:ilvl w:val="0"/>
        <w:numId w:val="0"/>
      </w:numPr>
      <w:snapToGrid w:val="0"/>
      <w:spacing w:before="240" w:after="240" w:line="240" w:lineRule="auto"/>
      <w:jc w:val="center"/>
    </w:pPr>
    <w:rPr>
      <w:rFonts w:ascii="Calibri" w:hAnsi="Calibri" w:eastAsia="宋体"/>
      <w:b w:val="0"/>
      <w:bCs w:val="0"/>
      <w:kern w:val="0"/>
      <w:szCs w:val="20"/>
    </w:rPr>
  </w:style>
  <w:style w:type="character" w:customStyle="1" w:styleId="325">
    <w:name w:val="Char Char41"/>
    <w:uiPriority w:val="0"/>
    <w:rPr>
      <w:rFonts w:eastAsia="宋体"/>
      <w:b/>
      <w:sz w:val="24"/>
      <w:lang w:val="en-GB" w:eastAsia="zh-CN" w:bidi="ar-SA"/>
    </w:rPr>
  </w:style>
  <w:style w:type="character" w:customStyle="1" w:styleId="326">
    <w:name w:val="Char Char29"/>
    <w:uiPriority w:val="6"/>
    <w:rPr>
      <w:rFonts w:ascii="Arial" w:hAnsi="Arial" w:eastAsia="微软雅黑"/>
      <w:b/>
      <w:kern w:val="1"/>
      <w:sz w:val="44"/>
      <w:szCs w:val="32"/>
      <w:lang w:val="en-US" w:eastAsia="zh-CN" w:bidi="ar-SA"/>
    </w:rPr>
  </w:style>
  <w:style w:type="character" w:customStyle="1" w:styleId="327">
    <w:name w:val="Char Char211"/>
    <w:uiPriority w:val="0"/>
    <w:rPr>
      <w:rFonts w:eastAsia="宋体"/>
      <w:b/>
      <w:bCs/>
      <w:kern w:val="2"/>
      <w:sz w:val="21"/>
      <w:szCs w:val="24"/>
      <w:lang w:val="en-US" w:eastAsia="zh-CN" w:bidi="ar-SA"/>
    </w:rPr>
  </w:style>
  <w:style w:type="character" w:customStyle="1" w:styleId="328">
    <w:name w:val="Char Char13"/>
    <w:uiPriority w:val="6"/>
    <w:rPr>
      <w:rFonts w:ascii="宋体" w:hAnsi="宋体"/>
      <w:kern w:val="1"/>
      <w:sz w:val="21"/>
      <w:szCs w:val="24"/>
    </w:rPr>
  </w:style>
  <w:style w:type="character" w:customStyle="1" w:styleId="329">
    <w:name w:val="Char Char33"/>
    <w:qFormat/>
    <w:uiPriority w:val="6"/>
    <w:rPr>
      <w:rFonts w:ascii="Arial" w:hAnsi="Arial" w:eastAsia="黑体"/>
      <w:b/>
      <w:kern w:val="1"/>
      <w:sz w:val="24"/>
      <w:szCs w:val="24"/>
    </w:rPr>
  </w:style>
  <w:style w:type="character" w:customStyle="1" w:styleId="330">
    <w:name w:val="正文说明 Char"/>
    <w:link w:val="331"/>
    <w:uiPriority w:val="0"/>
    <w:rPr>
      <w:sz w:val="24"/>
      <w:szCs w:val="24"/>
    </w:rPr>
  </w:style>
  <w:style w:type="paragraph" w:customStyle="1" w:styleId="331">
    <w:name w:val="正文说明"/>
    <w:basedOn w:val="1"/>
    <w:link w:val="330"/>
    <w:uiPriority w:val="0"/>
    <w:pPr>
      <w:adjustRightInd/>
      <w:spacing w:line="360" w:lineRule="auto"/>
    </w:pPr>
    <w:rPr>
      <w:kern w:val="0"/>
      <w:sz w:val="24"/>
    </w:rPr>
  </w:style>
  <w:style w:type="character" w:customStyle="1" w:styleId="332">
    <w:name w:val="签名 Char1"/>
    <w:uiPriority w:val="0"/>
    <w:rPr>
      <w:rFonts w:ascii="Times New Roman" w:hAnsi="Times New Roman" w:eastAsia="宋体" w:cs="Times New Roman"/>
      <w:szCs w:val="24"/>
    </w:rPr>
  </w:style>
  <w:style w:type="character" w:customStyle="1" w:styleId="333">
    <w:name w:val="Char Char7"/>
    <w:qFormat/>
    <w:uiPriority w:val="0"/>
    <w:rPr>
      <w:rFonts w:eastAsia="宋体"/>
      <w:kern w:val="2"/>
      <w:sz w:val="21"/>
      <w:szCs w:val="24"/>
      <w:lang w:val="en-US" w:eastAsia="zh-CN" w:bidi="ar-SA"/>
    </w:rPr>
  </w:style>
  <w:style w:type="character" w:customStyle="1" w:styleId="334">
    <w:name w:val="Char Char21"/>
    <w:uiPriority w:val="6"/>
    <w:rPr>
      <w:rFonts w:ascii="宋体" w:hAnsi="宋体"/>
      <w:kern w:val="1"/>
      <w:sz w:val="24"/>
      <w:szCs w:val="21"/>
      <w:lang w:val="zh-CN"/>
    </w:rPr>
  </w:style>
  <w:style w:type="character" w:customStyle="1" w:styleId="335">
    <w:name w:val="Char Char28"/>
    <w:uiPriority w:val="6"/>
    <w:rPr>
      <w:rFonts w:ascii="仿宋_GB2312" w:hAnsi="仿宋_GB2312" w:eastAsia="仿宋_GB2312"/>
      <w:kern w:val="1"/>
      <w:sz w:val="28"/>
    </w:rPr>
  </w:style>
  <w:style w:type="character" w:customStyle="1" w:styleId="336">
    <w:name w:val="Char Char30"/>
    <w:uiPriority w:val="6"/>
    <w:rPr>
      <w:rFonts w:ascii="Arial" w:hAnsi="Arial" w:eastAsia="黑体"/>
      <w:kern w:val="1"/>
      <w:sz w:val="21"/>
      <w:szCs w:val="21"/>
    </w:rPr>
  </w:style>
  <w:style w:type="character" w:customStyle="1" w:styleId="337">
    <w:name w:val="question-title2"/>
    <w:uiPriority w:val="6"/>
    <w:rPr>
      <w:rFonts w:ascii="Arial" w:hAnsi="Arial" w:eastAsia="黑体" w:cs="Arial"/>
      <w:snapToGrid w:val="0"/>
      <w:kern w:val="0"/>
      <w:szCs w:val="21"/>
    </w:rPr>
  </w:style>
  <w:style w:type="character" w:customStyle="1" w:styleId="338">
    <w:name w:val="日期 Char1"/>
    <w:semiHidden/>
    <w:uiPriority w:val="99"/>
    <w:rPr>
      <w:rFonts w:ascii="Times New Roman" w:hAnsi="Times New Roman" w:eastAsia="宋体" w:cs="Times New Roman"/>
      <w:szCs w:val="24"/>
    </w:rPr>
  </w:style>
  <w:style w:type="character" w:customStyle="1" w:styleId="339">
    <w:name w:val="Char Char20"/>
    <w:uiPriority w:val="6"/>
    <w:rPr>
      <w:kern w:val="1"/>
      <w:sz w:val="24"/>
    </w:rPr>
  </w:style>
  <w:style w:type="character" w:customStyle="1" w:styleId="340">
    <w:name w:val="脚注文本 Char1"/>
    <w:uiPriority w:val="0"/>
    <w:rPr>
      <w:rFonts w:ascii="Times New Roman" w:hAnsi="Times New Roman" w:eastAsia="宋体" w:cs="Times New Roman"/>
      <w:sz w:val="18"/>
      <w:szCs w:val="18"/>
    </w:rPr>
  </w:style>
  <w:style w:type="character" w:customStyle="1" w:styleId="341">
    <w:name w:val="Char Char311"/>
    <w:uiPriority w:val="0"/>
    <w:rPr>
      <w:rFonts w:eastAsia="宋体"/>
      <w:kern w:val="2"/>
      <w:sz w:val="21"/>
      <w:szCs w:val="24"/>
      <w:lang w:val="en-US" w:eastAsia="zh-CN" w:bidi="ar-SA"/>
    </w:rPr>
  </w:style>
  <w:style w:type="character" w:customStyle="1" w:styleId="342">
    <w:name w:val="Char Char15"/>
    <w:uiPriority w:val="6"/>
    <w:rPr>
      <w:rFonts w:ascii="宋体" w:hAnsi="宋体"/>
      <w:kern w:val="1"/>
      <w:sz w:val="21"/>
    </w:rPr>
  </w:style>
  <w:style w:type="character" w:customStyle="1" w:styleId="343">
    <w:name w:val="Char Char26"/>
    <w:uiPriority w:val="6"/>
    <w:rPr>
      <w:kern w:val="1"/>
      <w:sz w:val="21"/>
      <w:szCs w:val="24"/>
    </w:rPr>
  </w:style>
  <w:style w:type="character" w:customStyle="1" w:styleId="344">
    <w:name w:val="Char Char51"/>
    <w:uiPriority w:val="0"/>
    <w:rPr>
      <w:rFonts w:ascii="宋体" w:hAnsi="Courier New" w:eastAsia="宋体"/>
      <w:kern w:val="2"/>
      <w:sz w:val="21"/>
      <w:lang w:val="en-US" w:eastAsia="zh-CN"/>
    </w:rPr>
  </w:style>
  <w:style w:type="character" w:customStyle="1" w:styleId="345">
    <w:name w:val="Char Char71"/>
    <w:semiHidden/>
    <w:uiPriority w:val="0"/>
    <w:rPr>
      <w:rFonts w:eastAsia="宋体"/>
      <w:kern w:val="2"/>
      <w:sz w:val="21"/>
      <w:szCs w:val="24"/>
      <w:lang w:val="en-US" w:eastAsia="zh-CN" w:bidi="ar-SA"/>
    </w:rPr>
  </w:style>
  <w:style w:type="character" w:customStyle="1" w:styleId="346">
    <w:name w:val="Char Char18"/>
    <w:qFormat/>
    <w:uiPriority w:val="6"/>
    <w:rPr>
      <w:rFonts w:ascii="宋体" w:hAnsi="宋体"/>
      <w:sz w:val="28"/>
    </w:rPr>
  </w:style>
  <w:style w:type="character" w:customStyle="1" w:styleId="347">
    <w:name w:val="Char Char81"/>
    <w:uiPriority w:val="6"/>
    <w:rPr>
      <w:rFonts w:eastAsia="宋体"/>
      <w:b/>
      <w:sz w:val="24"/>
      <w:lang w:val="en-GB" w:eastAsia="zh-CN"/>
    </w:rPr>
  </w:style>
  <w:style w:type="character" w:customStyle="1" w:styleId="348">
    <w:name w:val="Char Char37"/>
    <w:uiPriority w:val="6"/>
    <w:rPr>
      <w:b/>
      <w:kern w:val="1"/>
      <w:sz w:val="44"/>
      <w:szCs w:val="44"/>
    </w:rPr>
  </w:style>
  <w:style w:type="character" w:customStyle="1" w:styleId="349">
    <w:name w:val="Char Char10"/>
    <w:semiHidden/>
    <w:qFormat/>
    <w:uiPriority w:val="0"/>
    <w:rPr>
      <w:rFonts w:ascii="宋体" w:hAnsi="宋体"/>
      <w:kern w:val="2"/>
      <w:sz w:val="21"/>
      <w:szCs w:val="24"/>
      <w:lang w:val="en-US" w:eastAsia="zh-CN"/>
    </w:rPr>
  </w:style>
  <w:style w:type="character" w:customStyle="1" w:styleId="350">
    <w:name w:val="Char Char23"/>
    <w:qFormat/>
    <w:uiPriority w:val="6"/>
    <w:rPr>
      <w:color w:val="0000FF"/>
      <w:sz w:val="21"/>
    </w:rPr>
  </w:style>
  <w:style w:type="character" w:customStyle="1" w:styleId="351">
    <w:name w:val="Char Char25"/>
    <w:uiPriority w:val="6"/>
    <w:rPr>
      <w:rFonts w:ascii="宋体" w:hAnsi="宋体"/>
      <w:kern w:val="1"/>
      <w:sz w:val="24"/>
      <w:lang w:val="zh-CN"/>
    </w:rPr>
  </w:style>
  <w:style w:type="character" w:customStyle="1" w:styleId="352">
    <w:name w:val="Char Char35"/>
    <w:uiPriority w:val="6"/>
    <w:rPr>
      <w:rFonts w:ascii="Arial" w:hAnsi="Arial" w:eastAsia="黑体"/>
      <w:b/>
      <w:kern w:val="1"/>
      <w:sz w:val="28"/>
      <w:szCs w:val="28"/>
      <w:lang w:val="zh-CN"/>
    </w:rPr>
  </w:style>
  <w:style w:type="character" w:customStyle="1" w:styleId="353">
    <w:name w:val="正文文本缩进 2 Char1"/>
    <w:semiHidden/>
    <w:uiPriority w:val="99"/>
    <w:rPr>
      <w:rFonts w:ascii="Times New Roman" w:hAnsi="Times New Roman" w:eastAsia="宋体" w:cs="Times New Roman"/>
      <w:szCs w:val="24"/>
    </w:rPr>
  </w:style>
  <w:style w:type="character" w:customStyle="1" w:styleId="354">
    <w:name w:val="批注框文本 Char1"/>
    <w:semiHidden/>
    <w:uiPriority w:val="99"/>
    <w:rPr>
      <w:rFonts w:ascii="Times New Roman" w:hAnsi="Times New Roman" w:eastAsia="宋体" w:cs="Times New Roman"/>
      <w:sz w:val="18"/>
      <w:szCs w:val="18"/>
    </w:rPr>
  </w:style>
  <w:style w:type="character" w:customStyle="1" w:styleId="355">
    <w:name w:val="正文首行缩进 Char1"/>
    <w:semiHidden/>
    <w:uiPriority w:val="99"/>
    <w:rPr>
      <w:rFonts w:ascii="宋体" w:hAnsi="Times New Roman" w:eastAsia="宋体" w:cs="Times New Roman"/>
      <w:snapToGrid w:val="0"/>
      <w:kern w:val="2"/>
      <w:sz w:val="24"/>
      <w:szCs w:val="21"/>
      <w:lang w:val="zh-CN"/>
    </w:rPr>
  </w:style>
  <w:style w:type="character" w:customStyle="1" w:styleId="356">
    <w:name w:val="font81"/>
    <w:uiPriority w:val="0"/>
    <w:rPr>
      <w:rFonts w:ascii="微软雅黑" w:hAnsi="微软雅黑" w:eastAsia="微软雅黑" w:cs="微软雅黑"/>
      <w:color w:val="000000"/>
      <w:sz w:val="20"/>
      <w:szCs w:val="20"/>
      <w:u w:val="none"/>
    </w:rPr>
  </w:style>
  <w:style w:type="character" w:customStyle="1" w:styleId="357">
    <w:name w:val="font51"/>
    <w:uiPriority w:val="0"/>
    <w:rPr>
      <w:rFonts w:hint="eastAsia" w:ascii="仿宋" w:hAnsi="仿宋" w:eastAsia="仿宋" w:cs="仿宋"/>
      <w:color w:val="000000"/>
      <w:sz w:val="20"/>
      <w:szCs w:val="20"/>
      <w:u w:val="none"/>
    </w:rPr>
  </w:style>
  <w:style w:type="character" w:customStyle="1" w:styleId="358">
    <w:name w:val="font31"/>
    <w:uiPriority w:val="0"/>
    <w:rPr>
      <w:rFonts w:hint="eastAsia" w:ascii="仿宋" w:hAnsi="仿宋" w:eastAsia="仿宋" w:cs="仿宋"/>
      <w:color w:val="000000"/>
      <w:sz w:val="20"/>
      <w:szCs w:val="20"/>
      <w:u w:val="none"/>
    </w:rPr>
  </w:style>
  <w:style w:type="character" w:customStyle="1" w:styleId="359">
    <w:name w:val="font01"/>
    <w:uiPriority w:val="0"/>
    <w:rPr>
      <w:rFonts w:hint="eastAsia" w:ascii="微软雅黑" w:hAnsi="微软雅黑" w:eastAsia="微软雅黑" w:cs="微软雅黑"/>
      <w:color w:val="000000"/>
      <w:sz w:val="20"/>
      <w:szCs w:val="20"/>
      <w:u w:val="none"/>
    </w:rPr>
  </w:style>
  <w:style w:type="character" w:customStyle="1" w:styleId="360">
    <w:name w:val="font61"/>
    <w:uiPriority w:val="0"/>
    <w:rPr>
      <w:rFonts w:hint="eastAsia" w:ascii="仿宋" w:hAnsi="仿宋" w:eastAsia="仿宋" w:cs="仿宋"/>
      <w:color w:val="000000"/>
      <w:sz w:val="20"/>
      <w:szCs w:val="20"/>
      <w:u w:val="none"/>
    </w:rPr>
  </w:style>
  <w:style w:type="character" w:customStyle="1" w:styleId="361">
    <w:name w:val="副标题 Char2"/>
    <w:uiPriority w:val="0"/>
    <w:rPr>
      <w:rFonts w:ascii="Cambria" w:hAnsi="Cambria" w:eastAsia="宋体" w:cs="Times New Roman"/>
      <w:b/>
      <w:bCs/>
      <w:snapToGrid w:val="0"/>
      <w:kern w:val="28"/>
      <w:sz w:val="32"/>
      <w:szCs w:val="32"/>
    </w:rPr>
  </w:style>
  <w:style w:type="character" w:customStyle="1" w:styleId="362">
    <w:name w:val="正文文本缩进 Char2"/>
    <w:uiPriority w:val="0"/>
    <w:rPr>
      <w:rFonts w:ascii="Times New Roman" w:hAnsi="Times New Roman" w:eastAsia="宋体" w:cs="Times New Roman"/>
      <w:snapToGrid w:val="0"/>
      <w:kern w:val="0"/>
      <w:szCs w:val="24"/>
    </w:rPr>
  </w:style>
  <w:style w:type="character" w:customStyle="1" w:styleId="363">
    <w:name w:val="批注文字 Char2"/>
    <w:uiPriority w:val="99"/>
    <w:rPr>
      <w:rFonts w:ascii="Times New Roman" w:hAnsi="Times New Roman" w:eastAsia="宋体" w:cs="Times New Roman"/>
      <w:snapToGrid w:val="0"/>
      <w:kern w:val="0"/>
      <w:szCs w:val="24"/>
    </w:rPr>
  </w:style>
  <w:style w:type="character" w:customStyle="1" w:styleId="364">
    <w:name w:val="正文文本 Char2"/>
    <w:semiHidden/>
    <w:uiPriority w:val="99"/>
    <w:rPr>
      <w:rFonts w:ascii="Times New Roman" w:hAnsi="Times New Roman" w:eastAsia="宋体" w:cs="Times New Roman"/>
      <w:snapToGrid w:val="0"/>
      <w:kern w:val="0"/>
      <w:szCs w:val="24"/>
    </w:rPr>
  </w:style>
  <w:style w:type="character" w:customStyle="1" w:styleId="365">
    <w:name w:val="正文样式 Char"/>
    <w:link w:val="366"/>
    <w:uiPriority w:val="0"/>
    <w:rPr>
      <w:rFonts w:ascii="Calibri" w:hAnsi="Calibri"/>
      <w:sz w:val="24"/>
      <w:szCs w:val="24"/>
    </w:rPr>
  </w:style>
  <w:style w:type="paragraph" w:customStyle="1" w:styleId="366">
    <w:name w:val="正文样式"/>
    <w:basedOn w:val="1"/>
    <w:link w:val="365"/>
    <w:qFormat/>
    <w:uiPriority w:val="0"/>
    <w:pPr>
      <w:adjustRightInd/>
      <w:spacing w:line="360" w:lineRule="auto"/>
      <w:ind w:firstLine="480" w:firstLineChars="200"/>
    </w:pPr>
    <w:rPr>
      <w:kern w:val="0"/>
      <w:sz w:val="24"/>
    </w:rPr>
  </w:style>
  <w:style w:type="character" w:customStyle="1" w:styleId="367">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uiPriority w:val="0"/>
    <w:rPr>
      <w:rFonts w:eastAsia="宋体"/>
    </w:rPr>
  </w:style>
  <w:style w:type="character" w:customStyle="1" w:styleId="368">
    <w:name w:val="h Char1"/>
    <w:aliases w:val="Ò³Ã¼ Char Char2"/>
    <w:uiPriority w:val="0"/>
    <w:rPr>
      <w:sz w:val="18"/>
      <w:szCs w:val="18"/>
    </w:rPr>
  </w:style>
  <w:style w:type="character" w:customStyle="1" w:styleId="369">
    <w:name w:val=" Char Char16"/>
    <w:uiPriority w:val="0"/>
    <w:rPr>
      <w:rFonts w:eastAsia="宋体"/>
      <w:b/>
      <w:kern w:val="2"/>
      <w:sz w:val="32"/>
      <w:lang w:val="en-US" w:eastAsia="zh-CN"/>
    </w:rPr>
  </w:style>
  <w:style w:type="character" w:customStyle="1" w:styleId="370">
    <w:name w:val="编号，小四 Char"/>
    <w:link w:val="371"/>
    <w:uiPriority w:val="0"/>
    <w:rPr>
      <w:rFonts w:ascii="Arial" w:hAnsi="Arial"/>
      <w:sz w:val="24"/>
    </w:rPr>
  </w:style>
  <w:style w:type="paragraph" w:customStyle="1" w:styleId="371">
    <w:name w:val="编号，小四"/>
    <w:basedOn w:val="1"/>
    <w:link w:val="370"/>
    <w:qFormat/>
    <w:uiPriority w:val="0"/>
    <w:pPr>
      <w:tabs>
        <w:tab w:val="left" w:pos="432"/>
      </w:tabs>
      <w:adjustRightInd/>
      <w:spacing w:line="360" w:lineRule="auto"/>
      <w:ind w:left="432" w:hanging="432"/>
    </w:pPr>
    <w:rPr>
      <w:rFonts w:ascii="Arial" w:hAnsi="Arial"/>
      <w:kern w:val="0"/>
      <w:sz w:val="24"/>
      <w:szCs w:val="20"/>
    </w:rPr>
  </w:style>
  <w:style w:type="character" w:customStyle="1" w:styleId="372">
    <w:name w:val="段落 Char Char"/>
    <w:link w:val="373"/>
    <w:uiPriority w:val="0"/>
    <w:rPr>
      <w:rFonts w:ascii="宋体" w:hAnsi="宋体"/>
      <w:sz w:val="24"/>
    </w:rPr>
  </w:style>
  <w:style w:type="paragraph" w:customStyle="1" w:styleId="373">
    <w:name w:val="段落"/>
    <w:basedOn w:val="1"/>
    <w:link w:val="372"/>
    <w:uiPriority w:val="0"/>
    <w:pPr>
      <w:adjustRightInd/>
      <w:spacing w:line="360" w:lineRule="auto"/>
      <w:ind w:firstLine="480" w:firstLineChars="200"/>
    </w:pPr>
    <w:rPr>
      <w:rFonts w:ascii="宋体" w:hAnsi="宋体"/>
      <w:kern w:val="0"/>
      <w:sz w:val="24"/>
      <w:szCs w:val="20"/>
    </w:rPr>
  </w:style>
  <w:style w:type="character" w:customStyle="1" w:styleId="374">
    <w:name w:val="maywed421"/>
    <w:uiPriority w:val="0"/>
    <w:rPr>
      <w:color w:val="366FB6"/>
      <w:u w:val="none"/>
    </w:rPr>
  </w:style>
  <w:style w:type="character" w:customStyle="1" w:styleId="375">
    <w:name w:val="哈哈正文 Char Char"/>
    <w:uiPriority w:val="0"/>
    <w:rPr>
      <w:rFonts w:ascii="宋体" w:hAnsi="宋体" w:eastAsia="宋体" w:cs="宋体"/>
      <w:kern w:val="2"/>
      <w:sz w:val="24"/>
      <w:lang w:val="en-US" w:eastAsia="zh-CN" w:bidi="ar-SA"/>
    </w:rPr>
  </w:style>
  <w:style w:type="character" w:customStyle="1" w:styleId="376">
    <w:name w:val="font11"/>
    <w:uiPriority w:val="0"/>
    <w:rPr>
      <w:rFonts w:hint="default" w:ascii="Times New Roman" w:hAnsi="Times New Roman" w:cs="Times New Roman"/>
      <w:color w:val="000000"/>
      <w:sz w:val="22"/>
      <w:szCs w:val="22"/>
      <w:u w:val="none"/>
    </w:rPr>
  </w:style>
  <w:style w:type="character" w:customStyle="1" w:styleId="377">
    <w:name w:val="font41"/>
    <w:uiPriority w:val="0"/>
    <w:rPr>
      <w:rFonts w:hint="eastAsia" w:ascii="仿宋_GB2312" w:eastAsia="仿宋_GB2312" w:cs="仿宋_GB2312"/>
      <w:color w:val="000000"/>
      <w:sz w:val="22"/>
      <w:szCs w:val="22"/>
      <w:u w:val="none"/>
    </w:rPr>
  </w:style>
  <w:style w:type="character" w:customStyle="1" w:styleId="378">
    <w:name w:val="5正文 Char"/>
    <w:link w:val="379"/>
    <w:uiPriority w:val="0"/>
    <w:rPr>
      <w:rFonts w:ascii="仿宋_GB2312" w:hAnsi="微软雅黑" w:eastAsia="仿宋_GB2312"/>
      <w:sz w:val="28"/>
      <w:szCs w:val="21"/>
    </w:rPr>
  </w:style>
  <w:style w:type="paragraph" w:customStyle="1" w:styleId="379">
    <w:name w:val="5正文"/>
    <w:basedOn w:val="1"/>
    <w:link w:val="37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80">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uiPriority w:val="0"/>
    <w:rPr>
      <w:rFonts w:ascii="宋体" w:eastAsia="宋体"/>
      <w:snapToGrid w:val="0"/>
      <w:color w:val="000000"/>
      <w:kern w:val="28"/>
      <w:sz w:val="28"/>
      <w:lang w:val="en-US" w:eastAsia="zh-CN" w:bidi="ar-SA"/>
    </w:rPr>
  </w:style>
  <w:style w:type="character" w:customStyle="1" w:styleId="381">
    <w:name w:val="U_正文 Char"/>
    <w:link w:val="382"/>
    <w:uiPriority w:val="0"/>
    <w:rPr>
      <w:sz w:val="24"/>
      <w:szCs w:val="24"/>
    </w:rPr>
  </w:style>
  <w:style w:type="paragraph" w:customStyle="1" w:styleId="382">
    <w:name w:val="U_正文"/>
    <w:basedOn w:val="1"/>
    <w:link w:val="381"/>
    <w:uiPriority w:val="0"/>
    <w:pPr>
      <w:adjustRightInd/>
      <w:spacing w:beforeLines="20" w:afterLines="20" w:line="300" w:lineRule="auto"/>
      <w:ind w:firstLine="200" w:firstLineChars="200"/>
    </w:pPr>
    <w:rPr>
      <w:kern w:val="0"/>
      <w:sz w:val="24"/>
    </w:rPr>
  </w:style>
  <w:style w:type="character" w:customStyle="1" w:styleId="383">
    <w:name w:val="列出段落 Char1"/>
    <w:link w:val="384"/>
    <w:uiPriority w:val="0"/>
    <w:rPr>
      <w:rFonts w:ascii="Calibri" w:hAnsi="Calibri"/>
      <w:sz w:val="24"/>
      <w:lang w:eastAsia="en-US"/>
    </w:rPr>
  </w:style>
  <w:style w:type="paragraph" w:customStyle="1" w:styleId="384">
    <w:name w:val="List1"/>
    <w:basedOn w:val="1"/>
    <w:next w:val="385"/>
    <w:link w:val="383"/>
    <w:qFormat/>
    <w:uiPriority w:val="0"/>
    <w:pPr>
      <w:widowControl/>
      <w:adjustRightInd/>
      <w:spacing w:after="200" w:line="360" w:lineRule="auto"/>
      <w:ind w:left="720" w:firstLine="200" w:firstLineChars="200"/>
      <w:jc w:val="left"/>
    </w:pPr>
    <w:rPr>
      <w:kern w:val="0"/>
      <w:sz w:val="24"/>
      <w:szCs w:val="20"/>
      <w:lang w:eastAsia="en-US"/>
    </w:rPr>
  </w:style>
  <w:style w:type="paragraph" w:styleId="385">
    <w:name w:val="List Paragraph"/>
    <w:basedOn w:val="1"/>
    <w:qFormat/>
    <w:uiPriority w:val="34"/>
    <w:pPr>
      <w:spacing w:line="360" w:lineRule="auto"/>
      <w:ind w:firstLine="200" w:firstLineChars="200"/>
    </w:pPr>
    <w:rPr>
      <w:rFonts w:eastAsia="楷体_GB2312" w:cs="Lucida Sans"/>
      <w:sz w:val="24"/>
    </w:rPr>
  </w:style>
  <w:style w:type="character" w:customStyle="1" w:styleId="386">
    <w:name w:val="正文首行缩进 Char Char Char Char Char Char1"/>
    <w:uiPriority w:val="0"/>
    <w:rPr>
      <w:rFonts w:ascii="宋体" w:eastAsia="宋体"/>
      <w:kern w:val="2"/>
      <w:sz w:val="24"/>
      <w:szCs w:val="24"/>
      <w:lang w:val="zh-CN" w:bidi="ar-SA"/>
    </w:rPr>
  </w:style>
  <w:style w:type="character" w:customStyle="1" w:styleId="387">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uiPriority w:val="0"/>
    <w:rPr>
      <w:rFonts w:ascii="宋体"/>
      <w:kern w:val="2"/>
      <w:sz w:val="24"/>
      <w:lang w:val="zh-CN"/>
    </w:rPr>
  </w:style>
  <w:style w:type="character" w:customStyle="1" w:styleId="388">
    <w:name w:val="Used by Word for text of Help footnotes Char Char1"/>
    <w:uiPriority w:val="0"/>
    <w:rPr>
      <w:color w:val="0000FF"/>
      <w:sz w:val="21"/>
    </w:rPr>
  </w:style>
  <w:style w:type="character" w:customStyle="1" w:styleId="389">
    <w:name w:val="H5 Char"/>
    <w:aliases w:val="h5 Char,dash Char,ds Char,dd Char,Roman list Char,PIM 5 Char,5 Char,Block Label Char,1.1.1 Char,口 Char,heading 5 Char,Level 3 - i Char,标 5 Char,h51 Char,heading 51 Char,h52 Char,heading 52 Char,h53 Char,heading 53 Char,Second Subheading Char"/>
    <w:uiPriority w:val="0"/>
    <w:rPr>
      <w:b/>
      <w:bCs/>
      <w:kern w:val="2"/>
      <w:sz w:val="28"/>
      <w:szCs w:val="28"/>
    </w:rPr>
  </w:style>
  <w:style w:type="character" w:customStyle="1" w:styleId="390">
    <w:name w:val="正文缩进 Char3"/>
    <w:uiPriority w:val="0"/>
    <w:rPr>
      <w:rFonts w:ascii="宋体" w:eastAsia="宋体"/>
      <w:snapToGrid w:val="0"/>
      <w:color w:val="000000"/>
      <w:kern w:val="28"/>
      <w:sz w:val="28"/>
      <w:lang w:val="en-US" w:eastAsia="zh-CN" w:bidi="ar-SA"/>
    </w:rPr>
  </w:style>
  <w:style w:type="character" w:customStyle="1" w:styleId="391">
    <w:name w:val="表名 Char"/>
    <w:aliases w:val="sdf Char,L7 Char,PIM 7 Char,◎ Char,不用 Char,letter list Char,H TIMES1 Char,（1） Char,Legal Level 1.1. Char,H7 Char,•H7 Char,h7 Char,st Char,SDL title Char,1.1.1.1.1.1.1标题 7 Char,1.标题 6 Char,L1 Heading 7 Char,Alt+7 Char,正文七级标题 Char,项标题(1) Char Char"/>
    <w:uiPriority w:val="0"/>
    <w:rPr>
      <w:rFonts w:eastAsia="宋体"/>
      <w:b/>
      <w:bCs/>
      <w:kern w:val="2"/>
      <w:sz w:val="24"/>
      <w:szCs w:val="24"/>
      <w:lang w:val="en-US" w:eastAsia="zh-CN" w:bidi="ar-SA"/>
    </w:rPr>
  </w:style>
  <w:style w:type="character" w:customStyle="1" w:styleId="392">
    <w:name w:val="图名 Char"/>
    <w:aliases w:val="注意框体 Char,Annex Char,Appendix Char,不用8 Char,（A） Char,Legal Level 1.1.1. Char,heading 8 Char,resume Char,tt Char,tt1 Char,Figure Char,h8 Char,L1 Heading 8 Char,action Char,action1 Char,action2 Char,action11 Char,action3 Char,action4 Char,标题6 Char"/>
    <w:uiPriority w:val="0"/>
    <w:rPr>
      <w:rFonts w:ascii="Arial" w:hAnsi="Arial" w:eastAsia="黑体"/>
      <w:kern w:val="2"/>
      <w:sz w:val="24"/>
      <w:szCs w:val="24"/>
      <w:lang w:val="en-US" w:eastAsia="zh-CN" w:bidi="ar-SA"/>
    </w:rPr>
  </w:style>
  <w:style w:type="character" w:customStyle="1" w:styleId="393">
    <w:name w:val="PI Char1"/>
    <w:aliases w:val="正文文字首行缩进 Char1,正文文本缩进 Char Char1,正文小标题 Char1,正文文字3 Char1,正文顶格 Char,HD正文1 Char,Body Text 21 Char Char"/>
    <w:uiPriority w:val="0"/>
    <w:rPr>
      <w:rFonts w:ascii="宋体" w:hAnsi="宋体"/>
      <w:kern w:val="2"/>
      <w:sz w:val="24"/>
      <w:szCs w:val="24"/>
    </w:rPr>
  </w:style>
  <w:style w:type="character" w:customStyle="1" w:styleId="394">
    <w:name w:val="H6 Char"/>
    <w:aliases w:val="BOD 4 Char,第五层条 Char,PIM 6 Char,L6 Char,h6 Char,Third Subheading Char,● Char,Bullet list Char,6 Char,l6 Char,hsm Char,submodule heading Char,Legal Level 1. Char,正文六级标题 Char,标题 6(ALT+6) Char,heading 6 Char,Heading6 Char,sub-dash Char,sd Char"/>
    <w:uiPriority w:val="0"/>
    <w:rPr>
      <w:rFonts w:ascii="Arial" w:hAnsi="Arial" w:eastAsia="黑体"/>
      <w:b/>
      <w:bCs/>
      <w:kern w:val="2"/>
      <w:sz w:val="24"/>
      <w:szCs w:val="24"/>
    </w:rPr>
  </w:style>
  <w:style w:type="character" w:customStyle="1" w:styleId="395">
    <w:name w:val="标书1 Char1"/>
    <w:aliases w:val="h1 Char1,H1 Char1,L1 Char1,boc Char1,Section Head Char1,1st level Char1,l1 Char1,1 Char1,H11 Char1,H12 Char1,H13 Char1,H14 Char1,H15 Char1,H16 Char1,H17 Char1,Level 1 Topic Heading Char1,L1 Heading 1 Char1,h11 Char1,1st level1 Char1,h12 Char1"/>
    <w:uiPriority w:val="0"/>
    <w:rPr>
      <w:rFonts w:eastAsia="宋体"/>
      <w:b/>
      <w:bCs/>
      <w:kern w:val="44"/>
      <w:sz w:val="44"/>
      <w:szCs w:val="44"/>
      <w:lang w:val="en-US" w:eastAsia="zh-CN" w:bidi="ar-SA"/>
    </w:rPr>
  </w:style>
  <w:style w:type="character" w:customStyle="1" w:styleId="396">
    <w:name w:val="h4 Char"/>
    <w:aliases w:val="H4 Char,PIM 4 Char,Ref Heading 1 Char,rh1 Char,Heading sql Char,sect 1.2.3.4 Char,heading 4 Char,sect 1.2.3.41 Char,Ref Heading 11 Char,rh11 Char,sect 1.2.3.42 Char,Ref Heading 12 Char,rh12 Char,sect 1.2.3.411 Char,Ref Heading 111 Char,rh13 Char"/>
    <w:uiPriority w:val="0"/>
    <w:rPr>
      <w:rFonts w:ascii="Arial" w:hAnsi="Arial" w:eastAsia="黑体"/>
      <w:b/>
      <w:bCs/>
      <w:kern w:val="2"/>
      <w:sz w:val="28"/>
      <w:szCs w:val="28"/>
      <w:lang w:val="zh-CN" w:eastAsia="zh-CN" w:bidi="ar-SA"/>
    </w:rPr>
  </w:style>
  <w:style w:type="character" w:customStyle="1" w:styleId="397">
    <w:name w:val="Normal Indent Char"/>
    <w:locked/>
    <w:uiPriority w:val="0"/>
    <w:rPr>
      <w:rFonts w:ascii="Calibri" w:hAnsi="Calibri" w:eastAsia="宋体" w:cs="黑体"/>
      <w:snapToGrid w:val="0"/>
      <w:kern w:val="2"/>
      <w:sz w:val="24"/>
      <w:szCs w:val="22"/>
      <w:lang w:val="en-US" w:eastAsia="zh-CN" w:bidi="ar-SA"/>
    </w:rPr>
  </w:style>
  <w:style w:type="character" w:customStyle="1" w:styleId="398">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uiPriority w:val="0"/>
    <w:rPr>
      <w:rFonts w:ascii="Arial" w:hAnsi="Arial" w:eastAsia="黑体"/>
      <w:kern w:val="2"/>
      <w:sz w:val="21"/>
      <w:szCs w:val="21"/>
      <w:lang w:val="en-US" w:eastAsia="zh-CN" w:bidi="ar-SA"/>
    </w:rPr>
  </w:style>
  <w:style w:type="character" w:customStyle="1" w:styleId="399">
    <w:name w:val="正文文字缩进 2 Char Char"/>
    <w:uiPriority w:val="0"/>
    <w:rPr>
      <w:rFonts w:ascii="宋体"/>
      <w:sz w:val="28"/>
    </w:rPr>
  </w:style>
  <w:style w:type="character" w:customStyle="1" w:styleId="400">
    <w:name w:val="表格非标题文字 Char"/>
    <w:link w:val="401"/>
    <w:uiPriority w:val="0"/>
    <w:rPr>
      <w:rFonts w:ascii="Futura Bk" w:hAnsi="Futura Bk"/>
      <w:kern w:val="2"/>
      <w:sz w:val="18"/>
      <w:szCs w:val="21"/>
      <w:lang w:val="en-US" w:eastAsia="zh-CN" w:bidi="ar-SA"/>
    </w:rPr>
  </w:style>
  <w:style w:type="paragraph" w:customStyle="1" w:styleId="401">
    <w:name w:val="表格非标题文字"/>
    <w:link w:val="400"/>
    <w:qFormat/>
    <w:uiPriority w:val="0"/>
    <w:pPr>
      <w:snapToGrid w:val="0"/>
      <w:spacing w:before="80" w:after="40"/>
    </w:pPr>
    <w:rPr>
      <w:rFonts w:ascii="Futura Bk" w:hAnsi="Futura Bk"/>
      <w:kern w:val="2"/>
      <w:sz w:val="18"/>
      <w:szCs w:val="21"/>
      <w:lang w:val="en-US" w:eastAsia="zh-CN" w:bidi="ar-SA"/>
    </w:rPr>
  </w:style>
  <w:style w:type="character" w:customStyle="1" w:styleId="402">
    <w:name w:val="页眉 字符"/>
    <w:uiPriority w:val="99"/>
    <w:rPr>
      <w:kern w:val="2"/>
      <w:sz w:val="18"/>
      <w:szCs w:val="18"/>
    </w:rPr>
  </w:style>
  <w:style w:type="character" w:customStyle="1" w:styleId="403">
    <w:name w:val="页脚 字符"/>
    <w:uiPriority w:val="99"/>
    <w:rPr>
      <w:kern w:val="2"/>
      <w:sz w:val="18"/>
      <w:szCs w:val="18"/>
    </w:rPr>
  </w:style>
  <w:style w:type="character" w:customStyle="1" w:styleId="404">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qFormat/>
    <w:uiPriority w:val="34"/>
  </w:style>
  <w:style w:type="character" w:customStyle="1" w:styleId="405">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9"/>
    <w:rPr>
      <w:rFonts w:ascii="仿宋_GB2312" w:hAnsi="Times New Roman" w:eastAsia="仿宋_GB2312" w:cs="Times New Roman"/>
      <w:b/>
      <w:kern w:val="2"/>
      <w:sz w:val="24"/>
      <w:lang w:val="zh-CN"/>
    </w:rPr>
  </w:style>
  <w:style w:type="character" w:customStyle="1" w:styleId="406">
    <w:name w:val="3级 Char"/>
    <w:link w:val="407"/>
    <w:qFormat/>
    <w:uiPriority w:val="0"/>
    <w:rPr>
      <w:rFonts w:ascii="宋体" w:hAnsi="宋体"/>
      <w:b/>
      <w:bCs/>
      <w:snapToGrid/>
      <w:sz w:val="28"/>
    </w:rPr>
  </w:style>
  <w:style w:type="paragraph" w:customStyle="1" w:styleId="407">
    <w:name w:val="3级"/>
    <w:basedOn w:val="408"/>
    <w:link w:val="406"/>
    <w:qFormat/>
    <w:uiPriority w:val="0"/>
    <w:pPr>
      <w:ind w:left="0" w:right="466" w:firstLine="288"/>
    </w:pPr>
    <w:rPr>
      <w:rFonts w:hAnsi="宋体"/>
      <w:snapToGrid/>
    </w:rPr>
  </w:style>
  <w:style w:type="paragraph" w:customStyle="1" w:styleId="408">
    <w:name w:val="样式 标题 3h33rd level3BOD 0H3l3CTHeading 3 - oldLevel 3 He..."/>
    <w:basedOn w:val="4"/>
    <w:uiPriority w:val="99"/>
    <w:pPr>
      <w:keepLines w:val="0"/>
      <w:widowControl/>
      <w:numPr>
        <w:ilvl w:val="0"/>
        <w:numId w:val="6"/>
      </w:numPr>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409">
    <w:name w:val="标题 3 字符"/>
    <w:uiPriority w:val="9"/>
    <w:rPr>
      <w:b/>
      <w:bCs/>
      <w:kern w:val="2"/>
      <w:sz w:val="32"/>
      <w:szCs w:val="32"/>
    </w:rPr>
  </w:style>
  <w:style w:type="character" w:customStyle="1" w:styleId="410">
    <w:name w:val="标题 4 字符"/>
    <w:uiPriority w:val="9"/>
    <w:rPr>
      <w:rFonts w:ascii="等线 Light" w:hAnsi="等线 Light" w:eastAsia="等线 Light" w:cs="Times New Roman"/>
      <w:b/>
      <w:bCs/>
      <w:snapToGrid w:val="0"/>
      <w:kern w:val="0"/>
      <w:sz w:val="28"/>
      <w:szCs w:val="28"/>
    </w:rPr>
  </w:style>
  <w:style w:type="character" w:customStyle="1" w:styleId="411">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9"/>
    <w:rPr>
      <w:rFonts w:ascii="Arial" w:hAnsi="Arial" w:eastAsia="黑体" w:cs="Arial"/>
      <w:b/>
      <w:bCs/>
      <w:snapToGrid w:val="0"/>
      <w:kern w:val="44"/>
      <w:sz w:val="44"/>
      <w:szCs w:val="44"/>
    </w:rPr>
  </w:style>
  <w:style w:type="character" w:customStyle="1" w:styleId="412">
    <w:name w:val="批注文字 字符"/>
    <w:qFormat/>
    <w:uiPriority w:val="99"/>
    <w:rPr>
      <w:rFonts w:ascii="Arial" w:hAnsi="Arial" w:eastAsia="黑体" w:cs="Arial"/>
      <w:snapToGrid w:val="0"/>
      <w:kern w:val="0"/>
      <w:szCs w:val="21"/>
    </w:rPr>
  </w:style>
  <w:style w:type="character" w:customStyle="1" w:styleId="413">
    <w:name w:val="批注框文本 字符"/>
    <w:semiHidden/>
    <w:uiPriority w:val="99"/>
    <w:rPr>
      <w:rFonts w:ascii="Arial" w:hAnsi="Arial" w:eastAsia="黑体" w:cs="Arial"/>
      <w:snapToGrid w:val="0"/>
      <w:kern w:val="0"/>
      <w:sz w:val="18"/>
      <w:szCs w:val="18"/>
    </w:rPr>
  </w:style>
  <w:style w:type="character" w:customStyle="1" w:styleId="414">
    <w:name w:val="纯文本 字符"/>
    <w:qFormat/>
    <w:uiPriority w:val="0"/>
    <w:rPr>
      <w:rFonts w:ascii="宋体" w:hAnsi="Courier New" w:eastAsia="宋体" w:cs="Arial"/>
      <w:snapToGrid w:val="0"/>
      <w:kern w:val="2"/>
      <w:sz w:val="21"/>
      <w:szCs w:val="21"/>
      <w:lang w:val="en-US" w:eastAsia="zh-CN" w:bidi="ar-SA"/>
    </w:rPr>
  </w:style>
  <w:style w:type="character" w:customStyle="1" w:styleId="415">
    <w:name w:val="页脚 字符1"/>
    <w:locked/>
    <w:uiPriority w:val="99"/>
    <w:rPr>
      <w:kern w:val="2"/>
      <w:sz w:val="18"/>
      <w:szCs w:val="18"/>
    </w:rPr>
  </w:style>
  <w:style w:type="character" w:customStyle="1" w:styleId="416">
    <w:name w:val="正文文本 字符"/>
    <w:qFormat/>
    <w:uiPriority w:val="0"/>
    <w:rPr>
      <w:rFonts w:ascii="宋体" w:hAnsi="Arial" w:eastAsia="宋体" w:cs="Arial"/>
      <w:snapToGrid w:val="0"/>
      <w:kern w:val="2"/>
      <w:sz w:val="24"/>
      <w:szCs w:val="21"/>
      <w:lang w:val="zh-CN" w:eastAsia="zh-CN" w:bidi="ar-SA"/>
    </w:rPr>
  </w:style>
  <w:style w:type="character" w:customStyle="1" w:styleId="417">
    <w:name w:val="标题 7 字符"/>
    <w:qFormat/>
    <w:uiPriority w:val="0"/>
    <w:rPr>
      <w:b/>
      <w:bCs/>
      <w:kern w:val="2"/>
      <w:sz w:val="24"/>
      <w:szCs w:val="24"/>
    </w:rPr>
  </w:style>
  <w:style w:type="character" w:customStyle="1" w:styleId="418">
    <w:name w:val="脚注文本 字符"/>
    <w:qFormat/>
    <w:uiPriority w:val="0"/>
    <w:rPr>
      <w:color w:val="0000FF"/>
      <w:sz w:val="21"/>
    </w:rPr>
  </w:style>
  <w:style w:type="character" w:customStyle="1" w:styleId="419">
    <w:name w:val="签名 字符"/>
    <w:uiPriority w:val="0"/>
    <w:rPr>
      <w:rFonts w:eastAsia="仿宋_GB2312"/>
      <w:sz w:val="24"/>
    </w:rPr>
  </w:style>
  <w:style w:type="character" w:customStyle="1" w:styleId="420">
    <w:name w:val="日期 字符"/>
    <w:uiPriority w:val="0"/>
    <w:rPr>
      <w:rFonts w:ascii="宋体"/>
      <w:kern w:val="2"/>
      <w:sz w:val="24"/>
      <w:szCs w:val="21"/>
      <w:lang w:val="zh-CN"/>
    </w:rPr>
  </w:style>
  <w:style w:type="character" w:customStyle="1" w:styleId="421">
    <w:name w:val="正文缩进 字符1"/>
    <w:qFormat/>
    <w:uiPriority w:val="0"/>
    <w:rPr>
      <w:rFonts w:ascii="宋体" w:eastAsia="宋体"/>
      <w:snapToGrid w:val="0"/>
      <w:color w:val="000000"/>
      <w:kern w:val="28"/>
      <w:sz w:val="28"/>
      <w:lang w:val="en-US" w:eastAsia="zh-CN" w:bidi="ar-SA"/>
    </w:rPr>
  </w:style>
  <w:style w:type="character" w:customStyle="1" w:styleId="422">
    <w:name w:val="称呼 字符"/>
    <w:qFormat/>
    <w:uiPriority w:val="0"/>
    <w:rPr>
      <w:rFonts w:ascii="仿宋_GB2312" w:eastAsia="仿宋_GB2312"/>
      <w:kern w:val="2"/>
      <w:sz w:val="28"/>
    </w:rPr>
  </w:style>
  <w:style w:type="character" w:customStyle="1" w:styleId="423">
    <w:name w:val="正文文本缩进 字符"/>
    <w:uiPriority w:val="0"/>
    <w:rPr>
      <w:rFonts w:ascii="宋体" w:hAnsi="宋体"/>
      <w:kern w:val="2"/>
      <w:sz w:val="24"/>
      <w:szCs w:val="24"/>
    </w:rPr>
  </w:style>
  <w:style w:type="character" w:customStyle="1" w:styleId="424">
    <w:name w:val="文档结构图 字符"/>
    <w:qFormat/>
    <w:uiPriority w:val="0"/>
    <w:rPr>
      <w:kern w:val="2"/>
      <w:sz w:val="21"/>
      <w:szCs w:val="24"/>
      <w:shd w:val="clear" w:color="auto" w:fill="000080"/>
    </w:rPr>
  </w:style>
  <w:style w:type="character" w:customStyle="1" w:styleId="425">
    <w:name w:val="标题 1 字符1"/>
    <w:qFormat/>
    <w:uiPriority w:val="9"/>
    <w:rPr>
      <w:b/>
      <w:bCs/>
      <w:kern w:val="44"/>
      <w:sz w:val="44"/>
      <w:szCs w:val="44"/>
    </w:rPr>
  </w:style>
  <w:style w:type="character" w:customStyle="1" w:styleId="426">
    <w:name w:val="标题 4 字符1"/>
    <w:qFormat/>
    <w:uiPriority w:val="9"/>
    <w:rPr>
      <w:rFonts w:ascii="Arial" w:hAnsi="Arial" w:eastAsia="黑体"/>
      <w:b/>
      <w:bCs/>
      <w:kern w:val="2"/>
      <w:sz w:val="28"/>
      <w:szCs w:val="28"/>
      <w:lang w:val="zh-CN"/>
    </w:rPr>
  </w:style>
  <w:style w:type="character" w:customStyle="1" w:styleId="427">
    <w:name w:val="标题 5 字符"/>
    <w:qFormat/>
    <w:uiPriority w:val="0"/>
    <w:rPr>
      <w:b/>
      <w:bCs/>
      <w:kern w:val="2"/>
      <w:sz w:val="28"/>
      <w:szCs w:val="28"/>
    </w:rPr>
  </w:style>
  <w:style w:type="character" w:customStyle="1" w:styleId="428">
    <w:name w:val="标题 6 字符"/>
    <w:uiPriority w:val="0"/>
    <w:rPr>
      <w:rFonts w:ascii="Arial" w:hAnsi="Arial" w:eastAsia="黑体"/>
      <w:b/>
      <w:bCs/>
      <w:kern w:val="2"/>
      <w:sz w:val="24"/>
      <w:szCs w:val="24"/>
    </w:rPr>
  </w:style>
  <w:style w:type="character" w:customStyle="1" w:styleId="429">
    <w:name w:val="标题 8 字符"/>
    <w:qFormat/>
    <w:uiPriority w:val="0"/>
    <w:rPr>
      <w:rFonts w:ascii="Arial" w:hAnsi="Arial" w:eastAsia="黑体"/>
      <w:kern w:val="2"/>
      <w:sz w:val="24"/>
      <w:szCs w:val="24"/>
    </w:rPr>
  </w:style>
  <w:style w:type="character" w:customStyle="1" w:styleId="430">
    <w:name w:val="标题 9 字符"/>
    <w:qFormat/>
    <w:uiPriority w:val="0"/>
    <w:rPr>
      <w:rFonts w:ascii="Arial" w:hAnsi="Arial" w:eastAsia="黑体"/>
      <w:kern w:val="2"/>
      <w:sz w:val="21"/>
      <w:szCs w:val="21"/>
    </w:rPr>
  </w:style>
  <w:style w:type="character" w:customStyle="1" w:styleId="431">
    <w:name w:val="题注 字符"/>
    <w:qFormat/>
    <w:uiPriority w:val="0"/>
    <w:rPr>
      <w:b/>
      <w:kern w:val="2"/>
      <w:sz w:val="28"/>
    </w:rPr>
  </w:style>
  <w:style w:type="character" w:customStyle="1" w:styleId="432">
    <w:name w:val="批注文字 字符1"/>
    <w:qFormat/>
    <w:uiPriority w:val="0"/>
    <w:rPr>
      <w:kern w:val="2"/>
      <w:sz w:val="21"/>
      <w:szCs w:val="24"/>
    </w:rPr>
  </w:style>
  <w:style w:type="character" w:customStyle="1" w:styleId="433">
    <w:name w:val="正文文本 3 字符"/>
    <w:uiPriority w:val="0"/>
    <w:rPr>
      <w:kern w:val="2"/>
      <w:sz w:val="21"/>
    </w:rPr>
  </w:style>
  <w:style w:type="character" w:customStyle="1" w:styleId="434">
    <w:name w:val="HTML 地址 字符"/>
    <w:uiPriority w:val="0"/>
    <w:rPr>
      <w:rFonts w:ascii="宋体" w:hAnsi="宋体"/>
      <w:i/>
      <w:iCs/>
      <w:sz w:val="24"/>
      <w:szCs w:val="24"/>
    </w:rPr>
  </w:style>
  <w:style w:type="character" w:customStyle="1" w:styleId="435">
    <w:name w:val="纯文本 字符1"/>
    <w:qFormat/>
    <w:uiPriority w:val="0"/>
    <w:rPr>
      <w:rFonts w:ascii="宋体" w:hAnsi="Courier New" w:eastAsia="宋体" w:cs="Arial"/>
      <w:snapToGrid w:val="0"/>
      <w:kern w:val="2"/>
      <w:sz w:val="21"/>
      <w:szCs w:val="21"/>
      <w:lang w:val="en-US" w:eastAsia="zh-CN" w:bidi="ar-SA"/>
    </w:rPr>
  </w:style>
  <w:style w:type="character" w:customStyle="1" w:styleId="436">
    <w:name w:val="正文文本缩进 2 字符"/>
    <w:uiPriority w:val="0"/>
    <w:rPr>
      <w:rFonts w:ascii="宋体"/>
      <w:sz w:val="28"/>
    </w:rPr>
  </w:style>
  <w:style w:type="character" w:customStyle="1" w:styleId="437">
    <w:name w:val="批注框文本 字符1"/>
    <w:qFormat/>
    <w:uiPriority w:val="0"/>
    <w:rPr>
      <w:kern w:val="2"/>
      <w:sz w:val="18"/>
      <w:szCs w:val="18"/>
    </w:rPr>
  </w:style>
  <w:style w:type="character" w:customStyle="1" w:styleId="438">
    <w:name w:val="页眉 字符1"/>
    <w:uiPriority w:val="99"/>
    <w:rPr>
      <w:kern w:val="2"/>
      <w:sz w:val="18"/>
      <w:szCs w:val="18"/>
    </w:rPr>
  </w:style>
  <w:style w:type="character" w:customStyle="1" w:styleId="439">
    <w:name w:val="副标题 字符"/>
    <w:qFormat/>
    <w:uiPriority w:val="0"/>
    <w:rPr>
      <w:rFonts w:ascii="Arial" w:hAnsi="Arial" w:eastAsia="隶书"/>
      <w:b/>
      <w:bCs/>
      <w:kern w:val="28"/>
      <w:sz w:val="44"/>
      <w:szCs w:val="32"/>
      <w:lang w:val="en-US" w:eastAsia="zh-CN" w:bidi="ar-SA"/>
    </w:rPr>
  </w:style>
  <w:style w:type="character" w:customStyle="1" w:styleId="440">
    <w:name w:val="正文文本缩进 3 字符"/>
    <w:uiPriority w:val="0"/>
    <w:rPr>
      <w:kern w:val="2"/>
      <w:sz w:val="24"/>
    </w:rPr>
  </w:style>
  <w:style w:type="character" w:customStyle="1" w:styleId="441">
    <w:name w:val="正文文本 2 字符"/>
    <w:uiPriority w:val="0"/>
    <w:rPr>
      <w:kern w:val="2"/>
      <w:sz w:val="21"/>
      <w:szCs w:val="24"/>
    </w:rPr>
  </w:style>
  <w:style w:type="character" w:customStyle="1" w:styleId="442">
    <w:name w:val="HTML 预设格式 字符"/>
    <w:uiPriority w:val="99"/>
    <w:rPr>
      <w:rFonts w:ascii="黑体" w:hAnsi="Courier New" w:eastAsia="黑体"/>
    </w:rPr>
  </w:style>
  <w:style w:type="character" w:customStyle="1" w:styleId="443">
    <w:name w:val="标题 字符"/>
    <w:qFormat/>
    <w:uiPriority w:val="0"/>
    <w:rPr>
      <w:b/>
      <w:sz w:val="24"/>
      <w:lang w:val="en-GB"/>
    </w:rPr>
  </w:style>
  <w:style w:type="character" w:customStyle="1" w:styleId="444">
    <w:name w:val="批注主题 字符"/>
    <w:uiPriority w:val="0"/>
    <w:rPr>
      <w:b/>
      <w:bCs/>
      <w:kern w:val="2"/>
      <w:sz w:val="21"/>
      <w:szCs w:val="24"/>
    </w:rPr>
  </w:style>
  <w:style w:type="character" w:customStyle="1" w:styleId="445">
    <w:name w:val="正文文本首行缩进 字符"/>
    <w:uiPriority w:val="0"/>
    <w:rPr>
      <w:rFonts w:ascii="宋体"/>
      <w:kern w:val="2"/>
      <w:sz w:val="24"/>
      <w:lang w:val="zh-CN"/>
    </w:rPr>
  </w:style>
  <w:style w:type="character" w:customStyle="1" w:styleId="446">
    <w:name w:val="正文文本首行缩进 2 字符"/>
    <w:link w:val="447"/>
    <w:uiPriority w:val="0"/>
    <w:rPr>
      <w:rFonts w:ascii="宋体" w:hAnsi="宋体"/>
      <w:kern w:val="2"/>
      <w:sz w:val="21"/>
      <w:szCs w:val="24"/>
    </w:rPr>
  </w:style>
  <w:style w:type="paragraph" w:customStyle="1" w:styleId="447">
    <w:name w:val="_Style 905"/>
    <w:basedOn w:val="1"/>
    <w:next w:val="385"/>
    <w:link w:val="446"/>
    <w:qFormat/>
    <w:uiPriority w:val="0"/>
    <w:pPr>
      <w:spacing w:line="360" w:lineRule="auto"/>
      <w:ind w:firstLine="200" w:firstLineChars="200"/>
    </w:pPr>
    <w:rPr>
      <w:rFonts w:ascii="宋体" w:hAnsi="宋体"/>
    </w:rPr>
  </w:style>
  <w:style w:type="paragraph" w:customStyle="1" w:styleId="448">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49">
    <w:name w:val="xl74"/>
    <w:basedOn w:val="1"/>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50">
    <w:name w:val="xl73"/>
    <w:basedOn w:val="1"/>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51">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52">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453">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54">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455">
    <w:name w:val="xl80"/>
    <w:basedOn w:val="1"/>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456">
    <w:name w:val="WW-正文文字缩进 2"/>
    <w:basedOn w:val="1"/>
    <w:uiPriority w:val="0"/>
    <w:pPr>
      <w:suppressAutoHyphens/>
      <w:adjustRightInd/>
      <w:ind w:firstLine="420"/>
    </w:pPr>
    <w:rPr>
      <w:kern w:val="1"/>
      <w:szCs w:val="20"/>
      <w:lang/>
    </w:rPr>
  </w:style>
  <w:style w:type="paragraph" w:customStyle="1" w:styleId="457">
    <w:name w:val="样式1 + (中宋体"/>
    <w:basedOn w:val="458"/>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458">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59">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460">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461">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462">
    <w:name w:val="章标题"/>
    <w:next w:val="463"/>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463">
    <w:name w:val="段"/>
    <w:qFormat/>
    <w:uiPriority w:val="0"/>
    <w:pPr>
      <w:autoSpaceDE w:val="0"/>
      <w:autoSpaceDN w:val="0"/>
      <w:ind w:firstLine="200" w:firstLineChars="200"/>
      <w:jc w:val="both"/>
    </w:pPr>
    <w:rPr>
      <w:rFonts w:ascii="宋体"/>
      <w:sz w:val="21"/>
      <w:lang w:val="en-US" w:eastAsia="zh-CN" w:bidi="ar-SA"/>
    </w:rPr>
  </w:style>
  <w:style w:type="paragraph" w:customStyle="1" w:styleId="4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65">
    <w:name w:val="样式 左侧:  0.85 厘米"/>
    <w:basedOn w:val="1"/>
    <w:uiPriority w:val="2"/>
    <w:pPr>
      <w:adjustRightInd/>
      <w:spacing w:line="360" w:lineRule="auto"/>
    </w:pPr>
    <w:rPr>
      <w:rFonts w:cs="宋体"/>
      <w:sz w:val="24"/>
      <w:szCs w:val="20"/>
    </w:rPr>
  </w:style>
  <w:style w:type="paragraph" w:customStyle="1" w:styleId="466">
    <w:name w:val="Char23"/>
    <w:basedOn w:val="1"/>
    <w:uiPriority w:val="0"/>
    <w:rPr>
      <w:rFonts w:ascii="仿宋_GB2312" w:eastAsia="仿宋_GB2312"/>
      <w:b/>
      <w:sz w:val="32"/>
      <w:szCs w:val="32"/>
    </w:rPr>
  </w:style>
  <w:style w:type="paragraph" w:customStyle="1" w:styleId="467">
    <w:name w:val="subhead 2"/>
    <w:uiPriority w:val="0"/>
    <w:pPr>
      <w:spacing w:after="60" w:line="240" w:lineRule="exact"/>
    </w:pPr>
    <w:rPr>
      <w:rFonts w:ascii="Arial" w:hAnsi="Arial"/>
      <w:b/>
      <w:sz w:val="22"/>
      <w:lang w:val="en-US" w:eastAsia="en-US" w:bidi="ar-SA"/>
    </w:rPr>
  </w:style>
  <w:style w:type="paragraph" w:customStyle="1" w:styleId="468">
    <w:name w:val=" Char Char1 Char Char Char"/>
    <w:basedOn w:val="1"/>
    <w:uiPriority w:val="0"/>
    <w:rPr>
      <w:rFonts w:ascii="仿宋_GB2312" w:eastAsia="仿宋_GB2312"/>
      <w:b/>
      <w:sz w:val="32"/>
      <w:szCs w:val="32"/>
    </w:rPr>
  </w:style>
  <w:style w:type="paragraph" w:customStyle="1" w:styleId="469">
    <w:name w:val="Char31"/>
    <w:basedOn w:val="1"/>
    <w:uiPriority w:val="0"/>
    <w:pPr>
      <w:adjustRightInd/>
    </w:pPr>
    <w:rPr>
      <w:rFonts w:ascii="仿宋_GB2312" w:eastAsia="仿宋_GB2312"/>
      <w:b/>
      <w:sz w:val="32"/>
      <w:szCs w:val="32"/>
    </w:rPr>
  </w:style>
  <w:style w:type="paragraph" w:customStyle="1" w:styleId="470">
    <w:name w:val="Char Char1 Char1"/>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471">
    <w:name w:val="Char Char11 Char Char Char Char Char Char Char Char Char Char Char Char Char11"/>
    <w:basedOn w:val="1"/>
    <w:uiPriority w:val="6"/>
    <w:pPr>
      <w:adjustRightInd/>
      <w:spacing w:line="360" w:lineRule="auto"/>
    </w:pPr>
    <w:rPr>
      <w:rFonts w:ascii="Arial" w:hAnsi="Arial" w:eastAsia="黑体" w:cs="Arial"/>
      <w:snapToGrid w:val="0"/>
      <w:kern w:val="0"/>
      <w:szCs w:val="21"/>
    </w:rPr>
  </w:style>
  <w:style w:type="paragraph" w:customStyle="1" w:styleId="472">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styleId="473">
    <w:name w:val="No Spacing"/>
    <w:qFormat/>
    <w:uiPriority w:val="0"/>
    <w:pPr>
      <w:widowControl w:val="0"/>
      <w:jc w:val="both"/>
    </w:pPr>
    <w:rPr>
      <w:kern w:val="2"/>
      <w:sz w:val="21"/>
      <w:szCs w:val="22"/>
      <w:lang w:val="en-US" w:eastAsia="zh-CN" w:bidi="ar-SA"/>
    </w:rPr>
  </w:style>
  <w:style w:type="paragraph" w:customStyle="1" w:styleId="474">
    <w:name w:val="Char3 Char Char1"/>
    <w:basedOn w:val="1"/>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5">
    <w:name w:val="正文首行缩进1"/>
    <w:basedOn w:val="23"/>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476">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477">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478">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479">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480">
    <w:name w:val="方形箭头"/>
    <w:basedOn w:val="1"/>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81">
    <w:name w:val="Char Char Char Char Char Char Char Char Char Char Char Char1 Char"/>
    <w:basedOn w:val="1"/>
    <w:uiPriority w:val="0"/>
    <w:rPr>
      <w:rFonts w:ascii="Tahoma" w:hAnsi="Tahoma" w:cs="仿宋_GB2312"/>
      <w:sz w:val="24"/>
      <w:szCs w:val="20"/>
    </w:rPr>
  </w:style>
  <w:style w:type="paragraph" w:customStyle="1" w:styleId="482">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483">
    <w:name w:val="Char1 Char Char Char1"/>
    <w:basedOn w:val="1"/>
    <w:uiPriority w:val="0"/>
    <w:pPr>
      <w:adjustRightInd/>
      <w:ind w:firstLine="200" w:firstLineChars="200"/>
    </w:pPr>
    <w:rPr>
      <w:rFonts w:ascii="Tahoma" w:hAnsi="Tahoma"/>
      <w:sz w:val="24"/>
      <w:szCs w:val="20"/>
    </w:rPr>
  </w:style>
  <w:style w:type="paragraph" w:customStyle="1" w:styleId="484">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85">
    <w:name w:val="xl7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6">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7">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88">
    <w:name w:val="Char Char Char Char Char Char Char Char Char Char1"/>
    <w:basedOn w:val="1"/>
    <w:uiPriority w:val="0"/>
    <w:rPr>
      <w:rFonts w:ascii="仿宋_GB2312" w:eastAsia="仿宋_GB2312"/>
      <w:b/>
      <w:sz w:val="32"/>
      <w:szCs w:val="32"/>
    </w:rPr>
  </w:style>
  <w:style w:type="paragraph" w:customStyle="1" w:styleId="489">
    <w:name w:val="Body Text 21"/>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90">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91">
    <w:name w:val="索引 11"/>
    <w:basedOn w:val="1"/>
    <w:next w:val="1"/>
    <w:qFormat/>
    <w:uiPriority w:val="0"/>
    <w:pPr>
      <w:adjustRightInd/>
      <w:spacing w:line="360" w:lineRule="auto"/>
    </w:pPr>
    <w:rPr>
      <w:rFonts w:ascii="仿宋_GB2312" w:eastAsia="仿宋_GB2312"/>
      <w:sz w:val="24"/>
      <w:szCs w:val="20"/>
    </w:rPr>
  </w:style>
  <w:style w:type="paragraph" w:customStyle="1" w:styleId="492">
    <w:name w:val="数字标题1"/>
    <w:basedOn w:val="2"/>
    <w:next w:val="1"/>
    <w:uiPriority w:val="0"/>
    <w:pPr>
      <w:numPr>
        <w:ilvl w:val="0"/>
        <w:numId w:val="7"/>
      </w:numPr>
    </w:pPr>
  </w:style>
  <w:style w:type="paragraph" w:customStyle="1" w:styleId="493">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94">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495">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96">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497">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98">
    <w:name w:val="Bulleted List"/>
    <w:basedOn w:val="1"/>
    <w:uiPriority w:val="0"/>
    <w:pPr>
      <w:tabs>
        <w:tab w:val="left" w:pos="1260"/>
      </w:tabs>
      <w:adjustRightInd/>
      <w:ind w:left="1260" w:hanging="420"/>
    </w:pPr>
  </w:style>
  <w:style w:type="paragraph" w:customStyle="1" w:styleId="499">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0">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01">
    <w:name w:val="列出段落5"/>
    <w:basedOn w:val="1"/>
    <w:qFormat/>
    <w:uiPriority w:val="0"/>
    <w:pPr>
      <w:spacing w:line="360" w:lineRule="auto"/>
      <w:ind w:firstLine="200" w:firstLineChars="200"/>
    </w:pPr>
    <w:rPr>
      <w:rFonts w:eastAsia="楷体_GB2312" w:cs="Lucida Sans"/>
      <w:sz w:val="24"/>
    </w:rPr>
  </w:style>
  <w:style w:type="paragraph" w:customStyle="1" w:styleId="502">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503">
    <w:name w:val="Char Char1 Char Char Char Char Char Char1"/>
    <w:basedOn w:val="1"/>
    <w:uiPriority w:val="0"/>
    <w:rPr>
      <w:rFonts w:ascii="仿宋_GB2312" w:eastAsia="仿宋_GB2312"/>
      <w:b/>
      <w:sz w:val="32"/>
      <w:szCs w:val="20"/>
    </w:rPr>
  </w:style>
  <w:style w:type="paragraph" w:customStyle="1" w:styleId="504">
    <w:name w:val="Char Char1"/>
    <w:basedOn w:val="1"/>
    <w:uiPriority w:val="0"/>
    <w:pPr>
      <w:widowControl/>
      <w:spacing w:after="160" w:afterLines="0" w:line="240" w:lineRule="exact"/>
      <w:jc w:val="left"/>
    </w:pPr>
    <w:rPr>
      <w:rFonts w:eastAsia="仿宋_GB2312"/>
      <w:sz w:val="28"/>
    </w:rPr>
  </w:style>
  <w:style w:type="paragraph" w:customStyle="1" w:styleId="505">
    <w:name w:val="无间隔*"/>
    <w:uiPriority w:val="0"/>
    <w:pPr>
      <w:widowControl w:val="0"/>
      <w:jc w:val="both"/>
    </w:pPr>
    <w:rPr>
      <w:rFonts w:cs="Calibri"/>
      <w:color w:val="000000"/>
      <w:kern w:val="1"/>
      <w:sz w:val="21"/>
      <w:szCs w:val="22"/>
      <w:lang w:val="en-US" w:eastAsia="zh-CN" w:bidi="ar-SA"/>
    </w:rPr>
  </w:style>
  <w:style w:type="paragraph" w:customStyle="1" w:styleId="506">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507">
    <w:name w:val="MM Topic 1"/>
    <w:basedOn w:val="2"/>
    <w:uiPriority w:val="0"/>
    <w:pPr>
      <w:numPr>
        <w:ilvl w:val="0"/>
        <w:numId w:val="0"/>
      </w:numPr>
      <w:tabs>
        <w:tab w:val="left" w:pos="840"/>
      </w:tabs>
      <w:adjustRightInd/>
      <w:ind w:left="840" w:hanging="420"/>
    </w:pPr>
  </w:style>
  <w:style w:type="paragraph" w:customStyle="1" w:styleId="508">
    <w:name w:val="金宏发行正文"/>
    <w:basedOn w:val="1"/>
    <w:uiPriority w:val="0"/>
    <w:pPr>
      <w:adjustRightInd/>
      <w:spacing w:line="500" w:lineRule="exact"/>
      <w:ind w:firstLine="560" w:firstLineChars="200"/>
    </w:pPr>
    <w:rPr>
      <w:rFonts w:eastAsia="仿宋_GB2312"/>
      <w:sz w:val="28"/>
      <w:szCs w:val="20"/>
    </w:rPr>
  </w:style>
  <w:style w:type="paragraph" w:customStyle="1" w:styleId="509">
    <w:name w:val="正文文本 2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10">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511">
    <w:name w:val="xl6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12">
    <w:name w:val="Char Char"/>
    <w:basedOn w:val="1"/>
    <w:uiPriority w:val="0"/>
    <w:pPr>
      <w:spacing w:line="360" w:lineRule="auto"/>
    </w:pPr>
    <w:rPr>
      <w:rFonts w:ascii="Tahoma" w:hAnsi="Tahoma"/>
      <w:sz w:val="24"/>
      <w:szCs w:val="20"/>
    </w:rPr>
  </w:style>
  <w:style w:type="paragraph" w:customStyle="1" w:styleId="513">
    <w:name w:val="正文文字缩进项目"/>
    <w:basedOn w:val="24"/>
    <w:uiPriority w:val="0"/>
    <w:pPr>
      <w:tabs>
        <w:tab w:val="left" w:pos="840"/>
      </w:tabs>
      <w:adjustRightInd/>
      <w:spacing w:after="120" w:line="240" w:lineRule="auto"/>
      <w:ind w:hanging="420" w:firstLineChars="0"/>
    </w:pPr>
    <w:rPr>
      <w:rFonts w:ascii="Tahoma" w:hAnsi="Tahoma"/>
      <w:sz w:val="22"/>
      <w:szCs w:val="20"/>
    </w:rPr>
  </w:style>
  <w:style w:type="paragraph" w:customStyle="1" w:styleId="514">
    <w:name w:val="Char3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515">
    <w:name w:val=" Char Char Char Char Char Char Char Char Char Char"/>
    <w:basedOn w:val="1"/>
    <w:uiPriority w:val="0"/>
    <w:rPr>
      <w:rFonts w:ascii="仿宋_GB2312" w:eastAsia="仿宋_GB2312"/>
      <w:b/>
      <w:sz w:val="32"/>
      <w:szCs w:val="32"/>
    </w:rPr>
  </w:style>
  <w:style w:type="paragraph" w:customStyle="1" w:styleId="51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17">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518">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519">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20">
    <w:name w:val="xl6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1">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522">
    <w:name w:val="Char Char Char Char Char Char Char1"/>
    <w:basedOn w:val="1"/>
    <w:uiPriority w:val="6"/>
    <w:rPr>
      <w:rFonts w:ascii="仿宋_GB2312" w:eastAsia="仿宋_GB2312"/>
      <w:b/>
      <w:sz w:val="32"/>
      <w:szCs w:val="32"/>
    </w:rPr>
  </w:style>
  <w:style w:type="paragraph" w:customStyle="1" w:styleId="523">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524">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525">
    <w:name w:val="图中文字"/>
    <w:basedOn w:val="1"/>
    <w:uiPriority w:val="0"/>
    <w:pPr>
      <w:snapToGrid w:val="0"/>
      <w:spacing w:line="0" w:lineRule="atLeast"/>
      <w:ind w:firstLine="200" w:firstLineChars="200"/>
      <w:jc w:val="center"/>
    </w:pPr>
    <w:rPr>
      <w:sz w:val="24"/>
      <w:szCs w:val="20"/>
    </w:rPr>
  </w:style>
  <w:style w:type="paragraph" w:customStyle="1" w:styleId="526">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527">
    <w:name w:val="List Paragraph*"/>
    <w:basedOn w:val="1"/>
    <w:uiPriority w:val="7"/>
    <w:pPr>
      <w:adjustRightInd/>
      <w:spacing w:line="360" w:lineRule="auto"/>
      <w:ind w:firstLine="420"/>
    </w:pPr>
    <w:rPr>
      <w:rFonts w:ascii="Calibri" w:hAnsi="Calibri" w:cs="Calibri"/>
      <w:color w:val="000000"/>
      <w:kern w:val="1"/>
      <w:sz w:val="24"/>
      <w:szCs w:val="22"/>
    </w:rPr>
  </w:style>
  <w:style w:type="paragraph" w:customStyle="1" w:styleId="528">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30">
    <w:name w:val=" Char3"/>
    <w:basedOn w:val="1"/>
    <w:uiPriority w:val="0"/>
    <w:pPr>
      <w:adjustRightInd/>
    </w:pPr>
    <w:rPr>
      <w:rFonts w:ascii="仿宋_GB2312" w:eastAsia="仿宋_GB2312"/>
      <w:b/>
      <w:sz w:val="32"/>
      <w:szCs w:val="32"/>
    </w:rPr>
  </w:style>
  <w:style w:type="paragraph" w:customStyle="1" w:styleId="531">
    <w:name w:val=" Char Char1"/>
    <w:basedOn w:val="1"/>
    <w:uiPriority w:val="0"/>
    <w:pPr>
      <w:widowControl/>
      <w:spacing w:after="160" w:afterLines="0" w:line="240" w:lineRule="exact"/>
      <w:jc w:val="left"/>
    </w:pPr>
    <w:rPr>
      <w:rFonts w:eastAsia="仿宋_GB2312"/>
      <w:sz w:val="28"/>
    </w:rPr>
  </w:style>
  <w:style w:type="paragraph" w:customStyle="1" w:styleId="532">
    <w:name w:val="Char Char Char Char Char Char1"/>
    <w:basedOn w:val="1"/>
    <w:uiPriority w:val="6"/>
    <w:pPr>
      <w:widowControl/>
      <w:spacing w:beforeLines="50" w:afterLines="50" w:line="240" w:lineRule="exact"/>
      <w:jc w:val="left"/>
    </w:pPr>
    <w:rPr>
      <w:rFonts w:ascii="Verdana" w:hAnsi="Verdana"/>
      <w:kern w:val="0"/>
      <w:sz w:val="20"/>
      <w:szCs w:val="20"/>
      <w:lang w:eastAsia="en-US"/>
    </w:rPr>
  </w:style>
  <w:style w:type="paragraph" w:customStyle="1" w:styleId="533">
    <w:name w:val="正文（标题三）"/>
    <w:basedOn w:val="1"/>
    <w:uiPriority w:val="0"/>
    <w:pPr>
      <w:spacing w:line="360" w:lineRule="auto"/>
      <w:ind w:firstLine="200" w:firstLineChars="200"/>
    </w:pPr>
    <w:rPr>
      <w:sz w:val="24"/>
    </w:rPr>
  </w:style>
  <w:style w:type="paragraph" w:customStyle="1" w:styleId="534">
    <w:name w:val="默认段落字体 Para Char"/>
    <w:basedOn w:val="1"/>
    <w:uiPriority w:val="0"/>
    <w:rPr>
      <w:rFonts w:ascii="Tahoma" w:hAnsi="Tahoma"/>
      <w:sz w:val="24"/>
      <w:szCs w:val="20"/>
    </w:rPr>
  </w:style>
  <w:style w:type="paragraph" w:customStyle="1" w:styleId="535">
    <w:name w:val="正文文字格式"/>
    <w:basedOn w:val="1"/>
    <w:uiPriority w:val="0"/>
    <w:pPr>
      <w:adjustRightInd/>
      <w:spacing w:line="460" w:lineRule="exact"/>
      <w:ind w:firstLine="505"/>
      <w:jc w:val="left"/>
    </w:pPr>
    <w:rPr>
      <w:rFonts w:ascii="宋体"/>
      <w:kern w:val="24"/>
      <w:sz w:val="24"/>
      <w:szCs w:val="20"/>
    </w:rPr>
  </w:style>
  <w:style w:type="paragraph" w:customStyle="1" w:styleId="536">
    <w:name w:val="xl8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单元格居中"/>
    <w:basedOn w:val="1"/>
    <w:uiPriority w:val="0"/>
    <w:pPr>
      <w:adjustRightInd/>
      <w:spacing w:line="360" w:lineRule="auto"/>
      <w:jc w:val="center"/>
    </w:pPr>
    <w:rPr>
      <w:sz w:val="24"/>
    </w:rPr>
  </w:style>
  <w:style w:type="paragraph" w:customStyle="1" w:styleId="538">
    <w:name w:val="xl9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39">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40">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541">
    <w:name w:val="样式7"/>
    <w:basedOn w:val="542"/>
    <w:next w:val="1"/>
    <w:qFormat/>
    <w:uiPriority w:val="0"/>
    <w:pPr>
      <w:spacing w:after="156" w:afterLines="50"/>
      <w:jc w:val="left"/>
      <w:outlineLvl w:val="3"/>
    </w:pPr>
    <w:rPr>
      <w:sz w:val="24"/>
      <w:szCs w:val="24"/>
    </w:rPr>
  </w:style>
  <w:style w:type="paragraph" w:customStyle="1" w:styleId="5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43">
    <w:name w:val=" Char Char Char Char Char Char Char Char"/>
    <w:basedOn w:val="1"/>
    <w:uiPriority w:val="0"/>
    <w:pPr>
      <w:tabs>
        <w:tab w:val="left" w:pos="360"/>
      </w:tabs>
    </w:pPr>
    <w:rPr>
      <w:sz w:val="24"/>
      <w:szCs w:val="20"/>
    </w:rPr>
  </w:style>
  <w:style w:type="paragraph" w:customStyle="1" w:styleId="544">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45">
    <w:name w:val="模板普通正文"/>
    <w:basedOn w:val="24"/>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546">
    <w:name w:val="xl9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47">
    <w:name w:val="注释"/>
    <w:basedOn w:val="1"/>
    <w:uiPriority w:val="0"/>
    <w:pPr>
      <w:adjustRightInd/>
      <w:spacing w:line="360" w:lineRule="auto"/>
      <w:ind w:firstLine="480"/>
    </w:pPr>
    <w:rPr>
      <w:sz w:val="24"/>
    </w:rPr>
  </w:style>
  <w:style w:type="paragraph" w:customStyle="1" w:styleId="548">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549">
    <w:name w:val="4"/>
    <w:basedOn w:val="1"/>
    <w:next w:val="36"/>
    <w:uiPriority w:val="0"/>
    <w:pPr>
      <w:spacing w:after="120" w:afterLines="0" w:line="480" w:lineRule="auto"/>
      <w:ind w:left="420" w:leftChars="200"/>
    </w:pPr>
    <w:rPr>
      <w:sz w:val="24"/>
      <w:szCs w:val="20"/>
    </w:rPr>
  </w:style>
  <w:style w:type="paragraph" w:customStyle="1" w:styleId="550">
    <w:name w:val=" Char Char Char Char Char Char Char Char Char Char Char Char1 Char"/>
    <w:basedOn w:val="1"/>
    <w:uiPriority w:val="0"/>
    <w:rPr>
      <w:rFonts w:ascii="Tahoma" w:hAnsi="Tahoma" w:cs="仿宋_GB2312"/>
      <w:sz w:val="24"/>
      <w:szCs w:val="20"/>
    </w:rPr>
  </w:style>
  <w:style w:type="paragraph" w:customStyle="1" w:styleId="551">
    <w:name w:val=" Char Char Char Char"/>
    <w:basedOn w:val="1"/>
    <w:uiPriority w:val="0"/>
    <w:rPr>
      <w:rFonts w:ascii="Tahoma" w:hAnsi="Tahoma"/>
      <w:sz w:val="24"/>
      <w:szCs w:val="20"/>
    </w:rPr>
  </w:style>
  <w:style w:type="paragraph" w:customStyle="1" w:styleId="5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53">
    <w:name w:val="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554">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555">
    <w:name w:val="Char Char Char Char Char Char Char Char Char Char Char Char1 Char1"/>
    <w:basedOn w:val="1"/>
    <w:uiPriority w:val="6"/>
    <w:rPr>
      <w:rFonts w:ascii="Tahoma" w:hAnsi="Tahoma" w:cs="仿宋_GB2312"/>
      <w:sz w:val="24"/>
      <w:szCs w:val="20"/>
    </w:rPr>
  </w:style>
  <w:style w:type="paragraph" w:customStyle="1" w:styleId="556">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557">
    <w:name w:val="封面公司名"/>
    <w:uiPriority w:val="0"/>
    <w:pPr>
      <w:jc w:val="center"/>
    </w:pPr>
    <w:rPr>
      <w:rFonts w:ascii="Arial" w:hAnsi="Arial" w:eastAsia="楷体_GB2312" w:cs="宋体"/>
      <w:bCs/>
      <w:kern w:val="2"/>
      <w:sz w:val="28"/>
      <w:lang w:val="en-US" w:eastAsia="zh-CN" w:bidi="ar-SA"/>
    </w:rPr>
  </w:style>
  <w:style w:type="paragraph" w:customStyle="1" w:styleId="558">
    <w:name w:val="样式 宋体 三号 加粗 居中"/>
    <w:basedOn w:val="1"/>
    <w:uiPriority w:val="0"/>
    <w:pPr>
      <w:adjustRightInd/>
      <w:spacing w:line="360" w:lineRule="auto"/>
      <w:jc w:val="center"/>
    </w:pPr>
    <w:rPr>
      <w:rFonts w:ascii="宋体" w:hAnsi="宋体" w:cs="宋体"/>
      <w:b/>
      <w:bCs/>
      <w:sz w:val="24"/>
      <w:szCs w:val="20"/>
    </w:rPr>
  </w:style>
  <w:style w:type="paragraph" w:customStyle="1" w:styleId="559">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60">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61">
    <w:name w:val="Char21"/>
    <w:basedOn w:val="1"/>
    <w:uiPriority w:val="0"/>
    <w:pPr>
      <w:adjustRightInd/>
      <w:ind w:firstLine="200" w:firstLineChars="200"/>
    </w:pPr>
    <w:rPr>
      <w:rFonts w:ascii="仿宋_GB2312" w:eastAsia="仿宋_GB2312"/>
      <w:b/>
      <w:sz w:val="32"/>
      <w:szCs w:val="32"/>
    </w:rPr>
  </w:style>
  <w:style w:type="paragraph" w:customStyle="1" w:styleId="562">
    <w:name w:val="Char Char1 Char Char Char1"/>
    <w:basedOn w:val="1"/>
    <w:uiPriority w:val="6"/>
    <w:rPr>
      <w:rFonts w:ascii="仿宋_GB2312" w:eastAsia="仿宋_GB2312"/>
      <w:b/>
      <w:sz w:val="32"/>
      <w:szCs w:val="20"/>
    </w:rPr>
  </w:style>
  <w:style w:type="paragraph" w:customStyle="1" w:styleId="563">
    <w:name w:val="正文文字缩进2字"/>
    <w:basedOn w:val="23"/>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564">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565">
    <w:name w:val="Char Char11 Char Char Char Char Char Char Char Char Char"/>
    <w:basedOn w:val="1"/>
    <w:uiPriority w:val="0"/>
    <w:pPr>
      <w:spacing w:line="360" w:lineRule="auto"/>
    </w:pPr>
    <w:rPr>
      <w:szCs w:val="20"/>
    </w:rPr>
  </w:style>
  <w:style w:type="paragraph" w:customStyle="1" w:styleId="566">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67">
    <w:name w:val="xl8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8">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569">
    <w:name w:val="Char111"/>
    <w:basedOn w:val="1"/>
    <w:uiPriority w:val="0"/>
    <w:rPr>
      <w:rFonts w:ascii="仿宋_GB2312" w:eastAsia="仿宋_GB2312"/>
      <w:b/>
      <w:sz w:val="32"/>
      <w:szCs w:val="32"/>
    </w:rPr>
  </w:style>
  <w:style w:type="paragraph" w:customStyle="1" w:styleId="570">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571">
    <w:name w:val="修订2"/>
    <w:uiPriority w:val="0"/>
    <w:rPr>
      <w:kern w:val="2"/>
      <w:sz w:val="21"/>
      <w:lang w:val="en-US" w:eastAsia="zh-CN" w:bidi="ar-SA"/>
    </w:rPr>
  </w:style>
  <w:style w:type="paragraph" w:customStyle="1" w:styleId="572">
    <w:name w:val="样式 列表编号 + 段后: 0.5 行"/>
    <w:basedOn w:val="14"/>
    <w:uiPriority w:val="2"/>
    <w:pPr>
      <w:tabs>
        <w:tab w:val="clear" w:pos="390"/>
        <w:tab w:val="clear" w:pos="454"/>
      </w:tabs>
      <w:spacing w:after="0"/>
      <w:ind w:left="840" w:hanging="420"/>
      <w:contextualSpacing/>
    </w:pPr>
    <w:rPr>
      <w:rFonts w:cs="宋体"/>
    </w:rPr>
  </w:style>
  <w:style w:type="paragraph" w:customStyle="1" w:styleId="573">
    <w:name w:val="List Paragraph1"/>
    <w:basedOn w:val="1"/>
    <w:qFormat/>
    <w:uiPriority w:val="34"/>
    <w:pPr>
      <w:spacing w:line="360" w:lineRule="auto"/>
      <w:ind w:firstLine="200" w:firstLineChars="200"/>
    </w:pPr>
    <w:rPr>
      <w:rFonts w:eastAsia="楷体_GB2312" w:cs="Lucida Sans"/>
      <w:sz w:val="24"/>
    </w:rPr>
  </w:style>
  <w:style w:type="paragraph" w:customStyle="1" w:styleId="574">
    <w:name w:val="样式 标题 2标题2H2Heading 2 HiddenHeading 2 CCBSheading 22nd lev..."/>
    <w:basedOn w:val="3"/>
    <w:uiPriority w:val="0"/>
    <w:pPr>
      <w:widowControl/>
      <w:spacing w:before="260" w:after="260" w:line="416" w:lineRule="auto"/>
      <w:ind w:left="0" w:firstLine="0"/>
    </w:pPr>
    <w:rPr>
      <w:rFonts w:ascii="Arial" w:hAnsi="Arial" w:eastAsia="黑体"/>
      <w:sz w:val="30"/>
      <w:szCs w:val="21"/>
    </w:rPr>
  </w:style>
  <w:style w:type="paragraph" w:customStyle="1" w:styleId="575">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76">
    <w:name w:val="二级条标题"/>
    <w:basedOn w:val="577"/>
    <w:next w:val="463"/>
    <w:uiPriority w:val="0"/>
    <w:pPr>
      <w:tabs>
        <w:tab w:val="left" w:pos="2100"/>
      </w:tabs>
      <w:ind w:left="0"/>
      <w:outlineLvl w:val="3"/>
    </w:pPr>
  </w:style>
  <w:style w:type="paragraph" w:customStyle="1" w:styleId="577">
    <w:name w:val="一级条标题"/>
    <w:basedOn w:val="462"/>
    <w:next w:val="463"/>
    <w:uiPriority w:val="0"/>
    <w:pPr>
      <w:tabs>
        <w:tab w:val="left" w:pos="1680"/>
        <w:tab w:val="clear" w:pos="1260"/>
      </w:tabs>
      <w:spacing w:before="0" w:beforeLines="0" w:after="0" w:afterLines="0"/>
      <w:ind w:left="1680"/>
      <w:outlineLvl w:val="2"/>
    </w:pPr>
  </w:style>
  <w:style w:type="paragraph" w:customStyle="1" w:styleId="578">
    <w:name w:val="默认段落样式"/>
    <w:basedOn w:val="237"/>
    <w:qFormat/>
    <w:uiPriority w:val="0"/>
    <w:pPr>
      <w:spacing w:before="0" w:beforeLines="0"/>
      <w:ind w:firstLine="480"/>
      <w:outlineLvl w:val="2"/>
    </w:pPr>
    <w:rPr>
      <w:rFonts w:ascii="仿宋_GB2312" w:hAnsi="宋体" w:eastAsia="仿宋_GB2312"/>
      <w:color w:val="000000"/>
      <w:szCs w:val="24"/>
    </w:rPr>
  </w:style>
  <w:style w:type="paragraph" w:customStyle="1" w:styleId="579">
    <w:name w:val="Char Char Char1 Char"/>
    <w:basedOn w:val="1"/>
    <w:uiPriority w:val="0"/>
    <w:rPr>
      <w:szCs w:val="20"/>
    </w:rPr>
  </w:style>
  <w:style w:type="paragraph" w:customStyle="1" w:styleId="580">
    <w:name w:val="xl7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1">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2">
    <w:name w:val="Char Char Char Char11"/>
    <w:basedOn w:val="1"/>
    <w:uiPriority w:val="0"/>
    <w:rPr>
      <w:rFonts w:ascii="Tahoma" w:hAnsi="Tahoma"/>
      <w:sz w:val="24"/>
      <w:szCs w:val="20"/>
    </w:rPr>
  </w:style>
  <w:style w:type="paragraph" w:customStyle="1" w:styleId="583">
    <w:name w:val="表格文字"/>
    <w:basedOn w:val="1"/>
    <w:next w:val="15"/>
    <w:uiPriority w:val="0"/>
    <w:pPr>
      <w:adjustRightInd/>
      <w:ind w:firstLine="200" w:firstLineChars="200"/>
    </w:pPr>
    <w:rPr>
      <w:rFonts w:ascii="Arial" w:hAnsi="Arial"/>
      <w:spacing w:val="-5"/>
      <w:kern w:val="0"/>
      <w:sz w:val="24"/>
      <w:szCs w:val="20"/>
    </w:rPr>
  </w:style>
  <w:style w:type="paragraph" w:customStyle="1" w:styleId="584">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585">
    <w:name w:val="列出段落4"/>
    <w:basedOn w:val="1"/>
    <w:uiPriority w:val="0"/>
    <w:pPr>
      <w:adjustRightInd/>
      <w:spacing w:line="360" w:lineRule="auto"/>
      <w:ind w:firstLine="420" w:firstLineChars="200"/>
    </w:pPr>
    <w:rPr>
      <w:rFonts w:ascii="Calibri" w:hAnsi="Calibri"/>
      <w:sz w:val="24"/>
      <w:szCs w:val="22"/>
    </w:rPr>
  </w:style>
  <w:style w:type="paragraph" w:customStyle="1" w:styleId="586">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87">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588">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589">
    <w:name w:val="Char Char111"/>
    <w:basedOn w:val="1"/>
    <w:uiPriority w:val="0"/>
    <w:pPr>
      <w:spacing w:line="360" w:lineRule="auto"/>
    </w:pPr>
    <w:rPr>
      <w:szCs w:val="20"/>
    </w:rPr>
  </w:style>
  <w:style w:type="paragraph" w:customStyle="1" w:styleId="590">
    <w:name w:val="xl7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91">
    <w:name w:val="正文文字表格居中"/>
    <w:basedOn w:val="1"/>
    <w:next w:val="54"/>
    <w:uiPriority w:val="0"/>
    <w:pPr>
      <w:snapToGrid w:val="0"/>
      <w:spacing w:line="360" w:lineRule="auto"/>
    </w:pPr>
    <w:rPr>
      <w:rFonts w:ascii="宋体"/>
      <w:b/>
      <w:sz w:val="24"/>
      <w:szCs w:val="20"/>
    </w:rPr>
  </w:style>
  <w:style w:type="paragraph" w:customStyle="1" w:styleId="592">
    <w:name w:val="Char Char Char Char Char Char Char Char Char Char"/>
    <w:basedOn w:val="1"/>
    <w:uiPriority w:val="0"/>
    <w:rPr>
      <w:rFonts w:ascii="仿宋_GB2312" w:eastAsia="仿宋_GB2312"/>
      <w:b/>
      <w:sz w:val="32"/>
      <w:szCs w:val="32"/>
    </w:rPr>
  </w:style>
  <w:style w:type="paragraph" w:customStyle="1" w:styleId="593">
    <w:name w:val="Char2"/>
    <w:basedOn w:val="1"/>
    <w:uiPriority w:val="0"/>
    <w:rPr>
      <w:rFonts w:ascii="仿宋_GB2312" w:eastAsia="仿宋_GB2312"/>
      <w:b/>
      <w:sz w:val="32"/>
      <w:szCs w:val="32"/>
    </w:rPr>
  </w:style>
  <w:style w:type="paragraph" w:styleId="594">
    <w:name w:val=""/>
    <w:uiPriority w:val="0"/>
    <w:rPr>
      <w:kern w:val="2"/>
      <w:sz w:val="21"/>
      <w:lang w:val="en-US" w:eastAsia="zh-CN" w:bidi="ar-SA"/>
    </w:rPr>
  </w:style>
  <w:style w:type="paragraph" w:customStyle="1" w:styleId="595">
    <w:name w:val="样式 标题 4PIM 4H4h4bulletblbbH41H42H43H44H45H46H47H48...1"/>
    <w:basedOn w:val="5"/>
    <w:uiPriority w:val="0"/>
    <w:pPr>
      <w:widowControl/>
      <w:jc w:val="left"/>
    </w:pPr>
    <w:rPr>
      <w:rFonts w:cs="宋体"/>
      <w:sz w:val="24"/>
      <w:szCs w:val="20"/>
    </w:rPr>
  </w:style>
  <w:style w:type="paragraph" w:customStyle="1" w:styleId="596">
    <w:name w:val="FA正文"/>
    <w:basedOn w:val="1"/>
    <w:uiPriority w:val="0"/>
    <w:pPr>
      <w:spacing w:line="360" w:lineRule="auto"/>
      <w:ind w:firstLine="480" w:firstLineChars="200"/>
    </w:pPr>
    <w:rPr>
      <w:rFonts w:hAnsi="宋体"/>
      <w:sz w:val="24"/>
      <w:szCs w:val="20"/>
    </w:rPr>
  </w:style>
  <w:style w:type="paragraph" w:customStyle="1" w:styleId="597">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598">
    <w:name w:val="subhead"/>
    <w:uiPriority w:val="0"/>
    <w:pPr>
      <w:spacing w:after="120" w:line="300" w:lineRule="exact"/>
    </w:pPr>
    <w:rPr>
      <w:rFonts w:ascii="Arial" w:hAnsi="Arial"/>
      <w:b/>
      <w:sz w:val="26"/>
      <w:lang w:val="en-US" w:eastAsia="en-US" w:bidi="ar-SA"/>
    </w:rPr>
  </w:style>
  <w:style w:type="paragraph" w:customStyle="1" w:styleId="599">
    <w:name w:val="Char Char Char1 Char1"/>
    <w:basedOn w:val="1"/>
    <w:uiPriority w:val="6"/>
    <w:rPr>
      <w:szCs w:val="20"/>
    </w:rPr>
  </w:style>
  <w:style w:type="paragraph" w:customStyle="1" w:styleId="600">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601">
    <w:name w:val="插图题注"/>
    <w:next w:val="1"/>
    <w:uiPriority w:val="0"/>
    <w:pPr>
      <w:numPr>
        <w:ilvl w:val="7"/>
        <w:numId w:val="5"/>
      </w:numPr>
      <w:spacing w:after="312" w:afterLines="100"/>
      <w:ind w:left="1089" w:hanging="369"/>
      <w:jc w:val="center"/>
    </w:pPr>
    <w:rPr>
      <w:rFonts w:ascii="Arial" w:hAnsi="Arial"/>
      <w:sz w:val="18"/>
      <w:szCs w:val="18"/>
      <w:lang w:val="en-US" w:eastAsia="zh-CN" w:bidi="ar-SA"/>
    </w:rPr>
  </w:style>
  <w:style w:type="paragraph" w:customStyle="1" w:styleId="602">
    <w:name w:val="Th"/>
    <w:uiPriority w:val="0"/>
    <w:pPr>
      <w:keepNext/>
      <w:keepLines/>
      <w:spacing w:before="20" w:after="60" w:line="220" w:lineRule="exact"/>
      <w:ind w:left="240"/>
    </w:pPr>
    <w:rPr>
      <w:b/>
      <w:sz w:val="19"/>
      <w:lang w:val="en-US" w:eastAsia="en-US" w:bidi="ar-SA"/>
    </w:rPr>
  </w:style>
  <w:style w:type="paragraph" w:customStyle="1" w:styleId="603">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04">
    <w:name w:val="p0"/>
    <w:basedOn w:val="1"/>
    <w:qFormat/>
    <w:uiPriority w:val="0"/>
    <w:pPr>
      <w:widowControl/>
      <w:adjustRightInd/>
    </w:pPr>
    <w:rPr>
      <w:kern w:val="0"/>
      <w:szCs w:val="21"/>
    </w:rPr>
  </w:style>
  <w:style w:type="paragraph" w:customStyle="1" w:styleId="605">
    <w:name w:val="文本正文 Char"/>
    <w:basedOn w:val="1"/>
    <w:uiPriority w:val="0"/>
    <w:pPr>
      <w:spacing w:line="360" w:lineRule="auto"/>
      <w:ind w:firstLine="200" w:firstLineChars="200"/>
    </w:pPr>
    <w:rPr>
      <w:kern w:val="0"/>
      <w:sz w:val="24"/>
      <w:szCs w:val="20"/>
    </w:rPr>
  </w:style>
  <w:style w:type="paragraph" w:customStyle="1" w:styleId="606">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607">
    <w:name w:val="trademark"/>
    <w:uiPriority w:val="0"/>
    <w:pPr>
      <w:spacing w:after="60"/>
    </w:pPr>
    <w:rPr>
      <w:rFonts w:ascii="Futura Bk" w:hAnsi="Futura Bk"/>
      <w:sz w:val="15"/>
      <w:lang w:val="en-US" w:eastAsia="en-US" w:bidi="ar-SA"/>
    </w:rPr>
  </w:style>
  <w:style w:type="paragraph" w:customStyle="1" w:styleId="608">
    <w:name w:val="正文 New New New New"/>
    <w:uiPriority w:val="2"/>
    <w:pPr>
      <w:widowControl w:val="0"/>
      <w:jc w:val="both"/>
    </w:pPr>
    <w:rPr>
      <w:color w:val="000000"/>
      <w:szCs w:val="24"/>
      <w:lang w:val="en-US" w:eastAsia="zh-CN" w:bidi="ar-SA"/>
    </w:rPr>
  </w:style>
  <w:style w:type="paragraph" w:customStyle="1" w:styleId="609">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610">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611">
    <w:name w:val="单元格左对齐"/>
    <w:basedOn w:val="1"/>
    <w:uiPriority w:val="0"/>
    <w:pPr>
      <w:adjustRightInd/>
      <w:spacing w:line="360" w:lineRule="auto"/>
    </w:pPr>
    <w:rPr>
      <w:sz w:val="24"/>
    </w:rPr>
  </w:style>
  <w:style w:type="paragraph" w:customStyle="1" w:styleId="612">
    <w:name w:val="Char Char1 Char Char Char"/>
    <w:basedOn w:val="1"/>
    <w:uiPriority w:val="0"/>
    <w:rPr>
      <w:rFonts w:ascii="仿宋_GB2312" w:eastAsia="仿宋_GB2312"/>
      <w:b/>
      <w:sz w:val="32"/>
      <w:szCs w:val="20"/>
    </w:rPr>
  </w:style>
  <w:style w:type="paragraph" w:customStyle="1" w:styleId="613">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14">
    <w:name w:val=" Char3 Char Char Char"/>
    <w:basedOn w:val="1"/>
    <w:uiPriority w:val="0"/>
    <w:pPr>
      <w:widowControl/>
      <w:adjustRightInd/>
      <w:spacing w:after="160" w:afterLines="0" w:line="240" w:lineRule="exact"/>
      <w:jc w:val="left"/>
    </w:pPr>
    <w:rPr>
      <w:szCs w:val="20"/>
    </w:rPr>
  </w:style>
  <w:style w:type="paragraph" w:customStyle="1" w:styleId="615">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16">
    <w:name w:val="五级条标题"/>
    <w:basedOn w:val="617"/>
    <w:next w:val="463"/>
    <w:uiPriority w:val="0"/>
    <w:pPr>
      <w:numPr>
        <w:ilvl w:val="6"/>
        <w:numId w:val="5"/>
      </w:numPr>
      <w:outlineLvl w:val="6"/>
    </w:pPr>
  </w:style>
  <w:style w:type="paragraph" w:customStyle="1" w:styleId="617">
    <w:name w:val="四级条标题"/>
    <w:basedOn w:val="618"/>
    <w:next w:val="463"/>
    <w:uiPriority w:val="0"/>
    <w:pPr>
      <w:numPr>
        <w:ilvl w:val="5"/>
        <w:numId w:val="5"/>
      </w:numPr>
      <w:outlineLvl w:val="5"/>
    </w:pPr>
  </w:style>
  <w:style w:type="paragraph" w:customStyle="1" w:styleId="618">
    <w:name w:val="三级条标题"/>
    <w:basedOn w:val="576"/>
    <w:next w:val="463"/>
    <w:uiPriority w:val="0"/>
    <w:pPr>
      <w:numPr>
        <w:ilvl w:val="0"/>
        <w:numId w:val="0"/>
      </w:numPr>
      <w:tabs>
        <w:tab w:val="left" w:pos="2520"/>
        <w:tab w:val="clear" w:pos="2100"/>
      </w:tabs>
      <w:ind w:left="2520" w:hanging="420"/>
      <w:outlineLvl w:val="4"/>
    </w:pPr>
  </w:style>
  <w:style w:type="paragraph" w:customStyle="1" w:styleId="619">
    <w:name w:val="xl8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20">
    <w:name w:val="正文 项目2"/>
    <w:basedOn w:val="621"/>
    <w:qFormat/>
    <w:uiPriority w:val="0"/>
    <w:pPr>
      <w:numPr>
        <w:ilvl w:val="0"/>
        <w:numId w:val="8"/>
      </w:numPr>
      <w:spacing w:after="0"/>
    </w:pPr>
  </w:style>
  <w:style w:type="paragraph" w:customStyle="1" w:styleId="6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22">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23">
    <w:name w:val="msonormal"/>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624">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25">
    <w:name w:val="CM14"/>
    <w:basedOn w:val="285"/>
    <w:next w:val="285"/>
    <w:uiPriority w:val="0"/>
    <w:pPr>
      <w:spacing w:after="68" w:afterLines="0"/>
    </w:pPr>
    <w:rPr>
      <w:rFonts w:ascii="FHLHE E+ Futura Bk" w:eastAsia="FHLHE E+ Futura Bk" w:cs="Times New Roman"/>
      <w:color w:val="auto"/>
    </w:rPr>
  </w:style>
  <w:style w:type="paragraph" w:customStyle="1" w:styleId="626">
    <w:name w:val="列表内容"/>
    <w:basedOn w:val="1"/>
    <w:next w:val="1"/>
    <w:uiPriority w:val="0"/>
    <w:pPr>
      <w:widowControl/>
      <w:tabs>
        <w:tab w:val="left" w:pos="840"/>
      </w:tabs>
      <w:ind w:left="840" w:hanging="420"/>
      <w:jc w:val="left"/>
    </w:pPr>
    <w:rPr>
      <w:kern w:val="0"/>
      <w:sz w:val="18"/>
    </w:rPr>
  </w:style>
  <w:style w:type="paragraph" w:customStyle="1" w:styleId="627">
    <w:name w:val="标题五"/>
    <w:basedOn w:val="1"/>
    <w:uiPriority w:val="0"/>
    <w:pPr>
      <w:adjustRightInd/>
      <w:spacing w:before="156" w:beforeLines="50" w:line="360" w:lineRule="auto"/>
    </w:pPr>
    <w:rPr>
      <w:b/>
      <w:sz w:val="24"/>
    </w:rPr>
  </w:style>
  <w:style w:type="paragraph" w:customStyle="1" w:styleId="628">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29">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30">
    <w:name w:val="xl6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1">
    <w:name w:val="Bulleting First Indent 1"/>
    <w:basedOn w:val="59"/>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632">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33">
    <w:name w:val="无间隔2"/>
    <w:qFormat/>
    <w:uiPriority w:val="0"/>
    <w:pPr>
      <w:widowControl w:val="0"/>
      <w:jc w:val="both"/>
    </w:pPr>
    <w:rPr>
      <w:kern w:val="2"/>
      <w:sz w:val="21"/>
      <w:szCs w:val="22"/>
      <w:lang w:val="en-US" w:eastAsia="zh-CN" w:bidi="ar-SA"/>
    </w:rPr>
  </w:style>
  <w:style w:type="paragraph" w:customStyle="1" w:styleId="634">
    <w:name w:val="样式 样式2 + 左侧:  1 字符 右侧:  1 字符"/>
    <w:basedOn w:val="635"/>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635">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36">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37">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638">
    <w:name w:val="Char1 Char Char Char6"/>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639">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40">
    <w:name w:val="正文缩进1"/>
    <w:basedOn w:val="1"/>
    <w:next w:val="24"/>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641">
    <w:name w:val="样式3"/>
    <w:basedOn w:val="635"/>
    <w:qFormat/>
    <w:uiPriority w:val="0"/>
    <w:pPr>
      <w:spacing w:before="312" w:beforeLines="100"/>
      <w:jc w:val="left"/>
    </w:pPr>
  </w:style>
  <w:style w:type="paragraph" w:customStyle="1" w:styleId="642">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43">
    <w:name w:val="修订1"/>
    <w:uiPriority w:val="3"/>
    <w:rPr>
      <w:color w:val="000000"/>
      <w:kern w:val="1"/>
      <w:sz w:val="21"/>
      <w:lang w:val="en-US" w:eastAsia="zh-CN" w:bidi="ar-SA"/>
    </w:rPr>
  </w:style>
  <w:style w:type="paragraph" w:customStyle="1" w:styleId="644">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645">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646">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647">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648">
    <w:name w:val="样式 样式 标题 4 + 非加粗 + (中文) 黑体 段前: 0 磅 段后: 0 磅 行距: 固定值 22 磅"/>
    <w:basedOn w:val="1"/>
    <w:uiPriority w:val="0"/>
    <w:pPr>
      <w:keepNext/>
      <w:keepLines/>
      <w:adjustRightInd/>
      <w:spacing w:beforeLines="50" w:afterLines="50" w:line="500" w:lineRule="exact"/>
      <w:outlineLvl w:val="3"/>
    </w:pPr>
    <w:rPr>
      <w:rFonts w:ascii="Arial" w:hAnsi="Arial"/>
      <w:b/>
      <w:bCs/>
      <w:sz w:val="24"/>
    </w:rPr>
  </w:style>
  <w:style w:type="paragraph" w:customStyle="1" w:styleId="649">
    <w:name w:val="Char Char11 Char Char Char Char Char Char Char Char Char1"/>
    <w:basedOn w:val="1"/>
    <w:uiPriority w:val="6"/>
    <w:pPr>
      <w:spacing w:line="360" w:lineRule="auto"/>
    </w:pPr>
    <w:rPr>
      <w:szCs w:val="20"/>
    </w:rPr>
  </w:style>
  <w:style w:type="paragraph" w:customStyle="1" w:styleId="650">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651">
    <w:name w:val="首行缩进"/>
    <w:basedOn w:val="1"/>
    <w:uiPriority w:val="0"/>
    <w:pPr>
      <w:spacing w:line="360" w:lineRule="auto"/>
      <w:ind w:firstLine="480" w:firstLineChars="200"/>
    </w:pPr>
    <w:rPr>
      <w:rFonts w:ascii="宋体"/>
      <w:sz w:val="24"/>
      <w:szCs w:val="20"/>
    </w:rPr>
  </w:style>
  <w:style w:type="paragraph" w:customStyle="1" w:styleId="652">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653">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54">
    <w:name w:val="Plain Text1"/>
    <w:basedOn w:val="1"/>
    <w:uiPriority w:val="7"/>
    <w:pPr>
      <w:adjustRightInd/>
    </w:pPr>
    <w:rPr>
      <w:rFonts w:ascii="宋体" w:hAnsi="Courier New"/>
    </w:rPr>
  </w:style>
  <w:style w:type="paragraph" w:customStyle="1" w:styleId="655">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656">
    <w:name w:val="Char19"/>
    <w:basedOn w:val="1"/>
    <w:uiPriority w:val="0"/>
    <w:pPr>
      <w:adjustRightInd/>
    </w:pPr>
    <w:rPr>
      <w:szCs w:val="20"/>
    </w:rPr>
  </w:style>
  <w:style w:type="paragraph" w:customStyle="1" w:styleId="657">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658">
    <w:name w:val="Char Char Char1"/>
    <w:basedOn w:val="1"/>
    <w:uiPriority w:val="6"/>
    <w:pPr>
      <w:widowControl/>
      <w:spacing w:after="160" w:line="240" w:lineRule="exact"/>
      <w:jc w:val="left"/>
    </w:pPr>
    <w:rPr>
      <w:rFonts w:ascii="Verdana" w:hAnsi="Verdana"/>
      <w:kern w:val="0"/>
      <w:sz w:val="20"/>
      <w:szCs w:val="20"/>
      <w:lang w:eastAsia="en-US"/>
    </w:rPr>
  </w:style>
  <w:style w:type="paragraph" w:customStyle="1" w:styleId="659">
    <w:name w:val="表格题注"/>
    <w:next w:val="1"/>
    <w:uiPriority w:val="0"/>
    <w:pPr>
      <w:keepLines/>
      <w:numPr>
        <w:ilvl w:val="8"/>
        <w:numId w:val="5"/>
      </w:numPr>
      <w:spacing w:before="312" w:beforeLines="100"/>
      <w:ind w:left="1089" w:hanging="369"/>
      <w:jc w:val="center"/>
    </w:pPr>
    <w:rPr>
      <w:rFonts w:ascii="Arial" w:hAnsi="Arial"/>
      <w:sz w:val="18"/>
      <w:szCs w:val="18"/>
      <w:lang w:val="en-US" w:eastAsia="zh-CN" w:bidi="ar-SA"/>
    </w:rPr>
  </w:style>
  <w:style w:type="paragraph" w:customStyle="1" w:styleId="660">
    <w:name w:val="xl94"/>
    <w:basedOn w:val="1"/>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61">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662">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663">
    <w:name w:val="MM Topic 4"/>
    <w:basedOn w:val="5"/>
    <w:uiPriority w:val="0"/>
    <w:pPr>
      <w:numPr>
        <w:ilvl w:val="3"/>
        <w:numId w:val="5"/>
      </w:numPr>
      <w:adjustRightInd/>
    </w:pPr>
    <w:rPr>
      <w:lang w:val="en-US"/>
    </w:rPr>
  </w:style>
  <w:style w:type="paragraph" w:customStyle="1" w:styleId="664">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665">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66">
    <w:name w:val="Body Text 2*"/>
    <w:basedOn w:val="1"/>
    <w:uiPriority w:val="6"/>
    <w:pPr>
      <w:widowControl/>
      <w:adjustRightInd/>
      <w:ind w:left="720" w:hanging="720"/>
    </w:pPr>
    <w:rPr>
      <w:color w:val="000000"/>
      <w:kern w:val="0"/>
      <w:sz w:val="24"/>
      <w:szCs w:val="20"/>
      <w:lang w:val="en-GB"/>
    </w:rPr>
  </w:style>
  <w:style w:type="paragraph" w:customStyle="1" w:styleId="667">
    <w:name w:val="[Normal]"/>
    <w:qFormat/>
    <w:uiPriority w:val="0"/>
    <w:rPr>
      <w:rFonts w:ascii="宋体" w:hAnsi="宋体"/>
      <w:sz w:val="24"/>
      <w:szCs w:val="22"/>
      <w:lang w:val="zh-CN" w:eastAsia="zh-CN" w:bidi="ar-SA"/>
    </w:rPr>
  </w:style>
  <w:style w:type="paragraph" w:customStyle="1" w:styleId="668">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69">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0">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71">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72">
    <w:name w:val="Char2 Char Char1"/>
    <w:basedOn w:val="1"/>
    <w:uiPriority w:val="6"/>
    <w:pPr>
      <w:adjustRightInd/>
    </w:pPr>
    <w:rPr>
      <w:rFonts w:ascii="Tahoma" w:hAnsi="Tahoma"/>
      <w:sz w:val="24"/>
      <w:szCs w:val="20"/>
    </w:rPr>
  </w:style>
  <w:style w:type="paragraph" w:customStyle="1" w:styleId="673">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674">
    <w:name w:val=" Char Char Char1 Char"/>
    <w:basedOn w:val="1"/>
    <w:uiPriority w:val="0"/>
    <w:rPr>
      <w:szCs w:val="20"/>
    </w:rPr>
  </w:style>
  <w:style w:type="paragraph" w:customStyle="1" w:styleId="675">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676">
    <w:name w:val="Char Char11 Char Char Char Char Char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677">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678">
    <w:name w:val="正文 首行缩进:  2 字符 Char"/>
    <w:basedOn w:val="1"/>
    <w:uiPriority w:val="0"/>
    <w:pPr>
      <w:adjustRightInd/>
      <w:spacing w:line="360" w:lineRule="auto"/>
      <w:ind w:firstLine="480"/>
    </w:pPr>
    <w:rPr>
      <w:rFonts w:cs="宋体"/>
      <w:sz w:val="24"/>
      <w:szCs w:val="20"/>
    </w:rPr>
  </w:style>
  <w:style w:type="paragraph" w:customStyle="1" w:styleId="67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680">
    <w:name w:val="xl7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1">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682">
    <w:name w:val="TOC 标题11"/>
    <w:basedOn w:val="2"/>
    <w:next w:val="1"/>
    <w:unhideWhenUsed/>
    <w:qFormat/>
    <w:uiPriority w:val="4"/>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683">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84">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5">
    <w:name w:val="Char Char1 Char Char Char Char Char Char"/>
    <w:basedOn w:val="1"/>
    <w:uiPriority w:val="0"/>
    <w:rPr>
      <w:rFonts w:ascii="仿宋_GB2312" w:eastAsia="仿宋_GB2312"/>
      <w:b/>
      <w:sz w:val="32"/>
      <w:szCs w:val="20"/>
    </w:rPr>
  </w:style>
  <w:style w:type="paragraph" w:customStyle="1" w:styleId="686">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687">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88">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689">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690">
    <w:name w:val="文章标题"/>
    <w:next w:val="557"/>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91">
    <w:name w:val=" Char"/>
    <w:basedOn w:val="1"/>
    <w:uiPriority w:val="0"/>
    <w:rPr>
      <w:rFonts w:ascii="仿宋_GB2312" w:eastAsia="仿宋_GB2312"/>
      <w:b/>
      <w:sz w:val="32"/>
      <w:szCs w:val="32"/>
    </w:rPr>
  </w:style>
  <w:style w:type="paragraph" w:customStyle="1" w:styleId="692">
    <w:name w:val="默认段落字体 Para Char Char Char Char Char Char Char"/>
    <w:basedOn w:val="1"/>
    <w:uiPriority w:val="0"/>
    <w:rPr>
      <w:rFonts w:eastAsia="仿宋_GB2312"/>
      <w:sz w:val="28"/>
      <w:szCs w:val="20"/>
    </w:rPr>
  </w:style>
  <w:style w:type="paragraph" w:customStyle="1" w:styleId="693">
    <w:name w:val="列出段落*"/>
    <w:basedOn w:val="1"/>
    <w:uiPriority w:val="0"/>
    <w:pPr>
      <w:adjustRightInd/>
      <w:spacing w:line="360" w:lineRule="auto"/>
      <w:ind w:firstLine="200"/>
    </w:pPr>
    <w:rPr>
      <w:rFonts w:eastAsia="楷体_GB2312" w:cs="Lucida Sans Unicode"/>
      <w:color w:val="000000"/>
      <w:kern w:val="1"/>
      <w:sz w:val="24"/>
    </w:rPr>
  </w:style>
  <w:style w:type="paragraph" w:customStyle="1" w:styleId="694">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695">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96">
    <w:name w:val="Char Char110"/>
    <w:basedOn w:val="1"/>
    <w:uiPriority w:val="6"/>
    <w:pPr>
      <w:spacing w:line="360" w:lineRule="auto"/>
    </w:pPr>
    <w:rPr>
      <w:rFonts w:ascii="Tahoma" w:hAnsi="Tahoma"/>
      <w:sz w:val="24"/>
      <w:szCs w:val="20"/>
    </w:rPr>
  </w:style>
  <w:style w:type="paragraph" w:customStyle="1" w:styleId="697">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698">
    <w:name w:val="左对齐表格文字"/>
    <w:basedOn w:val="1"/>
    <w:uiPriority w:val="0"/>
    <w:pPr>
      <w:adjustRightInd/>
      <w:ind w:firstLine="200" w:firstLineChars="200"/>
      <w:jc w:val="right"/>
    </w:pPr>
  </w:style>
  <w:style w:type="paragraph" w:customStyle="1" w:styleId="699">
    <w:name w:val="Char3"/>
    <w:basedOn w:val="1"/>
    <w:uiPriority w:val="0"/>
    <w:pPr>
      <w:adjustRightInd/>
      <w:ind w:firstLine="200" w:firstLineChars="200"/>
    </w:pPr>
    <w:rPr>
      <w:rFonts w:ascii="Tahoma" w:hAnsi="Tahoma"/>
      <w:sz w:val="24"/>
      <w:szCs w:val="20"/>
    </w:rPr>
  </w:style>
  <w:style w:type="paragraph" w:customStyle="1" w:styleId="7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01">
    <w:name w:val="a1"/>
    <w:basedOn w:val="1"/>
    <w:uiPriority w:val="0"/>
    <w:pPr>
      <w:widowControl/>
      <w:spacing w:line="300" w:lineRule="atLeast"/>
      <w:jc w:val="left"/>
    </w:pPr>
    <w:rPr>
      <w:rFonts w:ascii="宋体" w:hAnsi="宋体"/>
      <w:kern w:val="0"/>
      <w:sz w:val="18"/>
      <w:szCs w:val="20"/>
    </w:rPr>
  </w:style>
  <w:style w:type="paragraph" w:customStyle="1" w:styleId="702">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703">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704">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705">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06">
    <w:name w:val="封面"/>
    <w:basedOn w:val="1"/>
    <w:uiPriority w:val="0"/>
    <w:pPr>
      <w:spacing w:line="360" w:lineRule="atLeast"/>
      <w:jc w:val="right"/>
      <w:textAlignment w:val="baseline"/>
    </w:pPr>
    <w:rPr>
      <w:rFonts w:ascii="Symbol" w:hAnsi="Symbol"/>
      <w:kern w:val="0"/>
      <w:szCs w:val="20"/>
    </w:rPr>
  </w:style>
  <w:style w:type="paragraph" w:customStyle="1" w:styleId="707">
    <w:name w:val="!大节"/>
    <w:basedOn w:val="3"/>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708">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709">
    <w:name w:val="表格内文"/>
    <w:basedOn w:val="1"/>
    <w:uiPriority w:val="0"/>
    <w:pPr>
      <w:adjustRightInd/>
      <w:spacing w:line="360" w:lineRule="auto"/>
    </w:pPr>
    <w:rPr>
      <w:rFonts w:ascii="宋体" w:hAnsi="宋体" w:cs="宋体"/>
      <w:color w:val="000000"/>
      <w:szCs w:val="20"/>
    </w:rPr>
  </w:style>
  <w:style w:type="paragraph" w:customStyle="1" w:styleId="710">
    <w:name w:val="彩色列表 - 强调文字颜色 11"/>
    <w:basedOn w:val="1"/>
    <w:qFormat/>
    <w:uiPriority w:val="0"/>
    <w:pPr>
      <w:adjustRightInd/>
      <w:ind w:firstLine="420" w:firstLineChars="200"/>
    </w:pPr>
    <w:rPr>
      <w:rFonts w:ascii="Calibri" w:hAnsi="Calibri"/>
      <w:szCs w:val="22"/>
    </w:rPr>
  </w:style>
  <w:style w:type="paragraph" w:customStyle="1" w:styleId="711">
    <w:name w:val="列出段落2"/>
    <w:basedOn w:val="1"/>
    <w:qFormat/>
    <w:uiPriority w:val="0"/>
    <w:pPr>
      <w:adjustRightInd/>
      <w:ind w:firstLine="420" w:firstLineChars="200"/>
    </w:pPr>
    <w:rPr>
      <w:rFonts w:ascii="宋体" w:hAnsi="宋体"/>
      <w:sz w:val="24"/>
    </w:rPr>
  </w:style>
  <w:style w:type="paragraph" w:customStyle="1" w:styleId="712">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713">
    <w:name w:val="MM Topic 3"/>
    <w:basedOn w:val="4"/>
    <w:uiPriority w:val="0"/>
    <w:pPr>
      <w:numPr>
        <w:ilvl w:val="2"/>
        <w:numId w:val="5"/>
      </w:numPr>
      <w:adjustRightInd/>
    </w:pPr>
    <w:rPr>
      <w:lang w:val="en-US" w:eastAsia="zh-CN"/>
    </w:rPr>
  </w:style>
  <w:style w:type="paragraph" w:customStyle="1" w:styleId="714">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715">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716">
    <w:name w:val="Normal0"/>
    <w:uiPriority w:val="0"/>
    <w:rPr>
      <w:lang w:val="en-US" w:eastAsia="en-US" w:bidi="ar-SA"/>
    </w:rPr>
  </w:style>
  <w:style w:type="paragraph" w:customStyle="1" w:styleId="717">
    <w:name w:val=" Char Char11 Char Char Char Char Char Char Char Char Char"/>
    <w:basedOn w:val="1"/>
    <w:uiPriority w:val="0"/>
    <w:pPr>
      <w:spacing w:line="360" w:lineRule="auto"/>
    </w:pPr>
    <w:rPr>
      <w:szCs w:val="20"/>
    </w:rPr>
  </w:style>
  <w:style w:type="paragraph" w:customStyle="1" w:styleId="718">
    <w:name w:val="Char Char Char Char Char Char Char"/>
    <w:basedOn w:val="1"/>
    <w:uiPriority w:val="0"/>
    <w:rPr>
      <w:rFonts w:ascii="仿宋_GB2312" w:eastAsia="仿宋_GB2312"/>
      <w:b/>
      <w:sz w:val="32"/>
      <w:szCs w:val="32"/>
    </w:rPr>
  </w:style>
  <w:style w:type="paragraph" w:customStyle="1" w:styleId="719">
    <w:name w:val="Char Char Char Char Char Char Char Char Char"/>
    <w:basedOn w:val="1"/>
    <w:uiPriority w:val="0"/>
    <w:pPr>
      <w:adjustRightInd/>
      <w:ind w:firstLine="200" w:firstLineChars="200"/>
    </w:pPr>
    <w:rPr>
      <w:rFonts w:ascii="Tahoma" w:hAnsi="Tahoma"/>
      <w:sz w:val="24"/>
      <w:szCs w:val="20"/>
    </w:rPr>
  </w:style>
  <w:style w:type="paragraph" w:customStyle="1" w:styleId="720">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721">
    <w:name w:val="Test2"/>
    <w:basedOn w:val="3"/>
    <w:uiPriority w:val="0"/>
    <w:pPr>
      <w:widowControl/>
      <w:adjustRightInd w:val="0"/>
      <w:snapToGrid w:val="0"/>
      <w:spacing w:before="360" w:after="360" w:line="240" w:lineRule="atLeast"/>
    </w:pPr>
    <w:rPr>
      <w:rFonts w:ascii="宋体" w:hAnsi="Arial" w:eastAsia="宋体"/>
      <w:snapToGrid w:val="0"/>
      <w:kern w:val="0"/>
      <w:sz w:val="28"/>
      <w:szCs w:val="32"/>
      <w:lang w:val="en-US"/>
    </w:rPr>
  </w:style>
  <w:style w:type="paragraph" w:customStyle="1" w:styleId="722">
    <w:name w:val="样式 正文文本缩进 + 左侧:  2 字符 首行缩进:  2 字符"/>
    <w:basedOn w:val="24"/>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72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4">
    <w:name w:val=" Char2"/>
    <w:basedOn w:val="1"/>
    <w:uiPriority w:val="0"/>
    <w:rPr>
      <w:rFonts w:ascii="仿宋_GB2312" w:eastAsia="仿宋_GB2312"/>
      <w:b/>
      <w:sz w:val="32"/>
      <w:szCs w:val="32"/>
    </w:rPr>
  </w:style>
  <w:style w:type="paragraph" w:customStyle="1" w:styleId="725">
    <w:name w:val="Char3 Char Char Char"/>
    <w:basedOn w:val="1"/>
    <w:uiPriority w:val="0"/>
    <w:pPr>
      <w:widowControl/>
      <w:adjustRightInd/>
      <w:spacing w:after="160" w:line="240" w:lineRule="exact"/>
      <w:jc w:val="left"/>
    </w:pPr>
    <w:rPr>
      <w:szCs w:val="20"/>
    </w:rPr>
  </w:style>
  <w:style w:type="paragraph" w:customStyle="1" w:styleId="726">
    <w:name w:val="Char1 Char Char Char Char Char Char Char Char Char"/>
    <w:basedOn w:val="1"/>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727">
    <w:name w:val="表格标题2"/>
    <w:basedOn w:val="709"/>
    <w:uiPriority w:val="0"/>
    <w:rPr>
      <w:b/>
    </w:rPr>
  </w:style>
  <w:style w:type="paragraph" w:customStyle="1" w:styleId="728">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29">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730">
    <w:name w:val="样式 正文文本缩进 2 + 仿宋_GB2312 黑色 行距: 1.5 倍行距"/>
    <w:basedOn w:val="36"/>
    <w:uiPriority w:val="0"/>
    <w:pPr>
      <w:adjustRightInd/>
      <w:ind w:firstLine="560" w:firstLineChars="200"/>
      <w:textAlignment w:val="auto"/>
    </w:pPr>
    <w:rPr>
      <w:rFonts w:hAnsi="宋体" w:cs="宋体"/>
      <w:color w:val="000000"/>
      <w:kern w:val="2"/>
      <w:sz w:val="24"/>
    </w:rPr>
  </w:style>
  <w:style w:type="paragraph" w:customStyle="1" w:styleId="731">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732">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733">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734">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735">
    <w:name w:val="插图说明"/>
    <w:basedOn w:val="1"/>
    <w:uiPriority w:val="0"/>
    <w:pPr>
      <w:spacing w:after="240" w:afterLines="0"/>
      <w:ind w:firstLineChars="200"/>
      <w:jc w:val="center"/>
      <w:textAlignment w:val="baseline"/>
    </w:pPr>
    <w:rPr>
      <w:rFonts w:eastAsia="黑体"/>
      <w:sz w:val="24"/>
      <w:szCs w:val="20"/>
    </w:rPr>
  </w:style>
  <w:style w:type="paragraph" w:customStyle="1" w:styleId="736">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737">
    <w:name w:val=" Char Char Char"/>
    <w:basedOn w:val="1"/>
    <w:uiPriority w:val="0"/>
    <w:rPr>
      <w:rFonts w:ascii="Tahoma" w:hAnsi="Tahoma"/>
      <w:sz w:val="24"/>
      <w:szCs w:val="20"/>
    </w:rPr>
  </w:style>
  <w:style w:type="paragraph" w:customStyle="1" w:styleId="738">
    <w:name w:val="标准小四"/>
    <w:basedOn w:val="1"/>
    <w:uiPriority w:val="0"/>
    <w:pPr>
      <w:spacing w:line="360" w:lineRule="auto"/>
      <w:ind w:firstLine="480" w:firstLineChars="200"/>
    </w:pPr>
    <w:rPr>
      <w:rFonts w:ascii="Arial" w:hAnsi="Arial"/>
      <w:sz w:val="24"/>
      <w:szCs w:val="21"/>
    </w:rPr>
  </w:style>
  <w:style w:type="paragraph" w:customStyle="1" w:styleId="739">
    <w:name w:val="MM Topic 2"/>
    <w:basedOn w:val="3"/>
    <w:uiPriority w:val="0"/>
    <w:pPr>
      <w:numPr>
        <w:ilvl w:val="1"/>
        <w:numId w:val="5"/>
      </w:numPr>
      <w:tabs>
        <w:tab w:val="clear" w:pos="432"/>
      </w:tabs>
    </w:pPr>
    <w:rPr>
      <w:rFonts w:ascii="Arial" w:hAnsi="Arial" w:eastAsia="黑体"/>
      <w:sz w:val="32"/>
      <w:szCs w:val="32"/>
      <w:lang w:val="en-US"/>
    </w:rPr>
  </w:style>
  <w:style w:type="paragraph" w:customStyle="1" w:styleId="740">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41">
    <w:name w:val="默认段落字体 Para Char Char Char Char"/>
    <w:basedOn w:val="1"/>
    <w:uiPriority w:val="0"/>
    <w:pPr>
      <w:spacing w:line="360" w:lineRule="auto"/>
    </w:pPr>
    <w:rPr>
      <w:szCs w:val="20"/>
    </w:rPr>
  </w:style>
  <w:style w:type="paragraph" w:customStyle="1" w:styleId="742">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743">
    <w:name w:val="Char Char Char Char Char Char Char Char Char Char Char1 Char"/>
    <w:basedOn w:val="1"/>
    <w:uiPriority w:val="0"/>
    <w:pPr>
      <w:adjustRightInd/>
    </w:pPr>
    <w:rPr>
      <w:rFonts w:ascii="Tahoma" w:hAnsi="Tahoma"/>
      <w:sz w:val="24"/>
      <w:lang/>
    </w:rPr>
  </w:style>
  <w:style w:type="paragraph" w:customStyle="1" w:styleId="744">
    <w:name w:val="Char"/>
    <w:basedOn w:val="1"/>
    <w:uiPriority w:val="0"/>
    <w:rPr>
      <w:rFonts w:ascii="仿宋_GB2312" w:eastAsia="仿宋_GB2312"/>
      <w:b/>
      <w:sz w:val="32"/>
      <w:szCs w:val="32"/>
    </w:rPr>
  </w:style>
  <w:style w:type="paragraph" w:customStyle="1" w:styleId="745">
    <w:name w:val="浅色底纹 - 强调文字颜色 51"/>
    <w:uiPriority w:val="0"/>
    <w:rPr>
      <w:kern w:val="2"/>
      <w:sz w:val="21"/>
      <w:szCs w:val="24"/>
      <w:lang w:val="en-US" w:eastAsia="zh-CN" w:bidi="ar-SA"/>
    </w:rPr>
  </w:style>
  <w:style w:type="paragraph" w:customStyle="1" w:styleId="746">
    <w:name w:val="正文（首行缩进）"/>
    <w:basedOn w:val="24"/>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747">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748">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749">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5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751">
    <w:name w:val=" Char2 Char Char"/>
    <w:basedOn w:val="1"/>
    <w:uiPriority w:val="0"/>
    <w:pPr>
      <w:adjustRightInd/>
    </w:pPr>
    <w:rPr>
      <w:rFonts w:ascii="Tahoma" w:hAnsi="Tahoma"/>
      <w:sz w:val="24"/>
      <w:szCs w:val="20"/>
    </w:rPr>
  </w:style>
  <w:style w:type="paragraph" w:customStyle="1" w:styleId="752">
    <w:name w:val="标准书眉_奇数页"/>
    <w:next w:val="1"/>
    <w:uiPriority w:val="0"/>
    <w:pPr>
      <w:tabs>
        <w:tab w:val="center" w:pos="4154"/>
        <w:tab w:val="right" w:pos="8306"/>
      </w:tabs>
      <w:spacing w:after="120"/>
      <w:jc w:val="right"/>
    </w:pPr>
    <w:rPr>
      <w:sz w:val="21"/>
      <w:lang w:val="en-US" w:eastAsia="zh-CN" w:bidi="ar-SA"/>
    </w:rPr>
  </w:style>
  <w:style w:type="paragraph" w:customStyle="1" w:styleId="753">
    <w:name w:val="Char Char1 Char Char1 Char Char1"/>
    <w:basedOn w:val="1"/>
    <w:uiPriority w:val="0"/>
    <w:pPr>
      <w:tabs>
        <w:tab w:val="left" w:pos="840"/>
      </w:tabs>
      <w:ind w:left="840" w:hanging="420"/>
    </w:pPr>
    <w:rPr>
      <w:rFonts w:ascii="Tahoma" w:hAnsi="Tahoma"/>
      <w:sz w:val="24"/>
    </w:rPr>
  </w:style>
  <w:style w:type="paragraph" w:customStyle="1" w:styleId="754">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55">
    <w:name w:val="正文21"/>
    <w:basedOn w:val="1"/>
    <w:uiPriority w:val="0"/>
    <w:pPr>
      <w:adjustRightInd/>
      <w:spacing w:before="156" w:beforeLines="0" w:line="360" w:lineRule="auto"/>
      <w:ind w:firstLine="510" w:firstLineChars="200"/>
    </w:pPr>
    <w:rPr>
      <w:sz w:val="24"/>
      <w:szCs w:val="20"/>
    </w:rPr>
  </w:style>
  <w:style w:type="paragraph" w:customStyle="1" w:styleId="756">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757">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758">
    <w:name w:val=" Char Char1 Char Char Char Char Char Char"/>
    <w:basedOn w:val="1"/>
    <w:uiPriority w:val="0"/>
    <w:rPr>
      <w:rFonts w:ascii="仿宋_GB2312" w:eastAsia="仿宋_GB2312"/>
      <w:b/>
      <w:sz w:val="32"/>
      <w:szCs w:val="20"/>
    </w:rPr>
  </w:style>
  <w:style w:type="paragraph" w:customStyle="1" w:styleId="759">
    <w:name w:val="aspnumfaautoadjustrightr"/>
    <w:uiPriority w:val="0"/>
    <w:pPr>
      <w:widowControl w:val="0"/>
      <w:autoSpaceDE w:val="0"/>
      <w:autoSpaceDN w:val="0"/>
      <w:adjustRightInd w:val="0"/>
      <w:ind w:firstLine="720"/>
      <w:jc w:val="both"/>
    </w:pPr>
    <w:rPr>
      <w:lang w:val="en-US" w:eastAsia="zh-CN" w:bidi="ar-SA"/>
    </w:rPr>
  </w:style>
  <w:style w:type="paragraph" w:customStyle="1" w:styleId="760">
    <w:name w:val="默认段落字体 Para Char Char Char Char Char Char Char Char Char1 Char Char Char Char"/>
    <w:basedOn w:val="1"/>
    <w:uiPriority w:val="0"/>
    <w:pPr>
      <w:adjustRightInd/>
    </w:pPr>
    <w:rPr>
      <w:rFonts w:ascii="Tahoma" w:hAnsi="Tahoma"/>
      <w:sz w:val="24"/>
      <w:szCs w:val="20"/>
    </w:rPr>
  </w:style>
  <w:style w:type="paragraph" w:customStyle="1" w:styleId="761">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62">
    <w:name w:val="MM Topic 5"/>
    <w:basedOn w:val="6"/>
    <w:uiPriority w:val="0"/>
    <w:pPr>
      <w:numPr>
        <w:ilvl w:val="4"/>
        <w:numId w:val="5"/>
      </w:numPr>
      <w:adjustRightInd/>
    </w:pPr>
  </w:style>
  <w:style w:type="paragraph" w:customStyle="1" w:styleId="763">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764">
    <w:name w:val=" Char2 Char Char Char"/>
    <w:basedOn w:val="1"/>
    <w:uiPriority w:val="0"/>
    <w:rPr>
      <w:rFonts w:ascii="仿宋_GB2312" w:eastAsia="仿宋_GB2312"/>
      <w:b/>
      <w:sz w:val="32"/>
      <w:szCs w:val="32"/>
    </w:rPr>
  </w:style>
  <w:style w:type="paragraph" w:customStyle="1" w:styleId="765">
    <w:name w:val="正文（首行缩进2字符）"/>
    <w:basedOn w:val="1"/>
    <w:uiPriority w:val="0"/>
    <w:pPr>
      <w:adjustRightInd/>
      <w:spacing w:line="360" w:lineRule="auto"/>
      <w:ind w:firstLine="480" w:firstLineChars="200"/>
    </w:pPr>
    <w:rPr>
      <w:sz w:val="24"/>
      <w:szCs w:val="20"/>
    </w:rPr>
  </w:style>
  <w:style w:type="paragraph" w:customStyle="1" w:styleId="766">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767">
    <w:name w:val="Table Cell"/>
    <w:uiPriority w:val="0"/>
    <w:pPr>
      <w:adjustRightInd w:val="0"/>
      <w:snapToGrid w:val="0"/>
      <w:spacing w:before="20" w:after="20"/>
    </w:pPr>
    <w:rPr>
      <w:rFonts w:ascii="Courier New" w:hAnsi="Courier New"/>
      <w:sz w:val="24"/>
      <w:lang w:val="en-US" w:eastAsia="zh-CN" w:bidi="ar-SA"/>
    </w:rPr>
  </w:style>
  <w:style w:type="paragraph" w:customStyle="1" w:styleId="768">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769">
    <w:name w:val="表文字"/>
    <w:uiPriority w:val="0"/>
    <w:rPr>
      <w:rFonts w:ascii="宋体"/>
      <w:kern w:val="2"/>
      <w:lang w:val="en-US" w:eastAsia="zh-CN" w:bidi="ar-SA"/>
    </w:rPr>
  </w:style>
  <w:style w:type="paragraph" w:styleId="770">
    <w:name w:val=""/>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771">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772">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773">
    <w:name w:val="0"/>
    <w:basedOn w:val="1"/>
    <w:uiPriority w:val="0"/>
    <w:pPr>
      <w:widowControl/>
    </w:pPr>
    <w:rPr>
      <w:kern w:val="0"/>
      <w:sz w:val="24"/>
      <w:szCs w:val="20"/>
    </w:rPr>
  </w:style>
  <w:style w:type="paragraph" w:customStyle="1" w:styleId="774">
    <w:name w:val="有符号正文"/>
    <w:basedOn w:val="1"/>
    <w:uiPriority w:val="0"/>
    <w:pPr>
      <w:adjustRightInd/>
      <w:spacing w:line="400" w:lineRule="exact"/>
      <w:ind w:firstLine="200" w:firstLineChars="200"/>
    </w:pPr>
    <w:rPr>
      <w:rFonts w:ascii="Arial" w:hAnsi="Arial"/>
    </w:rPr>
  </w:style>
  <w:style w:type="paragraph" w:customStyle="1" w:styleId="775">
    <w:name w:val="数字标题5"/>
    <w:basedOn w:val="6"/>
    <w:next w:val="1"/>
    <w:uiPriority w:val="0"/>
    <w:pPr>
      <w:numPr>
        <w:ilvl w:val="4"/>
        <w:numId w:val="7"/>
      </w:numPr>
    </w:pPr>
  </w:style>
  <w:style w:type="paragraph" w:customStyle="1" w:styleId="7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77">
    <w:name w:val=" Char1"/>
    <w:basedOn w:val="1"/>
    <w:uiPriority w:val="0"/>
    <w:rPr>
      <w:rFonts w:ascii="仿宋_GB2312" w:eastAsia="仿宋_GB2312"/>
      <w:b/>
      <w:sz w:val="32"/>
      <w:szCs w:val="32"/>
    </w:rPr>
  </w:style>
  <w:style w:type="paragraph" w:customStyle="1" w:styleId="778">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779">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780">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781">
    <w:name w:val="Char2 Char Char"/>
    <w:basedOn w:val="1"/>
    <w:uiPriority w:val="0"/>
    <w:pPr>
      <w:adjustRightInd/>
    </w:pPr>
    <w:rPr>
      <w:rFonts w:ascii="Tahoma" w:hAnsi="Tahoma"/>
      <w:sz w:val="24"/>
      <w:szCs w:val="20"/>
    </w:rPr>
  </w:style>
  <w:style w:type="paragraph" w:customStyle="1" w:styleId="782">
    <w:name w:val=" Char1 Char Char Char"/>
    <w:basedOn w:val="1"/>
    <w:uiPriority w:val="0"/>
    <w:rPr>
      <w:rFonts w:ascii="Tahoma" w:hAnsi="Tahoma"/>
      <w:sz w:val="24"/>
      <w:szCs w:val="20"/>
    </w:rPr>
  </w:style>
  <w:style w:type="paragraph" w:customStyle="1" w:styleId="783">
    <w:name w:val=" Char Char11 Char Char Char"/>
    <w:basedOn w:val="1"/>
    <w:uiPriority w:val="0"/>
    <w:pPr>
      <w:spacing w:line="360" w:lineRule="auto"/>
    </w:pPr>
    <w:rPr>
      <w:szCs w:val="20"/>
    </w:rPr>
  </w:style>
  <w:style w:type="paragraph" w:customStyle="1" w:styleId="784">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785">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786">
    <w:name w:val="Char2 Char Char Char"/>
    <w:basedOn w:val="1"/>
    <w:uiPriority w:val="0"/>
    <w:rPr>
      <w:rFonts w:ascii="仿宋_GB2312" w:eastAsia="仿宋_GB2312"/>
      <w:b/>
      <w:sz w:val="32"/>
      <w:szCs w:val="32"/>
    </w:rPr>
  </w:style>
  <w:style w:type="paragraph" w:customStyle="1" w:styleId="787">
    <w:name w:val=" Char Char11"/>
    <w:basedOn w:val="1"/>
    <w:uiPriority w:val="0"/>
    <w:pPr>
      <w:spacing w:line="360" w:lineRule="auto"/>
    </w:pPr>
    <w:rPr>
      <w:szCs w:val="20"/>
    </w:rPr>
  </w:style>
  <w:style w:type="paragraph" w:customStyle="1" w:styleId="788">
    <w:name w:val="MM Title"/>
    <w:basedOn w:val="57"/>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789">
    <w:name w:val="文档正文"/>
    <w:basedOn w:val="1"/>
    <w:uiPriority w:val="0"/>
    <w:pPr>
      <w:adjustRightInd w:val="0"/>
      <w:spacing w:line="480" w:lineRule="atLeast"/>
      <w:ind w:firstLine="567"/>
      <w:textAlignment w:val="baseline"/>
    </w:pPr>
    <w:rPr>
      <w:kern w:val="0"/>
      <w:sz w:val="24"/>
      <w:szCs w:val="20"/>
    </w:rPr>
  </w:style>
  <w:style w:type="paragraph" w:customStyle="1" w:styleId="790">
    <w:name w:val="正文文字 2"/>
    <w:basedOn w:val="285"/>
    <w:next w:val="285"/>
    <w:uiPriority w:val="0"/>
    <w:rPr>
      <w:rFonts w:ascii="宋体" w:eastAsia="宋体" w:cs="Times New Roman"/>
      <w:color w:val="auto"/>
    </w:rPr>
  </w:style>
  <w:style w:type="paragraph" w:customStyle="1" w:styleId="791">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92">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793">
    <w:name w:val="Char1 Char Char Char3"/>
    <w:basedOn w:val="1"/>
    <w:uiPriority w:val="0"/>
    <w:pPr>
      <w:adjustRightInd/>
      <w:ind w:firstLine="200" w:firstLineChars="200"/>
    </w:pPr>
    <w:rPr>
      <w:rFonts w:ascii="Tahoma" w:hAnsi="Tahoma"/>
      <w:sz w:val="24"/>
      <w:szCs w:val="20"/>
    </w:rPr>
  </w:style>
  <w:style w:type="paragraph" w:customStyle="1" w:styleId="794">
    <w:name w:val="样式 左侧:  0.85 厘米 首行缩进:  0.85 厘米"/>
    <w:basedOn w:val="1"/>
    <w:uiPriority w:val="0"/>
    <w:pPr>
      <w:adjustRightInd/>
      <w:spacing w:line="360" w:lineRule="auto"/>
      <w:ind w:firstLine="482"/>
    </w:pPr>
    <w:rPr>
      <w:rFonts w:cs="宋体"/>
      <w:sz w:val="24"/>
      <w:szCs w:val="20"/>
    </w:rPr>
  </w:style>
  <w:style w:type="paragraph" w:customStyle="1" w:styleId="795">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796">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97">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798">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799">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800">
    <w:name w:val="Char1 Char Char Char2"/>
    <w:basedOn w:val="1"/>
    <w:uiPriority w:val="0"/>
    <w:pPr>
      <w:adjustRightInd/>
      <w:ind w:firstLine="200" w:firstLineChars="200"/>
    </w:pPr>
    <w:rPr>
      <w:rFonts w:ascii="Tahoma" w:hAnsi="Tahoma"/>
      <w:sz w:val="24"/>
      <w:szCs w:val="20"/>
    </w:rPr>
  </w:style>
  <w:style w:type="paragraph" w:customStyle="1" w:styleId="801">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802">
    <w:name w:val="_Style 12"/>
    <w:basedOn w:val="18"/>
    <w:uiPriority w:val="0"/>
    <w:pPr>
      <w:snapToGrid w:val="0"/>
      <w:spacing w:line="360" w:lineRule="auto"/>
    </w:pPr>
  </w:style>
  <w:style w:type="paragraph" w:customStyle="1" w:styleId="803">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04">
    <w:name w:val="正文表标题"/>
    <w:next w:val="463"/>
    <w:uiPriority w:val="0"/>
    <w:pPr>
      <w:tabs>
        <w:tab w:val="left" w:pos="840"/>
      </w:tabs>
      <w:ind w:left="840" w:hanging="420"/>
      <w:jc w:val="center"/>
    </w:pPr>
    <w:rPr>
      <w:rFonts w:ascii="黑体" w:eastAsia="黑体"/>
      <w:sz w:val="21"/>
      <w:lang w:val="en-US" w:eastAsia="zh-CN" w:bidi="ar-SA"/>
    </w:rPr>
  </w:style>
  <w:style w:type="paragraph" w:customStyle="1" w:styleId="805">
    <w:name w:val=" Char Char Char Char Char Char Char"/>
    <w:basedOn w:val="1"/>
    <w:uiPriority w:val="0"/>
    <w:rPr>
      <w:rFonts w:ascii="仿宋_GB2312" w:eastAsia="仿宋_GB2312"/>
      <w:b/>
      <w:sz w:val="32"/>
      <w:szCs w:val="32"/>
    </w:rPr>
  </w:style>
  <w:style w:type="paragraph" w:customStyle="1" w:styleId="806">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807">
    <w:name w:val="彩色列表 - 强调文字颜色 12"/>
    <w:basedOn w:val="1"/>
    <w:qFormat/>
    <w:uiPriority w:val="0"/>
    <w:pPr>
      <w:adjustRightInd/>
      <w:ind w:firstLine="420" w:firstLineChars="200"/>
    </w:pPr>
    <w:rPr>
      <w:rFonts w:ascii="Calibri" w:hAnsi="Calibri"/>
      <w:szCs w:val="22"/>
    </w:rPr>
  </w:style>
  <w:style w:type="paragraph" w:customStyle="1" w:styleId="808">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809">
    <w:name w:val="body text bold"/>
    <w:basedOn w:val="23"/>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8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811">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812">
    <w:name w:val="默认段落字体 Para Char Char Char1 Char"/>
    <w:basedOn w:val="1"/>
    <w:uiPriority w:val="0"/>
    <w:pPr>
      <w:spacing w:line="240" w:lineRule="atLeast"/>
      <w:ind w:left="420" w:firstLine="420"/>
    </w:pPr>
    <w:rPr>
      <w:sz w:val="24"/>
    </w:rPr>
  </w:style>
  <w:style w:type="paragraph" w:customStyle="1" w:styleId="813">
    <w:name w:val="Char1 Char Char Char4"/>
    <w:basedOn w:val="1"/>
    <w:uiPriority w:val="0"/>
    <w:pPr>
      <w:adjustRightInd/>
      <w:ind w:firstLine="200" w:firstLineChars="200"/>
    </w:pPr>
    <w:rPr>
      <w:rFonts w:ascii="Tahoma" w:hAnsi="Tahoma"/>
      <w:sz w:val="24"/>
      <w:szCs w:val="20"/>
    </w:rPr>
  </w:style>
  <w:style w:type="paragraph" w:customStyle="1" w:styleId="814">
    <w:name w:val="样式 正文文本缩进 + 段前: 2 字符"/>
    <w:basedOn w:val="1"/>
    <w:uiPriority w:val="0"/>
    <w:pPr>
      <w:adjustRightInd/>
      <w:ind w:left="420" w:leftChars="200"/>
      <w:jc w:val="left"/>
    </w:pPr>
    <w:rPr>
      <w:sz w:val="28"/>
      <w:szCs w:val="20"/>
      <w:lang w:eastAsia="zh-TW"/>
    </w:rPr>
  </w:style>
  <w:style w:type="paragraph" w:customStyle="1" w:styleId="815">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816">
    <w:name w:val="表格"/>
    <w:basedOn w:val="1"/>
    <w:uiPriority w:val="0"/>
    <w:pPr>
      <w:snapToGrid w:val="0"/>
      <w:ind w:firstLine="42" w:firstLineChars="21"/>
    </w:pPr>
    <w:rPr>
      <w:rFonts w:ascii="宋体" w:hAnsi="宋体"/>
      <w:kern w:val="0"/>
      <w:sz w:val="20"/>
      <w:szCs w:val="20"/>
    </w:rPr>
  </w:style>
  <w:style w:type="paragraph" w:customStyle="1" w:styleId="817">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818">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819">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820">
    <w:name w:val="数字标题6"/>
    <w:basedOn w:val="7"/>
    <w:next w:val="1"/>
    <w:uiPriority w:val="0"/>
    <w:pPr>
      <w:numPr>
        <w:ilvl w:val="5"/>
        <w:numId w:val="7"/>
      </w:numPr>
    </w:pPr>
    <w:rPr>
      <w:rFonts w:ascii="Times New Roman" w:hAnsi="Times New Roman" w:eastAsia="宋体"/>
      <w:i/>
    </w:rPr>
  </w:style>
  <w:style w:type="paragraph" w:customStyle="1" w:styleId="821">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822">
    <w:name w:val="P1"/>
    <w:basedOn w:val="1"/>
    <w:uiPriority w:val="0"/>
    <w:pPr>
      <w:adjustRightInd/>
      <w:spacing w:line="288" w:lineRule="auto"/>
      <w:ind w:firstLine="425" w:firstLineChars="200"/>
    </w:pPr>
  </w:style>
  <w:style w:type="paragraph" w:customStyle="1" w:styleId="823">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824">
    <w:name w:val="Char Char4 Char Char"/>
    <w:basedOn w:val="1"/>
    <w:uiPriority w:val="0"/>
    <w:pPr>
      <w:widowControl/>
      <w:adjustRightInd/>
      <w:spacing w:after="160" w:line="240" w:lineRule="exact"/>
      <w:jc w:val="left"/>
    </w:pPr>
  </w:style>
  <w:style w:type="paragraph" w:customStyle="1" w:styleId="825">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 Char Char1 Char"/>
    <w:basedOn w:val="1"/>
    <w:uiPriority w:val="0"/>
    <w:rPr>
      <w:rFonts w:ascii="仿宋_GB2312" w:eastAsia="仿宋_GB2312"/>
      <w:b/>
      <w:sz w:val="32"/>
      <w:szCs w:val="32"/>
    </w:rPr>
  </w:style>
  <w:style w:type="paragraph" w:customStyle="1" w:styleId="827">
    <w:name w:val="MM Empty"/>
    <w:basedOn w:val="1"/>
    <w:uiPriority w:val="0"/>
    <w:pPr>
      <w:adjustRightInd/>
    </w:pPr>
  </w:style>
  <w:style w:type="paragraph" w:customStyle="1" w:styleId="828">
    <w:name w:val="Char Char11 Char Char Char"/>
    <w:basedOn w:val="1"/>
    <w:uiPriority w:val="0"/>
    <w:pPr>
      <w:spacing w:line="360" w:lineRule="auto"/>
    </w:pPr>
    <w:rPr>
      <w:szCs w:val="20"/>
    </w:rPr>
  </w:style>
  <w:style w:type="paragraph" w:customStyle="1" w:styleId="829">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830">
    <w:name w:val="彩色底纹 - 强调文字颜色 11"/>
    <w:uiPriority w:val="0"/>
    <w:rPr>
      <w:kern w:val="2"/>
      <w:sz w:val="21"/>
      <w:szCs w:val="24"/>
      <w:lang w:val="en-US" w:eastAsia="zh-CN" w:bidi="ar-SA"/>
    </w:rPr>
  </w:style>
  <w:style w:type="paragraph" w:customStyle="1" w:styleId="831">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832">
    <w:name w:val="数字标题3"/>
    <w:basedOn w:val="4"/>
    <w:next w:val="1"/>
    <w:uiPriority w:val="0"/>
    <w:pPr>
      <w:numPr>
        <w:ilvl w:val="2"/>
        <w:numId w:val="0"/>
      </w:numPr>
      <w:spacing w:line="240" w:lineRule="auto"/>
    </w:pPr>
    <w:rPr>
      <w:sz w:val="28"/>
      <w:szCs w:val="28"/>
    </w:rPr>
  </w:style>
  <w:style w:type="paragraph" w:customStyle="1" w:styleId="833">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834">
    <w:name w:val="数字标题2"/>
    <w:basedOn w:val="3"/>
    <w:next w:val="1"/>
    <w:uiPriority w:val="0"/>
    <w:pPr>
      <w:numPr>
        <w:ilvl w:val="1"/>
        <w:numId w:val="7"/>
      </w:numPr>
      <w:tabs>
        <w:tab w:val="clear" w:pos="432"/>
      </w:tabs>
    </w:pPr>
    <w:rPr>
      <w:rFonts w:ascii="Times New Roman" w:eastAsia="宋体"/>
      <w:i/>
      <w:sz w:val="36"/>
      <w:szCs w:val="36"/>
      <w:lang w:val="en-US"/>
    </w:rPr>
  </w:style>
  <w:style w:type="paragraph" w:customStyle="1" w:styleId="835">
    <w:name w:val="xl7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36">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837">
    <w:name w:val="bullet"/>
    <w:basedOn w:val="1"/>
    <w:uiPriority w:val="0"/>
    <w:pPr>
      <w:tabs>
        <w:tab w:val="left" w:pos="840"/>
      </w:tabs>
      <w:adjustRightInd/>
      <w:ind w:left="840" w:hanging="420"/>
    </w:pPr>
  </w:style>
  <w:style w:type="paragraph" w:customStyle="1" w:styleId="838">
    <w:name w:val="CSS1级正文 Char"/>
    <w:basedOn w:val="23"/>
    <w:uiPriority w:val="0"/>
    <w:pPr>
      <w:autoSpaceDE/>
      <w:autoSpaceDN/>
      <w:snapToGrid w:val="0"/>
      <w:ind w:firstLine="480" w:firstLineChars="200"/>
    </w:pPr>
    <w:rPr>
      <w:rFonts w:ascii="Times New Roman"/>
      <w:szCs w:val="24"/>
      <w:lang w:val="en-US" w:eastAsia="zh-CN"/>
    </w:rPr>
  </w:style>
  <w:style w:type="paragraph" w:customStyle="1" w:styleId="839">
    <w:name w:val="Char1 Char Char Char Char Char Char Char Char Char Char Char1 Char Char Char Char Char Char Char Char Char Char Char Char Char Char1 Char Char Char Char1"/>
    <w:basedOn w:val="1"/>
    <w:uiPriority w:val="0"/>
    <w:pPr>
      <w:spacing w:line="360" w:lineRule="auto"/>
    </w:pPr>
    <w:rPr>
      <w:kern w:val="0"/>
      <w:sz w:val="24"/>
      <w:szCs w:val="20"/>
    </w:rPr>
  </w:style>
  <w:style w:type="paragraph" w:customStyle="1" w:styleId="840">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841">
    <w:name w:val="表格项目符号 2"/>
    <w:basedOn w:val="28"/>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42">
    <w:name w:val="Char Char11 Char Char Char1"/>
    <w:basedOn w:val="1"/>
    <w:uiPriority w:val="6"/>
    <w:pPr>
      <w:spacing w:line="360" w:lineRule="auto"/>
    </w:pPr>
    <w:rPr>
      <w:szCs w:val="20"/>
    </w:rPr>
  </w:style>
  <w:style w:type="paragraph" w:customStyle="1" w:styleId="843">
    <w:name w:val="EB_表格"/>
    <w:basedOn w:val="1"/>
    <w:uiPriority w:val="0"/>
    <w:pPr>
      <w:adjustRightInd/>
      <w:spacing w:line="300" w:lineRule="auto"/>
      <w:jc w:val="center"/>
    </w:pPr>
  </w:style>
  <w:style w:type="paragraph" w:customStyle="1" w:styleId="844">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845">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846">
    <w:name w:val="Char5"/>
    <w:basedOn w:val="1"/>
    <w:uiPriority w:val="0"/>
    <w:rPr>
      <w:rFonts w:ascii="仿宋_GB2312" w:eastAsia="仿宋_GB2312"/>
      <w:b/>
      <w:sz w:val="32"/>
      <w:szCs w:val="32"/>
    </w:rPr>
  </w:style>
  <w:style w:type="paragraph" w:customStyle="1" w:styleId="847">
    <w:name w:val="四号　首行缩进"/>
    <w:basedOn w:val="1"/>
    <w:uiPriority w:val="0"/>
    <w:pPr>
      <w:adjustRightInd/>
      <w:spacing w:line="360" w:lineRule="auto"/>
    </w:pPr>
    <w:rPr>
      <w:rFonts w:ascii="宋体" w:hAnsi="宋体"/>
      <w:szCs w:val="20"/>
    </w:rPr>
  </w:style>
  <w:style w:type="paragraph" w:customStyle="1" w:styleId="848">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849">
    <w:name w:val="Char2 Char Char Char1"/>
    <w:basedOn w:val="1"/>
    <w:uiPriority w:val="6"/>
    <w:rPr>
      <w:rFonts w:ascii="仿宋_GB2312" w:eastAsia="仿宋_GB2312"/>
      <w:b/>
      <w:sz w:val="32"/>
      <w:szCs w:val="32"/>
    </w:rPr>
  </w:style>
  <w:style w:type="paragraph" w:customStyle="1" w:styleId="850">
    <w:name w:val="标书表格字体格式"/>
    <w:next w:val="708"/>
    <w:uiPriority w:val="0"/>
    <w:rPr>
      <w:kern w:val="2"/>
      <w:sz w:val="21"/>
      <w:szCs w:val="24"/>
      <w:lang w:val="en-US" w:eastAsia="zh-CN" w:bidi="ar-SA"/>
    </w:rPr>
  </w:style>
  <w:style w:type="paragraph" w:customStyle="1" w:styleId="851">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852">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853">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854">
    <w:name w:val="Char Char Char Char Char Char Char Char1"/>
    <w:basedOn w:val="1"/>
    <w:uiPriority w:val="0"/>
    <w:pPr>
      <w:tabs>
        <w:tab w:val="left" w:pos="360"/>
      </w:tabs>
    </w:pPr>
    <w:rPr>
      <w:sz w:val="24"/>
      <w:szCs w:val="20"/>
    </w:rPr>
  </w:style>
  <w:style w:type="paragraph" w:customStyle="1" w:styleId="855">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856">
    <w:name w:val="Char Char Char Char Char Char Char Char"/>
    <w:basedOn w:val="1"/>
    <w:uiPriority w:val="0"/>
    <w:pPr>
      <w:tabs>
        <w:tab w:val="left" w:pos="360"/>
      </w:tabs>
    </w:pPr>
    <w:rPr>
      <w:sz w:val="24"/>
      <w:szCs w:val="20"/>
    </w:rPr>
  </w:style>
  <w:style w:type="paragraph" w:customStyle="1" w:styleId="857">
    <w:name w:val="表格（小）"/>
    <w:basedOn w:val="1"/>
    <w:qFormat/>
    <w:uiPriority w:val="0"/>
    <w:pPr>
      <w:adjustRightInd/>
      <w:snapToGrid w:val="0"/>
      <w:spacing w:line="300" w:lineRule="auto"/>
    </w:pPr>
    <w:rPr>
      <w:rFonts w:eastAsia="仿宋"/>
      <w:szCs w:val="21"/>
    </w:rPr>
  </w:style>
  <w:style w:type="paragraph" w:customStyle="1" w:styleId="858">
    <w:name w:val="Char1 Char Char Char5"/>
    <w:basedOn w:val="1"/>
    <w:uiPriority w:val="0"/>
    <w:pPr>
      <w:adjustRightInd/>
      <w:ind w:firstLine="200" w:firstLineChars="200"/>
    </w:pPr>
    <w:rPr>
      <w:rFonts w:ascii="Tahoma" w:hAnsi="Tahoma"/>
      <w:sz w:val="24"/>
      <w:szCs w:val="20"/>
    </w:rPr>
  </w:style>
  <w:style w:type="paragraph" w:customStyle="1" w:styleId="859">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Thf"/>
    <w:basedOn w:val="602"/>
    <w:uiPriority w:val="0"/>
    <w:pPr>
      <w:ind w:left="0"/>
    </w:pPr>
  </w:style>
  <w:style w:type="paragraph" w:customStyle="1" w:styleId="861">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862">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863">
    <w:name w:val="Char Char112"/>
    <w:basedOn w:val="1"/>
    <w:uiPriority w:val="6"/>
    <w:pPr>
      <w:widowControl/>
      <w:spacing w:after="160" w:line="240" w:lineRule="exact"/>
      <w:jc w:val="left"/>
    </w:pPr>
    <w:rPr>
      <w:rFonts w:eastAsia="仿宋_GB2312"/>
      <w:sz w:val="28"/>
    </w:rPr>
  </w:style>
  <w:style w:type="paragraph" w:customStyle="1" w:styleId="864">
    <w:name w:val="带编号样式"/>
    <w:basedOn w:val="605"/>
    <w:qFormat/>
    <w:uiPriority w:val="0"/>
    <w:pPr>
      <w:tabs>
        <w:tab w:val="left" w:pos="840"/>
      </w:tabs>
      <w:snapToGrid w:val="0"/>
      <w:ind w:left="840" w:hanging="420" w:firstLineChars="0"/>
    </w:pPr>
    <w:rPr>
      <w:rFonts w:ascii="仿宋_GB2312" w:eastAsia="仿宋_GB2312"/>
      <w:color w:val="000000"/>
    </w:rPr>
  </w:style>
  <w:style w:type="paragraph" w:customStyle="1" w:styleId="865">
    <w:name w:val="表内文字"/>
    <w:basedOn w:val="1"/>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66">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867">
    <w:name w:val="Char3 Char Char Char1"/>
    <w:basedOn w:val="1"/>
    <w:uiPriority w:val="6"/>
    <w:pPr>
      <w:widowControl/>
      <w:adjustRightInd/>
      <w:spacing w:after="160" w:line="240" w:lineRule="exact"/>
      <w:jc w:val="left"/>
    </w:pPr>
    <w:rPr>
      <w:szCs w:val="20"/>
    </w:rPr>
  </w:style>
  <w:style w:type="paragraph" w:customStyle="1" w:styleId="868">
    <w:name w:val="xl72"/>
    <w:basedOn w:val="1"/>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69">
    <w:name w:val="xl8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0">
    <w:name w:val="标题2"/>
    <w:basedOn w:val="3"/>
    <w:next w:val="1"/>
    <w:qFormat/>
    <w:uiPriority w:val="0"/>
    <w:pPr>
      <w:numPr>
        <w:ilvl w:val="0"/>
        <w:numId w:val="0"/>
      </w:numPr>
      <w:tabs>
        <w:tab w:val="left" w:pos="578"/>
        <w:tab w:val="left" w:pos="900"/>
        <w:tab w:val="left" w:pos="1440"/>
      </w:tabs>
      <w:ind w:left="1440" w:hanging="360"/>
    </w:pPr>
    <w:rPr>
      <w:rFonts w:ascii="仿宋" w:eastAsia="仿宋" w:cs="宋体"/>
      <w:bCs w:val="0"/>
      <w:szCs w:val="28"/>
    </w:rPr>
  </w:style>
  <w:style w:type="paragraph" w:customStyle="1" w:styleId="871">
    <w:name w:val="_Style 8"/>
    <w:basedOn w:val="1"/>
    <w:qFormat/>
    <w:uiPriority w:val="34"/>
    <w:pPr>
      <w:adjustRightInd/>
      <w:ind w:firstLine="420" w:firstLineChars="200"/>
    </w:pPr>
    <w:rPr>
      <w:rFonts w:eastAsia="仿宋_GB2312"/>
      <w:sz w:val="28"/>
    </w:rPr>
  </w:style>
  <w:style w:type="paragraph" w:customStyle="1" w:styleId="8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73">
    <w:name w:val="表正文"/>
    <w:uiPriority w:val="0"/>
    <w:pPr>
      <w:snapToGrid w:val="0"/>
      <w:spacing w:line="600" w:lineRule="atLeast"/>
      <w:ind w:firstLine="641"/>
      <w:jc w:val="both"/>
    </w:pPr>
    <w:rPr>
      <w:rFonts w:eastAsia="仿宋_GB2312"/>
      <w:sz w:val="32"/>
      <w:lang w:val="en-US" w:eastAsia="zh-CN" w:bidi="ar-SA"/>
    </w:rPr>
  </w:style>
  <w:style w:type="paragraph" w:customStyle="1" w:styleId="874">
    <w:name w:val="批注框文本 Char Char"/>
    <w:basedOn w:val="1"/>
    <w:uiPriority w:val="0"/>
    <w:pPr>
      <w:adjustRightInd/>
    </w:pPr>
    <w:rPr>
      <w:sz w:val="18"/>
      <w:szCs w:val="20"/>
    </w:rPr>
  </w:style>
  <w:style w:type="paragraph" w:customStyle="1" w:styleId="875">
    <w:name w:val="_Style 11"/>
    <w:basedOn w:val="1"/>
    <w:qFormat/>
    <w:uiPriority w:val="34"/>
    <w:pPr>
      <w:adjustRightInd/>
      <w:ind w:firstLine="420" w:firstLineChars="200"/>
    </w:pPr>
    <w:rPr>
      <w:rFonts w:eastAsia="仿宋_GB2312"/>
      <w:sz w:val="28"/>
    </w:rPr>
  </w:style>
  <w:style w:type="paragraph" w:customStyle="1" w:styleId="876">
    <w:name w:val="大汉方案正文"/>
    <w:basedOn w:val="1"/>
    <w:uiPriority w:val="0"/>
    <w:pPr>
      <w:adjustRightInd/>
      <w:spacing w:line="360" w:lineRule="auto"/>
      <w:ind w:firstLine="200" w:firstLineChars="200"/>
    </w:pPr>
    <w:rPr>
      <w:rFonts w:ascii="Arial" w:hAnsi="Arial"/>
      <w:sz w:val="24"/>
      <w:szCs w:val="20"/>
    </w:rPr>
  </w:style>
  <w:style w:type="paragraph" w:customStyle="1" w:styleId="877">
    <w:name w:val="标题3"/>
    <w:basedOn w:val="4"/>
    <w:next w:val="51"/>
    <w:qFormat/>
    <w:uiPriority w:val="0"/>
    <w:pPr>
      <w:tabs>
        <w:tab w:val="clear" w:pos="900"/>
      </w:tabs>
      <w:spacing w:after="0" w:line="360" w:lineRule="auto"/>
    </w:pPr>
    <w:rPr>
      <w:rFonts w:ascii="仿宋" w:hAnsi="仿宋" w:eastAsia="仿宋" w:cs="仿宋"/>
    </w:rPr>
  </w:style>
  <w:style w:type="paragraph" w:customStyle="1" w:styleId="878">
    <w:name w:val="_正文段落"/>
    <w:basedOn w:val="1"/>
    <w:qFormat/>
    <w:uiPriority w:val="0"/>
    <w:pPr>
      <w:adjustRightInd/>
      <w:ind w:firstLine="560"/>
    </w:pPr>
    <w:rPr>
      <w:rFonts w:ascii="仿宋_GB2312" w:hAnsi="仿宋" w:eastAsia="仿宋_GB2312"/>
      <w:kern w:val="0"/>
      <w:sz w:val="28"/>
      <w:szCs w:val="28"/>
    </w:rPr>
  </w:style>
  <w:style w:type="paragraph" w:customStyle="1" w:styleId="879">
    <w:name w:val="样式 样式 宋体 小四 段前: 7.8 磅 段后: 7.8 磅 行距: 1.5 倍行距 + 小二 首行缩进:  2 字符"/>
    <w:basedOn w:val="1"/>
    <w:uiPriority w:val="0"/>
    <w:pPr>
      <w:adjustRightInd/>
      <w:spacing w:line="360" w:lineRule="auto"/>
      <w:ind w:firstLine="480" w:firstLineChars="200"/>
    </w:pPr>
    <w:rPr>
      <w:rFonts w:ascii="宋体" w:hAnsi="宋体" w:cs="宋体"/>
      <w:sz w:val="24"/>
      <w:szCs w:val="20"/>
    </w:rPr>
  </w:style>
  <w:style w:type="paragraph" w:customStyle="1" w:styleId="880">
    <w:name w:val="_Style 5"/>
    <w:basedOn w:val="1"/>
    <w:qFormat/>
    <w:uiPriority w:val="34"/>
    <w:pPr>
      <w:adjustRightInd/>
      <w:ind w:firstLine="420" w:firstLineChars="200"/>
    </w:pPr>
    <w:rPr>
      <w:rFonts w:eastAsia="仿宋_GB2312"/>
      <w:sz w:val="28"/>
    </w:rPr>
  </w:style>
  <w:style w:type="paragraph" w:customStyle="1" w:styleId="881">
    <w:name w:val="_Style 3"/>
    <w:basedOn w:val="1"/>
    <w:qFormat/>
    <w:uiPriority w:val="34"/>
    <w:pPr>
      <w:adjustRightInd/>
      <w:ind w:firstLine="420" w:firstLineChars="200"/>
    </w:pPr>
    <w:rPr>
      <w:rFonts w:eastAsia="仿宋_GB2312"/>
      <w:sz w:val="28"/>
    </w:rPr>
  </w:style>
  <w:style w:type="paragraph" w:customStyle="1" w:styleId="882">
    <w:name w:val="_Style 6"/>
    <w:basedOn w:val="1"/>
    <w:qFormat/>
    <w:uiPriority w:val="34"/>
    <w:pPr>
      <w:adjustRightInd/>
      <w:ind w:firstLine="420" w:firstLineChars="200"/>
    </w:pPr>
    <w:rPr>
      <w:rFonts w:eastAsia="仿宋_GB2312"/>
      <w:sz w:val="28"/>
    </w:rPr>
  </w:style>
  <w:style w:type="paragraph" w:customStyle="1" w:styleId="883">
    <w:name w:val="_Style 1"/>
    <w:basedOn w:val="1"/>
    <w:qFormat/>
    <w:uiPriority w:val="34"/>
    <w:pPr>
      <w:adjustRightInd/>
      <w:ind w:firstLine="420" w:firstLineChars="200"/>
    </w:pPr>
    <w:rPr>
      <w:rFonts w:eastAsia="仿宋_GB2312"/>
      <w:sz w:val="28"/>
    </w:rPr>
  </w:style>
  <w:style w:type="paragraph" w:customStyle="1" w:styleId="884">
    <w:name w:val="样式 标题 2 + 四号"/>
    <w:basedOn w:val="3"/>
    <w:uiPriority w:val="0"/>
    <w:pPr>
      <w:numPr>
        <w:ilvl w:val="0"/>
        <w:numId w:val="0"/>
      </w:numPr>
      <w:tabs>
        <w:tab w:val="clear" w:pos="432"/>
      </w:tabs>
      <w:spacing w:before="120" w:after="120"/>
      <w:jc w:val="both"/>
    </w:pPr>
    <w:rPr>
      <w:rFonts w:ascii="宋体" w:hAnsi="Arial" w:eastAsia="宋体"/>
      <w:sz w:val="28"/>
      <w:lang w:val="en-US"/>
    </w:rPr>
  </w:style>
  <w:style w:type="paragraph" w:customStyle="1" w:styleId="88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86">
    <w:name w:val="样式 首行缩进:  0 字符"/>
    <w:basedOn w:val="1"/>
    <w:uiPriority w:val="0"/>
    <w:pPr>
      <w:adjustRightInd/>
      <w:spacing w:line="360" w:lineRule="auto"/>
      <w:ind w:firstLine="200" w:firstLineChars="200"/>
    </w:pPr>
    <w:rPr>
      <w:rFonts w:ascii="Arial" w:hAnsi="Arial" w:cs="宋体"/>
      <w:sz w:val="24"/>
      <w:szCs w:val="20"/>
    </w:rPr>
  </w:style>
  <w:style w:type="paragraph" w:customStyle="1" w:styleId="887">
    <w:name w:val="正文1.25"/>
    <w:basedOn w:val="1"/>
    <w:qFormat/>
    <w:uiPriority w:val="0"/>
    <w:pPr>
      <w:adjustRightInd/>
      <w:spacing w:line="300" w:lineRule="auto"/>
      <w:ind w:firstLine="480" w:firstLineChars="200"/>
    </w:pPr>
    <w:rPr>
      <w:sz w:val="24"/>
      <w:szCs w:val="20"/>
    </w:rPr>
  </w:style>
  <w:style w:type="paragraph" w:customStyle="1" w:styleId="888">
    <w:name w:val="U_编号2"/>
    <w:basedOn w:val="1"/>
    <w:uiPriority w:val="0"/>
    <w:pPr>
      <w:tabs>
        <w:tab w:val="left" w:pos="785"/>
      </w:tabs>
      <w:adjustRightInd/>
      <w:spacing w:beforeLines="10" w:afterLines="10" w:line="300" w:lineRule="auto"/>
    </w:pPr>
    <w:rPr>
      <w:sz w:val="24"/>
    </w:rPr>
  </w:style>
  <w:style w:type="paragraph" w:customStyle="1" w:styleId="889">
    <w:name w:val="Item Step in Table"/>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890">
    <w:name w:val="Char Char Char 字元 字元"/>
    <w:basedOn w:val="1"/>
    <w:uiPriority w:val="0"/>
    <w:pPr>
      <w:adjustRightInd/>
      <w:spacing w:line="360" w:lineRule="auto"/>
      <w:ind w:firstLine="200" w:firstLineChars="200"/>
    </w:pPr>
    <w:rPr>
      <w:szCs w:val="20"/>
    </w:rPr>
  </w:style>
  <w:style w:type="paragraph" w:customStyle="1" w:styleId="891">
    <w:name w:val="五级无标题条"/>
    <w:basedOn w:val="1"/>
    <w:uiPriority w:val="0"/>
    <w:pPr>
      <w:adjustRightInd/>
    </w:pPr>
  </w:style>
  <w:style w:type="paragraph" w:customStyle="1" w:styleId="892">
    <w:name w:val="样式9"/>
    <w:basedOn w:val="1"/>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93">
    <w:name w:val="正文，首行缩进:  2 字符"/>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894">
    <w:name w:val="中文标题 3"/>
    <w:basedOn w:val="24"/>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95">
    <w:name w:val="xl55"/>
    <w:basedOn w:val="1"/>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96">
    <w:name w:val="方案正文无缩进"/>
    <w:qFormat/>
    <w:uiPriority w:val="0"/>
    <w:pPr>
      <w:spacing w:line="360" w:lineRule="auto"/>
    </w:pPr>
    <w:rPr>
      <w:kern w:val="2"/>
      <w:sz w:val="24"/>
      <w:szCs w:val="24"/>
      <w:lang w:val="en-US" w:eastAsia="zh-CN" w:bidi="ar-SA"/>
    </w:rPr>
  </w:style>
  <w:style w:type="paragraph" w:customStyle="1" w:styleId="897">
    <w:name w:val="列表段落1"/>
    <w:basedOn w:val="1"/>
    <w:qFormat/>
    <w:uiPriority w:val="34"/>
    <w:pPr>
      <w:adjustRightInd/>
      <w:ind w:right="238" w:firstLine="420"/>
    </w:pPr>
    <w:rPr>
      <w:rFonts w:ascii="Calibri" w:hAnsi="Calibri"/>
      <w:sz w:val="24"/>
    </w:rPr>
  </w:style>
  <w:style w:type="paragraph" w:customStyle="1" w:styleId="898">
    <w:name w:val="4级标题"/>
    <w:basedOn w:val="385"/>
    <w:qFormat/>
    <w:uiPriority w:val="0"/>
    <w:pPr>
      <w:keepLines/>
      <w:numPr>
        <w:ilvl w:val="3"/>
        <w:numId w:val="6"/>
      </w:numPr>
      <w:adjustRightInd/>
      <w:ind w:firstLineChars="0"/>
      <w:jc w:val="left"/>
      <w:outlineLvl w:val="3"/>
    </w:pPr>
    <w:rPr>
      <w:rFonts w:ascii="黑体" w:hAnsi="黑体" w:eastAsia="黑体" w:cs="Times New Roman"/>
      <w:kern w:val="0"/>
      <w:sz w:val="28"/>
      <w:lang w:eastAsia="en-US" w:bidi="en-US"/>
    </w:rPr>
  </w:style>
  <w:style w:type="paragraph" w:customStyle="1" w:styleId="899">
    <w:name w:val="正文 A"/>
    <w:uiPriority w:val="0"/>
    <w:pPr>
      <w:widowControl w:val="0"/>
      <w:jc w:val="both"/>
    </w:pPr>
    <w:rPr>
      <w:rFonts w:eastAsia="Arial Unicode MS" w:cs="Arial Unicode MS"/>
      <w:color w:val="000000"/>
      <w:kern w:val="2"/>
      <w:sz w:val="21"/>
      <w:szCs w:val="21"/>
      <w:lang w:val="en-US" w:eastAsia="zh-CN" w:bidi="ar-SA"/>
    </w:rPr>
  </w:style>
  <w:style w:type="paragraph" w:customStyle="1" w:styleId="900">
    <w:name w:val="_标题2"/>
    <w:basedOn w:val="901"/>
    <w:next w:val="9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901">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902">
    <w:name w:val="需求正文"/>
    <w:basedOn w:val="1"/>
    <w:qFormat/>
    <w:uiPriority w:val="0"/>
    <w:pPr>
      <w:ind w:firstLine="420" w:firstLineChars="200"/>
    </w:pPr>
    <w:rPr>
      <w:rFonts w:ascii="Arial" w:hAnsi="Arial"/>
      <w:sz w:val="20"/>
    </w:rPr>
  </w:style>
  <w:style w:type="paragraph" w:customStyle="1" w:styleId="903">
    <w:name w:val="_Style 62"/>
    <w:basedOn w:val="1"/>
    <w:qFormat/>
    <w:uiPriority w:val="0"/>
    <w:pPr>
      <w:ind w:firstLine="200" w:firstLineChars="200"/>
    </w:pPr>
  </w:style>
  <w:style w:type="paragraph" w:customStyle="1" w:styleId="904">
    <w:name w:val="Body Text 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905">
    <w:name w:val="List Paragraph"/>
    <w:basedOn w:val="1"/>
    <w:qFormat/>
    <w:uiPriority w:val="0"/>
    <w:pPr>
      <w:adjustRightInd/>
      <w:spacing w:line="360" w:lineRule="auto"/>
      <w:ind w:firstLine="420" w:firstLineChars="200"/>
    </w:pPr>
    <w:rPr>
      <w:rFonts w:ascii="Calibri" w:hAnsi="Calibri"/>
      <w:sz w:val="24"/>
      <w:szCs w:val="22"/>
    </w:rPr>
  </w:style>
  <w:style w:type="paragraph" w:customStyle="1" w:styleId="906">
    <w:name w:val="样式_杭州市局"/>
    <w:basedOn w:val="1"/>
    <w:qFormat/>
    <w:uiPriority w:val="0"/>
    <w:pPr>
      <w:adjustRightInd/>
      <w:spacing w:line="360" w:lineRule="auto"/>
      <w:ind w:firstLine="200" w:firstLineChars="200"/>
    </w:pPr>
    <w:rPr>
      <w:rFonts w:ascii="仿宋" w:hAnsi="仿宋" w:eastAsia="仿宋" w:cs="黑体"/>
      <w:sz w:val="28"/>
      <w:szCs w:val="28"/>
    </w:rPr>
  </w:style>
  <w:style w:type="paragraph" w:customStyle="1" w:styleId="907">
    <w:name w:val="List"/>
    <w:basedOn w:val="1"/>
    <w:next w:val="385"/>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media/image1.png" Type="http://schemas.openxmlformats.org/officeDocument/2006/relationships/image"/><Relationship Id="rId23" Target="media/image2.png" Type="http://schemas.openxmlformats.org/officeDocument/2006/relationships/image"/><Relationship Id="rId24" Target="media/image3.png" Type="http://schemas.openxmlformats.org/officeDocument/2006/relationships/image"/><Relationship Id="rId25" Target="../customXml/item1.xml" Type="http://schemas.openxmlformats.org/officeDocument/2006/relationships/customXml"/><Relationship Id="rId26" Target="numbering.xml" Type="http://schemas.openxmlformats.org/officeDocument/2006/relationships/numbering"/><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129</Pages>
  <Words>13736</Words>
  <Characters>78298</Characters>
  <Lines>652</Lines>
  <Paragraphs>183</Paragraphs>
  <TotalTime>25</TotalTime>
  <ScaleCrop>false</ScaleCrop>
  <LinksUpToDate>false</LinksUpToDate>
  <CharactersWithSpaces>91851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2015-04-27T01:52:00Z</dcterms:created>
  <dc:creator>KXC</dc:creator>
  <cp:lastModifiedBy>WPS_1701756769</cp:lastModifiedBy>
  <cp:lastPrinted>2021-08-24T07:01:00Z</cp:lastPrinted>
  <dcterms:modified xsi:type="dcterms:W3CDTF">2024-02-23T06:06:39Z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FFFAB90931664CB38CBCCC723CD9CF07_13</vt:lpwstr>
  </property>
</Properties>
</file>