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bookmarkStart w:id="420" w:name="_GoBack"/>
      <w:bookmarkEnd w:id="420"/>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杭州市城西中学2024年物业服务项目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HZZFCG-2024-032（1）</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 xml:space="preserve">杭州市城西中学 </w:t>
      </w:r>
    </w:p>
    <w:p>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杭州市公共资源交易中心</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三</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二十二</w:t>
      </w:r>
      <w:r>
        <w:rPr>
          <w:rFonts w:hint="eastAsia" w:ascii="宋体" w:hAnsi="宋体" w:cs="宋体"/>
          <w:bCs/>
          <w:color w:val="000000" w:themeColor="text1"/>
          <w:sz w:val="32"/>
          <w:szCs w:val="32"/>
          <w:highlight w:val="none"/>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636"/>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招标项目的潜在投标人应在政采云平台（https://www.zcygov.cn/）获取（下载）招标文件，并于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HZZFCG-2024-032（1）</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cs="Times New Roman" w:asciiTheme="minorEastAsia" w:hAnsiTheme="minorEastAsia" w:eastAsiaTheme="minorEastAsia"/>
          <w:b w:val="0"/>
          <w:color w:val="000000" w:themeColor="text1"/>
          <w:sz w:val="24"/>
          <w:highlight w:val="none"/>
          <w14:textFill>
            <w14:solidFill>
              <w14:schemeClr w14:val="tx1"/>
            </w14:solidFill>
          </w14:textFill>
        </w:rPr>
        <w:t>：3290000</w:t>
      </w:r>
      <w:r>
        <w:rPr>
          <w:rFonts w:hint="eastAsia" w:cs="Times New Roman"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cs="Times New Roman" w:asciiTheme="minorEastAsia" w:hAnsiTheme="minorEastAsia" w:eastAsiaTheme="minorEastAsia"/>
          <w:b w:val="0"/>
          <w:color w:val="000000" w:themeColor="text1"/>
          <w:sz w:val="24"/>
          <w:highlight w:val="none"/>
          <w14:textFill>
            <w14:solidFill>
              <w14:schemeClr w14:val="tx1"/>
            </w14:solidFill>
          </w14:textFill>
        </w:rPr>
        <w:t>3290000</w:t>
      </w:r>
      <w:r>
        <w:rPr>
          <w:rFonts w:hint="eastAsia" w:cs="Times New Roman"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firstLineChars="0"/>
        <w:rPr>
          <w:rFonts w:hint="eastAsia" w:ascii="宋体" w:hAnsi="宋体" w:cs="宋体"/>
          <w:bCs w:val="0"/>
          <w:snapToGrid w:val="0"/>
          <w:color w:val="000000" w:themeColor="text1"/>
          <w:kern w:val="28"/>
          <w:sz w:val="24"/>
          <w:szCs w:val="20"/>
          <w:highlight w:val="none"/>
          <w14:textFill>
            <w14:solidFill>
              <w14:schemeClr w14:val="tx1"/>
            </w14:solidFill>
          </w14:textFill>
        </w:rPr>
      </w:pPr>
      <w:r>
        <w:rPr>
          <w:rFonts w:hint="eastAsia" w:ascii="宋体" w:hAnsi="宋体" w:cs="宋体"/>
          <w:b/>
          <w:bCs/>
          <w:snapToGrid w:val="0"/>
          <w:color w:val="000000" w:themeColor="text1"/>
          <w:kern w:val="28"/>
          <w:sz w:val="24"/>
          <w:szCs w:val="20"/>
          <w:highlight w:val="none"/>
          <w14:textFill>
            <w14:solidFill>
              <w14:schemeClr w14:val="tx1"/>
            </w14:solidFill>
          </w14:textFill>
        </w:rPr>
        <w:t>采购需求：</w:t>
      </w:r>
      <w:r>
        <w:rPr>
          <w:rFonts w:hint="eastAsia" w:ascii="宋体" w:hAnsi="宋体" w:eastAsia="宋体" w:cs="宋体"/>
          <w:bCs w:val="0"/>
          <w:snapToGrid w:val="0"/>
          <w:color w:val="000000" w:themeColor="text1"/>
          <w:kern w:val="28"/>
          <w:sz w:val="24"/>
          <w:szCs w:val="20"/>
          <w:highlight w:val="none"/>
          <w:lang w:eastAsia="zh-CN"/>
          <w14:textFill>
            <w14:solidFill>
              <w14:schemeClr w14:val="tx1"/>
            </w14:solidFill>
          </w14:textFill>
        </w:rPr>
        <w:t>杭州市城西中学2024年物业服务项目</w:t>
      </w:r>
      <w:r>
        <w:rPr>
          <w:rFonts w:hint="eastAsia" w:ascii="宋体" w:hAnsi="宋体" w:eastAsia="宋体" w:cs="宋体"/>
          <w:bCs w:val="0"/>
          <w:snapToGrid w:val="0"/>
          <w:color w:val="000000" w:themeColor="text1"/>
          <w:kern w:val="28"/>
          <w:sz w:val="24"/>
          <w:szCs w:val="20"/>
          <w:highlight w:val="none"/>
          <w14:textFill>
            <w14:solidFill>
              <w14:schemeClr w14:val="tx1"/>
            </w14:solidFill>
          </w14:textFill>
        </w:rPr>
        <w:t>主要内容：</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传达、保安、秩序管理；绿化管理（包括草花、盆花摆放、养护和清洁）；环境卫生管理（包括门前“三包”、垃圾清运、化粪池清掏、灭“四害”和消杀）；场馆保洁；</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学农实践基地维护与管理；</w:t>
      </w:r>
      <w:r>
        <w:rPr>
          <w:rFonts w:hint="eastAsia" w:ascii="宋体" w:hAnsi="宋体" w:eastAsia="宋体" w:cs="宋体"/>
          <w:snapToGrid w:val="0"/>
          <w:color w:val="000000" w:themeColor="text1"/>
          <w:kern w:val="28"/>
          <w:sz w:val="24"/>
          <w:szCs w:val="20"/>
          <w:highlight w:val="none"/>
          <w14:textFill>
            <w14:solidFill>
              <w14:schemeClr w14:val="tx1"/>
            </w14:solidFill>
          </w14:textFill>
        </w:rPr>
        <w:t>高低压线路、照明及供电设备管理维护（包括高低配年度检测）；给排水设备运行维护；消防、监控、防雷设施管理维护（包括防雷检测，监控保养）；空调系统运行维护；家长会等会议及学生活动服务保障等内容。</w:t>
      </w:r>
      <w:r>
        <w:rPr>
          <w:rFonts w:hint="eastAsia" w:ascii="宋体" w:hAnsi="宋体" w:eastAsia="宋体" w:cs="宋体"/>
          <w:snapToGrid w:val="0"/>
          <w:color w:val="000000" w:themeColor="text1"/>
          <w:kern w:val="28"/>
          <w:sz w:val="24"/>
          <w:szCs w:val="20"/>
          <w:highlight w:val="none"/>
          <w:shd w:val="clear"/>
          <w14:textFill>
            <w14:solidFill>
              <w14:schemeClr w14:val="tx1"/>
            </w14:solidFill>
          </w14:textFill>
        </w:rPr>
        <w:t>杭州市城西中学位于杭州市余杭区闲林东路3号，学校占地面积135463.42平方米，建筑面积</w:t>
      </w:r>
      <w:r>
        <w:rPr>
          <w:rFonts w:hint="eastAsia" w:ascii="宋体" w:hAnsi="宋体" w:eastAsia="宋体" w:cs="宋体"/>
          <w:snapToGrid w:val="0"/>
          <w:color w:val="000000" w:themeColor="text1"/>
          <w:kern w:val="28"/>
          <w:sz w:val="24"/>
          <w:szCs w:val="20"/>
          <w:highlight w:val="none"/>
          <w:shd w:val="clear"/>
          <w:lang w:val="en-US" w:eastAsia="zh-CN"/>
          <w14:textFill>
            <w14:solidFill>
              <w14:schemeClr w14:val="tx1"/>
            </w14:solidFill>
          </w14:textFill>
        </w:rPr>
        <w:t>约30216</w:t>
      </w:r>
      <w:r>
        <w:rPr>
          <w:rFonts w:hint="eastAsia" w:ascii="宋体" w:hAnsi="宋体" w:eastAsia="宋体" w:cs="宋体"/>
          <w:snapToGrid w:val="0"/>
          <w:color w:val="000000" w:themeColor="text1"/>
          <w:kern w:val="28"/>
          <w:sz w:val="24"/>
          <w:szCs w:val="20"/>
          <w:highlight w:val="none"/>
          <w:shd w:val="clear"/>
          <w14:textFill>
            <w14:solidFill>
              <w14:schemeClr w14:val="tx1"/>
            </w14:solidFill>
          </w14:textFill>
        </w:rPr>
        <w:t>.03平方米，绿化养护总面积约83310平方米。在校生约600人左右，教职工80人左右。</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具体以招标文件第三部分采购需求为准，供应商可点击本公告下方“浏览采购文件”查看采购需求。</w:t>
      </w:r>
    </w:p>
    <w:p>
      <w:pPr>
        <w:pStyle w:val="130"/>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t>2024年1月1日至2024年12月31日。特别说明：2024年1月1日至合同签订之日前的空档期物业服务由原供应商承担，费用由中标人按本次中标价单日金额乘以实际服务天数，与原供应商结算</w:t>
      </w:r>
      <w:r>
        <w:rPr>
          <w:rFonts w:hint="eastAsia" w:hAnsi="宋体" w:cs="宋体"/>
          <w:bCs/>
          <w:color w:val="000000" w:themeColor="text1"/>
          <w:szCs w:val="24"/>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w:t>
      </w:r>
    </w:p>
    <w:p>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40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70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50898254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val="en-US" w:eastAsia="zh-CN"/>
          <w14:textFill>
            <w14:solidFill>
              <w14:schemeClr w14:val="tx1"/>
            </w14:solidFill>
          </w14:textFill>
        </w:rPr>
        <w:t>杭州市城西中学</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杭州市</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余杭区闲林东路3号</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程文财</w:t>
      </w:r>
    </w:p>
    <w:p>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0571-88681740</w:t>
      </w:r>
    </w:p>
    <w:p>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邵玉琴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0571-88695404（请通过以下路径在线提起质疑：政采云-项目采购-询问质疑投诉-质疑列表）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称：杭州市公共资源交易中心</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址：杭州市上城区之江路925号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 张工</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项目联系方式（询问）：0571-85085067</w:t>
      </w:r>
    </w:p>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谢</w:t>
      </w:r>
      <w:r>
        <w:rPr>
          <w:rFonts w:hint="eastAsia" w:ascii="宋体" w:hAnsi="宋体" w:cs="宋体"/>
          <w:color w:val="000000" w:themeColor="text1"/>
          <w:sz w:val="24"/>
          <w:highlight w:val="none"/>
          <w:lang w:val="en-US" w:eastAsia="zh-CN"/>
          <w14:textFill>
            <w14:solidFill>
              <w14:schemeClr w14:val="tx1"/>
            </w14:solidFill>
          </w14:textFill>
        </w:rPr>
        <w:t>栋华</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质疑联系方式：0571-85085477</w:t>
      </w:r>
      <w:r>
        <w:rPr>
          <w:rFonts w:hint="eastAsia" w:ascii="宋体" w:hAnsi="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址：杭州市上城区四季青街道新业路市民之家G03办公室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 0571-85252453   </w:t>
      </w:r>
    </w:p>
    <w:p>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政策咨询：陈先生、厉先生，0571-89580460、89580456</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000000" w:themeColor="text1"/>
          <w:szCs w:val="21"/>
          <w:highlight w:val="none"/>
          <w:shd w:val="clear" w:color="auto" w:fill="FFFFFF"/>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物业管理服务项目</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lang w:val="en-US" w:eastAsia="zh-CN"/>
                <w14:textFill>
                  <w14:solidFill>
                    <w14:schemeClr w14:val="tx1"/>
                  </w14:solidFill>
                </w14:textFill>
              </w:rPr>
              <w:t>物业管理</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color w:val="000000" w:themeColor="text1"/>
                <w:kern w:val="0"/>
                <w:sz w:val="24"/>
                <w:highlight w:val="none"/>
                <w:lang w:eastAsia="zh-CN"/>
                <w14:textFill>
                  <w14:solidFill>
                    <w14:schemeClr w14:val="tx1"/>
                  </w14:solidFill>
                </w14:textFill>
              </w:rPr>
              <w:t>。</w:t>
            </w:r>
          </w:p>
          <w:p>
            <w:pPr>
              <w:pStyle w:val="2"/>
              <w:rPr>
                <w:color w:val="000000" w:themeColor="text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采购进口产品。优先采购向我国企业转让技术、与我国企业签订消化吸收再创新方案的供应商的进口产品，详见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lang w:val="en-US" w:eastAsia="zh-CN"/>
                <w14:textFill>
                  <w14:solidFill>
                    <w14:schemeClr w14:val="tx1"/>
                  </w14:solidFill>
                </w14:textFill>
              </w:rPr>
              <w:t>绿化、保洁、高低配年度检测、特种设备年度检测、防雷年度检测、空调保养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B要求提供（未提供样品或提供样品不满足采购需求实质性条件的供应商，投标无效）：</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35009224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样品分未超过价格分的50%；</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855404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样品分超过价格分的50%，理由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详见招标文件第四部分</w:t>
            </w:r>
            <w:r>
              <w:rPr>
                <w:rFonts w:hint="eastAsia" w:ascii="宋体" w:hAnsi="宋体" w:cs="宋体"/>
                <w:color w:val="000000" w:themeColor="text1"/>
                <w:sz w:val="24"/>
                <w:highlight w:val="none"/>
                <w:u w:val="single"/>
                <w14:textFill>
                  <w14:solidFill>
                    <w14:schemeClr w14:val="tx1"/>
                  </w14:solidFill>
                </w14:textFill>
              </w:rPr>
              <w:t>评标办分法</w:t>
            </w:r>
            <w:r>
              <w:rPr>
                <w:rFonts w:hint="eastAsia" w:ascii="宋体" w:hAnsi="宋体" w:cs="宋体"/>
                <w:color w:val="000000" w:themeColor="text1"/>
                <w:kern w:val="0"/>
                <w:sz w:val="24"/>
                <w:highlight w:val="none"/>
                <w14:textFill>
                  <w14:solidFill>
                    <w14:schemeClr w14:val="tx1"/>
                  </w14:solidFill>
                </w14:textFill>
              </w:rPr>
              <w:t xml:space="preserve">。 </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sz w:val="24"/>
                <w:highlight w:val="none"/>
                <w:u w:val="single"/>
                <w14:textFill>
                  <w14:solidFill>
                    <w14:schemeClr w14:val="tx1"/>
                  </w14:solidFill>
                </w14:textFill>
              </w:rPr>
              <w:t>杭州市公共资源交易中心4楼答疑室（讲标室）</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623201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lang w:val="zh-CN"/>
                    <w14:textFill>
                      <w14:solidFill>
                        <w14:schemeClr w14:val="tx1"/>
                      </w14:solidFill>
                    </w14:textFill>
                  </w:rPr>
                  <w:t>☐</w:t>
                </w:r>
              </w:sdtContent>
            </w:sdt>
            <w:r>
              <w:rPr>
                <w:rFonts w:hint="eastAsia" w:ascii="宋体" w:hAnsi="宋体" w:cs="宋体"/>
                <w:color w:val="000000" w:themeColor="text1"/>
                <w:kern w:val="0"/>
                <w:sz w:val="24"/>
                <w:highlight w:val="none"/>
                <w:lang w:val="zh-CN"/>
                <w14:textFill>
                  <w14:solidFill>
                    <w14:schemeClr w14:val="tx1"/>
                  </w14:solidFill>
                </w14:textFill>
              </w:rPr>
              <w:t>依据国家确定的认证机构出具的、处于有效期之内的节能产品认证证书，对获得证书的产品实施政府优先采购或强制采购；其中，对</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实施政府优先采购，</w:t>
            </w:r>
            <w:r>
              <w:rPr>
                <w:rFonts w:hint="eastAsia" w:ascii="宋体" w:hAnsi="宋体" w:cs="宋体"/>
                <w:color w:val="000000" w:themeColor="text1"/>
                <w:kern w:val="0"/>
                <w:sz w:val="24"/>
                <w:highlight w:val="none"/>
                <w14:textFill>
                  <w14:solidFill>
                    <w14:schemeClr w14:val="tx1"/>
                  </w14:solidFill>
                </w14:textFill>
              </w:rPr>
              <w:t>详</w:t>
            </w:r>
            <w:r>
              <w:rPr>
                <w:rFonts w:hint="eastAsia" w:ascii="宋体" w:hAnsi="宋体" w:cs="宋体"/>
                <w:color w:val="000000" w:themeColor="text1"/>
                <w:kern w:val="0"/>
                <w:sz w:val="24"/>
                <w:highlight w:val="none"/>
                <w:lang w:val="zh-CN"/>
                <w14:textFill>
                  <w14:solidFill>
                    <w14:schemeClr w14:val="tx1"/>
                  </w14:solidFill>
                </w14:textFill>
              </w:rPr>
              <w:t>见</w:t>
            </w:r>
            <w:r>
              <w:rPr>
                <w:rFonts w:hint="eastAsia" w:ascii="宋体" w:hAnsi="宋体" w:cs="宋体"/>
                <w:color w:val="000000" w:themeColor="text1"/>
                <w:kern w:val="0"/>
                <w:sz w:val="24"/>
                <w:highlight w:val="none"/>
                <w:u w:val="single"/>
                <w:lang w:val="zh-CN"/>
                <w14:textFill>
                  <w14:solidFill>
                    <w14:schemeClr w14:val="tx1"/>
                  </w14:solidFill>
                </w14:textFill>
              </w:rPr>
              <w:t>评分标准</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对</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实施政府强制采购，</w:t>
            </w:r>
            <w:r>
              <w:rPr>
                <w:rFonts w:hint="eastAsia" w:ascii="宋体" w:hAnsi="宋体" w:cs="宋体"/>
                <w:b/>
                <w:bCs/>
                <w:color w:val="000000" w:themeColor="text1"/>
                <w:kern w:val="0"/>
                <w:sz w:val="24"/>
                <w:highlight w:val="none"/>
                <w:lang w:val="zh-CN"/>
                <w14:textFill>
                  <w14:solidFill>
                    <w14:schemeClr w14:val="tx1"/>
                  </w14:solidFill>
                </w14:textFill>
              </w:rPr>
              <w:t>投标人</w:t>
            </w:r>
            <w:r>
              <w:rPr>
                <w:rFonts w:hint="eastAsia" w:ascii="宋体" w:hAnsi="宋体" w:cs="宋体"/>
                <w:b/>
                <w:bCs/>
                <w:color w:val="000000" w:themeColor="text1"/>
                <w:kern w:val="0"/>
                <w:sz w:val="24"/>
                <w:highlight w:val="none"/>
                <w14:textFill>
                  <w14:solidFill>
                    <w14:schemeClr w14:val="tx1"/>
                  </w14:solidFill>
                </w14:textFill>
              </w:rPr>
              <w:t>就</w:t>
            </w:r>
            <w:r>
              <w:rPr>
                <w:rFonts w:hint="eastAsia" w:ascii="宋体" w:hAnsi="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cs="宋体"/>
                <w:b/>
                <w:bCs/>
                <w:color w:val="000000" w:themeColor="text1"/>
                <w:kern w:val="0"/>
                <w:sz w:val="24"/>
                <w:highlight w:val="none"/>
                <w14:textFill>
                  <w14:solidFill>
                    <w14:schemeClr w14:val="tx1"/>
                  </w14:solidFill>
                </w14:textFill>
              </w:rPr>
              <w:t>提供</w:t>
            </w:r>
            <w:r>
              <w:rPr>
                <w:rFonts w:hint="eastAsia" w:ascii="宋体" w:hAnsi="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rPr>
                <w:rFonts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lang w:val="zh-CN"/>
                  <w14:textFill>
                    <w14:solidFill>
                      <w14:schemeClr w14:val="tx1"/>
                    </w14:solidFill>
                  </w14:textFill>
                </w:rPr>
                <w:id w:val="9351501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lang w:val="zh-CN"/>
                  <w14:textFill>
                    <w14:solidFill>
                      <w14:schemeClr w14:val="tx1"/>
                    </w14:solidFill>
                  </w14:textFill>
                </w:rPr>
              </w:sdtEndPr>
              <w:sdtContent>
                <w:r>
                  <w:rPr>
                    <w:rFonts w:hint="eastAsia" w:ascii="宋体" w:hAnsi="宋体" w:cs="宋体"/>
                    <w:color w:val="000000" w:themeColor="text1"/>
                    <w:kern w:val="0"/>
                    <w:sz w:val="24"/>
                    <w:highlight w:val="none"/>
                    <w:lang w:val="zh-CN"/>
                    <w14:textFill>
                      <w14:solidFill>
                        <w14:schemeClr w14:val="tx1"/>
                      </w14:solidFill>
                    </w14:textFill>
                  </w:rPr>
                  <w:t>☐</w:t>
                </w:r>
              </w:sdtContent>
            </w:sdt>
            <w:r>
              <w:rPr>
                <w:rFonts w:hint="eastAsia" w:ascii="宋体" w:hAnsi="宋体" w:cs="宋体"/>
                <w:color w:val="000000" w:themeColor="text1"/>
                <w:kern w:val="0"/>
                <w:sz w:val="24"/>
                <w:highlight w:val="none"/>
                <w:lang w:val="zh-CN"/>
                <w14:textFill>
                  <w14:solidFill>
                    <w14:schemeClr w14:val="tx1"/>
                  </w14:solidFill>
                </w14:textFill>
              </w:rPr>
              <w:t>依据国家确定的认证机构出具的、处于有效期之内的环境标志产品认证证书，对获得证书的</w:t>
            </w:r>
            <w:r>
              <w:rPr>
                <w:rFonts w:hint="eastAsia" w:ascii="宋体" w:hAnsi="宋体" w:cs="宋体"/>
                <w:color w:val="000000" w:themeColor="text1"/>
                <w:kern w:val="0"/>
                <w:sz w:val="24"/>
                <w:highlight w:val="none"/>
                <w:u w:val="single"/>
                <w:shd w:val="pct10" w:color="auto" w:fill="FFFFFF"/>
                <w:lang w:val="zh-CN"/>
                <w14:textFill>
                  <w14:solidFill>
                    <w14:schemeClr w14:val="tx1"/>
                  </w14:solidFill>
                </w14:textFill>
              </w:rPr>
              <w:t>产品名称XXX</w:t>
            </w:r>
            <w:r>
              <w:rPr>
                <w:rFonts w:hint="eastAsia" w:ascii="宋体" w:hAnsi="宋体" w:cs="宋体"/>
                <w:color w:val="000000" w:themeColor="text1"/>
                <w:kern w:val="0"/>
                <w:sz w:val="24"/>
                <w:highlight w:val="none"/>
                <w:lang w:val="zh-CN"/>
                <w14:textFill>
                  <w14:solidFill>
                    <w14:schemeClr w14:val="tx1"/>
                  </w14:solidFill>
                </w14:textFill>
              </w:rPr>
              <w:t>实施政府优先采购，</w:t>
            </w:r>
            <w:r>
              <w:rPr>
                <w:rFonts w:hint="eastAsia" w:ascii="宋体" w:hAnsi="宋体" w:cs="宋体"/>
                <w:color w:val="000000" w:themeColor="text1"/>
                <w:kern w:val="0"/>
                <w:sz w:val="24"/>
                <w:highlight w:val="none"/>
                <w14:textFill>
                  <w14:solidFill>
                    <w14:schemeClr w14:val="tx1"/>
                  </w14:solidFill>
                </w14:textFill>
              </w:rPr>
              <w:t>详</w:t>
            </w:r>
            <w:r>
              <w:rPr>
                <w:rFonts w:hint="eastAsia" w:ascii="宋体" w:hAnsi="宋体" w:cs="宋体"/>
                <w:color w:val="000000" w:themeColor="text1"/>
                <w:kern w:val="0"/>
                <w:sz w:val="24"/>
                <w:highlight w:val="none"/>
                <w:lang w:val="zh-CN"/>
                <w14:textFill>
                  <w14:solidFill>
                    <w14:schemeClr w14:val="tx1"/>
                  </w14:solidFill>
                </w14:textFill>
              </w:rPr>
              <w:t>见</w:t>
            </w:r>
            <w:r>
              <w:rPr>
                <w:rFonts w:hint="eastAsia" w:ascii="宋体" w:hAnsi="宋体" w:cs="宋体"/>
                <w:color w:val="000000" w:themeColor="text1"/>
                <w:kern w:val="0"/>
                <w:sz w:val="24"/>
                <w:highlight w:val="none"/>
                <w:u w:val="single"/>
                <w:lang w:val="zh-CN"/>
                <w14:textFill>
                  <w14:solidFill>
                    <w14:schemeClr w14:val="tx1"/>
                  </w14:solidFill>
                </w14:textFill>
              </w:rPr>
              <w:t>评分标准</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7800363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杭州市之江路925号临江金座2号楼1010室（杭州市公共资源交易中心政府采购处）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0571-87008103</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000000" w:themeColor="text1"/>
                <w:sz w:val="24"/>
                <w:highlight w:val="none"/>
                <w:lang w:val="en"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default" w:ascii="宋体" w:hAnsi="宋体" w:cs="宋体"/>
                <w:color w:val="000000" w:themeColor="text1"/>
                <w:sz w:val="24"/>
                <w:highlight w:val="none"/>
                <w:lang w:val="en" w:eastAsia="zh-CN"/>
                <w14:textFill>
                  <w14:solidFill>
                    <w14:schemeClr w14:val="tx1"/>
                  </w14:solidFill>
                </w14:textFill>
              </w:rPr>
              <w:t>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招标文件第四部分</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评审因素对应的要求</w:t>
            </w:r>
            <w:r>
              <w:rPr>
                <w:rFonts w:hint="eastAsia" w:ascii="宋体" w:hAnsi="宋体" w:cs="Arial"/>
                <w:color w:val="000000" w:themeColor="text1"/>
                <w:kern w:val="0"/>
                <w:sz w:val="24"/>
                <w:highlight w:val="none"/>
                <w14:textFill>
                  <w14:solidFill>
                    <w14:schemeClr w14:val="tx1"/>
                  </w14:solidFill>
                </w14:textFill>
              </w:rPr>
              <w:t>及第五部分采购合同的内容</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000000" w:themeColor="text1"/>
                <w:kern w:val="0"/>
                <w:sz w:val="24"/>
                <w:highlight w:val="none"/>
                <w:lang w:val="en" w:eastAsia="zh-CN"/>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本项目评审报告推荐的中标候选人数量：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1 </w:t>
            </w:r>
            <w:r>
              <w:rPr>
                <w:rFonts w:hint="eastAsia" w:ascii="宋体" w:hAnsi="宋体" w:cs="宋体"/>
                <w:color w:val="000000" w:themeColor="text1"/>
                <w:kern w:val="0"/>
                <w:sz w:val="24"/>
                <w:highlight w:val="none"/>
                <w:lang w:val="en" w:eastAsia="zh-CN"/>
                <w14:textFill>
                  <w14:solidFill>
                    <w14:schemeClr w14:val="tx1"/>
                  </w14:solidFill>
                </w14:textFill>
              </w:rPr>
              <w:t>。</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14:textFill>
            <w14:solidFill>
              <w14:schemeClr w14:val="tx1"/>
            </w14:solidFill>
          </w14:textFill>
        </w:rPr>
        <w:t>评标办法明确具体的扣除比例，未明确的，给予</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14:textFill>
            <w14:solidFill>
              <w14:schemeClr w14:val="tx1"/>
            </w14:solidFill>
          </w14:textFill>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left="239" w:leftChars="114"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仿宋"/>
          <w:b/>
          <w:bCs/>
          <w:color w:val="000000" w:themeColor="text1"/>
          <w:sz w:val="24"/>
          <w:highlight w:val="none"/>
          <w14:textFill>
            <w14:solidFill>
              <w14:schemeClr w14:val="tx1"/>
            </w14:solidFill>
          </w14:textFill>
        </w:rPr>
        <w:t>、补偿救济</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.5采购人或者采购机构应当</w:t>
      </w:r>
      <w:r>
        <w:rPr>
          <w:rFonts w:hint="eastAsia"/>
          <w:color w:val="000000" w:themeColor="text1"/>
          <w:highlight w:val="none"/>
          <w:lang w:val="en-US" w:eastAsia="zh-CN"/>
          <w14:textFill>
            <w14:solidFill>
              <w14:schemeClr w14:val="tx1"/>
            </w14:solidFill>
          </w14:textFill>
        </w:rPr>
        <w:t>根据</w:t>
      </w:r>
      <w:r>
        <w:rPr>
          <w:rFonts w:hint="eastAsia" w:asciiTheme="minorEastAsia" w:hAnsiTheme="minorEastAsia" w:eastAsiaTheme="minorEastAsia"/>
          <w:color w:val="000000" w:themeColor="text1"/>
          <w:sz w:val="24"/>
          <w:highlight w:val="none"/>
          <w14:textFill>
            <w14:solidFill>
              <w14:schemeClr w14:val="tx1"/>
            </w14:solidFill>
          </w14:textFill>
        </w:rPr>
        <w:t>《杭州市集中采购委托协议》的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约定，</w:t>
      </w:r>
      <w:r>
        <w:rPr>
          <w:rFonts w:hint="eastAsia"/>
          <w:color w:val="000000" w:themeColor="text1"/>
          <w:highlight w:val="none"/>
          <w14:textFill>
            <w14:solidFill>
              <w14:schemeClr w14:val="tx1"/>
            </w14:solidFill>
          </w14:textFill>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line="360" w:lineRule="auto"/>
        <w:ind w:firstLine="400"/>
        <w:contextualSpacing/>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根据采购人与采购机构签订的《杭州市集中采购委托协议》的</w:t>
      </w:r>
      <w:r>
        <w:rPr>
          <w:rFonts w:hint="eastAsia"/>
          <w:color w:val="000000" w:themeColor="text1"/>
          <w:sz w:val="24"/>
          <w:highlight w:val="none"/>
          <w:lang w:val="en-US" w:eastAsia="zh-CN"/>
          <w14:textFill>
            <w14:solidFill>
              <w14:schemeClr w14:val="tx1"/>
            </w14:solidFill>
          </w14:textFill>
        </w:rPr>
        <w:t>约</w:t>
      </w:r>
      <w:r>
        <w:rPr>
          <w:rFonts w:hint="eastAsia" w:ascii="宋体" w:hAnsi="宋体" w:eastAsia="宋体"/>
          <w:color w:val="000000" w:themeColor="text1"/>
          <w:sz w:val="24"/>
          <w:highlight w:val="none"/>
          <w14:textFill>
            <w14:solidFill>
              <w14:schemeClr w14:val="tx1"/>
            </w14:solidFill>
          </w14:textFill>
        </w:rPr>
        <w:t>定，质疑答复责任主体如下：</w:t>
      </w:r>
    </w:p>
    <w:p>
      <w:pPr>
        <w:widowControl/>
        <w:adjustRightInd/>
        <w:jc w:val="center"/>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pPr>
              <w:pStyle w:val="32"/>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质疑内容</w:t>
            </w:r>
          </w:p>
        </w:tc>
        <w:tc>
          <w:tcPr>
            <w:tcW w:w="2232" w:type="dxa"/>
            <w:vAlign w:val="center"/>
          </w:tcPr>
          <w:p>
            <w:pPr>
              <w:pStyle w:val="32"/>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对采购文件提出质疑</w:t>
            </w: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w:t>
            </w:r>
            <w:r>
              <w:rPr>
                <w:rFonts w:hint="eastAsia" w:asciiTheme="minorEastAsia" w:hAnsiTheme="minorEastAsia" w:eastAsiaTheme="minorEastAsia"/>
                <w:color w:val="000000" w:themeColor="text1"/>
                <w:sz w:val="24"/>
                <w:szCs w:val="21"/>
                <w:highlight w:val="none"/>
                <w14:textFill>
                  <w14:solidFill>
                    <w14:schemeClr w14:val="tx1"/>
                  </w14:solidFill>
                </w14:textFill>
              </w:rPr>
              <w:t>“申请人的资格要求”、“采购需求”、“评审办法”、“采购合同的主要条款”、“采购文件前附表内容”、“报价内容”</w:t>
            </w:r>
            <w:r>
              <w:rPr>
                <w:rFonts w:hint="eastAsia" w:asciiTheme="minorEastAsia" w:hAnsiTheme="minorEastAsia" w:eastAsiaTheme="minorEastAsia"/>
                <w:color w:val="000000" w:themeColor="text1"/>
                <w:sz w:val="24"/>
                <w:highlight w:val="none"/>
                <w14:textFill>
                  <w14:solidFill>
                    <w14:schemeClr w14:val="tx1"/>
                  </w14:solidFill>
                </w14:textFill>
              </w:rPr>
              <w:t>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对采购文件中其他内容提出的质疑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采购结果</w:t>
            </w:r>
            <w:r>
              <w:rPr>
                <w:rFonts w:hint="eastAsia" w:asciiTheme="minorEastAsia" w:hAnsiTheme="minorEastAsia" w:eastAsiaTheme="minorEastAsia"/>
                <w:color w:val="000000" w:themeColor="text1"/>
                <w:sz w:val="24"/>
                <w:highlight w:val="none"/>
                <w14:textFill>
                  <w14:solidFill>
                    <w14:schemeClr w14:val="tx1"/>
                  </w14:solidFill>
                </w14:textFill>
              </w:rPr>
              <w:t>提出质疑</w:t>
            </w: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对“现场考察、答疑会”、 “甲方负责接收和保存的样品” 、“资格审查”等由</w:t>
            </w:r>
            <w:r>
              <w:rPr>
                <w:rFonts w:hint="eastAsia" w:asciiTheme="minorEastAsia" w:hAnsiTheme="minorEastAsia" w:eastAsiaTheme="minorEastAsia"/>
                <w:color w:val="000000" w:themeColor="text1"/>
                <w:sz w:val="24"/>
                <w:szCs w:val="21"/>
                <w:highlight w:val="none"/>
                <w:lang w:val="en-US" w:eastAsia="zh-CN"/>
                <w14:textFill>
                  <w14:solidFill>
                    <w14:schemeClr w14:val="tx1"/>
                  </w14:solidFill>
                </w14:textFill>
              </w:rPr>
              <w:t>采购人</w:t>
            </w:r>
            <w:r>
              <w:rPr>
                <w:rFonts w:hint="eastAsia" w:asciiTheme="minorEastAsia" w:hAnsiTheme="minorEastAsia" w:eastAsiaTheme="minorEastAsia"/>
                <w:color w:val="000000" w:themeColor="text1"/>
                <w:sz w:val="24"/>
                <w:szCs w:val="21"/>
                <w:highlight w:val="none"/>
                <w14:textFill>
                  <w14:solidFill>
                    <w14:schemeClr w14:val="tx1"/>
                  </w14:solidFill>
                </w14:textFill>
              </w:rPr>
              <w:t>负责组织的环节的质疑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pPr>
              <w:pStyle w:val="32"/>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采购结果其他</w:t>
            </w:r>
            <w:r>
              <w:rPr>
                <w:rFonts w:hint="eastAsia" w:asciiTheme="minorEastAsia" w:hAnsiTheme="minorEastAsia" w:eastAsiaTheme="minorEastAsia"/>
                <w:color w:val="000000" w:themeColor="text1"/>
                <w:sz w:val="24"/>
                <w:szCs w:val="21"/>
                <w:highlight w:val="none"/>
                <w14:textFill>
                  <w14:solidFill>
                    <w14:schemeClr w14:val="tx1"/>
                  </w14:solidFill>
                </w14:textFill>
              </w:rPr>
              <w:t>环节的质疑</w:t>
            </w:r>
          </w:p>
        </w:tc>
        <w:tc>
          <w:tcPr>
            <w:tcW w:w="2232" w:type="dxa"/>
            <w:vAlign w:val="center"/>
          </w:tcPr>
          <w:p>
            <w:pPr>
              <w:pStyle w:val="32"/>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采购机构</w:t>
            </w:r>
          </w:p>
        </w:tc>
      </w:tr>
    </w:tbl>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浙江省本级、杭州市本级、拱墅区、富阳区政府采购项目投诉材料可寄送浙江省政府采购行政裁决服务中心（杭州），地址：杭州市上城区四季青街道新业路市民之家G03办公室，收件人：朱女士，电话：0571-85252453。</w:t>
      </w:r>
    </w:p>
    <w:p>
      <w:pPr>
        <w:pStyle w:val="888"/>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pPr>
        <w:pStyle w:val="888"/>
        <w:shd w:val="clear" w:color="auto" w:fill="FFFFFF"/>
        <w:snapToGrid w:val="0"/>
        <w:spacing w:before="0" w:beforeAutospacing="0"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pStyle w:val="130"/>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b/>
          <w:bCs/>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pPr>
        <w:pStyle w:val="130"/>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0"/>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pPr>
        <w:pStyle w:val="130"/>
        <w:spacing w:before="0"/>
        <w:ind w:firstLine="643"/>
        <w:rPr>
          <w:rFonts w:ascii="宋体" w:hAnsi="宋体" w:cs="宋体"/>
          <w:b/>
          <w:color w:val="000000" w:themeColor="text1"/>
          <w:sz w:val="32"/>
          <w:highlight w:val="none"/>
          <w14:textFill>
            <w14:solidFill>
              <w14:schemeClr w14:val="tx1"/>
            </w14:solidFill>
          </w14:textFill>
        </w:rPr>
      </w:pPr>
    </w:p>
    <w:p>
      <w:pPr>
        <w:pStyle w:val="130"/>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19.1开标后，采购人将依据法律法规和招标文件的规定，对投标人的资格进行审查。</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3对未通过资格审查的投标人，告知其未通过的原因。</w:t>
      </w:r>
    </w:p>
    <w:p>
      <w:pPr>
        <w:pStyle w:val="13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widowControl/>
        <w:spacing w:before="100" w:beforeAutospacing="1" w:after="240" w:line="360" w:lineRule="auto"/>
        <w:ind w:firstLine="241" w:firstLineChars="1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20、信用信息查询</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0"/>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0"/>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确定中标或者成交供应商。在采购结果确认环节，中标候选人撤销投标文件不能成为采购人不确认采购结果的正当理由。中标、成交通知书和中标、成交结果公告应当在规定时间内同时发出。</w:t>
      </w:r>
    </w:p>
    <w:p>
      <w:pPr>
        <w:pStyle w:val="130"/>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2"/>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tabs>
          <w:tab w:val="left" w:pos="0"/>
        </w:tabs>
        <w:spacing w:line="360" w:lineRule="auto"/>
        <w:ind w:firstLine="482"/>
        <w:rPr>
          <w:rFonts w:hint="eastAsia"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lang w:val="en-US" w:eastAsia="zh-CN"/>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pPr>
        <w:pStyle w:val="13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pPr>
        <w:pStyle w:val="13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30</w:t>
      </w:r>
      <w:r>
        <w:rPr>
          <w:rFonts w:hint="eastAsia" w:cs="宋体"/>
          <w:b/>
          <w:color w:val="000000" w:themeColor="text1"/>
          <w:highlight w:val="none"/>
          <w14:textFill>
            <w14:solidFill>
              <w14:schemeClr w14:val="tx1"/>
            </w14:solidFill>
          </w14:textFill>
        </w:rPr>
        <w:t>.验收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30</w:t>
      </w:r>
      <w:r>
        <w:rPr>
          <w:rFonts w:hint="eastAsia" w:ascii="宋体" w:hAnsi="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79"/>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011"/>
      <w:bookmarkEnd w:id="16"/>
      <w:bookmarkStart w:id="17" w:name="_Hlt74730295"/>
      <w:bookmarkEnd w:id="17"/>
      <w:bookmarkStart w:id="18" w:name="_Hlt68057669"/>
      <w:bookmarkEnd w:id="18"/>
      <w:bookmarkStart w:id="19" w:name="_Hlt75236290"/>
      <w:bookmarkEnd w:id="19"/>
      <w:bookmarkStart w:id="20" w:name="_Hlt74729768"/>
      <w:bookmarkEnd w:id="20"/>
      <w:bookmarkStart w:id="21" w:name="_Hlt68072990"/>
      <w:bookmarkEnd w:id="21"/>
      <w:bookmarkStart w:id="22" w:name="_Hlt68403820"/>
      <w:bookmarkEnd w:id="22"/>
      <w:bookmarkStart w:id="23" w:name="_Hlt74707468"/>
      <w:bookmarkEnd w:id="23"/>
      <w:bookmarkStart w:id="24" w:name="_Hlt74714665"/>
      <w:bookmarkEnd w:id="24"/>
      <w:bookmarkStart w:id="25" w:name="_Hlt75236101"/>
      <w:bookmarkEnd w:id="25"/>
      <w:bookmarkStart w:id="26" w:name="_Hlt68073093"/>
      <w:bookmarkEnd w:id="26"/>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tabs>
          <w:tab w:val="left" w:pos="900"/>
        </w:tabs>
        <w:snapToGrid w:val="0"/>
        <w:spacing w:line="360" w:lineRule="auto"/>
        <w:ind w:firstLine="480" w:firstLineChars="200"/>
        <w:rPr>
          <w:rFonts w:ascii="宋体" w:hAnsi="宋体" w:cs="Arial"/>
          <w:color w:val="000000" w:themeColor="text1"/>
          <w:sz w:val="24"/>
          <w:highlight w:val="none"/>
          <w:shd w:val="clear" w:color="auto" w:fill="FFFFFF"/>
          <w14:textFill>
            <w14:solidFill>
              <w14:schemeClr w14:val="tx1"/>
            </w14:solidFill>
          </w14:textFill>
        </w:rPr>
      </w:pPr>
      <w:r>
        <w:rPr>
          <w:rFonts w:hint="eastAsia" w:ascii="宋体" w:hAnsi="宋体" w:cs="Arial"/>
          <w:color w:val="000000" w:themeColor="text1"/>
          <w:sz w:val="24"/>
          <w:highlight w:val="none"/>
          <w:shd w:val="clear" w:color="auto" w:fill="FFFFFF"/>
          <w14:textFill>
            <w14:solidFill>
              <w14:schemeClr w14:val="tx1"/>
            </w14:solidFill>
          </w14:textFill>
        </w:rPr>
        <w:t>杭州市城西中学位于杭州市余杭区闲林东路3号，学校占地面积135463.42平方米，建筑面积</w:t>
      </w:r>
      <w:r>
        <w:rPr>
          <w:rFonts w:hint="eastAsia" w:ascii="宋体" w:hAnsi="宋体" w:cs="Arial"/>
          <w:color w:val="000000" w:themeColor="text1"/>
          <w:sz w:val="24"/>
          <w:highlight w:val="none"/>
          <w:shd w:val="clear" w:color="auto" w:fill="FFFFFF"/>
          <w:lang w:val="en-US" w:eastAsia="zh-CN"/>
          <w14:textFill>
            <w14:solidFill>
              <w14:schemeClr w14:val="tx1"/>
            </w14:solidFill>
          </w14:textFill>
        </w:rPr>
        <w:t>约30216</w:t>
      </w:r>
      <w:r>
        <w:rPr>
          <w:rFonts w:hint="eastAsia" w:ascii="宋体" w:hAnsi="宋体" w:cs="Arial"/>
          <w:color w:val="000000" w:themeColor="text1"/>
          <w:sz w:val="24"/>
          <w:highlight w:val="none"/>
          <w:shd w:val="clear" w:color="auto" w:fill="FFFFFF"/>
          <w14:textFill>
            <w14:solidFill>
              <w14:schemeClr w14:val="tx1"/>
            </w14:solidFill>
          </w14:textFill>
        </w:rPr>
        <w:t>.03平方米，绿化养护总面积约83310平方米。在校生约600人左右，教职工80人左右。</w:t>
      </w:r>
      <w:r>
        <w:rPr>
          <w:rFonts w:ascii="宋体" w:hAnsi="宋体" w:cs="Arial"/>
          <w:color w:val="000000" w:themeColor="text1"/>
          <w:sz w:val="24"/>
          <w:highlight w:val="none"/>
          <w:shd w:val="clear" w:color="auto" w:fill="FFFFFF"/>
          <w14:textFill>
            <w14:solidFill>
              <w14:schemeClr w14:val="tx1"/>
            </w14:solidFill>
          </w14:textFill>
        </w:rPr>
        <w:t> </w:t>
      </w:r>
    </w:p>
    <w:p>
      <w:pPr>
        <w:tabs>
          <w:tab w:val="left" w:pos="9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列入本次招标的物业管理内容为：传达、保安、秩序管理；绿化管理（包括草花、盆花摆放、养护和清洁）；环境卫生管理（包括门前“三包”、垃圾清运、化粪池清掏、灭“四害”和消杀）；场馆保洁；</w:t>
      </w:r>
      <w:r>
        <w:rPr>
          <w:rFonts w:hint="eastAsia" w:ascii="宋体" w:hAnsi="宋体"/>
          <w:color w:val="000000" w:themeColor="text1"/>
          <w:sz w:val="24"/>
          <w:szCs w:val="24"/>
          <w:highlight w:val="none"/>
          <w:lang w:val="en-US" w:eastAsia="zh-CN"/>
          <w14:textFill>
            <w14:solidFill>
              <w14:schemeClr w14:val="tx1"/>
            </w14:solidFill>
          </w14:textFill>
        </w:rPr>
        <w:t>学农实践基地维护与管理；</w:t>
      </w:r>
      <w:r>
        <w:rPr>
          <w:rFonts w:hint="eastAsia" w:ascii="宋体" w:hAnsi="宋体"/>
          <w:color w:val="000000" w:themeColor="text1"/>
          <w:sz w:val="24"/>
          <w:szCs w:val="24"/>
          <w:highlight w:val="none"/>
          <w14:textFill>
            <w14:solidFill>
              <w14:schemeClr w14:val="tx1"/>
            </w14:solidFill>
          </w14:textFill>
        </w:rPr>
        <w:t>高低压线路、照明及供电设备管理维护（包括高低配年度检测）；给排水设备运行维护；消防、监控、防雷设施管理维护（包括防雷检测，</w:t>
      </w:r>
      <w:r>
        <w:rPr>
          <w:rFonts w:hint="eastAsia" w:ascii="宋体" w:hAnsi="宋体"/>
          <w:color w:val="000000" w:themeColor="text1"/>
          <w:sz w:val="24"/>
          <w:szCs w:val="24"/>
          <w:highlight w:val="none"/>
          <w:lang w:val="en-US" w:eastAsia="zh-CN"/>
          <w14:textFill>
            <w14:solidFill>
              <w14:schemeClr w14:val="tx1"/>
            </w14:solidFill>
          </w14:textFill>
        </w:rPr>
        <w:t>特种设备维护、年检</w:t>
      </w:r>
      <w:r>
        <w:rPr>
          <w:rFonts w:hint="eastAsia" w:ascii="宋体" w:hAnsi="宋体"/>
          <w:color w:val="000000" w:themeColor="text1"/>
          <w:sz w:val="24"/>
          <w:szCs w:val="24"/>
          <w:highlight w:val="none"/>
          <w14:textFill>
            <w14:solidFill>
              <w14:schemeClr w14:val="tx1"/>
            </w14:solidFill>
          </w14:textFill>
        </w:rPr>
        <w:t>）；空调系统运行维护；家长会等会议及学生活动服务保障等内容。</w:t>
      </w:r>
    </w:p>
    <w:p>
      <w:pPr>
        <w:tabs>
          <w:tab w:val="left" w:pos="900"/>
        </w:tabs>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本项目物业配置人员：不少于</w:t>
      </w:r>
      <w:r>
        <w:rPr>
          <w:rFonts w:hint="eastAsia" w:ascii="宋体" w:hAnsi="宋体"/>
          <w:color w:val="000000" w:themeColor="text1"/>
          <w:sz w:val="24"/>
          <w:highlight w:val="none"/>
          <w:lang w:val="en-US" w:eastAsia="zh-CN"/>
          <w14:textFill>
            <w14:solidFill>
              <w14:schemeClr w14:val="tx1"/>
            </w14:solidFill>
          </w14:textFill>
        </w:rPr>
        <w:t>43</w:t>
      </w:r>
      <w:r>
        <w:rPr>
          <w:rFonts w:hint="eastAsia" w:ascii="宋体" w:hAnsi="宋体"/>
          <w:color w:val="000000" w:themeColor="text1"/>
          <w:sz w:val="24"/>
          <w:highlight w:val="none"/>
          <w14:textFill>
            <w14:solidFill>
              <w14:schemeClr w14:val="tx1"/>
            </w14:solidFill>
          </w14:textFill>
        </w:rPr>
        <w:t>人，其中，安保7人，绿化1</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人，保洁1</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人，水电1人，消控2人，维修3人，管理2人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会务1人，园艺师1人</w:t>
      </w:r>
      <w:r>
        <w:rPr>
          <w:rFonts w:hint="eastAsia" w:ascii="宋体" w:hAnsi="宋体"/>
          <w:color w:val="000000" w:themeColor="text1"/>
          <w:sz w:val="24"/>
          <w:highlight w:val="none"/>
          <w14:textFill>
            <w14:solidFill>
              <w14:schemeClr w14:val="tx1"/>
            </w14:solidFill>
          </w14:textFill>
        </w:rPr>
        <w:t>。</w:t>
      </w:r>
    </w:p>
    <w:p>
      <w:pPr>
        <w:tabs>
          <w:tab w:val="left" w:pos="9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本次采购共一个标项，不得拆标，项目预算为：</w:t>
      </w:r>
      <w:r>
        <w:rPr>
          <w:rFonts w:hint="eastAsia" w:ascii="宋体" w:hAnsi="宋体"/>
          <w:color w:val="000000" w:themeColor="text1"/>
          <w:sz w:val="24"/>
          <w:szCs w:val="24"/>
          <w:highlight w:val="none"/>
          <w:lang w:val="en-US" w:eastAsia="zh-CN"/>
          <w14:textFill>
            <w14:solidFill>
              <w14:schemeClr w14:val="tx1"/>
            </w14:solidFill>
          </w14:textFill>
        </w:rPr>
        <w:t>329</w:t>
      </w:r>
      <w:r>
        <w:rPr>
          <w:rFonts w:hint="eastAsia"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万元。</w:t>
      </w:r>
    </w:p>
    <w:p>
      <w:pPr>
        <w:autoSpaceDE w:val="0"/>
        <w:autoSpaceDN w:val="0"/>
        <w:snapToGrid w:val="0"/>
        <w:spacing w:line="360" w:lineRule="auto"/>
        <w:ind w:firstLine="482"/>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一、物业管理项目基本情况</w:t>
      </w:r>
    </w:p>
    <w:p>
      <w:pPr>
        <w:tabs>
          <w:tab w:val="left" w:pos="900"/>
        </w:tabs>
        <w:snapToGrid w:val="0"/>
        <w:spacing w:line="360" w:lineRule="auto"/>
        <w:ind w:firstLine="422" w:firstLineChars="200"/>
        <w:rPr>
          <w:rFonts w:ascii="宋体" w:hAnsi="宋体" w:cs="Arial"/>
          <w:color w:val="000000" w:themeColor="text1"/>
          <w:sz w:val="24"/>
          <w:szCs w:val="24"/>
          <w:highlight w:val="none"/>
          <w:shd w:val="clear" w:color="auto" w:fill="FFFFFF"/>
          <w14:textFill>
            <w14:solidFill>
              <w14:schemeClr w14:val="tx1"/>
            </w14:solidFill>
          </w14:textFill>
        </w:rPr>
      </w:pPr>
      <w:r>
        <w:rPr>
          <w:rFonts w:hint="eastAsia" w:ascii="Arial" w:hAnsi="Arial" w:cs="Arial"/>
          <w:b/>
          <w:color w:val="000000" w:themeColor="text1"/>
          <w:szCs w:val="21"/>
          <w:highlight w:val="none"/>
          <w14:textFill>
            <w14:solidFill>
              <w14:schemeClr w14:val="tx1"/>
            </w14:solidFill>
          </w14:textFill>
        </w:rPr>
        <w:t xml:space="preserve"> </w:t>
      </w:r>
      <w:r>
        <w:rPr>
          <w:rFonts w:hint="eastAsia" w:ascii="宋体" w:hAnsi="宋体" w:cs="Arial"/>
          <w:color w:val="000000" w:themeColor="text1"/>
          <w:sz w:val="24"/>
          <w:highlight w:val="none"/>
          <w:shd w:val="clear" w:color="auto" w:fill="FFFFFF"/>
          <w14:textFill>
            <w14:solidFill>
              <w14:schemeClr w14:val="tx1"/>
            </w14:solidFill>
          </w14:textFill>
        </w:rPr>
        <w:t>杭州市城西中学位于杭州市余杭区闲林东路3号，学校占地面积135463.42平方米，建筑面积</w:t>
      </w:r>
      <w:r>
        <w:rPr>
          <w:rFonts w:hint="eastAsia" w:ascii="宋体" w:hAnsi="宋体" w:cs="Arial"/>
          <w:color w:val="000000" w:themeColor="text1"/>
          <w:sz w:val="24"/>
          <w:highlight w:val="none"/>
          <w:shd w:val="clear" w:color="auto" w:fill="FFFFFF"/>
          <w:lang w:val="en-US" w:eastAsia="zh-CN"/>
          <w14:textFill>
            <w14:solidFill>
              <w14:schemeClr w14:val="tx1"/>
            </w14:solidFill>
          </w14:textFill>
        </w:rPr>
        <w:t>约30216</w:t>
      </w:r>
      <w:r>
        <w:rPr>
          <w:rFonts w:hint="eastAsia" w:ascii="宋体" w:hAnsi="宋体" w:cs="Arial"/>
          <w:color w:val="000000" w:themeColor="text1"/>
          <w:sz w:val="24"/>
          <w:highlight w:val="none"/>
          <w:shd w:val="clear" w:color="auto" w:fill="FFFFFF"/>
          <w14:textFill>
            <w14:solidFill>
              <w14:schemeClr w14:val="tx1"/>
            </w14:solidFill>
          </w14:textFill>
        </w:rPr>
        <w:t>.03平方米，绿化养护总面积约83310平方米。在校生约600人左右，教职工80人左右。</w:t>
      </w:r>
      <w:r>
        <w:rPr>
          <w:rFonts w:ascii="宋体" w:hAnsi="宋体" w:cs="Arial"/>
          <w:color w:val="000000" w:themeColor="text1"/>
          <w:sz w:val="24"/>
          <w:highlight w:val="none"/>
          <w:shd w:val="clear" w:color="auto" w:fill="FFFFFF"/>
          <w14:textFill>
            <w14:solidFill>
              <w14:schemeClr w14:val="tx1"/>
            </w14:solidFill>
          </w14:textFill>
        </w:rPr>
        <w:t> </w:t>
      </w:r>
      <w:r>
        <w:rPr>
          <w:rFonts w:ascii="宋体" w:hAnsi="宋体" w:cs="Arial"/>
          <w:color w:val="000000" w:themeColor="text1"/>
          <w:sz w:val="24"/>
          <w:szCs w:val="24"/>
          <w:highlight w:val="none"/>
          <w:shd w:val="clear" w:color="auto" w:fill="FFFFFF"/>
          <w14:textFill>
            <w14:solidFill>
              <w14:schemeClr w14:val="tx1"/>
            </w14:solidFill>
          </w14:textFill>
        </w:rPr>
        <w:t> </w:t>
      </w:r>
    </w:p>
    <w:p>
      <w:pPr>
        <w:autoSpaceDE w:val="0"/>
        <w:autoSpaceDN w:val="0"/>
        <w:snapToGrid w:val="0"/>
        <w:spacing w:line="360" w:lineRule="auto"/>
        <w:ind w:firstLine="482"/>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二、物业管理项目</w:t>
      </w:r>
      <w:r>
        <w:rPr>
          <w:rFonts w:ascii="宋体" w:hAnsi="宋体"/>
          <w:b/>
          <w:bCs/>
          <w:color w:val="000000" w:themeColor="text1"/>
          <w:sz w:val="24"/>
          <w:szCs w:val="24"/>
          <w:highlight w:val="none"/>
          <w:lang w:val="zh-CN"/>
          <w14:textFill>
            <w14:solidFill>
              <w14:schemeClr w14:val="tx1"/>
            </w14:solidFill>
          </w14:textFill>
        </w:rPr>
        <w:t xml:space="preserve"> </w:t>
      </w:r>
      <w:r>
        <w:rPr>
          <w:rFonts w:ascii="宋体" w:hAnsi="宋体"/>
          <w:color w:val="000000" w:themeColor="text1"/>
          <w:sz w:val="24"/>
          <w:szCs w:val="24"/>
          <w:highlight w:val="none"/>
          <w:lang w:val="zh-CN"/>
          <w14:textFill>
            <w14:solidFill>
              <w14:schemeClr w14:val="tx1"/>
            </w14:solidFill>
          </w14:textFill>
        </w:rPr>
        <w:t xml:space="preserve"> </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、传达、保安、秩序管理；</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、绿化管理（包括草花、盆花摆放、养护和清洁）；</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、环境卫生管理（包括门前“三包”、垃圾清运、化粪池清掏、灭“四害”和消杀）；</w:t>
      </w:r>
    </w:p>
    <w:p>
      <w:pPr>
        <w:autoSpaceDE w:val="0"/>
        <w:autoSpaceDN w:val="0"/>
        <w:snapToGrid w:val="0"/>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、场馆保洁；</w:t>
      </w:r>
    </w:p>
    <w:p>
      <w:pPr>
        <w:autoSpaceDE w:val="0"/>
        <w:autoSpaceDN w:val="0"/>
        <w:snapToGrid w:val="0"/>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5、学农实践基地维护与管理</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、高低压线路、照明及供电设备管理维护（包括高低配年度检测）；</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、给排水设备运行维护；消防、监控、防雷设施管理维护（包括防雷检测，</w:t>
      </w:r>
      <w:r>
        <w:rPr>
          <w:rFonts w:hint="eastAsia" w:ascii="宋体" w:hAnsi="宋体"/>
          <w:color w:val="000000" w:themeColor="text1"/>
          <w:sz w:val="24"/>
          <w:szCs w:val="24"/>
          <w:highlight w:val="none"/>
          <w:lang w:val="en-US" w:eastAsia="zh-CN"/>
          <w14:textFill>
            <w14:solidFill>
              <w14:schemeClr w14:val="tx1"/>
            </w14:solidFill>
          </w14:textFill>
        </w:rPr>
        <w:t>特种设备</w:t>
      </w:r>
      <w:r>
        <w:rPr>
          <w:rFonts w:hint="eastAsia" w:ascii="宋体" w:hAnsi="宋体"/>
          <w:color w:val="000000" w:themeColor="text1"/>
          <w:sz w:val="24"/>
          <w:szCs w:val="24"/>
          <w:highlight w:val="none"/>
          <w14:textFill>
            <w14:solidFill>
              <w14:schemeClr w14:val="tx1"/>
            </w14:solidFill>
          </w14:textFill>
        </w:rPr>
        <w:t>保养</w:t>
      </w:r>
      <w:r>
        <w:rPr>
          <w:rFonts w:hint="eastAsia" w:ascii="宋体" w:hAnsi="宋体"/>
          <w:color w:val="000000" w:themeColor="text1"/>
          <w:sz w:val="24"/>
          <w:szCs w:val="24"/>
          <w:highlight w:val="none"/>
          <w:lang w:val="en-US" w:eastAsia="zh-CN"/>
          <w14:textFill>
            <w14:solidFill>
              <w14:schemeClr w14:val="tx1"/>
            </w14:solidFill>
          </w14:textFill>
        </w:rPr>
        <w:t>年检</w:t>
      </w:r>
      <w:r>
        <w:rPr>
          <w:rFonts w:hint="eastAsia" w:ascii="宋体" w:hAnsi="宋体"/>
          <w:color w:val="000000" w:themeColor="text1"/>
          <w:sz w:val="24"/>
          <w:szCs w:val="24"/>
          <w:highlight w:val="none"/>
          <w14:textFill>
            <w14:solidFill>
              <w14:schemeClr w14:val="tx1"/>
            </w14:solidFill>
          </w14:textFill>
        </w:rPr>
        <w:t>）；</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、空调系统运行维护；</w:t>
      </w:r>
    </w:p>
    <w:p>
      <w:pPr>
        <w:autoSpaceDE w:val="0"/>
        <w:autoSpaceDN w:val="0"/>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、家长会等及学校重大活动服务保障；</w:t>
      </w:r>
    </w:p>
    <w:p>
      <w:pPr>
        <w:snapToGrid w:val="0"/>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以上项目中，高低配年度检测、</w:t>
      </w:r>
      <w:r>
        <w:rPr>
          <w:rFonts w:hint="eastAsia" w:ascii="宋体" w:hAnsi="宋体"/>
          <w:b/>
          <w:color w:val="000000" w:themeColor="text1"/>
          <w:sz w:val="24"/>
          <w:szCs w:val="24"/>
          <w:highlight w:val="none"/>
          <w:lang w:val="en-US" w:eastAsia="zh-CN"/>
          <w14:textFill>
            <w14:solidFill>
              <w14:schemeClr w14:val="tx1"/>
            </w14:solidFill>
          </w14:textFill>
        </w:rPr>
        <w:t>特种设备年度检测、</w:t>
      </w:r>
      <w:r>
        <w:rPr>
          <w:rFonts w:hint="eastAsia" w:ascii="宋体" w:hAnsi="宋体"/>
          <w:b/>
          <w:color w:val="000000" w:themeColor="text1"/>
          <w:sz w:val="24"/>
          <w:szCs w:val="24"/>
          <w:highlight w:val="none"/>
          <w14:textFill>
            <w14:solidFill>
              <w14:schemeClr w14:val="tx1"/>
            </w14:solidFill>
          </w14:textFill>
        </w:rPr>
        <w:t>防雷年度检测、空调保养，为有相应资质的专业单位和设施设备生产单位专项服务，经甲方许可后由中标单位联系单位承办，费用包含在本次投标价中，不再另行计费。</w:t>
      </w:r>
    </w:p>
    <w:p>
      <w:pPr>
        <w:autoSpaceDE w:val="0"/>
        <w:autoSpaceDN w:val="0"/>
        <w:snapToGrid w:val="0"/>
        <w:spacing w:line="360" w:lineRule="auto"/>
        <w:ind w:firstLine="482"/>
        <w:rPr>
          <w:rFonts w:ascii="宋体" w:hAnsi="宋体"/>
          <w:color w:val="000000" w:themeColor="text1"/>
          <w:kern w:val="0"/>
          <w:sz w:val="24"/>
          <w:szCs w:val="24"/>
          <w:highlight w:val="none"/>
          <w:lang w:val="zh-CN"/>
          <w14:textFill>
            <w14:solidFill>
              <w14:schemeClr w14:val="tx1"/>
            </w14:solidFill>
          </w14:textFill>
        </w:rPr>
      </w:pPr>
      <w:r>
        <w:rPr>
          <w:rFonts w:hint="eastAsia" w:ascii="宋体" w:hAnsi="宋体"/>
          <w:b/>
          <w:bCs/>
          <w:color w:val="000000" w:themeColor="text1"/>
          <w:sz w:val="24"/>
          <w:szCs w:val="24"/>
          <w:highlight w:val="none"/>
          <w:lang w:val="zh-CN"/>
          <w14:textFill>
            <w14:solidFill>
              <w14:schemeClr w14:val="tx1"/>
            </w14:solidFill>
          </w14:textFill>
        </w:rPr>
        <w:t>三、物业管理服务内容</w:t>
      </w:r>
      <w:r>
        <w:rPr>
          <w:rFonts w:ascii="宋体" w:hAnsi="宋体"/>
          <w:color w:val="000000" w:themeColor="text1"/>
          <w:kern w:val="0"/>
          <w:sz w:val="24"/>
          <w:szCs w:val="24"/>
          <w:highlight w:val="none"/>
          <w:lang w:val="zh-CN"/>
          <w14:textFill>
            <w14:solidFill>
              <w14:schemeClr w14:val="tx1"/>
            </w14:solidFill>
          </w14:textFill>
        </w:rPr>
        <w:t xml:space="preserve"> </w:t>
      </w:r>
    </w:p>
    <w:p>
      <w:pPr>
        <w:autoSpaceDE w:val="0"/>
        <w:autoSpaceDN w:val="0"/>
        <w:snapToGrid w:val="0"/>
        <w:spacing w:line="360" w:lineRule="auto"/>
        <w:ind w:firstLine="241" w:firstLineChars="100"/>
        <w:rPr>
          <w:rFonts w:ascii="宋体" w:hAnsi="宋体"/>
          <w:color w:val="000000" w:themeColor="text1"/>
          <w:kern w:val="0"/>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（一）、保安服务及治安管理（秩序维护员）服务内容：保安服务，治安管理。</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主要有：学校来人来访的通报、证件检验、登记；门卫、守护和巡逻，维护校园秩序；处理校内治安及其他突发事件；负责校内道路交通管理、机动车和非机动车停放管理；负责防盗、防火报警监控设备运行管理；</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小时监控室及消控室值守；报纸、邮件、快递的登记收发。</w:t>
      </w:r>
    </w:p>
    <w:p>
      <w:pPr>
        <w:tabs>
          <w:tab w:val="left" w:pos="315"/>
          <w:tab w:val="left" w:pos="945"/>
          <w:tab w:val="left" w:pos="3360"/>
        </w:tabs>
        <w:snapToGrid w:val="0"/>
        <w:spacing w:line="360" w:lineRule="auto"/>
        <w:ind w:firstLine="118" w:firstLineChars="49"/>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、基本要求：</w:t>
      </w:r>
    </w:p>
    <w:p>
      <w:pPr>
        <w:tabs>
          <w:tab w:val="left" w:pos="315"/>
          <w:tab w:val="left" w:pos="945"/>
          <w:tab w:val="left" w:pos="3360"/>
        </w:tabs>
        <w:snapToGrid w:val="0"/>
        <w:spacing w:line="360" w:lineRule="auto"/>
        <w:ind w:firstLine="424" w:firstLine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小时保安巡视服务，白天每节课上课后巡视各班教室，并对没关闭的教室门窗予以关闭后登记汇总，每周向学生管理部门汇报，中班、晚班每两小时巡视校园一次；</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上岗时佩戴统一标志，统一制服（精致），装备佩戴规范，仪容仪表规范整齐，当值时坐姿挺直，站岗时跨立站岗、精神饱满。</w:t>
      </w:r>
    </w:p>
    <w:p>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要有岗位育人意识，做到教育学生要有爱心、有耐心、有恒心，文明执勤，言语规范。</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）维持楼区的公共秩序，按指定的巡视路线巡视；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）巡视签到、电子巡更对点准时、规范；</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）劝止违反安全或公共秩序的行为；</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）接到报警后</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分钟内到达报警现场，维护秩序，并协助处理；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）巡逻中遇到师生求助或突发事件，应立即处置或对讲呼叫救援；</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）遇到可疑人员进行询问验证，必要时送交保卫部门处理。</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、岗位及具体内容</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2.1</w:t>
      </w:r>
      <w:r>
        <w:rPr>
          <w:rFonts w:hint="eastAsia" w:ascii="宋体" w:hAnsi="宋体"/>
          <w:b/>
          <w:color w:val="000000" w:themeColor="text1"/>
          <w:sz w:val="24"/>
          <w:szCs w:val="24"/>
          <w:highlight w:val="none"/>
          <w14:textFill>
            <w14:solidFill>
              <w14:schemeClr w14:val="tx1"/>
            </w14:solidFill>
          </w14:textFill>
        </w:rPr>
        <w:t>．学校大门门岗：</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）服务时间北大门出入口全天</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小时（含双休日、节假日）确保双人执勤管理，西大门出入口全天</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小时（含双休日、节假日）确保一人执勤管理，实行双岗运转双岗。早上</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～8：1</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、下午</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5：4</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6：1</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及晚自修结束后、学校上下班、上下学、重大活动期间要求立岗。</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）交接班：有详细完整的交接班记录。</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）外来人员：对外来人员询问登记，并通过电话联系相关老师，决定是否放行，杜绝闲杂人员进入学校，维护学校安全及正常的工作环境。</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）外来车辆：对进出校园的车辆严格控制，确需进入的实施证（卡）管理和登记，引导车辆有序通行、停放。</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）物品出门：对大型物件搬出学校，需与相关部门实行确认制度、并进行记录。</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）值班室、出入口清洁：保持值班室、出入口环境整洁、有序、道路畅通。</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）学生放学：根据学校的需要，参与学生放学秩序管理。</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）车辆管理：车辆行驶安全、停放有序、无可见安全隐患。</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）消防巡查：消防设施完好无损，发现问题及时报告。</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）学校在保安室内设有监控室，具备录像监控等技防设施，</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小时开通值守，注视各设备所传达的信息。</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）业主帮助：在遇到师生需要帮助时，主动热情；在遇到师生紧急求助时，五分钟内赶到现场，采取相应措施。</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）应急响应：接到火警警情后</w:t>
      </w:r>
      <w:r>
        <w:rPr>
          <w:rFonts w:hint="eastAsia" w:ascii="宋体" w:hAnsi="宋体"/>
          <w:color w:val="000000" w:themeColor="text1"/>
          <w:sz w:val="24"/>
          <w:szCs w:val="24"/>
          <w:highlight w:val="none"/>
          <w:lang w:val="en-US"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分钟内到达现场，并报学校与警方，协助校方与相关部门采取有关措施。</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2场馆保洁</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）服务时间：具体上班时间根据学校需要安排。</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）加强场馆的安全保卫工作，保护馆内藏品及学校财产的安全，引导参观者有序参观。</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）协助场馆工作人员对参观者做好登记、检查等工作。</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3车辆管理</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）停车巡查：检查车辆门窗关闭情况，车辆外观，有无易燃、易爆及危险物品存放。</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）外来车辆停放管理：记录准确，完整可追溯，指引到位。</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）学校召开各年级家长会时，应增加保安人员，做好家长车辆在校园内停放的引导，维护校内交通秩序，保证车辆有序通行、有序停放。</w:t>
      </w:r>
    </w:p>
    <w:p>
      <w:pPr>
        <w:tabs>
          <w:tab w:val="left" w:pos="315"/>
          <w:tab w:val="left" w:pos="945"/>
          <w:tab w:val="left" w:pos="3360"/>
        </w:tabs>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）自行车</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电动车</w:t>
      </w:r>
      <w:r>
        <w:rPr>
          <w:rFonts w:hint="eastAsia" w:ascii="宋体" w:hAnsi="宋体"/>
          <w:color w:val="000000" w:themeColor="text1"/>
          <w:sz w:val="24"/>
          <w:szCs w:val="24"/>
          <w:highlight w:val="none"/>
          <w14:textFill>
            <w14:solidFill>
              <w14:schemeClr w14:val="tx1"/>
            </w14:solidFill>
          </w14:textFill>
        </w:rPr>
        <w:t>库管理：落实专人对自行车库进行管理，做到车库整洁卫生，无垃圾无积水，自行车停放整齐，每天早、中、晚要不断对车库进行巡查，保证</w:t>
      </w:r>
      <w:r>
        <w:rPr>
          <w:rFonts w:hint="eastAsia" w:ascii="宋体" w:hAnsi="宋体"/>
          <w:color w:val="000000" w:themeColor="text1"/>
          <w:sz w:val="24"/>
          <w:szCs w:val="24"/>
          <w:highlight w:val="none"/>
          <w:lang w:val="en-US" w:eastAsia="zh-CN"/>
          <w14:textFill>
            <w14:solidFill>
              <w14:schemeClr w14:val="tx1"/>
            </w14:solidFill>
          </w14:textFill>
        </w:rPr>
        <w:t>车辆充电</w:t>
      </w:r>
      <w:r>
        <w:rPr>
          <w:rFonts w:hint="eastAsia" w:ascii="宋体" w:hAnsi="宋体"/>
          <w:color w:val="000000" w:themeColor="text1"/>
          <w:sz w:val="24"/>
          <w:szCs w:val="24"/>
          <w:highlight w:val="none"/>
          <w14:textFill>
            <w14:solidFill>
              <w14:schemeClr w14:val="tx1"/>
            </w14:solidFill>
          </w14:textFill>
        </w:rPr>
        <w:t>停放安全。</w:t>
      </w:r>
    </w:p>
    <w:p>
      <w:pPr>
        <w:snapToGrid w:val="0"/>
        <w:spacing w:line="360" w:lineRule="auto"/>
        <w:ind w:firstLine="424" w:firstLineChars="176"/>
        <w:rPr>
          <w:rFonts w:ascii="宋体" w:hAnsi="宋体"/>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4消控、监控室值班。</w:t>
      </w:r>
    </w:p>
    <w:p>
      <w:pPr>
        <w:snapToGrid w:val="0"/>
        <w:spacing w:line="360" w:lineRule="auto"/>
        <w:ind w:firstLine="422" w:firstLineChars="17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消控、监控设施应保持</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小时开通，并有人</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值守，保持完整的监控记录，保证对学校各出入口、内部重点区域的安全监控、录像及协助布警。监控室收到火情、险情及其他异常情况报警信号后，应及时报警，并派专人赶到现场进行前期处理。监控资料应至少保持</w:t>
      </w:r>
      <w:r>
        <w:rPr>
          <w:rFonts w:hint="eastAsia" w:ascii="宋体" w:hAnsi="宋体"/>
          <w:color w:val="000000" w:themeColor="text1"/>
          <w:sz w:val="24"/>
          <w:szCs w:val="24"/>
          <w:highlight w:val="none"/>
          <w:lang w:val="en-US" w:eastAsia="zh-CN"/>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天，有特殊要求的参照相关规定或行业标准执行。同时，确保治安电话畅通，接听及时</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铃响三声内宜接听</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tabs>
          <w:tab w:val="left" w:pos="315"/>
          <w:tab w:val="left" w:pos="945"/>
          <w:tab w:val="left" w:pos="3360"/>
        </w:tabs>
        <w:snapToGrid w:val="0"/>
        <w:spacing w:line="360" w:lineRule="auto"/>
        <w:ind w:firstLine="424" w:firstLineChars="176"/>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5其他：</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全年</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包括双休日、节假日</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做好全校师生的报刊、信件、快递的接收工作，按处室、班级、组室订阅情况分发到相应</w:t>
      </w:r>
      <w:r>
        <w:rPr>
          <w:rFonts w:hint="eastAsia" w:ascii="宋体" w:hAnsi="宋体"/>
          <w:color w:val="000000" w:themeColor="text1"/>
          <w:sz w:val="24"/>
          <w:szCs w:val="24"/>
          <w:highlight w:val="none"/>
          <w:lang w:val="en-US" w:eastAsia="zh-CN"/>
          <w14:textFill>
            <w14:solidFill>
              <w14:schemeClr w14:val="tx1"/>
            </w14:solidFill>
          </w14:textFill>
        </w:rPr>
        <w:t>处室</w:t>
      </w:r>
      <w:r>
        <w:rPr>
          <w:rFonts w:hint="eastAsia" w:ascii="宋体" w:hAnsi="宋体"/>
          <w:color w:val="000000" w:themeColor="text1"/>
          <w:sz w:val="24"/>
          <w:szCs w:val="24"/>
          <w:highlight w:val="none"/>
          <w14:textFill>
            <w14:solidFill>
              <w14:schemeClr w14:val="tx1"/>
            </w14:solidFill>
          </w14:textFill>
        </w:rPr>
        <w:t>；掛号信件、邮件、快递做到登记，领取手续，做好台帐等工作，可备查。校内各大楼的按时开关门工作；根据学校需要的手工打铃工作等。</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保安人员最少配置：</w:t>
      </w:r>
      <w:r>
        <w:rPr>
          <w:rFonts w:hint="eastAsia" w:ascii="宋体" w:hAnsi="宋体"/>
          <w:color w:val="000000" w:themeColor="text1"/>
          <w:sz w:val="24"/>
          <w:szCs w:val="24"/>
          <w:highlight w:val="none"/>
          <w:lang w:val="en-US" w:eastAsia="zh-CN"/>
          <w14:textFill>
            <w14:solidFill>
              <w14:schemeClr w14:val="tx1"/>
            </w14:solidFill>
          </w14:textFill>
        </w:rPr>
        <w:t>9人（7名保安+2名消控），</w:t>
      </w:r>
      <w:r>
        <w:rPr>
          <w:rFonts w:hint="eastAsia" w:ascii="宋体" w:hAnsi="宋体" w:eastAsia="宋体" w:cs="宋体"/>
          <w:color w:val="000000" w:themeColor="text1"/>
          <w:sz w:val="24"/>
          <w:highlight w:val="none"/>
          <w14:textFill>
            <w14:solidFill>
              <w14:schemeClr w14:val="tx1"/>
            </w14:solidFill>
          </w14:textFill>
        </w:rPr>
        <w:t>人员以中青年为主（要求为男性（可有１—２名女性）,50周岁以上的不超过50%），身体健康，无不良品行记录、工作认真负责并定期接受培训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保安队长要求年龄不超过45周岁</w:t>
      </w:r>
      <w:r>
        <w:rPr>
          <w:rFonts w:hint="eastAsia" w:ascii="宋体" w:hAnsi="宋体" w:eastAsia="宋体" w:cs="宋体"/>
          <w:color w:val="000000" w:themeColor="text1"/>
          <w:sz w:val="24"/>
          <w:highlight w:val="none"/>
          <w14:textFill>
            <w14:solidFill>
              <w14:schemeClr w14:val="tx1"/>
            </w14:solidFill>
          </w14:textFill>
        </w:rPr>
        <w:t>。其中消控员必须持有</w:t>
      </w:r>
      <w:r>
        <w:rPr>
          <w:rFonts w:hint="eastAsia" w:eastAsia="宋体" w:cs="Times New Roman"/>
          <w:color w:val="000000" w:themeColor="text1"/>
          <w:sz w:val="24"/>
          <w:szCs w:val="24"/>
          <w:highlight w:val="none"/>
          <w:lang w:val="en-US" w:eastAsia="zh-CN"/>
          <w14:textFill>
            <w14:solidFill>
              <w14:schemeClr w14:val="tx1"/>
            </w14:solidFill>
          </w14:textFill>
        </w:rPr>
        <w:t>消防设施操作员</w:t>
      </w:r>
      <w:r>
        <w:rPr>
          <w:rFonts w:hint="eastAsia" w:ascii="宋体" w:hAnsi="宋体" w:eastAsia="宋体" w:cs="宋体"/>
          <w:color w:val="000000" w:themeColor="text1"/>
          <w:sz w:val="24"/>
          <w:highlight w:val="none"/>
          <w:lang w:eastAsia="zh-CN"/>
          <w14:textFill>
            <w14:solidFill>
              <w14:schemeClr w14:val="tx1"/>
            </w14:solidFill>
          </w14:textFill>
        </w:rPr>
        <w:t>证</w:t>
      </w:r>
      <w:r>
        <w:rPr>
          <w:rFonts w:hint="eastAsia" w:ascii="宋体" w:hAnsi="宋体" w:eastAsia="宋体" w:cs="宋体"/>
          <w:color w:val="000000" w:themeColor="text1"/>
          <w:sz w:val="24"/>
          <w:highlight w:val="none"/>
          <w14:textFill>
            <w14:solidFill>
              <w14:schemeClr w14:val="tx1"/>
            </w14:solidFill>
          </w14:textFill>
        </w:rPr>
        <w:t>，保安员要有</w:t>
      </w:r>
      <w:r>
        <w:rPr>
          <w:rFonts w:hint="eastAsia" w:ascii="宋体" w:hAnsi="宋体" w:eastAsia="宋体" w:cs="宋体"/>
          <w:color w:val="000000" w:themeColor="text1"/>
          <w:sz w:val="24"/>
          <w:highlight w:val="none"/>
          <w:lang w:eastAsia="zh-CN"/>
          <w14:textFill>
            <w14:solidFill>
              <w14:schemeClr w14:val="tx1"/>
            </w14:solidFill>
          </w14:textFill>
        </w:rPr>
        <w:t>公安部门颁发的保安员</w:t>
      </w:r>
      <w:r>
        <w:rPr>
          <w:rFonts w:hint="eastAsia" w:ascii="宋体" w:hAnsi="宋体" w:eastAsia="宋体" w:cs="宋体"/>
          <w:color w:val="000000" w:themeColor="text1"/>
          <w:sz w:val="24"/>
          <w:highlight w:val="none"/>
          <w14:textFill>
            <w14:solidFill>
              <w14:schemeClr w14:val="tx1"/>
            </w14:solidFill>
          </w14:textFill>
        </w:rPr>
        <w:t>证。</w:t>
      </w:r>
    </w:p>
    <w:p>
      <w:pPr>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（二）、绿化养护</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、绿化养护范围：</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全校区绿化养护总面积</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约</w:t>
      </w:r>
      <w:r>
        <w:rPr>
          <w:rFonts w:hint="eastAsia" w:ascii="宋体" w:hAnsi="宋体" w:cs="Arial"/>
          <w:color w:val="000000" w:themeColor="text1"/>
          <w:sz w:val="24"/>
          <w:szCs w:val="24"/>
          <w:highlight w:val="none"/>
          <w:shd w:val="clear" w:color="auto" w:fill="FFFFFF"/>
          <w14:textFill>
            <w14:solidFill>
              <w14:schemeClr w14:val="tx1"/>
            </w14:solidFill>
          </w14:textFill>
        </w:rPr>
        <w:t>83310</w:t>
      </w:r>
      <w:r>
        <w:rPr>
          <w:rFonts w:hint="eastAsia" w:ascii="宋体" w:hAnsi="宋体"/>
          <w:color w:val="000000" w:themeColor="text1"/>
          <w:sz w:val="24"/>
          <w:szCs w:val="24"/>
          <w:highlight w:val="none"/>
          <w14:textFill>
            <w14:solidFill>
              <w14:schemeClr w14:val="tx1"/>
            </w14:solidFill>
          </w14:textFill>
        </w:rPr>
        <w:t>平方米。</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、绿化养护要求：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w:t>
      </w:r>
      <w:r>
        <w:rPr>
          <w:rFonts w:hint="eastAsia" w:ascii="宋体" w:hAnsi="宋体"/>
          <w:color w:val="000000" w:themeColor="text1"/>
          <w:sz w:val="24"/>
          <w:szCs w:val="24"/>
          <w:highlight w:val="none"/>
          <w14:textFill>
            <w14:solidFill>
              <w14:schemeClr w14:val="tx1"/>
            </w14:solidFill>
          </w14:textFill>
        </w:rPr>
        <w:t>植物养护标准：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对原校区植物作适当的布局调整，做到无裸露土地。对植物群落进行科学养护，使乔、灌、花、草生长茂盛，季相分明，色彩丰富，营造优美植物景观。</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草坪生长茂盛，无空秃，无明显杂草。做到黄土不裸露，保持叶面清洁，有整体观赏效果。</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树木及时修剪，无徒长枝、病虫枝、过密枝、枯枝、伤损枝；宿根植物及时翻种、断根、间删；植物无死株。</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w:t>
      </w:r>
      <w:r>
        <w:rPr>
          <w:rFonts w:hint="eastAsia" w:ascii="宋体" w:hAnsi="宋体"/>
          <w:color w:val="000000" w:themeColor="text1"/>
          <w:sz w:val="24"/>
          <w:szCs w:val="24"/>
          <w:highlight w:val="none"/>
          <w14:textFill>
            <w14:solidFill>
              <w14:schemeClr w14:val="tx1"/>
            </w14:solidFill>
          </w14:textFill>
        </w:rPr>
        <w:t>树木成活率标准：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树木成活率</w:t>
      </w:r>
      <w:r>
        <w:rPr>
          <w:rFonts w:ascii="宋体" w:hAnsi="宋体"/>
          <w:color w:val="000000" w:themeColor="text1"/>
          <w:sz w:val="24"/>
          <w:szCs w:val="24"/>
          <w:highlight w:val="none"/>
          <w14:textFill>
            <w14:solidFill>
              <w14:schemeClr w14:val="tx1"/>
            </w14:solidFill>
          </w14:textFill>
        </w:rPr>
        <w:t>98%</w:t>
      </w:r>
      <w:r>
        <w:rPr>
          <w:rFonts w:hint="eastAsia" w:ascii="宋体" w:hAnsi="宋体"/>
          <w:color w:val="000000" w:themeColor="text1"/>
          <w:sz w:val="24"/>
          <w:szCs w:val="24"/>
          <w:highlight w:val="none"/>
          <w14:textFill>
            <w14:solidFill>
              <w14:schemeClr w14:val="tx1"/>
            </w14:solidFill>
          </w14:textFill>
        </w:rPr>
        <w:t>以上；树木保存率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2.3</w:t>
      </w:r>
      <w:r>
        <w:rPr>
          <w:rFonts w:hint="eastAsia" w:ascii="宋体" w:hAnsi="宋体"/>
          <w:color w:val="000000" w:themeColor="text1"/>
          <w:sz w:val="24"/>
          <w:szCs w:val="24"/>
          <w:highlight w:val="none"/>
          <w14:textFill>
            <w14:solidFill>
              <w14:schemeClr w14:val="tx1"/>
            </w14:solidFill>
          </w14:textFill>
        </w:rPr>
        <w:t>设施维护标准：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绿地附属设施完好、分布合理、放置整齐、保持清洁。</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园路、铺装地坪平整，无大面积破损、无积水、无淤泥。</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指示牌、禁令牌、宣传牌放置合理，醒目、完善、规范。</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卫生标准：</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绿地整洁，地面卫生，无垃圾杂物，无堆物堆料、搭棚、侵占等现象；枯枝、落叶及时清扫干净；设施基本完好，无明显人为损坏，对违法行为能及时发现和处理；绿化生产垃圾能及时清运。</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2.5</w:t>
      </w:r>
      <w:r>
        <w:rPr>
          <w:rFonts w:hint="eastAsia" w:ascii="宋体" w:hAnsi="宋体"/>
          <w:color w:val="000000" w:themeColor="text1"/>
          <w:sz w:val="24"/>
          <w:szCs w:val="24"/>
          <w:highlight w:val="none"/>
          <w14:textFill>
            <w14:solidFill>
              <w14:schemeClr w14:val="tx1"/>
            </w14:solidFill>
          </w14:textFill>
        </w:rPr>
        <w:t>管理标准：</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每月提供月度养护计划及安排表。</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绿地管理制度全面落实，档案资料完整、详尽，工作人员挂牌上岗。</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无违章占绿、无违法建设。</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秩序良好，无乱堆乱放、晾晒衣物现象。</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有防台、抗雪预案及措施，对危树及时采取修枝、加固或申报更换等措施，遇灾害性天气及时组织进行抢扶。</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2.6</w:t>
      </w:r>
      <w:r>
        <w:rPr>
          <w:rFonts w:hint="eastAsia" w:ascii="宋体" w:hAnsi="宋体"/>
          <w:color w:val="000000" w:themeColor="text1"/>
          <w:sz w:val="24"/>
          <w:szCs w:val="24"/>
          <w:highlight w:val="none"/>
          <w14:textFill>
            <w14:solidFill>
              <w14:schemeClr w14:val="tx1"/>
            </w14:solidFill>
          </w14:textFill>
        </w:rPr>
        <w:t>养护标准：应达到《绿化养护二级标准》。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2.7</w:t>
      </w:r>
      <w:r>
        <w:rPr>
          <w:rFonts w:hint="eastAsia" w:ascii="宋体" w:hAnsi="宋体"/>
          <w:color w:val="000000" w:themeColor="text1"/>
          <w:sz w:val="24"/>
          <w:szCs w:val="24"/>
          <w:highlight w:val="none"/>
          <w14:textFill>
            <w14:solidFill>
              <w14:schemeClr w14:val="tx1"/>
            </w14:solidFill>
          </w14:textFill>
        </w:rPr>
        <w:t>灌溉：适期、适量的灌溉，夏季灌溉早晚进行，冬季灌溉中午进行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2.8</w:t>
      </w:r>
      <w:r>
        <w:rPr>
          <w:rFonts w:hint="eastAsia" w:ascii="宋体" w:hAnsi="宋体"/>
          <w:color w:val="000000" w:themeColor="text1"/>
          <w:sz w:val="24"/>
          <w:szCs w:val="24"/>
          <w:highlight w:val="none"/>
          <w14:textFill>
            <w14:solidFill>
              <w14:schemeClr w14:val="tx1"/>
            </w14:solidFill>
          </w14:textFill>
        </w:rPr>
        <w:t>排水：暴雨后排除树木周围的积水</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2.9</w:t>
      </w:r>
      <w:r>
        <w:rPr>
          <w:rFonts w:hint="eastAsia" w:ascii="宋体" w:hAnsi="宋体"/>
          <w:color w:val="000000" w:themeColor="text1"/>
          <w:sz w:val="24"/>
          <w:szCs w:val="24"/>
          <w:highlight w:val="none"/>
          <w14:textFill>
            <w14:solidFill>
              <w14:schemeClr w14:val="tx1"/>
            </w14:solidFill>
          </w14:textFill>
        </w:rPr>
        <w:t>中耕除草：选在晴朗或初晴天气，且土壤不过分潮湿的时候进行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2.10</w:t>
      </w:r>
      <w:r>
        <w:rPr>
          <w:rFonts w:hint="eastAsia" w:ascii="宋体" w:hAnsi="宋体"/>
          <w:color w:val="000000" w:themeColor="text1"/>
          <w:sz w:val="24"/>
          <w:szCs w:val="24"/>
          <w:highlight w:val="none"/>
          <w14:textFill>
            <w14:solidFill>
              <w14:schemeClr w14:val="tx1"/>
            </w14:solidFill>
          </w14:textFill>
        </w:rPr>
        <w:t>施肥：休眠期，需施基肥，生长期施追肥</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2.11</w:t>
      </w:r>
      <w:r>
        <w:rPr>
          <w:rFonts w:hint="eastAsia" w:ascii="宋体" w:hAnsi="宋体"/>
          <w:color w:val="000000" w:themeColor="text1"/>
          <w:sz w:val="24"/>
          <w:szCs w:val="24"/>
          <w:highlight w:val="none"/>
          <w14:textFill>
            <w14:solidFill>
              <w14:schemeClr w14:val="tx1"/>
            </w14:solidFill>
          </w14:textFill>
        </w:rPr>
        <w:t>整形修剪：春、夏季开花的花木，应在花后及时修剪；秋季开花的花木和一般树木，应在休眠期进行。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2.12</w:t>
      </w:r>
      <w:r>
        <w:rPr>
          <w:rFonts w:hint="eastAsia" w:ascii="宋体" w:hAnsi="宋体"/>
          <w:color w:val="000000" w:themeColor="text1"/>
          <w:sz w:val="24"/>
          <w:szCs w:val="24"/>
          <w:highlight w:val="none"/>
          <w14:textFill>
            <w14:solidFill>
              <w14:schemeClr w14:val="tx1"/>
            </w14:solidFill>
          </w14:textFill>
        </w:rPr>
        <w:t>防护设施：预防台风和大雪</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3、养护人员配置：</w:t>
      </w:r>
    </w:p>
    <w:p>
      <w:pPr>
        <w:snapToGrid w:val="0"/>
        <w:spacing w:line="360" w:lineRule="auto"/>
        <w:ind w:firstLine="482"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保证有</w:t>
      </w:r>
      <w:r>
        <w:rPr>
          <w:rFonts w:hint="eastAsia" w:ascii="宋体" w:hAnsi="宋体"/>
          <w:b/>
          <w:bCs/>
          <w:color w:val="000000" w:themeColor="text1"/>
          <w:sz w:val="24"/>
          <w:szCs w:val="24"/>
          <w:highlight w:val="none"/>
          <w:lang w:val="en-US" w:eastAsia="zh-CN"/>
          <w14:textFill>
            <w14:solidFill>
              <w14:schemeClr w14:val="tx1"/>
            </w14:solidFill>
          </w14:textFill>
        </w:rPr>
        <w:t>14</w:t>
      </w:r>
      <w:r>
        <w:rPr>
          <w:rFonts w:hint="eastAsia" w:ascii="宋体" w:hAnsi="宋体"/>
          <w:b/>
          <w:bCs/>
          <w:color w:val="000000" w:themeColor="text1"/>
          <w:sz w:val="24"/>
          <w:szCs w:val="24"/>
          <w:highlight w:val="none"/>
          <w14:textFill>
            <w14:solidFill>
              <w14:schemeClr w14:val="tx1"/>
            </w14:solidFill>
          </w14:textFill>
        </w:rPr>
        <w:t>名专业绿化养护人员</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其中1名需具有从事园艺相关工作3年及以上经验</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驻点在本校区进行服务范围内约定的养护工作，（忙时需增加养护作业人员）；每月另派</w:t>
      </w:r>
      <w:r>
        <w:rPr>
          <w:rFonts w:hint="eastAsia" w:ascii="宋体" w:hAnsi="宋体"/>
          <w:b/>
          <w:bCs/>
          <w:color w:val="000000" w:themeColor="text1"/>
          <w:sz w:val="24"/>
          <w:szCs w:val="24"/>
          <w:highlight w:val="none"/>
          <w:lang w:val="en-US" w:eastAsia="zh-CN"/>
          <w14:textFill>
            <w14:solidFill>
              <w14:schemeClr w14:val="tx1"/>
            </w14:solidFill>
          </w14:textFill>
        </w:rPr>
        <w:t>茶树、果树种植专家</w:t>
      </w:r>
      <w:r>
        <w:rPr>
          <w:rFonts w:hint="eastAsia" w:ascii="宋体" w:hAnsi="宋体"/>
          <w:b/>
          <w:bCs/>
          <w:color w:val="000000" w:themeColor="text1"/>
          <w:sz w:val="24"/>
          <w:szCs w:val="24"/>
          <w:highlight w:val="none"/>
          <w14:textFill>
            <w14:solidFill>
              <w14:schemeClr w14:val="tx1"/>
            </w14:solidFill>
          </w14:textFill>
        </w:rPr>
        <w:t>驻场指导作业人员的工作不少于1次。</w:t>
      </w:r>
    </w:p>
    <w:p>
      <w:pPr>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（三）、环境卫生管理</w:t>
      </w:r>
    </w:p>
    <w:p>
      <w:pPr>
        <w:snapToGrid w:val="0"/>
        <w:spacing w:line="360" w:lineRule="auto"/>
        <w:ind w:firstLine="468" w:firstLineChars="19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内容：学校各幢楼的楼梯、大厅、走廊、天台、卫生间、公共活动场所、楼宇外墙等所有公共部位，所有空关教室、校园内道路、机动车停车场、非机动车停车库等所有公共场地，校内亭、园和“门前三包”区域的日常保洁以及垃圾、废弃物清理等</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、校园需保洁的区域概况</w:t>
      </w:r>
    </w:p>
    <w:p>
      <w:pPr>
        <w:snapToGrid w:val="0"/>
        <w:spacing w:line="360" w:lineRule="auto"/>
        <w:ind w:firstLine="58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校园环境卫生的日常清洁维护包括：</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（1）各幢大楼内走廊、通道、大厅、厕所、护栏、扶手、天台、窗台、门窗玻璃、吊扇及楼层墙、顶面等处；</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（2）室外环境卫生；</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（3）学校主要的公共场所；</w:t>
      </w:r>
    </w:p>
    <w:p>
      <w:pPr>
        <w:snapToGrid w:val="0"/>
        <w:spacing w:line="360" w:lineRule="auto"/>
        <w:ind w:firstLine="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（4）会务服务、考场清洁及临时性任务</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、室内保洁要求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（1）室内公共场所：各大楼的门厅、走廊、楼梯道等公共区域每天至少完成</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次全面清扫，并巡回保洁；楼梯扶手、窗台至少每天保洁</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次；墙面、顶面每周掸尘、去蜘蛛网至少</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次；窗玻璃每周至少清擦</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次。地面无垃圾、积渍；墙面、玻璃门、窗干净，无污垢、无手印、无蜘蛛网、无积尘。</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）公共卫生间应及时清扫并巡回保洁。地面、墙面瓷砖无明显污垢、积水；台面、水槽（池）干净无积垢物；大小便池无异味和积垢脏迹。</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）及时清理保洁区域内的垃圾桶、果皮箱，垃圾桶、果皮箱表面无印痕，垃圾不外漏。保洁工具摆放整齐。</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）学校所有吊扇每入夏前清洁一次。</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、室外保洁要求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）保洁范围：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校园广场、道路、操场、绿化带、果壳箱、各类宣传栏橱窗及指示牌、标志牌、路灯柱等。</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）保洁要求：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上午</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点</w:t>
      </w:r>
      <w:r>
        <w:rPr>
          <w:rFonts w:hint="eastAsia" w:ascii="宋体" w:hAnsi="宋体"/>
          <w:color w:val="000000" w:themeColor="text1"/>
          <w:sz w:val="24"/>
          <w:szCs w:val="24"/>
          <w:highlight w:val="none"/>
          <w:lang w:val="en-US" w:eastAsia="zh-CN"/>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分前校内主要道路保洁清扫完毕，全天巡回保洁至下午4点半。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路面（人行道）干净、整洁、无异物、无杂草，路面无有色垃圾和建筑垃圾，垃圾筒保持干净、整洁，按时收集垃圾，保证垃圾不外溢，</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保持整洁干净。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果壳箱、各类宣传栏橱窗及指示牌、标志牌、路灯柱等每天擦洗一次。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绿化地（台）内的生活垃圾及时拾捡，随时保洁。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⑤发现保洁范围内公共设施有损坏的应及时报修。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w:t>
      </w:r>
      <w:r>
        <w:rPr>
          <w:rFonts w:hint="eastAsia" w:ascii="宋体" w:hAnsi="宋体"/>
          <w:color w:val="000000" w:themeColor="text1"/>
          <w:sz w:val="24"/>
          <w:szCs w:val="24"/>
          <w:highlight w:val="none"/>
          <w14:textFill>
            <w14:solidFill>
              <w14:schemeClr w14:val="tx1"/>
            </w14:solidFill>
          </w14:textFill>
        </w:rPr>
        <w:t>垃圾集中放到指定的区域。垃圾、废弃物做到日产日清、及时外运；化粪池及时清掏，保持常年干净，清洁，无积水、无异味。</w:t>
      </w:r>
    </w:p>
    <w:p>
      <w:pPr>
        <w:snapToGrid w:val="0"/>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特别说明：校园内学生主要活动场地（如操场、篮球场等）以及主要通道、道路应全面落实卫生保洁要求。</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）保洁标准：</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要求保洁区域内整洁，无有色垃圾和建筑垃圾、无积水和淤泥、无杂物、无烟蒂、无果皮纸屑等遗弃物，无卫生死角，绿化带地面无生活垃圾，及时清理保洁区域的垃圾桶、果皮箱。</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教学区保洁要求</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）保洁范围：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初高中教学楼、生活综合楼、心理辅导中心、图书馆、法制中心楼、体艺楼等的公共走道、楼梯、公共厕所及篮球馆内的地板</w:t>
      </w:r>
      <w:r>
        <w:rPr>
          <w:rFonts w:hint="eastAsia" w:ascii="宋体" w:hAnsi="宋体"/>
          <w:color w:val="000000" w:themeColor="text1"/>
          <w:sz w:val="24"/>
          <w:szCs w:val="24"/>
          <w:highlight w:val="none"/>
          <w:lang w:val="en-US"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）保洁要求：</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①走道、楼梯道等公共区域至少每天清扫</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次，并巡回保洁；楼梯扶手、窗台至少每天保洁</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次；墙面、顶面每周掸尘、去蜘蛛网至少</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次；窗玻璃每学期保洁至少</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次。地面无垃圾、积渍；墙面、玻璃门、窗干净，无污垢；无蜘蛛网、无积尘。</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②公共卫生间应及时清扫并巡回保洁。地面、墙面瓷砖无明显污垢、积水；台面、水槽（池）干净无积垢物；大小便池无异味和积垢脏迹。</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③按学校要求，及时对教学楼内所有空关教室的卫生进行打扫，做到地面无垃圾、积渍；墙面无积尘，无蜘蛛网，无手印；门窗干净。</w:t>
      </w:r>
    </w:p>
    <w:p>
      <w:pPr>
        <w:snapToGrid w:val="0"/>
        <w:spacing w:line="360" w:lineRule="auto"/>
        <w:ind w:left="141" w:leftChars="67" w:firstLine="420" w:firstLineChars="17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④体育馆二楼的篮球馆地板每天拖一次，遇重大活动时按要求多次保洁。</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）保洁标准：</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要求保洁区域内整洁，无积水、杂物、废纸、烟蒂、无果皮纸屑等遗弃物，无卫生死角，及时清理保洁区域的垃圾桶、果皮箱。</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5</w:t>
      </w:r>
      <w:r>
        <w:rPr>
          <w:rFonts w:hint="eastAsia" w:ascii="宋体" w:hAnsi="宋体"/>
          <w:b/>
          <w:color w:val="000000" w:themeColor="text1"/>
          <w:sz w:val="24"/>
          <w:szCs w:val="24"/>
          <w:highlight w:val="none"/>
          <w14:textFill>
            <w14:solidFill>
              <w14:schemeClr w14:val="tx1"/>
            </w14:solidFill>
          </w14:textFill>
        </w:rPr>
        <w:t>、学校公共场所的保洁</w:t>
      </w:r>
    </w:p>
    <w:p>
      <w:pPr>
        <w:snapToGrid w:val="0"/>
        <w:spacing w:line="360" w:lineRule="auto"/>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保洁范围：报告厅、各功能教室、室外体育场地。</w:t>
      </w:r>
    </w:p>
    <w:p>
      <w:pPr>
        <w:snapToGrid w:val="0"/>
        <w:spacing w:line="360" w:lineRule="auto"/>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基本要求及保洁标准同上。</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、全年应做好校园内公共区域的消毒喷洒、除四害以及门前三包等相关工作。学校全年的垃圾清运费、化粪池清掏费、消杀费、除四害费用等均由物业公司承担。</w:t>
      </w:r>
    </w:p>
    <w:p>
      <w:pPr>
        <w:tabs>
          <w:tab w:val="left" w:pos="315"/>
          <w:tab w:val="left" w:pos="945"/>
          <w:tab w:val="left" w:pos="3360"/>
        </w:tabs>
        <w:snapToGrid w:val="0"/>
        <w:spacing w:line="360" w:lineRule="auto"/>
        <w:ind w:firstLine="424" w:firstLineChars="177"/>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、根据学校的卫生及保洁要求，</w:t>
      </w:r>
      <w:r>
        <w:rPr>
          <w:rFonts w:hint="eastAsia" w:ascii="宋体" w:hAnsi="宋体"/>
          <w:b/>
          <w:color w:val="000000" w:themeColor="text1"/>
          <w:sz w:val="24"/>
          <w:szCs w:val="24"/>
          <w:highlight w:val="none"/>
          <w14:textFill>
            <w14:solidFill>
              <w14:schemeClr w14:val="tx1"/>
            </w14:solidFill>
          </w14:textFill>
        </w:rPr>
        <w:t>投标人至少应安排</w:t>
      </w:r>
      <w:r>
        <w:rPr>
          <w:rFonts w:hint="eastAsia" w:ascii="宋体" w:hAnsi="宋体"/>
          <w:b/>
          <w:color w:val="000000" w:themeColor="text1"/>
          <w:sz w:val="24"/>
          <w:szCs w:val="24"/>
          <w:highlight w:val="none"/>
          <w:lang w:val="en-US" w:eastAsia="zh-CN"/>
          <w14:textFill>
            <w14:solidFill>
              <w14:schemeClr w14:val="tx1"/>
            </w14:solidFill>
          </w14:textFill>
        </w:rPr>
        <w:t>13</w:t>
      </w:r>
      <w:r>
        <w:rPr>
          <w:rFonts w:hint="eastAsia" w:ascii="宋体" w:hAnsi="宋体"/>
          <w:b/>
          <w:color w:val="000000" w:themeColor="text1"/>
          <w:sz w:val="24"/>
          <w:szCs w:val="24"/>
          <w:highlight w:val="none"/>
          <w14:textFill>
            <w14:solidFill>
              <w14:schemeClr w14:val="tx1"/>
            </w14:solidFill>
          </w14:textFill>
        </w:rPr>
        <w:t>名保洁人员在校定时打扫、</w:t>
      </w:r>
    </w:p>
    <w:p>
      <w:pPr>
        <w:snapToGrid w:val="0"/>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并巡回保洁。</w:t>
      </w:r>
      <w:r>
        <w:rPr>
          <w:rFonts w:hint="eastAsia" w:ascii="宋体" w:hAnsi="宋体" w:eastAsia="宋体" w:cs="宋体"/>
          <w:color w:val="000000" w:themeColor="text1"/>
          <w:sz w:val="24"/>
          <w:highlight w:val="none"/>
          <w14:textFill>
            <w14:solidFill>
              <w14:schemeClr w14:val="tx1"/>
            </w14:solidFill>
          </w14:textFill>
        </w:rPr>
        <w:t>人员以中青年为主（50周岁以下不低于60%），身体健康，工作认真负责并定期接受培训。</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四</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校园日常维修</w:t>
      </w:r>
    </w:p>
    <w:p>
      <w:pPr>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、服务范围：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）房屋、路面的日常小型维修；</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）水电日常维修；</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）门窗、锁，课桌椅的维修等</w:t>
      </w:r>
    </w:p>
    <w:p>
      <w:pPr>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、原则</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“热心服务”的原则：维修管理人员要转变以前“我管你从”的思想，审固树立为学校服务的意识，端正服务态度，提高服务质量，想学校之所想，急学校之所急，认真解决学校急需解决的维修问题。</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“质量第一”的原则：维修管理人员必须树立“质量是企业的第一生命”的思想，遵守维修的有关规范，保证维修材料质量，加强回访，尽力减低返修率。</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w:t>
      </w:r>
    </w:p>
    <w:p>
      <w:pPr>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w:t>
      </w:r>
      <w:r>
        <w:rPr>
          <w:rFonts w:hint="eastAsia" w:ascii="宋体" w:hAnsi="宋体"/>
          <w:b/>
          <w:color w:val="000000" w:themeColor="text1"/>
          <w:sz w:val="24"/>
          <w:szCs w:val="24"/>
          <w:highlight w:val="none"/>
          <w14:textFill>
            <w14:solidFill>
              <w14:schemeClr w14:val="tx1"/>
            </w14:solidFill>
          </w14:textFill>
        </w:rPr>
        <w:t>、校园日常维修基本要求</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常零星维修项目，主要通过维修管理人员的日常巡视检查和教职工学生的随时报修两个渠道来收集。零星维修的特点是修理范围广，项目零星分散，时间紧，要求及时，具有经常性的服务性质。日常零星维修必须做到接报后及时维修。</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常维修范围一般为所有学校建筑的室内外照明、水龙头、家具、门窗、锁、课桌椅、黑板、窗帘、路面、建筑物内下水管道疏通等水、电、土、木维修。不含专业性强或处于保修期内的设施，如校园一卡通系统、计算机、打印机、投影仪</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监控</w:t>
      </w:r>
      <w:r>
        <w:rPr>
          <w:rFonts w:hint="eastAsia" w:ascii="宋体" w:hAnsi="宋体"/>
          <w:color w:val="000000" w:themeColor="text1"/>
          <w:sz w:val="24"/>
          <w:szCs w:val="24"/>
          <w:highlight w:val="none"/>
          <w14:textFill>
            <w14:solidFill>
              <w14:schemeClr w14:val="tx1"/>
            </w14:solidFill>
          </w14:textFill>
        </w:rPr>
        <w:t>等。</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日常维修实行及时维修承诺。</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配合学校做好大修工作。</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）房屋、道路土建及设备小修标准</w:t>
      </w:r>
      <w:r>
        <w:rPr>
          <w:rFonts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14:textFill>
            <w14:solidFill>
              <w14:schemeClr w14:val="tx1"/>
            </w14:solidFill>
          </w14:textFill>
        </w:rPr>
        <w:t xml:space="preserve">    时限要求：急迫性小修项目包括：楼房厕浴间排污管道堵塞；室内外给水系统小修、换管；烟道堵塞等。自接到报修之时起</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小时到达现场。除急迫性小修之外的零修项目，如房屋、道路土建、墙、地面等维护性小修，自接到报修之日起，两天内处理；一般设备如门、窗、玻璃、锁等应及时维修，确保不超过</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小时，并确保零修合格率达到</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①室内地面</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普通水泥楼面和地面起砂空鼓、影响使用，楼面或地面的块料面层松动的、散水严重破损影响其功能的，应修补；木楼板损坏、松动、残缺的，应修复，如磨损过薄影响安全的，可局部拆换。质量标准：普通水泥楼面地面及散维修后应平整、光滑、接槎平顺；木质楼地面维修后应牢固、平整、拼缝严密。</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②室内墙面及顶棚</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内墙及踢脚线抹灰空鼓、剥落的应修补；顶棚抹灰空鼓、剥落的应修补。质量标准：修缮后的内墙面及灰顶棚应恢复原有使用功能，抹面应接槎平整、不开裂、不空鼓、不起泡、不翘边，面层与基层结合牢固。</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③检修门窗</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小修内容：铝合金和木门窗框松动、门窗扇开关不灵活、脱榫、</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糟朽、开焊、小五金等缺损的应进行修补。质量标准：修后的钢木门窗应开关灵活不松动，框与墙体结合牢固，五金齐全。玻璃无破碎，玻璃装钉牢固，腻子饱满，窗纱绷紧，不露纱头。</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④清扫屋面、采光井、雨落管等</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每年一季一次应将校内所有建筑的屋面、雨水口及采光井积存的杂物清扫、疏通干净；对水管局部残缺、破损应予以更换。质量标准：屋面采光井应清扫干净，确保屋面落水畅通，雨落管修缮后应补齐五金配件。</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⑤屋面补漏</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小修内容：屋面局部滴漏以至影响使用的属于屋面局部补漏范围。质量标准：屋面局部用防水材料补漏后应达到不再滴漏。</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⑥外檐装修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小修内容：外檐抹灰及块料面层局部严重空鼓有脱落危险的，应排除险情。质量标准：排除险情后的外檐装修，应不存在危险隐患。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w:t>
      </w:r>
      <w:r>
        <w:rPr>
          <w:rFonts w:hint="eastAsia" w:ascii="宋体" w:hAnsi="宋体"/>
          <w:color w:val="000000" w:themeColor="text1"/>
          <w:sz w:val="24"/>
          <w:szCs w:val="24"/>
          <w:highlight w:val="none"/>
          <w14:textFill>
            <w14:solidFill>
              <w14:schemeClr w14:val="tx1"/>
            </w14:solidFill>
          </w14:textFill>
        </w:rPr>
        <w:t>阳台、雨罩等结构构件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小修内容：阳台、雨罩、梁等结构构件保护层开裂的，应封堵裂缝，防止钢筋锈蚀：保护层剥落的，应补抹。质量标准：经维修后的结构构件应不再有裂缝及露筋现象。</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w:t>
      </w:r>
      <w:r>
        <w:rPr>
          <w:rFonts w:hint="eastAsia" w:ascii="宋体" w:hAnsi="宋体"/>
          <w:color w:val="000000" w:themeColor="text1"/>
          <w:sz w:val="24"/>
          <w:szCs w:val="24"/>
          <w:highlight w:val="none"/>
          <w14:textFill>
            <w14:solidFill>
              <w14:schemeClr w14:val="tx1"/>
            </w14:solidFill>
          </w14:textFill>
        </w:rPr>
        <w:t>墙砖、面砖及路面</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小修内容：室内外墙砖、地砖、路面石材、水泥等有破损、空鼓、松动的部分，应按照原材料及规格及时修缮。质量标准：按建筑维修技术规范要求执行。</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⑨</w:t>
      </w:r>
      <w:r>
        <w:rPr>
          <w:rFonts w:hint="eastAsia" w:ascii="宋体" w:hAnsi="宋体"/>
          <w:color w:val="000000" w:themeColor="text1"/>
          <w:sz w:val="24"/>
          <w:szCs w:val="24"/>
          <w:highlight w:val="none"/>
          <w14:textFill>
            <w14:solidFill>
              <w14:schemeClr w14:val="tx1"/>
            </w14:solidFill>
          </w14:textFill>
        </w:rPr>
        <w:t>维修工要求具备水电、木工、泥工维修技术，并具备相关上岗证。</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）上下水系统小修标准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①室内给水系统小修、局部换管</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②卫生设备</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小修内容：卫生设备及配件残缺的应配齐，破损的应维修。质量标准：修缮后应做到给排水畅通，各部位零件齐全、灵活、有效，无跑、冒、漏、滴现象，能正常使用。</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③排水管道、化粪池，检查井等。</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小修内容：楼房排污管道堵塞，排污不畅通的应疏通；化粪池、检查井满溢或积存较多污物影响使用的应疏通或清掏，配件残缺应补齐。</w:t>
      </w:r>
      <w:r>
        <w:rPr>
          <w:rFonts w:ascii="宋体" w:hAnsi="宋体"/>
          <w:color w:val="000000" w:themeColor="text1"/>
          <w:sz w:val="24"/>
          <w:szCs w:val="24"/>
          <w:highlight w:val="non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质量标准：楼房排污管道经疏通后，应达到排污管道畅通，不滴水；化粪池检查井满溢的清掏应清除全部污物，化粪池检查井局部损坏的应修好，</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达到井体、池体、井圈、井盖、池盖完好。</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）供电设施设备管理维护及小修</w:t>
      </w:r>
    </w:p>
    <w:p>
      <w:pPr>
        <w:keepNext w:val="0"/>
        <w:keepLines w:val="0"/>
        <w:pageBreakBefore w:val="0"/>
        <w:widowControl w:val="0"/>
        <w:tabs>
          <w:tab w:val="left" w:pos="315"/>
          <w:tab w:val="left" w:pos="945"/>
          <w:tab w:val="left" w:pos="3360"/>
        </w:tabs>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服务内容：对学校供电系统高、低压电器设备、电线电缆、电气照明装置等设备进行日常管理和维修，保持正常运行。每年暑假委托专业机构进行高、低配保护性测试、高配工具绝缘测试、压力表检测等，所有费用由物业公司承担。</w:t>
      </w:r>
    </w:p>
    <w:p>
      <w:pPr>
        <w:keepNext w:val="0"/>
        <w:keepLines w:val="0"/>
        <w:pageBreakBefore w:val="0"/>
        <w:widowControl w:val="0"/>
        <w:tabs>
          <w:tab w:val="left" w:pos="315"/>
          <w:tab w:val="left" w:pos="945"/>
          <w:tab w:val="left" w:pos="3360"/>
        </w:tabs>
        <w:kinsoku/>
        <w:wordWrap/>
        <w:overflowPunct/>
        <w:topLinePunct w:val="0"/>
        <w:autoSpaceDE/>
        <w:autoSpaceDN/>
        <w:bidi w:val="0"/>
        <w:adjustRightInd/>
        <w:snapToGrid w:val="0"/>
        <w:spacing w:line="360"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②服务质量标准：</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）建立严格的高配供电室岗位责任制，高低配交接班制度、高低配室操作规程制度、高配倒闸操作制度、工作票制度、高低配及维修巡回检查等制度。</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）按照规定周期对变配电设备设施进行检查、维护、清洁，并做好记录，确保高（低）压变（配）电柜操作运行正常。各计量检测表计显示正常。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）变（配）电械直流操作系统、低压配电柜运行正常，蓄电池组充、放电量稳定，符合工作要求，各类表计显示正常。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）功率因素自动裣电容器（组）运行正常，自动切换准确可靠。</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）变（配）电系统联络自切正常。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）应急供电系统运行正常。</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）通过有效的管理措施及技术措施，积极开展节能管理工作。</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）每天</w:t>
      </w:r>
      <w:r>
        <w:rPr>
          <w:rFonts w:ascii="宋体" w:hAnsi="宋体"/>
          <w:color w:val="000000" w:themeColor="text1"/>
          <w:sz w:val="24"/>
          <w:szCs w:val="24"/>
          <w:highlight w:val="none"/>
          <w14:textFill>
            <w14:solidFill>
              <w14:schemeClr w14:val="tx1"/>
            </w14:solidFill>
          </w14:textFill>
        </w:rPr>
        <w:t>24</w:t>
      </w:r>
      <w:r>
        <w:rPr>
          <w:rFonts w:hint="eastAsia" w:ascii="宋体" w:hAnsi="宋体"/>
          <w:color w:val="000000" w:themeColor="text1"/>
          <w:sz w:val="24"/>
          <w:szCs w:val="24"/>
          <w:highlight w:val="none"/>
          <w14:textFill>
            <w14:solidFill>
              <w14:schemeClr w14:val="tx1"/>
            </w14:solidFill>
          </w14:textFill>
        </w:rPr>
        <w:t>小时有高配电工值班，专业人员应有相应的上岗证。</w:t>
      </w:r>
      <w:r>
        <w:rPr>
          <w:rFonts w:ascii="宋体" w:hAnsi="宋体"/>
          <w:color w:val="000000" w:themeColor="text1"/>
          <w:sz w:val="24"/>
          <w:szCs w:val="24"/>
          <w:highlight w:val="none"/>
          <w14:textFill>
            <w14:solidFill>
              <w14:schemeClr w14:val="tx1"/>
            </w14:solidFill>
          </w14:textFill>
        </w:rPr>
        <w:t xml:space="preserve"> </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③小修</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）、配电设施</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、配电柜</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、配电箱</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、配电盘。质量标准：元器件齐全，显示正常动作可靠，接地良好；时限要求：出现故障及时处理维修。</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）、室内设备</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、闸具</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、电源插座</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、开关</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、日光灯。质量标准：正常使用；时限要求：报修后及时处理维修。</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）、配电线路</w:t>
      </w:r>
    </w:p>
    <w:p>
      <w:pPr>
        <w:tabs>
          <w:tab w:val="left" w:pos="315"/>
          <w:tab w:val="left" w:pos="945"/>
          <w:tab w:val="left" w:pos="3360"/>
        </w:tabs>
        <w:snapToGrid w:val="0"/>
        <w:spacing w:line="360" w:lineRule="auto"/>
        <w:ind w:left="283" w:leftChars="135"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小修内容：</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导线，</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支持物。质量标准：绝缘良好完整可靠；时限要求：出现故障及时处理维修。</w:t>
      </w:r>
    </w:p>
    <w:p>
      <w:pPr>
        <w:tabs>
          <w:tab w:val="left" w:pos="315"/>
          <w:tab w:val="left" w:pos="945"/>
          <w:tab w:val="left" w:pos="3360"/>
        </w:tabs>
        <w:snapToGrid w:val="0"/>
        <w:spacing w:line="360" w:lineRule="auto"/>
        <w:ind w:firstLine="426" w:firstLineChars="177"/>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．人员配备要求</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根据各类维修及维护的要求，正常上班时间</w:t>
      </w:r>
      <w:r>
        <w:rPr>
          <w:rFonts w:hint="eastAsia" w:ascii="宋体" w:hAnsi="宋体"/>
          <w:b/>
          <w:color w:val="000000" w:themeColor="text1"/>
          <w:sz w:val="24"/>
          <w:szCs w:val="24"/>
          <w:highlight w:val="none"/>
          <w14:textFill>
            <w14:solidFill>
              <w14:schemeClr w14:val="tx1"/>
            </w14:solidFill>
          </w14:textFill>
        </w:rPr>
        <w:t>至少保证有</w:t>
      </w:r>
      <w:r>
        <w:rPr>
          <w:rFonts w:hint="eastAsia" w:ascii="宋体" w:hAnsi="宋体"/>
          <w:b/>
          <w:color w:val="000000" w:themeColor="text1"/>
          <w:sz w:val="24"/>
          <w:szCs w:val="24"/>
          <w:highlight w:val="none"/>
          <w:lang w:val="en-US" w:eastAsia="zh-CN"/>
          <w14:textFill>
            <w14:solidFill>
              <w14:schemeClr w14:val="tx1"/>
            </w14:solidFill>
          </w14:textFill>
        </w:rPr>
        <w:t>4</w:t>
      </w:r>
      <w:r>
        <w:rPr>
          <w:rFonts w:hint="eastAsia" w:ascii="宋体" w:hAnsi="宋体"/>
          <w:b/>
          <w:color w:val="000000" w:themeColor="text1"/>
          <w:sz w:val="24"/>
          <w:szCs w:val="24"/>
          <w:highlight w:val="none"/>
          <w14:textFill>
            <w14:solidFill>
              <w14:schemeClr w14:val="tx1"/>
            </w14:solidFill>
          </w14:textFill>
        </w:rPr>
        <w:t>名</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工程3人+水电1人</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维修工（其中</w:t>
      </w:r>
      <w:r>
        <w:rPr>
          <w:rFonts w:hint="eastAsia" w:ascii="宋体" w:hAnsi="宋体"/>
          <w:b/>
          <w:color w:val="000000" w:themeColor="text1"/>
          <w:sz w:val="24"/>
          <w:szCs w:val="24"/>
          <w:highlight w:val="none"/>
          <w:lang w:val="en-US" w:eastAsia="zh-CN"/>
          <w14:textFill>
            <w14:solidFill>
              <w14:schemeClr w14:val="tx1"/>
            </w14:solidFill>
          </w14:textFill>
        </w:rPr>
        <w:t>水电工</w:t>
      </w:r>
      <w:r>
        <w:rPr>
          <w:rFonts w:hint="eastAsia" w:ascii="宋体" w:hAnsi="宋体"/>
          <w:b/>
          <w:color w:val="000000" w:themeColor="text1"/>
          <w:sz w:val="24"/>
          <w:szCs w:val="24"/>
          <w:highlight w:val="none"/>
          <w14:textFill>
            <w14:solidFill>
              <w14:schemeClr w14:val="tx1"/>
            </w14:solidFill>
          </w14:textFill>
        </w:rPr>
        <w:t>必须有高配电工</w:t>
      </w:r>
      <w:r>
        <w:rPr>
          <w:rFonts w:hint="eastAsia" w:ascii="宋体" w:hAnsi="宋体"/>
          <w:b/>
          <w:color w:val="000000" w:themeColor="text1"/>
          <w:sz w:val="24"/>
          <w:szCs w:val="24"/>
          <w:highlight w:val="none"/>
          <w:lang w:val="en-US" w:eastAsia="zh-CN"/>
          <w14:textFill>
            <w14:solidFill>
              <w14:schemeClr w14:val="tx1"/>
            </w14:solidFill>
          </w14:textFill>
        </w:rPr>
        <w:t>证</w:t>
      </w:r>
      <w:r>
        <w:rPr>
          <w:rFonts w:hint="eastAsia" w:ascii="宋体" w:hAnsi="宋体"/>
          <w:b/>
          <w:color w:val="000000" w:themeColor="text1"/>
          <w:sz w:val="24"/>
          <w:szCs w:val="24"/>
          <w:highlight w:val="none"/>
          <w14:textFill>
            <w14:solidFill>
              <w14:schemeClr w14:val="tx1"/>
            </w14:solidFill>
          </w14:textFill>
        </w:rPr>
        <w:t>）。为</w:t>
      </w:r>
      <w:r>
        <w:rPr>
          <w:rFonts w:hint="eastAsia" w:ascii="宋体" w:hAnsi="宋体"/>
          <w:color w:val="000000" w:themeColor="text1"/>
          <w:sz w:val="24"/>
          <w:szCs w:val="24"/>
          <w:highlight w:val="none"/>
          <w14:textFill>
            <w14:solidFill>
              <w14:schemeClr w14:val="tx1"/>
            </w14:solidFill>
          </w14:textFill>
        </w:rPr>
        <w:t>确保各类维修项目得到正常实施，保证学校的教育教学活动正常开展，维修维护最少人员配置</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人。</w:t>
      </w:r>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五</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、空调保养</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保养范围：</w:t>
      </w:r>
    </w:p>
    <w:p>
      <w:pPr>
        <w:tabs>
          <w:tab w:val="left" w:pos="315"/>
          <w:tab w:val="left" w:pos="945"/>
          <w:tab w:val="left" w:pos="3360"/>
        </w:tabs>
        <w:snapToGrid w:val="0"/>
        <w:spacing w:line="360" w:lineRule="auto"/>
        <w:ind w:firstLine="426" w:firstLineChars="177"/>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包括壁挂机175台，柜机105台，吸顶式机器25台。</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基本要求：定期（</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个月一次）对空调系统进行检修保养清洗，保证运行正常，水箱运转正常且不超标，无漏水现象；</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保障</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月至</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月的制冷运行，室内温度维持在</w:t>
      </w:r>
      <w:r>
        <w:rPr>
          <w:rFonts w:ascii="宋体" w:hAnsi="宋体"/>
          <w:color w:val="000000" w:themeColor="text1"/>
          <w:sz w:val="24"/>
          <w:szCs w:val="24"/>
          <w:highlight w:val="none"/>
          <w14:textFill>
            <w14:solidFill>
              <w14:schemeClr w14:val="tx1"/>
            </w14:solidFill>
          </w14:textFill>
        </w:rPr>
        <w:t>26</w:t>
      </w:r>
      <w:r>
        <w:rPr>
          <w:rFonts w:hint="eastAsia" w:ascii="宋体" w:hAnsi="宋体"/>
          <w:color w:val="000000" w:themeColor="text1"/>
          <w:sz w:val="24"/>
          <w:szCs w:val="24"/>
          <w:highlight w:val="none"/>
          <w14:textFill>
            <w14:solidFill>
              <w14:schemeClr w14:val="tx1"/>
            </w14:solidFill>
          </w14:textFill>
        </w:rPr>
        <w:t>度；保障</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月至次年</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月的换热运行，室内温度不低于</w:t>
      </w:r>
      <w:r>
        <w:rPr>
          <w:rFonts w:ascii="宋体" w:hAnsi="宋体"/>
          <w:color w:val="000000" w:themeColor="text1"/>
          <w:sz w:val="24"/>
          <w:szCs w:val="24"/>
          <w:highlight w:val="none"/>
          <w14:textFill>
            <w14:solidFill>
              <w14:schemeClr w14:val="tx1"/>
            </w14:solidFill>
          </w14:textFill>
        </w:rPr>
        <w:t>16</w:t>
      </w:r>
      <w:r>
        <w:rPr>
          <w:rFonts w:hint="eastAsia" w:ascii="宋体" w:hAnsi="宋体"/>
          <w:color w:val="000000" w:themeColor="text1"/>
          <w:sz w:val="24"/>
          <w:szCs w:val="24"/>
          <w:highlight w:val="none"/>
          <w14:textFill>
            <w14:solidFill>
              <w14:schemeClr w14:val="tx1"/>
            </w14:solidFill>
          </w14:textFill>
        </w:rPr>
        <w:t>摄氏度；</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四月机组检修；五月室内风机排风管调试；十月保养全部制冷设备；</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空调系统出现故障后，维修人员在</w:t>
      </w:r>
      <w:r>
        <w:rPr>
          <w:rFonts w:ascii="宋体" w:hAnsi="宋体"/>
          <w:color w:val="000000" w:themeColor="text1"/>
          <w:sz w:val="24"/>
          <w:szCs w:val="24"/>
          <w:highlight w:val="none"/>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分钟内到达现场维修，小修及时处理，中修、大修及时联系厂家技术人员并协助维修；维修及时率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；有故障应急处理方案。</w:t>
      </w:r>
    </w:p>
    <w:p>
      <w:pPr>
        <w:snapToGrid w:val="0"/>
        <w:spacing w:line="360" w:lineRule="auto"/>
        <w:rPr>
          <w:rFonts w:ascii="宋体" w:hAnsi="宋体"/>
          <w:b/>
          <w:color w:val="000000" w:themeColor="text1"/>
          <w:sz w:val="24"/>
          <w:szCs w:val="24"/>
          <w:highlight w:val="none"/>
          <w14:textFill>
            <w14:solidFill>
              <w14:schemeClr w14:val="tx1"/>
            </w14:solidFill>
          </w14:textFill>
        </w:rPr>
      </w:pPr>
      <w:bookmarkStart w:id="28" w:name="OLE_LINK5"/>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六</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、消防、监控设施维护及防雷设施检测</w:t>
      </w:r>
    </w:p>
    <w:bookmarkEnd w:id="28"/>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、定期对消防、监控主机及各消防、监控点的设备进行巡查，确保运行无故障，并做好相关的检查记录及台账；</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、定期对室外的消防栓、消防水带、消防泵等设备进行检查，是否有埋压或损坏等情况，并及时处理；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、定期对室外及各楼层消防栓进行检查。每三个月巡查一次，消防栓箱内各种配件保证完好。每年保养一次，做到表面无生锈现象，颜色一致；阀杆每半年加注润滑油</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做到启动灵活运行正常；每半年放水检查。消防水带应每半年检查一次，保证完好无缺，无霉变。</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．定期对各楼层的灭火器进行检查，若发现有压力不足或缺少等情况，及时进行充液和更换；</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、定期对各楼层的排烟通风口、消防通道进行检查，是否有遮挡或堵塞，各楼层的疏散指示标志是否有损坏或缺少等情况，并及时处理；</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、定期对各楼层应急电源的主、备电情况进行检查。</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、消控室应安排</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名专业人员值班，且必须取得公安消防部门颁发的上岗证。</w:t>
      </w:r>
    </w:p>
    <w:p>
      <w:pPr>
        <w:tabs>
          <w:tab w:val="left" w:pos="315"/>
          <w:tab w:val="left" w:pos="945"/>
          <w:tab w:val="left" w:pos="3360"/>
        </w:tabs>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．每年请专业检测机构对全校所有的防雷设施进行检测一次，检测</w:t>
      </w:r>
      <w:bookmarkStart w:id="29" w:name="OLE_LINK8"/>
      <w:r>
        <w:rPr>
          <w:rFonts w:hint="eastAsia" w:ascii="宋体" w:hAnsi="宋体"/>
          <w:color w:val="000000" w:themeColor="text1"/>
          <w:sz w:val="24"/>
          <w:szCs w:val="24"/>
          <w:highlight w:val="none"/>
          <w14:textFill>
            <w14:solidFill>
              <w14:schemeClr w14:val="tx1"/>
            </w14:solidFill>
          </w14:textFill>
        </w:rPr>
        <w:t>费用由投标商承担。</w:t>
      </w:r>
    </w:p>
    <w:bookmarkEnd w:id="29"/>
    <w:p>
      <w:pPr>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七</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、其他服务</w:t>
      </w:r>
    </w:p>
    <w:p>
      <w:pPr>
        <w:tabs>
          <w:tab w:val="left" w:pos="315"/>
          <w:tab w:val="left" w:pos="945"/>
          <w:tab w:val="left" w:pos="3360"/>
        </w:tabs>
        <w:snapToGrid w:val="0"/>
        <w:spacing w:line="360" w:lineRule="auto"/>
        <w:rPr>
          <w:rFonts w:ascii="宋体" w:hAnsi="宋体"/>
          <w:color w:val="000000" w:themeColor="text1"/>
          <w:sz w:val="24"/>
          <w:szCs w:val="24"/>
          <w:highlight w:val="none"/>
          <w14:textFill>
            <w14:solidFill>
              <w14:schemeClr w14:val="tx1"/>
            </w14:solidFill>
          </w14:textFill>
        </w:rPr>
      </w:pPr>
      <w:bookmarkStart w:id="30" w:name="OLE_LINK2"/>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、负责校园整体物业管理的项目经理</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lang w:val="en-US" w:eastAsia="zh-CN"/>
          <w14:textFill>
            <w14:solidFill>
              <w14:schemeClr w14:val="tx1"/>
            </w14:solidFill>
          </w14:textFill>
        </w:rPr>
        <w:t>会务</w:t>
      </w:r>
      <w:r>
        <w:rPr>
          <w:rFonts w:hint="eastAsia" w:ascii="宋体" w:hAnsi="宋体"/>
          <w:color w:val="000000" w:themeColor="text1"/>
          <w:sz w:val="24"/>
          <w:szCs w:val="24"/>
          <w:highlight w:val="none"/>
          <w14:textFill>
            <w14:solidFill>
              <w14:schemeClr w14:val="tx1"/>
            </w14:solidFill>
          </w14:textFill>
        </w:rPr>
        <w:t>人员</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人。</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）热爱本职工作，训练有素、精于专业，有吃苦耐劳精神。</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）具有较强的组织、管理、沟通能力。</w:t>
      </w:r>
    </w:p>
    <w:p>
      <w:pPr>
        <w:snapToGrid w:val="0"/>
        <w:spacing w:line="360" w:lineRule="auto"/>
        <w:ind w:firstLine="424" w:firstLineChars="17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）项目经理需具有大专以上学历，并从事物业管理工作三年以上</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含三年</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24" w:firstLineChars="177"/>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）遵守学校的作息时间，按时上下班。</w:t>
      </w:r>
      <w:bookmarkEnd w:id="30"/>
    </w:p>
    <w:p>
      <w:pPr>
        <w:tabs>
          <w:tab w:val="left" w:pos="315"/>
          <w:tab w:val="left" w:pos="945"/>
          <w:tab w:val="left" w:pos="3360"/>
        </w:tabs>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（八）报价说明：</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.校区保洁、维修材料费用以及消监控系统专业维保、空调专业维保、配电间检测、防雷检测、消杀等均包含在投标报价中（费用约2</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万元</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此项费用全部用于购买学校维修材料和设备维保、检测，为净费用，不含税费及管理费等，请投标人参考以上预计费用，包含在投标总价中。）维修（保养）过程中采购的材料需制作材料使用计划报采购人同意后进行采购，采购的材料须经采购人进行验收。非正常损坏的材料维修费由损坏人负责赔偿。</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垃圾清运、化肥池清掏、消杀、除四害，防雷检测</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中央空调保养，</w:t>
      </w:r>
      <w:r>
        <w:rPr>
          <w:rFonts w:hint="eastAsia" w:ascii="宋体" w:hAnsi="宋体"/>
          <w:color w:val="000000" w:themeColor="text1"/>
          <w:sz w:val="24"/>
          <w:szCs w:val="24"/>
          <w:highlight w:val="none"/>
          <w:lang w:val="en-US" w:eastAsia="zh-CN"/>
          <w14:textFill>
            <w14:solidFill>
              <w14:schemeClr w14:val="tx1"/>
            </w14:solidFill>
          </w14:textFill>
        </w:rPr>
        <w:t>特种</w:t>
      </w:r>
      <w:r>
        <w:rPr>
          <w:rFonts w:hint="eastAsia" w:ascii="宋体" w:hAnsi="宋体"/>
          <w:color w:val="000000" w:themeColor="text1"/>
          <w:sz w:val="24"/>
          <w:szCs w:val="24"/>
          <w:highlight w:val="none"/>
          <w14:textFill>
            <w14:solidFill>
              <w14:schemeClr w14:val="tx1"/>
            </w14:solidFill>
          </w14:textFill>
        </w:rPr>
        <w:t>设备维护，高、低配保护性测试、高配工具绝缘测试、压力表检测，以上所有项目的费用请投标人含入投标报价内。</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各类维修材料，由物业公司承担。维修材料的购买经校方确认后购买，价格不高于市场价，并由校方验收，否则校方不予承认。中标人应承诺与校方共同管理维修材料费用，每月底交校方维修材料费用清单供监督确认。在费用允许的情况下，中标人应配合校方做好维修工作。如费用超支，中标人自行负担。</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．管理人员应</w:t>
      </w:r>
      <w:r>
        <w:rPr>
          <w:rFonts w:hint="eastAsia" w:ascii="宋体" w:hAnsi="宋体"/>
          <w:color w:val="000000" w:themeColor="text1"/>
          <w:sz w:val="24"/>
          <w:szCs w:val="24"/>
          <w:highlight w:val="none"/>
          <w:lang w:val="en-US" w:eastAsia="zh-CN"/>
          <w14:textFill>
            <w14:solidFill>
              <w14:schemeClr w14:val="tx1"/>
            </w14:solidFill>
          </w14:textFill>
        </w:rPr>
        <w:t>具有物业管理的相关经历</w:t>
      </w:r>
      <w:r>
        <w:rPr>
          <w:rFonts w:hint="eastAsia" w:ascii="宋体" w:hAnsi="宋体"/>
          <w:color w:val="000000" w:themeColor="text1"/>
          <w:sz w:val="24"/>
          <w:szCs w:val="24"/>
          <w:highlight w:val="none"/>
          <w14:textFill>
            <w14:solidFill>
              <w14:schemeClr w14:val="tx1"/>
            </w14:solidFill>
          </w14:textFill>
        </w:rPr>
        <w:t>，专业技术、操作人员应取得相应专业技术证书、专业上岗证或职业技能资格证书。管理负责人目前无担任其它物业管理项目负责人或物业管理人员。管理人员应及时、认真做好工作日志、交接班记录、账册等记录工作，做到字迹清晰、数据准确。</w:t>
      </w:r>
    </w:p>
    <w:p>
      <w:pPr>
        <w:tabs>
          <w:tab w:val="left" w:pos="315"/>
          <w:tab w:val="left" w:pos="945"/>
          <w:tab w:val="left" w:pos="336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关于福利的说明：不提供工作餐和工作服</w:t>
      </w:r>
      <w:r>
        <w:rPr>
          <w:rFonts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投标商应承诺配合学校提供学校重要会议的会务接待、重要考试的考场清洁卫生及学校举办各类活动的服务。</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各投标人须在对现场、周边环境全面了解的情况下编制科学合理、切实可行的组织实施计划以及具体的保障措施、工作程序。</w:t>
      </w:r>
    </w:p>
    <w:p>
      <w:pPr>
        <w:widowControl/>
        <w:autoSpaceDE w:val="0"/>
        <w:autoSpaceDN w:val="0"/>
        <w:snapToGrid w:val="0"/>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其他要求</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）投标人应制订具体的质量保证措施及质量保证及相关服务的承诺。如因服务质量未达到目标，供应商应因此承担责任和经济赔偿。在维保范围项目，供应商无任何理由拒绝保养维修。</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服务方须在合同签订前须提供管理主管、工程综合维修人员、保安等重要岗位人员的相关有效证件和信息，如果服务方不能提供，则采购单位有权终止合同签订。其他人员聘用须将人员信息向物业管理上级主管部门备案。</w:t>
      </w:r>
    </w:p>
    <w:p>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）按要求和事项发生量及时配备足够和胜任的相关管理和服务人员，并保持人员的稳定。遇调动或辞职时，管理主管和工程综合维修人员提前</w:t>
      </w:r>
      <w:r>
        <w:rPr>
          <w:rFonts w:ascii="宋体" w:hAnsi="宋体"/>
          <w:color w:val="000000" w:themeColor="text1"/>
          <w:sz w:val="24"/>
          <w:szCs w:val="24"/>
          <w:highlight w:val="none"/>
          <w14:textFill>
            <w14:solidFill>
              <w14:schemeClr w14:val="tx1"/>
            </w14:solidFill>
          </w14:textFill>
        </w:rPr>
        <w:t>20</w:t>
      </w:r>
      <w:r>
        <w:rPr>
          <w:rFonts w:hint="eastAsia" w:ascii="宋体" w:hAnsi="宋体"/>
          <w:color w:val="000000" w:themeColor="text1"/>
          <w:sz w:val="24"/>
          <w:szCs w:val="24"/>
          <w:highlight w:val="none"/>
          <w14:textFill>
            <w14:solidFill>
              <w14:schemeClr w14:val="tx1"/>
            </w14:solidFill>
          </w14:textFill>
        </w:rPr>
        <w:t>天、保安提前</w:t>
      </w: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天、保洁提前</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天告知业主并得到同意后才能更换，按要求及时补充相应人员，提前做好交接班。对业主认为无能力、工作失职或不合适人员，应立即更换。</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按国家和当地政府有关劳动法规、条例，向管理服务人员提供相应工种的劳动工资、加班工资、劳动保护等待遇。为保证服务人员的技能素质、队伍的相对稳定，应保障关键技术岗位如分中心主管、设备维护人员的工资待遇，每月在业主区域物业办公场所张榜公布符合法规的管理服务人员劳动待遇开支。</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）管理服务人员上岗时须统一着装，服装样式体现岗位特色和方便不同岗位操作，并经物业管理上级主管部门认可。</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）为提高物业管理服务水平，所有管理服务人员在服务期间按岗位要求进行定期短期培训。需要时，应接受物业管理上级主管部门会对服务人员的集中培训。</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）服务方需建立上岗前培训制度，并通过考试方式，经投标人同意准许上岗。</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）服务方应承诺在合同期内，为承包区域内提供物业安保、保洁、会议服务、水电与设备维护及其他相关服务，并承担由此带来的一切风险。</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11</w:t>
      </w:r>
      <w:r>
        <w:rPr>
          <w:rFonts w:hint="eastAsia" w:ascii="宋体" w:hAnsi="宋体"/>
          <w:color w:val="000000" w:themeColor="text1"/>
          <w:sz w:val="24"/>
          <w:szCs w:val="24"/>
          <w:highlight w:val="none"/>
          <w14:textFill>
            <w14:solidFill>
              <w14:schemeClr w14:val="tx1"/>
            </w14:solidFill>
          </w14:textFill>
        </w:rPr>
        <w:t>）采购单位工作人员及其他物业使用人对中标单位的满意率达到</w:t>
      </w:r>
      <w:r>
        <w:rPr>
          <w:rFonts w:ascii="宋体" w:hAnsi="宋体"/>
          <w:color w:val="000000" w:themeColor="text1"/>
          <w:sz w:val="24"/>
          <w:szCs w:val="24"/>
          <w:highlight w:val="none"/>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％，采购单位可随时要求成交人在采购单位的监督下进行满意率调查。</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）如今后物业服务范围增加，采购单位将按成交单价根据有关规定另行签订补充协议。</w:t>
      </w:r>
    </w:p>
    <w:p>
      <w:pPr>
        <w:tabs>
          <w:tab w:val="left" w:pos="360"/>
          <w:tab w:val="left" w:pos="144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13</w:t>
      </w:r>
      <w:r>
        <w:rPr>
          <w:rFonts w:hint="eastAsia" w:ascii="宋体" w:hAnsi="宋体"/>
          <w:color w:val="000000" w:themeColor="text1"/>
          <w:sz w:val="24"/>
          <w:szCs w:val="24"/>
          <w:highlight w:val="none"/>
          <w14:textFill>
            <w14:solidFill>
              <w14:schemeClr w14:val="tx1"/>
            </w14:solidFill>
          </w14:textFill>
        </w:rPr>
        <w:t>）请各投标人参照学校实际及现摆放情况，</w:t>
      </w:r>
      <w:r>
        <w:rPr>
          <w:rFonts w:hint="eastAsia" w:ascii="宋体" w:hAnsi="宋体"/>
          <w:color w:val="000000" w:themeColor="text1"/>
          <w:kern w:val="0"/>
          <w:sz w:val="24"/>
          <w:szCs w:val="24"/>
          <w:highlight w:val="none"/>
          <w:lang w:val="zh-CN"/>
          <w14:textFill>
            <w14:solidFill>
              <w14:schemeClr w14:val="tx1"/>
            </w14:solidFill>
          </w14:textFill>
        </w:rPr>
        <w:t>提出更好的</w:t>
      </w:r>
      <w:r>
        <w:rPr>
          <w:rFonts w:hint="eastAsia" w:ascii="宋体" w:hAnsi="宋体"/>
          <w:color w:val="000000" w:themeColor="text1"/>
          <w:sz w:val="24"/>
          <w:szCs w:val="24"/>
          <w:highlight w:val="none"/>
          <w14:textFill>
            <w14:solidFill>
              <w14:schemeClr w14:val="tx1"/>
            </w14:solidFill>
          </w14:textFill>
        </w:rPr>
        <w:t>室内外绿化</w:t>
      </w:r>
      <w:r>
        <w:rPr>
          <w:rFonts w:hint="eastAsia" w:ascii="宋体" w:hAnsi="宋体"/>
          <w:color w:val="000000" w:themeColor="text1"/>
          <w:kern w:val="0"/>
          <w:sz w:val="24"/>
          <w:szCs w:val="24"/>
          <w:highlight w:val="none"/>
          <w:lang w:val="zh-CN"/>
          <w14:textFill>
            <w14:solidFill>
              <w14:schemeClr w14:val="tx1"/>
            </w14:solidFill>
          </w14:textFill>
        </w:rPr>
        <w:t>设计方案</w:t>
      </w:r>
      <w:r>
        <w:rPr>
          <w:rFonts w:hint="eastAsia" w:ascii="宋体" w:hAnsi="宋体"/>
          <w:color w:val="000000" w:themeColor="text1"/>
          <w:sz w:val="24"/>
          <w:szCs w:val="24"/>
          <w:highlight w:val="none"/>
          <w14:textFill>
            <w14:solidFill>
              <w14:schemeClr w14:val="tx1"/>
            </w14:solidFill>
          </w14:textFill>
        </w:rPr>
        <w:t>，明确绿化盆景种类、数量、摆放位置、更换时间等。</w:t>
      </w:r>
    </w:p>
    <w:p>
      <w:pPr>
        <w:snapToGrid w:val="0"/>
        <w:spacing w:line="360" w:lineRule="auto"/>
        <w:ind w:left="359" w:leftChars="171"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14</w:t>
      </w:r>
      <w:r>
        <w:rPr>
          <w:rFonts w:hint="eastAsia" w:ascii="宋体" w:hAnsi="宋体"/>
          <w:color w:val="000000" w:themeColor="text1"/>
          <w:sz w:val="24"/>
          <w:szCs w:val="24"/>
          <w:highlight w:val="none"/>
          <w14:textFill>
            <w14:solidFill>
              <w14:schemeClr w14:val="tx1"/>
            </w14:solidFill>
          </w14:textFill>
        </w:rPr>
        <w:t>）服务方有义务帮助采购单位完成除维修维护外零星的电器安装、线路铺设、改动等工作，费用包含在本次投标价中，不再另行计费。</w:t>
      </w:r>
    </w:p>
    <w:p>
      <w:pPr>
        <w:snapToGrid w:val="0"/>
        <w:spacing w:line="360" w:lineRule="auto"/>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w:t>
      </w:r>
      <w:r>
        <w:rPr>
          <w:rFonts w:ascii="宋体" w:hAnsi="宋体"/>
          <w:bCs/>
          <w:color w:val="000000" w:themeColor="text1"/>
          <w:sz w:val="24"/>
          <w:szCs w:val="24"/>
          <w:highlight w:val="none"/>
          <w14:textFill>
            <w14:solidFill>
              <w14:schemeClr w14:val="tx1"/>
            </w14:solidFill>
          </w14:textFill>
        </w:rPr>
        <w:t>15</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各投标人须按《杭州市物业管理条例》及其他国家有关标准和规范完成采购文件要求的物业管理工作。</w:t>
      </w:r>
    </w:p>
    <w:p>
      <w:pPr>
        <w:widowControl/>
        <w:autoSpaceDE w:val="0"/>
        <w:autoSpaceDN w:val="0"/>
        <w:snapToGrid w:val="0"/>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五、管理服务应达到的各项指标</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、杜绝火灾责任事故和刑事案件；</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、环境卫生、清洁率达</w:t>
      </w:r>
      <w:r>
        <w:rPr>
          <w:rFonts w:ascii="宋体" w:hAnsi="宋体"/>
          <w:color w:val="000000" w:themeColor="text1"/>
          <w:sz w:val="24"/>
          <w:szCs w:val="24"/>
          <w:highlight w:val="none"/>
          <w14:textFill>
            <w14:solidFill>
              <w14:schemeClr w14:val="tx1"/>
            </w14:solidFill>
          </w14:textFill>
        </w:rPr>
        <w:t>99%</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、维修、报修及时率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，返修率小于</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、服务有效投诉少于</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，处理率</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、满意率</w:t>
      </w:r>
      <w:r>
        <w:rPr>
          <w:rFonts w:ascii="宋体" w:hAnsi="宋体"/>
          <w:color w:val="000000" w:themeColor="text1"/>
          <w:sz w:val="24"/>
          <w:szCs w:val="24"/>
          <w:highlight w:val="none"/>
          <w14:textFill>
            <w14:solidFill>
              <w14:schemeClr w14:val="tx1"/>
            </w14:solidFill>
          </w14:textFill>
        </w:rPr>
        <w:t>95%</w:t>
      </w:r>
      <w:r>
        <w:rPr>
          <w:rFonts w:hint="eastAsia" w:ascii="宋体" w:hAnsi="宋体"/>
          <w:color w:val="000000" w:themeColor="text1"/>
          <w:sz w:val="24"/>
          <w:szCs w:val="24"/>
          <w:highlight w:val="none"/>
          <w14:textFill>
            <w14:solidFill>
              <w14:schemeClr w14:val="tx1"/>
            </w14:solidFill>
          </w14:textFill>
        </w:rPr>
        <w:t>以上。</w:t>
      </w:r>
    </w:p>
    <w:p>
      <w:pPr>
        <w:snapToGrid w:val="0"/>
        <w:spacing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六、管理服务费用及财务管理要求</w:t>
      </w:r>
    </w:p>
    <w:p>
      <w:pPr>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14:textFill>
            <w14:solidFill>
              <w14:schemeClr w14:val="tx1"/>
            </w14:solidFill>
          </w14:textFill>
        </w:rPr>
        <w:t>、物业管理服务费用以签订的合同价为准，业主</w:t>
      </w:r>
      <w:r>
        <w:rPr>
          <w:rFonts w:hint="eastAsia" w:ascii="宋体" w:hAnsi="宋体"/>
          <w:bCs/>
          <w:color w:val="000000" w:themeColor="text1"/>
          <w:sz w:val="24"/>
          <w:szCs w:val="24"/>
          <w:highlight w:val="none"/>
          <w:lang w:val="en-US" w:eastAsia="zh-CN"/>
          <w14:textFill>
            <w14:solidFill>
              <w14:schemeClr w14:val="tx1"/>
            </w14:solidFill>
          </w14:textFill>
        </w:rPr>
        <w:t>按照合同约定进行</w:t>
      </w:r>
      <w:r>
        <w:rPr>
          <w:rFonts w:hint="eastAsia" w:ascii="宋体" w:hAnsi="宋体"/>
          <w:bCs/>
          <w:color w:val="000000" w:themeColor="text1"/>
          <w:sz w:val="24"/>
          <w:szCs w:val="24"/>
          <w:highlight w:val="none"/>
          <w14:textFill>
            <w14:solidFill>
              <w14:schemeClr w14:val="tx1"/>
            </w14:solidFill>
          </w14:textFill>
        </w:rPr>
        <w:t>拨付。</w:t>
      </w:r>
    </w:p>
    <w:p>
      <w:pPr>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服务方需承担所有服务所需的工具</w:t>
      </w:r>
      <w:r>
        <w:rPr>
          <w:rFonts w:hint="eastAsia" w:ascii="宋体" w:hAnsi="宋体"/>
          <w:color w:val="000000" w:themeColor="text1"/>
          <w:sz w:val="24"/>
          <w:szCs w:val="24"/>
          <w:highlight w:val="none"/>
          <w14:textFill>
            <w14:solidFill>
              <w14:schemeClr w14:val="tx1"/>
            </w14:solidFill>
          </w14:textFill>
        </w:rPr>
        <w:t>。服务方必须配置办公设备独立放置于采购单位提供的办公区域内，且不能与承包区域外单位、部门或团体共用，其办公用品所需耗材应由成交人自行承担。（办公设备包括电脑、打印机、复印机、扫描仪、对讲机、电话、传真机、照相机、录像机等物品）</w:t>
      </w:r>
      <w:r>
        <w:rPr>
          <w:rFonts w:hint="eastAsia" w:ascii="宋体" w:hAnsi="宋体"/>
          <w:bCs/>
          <w:color w:val="000000" w:themeColor="text1"/>
          <w:sz w:val="24"/>
          <w:szCs w:val="24"/>
          <w:highlight w:val="none"/>
          <w14:textFill>
            <w14:solidFill>
              <w14:schemeClr w14:val="tx1"/>
            </w14:solidFill>
          </w14:textFill>
        </w:rPr>
        <w:t>。</w:t>
      </w:r>
    </w:p>
    <w:p>
      <w:pPr>
        <w:tabs>
          <w:tab w:val="left" w:pos="840"/>
        </w:tabs>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、物业管理服务人员缺岗的，按其岗位平均每月人员开支的标准扣除服务费。</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扣除的费用业主可用于其他顶岗人员的加班或奖励费用。</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Arial"/>
          <w:snapToGrid w:val="0"/>
          <w:color w:val="000000" w:themeColor="text1"/>
          <w:kern w:val="0"/>
          <w:sz w:val="24"/>
          <w:szCs w:val="24"/>
          <w:highlight w:val="none"/>
          <w14:textFill>
            <w14:solidFill>
              <w14:schemeClr w14:val="tx1"/>
            </w14:solidFill>
          </w14:textFill>
        </w:rPr>
        <w:t>每月须以书面形式向业主报告当月物业管理服务各项费用收支情况的财务报表，供业主审核。</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、服务方要制定财务预算，年终要进行财务专项决算并进行财务审计，审计结果报</w:t>
      </w:r>
      <w:r>
        <w:rPr>
          <w:rFonts w:hint="eastAsia" w:ascii="宋体" w:hAnsi="宋体" w:cs="Arial"/>
          <w:snapToGrid w:val="0"/>
          <w:color w:val="000000" w:themeColor="text1"/>
          <w:kern w:val="0"/>
          <w:sz w:val="24"/>
          <w:szCs w:val="24"/>
          <w:highlight w:val="none"/>
          <w14:textFill>
            <w14:solidFill>
              <w14:schemeClr w14:val="tx1"/>
            </w14:solidFill>
          </w14:textFill>
        </w:rPr>
        <w:t>业主</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七、服务期限</w:t>
      </w:r>
      <w:r>
        <w:rPr>
          <w:rFonts w:ascii="宋体" w:hAnsi="宋体" w:eastAsia="宋体" w:cs="Arial"/>
          <w:b/>
          <w:color w:val="000000" w:themeColor="text1"/>
          <w:sz w:val="24"/>
          <w:szCs w:val="24"/>
          <w:highlight w:val="none"/>
          <w:shd w:val="clear" w:color="auto" w:fill="FFFFFF"/>
          <w14:textFill>
            <w14:solidFill>
              <w14:schemeClr w14:val="tx1"/>
            </w14:solidFill>
          </w14:textFill>
        </w:rPr>
        <w:t>和预算金额</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Arial"/>
          <w:color w:val="000000" w:themeColor="text1"/>
          <w:sz w:val="24"/>
          <w:szCs w:val="24"/>
          <w:highlight w:val="none"/>
          <w:shd w:val="clear" w:color="auto" w:fill="FFFFFF"/>
          <w14:textFill>
            <w14:solidFill>
              <w14:schemeClr w14:val="tx1"/>
            </w14:solidFill>
          </w14:textFill>
        </w:rPr>
        <w:t>服务期限：202</w:t>
      </w:r>
      <w:r>
        <w:rPr>
          <w:rFonts w:hint="eastAsia" w:ascii="宋体" w:hAnsi="宋体" w:cs="Arial"/>
          <w:color w:val="000000" w:themeColor="text1"/>
          <w:sz w:val="24"/>
          <w:szCs w:val="24"/>
          <w:highlight w:val="none"/>
          <w:shd w:val="clear" w:color="auto" w:fill="FFFFFF"/>
          <w:lang w:val="en-US" w:eastAsia="zh-CN"/>
          <w14:textFill>
            <w14:solidFill>
              <w14:schemeClr w14:val="tx1"/>
            </w14:solidFill>
          </w14:textFill>
        </w:rPr>
        <w:t>4</w:t>
      </w:r>
      <w:r>
        <w:rPr>
          <w:rFonts w:ascii="宋体" w:hAnsi="宋体" w:eastAsia="宋体" w:cs="Arial"/>
          <w:color w:val="000000" w:themeColor="text1"/>
          <w:sz w:val="24"/>
          <w:szCs w:val="24"/>
          <w:highlight w:val="none"/>
          <w:shd w:val="clear" w:color="auto" w:fill="FFFFFF"/>
          <w14:textFill>
            <w14:solidFill>
              <w14:schemeClr w14:val="tx1"/>
            </w14:solidFill>
          </w14:textFill>
        </w:rPr>
        <w:t>年</w:t>
      </w:r>
      <w:r>
        <w:rPr>
          <w:rFonts w:hint="eastAsia" w:ascii="宋体" w:hAnsi="宋体" w:eastAsia="宋体" w:cs="Arial"/>
          <w:color w:val="000000" w:themeColor="text1"/>
          <w:sz w:val="24"/>
          <w:szCs w:val="24"/>
          <w:highlight w:val="none"/>
          <w:shd w:val="clear" w:color="auto" w:fill="FFFFFF"/>
          <w:lang w:val="en-US" w:eastAsia="zh-CN"/>
          <w14:textFill>
            <w14:solidFill>
              <w14:schemeClr w14:val="tx1"/>
            </w14:solidFill>
          </w14:textFill>
        </w:rPr>
        <w:t>1</w:t>
      </w:r>
      <w:r>
        <w:rPr>
          <w:rFonts w:ascii="宋体" w:hAnsi="宋体" w:eastAsia="宋体" w:cs="Arial"/>
          <w:color w:val="000000" w:themeColor="text1"/>
          <w:sz w:val="24"/>
          <w:szCs w:val="24"/>
          <w:highlight w:val="none"/>
          <w:shd w:val="clear" w:color="auto" w:fill="FFFFFF"/>
          <w14:textFill>
            <w14:solidFill>
              <w14:schemeClr w14:val="tx1"/>
            </w14:solidFill>
          </w14:textFill>
        </w:rPr>
        <w:t>月1日—202</w:t>
      </w:r>
      <w:r>
        <w:rPr>
          <w:rFonts w:hint="eastAsia" w:ascii="宋体" w:hAnsi="宋体" w:cs="Arial"/>
          <w:color w:val="000000" w:themeColor="text1"/>
          <w:sz w:val="24"/>
          <w:szCs w:val="24"/>
          <w:highlight w:val="none"/>
          <w:shd w:val="clear" w:color="auto" w:fill="FFFFFF"/>
          <w:lang w:val="en-US" w:eastAsia="zh-CN"/>
          <w14:textFill>
            <w14:solidFill>
              <w14:schemeClr w14:val="tx1"/>
            </w14:solidFill>
          </w14:textFill>
        </w:rPr>
        <w:t>4</w:t>
      </w:r>
      <w:r>
        <w:rPr>
          <w:rFonts w:ascii="宋体" w:hAnsi="宋体" w:eastAsia="宋体" w:cs="Arial"/>
          <w:color w:val="000000" w:themeColor="text1"/>
          <w:sz w:val="24"/>
          <w:szCs w:val="24"/>
          <w:highlight w:val="none"/>
          <w:shd w:val="clear" w:color="auto" w:fill="FFFFFF"/>
          <w14:textFill>
            <w14:solidFill>
              <w14:schemeClr w14:val="tx1"/>
            </w14:solidFill>
          </w14:textFill>
        </w:rPr>
        <w:t>年12月31日</w:t>
      </w:r>
      <w:r>
        <w:rPr>
          <w:rFonts w:ascii="宋体" w:hAnsi="宋体" w:eastAsia="宋体" w:cs="Arial"/>
          <w:color w:val="000000" w:themeColor="text1"/>
          <w:sz w:val="24"/>
          <w:szCs w:val="24"/>
          <w:highlight w:val="none"/>
          <w14:textFill>
            <w14:solidFill>
              <w14:schemeClr w14:val="tx1"/>
            </w14:solidFill>
          </w14:textFill>
        </w:rPr>
        <w:br w:type="textWrapping"/>
      </w:r>
      <w:r>
        <w:rPr>
          <w:rFonts w:ascii="宋体" w:hAnsi="宋体" w:eastAsia="宋体" w:cs="Arial"/>
          <w:color w:val="000000" w:themeColor="text1"/>
          <w:sz w:val="24"/>
          <w:szCs w:val="24"/>
          <w:highlight w:val="none"/>
          <w:shd w:val="clear" w:color="auto" w:fill="FFFFFF"/>
          <w14:textFill>
            <w14:solidFill>
              <w14:schemeClr w14:val="tx1"/>
            </w14:solidFill>
          </w14:textFill>
        </w:rPr>
        <w:t>　　预算金额：</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329</w:t>
      </w:r>
      <w:r>
        <w:rPr>
          <w:rFonts w:hint="eastAsia" w:ascii="宋体" w:hAnsi="宋体" w:eastAsia="宋体" w:cs="Times New Roman"/>
          <w:color w:val="000000" w:themeColor="text1"/>
          <w:sz w:val="24"/>
          <w:szCs w:val="24"/>
          <w:highlight w:val="none"/>
          <w14:textFill>
            <w14:solidFill>
              <w14:schemeClr w14:val="tx1"/>
            </w14:solidFill>
          </w14:textFill>
        </w:rPr>
        <w:t>.0</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宋体" w:eastAsia="宋体" w:cs="Times New Roman"/>
          <w:color w:val="000000" w:themeColor="text1"/>
          <w:sz w:val="24"/>
          <w:szCs w:val="24"/>
          <w:highlight w:val="none"/>
          <w14:textFill>
            <w14:solidFill>
              <w14:schemeClr w14:val="tx1"/>
            </w14:solidFill>
          </w14:textFill>
        </w:rPr>
        <w:t>万元</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2024年1月1日至新中标单位入场日期的服务费用由中标供应商按照</w:t>
      </w:r>
      <w:r>
        <w:rPr>
          <w:rFonts w:hint="eastAsia" w:ascii="宋体" w:hAnsi="宋体" w:eastAsia="宋体" w:cs="Times New Roman"/>
          <w:color w:val="000000" w:themeColor="text1"/>
          <w:sz w:val="24"/>
          <w:szCs w:val="24"/>
          <w:highlight w:val="none"/>
          <w14:textFill>
            <w14:solidFill>
              <w14:schemeClr w14:val="tx1"/>
            </w14:solidFill>
          </w14:textFill>
        </w:rPr>
        <w:t>按202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年度中标价单日金额乘以实际服务天数，与202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年度供应商结算</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 </w:t>
      </w:r>
    </w:p>
    <w:p>
      <w:pPr>
        <w:snapToGrid w:val="0"/>
        <w:spacing w:line="360" w:lineRule="auto"/>
        <w:rPr>
          <w:rFonts w:ascii="宋体" w:hAnsi="宋体" w:cs="Arial"/>
          <w:snapToGrid w:val="0"/>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s="Arial"/>
          <w:b/>
          <w:snapToGrid w:val="0"/>
          <w:color w:val="000000" w:themeColor="text1"/>
          <w:kern w:val="0"/>
          <w:sz w:val="24"/>
          <w:szCs w:val="24"/>
          <w:highlight w:val="none"/>
          <w14:textFill>
            <w14:solidFill>
              <w14:schemeClr w14:val="tx1"/>
            </w14:solidFill>
          </w14:textFill>
        </w:rPr>
        <w:t>八、相关场地提供</w:t>
      </w:r>
    </w:p>
    <w:p>
      <w:pPr>
        <w:snapToGrid w:val="0"/>
        <w:spacing w:line="360" w:lineRule="auto"/>
        <w:ind w:firstLine="480" w:firstLineChars="200"/>
        <w:rPr>
          <w:rFonts w:ascii="宋体" w:hAnsi="宋体" w:cs="Arial"/>
          <w:snapToGrid w:val="0"/>
          <w:color w:val="000000" w:themeColor="text1"/>
          <w:kern w:val="0"/>
          <w:sz w:val="24"/>
          <w:szCs w:val="24"/>
          <w:highlight w:val="none"/>
          <w14:textFill>
            <w14:solidFill>
              <w14:schemeClr w14:val="tx1"/>
            </w14:solidFill>
          </w14:textFill>
        </w:rPr>
      </w:pPr>
      <w:r>
        <w:rPr>
          <w:rFonts w:hint="eastAsia" w:ascii="宋体" w:hAnsi="宋体" w:cs="Arial"/>
          <w:snapToGrid w:val="0"/>
          <w:color w:val="000000" w:themeColor="text1"/>
          <w:kern w:val="0"/>
          <w:sz w:val="24"/>
          <w:szCs w:val="24"/>
          <w:highlight w:val="none"/>
          <w14:textFill>
            <w14:solidFill>
              <w14:schemeClr w14:val="tx1"/>
            </w14:solidFill>
          </w14:textFill>
        </w:rPr>
        <w:t>采购单位免费提供物业管理的办公场地，但办公用品（指办公桌、电脑、打印机、对讲机、文件柜等自身使用的等办公用品）由投标人自行解决。</w:t>
      </w:r>
    </w:p>
    <w:p>
      <w:pPr>
        <w:snapToGrid w:val="0"/>
        <w:spacing w:line="360" w:lineRule="auto"/>
        <w:rPr>
          <w:rFonts w:ascii="宋体" w:hAnsi="宋体" w:cs="Arial"/>
          <w:b/>
          <w:snapToGrid w:val="0"/>
          <w:color w:val="000000" w:themeColor="text1"/>
          <w:kern w:val="0"/>
          <w:sz w:val="24"/>
          <w:szCs w:val="24"/>
          <w:highlight w:val="none"/>
          <w14:textFill>
            <w14:solidFill>
              <w14:schemeClr w14:val="tx1"/>
            </w14:solidFill>
          </w14:textFill>
        </w:rPr>
      </w:pPr>
      <w:r>
        <w:rPr>
          <w:rFonts w:hint="eastAsia" w:ascii="宋体" w:hAnsi="宋体" w:cs="Arial"/>
          <w:b/>
          <w:snapToGrid w:val="0"/>
          <w:color w:val="000000" w:themeColor="text1"/>
          <w:kern w:val="0"/>
          <w:sz w:val="24"/>
          <w:szCs w:val="24"/>
          <w:highlight w:val="none"/>
          <w14:textFill>
            <w14:solidFill>
              <w14:schemeClr w14:val="tx1"/>
            </w14:solidFill>
          </w14:textFill>
        </w:rPr>
        <w:t>九、检查与考核</w:t>
      </w:r>
    </w:p>
    <w:p>
      <w:pPr>
        <w:snapToGrid w:val="0"/>
        <w:spacing w:line="360" w:lineRule="auto"/>
        <w:ind w:firstLine="480" w:firstLineChars="200"/>
        <w:rPr>
          <w:rFonts w:ascii="宋体" w:hAnsi="宋体" w:cs="Arial"/>
          <w:snapToGrid w:val="0"/>
          <w:color w:val="000000" w:themeColor="text1"/>
          <w:kern w:val="0"/>
          <w:sz w:val="24"/>
          <w:szCs w:val="24"/>
          <w:highlight w:val="none"/>
          <w14:textFill>
            <w14:solidFill>
              <w14:schemeClr w14:val="tx1"/>
            </w14:solidFill>
          </w14:textFill>
        </w:rPr>
      </w:pPr>
      <w:r>
        <w:rPr>
          <w:rFonts w:ascii="宋体" w:hAnsi="宋体" w:cs="Arial"/>
          <w:snapToGrid w:val="0"/>
          <w:color w:val="000000" w:themeColor="text1"/>
          <w:kern w:val="0"/>
          <w:sz w:val="24"/>
          <w:szCs w:val="24"/>
          <w:highlight w:val="none"/>
          <w14:textFill>
            <w14:solidFill>
              <w14:schemeClr w14:val="tx1"/>
            </w14:solidFill>
          </w14:textFill>
        </w:rPr>
        <w:t>1</w:t>
      </w:r>
      <w:r>
        <w:rPr>
          <w:rFonts w:hint="eastAsia" w:ascii="宋体" w:hAnsi="宋体" w:cs="Arial"/>
          <w:snapToGrid w:val="0"/>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应制订具体的质量保证措施及质量保证和相关服务承诺。供应商所有的工作除应按供应商的内部流程实施外，还应接受采购单位或第三方的随时检查。如因质量未达到目标，采购单位有权要求其整改，同时</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应承担责任和经济赔偿（扣款或终止合同）。</w:t>
      </w:r>
    </w:p>
    <w:p>
      <w:pPr>
        <w:snapToGrid w:val="0"/>
        <w:spacing w:line="360" w:lineRule="auto"/>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1418" w:right="1418" w:bottom="1418" w:left="1418" w:header="851" w:footer="992" w:gutter="0"/>
          <w:cols w:space="720" w:num="1"/>
          <w:titlePg/>
          <w:docGrid w:linePitch="312" w:charSpace="0"/>
        </w:sectPr>
      </w:pPr>
      <w:r>
        <w:rPr>
          <w:rFonts w:ascii="宋体" w:hAnsi="宋体" w:cs="Arial"/>
          <w:snapToGrid w:val="0"/>
          <w:color w:val="000000" w:themeColor="text1"/>
          <w:kern w:val="0"/>
          <w:sz w:val="24"/>
          <w:szCs w:val="24"/>
          <w:highlight w:val="none"/>
          <w14:textFill>
            <w14:solidFill>
              <w14:schemeClr w14:val="tx1"/>
            </w14:solidFill>
          </w14:textFill>
        </w:rPr>
        <w:t>2</w:t>
      </w:r>
      <w:r>
        <w:rPr>
          <w:rFonts w:hint="eastAsia" w:ascii="宋体" w:hAnsi="宋体" w:cs="Arial"/>
          <w:snapToGrid w:val="0"/>
          <w:color w:val="000000" w:themeColor="text1"/>
          <w:kern w:val="0"/>
          <w:sz w:val="24"/>
          <w:szCs w:val="24"/>
          <w:highlight w:val="none"/>
          <w14:textFill>
            <w14:solidFill>
              <w14:schemeClr w14:val="tx1"/>
            </w14:solidFill>
          </w14:textFill>
        </w:rPr>
        <w:t>、采购单位定期和不定期地对供应商管理服务进行检查和抽查，检查记录和整改时限反馈</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。并对“传达、保安和秩序管理”，“环境卫生”，“综合维修”等三项内容</w:t>
      </w:r>
      <w:r>
        <w:rPr>
          <w:rFonts w:hint="eastAsia" w:ascii="宋体" w:hAnsi="宋体" w:cs="Arial"/>
          <w:snapToGrid w:val="0"/>
          <w:color w:val="000000" w:themeColor="text1"/>
          <w:kern w:val="0"/>
          <w:sz w:val="24"/>
          <w:szCs w:val="24"/>
          <w:highlight w:val="none"/>
          <w:lang w:val="en-US" w:eastAsia="zh-CN"/>
          <w14:textFill>
            <w14:solidFill>
              <w14:schemeClr w14:val="tx1"/>
            </w14:solidFill>
          </w14:textFill>
        </w:rPr>
        <w:t>进行</w:t>
      </w:r>
      <w:r>
        <w:rPr>
          <w:rFonts w:hint="eastAsia" w:ascii="宋体" w:hAnsi="宋体" w:cs="Arial"/>
          <w:snapToGrid w:val="0"/>
          <w:color w:val="000000" w:themeColor="text1"/>
          <w:kern w:val="0"/>
          <w:sz w:val="24"/>
          <w:szCs w:val="24"/>
          <w:highlight w:val="none"/>
          <w14:textFill>
            <w14:solidFill>
              <w14:schemeClr w14:val="tx1"/>
            </w14:solidFill>
          </w14:textFill>
        </w:rPr>
        <w:t>检查</w:t>
      </w:r>
      <w:r>
        <w:rPr>
          <w:rFonts w:hint="eastAsia" w:ascii="宋体" w:hAnsi="宋体" w:cs="Arial"/>
          <w:snapToGrid w:val="0"/>
          <w:color w:val="000000" w:themeColor="text1"/>
          <w:kern w:val="0"/>
          <w:sz w:val="24"/>
          <w:szCs w:val="24"/>
          <w:highlight w:val="none"/>
          <w:lang w:eastAsia="zh-CN"/>
          <w14:textFill>
            <w14:solidFill>
              <w14:schemeClr w14:val="tx1"/>
            </w14:solidFill>
          </w14:textFill>
        </w:rPr>
        <w:t>、</w:t>
      </w:r>
      <w:r>
        <w:rPr>
          <w:rFonts w:hint="eastAsia" w:ascii="宋体" w:hAnsi="宋体" w:cs="Arial"/>
          <w:snapToGrid w:val="0"/>
          <w:color w:val="000000" w:themeColor="text1"/>
          <w:kern w:val="0"/>
          <w:sz w:val="24"/>
          <w:szCs w:val="24"/>
          <w:highlight w:val="none"/>
          <w:lang w:val="en-US" w:eastAsia="zh-CN"/>
          <w14:textFill>
            <w14:solidFill>
              <w14:schemeClr w14:val="tx1"/>
            </w14:solidFill>
          </w14:textFill>
        </w:rPr>
        <w:t>反馈，得到反馈内容后，供应商需在1日内作出整改、调整</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如同等问题出现多次整改未到位的情况，</w:t>
      </w:r>
      <w:r>
        <w:rPr>
          <w:rFonts w:hint="eastAsia" w:ascii="宋体" w:hAnsi="宋体"/>
          <w:color w:val="000000" w:themeColor="text1"/>
          <w:sz w:val="24"/>
          <w:szCs w:val="24"/>
          <w:highlight w:val="none"/>
          <w14:textFill>
            <w14:solidFill>
              <w14:schemeClr w14:val="tx1"/>
            </w14:solidFill>
          </w14:textFill>
        </w:rPr>
        <w:t>服务方</w:t>
      </w:r>
      <w:r>
        <w:rPr>
          <w:rFonts w:hint="eastAsia" w:ascii="宋体" w:hAnsi="宋体" w:cs="Arial"/>
          <w:snapToGrid w:val="0"/>
          <w:color w:val="000000" w:themeColor="text1"/>
          <w:kern w:val="0"/>
          <w:sz w:val="24"/>
          <w:szCs w:val="24"/>
          <w:highlight w:val="none"/>
          <w14:textFill>
            <w14:solidFill>
              <w14:schemeClr w14:val="tx1"/>
            </w14:solidFill>
          </w14:textFill>
        </w:rPr>
        <w:t>应承担责任和经济赔偿（扣款或终止合同）</w:t>
      </w:r>
    </w:p>
    <w:p>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其它：招标文件第四部分评分办法中评审因素相应的其它要求及第五部分采购合同中相应的其他要求。</w:t>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1" w:name="_Toc184313281"/>
      <w:bookmarkEnd w:id="31"/>
      <w:bookmarkStart w:id="32" w:name="_Toc184312129"/>
      <w:bookmarkEnd w:id="32"/>
      <w:bookmarkStart w:id="33" w:name="_Toc184310285"/>
      <w:bookmarkEnd w:id="33"/>
      <w:bookmarkStart w:id="34" w:name="_Toc184312136"/>
      <w:bookmarkEnd w:id="34"/>
      <w:bookmarkStart w:id="35" w:name="_Toc184310294"/>
      <w:bookmarkEnd w:id="35"/>
      <w:bookmarkStart w:id="36" w:name="_Toc184314442"/>
      <w:bookmarkEnd w:id="36"/>
      <w:bookmarkStart w:id="37" w:name="_Toc184310328"/>
      <w:bookmarkEnd w:id="37"/>
      <w:bookmarkStart w:id="38" w:name="_Toc184308038"/>
      <w:bookmarkEnd w:id="38"/>
      <w:bookmarkStart w:id="39" w:name="_Toc184310308"/>
      <w:bookmarkEnd w:id="39"/>
      <w:bookmarkStart w:id="40" w:name="_Toc184310279"/>
      <w:bookmarkEnd w:id="40"/>
      <w:bookmarkStart w:id="41" w:name="_Toc184310325"/>
      <w:bookmarkEnd w:id="41"/>
      <w:bookmarkStart w:id="42" w:name="_Toc184312108"/>
      <w:bookmarkEnd w:id="42"/>
      <w:bookmarkStart w:id="43" w:name="_Toc184313275"/>
      <w:bookmarkEnd w:id="43"/>
      <w:bookmarkStart w:id="44" w:name="_Toc184310275"/>
      <w:bookmarkEnd w:id="44"/>
      <w:bookmarkStart w:id="45" w:name="_Toc184308088"/>
      <w:bookmarkEnd w:id="45"/>
      <w:bookmarkStart w:id="46" w:name="_Toc184312117"/>
      <w:bookmarkEnd w:id="46"/>
      <w:bookmarkStart w:id="47" w:name="_Toc184312073"/>
      <w:bookmarkEnd w:id="47"/>
      <w:bookmarkStart w:id="48" w:name="_Toc184310278"/>
      <w:bookmarkEnd w:id="48"/>
      <w:bookmarkStart w:id="49" w:name="_Toc184310287"/>
      <w:bookmarkEnd w:id="49"/>
      <w:bookmarkStart w:id="50" w:name="_Toc184314434"/>
      <w:bookmarkEnd w:id="50"/>
      <w:bookmarkStart w:id="51" w:name="_Toc184314457"/>
      <w:bookmarkEnd w:id="51"/>
      <w:bookmarkStart w:id="52" w:name="_Toc184312134"/>
      <w:bookmarkEnd w:id="52"/>
      <w:bookmarkStart w:id="53" w:name="_Toc184313239"/>
      <w:bookmarkEnd w:id="53"/>
      <w:bookmarkStart w:id="54" w:name="_Toc184313288"/>
      <w:bookmarkEnd w:id="54"/>
      <w:bookmarkStart w:id="55" w:name="_Toc184313248"/>
      <w:bookmarkEnd w:id="55"/>
      <w:bookmarkStart w:id="56" w:name="_Toc184313260"/>
      <w:bookmarkEnd w:id="56"/>
      <w:bookmarkStart w:id="57" w:name="_Toc184308043"/>
      <w:bookmarkEnd w:id="57"/>
      <w:bookmarkStart w:id="58" w:name="_Toc184312088"/>
      <w:bookmarkEnd w:id="58"/>
      <w:bookmarkStart w:id="59" w:name="_Toc184314447"/>
      <w:bookmarkEnd w:id="59"/>
      <w:bookmarkStart w:id="60" w:name="_Toc184313245"/>
      <w:bookmarkEnd w:id="60"/>
      <w:bookmarkStart w:id="61" w:name="_Toc184313264"/>
      <w:bookmarkEnd w:id="61"/>
      <w:bookmarkStart w:id="62" w:name="_Toc184310314"/>
      <w:bookmarkEnd w:id="62"/>
      <w:bookmarkStart w:id="63" w:name="_Toc184310300"/>
      <w:bookmarkEnd w:id="63"/>
      <w:bookmarkStart w:id="64" w:name="_Toc184313292"/>
      <w:bookmarkEnd w:id="64"/>
      <w:bookmarkStart w:id="65" w:name="_Toc184314413"/>
      <w:bookmarkEnd w:id="65"/>
      <w:bookmarkStart w:id="66" w:name="_Toc184308066"/>
      <w:bookmarkEnd w:id="66"/>
      <w:bookmarkStart w:id="67" w:name="_Toc184312087"/>
      <w:bookmarkEnd w:id="67"/>
      <w:bookmarkStart w:id="68" w:name="_Toc184312070"/>
      <w:bookmarkEnd w:id="68"/>
      <w:bookmarkStart w:id="69" w:name="_Toc184310339"/>
      <w:bookmarkEnd w:id="69"/>
      <w:bookmarkStart w:id="70" w:name="_Toc184312091"/>
      <w:bookmarkEnd w:id="70"/>
      <w:bookmarkStart w:id="71" w:name="_Toc184310305"/>
      <w:bookmarkEnd w:id="71"/>
      <w:bookmarkStart w:id="72" w:name="_Toc184313256"/>
      <w:bookmarkEnd w:id="72"/>
      <w:bookmarkStart w:id="73" w:name="_Toc184308042"/>
      <w:bookmarkEnd w:id="73"/>
      <w:bookmarkStart w:id="74" w:name="_Toc184312077"/>
      <w:bookmarkEnd w:id="74"/>
      <w:bookmarkStart w:id="75" w:name="_Toc184312106"/>
      <w:bookmarkEnd w:id="75"/>
      <w:bookmarkStart w:id="76" w:name="_Toc184312127"/>
      <w:bookmarkEnd w:id="76"/>
      <w:bookmarkStart w:id="77" w:name="_Toc184312072"/>
      <w:bookmarkEnd w:id="77"/>
      <w:bookmarkStart w:id="78" w:name="_Toc184314418"/>
      <w:bookmarkEnd w:id="78"/>
      <w:bookmarkStart w:id="79" w:name="_Toc184310277"/>
      <w:bookmarkEnd w:id="79"/>
      <w:bookmarkStart w:id="80" w:name="_Toc184313298"/>
      <w:bookmarkEnd w:id="80"/>
      <w:bookmarkStart w:id="81" w:name="_Toc184314417"/>
      <w:bookmarkEnd w:id="81"/>
      <w:bookmarkStart w:id="82" w:name="_Toc184308067"/>
      <w:bookmarkEnd w:id="82"/>
      <w:bookmarkStart w:id="83" w:name="_Toc184310321"/>
      <w:bookmarkEnd w:id="83"/>
      <w:bookmarkStart w:id="84" w:name="_Toc184312081"/>
      <w:bookmarkEnd w:id="84"/>
      <w:bookmarkStart w:id="85" w:name="_Toc184310316"/>
      <w:bookmarkEnd w:id="85"/>
      <w:bookmarkStart w:id="86" w:name="_Toc184310311"/>
      <w:bookmarkEnd w:id="86"/>
      <w:bookmarkStart w:id="87" w:name="_Toc184314465"/>
      <w:bookmarkEnd w:id="87"/>
      <w:bookmarkStart w:id="88" w:name="_Toc184310334"/>
      <w:bookmarkEnd w:id="88"/>
      <w:bookmarkStart w:id="89" w:name="_Toc184312119"/>
      <w:bookmarkEnd w:id="89"/>
      <w:bookmarkStart w:id="90" w:name="_Toc184313268"/>
      <w:bookmarkEnd w:id="90"/>
      <w:bookmarkStart w:id="91" w:name="_Toc184313266"/>
      <w:bookmarkEnd w:id="91"/>
      <w:bookmarkStart w:id="92" w:name="_Toc184314479"/>
      <w:bookmarkEnd w:id="92"/>
      <w:bookmarkStart w:id="93" w:name="_Toc184308045"/>
      <w:bookmarkEnd w:id="93"/>
      <w:bookmarkStart w:id="94" w:name="_Toc184310304"/>
      <w:bookmarkEnd w:id="94"/>
      <w:bookmarkStart w:id="95" w:name="_Toc184308085"/>
      <w:bookmarkEnd w:id="95"/>
      <w:bookmarkStart w:id="96" w:name="_Toc184314438"/>
      <w:bookmarkEnd w:id="96"/>
      <w:bookmarkStart w:id="97" w:name="_Toc184310292"/>
      <w:bookmarkEnd w:id="97"/>
      <w:bookmarkStart w:id="98" w:name="_Toc184310282"/>
      <w:bookmarkEnd w:id="98"/>
      <w:bookmarkStart w:id="99" w:name="_Toc184310273"/>
      <w:bookmarkEnd w:id="99"/>
      <w:bookmarkStart w:id="100" w:name="_Toc184310329"/>
      <w:bookmarkEnd w:id="100"/>
      <w:bookmarkStart w:id="101" w:name="_Toc184312114"/>
      <w:bookmarkEnd w:id="101"/>
      <w:bookmarkStart w:id="102" w:name="_Toc184314468"/>
      <w:bookmarkEnd w:id="102"/>
      <w:bookmarkStart w:id="103" w:name="_Toc184312116"/>
      <w:bookmarkEnd w:id="103"/>
      <w:bookmarkStart w:id="104" w:name="_Toc184310340"/>
      <w:bookmarkEnd w:id="104"/>
      <w:bookmarkStart w:id="105" w:name="_Toc184312095"/>
      <w:bookmarkEnd w:id="105"/>
      <w:bookmarkStart w:id="106" w:name="_Toc184314419"/>
      <w:bookmarkEnd w:id="106"/>
      <w:bookmarkStart w:id="107" w:name="_Toc184312105"/>
      <w:bookmarkEnd w:id="107"/>
      <w:bookmarkStart w:id="108" w:name="_Toc184308104"/>
      <w:bookmarkEnd w:id="108"/>
      <w:bookmarkStart w:id="109" w:name="_Toc184308082"/>
      <w:bookmarkEnd w:id="109"/>
      <w:bookmarkStart w:id="110" w:name="_Toc184314411"/>
      <w:bookmarkEnd w:id="110"/>
      <w:bookmarkStart w:id="111" w:name="_Toc184308050"/>
      <w:bookmarkEnd w:id="111"/>
      <w:bookmarkStart w:id="112" w:name="_Toc184308075"/>
      <w:bookmarkEnd w:id="112"/>
      <w:bookmarkStart w:id="113" w:name="_Toc184310343"/>
      <w:bookmarkEnd w:id="113"/>
      <w:bookmarkStart w:id="114" w:name="_Toc184310342"/>
      <w:bookmarkEnd w:id="114"/>
      <w:bookmarkStart w:id="115" w:name="_Toc184314473"/>
      <w:bookmarkEnd w:id="115"/>
      <w:bookmarkStart w:id="116" w:name="_Toc184314416"/>
      <w:bookmarkEnd w:id="116"/>
      <w:bookmarkStart w:id="117" w:name="_Toc184314476"/>
      <w:bookmarkEnd w:id="117"/>
      <w:bookmarkStart w:id="118" w:name="_Toc184312139"/>
      <w:bookmarkEnd w:id="118"/>
      <w:bookmarkStart w:id="119" w:name="_Toc184308052"/>
      <w:bookmarkEnd w:id="119"/>
      <w:bookmarkStart w:id="120" w:name="_Toc184312111"/>
      <w:bookmarkEnd w:id="120"/>
      <w:bookmarkStart w:id="121" w:name="_Toc184308106"/>
      <w:bookmarkEnd w:id="121"/>
      <w:bookmarkStart w:id="122" w:name="_Toc184308096"/>
      <w:bookmarkEnd w:id="122"/>
      <w:bookmarkStart w:id="123" w:name="_Toc184310274"/>
      <w:bookmarkEnd w:id="123"/>
      <w:bookmarkStart w:id="124" w:name="_Toc184308064"/>
      <w:bookmarkEnd w:id="124"/>
      <w:bookmarkStart w:id="125" w:name="_Toc184308063"/>
      <w:bookmarkEnd w:id="125"/>
      <w:bookmarkStart w:id="126" w:name="_Toc184313301"/>
      <w:bookmarkEnd w:id="126"/>
      <w:bookmarkStart w:id="127" w:name="_Toc184313271"/>
      <w:bookmarkEnd w:id="127"/>
      <w:bookmarkStart w:id="128" w:name="_Toc184313243"/>
      <w:bookmarkEnd w:id="128"/>
      <w:bookmarkStart w:id="129" w:name="_Toc184308072"/>
      <w:bookmarkEnd w:id="129"/>
      <w:bookmarkStart w:id="130" w:name="_Toc184310320"/>
      <w:bookmarkEnd w:id="130"/>
      <w:bookmarkStart w:id="131" w:name="_Toc184308059"/>
      <w:bookmarkEnd w:id="131"/>
      <w:bookmarkStart w:id="132" w:name="_Toc184312093"/>
      <w:bookmarkEnd w:id="132"/>
      <w:bookmarkStart w:id="133" w:name="_Toc184312092"/>
      <w:bookmarkEnd w:id="133"/>
      <w:bookmarkStart w:id="134" w:name="_Toc184308068"/>
      <w:bookmarkEnd w:id="134"/>
      <w:bookmarkStart w:id="135" w:name="_Toc184312125"/>
      <w:bookmarkEnd w:id="135"/>
      <w:bookmarkStart w:id="136" w:name="_Toc184310338"/>
      <w:bookmarkEnd w:id="136"/>
      <w:bookmarkStart w:id="137" w:name="_Toc184310332"/>
      <w:bookmarkEnd w:id="137"/>
      <w:bookmarkStart w:id="138" w:name="_Toc184313263"/>
      <w:bookmarkEnd w:id="138"/>
      <w:bookmarkStart w:id="139" w:name="_Toc184308102"/>
      <w:bookmarkEnd w:id="139"/>
      <w:bookmarkStart w:id="140" w:name="_Toc184313273"/>
      <w:bookmarkEnd w:id="140"/>
      <w:bookmarkStart w:id="141" w:name="_Toc184310324"/>
      <w:bookmarkEnd w:id="141"/>
      <w:bookmarkStart w:id="142" w:name="_Toc184308046"/>
      <w:bookmarkEnd w:id="142"/>
      <w:bookmarkStart w:id="143" w:name="_Toc184314477"/>
      <w:bookmarkEnd w:id="143"/>
      <w:bookmarkStart w:id="144" w:name="_Toc184313249"/>
      <w:bookmarkEnd w:id="144"/>
      <w:bookmarkStart w:id="145" w:name="_Toc184314451"/>
      <w:bookmarkEnd w:id="145"/>
      <w:bookmarkStart w:id="146" w:name="_Toc184308093"/>
      <w:bookmarkEnd w:id="146"/>
      <w:bookmarkStart w:id="147" w:name="_Toc184313302"/>
      <w:bookmarkEnd w:id="147"/>
      <w:bookmarkStart w:id="148" w:name="_Toc184312086"/>
      <w:bookmarkEnd w:id="148"/>
      <w:bookmarkStart w:id="149" w:name="_Toc184312130"/>
      <w:bookmarkEnd w:id="149"/>
      <w:bookmarkStart w:id="150" w:name="_Toc184312110"/>
      <w:bookmarkEnd w:id="150"/>
      <w:bookmarkStart w:id="151" w:name="_Toc184312103"/>
      <w:bookmarkEnd w:id="151"/>
      <w:bookmarkStart w:id="152" w:name="_Toc184314426"/>
      <w:bookmarkEnd w:id="152"/>
      <w:bookmarkStart w:id="153" w:name="_Toc184313247"/>
      <w:bookmarkEnd w:id="153"/>
      <w:bookmarkStart w:id="154" w:name="_Toc184314429"/>
      <w:bookmarkEnd w:id="154"/>
      <w:bookmarkStart w:id="155" w:name="_Toc184312069"/>
      <w:bookmarkEnd w:id="155"/>
      <w:bookmarkStart w:id="156" w:name="_Toc184308099"/>
      <w:bookmarkEnd w:id="156"/>
      <w:bookmarkStart w:id="157" w:name="_Toc184310286"/>
      <w:bookmarkEnd w:id="157"/>
      <w:bookmarkStart w:id="158" w:name="_Toc184313252"/>
      <w:bookmarkEnd w:id="158"/>
      <w:bookmarkStart w:id="159" w:name="_Toc184313304"/>
      <w:bookmarkEnd w:id="159"/>
      <w:bookmarkStart w:id="160" w:name="_Toc184314412"/>
      <w:bookmarkEnd w:id="160"/>
      <w:bookmarkStart w:id="161" w:name="_Toc184314471"/>
      <w:bookmarkEnd w:id="161"/>
      <w:bookmarkStart w:id="162" w:name="_Toc184313286"/>
      <w:bookmarkEnd w:id="162"/>
      <w:bookmarkStart w:id="163" w:name="_Toc184314459"/>
      <w:bookmarkEnd w:id="163"/>
      <w:bookmarkStart w:id="164" w:name="_Toc184308049"/>
      <w:bookmarkEnd w:id="164"/>
      <w:bookmarkStart w:id="165" w:name="_Toc184310299"/>
      <w:bookmarkEnd w:id="165"/>
      <w:bookmarkStart w:id="166" w:name="_Toc184313309"/>
      <w:bookmarkEnd w:id="166"/>
      <w:bookmarkStart w:id="167" w:name="_Toc184313299"/>
      <w:bookmarkEnd w:id="167"/>
      <w:bookmarkStart w:id="168" w:name="_Toc184314430"/>
      <w:bookmarkEnd w:id="168"/>
      <w:bookmarkStart w:id="169" w:name="_Toc184314454"/>
      <w:bookmarkEnd w:id="169"/>
      <w:bookmarkStart w:id="170" w:name="_Toc184312102"/>
      <w:bookmarkEnd w:id="170"/>
      <w:bookmarkStart w:id="171" w:name="_Toc184310289"/>
      <w:bookmarkEnd w:id="171"/>
      <w:bookmarkStart w:id="172" w:name="_Toc184313267"/>
      <w:bookmarkEnd w:id="172"/>
      <w:bookmarkStart w:id="173" w:name="_Toc184312096"/>
      <w:bookmarkEnd w:id="173"/>
      <w:bookmarkStart w:id="174" w:name="_Toc184313305"/>
      <w:bookmarkEnd w:id="174"/>
      <w:bookmarkStart w:id="175" w:name="_Toc184314458"/>
      <w:bookmarkEnd w:id="175"/>
      <w:bookmarkStart w:id="176" w:name="_Toc184312113"/>
      <w:bookmarkEnd w:id="176"/>
      <w:bookmarkStart w:id="177" w:name="_Toc184310281"/>
      <w:bookmarkEnd w:id="177"/>
      <w:bookmarkStart w:id="178" w:name="_Toc184312135"/>
      <w:bookmarkEnd w:id="178"/>
      <w:bookmarkStart w:id="179" w:name="_Toc184314466"/>
      <w:bookmarkEnd w:id="179"/>
      <w:bookmarkStart w:id="180" w:name="_Toc184314475"/>
      <w:bookmarkEnd w:id="180"/>
      <w:bookmarkStart w:id="181" w:name="_Toc184308100"/>
      <w:bookmarkEnd w:id="181"/>
      <w:bookmarkStart w:id="182" w:name="_Toc184308098"/>
      <w:bookmarkEnd w:id="182"/>
      <w:bookmarkStart w:id="183" w:name="_Toc184310295"/>
      <w:bookmarkEnd w:id="183"/>
      <w:bookmarkStart w:id="184" w:name="_Toc184312112"/>
      <w:bookmarkEnd w:id="184"/>
      <w:bookmarkStart w:id="185" w:name="_Toc184312076"/>
      <w:bookmarkEnd w:id="185"/>
      <w:bookmarkStart w:id="186" w:name="_Toc184313269"/>
      <w:bookmarkEnd w:id="186"/>
      <w:bookmarkStart w:id="187" w:name="_Toc184312122"/>
      <w:bookmarkEnd w:id="187"/>
      <w:bookmarkStart w:id="188" w:name="_Toc184308044"/>
      <w:bookmarkEnd w:id="188"/>
      <w:bookmarkStart w:id="189" w:name="_Toc184310336"/>
      <w:bookmarkEnd w:id="189"/>
      <w:bookmarkStart w:id="190" w:name="_Toc184312080"/>
      <w:bookmarkEnd w:id="190"/>
      <w:bookmarkStart w:id="191" w:name="_Toc184314445"/>
      <w:bookmarkEnd w:id="191"/>
      <w:bookmarkStart w:id="192" w:name="_Toc184313283"/>
      <w:bookmarkEnd w:id="192"/>
      <w:bookmarkStart w:id="193" w:name="_Toc184308051"/>
      <w:bookmarkEnd w:id="193"/>
      <w:bookmarkStart w:id="194" w:name="_Toc184310296"/>
      <w:bookmarkEnd w:id="194"/>
      <w:bookmarkStart w:id="195" w:name="_Toc184308092"/>
      <w:bookmarkEnd w:id="195"/>
      <w:bookmarkStart w:id="196" w:name="_Toc184312107"/>
      <w:bookmarkEnd w:id="196"/>
      <w:bookmarkStart w:id="197" w:name="_Toc184313240"/>
      <w:bookmarkEnd w:id="197"/>
      <w:bookmarkStart w:id="198" w:name="_Toc184313250"/>
      <w:bookmarkEnd w:id="198"/>
      <w:bookmarkStart w:id="199" w:name="_Toc184312074"/>
      <w:bookmarkEnd w:id="199"/>
      <w:bookmarkStart w:id="200" w:name="_Toc184313277"/>
      <w:bookmarkEnd w:id="200"/>
      <w:bookmarkStart w:id="201" w:name="_Toc184313254"/>
      <w:bookmarkEnd w:id="201"/>
      <w:bookmarkStart w:id="202" w:name="_Toc184310335"/>
      <w:bookmarkEnd w:id="202"/>
      <w:bookmarkStart w:id="203" w:name="_Toc184314452"/>
      <w:bookmarkEnd w:id="203"/>
      <w:bookmarkStart w:id="204" w:name="_Toc184310309"/>
      <w:bookmarkEnd w:id="204"/>
      <w:bookmarkStart w:id="205" w:name="_Toc184313307"/>
      <w:bookmarkEnd w:id="205"/>
      <w:bookmarkStart w:id="206" w:name="_Toc184312098"/>
      <w:bookmarkEnd w:id="206"/>
      <w:bookmarkStart w:id="207" w:name="_Toc184313291"/>
      <w:bookmarkEnd w:id="207"/>
      <w:bookmarkStart w:id="208" w:name="_Toc184313293"/>
      <w:bookmarkEnd w:id="208"/>
      <w:bookmarkStart w:id="209" w:name="_Toc184310323"/>
      <w:bookmarkEnd w:id="209"/>
      <w:bookmarkStart w:id="210" w:name="_Toc184308076"/>
      <w:bookmarkEnd w:id="210"/>
      <w:bookmarkStart w:id="211" w:name="_Toc184313289"/>
      <w:bookmarkEnd w:id="211"/>
      <w:bookmarkStart w:id="212" w:name="_Toc184312138"/>
      <w:bookmarkEnd w:id="212"/>
      <w:bookmarkStart w:id="213" w:name="_Toc184314455"/>
      <w:bookmarkEnd w:id="213"/>
      <w:bookmarkStart w:id="214" w:name="_Toc184308039"/>
      <w:bookmarkEnd w:id="214"/>
      <w:bookmarkStart w:id="215" w:name="_Toc184308058"/>
      <w:bookmarkEnd w:id="215"/>
      <w:bookmarkStart w:id="216" w:name="_Toc184314448"/>
      <w:bookmarkEnd w:id="216"/>
      <w:bookmarkStart w:id="217" w:name="_Toc184312132"/>
      <w:bookmarkEnd w:id="217"/>
      <w:bookmarkStart w:id="218" w:name="_Toc184308101"/>
      <w:bookmarkEnd w:id="218"/>
      <w:bookmarkStart w:id="219" w:name="_Toc184312126"/>
      <w:bookmarkEnd w:id="219"/>
      <w:bookmarkStart w:id="220" w:name="_Toc184310313"/>
      <w:bookmarkEnd w:id="220"/>
      <w:bookmarkStart w:id="221" w:name="_Toc184313258"/>
      <w:bookmarkEnd w:id="221"/>
      <w:bookmarkStart w:id="222" w:name="_Toc184313294"/>
      <w:bookmarkEnd w:id="222"/>
      <w:bookmarkStart w:id="223" w:name="_Toc184313296"/>
      <w:bookmarkEnd w:id="223"/>
      <w:bookmarkStart w:id="224" w:name="_Toc184310284"/>
      <w:bookmarkEnd w:id="224"/>
      <w:bookmarkStart w:id="225" w:name="_Toc184308080"/>
      <w:bookmarkEnd w:id="225"/>
      <w:bookmarkStart w:id="226" w:name="_Toc184313280"/>
      <w:bookmarkEnd w:id="226"/>
      <w:bookmarkStart w:id="227" w:name="_Toc184313251"/>
      <w:bookmarkEnd w:id="227"/>
      <w:bookmarkStart w:id="228" w:name="_Toc184310280"/>
      <w:bookmarkEnd w:id="228"/>
      <w:bookmarkStart w:id="229" w:name="_Toc184310306"/>
      <w:bookmarkEnd w:id="229"/>
      <w:bookmarkStart w:id="230" w:name="_Toc184308084"/>
      <w:bookmarkEnd w:id="230"/>
      <w:bookmarkStart w:id="231" w:name="_Toc184313310"/>
      <w:bookmarkEnd w:id="231"/>
      <w:bookmarkStart w:id="232" w:name="_Toc184308071"/>
      <w:bookmarkEnd w:id="232"/>
      <w:bookmarkStart w:id="233" w:name="_Toc184308070"/>
      <w:bookmarkEnd w:id="233"/>
      <w:bookmarkStart w:id="234" w:name="_Toc184312090"/>
      <w:bookmarkEnd w:id="234"/>
      <w:bookmarkStart w:id="235" w:name="_Toc184310307"/>
      <w:bookmarkEnd w:id="235"/>
      <w:bookmarkStart w:id="236" w:name="_Toc184310330"/>
      <w:bookmarkEnd w:id="236"/>
      <w:bookmarkStart w:id="237" w:name="_Toc184313244"/>
      <w:bookmarkEnd w:id="237"/>
      <w:bookmarkStart w:id="238" w:name="_Toc184308061"/>
      <w:bookmarkEnd w:id="238"/>
      <w:bookmarkStart w:id="239" w:name="_Toc184313285"/>
      <w:bookmarkEnd w:id="239"/>
      <w:bookmarkStart w:id="240" w:name="_Toc184313306"/>
      <w:bookmarkEnd w:id="240"/>
      <w:bookmarkStart w:id="241" w:name="_Toc184312118"/>
      <w:bookmarkEnd w:id="241"/>
      <w:bookmarkStart w:id="242" w:name="_Toc184308057"/>
      <w:bookmarkEnd w:id="242"/>
      <w:bookmarkStart w:id="243" w:name="_Toc184310298"/>
      <w:bookmarkEnd w:id="243"/>
      <w:bookmarkStart w:id="244" w:name="_Toc184314481"/>
      <w:bookmarkEnd w:id="244"/>
      <w:bookmarkStart w:id="245" w:name="_Toc184312128"/>
      <w:bookmarkEnd w:id="245"/>
      <w:bookmarkStart w:id="246" w:name="_Toc184310297"/>
      <w:bookmarkEnd w:id="246"/>
      <w:bookmarkStart w:id="247" w:name="_Toc184314423"/>
      <w:bookmarkEnd w:id="247"/>
      <w:bookmarkStart w:id="248" w:name="_Toc184312094"/>
      <w:bookmarkEnd w:id="248"/>
      <w:bookmarkStart w:id="249" w:name="_Toc184308107"/>
      <w:bookmarkEnd w:id="249"/>
      <w:bookmarkStart w:id="250" w:name="_Toc184314427"/>
      <w:bookmarkEnd w:id="250"/>
      <w:bookmarkStart w:id="251" w:name="_Toc184308036"/>
      <w:bookmarkEnd w:id="251"/>
      <w:bookmarkStart w:id="252" w:name="_Toc184308047"/>
      <w:bookmarkEnd w:id="252"/>
      <w:bookmarkStart w:id="253" w:name="_Toc184310302"/>
      <w:bookmarkEnd w:id="253"/>
      <w:bookmarkStart w:id="254" w:name="_Toc184313278"/>
      <w:bookmarkEnd w:id="254"/>
      <w:bookmarkStart w:id="255" w:name="_Toc184313295"/>
      <w:bookmarkEnd w:id="255"/>
      <w:bookmarkStart w:id="256" w:name="_Toc184313303"/>
      <w:bookmarkEnd w:id="256"/>
      <w:bookmarkStart w:id="257" w:name="_Toc184308094"/>
      <w:bookmarkEnd w:id="257"/>
      <w:bookmarkStart w:id="258" w:name="_Toc184308090"/>
      <w:bookmarkEnd w:id="258"/>
      <w:bookmarkStart w:id="259" w:name="_Toc184313287"/>
      <w:bookmarkEnd w:id="259"/>
      <w:bookmarkStart w:id="260" w:name="_Toc184313257"/>
      <w:bookmarkEnd w:id="260"/>
      <w:bookmarkStart w:id="261" w:name="_Toc184310301"/>
      <w:bookmarkEnd w:id="261"/>
      <w:bookmarkStart w:id="262" w:name="_Toc184310293"/>
      <w:bookmarkEnd w:id="262"/>
      <w:bookmarkStart w:id="263" w:name="_Toc184314441"/>
      <w:bookmarkEnd w:id="263"/>
      <w:bookmarkStart w:id="264" w:name="_Toc184313261"/>
      <w:bookmarkEnd w:id="264"/>
      <w:bookmarkStart w:id="265" w:name="_Toc184312082"/>
      <w:bookmarkEnd w:id="265"/>
      <w:bookmarkStart w:id="266" w:name="_Toc184308091"/>
      <w:bookmarkEnd w:id="266"/>
      <w:bookmarkStart w:id="267" w:name="_Toc184308087"/>
      <w:bookmarkEnd w:id="267"/>
      <w:bookmarkStart w:id="268" w:name="_Toc184313255"/>
      <w:bookmarkEnd w:id="268"/>
      <w:bookmarkStart w:id="269" w:name="_Toc184308086"/>
      <w:bookmarkEnd w:id="269"/>
      <w:bookmarkStart w:id="270" w:name="_Toc184313274"/>
      <w:bookmarkEnd w:id="270"/>
      <w:bookmarkStart w:id="271" w:name="_Toc184308037"/>
      <w:bookmarkEnd w:id="271"/>
      <w:bookmarkStart w:id="272" w:name="_Toc184314432"/>
      <w:bookmarkEnd w:id="272"/>
      <w:bookmarkStart w:id="273" w:name="_Toc184308062"/>
      <w:bookmarkEnd w:id="273"/>
      <w:bookmarkStart w:id="274" w:name="_Toc184313272"/>
      <w:bookmarkEnd w:id="274"/>
      <w:bookmarkStart w:id="275" w:name="_Toc184314439"/>
      <w:bookmarkEnd w:id="275"/>
      <w:bookmarkStart w:id="276" w:name="_Toc184314431"/>
      <w:bookmarkEnd w:id="276"/>
      <w:bookmarkStart w:id="277" w:name="_Toc184312137"/>
      <w:bookmarkEnd w:id="277"/>
      <w:bookmarkStart w:id="278" w:name="_Toc184308097"/>
      <w:bookmarkEnd w:id="278"/>
      <w:bookmarkStart w:id="279" w:name="_Toc184314456"/>
      <w:bookmarkEnd w:id="279"/>
      <w:bookmarkStart w:id="280" w:name="_Toc184314460"/>
      <w:bookmarkEnd w:id="280"/>
      <w:bookmarkStart w:id="281" w:name="_Toc184314461"/>
      <w:bookmarkEnd w:id="281"/>
      <w:bookmarkStart w:id="282" w:name="_Toc184310327"/>
      <w:bookmarkEnd w:id="282"/>
      <w:bookmarkStart w:id="283" w:name="_Toc184310272"/>
      <w:bookmarkEnd w:id="283"/>
      <w:bookmarkStart w:id="284" w:name="_Toc184312071"/>
      <w:bookmarkEnd w:id="284"/>
      <w:bookmarkStart w:id="285" w:name="_Toc184312133"/>
      <w:bookmarkEnd w:id="285"/>
      <w:bookmarkStart w:id="286" w:name="_Toc184310290"/>
      <w:bookmarkEnd w:id="286"/>
      <w:bookmarkStart w:id="287" w:name="_Toc184308073"/>
      <w:bookmarkEnd w:id="287"/>
      <w:bookmarkStart w:id="288" w:name="_Toc184308055"/>
      <w:bookmarkEnd w:id="288"/>
      <w:bookmarkStart w:id="289" w:name="_Toc184314463"/>
      <w:bookmarkEnd w:id="289"/>
      <w:bookmarkStart w:id="290" w:name="_Toc184314424"/>
      <w:bookmarkEnd w:id="290"/>
      <w:bookmarkStart w:id="291" w:name="_Toc184314446"/>
      <w:bookmarkEnd w:id="291"/>
      <w:bookmarkStart w:id="292" w:name="_Toc184308065"/>
      <w:bookmarkEnd w:id="292"/>
      <w:bookmarkStart w:id="293" w:name="_Toc184314436"/>
      <w:bookmarkEnd w:id="293"/>
      <w:bookmarkStart w:id="294" w:name="_Toc184308103"/>
      <w:bookmarkEnd w:id="294"/>
      <w:bookmarkStart w:id="295" w:name="_Toc184314462"/>
      <w:bookmarkEnd w:id="295"/>
      <w:bookmarkStart w:id="296" w:name="_Toc184313308"/>
      <w:bookmarkEnd w:id="296"/>
      <w:bookmarkStart w:id="297" w:name="_Toc184314433"/>
      <w:bookmarkEnd w:id="297"/>
      <w:bookmarkStart w:id="298" w:name="_Toc184313259"/>
      <w:bookmarkEnd w:id="298"/>
      <w:bookmarkStart w:id="299" w:name="_Toc184313265"/>
      <w:bookmarkEnd w:id="299"/>
      <w:bookmarkStart w:id="300" w:name="_Toc184312120"/>
      <w:bookmarkEnd w:id="300"/>
      <w:bookmarkStart w:id="301" w:name="_Toc184314480"/>
      <w:bookmarkEnd w:id="301"/>
      <w:bookmarkStart w:id="302" w:name="_Toc184310331"/>
      <w:bookmarkEnd w:id="302"/>
      <w:bookmarkStart w:id="303" w:name="_Toc184312124"/>
      <w:bookmarkEnd w:id="303"/>
      <w:bookmarkStart w:id="304" w:name="_Toc184308083"/>
      <w:bookmarkEnd w:id="304"/>
      <w:bookmarkStart w:id="305" w:name="_Toc184308040"/>
      <w:bookmarkEnd w:id="305"/>
      <w:bookmarkStart w:id="306" w:name="_Toc184312078"/>
      <w:bookmarkEnd w:id="306"/>
      <w:bookmarkStart w:id="307" w:name="_Toc184313242"/>
      <w:bookmarkEnd w:id="307"/>
      <w:bookmarkStart w:id="308" w:name="_Toc184310322"/>
      <w:bookmarkEnd w:id="308"/>
      <w:bookmarkStart w:id="309" w:name="_Toc184314425"/>
      <w:bookmarkEnd w:id="309"/>
      <w:bookmarkStart w:id="310" w:name="_Toc184312089"/>
      <w:bookmarkEnd w:id="310"/>
      <w:bookmarkStart w:id="311" w:name="_Toc184308079"/>
      <w:bookmarkEnd w:id="311"/>
      <w:bookmarkStart w:id="312" w:name="_Toc184312100"/>
      <w:bookmarkEnd w:id="312"/>
      <w:bookmarkStart w:id="313" w:name="_Toc184314444"/>
      <w:bookmarkEnd w:id="313"/>
      <w:bookmarkStart w:id="314" w:name="_Toc184314453"/>
      <w:bookmarkEnd w:id="314"/>
      <w:bookmarkStart w:id="315" w:name="_Toc184312121"/>
      <w:bookmarkEnd w:id="315"/>
      <w:bookmarkStart w:id="316" w:name="_Toc184310333"/>
      <w:bookmarkEnd w:id="316"/>
      <w:bookmarkStart w:id="317" w:name="_Toc184313300"/>
      <w:bookmarkEnd w:id="317"/>
      <w:bookmarkStart w:id="318" w:name="_Toc184313270"/>
      <w:bookmarkEnd w:id="318"/>
      <w:bookmarkStart w:id="319" w:name="_Toc184308056"/>
      <w:bookmarkEnd w:id="319"/>
      <w:bookmarkStart w:id="320" w:name="_Toc184314440"/>
      <w:bookmarkEnd w:id="320"/>
      <w:bookmarkStart w:id="321" w:name="_Toc184310344"/>
      <w:bookmarkEnd w:id="321"/>
      <w:bookmarkStart w:id="322" w:name="_Toc184308081"/>
      <w:bookmarkEnd w:id="322"/>
      <w:bookmarkStart w:id="323" w:name="_Toc184314472"/>
      <w:bookmarkEnd w:id="323"/>
      <w:bookmarkStart w:id="324" w:name="_Toc184314467"/>
      <w:bookmarkEnd w:id="324"/>
      <w:bookmarkStart w:id="325" w:name="_Toc184312104"/>
      <w:bookmarkEnd w:id="325"/>
      <w:bookmarkStart w:id="326" w:name="_Toc184312068"/>
      <w:bookmarkEnd w:id="326"/>
      <w:bookmarkStart w:id="327" w:name="_Toc184312084"/>
      <w:bookmarkEnd w:id="327"/>
      <w:bookmarkStart w:id="328" w:name="_Toc184312075"/>
      <w:bookmarkEnd w:id="328"/>
      <w:bookmarkStart w:id="329" w:name="_Toc184310291"/>
      <w:bookmarkEnd w:id="329"/>
      <w:bookmarkStart w:id="330" w:name="_Toc184308074"/>
      <w:bookmarkEnd w:id="330"/>
      <w:bookmarkStart w:id="331" w:name="_Toc184313241"/>
      <w:bookmarkEnd w:id="331"/>
      <w:bookmarkStart w:id="332" w:name="_Toc184312085"/>
      <w:bookmarkEnd w:id="332"/>
      <w:bookmarkStart w:id="333" w:name="_Toc184310276"/>
      <w:bookmarkEnd w:id="333"/>
      <w:bookmarkStart w:id="334" w:name="_Toc184312079"/>
      <w:bookmarkEnd w:id="334"/>
      <w:bookmarkStart w:id="335" w:name="_Toc184308054"/>
      <w:bookmarkEnd w:id="335"/>
      <w:bookmarkStart w:id="336" w:name="_Toc184310303"/>
      <w:bookmarkEnd w:id="336"/>
      <w:bookmarkStart w:id="337" w:name="_Toc184314443"/>
      <w:bookmarkEnd w:id="337"/>
      <w:bookmarkStart w:id="338" w:name="_Toc184312083"/>
      <w:bookmarkEnd w:id="338"/>
      <w:bookmarkStart w:id="339" w:name="_Toc184314422"/>
      <w:bookmarkEnd w:id="339"/>
      <w:bookmarkStart w:id="340" w:name="_Toc184314414"/>
      <w:bookmarkEnd w:id="340"/>
      <w:bookmarkStart w:id="341" w:name="_Toc184308089"/>
      <w:bookmarkEnd w:id="341"/>
      <w:bookmarkStart w:id="342" w:name="_Toc184314470"/>
      <w:bookmarkEnd w:id="342"/>
      <w:bookmarkStart w:id="343" w:name="_Toc184312097"/>
      <w:bookmarkEnd w:id="343"/>
      <w:bookmarkStart w:id="344" w:name="_Toc184312123"/>
      <w:bookmarkEnd w:id="344"/>
      <w:bookmarkStart w:id="345" w:name="_Toc184308105"/>
      <w:bookmarkEnd w:id="345"/>
      <w:bookmarkStart w:id="346" w:name="_Toc184314474"/>
      <w:bookmarkEnd w:id="346"/>
      <w:bookmarkStart w:id="347" w:name="_Toc184312131"/>
      <w:bookmarkEnd w:id="347"/>
      <w:bookmarkStart w:id="348" w:name="_Toc184310341"/>
      <w:bookmarkEnd w:id="348"/>
      <w:bookmarkStart w:id="349" w:name="_Toc184313290"/>
      <w:bookmarkEnd w:id="349"/>
      <w:bookmarkStart w:id="350" w:name="_Toc184313246"/>
      <w:bookmarkEnd w:id="350"/>
      <w:bookmarkStart w:id="351" w:name="_Toc184310283"/>
      <w:bookmarkEnd w:id="351"/>
      <w:bookmarkStart w:id="352" w:name="_Toc184314435"/>
      <w:bookmarkEnd w:id="352"/>
      <w:bookmarkStart w:id="353" w:name="_Toc184313238"/>
      <w:bookmarkEnd w:id="353"/>
      <w:bookmarkStart w:id="354" w:name="_Toc184310326"/>
      <w:bookmarkEnd w:id="354"/>
      <w:bookmarkStart w:id="355" w:name="_Toc184310288"/>
      <w:bookmarkEnd w:id="355"/>
      <w:bookmarkStart w:id="356" w:name="_Toc184312101"/>
      <w:bookmarkEnd w:id="356"/>
      <w:bookmarkStart w:id="357" w:name="_Toc184308069"/>
      <w:bookmarkEnd w:id="357"/>
      <w:bookmarkStart w:id="358" w:name="_Toc184313284"/>
      <w:bookmarkEnd w:id="358"/>
      <w:bookmarkStart w:id="359" w:name="_Toc184312109"/>
      <w:bookmarkEnd w:id="359"/>
      <w:bookmarkStart w:id="360" w:name="_Toc184314478"/>
      <w:bookmarkEnd w:id="360"/>
      <w:bookmarkStart w:id="361" w:name="_Toc184308078"/>
      <w:bookmarkEnd w:id="361"/>
      <w:bookmarkStart w:id="362" w:name="_Toc184310312"/>
      <w:bookmarkEnd w:id="362"/>
      <w:bookmarkStart w:id="363" w:name="_Toc184308095"/>
      <w:bookmarkEnd w:id="363"/>
      <w:bookmarkStart w:id="364" w:name="_Toc184314449"/>
      <w:bookmarkEnd w:id="364"/>
      <w:bookmarkStart w:id="365" w:name="_Toc184314415"/>
      <w:bookmarkEnd w:id="365"/>
      <w:bookmarkStart w:id="366" w:name="_Toc184313279"/>
      <w:bookmarkEnd w:id="366"/>
      <w:bookmarkStart w:id="367" w:name="_Toc184313253"/>
      <w:bookmarkEnd w:id="367"/>
      <w:bookmarkStart w:id="368" w:name="_Toc184310310"/>
      <w:bookmarkEnd w:id="368"/>
      <w:bookmarkStart w:id="369" w:name="_Toc184314482"/>
      <w:bookmarkEnd w:id="369"/>
      <w:bookmarkStart w:id="370" w:name="_Toc184312099"/>
      <w:bookmarkEnd w:id="370"/>
      <w:bookmarkStart w:id="371" w:name="_Toc184314420"/>
      <w:bookmarkEnd w:id="371"/>
      <w:bookmarkStart w:id="372" w:name="_Toc184310315"/>
      <w:bookmarkEnd w:id="372"/>
      <w:bookmarkStart w:id="373" w:name="_Toc184314428"/>
      <w:bookmarkEnd w:id="373"/>
      <w:bookmarkStart w:id="374" w:name="_Toc184314450"/>
      <w:bookmarkEnd w:id="374"/>
      <w:bookmarkStart w:id="375" w:name="_Toc184308077"/>
      <w:bookmarkEnd w:id="375"/>
      <w:bookmarkStart w:id="376" w:name="_Toc184310318"/>
      <w:bookmarkEnd w:id="376"/>
      <w:bookmarkStart w:id="377" w:name="_Toc184308060"/>
      <w:bookmarkEnd w:id="377"/>
      <w:bookmarkStart w:id="378" w:name="_Toc184314410"/>
      <w:bookmarkEnd w:id="378"/>
      <w:bookmarkStart w:id="379" w:name="_Toc184310317"/>
      <w:bookmarkEnd w:id="379"/>
      <w:bookmarkStart w:id="380" w:name="_Toc184308048"/>
      <w:bookmarkEnd w:id="380"/>
      <w:bookmarkStart w:id="381" w:name="_Toc184310337"/>
      <w:bookmarkEnd w:id="381"/>
      <w:bookmarkStart w:id="382" w:name="_Toc184313276"/>
      <w:bookmarkEnd w:id="382"/>
      <w:bookmarkStart w:id="383" w:name="_Toc184313282"/>
      <w:bookmarkEnd w:id="383"/>
      <w:bookmarkStart w:id="384" w:name="_Toc184312115"/>
      <w:bookmarkEnd w:id="384"/>
      <w:bookmarkStart w:id="385" w:name="_Toc184314464"/>
      <w:bookmarkEnd w:id="385"/>
      <w:bookmarkStart w:id="386" w:name="_Toc184312067"/>
      <w:bookmarkEnd w:id="386"/>
      <w:bookmarkStart w:id="387" w:name="_Toc184310319"/>
      <w:bookmarkEnd w:id="387"/>
      <w:bookmarkStart w:id="388" w:name="_Toc184314437"/>
      <w:bookmarkEnd w:id="388"/>
      <w:bookmarkStart w:id="389" w:name="_Toc184313262"/>
      <w:bookmarkEnd w:id="389"/>
      <w:bookmarkStart w:id="390" w:name="_Toc184308108"/>
      <w:bookmarkEnd w:id="390"/>
      <w:bookmarkStart w:id="391" w:name="_Toc184314421"/>
      <w:bookmarkEnd w:id="391"/>
      <w:bookmarkStart w:id="392" w:name="_Toc184308041"/>
      <w:bookmarkEnd w:id="392"/>
      <w:bookmarkStart w:id="393" w:name="_Toc184314469"/>
      <w:bookmarkEnd w:id="393"/>
      <w:bookmarkStart w:id="394" w:name="_Toc184308053"/>
      <w:bookmarkEnd w:id="394"/>
      <w:bookmarkStart w:id="395" w:name="_Toc184313297"/>
      <w:bookmarkEnd w:id="395"/>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801" w:tblpY="619"/>
        <w:tblOverlap w:val="never"/>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510"/>
        <w:gridCol w:w="749"/>
        <w:gridCol w:w="85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5510"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评标标准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最高分值</w:t>
            </w:r>
          </w:p>
        </w:tc>
        <w:tc>
          <w:tcPr>
            <w:tcW w:w="855" w:type="dxa"/>
            <w:noWrap w:val="0"/>
            <w:vAlign w:val="center"/>
          </w:tcPr>
          <w:p>
            <w:pPr>
              <w:snapToGrid w:val="0"/>
              <w:spacing w:after="120"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主客观分属性</w:t>
            </w:r>
          </w:p>
        </w:tc>
        <w:tc>
          <w:tcPr>
            <w:tcW w:w="2055"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本项目总体要求（对所属物业的维修、养护、保洁、安全保卫和管理、及校内各类设施设备搬运、场地布置等工作，保证校区内各项建筑和配套设施、用电设备等时刻处于良好的工作状态，为师生营造一个健康舒适的工作、学习和生活环境）提出有针对性的物业管理服务理念、服务定位、服务目标</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完全</w:t>
            </w:r>
            <w:r>
              <w:rPr>
                <w:rFonts w:hint="eastAsia" w:ascii="宋体" w:hAnsi="宋体" w:cs="宋体"/>
                <w:color w:val="000000" w:themeColor="text1"/>
                <w:kern w:val="0"/>
                <w:sz w:val="24"/>
                <w:highlight w:val="none"/>
                <w14:textFill>
                  <w14:solidFill>
                    <w14:schemeClr w14:val="tx1"/>
                  </w14:solidFill>
                </w14:textFill>
              </w:rPr>
              <w:t>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（一）物业管理服务理念、服务定位、服务目标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针对本项目有比较完善的组织架构及管理制度，清晰简练地列出主要管理流程，包括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运作流程图、</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激励机制、</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监督机制和自我约束机制、</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信息反馈渠道及处理机制</w:t>
            </w:r>
            <w:r>
              <w:rPr>
                <w:rFonts w:hint="eastAsia" w:ascii="宋体" w:hAnsi="宋体" w:cs="宋体"/>
                <w:b/>
                <w:bCs/>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符合得0.5分，</w:t>
            </w:r>
            <w:r>
              <w:rPr>
                <w:rFonts w:hint="eastAsia" w:ascii="宋体" w:hAnsi="宋体" w:cs="宋体"/>
                <w:color w:val="000000" w:themeColor="text1"/>
                <w:kern w:val="0"/>
                <w:sz w:val="24"/>
                <w:highlight w:val="none"/>
                <w:lang w:val="en-US" w:eastAsia="zh-CN"/>
                <w14:textFill>
                  <w14:solidFill>
                    <w14:schemeClr w14:val="tx1"/>
                  </w14:solidFill>
                </w14:textFill>
              </w:rPr>
              <w:t>部分符合得0.25分，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本项最高得2分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（二）针对本项目的组织架构及管理制度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物业管理区域内保安服务及治安管理方案和消防、监控设施维护方案：</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包括学校来人来访的通报、证件检验、登记、快件报刊信件收发等；</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门卫、守护和巡逻，校门、教学用房的开关门，维护公共秩序；</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校园体育场地开放的登记和管理等工作；</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处理治安及其他突发事件；</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负责道路交通管理、机动车和非机动车停放管理；</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6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⑥</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负责防盗、防火报警、监控设备运行管理。方案完整合理，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（三）保安服务及治安管理方案和消防、监控设施维护方案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保洁管理与服务方案： 物业管理区域内办公、实训、环境卫生管理方案。</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包括学校的各幢楼楼梯、大厅、走廊、天台、卫生间、公共活动场所、体育运动场地、楼宇外墙等所有公共部位；</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学校内的道路、停车场(库、棚)、文化橱窗、校园雕塑等所有公共场地；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 “门前三包”区域的日常保洁保养；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垃圾、废弃物清理、除四害、垃圾清运。⑤教室阅览室保洁、环境维护。</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6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⑥</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实训楼、行政楼会议室保洁方案。方案完整合理，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（四）保洁管理与服务方案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绿化管理与服务方案：物业管理区域内绿化管理养护方案。包括对</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学校树木、花草、阳光花房等的日常养护和管理；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学校绿地的养护及卫生管理；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室内外摆花和会议摆花；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盆栽绿色植物的摆放和养护。⑤</w:t>
            </w:r>
            <w:r>
              <w:rPr>
                <w:rFonts w:hint="eastAsia" w:ascii="宋体" w:hAnsi="宋体" w:cs="宋体"/>
                <w:color w:val="000000" w:themeColor="text1"/>
                <w:kern w:val="0"/>
                <w:sz w:val="24"/>
                <w:highlight w:val="none"/>
                <w:lang w:val="en-US" w:eastAsia="zh-CN"/>
                <w14:textFill>
                  <w14:solidFill>
                    <w14:schemeClr w14:val="tx1"/>
                  </w14:solidFill>
                </w14:textFill>
              </w:rPr>
              <w:t>配备的园艺师具有相关工作经历并提供证明。</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（五）绿化管理与服务方案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校园果树、茶树</w:t>
            </w:r>
            <w:r>
              <w:rPr>
                <w:rFonts w:hint="eastAsia" w:ascii="宋体" w:hAnsi="宋体" w:cs="宋体"/>
                <w:color w:val="000000" w:themeColor="text1"/>
                <w:kern w:val="0"/>
                <w:sz w:val="24"/>
                <w:highlight w:val="none"/>
                <w14:textFill>
                  <w14:solidFill>
                    <w14:schemeClr w14:val="tx1"/>
                  </w14:solidFill>
                </w14:textFill>
              </w:rPr>
              <w:t>管理方案：包括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校园果树维护计划</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校园茶树维护计划</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茶叶采摘人员配备计划和方案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lang w:val="en-US" w:eastAsia="zh-CN"/>
                <w14:textFill>
                  <w14:solidFill>
                    <w14:schemeClr w14:val="tx1"/>
                  </w14:solidFill>
                </w14:textFill>
              </w:rPr>
              <w:t>果树、茶树专家指导承诺</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本项最高得4分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w:t>
            </w:r>
            <w:r>
              <w:rPr>
                <w:rFonts w:hint="eastAsia" w:ascii="宋体" w:hAnsi="宋体" w:cs="宋体"/>
                <w:color w:val="000000" w:themeColor="text1"/>
                <w:kern w:val="0"/>
                <w:sz w:val="24"/>
                <w:highlight w:val="none"/>
                <w:lang w:val="en-US" w:eastAsia="zh-CN"/>
                <w14:textFill>
                  <w14:solidFill>
                    <w14:schemeClr w14:val="tx1"/>
                  </w14:solidFill>
                </w14:textFill>
              </w:rPr>
              <w:t>校园果树</w:t>
            </w:r>
            <w:r>
              <w:rPr>
                <w:rFonts w:hint="eastAsia" w:ascii="宋体" w:hAnsi="宋体" w:cs="宋体"/>
                <w:color w:val="000000" w:themeColor="text1"/>
                <w:kern w:val="0"/>
                <w:sz w:val="24"/>
                <w:highlight w:val="none"/>
                <w14:textFill>
                  <w14:solidFill>
                    <w14:schemeClr w14:val="tx1"/>
                  </w14:solidFill>
                </w14:textFill>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学农实践基地</w:t>
            </w:r>
            <w:r>
              <w:rPr>
                <w:rFonts w:hint="eastAsia" w:ascii="宋体" w:hAnsi="宋体" w:cs="宋体"/>
                <w:color w:val="000000" w:themeColor="text1"/>
                <w:kern w:val="0"/>
                <w:sz w:val="24"/>
                <w:highlight w:val="none"/>
                <w14:textFill>
                  <w14:solidFill>
                    <w14:schemeClr w14:val="tx1"/>
                  </w14:solidFill>
                </w14:textFill>
              </w:rPr>
              <w:t>管理方案：①</w:t>
            </w:r>
            <w:r>
              <w:rPr>
                <w:rFonts w:hint="eastAsia" w:ascii="宋体" w:hAnsi="宋体" w:cs="宋体"/>
                <w:color w:val="000000" w:themeColor="text1"/>
                <w:kern w:val="0"/>
                <w:sz w:val="24"/>
                <w:highlight w:val="none"/>
                <w:lang w:val="en-US" w:eastAsia="zh-CN"/>
                <w14:textFill>
                  <w14:solidFill>
                    <w14:schemeClr w14:val="tx1"/>
                  </w14:solidFill>
                </w14:textFill>
              </w:rPr>
              <w:t>学农实践基地年度种植计划</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学生</w:t>
            </w:r>
            <w:r>
              <w:rPr>
                <w:rFonts w:hint="eastAsia" w:ascii="宋体" w:hAnsi="宋体" w:cs="宋体"/>
                <w:color w:val="000000" w:themeColor="text1"/>
                <w:kern w:val="0"/>
                <w:sz w:val="24"/>
                <w:highlight w:val="none"/>
                <w:lang w:val="en-US" w:eastAsia="zh-CN"/>
                <w14:textFill>
                  <w14:solidFill>
                    <w14:schemeClr w14:val="tx1"/>
                  </w14:solidFill>
                </w14:textFill>
              </w:rPr>
              <w:t>实践劳动配合、管理方案</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部分符合得1分，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本项最高得4分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w:t>
            </w:r>
            <w:r>
              <w:rPr>
                <w:rFonts w:hint="eastAsia" w:ascii="宋体" w:hAnsi="宋体" w:cs="宋体"/>
                <w:color w:val="000000" w:themeColor="text1"/>
                <w:kern w:val="0"/>
                <w:sz w:val="24"/>
                <w:highlight w:val="none"/>
                <w:lang w:val="en-US" w:eastAsia="zh-CN"/>
                <w14:textFill>
                  <w14:solidFill>
                    <w14:schemeClr w14:val="tx1"/>
                  </w14:solidFill>
                </w14:textFill>
              </w:rPr>
              <w:t>学农实践基地</w:t>
            </w:r>
            <w:r>
              <w:rPr>
                <w:rFonts w:hint="eastAsia" w:ascii="宋体" w:hAnsi="宋体" w:cs="宋体"/>
                <w:color w:val="000000" w:themeColor="text1"/>
                <w:kern w:val="0"/>
                <w:sz w:val="24"/>
                <w:highlight w:val="none"/>
                <w14:textFill>
                  <w14:solidFill>
                    <w14:schemeClr w14:val="tx1"/>
                  </w14:solidFill>
                </w14:textFill>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物业管理区域内供电设备管理维护方案：包括对学校</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供电系统高、低压电器设备②室外亮灯工程</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电线电缆</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室内照明、电扇</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防雷设备</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6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⑥</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电梯实施设备等电气装置设备进行日常管理和维修，保障安全、正常运行。方案完整合理，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（八）供电设备管理维护方案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物业管理区域内日常养护维修</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给排水设备运行、净水设备管理维护方案：包括对学校室内外水泵房、水泵、水箱、污水处理装置、水处理设备</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②消火栓</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管道、管件、阀门、水嘴</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卫生洁具、排水管、透气管、水封设备、室外排水管</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附属构筑物</w:t>
            </w:r>
            <w:r>
              <w:rPr>
                <w:rFonts w:hint="eastAsia" w:ascii="宋体" w:hAnsi="宋体" w:cs="宋体"/>
                <w:color w:val="000000" w:themeColor="text1"/>
                <w:kern w:val="0"/>
                <w:sz w:val="24"/>
                <w:highlight w:val="none"/>
                <w:lang w:val="en-US" w:eastAsia="zh-CN"/>
                <w14:textFill>
                  <w14:solidFill>
                    <w14:schemeClr w14:val="tx1"/>
                  </w14:solidFill>
                </w14:textFill>
              </w:rPr>
              <w:t>等维护</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（九）给排水设备运行、净水设备管理维护方案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物业管理区域内空调系统运行维护方案：包括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集中、分体空调系统的运行管理、新风机组</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②水泵</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风机盘管、热交换器</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管道系统、各种阀类、采气装置</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5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⑤</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各类风口、自动控制系统设备</w:t>
            </w:r>
            <w:r>
              <w:rPr>
                <w:rFonts w:hint="eastAsia" w:ascii="宋体" w:hAnsi="宋体" w:cs="宋体"/>
                <w:color w:val="000000" w:themeColor="text1"/>
                <w:kern w:val="0"/>
                <w:sz w:val="24"/>
                <w:highlight w:val="none"/>
                <w:lang w:val="en-US" w:eastAsia="zh-CN"/>
                <w14:textFill>
                  <w14:solidFill>
                    <w14:schemeClr w14:val="tx1"/>
                  </w14:solidFill>
                </w14:textFill>
              </w:rPr>
              <w:t>等维护</w:t>
            </w:r>
            <w:r>
              <w:rPr>
                <w:rFonts w:hint="eastAsia" w:ascii="宋体" w:hAnsi="宋体" w:cs="宋体"/>
                <w:color w:val="000000" w:themeColor="text1"/>
                <w:kern w:val="0"/>
                <w:sz w:val="24"/>
                <w:highlight w:val="none"/>
                <w14:textFill>
                  <w14:solidFill>
                    <w14:schemeClr w14:val="tx1"/>
                  </w14:solidFill>
                </w14:textFill>
              </w:rPr>
              <w:t>。方案完整合理，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（十）空调系统运行维护方案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物业管理区域内房屋、道路及设施设备的零星维修及巡查方案：包括</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房屋屋面、地面、墙台面；</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 xml:space="preserve">吊顶、门窗、楼梯、通风道、道路路面等的日常养护维修； </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门窗、锁，课桌椅的维修。</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水电日常维修。⑤卫生间卫生保洁巡查维护。方案完整合理，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每项完全</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部分符合得0.5分，</w:t>
            </w:r>
            <w:r>
              <w:rPr>
                <w:rFonts w:hint="eastAsia" w:ascii="宋体" w:hAnsi="宋体" w:cs="宋体"/>
                <w:color w:val="000000" w:themeColor="text1"/>
                <w:kern w:val="0"/>
                <w:sz w:val="24"/>
                <w:highlight w:val="none"/>
                <w14:textFill>
                  <w14:solidFill>
                    <w14:schemeClr w14:val="tx1"/>
                  </w14:solidFill>
                </w14:textFill>
              </w:rPr>
              <w:t>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本项最高得5分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（十一）房屋、道路及设施设备的零星维修及巡查方案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物业管理区域内综合会议、活动服务方案：</w:t>
            </w: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每年提供开学、期中、期末、师生技能竞赛、各级各类考试等考场、活动服务工作：学校需要，中标人有能力组织抽调其他工作人员来校工作</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符合项目实际情况视为符合，</w:t>
            </w:r>
            <w:r>
              <w:rPr>
                <w:rFonts w:hint="eastAsia" w:ascii="宋体" w:hAnsi="宋体" w:cs="宋体"/>
                <w:color w:val="000000" w:themeColor="text1"/>
                <w:kern w:val="0"/>
                <w:sz w:val="24"/>
                <w:highlight w:val="none"/>
                <w14:textFill>
                  <w14:solidFill>
                    <w14:schemeClr w14:val="tx1"/>
                  </w14:solidFill>
                </w14:textFill>
              </w:rPr>
              <w:t>（全部符合得2分，部分符合得1分，不符合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中标人须完成学校临时交给的其他任务，如临时性物品搬动等工作</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w:t>
            </w:r>
            <w:r>
              <w:rPr>
                <w:rFonts w:hint="default"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分，部分符合得</w:t>
            </w:r>
            <w:r>
              <w:rPr>
                <w:rFonts w:hint="default" w:ascii="宋体" w:hAnsi="宋体" w:cs="宋体"/>
                <w:color w:val="000000" w:themeColor="text1"/>
                <w:kern w:val="0"/>
                <w:sz w:val="24"/>
                <w:highlight w:val="none"/>
                <w14:textFill>
                  <w14:solidFill>
                    <w14:schemeClr w14:val="tx1"/>
                  </w14:solidFill>
                </w14:textFill>
              </w:rPr>
              <w:t>0.5</w:t>
            </w:r>
            <w:r>
              <w:rPr>
                <w:rFonts w:hint="eastAsia" w:ascii="宋体" w:hAnsi="宋体" w:cs="宋体"/>
                <w:color w:val="000000" w:themeColor="text1"/>
                <w:kern w:val="0"/>
                <w:sz w:val="24"/>
                <w:highlight w:val="none"/>
                <w14:textFill>
                  <w14:solidFill>
                    <w14:schemeClr w14:val="tx1"/>
                  </w14:solidFill>
                </w14:textFill>
              </w:rPr>
              <w:t>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（十二）综合会议、活动服务方案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5510" w:type="dxa"/>
            <w:noWrap w:val="0"/>
            <w:vAlign w:val="top"/>
          </w:tcPr>
          <w:p>
            <w:pPr>
              <w:snapToGrid w:val="0"/>
              <w:spacing w:after="120" w:line="360" w:lineRule="auto"/>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重大活动保障方案</w:t>
            </w:r>
            <w:r>
              <w:rPr>
                <w:rFonts w:hint="eastAsia" w:ascii="宋体" w:hAnsi="宋体" w:cs="宋体"/>
                <w:color w:val="000000" w:themeColor="text1"/>
                <w:kern w:val="0"/>
                <w:sz w:val="24"/>
                <w:highlight w:val="none"/>
                <w:lang w:eastAsia="zh-CN"/>
                <w14:textFill>
                  <w14:solidFill>
                    <w14:schemeClr w14:val="tx1"/>
                  </w14:solidFill>
                </w14:textFill>
              </w:rPr>
              <w:t>：</w:t>
            </w:r>
          </w:p>
          <w:p>
            <w:pPr>
              <w:snapToGrid w:val="0"/>
              <w:spacing w:after="120"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根据采购单位需要提供庆典、节日等活动的服务，方案包括协助布置会场、绿化（盆景）摆设和保养、横幅悬挂、搬运器材、桌椅、音响、空调、水果、鲜花、会后清场等工作</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p>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能保证活动期间全过程值班，满足服务需求，确保各项活动正常进行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w:t>
            </w:r>
            <w:r>
              <w:rPr>
                <w:rFonts w:hint="default"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分，部分符合得</w:t>
            </w:r>
            <w:r>
              <w:rPr>
                <w:rFonts w:hint="default" w:ascii="宋体" w:hAnsi="宋体" w:cs="宋体"/>
                <w:color w:val="000000" w:themeColor="text1"/>
                <w:kern w:val="0"/>
                <w:sz w:val="24"/>
                <w:highlight w:val="none"/>
                <w14:textFill>
                  <w14:solidFill>
                    <w14:schemeClr w14:val="tx1"/>
                  </w14:solidFill>
                </w14:textFill>
              </w:rPr>
              <w:t>0.5</w:t>
            </w:r>
            <w:r>
              <w:rPr>
                <w:rFonts w:hint="eastAsia" w:ascii="宋体" w:hAnsi="宋体" w:cs="宋体"/>
                <w:color w:val="000000" w:themeColor="text1"/>
                <w:kern w:val="0"/>
                <w:sz w:val="24"/>
                <w:highlight w:val="none"/>
                <w14:textFill>
                  <w14:solidFill>
                    <w14:schemeClr w14:val="tx1"/>
                  </w14:solidFill>
                </w14:textFill>
              </w:rPr>
              <w:t>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（十三）重大活动保障方案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w:t>
            </w:r>
          </w:p>
        </w:tc>
        <w:tc>
          <w:tcPr>
            <w:tcW w:w="5510" w:type="dxa"/>
            <w:noWrap w:val="0"/>
            <w:vAlign w:val="top"/>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服务方案（包含保安、保洁、绿化、维修等）完整合理，</w:t>
            </w:r>
            <w:r>
              <w:rPr>
                <w:rFonts w:hint="eastAsia" w:ascii="宋体" w:hAnsi="宋体" w:cs="宋体"/>
                <w:b w:val="0"/>
                <w:bCs w:val="0"/>
                <w:color w:val="000000" w:themeColor="text1"/>
                <w:kern w:val="0"/>
                <w:sz w:val="24"/>
                <w:highlight w:val="none"/>
                <w:lang w:val="en-US" w:eastAsia="zh-CN"/>
                <w14:textFill>
                  <w14:solidFill>
                    <w14:schemeClr w14:val="tx1"/>
                  </w14:solidFill>
                </w14:textFill>
              </w:rPr>
              <w:t>符合项目实际视为符合，</w:t>
            </w:r>
            <w:r>
              <w:rPr>
                <w:rFonts w:hint="eastAsia" w:ascii="宋体" w:hAnsi="宋体" w:cs="宋体"/>
                <w:color w:val="000000" w:themeColor="text1"/>
                <w:kern w:val="0"/>
                <w:sz w:val="24"/>
                <w:highlight w:val="none"/>
                <w14:textFill>
                  <w14:solidFill>
                    <w14:schemeClr w14:val="tx1"/>
                  </w14:solidFill>
                </w14:textFill>
              </w:rPr>
              <w:t>全部符合得2分，部分符合得1分，不符合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（十四）前期保障方案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w:t>
            </w:r>
          </w:p>
        </w:tc>
        <w:tc>
          <w:tcPr>
            <w:tcW w:w="5510" w:type="dxa"/>
            <w:noWrap w:val="0"/>
            <w:vAlign w:val="top"/>
          </w:tcPr>
          <w:p>
            <w:pPr>
              <w:snapToGrid w:val="0"/>
              <w:spacing w:after="120"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消防设备维护方案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方案包括服务区域内所有的消防设备的维保、维修和管理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符合项目实际并有针对性视为符合，</w:t>
            </w:r>
            <w:r>
              <w:rPr>
                <w:rFonts w:hint="eastAsia" w:ascii="宋体" w:hAnsi="宋体" w:cs="宋体"/>
                <w:color w:val="000000" w:themeColor="text1"/>
                <w:kern w:val="0"/>
                <w:sz w:val="24"/>
                <w:highlight w:val="none"/>
                <w14:textFill>
                  <w14:solidFill>
                    <w14:schemeClr w14:val="tx1"/>
                  </w14:solidFill>
                </w14:textFill>
              </w:rPr>
              <w:t>全部符合得4分，部分符合得2分，不符合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（十五）消防设备维护方案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应急预案：物业服务区域内各级各类应急预案，对突发事件应急预案及相应的措施是否合理，符合采购需求，以化解</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1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各类纠纷、</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2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消防、</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3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防疫、</w:t>
            </w:r>
            <w:r>
              <w:rPr>
                <w:rFonts w:hint="eastAsia" w:ascii="宋体" w:hAnsi="宋体" w:cs="宋体"/>
                <w:color w:val="000000" w:themeColor="text1"/>
                <w:kern w:val="0"/>
                <w:sz w:val="24"/>
                <w:highlight w:val="none"/>
                <w14:textFill>
                  <w14:solidFill>
                    <w14:schemeClr w14:val="tx1"/>
                  </w14:solidFill>
                </w14:textFill>
              </w:rPr>
              <w:fldChar w:fldCharType="begin"/>
            </w:r>
            <w:r>
              <w:rPr>
                <w:rFonts w:hint="eastAsia" w:ascii="宋体" w:hAnsi="宋体" w:cs="宋体"/>
                <w:color w:val="000000" w:themeColor="text1"/>
                <w:kern w:val="0"/>
                <w:sz w:val="24"/>
                <w:highlight w:val="none"/>
                <w14:textFill>
                  <w14:solidFill>
                    <w14:schemeClr w14:val="tx1"/>
                  </w14:solidFill>
                </w14:textFill>
              </w:rPr>
              <w:instrText xml:space="preserve"> = 4 \* GB3 </w:instrText>
            </w:r>
            <w:r>
              <w:rPr>
                <w:rFonts w:hint="eastAsia" w:ascii="宋体" w:hAnsi="宋体" w:cs="宋体"/>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应对极端天气（台风、暴雨、冻雪）</w:t>
            </w:r>
            <w:r>
              <w:rPr>
                <w:rFonts w:hint="eastAsia" w:ascii="宋体" w:hAnsi="宋体" w:cs="宋体"/>
                <w:color w:val="000000" w:themeColor="text1"/>
                <w:kern w:val="0"/>
                <w:sz w:val="24"/>
                <w:highlight w:val="none"/>
                <w14:textFill>
                  <w14:solidFill>
                    <w14:schemeClr w14:val="tx1"/>
                  </w14:solidFill>
                </w14:textFill>
              </w:rPr>
              <w:t>为例，方案内容有针对性且措施有效，</w:t>
            </w:r>
            <w:r>
              <w:rPr>
                <w:rFonts w:hint="eastAsia" w:ascii="宋体" w:hAnsi="宋体" w:cs="宋体"/>
                <w:color w:val="000000" w:themeColor="text1"/>
                <w:kern w:val="0"/>
                <w:sz w:val="24"/>
                <w:highlight w:val="none"/>
                <w:lang w:val="en-US" w:eastAsia="zh-CN"/>
                <w14:textFill>
                  <w14:solidFill>
                    <w14:schemeClr w14:val="tx1"/>
                  </w14:solidFill>
                </w14:textFill>
              </w:rPr>
              <w:t>符合项目实际并有针对性视为符合，每项完全</w:t>
            </w:r>
            <w:r>
              <w:rPr>
                <w:rFonts w:hint="eastAsia" w:ascii="宋体" w:hAnsi="宋体" w:cs="宋体"/>
                <w:color w:val="000000" w:themeColor="text1"/>
                <w:kern w:val="0"/>
                <w:sz w:val="24"/>
                <w:highlight w:val="none"/>
                <w14:textFill>
                  <w14:solidFill>
                    <w14:schemeClr w14:val="tx1"/>
                  </w14:solidFill>
                </w14:textFill>
              </w:rPr>
              <w:t>符合得1分，部分符合得0.5分，不符合</w:t>
            </w:r>
            <w:r>
              <w:rPr>
                <w:rFonts w:hint="eastAsia" w:ascii="宋体" w:hAnsi="宋体" w:cs="宋体"/>
                <w:color w:val="000000" w:themeColor="text1"/>
                <w:kern w:val="0"/>
                <w:sz w:val="24"/>
                <w:highlight w:val="none"/>
                <w:lang w:val="en-US" w:eastAsia="zh-CN"/>
                <w14:textFill>
                  <w14:solidFill>
                    <w14:schemeClr w14:val="tx1"/>
                  </w14:solidFill>
                </w14:textFill>
              </w:rPr>
              <w:t>或未提供</w:t>
            </w:r>
            <w:r>
              <w:rPr>
                <w:rFonts w:hint="eastAsia" w:ascii="宋体" w:hAnsi="宋体" w:cs="宋体"/>
                <w:color w:val="000000" w:themeColor="text1"/>
                <w:kern w:val="0"/>
                <w:sz w:val="24"/>
                <w:highlight w:val="none"/>
                <w14:textFill>
                  <w14:solidFill>
                    <w14:schemeClr w14:val="tx1"/>
                  </w14:solidFill>
                </w14:textFill>
              </w:rPr>
              <w:t>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w:t>
            </w:r>
            <w:r>
              <w:rPr>
                <w:rFonts w:hint="eastAsia" w:ascii="宋体" w:hAnsi="宋体" w:cs="宋体"/>
                <w:color w:val="000000" w:themeColor="text1"/>
                <w:kern w:val="0"/>
                <w:sz w:val="24"/>
                <w:highlight w:val="none"/>
                <w14:textFill>
                  <w14:solidFill>
                    <w14:schemeClr w14:val="tx1"/>
                  </w14:solidFill>
                </w14:textFill>
              </w:rPr>
              <w:t>4分。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（十六）应急预案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17</w:t>
            </w:r>
          </w:p>
        </w:tc>
        <w:tc>
          <w:tcPr>
            <w:tcW w:w="5510" w:type="dxa"/>
            <w:noWrap w:val="0"/>
            <w:vAlign w:val="top"/>
          </w:tcPr>
          <w:p>
            <w:pPr>
              <w:spacing w:after="120" w:line="360" w:lineRule="auto"/>
              <w:outlineLvl w:val="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eastAsia="宋体" w:cs="宋体"/>
                <w:color w:val="000000" w:themeColor="text1"/>
                <w:kern w:val="0"/>
                <w:sz w:val="24"/>
                <w:highlight w:val="none"/>
                <w14:textFill>
                  <w14:solidFill>
                    <w14:schemeClr w14:val="tx1"/>
                  </w14:solidFill>
                </w14:textFill>
              </w:rPr>
              <w:t>公共秩序（保安）主管具有大专及以上学历</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w:t>
            </w:r>
          </w:p>
          <w:p>
            <w:pPr>
              <w:spacing w:after="120" w:line="360" w:lineRule="auto"/>
              <w:outlineLvl w:val="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②</w:t>
            </w:r>
            <w:r>
              <w:rPr>
                <w:rFonts w:hint="eastAsia" w:ascii="宋体" w:hAnsi="宋体" w:eastAsia="宋体" w:cs="宋体"/>
                <w:color w:val="000000" w:themeColor="text1"/>
                <w:kern w:val="0"/>
                <w:sz w:val="24"/>
                <w:highlight w:val="none"/>
                <w14:textFill>
                  <w14:solidFill>
                    <w14:schemeClr w14:val="tx1"/>
                  </w14:solidFill>
                </w14:textFill>
              </w:rPr>
              <w:t>具有保安主管经历，5年及以上校园物业管理服务管理经验</w:t>
            </w:r>
            <w:r>
              <w:rPr>
                <w:rFonts w:hint="eastAsia" w:ascii="宋体" w:hAnsi="宋体" w:eastAsia="宋体" w:cs="宋体"/>
                <w:color w:val="000000" w:themeColor="text1"/>
                <w:kern w:val="0"/>
                <w:sz w:val="24"/>
                <w:highlight w:val="none"/>
                <w:lang w:val="en-US" w:eastAsia="zh-CN"/>
                <w14:textFill>
                  <w14:solidFill>
                    <w14:schemeClr w14:val="tx1"/>
                  </w14:solidFill>
                </w14:textFill>
              </w:rPr>
              <w:t>每项满足得2分，不满足不得分，本项最高得4分。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 须提供保安主管在投标人单位连续社保缴纳记录或者提供投标人和</w:t>
            </w:r>
            <w:r>
              <w:rPr>
                <w:rFonts w:hint="eastAsia" w:ascii="宋体" w:hAnsi="宋体" w:eastAsia="宋体" w:cs="宋体"/>
                <w:color w:val="000000" w:themeColor="text1"/>
                <w:kern w:val="0"/>
                <w:sz w:val="24"/>
                <w:highlight w:val="none"/>
                <w:lang w:val="en-US" w:eastAsia="zh-CN"/>
                <w14:textFill>
                  <w14:solidFill>
                    <w14:schemeClr w14:val="tx1"/>
                  </w14:solidFill>
                </w14:textFill>
              </w:rPr>
              <w:t>保安主管</w:t>
            </w:r>
            <w:r>
              <w:rPr>
                <w:rFonts w:hint="eastAsia" w:ascii="宋体" w:hAnsi="宋体" w:eastAsia="宋体" w:cs="宋体"/>
                <w:color w:val="000000" w:themeColor="text1"/>
                <w:kern w:val="0"/>
                <w:sz w:val="24"/>
                <w:highlight w:val="none"/>
                <w14:textFill>
                  <w14:solidFill>
                    <w14:schemeClr w14:val="tx1"/>
                  </w14:solidFill>
                </w14:textFill>
              </w:rPr>
              <w:t>共同出具的保证能在本项目服务期间专职为本项目服务的承诺函，否则相应不得分。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（十七）项目实施的人员安排情况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w:t>
            </w:r>
          </w:p>
        </w:tc>
        <w:tc>
          <w:tcPr>
            <w:tcW w:w="5510" w:type="dxa"/>
            <w:noWrap w:val="0"/>
            <w:vAlign w:val="top"/>
          </w:tcPr>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环境卫生（保洁）主管需大专及以上学历</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w:t>
            </w:r>
          </w:p>
          <w:p>
            <w:pPr>
              <w:spacing w:after="120" w:line="360" w:lineRule="auto"/>
              <w:outlineLvl w:val="0"/>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具有保洁主管经历（需提供业主证明）</w:t>
            </w:r>
            <w:r>
              <w:rPr>
                <w:rFonts w:hint="eastAsia" w:ascii="宋体" w:hAnsi="宋体" w:cs="宋体"/>
                <w:color w:val="000000" w:themeColor="text1"/>
                <w:kern w:val="0"/>
                <w:sz w:val="24"/>
                <w:highlight w:val="none"/>
                <w:lang w:eastAsia="zh-CN"/>
                <w14:textFill>
                  <w14:solidFill>
                    <w14:schemeClr w14:val="tx1"/>
                  </w14:solidFill>
                </w14:textFill>
              </w:rPr>
              <w:t>；</w:t>
            </w:r>
          </w:p>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t>保洁</w:t>
            </w:r>
            <w:r>
              <w:rPr>
                <w:rFonts w:hint="eastAsia" w:ascii="宋体" w:hAnsi="宋体" w:cs="宋体"/>
                <w:color w:val="000000" w:themeColor="text1"/>
                <w:kern w:val="0"/>
                <w:sz w:val="24"/>
                <w:highlight w:val="none"/>
                <w:lang w:val="en-US" w:eastAsia="zh-CN"/>
                <w14:textFill>
                  <w14:solidFill>
                    <w14:schemeClr w14:val="tx1"/>
                  </w14:solidFill>
                </w14:textFill>
              </w:rPr>
              <w:t>主管</w:t>
            </w:r>
            <w:r>
              <w:rPr>
                <w:rFonts w:hint="eastAsia" w:ascii="宋体" w:hAnsi="宋体" w:cs="宋体"/>
                <w:color w:val="000000" w:themeColor="text1"/>
                <w:kern w:val="0"/>
                <w:sz w:val="24"/>
                <w:highlight w:val="none"/>
                <w14:textFill>
                  <w14:solidFill>
                    <w14:schemeClr w14:val="tx1"/>
                  </w14:solidFill>
                </w14:textFill>
              </w:rPr>
              <w:t>年龄4</w:t>
            </w:r>
            <w:r>
              <w:rPr>
                <w:rFonts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周岁</w:t>
            </w:r>
            <w:r>
              <w:rPr>
                <w:rFonts w:hint="eastAsia" w:ascii="宋体" w:hAnsi="宋体" w:cs="宋体"/>
                <w:color w:val="000000" w:themeColor="text1"/>
                <w:kern w:val="0"/>
                <w:sz w:val="24"/>
                <w:highlight w:val="none"/>
                <w:lang w:eastAsia="zh-CN"/>
                <w14:textFill>
                  <w14:solidFill>
                    <w14:schemeClr w14:val="tx1"/>
                  </w14:solidFill>
                </w14:textFill>
              </w:rPr>
              <w:t>（含）</w:t>
            </w:r>
            <w:r>
              <w:rPr>
                <w:rFonts w:hint="eastAsia" w:ascii="宋体" w:hAnsi="宋体" w:cs="宋体"/>
                <w:color w:val="000000" w:themeColor="text1"/>
                <w:kern w:val="0"/>
                <w:sz w:val="24"/>
                <w:highlight w:val="none"/>
                <w14:textFill>
                  <w14:solidFill>
                    <w14:schemeClr w14:val="tx1"/>
                  </w14:solidFill>
                </w14:textFill>
              </w:rPr>
              <w:t>以下</w:t>
            </w:r>
          </w:p>
          <w:p>
            <w:pPr>
              <w:spacing w:after="120" w:line="360" w:lineRule="auto"/>
              <w:outlineLvl w:val="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每项</w:t>
            </w:r>
            <w:r>
              <w:rPr>
                <w:rFonts w:hint="eastAsia" w:ascii="宋体" w:hAnsi="宋体" w:cs="宋体"/>
                <w:color w:val="000000" w:themeColor="text1"/>
                <w:kern w:val="0"/>
                <w:sz w:val="24"/>
                <w:highlight w:val="none"/>
                <w14:textFill>
                  <w14:solidFill>
                    <w14:schemeClr w14:val="tx1"/>
                  </w14:solidFill>
                </w14:textFill>
              </w:rPr>
              <w:t>符合得</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分，不符合不得分</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本项最高得6分。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 提供环境卫生（保洁）主管在投标人单位连续社保缴纳记录或者提供投标人和拟派环境卫生（保洁）主管共同出具的保证能在本项目服务期间专职为本项目服务的承诺函，否则相应不得分。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w:t>
            </w:r>
            <w:r>
              <w:rPr>
                <w:rFonts w:hint="eastAsia" w:ascii="宋体" w:hAnsi="宋体" w:cs="宋体"/>
                <w:color w:val="000000" w:themeColor="text1"/>
                <w:kern w:val="0"/>
                <w:sz w:val="24"/>
                <w:highlight w:val="none"/>
                <w:lang w:eastAsia="zh-CN"/>
                <w14:textFill>
                  <w14:solidFill>
                    <w14:schemeClr w14:val="tx1"/>
                  </w14:solidFill>
                </w14:textFill>
              </w:rPr>
              <w:t>八</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19</w:t>
            </w:r>
          </w:p>
        </w:tc>
        <w:tc>
          <w:tcPr>
            <w:tcW w:w="5510" w:type="dxa"/>
            <w:noWrap w:val="0"/>
            <w:vAlign w:val="top"/>
          </w:tcPr>
          <w:p>
            <w:pPr>
              <w:spacing w:after="120" w:line="360" w:lineRule="auto"/>
              <w:outlineLvl w:val="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承诺所有保洁人员每年必须进行一次体检（</w:t>
            </w:r>
            <w:r>
              <w:rPr>
                <w:rFonts w:hint="eastAsia" w:ascii="宋体" w:hAnsi="宋体" w:cs="宋体"/>
                <w:color w:val="000000" w:themeColor="text1"/>
                <w:kern w:val="0"/>
                <w:sz w:val="24"/>
                <w:highlight w:val="none"/>
                <w:lang w:val="en-US" w:eastAsia="zh-CN"/>
                <w14:textFill>
                  <w14:solidFill>
                    <w14:schemeClr w14:val="tx1"/>
                  </w14:solidFill>
                </w14:textFill>
              </w:rPr>
              <w:t>提供相关承诺函</w:t>
            </w:r>
            <w:r>
              <w:rPr>
                <w:rFonts w:hint="eastAsia" w:ascii="宋体" w:hAnsi="宋体" w:cs="宋体"/>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不提供</w:t>
            </w:r>
            <w:r>
              <w:rPr>
                <w:rFonts w:hint="eastAsia" w:ascii="宋体" w:hAnsi="宋体" w:cs="宋体"/>
                <w:color w:val="000000" w:themeColor="text1"/>
                <w:kern w:val="0"/>
                <w:sz w:val="24"/>
                <w:highlight w:val="none"/>
                <w14:textFill>
                  <w14:solidFill>
                    <w14:schemeClr w14:val="tx1"/>
                  </w14:solidFill>
                </w14:textFill>
              </w:rPr>
              <w:t>不得分）</w:t>
            </w:r>
          </w:p>
        </w:tc>
        <w:tc>
          <w:tcPr>
            <w:tcW w:w="749" w:type="dxa"/>
            <w:noWrap w:val="0"/>
            <w:vAlign w:val="center"/>
          </w:tcPr>
          <w:p>
            <w:pPr>
              <w:keepNext w:val="0"/>
              <w:keepLines w:val="0"/>
              <w:widowControl/>
              <w:suppressLineNumbers w:val="0"/>
              <w:jc w:val="center"/>
              <w:textAlignment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55" w:type="dxa"/>
            <w:noWrap w:val="0"/>
            <w:vAlign w:val="center"/>
          </w:tcPr>
          <w:p>
            <w:pPr>
              <w:snapToGrid w:val="0"/>
              <w:spacing w:after="120" w:line="360" w:lineRule="auto"/>
              <w:jc w:val="center"/>
              <w:rPr>
                <w:rFonts w:hint="default" w:ascii="宋体" w:hAnsi="宋体" w:cs="宋体"/>
                <w:color w:val="000000" w:themeColor="text1"/>
                <w:kern w:val="0"/>
                <w:sz w:val="24"/>
                <w:highlight w:val="none"/>
                <w14:textFill>
                  <w14:solidFill>
                    <w14:schemeClr w14:val="tx1"/>
                  </w14:solidFill>
                </w14:textFill>
              </w:rPr>
            </w:pPr>
            <w:r>
              <w:rPr>
                <w:rFonts w:hint="default"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（十</w:t>
            </w:r>
            <w:r>
              <w:rPr>
                <w:rFonts w:hint="eastAsia" w:ascii="宋体" w:hAnsi="宋体" w:cs="宋体"/>
                <w:color w:val="000000" w:themeColor="text1"/>
                <w:kern w:val="0"/>
                <w:sz w:val="24"/>
                <w:highlight w:val="none"/>
                <w:lang w:val="en-US" w:eastAsia="zh-CN"/>
                <w14:textFill>
                  <w14:solidFill>
                    <w14:schemeClr w14:val="tx1"/>
                  </w14:solidFill>
                </w14:textFill>
              </w:rPr>
              <w:t>九</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w:t>
            </w:r>
          </w:p>
        </w:tc>
        <w:tc>
          <w:tcPr>
            <w:tcW w:w="5510" w:type="dxa"/>
            <w:noWrap w:val="0"/>
            <w:vAlign w:val="top"/>
          </w:tcPr>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项目经理具有</w:t>
            </w: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lang w:val="en-US" w:eastAsia="zh-CN"/>
                <w14:textFill>
                  <w14:solidFill>
                    <w14:schemeClr w14:val="tx1"/>
                  </w14:solidFill>
                </w14:textFill>
              </w:rPr>
              <w:t>大专</w:t>
            </w:r>
            <w:r>
              <w:rPr>
                <w:rFonts w:hint="eastAsia" w:ascii="宋体" w:hAnsi="宋体" w:cs="宋体"/>
                <w:color w:val="000000" w:themeColor="text1"/>
                <w:kern w:val="0"/>
                <w:sz w:val="24"/>
                <w:highlight w:val="none"/>
                <w14:textFill>
                  <w14:solidFill>
                    <w14:schemeClr w14:val="tx1"/>
                  </w14:solidFill>
                </w14:textFill>
              </w:rPr>
              <w:t>及以上学历</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具有</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年及以上校园物业管理服务管理经验</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（需提供业主证明）</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每项符合得</w:t>
            </w:r>
            <w:r>
              <w:rPr>
                <w:rFonts w:hint="eastAsia" w:ascii="宋体" w:hAnsi="宋体" w:cs="宋体"/>
                <w:color w:val="000000" w:themeColor="text1"/>
                <w:kern w:val="0"/>
                <w:sz w:val="24"/>
                <w:highlight w:val="none"/>
                <w:lang w:val="en-US" w:eastAsia="zh-CN"/>
                <w14:textFill>
                  <w14:solidFill>
                    <w14:schemeClr w14:val="tx1"/>
                  </w14:solidFill>
                </w14:textFill>
              </w:rPr>
              <w:t>2分，</w:t>
            </w:r>
            <w:r>
              <w:rPr>
                <w:rFonts w:hint="eastAsia" w:ascii="宋体" w:hAnsi="宋体" w:cs="宋体"/>
                <w:color w:val="000000" w:themeColor="text1"/>
                <w:kern w:val="0"/>
                <w:sz w:val="24"/>
                <w:highlight w:val="none"/>
                <w14:textFill>
                  <w14:solidFill>
                    <w14:schemeClr w14:val="tx1"/>
                  </w14:solidFill>
                </w14:textFill>
              </w:rPr>
              <w:t>不符合不得分。（4分）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注：须提供项目经理在投标人最近连续社保缴纳记录或者提供投标人和拟派人员共同出具的保证能在本项目服务期间专职为本项目服务的承诺函，不提供不得分。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二十</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1</w:t>
            </w:r>
          </w:p>
        </w:tc>
        <w:tc>
          <w:tcPr>
            <w:tcW w:w="5510" w:type="dxa"/>
            <w:noWrap w:val="0"/>
            <w:vAlign w:val="top"/>
          </w:tcPr>
          <w:p>
            <w:pPr>
              <w:spacing w:after="120" w:line="360" w:lineRule="auto"/>
              <w:outlineLvl w:val="0"/>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项目工程主管</w:t>
            </w:r>
            <w:r>
              <w:rPr>
                <w:rFonts w:hint="eastAsia" w:ascii="宋体" w:hAnsi="宋体" w:cs="宋体"/>
                <w:color w:val="000000" w:themeColor="text1"/>
                <w:kern w:val="0"/>
                <w:sz w:val="24"/>
                <w:highlight w:val="none"/>
                <w:lang w:eastAsia="zh-CN"/>
                <w14:textFill>
                  <w14:solidFill>
                    <w14:schemeClr w14:val="tx1"/>
                  </w14:solidFill>
                </w14:textFill>
              </w:rPr>
              <w:t>具有：</w:t>
            </w:r>
          </w:p>
          <w:p>
            <w:pPr>
              <w:spacing w:after="120" w:line="360" w:lineRule="auto"/>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大专及以上学历</w:t>
            </w:r>
            <w:r>
              <w:rPr>
                <w:rFonts w:hint="eastAsia" w:ascii="宋体" w:hAnsi="宋体" w:cs="宋体"/>
                <w:color w:val="000000" w:themeColor="text1"/>
                <w:kern w:val="0"/>
                <w:sz w:val="24"/>
                <w:highlight w:val="none"/>
                <w:lang w:eastAsia="zh-CN"/>
                <w14:textFill>
                  <w14:solidFill>
                    <w14:schemeClr w14:val="tx1"/>
                  </w14:solidFill>
                </w14:textFill>
              </w:rPr>
              <w:t>，提供证书复印件</w:t>
            </w:r>
            <w:r>
              <w:rPr>
                <w:rFonts w:hint="eastAsia" w:ascii="宋体" w:hAnsi="宋体" w:cs="宋体"/>
                <w:color w:val="000000" w:themeColor="text1"/>
                <w:kern w:val="0"/>
                <w:sz w:val="24"/>
                <w:highlight w:val="none"/>
                <w14:textFill>
                  <w14:solidFill>
                    <w14:schemeClr w14:val="tx1"/>
                  </w14:solidFill>
                </w14:textFill>
              </w:rPr>
              <w:t>；（符合得2分，不符合不得分），</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具有</w:t>
            </w:r>
            <w:r>
              <w:rPr>
                <w:rFonts w:hint="eastAsia" w:ascii="宋体" w:hAnsi="宋体" w:cs="宋体"/>
                <w:color w:val="000000" w:themeColor="text1"/>
                <w:kern w:val="0"/>
                <w:sz w:val="24"/>
                <w:highlight w:val="none"/>
                <w:lang w:val="en-US" w:eastAsia="zh-CN"/>
                <w14:textFill>
                  <w14:solidFill>
                    <w14:schemeClr w14:val="tx1"/>
                  </w14:solidFill>
                </w14:textFill>
              </w:rPr>
              <w:t>2年以上从事电工行业工作经验，提供相关工作证明或证书等材料</w:t>
            </w:r>
            <w:r>
              <w:rPr>
                <w:rFonts w:hint="eastAsia" w:ascii="宋体" w:hAnsi="宋体" w:cs="宋体"/>
                <w:color w:val="000000" w:themeColor="text1"/>
                <w:kern w:val="0"/>
                <w:sz w:val="24"/>
                <w:highlight w:val="none"/>
                <w14:textFill>
                  <w14:solidFill>
                    <w14:schemeClr w14:val="tx1"/>
                  </w14:solidFill>
                </w14:textFill>
              </w:rPr>
              <w:t>（符合得2分，不符合不得分）</w:t>
            </w:r>
          </w:p>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 须提供主管在投标人单位连续社保缴纳记录或者提供投标人和拟派人员共同出具的保证能在本项目服务期间专职为本项目服务的承诺函，否则相应不得分。</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二十一</w:t>
            </w:r>
            <w:r>
              <w:rPr>
                <w:rFonts w:hint="eastAsia" w:ascii="宋体" w:hAnsi="宋体" w:cs="宋体"/>
                <w:color w:val="000000" w:themeColor="text1"/>
                <w:kern w:val="0"/>
                <w:sz w:val="24"/>
                <w:highlight w:val="none"/>
                <w14:textFill>
                  <w14:solidFill>
                    <w14:schemeClr w14:val="tx1"/>
                  </w14:solidFill>
                </w14:textFill>
              </w:rPr>
              <w:t>）项目实施的人员安排情况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2</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投标人获得的有效的</w:t>
            </w:r>
            <w:r>
              <w:rPr>
                <w:rFonts w:hint="eastAsia" w:ascii="宋体" w:hAnsi="宋体" w:cs="宋体"/>
                <w:color w:val="000000" w:themeColor="text1"/>
                <w:kern w:val="0"/>
                <w:sz w:val="24"/>
                <w:highlight w:val="none"/>
                <w:lang w:eastAsia="zh-CN"/>
                <w14:textFill>
                  <w14:solidFill>
                    <w14:schemeClr w14:val="tx1"/>
                  </w14:solidFill>
                </w14:textFill>
              </w:rPr>
              <w:t>①</w:t>
            </w:r>
            <w:r>
              <w:rPr>
                <w:rFonts w:hint="eastAsia" w:ascii="宋体" w:hAnsi="宋体" w:cs="宋体"/>
                <w:color w:val="000000" w:themeColor="text1"/>
                <w:kern w:val="0"/>
                <w:sz w:val="24"/>
                <w:highlight w:val="none"/>
                <w14:textFill>
                  <w14:solidFill>
                    <w14:schemeClr w14:val="tx1"/>
                  </w14:solidFill>
                </w14:textFill>
              </w:rPr>
              <w:t>质量管理体系</w:t>
            </w:r>
            <w:r>
              <w:rPr>
                <w:rFonts w:hint="eastAsia" w:ascii="宋体" w:hAnsi="宋体" w:cs="宋体"/>
                <w:color w:val="000000" w:themeColor="text1"/>
                <w:kern w:val="0"/>
                <w:sz w:val="24"/>
                <w:highlight w:val="none"/>
                <w:lang w:eastAsia="zh-CN"/>
                <w14:textFill>
                  <w14:solidFill>
                    <w14:schemeClr w14:val="tx1"/>
                  </w14:solidFill>
                </w14:textFill>
              </w:rPr>
              <w:t>②</w:t>
            </w:r>
            <w:r>
              <w:rPr>
                <w:rFonts w:hint="eastAsia" w:ascii="宋体" w:hAnsi="宋体" w:cs="宋体"/>
                <w:color w:val="000000" w:themeColor="text1"/>
                <w:kern w:val="0"/>
                <w:sz w:val="24"/>
                <w:highlight w:val="none"/>
                <w14:textFill>
                  <w14:solidFill>
                    <w14:schemeClr w14:val="tx1"/>
                  </w14:solidFill>
                </w14:textFill>
              </w:rPr>
              <w:t>环境管理体</w:t>
            </w:r>
            <w:r>
              <w:rPr>
                <w:rFonts w:hint="eastAsia" w:ascii="宋体" w:hAnsi="宋体" w:cs="宋体"/>
                <w:color w:val="000000" w:themeColor="text1"/>
                <w:kern w:val="0"/>
                <w:sz w:val="24"/>
                <w:highlight w:val="none"/>
                <w:lang w:eastAsia="zh-CN"/>
                <w14:textFill>
                  <w14:solidFill>
                    <w14:schemeClr w14:val="tx1"/>
                  </w14:solidFill>
                </w14:textFill>
              </w:rPr>
              <w:t>③</w:t>
            </w:r>
            <w:r>
              <w:rPr>
                <w:rFonts w:hint="eastAsia" w:ascii="宋体" w:hAnsi="宋体" w:cs="宋体"/>
                <w:color w:val="000000" w:themeColor="text1"/>
                <w:kern w:val="0"/>
                <w:sz w:val="24"/>
                <w:highlight w:val="none"/>
                <w14:textFill>
                  <w14:solidFill>
                    <w14:schemeClr w14:val="tx1"/>
                  </w14:solidFill>
                </w14:textFill>
              </w:rPr>
              <w:t>职业健康安全管理体系</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提供扫描件，</w:t>
            </w:r>
            <w:r>
              <w:rPr>
                <w:rFonts w:hint="eastAsia" w:ascii="宋体" w:hAnsi="宋体" w:cs="宋体"/>
                <w:color w:val="000000" w:themeColor="text1"/>
                <w:kern w:val="0"/>
                <w:sz w:val="24"/>
                <w:highlight w:val="none"/>
                <w:lang w:eastAsia="zh-CN"/>
                <w14:textFill>
                  <w14:solidFill>
                    <w14:schemeClr w14:val="tx1"/>
                  </w14:solidFill>
                </w14:textFill>
              </w:rPr>
              <w:t>每项符合得</w:t>
            </w:r>
            <w:r>
              <w:rPr>
                <w:rFonts w:hint="eastAsia" w:ascii="宋体" w:hAnsi="宋体" w:cs="宋体"/>
                <w:color w:val="000000" w:themeColor="text1"/>
                <w:kern w:val="0"/>
                <w:sz w:val="24"/>
                <w:highlight w:val="none"/>
                <w:lang w:val="en-US" w:eastAsia="zh-CN"/>
                <w14:textFill>
                  <w14:solidFill>
                    <w14:schemeClr w14:val="tx1"/>
                  </w14:solidFill>
                </w14:textFill>
              </w:rPr>
              <w:t>1分，不符合不得分，</w:t>
            </w:r>
            <w:r>
              <w:rPr>
                <w:rFonts w:hint="eastAsia" w:ascii="宋体" w:hAnsi="宋体" w:cs="宋体"/>
                <w:color w:val="000000" w:themeColor="text1"/>
                <w:kern w:val="0"/>
                <w:sz w:val="24"/>
                <w:highlight w:val="none"/>
                <w14:textFill>
                  <w14:solidFill>
                    <w14:schemeClr w14:val="tx1"/>
                  </w14:solidFill>
                </w14:textFill>
              </w:rPr>
              <w:t>最高3分。（提供证书原件扫描件，全国认证认可信息公共服务平台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"http://cx.cnca.cn/CertECloud/result/skipResultList"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http://cx.cnca.cn/CertECloud/result/skipResultList</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可查。）</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二十二</w:t>
            </w:r>
            <w:r>
              <w:rPr>
                <w:rFonts w:hint="eastAsia" w:ascii="宋体" w:hAnsi="宋体" w:cs="宋体"/>
                <w:color w:val="000000" w:themeColor="text1"/>
                <w:kern w:val="0"/>
                <w:sz w:val="24"/>
                <w:highlight w:val="none"/>
                <w14:textFill>
                  <w14:solidFill>
                    <w14:schemeClr w14:val="tx1"/>
                  </w14:solidFill>
                </w14:textFill>
              </w:rPr>
              <w:t>）投标人资信情况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投标人类似项目</w:t>
            </w:r>
            <w:r>
              <w:rPr>
                <w:rFonts w:hint="eastAsia" w:ascii="宋体" w:hAnsi="宋体" w:cs="宋体"/>
                <w:color w:val="000000" w:themeColor="text1"/>
                <w:kern w:val="0"/>
                <w:sz w:val="24"/>
                <w:highlight w:val="none"/>
                <w:lang w:val="en-US" w:eastAsia="zh-CN"/>
                <w14:textFill>
                  <w14:solidFill>
                    <w14:schemeClr w14:val="tx1"/>
                  </w14:solidFill>
                </w14:textFill>
              </w:rPr>
              <w:t>服务</w:t>
            </w:r>
            <w:r>
              <w:rPr>
                <w:rFonts w:hint="eastAsia" w:ascii="宋体" w:hAnsi="宋体" w:cs="宋体"/>
                <w:color w:val="000000" w:themeColor="text1"/>
                <w:kern w:val="0"/>
                <w:sz w:val="24"/>
                <w:highlight w:val="none"/>
                <w14:textFill>
                  <w14:solidFill>
                    <w14:schemeClr w14:val="tx1"/>
                  </w14:solidFill>
                </w14:textFill>
              </w:rPr>
              <w:t>的案例（1分）：投标截止时间前三年内成功承担过的类似物业服务项目情况，根据合同和用户验收报告（或用户其他反馈材料）项目实例证明。类似物业服务项目（至少包含保安、保洁、绿化、设备设施维护服务、宿舍管理等内容）已实施的项目案例，每一个案例得0.2分，最高</w:t>
            </w:r>
            <w:r>
              <w:rPr>
                <w:rFonts w:hint="eastAsia" w:ascii="宋体" w:hAnsi="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14:textFill>
                  <w14:solidFill>
                    <w14:schemeClr w14:val="tx1"/>
                  </w14:solidFill>
                </w14:textFill>
              </w:rPr>
              <w:t>1分；未按要求提供完整材料的，不得分；一个单位分年度多次签订的案例，计入1个案例；同一个项目，分两期或以上建设完成的，计入1个案例。</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855"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w:t>
            </w:r>
          </w:p>
        </w:tc>
        <w:tc>
          <w:tcPr>
            <w:tcW w:w="2055" w:type="dxa"/>
            <w:noWrap w:val="0"/>
            <w:vAlign w:val="center"/>
          </w:tcPr>
          <w:p>
            <w:pPr>
              <w:snapToGrid w:val="0"/>
              <w:spacing w:after="120"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二十三</w:t>
            </w:r>
            <w:r>
              <w:rPr>
                <w:rFonts w:hint="eastAsia" w:ascii="宋体" w:hAnsi="宋体" w:cs="宋体"/>
                <w:color w:val="000000" w:themeColor="text1"/>
                <w:kern w:val="0"/>
                <w:sz w:val="24"/>
                <w:highlight w:val="none"/>
                <w14:textFill>
                  <w14:solidFill>
                    <w14:schemeClr w14:val="tx1"/>
                  </w14:solidFill>
                </w14:textFill>
              </w:rPr>
              <w:t>）类似项目建设的案例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snapToGrid w:val="0"/>
              <w:spacing w:after="120"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5510" w:type="dxa"/>
            <w:noWrap w:val="0"/>
            <w:vAlign w:val="top"/>
          </w:tcPr>
          <w:p>
            <w:pPr>
              <w:spacing w:after="120" w:line="360" w:lineRule="auto"/>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有效投标报价的最低价作为评标基准价，其最低报价为满分；按［投标报价得分=（评标基准价/投标报价）*10］的计算公式计算。</w:t>
            </w:r>
          </w:p>
          <w:p>
            <w:pPr>
              <w:widowControl/>
              <w:shd w:val="clear" w:color="auto" w:fill="FFFFFF"/>
              <w:spacing w:after="120" w:line="360" w:lineRule="auto"/>
              <w:ind w:firstLine="42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评标过程中，不得去掉报价中的最高报价和最低报价。</w:t>
            </w:r>
          </w:p>
          <w:p>
            <w:pPr>
              <w:widowControl/>
              <w:shd w:val="clear" w:color="auto" w:fill="FFFFFF"/>
              <w:spacing w:after="120" w:line="360" w:lineRule="auto"/>
              <w:ind w:firstLine="42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因落实政府采购政策需要进行价格调整的，以调整后的价格计算评标基准价和投标报价。</w:t>
            </w:r>
          </w:p>
        </w:tc>
        <w:tc>
          <w:tcPr>
            <w:tcW w:w="749" w:type="dxa"/>
            <w:noWrap w:val="0"/>
            <w:vAlign w:val="center"/>
          </w:tcPr>
          <w:p>
            <w:pPr>
              <w:keepNext w:val="0"/>
              <w:keepLines w:val="0"/>
              <w:widowControl/>
              <w:suppressLineNumbers w:val="0"/>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855" w:type="dxa"/>
            <w:noWrap w:val="0"/>
            <w:vAlign w:val="center"/>
          </w:tcPr>
          <w:p>
            <w:pPr>
              <w:spacing w:after="120" w:line="360" w:lineRule="auto"/>
              <w:jc w:val="center"/>
              <w:outlineLvl w:val="0"/>
              <w:rPr>
                <w:rFonts w:hint="eastAsia" w:ascii="宋体" w:hAnsi="宋体" w:cs="宋体"/>
                <w:color w:val="000000" w:themeColor="text1"/>
                <w:kern w:val="0"/>
                <w:sz w:val="24"/>
                <w:highlight w:val="none"/>
                <w14:textFill>
                  <w14:solidFill>
                    <w14:schemeClr w14:val="tx1"/>
                  </w14:solidFill>
                </w14:textFill>
              </w:rPr>
            </w:pPr>
          </w:p>
        </w:tc>
        <w:tc>
          <w:tcPr>
            <w:tcW w:w="2055" w:type="dxa"/>
            <w:noWrap w:val="0"/>
            <w:vAlign w:val="center"/>
          </w:tcPr>
          <w:p>
            <w:pPr>
              <w:spacing w:after="120" w:line="360" w:lineRule="auto"/>
              <w:jc w:val="center"/>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0"/>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0"/>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pPr>
        <w:pStyle w:val="2"/>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4.2.14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废标后，采购机构应当将废标理由通知所有投标人。</w:t>
      </w:r>
    </w:p>
    <w:p>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r>
        <w:rPr>
          <w:rFonts w:ascii="宋体" w:hAnsi="宋体" w:cs="宋体"/>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701"/>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pPr>
        <w:spacing w:before="120" w:line="22" w:lineRule="atLeast"/>
        <w:rPr>
          <w:rFonts w:ascii="宋体" w:hAnsi="宋体" w:cs="宋体"/>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8"/>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rPr>
          <w:rFonts w:ascii="宋体" w:hAnsi="宋体" w:cs="宋体"/>
          <w:b/>
          <w:color w:val="000000" w:themeColor="text1"/>
          <w:sz w:val="24"/>
          <w:highlight w:val="none"/>
          <w14:textFill>
            <w14:solidFill>
              <w14:schemeClr w14:val="tx1"/>
            </w14:solidFill>
          </w14:textFill>
        </w:rPr>
      </w:pP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 xml:space="preserve">杭州市城西中学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lang w:val="en-US" w:eastAsia="zh-CN"/>
          <w14:textFill>
            <w14:solidFill>
              <w14:schemeClr w14:val="tx1"/>
            </w14:solidFill>
          </w14:textFill>
        </w:rPr>
        <w:t>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pPr>
              <w:pStyle w:val="319"/>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pPr>
              <w:pStyle w:val="319"/>
              <w:spacing w:line="560" w:lineRule="exact"/>
              <w:ind w:firstLine="200"/>
              <w:jc w:val="center"/>
              <w:rPr>
                <w:rFonts w:hAnsi="宋体"/>
                <w:color w:val="000000" w:themeColor="text1"/>
                <w:sz w:val="24"/>
                <w:szCs w:val="24"/>
                <w:highlight w:val="none"/>
                <w14:textFill>
                  <w14:solidFill>
                    <w14:schemeClr w14:val="tx1"/>
                  </w14:solidFill>
                </w14:textFill>
              </w:rPr>
            </w:pPr>
          </w:p>
        </w:tc>
      </w:tr>
    </w:tbl>
    <w:p>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pPr>
        <w:pStyle w:val="79"/>
        <w:spacing w:after="313" w:afterLines="1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p>
      <w:pPr>
        <w:pStyle w:val="959"/>
        <w:spacing w:before="0" w:beforeAutospacing="0" w:after="313" w:afterLines="100" w:afterAutospacing="0" w:line="360" w:lineRule="auto"/>
        <w:ind w:firstLine="480"/>
        <w:rPr>
          <w:b/>
          <w:color w:val="000000" w:themeColor="text1"/>
          <w:highlight w:val="none"/>
          <w14:textFill>
            <w14:solidFill>
              <w14:schemeClr w14:val="tx1"/>
            </w14:solidFill>
          </w14:textFill>
        </w:rPr>
      </w:pPr>
      <w:bookmarkStart w:id="398" w:name="_Toc22618"/>
      <w:bookmarkStart w:id="399" w:name="_Toc1814"/>
      <w:bookmarkStart w:id="400" w:name="_Toc10340"/>
      <w:r>
        <w:rPr>
          <w:rFonts w:hint="eastAsia"/>
          <w:b/>
          <w:color w:val="000000" w:themeColor="text1"/>
          <w:highlight w:val="none"/>
          <w14:textFill>
            <w14:solidFill>
              <w14:schemeClr w14:val="tx1"/>
            </w14:solidFill>
          </w14:textFill>
        </w:rPr>
        <w:t>1.4履约保证金</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2"/>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lang w:val="en-US" w:eastAsia="zh-CN"/>
          <w14:textFill>
            <w14:solidFill>
              <w14:schemeClr w14:val="tx1"/>
            </w14:solidFill>
          </w14:textFill>
        </w:rPr>
        <w:t>5</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398"/>
      <w:bookmarkEnd w:id="399"/>
      <w:bookmarkEnd w:id="400"/>
      <w:r>
        <w:rPr>
          <w:rFonts w:hint="eastAsia" w:ascii="宋体" w:hAnsi="宋体" w:cs="宋体"/>
          <w:b/>
          <w:color w:val="000000" w:themeColor="text1"/>
          <w:sz w:val="24"/>
          <w:highlight w:val="none"/>
          <w14:textFill>
            <w14:solidFill>
              <w14:schemeClr w14:val="tx1"/>
            </w14:solidFill>
          </w14:textFill>
        </w:rPr>
        <w:t>预付款</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95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pPr>
        <w:pStyle w:val="95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pStyle w:val="2"/>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0.05（可根据情况修改）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1" w:name="_Toc16021"/>
      <w:bookmarkStart w:id="402" w:name="_Toc28375"/>
      <w:bookmarkStart w:id="403" w:name="_Toc15583"/>
      <w:r>
        <w:rPr>
          <w:rFonts w:hint="eastAsia" w:ascii="宋体" w:hAnsi="宋体" w:cs="宋体"/>
          <w:b/>
          <w:color w:val="000000" w:themeColor="text1"/>
          <w:sz w:val="24"/>
          <w:highlight w:val="none"/>
          <w14:textFill>
            <w14:solidFill>
              <w14:schemeClr w14:val="tx1"/>
            </w14:solidFill>
          </w14:textFill>
        </w:rPr>
        <w:t>1.9合同争议的解决</w:t>
      </w:r>
      <w:bookmarkEnd w:id="401"/>
      <w:bookmarkEnd w:id="402"/>
      <w:bookmarkEnd w:id="403"/>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合同专用条款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4" w:name="_Toc15322"/>
      <w:bookmarkStart w:id="405" w:name="_Toc7245"/>
      <w:bookmarkStart w:id="406" w:name="_Toc11173"/>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10</w:t>
      </w:r>
      <w:r>
        <w:rPr>
          <w:rFonts w:hint="eastAsia" w:ascii="宋体" w:hAnsi="宋体" w:cs="宋体"/>
          <w:b/>
          <w:color w:val="000000" w:themeColor="text1"/>
          <w:sz w:val="24"/>
          <w:highlight w:val="none"/>
          <w14:textFill>
            <w14:solidFill>
              <w14:schemeClr w14:val="tx1"/>
            </w14:solidFill>
          </w14:textFill>
        </w:rPr>
        <w:t xml:space="preserve"> 合同生效</w:t>
      </w:r>
      <w:bookmarkEnd w:id="404"/>
      <w:bookmarkEnd w:id="405"/>
      <w:bookmarkEnd w:id="406"/>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b/>
          <w:color w:val="000000" w:themeColor="text1"/>
          <w:sz w:val="24"/>
          <w:highlight w:val="none"/>
          <w14:textFill>
            <w14:solidFill>
              <w14:schemeClr w14:val="tx1"/>
            </w14:solidFill>
          </w14:textFill>
        </w:rPr>
      </w:pPr>
    </w:p>
    <w:p>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pStyle w:val="701"/>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 定义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2.2 技术规范</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2.3 知识产权</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2.5 结算方式和付款条件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2.6 技术资料和保密义务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2.10 合同转让和分包</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lang w:val="en-US" w:eastAsia="zh-CN"/>
          <w14:textFill>
            <w14:solidFill>
              <w14:schemeClr w14:val="tx1"/>
            </w14:solidFill>
          </w14:textFill>
        </w:rPr>
        <w:t>书面</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2.11 不可抗力</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2.12 税费</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2.13 乙方破产</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2.14 合同中止、终止</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2.15 检验和验收</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2.16 通知和送达</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7" w:name="_Toc30599"/>
      <w:bookmarkStart w:id="408" w:name="_Toc4355"/>
      <w:bookmarkStart w:id="409" w:name="_Toc18540"/>
      <w:r>
        <w:rPr>
          <w:rFonts w:hint="eastAsia" w:ascii="宋体" w:hAnsi="宋体" w:cs="宋体"/>
          <w:b/>
          <w:color w:val="000000" w:themeColor="text1"/>
          <w:sz w:val="24"/>
          <w:highlight w:val="none"/>
          <w14:textFill>
            <w14:solidFill>
              <w14:schemeClr w14:val="tx1"/>
            </w14:solidFill>
          </w14:textFill>
        </w:rPr>
        <w:t>2.18 计量单位</w:t>
      </w:r>
      <w:bookmarkEnd w:id="407"/>
      <w:bookmarkEnd w:id="408"/>
      <w:bookmarkEnd w:id="409"/>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bl>
      <w:tblPr>
        <w:tblStyle w:val="62"/>
        <w:tblW w:w="953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0"/>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391" w:hRule="atLeast"/>
        </w:trPr>
        <w:tc>
          <w:tcPr>
            <w:tcW w:w="280" w:type="pct"/>
            <w:tcBorders>
              <w:lef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2341" w:type="pct"/>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391"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乙方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是</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1.4.1</w:t>
            </w:r>
          </w:p>
        </w:tc>
        <w:tc>
          <w:tcPr>
            <w:tcW w:w="2341" w:type="pct"/>
            <w:vAlign w:val="center"/>
          </w:tcPr>
          <w:p>
            <w:pPr>
              <w:spacing w:line="360" w:lineRule="auto"/>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2341" w:type="pct"/>
            <w:vAlign w:val="center"/>
          </w:tcPr>
          <w:p>
            <w:pPr>
              <w:snapToGrid w:val="0"/>
              <w:spacing w:beforeLines="50" w:line="360" w:lineRule="auto"/>
              <w:ind w:right="143" w:rightChars="68" w:firstLine="81" w:firstLineChars="34"/>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签订合同后</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个工作日内，</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lang w:val="en-US" w:eastAsia="zh-CN"/>
                <w14:textFill>
                  <w14:solidFill>
                    <w14:schemeClr w14:val="tx1"/>
                  </w14:solidFill>
                </w14:textFill>
              </w:rPr>
              <w:t>支票、本票、汇票或者</w:t>
            </w:r>
            <w:r>
              <w:rPr>
                <w:rFonts w:hint="eastAsia" w:ascii="宋体" w:hAnsi="宋体" w:cs="宋体"/>
                <w:color w:val="000000" w:themeColor="text1"/>
                <w:sz w:val="24"/>
                <w:highlight w:val="none"/>
                <w14:textFill>
                  <w14:solidFill>
                    <w14:schemeClr w14:val="tx1"/>
                  </w14:solidFill>
                </w14:textFill>
              </w:rPr>
              <w:t>金融机构、担保机构出具的保函等非现金形式</w:t>
            </w:r>
            <w:r>
              <w:rPr>
                <w:rFonts w:hint="eastAsia" w:ascii="宋体" w:hAnsi="宋体" w:cs="宋体"/>
                <w:color w:val="000000" w:themeColor="text1"/>
                <w:sz w:val="24"/>
                <w:highlight w:val="none"/>
                <w:lang w:val="en-US" w:eastAsia="zh-CN"/>
                <w14:textFill>
                  <w14:solidFill>
                    <w14:schemeClr w14:val="tx1"/>
                  </w14:solidFill>
                </w14:textFill>
              </w:rPr>
              <w:t>完成履约保证金</w:t>
            </w:r>
            <w:r>
              <w:rPr>
                <w:rFonts w:hint="eastAsia" w:ascii="宋体" w:hAnsi="宋体" w:cs="宋体"/>
                <w:color w:val="000000" w:themeColor="text1"/>
                <w:sz w:val="24"/>
                <w:highlight w:val="none"/>
                <w14:textFill>
                  <w14:solidFill>
                    <w14:schemeClr w14:val="tx1"/>
                  </w14:solidFill>
                </w14:textFill>
              </w:rPr>
              <w:t>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是</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1.5.1</w:t>
            </w:r>
          </w:p>
        </w:tc>
        <w:tc>
          <w:tcPr>
            <w:tcW w:w="2341" w:type="pct"/>
            <w:vAlign w:val="center"/>
          </w:tcPr>
          <w:p>
            <w:pPr>
              <w:spacing w:line="360" w:lineRule="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个工作日内甲方预付合同金额的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w:t>
            </w:r>
          </w:p>
        </w:tc>
        <w:tc>
          <w:tcPr>
            <w:tcW w:w="2377" w:type="pct"/>
            <w:vAlign w:val="center"/>
          </w:tcPr>
          <w:p>
            <w:pPr>
              <w:spacing w:line="360" w:lineRule="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2377" w:type="pct"/>
          <w:trHeight w:val="88" w:hRule="atLeast"/>
        </w:trPr>
        <w:tc>
          <w:tcPr>
            <w:tcW w:w="280" w:type="pct"/>
            <w:tcBorders>
              <w:left w:val="single" w:color="auto" w:sz="4" w:space="0"/>
            </w:tcBorders>
            <w:vAlign w:val="center"/>
          </w:tcPr>
          <w:p>
            <w:pPr>
              <w:rPr>
                <w:color w:val="000000" w:themeColor="text1"/>
                <w:highlight w:val="none"/>
                <w14:textFill>
                  <w14:solidFill>
                    <w14:schemeClr w14:val="tx1"/>
                  </w14:solidFill>
                </w14:textFill>
              </w:rPr>
            </w:pPr>
          </w:p>
        </w:tc>
        <w:tc>
          <w:tcPr>
            <w:tcW w:w="2341" w:type="pct"/>
            <w:vAlign w:val="center"/>
          </w:tcPr>
          <w:p>
            <w:pPr>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2341" w:type="pct"/>
            <w:vAlign w:val="center"/>
          </w:tcPr>
          <w:p>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个工作日内甲方预付合同金额的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%作为预付款。甲方对乙方物业服务与管理工作考核合格后，凭乙方开具的正规发票和甲方认可的各项记录复印件</w:t>
            </w:r>
            <w:r>
              <w:rPr>
                <w:rFonts w:hint="eastAsia" w:ascii="宋体" w:hAnsi="宋体" w:eastAsia="宋体" w:cs="宋体"/>
                <w:color w:val="000000" w:themeColor="text1"/>
                <w:sz w:val="24"/>
                <w:highlight w:val="none"/>
                <w:lang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8月底前支付</w:t>
            </w:r>
            <w:r>
              <w:rPr>
                <w:rFonts w:hint="eastAsia" w:ascii="宋体" w:hAnsi="宋体" w:cs="宋体"/>
                <w:color w:val="000000" w:themeColor="text1"/>
                <w:sz w:val="24"/>
                <w:highlight w:val="none"/>
                <w:lang w:val="en-US" w:eastAsia="zh-CN"/>
                <w14:textFill>
                  <w14:solidFill>
                    <w14:schemeClr w14:val="tx1"/>
                  </w14:solidFill>
                </w14:textFill>
              </w:rPr>
              <w:t>合同金额的30%，11月底前完成尾款支付。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t>2024年1月1日至2024年12月31日。特别说明：2024年1月1日至合同签订之日前的空档期物业服务由原供应商承担，费用由中标人按本次中标价单日金额乘以实际服务天数，与原供应商结算</w:t>
            </w:r>
            <w:r>
              <w:rPr>
                <w:rFonts w:hint="eastAsia" w:hAnsi="宋体" w:cs="宋体"/>
                <w:bCs/>
                <w:color w:val="000000" w:themeColor="text1"/>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2341" w:type="pct"/>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杭州市城西中学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列入本次招标的内容为</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传达、保安、秩序管理；绿化管理（包括草花、盆花摆放、养护和清洁）；环境卫生管理（包括门前“三包”、垃圾清运、化粪池清掏、灭“四害”和消杀）；场馆保洁；</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学农实践基地维护与管理；</w:t>
            </w:r>
            <w:r>
              <w:rPr>
                <w:rFonts w:hint="eastAsia" w:ascii="宋体" w:hAnsi="宋体" w:eastAsia="宋体" w:cs="宋体"/>
                <w:snapToGrid w:val="0"/>
                <w:color w:val="000000" w:themeColor="text1"/>
                <w:kern w:val="28"/>
                <w:sz w:val="24"/>
                <w:szCs w:val="20"/>
                <w:highlight w:val="none"/>
                <w14:textFill>
                  <w14:solidFill>
                    <w14:schemeClr w14:val="tx1"/>
                  </w14:solidFill>
                </w14:textFill>
              </w:rPr>
              <w:t>高低压线路、照明及供电设备管理维护（包括高低配年度检测）；给排水设备运行维护；消防、监控、防雷设施管理维护（包括防雷检测，监控保养）；空调系统运行维护；家长会等会议及学生活动服务保障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甲方接受乙方的服务，但不放弃对乙方违约行为进行追究的权利；同时，若甲方对乙方某一违约行为放弃进行追究的权利，但不放弃对乙方其他违约行为进行追究的权利。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向</w:t>
            </w:r>
            <w:r>
              <w:rPr>
                <w:rFonts w:hint="eastAsia" w:ascii="宋体" w:hAnsi="宋体"/>
                <w:color w:val="000000" w:themeColor="text1"/>
                <w:sz w:val="24"/>
                <w:highlight w:val="none"/>
                <w:lang w:val="en-US" w:eastAsia="zh-CN"/>
                <w14:textFill>
                  <w14:solidFill>
                    <w14:schemeClr w14:val="tx1"/>
                  </w14:solidFill>
                </w14:textFill>
              </w:rPr>
              <w:t>甲方所在地</w:t>
            </w:r>
            <w:r>
              <w:rPr>
                <w:rFonts w:hint="eastAsia" w:ascii="宋体" w:hAnsi="宋体" w:eastAsia="宋体"/>
                <w:color w:val="000000" w:themeColor="text1"/>
                <w:sz w:val="24"/>
                <w:highlight w:val="none"/>
                <w14:textFill>
                  <w14:solidFill>
                    <w14:schemeClr w14:val="tx1"/>
                  </w14:solidFill>
                </w14:textFill>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2341" w:type="pct"/>
            <w:vAlign w:val="center"/>
          </w:tcPr>
          <w:p>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2341" w:type="pct"/>
            <w:vAlign w:val="center"/>
          </w:tcPr>
          <w:p>
            <w:pPr>
              <w:widowControl/>
              <w:adjustRightInd/>
              <w:spacing w:line="360" w:lineRule="auto"/>
              <w:ind w:left="0" w:leftChars="0" w:right="0" w:rightChars="0" w:firstLine="0" w:firstLineChars="0"/>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同签订后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个工作日内甲方预付合同金额的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%作为预付款。甲方对乙方物业服务与管理工作考核合格后，凭乙方开具的正规发票和甲方认可的各项记录复印件</w:t>
            </w:r>
            <w:r>
              <w:rPr>
                <w:rFonts w:hint="eastAsia" w:ascii="宋体" w:hAnsi="宋体" w:eastAsia="宋体" w:cs="宋体"/>
                <w:color w:val="000000" w:themeColor="text1"/>
                <w:sz w:val="24"/>
                <w:highlight w:val="none"/>
                <w:lang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8月底前支付</w:t>
            </w:r>
            <w:r>
              <w:rPr>
                <w:rFonts w:hint="eastAsia" w:ascii="宋体" w:hAnsi="宋体" w:cs="宋体"/>
                <w:color w:val="000000" w:themeColor="text1"/>
                <w:sz w:val="24"/>
                <w:highlight w:val="none"/>
                <w:lang w:val="en-US" w:eastAsia="zh-CN"/>
                <w14:textFill>
                  <w14:solidFill>
                    <w14:schemeClr w14:val="tx1"/>
                  </w14:solidFill>
                </w14:textFill>
              </w:rPr>
              <w:t>合同金额的30%，11月底前完成尾款支付。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2341" w:type="pct"/>
            <w:vAlign w:val="center"/>
          </w:tcPr>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因不可抗力致使合同有变更必要的，双方当事人应在内30个工作日内以书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2341" w:type="pct"/>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受不可抗力影响的一方在不可抗力发生后，应在不可抗力事件结束后15日内以书面形式通知对方当事人，并在不可抗力事件结束后15日内，将有关部门出具的证明文件送达对方当事人。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88" w:hRule="atLeast"/>
        </w:trPr>
        <w:tc>
          <w:tcPr>
            <w:tcW w:w="280" w:type="pct"/>
            <w:tcBorders>
              <w:lef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2341" w:type="pct"/>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甲方按照《杭州市政府采购履约验收暂行办法》（杭财采监</w:t>
            </w:r>
            <w:r>
              <w:rPr>
                <w:rFonts w:ascii="宋体" w:hAnsi="宋体" w:eastAsia="宋体" w:cs="宋体"/>
                <w:color w:val="000000" w:themeColor="text1"/>
                <w:sz w:val="24"/>
                <w:highlight w:val="none"/>
                <w14:textFill>
                  <w14:solidFill>
                    <w14:schemeClr w14:val="tx1"/>
                  </w14:solidFill>
                </w14:textFill>
              </w:rPr>
              <w:t>[2019]10号）规定组织对乙方履约的验收。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377" w:type="pct"/>
          <w:trHeight w:val="352" w:hRule="atLeast"/>
        </w:trPr>
        <w:tc>
          <w:tcPr>
            <w:tcW w:w="280" w:type="pct"/>
            <w:tcBorders>
              <w:left w:val="single" w:color="auto" w:sz="4" w:space="0"/>
            </w:tcBorders>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2341" w:type="pct"/>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一式陆份，甲方执肆份，乙方执贰份。</w:t>
            </w:r>
          </w:p>
        </w:tc>
      </w:tr>
    </w:tbl>
    <w:p>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6"/>
      <w:r>
        <w:rPr>
          <w:rFonts w:hint="eastAsia" w:ascii="宋体" w:hAnsi="宋体" w:cs="宋体"/>
          <w:b/>
          <w:color w:val="000000" w:themeColor="text1"/>
          <w:sz w:val="36"/>
          <w:szCs w:val="20"/>
          <w:highlight w:val="none"/>
          <w14:textFill>
            <w14:solidFill>
              <w14:schemeClr w14:val="tx1"/>
            </w14:solidFill>
          </w14:textFill>
        </w:rPr>
        <w:t xml:space="preserve"> </w:t>
      </w:r>
      <w:bookmarkEnd w:id="397"/>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firstLine="480" w:firstLineChars="200"/>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三、落实政府采购政策需满足的资格要求（如果有）</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四、本项目的特定资格要求（如果有）</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10" w:name="_Hlk101257010"/>
      <w:r>
        <w:rPr>
          <w:rFonts w:hint="eastAsia" w:ascii="宋体" w:hAnsi="宋体" w:cs="宋体"/>
          <w:color w:val="000000" w:themeColor="text1"/>
          <w:sz w:val="24"/>
          <w:highlight w:val="none"/>
          <w14:textFill>
            <w14:solidFill>
              <w14:schemeClr w14:val="tx1"/>
            </w14:solidFill>
          </w14:textFill>
        </w:rPr>
        <w:t>（如果有)</w:t>
      </w:r>
      <w:bookmarkEnd w:id="410"/>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2.3.2 报价情况说明（如果有）；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r>
        <w:rPr>
          <w:rFonts w:hint="eastAsia" w:ascii="宋体" w:hAnsi="宋体" w:eastAsia="宋体" w:cs="宋体"/>
          <w:color w:val="000000" w:themeColor="text1"/>
          <w:sz w:val="24"/>
          <w:highlight w:val="none"/>
          <w14:textFill>
            <w14:solidFill>
              <w14:schemeClr w14:val="tx1"/>
            </w14:solidFill>
          </w14:textFill>
        </w:rPr>
        <w:t>对投标文件中材料的真实性、合法性负责。</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2"/>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8"/>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8"/>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、杭州市公共资源交易中心</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11" w:name="OLE_LINK14"/>
      <w:bookmarkStart w:id="412"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11"/>
    <w:bookmarkEnd w:id="412"/>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u w:val="single"/>
          <w14:textFill>
            <w14:solidFill>
              <w14:schemeClr w14:val="tx1"/>
            </w14:solidFill>
          </w14:textFill>
        </w:rPr>
        <w:t>、杭州市公共资源交易中心：</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13"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13"/>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14"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14"/>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1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15"/>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HZZFCG-2024-032（1）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2"/>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 xml:space="preserve">杭州市城西中学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杭州市城西中学2024年物业服务项目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物业管理服务项目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eastAsia="zh-CN"/>
          <w14:textFill>
            <w14:solidFill>
              <w14:schemeClr w14:val="tx1"/>
            </w14:solidFill>
          </w14:textFill>
        </w:rPr>
        <w:t>物业管理</w:t>
      </w:r>
      <w:r>
        <w:rPr>
          <w:rFonts w:hint="eastAsia" w:ascii="宋体" w:hAnsi="宋体" w:cs="宋体"/>
          <w:color w:val="000000" w:themeColor="text1"/>
          <w:sz w:val="24"/>
          <w:highlight w:val="none"/>
          <w:u w:val="none"/>
          <w:lang w:val="en-US" w:eastAsia="zh-CN"/>
          <w14:textFill>
            <w14:solidFill>
              <w14:schemeClr w14:val="tx1"/>
            </w14:solidFill>
          </w14:textFill>
        </w:rPr>
        <w:t>行业</w:t>
      </w:r>
      <w:r>
        <w:rPr>
          <w:rFonts w:hint="eastAsia" w:ascii="宋体" w:hAnsi="宋体" w:cs="宋体"/>
          <w:color w:val="000000" w:themeColor="text1"/>
          <w:sz w:val="24"/>
          <w:highlight w:val="none"/>
          <w14:textFill>
            <w14:solidFill>
              <w14:schemeClr w14:val="tx1"/>
            </w14:solidFill>
          </w14:textFill>
        </w:rPr>
        <w:t xml:space="preserve"> ；承接企业为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6" w:name="_Toc131845147"/>
    <w:bookmarkStart w:id="417" w:name="_Toc36110187"/>
    <w:bookmarkStart w:id="418" w:name="_Toc91899912"/>
    <w:bookmarkStart w:id="419" w:name="_Toc164085800"/>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right"/>
      <w:rPr>
        <w:rFonts w:ascii="仿宋_GB2312" w:eastAsia="仿宋_GB2312"/>
        <w:b w:val="0"/>
        <w:i/>
        <w:sz w:val="18"/>
        <w:u w:val="single"/>
      </w:rPr>
    </w:pPr>
    <w:r>
      <w:rPr>
        <w:rFonts w:eastAsia="仿宋_GB2312"/>
        <w:b w:val="0"/>
        <w:i/>
        <w:sz w:val="18"/>
        <w:u w:val="single"/>
      </w:rPr>
      <w:t xml:space="preserve">                                      </w:t>
    </w:r>
    <w:r>
      <w:rPr>
        <w:rFonts w:hint="eastAsia" w:eastAsia="仿宋_GB2312"/>
        <w:b w:val="0"/>
        <w:i/>
        <w:sz w:val="18"/>
        <w:u w:val="single"/>
      </w:rPr>
      <w:t xml:space="preserve">     </w:t>
    </w:r>
    <w:r>
      <w:rPr>
        <w:rFonts w:eastAsia="仿宋_GB2312"/>
        <w:b w:val="0"/>
        <w:i/>
        <w:sz w:val="18"/>
        <w:u w:val="single"/>
      </w:rPr>
      <w:t xml:space="preserve">  </w:t>
    </w:r>
    <w:r>
      <w:rPr>
        <w:rFonts w:hint="eastAsia" w:eastAsia="仿宋_GB2312"/>
        <w:b w:val="0"/>
        <w:i/>
        <w:sz w:val="18"/>
        <w:u w:val="single"/>
        <w:lang w:val="en-US"/>
      </w:rPr>
      <w:t>杭州市城西中学</w:t>
    </w:r>
    <w:r>
      <w:rPr>
        <w:rFonts w:hint="eastAsia" w:eastAsia="仿宋_GB2312"/>
        <w:b w:val="0"/>
        <w:i/>
        <w:sz w:val="18"/>
        <w:u w:val="single"/>
      </w:rPr>
      <w:t>202</w:t>
    </w:r>
    <w:r>
      <w:rPr>
        <w:rFonts w:hint="eastAsia" w:eastAsia="仿宋_GB2312"/>
        <w:b w:val="0"/>
        <w:i/>
        <w:sz w:val="18"/>
        <w:u w:val="single"/>
        <w:lang w:val="en-US" w:eastAsia="zh-CN"/>
      </w:rPr>
      <w:t>4</w:t>
    </w:r>
    <w:r>
      <w:rPr>
        <w:rFonts w:hint="eastAsia" w:eastAsia="仿宋_GB2312"/>
        <w:b w:val="0"/>
        <w:i/>
        <w:sz w:val="18"/>
        <w:u w:val="single"/>
      </w:rPr>
      <w:t xml:space="preserve">物业服务项目需求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eastAsia="仿宋_GB2312"/>
        <w:b/>
        <w:i/>
        <w:u w:val="single"/>
      </w:rPr>
      <w:t>杭州市城西中学202</w:t>
    </w:r>
    <w:r>
      <w:rPr>
        <w:rFonts w:hint="eastAsia" w:eastAsia="仿宋_GB2312"/>
        <w:b/>
        <w:i/>
        <w:u w:val="single"/>
        <w:lang w:val="en-US" w:eastAsia="zh-CN"/>
      </w:rPr>
      <w:t>4</w:t>
    </w:r>
    <w:r>
      <w:rPr>
        <w:rFonts w:hint="eastAsia" w:eastAsia="仿宋_GB2312"/>
        <w:b/>
        <w:i/>
        <w:u w:val="single"/>
      </w:rPr>
      <w:t xml:space="preserve">年物业服务项目需求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D2E98"/>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13784"/>
    <w:rsid w:val="0A5B7E63"/>
    <w:rsid w:val="0A9376DE"/>
    <w:rsid w:val="0AA374A5"/>
    <w:rsid w:val="0AAB7649"/>
    <w:rsid w:val="0ABC5606"/>
    <w:rsid w:val="0AED776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11F28"/>
    <w:rsid w:val="13072A44"/>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EB0D31"/>
    <w:rsid w:val="1AF06CFB"/>
    <w:rsid w:val="1AF11B8D"/>
    <w:rsid w:val="1B11359C"/>
    <w:rsid w:val="1B2A271F"/>
    <w:rsid w:val="1B530544"/>
    <w:rsid w:val="1B713184"/>
    <w:rsid w:val="1BA209CF"/>
    <w:rsid w:val="1BB4777D"/>
    <w:rsid w:val="1BBC5D0B"/>
    <w:rsid w:val="1BD75AB8"/>
    <w:rsid w:val="1BD96C46"/>
    <w:rsid w:val="1C0459C2"/>
    <w:rsid w:val="1C1B3B4A"/>
    <w:rsid w:val="1C88086E"/>
    <w:rsid w:val="1D266CE1"/>
    <w:rsid w:val="1D3963AF"/>
    <w:rsid w:val="1D6A673C"/>
    <w:rsid w:val="1D9247AE"/>
    <w:rsid w:val="1DB567EC"/>
    <w:rsid w:val="1DF51A98"/>
    <w:rsid w:val="1DF66931"/>
    <w:rsid w:val="1DFB74DD"/>
    <w:rsid w:val="1E2F53D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AE2AB8"/>
    <w:rsid w:val="21B5B083"/>
    <w:rsid w:val="21D56769"/>
    <w:rsid w:val="21E52EF3"/>
    <w:rsid w:val="21FB5D7B"/>
    <w:rsid w:val="22015E94"/>
    <w:rsid w:val="220B1C3D"/>
    <w:rsid w:val="221B2723"/>
    <w:rsid w:val="221D1D20"/>
    <w:rsid w:val="22334A87"/>
    <w:rsid w:val="225369EC"/>
    <w:rsid w:val="22BE6801"/>
    <w:rsid w:val="233500BF"/>
    <w:rsid w:val="23377FF7"/>
    <w:rsid w:val="236B425F"/>
    <w:rsid w:val="23836192"/>
    <w:rsid w:val="23901F29"/>
    <w:rsid w:val="239C0061"/>
    <w:rsid w:val="23B908A4"/>
    <w:rsid w:val="23E95BEF"/>
    <w:rsid w:val="23FD0064"/>
    <w:rsid w:val="24510BFF"/>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33CA3"/>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85B1C"/>
    <w:rsid w:val="2A7D76B4"/>
    <w:rsid w:val="2A866380"/>
    <w:rsid w:val="2B437463"/>
    <w:rsid w:val="2B6D12EE"/>
    <w:rsid w:val="2B7807EE"/>
    <w:rsid w:val="2BA50BF7"/>
    <w:rsid w:val="2BBF00EC"/>
    <w:rsid w:val="2BC312FF"/>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81ACE"/>
    <w:rsid w:val="2FFD7934"/>
    <w:rsid w:val="30733ACD"/>
    <w:rsid w:val="308C3862"/>
    <w:rsid w:val="309379D8"/>
    <w:rsid w:val="30A270F7"/>
    <w:rsid w:val="30DF1478"/>
    <w:rsid w:val="30EC586F"/>
    <w:rsid w:val="319C6071"/>
    <w:rsid w:val="31AC537E"/>
    <w:rsid w:val="31C84FFD"/>
    <w:rsid w:val="31E3679B"/>
    <w:rsid w:val="31E57E30"/>
    <w:rsid w:val="31E732FD"/>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91503"/>
    <w:rsid w:val="37EE7094"/>
    <w:rsid w:val="38296C89"/>
    <w:rsid w:val="383002EB"/>
    <w:rsid w:val="38586797"/>
    <w:rsid w:val="38BC0149"/>
    <w:rsid w:val="38D87D1C"/>
    <w:rsid w:val="39463BE4"/>
    <w:rsid w:val="39636459"/>
    <w:rsid w:val="396B7F6C"/>
    <w:rsid w:val="39B417A9"/>
    <w:rsid w:val="39FC5695"/>
    <w:rsid w:val="3A006D8E"/>
    <w:rsid w:val="3A3651E5"/>
    <w:rsid w:val="3A744481"/>
    <w:rsid w:val="3A8C7BEF"/>
    <w:rsid w:val="3A906246"/>
    <w:rsid w:val="3B160A7B"/>
    <w:rsid w:val="3B2349B7"/>
    <w:rsid w:val="3B616CFF"/>
    <w:rsid w:val="3B6259F6"/>
    <w:rsid w:val="3B976654"/>
    <w:rsid w:val="3BC01EFC"/>
    <w:rsid w:val="3BCA786A"/>
    <w:rsid w:val="3BD31E2F"/>
    <w:rsid w:val="3BF15831"/>
    <w:rsid w:val="3C105946"/>
    <w:rsid w:val="3C471448"/>
    <w:rsid w:val="3C5F759A"/>
    <w:rsid w:val="3C6C525A"/>
    <w:rsid w:val="3CB02AE7"/>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E76BF"/>
    <w:rsid w:val="45317DFB"/>
    <w:rsid w:val="456D3CE4"/>
    <w:rsid w:val="4579042C"/>
    <w:rsid w:val="457F0571"/>
    <w:rsid w:val="45851176"/>
    <w:rsid w:val="459C6E9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869CF"/>
    <w:rsid w:val="4AFD7C19"/>
    <w:rsid w:val="4B0567D1"/>
    <w:rsid w:val="4B236AAE"/>
    <w:rsid w:val="4B2E419E"/>
    <w:rsid w:val="4B707271"/>
    <w:rsid w:val="4B9739F7"/>
    <w:rsid w:val="4BC54627"/>
    <w:rsid w:val="4BEE2503"/>
    <w:rsid w:val="4C245A30"/>
    <w:rsid w:val="4CB6685F"/>
    <w:rsid w:val="4CC367FE"/>
    <w:rsid w:val="4CC72AFC"/>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D74A6"/>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B6E66"/>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C5260"/>
    <w:rsid w:val="583848A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E5F43"/>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6075B"/>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6358"/>
    <w:rsid w:val="6FD75BF8"/>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C0646E"/>
    <w:rsid w:val="742222F5"/>
    <w:rsid w:val="74476126"/>
    <w:rsid w:val="74706664"/>
    <w:rsid w:val="747F3682"/>
    <w:rsid w:val="749C4185"/>
    <w:rsid w:val="74AA6C0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A4484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0"/>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5950</Words>
  <Characters>33920</Characters>
  <Lines>282</Lines>
  <Paragraphs>79</Paragraphs>
  <TotalTime>39</TotalTime>
  <ScaleCrop>false</ScaleCrop>
  <LinksUpToDate>false</LinksUpToDate>
  <CharactersWithSpaces>39791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2024-03-22T06:50:00Z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