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p>
    <w:p>
      <w:pPr>
        <w:adjustRightInd/>
        <w:spacing w:line="360" w:lineRule="auto"/>
        <w:jc w:val="center"/>
        <w:rPr>
          <w:rFonts w:ascii="宋体" w:hAnsi="宋体" w:cs="宋体"/>
          <w:b/>
          <w:color w:val="auto"/>
          <w:sz w:val="44"/>
          <w:szCs w:val="44"/>
          <w:highlight w:val="none"/>
        </w:rPr>
      </w:pPr>
    </w:p>
    <w:p>
      <w:pPr>
        <w:spacing w:line="360" w:lineRule="auto"/>
        <w:jc w:val="center"/>
        <w:rPr>
          <w:rFonts w:ascii="宋体" w:hAnsi="宋体" w:cs="宋体"/>
          <w:b/>
          <w:color w:val="auto"/>
          <w:sz w:val="44"/>
          <w:szCs w:val="44"/>
          <w:highlight w:val="none"/>
        </w:rPr>
      </w:pPr>
    </w:p>
    <w:p>
      <w:pPr>
        <w:adjustRightInd/>
        <w:spacing w:line="360" w:lineRule="auto"/>
        <w:jc w:val="center"/>
        <w:rPr>
          <w:rFonts w:ascii="宋体" w:hAnsi="宋体" w:cs="宋体"/>
          <w:b/>
          <w:color w:val="auto"/>
          <w:sz w:val="48"/>
          <w:szCs w:val="48"/>
          <w:highlight w:val="none"/>
        </w:rPr>
      </w:pP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杭州市公安局研发中心家具采购项目</w:t>
      </w:r>
    </w:p>
    <w:p>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编号:HZZFCG-2022-152</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杭州市公安局</w:t>
      </w:r>
    </w:p>
    <w:p>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杭州市公共资源交易中心</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二</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九</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日</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pPr>
        <w:spacing w:line="360" w:lineRule="auto"/>
        <w:jc w:val="center"/>
        <w:rPr>
          <w:rFonts w:ascii="宋体" w:hAnsi="宋体" w:cs="宋体"/>
          <w:color w:val="auto"/>
          <w:sz w:val="24"/>
          <w:highlight w:val="none"/>
        </w:rPr>
      </w:pPr>
    </w:p>
    <w:p>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9822"/>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杭州市公安局研发中心家具采购项目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HZZFCG-2022-152</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杭州市公安局研发中心家具采购项目</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ascii="宋体" w:hAnsi="宋体" w:cs="宋体"/>
          <w:color w:val="auto"/>
          <w:sz w:val="24"/>
          <w:highlight w:val="none"/>
        </w:rPr>
        <w:t>429000</w:t>
      </w:r>
      <w:r>
        <w:rPr>
          <w:rFonts w:hint="eastAsia" w:ascii="宋体" w:hAnsi="宋体" w:cs="宋体"/>
          <w:color w:val="auto"/>
          <w:sz w:val="24"/>
          <w:highlight w:val="none"/>
        </w:rPr>
        <w:t xml:space="preserve">  </w:t>
      </w:r>
    </w:p>
    <w:p>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ascii="宋体" w:hAnsi="宋体" w:cs="宋体"/>
          <w:color w:val="auto"/>
          <w:sz w:val="24"/>
          <w:highlight w:val="none"/>
        </w:rPr>
        <w:t>429000</w:t>
      </w:r>
      <w:r>
        <w:rPr>
          <w:rFonts w:hint="eastAsia" w:ascii="宋体" w:hAnsi="宋体" w:cs="宋体"/>
          <w:color w:val="auto"/>
          <w:sz w:val="24"/>
          <w:highlight w:val="none"/>
        </w:rPr>
        <w:t xml:space="preserve">  </w:t>
      </w:r>
    </w:p>
    <w:p>
      <w:pPr>
        <w:pStyle w:val="5"/>
        <w:spacing w:line="360" w:lineRule="auto"/>
        <w:ind w:firstLine="48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rPr>
        <w:t>杭州市公安局研发中心家具采购项目主要内容： 民警办公桌90张、民警办公椅180把、钢质文件柜10个、钢质档案柜40个、小型会议桌4张、大型会议桌1张、会议椅44把、单人沙发6个、茶几2个、培训椅带小板桌40把、工作椅4把。具体以招标文件第三部分采购需求为准。</w:t>
      </w:r>
    </w:p>
    <w:p>
      <w:pPr>
        <w:pStyle w:val="128"/>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Cs/>
          <w:color w:val="auto"/>
          <w:szCs w:val="24"/>
          <w:highlight w:val="none"/>
        </w:rPr>
        <w:t>合同签订后30个工作日内完成全部产品的到货、送货、搬运、安装等。</w:t>
      </w:r>
    </w:p>
    <w:p>
      <w:pPr>
        <w:pStyle w:val="5"/>
        <w:spacing w:line="360" w:lineRule="auto"/>
        <w:ind w:firstLine="480"/>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sym w:font="Wingdings" w:char="F0FE"/>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hAnsi="宋体"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货物全部由符合政策要求的中小企业制造，提供中小企业声明函；</w:t>
      </w:r>
    </w:p>
    <w:p>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货物全部由符合政策要求的小微企业制造，提供中小企业声明函；</w:t>
      </w:r>
    </w:p>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cs="宋体"/>
          <w:color w:val="auto"/>
          <w:sz w:val="24"/>
          <w:highlight w:val="none"/>
        </w:rPr>
        <w:t>；</w:t>
      </w:r>
    </w:p>
    <w:bookmarkEnd w:id="12"/>
    <w:p>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如果供应商本身提供所有标的均由中小企业制造、承建或承接，视同符合了资格条件，无需再向中小企业分包，无需提供分包意向协议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.本项目的特定资格要求：无；</w:t>
      </w:r>
    </w:p>
    <w:p>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27</w:t>
      </w:r>
      <w:bookmarkStart w:id="211" w:name="_GoBack"/>
      <w:bookmarkEnd w:id="211"/>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称：杭州市公安局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址：杭州市上城区华光路35号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 xml:space="preserve">项目联系人（询问）：张先生  </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项目联系方式（询问）： 0571-87280798</w:t>
      </w:r>
    </w:p>
    <w:p>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质疑联系人： 陈先生</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 0571-87280237</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称：杭州市公共资源交易中心</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址：杭州市之江路925号（临江金座2号楼)</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项目联系人（询问）：张曙平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项目联系方式（询问）：0571-85085067</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质疑联系人：滕菲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质疑联系方式：0571-85085388</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址：杭州市中河中路152号617办公室 </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  传    真：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：厉先生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监督投诉电话：0571-</w:t>
      </w:r>
      <w:r>
        <w:rPr>
          <w:rFonts w:ascii="宋体" w:hAnsi="宋体" w:cs="宋体"/>
          <w:color w:val="auto"/>
          <w:sz w:val="24"/>
          <w:highlight w:val="none"/>
        </w:rPr>
        <w:t>89580456</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pStyle w:val="32"/>
        <w:spacing w:line="360" w:lineRule="auto"/>
        <w:rPr>
          <w:rFonts w:hAnsi="宋体" w:cs="宋体"/>
          <w:color w:val="auto"/>
          <w:sz w:val="24"/>
          <w:highlight w:val="none"/>
        </w:rPr>
      </w:pPr>
      <w:r>
        <w:rPr>
          <w:rFonts w:hint="eastAsia" w:hAnsi="宋体" w:cs="宋体"/>
          <w:color w:val="auto"/>
          <w:sz w:val="24"/>
          <w:highlight w:val="none"/>
        </w:rPr>
        <w:t xml:space="preserve">                       </w:t>
      </w:r>
    </w:p>
    <w:p>
      <w:pPr>
        <w:pStyle w:val="32"/>
        <w:spacing w:line="360" w:lineRule="auto"/>
        <w:ind w:firstLine="1680" w:firstLineChars="700"/>
        <w:rPr>
          <w:rFonts w:hAnsi="宋体" w:cs="宋体"/>
          <w:b/>
          <w:color w:val="auto"/>
          <w:sz w:val="36"/>
          <w:szCs w:val="20"/>
          <w:highlight w:val="none"/>
        </w:rPr>
      </w:pPr>
      <w:r>
        <w:rPr>
          <w:rFonts w:hint="eastAsia" w:hAnsi="宋体" w:cs="宋体"/>
          <w:color w:val="auto"/>
          <w:sz w:val="24"/>
          <w:highlight w:val="none"/>
        </w:rPr>
        <w:t xml:space="preserve"> </w:t>
      </w:r>
      <w:r>
        <w:rPr>
          <w:rFonts w:hAnsi="宋体" w:cs="宋体"/>
          <w:b/>
          <w:color w:val="auto"/>
          <w:sz w:val="36"/>
          <w:szCs w:val="20"/>
          <w:highlight w:val="none"/>
        </w:rPr>
        <w:t xml:space="preserve"> </w:t>
      </w:r>
    </w:p>
    <w:p>
      <w:pPr>
        <w:pStyle w:val="32"/>
        <w:spacing w:line="360" w:lineRule="auto"/>
        <w:ind w:firstLine="2530" w:firstLineChars="700"/>
        <w:rPr>
          <w:rFonts w:hAnsi="宋体" w:cs="宋体"/>
          <w:b/>
          <w:color w:val="auto"/>
          <w:sz w:val="36"/>
          <w:szCs w:val="20"/>
          <w:highlight w:val="none"/>
        </w:rPr>
      </w:pPr>
    </w:p>
    <w:p>
      <w:pPr>
        <w:pStyle w:val="32"/>
        <w:spacing w:line="360" w:lineRule="auto"/>
        <w:ind w:firstLine="2530" w:firstLineChars="700"/>
        <w:rPr>
          <w:rFonts w:hAnsi="宋体" w:cs="宋体"/>
          <w:b/>
          <w:color w:val="auto"/>
          <w:sz w:val="36"/>
          <w:szCs w:val="20"/>
          <w:highlight w:val="none"/>
        </w:rPr>
      </w:pPr>
    </w:p>
    <w:p>
      <w:pPr>
        <w:pStyle w:val="32"/>
        <w:spacing w:line="360" w:lineRule="auto"/>
        <w:ind w:firstLine="2530" w:firstLineChars="700"/>
        <w:rPr>
          <w:rFonts w:hAnsi="宋体" w:cs="宋体"/>
          <w:b/>
          <w:color w:val="auto"/>
          <w:sz w:val="36"/>
          <w:szCs w:val="20"/>
          <w:highlight w:val="none"/>
        </w:rPr>
      </w:pPr>
    </w:p>
    <w:p>
      <w:pPr>
        <w:pStyle w:val="32"/>
        <w:spacing w:line="360" w:lineRule="auto"/>
        <w:ind w:firstLine="2530" w:firstLineChars="700"/>
        <w:rPr>
          <w:rFonts w:hAnsi="宋体" w:cs="宋体"/>
          <w:b/>
          <w:color w:val="auto"/>
          <w:sz w:val="36"/>
          <w:szCs w:val="20"/>
          <w:highlight w:val="none"/>
        </w:rPr>
      </w:pPr>
    </w:p>
    <w:p>
      <w:pPr>
        <w:pStyle w:val="32"/>
        <w:spacing w:line="360" w:lineRule="auto"/>
        <w:ind w:firstLine="2530" w:firstLineChars="700"/>
        <w:rPr>
          <w:rFonts w:hAnsi="宋体" w:cs="宋体"/>
          <w:b/>
          <w:color w:val="auto"/>
          <w:sz w:val="36"/>
          <w:szCs w:val="20"/>
          <w:highlight w:val="none"/>
        </w:rPr>
      </w:pPr>
    </w:p>
    <w:p>
      <w:pPr>
        <w:pStyle w:val="32"/>
        <w:spacing w:line="360" w:lineRule="auto"/>
        <w:ind w:firstLine="2530" w:firstLineChars="700"/>
        <w:rPr>
          <w:rFonts w:hAnsi="宋体" w:cs="宋体"/>
          <w:b/>
          <w:color w:val="auto"/>
          <w:sz w:val="36"/>
          <w:szCs w:val="20"/>
          <w:highlight w:val="none"/>
        </w:rPr>
      </w:pPr>
    </w:p>
    <w:p>
      <w:pPr>
        <w:pStyle w:val="32"/>
        <w:spacing w:line="360" w:lineRule="auto"/>
        <w:ind w:firstLine="2530" w:firstLineChars="700"/>
        <w:rPr>
          <w:rFonts w:hAnsi="宋体" w:cs="宋体"/>
          <w:b/>
          <w:color w:val="auto"/>
          <w:sz w:val="36"/>
          <w:szCs w:val="20"/>
          <w:highlight w:val="none"/>
        </w:rPr>
      </w:pPr>
    </w:p>
    <w:p>
      <w:pPr>
        <w:pStyle w:val="32"/>
        <w:spacing w:line="360" w:lineRule="auto"/>
        <w:ind w:firstLine="2530" w:firstLineChars="700"/>
        <w:rPr>
          <w:rFonts w:hAnsi="宋体" w:cs="宋体"/>
          <w:b/>
          <w:color w:val="auto"/>
          <w:sz w:val="36"/>
          <w:szCs w:val="20"/>
          <w:highlight w:val="none"/>
        </w:rPr>
      </w:pPr>
    </w:p>
    <w:p>
      <w:pPr>
        <w:pStyle w:val="32"/>
        <w:spacing w:line="360" w:lineRule="auto"/>
        <w:ind w:firstLine="2530" w:firstLineChars="700"/>
        <w:rPr>
          <w:rFonts w:hAnsi="宋体" w:cs="宋体"/>
          <w:b/>
          <w:color w:val="auto"/>
          <w:sz w:val="36"/>
          <w:szCs w:val="20"/>
          <w:highlight w:val="none"/>
        </w:rPr>
      </w:pPr>
    </w:p>
    <w:p>
      <w:pPr>
        <w:pStyle w:val="32"/>
        <w:spacing w:line="360" w:lineRule="auto"/>
        <w:ind w:firstLine="2530" w:firstLineChars="700"/>
        <w:rPr>
          <w:rFonts w:hAnsi="宋体" w:cs="宋体"/>
          <w:b/>
          <w:color w:val="auto"/>
          <w:sz w:val="36"/>
          <w:szCs w:val="20"/>
          <w:highlight w:val="none"/>
        </w:rPr>
      </w:pPr>
    </w:p>
    <w:p>
      <w:pPr>
        <w:pStyle w:val="32"/>
        <w:spacing w:line="360" w:lineRule="auto"/>
        <w:ind w:firstLine="2530" w:firstLineChars="700"/>
        <w:rPr>
          <w:rFonts w:hAnsi="宋体" w:cs="宋体"/>
          <w:b/>
          <w:color w:val="auto"/>
          <w:sz w:val="36"/>
          <w:szCs w:val="20"/>
          <w:highlight w:val="none"/>
        </w:rPr>
      </w:pPr>
    </w:p>
    <w:p>
      <w:pPr>
        <w:pStyle w:val="32"/>
        <w:spacing w:line="360" w:lineRule="auto"/>
        <w:ind w:firstLine="2530" w:firstLineChars="700"/>
        <w:rPr>
          <w:rFonts w:hAnsi="宋体" w:cs="宋体"/>
          <w:b/>
          <w:color w:val="auto"/>
          <w:sz w:val="36"/>
          <w:szCs w:val="20"/>
          <w:highlight w:val="none"/>
        </w:rPr>
      </w:pPr>
    </w:p>
    <w:p>
      <w:pPr>
        <w:pStyle w:val="32"/>
        <w:spacing w:line="360" w:lineRule="auto"/>
        <w:ind w:firstLine="2530" w:firstLineChars="700"/>
        <w:rPr>
          <w:rFonts w:hAnsi="宋体" w:cs="宋体"/>
          <w:b/>
          <w:color w:val="auto"/>
          <w:sz w:val="36"/>
          <w:szCs w:val="20"/>
          <w:highlight w:val="none"/>
        </w:rPr>
      </w:pPr>
    </w:p>
    <w:p>
      <w:pPr>
        <w:pStyle w:val="32"/>
        <w:spacing w:line="360" w:lineRule="auto"/>
        <w:ind w:firstLine="2530" w:firstLineChars="700"/>
        <w:rPr>
          <w:rFonts w:hAnsi="宋体" w:cs="宋体"/>
          <w:b/>
          <w:color w:val="auto"/>
          <w:sz w:val="36"/>
          <w:szCs w:val="20"/>
          <w:highlight w:val="none"/>
        </w:rPr>
      </w:pPr>
    </w:p>
    <w:p>
      <w:pPr>
        <w:pStyle w:val="32"/>
        <w:spacing w:line="360" w:lineRule="auto"/>
        <w:ind w:firstLine="2530" w:firstLineChars="700"/>
        <w:rPr>
          <w:rFonts w:hAnsi="宋体" w:cs="宋体"/>
          <w:b/>
          <w:color w:val="auto"/>
          <w:sz w:val="36"/>
          <w:szCs w:val="20"/>
          <w:highlight w:val="none"/>
        </w:rPr>
      </w:pPr>
    </w:p>
    <w:p>
      <w:pPr>
        <w:pStyle w:val="32"/>
        <w:spacing w:line="360" w:lineRule="auto"/>
        <w:ind w:firstLine="2530" w:firstLineChars="700"/>
        <w:rPr>
          <w:rFonts w:hAnsi="宋体" w:cs="宋体"/>
          <w:b/>
          <w:color w:val="auto"/>
          <w:sz w:val="36"/>
          <w:szCs w:val="20"/>
          <w:highlight w:val="none"/>
        </w:rPr>
      </w:pPr>
    </w:p>
    <w:p>
      <w:pPr>
        <w:pStyle w:val="32"/>
        <w:spacing w:line="360" w:lineRule="auto"/>
        <w:ind w:firstLine="2530" w:firstLineChars="700"/>
        <w:rPr>
          <w:rFonts w:hAnsi="宋体" w:cs="宋体"/>
          <w:b/>
          <w:color w:val="auto"/>
          <w:sz w:val="36"/>
          <w:szCs w:val="20"/>
          <w:highlight w:val="none"/>
        </w:rPr>
      </w:pPr>
    </w:p>
    <w:p>
      <w:pPr>
        <w:pStyle w:val="32"/>
        <w:spacing w:line="360" w:lineRule="auto"/>
        <w:ind w:firstLine="2530" w:firstLineChars="700"/>
        <w:rPr>
          <w:rFonts w:hAnsi="宋体" w:cs="宋体"/>
          <w:b/>
          <w:color w:val="auto"/>
          <w:sz w:val="36"/>
          <w:szCs w:val="20"/>
          <w:highlight w:val="none"/>
        </w:rPr>
      </w:pPr>
      <w:r>
        <w:rPr>
          <w:rFonts w:hint="eastAsia" w:hAnsi="宋体" w:cs="宋体"/>
          <w:b/>
          <w:color w:val="auto"/>
          <w:sz w:val="36"/>
          <w:szCs w:val="20"/>
          <w:highlight w:val="none"/>
        </w:rPr>
        <w:t>第二部分</w:t>
      </w:r>
      <w:bookmarkEnd w:id="8"/>
      <w:r>
        <w:rPr>
          <w:rFonts w:hint="eastAsia" w:hAnsi="宋体" w:cs="宋体"/>
          <w:b/>
          <w:color w:val="auto"/>
          <w:sz w:val="36"/>
          <w:szCs w:val="20"/>
          <w:highlight w:val="none"/>
        </w:rPr>
        <w:t xml:space="preserve"> 投标人须知</w:t>
      </w:r>
      <w:bookmarkEnd w:id="9"/>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货物类，单一产品或</w:t>
            </w:r>
            <w:r>
              <w:rPr>
                <w:rFonts w:hint="eastAsia" w:ascii="宋体" w:hAnsi="宋体" w:cs="宋体"/>
                <w:color w:val="auto"/>
                <w:kern w:val="0"/>
                <w:sz w:val="24"/>
                <w:highlight w:val="none"/>
              </w:rPr>
              <w:t>核心产品为：</w:t>
            </w:r>
            <w:r>
              <w:rPr>
                <w:rFonts w:hint="eastAsia" w:ascii="宋体" w:hAnsi="宋体" w:cs="宋体"/>
                <w:color w:val="auto"/>
                <w:sz w:val="24"/>
                <w:highlight w:val="none"/>
                <w:u w:val="single"/>
              </w:rPr>
              <w:t>民警办公椅</w:t>
            </w:r>
            <w:r>
              <w:rPr>
                <w:rFonts w:hint="eastAsia" w:ascii="宋体" w:hAnsi="宋体" w:cs="宋体"/>
                <w:color w:val="auto"/>
                <w:sz w:val="24"/>
                <w:highlight w:val="none"/>
              </w:rPr>
              <w:t>。</w:t>
            </w:r>
          </w:p>
          <w:p>
            <w:pPr>
              <w:spacing w:line="360" w:lineRule="auto"/>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详见招标文件第三部分采购需求“二、标的一览表及技术需求”中标的名称</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工业</w:t>
            </w:r>
            <w:r>
              <w:rPr>
                <w:rFonts w:hint="eastAsia" w:ascii="宋体" w:hAnsi="宋体" w:cs="宋体"/>
                <w:color w:val="auto"/>
                <w:kern w:val="0"/>
                <w:sz w:val="24"/>
                <w:highlight w:val="none"/>
              </w:rPr>
              <w:t>行业；</w:t>
            </w:r>
          </w:p>
          <w:p>
            <w:pPr>
              <w:pStyle w:val="2"/>
              <w:rPr>
                <w:rFonts w:ascii="宋体" w:hAnsi="宋体" w:eastAsia="宋体" w:cs="宋体"/>
                <w:color w:val="auto"/>
                <w:highlight w:val="none"/>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工作分包。</w:t>
            </w:r>
          </w:p>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B要求提供，</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民警办公椅</w:t>
            </w:r>
            <w:r>
              <w:rPr>
                <w:rFonts w:ascii="宋体" w:hAnsi="宋体" w:cs="宋体"/>
                <w:color w:val="auto"/>
                <w:sz w:val="24"/>
                <w:highlight w:val="none"/>
                <w:u w:val="single"/>
              </w:rPr>
              <w:t>1</w:t>
            </w:r>
            <w:r>
              <w:rPr>
                <w:rFonts w:hint="eastAsia" w:ascii="宋体" w:hAnsi="宋体" w:cs="宋体"/>
                <w:color w:val="auto"/>
                <w:sz w:val="24"/>
                <w:highlight w:val="none"/>
                <w:u w:val="single"/>
              </w:rPr>
              <w:t xml:space="preserve">把  </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rPr>
              <w:t>详见</w:t>
            </w:r>
            <w:r>
              <w:rPr>
                <w:rFonts w:hint="eastAsia" w:ascii="宋体" w:hAnsi="宋体" w:cs="宋体"/>
                <w:color w:val="auto"/>
                <w:sz w:val="24"/>
                <w:highlight w:val="none"/>
                <w:u w:val="single"/>
              </w:rPr>
              <w:t>采购需求</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提交投标文件截止时间前</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杭州市公共资源交易中心样品室（杭州市之江路925号临江金座2号楼4楼411样品室）</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徐莉</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ascii="宋体" w:hAnsi="宋体" w:cs="宋体"/>
                <w:color w:val="auto"/>
                <w:sz w:val="24"/>
                <w:highlight w:val="none"/>
                <w:u w:val="single"/>
              </w:rPr>
              <w:t>0571-87008103</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w:t>
            </w:r>
            <w:r>
              <w:rPr>
                <w:rFonts w:hint="eastAsia" w:ascii="宋体" w:hAnsi="宋体" w:cs="宋体"/>
                <w:b/>
                <w:color w:val="auto"/>
                <w:kern w:val="0"/>
                <w:sz w:val="24"/>
                <w:highlight w:val="none"/>
                <w:lang w:val="en-US" w:eastAsia="zh-CN"/>
              </w:rPr>
              <w:t>含最高限制单价</w:t>
            </w:r>
            <w:r>
              <w:rPr>
                <w:rFonts w:hint="eastAsia" w:ascii="宋体" w:hAnsi="宋体" w:cs="宋体"/>
                <w:b/>
                <w:color w:val="auto"/>
                <w:kern w:val="0"/>
                <w:sz w:val="24"/>
                <w:highlight w:val="none"/>
                <w:lang w:val="zh-CN"/>
              </w:rPr>
              <w:t>）的;</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ascii="宋体" w:hAnsi="宋体" w:cs="宋体"/>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宋体" w:hAnsi="宋体" w:cs="宋体"/>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杭州市之江路925号临江金座2号楼1010室（杭州市公共资源交易中心政府采购处）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0571-87008103</w:t>
            </w:r>
            <w:r>
              <w:rPr>
                <w:rFonts w:hint="eastAsia" w:hAnsi="宋体" w:cs="宋体"/>
                <w:color w:val="auto"/>
                <w:sz w:val="24"/>
                <w:szCs w:val="24"/>
                <w:highlight w:val="none"/>
              </w:rPr>
              <w:t>。</w:t>
            </w:r>
            <w:r>
              <w:rPr>
                <w:rFonts w:hint="eastAsia" w:hAnsi="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宋体" w:hAnsi="宋体" w:cs="宋体"/>
          <w:b/>
          <w:color w:val="auto"/>
          <w:sz w:val="32"/>
          <w:szCs w:val="20"/>
          <w:highlight w:val="none"/>
        </w:rPr>
      </w:pPr>
    </w:p>
    <w:bookmarkEnd w:id="10"/>
    <w:p>
      <w:pPr>
        <w:adjustRightInd/>
        <w:spacing w:line="360" w:lineRule="auto"/>
        <w:ind w:firstLine="3845" w:firstLineChars="1197"/>
        <w:outlineLvl w:val="0"/>
        <w:rPr>
          <w:rFonts w:ascii="宋体" w:hAnsi="宋体" w:cs="宋体"/>
          <w:b/>
          <w:color w:val="auto"/>
          <w:sz w:val="32"/>
          <w:szCs w:val="20"/>
          <w:highlight w:val="none"/>
        </w:rPr>
      </w:pPr>
      <w:bookmarkStart w:id="13" w:name="第三部分"/>
      <w:bookmarkStart w:id="14" w:name="_Toc164416483"/>
      <w:r>
        <w:rPr>
          <w:rFonts w:hint="eastAsia" w:ascii="宋体" w:hAnsi="宋体" w:cs="宋体"/>
          <w:b/>
          <w:color w:val="auto"/>
          <w:sz w:val="32"/>
          <w:szCs w:val="20"/>
          <w:highlight w:val="none"/>
        </w:rPr>
        <w:t>一、总则</w:t>
      </w:r>
    </w:p>
    <w:p>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highlight w:val="none"/>
        </w:rPr>
        <w:t>优先采购绿色包装产品、绿色物流配送服务以及循环利用产品</w:t>
      </w:r>
      <w:bookmarkEnd w:id="15"/>
      <w:r>
        <w:rPr>
          <w:rFonts w:hint="eastAsia" w:ascii="宋体" w:hAnsi="宋体" w:cs="宋体"/>
          <w:color w:val="auto"/>
          <w:sz w:val="24"/>
          <w:highlight w:val="none"/>
        </w:rPr>
        <w:t>。</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highlight w:val="none"/>
        </w:rPr>
      </w:pPr>
      <w:r>
        <w:rPr>
          <w:rFonts w:hint="eastAsia" w:ascii="宋体" w:hAnsi="宋体" w:cs="宋体"/>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4.1供应商询问</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4.2.2.1对招标文件提出质疑的，质疑期限为供应商获得招标文件之日或者招标文件公告期限届满之日起计算。</w:t>
      </w:r>
    </w:p>
    <w:p>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4.2.2.2对采购过程提出质疑的，质疑期限为各采购程序环节结束之日起计算。4.2.2.3对采购结果提出质疑的，质疑期限自采购结果公告期限届满之日起计算。</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4.2.3</w:t>
      </w:r>
      <w:r>
        <w:rPr>
          <w:rFonts w:hint="eastAsia" w:hAnsi="宋体" w:cs="宋体"/>
          <w:color w:val="auto"/>
          <w:sz w:val="24"/>
          <w:highlight w:val="none"/>
        </w:rPr>
        <w:t>供应商提出质疑应当提交质疑函和必要的证明材料。质疑函应当包括下列内容：</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4.2.3.1供应商的姓名或者名称、地址、邮编、联系人及联系电话；</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4.2.3.2质疑项目的名称、编号；</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4.2.3.3具体、明确的质疑事项和与质疑事项相关的请求；</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4.2.3.4事实依据；</w:t>
      </w:r>
    </w:p>
    <w:p>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4.2.3.5必要的法律依据；</w:t>
      </w:r>
    </w:p>
    <w:p>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4.2.3.6提出质疑的日期。</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4.2.4对同一采购程序环节的质疑，供应商须在法定质疑期内一次性提出。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4.2</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4.2</w:t>
      </w:r>
      <w:r>
        <w:rPr>
          <w:rFonts w:hint="eastAsia"/>
          <w:color w:val="auto"/>
          <w:highlight w:val="none"/>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4.3供应商投诉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4.3.3供应商投诉应当有明确的请求和必要的证明材料。</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pPr>
        <w:pStyle w:val="88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4.4在线质疑、投诉。</w:t>
      </w:r>
    </w:p>
    <w:p>
      <w:pPr>
        <w:pStyle w:val="886"/>
        <w:shd w:val="clear" w:color="auto" w:fill="FFFFFF"/>
        <w:snapToGrid w:val="0"/>
        <w:spacing w:after="24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28"/>
        <w:snapToGrid w:val="0"/>
        <w:spacing w:before="0"/>
        <w:ind w:firstLine="360"/>
        <w:rPr>
          <w:rFonts w:ascii="宋体" w:hAnsi="宋体" w:cs="宋体"/>
          <w:color w:val="auto"/>
          <w:sz w:val="18"/>
          <w:szCs w:val="18"/>
          <w:highlight w:val="none"/>
        </w:rPr>
      </w:pP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Start w:id="18" w:name="_Hlk101257010"/>
      <w:r>
        <w:rPr>
          <w:rFonts w:hint="eastAsia" w:ascii="宋体" w:hAnsi="宋体" w:cs="宋体"/>
          <w:snapToGrid w:val="0"/>
          <w:color w:val="auto"/>
          <w:kern w:val="28"/>
          <w:sz w:val="24"/>
          <w:szCs w:val="20"/>
          <w:highlight w:val="none"/>
        </w:rPr>
        <w:t>（如果有)</w:t>
      </w:r>
      <w:bookmarkEnd w:id="17"/>
      <w:bookmarkEnd w:id="18"/>
      <w:r>
        <w:rPr>
          <w:rFonts w:hint="eastAsia" w:ascii="宋体" w:hAnsi="宋体" w:cs="宋体"/>
          <w:snapToGrid w:val="0"/>
          <w:color w:val="auto"/>
          <w:kern w:val="28"/>
          <w:sz w:val="24"/>
          <w:szCs w:val="20"/>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11.3.2中小企业声明函。</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pPr>
        <w:pStyle w:val="128"/>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pPr>
        <w:pStyle w:val="128"/>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pPr>
        <w:pStyle w:val="128"/>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pPr>
        <w:pStyle w:val="128"/>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pPr>
        <w:pStyle w:val="128"/>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ascii="宋体" w:hAnsi="宋体" w:cs="宋体"/>
          <w:b/>
          <w:color w:val="auto"/>
          <w:sz w:val="32"/>
          <w:highlight w:val="none"/>
        </w:rPr>
      </w:pPr>
    </w:p>
    <w:p>
      <w:pPr>
        <w:pStyle w:val="128"/>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pPr>
        <w:pStyle w:val="554"/>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pPr>
        <w:pStyle w:val="55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19.1开标后，采购人或采购机构将依法对投标人的资格进行审查。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19.2</w:t>
      </w:r>
      <w:r>
        <w:rPr>
          <w:rFonts w:hint="eastAsia" w:ascii="宋体" w:hAnsi="宋体" w:cs="宋体"/>
          <w:color w:val="auto"/>
          <w:sz w:val="24"/>
          <w:highlight w:val="none"/>
        </w:rPr>
        <w:t>采购人或采购机构依据法律法规和招标文件的规定，对投标人的资格进行审查。</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19.3投标人未按照招标文件要求提供与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4对未通过资格审查的投标人，采购人或采购机构告知其未通过的原因。</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5合格投标人不足3家的，不再评标。</w:t>
      </w:r>
    </w:p>
    <w:p>
      <w:pPr>
        <w:pStyle w:val="128"/>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20.1信用信息查询渠道及截止时间：采购机构将在资格审查时通过“信用中国”网站(www.creditchina.gov.cn)、中国政府采购网(www.ccgp.gov.cn)渠道查询投标人接受资格审查时的信用记录。</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pPr>
        <w:pStyle w:val="128"/>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pPr>
        <w:spacing w:line="360" w:lineRule="auto"/>
        <w:rPr>
          <w:rFonts w:ascii="宋体" w:hAnsi="宋体" w:cs="宋体"/>
          <w:b/>
          <w:color w:val="auto"/>
          <w:sz w:val="24"/>
          <w:highlight w:val="none"/>
        </w:rPr>
      </w:pPr>
      <w:bookmarkStart w:id="19"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pPr>
        <w:pStyle w:val="128"/>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pPr>
        <w:tabs>
          <w:tab w:val="left" w:pos="0"/>
        </w:tabs>
        <w:spacing w:line="360" w:lineRule="auto"/>
        <w:ind w:firstLine="482"/>
        <w:rPr>
          <w:rFonts w:ascii="宋体" w:hAnsi="宋体" w:cs="宋体"/>
          <w:color w:val="auto"/>
          <w:sz w:val="24"/>
          <w:szCs w:val="20"/>
          <w:highlight w:val="none"/>
        </w:rPr>
      </w:pPr>
      <w:r>
        <w:rPr>
          <w:rFonts w:hint="eastAsia" w:ascii="宋体" w:hAnsi="宋体" w:cs="宋体"/>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w:t>
      </w:r>
    </w:p>
    <w:p>
      <w:pPr>
        <w:pStyle w:val="2"/>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pPr>
        <w:pStyle w:val="128"/>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pPr>
        <w:pStyle w:val="128"/>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4"/>
        <w:spacing w:line="360" w:lineRule="auto"/>
        <w:ind w:firstLine="0" w:firstLineChars="0"/>
        <w:rPr>
          <w:rFonts w:cs="宋体"/>
          <w:b/>
          <w:color w:val="auto"/>
          <w:highlight w:val="none"/>
        </w:rPr>
      </w:pPr>
      <w:r>
        <w:rPr>
          <w:rFonts w:hint="eastAsia" w:cs="宋体"/>
          <w:b/>
          <w:color w:val="auto"/>
          <w:highlight w:val="none"/>
        </w:rPr>
        <w:t>29.验收</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20" w:name="_Hlt74729768"/>
      <w:bookmarkEnd w:id="20"/>
      <w:bookmarkStart w:id="21" w:name="_Hlt68403820"/>
      <w:bookmarkEnd w:id="21"/>
      <w:bookmarkStart w:id="22" w:name="_Hlt68072990"/>
      <w:bookmarkEnd w:id="22"/>
      <w:bookmarkStart w:id="23" w:name="_Hlt74714665"/>
      <w:bookmarkEnd w:id="23"/>
      <w:bookmarkStart w:id="24" w:name="_Hlt74730295"/>
      <w:bookmarkEnd w:id="24"/>
      <w:bookmarkStart w:id="25" w:name="_Hlt68073093"/>
      <w:bookmarkEnd w:id="25"/>
      <w:bookmarkStart w:id="26" w:name="_Hlt75236290"/>
      <w:bookmarkEnd w:id="26"/>
      <w:bookmarkStart w:id="27" w:name="_Hlt75236011"/>
      <w:bookmarkEnd w:id="27"/>
      <w:bookmarkStart w:id="28" w:name="_Hlt68057669"/>
      <w:bookmarkEnd w:id="28"/>
      <w:bookmarkStart w:id="29" w:name="_Hlt74707468"/>
      <w:bookmarkEnd w:id="29"/>
      <w:bookmarkStart w:id="30" w:name="_Hlt75236101"/>
      <w:bookmarkEnd w:id="30"/>
      <w:bookmarkStart w:id="31" w:name="_Hlt68072998"/>
      <w:bookmarkEnd w:id="31"/>
    </w:p>
    <w:bookmarkEnd w:id="13"/>
    <w:bookmarkEnd w:id="14"/>
    <w:p>
      <w:pPr>
        <w:spacing w:line="360" w:lineRule="auto"/>
        <w:jc w:val="center"/>
        <w:outlineLvl w:val="0"/>
        <w:rPr>
          <w:rFonts w:ascii="宋体" w:hAnsi="宋体" w:cs="宋体"/>
          <w:b/>
          <w:color w:val="auto"/>
          <w:sz w:val="36"/>
          <w:szCs w:val="36"/>
          <w:highlight w:val="none"/>
        </w:rPr>
      </w:pPr>
      <w:bookmarkStart w:id="32" w:name="第四部分"/>
      <w:r>
        <w:rPr>
          <w:rFonts w:hint="eastAsia" w:ascii="宋体" w:hAnsi="宋体" w:cs="宋体"/>
          <w:b/>
          <w:color w:val="auto"/>
          <w:sz w:val="36"/>
          <w:szCs w:val="36"/>
          <w:highlight w:val="none"/>
        </w:rPr>
        <w:t>第三部分   采购需求</w:t>
      </w:r>
    </w:p>
    <w:p>
      <w:pPr>
        <w:spacing w:line="420" w:lineRule="exact"/>
        <w:outlineLvl w:val="1"/>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一、需求概述</w:t>
      </w:r>
    </w:p>
    <w:p>
      <w:pPr>
        <w:spacing w:line="420" w:lineRule="exact"/>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 xml:space="preserve">主要采购内容为：民警办公桌90张、民警办公椅180把、钢质文件柜10个、钢质档案柜40个、小型会议桌4张、大型会议桌1张、会议椅44把、单人沙发6个、茶几2个、培训椅带小板桌40把、工作椅4把（保修期内维修更换的配件费用包含在投标价内）。    </w:t>
      </w:r>
    </w:p>
    <w:p>
      <w:pPr>
        <w:pStyle w:val="2"/>
        <w:numPr>
          <w:ilvl w:val="0"/>
          <w:numId w:val="1"/>
        </w:numPr>
        <w:spacing w:line="420" w:lineRule="exac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标的一览表及技术需求</w:t>
      </w:r>
    </w:p>
    <w:p>
      <w:pPr>
        <w:spacing w:line="420" w:lineRule="exact"/>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bCs/>
          <w:color w:val="auto"/>
          <w:sz w:val="24"/>
          <w:highlight w:val="none"/>
        </w:rPr>
        <w:t>“▲” 系指实质性要求条款， “◆”系产品重要技术指标。</w:t>
      </w:r>
    </w:p>
    <w:p>
      <w:pPr>
        <w:rPr>
          <w:color w:val="auto"/>
          <w:highlight w:val="none"/>
        </w:rPr>
      </w:pPr>
    </w:p>
    <w:tbl>
      <w:tblPr>
        <w:tblStyle w:val="62"/>
        <w:tblW w:w="11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287"/>
        <w:gridCol w:w="1200"/>
        <w:gridCol w:w="1200"/>
        <w:gridCol w:w="1200"/>
        <w:gridCol w:w="4679"/>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35" w:type="dxa"/>
            <w:vAlign w:val="center"/>
          </w:tcPr>
          <w:p>
            <w:pPr>
              <w:widowControl/>
              <w:jc w:val="center"/>
              <w:textAlignment w:val="center"/>
              <w:rPr>
                <w:rFonts w:cs="宋体" w:asciiTheme="minorEastAsia" w:hAnsiTheme="minorEastAsia" w:eastAsiaTheme="minorEastAsia"/>
                <w:b/>
                <w:bCs/>
                <w:color w:val="auto"/>
                <w:sz w:val="20"/>
                <w:szCs w:val="21"/>
                <w:highlight w:val="none"/>
              </w:rPr>
            </w:pPr>
            <w:r>
              <w:rPr>
                <w:rFonts w:hint="eastAsia" w:cs="宋体" w:asciiTheme="minorEastAsia" w:hAnsiTheme="minorEastAsia" w:eastAsiaTheme="minorEastAsia"/>
                <w:b/>
                <w:bCs/>
                <w:color w:val="auto"/>
                <w:kern w:val="0"/>
                <w:szCs w:val="21"/>
                <w:highlight w:val="none"/>
                <w:lang w:bidi="ar"/>
              </w:rPr>
              <w:t>序号</w:t>
            </w:r>
          </w:p>
        </w:tc>
        <w:tc>
          <w:tcPr>
            <w:tcW w:w="1287" w:type="dxa"/>
            <w:vAlign w:val="center"/>
          </w:tcPr>
          <w:p>
            <w:pPr>
              <w:widowControl/>
              <w:jc w:val="center"/>
              <w:textAlignment w:val="center"/>
              <w:rPr>
                <w:rFonts w:cs="宋体" w:asciiTheme="minorEastAsia" w:hAnsiTheme="minorEastAsia" w:eastAsiaTheme="minorEastAsia"/>
                <w:b/>
                <w:bCs/>
                <w:color w:val="auto"/>
                <w:sz w:val="20"/>
                <w:szCs w:val="21"/>
                <w:highlight w:val="none"/>
              </w:rPr>
            </w:pPr>
            <w:r>
              <w:rPr>
                <w:rFonts w:hint="eastAsia" w:cs="宋体" w:asciiTheme="minorEastAsia" w:hAnsiTheme="minorEastAsia" w:eastAsiaTheme="minorEastAsia"/>
                <w:b/>
                <w:bCs/>
                <w:color w:val="auto"/>
                <w:kern w:val="0"/>
                <w:szCs w:val="21"/>
                <w:highlight w:val="none"/>
                <w:lang w:bidi="ar"/>
              </w:rPr>
              <w:t>标的名称</w:t>
            </w:r>
          </w:p>
        </w:tc>
        <w:tc>
          <w:tcPr>
            <w:tcW w:w="1200" w:type="dxa"/>
          </w:tcPr>
          <w:p>
            <w:pPr>
              <w:widowControl/>
              <w:jc w:val="center"/>
              <w:textAlignment w:val="center"/>
              <w:rPr>
                <w:rFonts w:hint="eastAsia" w:cs="宋体" w:asciiTheme="minorEastAsia" w:hAnsiTheme="minorEastAsia" w:eastAsiaTheme="minorEastAsia"/>
                <w:b/>
                <w:bCs/>
                <w:color w:val="auto"/>
                <w:kern w:val="0"/>
                <w:szCs w:val="21"/>
                <w:highlight w:val="none"/>
                <w:lang w:val="en-US" w:eastAsia="zh-CN" w:bidi="ar"/>
              </w:rPr>
            </w:pPr>
          </w:p>
          <w:p>
            <w:pPr>
              <w:widowControl/>
              <w:jc w:val="center"/>
              <w:textAlignment w:val="center"/>
              <w:rPr>
                <w:rFonts w:hint="default" w:cs="宋体" w:asciiTheme="minorEastAsia" w:hAnsiTheme="minorEastAsia" w:eastAsiaTheme="minorEastAsia"/>
                <w:b/>
                <w:bCs/>
                <w:color w:val="auto"/>
                <w:kern w:val="0"/>
                <w:szCs w:val="21"/>
                <w:highlight w:val="none"/>
                <w:lang w:val="en-US" w:eastAsia="zh-CN" w:bidi="ar"/>
              </w:rPr>
            </w:pPr>
            <w:r>
              <w:rPr>
                <w:rFonts w:hint="eastAsia" w:cs="宋体" w:asciiTheme="minorEastAsia" w:hAnsiTheme="minorEastAsia" w:eastAsiaTheme="minorEastAsia"/>
                <w:b/>
                <w:bCs/>
                <w:color w:val="auto"/>
                <w:kern w:val="0"/>
                <w:szCs w:val="21"/>
                <w:highlight w:val="none"/>
                <w:lang w:val="en-US" w:eastAsia="zh-CN" w:bidi="ar"/>
              </w:rPr>
              <w:t>最高限制单价（元）</w:t>
            </w:r>
          </w:p>
        </w:tc>
        <w:tc>
          <w:tcPr>
            <w:tcW w:w="1200" w:type="dxa"/>
            <w:vAlign w:val="center"/>
          </w:tcPr>
          <w:p>
            <w:pPr>
              <w:widowControl/>
              <w:jc w:val="center"/>
              <w:textAlignment w:val="center"/>
              <w:rPr>
                <w:rFonts w:cs="宋体" w:asciiTheme="minorEastAsia" w:hAnsiTheme="minorEastAsia" w:eastAsiaTheme="minorEastAsia"/>
                <w:b/>
                <w:bCs/>
                <w:color w:val="auto"/>
                <w:kern w:val="0"/>
                <w:szCs w:val="21"/>
                <w:highlight w:val="none"/>
                <w:lang w:bidi="ar"/>
              </w:rPr>
            </w:pPr>
            <w:r>
              <w:rPr>
                <w:rFonts w:hint="eastAsia" w:cs="宋体" w:asciiTheme="minorEastAsia" w:hAnsiTheme="minorEastAsia" w:eastAsiaTheme="minorEastAsia"/>
                <w:b/>
                <w:bCs/>
                <w:color w:val="auto"/>
                <w:kern w:val="0"/>
                <w:szCs w:val="21"/>
                <w:highlight w:val="none"/>
                <w:lang w:val="en-US" w:eastAsia="zh-CN" w:bidi="ar"/>
              </w:rPr>
              <w:t>参考</w:t>
            </w:r>
            <w:r>
              <w:rPr>
                <w:rFonts w:hint="eastAsia" w:cs="宋体" w:asciiTheme="minorEastAsia" w:hAnsiTheme="minorEastAsia" w:eastAsiaTheme="minorEastAsia"/>
                <w:b/>
                <w:bCs/>
                <w:color w:val="auto"/>
                <w:kern w:val="0"/>
                <w:szCs w:val="21"/>
                <w:highlight w:val="none"/>
                <w:lang w:bidi="ar"/>
              </w:rPr>
              <w:t>款式</w:t>
            </w:r>
          </w:p>
        </w:tc>
        <w:tc>
          <w:tcPr>
            <w:tcW w:w="1200" w:type="dxa"/>
            <w:vAlign w:val="center"/>
          </w:tcPr>
          <w:p>
            <w:pPr>
              <w:widowControl/>
              <w:jc w:val="center"/>
              <w:textAlignment w:val="center"/>
              <w:rPr>
                <w:rFonts w:cs="宋体" w:asciiTheme="minorEastAsia" w:hAnsiTheme="minorEastAsia" w:eastAsiaTheme="minorEastAsia"/>
                <w:b/>
                <w:bCs/>
                <w:color w:val="auto"/>
                <w:sz w:val="20"/>
                <w:szCs w:val="21"/>
                <w:highlight w:val="none"/>
              </w:rPr>
            </w:pPr>
            <w:r>
              <w:rPr>
                <w:rFonts w:hint="eastAsia" w:cs="宋体" w:asciiTheme="minorEastAsia" w:hAnsiTheme="minorEastAsia" w:eastAsiaTheme="minorEastAsia"/>
                <w:b/>
                <w:bCs/>
                <w:color w:val="auto"/>
                <w:kern w:val="0"/>
                <w:szCs w:val="21"/>
                <w:highlight w:val="none"/>
                <w:lang w:bidi="ar"/>
              </w:rPr>
              <w:t>规格</w:t>
            </w:r>
          </w:p>
        </w:tc>
        <w:tc>
          <w:tcPr>
            <w:tcW w:w="4679" w:type="dxa"/>
            <w:vAlign w:val="center"/>
          </w:tcPr>
          <w:p>
            <w:pPr>
              <w:widowControl/>
              <w:jc w:val="center"/>
              <w:textAlignment w:val="center"/>
              <w:rPr>
                <w:rFonts w:cs="宋体" w:asciiTheme="minorEastAsia" w:hAnsiTheme="minorEastAsia" w:eastAsiaTheme="minorEastAsia"/>
                <w:b/>
                <w:bCs/>
                <w:color w:val="auto"/>
                <w:sz w:val="20"/>
                <w:szCs w:val="21"/>
                <w:highlight w:val="none"/>
              </w:rPr>
            </w:pPr>
            <w:r>
              <w:rPr>
                <w:rFonts w:hint="eastAsia" w:cs="宋体" w:asciiTheme="minorEastAsia" w:hAnsiTheme="minorEastAsia" w:eastAsiaTheme="minorEastAsia"/>
                <w:b/>
                <w:bCs/>
                <w:color w:val="auto"/>
                <w:kern w:val="0"/>
                <w:szCs w:val="21"/>
                <w:highlight w:val="none"/>
                <w:lang w:bidi="ar"/>
              </w:rPr>
              <w:t>技术要求</w:t>
            </w:r>
          </w:p>
        </w:tc>
        <w:tc>
          <w:tcPr>
            <w:tcW w:w="833" w:type="dxa"/>
            <w:vAlign w:val="center"/>
          </w:tcPr>
          <w:p>
            <w:pPr>
              <w:widowControl/>
              <w:jc w:val="center"/>
              <w:textAlignment w:val="center"/>
              <w:rPr>
                <w:rFonts w:cs="宋体" w:asciiTheme="minorEastAsia" w:hAnsiTheme="minorEastAsia" w:eastAsiaTheme="minorEastAsia"/>
                <w:b/>
                <w:bCs/>
                <w:color w:val="auto"/>
                <w:sz w:val="20"/>
                <w:szCs w:val="21"/>
                <w:highlight w:val="none"/>
              </w:rPr>
            </w:pPr>
            <w:r>
              <w:rPr>
                <w:rFonts w:hint="eastAsia" w:cs="宋体" w:asciiTheme="minorEastAsia" w:hAnsiTheme="minorEastAsia" w:eastAsiaTheme="minorEastAsia"/>
                <w:b/>
                <w:bCs/>
                <w:color w:val="auto"/>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835" w:type="dxa"/>
            <w:noWrap/>
            <w:vAlign w:val="center"/>
          </w:tcPr>
          <w:p>
            <w:pPr>
              <w:widowControl/>
              <w:jc w:val="center"/>
              <w:textAlignment w:val="center"/>
              <w:rPr>
                <w:rFonts w:cs="宋体" w:asciiTheme="minorEastAsia" w:hAnsiTheme="minorEastAsia" w:eastAsiaTheme="minorEastAsia"/>
                <w:color w:val="auto"/>
                <w:sz w:val="20"/>
                <w:szCs w:val="21"/>
                <w:highlight w:val="none"/>
              </w:rPr>
            </w:pPr>
            <w:r>
              <w:rPr>
                <w:rFonts w:hint="eastAsia" w:cs="宋体" w:asciiTheme="minorEastAsia" w:hAnsiTheme="minorEastAsia" w:eastAsiaTheme="minorEastAsia"/>
                <w:color w:val="auto"/>
                <w:kern w:val="0"/>
                <w:szCs w:val="21"/>
                <w:highlight w:val="none"/>
                <w:lang w:bidi="ar"/>
              </w:rPr>
              <w:t>1</w:t>
            </w:r>
          </w:p>
        </w:tc>
        <w:tc>
          <w:tcPr>
            <w:tcW w:w="1287" w:type="dxa"/>
            <w:vAlign w:val="center"/>
          </w:tcPr>
          <w:p>
            <w:pPr>
              <w:widowControl/>
              <w:jc w:val="center"/>
              <w:textAlignment w:val="center"/>
              <w:rPr>
                <w:rFonts w:cs="宋体" w:asciiTheme="minorEastAsia" w:hAnsiTheme="minorEastAsia" w:eastAsiaTheme="minorEastAsia"/>
                <w:color w:val="auto"/>
                <w:kern w:val="0"/>
                <w:sz w:val="20"/>
                <w:szCs w:val="21"/>
                <w:highlight w:val="none"/>
                <w:lang w:bidi="ar"/>
              </w:rPr>
            </w:pPr>
            <w:r>
              <w:rPr>
                <w:rFonts w:hint="eastAsia" w:cs="宋体" w:asciiTheme="minorEastAsia" w:hAnsiTheme="minorEastAsia" w:eastAsiaTheme="minorEastAsia"/>
                <w:color w:val="auto"/>
                <w:kern w:val="0"/>
                <w:szCs w:val="21"/>
                <w:highlight w:val="none"/>
                <w:lang w:bidi="ar"/>
              </w:rPr>
              <w:t>民警</w:t>
            </w:r>
          </w:p>
          <w:p>
            <w:pPr>
              <w:widowControl/>
              <w:jc w:val="center"/>
              <w:textAlignment w:val="center"/>
              <w:rPr>
                <w:rFonts w:cs="宋体" w:asciiTheme="minorEastAsia" w:hAnsiTheme="minorEastAsia" w:eastAsiaTheme="minorEastAsia"/>
                <w:color w:val="auto"/>
                <w:sz w:val="20"/>
                <w:szCs w:val="21"/>
                <w:highlight w:val="none"/>
              </w:rPr>
            </w:pPr>
            <w:r>
              <w:rPr>
                <w:rFonts w:hint="eastAsia" w:cs="宋体" w:asciiTheme="minorEastAsia" w:hAnsiTheme="minorEastAsia" w:eastAsiaTheme="minorEastAsia"/>
                <w:color w:val="auto"/>
                <w:kern w:val="0"/>
                <w:szCs w:val="21"/>
                <w:highlight w:val="none"/>
                <w:lang w:bidi="ar"/>
              </w:rPr>
              <w:t>办公桌</w:t>
            </w:r>
          </w:p>
        </w:tc>
        <w:tc>
          <w:tcPr>
            <w:tcW w:w="1200" w:type="dxa"/>
            <w:vAlign w:val="top"/>
          </w:tcPr>
          <w:p>
            <w:pPr>
              <w:widowControl/>
              <w:jc w:val="center"/>
              <w:textAlignment w:val="center"/>
              <w:rPr>
                <w:rFonts w:cs="宋体" w:asciiTheme="minorEastAsia" w:hAnsiTheme="minorEastAsia" w:eastAsiaTheme="minorEastAsia"/>
                <w:color w:val="auto"/>
                <w:kern w:val="0"/>
                <w:sz w:val="20"/>
                <w:szCs w:val="21"/>
                <w:highlight w:val="none"/>
                <w:lang w:bidi="ar"/>
              </w:rPr>
            </w:pPr>
          </w:p>
          <w:p>
            <w:pPr>
              <w:widowControl/>
              <w:jc w:val="center"/>
              <w:textAlignment w:val="center"/>
              <w:rPr>
                <w:rFonts w:cs="宋体" w:asciiTheme="minorEastAsia" w:hAnsiTheme="minorEastAsia" w:eastAsiaTheme="minorEastAsia"/>
                <w:color w:val="auto"/>
                <w:kern w:val="0"/>
                <w:sz w:val="20"/>
                <w:szCs w:val="21"/>
                <w:highlight w:val="none"/>
                <w:lang w:bidi="ar"/>
              </w:rPr>
            </w:pPr>
          </w:p>
          <w:p>
            <w:pPr>
              <w:widowControl/>
              <w:jc w:val="center"/>
              <w:textAlignment w:val="center"/>
              <w:rPr>
                <w:rFonts w:cs="宋体" w:asciiTheme="minorEastAsia" w:hAnsiTheme="minorEastAsia" w:eastAsiaTheme="minorEastAsia"/>
                <w:color w:val="auto"/>
                <w:kern w:val="0"/>
                <w:sz w:val="20"/>
                <w:szCs w:val="21"/>
                <w:highlight w:val="none"/>
                <w:lang w:bidi="ar"/>
              </w:rPr>
            </w:pPr>
          </w:p>
          <w:p>
            <w:pPr>
              <w:widowControl/>
              <w:jc w:val="center"/>
              <w:textAlignment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0"/>
                <w:szCs w:val="21"/>
                <w:highlight w:val="none"/>
                <w:lang w:bidi="ar"/>
              </w:rPr>
              <w:t>2</w:t>
            </w:r>
            <w:r>
              <w:rPr>
                <w:rFonts w:cs="宋体" w:asciiTheme="minorEastAsia" w:hAnsiTheme="minorEastAsia" w:eastAsiaTheme="minorEastAsia"/>
                <w:color w:val="auto"/>
                <w:kern w:val="0"/>
                <w:sz w:val="20"/>
                <w:szCs w:val="21"/>
                <w:highlight w:val="none"/>
                <w:lang w:bidi="ar"/>
              </w:rPr>
              <w:t>500</w:t>
            </w:r>
          </w:p>
        </w:tc>
        <w:tc>
          <w:tcPr>
            <w:tcW w:w="1200" w:type="dxa"/>
            <w:vAlign w:val="center"/>
          </w:tcPr>
          <w:p>
            <w:pPr>
              <w:widowControl/>
              <w:jc w:val="center"/>
              <w:textAlignment w:val="center"/>
              <w:rPr>
                <w:rFonts w:cs="宋体" w:asciiTheme="minorEastAsia" w:hAnsiTheme="minorEastAsia" w:eastAsiaTheme="minorEastAsia"/>
                <w:color w:val="auto"/>
                <w:szCs w:val="21"/>
                <w:highlight w:val="none"/>
              </w:rPr>
            </w:pPr>
            <w:r>
              <w:rPr>
                <w:rFonts w:asciiTheme="minorEastAsia" w:hAnsiTheme="minorEastAsia" w:eastAsiaTheme="minorEastAsia"/>
                <w:color w:val="auto"/>
                <w:highlight w:val="none"/>
              </w:rPr>
              <w:drawing>
                <wp:inline distT="0" distB="0" distL="0" distR="0">
                  <wp:extent cx="622300" cy="558800"/>
                  <wp:effectExtent l="0" t="0" r="0" b="0"/>
                  <wp:docPr id="13" name="图片 13" descr="ea64341feece5e391b469ab88c12c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ea64341feece5e391b469ab88c12cd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622300" cy="558800"/>
                          </a:xfrm>
                          <a:prstGeom prst="rect">
                            <a:avLst/>
                          </a:prstGeom>
                          <a:noFill/>
                          <a:ln>
                            <a:noFill/>
                          </a:ln>
                        </pic:spPr>
                      </pic:pic>
                    </a:graphicData>
                  </a:graphic>
                </wp:inline>
              </w:drawing>
            </w:r>
          </w:p>
        </w:tc>
        <w:tc>
          <w:tcPr>
            <w:tcW w:w="1200" w:type="dxa"/>
            <w:vAlign w:val="center"/>
          </w:tcPr>
          <w:p>
            <w:pPr>
              <w:widowControl/>
              <w:jc w:val="center"/>
              <w:textAlignment w:val="center"/>
              <w:rPr>
                <w:rFonts w:cs="宋体" w:asciiTheme="minorEastAsia" w:hAnsiTheme="minorEastAsia" w:eastAsiaTheme="minorEastAsia"/>
                <w:color w:val="auto"/>
                <w:sz w:val="20"/>
                <w:szCs w:val="21"/>
                <w:highlight w:val="none"/>
              </w:rPr>
            </w:pPr>
            <w:r>
              <w:rPr>
                <w:rFonts w:hint="eastAsia" w:cs="宋体" w:asciiTheme="minorEastAsia" w:hAnsiTheme="minorEastAsia" w:eastAsiaTheme="minorEastAsia"/>
                <w:color w:val="auto"/>
                <w:szCs w:val="21"/>
                <w:highlight w:val="none"/>
              </w:rPr>
              <w:t>1400*600*1050</w:t>
            </w:r>
          </w:p>
        </w:tc>
        <w:tc>
          <w:tcPr>
            <w:tcW w:w="4679" w:type="dxa"/>
            <w:vAlign w:val="center"/>
          </w:tcPr>
          <w:p>
            <w:pPr>
              <w:widowControl/>
              <w:jc w:val="lef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1..铝合金框架，整体钢板经过麟化处理工艺。</w:t>
            </w:r>
          </w:p>
          <w:p>
            <w:pPr>
              <w:widowControl/>
              <w:jc w:val="left"/>
              <w:textAlignment w:val="center"/>
              <w:rPr>
                <w:color w:val="auto"/>
                <w:highlight w:val="none"/>
              </w:rPr>
            </w:pPr>
            <w:r>
              <w:rPr>
                <w:rFonts w:hint="eastAsia" w:hAnsi="宋体" w:cs="宋体"/>
                <w:color w:val="auto"/>
                <w:sz w:val="24"/>
                <w:highlight w:val="none"/>
              </w:rPr>
              <w:t>◆</w:t>
            </w:r>
            <w:r>
              <w:rPr>
                <w:rFonts w:hint="eastAsia"/>
                <w:color w:val="auto"/>
                <w:highlight w:val="none"/>
              </w:rPr>
              <w:t>2、全实木材质台面。防火、耐磨、防污、硬度高，表面哑光效果。</w:t>
            </w:r>
          </w:p>
          <w:p>
            <w:pPr>
              <w:widowControl/>
              <w:jc w:val="left"/>
              <w:textAlignment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3.两个三抽钢制活动柜，经过麟化处理工艺。</w:t>
            </w:r>
          </w:p>
          <w:p>
            <w:pPr>
              <w:widowControl/>
              <w:jc w:val="left"/>
              <w:textAlignment w:val="center"/>
              <w:rPr>
                <w:rFonts w:cs="宋体" w:asciiTheme="minorEastAsia" w:hAnsiTheme="minorEastAsia" w:eastAsiaTheme="minorEastAsia"/>
                <w:color w:val="auto"/>
                <w:sz w:val="20"/>
                <w:szCs w:val="21"/>
                <w:highlight w:val="none"/>
              </w:rPr>
            </w:pPr>
            <w:r>
              <w:rPr>
                <w:rFonts w:hint="eastAsia" w:cs="宋体" w:asciiTheme="minorEastAsia" w:hAnsiTheme="minorEastAsia" w:eastAsiaTheme="minorEastAsia"/>
                <w:color w:val="auto"/>
                <w:szCs w:val="21"/>
                <w:highlight w:val="none"/>
              </w:rPr>
              <w:t>4.屏风1400*600*600*600分为四块组成。台面分为700*600两块组成。</w:t>
            </w:r>
          </w:p>
        </w:tc>
        <w:tc>
          <w:tcPr>
            <w:tcW w:w="833" w:type="dxa"/>
            <w:vAlign w:val="center"/>
          </w:tcPr>
          <w:p>
            <w:pPr>
              <w:widowControl/>
              <w:jc w:val="center"/>
              <w:textAlignment w:val="center"/>
              <w:rPr>
                <w:rFonts w:cs="宋体" w:asciiTheme="minorEastAsia" w:hAnsiTheme="minorEastAsia" w:eastAsiaTheme="minorEastAsia"/>
                <w:color w:val="auto"/>
                <w:sz w:val="20"/>
                <w:szCs w:val="21"/>
                <w:highlight w:val="none"/>
              </w:rPr>
            </w:pPr>
            <w:r>
              <w:rPr>
                <w:rFonts w:hint="eastAsia" w:cs="宋体" w:asciiTheme="minorEastAsia" w:hAnsiTheme="minorEastAsia" w:eastAsiaTheme="minorEastAsia"/>
                <w:color w:val="auto"/>
                <w:kern w:val="0"/>
                <w:szCs w:val="21"/>
                <w:highlight w:val="none"/>
                <w:lang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835" w:type="dxa"/>
            <w:noWrap/>
            <w:vAlign w:val="center"/>
          </w:tcPr>
          <w:p>
            <w:pPr>
              <w:widowControl/>
              <w:jc w:val="center"/>
              <w:textAlignment w:val="center"/>
              <w:rPr>
                <w:rFonts w:cs="宋体" w:asciiTheme="minorEastAsia" w:hAnsiTheme="minorEastAsia" w:eastAsiaTheme="minorEastAsia"/>
                <w:color w:val="auto"/>
                <w:kern w:val="0"/>
                <w:sz w:val="20"/>
                <w:szCs w:val="21"/>
                <w:highlight w:val="none"/>
                <w:lang w:bidi="ar"/>
              </w:rPr>
            </w:pPr>
            <w:r>
              <w:rPr>
                <w:rFonts w:hint="eastAsia" w:cs="宋体" w:asciiTheme="minorEastAsia" w:hAnsiTheme="minorEastAsia" w:eastAsiaTheme="minorEastAsia"/>
                <w:color w:val="auto"/>
                <w:kern w:val="0"/>
                <w:szCs w:val="21"/>
                <w:highlight w:val="none"/>
                <w:lang w:bidi="ar"/>
              </w:rPr>
              <w:t>2</w:t>
            </w:r>
          </w:p>
        </w:tc>
        <w:tc>
          <w:tcPr>
            <w:tcW w:w="1287" w:type="dxa"/>
            <w:vAlign w:val="center"/>
          </w:tcPr>
          <w:p>
            <w:pPr>
              <w:widowControl/>
              <w:jc w:val="center"/>
              <w:textAlignment w:val="center"/>
              <w:rPr>
                <w:rFonts w:cs="宋体" w:asciiTheme="minorEastAsia" w:hAnsiTheme="minorEastAsia" w:eastAsiaTheme="minorEastAsia"/>
                <w:color w:val="auto"/>
                <w:kern w:val="0"/>
                <w:sz w:val="20"/>
                <w:szCs w:val="21"/>
                <w:highlight w:val="none"/>
                <w:lang w:bidi="ar"/>
              </w:rPr>
            </w:pPr>
            <w:r>
              <w:rPr>
                <w:rFonts w:hint="eastAsia" w:cs="宋体" w:asciiTheme="minorEastAsia" w:hAnsiTheme="minorEastAsia" w:eastAsiaTheme="minorEastAsia"/>
                <w:color w:val="auto"/>
                <w:kern w:val="0"/>
                <w:sz w:val="24"/>
                <w:szCs w:val="24"/>
                <w:highlight w:val="none"/>
                <w:lang w:bidi="ar"/>
              </w:rPr>
              <w:t>★</w:t>
            </w:r>
            <w:r>
              <w:rPr>
                <w:rFonts w:hint="eastAsia" w:cs="宋体" w:asciiTheme="minorEastAsia" w:hAnsiTheme="minorEastAsia" w:eastAsiaTheme="minorEastAsia"/>
                <w:color w:val="auto"/>
                <w:kern w:val="0"/>
                <w:szCs w:val="21"/>
                <w:highlight w:val="none"/>
                <w:lang w:bidi="ar"/>
              </w:rPr>
              <w:t>民警</w:t>
            </w:r>
          </w:p>
          <w:p>
            <w:pPr>
              <w:widowControl/>
              <w:jc w:val="center"/>
              <w:textAlignment w:val="center"/>
              <w:rPr>
                <w:rFonts w:cs="宋体" w:asciiTheme="minorEastAsia" w:hAnsiTheme="minorEastAsia" w:eastAsiaTheme="minorEastAsia"/>
                <w:color w:val="auto"/>
                <w:kern w:val="0"/>
                <w:sz w:val="20"/>
                <w:szCs w:val="21"/>
                <w:highlight w:val="none"/>
                <w:lang w:bidi="ar"/>
              </w:rPr>
            </w:pPr>
            <w:r>
              <w:rPr>
                <w:rFonts w:hint="eastAsia" w:cs="宋体" w:asciiTheme="minorEastAsia" w:hAnsiTheme="minorEastAsia" w:eastAsiaTheme="minorEastAsia"/>
                <w:color w:val="auto"/>
                <w:kern w:val="0"/>
                <w:szCs w:val="21"/>
                <w:highlight w:val="none"/>
                <w:lang w:bidi="ar"/>
              </w:rPr>
              <w:t>办公椅</w:t>
            </w:r>
          </w:p>
        </w:tc>
        <w:tc>
          <w:tcPr>
            <w:tcW w:w="1200" w:type="dxa"/>
            <w:vAlign w:val="top"/>
          </w:tcPr>
          <w:p>
            <w:pPr>
              <w:widowControl/>
              <w:jc w:val="center"/>
              <w:textAlignment w:val="center"/>
              <w:rPr>
                <w:rFonts w:cs="宋体" w:asciiTheme="minorEastAsia" w:hAnsiTheme="minorEastAsia" w:eastAsiaTheme="minorEastAsia"/>
                <w:color w:val="auto"/>
                <w:kern w:val="0"/>
                <w:sz w:val="20"/>
                <w:szCs w:val="21"/>
                <w:highlight w:val="none"/>
                <w:lang w:bidi="ar"/>
              </w:rPr>
            </w:pPr>
          </w:p>
          <w:p>
            <w:pPr>
              <w:widowControl/>
              <w:jc w:val="center"/>
              <w:textAlignment w:val="center"/>
              <w:rPr>
                <w:rFonts w:cs="宋体" w:asciiTheme="minorEastAsia" w:hAnsiTheme="minorEastAsia" w:eastAsiaTheme="minorEastAsia"/>
                <w:color w:val="auto"/>
                <w:kern w:val="0"/>
                <w:sz w:val="20"/>
                <w:szCs w:val="21"/>
                <w:highlight w:val="none"/>
                <w:lang w:bidi="ar"/>
              </w:rPr>
            </w:pPr>
          </w:p>
          <w:p>
            <w:pPr>
              <w:widowControl/>
              <w:jc w:val="center"/>
              <w:textAlignment w:val="center"/>
              <w:rPr>
                <w:rFonts w:cs="宋体" w:asciiTheme="minorEastAsia" w:hAnsiTheme="minorEastAsia" w:eastAsiaTheme="minorEastAsia"/>
                <w:color w:val="auto"/>
                <w:kern w:val="0"/>
                <w:sz w:val="20"/>
                <w:szCs w:val="21"/>
                <w:highlight w:val="none"/>
                <w:lang w:bidi="ar"/>
              </w:rPr>
            </w:pPr>
          </w:p>
          <w:p>
            <w:pPr>
              <w:widowControl/>
              <w:jc w:val="center"/>
              <w:textAlignment w:val="center"/>
              <w:rPr>
                <w:rFonts w:cs="宋体" w:asciiTheme="minorEastAsia" w:hAnsiTheme="minorEastAsia" w:eastAsiaTheme="minorEastAsia"/>
                <w:color w:val="auto"/>
                <w:kern w:val="0"/>
                <w:sz w:val="20"/>
                <w:szCs w:val="21"/>
                <w:highlight w:val="none"/>
                <w:lang w:bidi="ar"/>
              </w:rPr>
            </w:pPr>
          </w:p>
          <w:p>
            <w:pPr>
              <w:widowControl/>
              <w:jc w:val="center"/>
              <w:textAlignment w:val="center"/>
              <w:rPr>
                <w:rFonts w:cs="宋体" w:asciiTheme="minorEastAsia" w:hAnsiTheme="minorEastAsia" w:eastAsiaTheme="minorEastAsia"/>
                <w:color w:val="auto"/>
                <w:kern w:val="0"/>
                <w:sz w:val="20"/>
                <w:szCs w:val="21"/>
                <w:highlight w:val="none"/>
                <w:lang w:bidi="ar"/>
              </w:rPr>
            </w:pPr>
          </w:p>
          <w:p>
            <w:pPr>
              <w:widowControl/>
              <w:jc w:val="center"/>
              <w:textAlignment w:val="center"/>
              <w:rPr>
                <w:rFonts w:cs="宋体" w:asciiTheme="minorEastAsia" w:hAnsiTheme="minorEastAsia" w:eastAsiaTheme="minorEastAsia"/>
                <w:color w:val="auto"/>
                <w:kern w:val="0"/>
                <w:sz w:val="20"/>
                <w:szCs w:val="21"/>
                <w:highlight w:val="none"/>
                <w:lang w:bidi="ar"/>
              </w:rPr>
            </w:pPr>
          </w:p>
          <w:p>
            <w:pPr>
              <w:widowControl/>
              <w:jc w:val="center"/>
              <w:textAlignment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0"/>
                <w:szCs w:val="21"/>
                <w:highlight w:val="none"/>
                <w:lang w:bidi="ar"/>
              </w:rPr>
              <w:t>6</w:t>
            </w:r>
            <w:r>
              <w:rPr>
                <w:rFonts w:cs="宋体" w:asciiTheme="minorEastAsia" w:hAnsiTheme="minorEastAsia" w:eastAsiaTheme="minorEastAsia"/>
                <w:color w:val="auto"/>
                <w:kern w:val="0"/>
                <w:sz w:val="20"/>
                <w:szCs w:val="21"/>
                <w:highlight w:val="none"/>
                <w:lang w:bidi="ar"/>
              </w:rPr>
              <w:t>00</w:t>
            </w:r>
          </w:p>
        </w:tc>
        <w:tc>
          <w:tcPr>
            <w:tcW w:w="1200" w:type="dxa"/>
            <w:vAlign w:val="center"/>
          </w:tcPr>
          <w:p>
            <w:pPr>
              <w:widowControl/>
              <w:jc w:val="center"/>
              <w:textAlignment w:val="center"/>
              <w:rPr>
                <w:rFonts w:cs="宋体" w:asciiTheme="minorEastAsia" w:hAnsiTheme="minorEastAsia" w:eastAsiaTheme="minorEastAsia"/>
                <w:color w:val="auto"/>
                <w:kern w:val="0"/>
                <w:szCs w:val="21"/>
                <w:highlight w:val="none"/>
                <w:lang w:bidi="ar"/>
              </w:rPr>
            </w:pPr>
            <w:r>
              <w:rPr>
                <w:rFonts w:asciiTheme="minorEastAsia" w:hAnsiTheme="minorEastAsia" w:eastAsiaTheme="minorEastAsia"/>
                <w:color w:val="auto"/>
                <w:highlight w:val="none"/>
              </w:rPr>
              <w:drawing>
                <wp:inline distT="0" distB="0" distL="0" distR="0">
                  <wp:extent cx="609600" cy="895350"/>
                  <wp:effectExtent l="0" t="0" r="0" b="6350"/>
                  <wp:docPr id="12" name="图片 12" descr="5958b83a6160f2e910d66b284794f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5958b83a6160f2e910d66b284794fc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09600" cy="895350"/>
                          </a:xfrm>
                          <a:prstGeom prst="rect">
                            <a:avLst/>
                          </a:prstGeom>
                          <a:noFill/>
                          <a:ln>
                            <a:noFill/>
                          </a:ln>
                        </pic:spPr>
                      </pic:pic>
                    </a:graphicData>
                  </a:graphic>
                </wp:inline>
              </w:drawing>
            </w:r>
          </w:p>
        </w:tc>
        <w:tc>
          <w:tcPr>
            <w:tcW w:w="1200" w:type="dxa"/>
            <w:vAlign w:val="center"/>
          </w:tcPr>
          <w:p>
            <w:pPr>
              <w:widowControl/>
              <w:jc w:val="center"/>
              <w:textAlignment w:val="center"/>
              <w:rPr>
                <w:rFonts w:cs="宋体" w:asciiTheme="minorEastAsia" w:hAnsiTheme="minorEastAsia" w:eastAsiaTheme="minorEastAsia"/>
                <w:color w:val="auto"/>
                <w:sz w:val="20"/>
                <w:szCs w:val="21"/>
                <w:highlight w:val="none"/>
              </w:rPr>
            </w:pPr>
            <w:r>
              <w:rPr>
                <w:rFonts w:hint="eastAsia" w:ascii="宋体" w:hAnsi="宋体" w:cs="宋体"/>
                <w:color w:val="auto"/>
                <w:kern w:val="0"/>
                <w:szCs w:val="21"/>
                <w:highlight w:val="none"/>
                <w:lang w:bidi="ar"/>
              </w:rPr>
              <w:t>670*610*1038</w:t>
            </w:r>
          </w:p>
        </w:tc>
        <w:tc>
          <w:tcPr>
            <w:tcW w:w="4679" w:type="dxa"/>
            <w:vAlign w:val="center"/>
          </w:tcPr>
          <w:p>
            <w:pPr>
              <w:widowControl/>
              <w:jc w:val="left"/>
              <w:textAlignment w:val="center"/>
              <w:rPr>
                <w:color w:val="auto"/>
                <w:highlight w:val="none"/>
              </w:rPr>
            </w:pPr>
            <w:r>
              <w:rPr>
                <w:rFonts w:hint="eastAsia"/>
                <w:color w:val="auto"/>
                <w:highlight w:val="none"/>
              </w:rPr>
              <w:t>◆1、材质稳定，经耐用不掉色，耐热耐磨抗老化，单框设计具备伸张功能。</w:t>
            </w:r>
          </w:p>
          <w:p>
            <w:pPr>
              <w:widowControl/>
              <w:jc w:val="left"/>
              <w:textAlignment w:val="center"/>
              <w:rPr>
                <w:color w:val="auto"/>
                <w:highlight w:val="none"/>
              </w:rPr>
            </w:pPr>
            <w:r>
              <w:rPr>
                <w:rFonts w:hint="eastAsia"/>
                <w:color w:val="auto"/>
                <w:highlight w:val="none"/>
              </w:rPr>
              <w:t>◆2、优质耐磨透气布料，坐垫布料采取优质布料。</w:t>
            </w:r>
          </w:p>
          <w:p>
            <w:pPr>
              <w:widowControl/>
              <w:jc w:val="left"/>
              <w:textAlignment w:val="center"/>
              <w:rPr>
                <w:color w:val="auto"/>
                <w:highlight w:val="none"/>
              </w:rPr>
            </w:pPr>
            <w:r>
              <w:rPr>
                <w:rFonts w:hint="eastAsia"/>
                <w:color w:val="auto"/>
                <w:highlight w:val="none"/>
              </w:rPr>
              <w:t>◆3、升降腰枕PP料。</w:t>
            </w:r>
          </w:p>
          <w:p>
            <w:pPr>
              <w:widowControl/>
              <w:jc w:val="left"/>
              <w:textAlignment w:val="center"/>
              <w:rPr>
                <w:color w:val="auto"/>
                <w:highlight w:val="none"/>
              </w:rPr>
            </w:pPr>
            <w:r>
              <w:rPr>
                <w:rFonts w:hint="eastAsia"/>
                <w:color w:val="auto"/>
                <w:highlight w:val="none"/>
              </w:rPr>
              <w:t>◆4、固定PP加纤扶手                                    ◆5、1.2MM厚胶合板+高回弹高密度海绵+全新PP座胶壳.可以前后滑动。</w:t>
            </w:r>
          </w:p>
          <w:p>
            <w:pPr>
              <w:widowControl/>
              <w:jc w:val="left"/>
              <w:textAlignment w:val="center"/>
              <w:rPr>
                <w:color w:val="auto"/>
                <w:highlight w:val="none"/>
              </w:rPr>
            </w:pPr>
            <w:r>
              <w:rPr>
                <w:rFonts w:hint="eastAsia"/>
                <w:color w:val="auto"/>
                <w:highlight w:val="none"/>
              </w:rPr>
              <w:t>◆6、采用3.0MM加厚钢板，单手柄自重倾仰底盘；外管1.5+中管2.0厚气压棒，升降次数10万7350#爪型合金龙脚，过1136KG静压测试；轮子同样采用60MMPU防震静音黑色轮。轮子同样采用60MMPU防震静音黑色轮。</w:t>
            </w:r>
          </w:p>
        </w:tc>
        <w:tc>
          <w:tcPr>
            <w:tcW w:w="833" w:type="dxa"/>
            <w:vAlign w:val="center"/>
          </w:tcPr>
          <w:p>
            <w:pPr>
              <w:widowControl/>
              <w:jc w:val="center"/>
              <w:textAlignment w:val="center"/>
              <w:rPr>
                <w:rFonts w:cs="宋体" w:asciiTheme="minorEastAsia" w:hAnsiTheme="minorEastAsia" w:eastAsiaTheme="minorEastAsia"/>
                <w:color w:val="auto"/>
                <w:sz w:val="20"/>
                <w:szCs w:val="21"/>
                <w:highlight w:val="none"/>
              </w:rPr>
            </w:pPr>
            <w:r>
              <w:rPr>
                <w:rFonts w:hint="eastAsia" w:cs="宋体" w:asciiTheme="minorEastAsia" w:hAnsiTheme="minorEastAsia" w:eastAsiaTheme="minorEastAsia"/>
                <w:color w:val="auto"/>
                <w:kern w:val="0"/>
                <w:szCs w:val="21"/>
                <w:highlight w:val="none"/>
                <w:lang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835" w:type="dxa"/>
            <w:noWrap/>
            <w:vAlign w:val="center"/>
          </w:tcPr>
          <w:p>
            <w:pPr>
              <w:widowControl/>
              <w:jc w:val="center"/>
              <w:textAlignment w:val="center"/>
              <w:rPr>
                <w:rFonts w:cs="宋体" w:asciiTheme="minorEastAsia" w:hAnsiTheme="minorEastAsia" w:eastAsiaTheme="minorEastAsia"/>
                <w:color w:val="auto"/>
                <w:kern w:val="0"/>
                <w:sz w:val="20"/>
                <w:szCs w:val="21"/>
                <w:highlight w:val="none"/>
                <w:lang w:bidi="ar"/>
              </w:rPr>
            </w:pPr>
            <w:r>
              <w:rPr>
                <w:rFonts w:hint="eastAsia" w:cs="宋体" w:asciiTheme="minorEastAsia" w:hAnsiTheme="minorEastAsia" w:eastAsiaTheme="minorEastAsia"/>
                <w:color w:val="auto"/>
                <w:kern w:val="0"/>
                <w:szCs w:val="21"/>
                <w:highlight w:val="none"/>
                <w:lang w:bidi="ar"/>
              </w:rPr>
              <w:t>3</w:t>
            </w:r>
          </w:p>
        </w:tc>
        <w:tc>
          <w:tcPr>
            <w:tcW w:w="1287" w:type="dxa"/>
            <w:vAlign w:val="center"/>
          </w:tcPr>
          <w:p>
            <w:pPr>
              <w:widowControl/>
              <w:jc w:val="center"/>
              <w:textAlignment w:val="center"/>
              <w:rPr>
                <w:rFonts w:cs="宋体" w:asciiTheme="minorEastAsia" w:hAnsiTheme="minorEastAsia" w:eastAsiaTheme="minorEastAsia"/>
                <w:color w:val="auto"/>
                <w:kern w:val="0"/>
                <w:sz w:val="20"/>
                <w:szCs w:val="21"/>
                <w:highlight w:val="none"/>
                <w:lang w:bidi="ar"/>
              </w:rPr>
            </w:pPr>
            <w:r>
              <w:rPr>
                <w:rFonts w:hint="eastAsia" w:cs="宋体" w:asciiTheme="minorEastAsia" w:hAnsiTheme="minorEastAsia" w:eastAsiaTheme="minorEastAsia"/>
                <w:color w:val="auto"/>
                <w:kern w:val="0"/>
                <w:szCs w:val="21"/>
                <w:highlight w:val="none"/>
                <w:lang w:bidi="ar"/>
              </w:rPr>
              <w:t>钢制文件柜</w:t>
            </w:r>
          </w:p>
        </w:tc>
        <w:tc>
          <w:tcPr>
            <w:tcW w:w="1200" w:type="dxa"/>
            <w:vAlign w:val="top"/>
          </w:tcPr>
          <w:p>
            <w:pPr>
              <w:widowControl/>
              <w:jc w:val="center"/>
              <w:textAlignment w:val="center"/>
              <w:rPr>
                <w:rFonts w:cs="宋体" w:asciiTheme="minorEastAsia" w:hAnsiTheme="minorEastAsia" w:eastAsiaTheme="minorEastAsia"/>
                <w:color w:val="auto"/>
                <w:kern w:val="0"/>
                <w:sz w:val="20"/>
                <w:szCs w:val="21"/>
                <w:highlight w:val="none"/>
                <w:lang w:bidi="ar"/>
              </w:rPr>
            </w:pPr>
          </w:p>
          <w:p>
            <w:pPr>
              <w:widowControl/>
              <w:jc w:val="center"/>
              <w:textAlignment w:val="center"/>
              <w:rPr>
                <w:rFonts w:cs="宋体" w:asciiTheme="minorEastAsia" w:hAnsiTheme="minorEastAsia" w:eastAsiaTheme="minorEastAsia"/>
                <w:color w:val="auto"/>
                <w:kern w:val="0"/>
                <w:sz w:val="20"/>
                <w:szCs w:val="21"/>
                <w:highlight w:val="none"/>
                <w:lang w:bidi="ar"/>
              </w:rPr>
            </w:pPr>
          </w:p>
          <w:p>
            <w:pPr>
              <w:widowControl/>
              <w:jc w:val="center"/>
              <w:textAlignment w:val="center"/>
              <w:rPr>
                <w:rFonts w:cs="宋体" w:asciiTheme="minorEastAsia" w:hAnsiTheme="minorEastAsia" w:eastAsiaTheme="minorEastAsia"/>
                <w:color w:val="auto"/>
                <w:kern w:val="0"/>
                <w:sz w:val="20"/>
                <w:szCs w:val="21"/>
                <w:highlight w:val="none"/>
                <w:lang w:bidi="ar"/>
              </w:rPr>
            </w:pPr>
          </w:p>
          <w:p>
            <w:pPr>
              <w:widowControl/>
              <w:jc w:val="center"/>
              <w:textAlignment w:val="center"/>
              <w:rPr>
                <w:rFonts w:cs="宋体" w:asciiTheme="minorEastAsia" w:hAnsiTheme="minorEastAsia" w:eastAsiaTheme="minorEastAsia"/>
                <w:color w:val="auto"/>
                <w:kern w:val="0"/>
                <w:sz w:val="20"/>
                <w:szCs w:val="21"/>
                <w:highlight w:val="none"/>
                <w:lang w:bidi="ar"/>
              </w:rPr>
            </w:pPr>
          </w:p>
          <w:p>
            <w:pPr>
              <w:widowControl/>
              <w:jc w:val="center"/>
              <w:textAlignment w:val="center"/>
              <w:rPr>
                <w:rFonts w:cs="宋体" w:asciiTheme="minorEastAsia" w:hAnsiTheme="minorEastAsia" w:eastAsiaTheme="minorEastAsia"/>
                <w:color w:val="auto"/>
                <w:kern w:val="0"/>
                <w:sz w:val="20"/>
                <w:szCs w:val="21"/>
                <w:highlight w:val="none"/>
                <w:lang w:bidi="ar"/>
              </w:rPr>
            </w:pPr>
          </w:p>
          <w:p>
            <w:pPr>
              <w:widowControl/>
              <w:jc w:val="center"/>
              <w:textAlignment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0"/>
                <w:szCs w:val="21"/>
                <w:highlight w:val="none"/>
                <w:lang w:bidi="ar"/>
              </w:rPr>
              <w:t>1</w:t>
            </w:r>
            <w:r>
              <w:rPr>
                <w:rFonts w:cs="宋体" w:asciiTheme="minorEastAsia" w:hAnsiTheme="minorEastAsia" w:eastAsiaTheme="minorEastAsia"/>
                <w:color w:val="auto"/>
                <w:kern w:val="0"/>
                <w:sz w:val="20"/>
                <w:szCs w:val="21"/>
                <w:highlight w:val="none"/>
                <w:lang w:bidi="ar"/>
              </w:rPr>
              <w:t>000</w:t>
            </w:r>
          </w:p>
        </w:tc>
        <w:tc>
          <w:tcPr>
            <w:tcW w:w="1200" w:type="dxa"/>
            <w:vAlign w:val="center"/>
          </w:tcPr>
          <w:p>
            <w:pPr>
              <w:widowControl/>
              <w:jc w:val="center"/>
              <w:textAlignment w:val="center"/>
              <w:rPr>
                <w:rFonts w:cs="宋体" w:asciiTheme="minorEastAsia" w:hAnsiTheme="minorEastAsia" w:eastAsiaTheme="minorEastAsia"/>
                <w:color w:val="auto"/>
                <w:kern w:val="0"/>
                <w:szCs w:val="21"/>
                <w:highlight w:val="none"/>
                <w:lang w:bidi="ar"/>
              </w:rPr>
            </w:pPr>
            <w:r>
              <w:rPr>
                <w:rFonts w:asciiTheme="minorEastAsia" w:hAnsiTheme="minorEastAsia" w:eastAsiaTheme="minorEastAsia"/>
                <w:color w:val="auto"/>
                <w:highlight w:val="none"/>
              </w:rPr>
              <w:drawing>
                <wp:inline distT="0" distB="0" distL="0" distR="0">
                  <wp:extent cx="552450" cy="736600"/>
                  <wp:effectExtent l="0" t="0" r="6350" b="0"/>
                  <wp:docPr id="11" name="图片 11" descr="ab3f9b20bbf4cd78c4b34d3fff5b3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ab3f9b20bbf4cd78c4b34d3fff5b37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736600"/>
                          </a:xfrm>
                          <a:prstGeom prst="rect">
                            <a:avLst/>
                          </a:prstGeom>
                          <a:noFill/>
                          <a:ln>
                            <a:noFill/>
                          </a:ln>
                        </pic:spPr>
                      </pic:pic>
                    </a:graphicData>
                  </a:graphic>
                </wp:inline>
              </w:drawing>
            </w:r>
          </w:p>
        </w:tc>
        <w:tc>
          <w:tcPr>
            <w:tcW w:w="1200" w:type="dxa"/>
            <w:vAlign w:val="center"/>
          </w:tcPr>
          <w:p>
            <w:pPr>
              <w:widowControl/>
              <w:jc w:val="center"/>
              <w:textAlignment w:val="center"/>
              <w:rPr>
                <w:rFonts w:cs="宋体" w:asciiTheme="minorEastAsia" w:hAnsiTheme="minorEastAsia" w:eastAsiaTheme="minorEastAsia"/>
                <w:color w:val="auto"/>
                <w:sz w:val="20"/>
                <w:szCs w:val="21"/>
                <w:highlight w:val="none"/>
              </w:rPr>
            </w:pPr>
            <w:r>
              <w:rPr>
                <w:rFonts w:hint="eastAsia" w:cs="宋体" w:asciiTheme="minorEastAsia" w:hAnsiTheme="minorEastAsia" w:eastAsiaTheme="minorEastAsia"/>
                <w:color w:val="auto"/>
                <w:kern w:val="0"/>
                <w:szCs w:val="21"/>
                <w:highlight w:val="none"/>
                <w:lang w:bidi="ar"/>
              </w:rPr>
              <w:t>900*400*1800</w:t>
            </w:r>
          </w:p>
        </w:tc>
        <w:tc>
          <w:tcPr>
            <w:tcW w:w="4679" w:type="dxa"/>
            <w:vAlign w:val="center"/>
          </w:tcPr>
          <w:p>
            <w:pPr>
              <w:widowControl/>
              <w:tabs>
                <w:tab w:val="left" w:pos="312"/>
              </w:tabs>
              <w:jc w:val="left"/>
              <w:textAlignment w:val="center"/>
              <w:rPr>
                <w:rFonts w:cs="宋体" w:asciiTheme="minorEastAsia" w:hAnsiTheme="minorEastAsia" w:eastAsiaTheme="minorEastAsia"/>
                <w:color w:val="auto"/>
                <w:sz w:val="20"/>
                <w:szCs w:val="21"/>
                <w:highlight w:val="none"/>
              </w:rPr>
            </w:pPr>
            <w:r>
              <w:rPr>
                <w:rFonts w:hint="eastAsia" w:cs="宋体" w:asciiTheme="minorEastAsia" w:hAnsiTheme="minorEastAsia" w:eastAsiaTheme="minorEastAsia"/>
                <w:color w:val="auto"/>
                <w:kern w:val="0"/>
                <w:szCs w:val="21"/>
                <w:highlight w:val="none"/>
                <w:lang w:bidi="ar"/>
              </w:rPr>
              <w:t>◆1、柜体采用≥1.0厚一级冷轧钢板经激光下料，数控冲床冲压，数控折弯一体成型，整体90%气保焊焊接，保证结构强度，避免碰焊表面留下疤痕，影响整体美观度。</w:t>
            </w:r>
          </w:p>
          <w:p>
            <w:pPr>
              <w:widowControl/>
              <w:tabs>
                <w:tab w:val="left" w:pos="312"/>
              </w:tabs>
              <w:jc w:val="left"/>
              <w:textAlignment w:val="center"/>
              <w:rPr>
                <w:rFonts w:cs="宋体" w:asciiTheme="minorEastAsia" w:hAnsiTheme="minorEastAsia" w:eastAsiaTheme="minorEastAsia"/>
                <w:color w:val="auto"/>
                <w:sz w:val="20"/>
                <w:szCs w:val="21"/>
                <w:highlight w:val="none"/>
              </w:rPr>
            </w:pPr>
            <w:r>
              <w:rPr>
                <w:rFonts w:cs="宋体" w:asciiTheme="minorEastAsia" w:hAnsiTheme="minorEastAsia" w:eastAsiaTheme="minorEastAsia"/>
                <w:color w:val="auto"/>
                <w:kern w:val="0"/>
                <w:szCs w:val="21"/>
                <w:highlight w:val="none"/>
                <w:lang w:bidi="ar"/>
              </w:rPr>
              <w:t>2</w:t>
            </w:r>
            <w:r>
              <w:rPr>
                <w:rFonts w:hint="eastAsia" w:cs="宋体" w:asciiTheme="minorEastAsia" w:hAnsiTheme="minorEastAsia" w:eastAsiaTheme="minorEastAsia"/>
                <w:color w:val="auto"/>
                <w:kern w:val="0"/>
                <w:szCs w:val="21"/>
                <w:highlight w:val="none"/>
                <w:lang w:bidi="ar"/>
              </w:rPr>
              <w:t>、经除油，除锈，磷化等十一道隧道式表面前处理，能确保各种环境下长时间表面不脱落，不生锈情况发生。处理采用固性环氧树脂粉末或同等级别的粉末，环保无污染。</w:t>
            </w:r>
          </w:p>
          <w:p>
            <w:pPr>
              <w:widowControl/>
              <w:tabs>
                <w:tab w:val="left" w:pos="312"/>
              </w:tabs>
              <w:jc w:val="left"/>
              <w:textAlignment w:val="center"/>
              <w:rPr>
                <w:rFonts w:cs="宋体" w:asciiTheme="minorEastAsia" w:hAnsiTheme="minorEastAsia" w:eastAsiaTheme="minorEastAsia"/>
                <w:color w:val="auto"/>
                <w:sz w:val="20"/>
                <w:szCs w:val="21"/>
                <w:highlight w:val="none"/>
              </w:rPr>
            </w:pPr>
            <w:r>
              <w:rPr>
                <w:rFonts w:cs="宋体" w:asciiTheme="minorEastAsia" w:hAnsiTheme="minorEastAsia" w:eastAsiaTheme="minorEastAsia"/>
                <w:color w:val="auto"/>
                <w:kern w:val="0"/>
                <w:szCs w:val="21"/>
                <w:highlight w:val="none"/>
                <w:lang w:bidi="ar"/>
              </w:rPr>
              <w:t>3</w:t>
            </w:r>
            <w:r>
              <w:rPr>
                <w:rFonts w:hint="eastAsia" w:cs="宋体" w:asciiTheme="minorEastAsia" w:hAnsiTheme="minorEastAsia" w:eastAsiaTheme="minorEastAsia"/>
                <w:color w:val="auto"/>
                <w:kern w:val="0"/>
                <w:szCs w:val="21"/>
                <w:highlight w:val="none"/>
                <w:lang w:bidi="ar"/>
              </w:rPr>
              <w:t>、缓冲阻尼铰链，内含柜门若干。</w:t>
            </w:r>
          </w:p>
        </w:tc>
        <w:tc>
          <w:tcPr>
            <w:tcW w:w="833" w:type="dxa"/>
            <w:vAlign w:val="center"/>
          </w:tcPr>
          <w:p>
            <w:pPr>
              <w:widowControl/>
              <w:jc w:val="center"/>
              <w:textAlignment w:val="center"/>
              <w:rPr>
                <w:rFonts w:cs="宋体" w:asciiTheme="minorEastAsia" w:hAnsiTheme="minorEastAsia" w:eastAsiaTheme="minorEastAsia"/>
                <w:color w:val="auto"/>
                <w:sz w:val="20"/>
                <w:szCs w:val="21"/>
                <w:highlight w:val="none"/>
              </w:rPr>
            </w:pPr>
            <w:r>
              <w:rPr>
                <w:rFonts w:hint="eastAsia" w:cs="宋体" w:asciiTheme="minorEastAsia" w:hAnsiTheme="minorEastAsia" w:eastAsiaTheme="minorEastAsia"/>
                <w:color w:val="auto"/>
                <w:kern w:val="0"/>
                <w:szCs w:val="21"/>
                <w:highlight w:val="none"/>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835" w:type="dxa"/>
            <w:noWrap/>
            <w:vAlign w:val="center"/>
          </w:tcPr>
          <w:p>
            <w:pPr>
              <w:widowControl/>
              <w:jc w:val="center"/>
              <w:textAlignment w:val="center"/>
              <w:rPr>
                <w:rFonts w:cs="宋体" w:asciiTheme="minorEastAsia" w:hAnsiTheme="minorEastAsia" w:eastAsiaTheme="minorEastAsia"/>
                <w:color w:val="auto"/>
                <w:kern w:val="0"/>
                <w:sz w:val="20"/>
                <w:szCs w:val="21"/>
                <w:highlight w:val="none"/>
                <w:lang w:bidi="ar"/>
              </w:rPr>
            </w:pPr>
            <w:r>
              <w:rPr>
                <w:rFonts w:hint="eastAsia" w:cs="宋体" w:asciiTheme="minorEastAsia" w:hAnsiTheme="minorEastAsia" w:eastAsiaTheme="minorEastAsia"/>
                <w:color w:val="auto"/>
                <w:kern w:val="0"/>
                <w:szCs w:val="21"/>
                <w:highlight w:val="none"/>
                <w:lang w:bidi="ar"/>
              </w:rPr>
              <w:t>4</w:t>
            </w:r>
          </w:p>
        </w:tc>
        <w:tc>
          <w:tcPr>
            <w:tcW w:w="1287" w:type="dxa"/>
            <w:vAlign w:val="center"/>
          </w:tcPr>
          <w:p>
            <w:pPr>
              <w:widowControl/>
              <w:jc w:val="center"/>
              <w:textAlignment w:val="center"/>
              <w:rPr>
                <w:rFonts w:cs="宋体" w:asciiTheme="minorEastAsia" w:hAnsiTheme="minorEastAsia" w:eastAsiaTheme="minorEastAsia"/>
                <w:color w:val="auto"/>
                <w:kern w:val="0"/>
                <w:sz w:val="20"/>
                <w:szCs w:val="21"/>
                <w:highlight w:val="none"/>
                <w:lang w:bidi="ar"/>
              </w:rPr>
            </w:pPr>
            <w:r>
              <w:rPr>
                <w:rFonts w:hint="eastAsia" w:cs="宋体" w:asciiTheme="minorEastAsia" w:hAnsiTheme="minorEastAsia" w:eastAsiaTheme="minorEastAsia"/>
                <w:color w:val="auto"/>
                <w:kern w:val="0"/>
                <w:szCs w:val="21"/>
                <w:highlight w:val="none"/>
                <w:lang w:bidi="ar"/>
              </w:rPr>
              <w:t>钢制档案柜</w:t>
            </w:r>
          </w:p>
        </w:tc>
        <w:tc>
          <w:tcPr>
            <w:tcW w:w="1200" w:type="dxa"/>
            <w:vAlign w:val="top"/>
          </w:tcPr>
          <w:p>
            <w:pPr>
              <w:widowControl/>
              <w:jc w:val="center"/>
              <w:textAlignment w:val="center"/>
              <w:rPr>
                <w:rFonts w:cs="宋体" w:asciiTheme="minorEastAsia" w:hAnsiTheme="minorEastAsia" w:eastAsiaTheme="minorEastAsia"/>
                <w:color w:val="auto"/>
                <w:kern w:val="0"/>
                <w:sz w:val="20"/>
                <w:szCs w:val="21"/>
                <w:highlight w:val="none"/>
                <w:lang w:bidi="ar"/>
              </w:rPr>
            </w:pPr>
          </w:p>
          <w:p>
            <w:pPr>
              <w:widowControl/>
              <w:jc w:val="center"/>
              <w:textAlignment w:val="center"/>
              <w:rPr>
                <w:rFonts w:cs="宋体" w:asciiTheme="minorEastAsia" w:hAnsiTheme="minorEastAsia" w:eastAsiaTheme="minorEastAsia"/>
                <w:color w:val="auto"/>
                <w:kern w:val="0"/>
                <w:sz w:val="20"/>
                <w:szCs w:val="21"/>
                <w:highlight w:val="none"/>
                <w:lang w:bidi="ar"/>
              </w:rPr>
            </w:pPr>
          </w:p>
          <w:p>
            <w:pPr>
              <w:widowControl/>
              <w:jc w:val="center"/>
              <w:textAlignment w:val="center"/>
              <w:rPr>
                <w:rFonts w:cs="宋体" w:asciiTheme="minorEastAsia" w:hAnsiTheme="minorEastAsia" w:eastAsiaTheme="minorEastAsia"/>
                <w:color w:val="auto"/>
                <w:kern w:val="0"/>
                <w:sz w:val="20"/>
                <w:szCs w:val="21"/>
                <w:highlight w:val="none"/>
                <w:lang w:bidi="ar"/>
              </w:rPr>
            </w:pPr>
          </w:p>
          <w:p>
            <w:pPr>
              <w:widowControl/>
              <w:jc w:val="center"/>
              <w:textAlignment w:val="center"/>
              <w:rPr>
                <w:rFonts w:cs="宋体" w:asciiTheme="minorEastAsia" w:hAnsiTheme="minorEastAsia" w:eastAsiaTheme="minorEastAsia"/>
                <w:color w:val="auto"/>
                <w:kern w:val="0"/>
                <w:sz w:val="20"/>
                <w:szCs w:val="21"/>
                <w:highlight w:val="none"/>
                <w:lang w:bidi="ar"/>
              </w:rPr>
            </w:pPr>
          </w:p>
          <w:p>
            <w:pPr>
              <w:widowControl/>
              <w:jc w:val="center"/>
              <w:textAlignment w:val="center"/>
              <w:rPr>
                <w:rFonts w:asciiTheme="minorEastAsia" w:hAnsiTheme="minorEastAsia" w:eastAsiaTheme="minorEastAsia"/>
                <w:color w:val="auto"/>
                <w:highlight w:val="none"/>
              </w:rPr>
            </w:pPr>
            <w:r>
              <w:rPr>
                <w:rFonts w:hint="eastAsia" w:ascii="华文中宋" w:hAnsi="华文中宋" w:eastAsia="华文中宋" w:cs="华文中宋"/>
                <w:color w:val="auto"/>
                <w:kern w:val="0"/>
                <w:sz w:val="20"/>
                <w:szCs w:val="21"/>
                <w:highlight w:val="none"/>
                <w:lang w:bidi="ar"/>
              </w:rPr>
              <w:t>∕</w:t>
            </w:r>
          </w:p>
        </w:tc>
        <w:tc>
          <w:tcPr>
            <w:tcW w:w="1200" w:type="dxa"/>
            <w:vAlign w:val="center"/>
          </w:tcPr>
          <w:p>
            <w:pPr>
              <w:widowControl/>
              <w:jc w:val="center"/>
              <w:textAlignment w:val="center"/>
              <w:rPr>
                <w:rFonts w:cs="宋体" w:asciiTheme="minorEastAsia" w:hAnsiTheme="minorEastAsia" w:eastAsiaTheme="minorEastAsia"/>
                <w:color w:val="auto"/>
                <w:kern w:val="0"/>
                <w:szCs w:val="21"/>
                <w:highlight w:val="none"/>
                <w:lang w:bidi="ar"/>
              </w:rPr>
            </w:pPr>
            <w:r>
              <w:rPr>
                <w:rFonts w:asciiTheme="minorEastAsia" w:hAnsiTheme="minorEastAsia" w:eastAsiaTheme="minorEastAsia"/>
                <w:color w:val="auto"/>
                <w:highlight w:val="none"/>
              </w:rPr>
              <w:drawing>
                <wp:inline distT="0" distB="0" distL="0" distR="0">
                  <wp:extent cx="622300" cy="622300"/>
                  <wp:effectExtent l="0" t="0" r="0" b="0"/>
                  <wp:docPr id="10" name="图片 10" descr="e24c054d34d6f31123dddb821910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e24c054d34d6f31123dddb82191009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622300" cy="622300"/>
                          </a:xfrm>
                          <a:prstGeom prst="rect">
                            <a:avLst/>
                          </a:prstGeom>
                          <a:noFill/>
                          <a:ln>
                            <a:noFill/>
                          </a:ln>
                        </pic:spPr>
                      </pic:pic>
                    </a:graphicData>
                  </a:graphic>
                </wp:inline>
              </w:drawing>
            </w:r>
          </w:p>
        </w:tc>
        <w:tc>
          <w:tcPr>
            <w:tcW w:w="1200" w:type="dxa"/>
            <w:vAlign w:val="center"/>
          </w:tcPr>
          <w:p>
            <w:pPr>
              <w:widowControl/>
              <w:jc w:val="center"/>
              <w:textAlignment w:val="center"/>
              <w:rPr>
                <w:rFonts w:cs="宋体" w:asciiTheme="minorEastAsia" w:hAnsiTheme="minorEastAsia" w:eastAsiaTheme="minorEastAsia"/>
                <w:color w:val="auto"/>
                <w:sz w:val="20"/>
                <w:szCs w:val="21"/>
                <w:highlight w:val="none"/>
              </w:rPr>
            </w:pPr>
            <w:r>
              <w:rPr>
                <w:rFonts w:hint="eastAsia" w:cs="宋体" w:asciiTheme="minorEastAsia" w:hAnsiTheme="minorEastAsia" w:eastAsiaTheme="minorEastAsia"/>
                <w:color w:val="auto"/>
                <w:kern w:val="0"/>
                <w:szCs w:val="21"/>
                <w:highlight w:val="none"/>
                <w:lang w:bidi="ar"/>
              </w:rPr>
              <w:t>900*400*480</w:t>
            </w:r>
          </w:p>
        </w:tc>
        <w:tc>
          <w:tcPr>
            <w:tcW w:w="4679" w:type="dxa"/>
            <w:vAlign w:val="center"/>
          </w:tcPr>
          <w:p>
            <w:pPr>
              <w:widowControl/>
              <w:tabs>
                <w:tab w:val="left" w:pos="312"/>
              </w:tabs>
              <w:jc w:val="left"/>
              <w:textAlignment w:val="center"/>
              <w:rPr>
                <w:rFonts w:cs="宋体" w:asciiTheme="minorEastAsia" w:hAnsiTheme="minorEastAsia" w:eastAsiaTheme="minorEastAsia"/>
                <w:color w:val="auto"/>
                <w:kern w:val="0"/>
                <w:szCs w:val="21"/>
                <w:highlight w:val="none"/>
                <w:lang w:bidi="ar"/>
              </w:rPr>
            </w:pPr>
            <w:r>
              <w:rPr>
                <w:rFonts w:hint="eastAsia" w:cs="宋体" w:asciiTheme="minorEastAsia" w:hAnsiTheme="minorEastAsia" w:eastAsiaTheme="minorEastAsia"/>
                <w:color w:val="auto"/>
                <w:kern w:val="0"/>
                <w:szCs w:val="21"/>
                <w:highlight w:val="none"/>
                <w:lang w:bidi="ar"/>
              </w:rPr>
              <w:t>◆1、柜体采用≥1.0厚一级冷轧钢板经激光下料，数控冲床冲压，数控折弯一体成型，整体90%气保焊焊接，保证结构强度，避免碰焊表面留下疤痕，影响整体美观度。</w:t>
            </w:r>
          </w:p>
          <w:p>
            <w:pPr>
              <w:widowControl/>
              <w:tabs>
                <w:tab w:val="left" w:pos="312"/>
              </w:tabs>
              <w:jc w:val="left"/>
              <w:textAlignment w:val="center"/>
              <w:rPr>
                <w:rFonts w:cs="宋体" w:asciiTheme="minorEastAsia" w:hAnsiTheme="minorEastAsia" w:eastAsiaTheme="minorEastAsia"/>
                <w:color w:val="auto"/>
                <w:kern w:val="0"/>
                <w:szCs w:val="21"/>
                <w:highlight w:val="none"/>
                <w:lang w:bidi="ar"/>
              </w:rPr>
            </w:pPr>
            <w:r>
              <w:rPr>
                <w:rFonts w:hint="eastAsia" w:cs="宋体" w:asciiTheme="minorEastAsia" w:hAnsiTheme="minorEastAsia" w:eastAsiaTheme="minorEastAsia"/>
                <w:color w:val="auto"/>
                <w:kern w:val="0"/>
                <w:szCs w:val="21"/>
                <w:highlight w:val="none"/>
                <w:lang w:bidi="ar"/>
              </w:rPr>
              <w:t>2、经除油，除锈，磷化等十一道隧道式表面前处理，能确保各种环境下长时间表面不脱落，不生锈情况发生。处理采用固性环氧树脂粉末或同等级别的粉末，环保无污染。</w:t>
            </w:r>
          </w:p>
          <w:p>
            <w:pPr>
              <w:widowControl/>
              <w:tabs>
                <w:tab w:val="left" w:pos="312"/>
              </w:tabs>
              <w:jc w:val="left"/>
              <w:textAlignment w:val="center"/>
              <w:rPr>
                <w:rFonts w:cs="宋体" w:asciiTheme="minorEastAsia" w:hAnsiTheme="minorEastAsia" w:eastAsiaTheme="minorEastAsia"/>
                <w:color w:val="auto"/>
                <w:sz w:val="20"/>
                <w:szCs w:val="21"/>
                <w:highlight w:val="none"/>
              </w:rPr>
            </w:pPr>
            <w:r>
              <w:rPr>
                <w:rFonts w:hint="eastAsia" w:cs="宋体" w:asciiTheme="minorEastAsia" w:hAnsiTheme="minorEastAsia" w:eastAsiaTheme="minorEastAsia"/>
                <w:color w:val="auto"/>
                <w:kern w:val="0"/>
                <w:szCs w:val="21"/>
                <w:highlight w:val="none"/>
                <w:lang w:bidi="ar"/>
              </w:rPr>
              <w:t>3、阻尼铰链，内含柜门若干。</w:t>
            </w:r>
          </w:p>
        </w:tc>
        <w:tc>
          <w:tcPr>
            <w:tcW w:w="833" w:type="dxa"/>
            <w:vAlign w:val="center"/>
          </w:tcPr>
          <w:p>
            <w:pPr>
              <w:widowControl/>
              <w:jc w:val="center"/>
              <w:textAlignment w:val="center"/>
              <w:rPr>
                <w:rFonts w:cs="宋体" w:asciiTheme="minorEastAsia" w:hAnsiTheme="minorEastAsia" w:eastAsiaTheme="minorEastAsia"/>
                <w:color w:val="auto"/>
                <w:sz w:val="20"/>
                <w:szCs w:val="21"/>
                <w:highlight w:val="none"/>
              </w:rPr>
            </w:pPr>
            <w:r>
              <w:rPr>
                <w:rFonts w:hint="eastAsia" w:cs="宋体" w:asciiTheme="minorEastAsia" w:hAnsiTheme="minorEastAsia" w:eastAsiaTheme="minorEastAsia"/>
                <w:color w:val="auto"/>
                <w:kern w:val="0"/>
                <w:szCs w:val="21"/>
                <w:highlight w:val="none"/>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835" w:type="dxa"/>
            <w:noWrap/>
            <w:vAlign w:val="center"/>
          </w:tcPr>
          <w:p>
            <w:pPr>
              <w:widowControl/>
              <w:jc w:val="center"/>
              <w:textAlignment w:val="center"/>
              <w:rPr>
                <w:rFonts w:cs="宋体" w:asciiTheme="minorEastAsia" w:hAnsiTheme="minorEastAsia" w:eastAsiaTheme="minorEastAsia"/>
                <w:color w:val="auto"/>
                <w:kern w:val="0"/>
                <w:sz w:val="20"/>
                <w:szCs w:val="21"/>
                <w:highlight w:val="none"/>
                <w:lang w:bidi="ar"/>
              </w:rPr>
            </w:pPr>
            <w:r>
              <w:rPr>
                <w:rFonts w:hint="eastAsia" w:cs="宋体" w:asciiTheme="minorEastAsia" w:hAnsiTheme="minorEastAsia" w:eastAsiaTheme="minorEastAsia"/>
                <w:color w:val="auto"/>
                <w:kern w:val="0"/>
                <w:szCs w:val="21"/>
                <w:highlight w:val="none"/>
                <w:lang w:bidi="ar"/>
              </w:rPr>
              <w:t>5</w:t>
            </w:r>
          </w:p>
        </w:tc>
        <w:tc>
          <w:tcPr>
            <w:tcW w:w="1287" w:type="dxa"/>
            <w:vAlign w:val="center"/>
          </w:tcPr>
          <w:p>
            <w:pPr>
              <w:widowControl/>
              <w:jc w:val="center"/>
              <w:textAlignment w:val="center"/>
              <w:rPr>
                <w:rFonts w:cs="宋体" w:asciiTheme="minorEastAsia" w:hAnsiTheme="minorEastAsia" w:eastAsiaTheme="minorEastAsia"/>
                <w:color w:val="auto"/>
                <w:kern w:val="0"/>
                <w:sz w:val="20"/>
                <w:szCs w:val="21"/>
                <w:highlight w:val="none"/>
                <w:lang w:bidi="ar"/>
              </w:rPr>
            </w:pPr>
            <w:r>
              <w:rPr>
                <w:rFonts w:hint="eastAsia" w:cs="宋体" w:asciiTheme="minorEastAsia" w:hAnsiTheme="minorEastAsia" w:eastAsiaTheme="minorEastAsia"/>
                <w:color w:val="auto"/>
                <w:kern w:val="0"/>
                <w:szCs w:val="21"/>
                <w:highlight w:val="none"/>
                <w:lang w:bidi="ar"/>
              </w:rPr>
              <w:t>小型会议桌</w:t>
            </w:r>
          </w:p>
        </w:tc>
        <w:tc>
          <w:tcPr>
            <w:tcW w:w="1200" w:type="dxa"/>
            <w:vAlign w:val="top"/>
          </w:tcPr>
          <w:p>
            <w:pPr>
              <w:widowControl/>
              <w:jc w:val="center"/>
              <w:textAlignment w:val="center"/>
              <w:rPr>
                <w:rFonts w:cs="宋体" w:asciiTheme="minorEastAsia" w:hAnsiTheme="minorEastAsia" w:eastAsiaTheme="minorEastAsia"/>
                <w:color w:val="auto"/>
                <w:kern w:val="0"/>
                <w:sz w:val="20"/>
                <w:szCs w:val="21"/>
                <w:highlight w:val="none"/>
                <w:lang w:bidi="ar"/>
              </w:rPr>
            </w:pPr>
          </w:p>
          <w:p>
            <w:pPr>
              <w:widowControl/>
              <w:jc w:val="center"/>
              <w:textAlignment w:val="center"/>
              <w:rPr>
                <w:rFonts w:cs="宋体" w:asciiTheme="minorEastAsia" w:hAnsiTheme="minorEastAsia" w:eastAsiaTheme="minorEastAsia"/>
                <w:color w:val="auto"/>
                <w:kern w:val="0"/>
                <w:sz w:val="20"/>
                <w:szCs w:val="21"/>
                <w:highlight w:val="none"/>
                <w:lang w:bidi="ar"/>
              </w:rPr>
            </w:pPr>
          </w:p>
          <w:p>
            <w:pPr>
              <w:widowControl/>
              <w:jc w:val="center"/>
              <w:textAlignment w:val="center"/>
              <w:rPr>
                <w:rFonts w:cs="宋体" w:asciiTheme="minorEastAsia" w:hAnsiTheme="minorEastAsia" w:eastAsiaTheme="minorEastAsia"/>
                <w:color w:val="auto"/>
                <w:kern w:val="0"/>
                <w:sz w:val="20"/>
                <w:szCs w:val="21"/>
                <w:highlight w:val="none"/>
                <w:lang w:bidi="ar"/>
              </w:rPr>
            </w:pPr>
          </w:p>
          <w:p>
            <w:pPr>
              <w:widowControl/>
              <w:jc w:val="center"/>
              <w:textAlignment w:val="center"/>
              <w:rPr>
                <w:rFonts w:cs="宋体" w:asciiTheme="minorEastAsia" w:hAnsiTheme="minorEastAsia" w:eastAsiaTheme="minorEastAsia"/>
                <w:color w:val="auto"/>
                <w:kern w:val="0"/>
                <w:sz w:val="20"/>
                <w:szCs w:val="21"/>
                <w:highlight w:val="none"/>
                <w:lang w:bidi="ar"/>
              </w:rPr>
            </w:pPr>
          </w:p>
          <w:p>
            <w:pPr>
              <w:widowControl/>
              <w:jc w:val="center"/>
              <w:textAlignment w:val="center"/>
              <w:rPr>
                <w:rFonts w:cs="宋体" w:asciiTheme="minorEastAsia" w:hAnsiTheme="minorEastAsia" w:eastAsiaTheme="minorEastAsia"/>
                <w:color w:val="auto"/>
                <w:kern w:val="0"/>
                <w:szCs w:val="21"/>
                <w:highlight w:val="none"/>
                <w:lang w:bidi="ar"/>
              </w:rPr>
            </w:pPr>
            <w:r>
              <w:rPr>
                <w:rFonts w:hint="eastAsia" w:cs="宋体" w:asciiTheme="minorEastAsia" w:hAnsiTheme="minorEastAsia" w:eastAsiaTheme="minorEastAsia"/>
                <w:color w:val="auto"/>
                <w:kern w:val="0"/>
                <w:sz w:val="20"/>
                <w:szCs w:val="21"/>
                <w:highlight w:val="none"/>
                <w:lang w:bidi="ar"/>
              </w:rPr>
              <w:t>2</w:t>
            </w:r>
            <w:r>
              <w:rPr>
                <w:rFonts w:cs="宋体" w:asciiTheme="minorEastAsia" w:hAnsiTheme="minorEastAsia" w:eastAsiaTheme="minorEastAsia"/>
                <w:color w:val="auto"/>
                <w:kern w:val="0"/>
                <w:sz w:val="20"/>
                <w:szCs w:val="21"/>
                <w:highlight w:val="none"/>
                <w:lang w:bidi="ar"/>
              </w:rPr>
              <w:t>400</w:t>
            </w:r>
          </w:p>
        </w:tc>
        <w:tc>
          <w:tcPr>
            <w:tcW w:w="1200" w:type="dxa"/>
            <w:vAlign w:val="center"/>
          </w:tcPr>
          <w:p>
            <w:pPr>
              <w:widowControl/>
              <w:jc w:val="center"/>
              <w:textAlignment w:val="center"/>
              <w:rPr>
                <w:rFonts w:cs="宋体" w:asciiTheme="minorEastAsia" w:hAnsiTheme="minorEastAsia" w:eastAsiaTheme="minorEastAsia"/>
                <w:color w:val="auto"/>
                <w:kern w:val="0"/>
                <w:szCs w:val="21"/>
                <w:highlight w:val="none"/>
                <w:lang w:bidi="ar"/>
              </w:rPr>
            </w:pPr>
            <w:r>
              <w:rPr>
                <w:rFonts w:hint="eastAsia" w:cs="宋体" w:asciiTheme="minorEastAsia" w:hAnsiTheme="minorEastAsia" w:eastAsiaTheme="minorEastAsia"/>
                <w:color w:val="auto"/>
                <w:kern w:val="0"/>
                <w:szCs w:val="21"/>
                <w:highlight w:val="none"/>
                <w:lang w:bidi="ar"/>
              </w:rPr>
              <w:drawing>
                <wp:inline distT="0" distB="0" distL="0" distR="0">
                  <wp:extent cx="558800" cy="336550"/>
                  <wp:effectExtent l="0" t="0" r="0" b="6350"/>
                  <wp:docPr id="9" name="图片 9" descr="5759af95479e1cae67f16109154b9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5759af95479e1cae67f16109154b97a"/>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58800" cy="336550"/>
                          </a:xfrm>
                          <a:prstGeom prst="rect">
                            <a:avLst/>
                          </a:prstGeom>
                          <a:noFill/>
                          <a:ln>
                            <a:noFill/>
                          </a:ln>
                        </pic:spPr>
                      </pic:pic>
                    </a:graphicData>
                  </a:graphic>
                </wp:inline>
              </w:drawing>
            </w:r>
          </w:p>
        </w:tc>
        <w:tc>
          <w:tcPr>
            <w:tcW w:w="1200" w:type="dxa"/>
            <w:vAlign w:val="center"/>
          </w:tcPr>
          <w:p>
            <w:pPr>
              <w:widowControl/>
              <w:jc w:val="center"/>
              <w:textAlignment w:val="center"/>
              <w:rPr>
                <w:rFonts w:cs="宋体" w:asciiTheme="minorEastAsia" w:hAnsiTheme="minorEastAsia" w:eastAsiaTheme="minorEastAsia"/>
                <w:color w:val="auto"/>
                <w:sz w:val="20"/>
                <w:szCs w:val="21"/>
                <w:highlight w:val="none"/>
              </w:rPr>
            </w:pPr>
            <w:r>
              <w:rPr>
                <w:rFonts w:hint="eastAsia" w:cs="宋体" w:asciiTheme="minorEastAsia" w:hAnsiTheme="minorEastAsia" w:eastAsiaTheme="minorEastAsia"/>
                <w:color w:val="auto"/>
                <w:kern w:val="0"/>
                <w:szCs w:val="21"/>
                <w:highlight w:val="none"/>
                <w:lang w:bidi="ar"/>
              </w:rPr>
              <w:t>1800*1000*750</w:t>
            </w:r>
          </w:p>
        </w:tc>
        <w:tc>
          <w:tcPr>
            <w:tcW w:w="4679" w:type="dxa"/>
            <w:vAlign w:val="center"/>
          </w:tcPr>
          <w:p>
            <w:pPr>
              <w:widowControl/>
              <w:textAlignment w:val="center"/>
              <w:rPr>
                <w:color w:val="auto"/>
                <w:highlight w:val="none"/>
              </w:rPr>
            </w:pPr>
            <w:r>
              <w:rPr>
                <w:rFonts w:hint="eastAsia"/>
                <w:color w:val="auto"/>
                <w:highlight w:val="none"/>
              </w:rPr>
              <w:t>◆1、饰面与封边：天然核桃木皮，厚度≥0.4mm；实木皮或实木条封边，颜色均匀，表面平整</w:t>
            </w:r>
          </w:p>
          <w:p>
            <w:pPr>
              <w:widowControl/>
              <w:jc w:val="left"/>
              <w:textAlignment w:val="center"/>
              <w:rPr>
                <w:color w:val="auto"/>
                <w:highlight w:val="none"/>
              </w:rPr>
            </w:pPr>
            <w:r>
              <w:rPr>
                <w:rFonts w:hint="eastAsia"/>
                <w:color w:val="auto"/>
                <w:highlight w:val="none"/>
              </w:rPr>
              <w:t>◆2、基材：采用优质多层板，甲醛释放量≤0.05mg/m³。</w:t>
            </w:r>
          </w:p>
          <w:p>
            <w:pPr>
              <w:widowControl/>
              <w:jc w:val="left"/>
              <w:textAlignment w:val="center"/>
              <w:rPr>
                <w:color w:val="auto"/>
                <w:highlight w:val="none"/>
              </w:rPr>
            </w:pPr>
            <w:r>
              <w:rPr>
                <w:rFonts w:hint="eastAsia"/>
                <w:color w:val="auto"/>
                <w:highlight w:val="none"/>
              </w:rPr>
              <w:t>◆3、油漆：环保水性油漆，五底三面工艺。</w:t>
            </w:r>
          </w:p>
          <w:p>
            <w:pPr>
              <w:widowControl/>
              <w:jc w:val="left"/>
              <w:textAlignment w:val="center"/>
              <w:rPr>
                <w:color w:val="auto"/>
                <w:highlight w:val="none"/>
              </w:rPr>
            </w:pPr>
            <w:r>
              <w:rPr>
                <w:rFonts w:hint="eastAsia"/>
                <w:color w:val="auto"/>
                <w:highlight w:val="none"/>
              </w:rPr>
              <w:t>◆4、五金件：采用优质五金。</w:t>
            </w:r>
          </w:p>
        </w:tc>
        <w:tc>
          <w:tcPr>
            <w:tcW w:w="833" w:type="dxa"/>
            <w:vAlign w:val="center"/>
          </w:tcPr>
          <w:p>
            <w:pPr>
              <w:widowControl/>
              <w:jc w:val="center"/>
              <w:textAlignment w:val="center"/>
              <w:rPr>
                <w:rFonts w:cs="宋体" w:asciiTheme="minorEastAsia" w:hAnsiTheme="minorEastAsia" w:eastAsiaTheme="minorEastAsia"/>
                <w:color w:val="auto"/>
                <w:sz w:val="20"/>
                <w:szCs w:val="21"/>
                <w:highlight w:val="none"/>
              </w:rPr>
            </w:pPr>
            <w:r>
              <w:rPr>
                <w:rFonts w:hint="eastAsia" w:cs="宋体" w:asciiTheme="minorEastAsia" w:hAnsiTheme="minorEastAsia" w:eastAsiaTheme="minorEastAsia"/>
                <w:color w:val="auto"/>
                <w:kern w:val="0"/>
                <w:szCs w:val="21"/>
                <w:highlight w:val="none"/>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835" w:type="dxa"/>
            <w:noWrap/>
            <w:vAlign w:val="center"/>
          </w:tcPr>
          <w:p>
            <w:pPr>
              <w:widowControl/>
              <w:jc w:val="center"/>
              <w:textAlignment w:val="center"/>
              <w:rPr>
                <w:rFonts w:cs="宋体" w:asciiTheme="minorEastAsia" w:hAnsiTheme="minorEastAsia" w:eastAsiaTheme="minorEastAsia"/>
                <w:color w:val="auto"/>
                <w:kern w:val="0"/>
                <w:sz w:val="20"/>
                <w:szCs w:val="21"/>
                <w:highlight w:val="none"/>
                <w:lang w:bidi="ar"/>
              </w:rPr>
            </w:pPr>
            <w:r>
              <w:rPr>
                <w:rFonts w:hint="eastAsia" w:cs="宋体" w:asciiTheme="minorEastAsia" w:hAnsiTheme="minorEastAsia" w:eastAsiaTheme="minorEastAsia"/>
                <w:color w:val="auto"/>
                <w:kern w:val="0"/>
                <w:szCs w:val="21"/>
                <w:highlight w:val="none"/>
                <w:lang w:bidi="ar"/>
              </w:rPr>
              <w:t>6</w:t>
            </w:r>
          </w:p>
        </w:tc>
        <w:tc>
          <w:tcPr>
            <w:tcW w:w="1287" w:type="dxa"/>
            <w:vAlign w:val="center"/>
          </w:tcPr>
          <w:p>
            <w:pPr>
              <w:widowControl/>
              <w:jc w:val="center"/>
              <w:textAlignment w:val="center"/>
              <w:rPr>
                <w:rFonts w:cs="宋体" w:asciiTheme="minorEastAsia" w:hAnsiTheme="minorEastAsia" w:eastAsiaTheme="minorEastAsia"/>
                <w:color w:val="auto"/>
                <w:kern w:val="0"/>
                <w:sz w:val="20"/>
                <w:szCs w:val="21"/>
                <w:highlight w:val="none"/>
                <w:lang w:bidi="ar"/>
              </w:rPr>
            </w:pPr>
            <w:r>
              <w:rPr>
                <w:rFonts w:hint="eastAsia" w:cs="宋体" w:asciiTheme="minorEastAsia" w:hAnsiTheme="minorEastAsia" w:eastAsiaTheme="minorEastAsia"/>
                <w:color w:val="auto"/>
                <w:kern w:val="0"/>
                <w:szCs w:val="21"/>
                <w:highlight w:val="none"/>
                <w:lang w:bidi="ar"/>
              </w:rPr>
              <w:t>大型会议桌</w:t>
            </w:r>
          </w:p>
        </w:tc>
        <w:tc>
          <w:tcPr>
            <w:tcW w:w="1200" w:type="dxa"/>
            <w:vAlign w:val="top"/>
          </w:tcPr>
          <w:p>
            <w:pPr>
              <w:widowControl/>
              <w:jc w:val="center"/>
              <w:textAlignment w:val="center"/>
              <w:rPr>
                <w:rFonts w:cs="宋体" w:asciiTheme="minorEastAsia" w:hAnsiTheme="minorEastAsia" w:eastAsiaTheme="minorEastAsia"/>
                <w:color w:val="auto"/>
                <w:kern w:val="0"/>
                <w:sz w:val="20"/>
                <w:szCs w:val="21"/>
                <w:highlight w:val="none"/>
                <w:lang w:bidi="ar"/>
              </w:rPr>
            </w:pPr>
          </w:p>
          <w:p>
            <w:pPr>
              <w:widowControl/>
              <w:jc w:val="center"/>
              <w:textAlignment w:val="center"/>
              <w:rPr>
                <w:rFonts w:cs="宋体" w:asciiTheme="minorEastAsia" w:hAnsiTheme="minorEastAsia" w:eastAsiaTheme="minorEastAsia"/>
                <w:color w:val="auto"/>
                <w:kern w:val="0"/>
                <w:sz w:val="20"/>
                <w:szCs w:val="21"/>
                <w:highlight w:val="none"/>
                <w:lang w:bidi="ar"/>
              </w:rPr>
            </w:pPr>
          </w:p>
          <w:p>
            <w:pPr>
              <w:widowControl/>
              <w:jc w:val="center"/>
              <w:textAlignment w:val="center"/>
              <w:rPr>
                <w:rFonts w:cs="宋体" w:asciiTheme="minorEastAsia" w:hAnsiTheme="minorEastAsia" w:eastAsiaTheme="minorEastAsia"/>
                <w:color w:val="auto"/>
                <w:kern w:val="0"/>
                <w:sz w:val="20"/>
                <w:szCs w:val="21"/>
                <w:highlight w:val="none"/>
                <w:lang w:bidi="ar"/>
              </w:rPr>
            </w:pPr>
          </w:p>
          <w:p>
            <w:pPr>
              <w:widowControl/>
              <w:jc w:val="center"/>
              <w:textAlignment w:val="center"/>
              <w:rPr>
                <w:rFonts w:cs="宋体" w:asciiTheme="minorEastAsia" w:hAnsiTheme="minorEastAsia" w:eastAsiaTheme="minorEastAsia"/>
                <w:color w:val="auto"/>
                <w:kern w:val="0"/>
                <w:sz w:val="20"/>
                <w:szCs w:val="21"/>
                <w:highlight w:val="none"/>
                <w:lang w:bidi="ar"/>
              </w:rPr>
            </w:pPr>
          </w:p>
          <w:p>
            <w:pPr>
              <w:widowControl/>
              <w:jc w:val="center"/>
              <w:textAlignment w:val="center"/>
              <w:rPr>
                <w:rFonts w:cs="宋体" w:asciiTheme="minorEastAsia" w:hAnsiTheme="minorEastAsia" w:eastAsiaTheme="minorEastAsia"/>
                <w:color w:val="auto"/>
                <w:kern w:val="0"/>
                <w:szCs w:val="21"/>
                <w:highlight w:val="none"/>
                <w:lang w:bidi="ar"/>
              </w:rPr>
            </w:pPr>
            <w:r>
              <w:rPr>
                <w:rFonts w:hint="eastAsia" w:cs="宋体" w:asciiTheme="minorEastAsia" w:hAnsiTheme="minorEastAsia" w:eastAsiaTheme="minorEastAsia"/>
                <w:color w:val="auto"/>
                <w:kern w:val="0"/>
                <w:sz w:val="20"/>
                <w:szCs w:val="21"/>
                <w:highlight w:val="none"/>
                <w:lang w:bidi="ar"/>
              </w:rPr>
              <w:t>4</w:t>
            </w:r>
            <w:r>
              <w:rPr>
                <w:rFonts w:cs="宋体" w:asciiTheme="minorEastAsia" w:hAnsiTheme="minorEastAsia" w:eastAsiaTheme="minorEastAsia"/>
                <w:color w:val="auto"/>
                <w:kern w:val="0"/>
                <w:sz w:val="20"/>
                <w:szCs w:val="21"/>
                <w:highlight w:val="none"/>
                <w:lang w:bidi="ar"/>
              </w:rPr>
              <w:t>000</w:t>
            </w:r>
          </w:p>
        </w:tc>
        <w:tc>
          <w:tcPr>
            <w:tcW w:w="1200" w:type="dxa"/>
            <w:vAlign w:val="center"/>
          </w:tcPr>
          <w:p>
            <w:pPr>
              <w:widowControl/>
              <w:jc w:val="center"/>
              <w:textAlignment w:val="center"/>
              <w:rPr>
                <w:rFonts w:cs="宋体" w:asciiTheme="minorEastAsia" w:hAnsiTheme="minorEastAsia" w:eastAsiaTheme="minorEastAsia"/>
                <w:color w:val="auto"/>
                <w:kern w:val="0"/>
                <w:szCs w:val="21"/>
                <w:highlight w:val="none"/>
                <w:lang w:bidi="ar"/>
              </w:rPr>
            </w:pPr>
            <w:r>
              <w:rPr>
                <w:rFonts w:hint="eastAsia" w:cs="宋体" w:asciiTheme="minorEastAsia" w:hAnsiTheme="minorEastAsia" w:eastAsiaTheme="minorEastAsia"/>
                <w:color w:val="auto"/>
                <w:kern w:val="0"/>
                <w:szCs w:val="21"/>
                <w:highlight w:val="none"/>
                <w:lang w:bidi="ar"/>
              </w:rPr>
              <w:drawing>
                <wp:inline distT="0" distB="0" distL="0" distR="0">
                  <wp:extent cx="565150" cy="539750"/>
                  <wp:effectExtent l="0" t="0" r="6350" b="6350"/>
                  <wp:docPr id="8" name="图片 8" descr="a9d3ac7238b2af31a2dda9c751821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a9d3ac7238b2af31a2dda9c7518219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65150" cy="539750"/>
                          </a:xfrm>
                          <a:prstGeom prst="rect">
                            <a:avLst/>
                          </a:prstGeom>
                          <a:noFill/>
                          <a:ln>
                            <a:noFill/>
                          </a:ln>
                        </pic:spPr>
                      </pic:pic>
                    </a:graphicData>
                  </a:graphic>
                </wp:inline>
              </w:drawing>
            </w:r>
          </w:p>
        </w:tc>
        <w:tc>
          <w:tcPr>
            <w:tcW w:w="1200" w:type="dxa"/>
            <w:vAlign w:val="center"/>
          </w:tcPr>
          <w:p>
            <w:pPr>
              <w:widowControl/>
              <w:jc w:val="center"/>
              <w:textAlignment w:val="center"/>
              <w:rPr>
                <w:rFonts w:cs="宋体" w:asciiTheme="minorEastAsia" w:hAnsiTheme="minorEastAsia" w:eastAsiaTheme="minorEastAsia"/>
                <w:color w:val="auto"/>
                <w:sz w:val="20"/>
                <w:szCs w:val="21"/>
                <w:highlight w:val="none"/>
              </w:rPr>
            </w:pPr>
            <w:r>
              <w:rPr>
                <w:rFonts w:hint="eastAsia" w:cs="宋体" w:asciiTheme="minorEastAsia" w:hAnsiTheme="minorEastAsia" w:eastAsiaTheme="minorEastAsia"/>
                <w:color w:val="auto"/>
                <w:kern w:val="0"/>
                <w:szCs w:val="21"/>
                <w:highlight w:val="none"/>
                <w:lang w:bidi="ar"/>
              </w:rPr>
              <w:t>3000*1500*750</w:t>
            </w:r>
          </w:p>
        </w:tc>
        <w:tc>
          <w:tcPr>
            <w:tcW w:w="4679" w:type="dxa"/>
            <w:vAlign w:val="center"/>
          </w:tcPr>
          <w:p>
            <w:pPr>
              <w:widowControl/>
              <w:textAlignment w:val="center"/>
              <w:rPr>
                <w:color w:val="auto"/>
                <w:highlight w:val="none"/>
              </w:rPr>
            </w:pPr>
            <w:r>
              <w:rPr>
                <w:rFonts w:hint="eastAsia"/>
                <w:color w:val="auto"/>
                <w:highlight w:val="none"/>
              </w:rPr>
              <w:t>◆1、饰面与封边：天然核桃木皮，厚度≥0.4mm；实木皮或实木条封边，颜色均匀，表面平整</w:t>
            </w:r>
          </w:p>
          <w:p>
            <w:pPr>
              <w:widowControl/>
              <w:jc w:val="left"/>
              <w:textAlignment w:val="center"/>
              <w:rPr>
                <w:color w:val="auto"/>
                <w:highlight w:val="none"/>
              </w:rPr>
            </w:pPr>
            <w:r>
              <w:rPr>
                <w:rFonts w:hint="eastAsia"/>
                <w:color w:val="auto"/>
                <w:highlight w:val="none"/>
              </w:rPr>
              <w:t>◆2、基材：采用优质多层板，甲醛释放量≤0.05mg/m³。</w:t>
            </w:r>
          </w:p>
          <w:p>
            <w:pPr>
              <w:widowControl/>
              <w:jc w:val="left"/>
              <w:textAlignment w:val="center"/>
              <w:rPr>
                <w:color w:val="auto"/>
                <w:highlight w:val="none"/>
              </w:rPr>
            </w:pPr>
            <w:r>
              <w:rPr>
                <w:rFonts w:hint="eastAsia"/>
                <w:color w:val="auto"/>
                <w:highlight w:val="none"/>
              </w:rPr>
              <w:t>◆3、油漆：环保水性油漆，五底三面工艺。</w:t>
            </w:r>
          </w:p>
          <w:p>
            <w:pPr>
              <w:widowControl/>
              <w:jc w:val="left"/>
              <w:textAlignment w:val="center"/>
              <w:rPr>
                <w:color w:val="auto"/>
                <w:highlight w:val="none"/>
              </w:rPr>
            </w:pPr>
            <w:r>
              <w:rPr>
                <w:rFonts w:hint="eastAsia"/>
                <w:color w:val="auto"/>
                <w:highlight w:val="none"/>
              </w:rPr>
              <w:t>◆4、五金件：采用优质五金。</w:t>
            </w:r>
          </w:p>
        </w:tc>
        <w:tc>
          <w:tcPr>
            <w:tcW w:w="833" w:type="dxa"/>
            <w:vAlign w:val="center"/>
          </w:tcPr>
          <w:p>
            <w:pPr>
              <w:widowControl/>
              <w:jc w:val="center"/>
              <w:textAlignment w:val="center"/>
              <w:rPr>
                <w:rFonts w:cs="宋体" w:asciiTheme="minorEastAsia" w:hAnsiTheme="minorEastAsia" w:eastAsiaTheme="minorEastAsia"/>
                <w:color w:val="auto"/>
                <w:sz w:val="20"/>
                <w:szCs w:val="21"/>
                <w:highlight w:val="none"/>
              </w:rPr>
            </w:pPr>
            <w:r>
              <w:rPr>
                <w:rFonts w:hint="eastAsia" w:cs="宋体" w:asciiTheme="minorEastAsia" w:hAnsiTheme="minorEastAsia" w:eastAsiaTheme="minorEastAsia"/>
                <w:color w:val="auto"/>
                <w:kern w:val="0"/>
                <w:szCs w:val="21"/>
                <w:highlight w:val="none"/>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5" w:type="dxa"/>
            <w:noWrap/>
            <w:vAlign w:val="center"/>
          </w:tcPr>
          <w:p>
            <w:pPr>
              <w:widowControl/>
              <w:jc w:val="center"/>
              <w:textAlignment w:val="center"/>
              <w:rPr>
                <w:rFonts w:cs="宋体" w:asciiTheme="minorEastAsia" w:hAnsiTheme="minorEastAsia" w:eastAsiaTheme="minorEastAsia"/>
                <w:color w:val="auto"/>
                <w:kern w:val="0"/>
                <w:sz w:val="20"/>
                <w:szCs w:val="21"/>
                <w:highlight w:val="none"/>
                <w:lang w:bidi="ar"/>
              </w:rPr>
            </w:pPr>
            <w:r>
              <w:rPr>
                <w:rFonts w:hint="eastAsia" w:cs="宋体" w:asciiTheme="minorEastAsia" w:hAnsiTheme="minorEastAsia" w:eastAsiaTheme="minorEastAsia"/>
                <w:color w:val="auto"/>
                <w:kern w:val="0"/>
                <w:szCs w:val="21"/>
                <w:highlight w:val="none"/>
                <w:lang w:bidi="ar"/>
              </w:rPr>
              <w:t>7</w:t>
            </w:r>
          </w:p>
        </w:tc>
        <w:tc>
          <w:tcPr>
            <w:tcW w:w="1287" w:type="dxa"/>
            <w:vAlign w:val="center"/>
          </w:tcPr>
          <w:p>
            <w:pPr>
              <w:widowControl/>
              <w:jc w:val="center"/>
              <w:textAlignment w:val="center"/>
              <w:rPr>
                <w:rFonts w:cs="宋体" w:asciiTheme="minorEastAsia" w:hAnsiTheme="minorEastAsia" w:eastAsiaTheme="minorEastAsia"/>
                <w:color w:val="auto"/>
                <w:kern w:val="0"/>
                <w:sz w:val="20"/>
                <w:szCs w:val="21"/>
                <w:highlight w:val="none"/>
                <w:lang w:bidi="ar"/>
              </w:rPr>
            </w:pPr>
            <w:r>
              <w:rPr>
                <w:rFonts w:hint="eastAsia" w:cs="宋体" w:asciiTheme="minorEastAsia" w:hAnsiTheme="minorEastAsia" w:eastAsiaTheme="minorEastAsia"/>
                <w:color w:val="auto"/>
                <w:kern w:val="0"/>
                <w:szCs w:val="21"/>
                <w:highlight w:val="none"/>
                <w:lang w:bidi="ar"/>
              </w:rPr>
              <w:t>会议椅</w:t>
            </w:r>
          </w:p>
        </w:tc>
        <w:tc>
          <w:tcPr>
            <w:tcW w:w="1200" w:type="dxa"/>
            <w:vAlign w:val="top"/>
          </w:tcPr>
          <w:p>
            <w:pPr>
              <w:widowControl/>
              <w:jc w:val="center"/>
              <w:textAlignment w:val="center"/>
              <w:rPr>
                <w:rFonts w:cs="宋体" w:asciiTheme="minorEastAsia" w:hAnsiTheme="minorEastAsia" w:eastAsiaTheme="minorEastAsia"/>
                <w:color w:val="auto"/>
                <w:kern w:val="0"/>
                <w:sz w:val="20"/>
                <w:szCs w:val="21"/>
                <w:highlight w:val="none"/>
                <w:lang w:bidi="ar"/>
              </w:rPr>
            </w:pPr>
          </w:p>
          <w:p>
            <w:pPr>
              <w:widowControl/>
              <w:jc w:val="center"/>
              <w:textAlignment w:val="center"/>
              <w:rPr>
                <w:rFonts w:cs="宋体" w:asciiTheme="minorEastAsia" w:hAnsiTheme="minorEastAsia" w:eastAsiaTheme="minorEastAsia"/>
                <w:color w:val="auto"/>
                <w:kern w:val="0"/>
                <w:sz w:val="20"/>
                <w:szCs w:val="21"/>
                <w:highlight w:val="none"/>
                <w:lang w:bidi="ar"/>
              </w:rPr>
            </w:pPr>
          </w:p>
          <w:p>
            <w:pPr>
              <w:widowControl/>
              <w:jc w:val="center"/>
              <w:textAlignment w:val="center"/>
              <w:rPr>
                <w:rFonts w:cs="宋体" w:asciiTheme="minorEastAsia" w:hAnsiTheme="minorEastAsia" w:eastAsiaTheme="minorEastAsia"/>
                <w:color w:val="auto"/>
                <w:kern w:val="0"/>
                <w:sz w:val="20"/>
                <w:szCs w:val="21"/>
                <w:highlight w:val="none"/>
                <w:lang w:bidi="ar"/>
              </w:rPr>
            </w:pPr>
          </w:p>
          <w:p>
            <w:pPr>
              <w:widowControl/>
              <w:jc w:val="center"/>
              <w:textAlignment w:val="center"/>
              <w:rPr>
                <w:rFonts w:cs="宋体" w:asciiTheme="minorEastAsia" w:hAnsiTheme="minorEastAsia" w:eastAsiaTheme="minorEastAsia"/>
                <w:color w:val="auto"/>
                <w:kern w:val="0"/>
                <w:szCs w:val="21"/>
                <w:highlight w:val="none"/>
                <w:lang w:bidi="ar"/>
              </w:rPr>
            </w:pPr>
            <w:r>
              <w:rPr>
                <w:rFonts w:hint="eastAsia" w:cs="宋体" w:asciiTheme="minorEastAsia" w:hAnsiTheme="minorEastAsia" w:eastAsiaTheme="minorEastAsia"/>
                <w:color w:val="auto"/>
                <w:kern w:val="0"/>
                <w:sz w:val="20"/>
                <w:szCs w:val="21"/>
                <w:highlight w:val="none"/>
                <w:lang w:bidi="ar"/>
              </w:rPr>
              <w:t>5</w:t>
            </w:r>
            <w:r>
              <w:rPr>
                <w:rFonts w:cs="宋体" w:asciiTheme="minorEastAsia" w:hAnsiTheme="minorEastAsia" w:eastAsiaTheme="minorEastAsia"/>
                <w:color w:val="auto"/>
                <w:kern w:val="0"/>
                <w:sz w:val="20"/>
                <w:szCs w:val="21"/>
                <w:highlight w:val="none"/>
                <w:lang w:bidi="ar"/>
              </w:rPr>
              <w:t>00</w:t>
            </w:r>
          </w:p>
        </w:tc>
        <w:tc>
          <w:tcPr>
            <w:tcW w:w="1200" w:type="dxa"/>
            <w:vAlign w:val="center"/>
          </w:tcPr>
          <w:p>
            <w:pPr>
              <w:widowControl/>
              <w:jc w:val="center"/>
              <w:textAlignment w:val="center"/>
              <w:rPr>
                <w:rFonts w:cs="宋体" w:asciiTheme="minorEastAsia" w:hAnsiTheme="minorEastAsia" w:eastAsiaTheme="minorEastAsia"/>
                <w:color w:val="auto"/>
                <w:kern w:val="0"/>
                <w:szCs w:val="21"/>
                <w:highlight w:val="none"/>
                <w:lang w:bidi="ar"/>
              </w:rPr>
            </w:pPr>
            <w:r>
              <w:rPr>
                <w:rFonts w:hint="eastAsia" w:cs="宋体" w:asciiTheme="minorEastAsia" w:hAnsiTheme="minorEastAsia" w:eastAsiaTheme="minorEastAsia"/>
                <w:color w:val="auto"/>
                <w:kern w:val="0"/>
                <w:szCs w:val="21"/>
                <w:highlight w:val="none"/>
                <w:lang w:bidi="ar"/>
              </w:rPr>
              <w:drawing>
                <wp:inline distT="0" distB="0" distL="0" distR="0">
                  <wp:extent cx="565150" cy="584200"/>
                  <wp:effectExtent l="0" t="0" r="6350" b="0"/>
                  <wp:docPr id="7" name="图片 7" descr="ef564375d268a5b9bdae67c982b7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f564375d268a5b9bdae67c982b707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65150" cy="584200"/>
                          </a:xfrm>
                          <a:prstGeom prst="rect">
                            <a:avLst/>
                          </a:prstGeom>
                          <a:noFill/>
                          <a:ln>
                            <a:noFill/>
                          </a:ln>
                        </pic:spPr>
                      </pic:pic>
                    </a:graphicData>
                  </a:graphic>
                </wp:inline>
              </w:drawing>
            </w:r>
          </w:p>
        </w:tc>
        <w:tc>
          <w:tcPr>
            <w:tcW w:w="1200" w:type="dxa"/>
            <w:vAlign w:val="center"/>
          </w:tcPr>
          <w:p>
            <w:pPr>
              <w:widowControl/>
              <w:jc w:val="center"/>
              <w:textAlignment w:val="center"/>
              <w:rPr>
                <w:rFonts w:cs="宋体" w:asciiTheme="minorEastAsia" w:hAnsiTheme="minorEastAsia" w:eastAsiaTheme="minorEastAsia"/>
                <w:color w:val="auto"/>
                <w:sz w:val="20"/>
                <w:szCs w:val="21"/>
                <w:highlight w:val="none"/>
              </w:rPr>
            </w:pPr>
            <w:r>
              <w:rPr>
                <w:rFonts w:hint="eastAsia" w:cs="宋体" w:asciiTheme="minorEastAsia" w:hAnsiTheme="minorEastAsia" w:eastAsiaTheme="minorEastAsia"/>
                <w:color w:val="auto"/>
                <w:kern w:val="0"/>
                <w:szCs w:val="21"/>
                <w:highlight w:val="none"/>
                <w:lang w:bidi="ar"/>
              </w:rPr>
              <w:t>常规固定</w:t>
            </w:r>
          </w:p>
        </w:tc>
        <w:tc>
          <w:tcPr>
            <w:tcW w:w="4679" w:type="dxa"/>
            <w:vAlign w:val="center"/>
          </w:tcPr>
          <w:p>
            <w:pPr>
              <w:widowControl/>
              <w:textAlignment w:val="center"/>
              <w:rPr>
                <w:color w:val="auto"/>
                <w:highlight w:val="none"/>
              </w:rPr>
            </w:pPr>
            <w:r>
              <w:rPr>
                <w:rFonts w:hint="eastAsia"/>
                <w:color w:val="auto"/>
                <w:highlight w:val="none"/>
              </w:rPr>
              <w:t>◆1、饰面与封边：天然核桃木皮，厚度≥0.4mm；实木皮或实木条封边，颜色均匀，表面平整</w:t>
            </w:r>
          </w:p>
          <w:p>
            <w:pPr>
              <w:widowControl/>
              <w:textAlignment w:val="center"/>
              <w:rPr>
                <w:color w:val="auto"/>
                <w:highlight w:val="none"/>
              </w:rPr>
            </w:pPr>
            <w:r>
              <w:rPr>
                <w:rFonts w:hint="eastAsia"/>
                <w:color w:val="auto"/>
                <w:highlight w:val="none"/>
              </w:rPr>
              <w:t>◆2、基材：采用优质多层板，甲醛释放量≤0.05mg/m³。</w:t>
            </w:r>
          </w:p>
          <w:p>
            <w:pPr>
              <w:widowControl/>
              <w:textAlignment w:val="center"/>
              <w:rPr>
                <w:color w:val="auto"/>
                <w:highlight w:val="none"/>
              </w:rPr>
            </w:pPr>
            <w:r>
              <w:rPr>
                <w:rFonts w:hint="eastAsia"/>
                <w:color w:val="auto"/>
                <w:highlight w:val="none"/>
              </w:rPr>
              <w:t>◆3、油漆：环保水性油漆，五底三面工艺。</w:t>
            </w:r>
          </w:p>
          <w:p>
            <w:pPr>
              <w:widowControl/>
              <w:textAlignment w:val="center"/>
              <w:rPr>
                <w:color w:val="auto"/>
                <w:highlight w:val="none"/>
              </w:rPr>
            </w:pPr>
            <w:r>
              <w:rPr>
                <w:rFonts w:hint="eastAsia"/>
                <w:color w:val="auto"/>
                <w:highlight w:val="none"/>
              </w:rPr>
              <w:t>◆4、五金件：采用优质五金。</w:t>
            </w:r>
          </w:p>
          <w:p>
            <w:pPr>
              <w:widowControl/>
              <w:textAlignment w:val="center"/>
              <w:rPr>
                <w:color w:val="auto"/>
                <w:highlight w:val="none"/>
              </w:rPr>
            </w:pPr>
            <w:r>
              <w:rPr>
                <w:rFonts w:hint="eastAsia"/>
                <w:color w:val="auto"/>
                <w:highlight w:val="none"/>
              </w:rPr>
              <w:t>◆</w:t>
            </w:r>
            <w:r>
              <w:rPr>
                <w:color w:val="auto"/>
                <w:highlight w:val="none"/>
              </w:rPr>
              <w:t>5</w:t>
            </w:r>
            <w:r>
              <w:rPr>
                <w:rFonts w:hint="eastAsia"/>
                <w:color w:val="auto"/>
                <w:highlight w:val="none"/>
              </w:rPr>
              <w:t>、海绵：高回弹高密度海绵。</w:t>
            </w:r>
          </w:p>
        </w:tc>
        <w:tc>
          <w:tcPr>
            <w:tcW w:w="833" w:type="dxa"/>
            <w:vAlign w:val="center"/>
          </w:tcPr>
          <w:p>
            <w:pPr>
              <w:widowControl/>
              <w:jc w:val="center"/>
              <w:textAlignment w:val="center"/>
              <w:rPr>
                <w:rFonts w:cs="宋体" w:asciiTheme="minorEastAsia" w:hAnsiTheme="minorEastAsia" w:eastAsiaTheme="minorEastAsia"/>
                <w:color w:val="auto"/>
                <w:sz w:val="20"/>
                <w:szCs w:val="21"/>
                <w:highlight w:val="none"/>
              </w:rPr>
            </w:pPr>
            <w:r>
              <w:rPr>
                <w:rFonts w:hint="eastAsia" w:cs="宋体" w:asciiTheme="minorEastAsia" w:hAnsiTheme="minorEastAsia" w:eastAsiaTheme="minorEastAsia"/>
                <w:color w:val="auto"/>
                <w:kern w:val="0"/>
                <w:szCs w:val="21"/>
                <w:highlight w:val="none"/>
                <w:lang w:bidi="ar"/>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835" w:type="dxa"/>
            <w:noWrap/>
            <w:vAlign w:val="center"/>
          </w:tcPr>
          <w:p>
            <w:pPr>
              <w:widowControl/>
              <w:jc w:val="center"/>
              <w:textAlignment w:val="center"/>
              <w:rPr>
                <w:rFonts w:cs="宋体" w:asciiTheme="minorEastAsia" w:hAnsiTheme="minorEastAsia" w:eastAsiaTheme="minorEastAsia"/>
                <w:color w:val="auto"/>
                <w:kern w:val="0"/>
                <w:sz w:val="20"/>
                <w:szCs w:val="21"/>
                <w:highlight w:val="none"/>
                <w:lang w:bidi="ar"/>
              </w:rPr>
            </w:pPr>
            <w:r>
              <w:rPr>
                <w:rFonts w:hint="eastAsia" w:cs="宋体" w:asciiTheme="minorEastAsia" w:hAnsiTheme="minorEastAsia" w:eastAsiaTheme="minorEastAsia"/>
                <w:color w:val="auto"/>
                <w:kern w:val="0"/>
                <w:szCs w:val="21"/>
                <w:highlight w:val="none"/>
                <w:lang w:bidi="ar"/>
              </w:rPr>
              <w:t>8</w:t>
            </w:r>
          </w:p>
        </w:tc>
        <w:tc>
          <w:tcPr>
            <w:tcW w:w="1287" w:type="dxa"/>
            <w:vAlign w:val="center"/>
          </w:tcPr>
          <w:p>
            <w:pPr>
              <w:widowControl/>
              <w:jc w:val="center"/>
              <w:textAlignment w:val="center"/>
              <w:rPr>
                <w:rFonts w:cs="宋体" w:asciiTheme="minorEastAsia" w:hAnsiTheme="minorEastAsia" w:eastAsiaTheme="minorEastAsia"/>
                <w:color w:val="auto"/>
                <w:kern w:val="0"/>
                <w:sz w:val="20"/>
                <w:szCs w:val="21"/>
                <w:highlight w:val="none"/>
                <w:lang w:bidi="ar"/>
              </w:rPr>
            </w:pPr>
            <w:r>
              <w:rPr>
                <w:rFonts w:hint="eastAsia" w:cs="宋体" w:asciiTheme="minorEastAsia" w:hAnsiTheme="minorEastAsia" w:eastAsiaTheme="minorEastAsia"/>
                <w:color w:val="auto"/>
                <w:kern w:val="0"/>
                <w:szCs w:val="21"/>
                <w:highlight w:val="none"/>
                <w:lang w:bidi="ar"/>
              </w:rPr>
              <w:t>单人沙发</w:t>
            </w:r>
          </w:p>
        </w:tc>
        <w:tc>
          <w:tcPr>
            <w:tcW w:w="1200" w:type="dxa"/>
            <w:vAlign w:val="top"/>
          </w:tcPr>
          <w:p>
            <w:pPr>
              <w:widowControl/>
              <w:jc w:val="center"/>
              <w:textAlignment w:val="center"/>
              <w:rPr>
                <w:rFonts w:cs="宋体" w:asciiTheme="minorEastAsia" w:hAnsiTheme="minorEastAsia" w:eastAsiaTheme="minorEastAsia"/>
                <w:color w:val="auto"/>
                <w:kern w:val="0"/>
                <w:sz w:val="20"/>
                <w:szCs w:val="21"/>
                <w:highlight w:val="none"/>
                <w:lang w:bidi="ar"/>
              </w:rPr>
            </w:pPr>
          </w:p>
          <w:p>
            <w:pPr>
              <w:widowControl/>
              <w:jc w:val="center"/>
              <w:textAlignment w:val="center"/>
              <w:rPr>
                <w:rFonts w:cs="宋体" w:asciiTheme="minorEastAsia" w:hAnsiTheme="minorEastAsia" w:eastAsiaTheme="minorEastAsia"/>
                <w:color w:val="auto"/>
                <w:kern w:val="0"/>
                <w:sz w:val="20"/>
                <w:szCs w:val="21"/>
                <w:highlight w:val="none"/>
                <w:lang w:bidi="ar"/>
              </w:rPr>
            </w:pPr>
          </w:p>
          <w:p>
            <w:pPr>
              <w:widowControl/>
              <w:jc w:val="center"/>
              <w:textAlignment w:val="center"/>
              <w:rPr>
                <w:rFonts w:cs="宋体" w:asciiTheme="minorEastAsia" w:hAnsiTheme="minorEastAsia" w:eastAsiaTheme="minorEastAsia"/>
                <w:color w:val="auto"/>
                <w:kern w:val="0"/>
                <w:sz w:val="20"/>
                <w:szCs w:val="21"/>
                <w:highlight w:val="none"/>
                <w:lang w:bidi="ar"/>
              </w:rPr>
            </w:pPr>
          </w:p>
          <w:p>
            <w:pPr>
              <w:widowControl/>
              <w:jc w:val="center"/>
              <w:textAlignment w:val="center"/>
              <w:rPr>
                <w:rFonts w:cs="宋体" w:asciiTheme="minorEastAsia" w:hAnsiTheme="minorEastAsia" w:eastAsiaTheme="minorEastAsia"/>
                <w:color w:val="auto"/>
                <w:kern w:val="0"/>
                <w:sz w:val="20"/>
                <w:szCs w:val="21"/>
                <w:highlight w:val="none"/>
                <w:lang w:bidi="ar"/>
              </w:rPr>
            </w:pPr>
          </w:p>
          <w:p>
            <w:pPr>
              <w:widowControl/>
              <w:jc w:val="center"/>
              <w:textAlignment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0"/>
                <w:szCs w:val="21"/>
                <w:highlight w:val="none"/>
                <w:lang w:bidi="ar"/>
              </w:rPr>
              <w:t>1</w:t>
            </w:r>
            <w:r>
              <w:rPr>
                <w:rFonts w:cs="宋体" w:asciiTheme="minorEastAsia" w:hAnsiTheme="minorEastAsia" w:eastAsiaTheme="minorEastAsia"/>
                <w:color w:val="auto"/>
                <w:kern w:val="0"/>
                <w:sz w:val="20"/>
                <w:szCs w:val="21"/>
                <w:highlight w:val="none"/>
                <w:lang w:bidi="ar"/>
              </w:rPr>
              <w:t>500</w:t>
            </w:r>
          </w:p>
        </w:tc>
        <w:tc>
          <w:tcPr>
            <w:tcW w:w="1200" w:type="dxa"/>
            <w:vAlign w:val="center"/>
          </w:tcPr>
          <w:p>
            <w:pPr>
              <w:widowControl/>
              <w:jc w:val="center"/>
              <w:textAlignment w:val="center"/>
              <w:rPr>
                <w:rFonts w:cs="宋体" w:asciiTheme="minorEastAsia" w:hAnsiTheme="minorEastAsia" w:eastAsiaTheme="minorEastAsia"/>
                <w:color w:val="auto"/>
                <w:kern w:val="0"/>
                <w:szCs w:val="21"/>
                <w:highlight w:val="none"/>
                <w:lang w:bidi="ar"/>
              </w:rPr>
            </w:pPr>
            <w:r>
              <w:rPr>
                <w:rFonts w:asciiTheme="minorEastAsia" w:hAnsiTheme="minorEastAsia" w:eastAsiaTheme="minorEastAsia"/>
                <w:color w:val="auto"/>
                <w:highlight w:val="none"/>
              </w:rPr>
              <w:drawing>
                <wp:inline distT="0" distB="0" distL="0" distR="0">
                  <wp:extent cx="565150" cy="59690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565150" cy="596900"/>
                          </a:xfrm>
                          <a:prstGeom prst="rect">
                            <a:avLst/>
                          </a:prstGeom>
                          <a:noFill/>
                          <a:ln>
                            <a:noFill/>
                          </a:ln>
                        </pic:spPr>
                      </pic:pic>
                    </a:graphicData>
                  </a:graphic>
                </wp:inline>
              </w:drawing>
            </w:r>
          </w:p>
        </w:tc>
        <w:tc>
          <w:tcPr>
            <w:tcW w:w="1200" w:type="dxa"/>
            <w:vAlign w:val="center"/>
          </w:tcPr>
          <w:p>
            <w:pPr>
              <w:widowControl/>
              <w:jc w:val="center"/>
              <w:textAlignment w:val="center"/>
              <w:rPr>
                <w:rFonts w:cs="宋体" w:asciiTheme="minorEastAsia" w:hAnsiTheme="minorEastAsia" w:eastAsiaTheme="minorEastAsia"/>
                <w:color w:val="auto"/>
                <w:sz w:val="20"/>
                <w:szCs w:val="21"/>
                <w:highlight w:val="none"/>
              </w:rPr>
            </w:pPr>
            <w:r>
              <w:rPr>
                <w:rFonts w:hint="eastAsia" w:cs="宋体" w:asciiTheme="minorEastAsia" w:hAnsiTheme="minorEastAsia" w:eastAsiaTheme="minorEastAsia"/>
                <w:color w:val="auto"/>
                <w:kern w:val="0"/>
                <w:szCs w:val="21"/>
                <w:highlight w:val="none"/>
                <w:lang w:bidi="ar"/>
              </w:rPr>
              <w:t>常规定制</w:t>
            </w:r>
          </w:p>
        </w:tc>
        <w:tc>
          <w:tcPr>
            <w:tcW w:w="4679" w:type="dxa"/>
            <w:vAlign w:val="center"/>
          </w:tcPr>
          <w:p>
            <w:pPr>
              <w:widowControl/>
              <w:jc w:val="left"/>
              <w:textAlignment w:val="center"/>
              <w:rPr>
                <w:rFonts w:cs="宋体" w:asciiTheme="minorEastAsia" w:hAnsiTheme="minorEastAsia" w:eastAsiaTheme="minorEastAsia"/>
                <w:color w:val="auto"/>
                <w:kern w:val="0"/>
                <w:szCs w:val="21"/>
                <w:highlight w:val="none"/>
                <w:lang w:bidi="ar"/>
              </w:rPr>
            </w:pPr>
            <w:r>
              <w:rPr>
                <w:rFonts w:hint="eastAsia" w:cs="宋体" w:asciiTheme="minorEastAsia" w:hAnsiTheme="minorEastAsia" w:eastAsiaTheme="minorEastAsia"/>
                <w:color w:val="auto"/>
                <w:kern w:val="0"/>
                <w:szCs w:val="21"/>
                <w:highlight w:val="none"/>
                <w:lang w:bidi="ar"/>
              </w:rPr>
              <w:t>1、基材：框架选用优质橡木.</w:t>
            </w:r>
          </w:p>
          <w:p>
            <w:pPr>
              <w:widowControl/>
              <w:tabs>
                <w:tab w:val="left" w:pos="312"/>
              </w:tabs>
              <w:jc w:val="left"/>
              <w:textAlignment w:val="center"/>
              <w:rPr>
                <w:rFonts w:cs="宋体" w:asciiTheme="minorEastAsia" w:hAnsiTheme="minorEastAsia" w:eastAsiaTheme="minorEastAsia"/>
                <w:color w:val="auto"/>
                <w:kern w:val="0"/>
                <w:szCs w:val="21"/>
                <w:highlight w:val="none"/>
                <w:lang w:bidi="ar"/>
              </w:rPr>
            </w:pPr>
            <w:r>
              <w:rPr>
                <w:rFonts w:hint="eastAsia" w:cs="宋体" w:asciiTheme="minorEastAsia" w:hAnsiTheme="minorEastAsia" w:eastAsiaTheme="minorEastAsia"/>
                <w:color w:val="auto"/>
                <w:kern w:val="0"/>
                <w:szCs w:val="21"/>
                <w:highlight w:val="none"/>
                <w:lang w:bidi="ar"/>
              </w:rPr>
              <w:t>2、工艺：结构牢固，所有木材需经干燥， 防腐，防虫处理工艺。</w:t>
            </w:r>
          </w:p>
          <w:p>
            <w:pPr>
              <w:widowControl/>
              <w:tabs>
                <w:tab w:val="left" w:pos="312"/>
              </w:tabs>
              <w:jc w:val="left"/>
              <w:textAlignment w:val="center"/>
              <w:rPr>
                <w:rFonts w:cs="宋体" w:asciiTheme="minorEastAsia" w:hAnsiTheme="minorEastAsia" w:eastAsiaTheme="minorEastAsia"/>
                <w:color w:val="auto"/>
                <w:kern w:val="0"/>
                <w:szCs w:val="21"/>
                <w:highlight w:val="none"/>
                <w:lang w:bidi="ar"/>
              </w:rPr>
            </w:pPr>
            <w:r>
              <w:rPr>
                <w:rFonts w:cs="宋体" w:asciiTheme="minorEastAsia" w:hAnsiTheme="minorEastAsia" w:eastAsiaTheme="minorEastAsia"/>
                <w:color w:val="auto"/>
                <w:kern w:val="0"/>
                <w:szCs w:val="21"/>
                <w:highlight w:val="none"/>
                <w:lang w:bidi="ar"/>
              </w:rPr>
              <w:t>3</w:t>
            </w:r>
            <w:r>
              <w:rPr>
                <w:rFonts w:hint="eastAsia" w:cs="宋体" w:asciiTheme="minorEastAsia" w:hAnsiTheme="minorEastAsia" w:eastAsiaTheme="minorEastAsia"/>
                <w:color w:val="auto"/>
                <w:kern w:val="0"/>
                <w:szCs w:val="21"/>
                <w:highlight w:val="none"/>
                <w:lang w:bidi="ar"/>
              </w:rPr>
              <w:t>、软包：表面采用牛皮，柔软贴手，透气， 应无色差，表面无龟、破损，无油腻感，撕裂力≥30N。</w:t>
            </w:r>
          </w:p>
          <w:p>
            <w:pPr>
              <w:widowControl/>
              <w:jc w:val="left"/>
              <w:textAlignment w:val="center"/>
              <w:rPr>
                <w:rFonts w:cs="宋体" w:asciiTheme="minorEastAsia" w:hAnsiTheme="minorEastAsia" w:eastAsiaTheme="minorEastAsia"/>
                <w:color w:val="auto"/>
                <w:kern w:val="0"/>
                <w:szCs w:val="21"/>
                <w:highlight w:val="none"/>
                <w:lang w:bidi="ar"/>
              </w:rPr>
            </w:pPr>
            <w:r>
              <w:rPr>
                <w:rFonts w:hint="eastAsia" w:cs="宋体" w:asciiTheme="minorEastAsia" w:hAnsiTheme="minorEastAsia" w:eastAsiaTheme="minorEastAsia"/>
                <w:color w:val="auto"/>
                <w:kern w:val="0"/>
                <w:szCs w:val="21"/>
                <w:highlight w:val="none"/>
                <w:lang w:bidi="ar"/>
              </w:rPr>
              <w:t>4、海绵：采用优质阻燃海绵。</w:t>
            </w:r>
          </w:p>
          <w:p>
            <w:pPr>
              <w:widowControl/>
              <w:tabs>
                <w:tab w:val="left" w:pos="312"/>
              </w:tabs>
              <w:jc w:val="left"/>
              <w:textAlignment w:val="center"/>
              <w:rPr>
                <w:color w:val="auto"/>
                <w:highlight w:val="none"/>
                <w:lang w:bidi="ar"/>
              </w:rPr>
            </w:pPr>
            <w:r>
              <w:rPr>
                <w:rFonts w:hint="eastAsia"/>
                <w:color w:val="auto"/>
                <w:highlight w:val="none"/>
              </w:rPr>
              <w:t>◆</w:t>
            </w:r>
            <w:r>
              <w:rPr>
                <w:rFonts w:cs="宋体" w:asciiTheme="minorEastAsia" w:hAnsiTheme="minorEastAsia" w:eastAsiaTheme="minorEastAsia"/>
                <w:color w:val="auto"/>
                <w:kern w:val="0"/>
                <w:szCs w:val="21"/>
                <w:highlight w:val="none"/>
                <w:lang w:bidi="ar"/>
              </w:rPr>
              <w:t>5</w:t>
            </w:r>
            <w:r>
              <w:rPr>
                <w:rFonts w:hint="eastAsia" w:cs="宋体" w:asciiTheme="minorEastAsia" w:hAnsiTheme="minorEastAsia" w:eastAsiaTheme="minorEastAsia"/>
                <w:color w:val="auto"/>
                <w:kern w:val="0"/>
                <w:szCs w:val="21"/>
                <w:highlight w:val="none"/>
                <w:lang w:bidi="ar"/>
              </w:rPr>
              <w:t>、覆面材料：优质牛皮，厚度≥1.0mm。</w:t>
            </w:r>
          </w:p>
        </w:tc>
        <w:tc>
          <w:tcPr>
            <w:tcW w:w="833" w:type="dxa"/>
            <w:vAlign w:val="center"/>
          </w:tcPr>
          <w:p>
            <w:pPr>
              <w:widowControl/>
              <w:jc w:val="center"/>
              <w:textAlignment w:val="center"/>
              <w:rPr>
                <w:rFonts w:cs="宋体" w:asciiTheme="minorEastAsia" w:hAnsiTheme="minorEastAsia" w:eastAsiaTheme="minorEastAsia"/>
                <w:color w:val="auto"/>
                <w:sz w:val="20"/>
                <w:szCs w:val="21"/>
                <w:highlight w:val="none"/>
              </w:rPr>
            </w:pPr>
            <w:r>
              <w:rPr>
                <w:rFonts w:hint="eastAsia" w:cs="宋体" w:asciiTheme="minorEastAsia" w:hAnsiTheme="minorEastAsia" w:eastAsiaTheme="minorEastAsia"/>
                <w:color w:val="auto"/>
                <w:kern w:val="0"/>
                <w:szCs w:val="21"/>
                <w:highlight w:val="none"/>
                <w:lang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35" w:type="dxa"/>
            <w:noWrap/>
            <w:vAlign w:val="center"/>
          </w:tcPr>
          <w:p>
            <w:pPr>
              <w:widowControl/>
              <w:jc w:val="center"/>
              <w:textAlignment w:val="center"/>
              <w:rPr>
                <w:rFonts w:cs="宋体" w:asciiTheme="minorEastAsia" w:hAnsiTheme="minorEastAsia" w:eastAsiaTheme="minorEastAsia"/>
                <w:color w:val="auto"/>
                <w:kern w:val="0"/>
                <w:sz w:val="20"/>
                <w:szCs w:val="21"/>
                <w:highlight w:val="none"/>
                <w:lang w:bidi="ar"/>
              </w:rPr>
            </w:pPr>
            <w:r>
              <w:rPr>
                <w:rFonts w:hint="eastAsia" w:cs="宋体" w:asciiTheme="minorEastAsia" w:hAnsiTheme="minorEastAsia" w:eastAsiaTheme="minorEastAsia"/>
                <w:color w:val="auto"/>
                <w:kern w:val="0"/>
                <w:szCs w:val="21"/>
                <w:highlight w:val="none"/>
                <w:lang w:bidi="ar"/>
              </w:rPr>
              <w:t>9</w:t>
            </w:r>
          </w:p>
        </w:tc>
        <w:tc>
          <w:tcPr>
            <w:tcW w:w="1287" w:type="dxa"/>
            <w:vAlign w:val="center"/>
          </w:tcPr>
          <w:p>
            <w:pPr>
              <w:widowControl/>
              <w:jc w:val="center"/>
              <w:textAlignment w:val="center"/>
              <w:rPr>
                <w:rFonts w:cs="宋体" w:asciiTheme="minorEastAsia" w:hAnsiTheme="minorEastAsia" w:eastAsiaTheme="minorEastAsia"/>
                <w:color w:val="auto"/>
                <w:kern w:val="0"/>
                <w:sz w:val="20"/>
                <w:szCs w:val="21"/>
                <w:highlight w:val="none"/>
                <w:lang w:bidi="ar"/>
              </w:rPr>
            </w:pPr>
            <w:r>
              <w:rPr>
                <w:rFonts w:hint="eastAsia" w:cs="宋体" w:asciiTheme="minorEastAsia" w:hAnsiTheme="minorEastAsia" w:eastAsiaTheme="minorEastAsia"/>
                <w:color w:val="auto"/>
                <w:kern w:val="0"/>
                <w:szCs w:val="21"/>
                <w:highlight w:val="none"/>
                <w:lang w:bidi="ar"/>
              </w:rPr>
              <w:t>茶几</w:t>
            </w:r>
          </w:p>
        </w:tc>
        <w:tc>
          <w:tcPr>
            <w:tcW w:w="1200" w:type="dxa"/>
            <w:vAlign w:val="top"/>
          </w:tcPr>
          <w:p>
            <w:pPr>
              <w:widowControl/>
              <w:jc w:val="center"/>
              <w:textAlignment w:val="center"/>
              <w:rPr>
                <w:rFonts w:cs="宋体" w:asciiTheme="minorEastAsia" w:hAnsiTheme="minorEastAsia" w:eastAsiaTheme="minorEastAsia"/>
                <w:color w:val="auto"/>
                <w:kern w:val="0"/>
                <w:sz w:val="20"/>
                <w:szCs w:val="21"/>
                <w:highlight w:val="none"/>
                <w:lang w:bidi="ar"/>
              </w:rPr>
            </w:pPr>
          </w:p>
          <w:p>
            <w:pPr>
              <w:widowControl/>
              <w:jc w:val="center"/>
              <w:textAlignment w:val="center"/>
              <w:rPr>
                <w:rFonts w:cs="宋体" w:asciiTheme="minorEastAsia" w:hAnsiTheme="minorEastAsia" w:eastAsiaTheme="minorEastAsia"/>
                <w:color w:val="auto"/>
                <w:kern w:val="0"/>
                <w:sz w:val="20"/>
                <w:szCs w:val="21"/>
                <w:highlight w:val="none"/>
                <w:lang w:bidi="ar"/>
              </w:rPr>
            </w:pPr>
          </w:p>
          <w:p>
            <w:pPr>
              <w:widowControl/>
              <w:jc w:val="center"/>
              <w:textAlignment w:val="center"/>
              <w:rPr>
                <w:rFonts w:cs="宋体" w:asciiTheme="minorEastAsia" w:hAnsiTheme="minorEastAsia" w:eastAsiaTheme="minorEastAsia"/>
                <w:color w:val="auto"/>
                <w:kern w:val="0"/>
                <w:sz w:val="20"/>
                <w:szCs w:val="21"/>
                <w:highlight w:val="none"/>
                <w:lang w:bidi="ar"/>
              </w:rPr>
            </w:pPr>
          </w:p>
          <w:p>
            <w:pPr>
              <w:widowControl/>
              <w:jc w:val="center"/>
              <w:textAlignment w:val="center"/>
              <w:rPr>
                <w:rFonts w:cs="宋体" w:asciiTheme="minorEastAsia" w:hAnsiTheme="minorEastAsia" w:eastAsiaTheme="minorEastAsia"/>
                <w:color w:val="auto"/>
                <w:kern w:val="0"/>
                <w:sz w:val="20"/>
                <w:szCs w:val="21"/>
                <w:highlight w:val="none"/>
                <w:lang w:bidi="ar"/>
              </w:rPr>
            </w:pPr>
          </w:p>
          <w:p>
            <w:pPr>
              <w:widowControl/>
              <w:jc w:val="center"/>
              <w:textAlignment w:val="center"/>
              <w:rPr>
                <w:rFonts w:cs="宋体" w:asciiTheme="minorEastAsia" w:hAnsiTheme="minorEastAsia" w:eastAsiaTheme="minorEastAsia"/>
                <w:color w:val="auto"/>
                <w:kern w:val="0"/>
                <w:sz w:val="20"/>
                <w:szCs w:val="21"/>
                <w:highlight w:val="none"/>
                <w:lang w:bidi="ar"/>
              </w:rPr>
            </w:pPr>
          </w:p>
          <w:p>
            <w:pPr>
              <w:widowControl/>
              <w:jc w:val="center"/>
              <w:textAlignment w:val="center"/>
              <w:rPr>
                <w:rFonts w:asciiTheme="minorEastAsia" w:hAnsiTheme="minorEastAsia" w:eastAsiaTheme="minorEastAsia"/>
                <w:color w:val="auto"/>
                <w:highlight w:val="none"/>
              </w:rPr>
            </w:pPr>
            <w:r>
              <w:rPr>
                <w:rFonts w:hint="eastAsia" w:cs="宋体" w:asciiTheme="minorEastAsia" w:hAnsiTheme="minorEastAsia" w:eastAsiaTheme="minorEastAsia"/>
                <w:color w:val="auto"/>
                <w:kern w:val="0"/>
                <w:sz w:val="20"/>
                <w:szCs w:val="21"/>
                <w:highlight w:val="none"/>
                <w:lang w:bidi="ar"/>
              </w:rPr>
              <w:t>1</w:t>
            </w:r>
            <w:r>
              <w:rPr>
                <w:rFonts w:cs="宋体" w:asciiTheme="minorEastAsia" w:hAnsiTheme="minorEastAsia" w:eastAsiaTheme="minorEastAsia"/>
                <w:color w:val="auto"/>
                <w:kern w:val="0"/>
                <w:sz w:val="20"/>
                <w:szCs w:val="21"/>
                <w:highlight w:val="none"/>
                <w:lang w:bidi="ar"/>
              </w:rPr>
              <w:t>000</w:t>
            </w:r>
          </w:p>
        </w:tc>
        <w:tc>
          <w:tcPr>
            <w:tcW w:w="1200" w:type="dxa"/>
            <w:vAlign w:val="center"/>
          </w:tcPr>
          <w:p>
            <w:pPr>
              <w:widowControl/>
              <w:jc w:val="center"/>
              <w:textAlignment w:val="center"/>
              <w:rPr>
                <w:rFonts w:cs="宋体" w:asciiTheme="minorEastAsia" w:hAnsiTheme="minorEastAsia" w:eastAsiaTheme="minorEastAsia"/>
                <w:color w:val="auto"/>
                <w:kern w:val="0"/>
                <w:szCs w:val="21"/>
                <w:highlight w:val="none"/>
                <w:lang w:bidi="ar"/>
              </w:rPr>
            </w:pPr>
            <w:r>
              <w:rPr>
                <w:rFonts w:asciiTheme="minorEastAsia" w:hAnsiTheme="minorEastAsia" w:eastAsiaTheme="minorEastAsia"/>
                <w:color w:val="auto"/>
                <w:highlight w:val="none"/>
              </w:rPr>
              <w:drawing>
                <wp:inline distT="0" distB="0" distL="0" distR="0">
                  <wp:extent cx="501650" cy="488950"/>
                  <wp:effectExtent l="0" t="0" r="6350" b="6350"/>
                  <wp:docPr id="5" name="图片 5" descr="2b0b11bc8f4a2218f380210c6c543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b0b11bc8f4a2218f380210c6c543d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501650" cy="488950"/>
                          </a:xfrm>
                          <a:prstGeom prst="rect">
                            <a:avLst/>
                          </a:prstGeom>
                          <a:noFill/>
                          <a:ln>
                            <a:noFill/>
                          </a:ln>
                        </pic:spPr>
                      </pic:pic>
                    </a:graphicData>
                  </a:graphic>
                </wp:inline>
              </w:drawing>
            </w:r>
          </w:p>
        </w:tc>
        <w:tc>
          <w:tcPr>
            <w:tcW w:w="1200" w:type="dxa"/>
            <w:vAlign w:val="center"/>
          </w:tcPr>
          <w:p>
            <w:pPr>
              <w:widowControl/>
              <w:jc w:val="center"/>
              <w:textAlignment w:val="center"/>
              <w:rPr>
                <w:rFonts w:cs="宋体" w:asciiTheme="minorEastAsia" w:hAnsiTheme="minorEastAsia" w:eastAsiaTheme="minorEastAsia"/>
                <w:color w:val="auto"/>
                <w:sz w:val="20"/>
                <w:szCs w:val="21"/>
                <w:highlight w:val="none"/>
              </w:rPr>
            </w:pPr>
            <w:r>
              <w:rPr>
                <w:rFonts w:hint="eastAsia" w:cs="宋体" w:asciiTheme="minorEastAsia" w:hAnsiTheme="minorEastAsia" w:eastAsiaTheme="minorEastAsia"/>
                <w:color w:val="auto"/>
                <w:kern w:val="0"/>
                <w:szCs w:val="21"/>
                <w:highlight w:val="none"/>
                <w:lang w:bidi="ar"/>
              </w:rPr>
              <w:t>600*600</w:t>
            </w:r>
          </w:p>
        </w:tc>
        <w:tc>
          <w:tcPr>
            <w:tcW w:w="4679" w:type="dxa"/>
            <w:vAlign w:val="center"/>
          </w:tcPr>
          <w:p>
            <w:pPr>
              <w:widowControl/>
              <w:numPr>
                <w:ilvl w:val="0"/>
                <w:numId w:val="2"/>
              </w:numPr>
              <w:jc w:val="left"/>
              <w:textAlignment w:val="center"/>
              <w:rPr>
                <w:rFonts w:cs="宋体" w:asciiTheme="minorEastAsia" w:hAnsiTheme="minorEastAsia" w:eastAsiaTheme="minorEastAsia"/>
                <w:color w:val="auto"/>
                <w:kern w:val="0"/>
                <w:szCs w:val="21"/>
                <w:highlight w:val="none"/>
                <w:lang w:bidi="ar"/>
              </w:rPr>
            </w:pPr>
            <w:r>
              <w:rPr>
                <w:rFonts w:hint="eastAsia" w:cs="宋体" w:asciiTheme="minorEastAsia" w:hAnsiTheme="minorEastAsia" w:eastAsiaTheme="minorEastAsia"/>
                <w:color w:val="auto"/>
                <w:kern w:val="0"/>
                <w:szCs w:val="21"/>
                <w:highlight w:val="none"/>
                <w:lang w:bidi="ar"/>
              </w:rPr>
              <w:t xml:space="preserve">基材：采用E1级优质高密度板，密度≥760kg/m3，静曲张度≥51.2Mpa，吸水膨胀率≤8.1%。挥发性有机化合物苯、甲苯、二甲苯未检出，总挥发性有机化合物（TVOC)未检出。  </w:t>
            </w:r>
          </w:p>
          <w:p>
            <w:pPr>
              <w:widowControl/>
              <w:numPr>
                <w:ilvl w:val="0"/>
                <w:numId w:val="2"/>
              </w:numPr>
              <w:jc w:val="left"/>
              <w:textAlignment w:val="center"/>
              <w:rPr>
                <w:rFonts w:cs="宋体" w:asciiTheme="minorEastAsia" w:hAnsiTheme="minorEastAsia" w:eastAsiaTheme="minorEastAsia"/>
                <w:color w:val="auto"/>
                <w:sz w:val="20"/>
                <w:szCs w:val="21"/>
                <w:highlight w:val="none"/>
              </w:rPr>
            </w:pPr>
            <w:r>
              <w:rPr>
                <w:rFonts w:hint="eastAsia" w:cs="宋体" w:asciiTheme="minorEastAsia" w:hAnsiTheme="minorEastAsia" w:eastAsiaTheme="minorEastAsia"/>
                <w:color w:val="auto"/>
                <w:kern w:val="0"/>
                <w:szCs w:val="21"/>
                <w:highlight w:val="none"/>
                <w:lang w:bidi="ar"/>
              </w:rPr>
              <w:t>油漆：面漆采用PU聚脂漆，底漆采用PE不饱和树脂漆，符合环保要求。</w:t>
            </w:r>
          </w:p>
          <w:p>
            <w:pPr>
              <w:widowControl/>
              <w:numPr>
                <w:ilvl w:val="0"/>
                <w:numId w:val="2"/>
              </w:numPr>
              <w:jc w:val="left"/>
              <w:textAlignment w:val="center"/>
              <w:rPr>
                <w:rFonts w:cs="宋体" w:asciiTheme="minorEastAsia" w:hAnsiTheme="minorEastAsia" w:eastAsiaTheme="minorEastAsia"/>
                <w:color w:val="auto"/>
                <w:sz w:val="20"/>
                <w:szCs w:val="21"/>
                <w:highlight w:val="none"/>
              </w:rPr>
            </w:pPr>
            <w:r>
              <w:rPr>
                <w:rFonts w:hint="eastAsia" w:cs="宋体" w:asciiTheme="minorEastAsia" w:hAnsiTheme="minorEastAsia" w:eastAsiaTheme="minorEastAsia"/>
                <w:color w:val="auto"/>
                <w:kern w:val="0"/>
                <w:szCs w:val="21"/>
                <w:highlight w:val="none"/>
                <w:lang w:bidi="ar"/>
              </w:rPr>
              <w:t>3、贴面材料：采用优质胡桃木皮，厚度为0.6mm。</w:t>
            </w:r>
          </w:p>
          <w:p>
            <w:pPr>
              <w:widowControl/>
              <w:jc w:val="left"/>
              <w:textAlignment w:val="center"/>
              <w:rPr>
                <w:rFonts w:cs="宋体" w:asciiTheme="minorEastAsia" w:hAnsiTheme="minorEastAsia" w:eastAsiaTheme="minorEastAsia"/>
                <w:color w:val="auto"/>
                <w:kern w:val="0"/>
                <w:szCs w:val="21"/>
                <w:highlight w:val="none"/>
                <w:lang w:bidi="ar"/>
              </w:rPr>
            </w:pPr>
            <w:r>
              <w:rPr>
                <w:rFonts w:hint="eastAsia" w:cs="宋体" w:asciiTheme="minorEastAsia" w:hAnsiTheme="minorEastAsia" w:eastAsiaTheme="minorEastAsia"/>
                <w:color w:val="auto"/>
                <w:kern w:val="0"/>
                <w:szCs w:val="21"/>
                <w:highlight w:val="none"/>
                <w:lang w:bidi="ar"/>
              </w:rPr>
              <w:t>4. 采用优质锁具、铰链、拉手及连接件。</w:t>
            </w:r>
          </w:p>
          <w:p>
            <w:pPr>
              <w:widowControl/>
              <w:jc w:val="left"/>
              <w:textAlignment w:val="center"/>
              <w:rPr>
                <w:rFonts w:cs="宋体" w:asciiTheme="minorEastAsia" w:hAnsiTheme="minorEastAsia" w:eastAsiaTheme="minorEastAsia"/>
                <w:color w:val="auto"/>
                <w:kern w:val="0"/>
                <w:szCs w:val="21"/>
                <w:highlight w:val="none"/>
                <w:lang w:bidi="ar"/>
              </w:rPr>
            </w:pPr>
            <w:r>
              <w:rPr>
                <w:rFonts w:hint="eastAsia" w:cs="宋体" w:asciiTheme="minorEastAsia" w:hAnsiTheme="minorEastAsia" w:eastAsiaTheme="minorEastAsia"/>
                <w:color w:val="auto"/>
                <w:kern w:val="0"/>
                <w:szCs w:val="21"/>
                <w:highlight w:val="none"/>
                <w:lang w:bidi="ar"/>
              </w:rPr>
              <w:t>5.胡桃木色。</w:t>
            </w:r>
          </w:p>
          <w:p>
            <w:pPr>
              <w:widowControl/>
              <w:jc w:val="left"/>
              <w:textAlignment w:val="center"/>
              <w:rPr>
                <w:rFonts w:cs="宋体" w:asciiTheme="minorEastAsia" w:hAnsiTheme="minorEastAsia" w:eastAsiaTheme="minorEastAsia"/>
                <w:color w:val="auto"/>
                <w:sz w:val="20"/>
                <w:szCs w:val="21"/>
                <w:highlight w:val="none"/>
              </w:rPr>
            </w:pPr>
            <w:r>
              <w:rPr>
                <w:rFonts w:hint="eastAsia" w:cs="宋体" w:asciiTheme="minorEastAsia" w:hAnsiTheme="minorEastAsia" w:eastAsiaTheme="minorEastAsia"/>
                <w:color w:val="auto"/>
                <w:kern w:val="0"/>
                <w:szCs w:val="21"/>
                <w:highlight w:val="none"/>
                <w:lang w:bidi="ar"/>
              </w:rPr>
              <w:t>6.环保要求：甲醛释放量   ≤0.07mg/m³。</w:t>
            </w:r>
          </w:p>
        </w:tc>
        <w:tc>
          <w:tcPr>
            <w:tcW w:w="833" w:type="dxa"/>
            <w:vAlign w:val="center"/>
          </w:tcPr>
          <w:p>
            <w:pPr>
              <w:widowControl/>
              <w:jc w:val="center"/>
              <w:textAlignment w:val="center"/>
              <w:rPr>
                <w:rFonts w:cs="宋体" w:asciiTheme="minorEastAsia" w:hAnsiTheme="minorEastAsia" w:eastAsiaTheme="minorEastAsia"/>
                <w:color w:val="auto"/>
                <w:sz w:val="20"/>
                <w:szCs w:val="21"/>
                <w:highlight w:val="none"/>
              </w:rPr>
            </w:pPr>
            <w:r>
              <w:rPr>
                <w:rFonts w:hint="eastAsia" w:cs="宋体" w:asciiTheme="minorEastAsia" w:hAnsiTheme="minorEastAsia" w:eastAsiaTheme="minorEastAsia"/>
                <w:color w:val="auto"/>
                <w:kern w:val="0"/>
                <w:szCs w:val="21"/>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35" w:type="dxa"/>
            <w:noWrap/>
            <w:vAlign w:val="center"/>
          </w:tcPr>
          <w:p>
            <w:pPr>
              <w:widowControl/>
              <w:jc w:val="center"/>
              <w:textAlignment w:val="center"/>
              <w:rPr>
                <w:rFonts w:cs="宋体" w:asciiTheme="minorEastAsia" w:hAnsiTheme="minorEastAsia" w:eastAsiaTheme="minorEastAsia"/>
                <w:color w:val="auto"/>
                <w:kern w:val="0"/>
                <w:sz w:val="20"/>
                <w:szCs w:val="21"/>
                <w:highlight w:val="none"/>
                <w:lang w:bidi="ar"/>
              </w:rPr>
            </w:pPr>
            <w:r>
              <w:rPr>
                <w:rFonts w:hint="eastAsia" w:cs="宋体" w:asciiTheme="minorEastAsia" w:hAnsiTheme="minorEastAsia" w:eastAsiaTheme="minorEastAsia"/>
                <w:color w:val="auto"/>
                <w:kern w:val="0"/>
                <w:szCs w:val="21"/>
                <w:highlight w:val="none"/>
                <w:lang w:bidi="ar"/>
              </w:rPr>
              <w:t>10</w:t>
            </w:r>
          </w:p>
        </w:tc>
        <w:tc>
          <w:tcPr>
            <w:tcW w:w="1287" w:type="dxa"/>
            <w:vAlign w:val="center"/>
          </w:tcPr>
          <w:p>
            <w:pPr>
              <w:widowControl/>
              <w:jc w:val="center"/>
              <w:textAlignment w:val="center"/>
              <w:rPr>
                <w:rFonts w:cs="宋体" w:asciiTheme="minorEastAsia" w:hAnsiTheme="minorEastAsia" w:eastAsiaTheme="minorEastAsia"/>
                <w:color w:val="auto"/>
                <w:kern w:val="0"/>
                <w:sz w:val="20"/>
                <w:szCs w:val="21"/>
                <w:highlight w:val="none"/>
                <w:lang w:bidi="ar"/>
              </w:rPr>
            </w:pPr>
            <w:r>
              <w:rPr>
                <w:rFonts w:hint="eastAsia" w:cs="宋体" w:asciiTheme="minorEastAsia" w:hAnsiTheme="minorEastAsia" w:eastAsiaTheme="minorEastAsia"/>
                <w:color w:val="auto"/>
                <w:kern w:val="0"/>
                <w:szCs w:val="21"/>
                <w:highlight w:val="none"/>
                <w:lang w:bidi="ar"/>
              </w:rPr>
              <w:t>培训椅</w:t>
            </w:r>
          </w:p>
        </w:tc>
        <w:tc>
          <w:tcPr>
            <w:tcW w:w="1200" w:type="dxa"/>
            <w:vAlign w:val="top"/>
          </w:tcPr>
          <w:p>
            <w:pPr>
              <w:widowControl/>
              <w:jc w:val="center"/>
              <w:textAlignment w:val="center"/>
              <w:rPr>
                <w:rFonts w:cs="宋体" w:asciiTheme="minorEastAsia" w:hAnsiTheme="minorEastAsia" w:eastAsiaTheme="minorEastAsia"/>
                <w:color w:val="auto"/>
                <w:kern w:val="0"/>
                <w:sz w:val="20"/>
                <w:szCs w:val="21"/>
                <w:highlight w:val="none"/>
                <w:lang w:bidi="ar"/>
              </w:rPr>
            </w:pPr>
          </w:p>
          <w:p>
            <w:pPr>
              <w:widowControl/>
              <w:jc w:val="center"/>
              <w:textAlignment w:val="center"/>
              <w:rPr>
                <w:rFonts w:cs="宋体" w:asciiTheme="minorEastAsia" w:hAnsiTheme="minorEastAsia" w:eastAsiaTheme="minorEastAsia"/>
                <w:color w:val="auto"/>
                <w:kern w:val="0"/>
                <w:sz w:val="20"/>
                <w:szCs w:val="21"/>
                <w:highlight w:val="none"/>
                <w:lang w:bidi="ar"/>
              </w:rPr>
            </w:pPr>
          </w:p>
          <w:p>
            <w:pPr>
              <w:widowControl/>
              <w:jc w:val="center"/>
              <w:textAlignment w:val="center"/>
              <w:rPr>
                <w:rFonts w:cs="宋体" w:asciiTheme="minorEastAsia" w:hAnsiTheme="minorEastAsia" w:eastAsiaTheme="minorEastAsia"/>
                <w:color w:val="auto"/>
                <w:kern w:val="0"/>
                <w:sz w:val="20"/>
                <w:szCs w:val="21"/>
                <w:highlight w:val="none"/>
                <w:lang w:bidi="ar"/>
              </w:rPr>
            </w:pPr>
          </w:p>
          <w:p>
            <w:pPr>
              <w:widowControl/>
              <w:jc w:val="center"/>
              <w:textAlignment w:val="center"/>
              <w:rPr>
                <w:rFonts w:cs="宋体" w:asciiTheme="minorEastAsia" w:hAnsiTheme="minorEastAsia" w:eastAsiaTheme="minorEastAsia"/>
                <w:color w:val="auto"/>
                <w:kern w:val="0"/>
                <w:sz w:val="20"/>
                <w:szCs w:val="21"/>
                <w:highlight w:val="none"/>
                <w:lang w:bidi="ar"/>
              </w:rPr>
            </w:pPr>
          </w:p>
          <w:p>
            <w:pPr>
              <w:widowControl/>
              <w:jc w:val="center"/>
              <w:textAlignment w:val="center"/>
              <w:rPr>
                <w:rFonts w:asciiTheme="minorEastAsia" w:hAnsiTheme="minorEastAsia" w:eastAsiaTheme="minorEastAsia"/>
                <w:color w:val="auto"/>
                <w:highlight w:val="none"/>
              </w:rPr>
            </w:pPr>
            <w:r>
              <w:rPr>
                <w:rFonts w:hint="eastAsia" w:ascii="华文中宋" w:hAnsi="华文中宋" w:eastAsia="华文中宋" w:cs="华文中宋"/>
                <w:color w:val="auto"/>
                <w:kern w:val="0"/>
                <w:sz w:val="20"/>
                <w:szCs w:val="21"/>
                <w:highlight w:val="none"/>
                <w:lang w:bidi="ar"/>
              </w:rPr>
              <w:t>∕</w:t>
            </w:r>
          </w:p>
        </w:tc>
        <w:tc>
          <w:tcPr>
            <w:tcW w:w="1200" w:type="dxa"/>
            <w:vAlign w:val="center"/>
          </w:tcPr>
          <w:p>
            <w:pPr>
              <w:widowControl/>
              <w:jc w:val="center"/>
              <w:textAlignment w:val="center"/>
              <w:rPr>
                <w:rFonts w:cs="宋体" w:asciiTheme="minorEastAsia" w:hAnsiTheme="minorEastAsia" w:eastAsiaTheme="minorEastAsia"/>
                <w:color w:val="auto"/>
                <w:kern w:val="0"/>
                <w:szCs w:val="21"/>
                <w:highlight w:val="none"/>
                <w:lang w:bidi="ar"/>
              </w:rPr>
            </w:pPr>
            <w:r>
              <w:rPr>
                <w:rFonts w:asciiTheme="minorEastAsia" w:hAnsiTheme="minorEastAsia" w:eastAsiaTheme="minorEastAsia"/>
                <w:color w:val="auto"/>
                <w:highlight w:val="none"/>
              </w:rPr>
              <w:drawing>
                <wp:inline distT="0" distB="0" distL="0" distR="0">
                  <wp:extent cx="533400" cy="533400"/>
                  <wp:effectExtent l="0" t="0" r="0" b="0"/>
                  <wp:docPr id="2" name="图片 2" descr="a1bfcfb6b7fdc958dd3635b84959b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1bfcfb6b7fdc958dd3635b84959bd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533400" cy="533400"/>
                          </a:xfrm>
                          <a:prstGeom prst="rect">
                            <a:avLst/>
                          </a:prstGeom>
                          <a:noFill/>
                          <a:ln>
                            <a:noFill/>
                          </a:ln>
                        </pic:spPr>
                      </pic:pic>
                    </a:graphicData>
                  </a:graphic>
                </wp:inline>
              </w:drawing>
            </w:r>
          </w:p>
        </w:tc>
        <w:tc>
          <w:tcPr>
            <w:tcW w:w="1200" w:type="dxa"/>
            <w:vAlign w:val="center"/>
          </w:tcPr>
          <w:p>
            <w:pPr>
              <w:widowControl/>
              <w:jc w:val="center"/>
              <w:textAlignment w:val="center"/>
              <w:rPr>
                <w:rFonts w:cs="宋体" w:asciiTheme="minorEastAsia" w:hAnsiTheme="minorEastAsia" w:eastAsiaTheme="minorEastAsia"/>
                <w:color w:val="auto"/>
                <w:sz w:val="20"/>
                <w:szCs w:val="21"/>
                <w:highlight w:val="none"/>
              </w:rPr>
            </w:pPr>
            <w:r>
              <w:rPr>
                <w:rFonts w:hint="eastAsia" w:cs="宋体" w:asciiTheme="minorEastAsia" w:hAnsiTheme="minorEastAsia" w:eastAsiaTheme="minorEastAsia"/>
                <w:color w:val="auto"/>
                <w:kern w:val="0"/>
                <w:szCs w:val="21"/>
                <w:highlight w:val="none"/>
                <w:lang w:bidi="ar"/>
              </w:rPr>
              <w:t>写字板</w:t>
            </w:r>
          </w:p>
        </w:tc>
        <w:tc>
          <w:tcPr>
            <w:tcW w:w="4679" w:type="dxa"/>
            <w:vAlign w:val="center"/>
          </w:tcPr>
          <w:p>
            <w:pPr>
              <w:widowControl/>
              <w:jc w:val="left"/>
              <w:textAlignment w:val="center"/>
              <w:rPr>
                <w:rFonts w:cs="宋体" w:asciiTheme="minorEastAsia" w:hAnsiTheme="minorEastAsia" w:eastAsiaTheme="minorEastAsia"/>
                <w:color w:val="auto"/>
                <w:kern w:val="0"/>
                <w:sz w:val="20"/>
                <w:szCs w:val="21"/>
                <w:highlight w:val="none"/>
                <w:lang w:bidi="ar"/>
              </w:rPr>
            </w:pPr>
            <w:r>
              <w:rPr>
                <w:rFonts w:hint="eastAsia" w:cs="宋体" w:asciiTheme="minorEastAsia" w:hAnsiTheme="minorEastAsia" w:eastAsiaTheme="minorEastAsia"/>
                <w:color w:val="auto"/>
                <w:kern w:val="0"/>
                <w:szCs w:val="21"/>
                <w:highlight w:val="none"/>
                <w:lang w:bidi="ar"/>
              </w:rPr>
              <w:t xml:space="preserve">1、椅座：PP+15%玻纤；                    </w:t>
            </w:r>
          </w:p>
          <w:p>
            <w:pPr>
              <w:widowControl/>
              <w:jc w:val="left"/>
              <w:textAlignment w:val="center"/>
              <w:rPr>
                <w:rFonts w:cs="宋体" w:asciiTheme="minorEastAsia" w:hAnsiTheme="minorEastAsia" w:eastAsiaTheme="minorEastAsia"/>
                <w:color w:val="auto"/>
                <w:kern w:val="0"/>
                <w:sz w:val="20"/>
                <w:szCs w:val="21"/>
                <w:highlight w:val="none"/>
                <w:lang w:bidi="ar"/>
              </w:rPr>
            </w:pPr>
            <w:r>
              <w:rPr>
                <w:rFonts w:hint="eastAsia" w:cs="宋体" w:asciiTheme="minorEastAsia" w:hAnsiTheme="minorEastAsia" w:eastAsiaTheme="minorEastAsia"/>
                <w:color w:val="auto"/>
                <w:kern w:val="0"/>
                <w:szCs w:val="21"/>
                <w:highlight w:val="none"/>
                <w:lang w:bidi="ar"/>
              </w:rPr>
              <w:t xml:space="preserve">2、椅架：PP+15%玻纤；                    </w:t>
            </w:r>
          </w:p>
          <w:p>
            <w:pPr>
              <w:widowControl/>
              <w:jc w:val="left"/>
              <w:textAlignment w:val="center"/>
              <w:rPr>
                <w:rFonts w:cs="宋体" w:asciiTheme="minorEastAsia" w:hAnsiTheme="minorEastAsia" w:eastAsiaTheme="minorEastAsia"/>
                <w:color w:val="auto"/>
                <w:kern w:val="0"/>
                <w:sz w:val="20"/>
                <w:szCs w:val="21"/>
                <w:highlight w:val="none"/>
                <w:lang w:bidi="ar"/>
              </w:rPr>
            </w:pPr>
            <w:r>
              <w:rPr>
                <w:rFonts w:hint="eastAsia" w:cs="宋体" w:asciiTheme="minorEastAsia" w:hAnsiTheme="minorEastAsia" w:eastAsiaTheme="minorEastAsia"/>
                <w:color w:val="auto"/>
                <w:kern w:val="0"/>
                <w:szCs w:val="21"/>
                <w:highlight w:val="none"/>
                <w:lang w:bidi="ar"/>
              </w:rPr>
              <w:t xml:space="preserve">3、叠螺功能：垂直平衡堆叠不倾斜；          </w:t>
            </w:r>
          </w:p>
          <w:p>
            <w:pPr>
              <w:widowControl/>
              <w:jc w:val="left"/>
              <w:textAlignment w:val="center"/>
              <w:rPr>
                <w:rFonts w:cs="宋体" w:asciiTheme="minorEastAsia" w:hAnsiTheme="minorEastAsia" w:eastAsiaTheme="minorEastAsia"/>
                <w:color w:val="auto"/>
                <w:kern w:val="0"/>
                <w:sz w:val="20"/>
                <w:szCs w:val="21"/>
                <w:highlight w:val="none"/>
                <w:lang w:bidi="ar"/>
              </w:rPr>
            </w:pPr>
            <w:r>
              <w:rPr>
                <w:rFonts w:hint="eastAsia"/>
                <w:color w:val="auto"/>
                <w:highlight w:val="none"/>
              </w:rPr>
              <w:t>◆</w:t>
            </w:r>
            <w:r>
              <w:rPr>
                <w:rFonts w:hint="eastAsia" w:cs="宋体" w:asciiTheme="minorEastAsia" w:hAnsiTheme="minorEastAsia" w:eastAsiaTheme="minorEastAsia"/>
                <w:color w:val="auto"/>
                <w:kern w:val="0"/>
                <w:szCs w:val="21"/>
                <w:highlight w:val="none"/>
                <w:lang w:bidi="ar"/>
              </w:rPr>
              <w:t xml:space="preserve">4、写字板支架：铝合金结构承重20KG         </w:t>
            </w:r>
          </w:p>
          <w:p>
            <w:pPr>
              <w:widowControl/>
              <w:jc w:val="left"/>
              <w:textAlignment w:val="center"/>
              <w:rPr>
                <w:rFonts w:cs="宋体" w:asciiTheme="minorEastAsia" w:hAnsiTheme="minorEastAsia" w:eastAsiaTheme="minorEastAsia"/>
                <w:color w:val="auto"/>
                <w:kern w:val="0"/>
                <w:sz w:val="20"/>
                <w:szCs w:val="21"/>
                <w:highlight w:val="none"/>
                <w:lang w:bidi="ar"/>
              </w:rPr>
            </w:pPr>
            <w:r>
              <w:rPr>
                <w:rFonts w:hint="eastAsia" w:cs="宋体" w:asciiTheme="minorEastAsia" w:hAnsiTheme="minorEastAsia" w:eastAsiaTheme="minorEastAsia"/>
                <w:color w:val="auto"/>
                <w:kern w:val="0"/>
                <w:szCs w:val="21"/>
                <w:highlight w:val="none"/>
                <w:lang w:bidi="ar"/>
              </w:rPr>
              <w:t>5、写字板材质：PA+15%玻纤</w:t>
            </w:r>
            <w:r>
              <w:rPr>
                <w:rFonts w:hint="eastAsia" w:cs="宋体" w:asciiTheme="minorEastAsia" w:hAnsiTheme="minorEastAsia" w:eastAsiaTheme="minorEastAsia"/>
                <w:color w:val="auto"/>
                <w:kern w:val="0"/>
                <w:szCs w:val="21"/>
                <w:highlight w:val="none"/>
                <w:u w:val="single" w:color="FF0000"/>
                <w:lang w:bidi="ar"/>
              </w:rPr>
              <w:t>；</w:t>
            </w:r>
          </w:p>
          <w:p>
            <w:pPr>
              <w:widowControl/>
              <w:jc w:val="left"/>
              <w:textAlignment w:val="center"/>
              <w:rPr>
                <w:rFonts w:cs="宋体" w:asciiTheme="minorEastAsia" w:hAnsiTheme="minorEastAsia" w:eastAsiaTheme="minorEastAsia"/>
                <w:color w:val="auto"/>
                <w:kern w:val="0"/>
                <w:sz w:val="20"/>
                <w:szCs w:val="21"/>
                <w:highlight w:val="none"/>
                <w:lang w:bidi="ar"/>
              </w:rPr>
            </w:pPr>
            <w:r>
              <w:rPr>
                <w:rFonts w:hint="eastAsia" w:cs="宋体" w:asciiTheme="minorEastAsia" w:hAnsiTheme="minorEastAsia" w:eastAsiaTheme="minorEastAsia"/>
                <w:color w:val="auto"/>
                <w:kern w:val="0"/>
                <w:szCs w:val="21"/>
                <w:highlight w:val="none"/>
                <w:lang w:bidi="ar"/>
              </w:rPr>
              <w:t xml:space="preserve">6、扶手材质：采用增强PP </w:t>
            </w:r>
            <w:r>
              <w:rPr>
                <w:rFonts w:hint="eastAsia" w:cs="宋体" w:asciiTheme="minorEastAsia" w:hAnsiTheme="minorEastAsia" w:eastAsiaTheme="minorEastAsia"/>
                <w:color w:val="auto"/>
                <w:kern w:val="0"/>
                <w:szCs w:val="21"/>
                <w:highlight w:val="none"/>
                <w:u w:val="single" w:color="FF0000"/>
                <w:lang w:bidi="ar"/>
              </w:rPr>
              <w:t>；</w:t>
            </w:r>
            <w:r>
              <w:rPr>
                <w:rFonts w:hint="eastAsia" w:cs="宋体" w:asciiTheme="minorEastAsia" w:hAnsiTheme="minorEastAsia" w:eastAsiaTheme="minorEastAsia"/>
                <w:color w:val="auto"/>
                <w:kern w:val="0"/>
                <w:szCs w:val="21"/>
                <w:highlight w:val="none"/>
                <w:lang w:bidi="ar"/>
              </w:rPr>
              <w:t xml:space="preserve">   </w:t>
            </w:r>
          </w:p>
          <w:p>
            <w:pPr>
              <w:widowControl/>
              <w:jc w:val="left"/>
              <w:textAlignment w:val="center"/>
              <w:rPr>
                <w:rFonts w:cs="宋体" w:asciiTheme="minorEastAsia" w:hAnsiTheme="minorEastAsia" w:eastAsiaTheme="minorEastAsia"/>
                <w:color w:val="auto"/>
                <w:sz w:val="20"/>
                <w:szCs w:val="21"/>
                <w:highlight w:val="none"/>
              </w:rPr>
            </w:pPr>
            <w:r>
              <w:rPr>
                <w:rFonts w:hint="eastAsia" w:cs="宋体" w:asciiTheme="minorEastAsia" w:hAnsiTheme="minorEastAsia" w:eastAsiaTheme="minorEastAsia"/>
                <w:color w:val="auto"/>
                <w:kern w:val="0"/>
                <w:szCs w:val="21"/>
                <w:highlight w:val="none"/>
                <w:lang w:bidi="ar"/>
              </w:rPr>
              <w:t>7、软包：专用PP内壳+高密度定型海绵高密度棉麻布料</w:t>
            </w:r>
          </w:p>
        </w:tc>
        <w:tc>
          <w:tcPr>
            <w:tcW w:w="833" w:type="dxa"/>
            <w:vAlign w:val="center"/>
          </w:tcPr>
          <w:p>
            <w:pPr>
              <w:widowControl/>
              <w:jc w:val="center"/>
              <w:textAlignment w:val="center"/>
              <w:rPr>
                <w:rFonts w:cs="宋体" w:asciiTheme="minorEastAsia" w:hAnsiTheme="minorEastAsia" w:eastAsiaTheme="minorEastAsia"/>
                <w:color w:val="auto"/>
                <w:sz w:val="20"/>
                <w:szCs w:val="21"/>
                <w:highlight w:val="none"/>
              </w:rPr>
            </w:pPr>
            <w:r>
              <w:rPr>
                <w:rFonts w:hint="eastAsia" w:cs="宋体" w:asciiTheme="minorEastAsia" w:hAnsiTheme="minorEastAsia" w:eastAsiaTheme="minorEastAsia"/>
                <w:color w:val="auto"/>
                <w:kern w:val="0"/>
                <w:szCs w:val="21"/>
                <w:highlight w:val="none"/>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835" w:type="dxa"/>
            <w:noWrap/>
            <w:vAlign w:val="center"/>
          </w:tcPr>
          <w:p>
            <w:pPr>
              <w:widowControl/>
              <w:jc w:val="center"/>
              <w:textAlignment w:val="center"/>
              <w:rPr>
                <w:rFonts w:cs="宋体" w:asciiTheme="minorEastAsia" w:hAnsiTheme="minorEastAsia" w:eastAsiaTheme="minorEastAsia"/>
                <w:color w:val="auto"/>
                <w:kern w:val="0"/>
                <w:sz w:val="20"/>
                <w:szCs w:val="21"/>
                <w:highlight w:val="none"/>
                <w:lang w:bidi="ar"/>
              </w:rPr>
            </w:pPr>
            <w:r>
              <w:rPr>
                <w:rFonts w:hint="eastAsia" w:cs="宋体" w:asciiTheme="minorEastAsia" w:hAnsiTheme="minorEastAsia" w:eastAsiaTheme="minorEastAsia"/>
                <w:color w:val="auto"/>
                <w:kern w:val="0"/>
                <w:szCs w:val="21"/>
                <w:highlight w:val="none"/>
                <w:lang w:bidi="ar"/>
              </w:rPr>
              <w:t>11</w:t>
            </w:r>
          </w:p>
        </w:tc>
        <w:tc>
          <w:tcPr>
            <w:tcW w:w="1287" w:type="dxa"/>
            <w:vAlign w:val="center"/>
          </w:tcPr>
          <w:p>
            <w:pPr>
              <w:widowControl/>
              <w:jc w:val="center"/>
              <w:textAlignment w:val="center"/>
              <w:rPr>
                <w:rFonts w:cs="宋体" w:asciiTheme="minorEastAsia" w:hAnsiTheme="minorEastAsia" w:eastAsiaTheme="minorEastAsia"/>
                <w:color w:val="auto"/>
                <w:kern w:val="0"/>
                <w:sz w:val="20"/>
                <w:szCs w:val="21"/>
                <w:highlight w:val="none"/>
                <w:lang w:bidi="ar"/>
              </w:rPr>
            </w:pPr>
            <w:r>
              <w:rPr>
                <w:rFonts w:hint="eastAsia" w:cs="宋体" w:asciiTheme="minorEastAsia" w:hAnsiTheme="minorEastAsia" w:eastAsiaTheme="minorEastAsia"/>
                <w:color w:val="auto"/>
                <w:kern w:val="0"/>
                <w:szCs w:val="21"/>
                <w:highlight w:val="none"/>
                <w:lang w:bidi="ar"/>
              </w:rPr>
              <w:t>工作椅</w:t>
            </w:r>
          </w:p>
        </w:tc>
        <w:tc>
          <w:tcPr>
            <w:tcW w:w="1200" w:type="dxa"/>
            <w:vAlign w:val="top"/>
          </w:tcPr>
          <w:p>
            <w:pPr>
              <w:widowControl/>
              <w:jc w:val="center"/>
              <w:textAlignment w:val="center"/>
              <w:rPr>
                <w:rFonts w:cs="宋体" w:asciiTheme="minorEastAsia" w:hAnsiTheme="minorEastAsia" w:eastAsiaTheme="minorEastAsia"/>
                <w:color w:val="auto"/>
                <w:kern w:val="0"/>
                <w:sz w:val="20"/>
                <w:szCs w:val="21"/>
                <w:highlight w:val="none"/>
                <w:lang w:bidi="ar"/>
              </w:rPr>
            </w:pPr>
          </w:p>
          <w:p>
            <w:pPr>
              <w:widowControl/>
              <w:jc w:val="center"/>
              <w:textAlignment w:val="center"/>
              <w:rPr>
                <w:rFonts w:cs="宋体" w:asciiTheme="minorEastAsia" w:hAnsiTheme="minorEastAsia" w:eastAsiaTheme="minorEastAsia"/>
                <w:color w:val="auto"/>
                <w:kern w:val="0"/>
                <w:sz w:val="20"/>
                <w:szCs w:val="21"/>
                <w:highlight w:val="none"/>
                <w:lang w:bidi="ar"/>
              </w:rPr>
            </w:pPr>
          </w:p>
          <w:p>
            <w:pPr>
              <w:widowControl/>
              <w:jc w:val="center"/>
              <w:textAlignment w:val="center"/>
              <w:rPr>
                <w:rFonts w:cs="宋体" w:asciiTheme="minorEastAsia" w:hAnsiTheme="minorEastAsia" w:eastAsiaTheme="minorEastAsia"/>
                <w:color w:val="auto"/>
                <w:kern w:val="0"/>
                <w:sz w:val="20"/>
                <w:szCs w:val="21"/>
                <w:highlight w:val="none"/>
                <w:lang w:bidi="ar"/>
              </w:rPr>
            </w:pPr>
          </w:p>
          <w:p>
            <w:pPr>
              <w:widowControl/>
              <w:jc w:val="center"/>
              <w:textAlignment w:val="center"/>
              <w:rPr>
                <w:rFonts w:cs="宋体" w:asciiTheme="minorEastAsia" w:hAnsiTheme="minorEastAsia" w:eastAsiaTheme="minorEastAsia"/>
                <w:color w:val="auto"/>
                <w:kern w:val="0"/>
                <w:sz w:val="20"/>
                <w:szCs w:val="21"/>
                <w:highlight w:val="none"/>
                <w:lang w:bidi="ar"/>
              </w:rPr>
            </w:pPr>
          </w:p>
          <w:p>
            <w:pPr>
              <w:widowControl/>
              <w:jc w:val="center"/>
              <w:textAlignment w:val="center"/>
              <w:rPr>
                <w:rFonts w:cs="宋体" w:asciiTheme="minorEastAsia" w:hAnsiTheme="minorEastAsia" w:eastAsiaTheme="minorEastAsia"/>
                <w:color w:val="auto"/>
                <w:kern w:val="0"/>
                <w:szCs w:val="21"/>
                <w:highlight w:val="none"/>
                <w:lang w:bidi="ar"/>
              </w:rPr>
            </w:pPr>
            <w:r>
              <w:rPr>
                <w:rFonts w:hint="eastAsia" w:cs="宋体" w:asciiTheme="minorEastAsia" w:hAnsiTheme="minorEastAsia" w:eastAsiaTheme="minorEastAsia"/>
                <w:color w:val="auto"/>
                <w:kern w:val="0"/>
                <w:sz w:val="20"/>
                <w:szCs w:val="21"/>
                <w:highlight w:val="none"/>
                <w:lang w:bidi="ar"/>
              </w:rPr>
              <w:t>6</w:t>
            </w:r>
            <w:r>
              <w:rPr>
                <w:rFonts w:cs="宋体" w:asciiTheme="minorEastAsia" w:hAnsiTheme="minorEastAsia" w:eastAsiaTheme="minorEastAsia"/>
                <w:color w:val="auto"/>
                <w:kern w:val="0"/>
                <w:sz w:val="20"/>
                <w:szCs w:val="21"/>
                <w:highlight w:val="none"/>
                <w:lang w:bidi="ar"/>
              </w:rPr>
              <w:t>00</w:t>
            </w:r>
          </w:p>
        </w:tc>
        <w:tc>
          <w:tcPr>
            <w:tcW w:w="1200" w:type="dxa"/>
            <w:vAlign w:val="center"/>
          </w:tcPr>
          <w:p>
            <w:pPr>
              <w:widowControl/>
              <w:jc w:val="center"/>
              <w:textAlignment w:val="center"/>
              <w:rPr>
                <w:rFonts w:cs="宋体" w:asciiTheme="minorEastAsia" w:hAnsiTheme="minorEastAsia" w:eastAsiaTheme="minorEastAsia"/>
                <w:color w:val="auto"/>
                <w:kern w:val="0"/>
                <w:szCs w:val="21"/>
                <w:highlight w:val="none"/>
                <w:lang w:bidi="ar"/>
              </w:rPr>
            </w:pPr>
            <w:r>
              <w:rPr>
                <w:rFonts w:hint="eastAsia" w:cs="宋体" w:asciiTheme="minorEastAsia" w:hAnsiTheme="minorEastAsia" w:eastAsiaTheme="minorEastAsia"/>
                <w:color w:val="auto"/>
                <w:kern w:val="0"/>
                <w:szCs w:val="21"/>
                <w:highlight w:val="none"/>
                <w:lang w:bidi="ar"/>
              </w:rPr>
              <w:drawing>
                <wp:inline distT="0" distB="0" distL="0" distR="0">
                  <wp:extent cx="565150" cy="755650"/>
                  <wp:effectExtent l="0" t="0" r="6350" b="6350"/>
                  <wp:docPr id="1" name="图片 1" descr="7586d18d65f5c4034f3ff1d09bd3c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586d18d65f5c4034f3ff1d09bd3c8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565150" cy="755650"/>
                          </a:xfrm>
                          <a:prstGeom prst="rect">
                            <a:avLst/>
                          </a:prstGeom>
                          <a:noFill/>
                          <a:ln>
                            <a:noFill/>
                          </a:ln>
                        </pic:spPr>
                      </pic:pic>
                    </a:graphicData>
                  </a:graphic>
                </wp:inline>
              </w:drawing>
            </w:r>
          </w:p>
        </w:tc>
        <w:tc>
          <w:tcPr>
            <w:tcW w:w="1200" w:type="dxa"/>
            <w:vAlign w:val="center"/>
          </w:tcPr>
          <w:p>
            <w:pPr>
              <w:widowControl/>
              <w:jc w:val="center"/>
              <w:textAlignment w:val="center"/>
              <w:rPr>
                <w:rFonts w:cs="宋体" w:asciiTheme="minorEastAsia" w:hAnsiTheme="minorEastAsia" w:eastAsiaTheme="minorEastAsia"/>
                <w:color w:val="auto"/>
                <w:sz w:val="20"/>
                <w:szCs w:val="21"/>
                <w:highlight w:val="none"/>
              </w:rPr>
            </w:pPr>
            <w:r>
              <w:rPr>
                <w:rFonts w:hint="eastAsia" w:cs="宋体" w:asciiTheme="minorEastAsia" w:hAnsiTheme="minorEastAsia" w:eastAsiaTheme="minorEastAsia"/>
                <w:color w:val="auto"/>
                <w:kern w:val="0"/>
                <w:szCs w:val="21"/>
                <w:highlight w:val="none"/>
                <w:lang w:bidi="ar"/>
              </w:rPr>
              <w:t>常规固定</w:t>
            </w:r>
          </w:p>
        </w:tc>
        <w:tc>
          <w:tcPr>
            <w:tcW w:w="4679" w:type="dxa"/>
            <w:vAlign w:val="center"/>
          </w:tcPr>
          <w:p>
            <w:pPr>
              <w:widowControl/>
              <w:numPr>
                <w:ilvl w:val="0"/>
                <w:numId w:val="3"/>
              </w:numPr>
              <w:jc w:val="left"/>
              <w:textAlignment w:val="center"/>
              <w:rPr>
                <w:rFonts w:cs="宋体" w:asciiTheme="minorEastAsia" w:hAnsiTheme="minorEastAsia" w:eastAsiaTheme="minorEastAsia"/>
                <w:color w:val="auto"/>
                <w:kern w:val="0"/>
                <w:szCs w:val="21"/>
                <w:highlight w:val="none"/>
                <w:lang w:bidi="ar"/>
              </w:rPr>
            </w:pPr>
            <w:r>
              <w:rPr>
                <w:rFonts w:hint="eastAsia" w:cs="宋体" w:asciiTheme="minorEastAsia" w:hAnsiTheme="minorEastAsia" w:eastAsiaTheme="minorEastAsia"/>
                <w:color w:val="auto"/>
                <w:kern w:val="0"/>
                <w:szCs w:val="21"/>
                <w:highlight w:val="none"/>
                <w:lang w:bidi="ar"/>
              </w:rPr>
              <w:t>椅面：全新尼龙料加20%玻纤，柔软贴手，透气， 应无色差，破损，无油腻感，撕裂力≥30N，厚度和理化性应符合检测要求。</w:t>
            </w:r>
          </w:p>
          <w:p>
            <w:pPr>
              <w:widowControl/>
              <w:numPr>
                <w:ilvl w:val="0"/>
                <w:numId w:val="3"/>
              </w:numPr>
              <w:jc w:val="left"/>
              <w:textAlignment w:val="center"/>
              <w:rPr>
                <w:rFonts w:cs="宋体" w:asciiTheme="minorEastAsia" w:hAnsiTheme="minorEastAsia" w:eastAsiaTheme="minorEastAsia"/>
                <w:color w:val="auto"/>
                <w:sz w:val="20"/>
                <w:szCs w:val="21"/>
                <w:highlight w:val="none"/>
              </w:rPr>
            </w:pPr>
            <w:r>
              <w:rPr>
                <w:rFonts w:hint="eastAsia" w:cs="宋体" w:asciiTheme="minorEastAsia" w:hAnsiTheme="minorEastAsia" w:eastAsiaTheme="minorEastAsia"/>
                <w:color w:val="auto"/>
                <w:kern w:val="0"/>
                <w:szCs w:val="21"/>
                <w:highlight w:val="none"/>
                <w:lang w:bidi="ar"/>
              </w:rPr>
              <w:t>海棉：采用等高密度阻燃定 ，防腐，防虫处理工艺。</w:t>
            </w:r>
          </w:p>
          <w:p>
            <w:pPr>
              <w:widowControl/>
              <w:numPr>
                <w:ilvl w:val="0"/>
                <w:numId w:val="3"/>
              </w:numPr>
              <w:jc w:val="left"/>
              <w:textAlignment w:val="center"/>
              <w:rPr>
                <w:rFonts w:cs="宋体" w:asciiTheme="minorEastAsia" w:hAnsiTheme="minorEastAsia" w:eastAsiaTheme="minorEastAsia"/>
                <w:color w:val="auto"/>
                <w:sz w:val="20"/>
                <w:szCs w:val="21"/>
                <w:highlight w:val="none"/>
              </w:rPr>
            </w:pPr>
            <w:r>
              <w:rPr>
                <w:rFonts w:hint="eastAsia" w:cs="宋体" w:asciiTheme="minorEastAsia" w:hAnsiTheme="minorEastAsia" w:eastAsiaTheme="minorEastAsia"/>
                <w:color w:val="auto"/>
                <w:kern w:val="0"/>
                <w:szCs w:val="21"/>
                <w:highlight w:val="none"/>
                <w:lang w:bidi="ar"/>
              </w:rPr>
              <w:t>五金配件：采用标准的五金，经过压铸成型后，进行直接抛光，静电喷粉喷涂处理，不变形不脱色，坐感舒适。</w:t>
            </w:r>
          </w:p>
        </w:tc>
        <w:tc>
          <w:tcPr>
            <w:tcW w:w="833" w:type="dxa"/>
            <w:vAlign w:val="center"/>
          </w:tcPr>
          <w:p>
            <w:pPr>
              <w:widowControl/>
              <w:jc w:val="center"/>
              <w:textAlignment w:val="center"/>
              <w:rPr>
                <w:rFonts w:cs="宋体" w:asciiTheme="minorEastAsia" w:hAnsiTheme="minorEastAsia" w:eastAsiaTheme="minorEastAsia"/>
                <w:color w:val="auto"/>
                <w:sz w:val="20"/>
                <w:szCs w:val="21"/>
                <w:highlight w:val="none"/>
              </w:rPr>
            </w:pPr>
            <w:r>
              <w:rPr>
                <w:rFonts w:hint="eastAsia" w:cs="宋体" w:asciiTheme="minorEastAsia" w:hAnsiTheme="minorEastAsia" w:eastAsiaTheme="minorEastAsia"/>
                <w:color w:val="auto"/>
                <w:kern w:val="0"/>
                <w:szCs w:val="21"/>
                <w:highlight w:val="none"/>
                <w:lang w:bidi="ar"/>
              </w:rPr>
              <w:t>4</w:t>
            </w:r>
          </w:p>
        </w:tc>
      </w:tr>
    </w:tbl>
    <w:p>
      <w:pPr>
        <w:keepNext/>
        <w:keepLines/>
        <w:spacing w:line="360" w:lineRule="auto"/>
        <w:outlineLvl w:val="1"/>
        <w:rPr>
          <w:rFonts w:ascii="宋体" w:hAnsi="宋体" w:cs="宋体"/>
          <w:b/>
          <w:bCs/>
          <w:color w:val="auto"/>
          <w:spacing w:val="14"/>
          <w:kern w:val="24"/>
          <w:sz w:val="24"/>
          <w:highlight w:val="none"/>
        </w:rPr>
      </w:pPr>
    </w:p>
    <w:p>
      <w:pPr>
        <w:pStyle w:val="2"/>
        <w:rPr>
          <w:rFonts w:ascii="宋体" w:hAnsi="宋体" w:eastAsia="宋体" w:cs="宋体"/>
          <w:color w:val="auto"/>
          <w:spacing w:val="14"/>
          <w:kern w:val="24"/>
          <w:sz w:val="24"/>
          <w:highlight w:val="none"/>
          <w:lang w:val="en-US"/>
        </w:rPr>
      </w:pPr>
      <w:r>
        <w:rPr>
          <w:rFonts w:hint="eastAsia" w:ascii="宋体" w:hAnsi="宋体" w:eastAsia="宋体" w:cs="宋体"/>
          <w:color w:val="auto"/>
          <w:spacing w:val="14"/>
          <w:kern w:val="24"/>
          <w:sz w:val="24"/>
          <w:highlight w:val="none"/>
          <w:lang w:val="en-US"/>
        </w:rPr>
        <w:t>样品清单</w:t>
      </w:r>
    </w:p>
    <w:tbl>
      <w:tblPr>
        <w:tblStyle w:val="62"/>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188"/>
        <w:gridCol w:w="1108"/>
        <w:gridCol w:w="1108"/>
        <w:gridCol w:w="4320"/>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772" w:type="dxa"/>
            <w:noWrap/>
            <w:vAlign w:val="center"/>
          </w:tcPr>
          <w:p>
            <w:pPr>
              <w:widowControl/>
              <w:jc w:val="center"/>
              <w:textAlignment w:val="center"/>
              <w:rPr>
                <w:rFonts w:ascii="宋体" w:hAnsi="宋体" w:cs="宋体"/>
                <w:color w:val="auto"/>
                <w:kern w:val="0"/>
                <w:sz w:val="20"/>
                <w:szCs w:val="21"/>
                <w:highlight w:val="none"/>
                <w:lang w:bidi="ar"/>
              </w:rPr>
            </w:pPr>
            <w:r>
              <w:rPr>
                <w:rFonts w:hint="eastAsia" w:ascii="宋体" w:hAnsi="宋体" w:cs="宋体"/>
                <w:color w:val="auto"/>
                <w:kern w:val="0"/>
                <w:szCs w:val="21"/>
                <w:highlight w:val="none"/>
                <w:lang w:bidi="ar"/>
              </w:rPr>
              <w:t>1</w:t>
            </w:r>
          </w:p>
        </w:tc>
        <w:tc>
          <w:tcPr>
            <w:tcW w:w="1188" w:type="dxa"/>
            <w:vAlign w:val="center"/>
          </w:tcPr>
          <w:p>
            <w:pPr>
              <w:widowControl/>
              <w:jc w:val="center"/>
              <w:textAlignment w:val="center"/>
              <w:rPr>
                <w:rFonts w:ascii="宋体" w:hAnsi="宋体" w:cs="宋体"/>
                <w:color w:val="auto"/>
                <w:kern w:val="0"/>
                <w:sz w:val="20"/>
                <w:szCs w:val="21"/>
                <w:highlight w:val="none"/>
                <w:lang w:bidi="ar"/>
              </w:rPr>
            </w:pPr>
            <w:r>
              <w:rPr>
                <w:rFonts w:hint="eastAsia" w:hAnsi="宋体" w:cs="宋体"/>
                <w:color w:val="auto"/>
                <w:sz w:val="24"/>
                <w:highlight w:val="none"/>
              </w:rPr>
              <w:t>★</w:t>
            </w:r>
            <w:r>
              <w:rPr>
                <w:rFonts w:hint="eastAsia" w:ascii="宋体" w:hAnsi="宋体" w:cs="宋体"/>
                <w:color w:val="auto"/>
                <w:kern w:val="0"/>
                <w:szCs w:val="21"/>
                <w:highlight w:val="none"/>
                <w:lang w:bidi="ar"/>
              </w:rPr>
              <w:t>民警</w:t>
            </w:r>
          </w:p>
          <w:p>
            <w:pPr>
              <w:widowControl/>
              <w:jc w:val="center"/>
              <w:textAlignment w:val="center"/>
              <w:rPr>
                <w:rFonts w:ascii="宋体" w:hAnsi="宋体" w:cs="宋体"/>
                <w:color w:val="auto"/>
                <w:kern w:val="0"/>
                <w:sz w:val="20"/>
                <w:szCs w:val="21"/>
                <w:highlight w:val="none"/>
                <w:lang w:bidi="ar"/>
              </w:rPr>
            </w:pPr>
            <w:r>
              <w:rPr>
                <w:rFonts w:hint="eastAsia" w:ascii="宋体" w:hAnsi="宋体" w:cs="宋体"/>
                <w:color w:val="auto"/>
                <w:kern w:val="0"/>
                <w:szCs w:val="21"/>
                <w:highlight w:val="none"/>
                <w:lang w:bidi="ar"/>
              </w:rPr>
              <w:t>办公椅</w:t>
            </w:r>
          </w:p>
        </w:tc>
        <w:tc>
          <w:tcPr>
            <w:tcW w:w="1108" w:type="dxa"/>
            <w:vAlign w:val="center"/>
          </w:tcPr>
          <w:p>
            <w:pPr>
              <w:widowControl/>
              <w:jc w:val="center"/>
              <w:textAlignment w:val="center"/>
              <w:rPr>
                <w:rFonts w:ascii="宋体" w:hAnsi="宋体" w:cs="宋体"/>
                <w:color w:val="auto"/>
                <w:kern w:val="0"/>
                <w:szCs w:val="21"/>
                <w:highlight w:val="none"/>
                <w:lang w:bidi="ar"/>
              </w:rPr>
            </w:pPr>
            <w:r>
              <w:rPr>
                <w:color w:val="auto"/>
                <w:highlight w:val="none"/>
              </w:rPr>
              <w:drawing>
                <wp:inline distT="0" distB="0" distL="0" distR="0">
                  <wp:extent cx="609600" cy="893445"/>
                  <wp:effectExtent l="0" t="0" r="0" b="8255"/>
                  <wp:docPr id="15" name="图片 15" descr="5958b83a6160f2e910d66b284794f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5958b83a6160f2e910d66b284794fc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09600" cy="893445"/>
                          </a:xfrm>
                          <a:prstGeom prst="rect">
                            <a:avLst/>
                          </a:prstGeom>
                          <a:noFill/>
                          <a:ln>
                            <a:noFill/>
                          </a:ln>
                        </pic:spPr>
                      </pic:pic>
                    </a:graphicData>
                  </a:graphic>
                </wp:inline>
              </w:drawing>
            </w:r>
          </w:p>
        </w:tc>
        <w:tc>
          <w:tcPr>
            <w:tcW w:w="1108" w:type="dxa"/>
            <w:vAlign w:val="center"/>
          </w:tcPr>
          <w:p>
            <w:pPr>
              <w:widowControl/>
              <w:jc w:val="center"/>
              <w:textAlignment w:val="center"/>
              <w:rPr>
                <w:rFonts w:ascii="宋体" w:hAnsi="宋体" w:cs="宋体"/>
                <w:color w:val="auto"/>
                <w:sz w:val="20"/>
                <w:szCs w:val="21"/>
                <w:highlight w:val="none"/>
              </w:rPr>
            </w:pPr>
            <w:r>
              <w:rPr>
                <w:rFonts w:hint="eastAsia" w:ascii="宋体" w:hAnsi="宋体" w:cs="宋体"/>
                <w:color w:val="auto"/>
                <w:kern w:val="0"/>
                <w:szCs w:val="21"/>
                <w:highlight w:val="none"/>
                <w:lang w:bidi="ar"/>
              </w:rPr>
              <w:t>670*610*1038</w:t>
            </w:r>
          </w:p>
        </w:tc>
        <w:tc>
          <w:tcPr>
            <w:tcW w:w="4320" w:type="dxa"/>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◆1、材质稳定，经耐用不掉色，耐热耐磨抗老化，单框设计具备伸张功能。</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◆2、优质耐磨透气布料，坐垫布料采取优质布料。</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◆3、升降腰枕PP料。</w:t>
            </w:r>
          </w:p>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◆4、固定PP加纤扶手                                    ◆5、1.2MM厚成型胶合板+45密度高回弹定型海绵+全新PP座胶壳.可以前后滑动。</w:t>
            </w:r>
          </w:p>
          <w:p>
            <w:pPr>
              <w:widowControl/>
              <w:jc w:val="left"/>
              <w:textAlignment w:val="center"/>
              <w:rPr>
                <w:rFonts w:ascii="宋体" w:hAnsi="宋体" w:cs="宋体"/>
                <w:color w:val="auto"/>
                <w:sz w:val="20"/>
                <w:szCs w:val="21"/>
                <w:highlight w:val="none"/>
              </w:rPr>
            </w:pPr>
            <w:r>
              <w:rPr>
                <w:rFonts w:hint="eastAsia" w:ascii="宋体" w:hAnsi="宋体" w:cs="宋体"/>
                <w:color w:val="auto"/>
                <w:kern w:val="0"/>
                <w:szCs w:val="21"/>
                <w:highlight w:val="none"/>
                <w:lang w:bidi="ar"/>
              </w:rPr>
              <w:t>◆6、采用3.0MM加厚钢板，单手柄自重倾仰底盘；外管1.5+中管2.0厚气压棒，升降次数10万7350#爪型合金龙脚，过1136KG静压测试；轮子同样采用60MMPU防震静音黑色轮。轮子同样采用60MMPU防震静音黑色轮。</w:t>
            </w:r>
          </w:p>
        </w:tc>
        <w:tc>
          <w:tcPr>
            <w:tcW w:w="769" w:type="dxa"/>
            <w:vAlign w:val="center"/>
          </w:tcPr>
          <w:p>
            <w:pPr>
              <w:widowControl/>
              <w:jc w:val="center"/>
              <w:textAlignment w:val="center"/>
              <w:rPr>
                <w:rFonts w:ascii="宋体" w:hAnsi="宋体" w:cs="宋体"/>
                <w:color w:val="auto"/>
                <w:sz w:val="20"/>
                <w:szCs w:val="21"/>
                <w:highlight w:val="none"/>
              </w:rPr>
            </w:pPr>
            <w:r>
              <w:rPr>
                <w:rFonts w:hint="eastAsia" w:ascii="宋体" w:hAnsi="宋体" w:cs="宋体"/>
                <w:color w:val="auto"/>
                <w:kern w:val="0"/>
                <w:szCs w:val="21"/>
                <w:highlight w:val="none"/>
                <w:lang w:bidi="ar"/>
              </w:rPr>
              <w:t>1张</w:t>
            </w:r>
          </w:p>
        </w:tc>
      </w:tr>
    </w:tbl>
    <w:p>
      <w:pPr>
        <w:keepNext/>
        <w:keepLines/>
        <w:spacing w:line="360" w:lineRule="auto"/>
        <w:outlineLvl w:val="1"/>
        <w:rPr>
          <w:rFonts w:cs="宋体" w:asciiTheme="minorEastAsia" w:hAnsiTheme="minorEastAsia" w:eastAsiaTheme="minorEastAsia"/>
          <w:b/>
          <w:bCs/>
          <w:color w:val="auto"/>
          <w:spacing w:val="14"/>
          <w:kern w:val="24"/>
          <w:sz w:val="24"/>
          <w:highlight w:val="none"/>
        </w:rPr>
      </w:pPr>
    </w:p>
    <w:p>
      <w:pPr>
        <w:keepNext/>
        <w:keepLines/>
        <w:spacing w:line="360" w:lineRule="auto"/>
        <w:outlineLvl w:val="1"/>
        <w:rPr>
          <w:rFonts w:cs="宋体" w:asciiTheme="minorEastAsia" w:hAnsiTheme="minorEastAsia" w:eastAsiaTheme="minorEastAsia"/>
          <w:b/>
          <w:bCs/>
          <w:color w:val="auto"/>
          <w:spacing w:val="14"/>
          <w:kern w:val="24"/>
          <w:sz w:val="24"/>
          <w:highlight w:val="none"/>
        </w:rPr>
      </w:pPr>
    </w:p>
    <w:p>
      <w:pPr>
        <w:keepNext/>
        <w:keepLines/>
        <w:spacing w:line="360" w:lineRule="auto"/>
        <w:outlineLvl w:val="1"/>
        <w:rPr>
          <w:rFonts w:cs="宋体" w:asciiTheme="minorEastAsia" w:hAnsiTheme="minorEastAsia" w:eastAsiaTheme="minorEastAsia"/>
          <w:b/>
          <w:bCs/>
          <w:color w:val="auto"/>
          <w:spacing w:val="14"/>
          <w:kern w:val="24"/>
          <w:sz w:val="24"/>
          <w:highlight w:val="none"/>
        </w:rPr>
      </w:pPr>
      <w:r>
        <w:rPr>
          <w:rFonts w:hint="eastAsia" w:cs="宋体" w:asciiTheme="minorEastAsia" w:hAnsiTheme="minorEastAsia" w:eastAsiaTheme="minorEastAsia"/>
          <w:b/>
          <w:bCs/>
          <w:color w:val="auto"/>
          <w:spacing w:val="14"/>
          <w:kern w:val="24"/>
          <w:sz w:val="24"/>
          <w:highlight w:val="none"/>
        </w:rPr>
        <w:t>三、交货期及交付地点要求</w:t>
      </w:r>
    </w:p>
    <w:p>
      <w:pPr>
        <w:spacing w:line="42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1.交货期：合同签订后30个工作日内完成全部产品的到货、送货、搬运、安装。</w:t>
      </w:r>
    </w:p>
    <w:p>
      <w:pPr>
        <w:spacing w:line="42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2.交货地点：杭州市公安局（杭州市上城区婺江路169号）。</w:t>
      </w:r>
    </w:p>
    <w:p>
      <w:pPr>
        <w:keepNext/>
        <w:keepLines/>
        <w:spacing w:line="360" w:lineRule="auto"/>
        <w:outlineLvl w:val="1"/>
        <w:rPr>
          <w:rFonts w:cs="宋体" w:asciiTheme="minorEastAsia" w:hAnsiTheme="minorEastAsia" w:eastAsiaTheme="minorEastAsia"/>
          <w:b/>
          <w:color w:val="auto"/>
          <w:sz w:val="24"/>
          <w:highlight w:val="none"/>
        </w:rPr>
      </w:pPr>
      <w:bookmarkStart w:id="33" w:name="_Toc23719"/>
      <w:bookmarkStart w:id="34" w:name="_Toc6850"/>
      <w:bookmarkStart w:id="35" w:name="_Toc16213"/>
      <w:bookmarkStart w:id="36" w:name="_Toc5417"/>
      <w:bookmarkStart w:id="37" w:name="_Toc23111"/>
      <w:bookmarkStart w:id="38" w:name="_Toc6592"/>
      <w:bookmarkStart w:id="39" w:name="_Toc20932"/>
      <w:r>
        <w:rPr>
          <w:rFonts w:hint="eastAsia" w:cs="宋体" w:asciiTheme="minorEastAsia" w:hAnsiTheme="minorEastAsia" w:eastAsiaTheme="minorEastAsia"/>
          <w:b/>
          <w:bCs/>
          <w:color w:val="auto"/>
          <w:spacing w:val="14"/>
          <w:kern w:val="24"/>
          <w:sz w:val="24"/>
          <w:highlight w:val="none"/>
        </w:rPr>
        <w:t>四、</w:t>
      </w:r>
      <w:bookmarkEnd w:id="33"/>
      <w:bookmarkEnd w:id="34"/>
      <w:bookmarkEnd w:id="35"/>
      <w:bookmarkEnd w:id="36"/>
      <w:bookmarkEnd w:id="37"/>
      <w:bookmarkEnd w:id="38"/>
      <w:bookmarkEnd w:id="39"/>
      <w:bookmarkStart w:id="40" w:name="_Toc449016998"/>
      <w:r>
        <w:rPr>
          <w:rFonts w:hint="eastAsia" w:cs="宋体" w:asciiTheme="minorEastAsia" w:hAnsiTheme="minorEastAsia" w:eastAsiaTheme="minorEastAsia"/>
          <w:b/>
          <w:bCs/>
          <w:color w:val="auto"/>
          <w:spacing w:val="14"/>
          <w:kern w:val="24"/>
          <w:sz w:val="24"/>
          <w:highlight w:val="none"/>
        </w:rPr>
        <w:t>商务要求</w:t>
      </w:r>
    </w:p>
    <w:bookmarkEnd w:id="40"/>
    <w:tbl>
      <w:tblPr>
        <w:tblStyle w:val="62"/>
        <w:tblW w:w="9917" w:type="dxa"/>
        <w:tblInd w:w="-453"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776"/>
        <w:gridCol w:w="814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17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售后服务要求</w:t>
            </w:r>
          </w:p>
        </w:tc>
        <w:tc>
          <w:tcPr>
            <w:tcW w:w="8141" w:type="dxa"/>
            <w:tcBorders>
              <w:top w:val="single" w:color="auto" w:sz="4" w:space="0"/>
              <w:left w:val="nil"/>
              <w:bottom w:val="single" w:color="auto" w:sz="4" w:space="0"/>
              <w:right w:val="single" w:color="auto" w:sz="4" w:space="0"/>
            </w:tcBorders>
            <w:vAlign w:val="center"/>
          </w:tcPr>
          <w:p>
            <w:pPr>
              <w:spacing w:line="420" w:lineRule="exact"/>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  1. 所供产品是符合国家技术规范和质量标准，合格产品，为全新、未使用过的原装正品，制造标准及技术规范要求必须符合我国相关标准。如质量出现问题，需实行包修、包换、包退直至产品符合质量要求。</w:t>
            </w:r>
          </w:p>
          <w:p>
            <w:pPr>
              <w:spacing w:line="420" w:lineRule="exact"/>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 货物自验收通过之日起至少5年原厂质保期和上门服务，质保期内实行无条件更换。售后服务响应时间为1小时以内（提供远程指导，如远程指导无法解决，则需上门服务），在24小时内解决问题，如不能解决需更换产品。</w:t>
            </w:r>
          </w:p>
          <w:p>
            <w:pPr>
              <w:spacing w:line="420" w:lineRule="exact"/>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 投标人提供的产品，必须符合需求、采购文件规定的要求，如有不符，投标人应负责根据合同及采购人的要求采取补足或更换等处理措施，交货期不顺延，投标人应承担由此发生的一切损失和费用。</w:t>
            </w:r>
          </w:p>
          <w:p>
            <w:pPr>
              <w:spacing w:line="420" w:lineRule="exact"/>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 投标人负责根据实际需要提供上门服务人员并提供技术咨询，所产生的一切费用由包含在投标报价中。</w:t>
            </w:r>
          </w:p>
          <w:p>
            <w:pPr>
              <w:spacing w:line="420" w:lineRule="exact"/>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 所供产品验收合格交货时，投标人必须向采购人提供产品合格证、质量保证书原件、说明书等相关资料。</w:t>
            </w:r>
          </w:p>
          <w:p>
            <w:pPr>
              <w:spacing w:line="420" w:lineRule="exact"/>
              <w:ind w:firstLine="480" w:firstLineChars="200"/>
              <w:jc w:val="left"/>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6</w:t>
            </w:r>
            <w:r>
              <w:rPr>
                <w:rFonts w:hint="eastAsia" w:cs="宋体" w:asciiTheme="minorEastAsia" w:hAnsiTheme="minorEastAsia" w:eastAsiaTheme="minorEastAsia"/>
                <w:color w:val="auto"/>
                <w:sz w:val="24"/>
                <w:highlight w:val="none"/>
              </w:rPr>
              <w:t xml:space="preserve">. 投标人配备1名项目负责人，负责与采购人对接。项目负责人具有相关工作经验1年及以上（需提供合同和业主证明），须提供项目负责人社保证明及项目负责人在本项目服务期间为本项目服务的承诺函。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9" w:hRule="atLeast"/>
        </w:trPr>
        <w:tc>
          <w:tcPr>
            <w:tcW w:w="17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知识产权</w:t>
            </w:r>
          </w:p>
        </w:tc>
        <w:tc>
          <w:tcPr>
            <w:tcW w:w="8141" w:type="dxa"/>
            <w:tcBorders>
              <w:top w:val="single" w:color="auto" w:sz="4" w:space="0"/>
              <w:left w:val="nil"/>
              <w:bottom w:val="single" w:color="auto" w:sz="4" w:space="0"/>
              <w:right w:val="single" w:color="auto" w:sz="4" w:space="0"/>
            </w:tcBorders>
            <w:vAlign w:val="center"/>
          </w:tcPr>
          <w:p>
            <w:pPr>
              <w:spacing w:line="420" w:lineRule="exact"/>
              <w:rPr>
                <w:rFonts w:cs="宋体" w:asciiTheme="minorEastAsia" w:hAnsiTheme="minorEastAsia" w:eastAsiaTheme="minorEastAsia"/>
                <w:color w:val="auto"/>
                <w:kern w:val="0"/>
                <w:sz w:val="24"/>
                <w:highlight w:val="none"/>
              </w:rPr>
            </w:pPr>
            <w:r>
              <w:rPr>
                <w:rFonts w:hint="eastAsia" w:asciiTheme="minorEastAsia" w:hAnsiTheme="minorEastAsia" w:eastAsiaTheme="minorEastAsia"/>
                <w:color w:val="auto"/>
                <w:sz w:val="24"/>
                <w:highlight w:val="none"/>
              </w:rPr>
              <w:t>保证采购人在使用该货物或其任何一部分时不受任何第三方提出的侵犯其著作权、商标权、专利权等知识产权方面的起诉。</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10" w:hRule="atLeast"/>
        </w:trPr>
        <w:tc>
          <w:tcPr>
            <w:tcW w:w="17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付款方式</w:t>
            </w:r>
          </w:p>
        </w:tc>
        <w:tc>
          <w:tcPr>
            <w:tcW w:w="8141" w:type="dxa"/>
            <w:tcBorders>
              <w:top w:val="single" w:color="auto" w:sz="4" w:space="0"/>
              <w:left w:val="nil"/>
              <w:bottom w:val="single" w:color="auto" w:sz="4" w:space="0"/>
              <w:right w:val="single" w:color="auto" w:sz="4" w:space="0"/>
            </w:tcBorders>
            <w:vAlign w:val="center"/>
          </w:tcPr>
          <w:p>
            <w:pPr>
              <w:spacing w:line="420" w:lineRule="exact"/>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合同签订后5个工作日内，投标人按杭州市政府采购网公布的供应商履约评价情况（供应商履约验收评价总分为100分的，采购人应当免收履约保证金；其余的，收取履约保证金不得高于合同总价1%）缴纳履约保证金后，采购人支付合同总价的40％；</w:t>
            </w:r>
          </w:p>
          <w:p>
            <w:pPr>
              <w:spacing w:line="420" w:lineRule="exact"/>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投标人完成全部产品交货后，经验收合格无任何服务问题，投标人凭到货核验清单、实物图片、产品合格证、质量保证书原件、说明书、双方签字盖章的验收意见、验收小组签字的验收报告及各种文档资料等结算合同款项，同时扣除违约金。</w:t>
            </w:r>
          </w:p>
          <w:p>
            <w:pPr>
              <w:spacing w:line="420" w:lineRule="exact"/>
              <w:ind w:firstLine="480" w:firstLineChars="200"/>
              <w:jc w:val="left"/>
              <w:rPr>
                <w:rFonts w:asciiTheme="minorEastAsia" w:hAnsiTheme="minorEastAsia" w:eastAsiaTheme="minorEastAsia"/>
                <w:color w:val="auto"/>
                <w:highlight w:val="none"/>
              </w:rPr>
            </w:pPr>
            <w:r>
              <w:rPr>
                <w:rFonts w:hint="eastAsia" w:cs="宋体" w:asciiTheme="minorEastAsia" w:hAnsiTheme="minorEastAsia" w:eastAsiaTheme="minorEastAsia"/>
                <w:color w:val="auto"/>
                <w:sz w:val="24"/>
                <w:highlight w:val="none"/>
              </w:rPr>
              <w:t>除满足前述约定的付款条件外，以上款项的支付均须在采购人收到投标人正规发票后，按财政及采购人规定办理完成相关手续后5个工作日内予以支付。</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5" w:hRule="atLeast"/>
        </w:trPr>
        <w:tc>
          <w:tcPr>
            <w:tcW w:w="17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履约验收</w:t>
            </w:r>
          </w:p>
        </w:tc>
        <w:tc>
          <w:tcPr>
            <w:tcW w:w="8141" w:type="dxa"/>
            <w:tcBorders>
              <w:top w:val="single" w:color="auto" w:sz="4" w:space="0"/>
              <w:left w:val="nil"/>
              <w:bottom w:val="single" w:color="auto" w:sz="4" w:space="0"/>
              <w:right w:val="single" w:color="auto" w:sz="4" w:space="0"/>
            </w:tcBorders>
            <w:vAlign w:val="center"/>
          </w:tcPr>
          <w:p>
            <w:pPr>
              <w:spacing w:line="420" w:lineRule="exact"/>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采购人按照《杭州市政府采购履约验收暂行办法》（杭财采监[2019]10号）规定组织对投标人履约的验收。验收方成员应当在验收书上签字，并承担相应的法律责任。如果发现与合同中要求不符，投标人须承担由此发生的一切损失和费用，并接受相应的处理。</w:t>
            </w:r>
          </w:p>
          <w:p>
            <w:pPr>
              <w:spacing w:line="420" w:lineRule="exact"/>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严格按照采购合同开展履约验收。按照采购合同的约定对投标人履约情况进行验收，验收时，按照采购合同的约定对每一项技术、服务、安全标准的履约情况进行确认，出具验收报告并经验收小组全体成员签字。采购人根据验收报告形成验收意见并经采购人与投标人签字盖章。验收结果与采购合同约定的资金支付及履约保证金返还条件挂钩。履约验收的各项资料应当存档备查。</w:t>
            </w:r>
          </w:p>
          <w:p>
            <w:pPr>
              <w:spacing w:line="420" w:lineRule="exact"/>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验收合格的项目，采购人将根据采购合同的约定及时向投标人支付采购资金、退还履约保证金。验收不合格的项目，采购人将依法及时处理。采购合同的履行、违约责任和解决争议的方式等适用《中华人民共和国民法典》。</w:t>
            </w:r>
          </w:p>
          <w:p>
            <w:pPr>
              <w:spacing w:line="420" w:lineRule="exact"/>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验收产生的费用首次验收费用由采购人承担，如首次验收不合格，后续验收费用由投标人支付。</w:t>
            </w:r>
          </w:p>
          <w:p>
            <w:pPr>
              <w:numPr>
                <w:ilvl w:val="0"/>
                <w:numId w:val="4"/>
              </w:numPr>
              <w:spacing w:line="420" w:lineRule="exact"/>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验收时间：合同签订后30个工作日内，中标人完成全部产品交付后。</w:t>
            </w:r>
          </w:p>
          <w:p>
            <w:pPr>
              <w:spacing w:line="420" w:lineRule="exact"/>
              <w:jc w:val="left"/>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3.履约验收内容</w:t>
            </w:r>
          </w:p>
          <w:tbl>
            <w:tblPr>
              <w:tblStyle w:val="62"/>
              <w:tblW w:w="50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676"/>
              <w:gridCol w:w="5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3" w:type="pct"/>
                  <w:tcBorders>
                    <w:top w:val="single" w:color="auto" w:sz="4" w:space="0"/>
                    <w:left w:val="single" w:color="auto" w:sz="4" w:space="0"/>
                    <w:bottom w:val="single" w:color="auto" w:sz="4" w:space="0"/>
                    <w:right w:val="single" w:color="auto" w:sz="4" w:space="0"/>
                  </w:tcBorders>
                  <w:noWrap/>
                  <w:vAlign w:val="center"/>
                </w:tcPr>
                <w:p>
                  <w:pPr>
                    <w:spacing w:line="42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序号</w:t>
                  </w:r>
                </w:p>
              </w:tc>
              <w:tc>
                <w:tcPr>
                  <w:tcW w:w="1041" w:type="pct"/>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验收内容</w:t>
                  </w:r>
                </w:p>
              </w:tc>
              <w:tc>
                <w:tcPr>
                  <w:tcW w:w="3574" w:type="pct"/>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83" w:type="pct"/>
                  <w:tcBorders>
                    <w:top w:val="single" w:color="auto" w:sz="4" w:space="0"/>
                    <w:left w:val="single" w:color="auto" w:sz="4" w:space="0"/>
                    <w:right w:val="single" w:color="auto" w:sz="4" w:space="0"/>
                  </w:tcBorders>
                  <w:noWrap/>
                  <w:vAlign w:val="center"/>
                </w:tcPr>
                <w:p>
                  <w:pPr>
                    <w:spacing w:line="420" w:lineRule="exact"/>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p>
              </w:tc>
              <w:tc>
                <w:tcPr>
                  <w:tcW w:w="1041" w:type="pct"/>
                  <w:tcBorders>
                    <w:top w:val="single" w:color="auto" w:sz="4" w:space="0"/>
                    <w:left w:val="single" w:color="auto" w:sz="4" w:space="0"/>
                    <w:right w:val="single" w:color="auto" w:sz="4" w:space="0"/>
                  </w:tcBorders>
                  <w:noWrap/>
                  <w:vAlign w:val="center"/>
                </w:tcPr>
                <w:p>
                  <w:pPr>
                    <w:widowControl/>
                    <w:spacing w:line="420" w:lineRule="exact"/>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产品参数、数量</w:t>
                  </w:r>
                </w:p>
              </w:tc>
              <w:tc>
                <w:tcPr>
                  <w:tcW w:w="3574" w:type="pct"/>
                  <w:tcBorders>
                    <w:top w:val="single" w:color="auto" w:sz="4" w:space="0"/>
                    <w:left w:val="single" w:color="auto" w:sz="4" w:space="0"/>
                    <w:bottom w:val="single" w:color="auto" w:sz="4" w:space="0"/>
                    <w:right w:val="single" w:color="auto" w:sz="4" w:space="0"/>
                  </w:tcBorders>
                  <w:noWrap/>
                  <w:vAlign w:val="center"/>
                </w:tcPr>
                <w:p>
                  <w:pPr>
                    <w:pStyle w:val="24"/>
                    <w:spacing w:line="420" w:lineRule="exact"/>
                    <w:ind w:firstLine="0" w:firstLineChars="0"/>
                    <w:rPr>
                      <w:rFonts w:cs="宋体" w:asciiTheme="minorEastAsia" w:hAnsiTheme="minorEastAsia" w:eastAsiaTheme="minorEastAsia"/>
                      <w:color w:val="auto"/>
                      <w:kern w:val="0"/>
                      <w:highlight w:val="none"/>
                    </w:rPr>
                  </w:pPr>
                  <w:r>
                    <w:rPr>
                      <w:rFonts w:hint="eastAsia" w:cs="宋体" w:asciiTheme="minorEastAsia" w:hAnsiTheme="minorEastAsia" w:eastAsiaTheme="minorEastAsia"/>
                      <w:color w:val="auto"/>
                      <w:kern w:val="0"/>
                      <w:highlight w:val="none"/>
                    </w:rPr>
                    <w:t>符合采购需求内容中的拟采购标的技术要求、产品数量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383" w:type="pct"/>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p>
              </w:tc>
              <w:tc>
                <w:tcPr>
                  <w:tcW w:w="1041" w:type="pct"/>
                  <w:tcBorders>
                    <w:top w:val="single" w:color="auto" w:sz="4" w:space="0"/>
                    <w:left w:val="single" w:color="auto" w:sz="4" w:space="0"/>
                    <w:bottom w:val="single" w:color="auto" w:sz="4" w:space="0"/>
                    <w:right w:val="single" w:color="auto" w:sz="4" w:space="0"/>
                  </w:tcBorders>
                  <w:noWrap/>
                  <w:vAlign w:val="center"/>
                </w:tcPr>
                <w:p>
                  <w:pPr>
                    <w:widowControl/>
                    <w:spacing w:line="420" w:lineRule="exact"/>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运输送货及安装调试</w:t>
                  </w:r>
                </w:p>
              </w:tc>
              <w:tc>
                <w:tcPr>
                  <w:tcW w:w="3574" w:type="pct"/>
                  <w:tcBorders>
                    <w:top w:val="single" w:color="auto" w:sz="4" w:space="0"/>
                    <w:left w:val="single" w:color="auto" w:sz="4" w:space="0"/>
                    <w:bottom w:val="single" w:color="auto" w:sz="4" w:space="0"/>
                    <w:right w:val="single" w:color="auto" w:sz="4" w:space="0"/>
                  </w:tcBorders>
                  <w:noWrap/>
                  <w:vAlign w:val="center"/>
                </w:tcPr>
                <w:p>
                  <w:pPr>
                    <w:pStyle w:val="24"/>
                    <w:spacing w:line="420" w:lineRule="exact"/>
                    <w:ind w:firstLine="0" w:firstLineChars="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highlight w:val="none"/>
                    </w:rPr>
                    <w:t>按照采购需求规定的时间完成到货、送货、搬运、安装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383" w:type="pct"/>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w:t>
                  </w:r>
                </w:p>
              </w:tc>
              <w:tc>
                <w:tcPr>
                  <w:tcW w:w="1041" w:type="pct"/>
                  <w:tcBorders>
                    <w:top w:val="single" w:color="auto" w:sz="4" w:space="0"/>
                    <w:left w:val="single" w:color="auto" w:sz="4" w:space="0"/>
                    <w:bottom w:val="single" w:color="auto" w:sz="4" w:space="0"/>
                    <w:right w:val="single" w:color="auto" w:sz="4" w:space="0"/>
                  </w:tcBorders>
                  <w:noWrap/>
                  <w:vAlign w:val="center"/>
                </w:tcPr>
                <w:p>
                  <w:pPr>
                    <w:spacing w:line="420" w:lineRule="exact"/>
                    <w:ind w:firstLine="240" w:firstLineChars="1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质保期</w:t>
                  </w:r>
                </w:p>
              </w:tc>
              <w:tc>
                <w:tcPr>
                  <w:tcW w:w="3574" w:type="pct"/>
                  <w:tcBorders>
                    <w:top w:val="single" w:color="auto" w:sz="4" w:space="0"/>
                    <w:left w:val="single" w:color="auto" w:sz="4" w:space="0"/>
                    <w:bottom w:val="single" w:color="auto" w:sz="4" w:space="0"/>
                    <w:right w:val="single" w:color="auto" w:sz="4" w:space="0"/>
                  </w:tcBorders>
                  <w:noWrap/>
                  <w:vAlign w:val="center"/>
                </w:tcPr>
                <w:p>
                  <w:pPr>
                    <w:spacing w:line="420" w:lineRule="exac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本项目要求投标人提供硬件不少于5年的维护技术支持，投标时提供原厂质保承诺函。</w:t>
                  </w:r>
                </w:p>
              </w:tc>
            </w:tr>
          </w:tbl>
          <w:p>
            <w:pPr>
              <w:tabs>
                <w:tab w:val="left" w:pos="904"/>
              </w:tabs>
              <w:spacing w:line="420" w:lineRule="exact"/>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4.验收资料要求</w:t>
            </w:r>
          </w:p>
          <w:p>
            <w:pPr>
              <w:tabs>
                <w:tab w:val="left" w:pos="904"/>
              </w:tabs>
              <w:spacing w:line="420" w:lineRule="exact"/>
              <w:ind w:firstLine="480" w:firstLineChars="200"/>
              <w:jc w:val="lef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验收资料要求包括（不限于）以下内容：</w:t>
            </w:r>
          </w:p>
          <w:p>
            <w:pPr>
              <w:adjustRightInd/>
              <w:spacing w:line="420" w:lineRule="exact"/>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①采购文件</w:t>
            </w:r>
          </w:p>
          <w:p>
            <w:pPr>
              <w:adjustRightInd/>
              <w:spacing w:line="420" w:lineRule="exact"/>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②投标文件</w:t>
            </w:r>
          </w:p>
          <w:p>
            <w:pPr>
              <w:adjustRightInd/>
              <w:spacing w:line="420" w:lineRule="exact"/>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③采购合同</w:t>
            </w:r>
          </w:p>
          <w:p>
            <w:pPr>
              <w:adjustRightInd/>
              <w:spacing w:line="420" w:lineRule="exact"/>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④货核验清单、实物图片、原厂质保承诺函、产品合格证、质量保证书原件、说明书等相关资料</w:t>
            </w:r>
          </w:p>
          <w:p>
            <w:pPr>
              <w:adjustRightInd/>
              <w:spacing w:line="420" w:lineRule="exact"/>
              <w:ind w:firstLine="480" w:firstLineChars="200"/>
              <w:rPr>
                <w:rFonts w:cs="宋体" w:asciiTheme="minorEastAsia" w:hAnsiTheme="minorEastAsia" w:eastAsiaTheme="minorEastAsia"/>
                <w:iCs/>
                <w:color w:val="auto"/>
                <w:sz w:val="24"/>
                <w:highlight w:val="none"/>
              </w:rPr>
            </w:pPr>
            <w:r>
              <w:rPr>
                <w:rFonts w:hint="eastAsia" w:cs="宋体" w:asciiTheme="minorEastAsia" w:hAnsiTheme="minorEastAsia" w:eastAsiaTheme="minorEastAsia"/>
                <w:color w:val="auto"/>
                <w:kern w:val="0"/>
                <w:sz w:val="24"/>
                <w:highlight w:val="none"/>
              </w:rPr>
              <w:t>⑤其他需提供的相关材料。</w:t>
            </w:r>
          </w:p>
          <w:p>
            <w:pPr>
              <w:spacing w:line="420" w:lineRule="exact"/>
              <w:ind w:firstLine="480" w:firstLineChars="200"/>
              <w:jc w:val="left"/>
              <w:rPr>
                <w:rFonts w:cs="宋体" w:asciiTheme="minorEastAsia" w:hAnsiTheme="minorEastAsia" w:eastAsiaTheme="minorEastAsia"/>
                <w:color w:val="auto"/>
                <w:sz w:val="24"/>
                <w:highlight w:val="none"/>
              </w:rPr>
            </w:pPr>
          </w:p>
        </w:tc>
      </w:tr>
    </w:tbl>
    <w:p>
      <w:pPr>
        <w:spacing w:line="360" w:lineRule="auto"/>
        <w:rPr>
          <w:rFonts w:ascii="宋体" w:hAnsi="宋体" w:cs="宋体"/>
          <w:color w:val="auto"/>
          <w:sz w:val="24"/>
          <w:highlight w:val="none"/>
        </w:rPr>
      </w:pPr>
    </w:p>
    <w:p>
      <w:pPr>
        <w:widowControl/>
        <w:ind w:firstLine="720" w:firstLineChars="300"/>
        <w:jc w:val="left"/>
        <w:rPr>
          <w:rFonts w:ascii="宋体" w:hAnsi="宋体" w:cs="宋体"/>
          <w:bCs/>
          <w:color w:val="auto"/>
          <w:sz w:val="24"/>
          <w:highlight w:val="none"/>
        </w:rPr>
      </w:pPr>
    </w:p>
    <w:p>
      <w:pPr>
        <w:rPr>
          <w:rFonts w:ascii="宋体" w:hAnsi="宋体" w:cs="宋体"/>
          <w:snapToGrid w:val="0"/>
          <w:color w:val="auto"/>
          <w:kern w:val="0"/>
          <w:sz w:val="24"/>
          <w:highlight w:val="none"/>
        </w:rPr>
      </w:pPr>
    </w:p>
    <w:p>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24"/>
          <w:highlight w:val="none"/>
        </w:rPr>
        <w:br w:type="page"/>
      </w:r>
    </w:p>
    <w:p>
      <w:pPr>
        <w:snapToGrid w:val="0"/>
        <w:spacing w:line="360" w:lineRule="auto"/>
        <w:rPr>
          <w:rFonts w:hint="eastAsia" w:ascii="宋体" w:hAnsi="宋体" w:cs="宋体"/>
          <w:b/>
          <w:color w:val="auto"/>
          <w:sz w:val="24"/>
          <w:highlight w:val="none"/>
        </w:rPr>
      </w:pPr>
    </w:p>
    <w:p>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第四部分   评标办法</w:t>
      </w:r>
    </w:p>
    <w:p>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5247"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399"/>
        <w:gridCol w:w="727"/>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right"/>
        </w:trPr>
        <w:tc>
          <w:tcPr>
            <w:tcW w:w="468" w:type="pct"/>
            <w:vAlign w:val="center"/>
          </w:tcPr>
          <w:p>
            <w:pPr>
              <w:spacing w:line="360" w:lineRule="auto"/>
              <w:jc w:val="left"/>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3028" w:type="pct"/>
            <w:vAlign w:val="center"/>
          </w:tcPr>
          <w:p>
            <w:pPr>
              <w:spacing w:line="240" w:lineRule="auto"/>
              <w:jc w:val="center"/>
              <w:outlineLvl w:val="0"/>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评分标准</w:t>
            </w:r>
          </w:p>
        </w:tc>
        <w:tc>
          <w:tcPr>
            <w:tcW w:w="407" w:type="pct"/>
            <w:vAlign w:val="center"/>
          </w:tcPr>
          <w:p>
            <w:pPr>
              <w:spacing w:line="360" w:lineRule="auto"/>
              <w:jc w:val="center"/>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权重</w:t>
            </w:r>
          </w:p>
        </w:tc>
        <w:tc>
          <w:tcPr>
            <w:tcW w:w="1095" w:type="pct"/>
            <w:vAlign w:val="center"/>
          </w:tcPr>
          <w:p>
            <w:pPr>
              <w:spacing w:line="360" w:lineRule="auto"/>
              <w:jc w:val="center"/>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投标文件中评标标准相应的商务技术资料目录</w:t>
            </w:r>
            <w:r>
              <w:rPr>
                <w:rFonts w:hint="eastAsia" w:asciiTheme="minorEastAsia" w:hAnsiTheme="minorEastAsia" w:eastAsiaTheme="minorEastAsia" w:cstheme="minorEastAsia"/>
                <w:color w:val="auto"/>
                <w:sz w:val="24"/>
                <w:szCs w:val="24"/>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right"/>
        </w:trPr>
        <w:tc>
          <w:tcPr>
            <w:tcW w:w="468" w:type="pct"/>
            <w:vAlign w:val="center"/>
          </w:tcPr>
          <w:p>
            <w:pPr>
              <w:spacing w:line="360" w:lineRule="auto"/>
              <w:ind w:firstLine="360" w:firstLineChars="150"/>
              <w:jc w:val="left"/>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3028" w:type="pct"/>
            <w:vAlign w:val="center"/>
          </w:tcPr>
          <w:p>
            <w:pPr>
              <w:spacing w:line="360" w:lineRule="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主要产品（办公桌、办公椅、会议桌）的生产厂家具有有效期内的ISO9001质量管理体系认证证书，提供证书复印件，有得1分，没有不得分。</w:t>
            </w:r>
          </w:p>
        </w:tc>
        <w:tc>
          <w:tcPr>
            <w:tcW w:w="407" w:type="pct"/>
          </w:tcPr>
          <w:p>
            <w:pPr>
              <w:spacing w:line="360" w:lineRule="auto"/>
              <w:rPr>
                <w:rFonts w:hint="eastAsia" w:asciiTheme="minorEastAsia" w:hAnsiTheme="minorEastAsia" w:eastAsiaTheme="minorEastAsia" w:cstheme="minorEastAsia"/>
                <w:color w:val="auto"/>
                <w:sz w:val="24"/>
                <w:szCs w:val="24"/>
                <w:highlight w:val="none"/>
              </w:rPr>
            </w:pPr>
          </w:p>
          <w:p>
            <w:pPr>
              <w:spacing w:line="360" w:lineRule="auto"/>
              <w:ind w:firstLine="240" w:firstLineChars="10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095" w:type="pct"/>
            <w:vAlign w:val="center"/>
          </w:tcPr>
          <w:p>
            <w:pPr>
              <w:spacing w:line="360" w:lineRule="auto"/>
              <w:jc w:val="center"/>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（一）ISO9001质量管理体系认证证书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right"/>
        </w:trPr>
        <w:tc>
          <w:tcPr>
            <w:tcW w:w="468" w:type="pct"/>
            <w:vAlign w:val="center"/>
          </w:tcPr>
          <w:p>
            <w:pPr>
              <w:spacing w:line="360" w:lineRule="auto"/>
              <w:ind w:firstLine="360" w:firstLineChars="150"/>
              <w:jc w:val="left"/>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3028" w:type="pct"/>
            <w:vAlign w:val="center"/>
          </w:tcPr>
          <w:p>
            <w:pPr>
              <w:spacing w:line="360" w:lineRule="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主要产品（办公桌、办公椅、会议桌）的生产厂家具有有效期内的ISO14001环境管理体系认证证书，提供证书复印件，有得1分，没有不得分。</w:t>
            </w:r>
          </w:p>
        </w:tc>
        <w:tc>
          <w:tcPr>
            <w:tcW w:w="407" w:type="pct"/>
          </w:tcPr>
          <w:p>
            <w:pPr>
              <w:spacing w:line="360" w:lineRule="auto"/>
              <w:rPr>
                <w:rFonts w:hint="eastAsia" w:asciiTheme="minorEastAsia" w:hAnsiTheme="minorEastAsia" w:eastAsiaTheme="minorEastAsia" w:cstheme="minorEastAsia"/>
                <w:color w:val="auto"/>
                <w:sz w:val="24"/>
                <w:szCs w:val="24"/>
                <w:highlight w:val="none"/>
              </w:rPr>
            </w:pPr>
          </w:p>
          <w:p>
            <w:pPr>
              <w:spacing w:line="360" w:lineRule="auto"/>
              <w:ind w:firstLine="240" w:firstLineChars="10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095" w:type="pct"/>
          </w:tcPr>
          <w:p>
            <w:pPr>
              <w:spacing w:line="360" w:lineRule="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（二）ISO14001环境管理体系认证证书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right"/>
        </w:trPr>
        <w:tc>
          <w:tcPr>
            <w:tcW w:w="468" w:type="pct"/>
            <w:vAlign w:val="center"/>
          </w:tcPr>
          <w:p>
            <w:pPr>
              <w:spacing w:line="360" w:lineRule="auto"/>
              <w:ind w:firstLine="360" w:firstLineChars="150"/>
              <w:jc w:val="left"/>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3028" w:type="pct"/>
            <w:vAlign w:val="center"/>
          </w:tcPr>
          <w:p>
            <w:pPr>
              <w:spacing w:line="360" w:lineRule="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主要产品（办公桌、办公椅、会议桌）的生产厂家具有有效期内的ISO45001职业健康安全管理体系认证证书或(GB/T 28001职业健康安全管理体系认证证书)，提供证书复印件，有得1分，没有不得分。</w:t>
            </w:r>
          </w:p>
        </w:tc>
        <w:tc>
          <w:tcPr>
            <w:tcW w:w="407" w:type="pct"/>
          </w:tcPr>
          <w:p>
            <w:pPr>
              <w:spacing w:line="360" w:lineRule="auto"/>
              <w:rPr>
                <w:rFonts w:hint="eastAsia" w:asciiTheme="minorEastAsia" w:hAnsiTheme="minorEastAsia" w:eastAsiaTheme="minorEastAsia" w:cstheme="minorEastAsia"/>
                <w:color w:val="auto"/>
                <w:sz w:val="24"/>
                <w:szCs w:val="24"/>
                <w:highlight w:val="none"/>
              </w:rPr>
            </w:pPr>
          </w:p>
          <w:p>
            <w:pPr>
              <w:spacing w:line="360" w:lineRule="auto"/>
              <w:ind w:firstLine="240" w:firstLineChars="10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095" w:type="pct"/>
          </w:tcPr>
          <w:p>
            <w:pPr>
              <w:spacing w:line="360" w:lineRule="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（三）职业健康安全管理体系认证证书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right"/>
        </w:trPr>
        <w:tc>
          <w:tcPr>
            <w:tcW w:w="468" w:type="pct"/>
            <w:vAlign w:val="center"/>
          </w:tcPr>
          <w:p>
            <w:pPr>
              <w:spacing w:line="360" w:lineRule="auto"/>
              <w:ind w:firstLine="360" w:firstLineChars="150"/>
              <w:jc w:val="left"/>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3028" w:type="pct"/>
            <w:vAlign w:val="center"/>
          </w:tcPr>
          <w:p>
            <w:pPr>
              <w:spacing w:line="360" w:lineRule="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主要产品</w:t>
            </w:r>
            <w:r>
              <w:rPr>
                <w:rFonts w:hint="eastAsia" w:asciiTheme="minorEastAsia" w:hAnsiTheme="minorEastAsia" w:eastAsiaTheme="minorEastAsia" w:cstheme="minorEastAsia"/>
                <w:color w:val="auto"/>
                <w:kern w:val="0"/>
                <w:sz w:val="24"/>
                <w:szCs w:val="24"/>
                <w:highlight w:val="none"/>
                <w:lang w:val="en-US" w:eastAsia="zh-CN" w:bidi="ar"/>
              </w:rPr>
              <w:t>或其同品类</w:t>
            </w:r>
            <w:r>
              <w:rPr>
                <w:rFonts w:hint="eastAsia" w:asciiTheme="minorEastAsia" w:hAnsiTheme="minorEastAsia" w:eastAsiaTheme="minorEastAsia" w:cstheme="minorEastAsia"/>
                <w:color w:val="auto"/>
                <w:kern w:val="0"/>
                <w:sz w:val="24"/>
                <w:szCs w:val="24"/>
                <w:highlight w:val="none"/>
                <w:lang w:bidi="ar"/>
              </w:rPr>
              <w:t>（办公桌、办公椅、会议桌）及其生产厂家具有有效期内的CQC中国环保产品认证证书，提供证书复印件，有得1分，没有不得分。</w:t>
            </w:r>
          </w:p>
        </w:tc>
        <w:tc>
          <w:tcPr>
            <w:tcW w:w="407" w:type="pct"/>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095" w:type="pct"/>
          </w:tcPr>
          <w:p>
            <w:pPr>
              <w:spacing w:line="360" w:lineRule="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（四）CQC中国环保产品认证证书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right"/>
        </w:trPr>
        <w:tc>
          <w:tcPr>
            <w:tcW w:w="468" w:type="pct"/>
            <w:vAlign w:val="center"/>
          </w:tcPr>
          <w:p>
            <w:pPr>
              <w:spacing w:line="360" w:lineRule="auto"/>
              <w:ind w:firstLine="360" w:firstLineChars="150"/>
              <w:jc w:val="left"/>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3028" w:type="pct"/>
            <w:vAlign w:val="center"/>
          </w:tcPr>
          <w:p>
            <w:pPr>
              <w:spacing w:line="360" w:lineRule="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主要产品</w:t>
            </w:r>
            <w:r>
              <w:rPr>
                <w:rFonts w:hint="eastAsia" w:asciiTheme="minorEastAsia" w:hAnsiTheme="minorEastAsia" w:eastAsiaTheme="minorEastAsia" w:cstheme="minorEastAsia"/>
                <w:color w:val="auto"/>
                <w:kern w:val="0"/>
                <w:sz w:val="24"/>
                <w:szCs w:val="24"/>
                <w:highlight w:val="none"/>
                <w:lang w:val="en-US" w:eastAsia="zh-CN" w:bidi="ar"/>
              </w:rPr>
              <w:t>或其同品类</w:t>
            </w:r>
            <w:r>
              <w:rPr>
                <w:rFonts w:hint="eastAsia" w:asciiTheme="minorEastAsia" w:hAnsiTheme="minorEastAsia" w:eastAsiaTheme="minorEastAsia" w:cstheme="minorEastAsia"/>
                <w:color w:val="auto"/>
                <w:kern w:val="0"/>
                <w:sz w:val="24"/>
                <w:szCs w:val="24"/>
                <w:highlight w:val="none"/>
                <w:lang w:bidi="ar"/>
              </w:rPr>
              <w:t>（办公桌、办公椅、会议桌）及生产厂家具有有效期内的CEC家具产品环保卫士认证证书，提供证书复印件，有得1分，没有不得分。</w:t>
            </w:r>
          </w:p>
        </w:tc>
        <w:tc>
          <w:tcPr>
            <w:tcW w:w="407" w:type="pct"/>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095" w:type="pct"/>
          </w:tcPr>
          <w:p>
            <w:pPr>
              <w:spacing w:line="360" w:lineRule="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（五）CEC家具产品环保卫士认证证书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right"/>
        </w:trPr>
        <w:tc>
          <w:tcPr>
            <w:tcW w:w="468" w:type="pct"/>
            <w:vAlign w:val="center"/>
          </w:tcPr>
          <w:p>
            <w:pPr>
              <w:spacing w:line="360" w:lineRule="auto"/>
              <w:ind w:firstLine="360" w:firstLineChars="150"/>
              <w:jc w:val="left"/>
              <w:outlineLvl w:val="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3028" w:type="pct"/>
            <w:vAlign w:val="center"/>
          </w:tcPr>
          <w:p>
            <w:pPr>
              <w:spacing w:line="360" w:lineRule="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环境标志产品评审。投标产品</w:t>
            </w:r>
            <w:r>
              <w:rPr>
                <w:rFonts w:hint="eastAsia" w:asciiTheme="minorEastAsia" w:hAnsiTheme="minorEastAsia" w:eastAsiaTheme="minorEastAsia" w:cstheme="minorEastAsia"/>
                <w:color w:val="auto"/>
                <w:kern w:val="0"/>
                <w:sz w:val="24"/>
                <w:szCs w:val="24"/>
                <w:highlight w:val="none"/>
                <w:lang w:val="en-US" w:eastAsia="zh-CN" w:bidi="ar"/>
              </w:rPr>
              <w:t>或其同品类</w:t>
            </w:r>
            <w:r>
              <w:rPr>
                <w:rFonts w:hint="eastAsia" w:asciiTheme="minorEastAsia" w:hAnsiTheme="minorEastAsia" w:eastAsiaTheme="minorEastAsia" w:cstheme="minorEastAsia"/>
                <w:color w:val="auto"/>
                <w:kern w:val="0"/>
                <w:sz w:val="24"/>
                <w:szCs w:val="24"/>
                <w:highlight w:val="none"/>
                <w:lang w:bidi="ar"/>
              </w:rPr>
              <w:t>列入财政部、生态环境部等部门发布的“环境标志产品品目清单”，且获得指定认证机构出具的环境标志产品认证证书的，每项产品得0.5分，最高得2分。供应商须提供国家确定的认证机构出具的、处于有效期之内的环境标志产品认证证书复印件，否则不得分。</w:t>
            </w:r>
          </w:p>
        </w:tc>
        <w:tc>
          <w:tcPr>
            <w:tcW w:w="407" w:type="pct"/>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095" w:type="pct"/>
          </w:tcPr>
          <w:p>
            <w:pPr>
              <w:spacing w:line="360" w:lineRule="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（七）环境标志产品认证证书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right"/>
        </w:trPr>
        <w:tc>
          <w:tcPr>
            <w:tcW w:w="468" w:type="pct"/>
            <w:vAlign w:val="center"/>
          </w:tcPr>
          <w:p>
            <w:pPr>
              <w:spacing w:line="360" w:lineRule="auto"/>
              <w:ind w:firstLine="360" w:firstLineChars="150"/>
              <w:jc w:val="left"/>
              <w:outlineLvl w:val="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3028" w:type="pct"/>
            <w:vAlign w:val="center"/>
          </w:tcPr>
          <w:p>
            <w:pPr>
              <w:spacing w:line="360" w:lineRule="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供应商投标截止时间前三年（以合同签订时间为准）的同类案例，每个案例需提供合同、发票和验收报告复印件，每个案例得0.5分，最高得3分（同类案例是指与采购标的同品类的产品案例）。</w:t>
            </w:r>
          </w:p>
        </w:tc>
        <w:tc>
          <w:tcPr>
            <w:tcW w:w="407" w:type="pct"/>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095" w:type="pct"/>
          </w:tcPr>
          <w:p>
            <w:pPr>
              <w:spacing w:line="360" w:lineRule="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（八）</w:t>
            </w:r>
            <w:r>
              <w:rPr>
                <w:rFonts w:hint="eastAsia" w:asciiTheme="minorEastAsia" w:hAnsiTheme="minorEastAsia" w:eastAsiaTheme="minorEastAsia" w:cstheme="minorEastAsia"/>
                <w:color w:val="auto"/>
                <w:sz w:val="24"/>
                <w:szCs w:val="24"/>
                <w:highlight w:val="none"/>
              </w:rPr>
              <w:t>同类业绩案例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right"/>
        </w:trPr>
        <w:tc>
          <w:tcPr>
            <w:tcW w:w="468" w:type="pct"/>
            <w:vAlign w:val="center"/>
          </w:tcPr>
          <w:p>
            <w:pPr>
              <w:spacing w:line="360" w:lineRule="auto"/>
              <w:ind w:firstLine="360" w:firstLineChars="150"/>
              <w:jc w:val="left"/>
              <w:outlineLvl w:val="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8</w:t>
            </w:r>
          </w:p>
        </w:tc>
        <w:tc>
          <w:tcPr>
            <w:tcW w:w="3028" w:type="pct"/>
            <w:vAlign w:val="center"/>
          </w:tcPr>
          <w:p>
            <w:pPr>
              <w:widowControl/>
              <w:spacing w:line="360" w:lineRule="auto"/>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提供一年内（</w:t>
            </w:r>
            <w:r>
              <w:rPr>
                <w:rFonts w:hint="eastAsia" w:asciiTheme="minorEastAsia" w:hAnsiTheme="minorEastAsia" w:eastAsiaTheme="minorEastAsia" w:cstheme="minorEastAsia"/>
                <w:color w:val="auto"/>
                <w:sz w:val="24"/>
                <w:szCs w:val="24"/>
                <w:highlight w:val="none"/>
                <w:lang w:val="en-US" w:eastAsia="zh-CN"/>
              </w:rPr>
              <w:t>投标截止时间前一年内</w:t>
            </w:r>
            <w:r>
              <w:rPr>
                <w:rFonts w:hint="eastAsia" w:asciiTheme="minorEastAsia" w:hAnsiTheme="minorEastAsia" w:eastAsiaTheme="minorEastAsia" w:cstheme="minorEastAsia"/>
                <w:color w:val="auto"/>
                <w:sz w:val="24"/>
                <w:szCs w:val="24"/>
                <w:highlight w:val="none"/>
              </w:rPr>
              <w:t>）的通过国家计量认证（CMA资质）的第三方检测机构出具的以下成品抽样检测报告（注：投标文件中提供扫描件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不提供不得分。）</w:t>
            </w:r>
          </w:p>
          <w:p>
            <w:pPr>
              <w:widowControl/>
              <w:numPr>
                <w:ilvl w:val="0"/>
                <w:numId w:val="5"/>
              </w:numPr>
              <w:spacing w:line="360" w:lineRule="auto"/>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办公桌同时依据GB/T3324-2017、GB/T35607-2017、GB18584-2001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GB18580-2017、 GB/T34722-2017、GB 8624-2012、HJ2547-2016、QB/T4371-2012标准</w:t>
            </w:r>
            <w:r>
              <w:rPr>
                <w:rFonts w:hint="eastAsia" w:asciiTheme="minorEastAsia" w:hAnsiTheme="minorEastAsia" w:eastAsiaTheme="minorEastAsia" w:cstheme="minorEastAsia"/>
                <w:bCs/>
                <w:color w:val="auto"/>
                <w:sz w:val="24"/>
                <w:szCs w:val="24"/>
                <w:highlight w:val="none"/>
              </w:rPr>
              <w:t>的抽样检测报告(其中：外观要求、覆面理化性能、产品力学性能、安全性能、使用性能、有害物质限量、涂层可迁移元素、耐霉性能、24h抗菌率等指标均符合</w:t>
            </w:r>
            <w:r>
              <w:rPr>
                <w:rFonts w:hint="eastAsia" w:asciiTheme="minorEastAsia" w:hAnsiTheme="minorEastAsia" w:eastAsiaTheme="minorEastAsia" w:cstheme="minorEastAsia"/>
                <w:color w:val="auto"/>
                <w:sz w:val="24"/>
                <w:szCs w:val="24"/>
                <w:highlight w:val="none"/>
              </w:rPr>
              <w:t>标准</w:t>
            </w:r>
            <w:r>
              <w:rPr>
                <w:rFonts w:hint="eastAsia" w:asciiTheme="minorEastAsia" w:hAnsiTheme="minorEastAsia" w:eastAsiaTheme="minorEastAsia" w:cstheme="minorEastAsia"/>
                <w:bCs/>
                <w:color w:val="auto"/>
                <w:sz w:val="24"/>
                <w:szCs w:val="24"/>
                <w:highlight w:val="none"/>
              </w:rPr>
              <w:t>，甲醛释放量≤0.012mg/m³、燃烧</w:t>
            </w:r>
            <w:r>
              <w:rPr>
                <w:rFonts w:hint="eastAsia" w:asciiTheme="minorEastAsia" w:hAnsiTheme="minorEastAsia" w:eastAsiaTheme="minorEastAsia" w:cstheme="minorEastAsia"/>
                <w:color w:val="auto"/>
                <w:sz w:val="24"/>
                <w:szCs w:val="24"/>
                <w:highlight w:val="none"/>
              </w:rPr>
              <w:t>性能等级达到B1级）的得1分，没有或未达到不得分；</w:t>
            </w:r>
          </w:p>
          <w:p>
            <w:pPr>
              <w:widowControl/>
              <w:numPr>
                <w:ilvl w:val="0"/>
                <w:numId w:val="5"/>
              </w:numPr>
              <w:spacing w:line="360" w:lineRule="auto"/>
              <w:ind w:left="0" w:leftChars="0" w:firstLine="0" w:firstLineChars="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会议桌同时依据GB/T3324-2017、GB/T35607-2017、GB18584-2001，GB18580-2017、 GB/T34722-2017、,GB 8624-2012、；HJ2547-2016、QB/T4371-2012标准</w:t>
            </w:r>
            <w:r>
              <w:rPr>
                <w:rFonts w:hint="eastAsia" w:asciiTheme="minorEastAsia" w:hAnsiTheme="minorEastAsia" w:eastAsiaTheme="minorEastAsia" w:cstheme="minorEastAsia"/>
                <w:bCs/>
                <w:color w:val="auto"/>
                <w:sz w:val="24"/>
                <w:szCs w:val="24"/>
                <w:highlight w:val="none"/>
              </w:rPr>
              <w:t>的抽样检测报告(其中：外观要求、覆面材料理化性能、产品力学性能、安全性能、使用性能、有害物质限量、涂层可迁移元素、耐霉性能、24h抗菌率指标均符合</w:t>
            </w:r>
            <w:r>
              <w:rPr>
                <w:rFonts w:hint="eastAsia" w:asciiTheme="minorEastAsia" w:hAnsiTheme="minorEastAsia" w:eastAsiaTheme="minorEastAsia" w:cstheme="minorEastAsia"/>
                <w:color w:val="auto"/>
                <w:sz w:val="24"/>
                <w:szCs w:val="24"/>
                <w:highlight w:val="none"/>
              </w:rPr>
              <w:t>标准</w:t>
            </w:r>
            <w:r>
              <w:rPr>
                <w:rFonts w:hint="eastAsia" w:asciiTheme="minorEastAsia" w:hAnsiTheme="minorEastAsia" w:eastAsiaTheme="minorEastAsia" w:cstheme="minorEastAsia"/>
                <w:bCs/>
                <w:color w:val="auto"/>
                <w:sz w:val="24"/>
                <w:szCs w:val="24"/>
                <w:highlight w:val="none"/>
              </w:rPr>
              <w:t>，甲醛释放量≤0.012mg/m³、燃烧</w:t>
            </w:r>
            <w:r>
              <w:rPr>
                <w:rFonts w:hint="eastAsia" w:asciiTheme="minorEastAsia" w:hAnsiTheme="minorEastAsia" w:eastAsiaTheme="minorEastAsia" w:cstheme="minorEastAsia"/>
                <w:color w:val="auto"/>
                <w:sz w:val="24"/>
                <w:szCs w:val="24"/>
                <w:highlight w:val="none"/>
              </w:rPr>
              <w:t>性能等级达到B1级）的得1分，没有或未达到不得分；</w:t>
            </w:r>
          </w:p>
          <w:p>
            <w:pPr>
              <w:widowControl/>
              <w:numPr>
                <w:ilvl w:val="0"/>
                <w:numId w:val="5"/>
              </w:numPr>
              <w:spacing w:line="360" w:lineRule="auto"/>
              <w:ind w:left="0" w:leftChars="0" w:firstLine="0" w:firstLineChars="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档案柜同时依据GB/T 3325-2017、GB/T35607-2017、HJ2547-2016、QB/T4371-2012、 GB/T1741-2020、GB 8624-2012标准</w:t>
            </w:r>
            <w:r>
              <w:rPr>
                <w:rFonts w:hint="eastAsia" w:asciiTheme="minorEastAsia" w:hAnsiTheme="minorEastAsia" w:eastAsiaTheme="minorEastAsia" w:cstheme="minorEastAsia"/>
                <w:bCs/>
                <w:color w:val="auto"/>
                <w:sz w:val="24"/>
                <w:szCs w:val="24"/>
                <w:highlight w:val="none"/>
              </w:rPr>
              <w:t>的抽样检测报告（其中外观要求、有害物质限量、涂层可迁移元素、耐霉性能、24h抗菌率、</w:t>
            </w:r>
            <w:r>
              <w:rPr>
                <w:rFonts w:hint="eastAsia" w:asciiTheme="minorEastAsia" w:hAnsiTheme="minorEastAsia" w:eastAsiaTheme="minorEastAsia" w:cstheme="minorEastAsia"/>
                <w:color w:val="auto"/>
                <w:sz w:val="24"/>
                <w:szCs w:val="24"/>
                <w:highlight w:val="none"/>
              </w:rPr>
              <w:t>燃烧性能等级</w:t>
            </w:r>
            <w:r>
              <w:rPr>
                <w:rFonts w:hint="eastAsia" w:asciiTheme="minorEastAsia" w:hAnsiTheme="minorEastAsia" w:eastAsiaTheme="minorEastAsia" w:cstheme="minorEastAsia"/>
                <w:bCs/>
                <w:color w:val="auto"/>
                <w:sz w:val="24"/>
                <w:szCs w:val="24"/>
                <w:highlight w:val="none"/>
              </w:rPr>
              <w:t>等指标均符合</w:t>
            </w:r>
            <w:r>
              <w:rPr>
                <w:rFonts w:hint="eastAsia" w:asciiTheme="minorEastAsia" w:hAnsiTheme="minorEastAsia" w:eastAsiaTheme="minorEastAsia" w:cstheme="minorEastAsia"/>
                <w:color w:val="auto"/>
                <w:sz w:val="24"/>
                <w:szCs w:val="24"/>
                <w:highlight w:val="none"/>
              </w:rPr>
              <w:t>标准</w:t>
            </w:r>
            <w:r>
              <w:rPr>
                <w:rFonts w:hint="eastAsia" w:asciiTheme="minorEastAsia" w:hAnsiTheme="minorEastAsia" w:eastAsiaTheme="minorEastAsia" w:cstheme="minorEastAsia"/>
                <w:bCs/>
                <w:color w:val="auto"/>
                <w:sz w:val="24"/>
                <w:szCs w:val="24"/>
                <w:highlight w:val="none"/>
              </w:rPr>
              <w:t>，有害物质限量甲醛≤0.012mg/m³）</w:t>
            </w:r>
            <w:r>
              <w:rPr>
                <w:rFonts w:hint="eastAsia" w:asciiTheme="minorEastAsia" w:hAnsiTheme="minorEastAsia" w:eastAsiaTheme="minorEastAsia" w:cstheme="minorEastAsia"/>
                <w:color w:val="auto"/>
                <w:sz w:val="24"/>
                <w:szCs w:val="24"/>
                <w:highlight w:val="none"/>
              </w:rPr>
              <w:t>的得1分，没有或未达到不得分；</w:t>
            </w:r>
          </w:p>
          <w:p>
            <w:pPr>
              <w:widowControl/>
              <w:numPr>
                <w:ilvl w:val="0"/>
                <w:numId w:val="5"/>
              </w:numPr>
              <w:spacing w:line="360" w:lineRule="auto"/>
              <w:ind w:left="0" w:leftChars="0" w:firstLine="0" w:firstLineChars="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办公椅同时依据QB/T2280-2016、GB/T 3325-2017、GB/T35607-2017、HJ2547-2016、 GB 8624-2012标准</w:t>
            </w:r>
            <w:r>
              <w:rPr>
                <w:rFonts w:hint="eastAsia" w:asciiTheme="minorEastAsia" w:hAnsiTheme="minorEastAsia" w:eastAsiaTheme="minorEastAsia" w:cstheme="minorEastAsia"/>
                <w:bCs/>
                <w:color w:val="auto"/>
                <w:sz w:val="24"/>
                <w:szCs w:val="24"/>
                <w:highlight w:val="none"/>
              </w:rPr>
              <w:t>的抽样检测报告(其中外观要求、力学性能、燃烧性能等级均符合</w:t>
            </w:r>
            <w:r>
              <w:rPr>
                <w:rFonts w:hint="eastAsia" w:asciiTheme="minorEastAsia" w:hAnsiTheme="minorEastAsia" w:eastAsiaTheme="minorEastAsia" w:cstheme="minorEastAsia"/>
                <w:color w:val="auto"/>
                <w:sz w:val="24"/>
                <w:szCs w:val="24"/>
                <w:highlight w:val="none"/>
              </w:rPr>
              <w:t>标准</w:t>
            </w:r>
            <w:r>
              <w:rPr>
                <w:rFonts w:hint="eastAsia" w:asciiTheme="minorEastAsia" w:hAnsiTheme="minorEastAsia" w:eastAsiaTheme="minorEastAsia" w:cstheme="minorEastAsia"/>
                <w:bCs/>
                <w:color w:val="auto"/>
                <w:sz w:val="24"/>
                <w:szCs w:val="24"/>
                <w:highlight w:val="none"/>
              </w:rPr>
              <w:t>，甲醛释放量≤</w:t>
            </w:r>
            <w:r>
              <w:rPr>
                <w:rFonts w:hint="eastAsia" w:asciiTheme="minorEastAsia" w:hAnsiTheme="minorEastAsia" w:eastAsiaTheme="minorEastAsia" w:cstheme="minorEastAsia"/>
                <w:color w:val="auto"/>
                <w:sz w:val="24"/>
                <w:szCs w:val="24"/>
                <w:highlight w:val="none"/>
              </w:rPr>
              <w:t>0.120mg/m²·h</w:t>
            </w:r>
            <w:r>
              <w:rPr>
                <w:rFonts w:hint="eastAsia" w:asciiTheme="minorEastAsia" w:hAnsiTheme="minorEastAsia" w:eastAsiaTheme="minorEastAsia" w:cstheme="minorEastAsia"/>
                <w:bCs/>
                <w:color w:val="auto"/>
                <w:sz w:val="24"/>
                <w:szCs w:val="24"/>
                <w:highlight w:val="none"/>
              </w:rPr>
              <w:t>，TV0C未检出，海绵密度</w:t>
            </w:r>
            <w:r>
              <w:rPr>
                <w:rFonts w:hint="eastAsia" w:asciiTheme="minorEastAsia" w:hAnsiTheme="minorEastAsia" w:eastAsiaTheme="minorEastAsia" w:cstheme="minorEastAsia"/>
                <w:color w:val="auto"/>
                <w:sz w:val="24"/>
                <w:szCs w:val="24"/>
                <w:highlight w:val="none"/>
              </w:rPr>
              <w:t>≥50k</w:t>
            </w:r>
            <w:r>
              <w:rPr>
                <w:rFonts w:hint="eastAsia" w:asciiTheme="minorEastAsia" w:hAnsiTheme="minorEastAsia" w:eastAsiaTheme="minorEastAsia" w:cstheme="minorEastAsia"/>
                <w:bCs/>
                <w:color w:val="auto"/>
                <w:sz w:val="24"/>
                <w:szCs w:val="24"/>
                <w:highlight w:val="none"/>
              </w:rPr>
              <w:t>g/m³)</w:t>
            </w:r>
            <w:r>
              <w:rPr>
                <w:rFonts w:hint="eastAsia" w:asciiTheme="minorEastAsia" w:hAnsiTheme="minorEastAsia" w:eastAsiaTheme="minorEastAsia" w:cstheme="minorEastAsia"/>
                <w:color w:val="auto"/>
                <w:sz w:val="24"/>
                <w:szCs w:val="24"/>
                <w:highlight w:val="none"/>
              </w:rPr>
              <w:t>的得1分，没有或未达到不得分；</w:t>
            </w:r>
          </w:p>
          <w:p>
            <w:pPr>
              <w:widowControl/>
              <w:numPr>
                <w:ilvl w:val="0"/>
                <w:numId w:val="0"/>
              </w:numPr>
              <w:spacing w:line="360" w:lineRule="auto"/>
              <w:ind w:leftChars="0"/>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5、会议椅同时依据QB/T2280-2016、GB/T 3325-2017、GB/T35607-2017、HJ2547-2016、 GB 8624-2012标准</w:t>
            </w:r>
            <w:r>
              <w:rPr>
                <w:rFonts w:hint="eastAsia" w:asciiTheme="minorEastAsia" w:hAnsiTheme="minorEastAsia" w:eastAsiaTheme="minorEastAsia" w:cstheme="minorEastAsia"/>
                <w:bCs/>
                <w:color w:val="auto"/>
                <w:sz w:val="24"/>
                <w:szCs w:val="24"/>
                <w:highlight w:val="none"/>
              </w:rPr>
              <w:t>的抽样检测报告(其中外观要求、力学性能、燃烧性能等级均符合</w:t>
            </w:r>
            <w:r>
              <w:rPr>
                <w:rFonts w:hint="eastAsia" w:asciiTheme="minorEastAsia" w:hAnsiTheme="minorEastAsia" w:eastAsiaTheme="minorEastAsia" w:cstheme="minorEastAsia"/>
                <w:color w:val="auto"/>
                <w:sz w:val="24"/>
                <w:szCs w:val="24"/>
                <w:highlight w:val="none"/>
              </w:rPr>
              <w:t>标准</w:t>
            </w:r>
            <w:r>
              <w:rPr>
                <w:rFonts w:hint="eastAsia" w:asciiTheme="minorEastAsia" w:hAnsiTheme="minorEastAsia" w:eastAsiaTheme="minorEastAsia" w:cstheme="minorEastAsia"/>
                <w:bCs/>
                <w:color w:val="auto"/>
                <w:sz w:val="24"/>
                <w:szCs w:val="24"/>
                <w:highlight w:val="none"/>
              </w:rPr>
              <w:t>，甲醛释放量≤</w:t>
            </w:r>
            <w:r>
              <w:rPr>
                <w:rFonts w:hint="eastAsia" w:asciiTheme="minorEastAsia" w:hAnsiTheme="minorEastAsia" w:eastAsiaTheme="minorEastAsia" w:cstheme="minorEastAsia"/>
                <w:color w:val="auto"/>
                <w:sz w:val="24"/>
                <w:szCs w:val="24"/>
                <w:highlight w:val="none"/>
              </w:rPr>
              <w:t>0.120mg/m²·h</w:t>
            </w:r>
            <w:r>
              <w:rPr>
                <w:rFonts w:hint="eastAsia" w:asciiTheme="minorEastAsia" w:hAnsiTheme="minorEastAsia" w:eastAsiaTheme="minorEastAsia" w:cstheme="minorEastAsia"/>
                <w:bCs/>
                <w:color w:val="auto"/>
                <w:sz w:val="24"/>
                <w:szCs w:val="24"/>
                <w:highlight w:val="none"/>
              </w:rPr>
              <w:t>，TV0C未检出，海绵密度</w:t>
            </w:r>
            <w:r>
              <w:rPr>
                <w:rFonts w:hint="eastAsia" w:asciiTheme="minorEastAsia" w:hAnsiTheme="minorEastAsia" w:eastAsiaTheme="minorEastAsia" w:cstheme="minorEastAsia"/>
                <w:color w:val="auto"/>
                <w:sz w:val="24"/>
                <w:szCs w:val="24"/>
                <w:highlight w:val="none"/>
              </w:rPr>
              <w:t>≥50k</w:t>
            </w:r>
            <w:r>
              <w:rPr>
                <w:rFonts w:hint="eastAsia" w:asciiTheme="minorEastAsia" w:hAnsiTheme="minorEastAsia" w:eastAsiaTheme="minorEastAsia" w:cstheme="minorEastAsia"/>
                <w:bCs/>
                <w:color w:val="auto"/>
                <w:sz w:val="24"/>
                <w:szCs w:val="24"/>
                <w:highlight w:val="none"/>
              </w:rPr>
              <w:t>g/m³)</w:t>
            </w:r>
            <w:r>
              <w:rPr>
                <w:rFonts w:hint="eastAsia" w:asciiTheme="minorEastAsia" w:hAnsiTheme="minorEastAsia" w:eastAsiaTheme="minorEastAsia" w:cstheme="minorEastAsia"/>
                <w:color w:val="auto"/>
                <w:sz w:val="24"/>
                <w:szCs w:val="24"/>
                <w:highlight w:val="none"/>
              </w:rPr>
              <w:t>的得1分，没有或未达到不得分；</w:t>
            </w:r>
          </w:p>
          <w:p>
            <w:pPr>
              <w:spacing w:line="360" w:lineRule="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6、单人沙发同时依据QB/T1952.1-2012、GB/T35607-2017、HJ2547-2016、 GB 8624-2012、QB/T4371-2012标准</w:t>
            </w:r>
            <w:r>
              <w:rPr>
                <w:rFonts w:hint="eastAsia" w:asciiTheme="minorEastAsia" w:hAnsiTheme="minorEastAsia" w:eastAsiaTheme="minorEastAsia" w:cstheme="minorEastAsia"/>
                <w:bCs/>
                <w:color w:val="auto"/>
                <w:sz w:val="24"/>
                <w:szCs w:val="24"/>
                <w:highlight w:val="none"/>
              </w:rPr>
              <w:t>的抽样检测报告(其中外观要求、力学性能、耐霉性能均符合</w:t>
            </w:r>
            <w:r>
              <w:rPr>
                <w:rFonts w:hint="eastAsia" w:asciiTheme="minorEastAsia" w:hAnsiTheme="minorEastAsia" w:eastAsiaTheme="minorEastAsia" w:cstheme="minorEastAsia"/>
                <w:color w:val="auto"/>
                <w:sz w:val="24"/>
                <w:szCs w:val="24"/>
                <w:highlight w:val="none"/>
              </w:rPr>
              <w:t>标准</w:t>
            </w:r>
            <w:r>
              <w:rPr>
                <w:rFonts w:hint="eastAsia" w:asciiTheme="minorEastAsia" w:hAnsiTheme="minorEastAsia" w:eastAsiaTheme="minorEastAsia" w:cstheme="minorEastAsia"/>
                <w:bCs/>
                <w:color w:val="auto"/>
                <w:sz w:val="24"/>
                <w:szCs w:val="24"/>
                <w:highlight w:val="none"/>
              </w:rPr>
              <w:t>，燃烧</w:t>
            </w:r>
            <w:r>
              <w:rPr>
                <w:rFonts w:hint="eastAsia" w:asciiTheme="minorEastAsia" w:hAnsiTheme="minorEastAsia" w:eastAsiaTheme="minorEastAsia" w:cstheme="minorEastAsia"/>
                <w:color w:val="auto"/>
                <w:sz w:val="24"/>
                <w:szCs w:val="24"/>
                <w:highlight w:val="none"/>
              </w:rPr>
              <w:t>性能等级达到B1级</w:t>
            </w:r>
            <w:r>
              <w:rPr>
                <w:rFonts w:hint="eastAsia" w:asciiTheme="minorEastAsia" w:hAnsiTheme="minorEastAsia" w:eastAsiaTheme="minorEastAsia" w:cstheme="minorEastAsia"/>
                <w:bCs/>
                <w:color w:val="auto"/>
                <w:sz w:val="24"/>
                <w:szCs w:val="24"/>
                <w:highlight w:val="none"/>
              </w:rPr>
              <w:t>，甲醛释放量≤0.012mg/m³，海绵密度</w:t>
            </w:r>
            <w:r>
              <w:rPr>
                <w:rFonts w:hint="eastAsia" w:asciiTheme="minorEastAsia" w:hAnsiTheme="minorEastAsia" w:eastAsiaTheme="minorEastAsia" w:cstheme="minorEastAsia"/>
                <w:color w:val="auto"/>
                <w:sz w:val="24"/>
                <w:szCs w:val="24"/>
                <w:highlight w:val="none"/>
              </w:rPr>
              <w:t>≥50k</w:t>
            </w:r>
            <w:r>
              <w:rPr>
                <w:rFonts w:hint="eastAsia" w:asciiTheme="minorEastAsia" w:hAnsiTheme="minorEastAsia" w:eastAsiaTheme="minorEastAsia" w:cstheme="minorEastAsia"/>
                <w:bCs/>
                <w:color w:val="auto"/>
                <w:sz w:val="24"/>
                <w:szCs w:val="24"/>
                <w:highlight w:val="none"/>
              </w:rPr>
              <w:t>g/m³)</w:t>
            </w:r>
            <w:r>
              <w:rPr>
                <w:rFonts w:hint="eastAsia" w:asciiTheme="minorEastAsia" w:hAnsiTheme="minorEastAsia" w:eastAsiaTheme="minorEastAsia" w:cstheme="minorEastAsia"/>
                <w:color w:val="auto"/>
                <w:sz w:val="24"/>
                <w:szCs w:val="24"/>
                <w:highlight w:val="none"/>
              </w:rPr>
              <w:t>的得1分，没有或未达到不得分；</w:t>
            </w:r>
          </w:p>
        </w:tc>
        <w:tc>
          <w:tcPr>
            <w:tcW w:w="407" w:type="pct"/>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1095" w:type="pct"/>
          </w:tcPr>
          <w:p>
            <w:pPr>
              <w:spacing w:line="360" w:lineRule="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（九）同品类成品检测报告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right"/>
        </w:trPr>
        <w:tc>
          <w:tcPr>
            <w:tcW w:w="468" w:type="pct"/>
            <w:vAlign w:val="center"/>
          </w:tcPr>
          <w:p>
            <w:pPr>
              <w:spacing w:line="360" w:lineRule="auto"/>
              <w:ind w:firstLine="360" w:firstLineChars="150"/>
              <w:jc w:val="left"/>
              <w:outlineLvl w:val="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3028" w:type="pct"/>
            <w:vAlign w:val="center"/>
          </w:tcPr>
          <w:p>
            <w:pPr>
              <w:widowControl/>
              <w:spacing w:line="360" w:lineRule="auto"/>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提供一年内（</w:t>
            </w:r>
            <w:r>
              <w:rPr>
                <w:rFonts w:hint="eastAsia" w:asciiTheme="minorEastAsia" w:hAnsiTheme="minorEastAsia" w:eastAsiaTheme="minorEastAsia" w:cstheme="minorEastAsia"/>
                <w:color w:val="auto"/>
                <w:sz w:val="24"/>
                <w:szCs w:val="24"/>
                <w:highlight w:val="none"/>
                <w:lang w:val="en-US" w:eastAsia="zh-CN"/>
              </w:rPr>
              <w:t>投标截止时间前一年内</w:t>
            </w:r>
            <w:r>
              <w:rPr>
                <w:rFonts w:hint="eastAsia" w:asciiTheme="minorEastAsia" w:hAnsiTheme="minorEastAsia" w:eastAsiaTheme="minorEastAsia" w:cstheme="minorEastAsia"/>
                <w:color w:val="auto"/>
                <w:sz w:val="24"/>
                <w:szCs w:val="24"/>
                <w:highlight w:val="none"/>
              </w:rPr>
              <w:t>）的通过国家计量认证（CMA资质）的第三方检测机构出具的以下原材料抽样检测报告（注：投标文件中提供扫描件</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不提供不得分。）</w:t>
            </w:r>
          </w:p>
          <w:p>
            <w:pPr>
              <w:widowControl/>
              <w:spacing w:line="360" w:lineRule="auto"/>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1、胶合板同时依据GB/T39600-2021、GB/T17657-2013、GB/35607-2017标准</w:t>
            </w:r>
            <w:r>
              <w:rPr>
                <w:rFonts w:hint="eastAsia" w:asciiTheme="minorEastAsia" w:hAnsiTheme="minorEastAsia" w:eastAsiaTheme="minorEastAsia" w:cstheme="minorEastAsia"/>
                <w:bCs/>
                <w:color w:val="auto"/>
                <w:sz w:val="24"/>
                <w:szCs w:val="24"/>
                <w:highlight w:val="none"/>
              </w:rPr>
              <w:t>的抽样检测报告(其中板内密度偏差、耐磨、燃烧性能等级均符合</w:t>
            </w:r>
            <w:r>
              <w:rPr>
                <w:rFonts w:hint="eastAsia" w:asciiTheme="minorEastAsia" w:hAnsiTheme="minorEastAsia" w:eastAsiaTheme="minorEastAsia" w:cstheme="minorEastAsia"/>
                <w:color w:val="auto"/>
                <w:sz w:val="24"/>
                <w:szCs w:val="24"/>
                <w:highlight w:val="none"/>
              </w:rPr>
              <w:t>标准，甲醛释放量≤</w:t>
            </w:r>
            <w:r>
              <w:rPr>
                <w:rFonts w:hint="eastAsia" w:asciiTheme="minorEastAsia" w:hAnsiTheme="minorEastAsia" w:eastAsiaTheme="minorEastAsia" w:cstheme="minorEastAsia"/>
                <w:bCs/>
                <w:color w:val="auto"/>
                <w:sz w:val="24"/>
                <w:szCs w:val="24"/>
                <w:highlight w:val="none"/>
              </w:rPr>
              <w:t>0.05mg/m³）</w:t>
            </w:r>
            <w:r>
              <w:rPr>
                <w:rFonts w:hint="eastAsia" w:asciiTheme="minorEastAsia" w:hAnsiTheme="minorEastAsia" w:eastAsiaTheme="minorEastAsia" w:cstheme="minorEastAsia"/>
                <w:color w:val="auto"/>
                <w:sz w:val="24"/>
                <w:szCs w:val="24"/>
                <w:highlight w:val="none"/>
              </w:rPr>
              <w:t>的得1分，没有或未达到不得分；（不提供或提供不全不得分）</w:t>
            </w:r>
          </w:p>
          <w:p>
            <w:pPr>
              <w:widowControl/>
              <w:spacing w:line="360" w:lineRule="auto"/>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2、三节轨同时依据QB/T2454-2013、GB/T10125-2021，QB/T3826-1999,QB/T3832-1999、GB/T6461-2002标准的</w:t>
            </w:r>
            <w:r>
              <w:rPr>
                <w:rFonts w:hint="eastAsia" w:asciiTheme="minorEastAsia" w:hAnsiTheme="minorEastAsia" w:eastAsiaTheme="minorEastAsia" w:cstheme="minorEastAsia"/>
                <w:bCs/>
                <w:color w:val="auto"/>
                <w:sz w:val="24"/>
                <w:szCs w:val="24"/>
                <w:highlight w:val="none"/>
              </w:rPr>
              <w:t>抽样检测报告(</w:t>
            </w:r>
            <w:r>
              <w:rPr>
                <w:rFonts w:hint="eastAsia" w:asciiTheme="minorEastAsia" w:hAnsiTheme="minorEastAsia" w:eastAsiaTheme="minorEastAsia" w:cstheme="minorEastAsia"/>
                <w:color w:val="auto"/>
                <w:sz w:val="24"/>
                <w:szCs w:val="24"/>
                <w:highlight w:val="none"/>
              </w:rPr>
              <w:t>其中垂直向下静载荷、水平侧向静载荷、操作力、抽屉导轨组件底部变形、抽屉导轨组件结构强度均符合标准，金属电镀层乙酸盐雾200h≥10级要求，耐久性达到10万次合格）的得1分，没有或未达到不得分；（不提供或提供不全不得分）</w:t>
            </w:r>
          </w:p>
          <w:p>
            <w:pPr>
              <w:widowControl/>
              <w:spacing w:line="360" w:lineRule="auto"/>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3、扶手同时依据QB/T 2280-2016、GB/T35607-2017标准要求的检测报告（其中水平静载荷加载力667N持续15s,垂直向下静载荷加载力1125N持续15s,倾斜机构10±1°静载荷加载力400N次数60000次均符合标准）的得1分，没有或未达到不得分；（不提供或提供不全不得分）</w:t>
            </w:r>
          </w:p>
          <w:p>
            <w:pPr>
              <w:widowControl/>
              <w:spacing w:line="360" w:lineRule="auto"/>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4、布料同时依据GB 18401-2010、GB 8624-2012、GB/T21196.2-2007、GB 8624-2012标准</w:t>
            </w:r>
            <w:r>
              <w:rPr>
                <w:rFonts w:hint="eastAsia" w:asciiTheme="minorEastAsia" w:hAnsiTheme="minorEastAsia" w:eastAsiaTheme="minorEastAsia" w:cstheme="minorEastAsia"/>
                <w:bCs/>
                <w:color w:val="auto"/>
                <w:sz w:val="24"/>
                <w:szCs w:val="24"/>
                <w:highlight w:val="none"/>
              </w:rPr>
              <w:t>的抽样检测报告(其中</w:t>
            </w:r>
            <w:r>
              <w:rPr>
                <w:rFonts w:hint="eastAsia" w:asciiTheme="minorEastAsia" w:hAnsiTheme="minorEastAsia" w:eastAsiaTheme="minorEastAsia" w:cstheme="minorEastAsia"/>
                <w:bCs/>
                <w:color w:val="auto"/>
                <w:spacing w:val="-6"/>
                <w:sz w:val="24"/>
                <w:szCs w:val="24"/>
                <w:highlight w:val="none"/>
              </w:rPr>
              <w:t>耐水色牢度、耐干摩擦色牢度、</w:t>
            </w:r>
            <w:r>
              <w:rPr>
                <w:rFonts w:hint="eastAsia" w:asciiTheme="minorEastAsia" w:hAnsiTheme="minorEastAsia" w:eastAsiaTheme="minorEastAsia" w:cstheme="minorEastAsia"/>
                <w:color w:val="auto"/>
                <w:sz w:val="24"/>
                <w:szCs w:val="24"/>
                <w:highlight w:val="none"/>
              </w:rPr>
              <w:t>阻燃等级均符合标准，</w:t>
            </w:r>
            <w:r>
              <w:rPr>
                <w:rFonts w:hint="eastAsia" w:asciiTheme="minorEastAsia" w:hAnsiTheme="minorEastAsia" w:eastAsiaTheme="minorEastAsia" w:cstheme="minorEastAsia"/>
                <w:bCs/>
                <w:color w:val="auto"/>
                <w:spacing w:val="-6"/>
                <w:sz w:val="24"/>
                <w:szCs w:val="24"/>
                <w:highlight w:val="none"/>
              </w:rPr>
              <w:t>邻苯基苯酚、</w:t>
            </w:r>
            <w:r>
              <w:rPr>
                <w:rFonts w:hint="eastAsia" w:asciiTheme="minorEastAsia" w:hAnsiTheme="minorEastAsia" w:eastAsiaTheme="minorEastAsia" w:cstheme="minorEastAsia"/>
                <w:color w:val="auto"/>
                <w:sz w:val="24"/>
                <w:szCs w:val="24"/>
                <w:highlight w:val="none"/>
              </w:rPr>
              <w:t>有机锡化合物、氯化苯和氯化钾苯均未检出</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color w:val="auto"/>
                <w:sz w:val="24"/>
                <w:szCs w:val="24"/>
                <w:highlight w:val="none"/>
              </w:rPr>
              <w:t>的得1分，没有或未达到不得分；（不提供或提供不全不得分）</w:t>
            </w:r>
          </w:p>
          <w:p>
            <w:pPr>
              <w:widowControl/>
              <w:spacing w:line="360" w:lineRule="auto"/>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5、海绵同时依据GB/T10802-2006、QB/T1952.1-2012标准要求的检测报告（其中</w:t>
            </w:r>
            <w:r>
              <w:rPr>
                <w:rFonts w:hint="eastAsia" w:asciiTheme="minorEastAsia" w:hAnsiTheme="minorEastAsia" w:eastAsiaTheme="minorEastAsia" w:cstheme="minorEastAsia"/>
                <w:color w:val="auto"/>
                <w:kern w:val="0"/>
                <w:sz w:val="24"/>
                <w:szCs w:val="24"/>
                <w:highlight w:val="none"/>
                <w:lang w:bidi="ar"/>
              </w:rPr>
              <w:t>恒定负荷反复压陷疲劳性能(AP)、</w:t>
            </w:r>
            <w:r>
              <w:rPr>
                <w:rFonts w:hint="eastAsia" w:asciiTheme="minorEastAsia" w:hAnsiTheme="minorEastAsia" w:eastAsiaTheme="minorEastAsia" w:cstheme="minorEastAsia"/>
                <w:color w:val="auto"/>
                <w:sz w:val="24"/>
                <w:szCs w:val="24"/>
                <w:highlight w:val="none"/>
              </w:rPr>
              <w:t>燃烧性能、撕裂强度均符合标准，</w:t>
            </w:r>
            <w:r>
              <w:rPr>
                <w:rFonts w:hint="eastAsia" w:asciiTheme="minorEastAsia" w:hAnsiTheme="minorEastAsia" w:eastAsiaTheme="minorEastAsia" w:cstheme="minorEastAsia"/>
                <w:bCs/>
                <w:color w:val="auto"/>
                <w:sz w:val="24"/>
                <w:szCs w:val="24"/>
                <w:highlight w:val="none"/>
              </w:rPr>
              <w:t>甲醛释放量≤</w:t>
            </w:r>
            <w:r>
              <w:rPr>
                <w:rFonts w:hint="eastAsia" w:asciiTheme="minorEastAsia" w:hAnsiTheme="minorEastAsia" w:eastAsiaTheme="minorEastAsia" w:cstheme="minorEastAsia"/>
                <w:color w:val="auto"/>
                <w:sz w:val="24"/>
                <w:szCs w:val="24"/>
                <w:highlight w:val="none"/>
              </w:rPr>
              <w:t>0.120mg/m²·h</w:t>
            </w:r>
            <w:r>
              <w:rPr>
                <w:rFonts w:hint="eastAsia" w:asciiTheme="minorEastAsia" w:hAnsiTheme="minorEastAsia" w:eastAsiaTheme="minorEastAsia" w:cstheme="minorEastAsia"/>
                <w:bCs/>
                <w:color w:val="auto"/>
                <w:sz w:val="24"/>
                <w:szCs w:val="24"/>
                <w:highlight w:val="none"/>
              </w:rPr>
              <w:t>，TV0C未检出，海绵密度</w:t>
            </w:r>
            <w:r>
              <w:rPr>
                <w:rFonts w:hint="eastAsia" w:asciiTheme="minorEastAsia" w:hAnsiTheme="minorEastAsia" w:eastAsiaTheme="minorEastAsia" w:cstheme="minorEastAsia"/>
                <w:color w:val="auto"/>
                <w:sz w:val="24"/>
                <w:szCs w:val="24"/>
                <w:highlight w:val="none"/>
              </w:rPr>
              <w:t>≥50k</w:t>
            </w:r>
            <w:r>
              <w:rPr>
                <w:rFonts w:hint="eastAsia" w:asciiTheme="minorEastAsia" w:hAnsiTheme="minorEastAsia" w:eastAsiaTheme="minorEastAsia" w:cstheme="minorEastAsia"/>
                <w:bCs/>
                <w:color w:val="auto"/>
                <w:sz w:val="24"/>
                <w:szCs w:val="24"/>
                <w:highlight w:val="none"/>
              </w:rPr>
              <w:t>g/m³）</w:t>
            </w:r>
            <w:r>
              <w:rPr>
                <w:rFonts w:hint="eastAsia" w:asciiTheme="minorEastAsia" w:hAnsiTheme="minorEastAsia" w:eastAsiaTheme="minorEastAsia" w:cstheme="minorEastAsia"/>
                <w:color w:val="auto"/>
                <w:sz w:val="24"/>
                <w:szCs w:val="24"/>
                <w:highlight w:val="none"/>
              </w:rPr>
              <w:t>的得1分，没有或未达到不得分；（不提供或提供不全不得分）</w:t>
            </w:r>
          </w:p>
          <w:p>
            <w:pPr>
              <w:widowControl/>
              <w:spacing w:line="360" w:lineRule="auto"/>
              <w:jc w:val="left"/>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环保水性油漆同时依据GB/T18581-2020、GB/T23999-2009、GB/T23986-2009、HJ2537-2014标准要求的检测报告（其中耐冲击性、耐水性均符合标准，甲醛含量≤30mg/kg，苯系物综合含量未检出，挥发性有机物含量（VOC）≤50g/L）的得1分，没有或未达到不得分；（不提供或提供不全不得分）</w:t>
            </w:r>
          </w:p>
          <w:p>
            <w:pPr>
              <w:spacing w:line="360" w:lineRule="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7、阻尼铰链同时依据QB/T2189-2013、GB/T10125-2012、GB/T6461-2002、GB/T35601-2017、QB/T3832-1999标准要求的检测报告（其中垂直静载荷、水平静载荷、操作力、下沉量均符合标准， 乙酸盐雾200h≥10级要求要求，耐久性达到100000次合格）的得1分，没有或未达到不得分；（不提供或提供不全不得分）</w:t>
            </w:r>
          </w:p>
        </w:tc>
        <w:tc>
          <w:tcPr>
            <w:tcW w:w="407" w:type="pct"/>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1095" w:type="pct"/>
          </w:tcPr>
          <w:p>
            <w:pPr>
              <w:spacing w:line="360" w:lineRule="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（十）主要原材料检测报告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right"/>
        </w:trPr>
        <w:tc>
          <w:tcPr>
            <w:tcW w:w="468" w:type="pct"/>
            <w:vAlign w:val="center"/>
          </w:tcPr>
          <w:p>
            <w:pPr>
              <w:spacing w:line="360" w:lineRule="auto"/>
              <w:ind w:firstLine="360" w:firstLineChars="150"/>
              <w:jc w:val="left"/>
              <w:outlineLvl w:val="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0</w:t>
            </w:r>
          </w:p>
        </w:tc>
        <w:tc>
          <w:tcPr>
            <w:tcW w:w="3028" w:type="pct"/>
            <w:vAlign w:val="center"/>
          </w:tcPr>
          <w:p>
            <w:pPr>
              <w:spacing w:line="360" w:lineRule="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技术规格响应情况。</w:t>
            </w:r>
            <w:r>
              <w:rPr>
                <w:rFonts w:hint="eastAsia" w:asciiTheme="minorEastAsia" w:hAnsiTheme="minorEastAsia" w:eastAsiaTheme="minorEastAsia" w:cstheme="minorEastAsia"/>
                <w:color w:val="auto"/>
                <w:kern w:val="0"/>
                <w:sz w:val="24"/>
                <w:szCs w:val="24"/>
                <w:highlight w:val="none"/>
                <w:lang w:val="en-US" w:eastAsia="zh-CN" w:bidi="ar"/>
              </w:rPr>
              <w:t>标</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的</w:t>
            </w:r>
            <w:r>
              <w:rPr>
                <w:rFonts w:hint="eastAsia" w:asciiTheme="minorEastAsia" w:hAnsiTheme="minorEastAsia" w:eastAsiaTheme="minorEastAsia" w:cstheme="minorEastAsia"/>
                <w:bCs/>
                <w:color w:val="auto"/>
                <w:sz w:val="24"/>
                <w:szCs w:val="24"/>
                <w:highlight w:val="none"/>
              </w:rPr>
              <w:t>产品重要技术指标</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bidi="ar"/>
              </w:rPr>
              <w:t>每一项负偏离扣</w:t>
            </w:r>
            <w:r>
              <w:rPr>
                <w:rFonts w:hint="eastAsia" w:asciiTheme="minorEastAsia" w:hAnsiTheme="minorEastAsia" w:eastAsiaTheme="minorEastAsia" w:cstheme="minorEastAsia"/>
                <w:color w:val="auto"/>
                <w:kern w:val="0"/>
                <w:sz w:val="24"/>
                <w:szCs w:val="24"/>
                <w:highlight w:val="none"/>
                <w:lang w:val="en-US" w:eastAsia="zh-CN" w:bidi="ar"/>
              </w:rPr>
              <w:t>1</w:t>
            </w:r>
            <w:r>
              <w:rPr>
                <w:rFonts w:hint="eastAsia" w:asciiTheme="minorEastAsia" w:hAnsiTheme="minorEastAsia" w:eastAsiaTheme="minorEastAsia" w:cstheme="minorEastAsia"/>
                <w:color w:val="auto"/>
                <w:kern w:val="0"/>
                <w:sz w:val="24"/>
                <w:szCs w:val="24"/>
                <w:highlight w:val="none"/>
                <w:lang w:bidi="ar"/>
              </w:rPr>
              <w:t>分</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bidi="ar"/>
              </w:rPr>
              <w:t>其余技术规格，每一项负偏离扣0.5分，扣完为止。</w:t>
            </w:r>
          </w:p>
        </w:tc>
        <w:tc>
          <w:tcPr>
            <w:tcW w:w="407" w:type="pct"/>
            <w:vAlign w:val="center"/>
          </w:tcPr>
          <w:p>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w:t>
            </w:r>
          </w:p>
        </w:tc>
        <w:tc>
          <w:tcPr>
            <w:tcW w:w="1095" w:type="pct"/>
          </w:tcPr>
          <w:p>
            <w:pPr>
              <w:spacing w:line="360" w:lineRule="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（十一）商务技术偏离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right"/>
        </w:trPr>
        <w:tc>
          <w:tcPr>
            <w:tcW w:w="468" w:type="pct"/>
            <w:vAlign w:val="center"/>
          </w:tcPr>
          <w:p>
            <w:pPr>
              <w:spacing w:line="360" w:lineRule="auto"/>
              <w:ind w:firstLine="360" w:firstLineChars="150"/>
              <w:jc w:val="left"/>
              <w:outlineLvl w:val="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1</w:t>
            </w:r>
          </w:p>
        </w:tc>
        <w:tc>
          <w:tcPr>
            <w:tcW w:w="3028" w:type="pct"/>
            <w:vAlign w:val="center"/>
          </w:tcPr>
          <w:p>
            <w:pPr>
              <w:widowControl/>
              <w:spacing w:line="360" w:lineRule="auto"/>
              <w:ind w:firstLine="240" w:firstLineChars="100"/>
              <w:jc w:val="left"/>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制造商产品生产过程中设备标准化及生产能力情况，提供投标人关于此项目的核心专业生产相关设备</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val="en-US" w:eastAsia="zh-CN" w:bidi="ar"/>
              </w:rPr>
              <w:t>设备名称不一致，但功能相近的，可视为满足。提供设备照片和书面说明和购置或者租赁发票复印件</w:t>
            </w:r>
            <w:r>
              <w:rPr>
                <w:rFonts w:hint="eastAsia" w:asciiTheme="minorEastAsia" w:hAnsiTheme="minorEastAsia" w:eastAsiaTheme="minorEastAsia" w:cstheme="minorEastAsia"/>
                <w:color w:val="auto"/>
                <w:kern w:val="0"/>
                <w:sz w:val="24"/>
                <w:szCs w:val="24"/>
                <w:highlight w:val="none"/>
                <w:lang w:bidi="ar"/>
              </w:rPr>
              <w:t>，每项设备得0.5分，最高得3分。</w:t>
            </w:r>
          </w:p>
          <w:p>
            <w:pPr>
              <w:widowControl/>
              <w:spacing w:line="360" w:lineRule="auto"/>
              <w:ind w:firstLine="240" w:firstLineChars="100"/>
              <w:jc w:val="left"/>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核心生产设备按品类，具体要求如下：</w:t>
            </w:r>
          </w:p>
          <w:p>
            <w:pPr>
              <w:widowControl/>
              <w:spacing w:line="360" w:lineRule="auto"/>
              <w:ind w:firstLine="240" w:firstLineChars="100"/>
              <w:jc w:val="left"/>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1.人造板类：开料锯机、封边机、排钻床、冷压机、热压机、涂装设备、加工中心等；</w:t>
            </w:r>
          </w:p>
          <w:p>
            <w:pPr>
              <w:widowControl/>
              <w:spacing w:line="360" w:lineRule="auto"/>
              <w:ind w:firstLine="240" w:firstLineChars="100"/>
              <w:jc w:val="left"/>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2.实木类：纵解锯机、横截锯机、平刨床、压刨床、拼板机、开榫机、加工中心、干燥房、涂装设备等；</w:t>
            </w:r>
          </w:p>
          <w:p>
            <w:pPr>
              <w:widowControl/>
              <w:spacing w:line="360" w:lineRule="auto"/>
              <w:ind w:firstLine="240" w:firstLineChars="100"/>
              <w:jc w:val="left"/>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3.钢制类：切割设备、折弯机、焊接设备、涂装设备、冲床、钻床、加工中心等；</w:t>
            </w:r>
          </w:p>
          <w:p>
            <w:pPr>
              <w:widowControl/>
              <w:spacing w:line="360" w:lineRule="auto"/>
              <w:ind w:firstLine="240" w:firstLineChars="100"/>
              <w:jc w:val="left"/>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4.钢木类：切割设备、弯管机、焊接设备、涂装设备、开料锯机、封边机、排钻床等；</w:t>
            </w:r>
          </w:p>
          <w:p>
            <w:pPr>
              <w:spacing w:line="360" w:lineRule="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5.软体类：核心专业生产设备不单列。</w:t>
            </w:r>
          </w:p>
        </w:tc>
        <w:tc>
          <w:tcPr>
            <w:tcW w:w="407" w:type="pct"/>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095" w:type="pct"/>
          </w:tcPr>
          <w:p>
            <w:pPr>
              <w:spacing w:line="360" w:lineRule="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（十二）先进生产设备拥有情况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right"/>
        </w:trPr>
        <w:tc>
          <w:tcPr>
            <w:tcW w:w="468" w:type="pct"/>
            <w:vAlign w:val="center"/>
          </w:tcPr>
          <w:p>
            <w:pPr>
              <w:spacing w:line="360" w:lineRule="auto"/>
              <w:ind w:firstLine="360" w:firstLineChars="150"/>
              <w:jc w:val="left"/>
              <w:outlineLvl w:val="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2</w:t>
            </w:r>
          </w:p>
        </w:tc>
        <w:tc>
          <w:tcPr>
            <w:tcW w:w="3028" w:type="pct"/>
            <w:vAlign w:val="center"/>
          </w:tcPr>
          <w:p>
            <w:pPr>
              <w:spacing w:line="360" w:lineRule="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项目实施规划方案，提出合理的项目整体实施方案，能按照项目分解节点，并可跟踪实施。根据供应商提供的方案能否满足采购需求判定评分，内容完整、措施有效、符合采购</w:t>
            </w:r>
            <w:r>
              <w:rPr>
                <w:rFonts w:hint="eastAsia" w:asciiTheme="minorEastAsia" w:hAnsiTheme="minorEastAsia" w:eastAsiaTheme="minorEastAsia" w:cstheme="minorEastAsia"/>
                <w:color w:val="auto"/>
                <w:kern w:val="0"/>
                <w:sz w:val="24"/>
                <w:szCs w:val="24"/>
                <w:highlight w:val="none"/>
                <w:lang w:val="en-US" w:eastAsia="zh-CN" w:bidi="ar"/>
              </w:rPr>
              <w:t>需求</w:t>
            </w:r>
            <w:r>
              <w:rPr>
                <w:rFonts w:hint="eastAsia" w:asciiTheme="minorEastAsia" w:hAnsiTheme="minorEastAsia" w:eastAsiaTheme="minorEastAsia" w:cstheme="minorEastAsia"/>
                <w:color w:val="auto"/>
                <w:kern w:val="0"/>
                <w:sz w:val="24"/>
                <w:szCs w:val="24"/>
                <w:highlight w:val="none"/>
                <w:lang w:bidi="ar"/>
              </w:rPr>
              <w:t>视为满足。满足得2分，不满足不得分。</w:t>
            </w:r>
          </w:p>
        </w:tc>
        <w:tc>
          <w:tcPr>
            <w:tcW w:w="407" w:type="pct"/>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095" w:type="pct"/>
          </w:tcPr>
          <w:p>
            <w:pPr>
              <w:spacing w:line="360" w:lineRule="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（十三）项目实施规划方案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right"/>
        </w:trPr>
        <w:tc>
          <w:tcPr>
            <w:tcW w:w="468" w:type="pct"/>
            <w:vAlign w:val="center"/>
          </w:tcPr>
          <w:p>
            <w:pPr>
              <w:spacing w:line="360" w:lineRule="auto"/>
              <w:ind w:firstLine="360" w:firstLineChars="150"/>
              <w:jc w:val="left"/>
              <w:outlineLvl w:val="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p>
        </w:tc>
        <w:tc>
          <w:tcPr>
            <w:tcW w:w="3028" w:type="pct"/>
            <w:vAlign w:val="center"/>
          </w:tcPr>
          <w:p>
            <w:pPr>
              <w:spacing w:line="360" w:lineRule="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生产实施方案，要具备生产能力，在规定的时间内有计划的完成项目需求产品的生产装配。根据供应商提供的方案能否满足采购需求判定评分，内容完整、措施有效、符合采购</w:t>
            </w:r>
            <w:r>
              <w:rPr>
                <w:rFonts w:hint="eastAsia" w:asciiTheme="minorEastAsia" w:hAnsiTheme="minorEastAsia" w:eastAsiaTheme="minorEastAsia" w:cstheme="minorEastAsia"/>
                <w:color w:val="auto"/>
                <w:kern w:val="0"/>
                <w:sz w:val="24"/>
                <w:szCs w:val="24"/>
                <w:highlight w:val="none"/>
                <w:lang w:val="en-US" w:eastAsia="zh-CN" w:bidi="ar"/>
              </w:rPr>
              <w:t>需求</w:t>
            </w:r>
            <w:r>
              <w:rPr>
                <w:rFonts w:hint="eastAsia" w:asciiTheme="minorEastAsia" w:hAnsiTheme="minorEastAsia" w:eastAsiaTheme="minorEastAsia" w:cstheme="minorEastAsia"/>
                <w:color w:val="auto"/>
                <w:kern w:val="0"/>
                <w:sz w:val="24"/>
                <w:szCs w:val="24"/>
                <w:highlight w:val="none"/>
                <w:lang w:bidi="ar"/>
              </w:rPr>
              <w:t>视为满足。满足得2分，不满足不得分。</w:t>
            </w:r>
          </w:p>
        </w:tc>
        <w:tc>
          <w:tcPr>
            <w:tcW w:w="407" w:type="pct"/>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095" w:type="pct"/>
          </w:tcPr>
          <w:p>
            <w:pPr>
              <w:spacing w:line="360" w:lineRule="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（十四）生产实施方案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right"/>
        </w:trPr>
        <w:tc>
          <w:tcPr>
            <w:tcW w:w="468" w:type="pct"/>
            <w:vAlign w:val="center"/>
          </w:tcPr>
          <w:p>
            <w:pPr>
              <w:spacing w:line="360" w:lineRule="auto"/>
              <w:ind w:firstLine="360" w:firstLineChars="150"/>
              <w:jc w:val="left"/>
              <w:outlineLvl w:val="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4</w:t>
            </w:r>
          </w:p>
        </w:tc>
        <w:tc>
          <w:tcPr>
            <w:tcW w:w="3028" w:type="pct"/>
            <w:vAlign w:val="center"/>
          </w:tcPr>
          <w:p>
            <w:pPr>
              <w:spacing w:line="360" w:lineRule="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品质管理管控过程，有独立品管部门和专门品管人员，确保产品生产过程中的质量控制完善。根据供应商提供的方案能否满足采购需求判定评分，内容完整、措施有效、符合采购</w:t>
            </w:r>
            <w:r>
              <w:rPr>
                <w:rFonts w:hint="eastAsia" w:asciiTheme="minorEastAsia" w:hAnsiTheme="minorEastAsia" w:eastAsiaTheme="minorEastAsia" w:cstheme="minorEastAsia"/>
                <w:color w:val="auto"/>
                <w:kern w:val="0"/>
                <w:sz w:val="24"/>
                <w:szCs w:val="24"/>
                <w:highlight w:val="none"/>
                <w:lang w:val="en-US" w:eastAsia="zh-CN" w:bidi="ar"/>
              </w:rPr>
              <w:t>需求</w:t>
            </w:r>
            <w:r>
              <w:rPr>
                <w:rFonts w:hint="eastAsia" w:asciiTheme="minorEastAsia" w:hAnsiTheme="minorEastAsia" w:eastAsiaTheme="minorEastAsia" w:cstheme="minorEastAsia"/>
                <w:color w:val="auto"/>
                <w:kern w:val="0"/>
                <w:sz w:val="24"/>
                <w:szCs w:val="24"/>
                <w:highlight w:val="none"/>
                <w:lang w:bidi="ar"/>
              </w:rPr>
              <w:t>视为满足。满足得2分，不满足不得分。</w:t>
            </w:r>
          </w:p>
        </w:tc>
        <w:tc>
          <w:tcPr>
            <w:tcW w:w="407" w:type="pct"/>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095" w:type="pct"/>
          </w:tcPr>
          <w:p>
            <w:pPr>
              <w:spacing w:line="360" w:lineRule="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（十五）品质管理方案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right"/>
        </w:trPr>
        <w:tc>
          <w:tcPr>
            <w:tcW w:w="468" w:type="pct"/>
            <w:vAlign w:val="center"/>
          </w:tcPr>
          <w:p>
            <w:pPr>
              <w:spacing w:line="360" w:lineRule="auto"/>
              <w:ind w:firstLine="360" w:firstLineChars="150"/>
              <w:jc w:val="left"/>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p>
        </w:tc>
        <w:tc>
          <w:tcPr>
            <w:tcW w:w="3028" w:type="pct"/>
            <w:vAlign w:val="center"/>
          </w:tcPr>
          <w:p>
            <w:pPr>
              <w:spacing w:line="360" w:lineRule="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bidi="ar"/>
              </w:rPr>
              <w:t>安装服务实施方案，安装方案的制定，根据</w:t>
            </w:r>
            <w:r>
              <w:rPr>
                <w:rStyle w:val="311"/>
                <w:rFonts w:hint="eastAsia" w:asciiTheme="minorEastAsia" w:hAnsiTheme="minorEastAsia" w:eastAsiaTheme="minorEastAsia" w:cstheme="minorEastAsia"/>
                <w:color w:val="auto"/>
                <w:sz w:val="24"/>
                <w:szCs w:val="24"/>
                <w:highlight w:val="none"/>
                <w:lang w:bidi="ar"/>
              </w:rPr>
              <w:t>货物交付时间节点，落实送货安装时间和人员安排，确保按期交付使用。根据供应商提供的方案能否满足采购需求判定评分，内容完整、措施有效、符合采购</w:t>
            </w:r>
            <w:r>
              <w:rPr>
                <w:rFonts w:hint="eastAsia" w:asciiTheme="minorEastAsia" w:hAnsiTheme="minorEastAsia" w:eastAsiaTheme="minorEastAsia" w:cstheme="minorEastAsia"/>
                <w:color w:val="auto"/>
                <w:kern w:val="0"/>
                <w:sz w:val="24"/>
                <w:szCs w:val="24"/>
                <w:highlight w:val="none"/>
                <w:lang w:val="en-US" w:eastAsia="zh-CN" w:bidi="ar"/>
              </w:rPr>
              <w:t>需求</w:t>
            </w:r>
            <w:r>
              <w:rPr>
                <w:rStyle w:val="311"/>
                <w:rFonts w:hint="eastAsia" w:asciiTheme="minorEastAsia" w:hAnsiTheme="minorEastAsia" w:eastAsiaTheme="minorEastAsia" w:cstheme="minorEastAsia"/>
                <w:color w:val="auto"/>
                <w:sz w:val="24"/>
                <w:szCs w:val="24"/>
                <w:highlight w:val="none"/>
                <w:lang w:bidi="ar"/>
              </w:rPr>
              <w:t>视为满足。满足得2分，不满足不得分。</w:t>
            </w:r>
          </w:p>
        </w:tc>
        <w:tc>
          <w:tcPr>
            <w:tcW w:w="407" w:type="pct"/>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095" w:type="pct"/>
          </w:tcPr>
          <w:p>
            <w:pPr>
              <w:spacing w:line="360" w:lineRule="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（十六）服务实施方案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right"/>
        </w:trPr>
        <w:tc>
          <w:tcPr>
            <w:tcW w:w="468" w:type="pct"/>
            <w:vAlign w:val="center"/>
          </w:tcPr>
          <w:p>
            <w:pPr>
              <w:spacing w:line="360" w:lineRule="auto"/>
              <w:ind w:firstLine="360" w:firstLineChars="150"/>
              <w:jc w:val="left"/>
              <w:outlineLvl w:val="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p>
        </w:tc>
        <w:tc>
          <w:tcPr>
            <w:tcW w:w="3028" w:type="pct"/>
            <w:vAlign w:val="center"/>
          </w:tcPr>
          <w:p>
            <w:pPr>
              <w:widowControl/>
              <w:spacing w:line="360" w:lineRule="auto"/>
              <w:ind w:firstLine="240" w:firstLineChars="100"/>
              <w:jc w:val="left"/>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售后服务应对方案及承诺：</w:t>
            </w:r>
          </w:p>
          <w:p>
            <w:pPr>
              <w:widowControl/>
              <w:spacing w:line="360" w:lineRule="auto"/>
              <w:ind w:firstLine="240" w:firstLineChars="100"/>
              <w:jc w:val="left"/>
              <w:textAlignment w:val="center"/>
              <w:rPr>
                <w:rStyle w:val="311"/>
                <w:rFonts w:hint="eastAsia" w:asciiTheme="minorEastAsia" w:hAnsiTheme="minorEastAsia" w:eastAsiaTheme="minorEastAsia" w:cstheme="minorEastAsia"/>
                <w:color w:val="auto"/>
                <w:sz w:val="24"/>
                <w:szCs w:val="24"/>
                <w:highlight w:val="none"/>
                <w:lang w:bidi="ar"/>
              </w:rPr>
            </w:pPr>
            <w:r>
              <w:rPr>
                <w:rStyle w:val="311"/>
                <w:rFonts w:hint="eastAsia" w:asciiTheme="minorEastAsia" w:hAnsiTheme="minorEastAsia" w:eastAsiaTheme="minorEastAsia" w:cstheme="minorEastAsia"/>
                <w:color w:val="auto"/>
                <w:sz w:val="24"/>
                <w:szCs w:val="24"/>
                <w:highlight w:val="none"/>
                <w:lang w:bidi="ar"/>
              </w:rPr>
              <w:t>1.提供产品5年质量保证期（5年内免费维修，不能维修免费更换），超过5年的每一年加1分，最高得2分；</w:t>
            </w:r>
          </w:p>
          <w:p>
            <w:pPr>
              <w:spacing w:line="360" w:lineRule="auto"/>
              <w:outlineLvl w:val="0"/>
              <w:rPr>
                <w:rFonts w:hint="eastAsia" w:asciiTheme="minorEastAsia" w:hAnsiTheme="minorEastAsia" w:eastAsiaTheme="minorEastAsia" w:cstheme="minorEastAsia"/>
                <w:color w:val="auto"/>
                <w:sz w:val="24"/>
                <w:szCs w:val="24"/>
                <w:highlight w:val="none"/>
              </w:rPr>
            </w:pPr>
            <w:r>
              <w:rPr>
                <w:rStyle w:val="311"/>
                <w:rFonts w:hint="eastAsia" w:asciiTheme="minorEastAsia" w:hAnsiTheme="minorEastAsia" w:eastAsiaTheme="minorEastAsia" w:cstheme="minorEastAsia"/>
                <w:color w:val="auto"/>
                <w:sz w:val="24"/>
                <w:szCs w:val="24"/>
                <w:highlight w:val="none"/>
                <w:lang w:bidi="ar"/>
              </w:rPr>
              <w:t>2.提供详细完整的“三包”措施及售后服务措施和方案（包括服务措施、产品质量保证、回访、技术培训等）。根据供应商提供的方案能否满足采购需求判定评分，内容完整、措施有效、符合采购</w:t>
            </w:r>
            <w:r>
              <w:rPr>
                <w:rFonts w:hint="eastAsia" w:asciiTheme="minorEastAsia" w:hAnsiTheme="minorEastAsia" w:eastAsiaTheme="minorEastAsia" w:cstheme="minorEastAsia"/>
                <w:color w:val="auto"/>
                <w:kern w:val="0"/>
                <w:sz w:val="24"/>
                <w:szCs w:val="24"/>
                <w:highlight w:val="none"/>
                <w:lang w:val="en-US" w:eastAsia="zh-CN" w:bidi="ar"/>
              </w:rPr>
              <w:t>需求</w:t>
            </w:r>
            <w:r>
              <w:rPr>
                <w:rStyle w:val="311"/>
                <w:rFonts w:hint="eastAsia" w:asciiTheme="minorEastAsia" w:hAnsiTheme="minorEastAsia" w:eastAsiaTheme="minorEastAsia" w:cstheme="minorEastAsia"/>
                <w:color w:val="auto"/>
                <w:sz w:val="24"/>
                <w:szCs w:val="24"/>
                <w:highlight w:val="none"/>
                <w:lang w:bidi="ar"/>
              </w:rPr>
              <w:t>视为满足。满足得4分，部分满足得2分，不满足不得分。</w:t>
            </w:r>
          </w:p>
        </w:tc>
        <w:tc>
          <w:tcPr>
            <w:tcW w:w="407" w:type="pct"/>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1095" w:type="pct"/>
          </w:tcPr>
          <w:p>
            <w:pPr>
              <w:spacing w:line="360" w:lineRule="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（十七）售后服务方案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right"/>
        </w:trPr>
        <w:tc>
          <w:tcPr>
            <w:tcW w:w="468" w:type="pct"/>
            <w:vAlign w:val="center"/>
          </w:tcPr>
          <w:p>
            <w:pPr>
              <w:spacing w:line="360" w:lineRule="auto"/>
              <w:ind w:firstLine="360" w:firstLineChars="150"/>
              <w:jc w:val="left"/>
              <w:outlineLvl w:val="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7</w:t>
            </w:r>
          </w:p>
        </w:tc>
        <w:tc>
          <w:tcPr>
            <w:tcW w:w="3028" w:type="pct"/>
            <w:vAlign w:val="center"/>
          </w:tcPr>
          <w:p>
            <w:pPr>
              <w:widowControl/>
              <w:spacing w:line="360" w:lineRule="auto"/>
              <w:ind w:firstLine="241" w:firstLineChars="100"/>
              <w:jc w:val="left"/>
              <w:textAlignment w:val="center"/>
              <w:rPr>
                <w:rFonts w:hint="eastAsia" w:asciiTheme="minorEastAsia" w:hAnsiTheme="minorEastAsia" w:eastAsiaTheme="minorEastAsia" w:cstheme="minorEastAsia"/>
                <w:b/>
                <w:color w:val="auto"/>
                <w:kern w:val="0"/>
                <w:sz w:val="24"/>
                <w:szCs w:val="24"/>
                <w:highlight w:val="none"/>
                <w:lang w:bidi="ar"/>
              </w:rPr>
            </w:pPr>
            <w:r>
              <w:rPr>
                <w:rFonts w:hint="eastAsia" w:asciiTheme="minorEastAsia" w:hAnsiTheme="minorEastAsia" w:eastAsiaTheme="minorEastAsia" w:cstheme="minorEastAsia"/>
                <w:b/>
                <w:color w:val="auto"/>
                <w:kern w:val="0"/>
                <w:sz w:val="24"/>
                <w:szCs w:val="24"/>
                <w:highlight w:val="none"/>
                <w:lang w:bidi="ar"/>
              </w:rPr>
              <w:t>样品评分标准如下，严重偏离样品要求不得分：</w:t>
            </w:r>
          </w:p>
          <w:p>
            <w:pPr>
              <w:widowControl/>
              <w:spacing w:line="360" w:lineRule="auto"/>
              <w:ind w:firstLine="241" w:firstLineChars="100"/>
              <w:jc w:val="left"/>
              <w:textAlignment w:val="center"/>
              <w:rPr>
                <w:rFonts w:hint="eastAsia" w:asciiTheme="minorEastAsia" w:hAnsiTheme="minorEastAsia" w:eastAsiaTheme="minorEastAsia" w:cstheme="minorEastAsia"/>
                <w:b/>
                <w:color w:val="auto"/>
                <w:kern w:val="0"/>
                <w:sz w:val="24"/>
                <w:szCs w:val="24"/>
                <w:highlight w:val="none"/>
                <w:lang w:bidi="ar"/>
              </w:rPr>
            </w:pPr>
            <w:r>
              <w:rPr>
                <w:rFonts w:hint="eastAsia" w:asciiTheme="minorEastAsia" w:hAnsiTheme="minorEastAsia" w:eastAsiaTheme="minorEastAsia" w:cstheme="minorEastAsia"/>
                <w:b/>
                <w:color w:val="auto"/>
                <w:kern w:val="0"/>
                <w:sz w:val="24"/>
                <w:szCs w:val="24"/>
                <w:highlight w:val="none"/>
                <w:lang w:bidi="ar"/>
              </w:rPr>
              <w:t>样品评分细则（共19分）：</w:t>
            </w:r>
          </w:p>
          <w:p>
            <w:pPr>
              <w:widowControl/>
              <w:spacing w:line="360" w:lineRule="auto"/>
              <w:ind w:firstLine="241" w:firstLineChars="100"/>
              <w:jc w:val="left"/>
              <w:textAlignment w:val="center"/>
              <w:rPr>
                <w:rStyle w:val="311"/>
                <w:rFonts w:hint="eastAsia" w:asciiTheme="minorEastAsia" w:hAnsiTheme="minorEastAsia" w:eastAsiaTheme="minorEastAsia" w:cstheme="minorEastAsia"/>
                <w:b/>
                <w:bCs/>
                <w:color w:val="auto"/>
                <w:sz w:val="24"/>
                <w:szCs w:val="24"/>
                <w:highlight w:val="none"/>
                <w:lang w:bidi="ar"/>
              </w:rPr>
            </w:pPr>
            <w:r>
              <w:rPr>
                <w:rStyle w:val="311"/>
                <w:rFonts w:hint="eastAsia" w:asciiTheme="minorEastAsia" w:hAnsiTheme="minorEastAsia" w:eastAsiaTheme="minorEastAsia" w:cstheme="minorEastAsia"/>
                <w:b/>
                <w:bCs/>
                <w:color w:val="auto"/>
                <w:sz w:val="24"/>
                <w:szCs w:val="24"/>
                <w:highlight w:val="none"/>
                <w:lang w:bidi="ar"/>
              </w:rPr>
              <w:t>一、产品主要尺寸、形状及位置公差（4分）：每偏离一个参数指标扣0.5分，扣完为止。</w:t>
            </w:r>
          </w:p>
          <w:p>
            <w:pPr>
              <w:widowControl/>
              <w:spacing w:line="360" w:lineRule="auto"/>
              <w:ind w:firstLine="240" w:firstLineChars="100"/>
              <w:jc w:val="left"/>
              <w:textAlignment w:val="center"/>
              <w:rPr>
                <w:rStyle w:val="311"/>
                <w:rFonts w:hint="eastAsia" w:asciiTheme="minorEastAsia" w:hAnsiTheme="minorEastAsia" w:eastAsiaTheme="minorEastAsia" w:cstheme="minorEastAsia"/>
                <w:color w:val="auto"/>
                <w:sz w:val="24"/>
                <w:szCs w:val="24"/>
                <w:highlight w:val="none"/>
                <w:lang w:bidi="ar"/>
              </w:rPr>
            </w:pPr>
            <w:r>
              <w:rPr>
                <w:rStyle w:val="311"/>
                <w:rFonts w:hint="eastAsia" w:asciiTheme="minorEastAsia" w:hAnsiTheme="minorEastAsia" w:eastAsiaTheme="minorEastAsia" w:cstheme="minorEastAsia"/>
                <w:color w:val="auto"/>
                <w:sz w:val="24"/>
                <w:szCs w:val="24"/>
                <w:highlight w:val="none"/>
                <w:lang w:bidi="ar"/>
              </w:rPr>
              <w:t xml:space="preserve">  采购人有明确要求且明示的产品尺寸偏差控制在±3mm以内(测量工具：0～3m钢卷尺，精度1mm)；</w:t>
            </w:r>
          </w:p>
          <w:p>
            <w:pPr>
              <w:spacing w:line="360" w:lineRule="auto"/>
              <w:outlineLvl w:val="0"/>
              <w:rPr>
                <w:rStyle w:val="311"/>
                <w:rFonts w:hint="eastAsia" w:asciiTheme="minorEastAsia" w:hAnsiTheme="minorEastAsia" w:eastAsiaTheme="minorEastAsia" w:cstheme="minorEastAsia"/>
                <w:color w:val="auto"/>
                <w:sz w:val="24"/>
                <w:szCs w:val="24"/>
                <w:highlight w:val="none"/>
                <w:lang w:bidi="ar"/>
              </w:rPr>
            </w:pPr>
            <w:r>
              <w:rPr>
                <w:rStyle w:val="311"/>
                <w:rFonts w:hint="eastAsia" w:asciiTheme="minorEastAsia" w:hAnsiTheme="minorEastAsia" w:eastAsiaTheme="minorEastAsia" w:cstheme="minorEastAsia"/>
                <w:color w:val="auto"/>
                <w:sz w:val="24"/>
                <w:szCs w:val="24"/>
                <w:highlight w:val="none"/>
                <w:lang w:bidi="ar"/>
              </w:rPr>
              <w:t xml:space="preserve">  备注：采购人可根据实际需求确定尺寸偏差范围。</w:t>
            </w:r>
          </w:p>
          <w:p>
            <w:pPr>
              <w:widowControl/>
              <w:spacing w:line="360" w:lineRule="auto"/>
              <w:ind w:firstLine="241" w:firstLineChars="100"/>
              <w:jc w:val="left"/>
              <w:textAlignment w:val="center"/>
              <w:rPr>
                <w:rFonts w:hint="eastAsia" w:asciiTheme="minorEastAsia" w:hAnsiTheme="minorEastAsia" w:eastAsiaTheme="minorEastAsia" w:cstheme="minorEastAsia"/>
                <w:b/>
                <w:bCs/>
                <w:color w:val="auto"/>
                <w:kern w:val="0"/>
                <w:sz w:val="24"/>
                <w:szCs w:val="24"/>
                <w:highlight w:val="none"/>
                <w:lang w:bidi="ar"/>
              </w:rPr>
            </w:pPr>
            <w:r>
              <w:rPr>
                <w:rFonts w:hint="eastAsia" w:asciiTheme="minorEastAsia" w:hAnsiTheme="minorEastAsia" w:eastAsiaTheme="minorEastAsia" w:cstheme="minorEastAsia"/>
                <w:b/>
                <w:bCs/>
                <w:color w:val="auto"/>
                <w:kern w:val="0"/>
                <w:sz w:val="24"/>
                <w:szCs w:val="24"/>
                <w:highlight w:val="none"/>
                <w:lang w:bidi="ar"/>
              </w:rPr>
              <w:t>二、材料要求（4分）：每个不合格项扣0.5分，扣完为止。</w:t>
            </w:r>
          </w:p>
          <w:p>
            <w:pPr>
              <w:pStyle w:val="2"/>
              <w:rPr>
                <w:rFonts w:hint="eastAsia" w:asciiTheme="minorEastAsia" w:hAnsiTheme="minorEastAsia" w:eastAsiaTheme="minorEastAsia" w:cstheme="minorEastAsia"/>
                <w:b w:val="0"/>
                <w:bCs w:val="0"/>
                <w:color w:val="auto"/>
                <w:kern w:val="0"/>
                <w:sz w:val="24"/>
                <w:szCs w:val="24"/>
                <w:highlight w:val="none"/>
                <w:lang w:val="en-US" w:bidi="ar"/>
              </w:rPr>
            </w:pPr>
            <w:r>
              <w:rPr>
                <w:rFonts w:hint="eastAsia" w:asciiTheme="minorEastAsia" w:hAnsiTheme="minorEastAsia" w:eastAsiaTheme="minorEastAsia" w:cstheme="minorEastAsia"/>
                <w:color w:val="auto"/>
                <w:kern w:val="0"/>
                <w:sz w:val="24"/>
                <w:szCs w:val="24"/>
                <w:highlight w:val="none"/>
                <w:lang w:val="en-US" w:bidi="ar"/>
              </w:rPr>
              <w:t xml:space="preserve">  </w:t>
            </w:r>
            <w:r>
              <w:rPr>
                <w:rFonts w:hint="eastAsia" w:asciiTheme="minorEastAsia" w:hAnsiTheme="minorEastAsia" w:eastAsiaTheme="minorEastAsia" w:cstheme="minorEastAsia"/>
                <w:b w:val="0"/>
                <w:bCs w:val="0"/>
                <w:color w:val="auto"/>
                <w:kern w:val="0"/>
                <w:sz w:val="24"/>
                <w:szCs w:val="24"/>
                <w:highlight w:val="none"/>
                <w:lang w:val="en-US" w:bidi="ar"/>
              </w:rPr>
              <w:t>样品所选用面料、钢板、五金、五星脚、气压棒、脚轮等主要原材料的要求与采购需求一致。</w:t>
            </w:r>
          </w:p>
          <w:p>
            <w:pPr>
              <w:widowControl/>
              <w:spacing w:line="360" w:lineRule="auto"/>
              <w:ind w:firstLine="241" w:firstLineChars="100"/>
              <w:jc w:val="left"/>
              <w:textAlignment w:val="center"/>
              <w:rPr>
                <w:rFonts w:hint="eastAsia" w:asciiTheme="minorEastAsia" w:hAnsiTheme="minorEastAsia" w:eastAsiaTheme="minorEastAsia" w:cstheme="minorEastAsia"/>
                <w:b/>
                <w:bCs/>
                <w:color w:val="auto"/>
                <w:kern w:val="0"/>
                <w:sz w:val="24"/>
                <w:szCs w:val="24"/>
                <w:highlight w:val="none"/>
                <w:lang w:bidi="ar"/>
              </w:rPr>
            </w:pPr>
            <w:r>
              <w:rPr>
                <w:rFonts w:hint="eastAsia" w:asciiTheme="minorEastAsia" w:hAnsiTheme="minorEastAsia" w:eastAsiaTheme="minorEastAsia" w:cstheme="minorEastAsia"/>
                <w:b/>
                <w:bCs/>
                <w:color w:val="auto"/>
                <w:kern w:val="0"/>
                <w:sz w:val="24"/>
                <w:szCs w:val="24"/>
                <w:highlight w:val="none"/>
                <w:lang w:bidi="ar"/>
              </w:rPr>
              <w:t>三、功能性要求（2分）：每个不合格项扣0.5分，扣完为止。</w:t>
            </w:r>
          </w:p>
          <w:p>
            <w:pPr>
              <w:widowControl/>
              <w:spacing w:line="360" w:lineRule="auto"/>
              <w:ind w:firstLine="240" w:firstLineChars="100"/>
              <w:jc w:val="left"/>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 xml:space="preserve">  1.倾斜机构、升降机构、脚轮等部件，安装后应灵活使用；</w:t>
            </w:r>
          </w:p>
          <w:p>
            <w:pPr>
              <w:spacing w:line="360" w:lineRule="auto"/>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 xml:space="preserve">  2.设计美观、实用，能够实现产品的整体使用功能。</w:t>
            </w:r>
          </w:p>
          <w:p>
            <w:pPr>
              <w:widowControl/>
              <w:spacing w:line="360" w:lineRule="auto"/>
              <w:ind w:firstLine="241" w:firstLineChars="100"/>
              <w:jc w:val="left"/>
              <w:textAlignment w:val="center"/>
              <w:rPr>
                <w:rStyle w:val="311"/>
                <w:rFonts w:hint="eastAsia" w:asciiTheme="minorEastAsia" w:hAnsiTheme="minorEastAsia" w:eastAsiaTheme="minorEastAsia" w:cstheme="minorEastAsia"/>
                <w:b/>
                <w:bCs/>
                <w:color w:val="auto"/>
                <w:sz w:val="24"/>
                <w:szCs w:val="24"/>
                <w:highlight w:val="none"/>
                <w:lang w:bidi="ar"/>
              </w:rPr>
            </w:pPr>
            <w:r>
              <w:rPr>
                <w:rStyle w:val="311"/>
                <w:rFonts w:hint="eastAsia" w:asciiTheme="minorEastAsia" w:hAnsiTheme="minorEastAsia" w:eastAsiaTheme="minorEastAsia" w:cstheme="minorEastAsia"/>
                <w:b/>
                <w:bCs/>
                <w:color w:val="auto"/>
                <w:sz w:val="24"/>
                <w:szCs w:val="24"/>
                <w:highlight w:val="none"/>
                <w:lang w:bidi="ar"/>
              </w:rPr>
              <w:t>四、样品外观（4分）：每个不合格项扣0.5分，扣完为止。</w:t>
            </w:r>
          </w:p>
          <w:p>
            <w:pPr>
              <w:widowControl/>
              <w:spacing w:line="360" w:lineRule="auto"/>
              <w:ind w:firstLine="240" w:firstLineChars="100"/>
              <w:jc w:val="left"/>
              <w:textAlignment w:val="center"/>
              <w:rPr>
                <w:rStyle w:val="311"/>
                <w:rFonts w:hint="eastAsia" w:asciiTheme="minorEastAsia" w:hAnsiTheme="minorEastAsia" w:eastAsiaTheme="minorEastAsia" w:cstheme="minorEastAsia"/>
                <w:color w:val="auto"/>
                <w:sz w:val="24"/>
                <w:szCs w:val="24"/>
                <w:highlight w:val="none"/>
                <w:lang w:bidi="ar"/>
              </w:rPr>
            </w:pPr>
            <w:r>
              <w:rPr>
                <w:rStyle w:val="311"/>
                <w:rFonts w:hint="eastAsia" w:asciiTheme="minorEastAsia" w:hAnsiTheme="minorEastAsia" w:eastAsiaTheme="minorEastAsia" w:cstheme="minorEastAsia"/>
                <w:color w:val="auto"/>
                <w:sz w:val="24"/>
                <w:szCs w:val="24"/>
                <w:highlight w:val="none"/>
                <w:lang w:bidi="ar"/>
              </w:rPr>
              <w:t xml:space="preserve"> 1.金属件：</w:t>
            </w:r>
          </w:p>
          <w:p>
            <w:pPr>
              <w:widowControl/>
              <w:spacing w:line="360" w:lineRule="auto"/>
              <w:ind w:firstLine="240" w:firstLineChars="100"/>
              <w:jc w:val="left"/>
              <w:textAlignment w:val="center"/>
              <w:rPr>
                <w:rStyle w:val="311"/>
                <w:rFonts w:hint="eastAsia" w:asciiTheme="minorEastAsia" w:hAnsiTheme="minorEastAsia" w:eastAsiaTheme="minorEastAsia" w:cstheme="minorEastAsia"/>
                <w:color w:val="auto"/>
                <w:sz w:val="24"/>
                <w:szCs w:val="24"/>
                <w:highlight w:val="none"/>
                <w:lang w:bidi="ar"/>
              </w:rPr>
            </w:pPr>
            <w:r>
              <w:rPr>
                <w:rStyle w:val="311"/>
                <w:rFonts w:hint="eastAsia" w:asciiTheme="minorEastAsia" w:hAnsiTheme="minorEastAsia" w:eastAsiaTheme="minorEastAsia" w:cstheme="minorEastAsia"/>
                <w:color w:val="auto"/>
                <w:sz w:val="24"/>
                <w:szCs w:val="24"/>
                <w:highlight w:val="none"/>
                <w:lang w:bidi="ar"/>
              </w:rPr>
              <w:t xml:space="preserve">    (1)管材：管材应无裂缝、叠缝，外露管口端面应封闭；</w:t>
            </w:r>
          </w:p>
          <w:p>
            <w:pPr>
              <w:widowControl/>
              <w:spacing w:line="360" w:lineRule="auto"/>
              <w:ind w:firstLine="240" w:firstLineChars="100"/>
              <w:jc w:val="left"/>
              <w:textAlignment w:val="center"/>
              <w:rPr>
                <w:rStyle w:val="311"/>
                <w:rFonts w:hint="eastAsia" w:asciiTheme="minorEastAsia" w:hAnsiTheme="minorEastAsia" w:eastAsiaTheme="minorEastAsia" w:cstheme="minorEastAsia"/>
                <w:color w:val="auto"/>
                <w:sz w:val="24"/>
                <w:szCs w:val="24"/>
                <w:highlight w:val="none"/>
                <w:lang w:bidi="ar"/>
              </w:rPr>
            </w:pPr>
            <w:r>
              <w:rPr>
                <w:rStyle w:val="311"/>
                <w:rFonts w:hint="eastAsia" w:asciiTheme="minorEastAsia" w:hAnsiTheme="minorEastAsia" w:eastAsiaTheme="minorEastAsia" w:cstheme="minorEastAsia"/>
                <w:color w:val="auto"/>
                <w:sz w:val="24"/>
                <w:szCs w:val="24"/>
                <w:highlight w:val="none"/>
                <w:lang w:bidi="ar"/>
              </w:rPr>
              <w:t xml:space="preserve">    (2)焊接件：焊接处应无脱焊、虚焊、焊穿、错位，焊接处应无夹渣、气孔、焊瘤、焊丝头、咬边、飞溅，焊接处表面波纹应均匀；</w:t>
            </w:r>
          </w:p>
          <w:p>
            <w:pPr>
              <w:widowControl/>
              <w:spacing w:line="360" w:lineRule="auto"/>
              <w:jc w:val="left"/>
              <w:textAlignment w:val="center"/>
              <w:rPr>
                <w:rStyle w:val="311"/>
                <w:rFonts w:hint="eastAsia" w:asciiTheme="minorEastAsia" w:hAnsiTheme="minorEastAsia" w:eastAsiaTheme="minorEastAsia" w:cstheme="minorEastAsia"/>
                <w:color w:val="auto"/>
                <w:sz w:val="24"/>
                <w:szCs w:val="24"/>
                <w:highlight w:val="none"/>
                <w:lang w:bidi="ar"/>
              </w:rPr>
            </w:pPr>
            <w:r>
              <w:rPr>
                <w:rStyle w:val="311"/>
                <w:rFonts w:hint="eastAsia" w:asciiTheme="minorEastAsia" w:hAnsiTheme="minorEastAsia" w:eastAsiaTheme="minorEastAsia" w:cstheme="minorEastAsia"/>
                <w:color w:val="auto"/>
                <w:sz w:val="24"/>
                <w:szCs w:val="24"/>
                <w:highlight w:val="none"/>
                <w:lang w:bidi="ar"/>
              </w:rPr>
              <w:t xml:space="preserve">    (3)冲压件：冲压件应无脱层、裂缝；</w:t>
            </w:r>
          </w:p>
          <w:p>
            <w:pPr>
              <w:widowControl/>
              <w:spacing w:line="360" w:lineRule="auto"/>
              <w:ind w:firstLine="240" w:firstLineChars="100"/>
              <w:jc w:val="left"/>
              <w:textAlignment w:val="center"/>
              <w:rPr>
                <w:rStyle w:val="311"/>
                <w:rFonts w:hint="eastAsia" w:asciiTheme="minorEastAsia" w:hAnsiTheme="minorEastAsia" w:eastAsiaTheme="minorEastAsia" w:cstheme="minorEastAsia"/>
                <w:color w:val="auto"/>
                <w:sz w:val="24"/>
                <w:szCs w:val="24"/>
                <w:highlight w:val="none"/>
                <w:lang w:bidi="ar"/>
              </w:rPr>
            </w:pPr>
            <w:r>
              <w:rPr>
                <w:rStyle w:val="311"/>
                <w:rFonts w:hint="eastAsia" w:asciiTheme="minorEastAsia" w:hAnsiTheme="minorEastAsia" w:eastAsiaTheme="minorEastAsia" w:cstheme="minorEastAsia"/>
                <w:color w:val="auto"/>
                <w:sz w:val="24"/>
                <w:szCs w:val="24"/>
                <w:highlight w:val="none"/>
                <w:lang w:bidi="ar"/>
              </w:rPr>
              <w:t xml:space="preserve">  (4)金属合金件：无锈蚀、氧化膜脱落、刃口、锐棱，表面细密，应无裂纹、毛刺、黑斑等缺陷；</w:t>
            </w:r>
          </w:p>
          <w:p>
            <w:pPr>
              <w:widowControl/>
              <w:spacing w:line="360" w:lineRule="auto"/>
              <w:ind w:firstLine="240" w:firstLineChars="100"/>
              <w:jc w:val="left"/>
              <w:textAlignment w:val="center"/>
              <w:rPr>
                <w:rStyle w:val="311"/>
                <w:rFonts w:hint="eastAsia" w:asciiTheme="minorEastAsia" w:hAnsiTheme="minorEastAsia" w:eastAsiaTheme="minorEastAsia" w:cstheme="minorEastAsia"/>
                <w:color w:val="auto"/>
                <w:sz w:val="24"/>
                <w:szCs w:val="24"/>
                <w:highlight w:val="none"/>
                <w:lang w:bidi="ar"/>
              </w:rPr>
            </w:pPr>
            <w:r>
              <w:rPr>
                <w:rStyle w:val="311"/>
                <w:rFonts w:hint="eastAsia" w:asciiTheme="minorEastAsia" w:hAnsiTheme="minorEastAsia" w:eastAsiaTheme="minorEastAsia" w:cstheme="minorEastAsia"/>
                <w:color w:val="auto"/>
                <w:sz w:val="24"/>
                <w:szCs w:val="24"/>
                <w:highlight w:val="none"/>
                <w:lang w:bidi="ar"/>
              </w:rPr>
              <w:t xml:space="preserve">    (5)皱纹或波纹：圆管和扁线管弯曲处弧形应圆滑一致；</w:t>
            </w:r>
          </w:p>
          <w:p>
            <w:pPr>
              <w:widowControl/>
              <w:spacing w:line="360" w:lineRule="auto"/>
              <w:ind w:firstLine="240" w:firstLineChars="100"/>
              <w:jc w:val="left"/>
              <w:textAlignment w:val="center"/>
              <w:rPr>
                <w:rStyle w:val="311"/>
                <w:rFonts w:hint="eastAsia" w:asciiTheme="minorEastAsia" w:hAnsiTheme="minorEastAsia" w:eastAsiaTheme="minorEastAsia" w:cstheme="minorEastAsia"/>
                <w:color w:val="auto"/>
                <w:sz w:val="24"/>
                <w:szCs w:val="24"/>
                <w:highlight w:val="none"/>
                <w:lang w:bidi="ar"/>
              </w:rPr>
            </w:pPr>
            <w:r>
              <w:rPr>
                <w:rStyle w:val="311"/>
                <w:rFonts w:hint="eastAsia" w:asciiTheme="minorEastAsia" w:hAnsiTheme="minorEastAsia" w:eastAsiaTheme="minorEastAsia" w:cstheme="minorEastAsia"/>
                <w:color w:val="auto"/>
                <w:sz w:val="24"/>
                <w:szCs w:val="24"/>
                <w:highlight w:val="none"/>
                <w:lang w:bidi="ar"/>
              </w:rPr>
              <w:t xml:space="preserve">    (6)喷涂层：涂层应无漏喷、锈蚀和脱色、掉色现象，涂层应光滑均匀，色泽一致，应无流挂、疙瘩、皱皮、飞漆等缺陷；</w:t>
            </w:r>
          </w:p>
          <w:p>
            <w:pPr>
              <w:widowControl/>
              <w:spacing w:line="360" w:lineRule="auto"/>
              <w:ind w:firstLine="240" w:firstLineChars="100"/>
              <w:jc w:val="left"/>
              <w:textAlignment w:val="center"/>
              <w:rPr>
                <w:rStyle w:val="311"/>
                <w:rFonts w:hint="eastAsia" w:asciiTheme="minorEastAsia" w:hAnsiTheme="minorEastAsia" w:eastAsiaTheme="minorEastAsia" w:cstheme="minorEastAsia"/>
                <w:color w:val="auto"/>
                <w:sz w:val="24"/>
                <w:szCs w:val="24"/>
                <w:highlight w:val="none"/>
                <w:lang w:bidi="ar"/>
              </w:rPr>
            </w:pPr>
            <w:r>
              <w:rPr>
                <w:rStyle w:val="311"/>
                <w:rFonts w:hint="eastAsia" w:asciiTheme="minorEastAsia" w:hAnsiTheme="minorEastAsia" w:eastAsiaTheme="minorEastAsia" w:cstheme="minorEastAsia"/>
                <w:color w:val="auto"/>
                <w:sz w:val="24"/>
                <w:szCs w:val="24"/>
                <w:highlight w:val="none"/>
                <w:lang w:bidi="ar"/>
              </w:rPr>
              <w:t xml:space="preserve">    (7)电镀层：表面应无剥落、返锈、毛刺，表面应无烧焦、起泡、针孔、裂纹、花斑（不包括镀彩锌）和划痕。</w:t>
            </w:r>
          </w:p>
          <w:p>
            <w:pPr>
              <w:widowControl/>
              <w:spacing w:line="360" w:lineRule="auto"/>
              <w:ind w:firstLine="240" w:firstLineChars="100"/>
              <w:jc w:val="left"/>
              <w:textAlignment w:val="center"/>
              <w:rPr>
                <w:rStyle w:val="311"/>
                <w:rFonts w:hint="eastAsia" w:asciiTheme="minorEastAsia" w:hAnsiTheme="minorEastAsia" w:eastAsiaTheme="minorEastAsia" w:cstheme="minorEastAsia"/>
                <w:color w:val="auto"/>
                <w:sz w:val="24"/>
                <w:szCs w:val="24"/>
                <w:highlight w:val="none"/>
                <w:lang w:bidi="ar"/>
              </w:rPr>
            </w:pPr>
            <w:r>
              <w:rPr>
                <w:rStyle w:val="311"/>
                <w:rFonts w:hint="eastAsia" w:asciiTheme="minorEastAsia" w:hAnsiTheme="minorEastAsia" w:eastAsiaTheme="minorEastAsia" w:cstheme="minorEastAsia"/>
                <w:color w:val="auto"/>
                <w:sz w:val="24"/>
                <w:szCs w:val="24"/>
                <w:highlight w:val="none"/>
                <w:lang w:bidi="ar"/>
              </w:rPr>
              <w:t>2.漆膜外观要求：</w:t>
            </w:r>
          </w:p>
          <w:p>
            <w:pPr>
              <w:widowControl/>
              <w:spacing w:line="360" w:lineRule="auto"/>
              <w:ind w:firstLine="240" w:firstLineChars="100"/>
              <w:jc w:val="left"/>
              <w:textAlignment w:val="center"/>
              <w:rPr>
                <w:rStyle w:val="311"/>
                <w:rFonts w:hint="eastAsia" w:asciiTheme="minorEastAsia" w:hAnsiTheme="minorEastAsia" w:eastAsiaTheme="minorEastAsia" w:cstheme="minorEastAsia"/>
                <w:color w:val="auto"/>
                <w:sz w:val="24"/>
                <w:szCs w:val="24"/>
                <w:highlight w:val="none"/>
                <w:lang w:bidi="ar"/>
              </w:rPr>
            </w:pPr>
            <w:r>
              <w:rPr>
                <w:rStyle w:val="311"/>
                <w:rFonts w:hint="eastAsia" w:asciiTheme="minorEastAsia" w:hAnsiTheme="minorEastAsia" w:eastAsiaTheme="minorEastAsia" w:cstheme="minorEastAsia"/>
                <w:color w:val="auto"/>
                <w:sz w:val="24"/>
                <w:szCs w:val="24"/>
                <w:highlight w:val="none"/>
                <w:lang w:bidi="ar"/>
              </w:rPr>
              <w:t xml:space="preserve">      (1)同色部件的色泽应相似；</w:t>
            </w:r>
          </w:p>
          <w:p>
            <w:pPr>
              <w:widowControl/>
              <w:spacing w:line="360" w:lineRule="auto"/>
              <w:ind w:firstLine="240" w:firstLineChars="100"/>
              <w:jc w:val="left"/>
              <w:textAlignment w:val="center"/>
              <w:rPr>
                <w:rStyle w:val="311"/>
                <w:rFonts w:hint="eastAsia" w:asciiTheme="minorEastAsia" w:hAnsiTheme="minorEastAsia" w:eastAsiaTheme="minorEastAsia" w:cstheme="minorEastAsia"/>
                <w:color w:val="auto"/>
                <w:sz w:val="24"/>
                <w:szCs w:val="24"/>
                <w:highlight w:val="none"/>
                <w:lang w:bidi="ar"/>
              </w:rPr>
            </w:pPr>
            <w:r>
              <w:rPr>
                <w:rStyle w:val="311"/>
                <w:rFonts w:hint="eastAsia" w:asciiTheme="minorEastAsia" w:hAnsiTheme="minorEastAsia" w:eastAsiaTheme="minorEastAsia" w:cstheme="minorEastAsia"/>
                <w:color w:val="auto"/>
                <w:sz w:val="24"/>
                <w:szCs w:val="24"/>
                <w:highlight w:val="none"/>
                <w:lang w:bidi="ar"/>
              </w:rPr>
              <w:t xml:space="preserve">      (2)应无褪色、掉色现象；</w:t>
            </w:r>
          </w:p>
          <w:p>
            <w:pPr>
              <w:widowControl/>
              <w:spacing w:line="360" w:lineRule="auto"/>
              <w:ind w:firstLine="240" w:firstLineChars="100"/>
              <w:jc w:val="left"/>
              <w:textAlignment w:val="center"/>
              <w:rPr>
                <w:rStyle w:val="311"/>
                <w:rFonts w:hint="eastAsia" w:asciiTheme="minorEastAsia" w:hAnsiTheme="minorEastAsia" w:eastAsiaTheme="minorEastAsia" w:cstheme="minorEastAsia"/>
                <w:color w:val="auto"/>
                <w:sz w:val="24"/>
                <w:szCs w:val="24"/>
                <w:highlight w:val="none"/>
                <w:lang w:bidi="ar"/>
              </w:rPr>
            </w:pPr>
            <w:r>
              <w:rPr>
                <w:rStyle w:val="311"/>
                <w:rFonts w:hint="eastAsia" w:asciiTheme="minorEastAsia" w:hAnsiTheme="minorEastAsia" w:eastAsiaTheme="minorEastAsia" w:cstheme="minorEastAsia"/>
                <w:color w:val="auto"/>
                <w:sz w:val="24"/>
                <w:szCs w:val="24"/>
                <w:highlight w:val="none"/>
                <w:lang w:bidi="ar"/>
              </w:rPr>
              <w:t xml:space="preserve">      (3)涂层不应有皱皮、发粘或漏漆现象；</w:t>
            </w:r>
          </w:p>
          <w:p>
            <w:pPr>
              <w:widowControl/>
              <w:spacing w:line="360" w:lineRule="auto"/>
              <w:ind w:firstLine="240" w:firstLineChars="100"/>
              <w:jc w:val="left"/>
              <w:textAlignment w:val="center"/>
              <w:rPr>
                <w:rStyle w:val="311"/>
                <w:rFonts w:hint="eastAsia" w:asciiTheme="minorEastAsia" w:hAnsiTheme="minorEastAsia" w:eastAsiaTheme="minorEastAsia" w:cstheme="minorEastAsia"/>
                <w:color w:val="auto"/>
                <w:sz w:val="24"/>
                <w:szCs w:val="24"/>
                <w:highlight w:val="none"/>
                <w:lang w:bidi="ar"/>
              </w:rPr>
            </w:pPr>
            <w:r>
              <w:rPr>
                <w:rStyle w:val="311"/>
                <w:rFonts w:hint="eastAsia" w:asciiTheme="minorEastAsia" w:hAnsiTheme="minorEastAsia" w:eastAsiaTheme="minorEastAsia" w:cstheme="minorEastAsia"/>
                <w:color w:val="auto"/>
                <w:sz w:val="24"/>
                <w:szCs w:val="24"/>
                <w:highlight w:val="none"/>
                <w:lang w:bidi="ar"/>
              </w:rPr>
              <w:t xml:space="preserve">      (4)涂层应平整光滑、清晰、无明显粒子、涨边现象；应无明显加工痕迹、划痕、雾光、白棱、白点、鼓泡、油白、流挂、缩孔、刷毛、积粉和杂渣。</w:t>
            </w:r>
          </w:p>
          <w:p>
            <w:pPr>
              <w:widowControl/>
              <w:spacing w:line="360" w:lineRule="auto"/>
              <w:ind w:firstLine="240" w:firstLineChars="100"/>
              <w:jc w:val="left"/>
              <w:textAlignment w:val="center"/>
              <w:rPr>
                <w:rStyle w:val="311"/>
                <w:rFonts w:hint="eastAsia" w:asciiTheme="minorEastAsia" w:hAnsiTheme="minorEastAsia" w:eastAsiaTheme="minorEastAsia" w:cstheme="minorEastAsia"/>
                <w:color w:val="auto"/>
                <w:sz w:val="24"/>
                <w:szCs w:val="24"/>
                <w:highlight w:val="none"/>
                <w:lang w:bidi="ar"/>
              </w:rPr>
            </w:pPr>
            <w:r>
              <w:rPr>
                <w:rStyle w:val="311"/>
                <w:rFonts w:hint="eastAsia" w:asciiTheme="minorEastAsia" w:hAnsiTheme="minorEastAsia" w:eastAsiaTheme="minorEastAsia" w:cstheme="minorEastAsia"/>
                <w:color w:val="auto"/>
                <w:sz w:val="24"/>
                <w:szCs w:val="24"/>
                <w:highlight w:val="none"/>
                <w:lang w:bidi="ar"/>
              </w:rPr>
              <w:t xml:space="preserve">    3.软包件：</w:t>
            </w:r>
          </w:p>
          <w:p>
            <w:pPr>
              <w:widowControl/>
              <w:spacing w:line="360" w:lineRule="auto"/>
              <w:jc w:val="left"/>
              <w:textAlignment w:val="center"/>
              <w:rPr>
                <w:rStyle w:val="311"/>
                <w:rFonts w:hint="eastAsia" w:asciiTheme="minorEastAsia" w:hAnsiTheme="minorEastAsia" w:eastAsiaTheme="minorEastAsia" w:cstheme="minorEastAsia"/>
                <w:color w:val="auto"/>
                <w:sz w:val="24"/>
                <w:szCs w:val="24"/>
                <w:highlight w:val="none"/>
                <w:lang w:bidi="ar"/>
              </w:rPr>
            </w:pPr>
            <w:r>
              <w:rPr>
                <w:rStyle w:val="311"/>
                <w:rFonts w:hint="eastAsia" w:asciiTheme="minorEastAsia" w:hAnsiTheme="minorEastAsia" w:eastAsiaTheme="minorEastAsia" w:cstheme="minorEastAsia"/>
                <w:color w:val="auto"/>
                <w:sz w:val="24"/>
                <w:szCs w:val="24"/>
                <w:highlight w:val="none"/>
                <w:lang w:bidi="ar"/>
              </w:rPr>
              <w:t xml:space="preserve">      (1)外露泡钉：应排列应整齐，间距基本相等，不应有泡钉明显敲扁或脱漆；</w:t>
            </w:r>
          </w:p>
          <w:p>
            <w:pPr>
              <w:widowControl/>
              <w:spacing w:line="360" w:lineRule="auto"/>
              <w:ind w:firstLine="240" w:firstLineChars="100"/>
              <w:jc w:val="left"/>
              <w:textAlignment w:val="center"/>
              <w:rPr>
                <w:rStyle w:val="311"/>
                <w:rFonts w:hint="eastAsia" w:asciiTheme="minorEastAsia" w:hAnsiTheme="minorEastAsia" w:eastAsiaTheme="minorEastAsia" w:cstheme="minorEastAsia"/>
                <w:color w:val="auto"/>
                <w:sz w:val="24"/>
                <w:szCs w:val="24"/>
                <w:highlight w:val="none"/>
                <w:lang w:bidi="ar"/>
              </w:rPr>
            </w:pPr>
            <w:r>
              <w:rPr>
                <w:rStyle w:val="311"/>
                <w:rFonts w:hint="eastAsia" w:asciiTheme="minorEastAsia" w:hAnsiTheme="minorEastAsia" w:eastAsiaTheme="minorEastAsia" w:cstheme="minorEastAsia"/>
                <w:color w:val="auto"/>
                <w:sz w:val="24"/>
                <w:szCs w:val="24"/>
                <w:highlight w:val="none"/>
                <w:lang w:bidi="ar"/>
              </w:rPr>
              <w:t xml:space="preserve">    4.塑料件:应无裂纹，无明显变形，应无明显缩孔、气泡、杂质、伤痕，外表用塑料件表面应光洁、无划痕、无污渍、无明显色差。</w:t>
            </w:r>
          </w:p>
          <w:p>
            <w:pPr>
              <w:widowControl/>
              <w:spacing w:line="360" w:lineRule="auto"/>
              <w:ind w:firstLine="241" w:firstLineChars="100"/>
              <w:jc w:val="left"/>
              <w:textAlignment w:val="center"/>
              <w:rPr>
                <w:rFonts w:hint="eastAsia" w:asciiTheme="minorEastAsia" w:hAnsiTheme="minorEastAsia" w:eastAsiaTheme="minorEastAsia" w:cstheme="minorEastAsia"/>
                <w:b/>
                <w:bCs/>
                <w:color w:val="auto"/>
                <w:kern w:val="0"/>
                <w:sz w:val="24"/>
                <w:szCs w:val="24"/>
                <w:highlight w:val="none"/>
                <w:lang w:bidi="ar"/>
              </w:rPr>
            </w:pPr>
            <w:r>
              <w:rPr>
                <w:rFonts w:hint="eastAsia" w:asciiTheme="minorEastAsia" w:hAnsiTheme="minorEastAsia" w:eastAsiaTheme="minorEastAsia" w:cstheme="minorEastAsia"/>
                <w:b/>
                <w:bCs/>
                <w:color w:val="auto"/>
                <w:kern w:val="0"/>
                <w:sz w:val="24"/>
                <w:szCs w:val="24"/>
                <w:highlight w:val="none"/>
                <w:lang w:bidi="ar"/>
              </w:rPr>
              <w:t>五、制作工艺（3分）：每个不合格项扣0.5分，扣完为止。</w:t>
            </w:r>
          </w:p>
          <w:p>
            <w:pPr>
              <w:widowControl/>
              <w:spacing w:line="360" w:lineRule="auto"/>
              <w:jc w:val="left"/>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 xml:space="preserve">    1.板件或部件在接触人体或贮物部位不应有毛刺、刃口或棱角；</w:t>
            </w:r>
          </w:p>
          <w:p>
            <w:pPr>
              <w:widowControl/>
              <w:spacing w:line="360" w:lineRule="auto"/>
              <w:jc w:val="left"/>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 xml:space="preserve">    2.板件或部件的外表应光滑，倒棱、圆角、圆线应均匀一致；</w:t>
            </w:r>
          </w:p>
          <w:p>
            <w:pPr>
              <w:widowControl/>
              <w:spacing w:line="360" w:lineRule="auto"/>
              <w:ind w:firstLine="240" w:firstLineChars="100"/>
              <w:jc w:val="left"/>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 xml:space="preserve">  3.零部件的结合应严密、牢固；</w:t>
            </w:r>
          </w:p>
          <w:p>
            <w:pPr>
              <w:widowControl/>
              <w:spacing w:line="360" w:lineRule="auto"/>
              <w:ind w:firstLine="240" w:firstLineChars="100"/>
              <w:jc w:val="left"/>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 xml:space="preserve">  4.各种配件、连接件安装不应有少件、漏钉、透钉（预留孔、选择孔除外）；</w:t>
            </w:r>
          </w:p>
          <w:p>
            <w:pPr>
              <w:widowControl/>
              <w:spacing w:line="360" w:lineRule="auto"/>
              <w:ind w:firstLine="240" w:firstLineChars="100"/>
              <w:jc w:val="left"/>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 xml:space="preserve">  5.各种配件安装应严密、平整、端正、牢固，结合处应无开裂或松动；</w:t>
            </w:r>
          </w:p>
          <w:p>
            <w:pPr>
              <w:widowControl/>
              <w:spacing w:line="360" w:lineRule="auto"/>
              <w:jc w:val="left"/>
              <w:textAlignment w:val="center"/>
              <w:rPr>
                <w:rFonts w:hint="eastAsia" w:asciiTheme="minorEastAsia" w:hAnsiTheme="minorEastAsia" w:eastAsiaTheme="minorEastAsia" w:cstheme="minorEastAsia"/>
                <w:b/>
                <w:bCs/>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 xml:space="preserve">   </w:t>
            </w:r>
            <w:r>
              <w:rPr>
                <w:rFonts w:hint="eastAsia" w:asciiTheme="minorEastAsia" w:hAnsiTheme="minorEastAsia" w:eastAsiaTheme="minorEastAsia" w:cstheme="minorEastAsia"/>
                <w:b/>
                <w:bCs/>
                <w:color w:val="auto"/>
                <w:kern w:val="0"/>
                <w:sz w:val="24"/>
                <w:szCs w:val="24"/>
                <w:highlight w:val="none"/>
                <w:lang w:bidi="ar"/>
              </w:rPr>
              <w:t>六、结构及安全（2分）：每个不合格项扣0.5分，扣完为止。</w:t>
            </w:r>
          </w:p>
          <w:p>
            <w:pPr>
              <w:widowControl/>
              <w:spacing w:line="360" w:lineRule="auto"/>
              <w:ind w:firstLine="240" w:firstLineChars="100"/>
              <w:jc w:val="left"/>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 xml:space="preserve">  1.活动部件间距离≤5mm或≥25mm；</w:t>
            </w:r>
          </w:p>
          <w:p>
            <w:pPr>
              <w:widowControl/>
              <w:spacing w:line="360" w:lineRule="auto"/>
              <w:jc w:val="left"/>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 xml:space="preserve">    2.所有垂直滑行的部件，在高于闭合点50mm的任一位置，不应自行下落；</w:t>
            </w:r>
          </w:p>
          <w:p>
            <w:pPr>
              <w:spacing w:line="360" w:lineRule="auto"/>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 xml:space="preserve">    3.其他结构安全项目通过眼观和手感等方法进行检测</w:t>
            </w:r>
          </w:p>
        </w:tc>
        <w:tc>
          <w:tcPr>
            <w:tcW w:w="407" w:type="pct"/>
            <w:vAlign w:val="center"/>
          </w:tcPr>
          <w:p>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19</w:t>
            </w:r>
          </w:p>
        </w:tc>
        <w:tc>
          <w:tcPr>
            <w:tcW w:w="1095" w:type="pct"/>
            <w:vAlign w:val="center"/>
          </w:tcPr>
          <w:p>
            <w:pPr>
              <w:spacing w:line="360" w:lineRule="auto"/>
              <w:jc w:val="center"/>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jc w:val="right"/>
        </w:trPr>
        <w:tc>
          <w:tcPr>
            <w:tcW w:w="468" w:type="pct"/>
            <w:vAlign w:val="center"/>
          </w:tcPr>
          <w:p>
            <w:pPr>
              <w:spacing w:line="360" w:lineRule="auto"/>
              <w:ind w:firstLine="240" w:firstLineChars="100"/>
              <w:outlineLvl w:val="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 1</w:t>
            </w:r>
            <w:r>
              <w:rPr>
                <w:rFonts w:hint="eastAsia" w:asciiTheme="minorEastAsia" w:hAnsiTheme="minorEastAsia" w:eastAsiaTheme="minorEastAsia" w:cstheme="minorEastAsia"/>
                <w:color w:val="auto"/>
                <w:sz w:val="24"/>
                <w:szCs w:val="24"/>
                <w:highlight w:val="none"/>
                <w:lang w:val="en-US" w:eastAsia="zh-CN"/>
              </w:rPr>
              <w:t>8</w:t>
            </w:r>
          </w:p>
        </w:tc>
        <w:tc>
          <w:tcPr>
            <w:tcW w:w="3028" w:type="pct"/>
          </w:tcPr>
          <w:p>
            <w:pPr>
              <w:spacing w:line="360" w:lineRule="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有效投标报价的最低价作为评标基准价，其最低报价为满分；按［投标报价得分=（评标基准价/投标报价）*30］的计算公式计算。</w:t>
            </w:r>
          </w:p>
          <w:p>
            <w:pPr>
              <w:widowControl/>
              <w:shd w:val="clear" w:color="auto" w:fill="FFFFFF"/>
              <w:adjustRightInd/>
              <w:spacing w:after="225" w:line="360" w:lineRule="auto"/>
              <w:ind w:firstLine="42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评标过程中，不得去掉报价中的最高报价和最低报价。</w:t>
            </w:r>
          </w:p>
          <w:p>
            <w:pPr>
              <w:widowControl/>
              <w:shd w:val="clear" w:color="auto" w:fill="FFFFFF"/>
              <w:adjustRightInd/>
              <w:spacing w:after="225" w:line="360" w:lineRule="auto"/>
              <w:ind w:firstLine="42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因落实政府采购政策需要进行价格调整的，以调整后的价格计算评标基准价和投标报价。</w:t>
            </w:r>
          </w:p>
        </w:tc>
        <w:tc>
          <w:tcPr>
            <w:tcW w:w="407" w:type="pct"/>
            <w:vAlign w:val="center"/>
          </w:tcPr>
          <w:p>
            <w:pPr>
              <w:spacing w:line="360" w:lineRule="auto"/>
              <w:ind w:firstLine="120" w:firstLineChars="50"/>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30</w:t>
            </w:r>
          </w:p>
        </w:tc>
        <w:tc>
          <w:tcPr>
            <w:tcW w:w="1095" w:type="pct"/>
            <w:vAlign w:val="center"/>
          </w:tcPr>
          <w:p>
            <w:pPr>
              <w:spacing w:line="360" w:lineRule="auto"/>
              <w:jc w:val="center"/>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right"/>
        </w:trPr>
        <w:tc>
          <w:tcPr>
            <w:tcW w:w="468" w:type="pct"/>
            <w:vAlign w:val="center"/>
          </w:tcPr>
          <w:p>
            <w:pPr>
              <w:spacing w:line="360" w:lineRule="auto"/>
              <w:ind w:firstLine="240" w:firstLineChars="100"/>
              <w:outlineLvl w:val="0"/>
              <w:rPr>
                <w:rFonts w:hint="eastAsia" w:asciiTheme="minorEastAsia" w:hAnsiTheme="minorEastAsia" w:eastAsiaTheme="minorEastAsia" w:cstheme="minorEastAsia"/>
                <w:color w:val="auto"/>
                <w:sz w:val="24"/>
                <w:szCs w:val="24"/>
                <w:highlight w:val="none"/>
              </w:rPr>
            </w:pPr>
          </w:p>
        </w:tc>
        <w:tc>
          <w:tcPr>
            <w:tcW w:w="3028" w:type="pct"/>
          </w:tcPr>
          <w:p>
            <w:pPr>
              <w:widowControl/>
              <w:shd w:val="clear" w:color="auto" w:fill="FFFFFF"/>
              <w:adjustRightInd/>
              <w:spacing w:after="225" w:line="360" w:lineRule="auto"/>
              <w:ind w:firstLine="42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注意：不得以特定金额的业绩作为评审因素，政府采购货物和服务项目业绩分不得高于价格分的10%。</w:t>
            </w:r>
          </w:p>
        </w:tc>
        <w:tc>
          <w:tcPr>
            <w:tcW w:w="407" w:type="pct"/>
            <w:vAlign w:val="center"/>
          </w:tcPr>
          <w:p>
            <w:pPr>
              <w:spacing w:line="360" w:lineRule="auto"/>
              <w:ind w:firstLine="120" w:firstLineChars="50"/>
              <w:outlineLvl w:val="0"/>
              <w:rPr>
                <w:rFonts w:hint="eastAsia" w:asciiTheme="minorEastAsia" w:hAnsiTheme="minorEastAsia" w:eastAsiaTheme="minorEastAsia" w:cstheme="minorEastAsia"/>
                <w:color w:val="auto"/>
                <w:sz w:val="24"/>
                <w:szCs w:val="24"/>
                <w:highlight w:val="none"/>
              </w:rPr>
            </w:pPr>
          </w:p>
        </w:tc>
        <w:tc>
          <w:tcPr>
            <w:tcW w:w="1095" w:type="pct"/>
            <w:vAlign w:val="center"/>
          </w:tcPr>
          <w:p>
            <w:pPr>
              <w:spacing w:line="360" w:lineRule="auto"/>
              <w:jc w:val="center"/>
              <w:outlineLvl w:val="0"/>
              <w:rPr>
                <w:rFonts w:hint="eastAsia" w:asciiTheme="minorEastAsia" w:hAnsiTheme="minorEastAsia" w:eastAsiaTheme="minorEastAsia" w:cstheme="minorEastAsia"/>
                <w:color w:val="auto"/>
                <w:sz w:val="24"/>
                <w:szCs w:val="24"/>
                <w:highlight w:val="none"/>
              </w:rPr>
            </w:pPr>
          </w:p>
        </w:tc>
      </w:tr>
    </w:tbl>
    <w:p>
      <w:pPr>
        <w:pStyle w:val="2"/>
        <w:rPr>
          <w:rFonts w:hint="eastAsia"/>
          <w:color w:val="auto"/>
          <w:highlight w:val="none"/>
        </w:rPr>
      </w:pPr>
    </w:p>
    <w:p>
      <w:pPr>
        <w:snapToGrid w:val="0"/>
        <w:spacing w:line="360" w:lineRule="auto"/>
        <w:rPr>
          <w:rFonts w:hint="eastAsia" w:ascii="宋体" w:hAnsi="宋体" w:cs="宋体"/>
          <w:b/>
          <w:color w:val="auto"/>
          <w:sz w:val="24"/>
          <w:highlight w:val="none"/>
        </w:rPr>
      </w:pP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28"/>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含最高限制单价</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的，投标无效。</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28"/>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含最高限制单价</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4"/>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pPr>
        <w:pStyle w:val="24"/>
        <w:snapToGrid w:val="0"/>
        <w:spacing w:line="360" w:lineRule="auto"/>
        <w:rPr>
          <w:rFonts w:cs="宋体"/>
          <w:color w:val="auto"/>
          <w:highlight w:val="none"/>
        </w:rPr>
      </w:pPr>
      <w:r>
        <w:rPr>
          <w:rFonts w:hint="eastAsia" w:cs="宋体"/>
          <w:color w:val="auto"/>
          <w:highlight w:val="none"/>
        </w:rPr>
        <w:t>5.4因重大变故，采购任务取消的。</w:t>
      </w:r>
    </w:p>
    <w:p>
      <w:pPr>
        <w:pStyle w:val="24"/>
        <w:snapToGrid w:val="0"/>
        <w:spacing w:line="360" w:lineRule="auto"/>
        <w:rPr>
          <w:rFonts w:cs="宋体"/>
          <w:color w:val="auto"/>
          <w:highlight w:val="none"/>
        </w:rPr>
      </w:pPr>
      <w:r>
        <w:rPr>
          <w:rFonts w:hint="eastAsia" w:cs="宋体"/>
          <w:color w:val="auto"/>
          <w:highlight w:val="none"/>
        </w:rPr>
        <w:t>废标后，采购机构应当将废标理由通知所有投标人。</w:t>
      </w:r>
    </w:p>
    <w:p>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pPr>
        <w:pStyle w:val="24"/>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4"/>
        <w:snapToGrid w:val="0"/>
        <w:spacing w:line="360" w:lineRule="auto"/>
        <w:ind w:firstLine="0" w:firstLineChars="0"/>
        <w:rPr>
          <w:rFonts w:cs="宋体"/>
          <w:color w:val="auto"/>
          <w:highlight w:val="none"/>
        </w:rPr>
      </w:pPr>
    </w:p>
    <w:bookmarkEnd w:id="32"/>
    <w:p>
      <w:pPr>
        <w:spacing w:line="360" w:lineRule="auto"/>
        <w:ind w:left="720" w:leftChars="343" w:firstLine="1084" w:firstLineChars="300"/>
        <w:outlineLvl w:val="0"/>
        <w:rPr>
          <w:rFonts w:ascii="宋体" w:hAnsi="宋体" w:cs="宋体"/>
          <w:b/>
          <w:color w:val="auto"/>
          <w:sz w:val="36"/>
          <w:szCs w:val="36"/>
          <w:highlight w:val="none"/>
        </w:rPr>
      </w:pPr>
      <w:bookmarkStart w:id="41" w:name="第五部分"/>
      <w:bookmarkStart w:id="42" w:name="_Toc86217003"/>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p>
    <w:p>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（货物类）</w:t>
      </w:r>
    </w:p>
    <w:p>
      <w:pPr>
        <w:pStyle w:val="699"/>
        <w:rPr>
          <w:rFonts w:ascii="宋体" w:hAnsi="宋体" w:cs="宋体"/>
          <w:color w:val="auto"/>
          <w:szCs w:val="24"/>
          <w:highlight w:val="none"/>
        </w:rPr>
      </w:pPr>
    </w:p>
    <w:p>
      <w:pPr>
        <w:pStyle w:val="699"/>
        <w:rPr>
          <w:rFonts w:ascii="宋体" w:hAnsi="宋体" w:cs="宋体"/>
          <w:color w:val="auto"/>
          <w:szCs w:val="24"/>
          <w:highlight w:val="none"/>
        </w:rPr>
      </w:pPr>
    </w:p>
    <w:p>
      <w:pPr>
        <w:pStyle w:val="699"/>
        <w:jc w:val="center"/>
        <w:rPr>
          <w:rFonts w:ascii="宋体" w:hAnsi="宋体" w:cs="宋体"/>
          <w:color w:val="auto"/>
          <w:szCs w:val="24"/>
          <w:highlight w:val="none"/>
        </w:rPr>
      </w:pPr>
    </w:p>
    <w:p>
      <w:pPr>
        <w:pStyle w:val="699"/>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pPr>
        <w:pStyle w:val="699"/>
        <w:rPr>
          <w:rFonts w:ascii="宋体" w:hAnsi="宋体" w:cs="宋体"/>
          <w:color w:val="auto"/>
          <w:szCs w:val="24"/>
          <w:highlight w:val="none"/>
        </w:rPr>
      </w:pPr>
    </w:p>
    <w:p>
      <w:pPr>
        <w:pStyle w:val="699"/>
        <w:rPr>
          <w:rFonts w:ascii="宋体" w:hAnsi="宋体" w:cs="宋体"/>
          <w:color w:val="auto"/>
          <w:szCs w:val="24"/>
          <w:highlight w:val="none"/>
        </w:rPr>
      </w:pP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596"/>
        <w:spacing w:before="120" w:line="22" w:lineRule="atLeast"/>
        <w:rPr>
          <w:rFonts w:ascii="宋体" w:hAnsi="宋体" w:eastAsia="宋体" w:cs="宋体"/>
          <w:color w:val="auto"/>
          <w:szCs w:val="24"/>
          <w:highlight w:val="none"/>
        </w:rPr>
      </w:pPr>
    </w:p>
    <w:p>
      <w:pPr>
        <w:pStyle w:val="596"/>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杭州市公安局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（政府采购方式）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（同前页项目名称）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（中标供应商名称）</w:t>
      </w:r>
      <w:r>
        <w:rPr>
          <w:rFonts w:hint="eastAsia" w:ascii="宋体" w:hAnsi="宋体" w:cs="宋体"/>
          <w:color w:val="auto"/>
          <w:sz w:val="24"/>
          <w:highlight w:val="none"/>
        </w:rPr>
        <w:t>为该项目中标供应商。现于中标通知书发出之日起10个工作日内，按照采购文件确定的事项签订本合同。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杭州市公安局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pPr>
        <w:spacing w:line="560" w:lineRule="exact"/>
        <w:ind w:firstLine="482" w:firstLineChars="200"/>
        <w:outlineLvl w:val="0"/>
        <w:rPr>
          <w:rFonts w:ascii="宋体" w:hAnsi="宋体" w:cs="宋体"/>
          <w:b/>
          <w:color w:val="auto"/>
          <w:sz w:val="24"/>
          <w:highlight w:val="none"/>
        </w:rPr>
      </w:pPr>
      <w:bookmarkStart w:id="43" w:name="_Toc3029"/>
      <w:bookmarkStart w:id="44" w:name="_Toc24059"/>
      <w:bookmarkStart w:id="45" w:name="_Toc2232"/>
      <w:r>
        <w:rPr>
          <w:rFonts w:hint="eastAsia" w:ascii="宋体" w:hAnsi="宋体" w:cs="宋体"/>
          <w:b/>
          <w:color w:val="auto"/>
          <w:sz w:val="24"/>
          <w:highlight w:val="none"/>
        </w:rPr>
        <w:t>1.1 合同组成部分</w:t>
      </w:r>
      <w:bookmarkEnd w:id="43"/>
      <w:bookmarkEnd w:id="44"/>
      <w:bookmarkEnd w:id="45"/>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投标文件（含澄清或者说明文件）；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招标文件（含澄清或者修改文件）；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其他相关采购文件。</w:t>
      </w:r>
    </w:p>
    <w:p>
      <w:pPr>
        <w:spacing w:line="560" w:lineRule="exact"/>
        <w:ind w:firstLine="482" w:firstLineChars="200"/>
        <w:outlineLvl w:val="0"/>
        <w:rPr>
          <w:rFonts w:ascii="宋体" w:hAnsi="宋体" w:cs="宋体"/>
          <w:b/>
          <w:color w:val="auto"/>
          <w:sz w:val="24"/>
          <w:highlight w:val="none"/>
        </w:rPr>
      </w:pPr>
      <w:bookmarkStart w:id="46" w:name="_Toc24300"/>
      <w:bookmarkStart w:id="47" w:name="_Toc27126"/>
      <w:bookmarkStart w:id="48" w:name="_Toc21295"/>
      <w:r>
        <w:rPr>
          <w:rFonts w:hint="eastAsia" w:ascii="宋体" w:hAnsi="宋体" w:cs="宋体"/>
          <w:b/>
          <w:color w:val="auto"/>
          <w:sz w:val="24"/>
          <w:highlight w:val="none"/>
        </w:rPr>
        <w:t>1.2 货物</w:t>
      </w:r>
      <w:bookmarkEnd w:id="46"/>
      <w:bookmarkEnd w:id="47"/>
      <w:bookmarkEnd w:id="48"/>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1.2.1 货物名称：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9" w:name="_Toc21631"/>
      <w:bookmarkStart w:id="50" w:name="_Toc23292"/>
      <w:bookmarkStart w:id="51" w:name="_Toc21551"/>
      <w:r>
        <w:rPr>
          <w:rFonts w:hint="eastAsia" w:ascii="宋体" w:hAnsi="宋体" w:cs="宋体"/>
          <w:b/>
          <w:color w:val="auto"/>
          <w:sz w:val="24"/>
          <w:highlight w:val="none"/>
        </w:rPr>
        <w:t>1.3 价款</w:t>
      </w:r>
      <w:bookmarkEnd w:id="49"/>
      <w:bookmarkEnd w:id="50"/>
      <w:bookmarkEnd w:id="51"/>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本合同总价为：￥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w:t>
      </w:r>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color w:val="auto"/>
                <w:sz w:val="24"/>
                <w:szCs w:val="24"/>
                <w:highlight w:val="none"/>
              </w:rPr>
            </w:pPr>
            <w:r>
              <w:rPr>
                <w:rFonts w:hint="eastAsia" w:hAnsi="宋体" w:cs="宋体"/>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Ansi="宋体" w:cs="宋体"/>
                <w:color w:val="auto"/>
                <w:sz w:val="24"/>
                <w:szCs w:val="24"/>
                <w:highlight w:val="none"/>
              </w:rPr>
            </w:pPr>
            <w:r>
              <w:rPr>
                <w:rFonts w:hint="eastAsia" w:hAnsi="宋体" w:cs="宋体"/>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r>
              <w:rPr>
                <w:rFonts w:hint="eastAsia" w:hAnsi="宋体" w:cs="宋体"/>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Ansi="宋体" w:cs="宋体"/>
                <w:color w:val="auto"/>
                <w:sz w:val="24"/>
                <w:szCs w:val="24"/>
                <w:highlight w:val="none"/>
              </w:rPr>
            </w:pPr>
          </w:p>
        </w:tc>
      </w:tr>
    </w:tbl>
    <w:p>
      <w:pPr>
        <w:spacing w:line="560" w:lineRule="exact"/>
        <w:ind w:firstLine="482" w:firstLineChars="200"/>
        <w:outlineLvl w:val="0"/>
        <w:rPr>
          <w:rFonts w:ascii="宋体" w:hAnsi="宋体" w:cs="宋体"/>
          <w:b/>
          <w:color w:val="auto"/>
          <w:sz w:val="24"/>
          <w:highlight w:val="none"/>
        </w:rPr>
      </w:pPr>
      <w:bookmarkStart w:id="52" w:name="_Toc22618"/>
      <w:bookmarkStart w:id="53" w:name="_Toc1814"/>
      <w:bookmarkStart w:id="54" w:name="_Toc10340"/>
      <w:r>
        <w:rPr>
          <w:rFonts w:hint="eastAsia" w:ascii="宋体" w:hAnsi="宋体" w:cs="宋体"/>
          <w:b/>
          <w:color w:val="auto"/>
          <w:sz w:val="24"/>
          <w:highlight w:val="none"/>
        </w:rPr>
        <w:t>1.4 付款</w:t>
      </w:r>
      <w:bookmarkEnd w:id="52"/>
      <w:bookmarkEnd w:id="53"/>
      <w:bookmarkEnd w:id="54"/>
      <w:r>
        <w:rPr>
          <w:rFonts w:hint="eastAsia" w:ascii="宋体" w:hAnsi="宋体" w:cs="宋体"/>
          <w:b/>
          <w:color w:val="auto"/>
          <w:sz w:val="24"/>
          <w:highlight w:val="none"/>
        </w:rPr>
        <w:t>方式、时间和条件</w:t>
      </w:r>
    </w:p>
    <w:p>
      <w:pPr>
        <w:pStyle w:val="957"/>
        <w:spacing w:before="0" w:beforeAutospacing="0" w:after="0" w:afterAutospacing="0" w:line="360" w:lineRule="auto"/>
        <w:ind w:firstLine="480"/>
        <w:rPr>
          <w:color w:val="auto"/>
          <w:highlight w:val="none"/>
        </w:rPr>
      </w:pPr>
      <w:r>
        <w:rPr>
          <w:rFonts w:hint="eastAsia"/>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1.4.2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1.4.4资金支付的方式、时间和条件详见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ascii="宋体" w:hAnsi="宋体" w:cs="宋体"/>
          <w:b/>
          <w:color w:val="auto"/>
          <w:sz w:val="24"/>
          <w:highlight w:val="none"/>
        </w:rPr>
      </w:pPr>
      <w:bookmarkStart w:id="55" w:name="_Toc2846"/>
      <w:bookmarkStart w:id="56" w:name="_Toc32071"/>
      <w:bookmarkStart w:id="57" w:name="_Toc19304"/>
      <w:r>
        <w:rPr>
          <w:rFonts w:hint="eastAsia" w:ascii="宋体" w:hAnsi="宋体" w:cs="宋体"/>
          <w:b/>
          <w:color w:val="auto"/>
          <w:sz w:val="24"/>
          <w:highlight w:val="none"/>
        </w:rPr>
        <w:t>1.5 货物交付期限、地点和方式</w:t>
      </w:r>
      <w:bookmarkEnd w:id="55"/>
      <w:bookmarkEnd w:id="56"/>
      <w:bookmarkEnd w:id="57"/>
    </w:p>
    <w:p>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1.5.1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58" w:name="_Toc27250"/>
      <w:bookmarkStart w:id="59" w:name="_Toc19554"/>
      <w:bookmarkStart w:id="60" w:name="_Toc21423"/>
      <w:r>
        <w:rPr>
          <w:rFonts w:hint="eastAsia" w:ascii="宋体" w:hAnsi="宋体" w:cs="宋体"/>
          <w:b/>
          <w:color w:val="auto"/>
          <w:sz w:val="24"/>
          <w:highlight w:val="none"/>
        </w:rPr>
        <w:t>1.6 违约责任</w:t>
      </w:r>
      <w:bookmarkEnd w:id="58"/>
      <w:bookmarkEnd w:id="59"/>
      <w:bookmarkEnd w:id="6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ascii="宋体" w:hAnsi="宋体" w:cs="宋体"/>
          <w:color w:val="auto"/>
          <w:highlight w:val="none"/>
        </w:rPr>
      </w:pPr>
      <w:r>
        <w:rPr>
          <w:rFonts w:hint="eastAsia" w:ascii="宋体" w:hAnsi="宋体" w:cs="宋体"/>
          <w:color w:val="auto"/>
          <w:sz w:val="24"/>
          <w:highlight w:val="none"/>
        </w:rPr>
        <w:t>1.6.7违约责任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p>
      <w:pPr>
        <w:spacing w:line="560" w:lineRule="exact"/>
        <w:ind w:firstLine="482" w:firstLineChars="200"/>
        <w:outlineLvl w:val="0"/>
        <w:rPr>
          <w:rFonts w:ascii="宋体" w:hAnsi="宋体" w:cs="宋体"/>
          <w:b/>
          <w:color w:val="auto"/>
          <w:sz w:val="24"/>
          <w:highlight w:val="none"/>
        </w:rPr>
      </w:pPr>
      <w:bookmarkStart w:id="61" w:name="_Toc15583"/>
      <w:bookmarkStart w:id="62" w:name="_Toc28375"/>
      <w:bookmarkStart w:id="63" w:name="_Toc16021"/>
      <w:r>
        <w:rPr>
          <w:rFonts w:hint="eastAsia" w:ascii="宋体" w:hAnsi="宋体" w:cs="宋体"/>
          <w:b/>
          <w:color w:val="auto"/>
          <w:sz w:val="24"/>
          <w:highlight w:val="none"/>
        </w:rPr>
        <w:t>1.7 合同争议的解决</w:t>
      </w:r>
      <w:bookmarkEnd w:id="61"/>
      <w:bookmarkEnd w:id="62"/>
      <w:bookmarkEnd w:id="63"/>
    </w:p>
    <w:p>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合同专用条款  </w:t>
      </w:r>
      <w:r>
        <w:rPr>
          <w:rFonts w:hint="eastAsia" w:ascii="宋体" w:hAnsi="宋体" w:cs="宋体"/>
          <w:color w:val="auto"/>
          <w:sz w:val="24"/>
          <w:highlight w:val="none"/>
        </w:rPr>
        <w:t>条款规定的方式解决：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pPr>
        <w:spacing w:line="560" w:lineRule="exact"/>
        <w:ind w:firstLine="482" w:firstLineChars="200"/>
        <w:outlineLvl w:val="0"/>
        <w:rPr>
          <w:rFonts w:ascii="宋体" w:hAnsi="宋体" w:cs="宋体"/>
          <w:b/>
          <w:color w:val="auto"/>
          <w:sz w:val="24"/>
          <w:highlight w:val="none"/>
        </w:rPr>
      </w:pPr>
      <w:bookmarkStart w:id="64" w:name="_Toc15322"/>
      <w:bookmarkStart w:id="65" w:name="_Toc11173"/>
      <w:bookmarkStart w:id="66" w:name="_Toc7245"/>
      <w:r>
        <w:rPr>
          <w:rFonts w:hint="eastAsia" w:ascii="宋体" w:hAnsi="宋体" w:cs="宋体"/>
          <w:b/>
          <w:color w:val="auto"/>
          <w:sz w:val="24"/>
          <w:highlight w:val="none"/>
        </w:rPr>
        <w:t>1.8 合同生效</w:t>
      </w:r>
      <w:bookmarkEnd w:id="64"/>
      <w:bookmarkEnd w:id="65"/>
      <w:bookmarkEnd w:id="66"/>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本合同自双方当事人盖章或者签字时生效。</w:t>
      </w:r>
    </w:p>
    <w:p>
      <w:pPr>
        <w:autoSpaceDE w:val="0"/>
        <w:autoSpaceDN w:val="0"/>
        <w:spacing w:line="560" w:lineRule="exact"/>
        <w:rPr>
          <w:rFonts w:ascii="宋体" w:hAnsi="宋体" w:cs="宋体"/>
          <w:color w:val="auto"/>
          <w:sz w:val="24"/>
          <w:highlight w:val="none"/>
          <w:lang w:val="zh-CN"/>
        </w:rPr>
      </w:pPr>
    </w:p>
    <w:p>
      <w:pPr>
        <w:autoSpaceDE w:val="0"/>
        <w:autoSpaceDN w:val="0"/>
        <w:spacing w:line="560" w:lineRule="exact"/>
        <w:rPr>
          <w:rFonts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pPr>
        <w:autoSpaceDE w:val="0"/>
        <w:autoSpaceDN w:val="0"/>
        <w:spacing w:line="560" w:lineRule="exact"/>
        <w:rPr>
          <w:rFonts w:ascii="宋体" w:hAnsi="宋体" w:cs="宋体"/>
          <w:color w:val="auto"/>
          <w:sz w:val="24"/>
          <w:highlight w:val="none"/>
          <w:lang w:val="zh-CN"/>
        </w:rPr>
      </w:pP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住所：                                   住所：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联系人：                                 联系人：</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pPr>
        <w:autoSpaceDE w:val="0"/>
        <w:autoSpaceDN w:val="0"/>
        <w:spacing w:line="560" w:lineRule="exact"/>
        <w:rPr>
          <w:rFonts w:ascii="宋体" w:hAnsi="宋体" w:cs="宋体"/>
          <w:color w:val="auto"/>
          <w:sz w:val="24"/>
          <w:highlight w:val="none"/>
          <w:lang w:val="zh-CN"/>
        </w:rPr>
      </w:pPr>
      <w:r>
        <w:rPr>
          <w:rFonts w:hint="eastAsia" w:ascii="宋体" w:hAnsi="宋体" w:cs="宋体"/>
          <w:color w:val="auto"/>
          <w:sz w:val="24"/>
          <w:highlight w:val="none"/>
          <w:lang w:val="zh-CN"/>
        </w:rPr>
        <w:t>传真:                                    传真:</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lang w:val="zh-CN"/>
        </w:rPr>
        <w:t>电子邮箱：                               电子邮箱：</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开户银行：                               开户银行：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 xml:space="preserve">开户名称：                               开户名称： </w:t>
      </w:r>
    </w:p>
    <w:p>
      <w:pPr>
        <w:autoSpaceDE w:val="0"/>
        <w:autoSpaceDN w:val="0"/>
        <w:spacing w:line="560" w:lineRule="exact"/>
        <w:rPr>
          <w:rFonts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pPr>
        <w:widowControl/>
        <w:spacing w:line="560" w:lineRule="exact"/>
        <w:jc w:val="left"/>
        <w:rPr>
          <w:rFonts w:ascii="宋体" w:hAnsi="宋体" w:cs="宋体"/>
          <w:b/>
          <w:color w:val="auto"/>
          <w:sz w:val="24"/>
          <w:highlight w:val="none"/>
        </w:rPr>
      </w:pPr>
      <w:bookmarkStart w:id="67" w:name="_Toc331685783"/>
    </w:p>
    <w:p>
      <w:pPr>
        <w:pStyle w:val="699"/>
        <w:spacing w:line="560" w:lineRule="exact"/>
        <w:ind w:firstLine="482"/>
        <w:jc w:val="center"/>
        <w:rPr>
          <w:rFonts w:ascii="宋体" w:hAnsi="宋体" w:cs="宋体"/>
          <w:b/>
          <w:color w:val="auto"/>
          <w:szCs w:val="24"/>
          <w:highlight w:val="none"/>
        </w:rPr>
      </w:pPr>
      <w:r>
        <w:rPr>
          <w:rFonts w:hint="eastAsia" w:ascii="宋体" w:hAnsi="宋体" w:cs="宋体"/>
          <w:b/>
          <w:color w:val="auto"/>
          <w:szCs w:val="24"/>
          <w:highlight w:val="none"/>
        </w:rPr>
        <w:t>第二部分 合同一般条款</w:t>
      </w:r>
      <w:bookmarkEnd w:id="67"/>
    </w:p>
    <w:p>
      <w:pPr>
        <w:spacing w:line="560" w:lineRule="exact"/>
        <w:ind w:firstLine="482" w:firstLineChars="200"/>
        <w:outlineLvl w:val="0"/>
        <w:rPr>
          <w:rFonts w:ascii="宋体" w:hAnsi="宋体" w:cs="宋体"/>
          <w:b/>
          <w:color w:val="auto"/>
          <w:sz w:val="24"/>
          <w:highlight w:val="none"/>
        </w:rPr>
      </w:pPr>
      <w:bookmarkStart w:id="68" w:name="_Toc16917"/>
      <w:bookmarkStart w:id="69" w:name="_Toc259093669"/>
      <w:bookmarkStart w:id="70" w:name="_Ref467379195"/>
      <w:bookmarkStart w:id="71" w:name="_Ref467379109"/>
      <w:bookmarkStart w:id="72" w:name="_Toc28763"/>
      <w:bookmarkStart w:id="73" w:name="_Ref467379214"/>
      <w:bookmarkStart w:id="74" w:name="_Ref467379205"/>
      <w:bookmarkStart w:id="75" w:name="_Toc19614"/>
      <w:bookmarkStart w:id="76" w:name="_Ref467379225"/>
      <w:bookmarkStart w:id="77" w:name="_Toc487900349"/>
      <w:bookmarkStart w:id="78" w:name="_Ref467379094"/>
      <w:bookmarkStart w:id="79" w:name="_Toc279701240"/>
      <w:bookmarkStart w:id="80" w:name="_Ref467378499"/>
      <w:bookmarkStart w:id="81" w:name="_Ref467378404"/>
      <w:bookmarkStart w:id="82" w:name="_Ref467378463"/>
      <w:bookmarkStart w:id="83" w:name="_Ref467379101"/>
      <w:r>
        <w:rPr>
          <w:rFonts w:hint="eastAsia" w:ascii="宋体" w:hAnsi="宋体" w:cs="宋体"/>
          <w:b/>
          <w:color w:val="auto"/>
          <w:sz w:val="24"/>
          <w:highlight w:val="none"/>
        </w:rPr>
        <w:t>2.1 定义</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 “合同”系指采购人和中标供应商签订的载明双方当事人所达成的协议，并包括所有的附件、附录和构成合同的其他文件。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 “合同价”系指根据合同约定，中标供应商在完全履行合同义务后，采购人应支付给中标供应商的价格。</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color w:val="auto"/>
          <w:sz w:val="24"/>
          <w:highlight w:val="none"/>
        </w:rPr>
      </w:pPr>
      <w:bookmarkStart w:id="84" w:name="_Ref467378840"/>
      <w:r>
        <w:rPr>
          <w:rFonts w:hint="eastAsia" w:ascii="宋体" w:hAnsi="宋体" w:cs="宋体"/>
          <w:color w:val="auto"/>
          <w:sz w:val="24"/>
          <w:highlight w:val="none"/>
        </w:rPr>
        <w:t>2.1.4 “甲方”系指与中标供应商签署合同的采购人</w:t>
      </w:r>
      <w:bookmarkEnd w:id="84"/>
      <w:r>
        <w:rPr>
          <w:rFonts w:hint="eastAsia" w:ascii="宋体" w:hAnsi="宋体" w:cs="宋体"/>
          <w:color w:val="auto"/>
          <w:sz w:val="24"/>
          <w:highlight w:val="none"/>
        </w:rPr>
        <w:t>；采购人委托采购代理机构代表其与乙方签订合同的，采购人的授权委托书作为合同附件。</w:t>
      </w:r>
    </w:p>
    <w:p>
      <w:pPr>
        <w:spacing w:line="560" w:lineRule="exact"/>
        <w:ind w:firstLine="480" w:firstLineChars="200"/>
        <w:rPr>
          <w:rFonts w:ascii="宋体" w:hAnsi="宋体" w:cs="宋体"/>
          <w:color w:val="auto"/>
          <w:sz w:val="24"/>
          <w:highlight w:val="none"/>
        </w:rPr>
      </w:pPr>
      <w:bookmarkStart w:id="85" w:name="_Ref467379400"/>
      <w:r>
        <w:rPr>
          <w:rFonts w:hint="eastAsia" w:ascii="宋体" w:hAnsi="宋体" w:cs="宋体"/>
          <w:color w:val="auto"/>
          <w:sz w:val="24"/>
          <w:highlight w:val="none"/>
        </w:rPr>
        <w:t>2.1.5 “乙方”系指根据合同约定交付货物的中标供应商</w:t>
      </w:r>
      <w:bookmarkEnd w:id="85"/>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color w:val="auto"/>
          <w:sz w:val="24"/>
          <w:highlight w:val="none"/>
        </w:rPr>
      </w:pPr>
      <w:bookmarkStart w:id="86" w:name="_Ref467379436"/>
      <w:r>
        <w:rPr>
          <w:rFonts w:hint="eastAsia" w:ascii="宋体" w:hAnsi="宋体" w:cs="宋体"/>
          <w:color w:val="auto"/>
          <w:sz w:val="24"/>
          <w:highlight w:val="none"/>
        </w:rPr>
        <w:t>2.1.6 “现场”系指合同约定货物将要运至或者安装的地点。</w:t>
      </w:r>
      <w:bookmarkEnd w:id="86"/>
    </w:p>
    <w:p>
      <w:pPr>
        <w:spacing w:line="560" w:lineRule="exact"/>
        <w:ind w:firstLine="482" w:firstLineChars="200"/>
        <w:outlineLvl w:val="0"/>
        <w:rPr>
          <w:rFonts w:ascii="宋体" w:hAnsi="宋体" w:cs="宋体"/>
          <w:b/>
          <w:color w:val="auto"/>
          <w:sz w:val="24"/>
          <w:highlight w:val="none"/>
        </w:rPr>
      </w:pPr>
      <w:bookmarkStart w:id="87" w:name="_Toc487900350"/>
      <w:bookmarkStart w:id="88" w:name="_Toc279701241"/>
      <w:bookmarkStart w:id="89" w:name="_Toc259093670"/>
      <w:bookmarkStart w:id="90" w:name="_Toc32504"/>
      <w:bookmarkStart w:id="91" w:name="_Toc13336"/>
      <w:bookmarkStart w:id="92" w:name="_Toc27635"/>
      <w:r>
        <w:rPr>
          <w:rFonts w:hint="eastAsia" w:ascii="宋体" w:hAnsi="宋体" w:cs="宋体"/>
          <w:b/>
          <w:color w:val="auto"/>
          <w:sz w:val="24"/>
          <w:highlight w:val="none"/>
        </w:rPr>
        <w:t>2.2 技术规范</w:t>
      </w:r>
      <w:bookmarkEnd w:id="87"/>
      <w:bookmarkEnd w:id="88"/>
      <w:bookmarkEnd w:id="89"/>
      <w:bookmarkEnd w:id="90"/>
      <w:bookmarkEnd w:id="91"/>
      <w:bookmarkEnd w:id="92"/>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color w:val="auto"/>
          <w:sz w:val="24"/>
          <w:highlight w:val="none"/>
        </w:rPr>
      </w:pPr>
      <w:bookmarkStart w:id="93" w:name="_Toc279701242"/>
      <w:bookmarkStart w:id="94" w:name="_Toc259093671"/>
      <w:bookmarkStart w:id="95" w:name="_Toc27853"/>
      <w:bookmarkStart w:id="96" w:name="_Toc487900351"/>
      <w:bookmarkStart w:id="97" w:name="_Toc31634"/>
      <w:bookmarkStart w:id="98" w:name="_Toc9829"/>
      <w:r>
        <w:rPr>
          <w:rFonts w:hint="eastAsia" w:ascii="宋体" w:hAnsi="宋体" w:cs="宋体"/>
          <w:b/>
          <w:color w:val="auto"/>
          <w:sz w:val="24"/>
          <w:highlight w:val="none"/>
        </w:rPr>
        <w:t>2.3 知识产权</w:t>
      </w:r>
      <w:bookmarkEnd w:id="93"/>
      <w:bookmarkEnd w:id="94"/>
      <w:bookmarkEnd w:id="95"/>
      <w:bookmarkEnd w:id="96"/>
      <w:bookmarkEnd w:id="97"/>
      <w:bookmarkEnd w:id="98"/>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99" w:name="_Toc11932"/>
      <w:bookmarkStart w:id="100" w:name="_Toc29149"/>
      <w:bookmarkStart w:id="101" w:name="_Toc4194"/>
      <w:r>
        <w:rPr>
          <w:rFonts w:hint="eastAsia" w:ascii="宋体" w:hAnsi="宋体" w:cs="宋体"/>
          <w:b/>
          <w:color w:val="auto"/>
          <w:sz w:val="24"/>
          <w:highlight w:val="none"/>
        </w:rPr>
        <w:t>2.4 包装和装运</w:t>
      </w:r>
      <w:bookmarkEnd w:id="99"/>
      <w:bookmarkEnd w:id="100"/>
      <w:bookmarkEnd w:id="101"/>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2.4.2 装运货物的要求和通知，详见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102" w:name="_Ref467379542"/>
      <w:bookmarkStart w:id="103" w:name="_Toc487900354"/>
      <w:bookmarkStart w:id="104" w:name="_Ref467378591"/>
      <w:bookmarkStart w:id="105" w:name="_Ref467378541"/>
      <w:bookmarkStart w:id="106" w:name="_Ref467379536"/>
      <w:bookmarkStart w:id="107" w:name="_Ref467379527"/>
      <w:bookmarkStart w:id="108" w:name="_Toc279701245"/>
      <w:bookmarkStart w:id="109" w:name="_Toc259093674"/>
      <w:bookmarkStart w:id="110" w:name="_Toc30272"/>
      <w:bookmarkStart w:id="111" w:name="_Toc26182"/>
      <w:bookmarkStart w:id="112" w:name="_Toc19074"/>
      <w:r>
        <w:rPr>
          <w:rFonts w:hint="eastAsia" w:ascii="宋体" w:hAnsi="宋体" w:cs="宋体"/>
          <w:b/>
          <w:color w:val="auto"/>
          <w:sz w:val="24"/>
          <w:highlight w:val="none"/>
        </w:rPr>
        <w:t>2.</w:t>
      </w:r>
      <w:bookmarkEnd w:id="102"/>
      <w:bookmarkEnd w:id="103"/>
      <w:bookmarkEnd w:id="104"/>
      <w:bookmarkEnd w:id="105"/>
      <w:bookmarkEnd w:id="106"/>
      <w:bookmarkEnd w:id="107"/>
      <w:bookmarkEnd w:id="108"/>
      <w:bookmarkEnd w:id="109"/>
      <w:r>
        <w:rPr>
          <w:rFonts w:hint="eastAsia" w:ascii="宋体" w:hAnsi="宋体" w:cs="宋体"/>
          <w:b/>
          <w:color w:val="auto"/>
          <w:sz w:val="24"/>
          <w:highlight w:val="none"/>
        </w:rPr>
        <w:t>5 履约检查和问题反馈</w:t>
      </w:r>
      <w:bookmarkEnd w:id="110"/>
      <w:bookmarkEnd w:id="111"/>
      <w:bookmarkEnd w:id="112"/>
    </w:p>
    <w:p>
      <w:pPr>
        <w:spacing w:line="560" w:lineRule="exact"/>
        <w:ind w:firstLine="480" w:firstLineChars="200"/>
        <w:rPr>
          <w:rFonts w:ascii="宋体" w:hAnsi="宋体" w:cs="宋体"/>
          <w:color w:val="auto"/>
          <w:sz w:val="24"/>
          <w:highlight w:val="none"/>
        </w:rPr>
      </w:pPr>
      <w:bookmarkStart w:id="113" w:name="_Ref467379657"/>
      <w:r>
        <w:rPr>
          <w:rFonts w:hint="eastAsia" w:ascii="宋体" w:hAnsi="宋体" w:cs="宋体"/>
          <w:color w:val="auto"/>
          <w:sz w:val="24"/>
          <w:highlight w:val="none"/>
        </w:rPr>
        <w:t>2.5.1</w:t>
      </w:r>
      <w:bookmarkEnd w:id="113"/>
      <w:bookmarkStart w:id="114" w:name="_Toc186431854"/>
      <w:bookmarkStart w:id="115" w:name="_Toc487900357"/>
      <w:bookmarkStart w:id="116" w:name="_Ref467379807"/>
      <w:bookmarkStart w:id="117" w:name="_Toc279701247"/>
      <w:bookmarkStart w:id="118" w:name="_Ref467379793"/>
      <w:bookmarkStart w:id="119" w:name="_Toc259093676"/>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114"/>
      <w:bookmarkStart w:id="120" w:name="_Toc186431855"/>
      <w:r>
        <w:rPr>
          <w:rFonts w:hint="eastAsia" w:ascii="宋体" w:hAnsi="宋体" w:cs="宋体"/>
          <w:color w:val="auto"/>
          <w:sz w:val="24"/>
          <w:highlight w:val="none"/>
        </w:rPr>
        <w:t>。</w:t>
      </w:r>
    </w:p>
    <w:bookmarkEnd w:id="115"/>
    <w:bookmarkEnd w:id="116"/>
    <w:bookmarkEnd w:id="117"/>
    <w:bookmarkEnd w:id="118"/>
    <w:bookmarkEnd w:id="119"/>
    <w:bookmarkEnd w:id="120"/>
    <w:p>
      <w:pPr>
        <w:spacing w:line="560" w:lineRule="exact"/>
        <w:ind w:firstLine="482" w:firstLineChars="200"/>
        <w:outlineLvl w:val="0"/>
        <w:rPr>
          <w:rFonts w:ascii="宋体" w:hAnsi="宋体" w:cs="宋体"/>
          <w:b/>
          <w:color w:val="auto"/>
          <w:sz w:val="24"/>
          <w:highlight w:val="none"/>
        </w:rPr>
      </w:pPr>
      <w:bookmarkStart w:id="121" w:name="_Ref467379852"/>
      <w:bookmarkStart w:id="122" w:name="_Toc259093677"/>
      <w:bookmarkStart w:id="123" w:name="_Toc279701248"/>
      <w:bookmarkStart w:id="124" w:name="_Ref467379863"/>
      <w:bookmarkStart w:id="125" w:name="_Toc487900358"/>
      <w:bookmarkStart w:id="126" w:name="_Ref467379923"/>
      <w:bookmarkStart w:id="127" w:name="_Toc3225"/>
      <w:bookmarkStart w:id="128" w:name="_Toc16110"/>
      <w:bookmarkStart w:id="129" w:name="_Toc774"/>
      <w:r>
        <w:rPr>
          <w:rFonts w:hint="eastAsia" w:ascii="宋体" w:hAnsi="宋体" w:cs="宋体"/>
          <w:b/>
          <w:color w:val="auto"/>
          <w:sz w:val="24"/>
          <w:highlight w:val="none"/>
        </w:rPr>
        <w:t>2.6 技术资料</w:t>
      </w:r>
      <w:bookmarkEnd w:id="121"/>
      <w:bookmarkEnd w:id="122"/>
      <w:bookmarkEnd w:id="123"/>
      <w:bookmarkEnd w:id="124"/>
      <w:bookmarkEnd w:id="125"/>
      <w:bookmarkEnd w:id="126"/>
      <w:r>
        <w:rPr>
          <w:rFonts w:hint="eastAsia" w:ascii="宋体" w:hAnsi="宋体" w:cs="宋体"/>
          <w:b/>
          <w:color w:val="auto"/>
          <w:sz w:val="24"/>
          <w:highlight w:val="none"/>
        </w:rPr>
        <w:t>和保密义务</w:t>
      </w:r>
      <w:bookmarkEnd w:id="127"/>
      <w:bookmarkEnd w:id="128"/>
      <w:bookmarkEnd w:id="129"/>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color w:val="auto"/>
          <w:sz w:val="24"/>
          <w:highlight w:val="none"/>
        </w:rPr>
      </w:pPr>
      <w:bookmarkStart w:id="130" w:name="_Toc7860"/>
      <w:r>
        <w:rPr>
          <w:rFonts w:hint="eastAsia" w:ascii="宋体" w:hAnsi="宋体" w:cs="宋体"/>
          <w:b/>
          <w:color w:val="auto"/>
          <w:sz w:val="24"/>
          <w:highlight w:val="none"/>
        </w:rPr>
        <w:t>2.7 质量保证</w:t>
      </w:r>
      <w:bookmarkEnd w:id="130"/>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color w:val="auto"/>
          <w:sz w:val="24"/>
          <w:highlight w:val="none"/>
        </w:rPr>
      </w:pPr>
      <w:bookmarkStart w:id="131" w:name="_Toc17244"/>
      <w:bookmarkStart w:id="132" w:name="_Toc279701252"/>
      <w:bookmarkStart w:id="133" w:name="_Toc259093681"/>
      <w:bookmarkStart w:id="134" w:name="_Toc487900362"/>
      <w:r>
        <w:rPr>
          <w:rFonts w:hint="eastAsia" w:ascii="宋体" w:hAnsi="宋体" w:cs="宋体"/>
          <w:b/>
          <w:color w:val="auto"/>
          <w:sz w:val="24"/>
          <w:highlight w:val="none"/>
        </w:rPr>
        <w:t>2.8 货物的风险负担</w:t>
      </w:r>
      <w:bookmarkEnd w:id="131"/>
    </w:p>
    <w:p>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135" w:name="_Toc14055"/>
      <w:r>
        <w:rPr>
          <w:rFonts w:hint="eastAsia" w:ascii="宋体" w:hAnsi="宋体" w:cs="宋体"/>
          <w:b/>
          <w:color w:val="auto"/>
          <w:sz w:val="24"/>
          <w:highlight w:val="none"/>
        </w:rPr>
        <w:t>2.9 延迟交货</w:t>
      </w:r>
      <w:bookmarkEnd w:id="132"/>
      <w:bookmarkEnd w:id="133"/>
      <w:bookmarkEnd w:id="134"/>
      <w:bookmarkEnd w:id="135"/>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color w:val="auto"/>
          <w:sz w:val="24"/>
          <w:highlight w:val="none"/>
        </w:rPr>
      </w:pPr>
      <w:bookmarkStart w:id="136" w:name="_Toc7502"/>
      <w:bookmarkStart w:id="137" w:name="_Toc259093683"/>
      <w:bookmarkStart w:id="138" w:name="_Toc487900364"/>
      <w:bookmarkStart w:id="139" w:name="_Ref467378121"/>
      <w:bookmarkStart w:id="140" w:name="_Toc279701254"/>
      <w:r>
        <w:rPr>
          <w:rFonts w:hint="eastAsia" w:ascii="宋体" w:hAnsi="宋体" w:cs="宋体"/>
          <w:b/>
          <w:color w:val="auto"/>
          <w:sz w:val="24"/>
          <w:highlight w:val="none"/>
        </w:rPr>
        <w:t>2.10 合同变更</w:t>
      </w:r>
      <w:bookmarkEnd w:id="136"/>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141" w:name="_Toc259093688"/>
      <w:bookmarkStart w:id="142" w:name="_Toc487900369"/>
      <w:bookmarkStart w:id="143" w:name="_Toc279701259"/>
    </w:p>
    <w:p>
      <w:pPr>
        <w:spacing w:line="560" w:lineRule="exact"/>
        <w:ind w:firstLine="482" w:firstLineChars="200"/>
        <w:outlineLvl w:val="0"/>
        <w:rPr>
          <w:rFonts w:ascii="宋体" w:hAnsi="宋体" w:cs="宋体"/>
          <w:b/>
          <w:color w:val="auto"/>
          <w:sz w:val="24"/>
          <w:highlight w:val="none"/>
        </w:rPr>
      </w:pPr>
      <w:bookmarkStart w:id="144" w:name="_Toc15237"/>
      <w:bookmarkStart w:id="145" w:name="_Toc10366"/>
      <w:bookmarkStart w:id="146" w:name="_Toc22955"/>
      <w:r>
        <w:rPr>
          <w:rFonts w:hint="eastAsia" w:ascii="宋体" w:hAnsi="宋体" w:cs="宋体"/>
          <w:b/>
          <w:color w:val="auto"/>
          <w:sz w:val="24"/>
          <w:highlight w:val="none"/>
        </w:rPr>
        <w:t>2.11 合同转让</w:t>
      </w:r>
      <w:bookmarkEnd w:id="141"/>
      <w:bookmarkEnd w:id="142"/>
      <w:bookmarkEnd w:id="143"/>
      <w:r>
        <w:rPr>
          <w:rFonts w:hint="eastAsia" w:ascii="宋体" w:hAnsi="宋体" w:cs="宋体"/>
          <w:b/>
          <w:color w:val="auto"/>
          <w:sz w:val="24"/>
          <w:highlight w:val="none"/>
        </w:rPr>
        <w:t>和分包</w:t>
      </w:r>
      <w:bookmarkEnd w:id="144"/>
      <w:bookmarkEnd w:id="145"/>
      <w:bookmarkEnd w:id="146"/>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pPr>
        <w:spacing w:line="560" w:lineRule="exact"/>
        <w:ind w:firstLine="482" w:firstLineChars="200"/>
        <w:outlineLvl w:val="0"/>
        <w:rPr>
          <w:rFonts w:ascii="宋体" w:hAnsi="宋体" w:cs="宋体"/>
          <w:b/>
          <w:color w:val="auto"/>
          <w:sz w:val="24"/>
          <w:highlight w:val="none"/>
        </w:rPr>
      </w:pPr>
      <w:bookmarkStart w:id="147" w:name="_Toc13566"/>
      <w:bookmarkStart w:id="148" w:name="_Toc14066"/>
      <w:bookmarkStart w:id="149" w:name="_Toc16508"/>
      <w:r>
        <w:rPr>
          <w:rFonts w:hint="eastAsia" w:ascii="宋体" w:hAnsi="宋体" w:cs="宋体"/>
          <w:b/>
          <w:color w:val="auto"/>
          <w:sz w:val="24"/>
          <w:highlight w:val="none"/>
        </w:rPr>
        <w:t>2.12 不可抗力</w:t>
      </w:r>
      <w:bookmarkEnd w:id="147"/>
      <w:bookmarkEnd w:id="148"/>
      <w:bookmarkEnd w:id="149"/>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pPr>
        <w:spacing w:line="560" w:lineRule="exact"/>
        <w:ind w:firstLine="482" w:firstLineChars="200"/>
        <w:outlineLvl w:val="0"/>
        <w:rPr>
          <w:rFonts w:ascii="宋体" w:hAnsi="宋体" w:cs="宋体"/>
          <w:b/>
          <w:color w:val="auto"/>
          <w:sz w:val="24"/>
          <w:highlight w:val="none"/>
        </w:rPr>
      </w:pPr>
      <w:bookmarkStart w:id="150" w:name="_Toc487900365"/>
      <w:bookmarkStart w:id="151" w:name="_Toc689"/>
      <w:bookmarkStart w:id="152" w:name="_Toc259093684"/>
      <w:bookmarkStart w:id="153" w:name="_Toc279701255"/>
      <w:bookmarkStart w:id="154" w:name="_Toc6969"/>
      <w:bookmarkStart w:id="155" w:name="_Toc30676"/>
      <w:r>
        <w:rPr>
          <w:rFonts w:hint="eastAsia" w:ascii="宋体" w:hAnsi="宋体" w:cs="宋体"/>
          <w:b/>
          <w:color w:val="auto"/>
          <w:sz w:val="24"/>
          <w:highlight w:val="none"/>
        </w:rPr>
        <w:t>2.13 税费</w:t>
      </w:r>
      <w:bookmarkEnd w:id="150"/>
      <w:bookmarkEnd w:id="151"/>
      <w:bookmarkEnd w:id="152"/>
      <w:bookmarkEnd w:id="153"/>
      <w:bookmarkEnd w:id="154"/>
      <w:bookmarkEnd w:id="155"/>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pPr>
        <w:spacing w:line="560" w:lineRule="exact"/>
        <w:ind w:firstLine="482" w:firstLineChars="200"/>
        <w:outlineLvl w:val="0"/>
        <w:rPr>
          <w:rFonts w:ascii="宋体" w:hAnsi="宋体" w:cs="宋体"/>
          <w:b/>
          <w:color w:val="auto"/>
          <w:sz w:val="24"/>
          <w:highlight w:val="none"/>
        </w:rPr>
      </w:pPr>
      <w:bookmarkStart w:id="156" w:name="_Toc16959"/>
      <w:bookmarkStart w:id="157" w:name="_Toc487900368"/>
      <w:bookmarkStart w:id="158" w:name="_Toc279701258"/>
      <w:bookmarkStart w:id="159" w:name="_Toc8298"/>
      <w:bookmarkStart w:id="160" w:name="_Toc7102"/>
      <w:bookmarkStart w:id="161" w:name="_Toc259093687"/>
      <w:r>
        <w:rPr>
          <w:rFonts w:hint="eastAsia" w:ascii="宋体" w:hAnsi="宋体" w:cs="宋体"/>
          <w:b/>
          <w:color w:val="auto"/>
          <w:sz w:val="24"/>
          <w:highlight w:val="none"/>
        </w:rPr>
        <w:t>2.14乙方破产</w:t>
      </w:r>
      <w:bookmarkEnd w:id="156"/>
      <w:bookmarkEnd w:id="157"/>
      <w:bookmarkEnd w:id="158"/>
      <w:bookmarkEnd w:id="159"/>
      <w:bookmarkEnd w:id="160"/>
      <w:bookmarkEnd w:id="161"/>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color w:val="auto"/>
          <w:sz w:val="24"/>
          <w:highlight w:val="none"/>
        </w:rPr>
      </w:pPr>
      <w:bookmarkStart w:id="162" w:name="_Toc29333"/>
      <w:bookmarkStart w:id="163" w:name="_Toc15387"/>
      <w:bookmarkStart w:id="164" w:name="_Toc6134"/>
      <w:r>
        <w:rPr>
          <w:rFonts w:hint="eastAsia" w:ascii="宋体" w:hAnsi="宋体" w:cs="宋体"/>
          <w:b/>
          <w:color w:val="auto"/>
          <w:sz w:val="24"/>
          <w:highlight w:val="none"/>
        </w:rPr>
        <w:t>2.15 合同中止、终止</w:t>
      </w:r>
      <w:bookmarkEnd w:id="162"/>
      <w:bookmarkEnd w:id="163"/>
      <w:bookmarkEnd w:id="164"/>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color w:val="auto"/>
          <w:sz w:val="24"/>
          <w:highlight w:val="none"/>
        </w:rPr>
      </w:pPr>
      <w:bookmarkStart w:id="165" w:name="_Toc1125"/>
      <w:bookmarkStart w:id="166" w:name="_Toc6596"/>
      <w:bookmarkStart w:id="167" w:name="_Toc14563"/>
      <w:r>
        <w:rPr>
          <w:rFonts w:hint="eastAsia" w:ascii="宋体" w:hAnsi="宋体" w:cs="宋体"/>
          <w:b/>
          <w:color w:val="auto"/>
          <w:sz w:val="24"/>
          <w:highlight w:val="none"/>
        </w:rPr>
        <w:t>2.16检验和验收</w:t>
      </w:r>
      <w:bookmarkEnd w:id="165"/>
      <w:bookmarkEnd w:id="166"/>
      <w:bookmarkEnd w:id="167"/>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137"/>
    <w:bookmarkEnd w:id="138"/>
    <w:bookmarkEnd w:id="139"/>
    <w:bookmarkEnd w:id="140"/>
    <w:p>
      <w:pPr>
        <w:spacing w:line="560" w:lineRule="exact"/>
        <w:ind w:firstLine="482" w:firstLineChars="200"/>
        <w:outlineLvl w:val="0"/>
        <w:rPr>
          <w:rFonts w:ascii="宋体" w:hAnsi="宋体" w:cs="宋体"/>
          <w:b/>
          <w:color w:val="auto"/>
          <w:sz w:val="24"/>
          <w:highlight w:val="none"/>
        </w:rPr>
      </w:pPr>
      <w:bookmarkStart w:id="168" w:name="_Toc279701261"/>
      <w:bookmarkStart w:id="169" w:name="_Toc487900371"/>
      <w:bookmarkStart w:id="170" w:name="_Toc259093690"/>
      <w:bookmarkStart w:id="171" w:name="_Toc19604"/>
      <w:bookmarkStart w:id="172" w:name="_Toc25182"/>
      <w:bookmarkStart w:id="173" w:name="_Toc11284"/>
      <w:r>
        <w:rPr>
          <w:rFonts w:hint="eastAsia" w:ascii="宋体" w:hAnsi="宋体" w:cs="宋体"/>
          <w:b/>
          <w:color w:val="auto"/>
          <w:sz w:val="24"/>
          <w:highlight w:val="none"/>
        </w:rPr>
        <w:t>2.17 通知</w:t>
      </w:r>
      <w:bookmarkEnd w:id="168"/>
      <w:bookmarkEnd w:id="169"/>
      <w:bookmarkEnd w:id="170"/>
      <w:r>
        <w:rPr>
          <w:rFonts w:hint="eastAsia" w:ascii="宋体" w:hAnsi="宋体" w:cs="宋体"/>
          <w:b/>
          <w:color w:val="auto"/>
          <w:sz w:val="24"/>
          <w:highlight w:val="none"/>
        </w:rPr>
        <w:t>和送达</w:t>
      </w:r>
      <w:bookmarkEnd w:id="171"/>
      <w:bookmarkEnd w:id="172"/>
      <w:bookmarkEnd w:id="173"/>
    </w:p>
    <w:p>
      <w:pPr>
        <w:spacing w:line="560" w:lineRule="exact"/>
        <w:ind w:firstLine="480" w:firstLineChars="200"/>
        <w:rPr>
          <w:rFonts w:ascii="宋体" w:hAnsi="宋体" w:cs="宋体"/>
          <w:color w:val="auto"/>
          <w:sz w:val="24"/>
          <w:highlight w:val="none"/>
        </w:rPr>
      </w:pPr>
      <w:bookmarkStart w:id="174" w:name="_Toc3135"/>
      <w:bookmarkStart w:id="175" w:name="_Toc6698"/>
      <w:bookmarkStart w:id="176" w:name="_Toc487900372"/>
      <w:bookmarkStart w:id="177" w:name="_Toc259093691"/>
      <w:bookmarkStart w:id="178" w:name="_Toc279701262"/>
      <w:r>
        <w:rPr>
          <w:rFonts w:hint="eastAsia" w:ascii="宋体" w:hAnsi="宋体" w:cs="宋体"/>
          <w:color w:val="auto"/>
          <w:sz w:val="24"/>
          <w:highlight w:val="none"/>
        </w:rPr>
        <w:t xml:space="preserve">2.17.1任何一方因履行合同而以合同第一部分尾部所列明的传真或电子邮件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174"/>
      <w:bookmarkEnd w:id="175"/>
    </w:p>
    <w:p>
      <w:pPr>
        <w:spacing w:line="560" w:lineRule="exact"/>
        <w:ind w:firstLine="480" w:firstLineChars="200"/>
        <w:rPr>
          <w:rFonts w:ascii="宋体" w:hAnsi="宋体" w:cs="宋体"/>
          <w:color w:val="auto"/>
          <w:sz w:val="24"/>
          <w:highlight w:val="none"/>
        </w:rPr>
      </w:pPr>
      <w:bookmarkStart w:id="179" w:name="_Toc23128"/>
      <w:bookmarkStart w:id="180" w:name="_Toc23294"/>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79"/>
      <w:bookmarkEnd w:id="180"/>
    </w:p>
    <w:p>
      <w:pPr>
        <w:spacing w:line="560" w:lineRule="exact"/>
        <w:ind w:firstLine="482" w:firstLineChars="200"/>
        <w:outlineLvl w:val="0"/>
        <w:rPr>
          <w:rFonts w:ascii="宋体" w:hAnsi="宋体" w:cs="宋体"/>
          <w:b/>
          <w:color w:val="auto"/>
          <w:sz w:val="24"/>
          <w:highlight w:val="none"/>
        </w:rPr>
      </w:pPr>
      <w:bookmarkStart w:id="181" w:name="_Toc30599"/>
      <w:bookmarkStart w:id="182" w:name="_Toc4355"/>
      <w:bookmarkStart w:id="183" w:name="_Toc18540"/>
      <w:r>
        <w:rPr>
          <w:rFonts w:hint="eastAsia" w:ascii="宋体" w:hAnsi="宋体" w:cs="宋体"/>
          <w:b/>
          <w:color w:val="auto"/>
          <w:sz w:val="24"/>
          <w:highlight w:val="none"/>
        </w:rPr>
        <w:t>2.18 计量单位</w:t>
      </w:r>
      <w:bookmarkEnd w:id="176"/>
      <w:bookmarkEnd w:id="177"/>
      <w:bookmarkEnd w:id="178"/>
      <w:bookmarkEnd w:id="181"/>
      <w:bookmarkEnd w:id="182"/>
      <w:bookmarkEnd w:id="183"/>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pacing w:line="560" w:lineRule="exact"/>
        <w:ind w:firstLine="482" w:firstLineChars="200"/>
        <w:outlineLvl w:val="0"/>
        <w:rPr>
          <w:rFonts w:ascii="宋体" w:hAnsi="宋体" w:cs="宋体"/>
          <w:b/>
          <w:color w:val="auto"/>
          <w:sz w:val="24"/>
          <w:highlight w:val="none"/>
        </w:rPr>
      </w:pPr>
      <w:bookmarkStart w:id="184" w:name="_Toc279701263"/>
      <w:bookmarkStart w:id="185" w:name="_Toc12773"/>
      <w:bookmarkStart w:id="186" w:name="_Toc487900373"/>
      <w:bookmarkStart w:id="187" w:name="_Toc10330"/>
      <w:bookmarkStart w:id="188" w:name="_Toc259093692"/>
      <w:bookmarkStart w:id="189" w:name="_Toc18567"/>
      <w:r>
        <w:rPr>
          <w:rFonts w:hint="eastAsia" w:ascii="宋体" w:hAnsi="宋体" w:cs="宋体"/>
          <w:b/>
          <w:color w:val="auto"/>
          <w:sz w:val="24"/>
          <w:highlight w:val="none"/>
        </w:rPr>
        <w:t>2.19 合同使用的文字和适用的法律</w:t>
      </w:r>
      <w:bookmarkEnd w:id="184"/>
      <w:bookmarkEnd w:id="185"/>
      <w:bookmarkEnd w:id="186"/>
      <w:bookmarkEnd w:id="187"/>
      <w:bookmarkEnd w:id="188"/>
      <w:bookmarkEnd w:id="189"/>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2.19.1 合同使用汉语书就、变更和解释；</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2.19.2 合同适用中华人民共和国法律。</w:t>
      </w:r>
    </w:p>
    <w:p>
      <w:pPr>
        <w:spacing w:line="560" w:lineRule="exact"/>
        <w:ind w:firstLine="482" w:firstLineChars="200"/>
        <w:outlineLvl w:val="0"/>
        <w:rPr>
          <w:rFonts w:ascii="宋体" w:hAnsi="宋体" w:cs="宋体"/>
          <w:b/>
          <w:color w:val="auto"/>
          <w:sz w:val="24"/>
          <w:highlight w:val="none"/>
        </w:rPr>
      </w:pPr>
      <w:bookmarkStart w:id="190" w:name="_Toc16673"/>
      <w:bookmarkStart w:id="191" w:name="_Toc3148"/>
      <w:bookmarkStart w:id="192" w:name="_Toc259093693"/>
      <w:bookmarkStart w:id="193" w:name="_Toc279701264"/>
      <w:bookmarkStart w:id="194" w:name="_Toc12004"/>
      <w:bookmarkStart w:id="195" w:name="_Toc487900374"/>
      <w:r>
        <w:rPr>
          <w:rFonts w:hint="eastAsia" w:ascii="宋体" w:hAnsi="宋体" w:cs="宋体"/>
          <w:b/>
          <w:color w:val="auto"/>
          <w:sz w:val="24"/>
          <w:highlight w:val="none"/>
        </w:rPr>
        <w:t>2.20 履约保证金</w:t>
      </w:r>
      <w:bookmarkEnd w:id="190"/>
      <w:bookmarkEnd w:id="191"/>
      <w:bookmarkEnd w:id="192"/>
      <w:bookmarkEnd w:id="193"/>
      <w:bookmarkEnd w:id="194"/>
    </w:p>
    <w:p>
      <w:pPr>
        <w:pStyle w:val="957"/>
        <w:spacing w:before="0" w:beforeAutospacing="0" w:after="0" w:afterAutospacing="0" w:line="360" w:lineRule="auto"/>
        <w:ind w:firstLine="420"/>
        <w:rPr>
          <w:color w:val="auto"/>
          <w:highlight w:val="none"/>
        </w:rPr>
      </w:pPr>
      <w:r>
        <w:rPr>
          <w:rFonts w:hint="eastAsia"/>
          <w:color w:val="auto"/>
          <w:highlight w:val="none"/>
        </w:rPr>
        <w:t>2.20.1 采购文件要求乙方提交履约保证金的，乙方应按</w:t>
      </w:r>
      <w:r>
        <w:rPr>
          <w:rFonts w:hint="eastAsia"/>
          <w:b/>
          <w:i/>
          <w:color w:val="auto"/>
          <w:highlight w:val="none"/>
          <w:u w:val="single"/>
        </w:rPr>
        <w:t>合同专用条款</w:t>
      </w:r>
      <w:r>
        <w:rPr>
          <w:rFonts w:hint="eastAsia"/>
          <w:color w:val="auto"/>
          <w:highlight w:val="none"/>
        </w:rPr>
        <w:t>约定的方式，以支票、汇票、本票或者金融机构、担保机构出具的保函等非现金形式，提交不超过合同金额</w:t>
      </w:r>
      <w:r>
        <w:rPr>
          <w:color w:val="auto"/>
          <w:highlight w:val="none"/>
        </w:rPr>
        <w:t>1%</w:t>
      </w:r>
      <w:r>
        <w:rPr>
          <w:rFonts w:hint="eastAsia"/>
          <w:color w:val="auto"/>
          <w:highlight w:val="none"/>
        </w:rPr>
        <w:t>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ascii="宋体" w:hAnsi="宋体" w:cs="宋体"/>
          <w:color w:val="auto"/>
          <w:sz w:val="24"/>
          <w:highlight w:val="none"/>
        </w:rPr>
      </w:pPr>
      <w:r>
        <w:rPr>
          <w:rFonts w:ascii="宋体" w:hAnsi="宋体" w:cs="宋体"/>
          <w:color w:val="auto"/>
          <w:sz w:val="24"/>
          <w:highlight w:val="none"/>
        </w:rPr>
        <w:t xml:space="preserve">2.20.2  </w:t>
      </w:r>
      <w:r>
        <w:rPr>
          <w:rFonts w:hint="eastAsia" w:ascii="宋体" w:hAnsi="宋体" w:cs="宋体"/>
          <w:color w:val="auto"/>
          <w:sz w:val="24"/>
          <w:highlight w:val="none"/>
        </w:rPr>
        <w:t>甲方在项目验收结束后及时退还履约保证金。甲方在项目通过验收之日起</w:t>
      </w:r>
      <w:r>
        <w:rPr>
          <w:rFonts w:hint="eastAsia" w:ascii="宋体" w:hAnsi="宋体" w:cs="宋体"/>
          <w:color w:val="auto"/>
          <w:sz w:val="24"/>
          <w:highlight w:val="none"/>
          <w:u w:val="single"/>
        </w:rPr>
        <w:t xml:space="preserve"> 5 </w:t>
      </w:r>
      <w:r>
        <w:rPr>
          <w:rFonts w:hint="eastAsia" w:ascii="宋体" w:hAnsi="宋体" w:cs="宋体"/>
          <w:color w:val="auto"/>
          <w:sz w:val="24"/>
          <w:highlight w:val="none"/>
        </w:rPr>
        <w:t>个工作日内，按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约定的方式将履约保证金退还乙方，逾期退还的，乙方可要求甲方支付违约金，违约金按每迟延退还一日的应退还而未退还金额的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%计算，最高限额为本合同履约保证金的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 xml:space="preserve">%； </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2.20.4 甲方根据杭州市政府采购网公布的供应商履约评价情况减免履约保证金。乙方履约验收评价总分为100分的，甲方免收履约保证金。</w:t>
      </w:r>
    </w:p>
    <w:p>
      <w:pPr>
        <w:spacing w:line="560" w:lineRule="exact"/>
        <w:ind w:firstLine="480" w:firstLineChars="200"/>
        <w:rPr>
          <w:rFonts w:ascii="宋体" w:hAnsi="宋体" w:cs="宋体"/>
          <w:color w:val="auto"/>
          <w:highlight w:val="none"/>
        </w:rPr>
      </w:pPr>
      <w:r>
        <w:rPr>
          <w:rFonts w:hint="eastAsia" w:ascii="宋体" w:hAnsi="宋体" w:cs="宋体"/>
          <w:color w:val="auto"/>
          <w:sz w:val="24"/>
          <w:highlight w:val="none"/>
        </w:rPr>
        <w:t>2.20.5甲方在乙方履行完合同约定义务事项后及时退还，延迟退还的，应当按照合同约定和法律规定承担相应的赔偿责任。</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2.21对于因甲方原因导致变更、中止或者终止政府采购合同的，甲方应当依照合同约定对供应商受到的损失予以赔偿或者补偿。</w:t>
      </w:r>
    </w:p>
    <w:bookmarkEnd w:id="195"/>
    <w:p>
      <w:pPr>
        <w:spacing w:line="560" w:lineRule="exact"/>
        <w:ind w:firstLine="482" w:firstLineChars="200"/>
        <w:outlineLvl w:val="0"/>
        <w:rPr>
          <w:rFonts w:ascii="宋体" w:hAnsi="宋体" w:cs="宋体"/>
          <w:b/>
          <w:color w:val="auto"/>
          <w:sz w:val="24"/>
          <w:highlight w:val="none"/>
        </w:rPr>
      </w:pPr>
      <w:bookmarkStart w:id="196" w:name="_Toc14001"/>
      <w:bookmarkStart w:id="197" w:name="_Toc6885"/>
      <w:bookmarkStart w:id="198" w:name="_Toc19890"/>
      <w:r>
        <w:rPr>
          <w:rFonts w:hint="eastAsia" w:ascii="宋体" w:hAnsi="宋体" w:cs="宋体"/>
          <w:b/>
          <w:color w:val="auto"/>
          <w:sz w:val="24"/>
          <w:highlight w:val="none"/>
        </w:rPr>
        <w:t>2.22合同份数</w:t>
      </w:r>
      <w:bookmarkEnd w:id="196"/>
      <w:bookmarkEnd w:id="197"/>
      <w:bookmarkEnd w:id="198"/>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规定，每份均具有同等法律效力。</w:t>
      </w:r>
    </w:p>
    <w:p>
      <w:pPr>
        <w:pStyle w:val="699"/>
        <w:spacing w:line="560" w:lineRule="exact"/>
        <w:jc w:val="center"/>
        <w:rPr>
          <w:rFonts w:ascii="宋体" w:hAnsi="宋体" w:cs="宋体"/>
          <w:b/>
          <w:color w:val="auto"/>
          <w:szCs w:val="24"/>
          <w:highlight w:val="none"/>
        </w:rPr>
      </w:pPr>
      <w:r>
        <w:rPr>
          <w:rFonts w:hint="eastAsia" w:ascii="宋体" w:hAnsi="宋体" w:cs="宋体"/>
          <w:color w:val="auto"/>
          <w:kern w:val="0"/>
          <w:szCs w:val="24"/>
          <w:highlight w:val="none"/>
        </w:rPr>
        <w:br w:type="page"/>
      </w:r>
      <w:bookmarkStart w:id="199" w:name="_Toc331685784"/>
      <w:r>
        <w:rPr>
          <w:rFonts w:hint="eastAsia" w:ascii="宋体" w:hAnsi="宋体" w:cs="宋体"/>
          <w:b/>
          <w:color w:val="auto"/>
          <w:szCs w:val="24"/>
          <w:highlight w:val="none"/>
        </w:rPr>
        <w:t xml:space="preserve"> </w:t>
      </w:r>
      <w:bookmarkEnd w:id="199"/>
      <w:r>
        <w:rPr>
          <w:rFonts w:hint="eastAsia" w:ascii="宋体" w:hAnsi="宋体" w:cs="宋体"/>
          <w:b/>
          <w:color w:val="auto"/>
          <w:szCs w:val="24"/>
          <w:highlight w:val="none"/>
        </w:rPr>
        <w:t>第三部分  合同专用条款</w:t>
      </w:r>
    </w:p>
    <w:p>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left="-420" w:leftChars="-200" w:right="-420" w:rightChars="-200" w:firstLine="420" w:firstLineChars="200"/>
        <w:rPr>
          <w:rFonts w:ascii="宋体" w:hAnsi="宋体" w:cs="宋体"/>
          <w:color w:val="auto"/>
          <w:highlight w:val="none"/>
        </w:rPr>
      </w:pP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1.4.4</w:t>
            </w:r>
          </w:p>
        </w:tc>
        <w:tc>
          <w:tcPr>
            <w:tcW w:w="4534" w:type="pct"/>
          </w:tcPr>
          <w:p>
            <w:pPr>
              <w:spacing w:line="360" w:lineRule="auto"/>
              <w:ind w:firstLine="420" w:firstLineChars="200"/>
              <w:rPr>
                <w:color w:val="auto"/>
                <w:highlight w:val="none"/>
              </w:rPr>
            </w:pPr>
            <w:r>
              <w:rPr>
                <w:rFonts w:hint="eastAsia"/>
                <w:color w:val="auto"/>
                <w:highlight w:val="none"/>
              </w:rPr>
              <w:t>1.</w:t>
            </w:r>
            <w:r>
              <w:rPr>
                <w:rFonts w:hint="eastAsia"/>
                <w:color w:val="auto"/>
                <w:highlight w:val="none"/>
                <w:lang w:eastAsia="zh-Hans"/>
              </w:rPr>
              <w:t>合同签订后5个工作日内，</w:t>
            </w:r>
            <w:r>
              <w:rPr>
                <w:rFonts w:hint="eastAsia"/>
                <w:color w:val="auto"/>
                <w:highlight w:val="none"/>
              </w:rPr>
              <w:t>乙方</w:t>
            </w:r>
            <w:r>
              <w:rPr>
                <w:rFonts w:hint="eastAsia"/>
                <w:color w:val="auto"/>
                <w:highlight w:val="none"/>
                <w:lang w:eastAsia="zh-Hans"/>
              </w:rPr>
              <w:t>按杭州市政府采购网公布的供应商履约评价情况（供应商履约验收评价总分为100分的，</w:t>
            </w:r>
            <w:r>
              <w:rPr>
                <w:rFonts w:hint="eastAsia"/>
                <w:color w:val="auto"/>
                <w:highlight w:val="none"/>
              </w:rPr>
              <w:t>甲方</w:t>
            </w:r>
            <w:r>
              <w:rPr>
                <w:rFonts w:hint="eastAsia"/>
                <w:color w:val="auto"/>
                <w:highlight w:val="none"/>
                <w:lang w:eastAsia="zh-Hans"/>
              </w:rPr>
              <w:t>应当免收履约保证金；其余的收取履约保证金不得高于合同总价1%）缴纳履约保证金后，</w:t>
            </w:r>
            <w:r>
              <w:rPr>
                <w:rFonts w:hint="eastAsia"/>
                <w:color w:val="auto"/>
                <w:highlight w:val="none"/>
              </w:rPr>
              <w:t>甲方</w:t>
            </w:r>
            <w:r>
              <w:rPr>
                <w:rFonts w:hint="eastAsia"/>
                <w:color w:val="auto"/>
                <w:highlight w:val="none"/>
                <w:lang w:eastAsia="zh-Hans"/>
              </w:rPr>
              <w:t>支付合同总价的40％；</w:t>
            </w:r>
          </w:p>
          <w:p>
            <w:pPr>
              <w:spacing w:line="360" w:lineRule="auto"/>
              <w:ind w:firstLine="420" w:firstLineChars="200"/>
              <w:rPr>
                <w:color w:val="auto"/>
                <w:highlight w:val="none"/>
              </w:rPr>
            </w:pPr>
            <w:r>
              <w:rPr>
                <w:rFonts w:hint="eastAsia"/>
                <w:color w:val="auto"/>
                <w:highlight w:val="none"/>
              </w:rPr>
              <w:t>2.乙方完成全部产品交货后，经验收合格无任何服务问题，乙方凭到货核验清单、实物图片、产品合格证、质量保证书原件、说明书、双方签字盖章的验收意见、验收小组签字的验收报告及各种文档资料等，根据实际供货数量及合同单价，按实结算合同款项，且不超过合同总价，同时扣除违约金。</w:t>
            </w:r>
          </w:p>
          <w:p>
            <w:pPr>
              <w:spacing w:line="360" w:lineRule="auto"/>
              <w:ind w:firstLine="420" w:firstLineChars="200"/>
              <w:rPr>
                <w:rFonts w:hint="eastAsia"/>
                <w:color w:val="auto"/>
                <w:highlight w:val="none"/>
              </w:rPr>
            </w:pPr>
            <w:r>
              <w:rPr>
                <w:rFonts w:hint="eastAsia"/>
                <w:color w:val="auto"/>
                <w:highlight w:val="none"/>
                <w:lang w:eastAsia="zh-Hans"/>
              </w:rPr>
              <w:t>除满足前述约定的付款条件外，以上款项的支付均须在</w:t>
            </w:r>
            <w:r>
              <w:rPr>
                <w:rFonts w:hint="eastAsia"/>
                <w:color w:val="auto"/>
                <w:highlight w:val="none"/>
              </w:rPr>
              <w:t>甲方</w:t>
            </w:r>
            <w:r>
              <w:rPr>
                <w:rFonts w:hint="eastAsia"/>
                <w:color w:val="auto"/>
                <w:highlight w:val="none"/>
                <w:lang w:eastAsia="zh-Hans"/>
              </w:rPr>
              <w:t>收到</w:t>
            </w:r>
            <w:r>
              <w:rPr>
                <w:rFonts w:hint="eastAsia"/>
                <w:color w:val="auto"/>
                <w:highlight w:val="none"/>
              </w:rPr>
              <w:t>乙方</w:t>
            </w:r>
            <w:r>
              <w:rPr>
                <w:rFonts w:hint="eastAsia"/>
                <w:color w:val="auto"/>
                <w:highlight w:val="none"/>
                <w:lang w:eastAsia="zh-Hans"/>
              </w:rPr>
              <w:t>正规发票后，按财政及</w:t>
            </w:r>
            <w:r>
              <w:rPr>
                <w:rFonts w:hint="eastAsia"/>
                <w:color w:val="auto"/>
                <w:highlight w:val="none"/>
              </w:rPr>
              <w:t>甲方</w:t>
            </w:r>
            <w:r>
              <w:rPr>
                <w:rFonts w:hint="eastAsia"/>
                <w:color w:val="auto"/>
                <w:highlight w:val="none"/>
                <w:lang w:eastAsia="zh-Hans"/>
              </w:rPr>
              <w:t>规定办理完成相关手续后5个工作日内予以支付</w:t>
            </w:r>
            <w:r>
              <w:rPr>
                <w:rFonts w:hint="eastAsia"/>
                <w:color w:val="auto"/>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534" w:type="pct"/>
          </w:tcPr>
          <w:p>
            <w:pPr>
              <w:spacing w:line="360" w:lineRule="auto"/>
              <w:rPr>
                <w:rFonts w:ascii="宋体" w:hAnsi="宋体" w:cs="宋体"/>
                <w:color w:val="auto"/>
                <w:sz w:val="24"/>
                <w:highlight w:val="none"/>
              </w:rPr>
            </w:pPr>
            <w:r>
              <w:rPr>
                <w:rFonts w:hint="eastAsia"/>
                <w:color w:val="auto"/>
                <w:highlight w:val="none"/>
              </w:rPr>
              <w:t>交付期限：合同签订后30个工作日内完成风全部产品的到货、送货、搬运、安装。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534" w:type="pct"/>
          </w:tcPr>
          <w:p>
            <w:pPr>
              <w:spacing w:line="360" w:lineRule="auto"/>
              <w:rPr>
                <w:rFonts w:ascii="宋体" w:hAnsi="宋体" w:cs="宋体"/>
                <w:color w:val="auto"/>
                <w:sz w:val="24"/>
                <w:highlight w:val="none"/>
              </w:rPr>
            </w:pPr>
            <w:r>
              <w:rPr>
                <w:rFonts w:hint="eastAsia"/>
                <w:color w:val="auto"/>
                <w:highlight w:val="none"/>
              </w:rPr>
              <w:t>交付地点：杭州市公安局（杭州市上城区婺江路169号）。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534" w:type="pct"/>
          </w:tcPr>
          <w:p>
            <w:pPr>
              <w:spacing w:line="360" w:lineRule="auto"/>
              <w:rPr>
                <w:rFonts w:ascii="宋体" w:hAnsi="宋体" w:cs="宋体"/>
                <w:color w:val="auto"/>
                <w:sz w:val="24"/>
                <w:highlight w:val="none"/>
              </w:rPr>
            </w:pPr>
            <w:r>
              <w:rPr>
                <w:rFonts w:hint="eastAsia"/>
                <w:color w:val="auto"/>
                <w:highlight w:val="none"/>
              </w:rPr>
              <w:t>交付方式：按照甲方指定地点安装。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1.6.7</w:t>
            </w:r>
          </w:p>
        </w:tc>
        <w:tc>
          <w:tcPr>
            <w:tcW w:w="4534" w:type="pct"/>
          </w:tcPr>
          <w:p>
            <w:pPr>
              <w:spacing w:line="360" w:lineRule="auto"/>
              <w:rPr>
                <w:rFonts w:hint="eastAsia"/>
                <w:color w:val="auto"/>
                <w:highlight w:val="none"/>
                <w:lang w:val="zh-CN"/>
              </w:rPr>
            </w:pPr>
            <w:r>
              <w:rPr>
                <w:rFonts w:hint="eastAsia"/>
                <w:color w:val="auto"/>
                <w:highlight w:val="none"/>
              </w:rPr>
              <w:t>1.甲方</w:t>
            </w:r>
            <w:r>
              <w:rPr>
                <w:rFonts w:hint="eastAsia"/>
                <w:color w:val="auto"/>
                <w:highlight w:val="none"/>
                <w:lang w:val="zh-CN"/>
              </w:rPr>
              <w:t>逾期退还履约保证金的，乙方可要求甲方支付违约金，违约金按照每延迟退还一日的应退而未退还金额的0.05%计算，最高限额为本合同履约保证金的20%；</w:t>
            </w:r>
          </w:p>
          <w:p>
            <w:pPr>
              <w:spacing w:line="360" w:lineRule="auto"/>
              <w:rPr>
                <w:rFonts w:hint="eastAsia"/>
                <w:color w:val="auto"/>
                <w:highlight w:val="none"/>
                <w:lang w:val="zh-CN"/>
              </w:rPr>
            </w:pPr>
            <w:r>
              <w:rPr>
                <w:rFonts w:hint="eastAsia"/>
                <w:color w:val="auto"/>
                <w:highlight w:val="none"/>
              </w:rPr>
              <w:t>2.</w:t>
            </w:r>
            <w:r>
              <w:rPr>
                <w:rFonts w:hint="eastAsia"/>
                <w:color w:val="auto"/>
                <w:highlight w:val="none"/>
                <w:lang w:val="zh-CN"/>
              </w:rPr>
              <w:t>乙方每延迟一日缴纳履约保证金，违约金则按应缴纳的履约保证金金额的0.05%计算，最高限额为本合同履约保证金的20%；乙方逾期10日未按要求缴纳履约保证金的，甲方有权单方面解除合同，并就由此造成的一切损失均由乙方负责赔偿；</w:t>
            </w:r>
          </w:p>
          <w:p>
            <w:pPr>
              <w:tabs>
                <w:tab w:val="left" w:pos="432"/>
              </w:tabs>
              <w:spacing w:line="360" w:lineRule="auto"/>
              <w:rPr>
                <w:rFonts w:hint="eastAsia"/>
                <w:color w:val="auto"/>
                <w:highlight w:val="none"/>
                <w:lang w:val="zh-CN"/>
              </w:rPr>
            </w:pPr>
            <w:r>
              <w:rPr>
                <w:rFonts w:hint="eastAsia"/>
                <w:color w:val="auto"/>
                <w:highlight w:val="none"/>
              </w:rPr>
              <w:t>3.</w:t>
            </w:r>
            <w:r>
              <w:rPr>
                <w:rFonts w:hint="eastAsia"/>
                <w:color w:val="auto"/>
                <w:highlight w:val="none"/>
                <w:lang w:val="zh-CN"/>
              </w:rPr>
              <w:t>乙方擅自将本合同的全部或部分内容转包或分包，甲方可解除本合同，且乙方应按合同总价的30％向甲方支付违约金。如发生损失的，乙方还应赔偿甲方损失；</w:t>
            </w:r>
          </w:p>
          <w:p>
            <w:pPr>
              <w:tabs>
                <w:tab w:val="left" w:pos="432"/>
              </w:tabs>
              <w:spacing w:line="360" w:lineRule="auto"/>
              <w:rPr>
                <w:color w:val="auto"/>
                <w:highlight w:val="none"/>
              </w:rPr>
            </w:pPr>
            <w:r>
              <w:rPr>
                <w:rFonts w:hint="eastAsia"/>
                <w:color w:val="auto"/>
                <w:highlight w:val="none"/>
                <w:lang w:val="zh-CN"/>
              </w:rPr>
              <w:t>4.乙方在质保期内未按承诺提供售后等服务的，每发生一次向甲方支付2000元</w:t>
            </w:r>
            <w:r>
              <w:rPr>
                <w:rFonts w:hint="eastAsia"/>
                <w:color w:val="auto"/>
                <w:highlight w:val="none"/>
              </w:rPr>
              <w:t>违约金</w:t>
            </w:r>
            <w:r>
              <w:rPr>
                <w:rFonts w:hint="eastAsia"/>
                <w:color w:val="auto"/>
                <w:highlight w:val="none"/>
                <w:lang w:val="zh-CN"/>
              </w:rPr>
              <w:t>。</w:t>
            </w:r>
          </w:p>
          <w:p>
            <w:pPr>
              <w:spacing w:line="360" w:lineRule="auto"/>
              <w:rPr>
                <w:rFonts w:ascii="宋体" w:hAnsi="宋体" w:cs="宋体"/>
                <w:color w:val="auto"/>
                <w:sz w:val="24"/>
                <w:highlight w:val="none"/>
              </w:rPr>
            </w:pPr>
            <w:r>
              <w:rPr>
                <w:rFonts w:hint="eastAsia"/>
                <w:color w:val="auto"/>
                <w:highlight w:val="none"/>
              </w:rPr>
              <w:t>5.违约金在结算合同尾款时一次性扣除。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w:t>
            </w:r>
          </w:p>
        </w:tc>
        <w:tc>
          <w:tcPr>
            <w:tcW w:w="4534" w:type="pct"/>
          </w:tcPr>
          <w:p>
            <w:pPr>
              <w:spacing w:line="360" w:lineRule="auto"/>
              <w:rPr>
                <w:rFonts w:ascii="宋体" w:hAnsi="宋体" w:cs="宋体"/>
                <w:color w:val="auto"/>
                <w:sz w:val="24"/>
                <w:highlight w:val="none"/>
              </w:rPr>
            </w:pPr>
            <w:r>
              <w:rPr>
                <w:rFonts w:hint="eastAsia" w:ascii="宋体" w:hAnsi="宋体" w:cs="宋体"/>
                <w:color w:val="auto"/>
                <w:sz w:val="24"/>
                <w:highlight w:val="none"/>
              </w:rPr>
              <w:t>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4" w:type="pct"/>
          </w:tcPr>
          <w:p>
            <w:pPr>
              <w:spacing w:line="360" w:lineRule="auto"/>
              <w:rPr>
                <w:rFonts w:ascii="宋体" w:hAnsi="宋体" w:cs="宋体"/>
                <w:color w:val="auto"/>
                <w:sz w:val="24"/>
                <w:highlight w:val="none"/>
              </w:rPr>
            </w:pPr>
            <w:r>
              <w:rPr>
                <w:rFonts w:hint="eastAsia"/>
                <w:color w:val="auto"/>
                <w:highlight w:val="none"/>
              </w:rPr>
              <w:t>杭州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4" w:type="pct"/>
          </w:tcPr>
          <w:p>
            <w:pPr>
              <w:spacing w:line="360" w:lineRule="auto"/>
              <w:rPr>
                <w:rFonts w:ascii="宋体" w:hAnsi="宋体" w:cs="宋体"/>
                <w:color w:val="auto"/>
                <w:sz w:val="24"/>
                <w:highlight w:val="none"/>
              </w:rPr>
            </w:pPr>
            <w:r>
              <w:rPr>
                <w:color w:val="auto"/>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34" w:type="pct"/>
          </w:tcPr>
          <w:p>
            <w:pPr>
              <w:spacing w:line="360" w:lineRule="auto"/>
              <w:ind w:left="-420" w:leftChars="-200" w:right="-420" w:rightChars="-200" w:firstLine="420" w:firstLineChars="200"/>
              <w:rPr>
                <w:rFonts w:ascii="宋体" w:hAnsi="宋体" w:cs="宋体"/>
                <w:color w:val="auto"/>
                <w:sz w:val="24"/>
                <w:highlight w:val="none"/>
              </w:rPr>
            </w:pPr>
            <w:r>
              <w:rPr>
                <w:color w:val="auto"/>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2.4.1</w:t>
            </w:r>
          </w:p>
        </w:tc>
        <w:tc>
          <w:tcPr>
            <w:tcW w:w="4534" w:type="pct"/>
          </w:tcPr>
          <w:p>
            <w:pPr>
              <w:spacing w:line="360" w:lineRule="auto"/>
              <w:ind w:left="-420" w:leftChars="-200" w:right="-420" w:rightChars="-200" w:firstLine="420" w:firstLineChars="200"/>
              <w:rPr>
                <w:rFonts w:ascii="宋体" w:hAnsi="宋体" w:cs="宋体"/>
                <w:color w:val="auto"/>
                <w:sz w:val="24"/>
                <w:highlight w:val="none"/>
              </w:rPr>
            </w:pPr>
            <w:r>
              <w:rPr>
                <w:color w:val="auto"/>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2.4.2</w:t>
            </w:r>
          </w:p>
        </w:tc>
        <w:tc>
          <w:tcPr>
            <w:tcW w:w="4534" w:type="pct"/>
          </w:tcPr>
          <w:p>
            <w:pPr>
              <w:spacing w:line="360" w:lineRule="auto"/>
              <w:rPr>
                <w:rFonts w:ascii="宋体" w:hAnsi="宋体" w:cs="宋体"/>
                <w:color w:val="auto"/>
                <w:sz w:val="24"/>
                <w:highlight w:val="none"/>
              </w:rPr>
            </w:pPr>
            <w:r>
              <w:rPr>
                <w:color w:val="auto"/>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63" w:hRule="atLeast"/>
        </w:trPr>
        <w:tc>
          <w:tcPr>
            <w:tcW w:w="466"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pPr>
              <w:spacing w:line="360" w:lineRule="auto"/>
              <w:rPr>
                <w:rFonts w:ascii="宋体" w:hAnsi="宋体" w:cs="宋体"/>
                <w:color w:val="auto"/>
                <w:sz w:val="24"/>
                <w:highlight w:val="none"/>
              </w:rPr>
            </w:pPr>
            <w:r>
              <w:rPr>
                <w:rFonts w:hint="eastAsia"/>
                <w:color w:val="auto"/>
                <w:highlight w:val="none"/>
              </w:rPr>
              <w:t>货物或者在途货物或者交付给第一承运人后的货物毁损、灭失的风险由乙方承担一切责任并赔偿甲方损失。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2.12.3</w:t>
            </w:r>
          </w:p>
        </w:tc>
        <w:tc>
          <w:tcPr>
            <w:tcW w:w="4534" w:type="pct"/>
          </w:tcPr>
          <w:p>
            <w:pPr>
              <w:spacing w:line="360" w:lineRule="auto"/>
              <w:rPr>
                <w:rFonts w:ascii="宋体" w:hAnsi="宋体" w:cs="宋体"/>
                <w:color w:val="auto"/>
                <w:sz w:val="24"/>
                <w:highlight w:val="none"/>
              </w:rPr>
            </w:pPr>
            <w:r>
              <w:rPr>
                <w:rFonts w:hint="eastAsia"/>
                <w:color w:val="auto"/>
                <w:highlight w:val="none"/>
              </w:rPr>
              <w:t>因不可抗力致使合同有变更必要的，双方当事人应在3个工作日内以书面形式变更合同；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33"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2.12.4</w:t>
            </w:r>
          </w:p>
        </w:tc>
        <w:tc>
          <w:tcPr>
            <w:tcW w:w="4534" w:type="pct"/>
          </w:tcPr>
          <w:p>
            <w:pPr>
              <w:spacing w:line="360" w:lineRule="auto"/>
              <w:rPr>
                <w:rFonts w:ascii="宋体" w:hAnsi="宋体" w:cs="宋体"/>
                <w:color w:val="auto"/>
                <w:sz w:val="24"/>
                <w:highlight w:val="none"/>
              </w:rPr>
            </w:pPr>
            <w:r>
              <w:rPr>
                <w:rFonts w:hint="eastAsia"/>
                <w:color w:val="auto"/>
                <w:highlight w:val="none"/>
              </w:rPr>
              <w:t>受不可抗力影响的一方在不可抗力发生后，应在1个工作日内以书面形式通知对方当事人，并在3个工作日内，将有关部门出具的证明文件送达对方当事人。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6"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2.16.1</w:t>
            </w:r>
          </w:p>
        </w:tc>
        <w:tc>
          <w:tcPr>
            <w:tcW w:w="4534" w:type="pct"/>
          </w:tcPr>
          <w:p>
            <w:pPr>
              <w:spacing w:line="360" w:lineRule="auto"/>
              <w:rPr>
                <w:rFonts w:ascii="宋体" w:hAnsi="宋体" w:cs="宋体"/>
                <w:color w:val="auto"/>
                <w:sz w:val="24"/>
                <w:highlight w:val="none"/>
              </w:rPr>
            </w:pPr>
            <w:r>
              <w:rPr>
                <w:rFonts w:hint="eastAsia"/>
                <w:color w:val="auto"/>
                <w:highlight w:val="none"/>
              </w:rPr>
              <w:t>乙方完成货物交付且具备验收条件后。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01"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2.16.3</w:t>
            </w:r>
          </w:p>
        </w:tc>
        <w:tc>
          <w:tcPr>
            <w:tcW w:w="4534" w:type="pct"/>
          </w:tcPr>
          <w:p>
            <w:pPr>
              <w:spacing w:line="360" w:lineRule="auto"/>
              <w:rPr>
                <w:rFonts w:ascii="宋体" w:hAnsi="宋体" w:cs="宋体"/>
                <w:color w:val="auto"/>
                <w:sz w:val="24"/>
                <w:highlight w:val="none"/>
              </w:rPr>
            </w:pPr>
            <w:r>
              <w:rPr>
                <w:rFonts w:hint="eastAsia"/>
                <w:color w:val="auto"/>
                <w:highlight w:val="none"/>
              </w:rPr>
              <w:t>检验和验收标准、程序等具体内容以及前述验收书的效力，采用本行业通用标准。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16" w:hRule="atLeast"/>
        </w:trPr>
        <w:tc>
          <w:tcPr>
            <w:tcW w:w="466" w:type="pct"/>
            <w:tcBorders>
              <w:left w:val="single" w:color="auto" w:sz="4" w:space="0"/>
            </w:tcBorders>
          </w:tcPr>
          <w:p>
            <w:pPr>
              <w:spacing w:line="360" w:lineRule="auto"/>
              <w:rPr>
                <w:rFonts w:ascii="宋体" w:hAnsi="宋体" w:cs="宋体"/>
                <w:color w:val="auto"/>
                <w:sz w:val="24"/>
                <w:highlight w:val="none"/>
              </w:rPr>
            </w:pPr>
            <w:r>
              <w:rPr>
                <w:rFonts w:hint="eastAsia" w:ascii="宋体" w:hAnsi="宋体" w:cs="宋体"/>
                <w:color w:val="auto"/>
                <w:sz w:val="24"/>
                <w:highlight w:val="none"/>
              </w:rPr>
              <w:t>2.20.1</w:t>
            </w:r>
          </w:p>
        </w:tc>
        <w:tc>
          <w:tcPr>
            <w:tcW w:w="4534" w:type="pct"/>
          </w:tcPr>
          <w:p>
            <w:pPr>
              <w:spacing w:line="360" w:lineRule="auto"/>
              <w:ind w:firstLine="420" w:firstLineChars="200"/>
              <w:rPr>
                <w:rFonts w:ascii="宋体" w:hAnsi="宋体" w:cs="宋体"/>
                <w:color w:val="auto"/>
                <w:sz w:val="24"/>
                <w:highlight w:val="none"/>
              </w:rPr>
            </w:pPr>
            <w:r>
              <w:rPr>
                <w:rFonts w:hint="eastAsia"/>
                <w:color w:val="auto"/>
                <w:highlight w:val="none"/>
              </w:rPr>
              <w:t>乙方按杭州市政府采购网公布的乙方履约评价情况（投标人履约验收评价总分为100分的，采购人应当免收履约保证金；其余的，收取履约保证金不得高于合同总价1%）缴纳履约保证金，可以支票、汇票、本票或者金融机构、担保机构出具的保函等非现金形式提交履约保证金；鼓励和支持乙方以银行、保险公司出具的保函形式提供履约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2.20.2 </w:t>
            </w:r>
          </w:p>
        </w:tc>
        <w:tc>
          <w:tcPr>
            <w:tcW w:w="4534" w:type="pct"/>
          </w:tcPr>
          <w:p>
            <w:pPr>
              <w:spacing w:line="360" w:lineRule="auto"/>
              <w:rPr>
                <w:rFonts w:ascii="宋体" w:hAnsi="宋体" w:cs="宋体"/>
                <w:color w:val="auto"/>
                <w:sz w:val="24"/>
                <w:highlight w:val="none"/>
              </w:rPr>
            </w:pPr>
            <w:r>
              <w:rPr>
                <w:rFonts w:hint="eastAsia"/>
                <w:color w:val="auto"/>
                <w:highlight w:val="none"/>
              </w:rPr>
              <w:t>甲方在项目验收结束后及时退还履约保证金。甲方在项目通过验收，收到乙方履约保证金退还申请之日起 5 个工作日内，按合同专用条款约定的方式将履约保证金退还乙方。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color w:val="auto"/>
                <w:sz w:val="24"/>
                <w:highlight w:val="none"/>
              </w:rPr>
            </w:pPr>
            <w:r>
              <w:rPr>
                <w:rFonts w:hint="eastAsia" w:ascii="宋体" w:hAnsi="宋体" w:cs="宋体"/>
                <w:color w:val="auto"/>
                <w:sz w:val="24"/>
                <w:highlight w:val="none"/>
              </w:rPr>
              <w:t xml:space="preserve">2.22 </w:t>
            </w:r>
          </w:p>
        </w:tc>
        <w:tc>
          <w:tcPr>
            <w:tcW w:w="4534" w:type="pct"/>
          </w:tcPr>
          <w:p>
            <w:pPr>
              <w:spacing w:line="360" w:lineRule="auto"/>
              <w:rPr>
                <w:rFonts w:ascii="宋体" w:hAnsi="宋体" w:cs="宋体"/>
                <w:color w:val="auto"/>
                <w:sz w:val="24"/>
                <w:highlight w:val="none"/>
              </w:rPr>
            </w:pPr>
            <w:r>
              <w:rPr>
                <w:rFonts w:hint="eastAsia"/>
                <w:color w:val="auto"/>
                <w:highlight w:val="none"/>
              </w:rPr>
              <w:t>本合同壹式陆份，双方各执叁份。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hint="eastAsia" w:ascii="宋体" w:hAnsi="宋体" w:cs="宋体"/>
                <w:color w:val="auto"/>
                <w:sz w:val="24"/>
                <w:highlight w:val="none"/>
              </w:rPr>
            </w:pPr>
            <w:r>
              <w:rPr>
                <w:rFonts w:hint="eastAsia" w:ascii="宋体" w:hAnsi="宋体" w:cs="宋体"/>
                <w:color w:val="auto"/>
                <w:sz w:val="24"/>
                <w:highlight w:val="none"/>
              </w:rPr>
              <w:t>3</w:t>
            </w:r>
          </w:p>
        </w:tc>
        <w:tc>
          <w:tcPr>
            <w:tcW w:w="4534" w:type="pct"/>
          </w:tcPr>
          <w:p>
            <w:pPr>
              <w:spacing w:line="420" w:lineRule="exact"/>
              <w:ind w:firstLine="420" w:firstLineChars="200"/>
              <w:jc w:val="left"/>
              <w:rPr>
                <w:rFonts w:hint="eastAsia"/>
                <w:color w:val="auto"/>
                <w:highlight w:val="none"/>
              </w:rPr>
            </w:pPr>
            <w:r>
              <w:rPr>
                <w:rFonts w:hint="eastAsia"/>
                <w:color w:val="auto"/>
                <w:highlight w:val="none"/>
              </w:rPr>
              <w:t>售后服务要求：1. 所供产品是符合国家技术规范和质量标准，合格产品，为全新、未使用过的原装正品，制造标准及技术规范要求必须符合我国相关标准。如质量出现问题，需实行包修、包换、包退直至产品符合质量要求。</w:t>
            </w:r>
          </w:p>
          <w:p>
            <w:pPr>
              <w:spacing w:line="420" w:lineRule="exact"/>
              <w:ind w:firstLine="420" w:firstLineChars="200"/>
              <w:jc w:val="left"/>
              <w:rPr>
                <w:rFonts w:hint="eastAsia"/>
                <w:color w:val="auto"/>
                <w:highlight w:val="none"/>
              </w:rPr>
            </w:pPr>
            <w:r>
              <w:rPr>
                <w:rFonts w:hint="eastAsia"/>
                <w:color w:val="auto"/>
                <w:highlight w:val="none"/>
              </w:rPr>
              <w:t>2. 货物自验收通过之日起至少5年原厂质保期和上门服务，质保期内实行无条件更换。售后服务响应时间为1小时以内（提供远程指导，如远程指导无法解决，则需上门服务），在24小时内解决问题，如不能解决需更换产品。</w:t>
            </w:r>
          </w:p>
          <w:p>
            <w:pPr>
              <w:spacing w:line="420" w:lineRule="exact"/>
              <w:ind w:firstLine="420" w:firstLineChars="200"/>
              <w:jc w:val="left"/>
              <w:rPr>
                <w:rFonts w:hint="eastAsia"/>
                <w:color w:val="auto"/>
                <w:highlight w:val="none"/>
              </w:rPr>
            </w:pPr>
            <w:r>
              <w:rPr>
                <w:rFonts w:hint="eastAsia"/>
                <w:color w:val="auto"/>
                <w:highlight w:val="none"/>
              </w:rPr>
              <w:t>3. 乙方提供的产品，必须符合需求、采购文件规定的要求，如有不符，乙方应负责根据合同及甲方的要求采取补足或更换等处理措施，交货期不顺延，乙方应承担由此发生的一切损失和费用。</w:t>
            </w:r>
          </w:p>
          <w:p>
            <w:pPr>
              <w:spacing w:line="420" w:lineRule="exact"/>
              <w:ind w:firstLine="420" w:firstLineChars="200"/>
              <w:jc w:val="left"/>
              <w:rPr>
                <w:rFonts w:hint="eastAsia"/>
                <w:color w:val="auto"/>
                <w:highlight w:val="none"/>
              </w:rPr>
            </w:pPr>
            <w:r>
              <w:rPr>
                <w:rFonts w:hint="eastAsia"/>
                <w:color w:val="auto"/>
                <w:highlight w:val="none"/>
              </w:rPr>
              <w:t>4. 乙方负责根据实际需要提供上门服务人员并提供技术咨询，所产生的一切费用由包含在投标报价中。</w:t>
            </w:r>
          </w:p>
          <w:p>
            <w:pPr>
              <w:spacing w:line="420" w:lineRule="exact"/>
              <w:ind w:firstLine="420" w:firstLineChars="200"/>
              <w:jc w:val="left"/>
              <w:rPr>
                <w:rFonts w:hint="eastAsia"/>
                <w:color w:val="auto"/>
                <w:highlight w:val="none"/>
              </w:rPr>
            </w:pPr>
            <w:r>
              <w:rPr>
                <w:rFonts w:hint="eastAsia"/>
                <w:color w:val="auto"/>
                <w:highlight w:val="none"/>
              </w:rPr>
              <w:t>5. 所供产品验收合格交货时，乙方必须向甲方提供产品合格证、质量保证书原件、说明书等相关资料。</w:t>
            </w:r>
          </w:p>
          <w:p>
            <w:pPr>
              <w:spacing w:line="420" w:lineRule="exact"/>
              <w:ind w:firstLine="420" w:firstLineChars="200"/>
              <w:jc w:val="left"/>
              <w:rPr>
                <w:rFonts w:hint="eastAsia"/>
                <w:color w:val="auto"/>
                <w:highlight w:val="none"/>
              </w:rPr>
            </w:pPr>
            <w:r>
              <w:rPr>
                <w:rFonts w:hint="eastAsia"/>
                <w:color w:val="auto"/>
                <w:highlight w:val="none"/>
              </w:rPr>
              <w:t>6. 如甲方对货物的品质有疑义，乙方应将货物送至相关专业第三方机构检测，如经检测不能达到国家合格标准，乙方应无条件更换货物，并赔偿甲方的损失。无论检测合格与否检测费用均由乙方承担。</w:t>
            </w:r>
          </w:p>
          <w:p>
            <w:pPr>
              <w:spacing w:line="420" w:lineRule="exact"/>
              <w:ind w:firstLine="420" w:firstLineChars="200"/>
              <w:jc w:val="left"/>
              <w:rPr>
                <w:rFonts w:hint="eastAsia"/>
                <w:color w:val="auto"/>
                <w:highlight w:val="none"/>
              </w:rPr>
            </w:pPr>
            <w:r>
              <w:rPr>
                <w:rFonts w:hint="eastAsia"/>
                <w:color w:val="auto"/>
                <w:highlight w:val="none"/>
              </w:rPr>
              <w:t>7. 乙方配备1名项目负责人（姓名：   联系方式：   ），负责与甲方对接。</w:t>
            </w:r>
          </w:p>
        </w:tc>
      </w:tr>
    </w:tbl>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rPr>
          <w:rFonts w:ascii="宋体" w:hAnsi="宋体" w:cs="宋体"/>
          <w:color w:val="auto"/>
          <w:sz w:val="24"/>
          <w:highlight w:val="none"/>
        </w:rPr>
      </w:pPr>
    </w:p>
    <w:p>
      <w:pPr>
        <w:pStyle w:val="24"/>
        <w:rPr>
          <w:rFonts w:hint="eastAsia" w:cs="宋体"/>
          <w:color w:val="auto"/>
          <w:highlight w:val="none"/>
        </w:rPr>
      </w:pPr>
      <w:r>
        <w:rPr>
          <w:rFonts w:hint="eastAsia" w:cs="宋体"/>
          <w:color w:val="auto"/>
          <w:highlight w:val="none"/>
        </w:rPr>
        <w:t>附一：合同价格清单</w:t>
      </w:r>
    </w:p>
    <w:p>
      <w:pPr>
        <w:rPr>
          <w:rFonts w:hint="eastAsia" w:cs="宋体"/>
          <w:color w:val="auto"/>
          <w:sz w:val="24"/>
          <w:highlight w:val="none"/>
        </w:rPr>
      </w:pPr>
    </w:p>
    <w:p>
      <w:pPr>
        <w:pStyle w:val="24"/>
        <w:rPr>
          <w:rFonts w:hint="eastAsia"/>
          <w:color w:val="auto"/>
          <w:highlight w:val="none"/>
        </w:rPr>
      </w:pPr>
      <w:r>
        <w:rPr>
          <w:rFonts w:hint="eastAsia" w:cs="宋体"/>
          <w:color w:val="auto"/>
          <w:highlight w:val="none"/>
        </w:rPr>
        <w:t>附二：验收方案</w:t>
      </w:r>
    </w:p>
    <w:p>
      <w:pPr>
        <w:spacing w:line="360" w:lineRule="auto"/>
        <w:ind w:left="-420" w:leftChars="-200" w:right="-420" w:rightChars="-200" w:firstLine="480" w:firstLineChars="200"/>
        <w:rPr>
          <w:rFonts w:ascii="宋体" w:hAnsi="宋体" w:cs="宋体"/>
          <w:color w:val="auto"/>
          <w:sz w:val="24"/>
          <w:highlight w:val="none"/>
        </w:rPr>
      </w:pPr>
    </w:p>
    <w:p>
      <w:pPr>
        <w:spacing w:line="360" w:lineRule="auto"/>
        <w:ind w:left="-420" w:leftChars="-200" w:right="-420" w:rightChars="-20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spacing w:line="360" w:lineRule="auto"/>
        <w:ind w:left="-420" w:leftChars="-200" w:right="-420" w:rightChars="-200" w:firstLine="480" w:firstLineChars="200"/>
        <w:jc w:val="center"/>
        <w:outlineLvl w:val="0"/>
        <w:rPr>
          <w:rFonts w:ascii="宋体" w:hAnsi="宋体" w:cs="宋体"/>
          <w:color w:val="auto"/>
          <w:sz w:val="24"/>
          <w:highlight w:val="none"/>
        </w:rPr>
      </w:pPr>
    </w:p>
    <w:p>
      <w:pPr>
        <w:spacing w:line="360" w:lineRule="auto"/>
        <w:ind w:left="720" w:firstLine="723" w:firstLineChars="200"/>
        <w:outlineLvl w:val="0"/>
        <w:rPr>
          <w:rFonts w:ascii="宋体" w:hAnsi="宋体" w:cs="宋体"/>
          <w:b/>
          <w:color w:val="auto"/>
          <w:sz w:val="36"/>
          <w:szCs w:val="20"/>
          <w:highlight w:val="none"/>
        </w:rPr>
      </w:pPr>
    </w:p>
    <w:p>
      <w:pPr>
        <w:spacing w:line="360" w:lineRule="auto"/>
        <w:ind w:left="720" w:firstLine="723" w:firstLineChars="200"/>
        <w:outlineLvl w:val="0"/>
        <w:rPr>
          <w:rFonts w:ascii="宋体" w:hAnsi="宋体" w:cs="宋体"/>
          <w:b/>
          <w:color w:val="auto"/>
          <w:sz w:val="36"/>
          <w:szCs w:val="20"/>
          <w:highlight w:val="none"/>
        </w:rPr>
      </w:pPr>
    </w:p>
    <w:p>
      <w:pPr>
        <w:spacing w:line="360" w:lineRule="auto"/>
        <w:ind w:left="720" w:firstLine="723" w:firstLineChars="200"/>
        <w:outlineLvl w:val="0"/>
        <w:rPr>
          <w:rFonts w:ascii="宋体" w:hAnsi="宋体" w:cs="宋体"/>
          <w:b/>
          <w:color w:val="auto"/>
          <w:sz w:val="36"/>
          <w:szCs w:val="20"/>
          <w:highlight w:val="none"/>
        </w:rPr>
      </w:pPr>
    </w:p>
    <w:p>
      <w:pPr>
        <w:spacing w:line="360" w:lineRule="auto"/>
        <w:ind w:left="720" w:firstLine="723" w:firstLineChars="200"/>
        <w:outlineLvl w:val="0"/>
        <w:rPr>
          <w:rFonts w:ascii="宋体" w:hAnsi="宋体" w:cs="宋体"/>
          <w:b/>
          <w:color w:val="auto"/>
          <w:sz w:val="36"/>
          <w:szCs w:val="20"/>
          <w:highlight w:val="none"/>
        </w:rPr>
      </w:pPr>
    </w:p>
    <w:p>
      <w:pPr>
        <w:spacing w:line="360" w:lineRule="auto"/>
        <w:ind w:left="720" w:firstLine="723" w:firstLineChars="200"/>
        <w:outlineLvl w:val="0"/>
        <w:rPr>
          <w:rFonts w:ascii="宋体" w:hAnsi="宋体" w:cs="宋体"/>
          <w:b/>
          <w:color w:val="auto"/>
          <w:sz w:val="36"/>
          <w:szCs w:val="20"/>
          <w:highlight w:val="none"/>
        </w:rPr>
      </w:pPr>
    </w:p>
    <w:p>
      <w:pPr>
        <w:spacing w:line="360" w:lineRule="auto"/>
        <w:ind w:left="720" w:firstLine="723" w:firstLineChars="200"/>
        <w:outlineLvl w:val="0"/>
        <w:rPr>
          <w:rFonts w:ascii="宋体" w:hAnsi="宋体" w:cs="宋体"/>
          <w:b/>
          <w:color w:val="auto"/>
          <w:sz w:val="36"/>
          <w:szCs w:val="20"/>
          <w:highlight w:val="none"/>
        </w:rPr>
      </w:pPr>
    </w:p>
    <w:p>
      <w:pPr>
        <w:spacing w:line="360" w:lineRule="auto"/>
        <w:ind w:left="720" w:firstLine="723" w:firstLineChars="200"/>
        <w:outlineLvl w:val="0"/>
        <w:rPr>
          <w:rFonts w:ascii="宋体" w:hAnsi="宋体" w:cs="宋体"/>
          <w:b/>
          <w:color w:val="auto"/>
          <w:sz w:val="36"/>
          <w:szCs w:val="20"/>
          <w:highlight w:val="none"/>
        </w:rPr>
      </w:pPr>
    </w:p>
    <w:p>
      <w:pPr>
        <w:spacing w:line="360" w:lineRule="auto"/>
        <w:ind w:left="720" w:firstLine="723" w:firstLineChars="200"/>
        <w:outlineLvl w:val="0"/>
        <w:rPr>
          <w:rFonts w:ascii="宋体" w:hAnsi="宋体" w:cs="宋体"/>
          <w:b/>
          <w:color w:val="auto"/>
          <w:sz w:val="36"/>
          <w:szCs w:val="20"/>
          <w:highlight w:val="none"/>
        </w:rPr>
      </w:pPr>
    </w:p>
    <w:p>
      <w:pPr>
        <w:spacing w:line="360" w:lineRule="auto"/>
        <w:ind w:left="720" w:firstLine="723" w:firstLineChars="200"/>
        <w:outlineLvl w:val="0"/>
        <w:rPr>
          <w:rFonts w:ascii="宋体" w:hAnsi="宋体" w:cs="宋体"/>
          <w:b/>
          <w:color w:val="auto"/>
          <w:sz w:val="36"/>
          <w:szCs w:val="20"/>
          <w:highlight w:val="none"/>
        </w:rPr>
      </w:pPr>
    </w:p>
    <w:p>
      <w:pPr>
        <w:spacing w:line="360" w:lineRule="auto"/>
        <w:ind w:left="720" w:firstLine="723" w:firstLineChars="200"/>
        <w:outlineLvl w:val="0"/>
        <w:rPr>
          <w:rFonts w:ascii="宋体" w:hAnsi="宋体" w:cs="宋体"/>
          <w:b/>
          <w:color w:val="auto"/>
          <w:sz w:val="36"/>
          <w:szCs w:val="20"/>
          <w:highlight w:val="none"/>
        </w:rPr>
      </w:pPr>
    </w:p>
    <w:p>
      <w:pPr>
        <w:spacing w:line="360" w:lineRule="auto"/>
        <w:ind w:left="720" w:firstLine="723" w:firstLineChars="200"/>
        <w:outlineLvl w:val="0"/>
        <w:rPr>
          <w:rFonts w:ascii="宋体" w:hAnsi="宋体" w:cs="宋体"/>
          <w:b/>
          <w:color w:val="auto"/>
          <w:sz w:val="36"/>
          <w:szCs w:val="20"/>
          <w:highlight w:val="none"/>
        </w:rPr>
      </w:pPr>
    </w:p>
    <w:p>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1"/>
      <w:r>
        <w:rPr>
          <w:rFonts w:hint="eastAsia" w:ascii="宋体" w:hAnsi="宋体" w:cs="宋体"/>
          <w:b/>
          <w:color w:val="auto"/>
          <w:sz w:val="36"/>
          <w:szCs w:val="20"/>
          <w:highlight w:val="none"/>
        </w:rPr>
        <w:t xml:space="preserve"> </w:t>
      </w:r>
      <w:bookmarkEnd w:id="42"/>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杭州市公安局、杭州市公共资源交易中心：</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我方参与杭州市公安局研发中心家具采购项目【招标编号：HZZFCG-2022-152】政府采购活动，郑重承诺：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p>
    <w:p>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pPr>
        <w:widowControl/>
        <w:spacing w:line="360" w:lineRule="auto"/>
        <w:ind w:firstLine="480"/>
        <w:jc w:val="left"/>
        <w:rPr>
          <w:rFonts w:ascii="宋体" w:hAnsi="宋体" w:cs="宋体"/>
          <w:color w:val="auto"/>
          <w:sz w:val="24"/>
          <w:highlight w:val="none"/>
        </w:rPr>
      </w:pPr>
    </w:p>
    <w:p>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），分包意向协议中中小企业合同金额应当达到招标公告载明的比例；如果供应商本身提供所有标的均由中小企业制造的，视同符合了资格条件，无需再向中小企业分包，无需提供分包意向协议。</w:t>
      </w:r>
    </w:p>
    <w:p>
      <w:pPr>
        <w:widowControl/>
        <w:spacing w:line="360" w:lineRule="auto"/>
        <w:ind w:left="150"/>
        <w:jc w:val="center"/>
        <w:rPr>
          <w:rFonts w:ascii="宋体" w:hAnsi="宋体" w:cs="宋体"/>
          <w:b/>
          <w:color w:val="auto"/>
          <w:kern w:val="0"/>
          <w:sz w:val="32"/>
          <w:szCs w:val="32"/>
          <w:highlight w:val="none"/>
        </w:rPr>
      </w:pP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2"/>
        <w:rPr>
          <w:color w:val="auto"/>
          <w:highlight w:val="none"/>
          <w:lang w:val="en-US"/>
        </w:rPr>
      </w:pPr>
    </w:p>
    <w:p>
      <w:pPr>
        <w:rPr>
          <w:color w:val="auto"/>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pStyle w:val="2"/>
        <w:rPr>
          <w:color w:val="auto"/>
          <w:highlight w:val="none"/>
          <w:lang w:val="en-US"/>
        </w:rPr>
      </w:pPr>
    </w:p>
    <w:p>
      <w:pPr>
        <w:rPr>
          <w:color w:val="auto"/>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snapToGrid w:val="0"/>
        <w:spacing w:line="360" w:lineRule="auto"/>
        <w:ind w:firstLine="3855" w:firstLineChars="1200"/>
        <w:outlineLvl w:val="0"/>
        <w:rPr>
          <w:rFonts w:ascii="宋体" w:hAnsi="宋体" w:cs="宋体"/>
          <w:b/>
          <w:color w:val="auto"/>
          <w:kern w:val="0"/>
          <w:sz w:val="32"/>
          <w:szCs w:val="32"/>
          <w:highlight w:val="none"/>
        </w:rPr>
      </w:pPr>
    </w:p>
    <w:p>
      <w:pPr>
        <w:pStyle w:val="2"/>
        <w:rPr>
          <w:color w:val="auto"/>
          <w:highlight w:val="none"/>
          <w:lang w:val="en-US"/>
        </w:rPr>
      </w:pPr>
    </w:p>
    <w:p>
      <w:pPr>
        <w:snapToGrid w:val="0"/>
        <w:spacing w:line="360" w:lineRule="auto"/>
        <w:ind w:firstLine="3855" w:firstLineChars="1200"/>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杭州市公安局、杭州市公共资源交易中心：</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我方参加你方组织的杭州市公安局研发中心家具采购项目【招标编号：HZZFCG-2022-152】招标的有关活动，并对此项目进行投标。为此：</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snapToGrid w:val="0"/>
        <w:spacing w:line="360" w:lineRule="auto"/>
        <w:ind w:left="420" w:leftChars="200" w:firstLine="4200" w:firstLineChars="1750"/>
        <w:rPr>
          <w:rFonts w:ascii="宋体" w:hAnsi="宋体" w:cs="宋体"/>
          <w:color w:val="auto"/>
          <w:kern w:val="0"/>
          <w:sz w:val="24"/>
          <w:highlight w:val="none"/>
          <w:u w:val="singl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napToGrid w:val="0"/>
        <w:spacing w:line="360" w:lineRule="auto"/>
        <w:jc w:val="center"/>
        <w:rPr>
          <w:rFonts w:ascii="宋体" w:hAnsi="宋体" w:cs="宋体"/>
          <w:b/>
          <w:color w:val="auto"/>
          <w:kern w:val="0"/>
          <w:sz w:val="32"/>
          <w:szCs w:val="32"/>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杭州市公安局、杭州市公共资源交易中心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杭州市公安局研发中心家具采购项目【招标编号：HZZFCG-2022-152】</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杭州市公安局、杭州市公共资源交易中心</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杭州市公安局研发中心家具采购项目【招标编号：HZZFCG-2022-152】</w:t>
      </w:r>
      <w:r>
        <w:rPr>
          <w:rFonts w:hint="eastAsia" w:ascii="宋体" w:hAnsi="宋体" w:cs="宋体"/>
          <w:color w:val="auto"/>
          <w:kern w:val="0"/>
          <w:sz w:val="24"/>
          <w:highlight w:val="none"/>
          <w:lang w:val="zh-CN"/>
        </w:rPr>
        <w:t>政府采购投标的一切事项，其法律后果由我方承担。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pPr>
        <w:pStyle w:val="146"/>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6"/>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w:t>
      </w:r>
    </w:p>
    <w:p>
      <w:pPr>
        <w:widowControl/>
        <w:spacing w:line="360" w:lineRule="auto"/>
        <w:ind w:firstLine="120" w:firstLineChars="50"/>
        <w:jc w:val="left"/>
        <w:rPr>
          <w:rFonts w:ascii="宋体" w:hAnsi="宋体" w:cs="宋体"/>
          <w:color w:val="auto"/>
          <w:sz w:val="24"/>
          <w:highlight w:val="none"/>
        </w:rPr>
      </w:pPr>
      <w:bookmarkStart w:id="200"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bookmarkEnd w:id="200"/>
    <w:p>
      <w:pPr>
        <w:snapToGrid w:val="0"/>
        <w:spacing w:line="360" w:lineRule="auto"/>
        <w:rPr>
          <w:rFonts w:ascii="宋体" w:hAnsi="宋体" w:cs="宋体"/>
          <w:color w:val="auto"/>
          <w:kern w:val="0"/>
          <w:sz w:val="24"/>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tcPr>
          <w:p>
            <w:pPr>
              <w:rPr>
                <w:rFonts w:ascii="宋体" w:hAnsi="宋体" w:cs="宋体"/>
                <w:color w:val="auto"/>
                <w:sz w:val="24"/>
                <w:highlight w:val="none"/>
              </w:rPr>
            </w:pPr>
          </w:p>
          <w:p>
            <w:pPr>
              <w:rPr>
                <w:rFonts w:ascii="宋体" w:hAnsi="宋体" w:cs="宋体"/>
                <w:color w:val="auto"/>
                <w:sz w:val="24"/>
                <w:highlight w:val="none"/>
              </w:rPr>
            </w:pPr>
          </w:p>
          <w:p>
            <w:pPr>
              <w:rPr>
                <w:rFonts w:ascii="宋体" w:hAnsi="宋体" w:cs="宋体"/>
                <w:color w:val="auto"/>
                <w:sz w:val="24"/>
                <w:highlight w:val="none"/>
              </w:rPr>
            </w:pPr>
            <w:r>
              <w:rPr>
                <w:rFonts w:hint="eastAsia" w:ascii="宋体" w:hAnsi="宋体" w:cs="宋体"/>
                <w:color w:val="auto"/>
                <w:sz w:val="24"/>
                <w:highlight w:val="none"/>
              </w:rPr>
              <w:t>见投标文件</w:t>
            </w:r>
          </w:p>
          <w:p>
            <w:pPr>
              <w:pStyle w:val="2"/>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宋体" w:hAnsi="宋体" w:cs="宋体"/>
                <w:color w:val="auto"/>
                <w:sz w:val="24"/>
                <w:highlight w:val="none"/>
              </w:rPr>
            </w:pPr>
            <w:r>
              <w:rPr>
                <w:rFonts w:hint="eastAsia" w:ascii="宋体" w:hAnsi="宋体" w:cs="宋体"/>
                <w:color w:val="auto"/>
                <w:sz w:val="24"/>
                <w:highlight w:val="none"/>
              </w:rPr>
              <w:t>4</w:t>
            </w:r>
          </w:p>
        </w:tc>
        <w:tc>
          <w:tcPr>
            <w:tcW w:w="4991" w:type="dxa"/>
          </w:tcPr>
          <w:p>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bCs/>
          <w:color w:val="auto"/>
          <w:sz w:val="32"/>
          <w:szCs w:val="32"/>
          <w:highlight w:val="none"/>
        </w:rPr>
      </w:pPr>
    </w:p>
    <w:p>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杭州市公安局、杭州市公共资源交易中心</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（1）开标一览表（报价表）………………………………………………………（页码）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（2）中小企业声明函………………………………………………………………（页码）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杭州市公安局、杭州市公共资源交易中心</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杭州市公安局研发中心家具采购项目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HZZFCG-2022-152】的实施</w:t>
      </w:r>
      <w:r>
        <w:rPr>
          <w:rFonts w:hint="eastAsia" w:ascii="宋体" w:hAnsi="宋体" w:cs="宋体"/>
          <w:color w:val="auto"/>
          <w:kern w:val="0"/>
          <w:sz w:val="24"/>
          <w:highlight w:val="none"/>
          <w:lang w:val="zh-CN"/>
        </w:rPr>
        <w:t>。</w:t>
      </w:r>
    </w:p>
    <w:p>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2835"/>
        <w:gridCol w:w="1559"/>
        <w:gridCol w:w="1276"/>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2835"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1559"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（张/把/个）</w:t>
            </w:r>
          </w:p>
        </w:tc>
        <w:tc>
          <w:tcPr>
            <w:tcW w:w="127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pPr>
              <w:spacing w:line="360" w:lineRule="auto"/>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pPr>
              <w:widowControl/>
              <w:jc w:val="center"/>
              <w:textAlignment w:val="center"/>
              <w:rPr>
                <w:rFonts w:ascii="宋体" w:hAnsi="宋体" w:cs="宋体"/>
                <w:color w:val="auto"/>
                <w:kern w:val="0"/>
                <w:sz w:val="20"/>
                <w:szCs w:val="21"/>
                <w:highlight w:val="none"/>
                <w:lang w:bidi="ar"/>
              </w:rPr>
            </w:pPr>
            <w:r>
              <w:rPr>
                <w:rFonts w:hint="eastAsia" w:ascii="宋体" w:hAnsi="宋体" w:cs="宋体"/>
                <w:color w:val="auto"/>
                <w:kern w:val="0"/>
                <w:szCs w:val="21"/>
                <w:highlight w:val="none"/>
                <w:lang w:bidi="ar"/>
              </w:rPr>
              <w:t>民警</w:t>
            </w:r>
          </w:p>
          <w:p>
            <w:pPr>
              <w:snapToGrid w:val="0"/>
              <w:spacing w:line="360" w:lineRule="auto"/>
              <w:jc w:val="center"/>
              <w:rPr>
                <w:rFonts w:ascii="宋体" w:hAnsi="宋体" w:cs="宋体"/>
                <w:color w:val="auto"/>
                <w:sz w:val="24"/>
                <w:highlight w:val="none"/>
              </w:rPr>
            </w:pPr>
            <w:r>
              <w:rPr>
                <w:rFonts w:hint="eastAsia" w:ascii="宋体" w:hAnsi="宋体" w:cs="宋体"/>
                <w:color w:val="auto"/>
                <w:kern w:val="0"/>
                <w:szCs w:val="21"/>
                <w:highlight w:val="none"/>
                <w:lang w:bidi="ar"/>
              </w:rPr>
              <w:t>办公桌</w:t>
            </w:r>
          </w:p>
        </w:tc>
        <w:tc>
          <w:tcPr>
            <w:tcW w:w="1843" w:type="dxa"/>
            <w:vAlign w:val="center"/>
          </w:tcPr>
          <w:p>
            <w:pPr>
              <w:snapToGrid w:val="0"/>
              <w:spacing w:line="360" w:lineRule="auto"/>
              <w:jc w:val="center"/>
              <w:rPr>
                <w:rFonts w:ascii="宋体" w:hAnsi="宋体" w:cs="宋体"/>
                <w:color w:val="auto"/>
                <w:sz w:val="24"/>
                <w:highlight w:val="none"/>
              </w:rPr>
            </w:pPr>
          </w:p>
        </w:tc>
        <w:tc>
          <w:tcPr>
            <w:tcW w:w="2835"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kern w:val="0"/>
                <w:szCs w:val="21"/>
                <w:highlight w:val="none"/>
                <w:lang w:bidi="ar"/>
              </w:rPr>
              <w:t>90</w:t>
            </w:r>
          </w:p>
        </w:tc>
        <w:tc>
          <w:tcPr>
            <w:tcW w:w="1276"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pPr>
              <w:widowControl/>
              <w:jc w:val="center"/>
              <w:textAlignment w:val="center"/>
              <w:rPr>
                <w:rFonts w:ascii="宋体" w:hAnsi="宋体" w:cs="宋体"/>
                <w:color w:val="auto"/>
                <w:kern w:val="0"/>
                <w:sz w:val="20"/>
                <w:szCs w:val="21"/>
                <w:highlight w:val="none"/>
                <w:lang w:bidi="ar"/>
              </w:rPr>
            </w:pPr>
            <w:r>
              <w:rPr>
                <w:rFonts w:hint="eastAsia" w:ascii="宋体" w:hAnsi="宋体" w:cs="宋体"/>
                <w:color w:val="auto"/>
                <w:kern w:val="0"/>
                <w:szCs w:val="21"/>
                <w:highlight w:val="none"/>
                <w:lang w:bidi="ar"/>
              </w:rPr>
              <w:t>民警</w:t>
            </w:r>
          </w:p>
          <w:p>
            <w:pPr>
              <w:snapToGrid w:val="0"/>
              <w:spacing w:line="360" w:lineRule="auto"/>
              <w:jc w:val="center"/>
              <w:rPr>
                <w:rFonts w:ascii="宋体" w:hAnsi="宋体" w:cs="宋体"/>
                <w:color w:val="auto"/>
                <w:sz w:val="24"/>
                <w:highlight w:val="none"/>
              </w:rPr>
            </w:pPr>
            <w:r>
              <w:rPr>
                <w:rFonts w:hint="eastAsia" w:ascii="宋体" w:hAnsi="宋体" w:cs="宋体"/>
                <w:color w:val="auto"/>
                <w:kern w:val="0"/>
                <w:szCs w:val="21"/>
                <w:highlight w:val="none"/>
                <w:lang w:bidi="ar"/>
              </w:rPr>
              <w:t>办公椅</w:t>
            </w:r>
          </w:p>
        </w:tc>
        <w:tc>
          <w:tcPr>
            <w:tcW w:w="1843" w:type="dxa"/>
            <w:vAlign w:val="center"/>
          </w:tcPr>
          <w:p>
            <w:pPr>
              <w:snapToGrid w:val="0"/>
              <w:spacing w:line="360" w:lineRule="auto"/>
              <w:jc w:val="center"/>
              <w:rPr>
                <w:rFonts w:ascii="宋体" w:hAnsi="宋体" w:cs="宋体"/>
                <w:color w:val="auto"/>
                <w:sz w:val="24"/>
                <w:highlight w:val="none"/>
              </w:rPr>
            </w:pPr>
          </w:p>
        </w:tc>
        <w:tc>
          <w:tcPr>
            <w:tcW w:w="2835"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kern w:val="0"/>
                <w:szCs w:val="21"/>
                <w:highlight w:val="none"/>
                <w:lang w:bidi="ar"/>
              </w:rPr>
              <w:t>180</w:t>
            </w:r>
          </w:p>
        </w:tc>
        <w:tc>
          <w:tcPr>
            <w:tcW w:w="1276"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kern w:val="0"/>
                <w:szCs w:val="21"/>
                <w:highlight w:val="none"/>
                <w:lang w:bidi="ar"/>
              </w:rPr>
              <w:t>钢制文件柜</w:t>
            </w:r>
          </w:p>
        </w:tc>
        <w:tc>
          <w:tcPr>
            <w:tcW w:w="1843" w:type="dxa"/>
            <w:vAlign w:val="center"/>
          </w:tcPr>
          <w:p>
            <w:pPr>
              <w:snapToGrid w:val="0"/>
              <w:spacing w:line="360" w:lineRule="auto"/>
              <w:jc w:val="center"/>
              <w:rPr>
                <w:rFonts w:ascii="宋体" w:hAnsi="宋体" w:cs="宋体"/>
                <w:color w:val="auto"/>
                <w:sz w:val="24"/>
                <w:highlight w:val="none"/>
              </w:rPr>
            </w:pPr>
          </w:p>
        </w:tc>
        <w:tc>
          <w:tcPr>
            <w:tcW w:w="2835"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kern w:val="0"/>
                <w:szCs w:val="21"/>
                <w:highlight w:val="none"/>
                <w:lang w:bidi="ar"/>
              </w:rPr>
              <w:t>10</w:t>
            </w:r>
          </w:p>
        </w:tc>
        <w:tc>
          <w:tcPr>
            <w:tcW w:w="1276"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kern w:val="0"/>
                <w:szCs w:val="21"/>
                <w:highlight w:val="none"/>
                <w:lang w:bidi="ar"/>
              </w:rPr>
              <w:t>钢制档案柜</w:t>
            </w:r>
          </w:p>
        </w:tc>
        <w:tc>
          <w:tcPr>
            <w:tcW w:w="1843" w:type="dxa"/>
            <w:vAlign w:val="center"/>
          </w:tcPr>
          <w:p>
            <w:pPr>
              <w:snapToGrid w:val="0"/>
              <w:spacing w:line="360" w:lineRule="auto"/>
              <w:jc w:val="center"/>
              <w:rPr>
                <w:rFonts w:ascii="宋体" w:hAnsi="宋体" w:cs="宋体"/>
                <w:color w:val="auto"/>
                <w:sz w:val="24"/>
                <w:highlight w:val="none"/>
              </w:rPr>
            </w:pPr>
          </w:p>
        </w:tc>
        <w:tc>
          <w:tcPr>
            <w:tcW w:w="2835"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kern w:val="0"/>
                <w:szCs w:val="21"/>
                <w:highlight w:val="none"/>
                <w:lang w:bidi="ar"/>
              </w:rPr>
              <w:t>40</w:t>
            </w:r>
          </w:p>
        </w:tc>
        <w:tc>
          <w:tcPr>
            <w:tcW w:w="1276"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kern w:val="0"/>
                <w:szCs w:val="21"/>
                <w:highlight w:val="none"/>
                <w:lang w:bidi="ar"/>
              </w:rPr>
              <w:t>小型会议桌</w:t>
            </w:r>
          </w:p>
        </w:tc>
        <w:tc>
          <w:tcPr>
            <w:tcW w:w="1843" w:type="dxa"/>
            <w:vAlign w:val="center"/>
          </w:tcPr>
          <w:p>
            <w:pPr>
              <w:snapToGrid w:val="0"/>
              <w:spacing w:line="360" w:lineRule="auto"/>
              <w:jc w:val="center"/>
              <w:rPr>
                <w:rFonts w:ascii="宋体" w:hAnsi="宋体" w:cs="宋体"/>
                <w:color w:val="auto"/>
                <w:sz w:val="24"/>
                <w:highlight w:val="none"/>
              </w:rPr>
            </w:pPr>
          </w:p>
        </w:tc>
        <w:tc>
          <w:tcPr>
            <w:tcW w:w="2835"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kern w:val="0"/>
                <w:szCs w:val="21"/>
                <w:highlight w:val="none"/>
                <w:lang w:bidi="ar"/>
              </w:rPr>
              <w:t>4</w:t>
            </w:r>
          </w:p>
        </w:tc>
        <w:tc>
          <w:tcPr>
            <w:tcW w:w="1276"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kern w:val="0"/>
                <w:szCs w:val="21"/>
                <w:highlight w:val="none"/>
                <w:lang w:bidi="ar"/>
              </w:rPr>
              <w:t>大型会议桌</w:t>
            </w:r>
          </w:p>
        </w:tc>
        <w:tc>
          <w:tcPr>
            <w:tcW w:w="1843" w:type="dxa"/>
            <w:vAlign w:val="center"/>
          </w:tcPr>
          <w:p>
            <w:pPr>
              <w:snapToGrid w:val="0"/>
              <w:spacing w:line="360" w:lineRule="auto"/>
              <w:jc w:val="center"/>
              <w:rPr>
                <w:rFonts w:ascii="宋体" w:hAnsi="宋体" w:cs="宋体"/>
                <w:color w:val="auto"/>
                <w:sz w:val="24"/>
                <w:highlight w:val="none"/>
              </w:rPr>
            </w:pPr>
          </w:p>
        </w:tc>
        <w:tc>
          <w:tcPr>
            <w:tcW w:w="2835"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kern w:val="0"/>
                <w:szCs w:val="21"/>
                <w:highlight w:val="none"/>
                <w:lang w:bidi="ar"/>
              </w:rPr>
              <w:t>1</w:t>
            </w:r>
          </w:p>
        </w:tc>
        <w:tc>
          <w:tcPr>
            <w:tcW w:w="1276"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kern w:val="0"/>
                <w:szCs w:val="21"/>
                <w:highlight w:val="none"/>
                <w:lang w:bidi="ar"/>
              </w:rPr>
              <w:t>会议椅</w:t>
            </w:r>
          </w:p>
        </w:tc>
        <w:tc>
          <w:tcPr>
            <w:tcW w:w="1843" w:type="dxa"/>
            <w:vAlign w:val="center"/>
          </w:tcPr>
          <w:p>
            <w:pPr>
              <w:snapToGrid w:val="0"/>
              <w:spacing w:line="360" w:lineRule="auto"/>
              <w:jc w:val="center"/>
              <w:rPr>
                <w:rFonts w:ascii="宋体" w:hAnsi="宋体" w:cs="宋体"/>
                <w:color w:val="auto"/>
                <w:sz w:val="24"/>
                <w:highlight w:val="none"/>
              </w:rPr>
            </w:pPr>
          </w:p>
        </w:tc>
        <w:tc>
          <w:tcPr>
            <w:tcW w:w="2835"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kern w:val="0"/>
                <w:szCs w:val="21"/>
                <w:highlight w:val="none"/>
                <w:lang w:bidi="ar"/>
              </w:rPr>
              <w:t>44</w:t>
            </w:r>
          </w:p>
        </w:tc>
        <w:tc>
          <w:tcPr>
            <w:tcW w:w="1276"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kern w:val="0"/>
                <w:szCs w:val="21"/>
                <w:highlight w:val="none"/>
                <w:lang w:bidi="ar"/>
              </w:rPr>
              <w:t>单人沙发</w:t>
            </w:r>
          </w:p>
        </w:tc>
        <w:tc>
          <w:tcPr>
            <w:tcW w:w="1843" w:type="dxa"/>
            <w:vAlign w:val="center"/>
          </w:tcPr>
          <w:p>
            <w:pPr>
              <w:snapToGrid w:val="0"/>
              <w:spacing w:line="360" w:lineRule="auto"/>
              <w:jc w:val="center"/>
              <w:rPr>
                <w:rFonts w:ascii="宋体" w:hAnsi="宋体" w:cs="宋体"/>
                <w:color w:val="auto"/>
                <w:sz w:val="24"/>
                <w:highlight w:val="none"/>
              </w:rPr>
            </w:pPr>
          </w:p>
        </w:tc>
        <w:tc>
          <w:tcPr>
            <w:tcW w:w="2835"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kern w:val="0"/>
                <w:szCs w:val="21"/>
                <w:highlight w:val="none"/>
                <w:lang w:bidi="ar"/>
              </w:rPr>
              <w:t>6</w:t>
            </w:r>
          </w:p>
        </w:tc>
        <w:tc>
          <w:tcPr>
            <w:tcW w:w="1276"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kern w:val="0"/>
                <w:szCs w:val="21"/>
                <w:highlight w:val="none"/>
                <w:lang w:bidi="ar"/>
              </w:rPr>
              <w:t>茶几</w:t>
            </w:r>
          </w:p>
        </w:tc>
        <w:tc>
          <w:tcPr>
            <w:tcW w:w="1843" w:type="dxa"/>
            <w:vAlign w:val="center"/>
          </w:tcPr>
          <w:p>
            <w:pPr>
              <w:snapToGrid w:val="0"/>
              <w:spacing w:line="360" w:lineRule="auto"/>
              <w:jc w:val="center"/>
              <w:rPr>
                <w:rFonts w:ascii="宋体" w:hAnsi="宋体" w:cs="宋体"/>
                <w:color w:val="auto"/>
                <w:sz w:val="24"/>
                <w:highlight w:val="none"/>
              </w:rPr>
            </w:pPr>
          </w:p>
        </w:tc>
        <w:tc>
          <w:tcPr>
            <w:tcW w:w="2835"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kern w:val="0"/>
                <w:szCs w:val="21"/>
                <w:highlight w:val="none"/>
                <w:lang w:bidi="ar"/>
              </w:rPr>
              <w:t>2</w:t>
            </w:r>
          </w:p>
        </w:tc>
        <w:tc>
          <w:tcPr>
            <w:tcW w:w="1276"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0</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kern w:val="0"/>
                <w:szCs w:val="21"/>
                <w:highlight w:val="none"/>
                <w:lang w:bidi="ar"/>
              </w:rPr>
              <w:t>培训椅</w:t>
            </w:r>
          </w:p>
        </w:tc>
        <w:tc>
          <w:tcPr>
            <w:tcW w:w="1843" w:type="dxa"/>
            <w:vAlign w:val="center"/>
          </w:tcPr>
          <w:p>
            <w:pPr>
              <w:snapToGrid w:val="0"/>
              <w:spacing w:line="360" w:lineRule="auto"/>
              <w:jc w:val="center"/>
              <w:rPr>
                <w:rFonts w:ascii="宋体" w:hAnsi="宋体" w:cs="宋体"/>
                <w:color w:val="auto"/>
                <w:sz w:val="24"/>
                <w:highlight w:val="none"/>
              </w:rPr>
            </w:pPr>
          </w:p>
        </w:tc>
        <w:tc>
          <w:tcPr>
            <w:tcW w:w="2835"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kern w:val="0"/>
                <w:szCs w:val="21"/>
                <w:highlight w:val="none"/>
                <w:lang w:bidi="ar"/>
              </w:rPr>
              <w:t>40</w:t>
            </w:r>
          </w:p>
        </w:tc>
        <w:tc>
          <w:tcPr>
            <w:tcW w:w="1276"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w:t>
            </w:r>
          </w:p>
        </w:tc>
        <w:tc>
          <w:tcPr>
            <w:tcW w:w="1417"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kern w:val="0"/>
                <w:szCs w:val="21"/>
                <w:highlight w:val="none"/>
                <w:lang w:bidi="ar"/>
              </w:rPr>
              <w:t>工作椅</w:t>
            </w:r>
          </w:p>
        </w:tc>
        <w:tc>
          <w:tcPr>
            <w:tcW w:w="1843" w:type="dxa"/>
            <w:vAlign w:val="center"/>
          </w:tcPr>
          <w:p>
            <w:pPr>
              <w:snapToGrid w:val="0"/>
              <w:spacing w:line="360" w:lineRule="auto"/>
              <w:jc w:val="center"/>
              <w:rPr>
                <w:rFonts w:ascii="宋体" w:hAnsi="宋体" w:cs="宋体"/>
                <w:color w:val="auto"/>
                <w:sz w:val="24"/>
                <w:highlight w:val="none"/>
              </w:rPr>
            </w:pPr>
          </w:p>
        </w:tc>
        <w:tc>
          <w:tcPr>
            <w:tcW w:w="2835" w:type="dxa"/>
            <w:vAlign w:val="center"/>
          </w:tcPr>
          <w:p>
            <w:pPr>
              <w:snapToGrid w:val="0"/>
              <w:spacing w:line="360" w:lineRule="auto"/>
              <w:jc w:val="center"/>
              <w:rPr>
                <w:rFonts w:ascii="宋体" w:hAnsi="宋体" w:cs="宋体"/>
                <w:color w:val="auto"/>
                <w:sz w:val="24"/>
                <w:highlight w:val="none"/>
              </w:rPr>
            </w:pPr>
          </w:p>
        </w:tc>
        <w:tc>
          <w:tcPr>
            <w:tcW w:w="1559" w:type="dxa"/>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kern w:val="0"/>
                <w:szCs w:val="21"/>
                <w:highlight w:val="none"/>
                <w:lang w:bidi="ar"/>
              </w:rPr>
              <w:t>4</w:t>
            </w:r>
          </w:p>
        </w:tc>
        <w:tc>
          <w:tcPr>
            <w:tcW w:w="1276" w:type="dxa"/>
            <w:vAlign w:val="center"/>
          </w:tcPr>
          <w:p>
            <w:pPr>
              <w:spacing w:line="360" w:lineRule="auto"/>
              <w:jc w:val="center"/>
              <w:rPr>
                <w:rFonts w:ascii="宋体" w:hAnsi="宋体" w:cs="宋体"/>
                <w:color w:val="auto"/>
                <w:sz w:val="24"/>
                <w:highlight w:val="none"/>
              </w:rPr>
            </w:pPr>
          </w:p>
        </w:tc>
        <w:tc>
          <w:tcPr>
            <w:tcW w:w="1984" w:type="dxa"/>
            <w:vAlign w:val="center"/>
          </w:tcPr>
          <w:p>
            <w:pPr>
              <w:spacing w:line="360" w:lineRule="auto"/>
              <w:jc w:val="center"/>
              <w:rPr>
                <w:rFonts w:ascii="宋体" w:hAnsi="宋体" w:cs="宋体"/>
                <w:color w:val="auto"/>
                <w:sz w:val="24"/>
                <w:highlight w:val="none"/>
              </w:rPr>
            </w:pPr>
          </w:p>
        </w:tc>
        <w:tc>
          <w:tcPr>
            <w:tcW w:w="3119" w:type="dxa"/>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629"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938" w:type="dxa"/>
            <w:gridSpan w:val="4"/>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629" w:type="dxa"/>
            <w:gridSpan w:val="4"/>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938" w:type="dxa"/>
            <w:gridSpan w:val="4"/>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201" w:name="_Hlk101259491"/>
      <w:r>
        <w:rPr>
          <w:rFonts w:hint="eastAsia" w:ascii="宋体" w:hAnsi="宋体" w:eastAsia="宋体" w:cs="宋体"/>
          <w:color w:val="auto"/>
          <w:sz w:val="32"/>
          <w:szCs w:val="32"/>
          <w:highlight w:val="none"/>
        </w:rPr>
        <w:t>（如果有）</w:t>
      </w:r>
      <w:bookmarkEnd w:id="201"/>
    </w:p>
    <w:p>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0"/>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spacing w:line="360" w:lineRule="auto"/>
        <w:ind w:right="420" w:firstLine="3614" w:firstLineChars="1000"/>
        <w:rPr>
          <w:rFonts w:ascii="宋体" w:hAnsi="宋体" w:cs="宋体"/>
          <w:b/>
          <w:color w:val="auto"/>
          <w:kern w:val="0"/>
          <w:sz w:val="36"/>
          <w:szCs w:val="36"/>
          <w:highlight w:val="none"/>
        </w:rPr>
      </w:pPr>
    </w:p>
    <w:p>
      <w:pPr>
        <w:tabs>
          <w:tab w:val="left" w:pos="8085"/>
        </w:tabs>
        <w:spacing w:line="360" w:lineRule="auto"/>
        <w:ind w:firstLine="1285" w:firstLineChars="400"/>
        <w:jc w:val="left"/>
        <w:rPr>
          <w:rFonts w:ascii="宋体" w:hAnsi="宋体" w:cs="宋体"/>
          <w:b/>
          <w:color w:val="auto"/>
          <w:sz w:val="32"/>
          <w:szCs w:val="32"/>
          <w:highlight w:val="none"/>
        </w:rPr>
      </w:pPr>
      <w:r>
        <w:rPr>
          <w:rFonts w:hint="eastAsia" w:ascii="宋体" w:hAnsi="宋体" w:cs="宋体"/>
          <w:b/>
          <w:color w:val="auto"/>
          <w:sz w:val="32"/>
          <w:szCs w:val="32"/>
          <w:highlight w:val="none"/>
        </w:rPr>
        <w:t>政府采购支持中小企业信用融资相关事项通知</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一、适用对象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二、相关信息获取方式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三、　政府采购信用融资操作流程：</w:t>
      </w:r>
    </w:p>
    <w:p>
      <w:pPr>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（一）线上融资模式：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1.供应商根据合作银行提供的方案，自行选择金融产品，并办理开户等手续；</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2.供应商中标后，可通过杭州市政府采购网或“浙里办”测算授信额度；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3.采购合同签订后，供应商在杭州市政府采购网或“浙里办”向合作银行发出融资申请；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4.审批通过后，在线办理放贷手续。</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（二）线下融资模式：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2.采购合同签订后，供应商在杭州市政府采购网或“浙里办”向合作银行发出融资申请；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4.审批通过后，合作银行应按照合作备忘录中约定的审批放款期限和优惠利率及时予以放款。</w:t>
      </w:r>
    </w:p>
    <w:p>
      <w:pPr>
        <w:pStyle w:val="2"/>
        <w:numPr>
          <w:ilvl w:val="255"/>
          <w:numId w:val="0"/>
        </w:numPr>
        <w:ind w:firstLine="960" w:firstLineChars="4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（三）杭州e融平台申请融资</w:t>
      </w:r>
    </w:p>
    <w:p>
      <w:pPr>
        <w:pStyle w:val="2"/>
        <w:numPr>
          <w:ilvl w:val="255"/>
          <w:numId w:val="0"/>
        </w:numPr>
        <w:ind w:firstLine="960" w:firstLineChars="4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四、注意事项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ascii="宋体" w:hAnsi="宋体" w:cs="宋体"/>
          <w:b/>
          <w:bCs/>
          <w:color w:val="auto"/>
          <w:kern w:val="0"/>
          <w:sz w:val="24"/>
          <w:highlight w:val="none"/>
        </w:r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202" w:name="_Toc465665161"/>
      <w:r>
        <w:rPr>
          <w:rFonts w:hint="eastAsia" w:ascii="宋体" w:hAnsi="宋体" w:cs="宋体"/>
          <w:color w:val="auto"/>
          <w:highlight w:val="none"/>
        </w:rPr>
        <w:t>附件</w:t>
      </w:r>
      <w:bookmarkEnd w:id="202"/>
    </w:p>
    <w:p>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pPr>
        <w:spacing w:line="360" w:lineRule="auto"/>
        <w:jc w:val="center"/>
        <w:rPr>
          <w:rFonts w:ascii="宋体" w:hAnsi="宋体" w:cs="宋体"/>
          <w:b/>
          <w:color w:val="auto"/>
          <w:spacing w:val="6"/>
          <w:sz w:val="32"/>
          <w:szCs w:val="32"/>
          <w:highlight w:val="none"/>
        </w:rPr>
      </w:pPr>
      <w:bookmarkStart w:id="203" w:name="OLE_LINK13"/>
      <w:bookmarkStart w:id="204" w:name="OLE_LINK14"/>
      <w:r>
        <w:rPr>
          <w:rFonts w:hint="eastAsia" w:ascii="宋体" w:hAnsi="宋体" w:cs="宋体"/>
          <w:b/>
          <w:color w:val="auto"/>
          <w:spacing w:val="6"/>
          <w:sz w:val="32"/>
          <w:szCs w:val="32"/>
          <w:highlight w:val="none"/>
        </w:rPr>
        <w:t>残疾人福利性单位声明函</w:t>
      </w:r>
    </w:p>
    <w:bookmarkEnd w:id="203"/>
    <w:bookmarkEnd w:id="204"/>
    <w:p>
      <w:pPr>
        <w:spacing w:line="360" w:lineRule="auto"/>
        <w:rPr>
          <w:rFonts w:ascii="宋体" w:hAnsi="宋体" w:cs="宋体"/>
          <w:b/>
          <w:color w:val="auto"/>
          <w:spacing w:val="6"/>
          <w:sz w:val="30"/>
          <w:szCs w:val="30"/>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pPr>
        <w:spacing w:line="360" w:lineRule="auto"/>
        <w:ind w:firstLine="480" w:firstLineChars="200"/>
        <w:rPr>
          <w:rFonts w:ascii="宋体" w:hAnsi="宋体" w:cs="宋体"/>
          <w:color w:val="auto"/>
          <w:sz w:val="24"/>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杭州市公安局、杭州市公共资源交易中心</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你方组织的杭州市公安局研发中心家具采购项目项目【招标编号：HZZFCG-2022-152】</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杭州市公安局研发中心家具采购项目【招标编号：HZZFCG-2022-152】</w:t>
      </w:r>
      <w:r>
        <w:rPr>
          <w:rFonts w:hint="eastAsia" w:ascii="宋体" w:hAnsi="宋体" w:cs="宋体"/>
          <w:color w:val="auto"/>
          <w:kern w:val="0"/>
          <w:sz w:val="24"/>
          <w:highlight w:val="none"/>
          <w:lang w:val="zh-CN"/>
        </w:rPr>
        <w:t xml:space="preserve">投标。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pPr>
        <w:snapToGrid w:val="0"/>
        <w:spacing w:line="360" w:lineRule="auto"/>
        <w:ind w:firstLine="576"/>
        <w:rPr>
          <w:rFonts w:ascii="宋体" w:hAnsi="宋体" w:cs="宋体"/>
          <w:color w:val="auto"/>
          <w:kern w:val="0"/>
          <w:sz w:val="24"/>
          <w:highlight w:val="none"/>
          <w:lang w:val="zh-CN"/>
        </w:rPr>
      </w:pPr>
      <w:bookmarkStart w:id="205"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205"/>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ascii="宋体" w:hAnsi="宋体" w:cs="宋体"/>
          <w:b/>
          <w:color w:val="auto"/>
          <w:kern w:val="0"/>
          <w:sz w:val="24"/>
          <w:highlight w:val="none"/>
          <w:lang w:val="zh-CN"/>
        </w:rPr>
        <w:t>6</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spacing w:val="6"/>
          <w:sz w:val="32"/>
          <w:szCs w:val="32"/>
          <w:highlight w:val="none"/>
        </w:rPr>
      </w:pPr>
    </w:p>
    <w:p>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杭州市公安局研发中心家具采购项目【招标编号：HZZFCG-2022-152】</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ascii="宋体" w:hAnsi="宋体" w:cs="宋体"/>
          <w:b/>
          <w:color w:val="auto"/>
          <w:kern w:val="0"/>
          <w:sz w:val="24"/>
          <w:highlight w:val="none"/>
          <w:lang w:val="zh-CN"/>
        </w:rPr>
        <w:t>6</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20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206"/>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pPr>
        <w:snapToGrid w:val="0"/>
        <w:spacing w:line="360" w:lineRule="auto"/>
        <w:ind w:firstLine="4320" w:firstLineChars="18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pPr>
        <w:spacing w:line="360" w:lineRule="auto"/>
        <w:jc w:val="center"/>
        <w:rPr>
          <w:rFonts w:ascii="宋体" w:hAnsi="宋体" w:cs="宋体"/>
          <w:color w:val="auto"/>
          <w:sz w:val="24"/>
          <w:highlight w:val="none"/>
          <w:u w:val="singl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杭州市公安局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杭州市公安局研发中心家具采购项目</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民警办公桌</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民警办公椅</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钢制文件柜</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钢制档案柜</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小型会议桌</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大型会议桌</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会议椅</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8</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单人沙发</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9</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茶几</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0</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培训椅</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w:t>
      </w:r>
      <w:r>
        <w:rPr>
          <w:rFonts w:hint="eastAsia" w:ascii="宋体" w:hAnsi="宋体" w:cs="宋体"/>
          <w:color w:val="auto"/>
          <w:sz w:val="24"/>
          <w:highlight w:val="none"/>
        </w:rPr>
        <w:t>.</w:t>
      </w:r>
      <w:r>
        <w:rPr>
          <w:rFonts w:hint="eastAsia" w:ascii="宋体" w:hAnsi="宋体" w:cs="宋体"/>
          <w:color w:val="auto"/>
          <w:highlight w:val="none"/>
        </w:rPr>
        <w:t xml:space="preserve"> </w:t>
      </w:r>
      <w:r>
        <w:rPr>
          <w:rFonts w:hint="eastAsia" w:ascii="宋体" w:hAnsi="宋体" w:cs="宋体"/>
          <w:color w:val="auto"/>
          <w:sz w:val="24"/>
          <w:highlight w:val="none"/>
          <w:u w:val="single"/>
        </w:rPr>
        <w:t>工作椅</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b/>
          <w:color w:val="auto"/>
          <w:sz w:val="32"/>
          <w:szCs w:val="32"/>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jc w:val="center"/>
        <w:rPr>
          <w:rFonts w:ascii="宋体" w:hAnsi="宋体" w:cs="宋体"/>
          <w:b/>
          <w:color w:val="auto"/>
          <w:sz w:val="32"/>
          <w:szCs w:val="32"/>
          <w:highlight w:val="none"/>
        </w:rPr>
      </w:pPr>
    </w:p>
    <w:p>
      <w:pPr>
        <w:spacing w:line="360" w:lineRule="auto"/>
        <w:rPr>
          <w:rFonts w:ascii="宋体" w:hAnsi="宋体" w:cs="宋体"/>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207" w:name="_Toc36110187"/>
    <w:bookmarkStart w:id="208" w:name="_Toc91899912"/>
    <w:bookmarkStart w:id="209" w:name="_Toc131845147"/>
    <w:bookmarkStart w:id="210" w:name="_Toc164085800"/>
    <w:r>
      <w:rPr>
        <w:rFonts w:hint="eastAsia" w:ascii="仿宋_GB2312" w:eastAsia="仿宋_GB2312"/>
        <w:kern w:val="0"/>
        <w:szCs w:val="21"/>
      </w:rPr>
      <w:t xml:space="preserve"> 页</w:t>
    </w:r>
    <w:bookmarkEnd w:id="207"/>
    <w:bookmarkEnd w:id="208"/>
    <w:bookmarkEnd w:id="209"/>
    <w:bookmarkEnd w:id="21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 xml:space="preserve">            </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D0DB1"/>
    <w:multiLevelType w:val="singleLevel"/>
    <w:tmpl w:val="AFED0DB1"/>
    <w:lvl w:ilvl="0" w:tentative="0">
      <w:start w:val="1"/>
      <w:numFmt w:val="decimal"/>
      <w:lvlText w:val="%1."/>
      <w:lvlJc w:val="left"/>
      <w:pPr>
        <w:tabs>
          <w:tab w:val="left" w:pos="312"/>
        </w:tabs>
      </w:pPr>
    </w:lvl>
  </w:abstractNum>
  <w:abstractNum w:abstractNumId="1">
    <w:nsid w:val="FDFCC0BD"/>
    <w:multiLevelType w:val="singleLevel"/>
    <w:tmpl w:val="FDFCC0BD"/>
    <w:lvl w:ilvl="0" w:tentative="0">
      <w:start w:val="2"/>
      <w:numFmt w:val="chineseCounting"/>
      <w:suff w:val="nothing"/>
      <w:lvlText w:val="%1、"/>
      <w:lvlJc w:val="left"/>
      <w:rPr>
        <w:rFonts w:hint="eastAsia"/>
        <w:lang w:val="en-US"/>
      </w:rPr>
    </w:lvl>
  </w:abstractNum>
  <w:abstractNum w:abstractNumId="2">
    <w:nsid w:val="FFDF7498"/>
    <w:multiLevelType w:val="singleLevel"/>
    <w:tmpl w:val="FFDF7498"/>
    <w:lvl w:ilvl="0" w:tentative="0">
      <w:start w:val="1"/>
      <w:numFmt w:val="decimal"/>
      <w:lvlText w:val="%1."/>
      <w:lvlJc w:val="left"/>
      <w:pPr>
        <w:tabs>
          <w:tab w:val="left" w:pos="312"/>
        </w:tabs>
      </w:pPr>
    </w:lvl>
  </w:abstractNum>
  <w:abstractNum w:abstractNumId="3">
    <w:nsid w:val="4AB2999B"/>
    <w:multiLevelType w:val="singleLevel"/>
    <w:tmpl w:val="4AB2999B"/>
    <w:lvl w:ilvl="0" w:tentative="0">
      <w:start w:val="1"/>
      <w:numFmt w:val="decimal"/>
      <w:suff w:val="nothing"/>
      <w:lvlText w:val="%1、"/>
      <w:lvlJc w:val="left"/>
    </w:lvl>
  </w:abstractNum>
  <w:abstractNum w:abstractNumId="4">
    <w:nsid w:val="7F6F2BDD"/>
    <w:multiLevelType w:val="singleLevel"/>
    <w:tmpl w:val="7F6F2BDD"/>
    <w:lvl w:ilvl="0" w:tentative="0">
      <w:start w:val="2"/>
      <w:numFmt w:val="decimal"/>
      <w:lvlText w:val="%1."/>
      <w:lvlJc w:val="left"/>
      <w:pPr>
        <w:tabs>
          <w:tab w:val="left" w:pos="312"/>
        </w:tabs>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OWFlZmQ0YjdlMGEyODBkZDg0ZWZkOTVhYWZjMDg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532B"/>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1D37"/>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9E0"/>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6C61"/>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D2C"/>
    <w:rsid w:val="001E7F81"/>
    <w:rsid w:val="001F0FD1"/>
    <w:rsid w:val="001F1526"/>
    <w:rsid w:val="001F19D1"/>
    <w:rsid w:val="001F1CB9"/>
    <w:rsid w:val="001F1F18"/>
    <w:rsid w:val="001F2F92"/>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6D1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5ED"/>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55A0"/>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3B"/>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576"/>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6FC4"/>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528"/>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716"/>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62D"/>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6A1"/>
    <w:rsid w:val="00565DAC"/>
    <w:rsid w:val="00565F0D"/>
    <w:rsid w:val="005662DC"/>
    <w:rsid w:val="00566329"/>
    <w:rsid w:val="005668B9"/>
    <w:rsid w:val="00566E39"/>
    <w:rsid w:val="0056704E"/>
    <w:rsid w:val="00567623"/>
    <w:rsid w:val="005701C2"/>
    <w:rsid w:val="00570763"/>
    <w:rsid w:val="005719C8"/>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954"/>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804"/>
    <w:rsid w:val="006A1B00"/>
    <w:rsid w:val="006A2766"/>
    <w:rsid w:val="006A39D0"/>
    <w:rsid w:val="006A3E91"/>
    <w:rsid w:val="006A430B"/>
    <w:rsid w:val="006A4321"/>
    <w:rsid w:val="006A4A5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1E4D"/>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00A"/>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5E8"/>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3C19"/>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BDC"/>
    <w:rsid w:val="00A46D39"/>
    <w:rsid w:val="00A47019"/>
    <w:rsid w:val="00A472B8"/>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6FA7"/>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32B"/>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4E5"/>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E69"/>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D35451"/>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675BF"/>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42561"/>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D933CA"/>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520912"/>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4CA7"/>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9C463D"/>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6A0352"/>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B33152"/>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21019"/>
    <w:rsid w:val="4A064FA0"/>
    <w:rsid w:val="4A16615C"/>
    <w:rsid w:val="4A4424D7"/>
    <w:rsid w:val="4AB82D0F"/>
    <w:rsid w:val="4AEB7664"/>
    <w:rsid w:val="4AFD7C19"/>
    <w:rsid w:val="4B0567D1"/>
    <w:rsid w:val="4B236AAE"/>
    <w:rsid w:val="4B707271"/>
    <w:rsid w:val="4B9739F7"/>
    <w:rsid w:val="4BEE2503"/>
    <w:rsid w:val="4C245A30"/>
    <w:rsid w:val="4C586704"/>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165675"/>
    <w:rsid w:val="4F47354A"/>
    <w:rsid w:val="4F527CC5"/>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5F9527D"/>
    <w:rsid w:val="566B6D1E"/>
    <w:rsid w:val="56BB0191"/>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2E0368"/>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DA1001"/>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5FFF5436"/>
    <w:rsid w:val="60232584"/>
    <w:rsid w:val="607330CE"/>
    <w:rsid w:val="60825176"/>
    <w:rsid w:val="609F2AC4"/>
    <w:rsid w:val="60FA2EE8"/>
    <w:rsid w:val="61054A27"/>
    <w:rsid w:val="610A52BC"/>
    <w:rsid w:val="611D2366"/>
    <w:rsid w:val="612259B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8597B"/>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7D64ED"/>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5A6EE0"/>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2"/>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5"/>
    <w:qFormat/>
    <w:uiPriority w:val="0"/>
    <w:rPr>
      <w:rFonts w:ascii="宋体"/>
      <w:kern w:val="2"/>
      <w:sz w:val="24"/>
      <w:szCs w:val="21"/>
      <w:lang w:val="zh-CN"/>
    </w:rPr>
  </w:style>
  <w:style w:type="character" w:customStyle="1" w:styleId="179">
    <w:name w:val="标题 9 字符"/>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6"/>
    <w:qFormat/>
    <w:uiPriority w:val="0"/>
    <w:rPr>
      <w:rFonts w:ascii="黑体" w:hAnsi="Courier New" w:eastAsia="黑体"/>
    </w:rPr>
  </w:style>
  <w:style w:type="character" w:customStyle="1" w:styleId="299">
    <w:name w:val="正文文本 2 字符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9"/>
    <w:qFormat/>
    <w:uiPriority w:val="0"/>
    <w:rPr>
      <w:b/>
      <w:bCs/>
      <w:kern w:val="2"/>
      <w:sz w:val="24"/>
      <w:szCs w:val="24"/>
    </w:rPr>
  </w:style>
  <w:style w:type="character" w:customStyle="1" w:styleId="305">
    <w:name w:val="正文文本缩进 2 字符"/>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0"/>
    <w:rPr>
      <w:kern w:val="2"/>
      <w:sz w:val="21"/>
      <w:szCs w:val="24"/>
    </w:rPr>
  </w:style>
  <w:style w:type="character" w:customStyle="1" w:styleId="342">
    <w:name w:val="签名 字符"/>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2"/>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7"/>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0" Type="http://schemas.openxmlformats.org/officeDocument/2006/relationships/fontTable" Target="fontTable.xml"/><Relationship Id="rId4" Type="http://schemas.openxmlformats.org/officeDocument/2006/relationships/header" Target="header2.xml"/><Relationship Id="rId39" Type="http://schemas.openxmlformats.org/officeDocument/2006/relationships/customXml" Target="../customXml/item2.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11.jpeg"/><Relationship Id="rId35" Type="http://schemas.openxmlformats.org/officeDocument/2006/relationships/image" Target="media/image10.jpeg"/><Relationship Id="rId34" Type="http://schemas.openxmlformats.org/officeDocument/2006/relationships/image" Target="media/image9.jpeg"/><Relationship Id="rId33" Type="http://schemas.openxmlformats.org/officeDocument/2006/relationships/image" Target="media/image8.png"/><Relationship Id="rId32" Type="http://schemas.openxmlformats.org/officeDocument/2006/relationships/image" Target="media/image7.jpeg"/><Relationship Id="rId31" Type="http://schemas.openxmlformats.org/officeDocument/2006/relationships/image" Target="media/image6.jpeg"/><Relationship Id="rId30" Type="http://schemas.openxmlformats.org/officeDocument/2006/relationships/image" Target="media/image5.jpeg"/><Relationship Id="rId3" Type="http://schemas.openxmlformats.org/officeDocument/2006/relationships/header" Target="header1.xml"/><Relationship Id="rId29" Type="http://schemas.openxmlformats.org/officeDocument/2006/relationships/image" Target="media/image4.jpeg"/><Relationship Id="rId28" Type="http://schemas.openxmlformats.org/officeDocument/2006/relationships/image" Target="media/image3.jpeg"/><Relationship Id="rId27" Type="http://schemas.openxmlformats.org/officeDocument/2006/relationships/image" Target="media/image2.png"/><Relationship Id="rId26" Type="http://schemas.openxmlformats.org/officeDocument/2006/relationships/image" Target="media/image1.jpeg"/><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88</Pages>
  <Words>42326</Words>
  <Characters>45766</Characters>
  <Lines>378</Lines>
  <Paragraphs>106</Paragraphs>
  <TotalTime>375</TotalTime>
  <ScaleCrop>false</ScaleCrop>
  <LinksUpToDate>false</LinksUpToDate>
  <CharactersWithSpaces>51456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2021-12-27T03:06:00Z</cp:lastPrinted>
  <dcterms:modified xsi:type="dcterms:W3CDTF">2022-09-05T08:26:49Z</dcterms:modified>
  <dc:title>杭州市市民卡扩大发卡工程</dc:title>
  <cp:revision>285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